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charts/chart5.xml" ContentType="application/vnd.openxmlformats-officedocument.drawingml.chart+xml"/>
  <Override PartName="/word/theme/themeOverride3.xml" ContentType="application/vnd.openxmlformats-officedocument.themeOverride+xml"/>
  <Override PartName="/word/charts/chart6.xml" ContentType="application/vnd.openxmlformats-officedocument.drawingml.chart+xml"/>
  <Override PartName="/word/theme/themeOverride4.xml" ContentType="application/vnd.openxmlformats-officedocument.themeOverrid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77BB" w:rsidRPr="00BC4ECE" w:rsidRDefault="00955E14" w:rsidP="0080175F">
      <w:pPr>
        <w:pStyle w:val="001-lineSectionheading"/>
        <w:spacing w:after="240"/>
        <w:outlineLvl w:val="0"/>
        <w:rPr>
          <w:noProof w:val="0"/>
          <w:sz w:val="52"/>
        </w:rPr>
      </w:pPr>
      <w:r>
        <w:rPr>
          <w:noProof w:val="0"/>
          <w:sz w:val="52"/>
        </w:rPr>
        <w:t>Jonavos</w:t>
      </w:r>
      <w:r w:rsidR="00F02104" w:rsidRPr="00BC4ECE">
        <w:rPr>
          <w:noProof w:val="0"/>
          <w:sz w:val="52"/>
        </w:rPr>
        <w:t xml:space="preserve"> rajono</w:t>
      </w:r>
      <w:r w:rsidR="005577BB" w:rsidRPr="00BC4ECE">
        <w:rPr>
          <w:noProof w:val="0"/>
          <w:sz w:val="52"/>
        </w:rPr>
        <w:t xml:space="preserve"> savivaldybės analizė</w:t>
      </w:r>
    </w:p>
    <w:p w:rsidR="00C849C4" w:rsidRPr="00D91EEC" w:rsidRDefault="00C849C4" w:rsidP="002B4036">
      <w:pPr>
        <w:pStyle w:val="Deloittebodytext"/>
        <w:spacing w:line="240" w:lineRule="auto"/>
        <w:jc w:val="both"/>
        <w:rPr>
          <w:lang w:val="lt-LT"/>
        </w:rPr>
      </w:pPr>
      <w:r w:rsidRPr="00BC4ECE">
        <w:rPr>
          <w:lang w:val="lt-LT"/>
        </w:rPr>
        <w:t>Toliau pateikiama vien</w:t>
      </w:r>
      <w:r w:rsidR="00955E14">
        <w:rPr>
          <w:lang w:val="lt-LT"/>
        </w:rPr>
        <w:t>os iš probleminių teritorijų – Jonavos</w:t>
      </w:r>
      <w:r w:rsidRPr="00BC4ECE">
        <w:rPr>
          <w:lang w:val="lt-LT"/>
        </w:rPr>
        <w:t xml:space="preserve"> rajono savivaldybės – atvejo stud</w:t>
      </w:r>
      <w:r w:rsidR="001F2140">
        <w:rPr>
          <w:lang w:val="lt-LT"/>
        </w:rPr>
        <w:t>ija. Pirma, yra pristatoma ES struktūrinių fondų</w:t>
      </w:r>
      <w:r w:rsidRPr="00BC4ECE">
        <w:rPr>
          <w:lang w:val="lt-LT"/>
        </w:rPr>
        <w:t xml:space="preserve"> finansavimo apžvalga, aptariamos pagrindinės i</w:t>
      </w:r>
      <w:r w:rsidR="002E30F9">
        <w:rPr>
          <w:lang w:val="lt-LT"/>
        </w:rPr>
        <w:t xml:space="preserve">nvesticinės kryptys. Vėliau </w:t>
      </w:r>
      <w:r w:rsidR="002B4036" w:rsidRPr="00BC4ECE">
        <w:rPr>
          <w:lang w:val="lt-LT"/>
        </w:rPr>
        <w:t>pristatoma socio-ekonominių ir aplinkos rodiklių kaita</w:t>
      </w:r>
      <w:r w:rsidR="00BC4ECE">
        <w:rPr>
          <w:lang w:val="lt-LT"/>
        </w:rPr>
        <w:t xml:space="preserve"> </w:t>
      </w:r>
      <w:r w:rsidR="00BC4ECE">
        <w:rPr>
          <w:lang w:val="en-US"/>
        </w:rPr>
        <w:t xml:space="preserve">2007 – 2013 m. </w:t>
      </w:r>
      <w:r w:rsidR="00BC4ECE">
        <w:rPr>
          <w:lang w:val="lt-LT"/>
        </w:rPr>
        <w:t>laikotarpiu</w:t>
      </w:r>
      <w:r w:rsidR="002B4036" w:rsidRPr="00BC4ECE">
        <w:rPr>
          <w:lang w:val="lt-LT"/>
        </w:rPr>
        <w:t xml:space="preserve">. Atvejo </w:t>
      </w:r>
      <w:r w:rsidR="002E30F9">
        <w:rPr>
          <w:lang w:val="lt-LT"/>
        </w:rPr>
        <w:t>studiją apibendrina</w:t>
      </w:r>
      <w:r w:rsidR="00D91EEC">
        <w:rPr>
          <w:lang w:val="en-US"/>
        </w:rPr>
        <w:t xml:space="preserve"> </w:t>
      </w:r>
      <w:r w:rsidR="00D91EEC">
        <w:rPr>
          <w:lang w:val="lt-LT"/>
        </w:rPr>
        <w:t>2007 – 2013 m.</w:t>
      </w:r>
      <w:r w:rsidR="002E30F9">
        <w:rPr>
          <w:lang w:val="lt-LT"/>
        </w:rPr>
        <w:t xml:space="preserve"> ES</w:t>
      </w:r>
      <w:r w:rsidR="00D91EEC">
        <w:rPr>
          <w:lang w:val="lt-LT"/>
        </w:rPr>
        <w:t xml:space="preserve"> struktūrinės</w:t>
      </w:r>
      <w:r w:rsidR="002E30F9">
        <w:rPr>
          <w:lang w:val="lt-LT"/>
        </w:rPr>
        <w:t xml:space="preserve"> paramos poveikio darniam vystymuisi vertinimas</w:t>
      </w:r>
      <w:r w:rsidR="00D91EEC">
        <w:rPr>
          <w:lang w:val="lt-LT"/>
        </w:rPr>
        <w:t xml:space="preserve">; </w:t>
      </w:r>
      <w:r w:rsidR="00D91EEC">
        <w:rPr>
          <w:lang w:val="en-US"/>
        </w:rPr>
        <w:t>1.3.</w:t>
      </w:r>
      <w:r w:rsidR="00D91EEC">
        <w:rPr>
          <w:lang w:val="lt-LT"/>
        </w:rPr>
        <w:t xml:space="preserve"> dalyje pateikiami gerosios praktikos projektų pavyzdžiai.</w:t>
      </w:r>
    </w:p>
    <w:p w:rsidR="005577BB" w:rsidRPr="00DC7F6C" w:rsidRDefault="0080175F" w:rsidP="0080175F">
      <w:pPr>
        <w:pStyle w:val="Heading1"/>
        <w:numPr>
          <w:ilvl w:val="1"/>
          <w:numId w:val="1"/>
        </w:numPr>
        <w:spacing w:before="360"/>
        <w:ind w:left="630" w:hanging="630"/>
        <w:rPr>
          <w:rFonts w:ascii="Arial" w:hAnsi="Arial" w:cs="Arial"/>
          <w:b w:val="0"/>
          <w:sz w:val="28"/>
          <w:szCs w:val="28"/>
        </w:rPr>
      </w:pPr>
      <w:r w:rsidRPr="00DC7F6C">
        <w:rPr>
          <w:rFonts w:ascii="Arial" w:hAnsi="Arial" w:cs="Arial"/>
          <w:b w:val="0"/>
          <w:noProof/>
          <w:sz w:val="28"/>
          <w:szCs w:val="28"/>
          <w:lang w:val="en-US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BB10F47" wp14:editId="62A404F0">
                <wp:simplePos x="0" y="0"/>
                <wp:positionH relativeFrom="margin">
                  <wp:posOffset>3761105</wp:posOffset>
                </wp:positionH>
                <wp:positionV relativeFrom="paragraph">
                  <wp:posOffset>222885</wp:posOffset>
                </wp:positionV>
                <wp:extent cx="1371600" cy="1290320"/>
                <wp:effectExtent l="0" t="0" r="0" b="508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1600" cy="1290320"/>
                          <a:chOff x="0" y="47361"/>
                          <a:chExt cx="923925" cy="995045"/>
                        </a:xfrm>
                      </wpg:grpSpPr>
                      <wpg:graphicFrame>
                        <wpg:cNvPr id="8" name="Chart 8"/>
                        <wpg:cNvFrPr/>
                        <wpg:xfrm>
                          <a:off x="0" y="47361"/>
                          <a:ext cx="923925" cy="995045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9"/>
                          </a:graphicData>
                        </a:graphic>
                      </wpg:graphicFrame>
                      <wps:wsp>
                        <wps:cNvPr id="30" name="TextBox 29"/>
                        <wps:cNvSpPr txBox="1"/>
                        <wps:spPr>
                          <a:xfrm>
                            <a:off x="95657" y="526457"/>
                            <a:ext cx="795020" cy="34417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F73ED6" w:rsidRPr="00D91EEC" w:rsidRDefault="00955E14" w:rsidP="00F73ED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sz w:val="6"/>
                                </w:rPr>
                              </w:pPr>
                              <w:r w:rsidRPr="00D91EEC">
                                <w:rPr>
                                  <w:rFonts w:ascii="Arial" w:hAnsi="Arial" w:cs="Arial"/>
                                  <w:color w:val="FFFFFF"/>
                                  <w:kern w:val="24"/>
                                  <w:sz w:val="32"/>
                                  <w:szCs w:val="144"/>
                                  <w:lang w:val="nl-NL"/>
                                </w:rPr>
                                <w:t>11.95</w:t>
                              </w:r>
                              <w:r w:rsidR="0080175F" w:rsidRPr="00D91EEC">
                                <w:rPr>
                                  <w:rFonts w:ascii="Arial" w:hAnsi="Arial" w:cs="Arial"/>
                                  <w:color w:val="FFFFFF"/>
                                  <w:kern w:val="24"/>
                                  <w:sz w:val="32"/>
                                  <w:szCs w:val="144"/>
                                  <w:lang w:val="nl-NL"/>
                                </w:rPr>
                                <w:t xml:space="preserve"> %</w:t>
                              </w:r>
                            </w:p>
                          </w:txbxContent>
                        </wps:txbx>
                        <wps:bodyPr wrap="square" lIns="35999" tIns="35999" rIns="35999" bIns="35999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left:0;text-align:left;margin-left:296.15pt;margin-top:17.55pt;width:108pt;height:101.6pt;z-index:251670528;mso-position-horizontal-relative:margin;mso-width-relative:margin;mso-height-relative:margin" coordorigin=",473" coordsize="9239,9950" o:gfxdata="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8" o:spid="_x0000_s1027" type="#_x0000_t75" style="position:absolute;top:473;width:9239;height:996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">
                  <v:imagedata r:id="rId10" o:title="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9" o:spid="_x0000_s1028" type="#_x0000_t202" style="position:absolute;left:956;top:5264;width:7950;height:34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avCMEA&#10;AADbAAAADwAAAGRycy9kb3ducmV2LnhtbERPXWvCMBR9H/gfwhV8m4kKY3TG0gmiCG7MCfp4ae7a&#10;YnNTkqjVX788DPZ4ON/zvLetuJIPjWMNk7ECQVw603Cl4fC9en4FESKywdYxabhTgHwxeJpjZtyN&#10;v+i6j5VIIRwy1FDH2GVShrImi2HsOuLE/ThvMSboK2k83lK4beVUqRdpseHUUGNHy5rK8/5iNZw+&#10;du/OF+qw/rxztTXHhzpvHlqPhn3xBiJSH//Ff+6N0TBL69OX9APk4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bmrwjBAAAA2wAAAA8AAAAAAAAAAAAAAAAAmAIAAGRycy9kb3du&#10;cmV2LnhtbFBLBQYAAAAABAAEAPUAAACGAwAAAAA=&#10;" filled="f" stroked="f">
                  <v:textbox inset=".99997mm,.99997mm,.99997mm,.99997mm">
                    <w:txbxContent>
                      <w:p w:rsidR="00F73ED6" w:rsidRPr="00D91EEC" w:rsidRDefault="00955E14" w:rsidP="00F73ED6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sz w:val="6"/>
                          </w:rPr>
                        </w:pPr>
                        <w:r w:rsidRPr="00D91EEC">
                          <w:rPr>
                            <w:rFonts w:ascii="Arial" w:hAnsi="Arial" w:cs="Arial"/>
                            <w:color w:val="FFFFFF"/>
                            <w:kern w:val="24"/>
                            <w:sz w:val="32"/>
                            <w:szCs w:val="144"/>
                            <w:lang w:val="nl-NL"/>
                          </w:rPr>
                          <w:t>11.95</w:t>
                        </w:r>
                        <w:r w:rsidR="0080175F" w:rsidRPr="00D91EEC">
                          <w:rPr>
                            <w:rFonts w:ascii="Arial" w:hAnsi="Arial" w:cs="Arial"/>
                            <w:color w:val="FFFFFF"/>
                            <w:kern w:val="24"/>
                            <w:sz w:val="32"/>
                            <w:szCs w:val="144"/>
                            <w:lang w:val="nl-NL"/>
                          </w:rPr>
                          <w:t xml:space="preserve"> %</w:t>
                        </w:r>
                      </w:p>
                    </w:txbxContent>
                  </v:textbox>
                </v:shape>
                <w10:wrap type="square" anchorx="margin"/>
              </v:group>
              <o:OLEObject Type="Embed" ProgID="Excel.Chart.8" ShapeID="Chart 8" DrawAspect="Content" ObjectID="_1526414395" r:id="rId11">
                <o:FieldCodes>\s</o:FieldCodes>
              </o:OLEObject>
            </w:pict>
          </mc:Fallback>
        </mc:AlternateContent>
      </w:r>
      <w:r w:rsidR="005577BB" w:rsidRPr="00DC7F6C">
        <w:rPr>
          <w:rFonts w:ascii="Arial" w:hAnsi="Arial" w:cs="Arial"/>
          <w:b w:val="0"/>
          <w:sz w:val="28"/>
          <w:szCs w:val="28"/>
        </w:rPr>
        <w:t>Finansavimo apžvalga</w:t>
      </w:r>
    </w:p>
    <w:p w:rsidR="005577BB" w:rsidRPr="00BC4ECE" w:rsidRDefault="00F73ED6" w:rsidP="00F73ED6">
      <w:pPr>
        <w:jc w:val="both"/>
        <w:rPr>
          <w:rFonts w:ascii="Arial" w:eastAsia="MS PGothic" w:hAnsi="Arial" w:cs="Times New Roman"/>
          <w:color w:val="000000"/>
          <w:sz w:val="20"/>
          <w:szCs w:val="48"/>
        </w:rPr>
      </w:pPr>
      <w:r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2007 – 2013 </w:t>
      </w:r>
      <w:r w:rsidR="009A35E9" w:rsidRPr="00BC4ECE">
        <w:rPr>
          <w:rFonts w:ascii="Arial" w:eastAsia="MS PGothic" w:hAnsi="Arial" w:cs="Times New Roman"/>
          <w:color w:val="000000"/>
          <w:sz w:val="20"/>
          <w:szCs w:val="48"/>
        </w:rPr>
        <w:t>m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>. ES struktūrinių fondų</w:t>
      </w:r>
      <w:r w:rsidR="001F2140">
        <w:rPr>
          <w:rFonts w:ascii="Arial" w:eastAsia="MS PGothic" w:hAnsi="Arial" w:cs="Times New Roman"/>
          <w:color w:val="000000"/>
          <w:sz w:val="20"/>
          <w:szCs w:val="48"/>
        </w:rPr>
        <w:t xml:space="preserve"> (ES SF)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programavimo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laikotarpiu, Jonavos rajono</w:t>
      </w:r>
      <w:r w:rsidR="009A35E9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savivaldybėje, </w:t>
      </w:r>
      <w:r w:rsidR="00CF47D0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buvo finansuoti </w:t>
      </w:r>
      <w:r w:rsidR="00955E14">
        <w:rPr>
          <w:rFonts w:ascii="Arial" w:eastAsia="MS PGothic" w:hAnsi="Arial" w:cs="Times New Roman"/>
          <w:color w:val="000000"/>
          <w:sz w:val="20"/>
          <w:szCs w:val="48"/>
          <w:lang w:val="en-US"/>
        </w:rPr>
        <w:t>135</w:t>
      </w:r>
      <w:r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projektai. </w:t>
      </w:r>
      <w:r w:rsidR="009A35E9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Bendra 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>projektų vertė</w:t>
      </w:r>
      <w:r w:rsidR="009A35E9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siekė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955E14" w:rsidRPr="00955E14">
        <w:rPr>
          <w:rFonts w:ascii="Arial" w:eastAsia="MS PGothic" w:hAnsi="Arial" w:cs="Times New Roman"/>
          <w:color w:val="000000"/>
          <w:sz w:val="20"/>
          <w:szCs w:val="48"/>
        </w:rPr>
        <w:t>102</w:t>
      </w:r>
      <w:r w:rsidR="00D91EEC">
        <w:rPr>
          <w:rFonts w:ascii="Arial" w:eastAsia="MS PGothic" w:hAnsi="Arial" w:cs="Times New Roman"/>
          <w:color w:val="000000"/>
          <w:sz w:val="20"/>
          <w:szCs w:val="48"/>
        </w:rPr>
        <w:t>.</w:t>
      </w:r>
      <w:r w:rsidR="00955E14" w:rsidRPr="00955E14">
        <w:rPr>
          <w:rFonts w:ascii="Arial" w:eastAsia="MS PGothic" w:hAnsi="Arial" w:cs="Times New Roman"/>
          <w:color w:val="000000"/>
          <w:sz w:val="20"/>
          <w:szCs w:val="48"/>
        </w:rPr>
        <w:t>837</w:t>
      </w:r>
      <w:r w:rsidR="00D91EEC">
        <w:rPr>
          <w:rFonts w:ascii="Arial" w:eastAsia="MS PGothic" w:hAnsi="Arial" w:cs="Times New Roman"/>
          <w:color w:val="000000"/>
          <w:sz w:val="20"/>
          <w:szCs w:val="48"/>
        </w:rPr>
        <w:t xml:space="preserve"> mln.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EUR; tai sudarė 11.95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proc. visų probleminėse teritorijose įgyvendintų</w:t>
      </w:r>
      <w:r w:rsidR="001F2140">
        <w:rPr>
          <w:rFonts w:ascii="Arial" w:eastAsia="MS PGothic" w:hAnsi="Arial" w:cs="Times New Roman"/>
          <w:color w:val="000000"/>
          <w:sz w:val="20"/>
          <w:szCs w:val="48"/>
        </w:rPr>
        <w:t xml:space="preserve"> ES SF</w:t>
      </w:r>
      <w:r w:rsidR="0080175F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projektų vertės.</w:t>
      </w:r>
    </w:p>
    <w:p w:rsidR="000D5BA5" w:rsidRPr="00BC4ECE" w:rsidRDefault="0080175F" w:rsidP="00F73ED6">
      <w:pPr>
        <w:jc w:val="both"/>
        <w:rPr>
          <w:rFonts w:ascii="Arial" w:eastAsia="MS PGothic" w:hAnsi="Arial" w:cs="Times New Roman"/>
          <w:color w:val="000000"/>
          <w:sz w:val="20"/>
          <w:szCs w:val="48"/>
        </w:rPr>
      </w:pPr>
      <w:r w:rsidRPr="00BC4ECE">
        <w:rPr>
          <w:rFonts w:ascii="Arial" w:eastAsia="MS PGothic" w:hAnsi="Arial" w:cs="Times New Roman"/>
          <w:color w:val="000000"/>
          <w:sz w:val="20"/>
          <w:szCs w:val="48"/>
        </w:rPr>
        <w:t>Sangl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>audos skatinimo veiksmų programos</w:t>
      </w:r>
      <w:r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(SSVP)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ir </w:t>
      </w:r>
      <w:r w:rsidR="00955E14" w:rsidRPr="00BC4ECE">
        <w:rPr>
          <w:rFonts w:ascii="Arial" w:eastAsia="MS PGothic" w:hAnsi="Arial" w:cs="Times New Roman"/>
          <w:color w:val="000000"/>
          <w:sz w:val="20"/>
          <w:szCs w:val="48"/>
        </w:rPr>
        <w:t>Ekonomikos augimo veiksmų programos (EAVP) lėšos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sudarė beveik </w:t>
      </w:r>
      <w:r w:rsidR="00955E14">
        <w:rPr>
          <w:rFonts w:ascii="Arial" w:eastAsia="MS PGothic" w:hAnsi="Arial" w:cs="Times New Roman"/>
          <w:color w:val="000000"/>
          <w:sz w:val="20"/>
          <w:szCs w:val="48"/>
          <w:lang w:val="en-US"/>
        </w:rPr>
        <w:t>96 proc.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 viso skirto ES SF finansavimo (atitinkamai </w:t>
      </w:r>
      <w:r w:rsidR="00955E14">
        <w:rPr>
          <w:rFonts w:ascii="Arial" w:eastAsia="MS PGothic" w:hAnsi="Arial" w:cs="Times New Roman"/>
          <w:color w:val="000000"/>
          <w:sz w:val="20"/>
          <w:szCs w:val="48"/>
          <w:lang w:val="en-US"/>
        </w:rPr>
        <w:t xml:space="preserve">45 proc. </w:t>
      </w:r>
      <w:proofErr w:type="spellStart"/>
      <w:proofErr w:type="gramStart"/>
      <w:r w:rsidR="00955E14">
        <w:rPr>
          <w:rFonts w:ascii="Arial" w:eastAsia="MS PGothic" w:hAnsi="Arial" w:cs="Times New Roman"/>
          <w:color w:val="000000"/>
          <w:sz w:val="20"/>
          <w:szCs w:val="48"/>
          <w:lang w:val="en-US"/>
        </w:rPr>
        <w:t>ir</w:t>
      </w:r>
      <w:proofErr w:type="spellEnd"/>
      <w:proofErr w:type="gramEnd"/>
      <w:r w:rsidR="00955E14">
        <w:rPr>
          <w:rFonts w:ascii="Arial" w:eastAsia="MS PGothic" w:hAnsi="Arial" w:cs="Times New Roman"/>
          <w:color w:val="000000"/>
          <w:sz w:val="20"/>
          <w:szCs w:val="48"/>
          <w:lang w:val="en-US"/>
        </w:rPr>
        <w:t xml:space="preserve"> 51 proc.)</w:t>
      </w:r>
      <w:r w:rsidR="00D65C3C" w:rsidRPr="00BC4ECE">
        <w:rPr>
          <w:rFonts w:ascii="Arial" w:eastAsia="MS PGothic" w:hAnsi="Arial" w:cs="Times New Roman"/>
          <w:color w:val="000000"/>
          <w:sz w:val="20"/>
          <w:szCs w:val="48"/>
        </w:rPr>
        <w:t>. Tuo tarpu Žmogiškųjų išt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>eklių veiksmų programos</w:t>
      </w:r>
      <w:r w:rsidR="00D65C3C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(ŽIPVP) 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>lėšos</w:t>
      </w:r>
      <w:r w:rsidR="00D65C3C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sudarė 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>tik 4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proc. </w:t>
      </w:r>
      <w:r w:rsidR="001B09C3" w:rsidRPr="00BC4ECE">
        <w:rPr>
          <w:rFonts w:ascii="Arial" w:eastAsia="MS PGothic" w:hAnsi="Arial" w:cs="Times New Roman"/>
          <w:color w:val="000000"/>
          <w:sz w:val="20"/>
          <w:szCs w:val="48"/>
        </w:rPr>
        <w:t>Projektų skaičius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, skirtingai nei kitose savivaldybėse, neatitiko </w:t>
      </w:r>
      <w:r w:rsidR="001B09C3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finansavimo 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>lėšų pasiskirstymo</w:t>
      </w:r>
      <w:r w:rsidR="009D7299" w:rsidRPr="00BC4ECE">
        <w:rPr>
          <w:rFonts w:ascii="Arial" w:eastAsia="MS PGothic" w:hAnsi="Arial" w:cs="Times New Roman"/>
          <w:color w:val="000000"/>
          <w:sz w:val="20"/>
          <w:szCs w:val="48"/>
        </w:rPr>
        <w:t>: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>Jonavos</w:t>
      </w:r>
      <w:r w:rsidR="000D5BA5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rajono savivaldybėje 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 xml:space="preserve">buvo įgyvendinta </w:t>
      </w:r>
      <w:r w:rsidR="00955E14">
        <w:rPr>
          <w:rFonts w:ascii="Arial" w:eastAsia="MS PGothic" w:hAnsi="Arial" w:cs="Times New Roman"/>
          <w:color w:val="000000"/>
          <w:sz w:val="20"/>
          <w:szCs w:val="48"/>
          <w:lang w:val="en-US"/>
        </w:rPr>
        <w:t>20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>-imt</w:t>
      </w:r>
      <w:r w:rsidR="001B09C3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 ŽIPVP, </w:t>
      </w:r>
      <w:r w:rsidR="00955E14">
        <w:rPr>
          <w:rFonts w:ascii="Arial" w:eastAsia="MS PGothic" w:hAnsi="Arial" w:cs="Times New Roman"/>
          <w:color w:val="000000"/>
          <w:sz w:val="20"/>
          <w:szCs w:val="48"/>
        </w:rPr>
        <w:t>34-i EAVP ir 81 SSVP projektas</w:t>
      </w:r>
      <w:r w:rsidR="001B09C3" w:rsidRPr="00BC4ECE">
        <w:rPr>
          <w:rFonts w:ascii="Arial" w:eastAsia="MS PGothic" w:hAnsi="Arial" w:cs="Times New Roman"/>
          <w:color w:val="000000"/>
          <w:sz w:val="20"/>
          <w:szCs w:val="48"/>
        </w:rPr>
        <w:t xml:space="preserve">. </w:t>
      </w:r>
    </w:p>
    <w:p w:rsidR="0020781B" w:rsidRPr="00BC4ECE" w:rsidRDefault="0020781B" w:rsidP="0020781B">
      <w:pPr>
        <w:pStyle w:val="Caption"/>
        <w:keepNext/>
      </w:pPr>
      <w:r w:rsidRPr="00BC4ECE">
        <w:fldChar w:fldCharType="begin"/>
      </w:r>
      <w:r w:rsidRPr="00BC4ECE">
        <w:instrText xml:space="preserve"> SEQ paveikslas \* ARABIC </w:instrText>
      </w:r>
      <w:r w:rsidRPr="00BC4ECE">
        <w:fldChar w:fldCharType="separate"/>
      </w:r>
      <w:r w:rsidR="008A1509" w:rsidRPr="00BC4ECE">
        <w:t>1</w:t>
      </w:r>
      <w:r w:rsidRPr="00BC4ECE">
        <w:fldChar w:fldCharType="end"/>
      </w:r>
      <w:r w:rsidRPr="00BC4ECE">
        <w:t xml:space="preserve"> paveikslas. Veiksmų</w:t>
      </w:r>
      <w:r w:rsidR="000D5BA5" w:rsidRPr="00BC4ECE">
        <w:t xml:space="preserve"> programų finansavimas (dalis bendros projektų vertės</w:t>
      </w:r>
      <w:r w:rsidR="00326A1B" w:rsidRPr="00BC4ECE">
        <w:t>)</w:t>
      </w:r>
      <w:r w:rsidRPr="00BC4ECE">
        <w:t xml:space="preserve"> </w:t>
      </w:r>
    </w:p>
    <w:p w:rsidR="00D65C3C" w:rsidRPr="00BC4ECE" w:rsidRDefault="00D91EEC" w:rsidP="00A552B8">
      <w:pPr>
        <w:pStyle w:val="Caption"/>
        <w:spacing w:before="240"/>
        <w:rPr>
          <w:b w:val="0"/>
        </w:rPr>
      </w:pPr>
      <w:r w:rsidRPr="00BC4ECE"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7FB9335A" wp14:editId="7EF40219">
            <wp:simplePos x="0" y="0"/>
            <wp:positionH relativeFrom="margin">
              <wp:posOffset>40640</wp:posOffset>
            </wp:positionH>
            <wp:positionV relativeFrom="paragraph">
              <wp:posOffset>3810</wp:posOffset>
            </wp:positionV>
            <wp:extent cx="2971800" cy="2143125"/>
            <wp:effectExtent l="0" t="0" r="0" b="0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A552B8">
      <w:pPr>
        <w:pStyle w:val="Caption"/>
        <w:spacing w:before="240"/>
        <w:rPr>
          <w:b w:val="0"/>
        </w:rPr>
      </w:pPr>
    </w:p>
    <w:p w:rsidR="00D65C3C" w:rsidRPr="00BC4ECE" w:rsidRDefault="00D65C3C" w:rsidP="00D65C3C">
      <w:pPr>
        <w:pStyle w:val="Caption"/>
        <w:spacing w:after="0"/>
        <w:rPr>
          <w:b w:val="0"/>
        </w:rPr>
      </w:pPr>
    </w:p>
    <w:p w:rsidR="00D91EEC" w:rsidRDefault="00D91EEC" w:rsidP="00D65C3C">
      <w:pPr>
        <w:pStyle w:val="Caption"/>
        <w:spacing w:before="120"/>
        <w:rPr>
          <w:b w:val="0"/>
        </w:rPr>
      </w:pPr>
    </w:p>
    <w:p w:rsidR="005577BB" w:rsidRPr="00BC4ECE" w:rsidRDefault="005577BB" w:rsidP="00D65C3C">
      <w:pPr>
        <w:pStyle w:val="Caption"/>
        <w:spacing w:before="120"/>
        <w:rPr>
          <w:b w:val="0"/>
        </w:rPr>
      </w:pPr>
      <w:r w:rsidRPr="00BC4ECE">
        <w:rPr>
          <w:b w:val="0"/>
        </w:rPr>
        <w:t xml:space="preserve">Šaltinis: </w:t>
      </w:r>
      <w:r w:rsidR="003B5132">
        <w:fldChar w:fldCharType="begin"/>
      </w:r>
      <w:r w:rsidR="003B5132">
        <w:instrText xml:space="preserve"> HYPERLINK "http://www.esparama.lt" </w:instrText>
      </w:r>
      <w:r w:rsidR="003B5132">
        <w:fldChar w:fldCharType="separate"/>
      </w:r>
      <w:r w:rsidR="009D7299" w:rsidRPr="00BC4ECE">
        <w:rPr>
          <w:rStyle w:val="Hyperlink"/>
          <w:b w:val="0"/>
        </w:rPr>
        <w:t>www.esparama.lt</w:t>
      </w:r>
      <w:r w:rsidR="003B5132">
        <w:rPr>
          <w:rStyle w:val="Hyperlink"/>
          <w:b w:val="0"/>
        </w:rPr>
        <w:fldChar w:fldCharType="end"/>
      </w:r>
    </w:p>
    <w:p w:rsidR="00C83C6E" w:rsidRPr="00BC4ECE" w:rsidRDefault="002677E8" w:rsidP="000C024B">
      <w:pPr>
        <w:jc w:val="both"/>
        <w:rPr>
          <w:rFonts w:ascii="Arial" w:hAnsi="Arial" w:cs="Arial"/>
          <w:sz w:val="20"/>
        </w:rPr>
      </w:pPr>
      <w:r w:rsidRPr="00BC4ECE">
        <w:rPr>
          <w:rFonts w:ascii="Arial" w:hAnsi="Arial" w:cs="Arial"/>
          <w:sz w:val="20"/>
        </w:rPr>
        <w:t xml:space="preserve">Analizuojant veiksmų </w:t>
      </w:r>
      <w:r w:rsidR="000534F9" w:rsidRPr="00BC4ECE">
        <w:rPr>
          <w:rFonts w:ascii="Arial" w:hAnsi="Arial" w:cs="Arial"/>
          <w:sz w:val="20"/>
        </w:rPr>
        <w:t>programų prioritetų</w:t>
      </w:r>
      <w:r w:rsidRPr="00BC4ECE">
        <w:rPr>
          <w:rFonts w:ascii="Arial" w:hAnsi="Arial" w:cs="Arial"/>
          <w:sz w:val="20"/>
        </w:rPr>
        <w:t xml:space="preserve"> finansavimą</w:t>
      </w:r>
      <w:r w:rsidR="003D195A" w:rsidRPr="00BC4ECE">
        <w:rPr>
          <w:rFonts w:ascii="Arial" w:hAnsi="Arial" w:cs="Arial"/>
          <w:sz w:val="20"/>
        </w:rPr>
        <w:t>,</w:t>
      </w:r>
      <w:r w:rsidR="00343E0E">
        <w:rPr>
          <w:rFonts w:ascii="Arial" w:hAnsi="Arial" w:cs="Arial"/>
          <w:sz w:val="20"/>
        </w:rPr>
        <w:t xml:space="preserve"> ŽIPVP apimtyje ES finansavimas buvo skirtas</w:t>
      </w:r>
      <w:r w:rsidR="00C83C6E" w:rsidRPr="00BC4ECE">
        <w:rPr>
          <w:rFonts w:ascii="Arial" w:hAnsi="Arial" w:cs="Arial"/>
          <w:sz w:val="20"/>
        </w:rPr>
        <w:t xml:space="preserve"> prioritetų „1 Prioritetas. Kokybiškas užimtumas ir socialinė aprėptis“ ir „4 Prioritetas. Administracinių gebėjimų stiprinimas ir viešojo administravimo efektyvumo didinima</w:t>
      </w:r>
      <w:r w:rsidR="0005613F">
        <w:rPr>
          <w:rFonts w:ascii="Arial" w:hAnsi="Arial" w:cs="Arial"/>
          <w:sz w:val="20"/>
        </w:rPr>
        <w:t>s“ projekta</w:t>
      </w:r>
      <w:r w:rsidR="00343E0E">
        <w:rPr>
          <w:rFonts w:ascii="Arial" w:hAnsi="Arial" w:cs="Arial"/>
          <w:sz w:val="20"/>
        </w:rPr>
        <w:t>ms</w:t>
      </w:r>
      <w:r w:rsidR="0005613F">
        <w:rPr>
          <w:rFonts w:ascii="Arial" w:hAnsi="Arial" w:cs="Arial"/>
          <w:sz w:val="20"/>
        </w:rPr>
        <w:t>. EAVP apimtyje –</w:t>
      </w:r>
      <w:r w:rsidR="00955E14">
        <w:rPr>
          <w:rFonts w:ascii="Arial" w:hAnsi="Arial" w:cs="Arial"/>
          <w:sz w:val="20"/>
        </w:rPr>
        <w:t xml:space="preserve"> „1 Prioriteto. </w:t>
      </w:r>
      <w:r w:rsidR="00955E14" w:rsidRPr="00955E14">
        <w:rPr>
          <w:rFonts w:ascii="Arial" w:hAnsi="Arial" w:cs="Arial"/>
          <w:sz w:val="20"/>
        </w:rPr>
        <w:t>Ūkio konkurencingumui ir ekonomikos augimui skirti moksliniai tyrimai ir technologinė plėtra</w:t>
      </w:r>
      <w:r w:rsidR="00955E14">
        <w:rPr>
          <w:rFonts w:ascii="Arial" w:hAnsi="Arial" w:cs="Arial"/>
          <w:sz w:val="20"/>
        </w:rPr>
        <w:t xml:space="preserve">“, </w:t>
      </w:r>
      <w:r w:rsidR="0005613F">
        <w:rPr>
          <w:rFonts w:ascii="Arial" w:hAnsi="Arial" w:cs="Arial"/>
          <w:sz w:val="20"/>
        </w:rPr>
        <w:t xml:space="preserve"> „</w:t>
      </w:r>
      <w:r w:rsidR="0005613F">
        <w:rPr>
          <w:rFonts w:ascii="Arial" w:hAnsi="Arial" w:cs="Arial"/>
          <w:sz w:val="20"/>
          <w:lang w:val="en-US"/>
        </w:rPr>
        <w:t>2</w:t>
      </w:r>
      <w:r w:rsidR="00C83C6E" w:rsidRPr="00BC4ECE">
        <w:rPr>
          <w:rFonts w:ascii="Arial" w:hAnsi="Arial" w:cs="Arial"/>
          <w:sz w:val="20"/>
        </w:rPr>
        <w:t xml:space="preserve"> Prioriteto.</w:t>
      </w:r>
      <w:r w:rsidR="0005613F" w:rsidRPr="0005613F">
        <w:t xml:space="preserve"> </w:t>
      </w:r>
      <w:r w:rsidR="0005613F" w:rsidRPr="0005613F">
        <w:rPr>
          <w:rFonts w:ascii="Arial" w:hAnsi="Arial" w:cs="Arial"/>
          <w:sz w:val="20"/>
        </w:rPr>
        <w:t>Verslo produktyvumo didinimas ir verslo aplinkos gerinima</w:t>
      </w:r>
      <w:r w:rsidR="0005613F">
        <w:rPr>
          <w:rFonts w:ascii="Arial" w:hAnsi="Arial" w:cs="Arial"/>
          <w:sz w:val="20"/>
        </w:rPr>
        <w:t>s</w:t>
      </w:r>
      <w:r w:rsidR="00C83C6E" w:rsidRPr="00BC4ECE">
        <w:rPr>
          <w:rFonts w:ascii="Arial" w:hAnsi="Arial" w:cs="Arial"/>
          <w:sz w:val="20"/>
        </w:rPr>
        <w:t>“</w:t>
      </w:r>
      <w:r w:rsidR="00955E14">
        <w:rPr>
          <w:rFonts w:ascii="Arial" w:hAnsi="Arial" w:cs="Arial"/>
          <w:sz w:val="20"/>
        </w:rPr>
        <w:t xml:space="preserve">, „3 prioriteto. </w:t>
      </w:r>
      <w:r w:rsidR="00955E14" w:rsidRPr="00955E14">
        <w:rPr>
          <w:rFonts w:ascii="Arial" w:hAnsi="Arial" w:cs="Arial"/>
          <w:sz w:val="20"/>
        </w:rPr>
        <w:t>Informacinė visuomenė visiems</w:t>
      </w:r>
      <w:r w:rsidR="00955E14">
        <w:rPr>
          <w:rFonts w:ascii="Arial" w:hAnsi="Arial" w:cs="Arial"/>
          <w:sz w:val="20"/>
        </w:rPr>
        <w:t>“</w:t>
      </w:r>
      <w:r w:rsidR="0005613F">
        <w:rPr>
          <w:rFonts w:ascii="Arial" w:hAnsi="Arial" w:cs="Arial"/>
          <w:sz w:val="20"/>
        </w:rPr>
        <w:t xml:space="preserve"> ir „4 Prioriteto. </w:t>
      </w:r>
      <w:r w:rsidR="0005613F" w:rsidRPr="0005613F">
        <w:rPr>
          <w:rFonts w:ascii="Arial" w:hAnsi="Arial" w:cs="Arial"/>
          <w:sz w:val="20"/>
        </w:rPr>
        <w:t>Esminė ekonominė infrastruktūra</w:t>
      </w:r>
      <w:r w:rsidR="0005613F">
        <w:rPr>
          <w:rFonts w:ascii="Arial" w:hAnsi="Arial" w:cs="Arial"/>
          <w:sz w:val="20"/>
        </w:rPr>
        <w:t>“</w:t>
      </w:r>
      <w:r w:rsidR="00C83C6E" w:rsidRPr="00BC4ECE">
        <w:rPr>
          <w:rFonts w:ascii="Arial" w:hAnsi="Arial" w:cs="Arial"/>
          <w:sz w:val="20"/>
        </w:rPr>
        <w:t xml:space="preserve"> projekta</w:t>
      </w:r>
      <w:r w:rsidR="00343E0E">
        <w:rPr>
          <w:rFonts w:ascii="Arial" w:hAnsi="Arial" w:cs="Arial"/>
          <w:sz w:val="20"/>
        </w:rPr>
        <w:t>ms</w:t>
      </w:r>
      <w:r w:rsidR="00C83C6E" w:rsidRPr="00BC4ECE">
        <w:rPr>
          <w:rFonts w:ascii="Arial" w:hAnsi="Arial" w:cs="Arial"/>
          <w:sz w:val="20"/>
        </w:rPr>
        <w:t xml:space="preserve">. SSVP apimtyje – „1 Prioriteto. Vietinė ir urbanistinė plėtra, kultūros paveldo ir gamtos išsaugojimas bei pritaikymas turizmo plėtrai“, „2 Prioriteto. Viešųjų paslaugų kokybė ir prieinamumas: sveikatos, švietimo ir socialinė infrastruktūra“ ir „3 Prioriteto. Aplinka ir </w:t>
      </w:r>
      <w:r w:rsidR="00C83C6E" w:rsidRPr="00BC4ECE">
        <w:rPr>
          <w:rFonts w:ascii="Arial" w:hAnsi="Arial" w:cs="Arial"/>
          <w:sz w:val="20"/>
        </w:rPr>
        <w:lastRenderedPageBreak/>
        <w:t>darnus vystymasis“ projekta</w:t>
      </w:r>
      <w:r w:rsidR="00343E0E">
        <w:rPr>
          <w:rFonts w:ascii="Arial" w:hAnsi="Arial" w:cs="Arial"/>
          <w:sz w:val="20"/>
        </w:rPr>
        <w:t>ms</w:t>
      </w:r>
      <w:r w:rsidR="00C83C6E" w:rsidRPr="00BC4ECE">
        <w:rPr>
          <w:rFonts w:ascii="Arial" w:hAnsi="Arial" w:cs="Arial"/>
          <w:sz w:val="20"/>
        </w:rPr>
        <w:t>. Taigi investuojama buvo į užimtumo didinimą, viešojo valdymo tobulinimą,</w:t>
      </w:r>
      <w:r w:rsidR="00E805EC">
        <w:rPr>
          <w:rFonts w:ascii="Arial" w:hAnsi="Arial" w:cs="Arial"/>
          <w:sz w:val="20"/>
        </w:rPr>
        <w:t xml:space="preserve"> ūkio plėtrą, verslo įmonių konkurencingumą ir aplinkos verslui gerinimą,</w:t>
      </w:r>
      <w:r w:rsidR="00C83C6E" w:rsidRPr="00BC4ECE">
        <w:rPr>
          <w:rFonts w:ascii="Arial" w:hAnsi="Arial" w:cs="Arial"/>
          <w:sz w:val="20"/>
        </w:rPr>
        <w:t xml:space="preserve"> miestų plėtrą ir paveldo išsaugojimo, viešųjų paslaugų kokybę ir aplinkosaugą. Daugiausiai buvo investuojama į gamybinį kapitalą; didžioji dalis investicijų įgyvendintos pasitelkiant vertikaliai darnaus vystymosi horizontalų prioritetą integruojančias priemones. </w:t>
      </w:r>
    </w:p>
    <w:p w:rsidR="003B6A9C" w:rsidRPr="00BC4ECE" w:rsidRDefault="003B6A9C" w:rsidP="003B6A9C">
      <w:pPr>
        <w:pStyle w:val="Caption"/>
        <w:keepNext/>
      </w:pPr>
      <w:r w:rsidRPr="00BC4ECE">
        <w:fldChar w:fldCharType="begin"/>
      </w:r>
      <w:r w:rsidRPr="00BC4ECE">
        <w:instrText xml:space="preserve"> SEQ paveikslas \* ARABIC </w:instrText>
      </w:r>
      <w:r w:rsidRPr="00BC4ECE">
        <w:fldChar w:fldCharType="separate"/>
      </w:r>
      <w:r w:rsidR="00E41636" w:rsidRPr="00BC4ECE">
        <w:t>2</w:t>
      </w:r>
      <w:r w:rsidRPr="00BC4ECE">
        <w:fldChar w:fldCharType="end"/>
      </w:r>
      <w:r w:rsidRPr="00BC4ECE">
        <w:t xml:space="preserve"> paveikslas. Veiksmų programų prioritetų finansavimas (</w:t>
      </w:r>
      <w:r w:rsidR="00C849C4" w:rsidRPr="00BC4ECE">
        <w:t>dalis nuo visos VP)</w:t>
      </w:r>
    </w:p>
    <w:p w:rsidR="009D7299" w:rsidRPr="00BC4ECE" w:rsidRDefault="003B6A9C" w:rsidP="000C024B">
      <w:pPr>
        <w:jc w:val="both"/>
        <w:rPr>
          <w:rFonts w:ascii="Arial" w:hAnsi="Arial" w:cs="Arial"/>
          <w:sz w:val="20"/>
        </w:rPr>
      </w:pPr>
      <w:r w:rsidRPr="00BC4ECE">
        <w:rPr>
          <w:rFonts w:ascii="Arial" w:hAnsi="Arial" w:cs="Arial"/>
          <w:noProof/>
          <w:sz w:val="20"/>
          <w:lang w:val="en-US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676775" cy="1724025"/>
            <wp:effectExtent l="0" t="0" r="9525" b="9525"/>
            <wp:wrapSquare wrapText="bothSides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77E8" w:rsidRPr="00BC4ECE" w:rsidRDefault="002677E8" w:rsidP="00A552B8">
      <w:pPr>
        <w:pStyle w:val="Caption"/>
        <w:spacing w:before="240"/>
        <w:rPr>
          <w:b w:val="0"/>
        </w:rPr>
      </w:pPr>
    </w:p>
    <w:p w:rsidR="00343E0E" w:rsidRDefault="00343E0E" w:rsidP="00FF20FA">
      <w:pPr>
        <w:pStyle w:val="Caption"/>
        <w:spacing w:before="240"/>
        <w:rPr>
          <w:b w:val="0"/>
        </w:rPr>
      </w:pPr>
    </w:p>
    <w:p w:rsidR="00343E0E" w:rsidRDefault="00343E0E" w:rsidP="00FF20FA">
      <w:pPr>
        <w:pStyle w:val="Caption"/>
        <w:spacing w:before="240"/>
        <w:rPr>
          <w:b w:val="0"/>
        </w:rPr>
      </w:pPr>
    </w:p>
    <w:p w:rsidR="00343E0E" w:rsidRDefault="00343E0E" w:rsidP="00FF20FA">
      <w:pPr>
        <w:pStyle w:val="Caption"/>
        <w:spacing w:before="240"/>
        <w:rPr>
          <w:b w:val="0"/>
        </w:rPr>
      </w:pPr>
    </w:p>
    <w:p w:rsidR="00343E0E" w:rsidRDefault="00343E0E" w:rsidP="00FF20FA">
      <w:pPr>
        <w:pStyle w:val="Caption"/>
        <w:spacing w:before="240"/>
        <w:rPr>
          <w:b w:val="0"/>
        </w:rPr>
      </w:pPr>
    </w:p>
    <w:p w:rsidR="00343E0E" w:rsidRDefault="00343E0E" w:rsidP="00FF20FA">
      <w:pPr>
        <w:pStyle w:val="Caption"/>
        <w:spacing w:before="240"/>
        <w:rPr>
          <w:b w:val="0"/>
        </w:rPr>
      </w:pPr>
    </w:p>
    <w:p w:rsidR="00A2570C" w:rsidRPr="00BC4ECE" w:rsidRDefault="00761250" w:rsidP="00FF20FA">
      <w:pPr>
        <w:pStyle w:val="Caption"/>
        <w:spacing w:before="240"/>
        <w:rPr>
          <w:b w:val="0"/>
        </w:rPr>
      </w:pPr>
      <w:r w:rsidRPr="00BC4ECE">
        <w:rPr>
          <w:b w:val="0"/>
        </w:rPr>
        <w:t xml:space="preserve">Šaltinis: </w:t>
      </w:r>
      <w:r w:rsidR="003B5132">
        <w:fldChar w:fldCharType="begin"/>
      </w:r>
      <w:r w:rsidR="003B5132">
        <w:instrText xml:space="preserve"> HYPERLINK "http://www.esparama.lt" </w:instrText>
      </w:r>
      <w:r w:rsidR="003B5132">
        <w:fldChar w:fldCharType="separate"/>
      </w:r>
      <w:r w:rsidR="00FF20FA" w:rsidRPr="00BC4ECE">
        <w:rPr>
          <w:rStyle w:val="Hyperlink"/>
          <w:b w:val="0"/>
        </w:rPr>
        <w:t>www.esparama.lt</w:t>
      </w:r>
      <w:r w:rsidR="003B5132">
        <w:rPr>
          <w:rStyle w:val="Hyperlink"/>
          <w:b w:val="0"/>
        </w:rPr>
        <w:fldChar w:fldCharType="end"/>
      </w:r>
    </w:p>
    <w:p w:rsidR="00FF20FA" w:rsidRPr="00BC4ECE" w:rsidRDefault="00FF20FA" w:rsidP="00FF20FA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Atlikus įgyvendintų projektų analizę, nustatyta, kad ŽIPVP 1 prioriteto apimtyje daugiausiai finansuoti su pažeidžiamų visuomenės grupių integracija</w:t>
      </w:r>
      <w:r w:rsidR="00C6756A">
        <w:rPr>
          <w:rFonts w:ascii="Arial" w:eastAsia="MS PGothic" w:hAnsi="Arial" w:cs="Times New Roman"/>
          <w:sz w:val="20"/>
          <w:szCs w:val="24"/>
        </w:rPr>
        <w:t xml:space="preserve"> ir verslo subjektų darbuotojų kompetencijų stiprinimu</w:t>
      </w:r>
      <w:r w:rsidRPr="00BC4ECE">
        <w:rPr>
          <w:rFonts w:ascii="Arial" w:eastAsia="MS PGothic" w:hAnsi="Arial" w:cs="Times New Roman"/>
          <w:sz w:val="20"/>
          <w:szCs w:val="24"/>
        </w:rPr>
        <w:t xml:space="preserve"> susiję projektai, tuo tarpu aktyvioms užimtumo skatinimo/ nedarbo priemonėms skirtas dėmesys buvo ribotas. </w:t>
      </w:r>
      <w:r w:rsidR="00D62EB8" w:rsidRPr="00BC4ECE">
        <w:rPr>
          <w:rFonts w:ascii="Arial" w:eastAsia="MS PGothic" w:hAnsi="Arial" w:cs="Times New Roman"/>
          <w:sz w:val="20"/>
          <w:szCs w:val="24"/>
        </w:rPr>
        <w:t>ŽIPVP 4 prioriteto projektai iš esmės atitiko ir kitose probleminėse teritorijose įgyvendintas viešojo valdymo tobulinimo priemones: viešojo administravimo įstaigų darbuotojų kvalifikacijos kėlimas, strateginio ir teritorijų planavimo dokumentų rengimas</w:t>
      </w:r>
      <w:r w:rsidR="00C6756A">
        <w:rPr>
          <w:rFonts w:ascii="Arial" w:eastAsia="MS PGothic" w:hAnsi="Arial" w:cs="Times New Roman"/>
          <w:sz w:val="20"/>
          <w:szCs w:val="24"/>
        </w:rPr>
        <w:t>. EAVP projektai buvo orientuoti į tris sritis – verslo konkurencingumo didinimą, energetikos infrastruktūros plėtrą, atliekų tvarkymą</w:t>
      </w:r>
      <w:r w:rsidR="00D62EB8" w:rsidRPr="00BC4ECE">
        <w:rPr>
          <w:rFonts w:ascii="Arial" w:eastAsia="MS PGothic" w:hAnsi="Arial" w:cs="Times New Roman"/>
          <w:sz w:val="20"/>
          <w:szCs w:val="24"/>
        </w:rPr>
        <w:t>. SSVP</w:t>
      </w:r>
      <w:r w:rsidR="00242947" w:rsidRPr="00BC4ECE">
        <w:rPr>
          <w:rFonts w:ascii="Arial" w:eastAsia="MS PGothic" w:hAnsi="Arial" w:cs="Times New Roman"/>
          <w:sz w:val="20"/>
          <w:szCs w:val="24"/>
        </w:rPr>
        <w:t xml:space="preserve"> 1 prioriteto</w:t>
      </w:r>
      <w:r w:rsidR="00D62EB8" w:rsidRPr="00BC4ECE">
        <w:rPr>
          <w:rFonts w:ascii="Arial" w:eastAsia="MS PGothic" w:hAnsi="Arial" w:cs="Times New Roman"/>
          <w:sz w:val="20"/>
          <w:szCs w:val="24"/>
        </w:rPr>
        <w:t xml:space="preserve"> priemonių apimtyje įgyvendinti daugiabučių renovacijos ir kompleksinio gyvenamosios aplinkos sutvarkymo projektai. </w:t>
      </w:r>
      <w:r w:rsidR="00242947" w:rsidRPr="00BC4ECE">
        <w:rPr>
          <w:rFonts w:ascii="Arial" w:eastAsia="MS PGothic" w:hAnsi="Arial" w:cs="Times New Roman"/>
          <w:sz w:val="20"/>
          <w:szCs w:val="24"/>
        </w:rPr>
        <w:t>2 prioriteto projektai orientuoti į socialinių paslaugų infrastruktūros tobulinimą</w:t>
      </w:r>
      <w:r w:rsidR="00C6756A">
        <w:rPr>
          <w:rFonts w:ascii="Arial" w:eastAsia="MS PGothic" w:hAnsi="Arial" w:cs="Times New Roman"/>
          <w:sz w:val="20"/>
          <w:szCs w:val="24"/>
        </w:rPr>
        <w:t xml:space="preserve"> daugiafunkcinių centrų plėtrą</w:t>
      </w:r>
      <w:r w:rsidR="00242947" w:rsidRPr="00BC4ECE">
        <w:rPr>
          <w:rFonts w:ascii="Arial" w:eastAsia="MS PGothic" w:hAnsi="Arial" w:cs="Times New Roman"/>
          <w:sz w:val="20"/>
          <w:szCs w:val="24"/>
        </w:rPr>
        <w:t xml:space="preserve">, tuo tarpu 3 prioriteto apimtyje įgyvendinti energetinio efektyvumo </w:t>
      </w:r>
      <w:r w:rsidR="00C6756A">
        <w:rPr>
          <w:rFonts w:ascii="Arial" w:eastAsia="MS PGothic" w:hAnsi="Arial" w:cs="Times New Roman"/>
          <w:sz w:val="20"/>
          <w:szCs w:val="24"/>
        </w:rPr>
        <w:t>gerinimo ir</w:t>
      </w:r>
      <w:r w:rsidR="00242947" w:rsidRPr="00BC4ECE">
        <w:rPr>
          <w:rFonts w:ascii="Arial" w:eastAsia="MS PGothic" w:hAnsi="Arial" w:cs="Times New Roman"/>
          <w:sz w:val="20"/>
          <w:szCs w:val="24"/>
        </w:rPr>
        <w:t xml:space="preserve"> vandens tiekimo ir nuotekų tvarkymo projektai. </w:t>
      </w:r>
      <w:r w:rsidR="00C849C4" w:rsidRPr="00BC4ECE">
        <w:rPr>
          <w:rFonts w:ascii="Arial" w:eastAsia="MS PGothic" w:hAnsi="Arial" w:cs="Times New Roman"/>
          <w:sz w:val="20"/>
          <w:szCs w:val="24"/>
        </w:rPr>
        <w:t xml:space="preserve">Pastebėtina tendencija, kad daugiausiai investuota srityse, kur vyravo </w:t>
      </w:r>
      <w:r w:rsidR="00E42D65">
        <w:rPr>
          <w:rFonts w:ascii="Arial" w:eastAsia="MS PGothic" w:hAnsi="Arial" w:cs="Times New Roman"/>
          <w:sz w:val="20"/>
          <w:szCs w:val="24"/>
        </w:rPr>
        <w:t xml:space="preserve">valstybės ir </w:t>
      </w:r>
      <w:r w:rsidR="00C849C4" w:rsidRPr="00BC4ECE">
        <w:rPr>
          <w:rFonts w:ascii="Arial" w:eastAsia="MS PGothic" w:hAnsi="Arial" w:cs="Times New Roman"/>
          <w:sz w:val="20"/>
          <w:szCs w:val="24"/>
        </w:rPr>
        <w:t>region</w:t>
      </w:r>
      <w:r w:rsidR="00E42D65">
        <w:rPr>
          <w:rFonts w:ascii="Arial" w:eastAsia="MS PGothic" w:hAnsi="Arial" w:cs="Times New Roman"/>
          <w:sz w:val="20"/>
          <w:szCs w:val="24"/>
        </w:rPr>
        <w:t>ų projektų</w:t>
      </w:r>
      <w:r w:rsidR="00C849C4" w:rsidRPr="00BC4ECE">
        <w:rPr>
          <w:rFonts w:ascii="Arial" w:eastAsia="MS PGothic" w:hAnsi="Arial" w:cs="Times New Roman"/>
          <w:sz w:val="20"/>
          <w:szCs w:val="24"/>
        </w:rPr>
        <w:t xml:space="preserve"> planavimo priemonės.</w:t>
      </w:r>
    </w:p>
    <w:p w:rsidR="00A2570C" w:rsidRPr="00DC7F6C" w:rsidRDefault="00A2570C" w:rsidP="00C849C4">
      <w:pPr>
        <w:pStyle w:val="Heading1"/>
        <w:numPr>
          <w:ilvl w:val="1"/>
          <w:numId w:val="1"/>
        </w:numPr>
        <w:spacing w:before="360"/>
        <w:rPr>
          <w:rFonts w:ascii="Arial" w:hAnsi="Arial" w:cs="Arial"/>
          <w:b w:val="0"/>
          <w:sz w:val="28"/>
          <w:szCs w:val="28"/>
        </w:rPr>
      </w:pPr>
      <w:r w:rsidRPr="00DC7F6C">
        <w:rPr>
          <w:rFonts w:ascii="Arial" w:hAnsi="Arial" w:cs="Arial"/>
          <w:b w:val="0"/>
          <w:sz w:val="28"/>
          <w:szCs w:val="28"/>
        </w:rPr>
        <w:t>Rodiklių analizė</w:t>
      </w:r>
    </w:p>
    <w:p w:rsidR="002B4036" w:rsidRPr="00BC4ECE" w:rsidRDefault="002B4036" w:rsidP="002B4036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Atliekant atvejo studiją buvo vertinti trijų rūšių – aplinkos taršos, demografiniai ir ekonominės veiklos – rodikliai. Aplinkos taršos rodikliai apėmė išvalytų iki normos nuotekų kiekius, išmetamų teršalų kiekius, sieros dioksido (SO</w:t>
      </w:r>
      <w:r w:rsidRPr="00BC4ECE">
        <w:rPr>
          <w:rFonts w:ascii="Arial" w:eastAsia="MS PGothic" w:hAnsi="Arial" w:cs="Times New Roman"/>
          <w:sz w:val="20"/>
          <w:szCs w:val="24"/>
          <w:vertAlign w:val="subscript"/>
        </w:rPr>
        <w:t>2</w:t>
      </w:r>
      <w:r w:rsidRPr="00BC4ECE">
        <w:rPr>
          <w:rFonts w:ascii="Arial" w:eastAsia="MS PGothic" w:hAnsi="Arial" w:cs="Times New Roman"/>
          <w:sz w:val="20"/>
          <w:szCs w:val="24"/>
        </w:rPr>
        <w:t>)</w:t>
      </w:r>
      <w:r w:rsidRPr="00BC4ECE">
        <w:rPr>
          <w:rFonts w:ascii="Arial" w:eastAsia="MS PGothic" w:hAnsi="Arial" w:cs="Times New Roman"/>
          <w:sz w:val="20"/>
          <w:szCs w:val="24"/>
          <w:vertAlign w:val="subscript"/>
        </w:rPr>
        <w:t>,</w:t>
      </w:r>
      <w:r w:rsidRPr="00BC4ECE">
        <w:rPr>
          <w:rFonts w:ascii="Arial" w:eastAsia="MS PGothic" w:hAnsi="Arial" w:cs="Times New Roman"/>
          <w:sz w:val="20"/>
          <w:szCs w:val="24"/>
        </w:rPr>
        <w:t xml:space="preserve"> anglies monoksido (CO) rodiklius. Demografiniai rodikliai apėmė nuolatinių gyventojų skaičių, pensinio amžiaus ir darbingo amžiaus gyventojų dalį, bei </w:t>
      </w:r>
      <w:r w:rsidR="00594D44" w:rsidRPr="00BC4ECE">
        <w:rPr>
          <w:rFonts w:ascii="Arial" w:eastAsia="MS PGothic" w:hAnsi="Arial" w:cs="Times New Roman"/>
          <w:sz w:val="20"/>
          <w:szCs w:val="24"/>
        </w:rPr>
        <w:t xml:space="preserve">darbingo amžiaus </w:t>
      </w:r>
      <w:r w:rsidRPr="00BC4ECE">
        <w:rPr>
          <w:rFonts w:ascii="Arial" w:eastAsia="MS PGothic" w:hAnsi="Arial" w:cs="Times New Roman"/>
          <w:sz w:val="20"/>
          <w:szCs w:val="24"/>
        </w:rPr>
        <w:t xml:space="preserve">gyventojų skaičiaus ir registruotų bedarbių santykį. Ekonominės veiklos rodikliai </w:t>
      </w:r>
      <w:r w:rsidR="007F0777" w:rsidRPr="00BC4ECE">
        <w:rPr>
          <w:rFonts w:ascii="Arial" w:eastAsia="MS PGothic" w:hAnsi="Arial" w:cs="Times New Roman"/>
          <w:sz w:val="20"/>
          <w:szCs w:val="24"/>
        </w:rPr>
        <w:t>– pridėtinė vertė gamybos kainomis, materialinės investicijos to meto kainomis ir tiesioginės užsienio investicijos.</w:t>
      </w:r>
    </w:p>
    <w:p w:rsidR="00B76AF6" w:rsidRPr="000D77A0" w:rsidRDefault="007F0777" w:rsidP="00B76AF6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Aplinkos taršos rodiklių atveju stebim</w:t>
      </w:r>
      <w:r w:rsidR="00D45CFF">
        <w:rPr>
          <w:rFonts w:ascii="Arial" w:eastAsia="MS PGothic" w:hAnsi="Arial" w:cs="Times New Roman"/>
          <w:sz w:val="20"/>
          <w:szCs w:val="24"/>
        </w:rPr>
        <w:t>a teigiama aplinkos taršos mažėjimo tendencija. Nagrinėjant oro teršalų grupes, pastebima,</w:t>
      </w:r>
      <w:r w:rsidR="00D45CFF" w:rsidRPr="00C11D47">
        <w:rPr>
          <w:rFonts w:ascii="Arial" w:eastAsia="MS PGothic" w:hAnsi="Arial" w:cs="Times New Roman"/>
          <w:sz w:val="20"/>
          <w:szCs w:val="24"/>
        </w:rPr>
        <w:t xml:space="preserve"> kad 2008 m</w:t>
      </w:r>
      <w:r w:rsidR="00A46722">
        <w:rPr>
          <w:rFonts w:ascii="Arial" w:eastAsia="MS PGothic" w:hAnsi="Arial" w:cs="Times New Roman"/>
          <w:sz w:val="20"/>
          <w:szCs w:val="24"/>
        </w:rPr>
        <w:t>.</w:t>
      </w:r>
      <w:r w:rsidR="00D45CFF" w:rsidRPr="00C11D47">
        <w:rPr>
          <w:rFonts w:ascii="Arial" w:eastAsia="MS PGothic" w:hAnsi="Arial" w:cs="Times New Roman"/>
          <w:sz w:val="20"/>
          <w:szCs w:val="24"/>
        </w:rPr>
        <w:t xml:space="preserve"> pasižymėjo kaip lūžio taškas, kuomet į orą išmetamo anglies monoksido kiekis buvo sumažintas 73.65</w:t>
      </w:r>
      <w:r w:rsidR="00B35F78">
        <w:rPr>
          <w:rFonts w:ascii="Arial" w:eastAsia="MS PGothic" w:hAnsi="Arial" w:cs="Times New Roman"/>
          <w:sz w:val="20"/>
          <w:szCs w:val="24"/>
        </w:rPr>
        <w:t xml:space="preserve"> </w:t>
      </w:r>
      <w:r w:rsidR="00D45CFF" w:rsidRPr="00C11D47">
        <w:rPr>
          <w:rFonts w:ascii="Arial" w:eastAsia="MS PGothic" w:hAnsi="Arial" w:cs="Times New Roman"/>
          <w:sz w:val="20"/>
          <w:szCs w:val="24"/>
        </w:rPr>
        <w:t>%. Ženkliai sumažėjus anglies monoksido kiekiui, bendras teršalų kiekis pakito 48.95</w:t>
      </w:r>
      <w:r w:rsidR="00B35F78">
        <w:rPr>
          <w:rFonts w:ascii="Arial" w:eastAsia="MS PGothic" w:hAnsi="Arial" w:cs="Times New Roman"/>
          <w:sz w:val="20"/>
          <w:szCs w:val="24"/>
        </w:rPr>
        <w:t xml:space="preserve"> </w:t>
      </w:r>
      <w:r w:rsidR="00D45CFF" w:rsidRPr="00C11D47">
        <w:rPr>
          <w:rFonts w:ascii="Arial" w:eastAsia="MS PGothic" w:hAnsi="Arial" w:cs="Times New Roman"/>
          <w:sz w:val="20"/>
          <w:szCs w:val="24"/>
        </w:rPr>
        <w:t>%. Nuo 2008 m</w:t>
      </w:r>
      <w:r w:rsidR="00B35F78">
        <w:rPr>
          <w:rFonts w:ascii="Arial" w:eastAsia="MS PGothic" w:hAnsi="Arial" w:cs="Times New Roman"/>
          <w:sz w:val="20"/>
          <w:szCs w:val="24"/>
        </w:rPr>
        <w:t>.</w:t>
      </w:r>
      <w:r w:rsidR="00D45CFF" w:rsidRPr="00C11D47">
        <w:rPr>
          <w:rFonts w:ascii="Arial" w:eastAsia="MS PGothic" w:hAnsi="Arial" w:cs="Times New Roman"/>
          <w:sz w:val="20"/>
          <w:szCs w:val="24"/>
        </w:rPr>
        <w:t xml:space="preserve"> išmetamų teršalų kiekis buvo santykinai stabilus, nežymūs svyravimai buvo įtakoti atskirų teršalų kiekių pasikeitimų, tačiau vieningos tendencijos nėra. Į aplinką išmetamų teršalų pokytis  </w:t>
      </w:r>
      <w:r w:rsidR="00A46722">
        <w:rPr>
          <w:rFonts w:ascii="Arial" w:eastAsia="MS PGothic" w:hAnsi="Arial" w:cs="Times New Roman"/>
          <w:sz w:val="20"/>
          <w:szCs w:val="24"/>
        </w:rPr>
        <w:t>nagrinėjamu laikotarpiu</w:t>
      </w:r>
      <w:r w:rsidR="00D45CFF" w:rsidRPr="00C11D47">
        <w:rPr>
          <w:rFonts w:ascii="Arial" w:eastAsia="MS PGothic" w:hAnsi="Arial" w:cs="Times New Roman"/>
          <w:sz w:val="20"/>
          <w:szCs w:val="24"/>
        </w:rPr>
        <w:t xml:space="preserve"> siekia 33.42</w:t>
      </w:r>
      <w:r w:rsidR="00B35F78">
        <w:rPr>
          <w:rFonts w:ascii="Arial" w:eastAsia="MS PGothic" w:hAnsi="Arial" w:cs="Times New Roman"/>
          <w:sz w:val="20"/>
          <w:szCs w:val="24"/>
        </w:rPr>
        <w:t xml:space="preserve"> </w:t>
      </w:r>
      <w:r w:rsidR="00D45CFF" w:rsidRPr="00C11D47">
        <w:rPr>
          <w:rFonts w:ascii="Arial" w:eastAsia="MS PGothic" w:hAnsi="Arial" w:cs="Times New Roman"/>
          <w:sz w:val="20"/>
          <w:szCs w:val="24"/>
        </w:rPr>
        <w:t>%. Apibendrinant šių rodiklių raidą, pastebima, jog situacija</w:t>
      </w:r>
      <w:r w:rsidR="00A46722">
        <w:rPr>
          <w:rFonts w:ascii="Arial" w:eastAsia="MS PGothic" w:hAnsi="Arial" w:cs="Times New Roman"/>
          <w:sz w:val="20"/>
          <w:szCs w:val="24"/>
        </w:rPr>
        <w:t>,</w:t>
      </w:r>
      <w:r w:rsidR="00D45CFF" w:rsidRPr="00C11D47">
        <w:rPr>
          <w:rFonts w:ascii="Arial" w:eastAsia="MS PGothic" w:hAnsi="Arial" w:cs="Times New Roman"/>
          <w:sz w:val="20"/>
          <w:szCs w:val="24"/>
        </w:rPr>
        <w:t xml:space="preserve"> susijusi su aplinkos tarša</w:t>
      </w:r>
      <w:r w:rsidR="00A46722">
        <w:rPr>
          <w:rFonts w:ascii="Arial" w:eastAsia="MS PGothic" w:hAnsi="Arial" w:cs="Times New Roman"/>
          <w:sz w:val="20"/>
          <w:szCs w:val="24"/>
        </w:rPr>
        <w:t>,</w:t>
      </w:r>
      <w:r w:rsidR="00D45CFF" w:rsidRPr="00C11D47">
        <w:rPr>
          <w:rFonts w:ascii="Arial" w:eastAsia="MS PGothic" w:hAnsi="Arial" w:cs="Times New Roman"/>
          <w:sz w:val="20"/>
          <w:szCs w:val="24"/>
        </w:rPr>
        <w:t xml:space="preserve"> </w:t>
      </w:r>
      <w:r w:rsidR="00A46722">
        <w:rPr>
          <w:rFonts w:ascii="Arial" w:eastAsia="MS PGothic" w:hAnsi="Arial" w:cs="Times New Roman"/>
          <w:sz w:val="20"/>
          <w:szCs w:val="24"/>
        </w:rPr>
        <w:t xml:space="preserve">2007 </w:t>
      </w:r>
      <w:r w:rsidR="00B35F78">
        <w:rPr>
          <w:rFonts w:ascii="Arial" w:eastAsia="MS PGothic" w:hAnsi="Arial" w:cs="Times New Roman"/>
          <w:sz w:val="20"/>
          <w:szCs w:val="24"/>
        </w:rPr>
        <w:t xml:space="preserve">– </w:t>
      </w:r>
      <w:r w:rsidR="00A46722">
        <w:rPr>
          <w:rFonts w:ascii="Arial" w:eastAsia="MS PGothic" w:hAnsi="Arial" w:cs="Times New Roman"/>
          <w:sz w:val="20"/>
          <w:szCs w:val="24"/>
        </w:rPr>
        <w:t>201</w:t>
      </w:r>
      <w:r w:rsidR="00A46722">
        <w:rPr>
          <w:rFonts w:ascii="Arial" w:eastAsia="MS PGothic" w:hAnsi="Arial" w:cs="Times New Roman"/>
          <w:sz w:val="20"/>
          <w:szCs w:val="24"/>
          <w:lang w:val="en-US"/>
        </w:rPr>
        <w:t>3</w:t>
      </w:r>
      <w:r w:rsidR="00D45CFF" w:rsidRPr="00C11D47">
        <w:rPr>
          <w:rFonts w:ascii="Arial" w:eastAsia="MS PGothic" w:hAnsi="Arial" w:cs="Times New Roman"/>
          <w:sz w:val="20"/>
          <w:szCs w:val="24"/>
        </w:rPr>
        <w:t xml:space="preserve"> m</w:t>
      </w:r>
      <w:r w:rsidR="00A46722">
        <w:rPr>
          <w:rFonts w:ascii="Arial" w:eastAsia="MS PGothic" w:hAnsi="Arial" w:cs="Times New Roman"/>
          <w:sz w:val="20"/>
          <w:szCs w:val="24"/>
        </w:rPr>
        <w:t>.</w:t>
      </w:r>
      <w:r w:rsidR="00D45CFF" w:rsidRPr="00C11D47">
        <w:rPr>
          <w:rFonts w:ascii="Arial" w:eastAsia="MS PGothic" w:hAnsi="Arial" w:cs="Times New Roman"/>
          <w:sz w:val="20"/>
          <w:szCs w:val="24"/>
        </w:rPr>
        <w:t xml:space="preserve"> laikotarpiu ženkliai pagerėjo.</w:t>
      </w:r>
    </w:p>
    <w:p w:rsidR="00343E0E" w:rsidRDefault="00343E0E" w:rsidP="00A2570C">
      <w:pPr>
        <w:pStyle w:val="Caption"/>
        <w:keepNext/>
        <w:jc w:val="both"/>
      </w:pPr>
    </w:p>
    <w:p w:rsidR="00A2570C" w:rsidRPr="00BC4ECE" w:rsidRDefault="00A2570C" w:rsidP="00A2570C">
      <w:pPr>
        <w:pStyle w:val="Caption"/>
        <w:keepNext/>
        <w:jc w:val="both"/>
      </w:pPr>
      <w:r w:rsidRPr="00BC4ECE">
        <w:fldChar w:fldCharType="begin"/>
      </w:r>
      <w:r w:rsidRPr="00BC4ECE">
        <w:instrText xml:space="preserve"> SEQ paveikslas \* ARABIC </w:instrText>
      </w:r>
      <w:r w:rsidRPr="00BC4ECE">
        <w:fldChar w:fldCharType="separate"/>
      </w:r>
      <w:r w:rsidR="00594D44" w:rsidRPr="00BC4ECE">
        <w:t>3</w:t>
      </w:r>
      <w:r w:rsidRPr="00BC4ECE">
        <w:fldChar w:fldCharType="end"/>
      </w:r>
      <w:r w:rsidRPr="00BC4ECE">
        <w:t xml:space="preserve"> paveikslas. Aplinkos taršos rodikliai</w:t>
      </w:r>
      <w:r w:rsidR="00700D07">
        <w:t>*</w:t>
      </w:r>
    </w:p>
    <w:p w:rsidR="00B76AF6" w:rsidRPr="00BC4ECE" w:rsidRDefault="00343E0E" w:rsidP="002B025C">
      <w:pPr>
        <w:pStyle w:val="Caption"/>
        <w:spacing w:before="240"/>
        <w:rPr>
          <w:b w:val="0"/>
        </w:rPr>
      </w:pPr>
      <w:r>
        <w:rPr>
          <w:noProof/>
          <w:lang w:val="en-US"/>
        </w:rPr>
        <w:drawing>
          <wp:inline distT="0" distB="0" distL="0" distR="0" wp14:anchorId="79214E77" wp14:editId="0DCC12B6">
            <wp:extent cx="4585970" cy="2667000"/>
            <wp:effectExtent l="0" t="0" r="2413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A2570C" w:rsidRDefault="00A2570C" w:rsidP="00700D07">
      <w:pPr>
        <w:pStyle w:val="Caption"/>
        <w:spacing w:after="0"/>
        <w:rPr>
          <w:b w:val="0"/>
        </w:rPr>
      </w:pPr>
      <w:r w:rsidRPr="00BC4ECE">
        <w:rPr>
          <w:b w:val="0"/>
        </w:rPr>
        <w:t>Šaltinis: Statistiko</w:t>
      </w:r>
      <w:r w:rsidR="007F0777" w:rsidRPr="00BC4ECE">
        <w:rPr>
          <w:b w:val="0"/>
        </w:rPr>
        <w:t>s</w:t>
      </w:r>
      <w:r w:rsidRPr="00BC4ECE">
        <w:rPr>
          <w:b w:val="0"/>
        </w:rPr>
        <w:t xml:space="preserve"> departamentas</w:t>
      </w:r>
      <w:r w:rsidR="00343E0E">
        <w:rPr>
          <w:b w:val="0"/>
        </w:rPr>
        <w:t>.</w:t>
      </w:r>
    </w:p>
    <w:p w:rsidR="00700D07" w:rsidRPr="00700D07" w:rsidRDefault="00700D07" w:rsidP="00700D07">
      <w:pPr>
        <w:rPr>
          <w:rFonts w:ascii="Arial" w:eastAsia="Times" w:hAnsi="Arial" w:cs="Times New Roman"/>
          <w:bCs/>
          <w:sz w:val="18"/>
          <w:szCs w:val="18"/>
        </w:rPr>
      </w:pPr>
      <w:r w:rsidRPr="00700D07">
        <w:rPr>
          <w:rFonts w:ascii="Arial" w:eastAsia="Times" w:hAnsi="Arial" w:cs="Times New Roman"/>
          <w:bCs/>
          <w:sz w:val="18"/>
          <w:szCs w:val="18"/>
        </w:rPr>
        <w:t>* - visi rodikliai, išskyrus „Išleista išvalytų iki normos nuotekų, tūkst. m</w:t>
      </w:r>
      <w:r w:rsidRPr="00700D07">
        <w:rPr>
          <w:rFonts w:ascii="Arial" w:eastAsia="Times" w:hAnsi="Arial" w:cs="Times New Roman"/>
          <w:bCs/>
          <w:sz w:val="18"/>
          <w:szCs w:val="18"/>
          <w:vertAlign w:val="superscript"/>
        </w:rPr>
        <w:t>3</w:t>
      </w:r>
      <w:r w:rsidRPr="00700D07">
        <w:rPr>
          <w:rFonts w:ascii="Arial" w:eastAsia="Times" w:hAnsi="Arial" w:cs="Times New Roman"/>
          <w:bCs/>
          <w:sz w:val="18"/>
          <w:szCs w:val="18"/>
        </w:rPr>
        <w:t>“ yra matuojami tonomis.</w:t>
      </w:r>
    </w:p>
    <w:p w:rsidR="002427B5" w:rsidRDefault="00B76AF6" w:rsidP="002427B5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Vertinant demografinius rodiklius</w:t>
      </w:r>
      <w:r w:rsidR="00594D44" w:rsidRPr="00BC4ECE">
        <w:rPr>
          <w:rFonts w:ascii="Arial" w:eastAsia="MS PGothic" w:hAnsi="Arial" w:cs="Times New Roman"/>
          <w:sz w:val="20"/>
          <w:szCs w:val="24"/>
        </w:rPr>
        <w:t>, 2007 - 2013 m. stebimos tendencijos atitinka nacion</w:t>
      </w:r>
      <w:r w:rsidR="002427B5">
        <w:rPr>
          <w:rFonts w:ascii="Arial" w:eastAsia="MS PGothic" w:hAnsi="Arial" w:cs="Times New Roman"/>
          <w:sz w:val="20"/>
          <w:szCs w:val="24"/>
        </w:rPr>
        <w:t xml:space="preserve">aliniu mastu vykusius pokyčius. Daugumos </w:t>
      </w:r>
      <w:r w:rsidR="002427B5" w:rsidRPr="00C11D47">
        <w:rPr>
          <w:rFonts w:ascii="Arial" w:eastAsia="MS PGothic" w:hAnsi="Arial" w:cs="Times New Roman"/>
          <w:sz w:val="20"/>
          <w:szCs w:val="24"/>
        </w:rPr>
        <w:t>rodiklių tarpe vyrauja neigiama tendencija. Gyventojų skaičius</w:t>
      </w:r>
      <w:r w:rsidR="002427B5">
        <w:rPr>
          <w:rFonts w:ascii="Arial" w:eastAsia="MS PGothic" w:hAnsi="Arial" w:cs="Times New Roman"/>
          <w:sz w:val="20"/>
          <w:szCs w:val="24"/>
        </w:rPr>
        <w:t xml:space="preserve"> nuosekliai mažėjo: lyginant </w:t>
      </w:r>
      <w:r w:rsidR="002427B5">
        <w:rPr>
          <w:rFonts w:ascii="Arial" w:eastAsia="MS PGothic" w:hAnsi="Arial" w:cs="Times New Roman"/>
          <w:sz w:val="20"/>
          <w:szCs w:val="24"/>
          <w:lang w:val="en-US"/>
        </w:rPr>
        <w:t xml:space="preserve">2007 m. </w:t>
      </w:r>
      <w:proofErr w:type="spellStart"/>
      <w:proofErr w:type="gramStart"/>
      <w:r w:rsidR="002427B5">
        <w:rPr>
          <w:rFonts w:ascii="Arial" w:eastAsia="MS PGothic" w:hAnsi="Arial" w:cs="Times New Roman"/>
          <w:sz w:val="20"/>
          <w:szCs w:val="24"/>
          <w:lang w:val="en-US"/>
        </w:rPr>
        <w:t>ir</w:t>
      </w:r>
      <w:proofErr w:type="spellEnd"/>
      <w:proofErr w:type="gramEnd"/>
      <w:r w:rsidR="002427B5">
        <w:rPr>
          <w:rFonts w:ascii="Arial" w:eastAsia="MS PGothic" w:hAnsi="Arial" w:cs="Times New Roman"/>
          <w:sz w:val="20"/>
          <w:szCs w:val="24"/>
          <w:lang w:val="en-US"/>
        </w:rPr>
        <w:t xml:space="preserve"> 2013 m. </w:t>
      </w:r>
      <w:r w:rsidR="002427B5">
        <w:rPr>
          <w:rFonts w:ascii="Arial" w:eastAsia="MS PGothic" w:hAnsi="Arial" w:cs="Times New Roman"/>
          <w:sz w:val="20"/>
          <w:szCs w:val="24"/>
        </w:rPr>
        <w:t>rodiklio įverčius, stebimas</w:t>
      </w:r>
      <w:r w:rsidR="002427B5" w:rsidRPr="00C11D47">
        <w:rPr>
          <w:rFonts w:ascii="Arial" w:eastAsia="MS PGothic" w:hAnsi="Arial" w:cs="Times New Roman"/>
          <w:sz w:val="20"/>
          <w:szCs w:val="24"/>
        </w:rPr>
        <w:t xml:space="preserve"> gyventojų pokytis siekia</w:t>
      </w:r>
      <w:r w:rsidR="002427B5">
        <w:rPr>
          <w:rFonts w:ascii="Arial" w:eastAsia="MS PGothic" w:hAnsi="Arial" w:cs="Times New Roman"/>
          <w:sz w:val="20"/>
          <w:szCs w:val="24"/>
        </w:rPr>
        <w:t xml:space="preserve"> - </w:t>
      </w:r>
      <w:r w:rsidR="002427B5">
        <w:rPr>
          <w:rFonts w:ascii="Arial" w:eastAsia="MS PGothic" w:hAnsi="Arial" w:cs="Times New Roman"/>
          <w:sz w:val="20"/>
          <w:szCs w:val="24"/>
          <w:lang w:val="en-US"/>
        </w:rPr>
        <w:t>9</w:t>
      </w:r>
      <w:r w:rsidR="002427B5" w:rsidRPr="00C11D47">
        <w:rPr>
          <w:rFonts w:ascii="Arial" w:eastAsia="MS PGothic" w:hAnsi="Arial" w:cs="Times New Roman"/>
          <w:sz w:val="20"/>
          <w:szCs w:val="24"/>
        </w:rPr>
        <w:t>.</w:t>
      </w:r>
      <w:r w:rsidR="002427B5">
        <w:rPr>
          <w:rFonts w:ascii="Arial" w:eastAsia="MS PGothic" w:hAnsi="Arial" w:cs="Times New Roman"/>
          <w:sz w:val="20"/>
          <w:szCs w:val="24"/>
        </w:rPr>
        <w:t xml:space="preserve">01 </w:t>
      </w:r>
      <w:r w:rsidR="002427B5" w:rsidRPr="00C11D47">
        <w:rPr>
          <w:rFonts w:ascii="Arial" w:eastAsia="MS PGothic" w:hAnsi="Arial" w:cs="Times New Roman"/>
          <w:sz w:val="20"/>
          <w:szCs w:val="24"/>
        </w:rPr>
        <w:t xml:space="preserve">%. </w:t>
      </w:r>
      <w:r w:rsidR="002427B5">
        <w:rPr>
          <w:rFonts w:ascii="Arial" w:eastAsia="MS PGothic" w:hAnsi="Arial" w:cs="Times New Roman"/>
          <w:sz w:val="20"/>
          <w:szCs w:val="24"/>
        </w:rPr>
        <w:t>Kaip ir kitose savivaldybėse, Jonavos rajone yra stebimas visuomenės senėjimo tendencija: darbingo amžiaus gyventojų skaičius mažėja (tikėtina dėl emigracijos ir migracijos į didžiuosius miestus), o pensinio amžiaus gyventojų skaičius auga</w:t>
      </w:r>
      <w:r w:rsidR="002427B5" w:rsidRPr="00C11D47">
        <w:rPr>
          <w:rFonts w:ascii="Arial" w:eastAsia="MS PGothic" w:hAnsi="Arial" w:cs="Times New Roman"/>
          <w:sz w:val="20"/>
          <w:szCs w:val="24"/>
        </w:rPr>
        <w:t>. Registruotų bedarbių ir darbingo amžiaus gyventojų  santykis identifikuoja, kad po ekonominio nuosmukio</w:t>
      </w:r>
      <w:r w:rsidR="002427B5">
        <w:rPr>
          <w:rFonts w:ascii="Arial" w:eastAsia="MS PGothic" w:hAnsi="Arial" w:cs="Times New Roman"/>
          <w:sz w:val="20"/>
          <w:szCs w:val="24"/>
        </w:rPr>
        <w:t xml:space="preserve"> </w:t>
      </w:r>
      <w:r w:rsidR="002427B5" w:rsidRPr="00C11D47">
        <w:rPr>
          <w:rFonts w:ascii="Arial" w:eastAsia="MS PGothic" w:hAnsi="Arial" w:cs="Times New Roman"/>
          <w:sz w:val="20"/>
          <w:szCs w:val="24"/>
        </w:rPr>
        <w:t>(2010 m</w:t>
      </w:r>
      <w:r w:rsidR="002427B5">
        <w:rPr>
          <w:rFonts w:ascii="Arial" w:eastAsia="MS PGothic" w:hAnsi="Arial" w:cs="Times New Roman"/>
          <w:sz w:val="20"/>
          <w:szCs w:val="24"/>
        </w:rPr>
        <w:t>.</w:t>
      </w:r>
      <w:r w:rsidR="002427B5" w:rsidRPr="00C11D47">
        <w:rPr>
          <w:rFonts w:ascii="Arial" w:eastAsia="MS PGothic" w:hAnsi="Arial" w:cs="Times New Roman"/>
          <w:sz w:val="20"/>
          <w:szCs w:val="24"/>
        </w:rPr>
        <w:t xml:space="preserve"> santykis - 16.60%) situacija savivaldybėje lėtai ima gerėti. Pabrėžtina tai, kad prie šio rodiklio gerėjimo dirbtinai prisideda mažėjantis dar</w:t>
      </w:r>
      <w:r w:rsidR="00B35F78">
        <w:rPr>
          <w:rFonts w:ascii="Arial" w:eastAsia="MS PGothic" w:hAnsi="Arial" w:cs="Times New Roman"/>
          <w:sz w:val="20"/>
          <w:szCs w:val="24"/>
        </w:rPr>
        <w:t xml:space="preserve">bingo amžiaus žmonių skaičius. </w:t>
      </w:r>
      <w:r w:rsidR="002427B5" w:rsidRPr="00C11D47">
        <w:rPr>
          <w:rFonts w:ascii="Arial" w:eastAsia="MS PGothic" w:hAnsi="Arial" w:cs="Times New Roman"/>
          <w:sz w:val="20"/>
          <w:szCs w:val="24"/>
        </w:rPr>
        <w:t>Analizuojant mėnesinį (bruto) darbo užmokesčio dydį pastebima, kad per analizuojamą laikotarpį jis pakilo 221.40 EUR. Lyginant su Lietuvos Respublikos vidurkiu, pastebima, kad Jonavos</w:t>
      </w:r>
      <w:r w:rsidR="002427B5">
        <w:rPr>
          <w:rFonts w:ascii="Arial" w:eastAsia="MS PGothic" w:hAnsi="Arial" w:cs="Times New Roman"/>
          <w:sz w:val="20"/>
          <w:szCs w:val="24"/>
        </w:rPr>
        <w:t xml:space="preserve"> rajono</w:t>
      </w:r>
      <w:r w:rsidR="002427B5" w:rsidRPr="00C11D47">
        <w:rPr>
          <w:rFonts w:ascii="Arial" w:eastAsia="MS PGothic" w:hAnsi="Arial" w:cs="Times New Roman"/>
          <w:sz w:val="20"/>
          <w:szCs w:val="24"/>
        </w:rPr>
        <w:t xml:space="preserve"> savivaldybėje mokamas vidutinis</w:t>
      </w:r>
      <w:r w:rsidR="00700D07">
        <w:rPr>
          <w:rFonts w:ascii="Arial" w:eastAsia="MS PGothic" w:hAnsi="Arial" w:cs="Times New Roman"/>
          <w:sz w:val="20"/>
          <w:szCs w:val="24"/>
        </w:rPr>
        <w:t xml:space="preserve"> mėnesinis</w:t>
      </w:r>
      <w:r w:rsidR="002427B5" w:rsidRPr="00C11D47">
        <w:rPr>
          <w:rFonts w:ascii="Arial" w:eastAsia="MS PGothic" w:hAnsi="Arial" w:cs="Times New Roman"/>
          <w:sz w:val="20"/>
          <w:szCs w:val="24"/>
        </w:rPr>
        <w:t xml:space="preserve"> atlyginimas visu laikotarpiu išliko aukštesnis. Statistikos departamento duomenimis 2014 m</w:t>
      </w:r>
      <w:r w:rsidR="002427B5">
        <w:rPr>
          <w:rFonts w:ascii="Arial" w:eastAsia="MS PGothic" w:hAnsi="Arial" w:cs="Times New Roman"/>
          <w:sz w:val="20"/>
          <w:szCs w:val="24"/>
        </w:rPr>
        <w:t>.</w:t>
      </w:r>
      <w:r w:rsidR="002427B5" w:rsidRPr="00C11D47">
        <w:rPr>
          <w:rFonts w:ascii="Arial" w:eastAsia="MS PGothic" w:hAnsi="Arial" w:cs="Times New Roman"/>
          <w:sz w:val="20"/>
          <w:szCs w:val="24"/>
        </w:rPr>
        <w:t xml:space="preserve"> Jonavos savivaldy</w:t>
      </w:r>
      <w:r w:rsidR="002427B5">
        <w:rPr>
          <w:rFonts w:ascii="Arial" w:eastAsia="MS PGothic" w:hAnsi="Arial" w:cs="Times New Roman"/>
          <w:sz w:val="20"/>
          <w:szCs w:val="24"/>
        </w:rPr>
        <w:t>bės mėnesinis darbo užmokestis siekė</w:t>
      </w:r>
      <w:r w:rsidR="002427B5" w:rsidRPr="00C11D47">
        <w:rPr>
          <w:rFonts w:ascii="Arial" w:eastAsia="MS PGothic" w:hAnsi="Arial" w:cs="Times New Roman"/>
          <w:sz w:val="20"/>
          <w:szCs w:val="24"/>
        </w:rPr>
        <w:t xml:space="preserve"> 684.2 EUR.</w:t>
      </w:r>
    </w:p>
    <w:p w:rsidR="00343E0E" w:rsidRDefault="00343E0E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343E0E" w:rsidRDefault="00343E0E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343E0E" w:rsidRDefault="00343E0E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343E0E" w:rsidRDefault="00343E0E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343E0E" w:rsidRDefault="00343E0E" w:rsidP="002427B5">
      <w:pPr>
        <w:jc w:val="both"/>
        <w:rPr>
          <w:rFonts w:ascii="Arial" w:eastAsia="MS PGothic" w:hAnsi="Arial" w:cs="Times New Roman"/>
          <w:sz w:val="20"/>
          <w:szCs w:val="24"/>
        </w:rPr>
      </w:pPr>
    </w:p>
    <w:p w:rsidR="00343E0E" w:rsidRPr="00C11D47" w:rsidRDefault="00343E0E" w:rsidP="002427B5">
      <w:pPr>
        <w:jc w:val="both"/>
        <w:rPr>
          <w:rFonts w:ascii="Arial" w:eastAsia="MS PGothic" w:hAnsi="Arial" w:cs="Times New Roman"/>
          <w:sz w:val="20"/>
          <w:szCs w:val="24"/>
          <w:highlight w:val="yellow"/>
        </w:rPr>
      </w:pPr>
    </w:p>
    <w:p w:rsidR="00020455" w:rsidRPr="00BC4ECE" w:rsidRDefault="00A46722" w:rsidP="00020455">
      <w:pPr>
        <w:pStyle w:val="Caption"/>
        <w:keepNext/>
      </w:pPr>
      <w:r>
        <w:rPr>
          <w:noProof/>
          <w:lang w:val="en-US"/>
        </w:rPr>
        <w:drawing>
          <wp:anchor distT="0" distB="0" distL="114300" distR="114300" simplePos="0" relativeHeight="251682816" behindDoc="1" locked="0" layoutInCell="1" allowOverlap="1" wp14:anchorId="293E6AE3" wp14:editId="5A974FE5">
            <wp:simplePos x="0" y="0"/>
            <wp:positionH relativeFrom="margin">
              <wp:align>left</wp:align>
            </wp:positionH>
            <wp:positionV relativeFrom="paragraph">
              <wp:posOffset>170199</wp:posOffset>
            </wp:positionV>
            <wp:extent cx="4428490" cy="2394585"/>
            <wp:effectExtent l="0" t="0" r="10160" b="5715"/>
            <wp:wrapTight wrapText="bothSides">
              <wp:wrapPolygon edited="0">
                <wp:start x="0" y="0"/>
                <wp:lineTo x="0" y="21480"/>
                <wp:lineTo x="21557" y="21480"/>
                <wp:lineTo x="21557" y="0"/>
                <wp:lineTo x="0" y="0"/>
              </wp:wrapPolygon>
            </wp:wrapTight>
            <wp:docPr id="6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2570C" w:rsidRPr="00BC4ECE">
        <w:fldChar w:fldCharType="begin"/>
      </w:r>
      <w:r w:rsidR="00A2570C" w:rsidRPr="00BC4ECE">
        <w:instrText xml:space="preserve"> SEQ paveikslas \* ARABIC </w:instrText>
      </w:r>
      <w:r w:rsidR="00A2570C" w:rsidRPr="00BC4ECE">
        <w:fldChar w:fldCharType="separate"/>
      </w:r>
      <w:r w:rsidR="008A1509" w:rsidRPr="00BC4ECE">
        <w:t>5</w:t>
      </w:r>
      <w:r w:rsidR="00A2570C" w:rsidRPr="00BC4ECE">
        <w:fldChar w:fldCharType="end"/>
      </w:r>
      <w:r w:rsidR="00A2570C" w:rsidRPr="00BC4ECE">
        <w:t xml:space="preserve"> paveikslas. Demografiniai rodikliai</w:t>
      </w:r>
    </w:p>
    <w:p w:rsidR="00B76AF6" w:rsidRPr="00BC4ECE" w:rsidRDefault="00B76AF6" w:rsidP="00594D44">
      <w:pPr>
        <w:pStyle w:val="Caption"/>
        <w:keepNext/>
      </w:pPr>
    </w:p>
    <w:p w:rsidR="002427B5" w:rsidRDefault="00B76AF6" w:rsidP="008A1509">
      <w:pPr>
        <w:pStyle w:val="Caption"/>
        <w:spacing w:before="240"/>
        <w:rPr>
          <w:b w:val="0"/>
        </w:rPr>
      </w:pPr>
      <w:r w:rsidRPr="00BC4ECE">
        <w:rPr>
          <w:b w:val="0"/>
        </w:rPr>
        <w:br/>
      </w: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2427B5" w:rsidRDefault="002427B5" w:rsidP="008A1509">
      <w:pPr>
        <w:pStyle w:val="Caption"/>
        <w:spacing w:before="240"/>
        <w:rPr>
          <w:b w:val="0"/>
        </w:rPr>
      </w:pPr>
    </w:p>
    <w:p w:rsidR="008A1509" w:rsidRPr="00BC4ECE" w:rsidRDefault="008A1509" w:rsidP="008A1509">
      <w:pPr>
        <w:pStyle w:val="Caption"/>
        <w:spacing w:before="240"/>
        <w:rPr>
          <w:b w:val="0"/>
        </w:rPr>
      </w:pPr>
      <w:r w:rsidRPr="00BC4ECE">
        <w:rPr>
          <w:b w:val="0"/>
        </w:rPr>
        <w:t>Šaltinis: Statistiko</w:t>
      </w:r>
      <w:r w:rsidR="00594D44" w:rsidRPr="00BC4ECE">
        <w:rPr>
          <w:b w:val="0"/>
        </w:rPr>
        <w:t>s</w:t>
      </w:r>
      <w:r w:rsidRPr="00BC4ECE">
        <w:rPr>
          <w:b w:val="0"/>
        </w:rPr>
        <w:t xml:space="preserve"> departamentas</w:t>
      </w:r>
    </w:p>
    <w:p w:rsidR="00B76AF6" w:rsidRPr="00BC4ECE" w:rsidRDefault="00B76AF6" w:rsidP="00B76AF6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>Vertinant ūkio ir finansini</w:t>
      </w:r>
      <w:r w:rsidR="004E0E71" w:rsidRPr="00BC4ECE">
        <w:rPr>
          <w:rFonts w:ascii="Arial" w:eastAsia="MS PGothic" w:hAnsi="Arial" w:cs="Times New Roman"/>
          <w:sz w:val="20"/>
          <w:szCs w:val="24"/>
        </w:rPr>
        <w:t xml:space="preserve">us rodiklius </w:t>
      </w:r>
      <w:r w:rsidRPr="00BC4ECE">
        <w:rPr>
          <w:rFonts w:ascii="Arial" w:eastAsia="MS PGothic" w:hAnsi="Arial" w:cs="Times New Roman"/>
          <w:sz w:val="20"/>
          <w:szCs w:val="24"/>
        </w:rPr>
        <w:t>pastebima,</w:t>
      </w:r>
      <w:r w:rsidR="00424FB7" w:rsidRPr="00BC4ECE">
        <w:rPr>
          <w:rFonts w:ascii="Arial" w:eastAsia="MS PGothic" w:hAnsi="Arial" w:cs="Times New Roman"/>
          <w:sz w:val="20"/>
          <w:szCs w:val="24"/>
        </w:rPr>
        <w:t xml:space="preserve"> kad</w:t>
      </w:r>
      <w:r w:rsidR="0062159A" w:rsidRPr="00BC4ECE">
        <w:rPr>
          <w:rFonts w:ascii="Arial" w:eastAsia="MS PGothic" w:hAnsi="Arial" w:cs="Times New Roman"/>
          <w:sz w:val="20"/>
          <w:szCs w:val="24"/>
        </w:rPr>
        <w:t xml:space="preserve"> 2007 – 2013</w:t>
      </w:r>
      <w:r w:rsidR="00BC4ECE" w:rsidRPr="00BC4ECE">
        <w:rPr>
          <w:rFonts w:ascii="Arial" w:eastAsia="MS PGothic" w:hAnsi="Arial" w:cs="Times New Roman"/>
          <w:sz w:val="20"/>
          <w:szCs w:val="24"/>
        </w:rPr>
        <w:t xml:space="preserve"> m. </w:t>
      </w:r>
      <w:r w:rsidR="0062159A" w:rsidRPr="00BC4ECE">
        <w:rPr>
          <w:rFonts w:ascii="Arial" w:eastAsia="MS PGothic" w:hAnsi="Arial" w:cs="Times New Roman"/>
          <w:sz w:val="20"/>
          <w:szCs w:val="24"/>
        </w:rPr>
        <w:t>pridėtinė</w:t>
      </w:r>
      <w:r w:rsidR="00BC4ECE" w:rsidRPr="00BC4ECE">
        <w:rPr>
          <w:rFonts w:ascii="Arial" w:eastAsia="MS PGothic" w:hAnsi="Arial" w:cs="Times New Roman"/>
          <w:sz w:val="20"/>
          <w:szCs w:val="24"/>
        </w:rPr>
        <w:t>s</w:t>
      </w:r>
      <w:r w:rsidR="0062159A" w:rsidRPr="00BC4ECE">
        <w:rPr>
          <w:rFonts w:ascii="Arial" w:eastAsia="MS PGothic" w:hAnsi="Arial" w:cs="Times New Roman"/>
          <w:sz w:val="20"/>
          <w:szCs w:val="24"/>
        </w:rPr>
        <w:t xml:space="preserve"> vertė</w:t>
      </w:r>
      <w:r w:rsidR="00BC4ECE" w:rsidRPr="00BC4ECE">
        <w:rPr>
          <w:rFonts w:ascii="Arial" w:eastAsia="MS PGothic" w:hAnsi="Arial" w:cs="Times New Roman"/>
          <w:sz w:val="20"/>
          <w:szCs w:val="24"/>
        </w:rPr>
        <w:t>s gamybos kainomis ir m</w:t>
      </w:r>
      <w:r w:rsidR="0062159A" w:rsidRPr="00BC4ECE">
        <w:rPr>
          <w:rFonts w:ascii="Arial" w:eastAsia="MS PGothic" w:hAnsi="Arial" w:cs="Times New Roman"/>
          <w:sz w:val="20"/>
          <w:szCs w:val="24"/>
        </w:rPr>
        <w:t>aterialin</w:t>
      </w:r>
      <w:r w:rsidR="00BC4ECE" w:rsidRPr="00BC4ECE">
        <w:rPr>
          <w:rFonts w:ascii="Arial" w:eastAsia="MS PGothic" w:hAnsi="Arial" w:cs="Times New Roman"/>
          <w:sz w:val="20"/>
          <w:szCs w:val="24"/>
        </w:rPr>
        <w:t xml:space="preserve">ių investicijų rodikliai </w:t>
      </w:r>
      <w:r w:rsidR="0062159A" w:rsidRPr="00BC4ECE">
        <w:rPr>
          <w:rFonts w:ascii="Arial" w:eastAsia="MS PGothic" w:hAnsi="Arial" w:cs="Times New Roman"/>
          <w:sz w:val="20"/>
          <w:szCs w:val="24"/>
        </w:rPr>
        <w:t xml:space="preserve">neturėjo </w:t>
      </w:r>
      <w:r w:rsidR="00BC4ECE" w:rsidRPr="00BC4ECE">
        <w:rPr>
          <w:rFonts w:ascii="Arial" w:eastAsia="MS PGothic" w:hAnsi="Arial" w:cs="Times New Roman"/>
          <w:sz w:val="20"/>
          <w:szCs w:val="24"/>
        </w:rPr>
        <w:t>nuoseklių kitimo tendencijų. Dėl finansų krizės kuriama pridėtinė</w:t>
      </w:r>
      <w:r w:rsidR="00156F09">
        <w:rPr>
          <w:rFonts w:ascii="Arial" w:eastAsia="MS PGothic" w:hAnsi="Arial" w:cs="Times New Roman"/>
          <w:sz w:val="20"/>
          <w:szCs w:val="24"/>
        </w:rPr>
        <w:t xml:space="preserve"> vertė nuo 2008 m. mažėjo ir 20</w:t>
      </w:r>
      <w:r w:rsidR="00BC4ECE" w:rsidRPr="00BC4ECE">
        <w:rPr>
          <w:rFonts w:ascii="Arial" w:eastAsia="MS PGothic" w:hAnsi="Arial" w:cs="Times New Roman"/>
          <w:sz w:val="20"/>
          <w:szCs w:val="24"/>
        </w:rPr>
        <w:t>0</w:t>
      </w:r>
      <w:r w:rsidR="00156F09">
        <w:rPr>
          <w:rFonts w:ascii="Arial" w:eastAsia="MS PGothic" w:hAnsi="Arial" w:cs="Times New Roman"/>
          <w:sz w:val="20"/>
          <w:szCs w:val="24"/>
          <w:lang w:val="en-US"/>
        </w:rPr>
        <w:t>9</w:t>
      </w:r>
      <w:r w:rsidR="00BC4ECE" w:rsidRPr="00BC4ECE">
        <w:rPr>
          <w:rFonts w:ascii="Arial" w:eastAsia="MS PGothic" w:hAnsi="Arial" w:cs="Times New Roman"/>
          <w:sz w:val="20"/>
          <w:szCs w:val="24"/>
        </w:rPr>
        <w:t xml:space="preserve"> m. pasiekė žemiausią savo įvertį nagrinėjamu laikotarpiu. Kaip </w:t>
      </w:r>
      <w:r w:rsidR="00156F09">
        <w:rPr>
          <w:rFonts w:ascii="Arial" w:eastAsia="MS PGothic" w:hAnsi="Arial" w:cs="Times New Roman"/>
          <w:sz w:val="20"/>
          <w:szCs w:val="24"/>
        </w:rPr>
        <w:t>ir nacionaliniu mastu – nuo 2010</w:t>
      </w:r>
      <w:r w:rsidR="00BC4ECE" w:rsidRPr="00BC4ECE">
        <w:rPr>
          <w:rFonts w:ascii="Arial" w:eastAsia="MS PGothic" w:hAnsi="Arial" w:cs="Times New Roman"/>
          <w:sz w:val="20"/>
          <w:szCs w:val="24"/>
        </w:rPr>
        <w:t xml:space="preserve"> m. rodiklio įverčiai pradeda augti su nežymiais svyravimais. </w:t>
      </w:r>
      <w:r w:rsidR="00BC4ECE">
        <w:rPr>
          <w:rFonts w:ascii="Arial" w:eastAsia="MS PGothic" w:hAnsi="Arial" w:cs="Times New Roman"/>
          <w:sz w:val="20"/>
          <w:szCs w:val="24"/>
        </w:rPr>
        <w:t>Analogiškos tendencijos stebimos ir materialinių investicijų rodiklio atveju</w:t>
      </w:r>
      <w:r w:rsidR="00156F09">
        <w:rPr>
          <w:rFonts w:ascii="Arial" w:eastAsia="MS PGothic" w:hAnsi="Arial" w:cs="Times New Roman"/>
          <w:sz w:val="20"/>
          <w:szCs w:val="24"/>
        </w:rPr>
        <w:t xml:space="preserve">, su žemiausiu tašku </w:t>
      </w:r>
      <w:r w:rsidR="00156F09">
        <w:rPr>
          <w:rFonts w:ascii="Arial" w:eastAsia="MS PGothic" w:hAnsi="Arial" w:cs="Times New Roman"/>
          <w:sz w:val="20"/>
          <w:szCs w:val="24"/>
          <w:lang w:val="en-US"/>
        </w:rPr>
        <w:t>2009 m</w:t>
      </w:r>
      <w:r w:rsidR="00BC4ECE">
        <w:rPr>
          <w:rFonts w:ascii="Arial" w:eastAsia="MS PGothic" w:hAnsi="Arial" w:cs="Times New Roman"/>
          <w:sz w:val="20"/>
          <w:szCs w:val="24"/>
        </w:rPr>
        <w:t>.</w:t>
      </w:r>
      <w:r w:rsidR="00156F09">
        <w:rPr>
          <w:rFonts w:ascii="Arial" w:eastAsia="MS PGothic" w:hAnsi="Arial" w:cs="Times New Roman"/>
          <w:sz w:val="20"/>
          <w:szCs w:val="24"/>
        </w:rPr>
        <w:t xml:space="preserve"> 200</w:t>
      </w:r>
      <w:r w:rsidR="00156F09">
        <w:rPr>
          <w:rFonts w:ascii="Arial" w:eastAsia="MS PGothic" w:hAnsi="Arial" w:cs="Times New Roman"/>
          <w:sz w:val="20"/>
          <w:szCs w:val="24"/>
          <w:lang w:val="en-US"/>
        </w:rPr>
        <w:t>7</w:t>
      </w:r>
      <w:r w:rsidR="00156F09" w:rsidRPr="00C11D47">
        <w:rPr>
          <w:rFonts w:ascii="Arial" w:eastAsia="MS PGothic" w:hAnsi="Arial" w:cs="Times New Roman"/>
          <w:sz w:val="20"/>
          <w:szCs w:val="24"/>
        </w:rPr>
        <w:t xml:space="preserve"> m</w:t>
      </w:r>
      <w:r w:rsidR="00156F09">
        <w:rPr>
          <w:rFonts w:ascii="Arial" w:eastAsia="MS PGothic" w:hAnsi="Arial" w:cs="Times New Roman"/>
          <w:sz w:val="20"/>
          <w:szCs w:val="24"/>
        </w:rPr>
        <w:t>.</w:t>
      </w:r>
      <w:r w:rsidR="00156F09" w:rsidRPr="00C11D47">
        <w:rPr>
          <w:rFonts w:ascii="Arial" w:eastAsia="MS PGothic" w:hAnsi="Arial" w:cs="Times New Roman"/>
          <w:sz w:val="20"/>
          <w:szCs w:val="24"/>
        </w:rPr>
        <w:t xml:space="preserve"> pridėtinės vertės gam</w:t>
      </w:r>
      <w:r w:rsidR="00156F09">
        <w:rPr>
          <w:rFonts w:ascii="Arial" w:eastAsia="MS PGothic" w:hAnsi="Arial" w:cs="Times New Roman"/>
          <w:sz w:val="20"/>
          <w:szCs w:val="24"/>
        </w:rPr>
        <w:t xml:space="preserve">ybos kainomis rodiklis siekęs </w:t>
      </w:r>
      <w:r w:rsidR="00156F09">
        <w:rPr>
          <w:rFonts w:ascii="Arial" w:eastAsia="MS PGothic" w:hAnsi="Arial" w:cs="Times New Roman"/>
          <w:sz w:val="20"/>
          <w:szCs w:val="24"/>
          <w:lang w:val="en-US"/>
        </w:rPr>
        <w:t>205</w:t>
      </w:r>
      <w:r w:rsidR="00156F09">
        <w:rPr>
          <w:rFonts w:ascii="Arial" w:eastAsia="MS PGothic" w:hAnsi="Arial" w:cs="Times New Roman"/>
          <w:sz w:val="20"/>
          <w:szCs w:val="24"/>
        </w:rPr>
        <w:t>.02</w:t>
      </w:r>
      <w:r w:rsidR="00156F09" w:rsidRPr="00C11D47">
        <w:rPr>
          <w:rFonts w:ascii="Arial" w:eastAsia="MS PGothic" w:hAnsi="Arial" w:cs="Times New Roman"/>
          <w:sz w:val="20"/>
          <w:szCs w:val="24"/>
        </w:rPr>
        <w:t xml:space="preserve"> mln. EUR, 2008 m išaugo iki 26</w:t>
      </w:r>
      <w:r w:rsidR="00156F09">
        <w:rPr>
          <w:rFonts w:ascii="Arial" w:eastAsia="MS PGothic" w:hAnsi="Arial" w:cs="Times New Roman"/>
          <w:sz w:val="20"/>
          <w:szCs w:val="24"/>
        </w:rPr>
        <w:t>9</w:t>
      </w:r>
      <w:r w:rsidR="00156F09" w:rsidRPr="00C11D47">
        <w:rPr>
          <w:rFonts w:ascii="Arial" w:eastAsia="MS PGothic" w:hAnsi="Arial" w:cs="Times New Roman"/>
          <w:sz w:val="20"/>
          <w:szCs w:val="24"/>
        </w:rPr>
        <w:t>.</w:t>
      </w:r>
      <w:r w:rsidR="00156F09">
        <w:rPr>
          <w:rFonts w:ascii="Arial" w:eastAsia="MS PGothic" w:hAnsi="Arial" w:cs="Times New Roman"/>
          <w:sz w:val="20"/>
          <w:szCs w:val="24"/>
        </w:rPr>
        <w:t>29</w:t>
      </w:r>
      <w:r w:rsidR="00156F09" w:rsidRPr="00C11D47">
        <w:rPr>
          <w:rFonts w:ascii="Arial" w:eastAsia="MS PGothic" w:hAnsi="Arial" w:cs="Times New Roman"/>
          <w:sz w:val="20"/>
          <w:szCs w:val="24"/>
        </w:rPr>
        <w:t xml:space="preserve"> mln. EUR. Prasidėjus sunkmečiui verslo sektoriaus pasiekimai krito, rodiklio reikšmė per vienerius metus nukrito</w:t>
      </w:r>
      <w:r w:rsidR="00156F09" w:rsidRPr="00C11D47">
        <w:t xml:space="preserve"> </w:t>
      </w:r>
      <w:r w:rsidR="00156F09" w:rsidRPr="00C11D47">
        <w:rPr>
          <w:rFonts w:ascii="Arial" w:eastAsia="MS PGothic" w:hAnsi="Arial" w:cs="Times New Roman"/>
          <w:sz w:val="20"/>
          <w:szCs w:val="24"/>
        </w:rPr>
        <w:t>beveik ¾.  2013 m pridėtinė vertė</w:t>
      </w:r>
      <w:r w:rsidR="00156F09">
        <w:rPr>
          <w:rFonts w:ascii="Arial" w:eastAsia="MS PGothic" w:hAnsi="Arial" w:cs="Times New Roman"/>
          <w:sz w:val="20"/>
          <w:szCs w:val="24"/>
        </w:rPr>
        <w:t>,</w:t>
      </w:r>
      <w:r w:rsidR="00156F09" w:rsidRPr="00C11D47">
        <w:rPr>
          <w:rFonts w:ascii="Arial" w:eastAsia="MS PGothic" w:hAnsi="Arial" w:cs="Times New Roman"/>
          <w:sz w:val="20"/>
          <w:szCs w:val="24"/>
        </w:rPr>
        <w:t xml:space="preserve"> sukuriama gamyboje</w:t>
      </w:r>
      <w:r w:rsidR="00156F09">
        <w:rPr>
          <w:rFonts w:ascii="Arial" w:eastAsia="MS PGothic" w:hAnsi="Arial" w:cs="Times New Roman"/>
          <w:sz w:val="20"/>
          <w:szCs w:val="24"/>
        </w:rPr>
        <w:t>,</w:t>
      </w:r>
      <w:r w:rsidR="00156F09" w:rsidRPr="00C11D47">
        <w:rPr>
          <w:rFonts w:ascii="Arial" w:eastAsia="MS PGothic" w:hAnsi="Arial" w:cs="Times New Roman"/>
          <w:sz w:val="20"/>
          <w:szCs w:val="24"/>
        </w:rPr>
        <w:t xml:space="preserve"> palyginti su</w:t>
      </w:r>
      <w:r w:rsidR="00156F09">
        <w:rPr>
          <w:rFonts w:ascii="Arial" w:eastAsia="MS PGothic" w:hAnsi="Arial" w:cs="Times New Roman"/>
          <w:sz w:val="20"/>
          <w:szCs w:val="24"/>
        </w:rPr>
        <w:t xml:space="preserve"> 200</w:t>
      </w:r>
      <w:r w:rsidR="00156F09">
        <w:rPr>
          <w:rFonts w:ascii="Arial" w:eastAsia="MS PGothic" w:hAnsi="Arial" w:cs="Times New Roman"/>
          <w:sz w:val="20"/>
          <w:szCs w:val="24"/>
          <w:lang w:val="en-US"/>
        </w:rPr>
        <w:t>7</w:t>
      </w:r>
      <w:r w:rsidR="00156F09">
        <w:rPr>
          <w:rFonts w:ascii="Arial" w:eastAsia="MS PGothic" w:hAnsi="Arial" w:cs="Times New Roman"/>
          <w:sz w:val="20"/>
          <w:szCs w:val="24"/>
        </w:rPr>
        <w:t xml:space="preserve"> m., buvo smukusi 50 proc.</w:t>
      </w:r>
      <w:r w:rsidR="00BC4ECE">
        <w:rPr>
          <w:rFonts w:ascii="Arial" w:eastAsia="MS PGothic" w:hAnsi="Arial" w:cs="Times New Roman"/>
          <w:sz w:val="20"/>
          <w:szCs w:val="24"/>
        </w:rPr>
        <w:t xml:space="preserve"> T</w:t>
      </w:r>
      <w:r w:rsidRPr="00BC4ECE">
        <w:rPr>
          <w:rFonts w:ascii="Arial" w:eastAsia="MS PGothic" w:hAnsi="Arial" w:cs="Times New Roman"/>
          <w:sz w:val="20"/>
          <w:szCs w:val="24"/>
        </w:rPr>
        <w:t>iesioginės užsienio inve</w:t>
      </w:r>
      <w:r w:rsidR="00F63FF4" w:rsidRPr="00BC4ECE">
        <w:rPr>
          <w:rFonts w:ascii="Arial" w:eastAsia="MS PGothic" w:hAnsi="Arial" w:cs="Times New Roman"/>
          <w:sz w:val="20"/>
          <w:szCs w:val="24"/>
        </w:rPr>
        <w:t xml:space="preserve">sticijos </w:t>
      </w:r>
      <w:r w:rsidR="00156F09">
        <w:rPr>
          <w:rFonts w:ascii="Arial" w:eastAsia="MS PGothic" w:hAnsi="Arial" w:cs="Times New Roman"/>
          <w:sz w:val="20"/>
          <w:szCs w:val="24"/>
        </w:rPr>
        <w:t xml:space="preserve">didesnę nagrinėjamo laikotarpio dalį mažėjo, tačiau nuo </w:t>
      </w:r>
      <w:r w:rsidR="00156F09">
        <w:rPr>
          <w:rFonts w:ascii="Arial" w:eastAsia="MS PGothic" w:hAnsi="Arial" w:cs="Times New Roman"/>
          <w:sz w:val="20"/>
          <w:szCs w:val="24"/>
          <w:lang w:val="en-US"/>
        </w:rPr>
        <w:t xml:space="preserve">2011 m. </w:t>
      </w:r>
      <w:proofErr w:type="spellStart"/>
      <w:proofErr w:type="gramStart"/>
      <w:r w:rsidR="00156F09">
        <w:rPr>
          <w:rFonts w:ascii="Arial" w:eastAsia="MS PGothic" w:hAnsi="Arial" w:cs="Times New Roman"/>
          <w:sz w:val="20"/>
          <w:szCs w:val="24"/>
          <w:lang w:val="en-US"/>
        </w:rPr>
        <w:t>yra</w:t>
      </w:r>
      <w:proofErr w:type="spellEnd"/>
      <w:proofErr w:type="gramEnd"/>
      <w:r w:rsidR="00156F09">
        <w:rPr>
          <w:rFonts w:ascii="Arial" w:eastAsia="MS PGothic" w:hAnsi="Arial" w:cs="Times New Roman"/>
          <w:sz w:val="20"/>
          <w:szCs w:val="24"/>
          <w:lang w:val="en-US"/>
        </w:rPr>
        <w:t xml:space="preserve"> </w:t>
      </w:r>
      <w:proofErr w:type="spellStart"/>
      <w:r w:rsidR="00156F09">
        <w:rPr>
          <w:rFonts w:ascii="Arial" w:eastAsia="MS PGothic" w:hAnsi="Arial" w:cs="Times New Roman"/>
          <w:sz w:val="20"/>
          <w:szCs w:val="24"/>
          <w:lang w:val="en-US"/>
        </w:rPr>
        <w:t>stebimas</w:t>
      </w:r>
      <w:proofErr w:type="spellEnd"/>
      <w:r w:rsidR="00156F09">
        <w:rPr>
          <w:rFonts w:ascii="Arial" w:eastAsia="MS PGothic" w:hAnsi="Arial" w:cs="Times New Roman"/>
          <w:sz w:val="20"/>
          <w:szCs w:val="24"/>
        </w:rPr>
        <w:t xml:space="preserve"> situacijos gerėjimas.</w:t>
      </w:r>
      <w:r w:rsidR="00A90A5D" w:rsidRPr="00BC4ECE">
        <w:rPr>
          <w:rFonts w:ascii="Arial" w:eastAsia="MS PGothic" w:hAnsi="Arial" w:cs="Times New Roman"/>
          <w:sz w:val="20"/>
          <w:szCs w:val="24"/>
        </w:rPr>
        <w:t xml:space="preserve"> </w:t>
      </w:r>
      <w:r w:rsidR="00123257">
        <w:rPr>
          <w:rFonts w:ascii="Arial" w:eastAsia="MS PGothic" w:hAnsi="Arial" w:cs="Times New Roman"/>
          <w:sz w:val="20"/>
          <w:szCs w:val="24"/>
        </w:rPr>
        <w:t xml:space="preserve">Apibendrinant, </w:t>
      </w:r>
      <w:r w:rsidR="00FF5512">
        <w:rPr>
          <w:rFonts w:ascii="Arial" w:eastAsia="MS PGothic" w:hAnsi="Arial" w:cs="Times New Roman"/>
          <w:sz w:val="20"/>
          <w:szCs w:val="24"/>
        </w:rPr>
        <w:t>Jonavos</w:t>
      </w:r>
      <w:r w:rsidR="00123257">
        <w:rPr>
          <w:rFonts w:ascii="Arial" w:eastAsia="MS PGothic" w:hAnsi="Arial" w:cs="Times New Roman"/>
          <w:sz w:val="20"/>
          <w:szCs w:val="24"/>
        </w:rPr>
        <w:t xml:space="preserve"> rajono savivaldybės ekonominės veiklos rodikliai</w:t>
      </w:r>
      <w:r w:rsidR="00B72614">
        <w:rPr>
          <w:rFonts w:ascii="Arial" w:eastAsia="MS PGothic" w:hAnsi="Arial" w:cs="Times New Roman"/>
          <w:sz w:val="20"/>
          <w:szCs w:val="24"/>
        </w:rPr>
        <w:t xml:space="preserve"> yra vieni geresnių probleminių savivaldybių tarpe. </w:t>
      </w:r>
    </w:p>
    <w:p w:rsidR="008A1509" w:rsidRPr="00BC4ECE" w:rsidRDefault="008A1509" w:rsidP="008A1509">
      <w:pPr>
        <w:pStyle w:val="Caption"/>
        <w:keepNext/>
      </w:pPr>
      <w:r w:rsidRPr="00BC4ECE">
        <w:fldChar w:fldCharType="begin"/>
      </w:r>
      <w:r w:rsidRPr="00BC4ECE">
        <w:instrText xml:space="preserve"> SEQ paveikslas \* ARABIC </w:instrText>
      </w:r>
      <w:r w:rsidRPr="00BC4ECE">
        <w:fldChar w:fldCharType="separate"/>
      </w:r>
      <w:r w:rsidRPr="00BC4ECE">
        <w:t>6</w:t>
      </w:r>
      <w:r w:rsidRPr="00BC4ECE">
        <w:fldChar w:fldCharType="end"/>
      </w:r>
      <w:r w:rsidRPr="00BC4ECE">
        <w:t xml:space="preserve"> paveikslas. Ekonominės veiklos rodikliai</w:t>
      </w:r>
    </w:p>
    <w:p w:rsidR="00343E0E" w:rsidRDefault="00343E0E" w:rsidP="00805F6F">
      <w:pPr>
        <w:pStyle w:val="Caption"/>
        <w:spacing w:before="240" w:after="240"/>
        <w:rPr>
          <w:b w:val="0"/>
        </w:rPr>
      </w:pPr>
      <w:r>
        <w:rPr>
          <w:noProof/>
          <w:lang w:val="en-US"/>
        </w:rPr>
        <w:drawing>
          <wp:anchor distT="0" distB="0" distL="114300" distR="114300" simplePos="0" relativeHeight="251684864" behindDoc="0" locked="0" layoutInCell="1" allowOverlap="1" wp14:anchorId="65D428A5" wp14:editId="17284020">
            <wp:simplePos x="0" y="0"/>
            <wp:positionH relativeFrom="margin">
              <wp:posOffset>-635</wp:posOffset>
            </wp:positionH>
            <wp:positionV relativeFrom="paragraph">
              <wp:posOffset>19050</wp:posOffset>
            </wp:positionV>
            <wp:extent cx="4653280" cy="2626995"/>
            <wp:effectExtent l="0" t="0" r="13970" b="20955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43E0E" w:rsidRDefault="00343E0E" w:rsidP="00805F6F">
      <w:pPr>
        <w:pStyle w:val="Caption"/>
        <w:spacing w:before="240" w:after="240"/>
        <w:rPr>
          <w:b w:val="0"/>
        </w:rPr>
      </w:pPr>
    </w:p>
    <w:p w:rsidR="00343E0E" w:rsidRDefault="00343E0E" w:rsidP="00805F6F">
      <w:pPr>
        <w:pStyle w:val="Caption"/>
        <w:spacing w:before="240" w:after="240"/>
        <w:rPr>
          <w:b w:val="0"/>
        </w:rPr>
      </w:pPr>
    </w:p>
    <w:p w:rsidR="00343E0E" w:rsidRDefault="00343E0E" w:rsidP="00805F6F">
      <w:pPr>
        <w:pStyle w:val="Caption"/>
        <w:spacing w:before="240" w:after="240"/>
        <w:rPr>
          <w:b w:val="0"/>
        </w:rPr>
      </w:pPr>
    </w:p>
    <w:p w:rsidR="00343E0E" w:rsidRDefault="00343E0E" w:rsidP="00805F6F">
      <w:pPr>
        <w:pStyle w:val="Caption"/>
        <w:spacing w:before="240" w:after="240"/>
        <w:rPr>
          <w:b w:val="0"/>
        </w:rPr>
      </w:pPr>
    </w:p>
    <w:p w:rsidR="00343E0E" w:rsidRDefault="00343E0E" w:rsidP="00805F6F">
      <w:pPr>
        <w:pStyle w:val="Caption"/>
        <w:spacing w:before="240" w:after="240"/>
        <w:rPr>
          <w:b w:val="0"/>
        </w:rPr>
      </w:pPr>
    </w:p>
    <w:p w:rsidR="00343E0E" w:rsidRDefault="00343E0E" w:rsidP="00805F6F">
      <w:pPr>
        <w:pStyle w:val="Caption"/>
        <w:spacing w:before="240" w:after="240"/>
        <w:rPr>
          <w:b w:val="0"/>
        </w:rPr>
      </w:pPr>
    </w:p>
    <w:p w:rsidR="00343E0E" w:rsidRDefault="00343E0E" w:rsidP="00805F6F">
      <w:pPr>
        <w:pStyle w:val="Caption"/>
        <w:spacing w:before="240" w:after="240"/>
        <w:rPr>
          <w:b w:val="0"/>
        </w:rPr>
      </w:pPr>
    </w:p>
    <w:p w:rsidR="00343E0E" w:rsidRDefault="00343E0E" w:rsidP="00805F6F">
      <w:pPr>
        <w:pStyle w:val="Caption"/>
        <w:spacing w:before="240" w:after="240"/>
        <w:rPr>
          <w:b w:val="0"/>
        </w:rPr>
      </w:pPr>
    </w:p>
    <w:p w:rsidR="00343E0E" w:rsidRDefault="00343E0E" w:rsidP="00805F6F">
      <w:pPr>
        <w:pStyle w:val="Caption"/>
        <w:spacing w:before="240" w:after="240"/>
        <w:rPr>
          <w:b w:val="0"/>
        </w:rPr>
      </w:pPr>
    </w:p>
    <w:p w:rsidR="004E0E71" w:rsidRDefault="004E0E71" w:rsidP="00805F6F">
      <w:pPr>
        <w:pStyle w:val="Caption"/>
        <w:spacing w:before="240" w:after="240"/>
        <w:rPr>
          <w:b w:val="0"/>
        </w:rPr>
      </w:pPr>
      <w:r w:rsidRPr="00BC4ECE">
        <w:rPr>
          <w:b w:val="0"/>
        </w:rPr>
        <w:t>Šaltinis: Statistiko</w:t>
      </w:r>
      <w:r w:rsidR="0062159A" w:rsidRPr="00BC4ECE">
        <w:rPr>
          <w:b w:val="0"/>
        </w:rPr>
        <w:t>s</w:t>
      </w:r>
      <w:r w:rsidRPr="00BC4ECE">
        <w:rPr>
          <w:b w:val="0"/>
        </w:rPr>
        <w:t xml:space="preserve"> departamentas</w:t>
      </w:r>
      <w:r w:rsidR="00343E0E">
        <w:rPr>
          <w:b w:val="0"/>
        </w:rPr>
        <w:t>.</w:t>
      </w:r>
    </w:p>
    <w:p w:rsidR="00942138" w:rsidRDefault="006C4D28" w:rsidP="00343E0E">
      <w:pPr>
        <w:pStyle w:val="Heading1"/>
        <w:numPr>
          <w:ilvl w:val="1"/>
          <w:numId w:val="1"/>
        </w:numPr>
        <w:spacing w:before="960" w:after="240"/>
        <w:rPr>
          <w:rFonts w:ascii="Arial" w:hAnsi="Arial" w:cs="Arial"/>
          <w:b w:val="0"/>
          <w:sz w:val="28"/>
        </w:rPr>
      </w:pPr>
      <w:r w:rsidRPr="00DC7F6C">
        <w:rPr>
          <w:rFonts w:ascii="Arial" w:hAnsi="Arial" w:cs="Arial"/>
          <w:b w:val="0"/>
          <w:sz w:val="28"/>
        </w:rPr>
        <w:t>ES struktūrinės paramos poveikis</w:t>
      </w:r>
    </w:p>
    <w:p w:rsidR="00B35CC8" w:rsidRDefault="006C4D28" w:rsidP="00A2570C">
      <w:pPr>
        <w:jc w:val="both"/>
        <w:rPr>
          <w:rFonts w:ascii="Arial" w:eastAsia="MS PGothic" w:hAnsi="Arial" w:cs="Times New Roman"/>
          <w:sz w:val="20"/>
          <w:szCs w:val="24"/>
        </w:rPr>
      </w:pPr>
      <w:r w:rsidRPr="00BC4ECE">
        <w:rPr>
          <w:rFonts w:ascii="Arial" w:eastAsia="MS PGothic" w:hAnsi="Arial" w:cs="Times New Roman"/>
          <w:sz w:val="20"/>
          <w:szCs w:val="24"/>
        </w:rPr>
        <w:t xml:space="preserve">Investicijos probleminėms teritorijoms priskirtoms savivaldybėms buvo skiriamos pagal LRV nutarimu patvirtintas probleminių </w:t>
      </w:r>
      <w:r w:rsidR="002D1DCE">
        <w:rPr>
          <w:rFonts w:ascii="Arial" w:eastAsia="MS PGothic" w:hAnsi="Arial" w:cs="Times New Roman"/>
          <w:sz w:val="20"/>
          <w:szCs w:val="24"/>
        </w:rPr>
        <w:t xml:space="preserve">teritorijų gaivinimo programas. </w:t>
      </w:r>
      <w:r w:rsidR="00BF63D3">
        <w:rPr>
          <w:rFonts w:ascii="Arial" w:eastAsia="MS PGothic" w:hAnsi="Arial" w:cs="Times New Roman"/>
          <w:sz w:val="20"/>
          <w:szCs w:val="24"/>
        </w:rPr>
        <w:t xml:space="preserve">Pagrindiniai </w:t>
      </w:r>
      <w:r w:rsidR="00C446C3">
        <w:rPr>
          <w:rFonts w:ascii="Arial" w:eastAsia="MS PGothic" w:hAnsi="Arial" w:cs="Times New Roman"/>
          <w:sz w:val="20"/>
          <w:szCs w:val="24"/>
        </w:rPr>
        <w:t>Jonavos rajono</w:t>
      </w:r>
      <w:r w:rsidR="00BF63D3">
        <w:rPr>
          <w:rFonts w:ascii="Arial" w:eastAsia="MS PGothic" w:hAnsi="Arial" w:cs="Times New Roman"/>
          <w:sz w:val="20"/>
          <w:szCs w:val="24"/>
        </w:rPr>
        <w:t xml:space="preserve"> savivaldybės programos tikslai buvo mažinti nedarbo rodiklius ir socialinės pašalpos gavėjų skaičių. Tuo tarpu uždaviniai ir veiklos telkėsi į infrastruktūros tobulinimą, daugiabučių atnaujinimą ir savivaldybės tarnautojų administracinių gebėjimų tobulinimą.</w:t>
      </w:r>
      <w:r w:rsidR="00D66F8E">
        <w:rPr>
          <w:rStyle w:val="FootnoteReference"/>
          <w:rFonts w:ascii="Arial" w:eastAsia="MS PGothic" w:hAnsi="Arial" w:cs="Times New Roman"/>
          <w:sz w:val="20"/>
          <w:szCs w:val="24"/>
        </w:rPr>
        <w:footnoteReference w:id="1"/>
      </w:r>
      <w:r w:rsidR="002D1DCE">
        <w:rPr>
          <w:rFonts w:ascii="Arial" w:eastAsia="MS PGothic" w:hAnsi="Arial" w:cs="Times New Roman"/>
          <w:sz w:val="20"/>
          <w:szCs w:val="24"/>
        </w:rPr>
        <w:t xml:space="preserve"> Taigi ir ES SF lėšos daugiausia buvo investuotos</w:t>
      </w:r>
      <w:r w:rsidR="00D66F8E">
        <w:rPr>
          <w:rFonts w:ascii="Arial" w:eastAsia="MS PGothic" w:hAnsi="Arial" w:cs="Times New Roman"/>
          <w:sz w:val="20"/>
          <w:szCs w:val="24"/>
        </w:rPr>
        <w:t xml:space="preserve"> į fizinės aplinkos gerinimą, socialinės infrastruktūros atnaujinimą, daugiabučių renovavimą. </w:t>
      </w:r>
      <w:r w:rsidR="00F43E9F" w:rsidRPr="00BC4ECE">
        <w:rPr>
          <w:rFonts w:ascii="Arial" w:eastAsia="MS PGothic" w:hAnsi="Arial" w:cs="Times New Roman"/>
          <w:sz w:val="20"/>
          <w:szCs w:val="24"/>
        </w:rPr>
        <w:t>P</w:t>
      </w:r>
      <w:r w:rsidR="00B35CC8" w:rsidRPr="00BC4ECE">
        <w:rPr>
          <w:rFonts w:ascii="Arial" w:eastAsia="MS PGothic" w:hAnsi="Arial" w:cs="Times New Roman"/>
          <w:sz w:val="20"/>
          <w:szCs w:val="24"/>
        </w:rPr>
        <w:t xml:space="preserve">robleminių teritorijų gaivinimo programa </w:t>
      </w:r>
      <w:r w:rsidR="00F43E9F" w:rsidRPr="00BC4ECE">
        <w:rPr>
          <w:rFonts w:ascii="Arial" w:eastAsia="MS PGothic" w:hAnsi="Arial" w:cs="Times New Roman"/>
          <w:sz w:val="20"/>
          <w:szCs w:val="24"/>
        </w:rPr>
        <w:t xml:space="preserve">savivaldybei </w:t>
      </w:r>
      <w:r w:rsidR="00D66F8E">
        <w:rPr>
          <w:rFonts w:ascii="Arial" w:eastAsia="MS PGothic" w:hAnsi="Arial" w:cs="Times New Roman"/>
          <w:sz w:val="20"/>
          <w:szCs w:val="24"/>
        </w:rPr>
        <w:t>padėjo gauti papildomų lėšų anksčiau numatytiems savivaldybės atnaujinimo projektams</w:t>
      </w:r>
      <w:r w:rsidR="00C446C3">
        <w:rPr>
          <w:rFonts w:ascii="Arial" w:eastAsia="MS PGothic" w:hAnsi="Arial" w:cs="Times New Roman"/>
          <w:sz w:val="20"/>
          <w:szCs w:val="24"/>
        </w:rPr>
        <w:t>.</w:t>
      </w:r>
      <w:r w:rsidR="00B35CC8" w:rsidRPr="00BC4ECE">
        <w:rPr>
          <w:rFonts w:ascii="Arial" w:eastAsia="MS PGothic" w:hAnsi="Arial" w:cs="Times New Roman"/>
          <w:sz w:val="20"/>
          <w:szCs w:val="24"/>
        </w:rPr>
        <w:t xml:space="preserve"> </w:t>
      </w:r>
      <w:r w:rsidRPr="00BC4ECE">
        <w:rPr>
          <w:rFonts w:ascii="Arial" w:eastAsia="MS PGothic" w:hAnsi="Arial" w:cs="Times New Roman"/>
          <w:sz w:val="20"/>
          <w:szCs w:val="24"/>
        </w:rPr>
        <w:t>Būsto ir viešosios infrastruktūros</w:t>
      </w:r>
      <w:r w:rsidR="00F43E9F" w:rsidRPr="00BC4ECE">
        <w:rPr>
          <w:rFonts w:ascii="Arial" w:eastAsia="MS PGothic" w:hAnsi="Arial" w:cs="Times New Roman"/>
          <w:sz w:val="20"/>
          <w:szCs w:val="24"/>
        </w:rPr>
        <w:t xml:space="preserve"> r</w:t>
      </w:r>
      <w:r w:rsidR="00B35CC8" w:rsidRPr="00BC4ECE">
        <w:rPr>
          <w:rFonts w:ascii="Arial" w:eastAsia="MS PGothic" w:hAnsi="Arial" w:cs="Times New Roman"/>
          <w:sz w:val="20"/>
          <w:szCs w:val="24"/>
        </w:rPr>
        <w:t>enovacijų dėka miestai tapo patrauklesni gyventojams, pravažiuojantiems asmenims</w:t>
      </w:r>
      <w:r w:rsidR="00F43E9F" w:rsidRPr="00BC4ECE">
        <w:rPr>
          <w:rFonts w:ascii="Arial" w:eastAsia="MS PGothic" w:hAnsi="Arial" w:cs="Times New Roman"/>
          <w:sz w:val="20"/>
          <w:szCs w:val="24"/>
        </w:rPr>
        <w:t xml:space="preserve">. </w:t>
      </w:r>
    </w:p>
    <w:p w:rsidR="00700D07" w:rsidRPr="00700D07" w:rsidRDefault="00700D07" w:rsidP="00700D07">
      <w:pPr>
        <w:jc w:val="both"/>
        <w:rPr>
          <w:rFonts w:ascii="Arial" w:eastAsia="MS PGothic" w:hAnsi="Arial" w:cs="Times New Roman"/>
          <w:sz w:val="20"/>
          <w:szCs w:val="24"/>
        </w:rPr>
      </w:pPr>
      <w:r w:rsidRPr="00700D07">
        <w:rPr>
          <w:rFonts w:ascii="Arial" w:eastAsia="MS PGothic" w:hAnsi="Arial" w:cs="Times New Roman"/>
          <w:sz w:val="20"/>
          <w:szCs w:val="24"/>
        </w:rPr>
        <w:t>Jonava yra viena sparčiausiai ES struktūrinių fondų parama daugiabučių renovacijai besinaudojančių šalies savivaldybių rajone. Šiuo metu baigta vykdyti 37 daugiabučių namų modernizacijos projektų. Po modernizacijos pagerėjo gyvenamosios aplinkos sąlygos - sušvelnėjo patalpų mikroklimatas, pakilo patalpų temperatūra ir sumažėja drėgmė, kaštai už apšildymą sumažėja iki 60 proc., palengvėjo namo eksploatacija, sumažėjo jos išlaidos, pakilo name esančių butų kainos nekilnojamo turto rinkoje.</w:t>
      </w:r>
    </w:p>
    <w:p w:rsidR="00C446C3" w:rsidRPr="00C11D47" w:rsidRDefault="00C446C3" w:rsidP="00C446C3">
      <w:pPr>
        <w:jc w:val="both"/>
        <w:rPr>
          <w:rFonts w:ascii="Arial" w:eastAsia="MS PGothic" w:hAnsi="Arial" w:cs="Times New Roman"/>
          <w:sz w:val="20"/>
          <w:szCs w:val="24"/>
        </w:rPr>
      </w:pPr>
      <w:r w:rsidRPr="00C11D47">
        <w:rPr>
          <w:rFonts w:ascii="Arial" w:eastAsia="MS PGothic" w:hAnsi="Arial" w:cs="Times New Roman"/>
          <w:sz w:val="20"/>
          <w:szCs w:val="24"/>
        </w:rPr>
        <w:t xml:space="preserve">2007 – 2013 m. įgyvendinti </w:t>
      </w:r>
      <w:r>
        <w:rPr>
          <w:rFonts w:ascii="Arial" w:eastAsia="MS PGothic" w:hAnsi="Arial" w:cs="Times New Roman"/>
          <w:sz w:val="20"/>
          <w:szCs w:val="24"/>
        </w:rPr>
        <w:t xml:space="preserve">projektai labiausiai prisidėjo prie fizinės aplinkos pokyčių Jonavos savivaldybėje. </w:t>
      </w:r>
      <w:r w:rsidRPr="00C11D47">
        <w:rPr>
          <w:rFonts w:ascii="Arial" w:eastAsia="MS PGothic" w:hAnsi="Arial" w:cs="Times New Roman"/>
          <w:sz w:val="20"/>
          <w:szCs w:val="24"/>
        </w:rPr>
        <w:t>Vertinant infrastruktūros gerinimą</w:t>
      </w:r>
      <w:r>
        <w:rPr>
          <w:rFonts w:ascii="Arial" w:eastAsia="MS PGothic" w:hAnsi="Arial" w:cs="Times New Roman"/>
          <w:sz w:val="20"/>
          <w:szCs w:val="24"/>
        </w:rPr>
        <w:t xml:space="preserve"> ir palankios verslui aplinkos kūrimą</w:t>
      </w:r>
      <w:r w:rsidRPr="00C11D47">
        <w:rPr>
          <w:rFonts w:ascii="Arial" w:eastAsia="MS PGothic" w:hAnsi="Arial" w:cs="Times New Roman"/>
          <w:sz w:val="20"/>
          <w:szCs w:val="24"/>
        </w:rPr>
        <w:t xml:space="preserve">, stebimas tik nedidelis pokytis. Dalyje vietovių imta steigti smulkesnio verslo objektus, tačiau </w:t>
      </w:r>
      <w:r>
        <w:rPr>
          <w:rFonts w:ascii="Arial" w:eastAsia="MS PGothic" w:hAnsi="Arial" w:cs="Times New Roman"/>
          <w:sz w:val="20"/>
          <w:szCs w:val="24"/>
        </w:rPr>
        <w:t>šis poveikis</w:t>
      </w:r>
      <w:r w:rsidRPr="00C11D47">
        <w:rPr>
          <w:rFonts w:ascii="Arial" w:eastAsia="MS PGothic" w:hAnsi="Arial" w:cs="Times New Roman"/>
          <w:sz w:val="20"/>
          <w:szCs w:val="24"/>
        </w:rPr>
        <w:t xml:space="preserve"> nėra statistiškai reikšmingas. Vertinant kitų regionų verslo subjektų suinteresuotumą pastebima, kad suaktyvėjimas yra tik projektų įgyvendinimo lygiu. Tendencijos</w:t>
      </w:r>
      <w:r>
        <w:rPr>
          <w:rFonts w:ascii="Arial" w:eastAsia="MS PGothic" w:hAnsi="Arial" w:cs="Times New Roman"/>
          <w:sz w:val="20"/>
          <w:szCs w:val="24"/>
        </w:rPr>
        <w:t>,</w:t>
      </w:r>
      <w:r w:rsidRPr="00C11D47">
        <w:rPr>
          <w:rFonts w:ascii="Arial" w:eastAsia="MS PGothic" w:hAnsi="Arial" w:cs="Times New Roman"/>
          <w:sz w:val="20"/>
          <w:szCs w:val="24"/>
        </w:rPr>
        <w:t xml:space="preserve"> kuri apibrėžtų ilgalaikio darbo vietų kūrimą, nepastebima.</w:t>
      </w:r>
    </w:p>
    <w:p w:rsidR="00700D07" w:rsidRDefault="00700D07" w:rsidP="00C446C3">
      <w:pPr>
        <w:jc w:val="both"/>
        <w:rPr>
          <w:rFonts w:ascii="Arial" w:eastAsia="MS PGothic" w:hAnsi="Arial" w:cs="Times New Roman"/>
          <w:sz w:val="20"/>
          <w:szCs w:val="24"/>
        </w:rPr>
      </w:pPr>
      <w:r w:rsidRPr="00343E0E">
        <w:rPr>
          <w:rFonts w:ascii="Arial" w:eastAsia="MS PGothic" w:hAnsi="Arial" w:cs="Times New Roman"/>
          <w:noProof/>
          <w:sz w:val="20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30EF9739" wp14:editId="72892458">
                <wp:simplePos x="0" y="0"/>
                <wp:positionH relativeFrom="column">
                  <wp:posOffset>21590</wp:posOffset>
                </wp:positionH>
                <wp:positionV relativeFrom="paragraph">
                  <wp:posOffset>454025</wp:posOffset>
                </wp:positionV>
                <wp:extent cx="5049520" cy="1767205"/>
                <wp:effectExtent l="0" t="0" r="17780" b="23495"/>
                <wp:wrapTight wrapText="bothSides">
                  <wp:wrapPolygon edited="0">
                    <wp:start x="0" y="0"/>
                    <wp:lineTo x="0" y="21654"/>
                    <wp:lineTo x="21595" y="21654"/>
                    <wp:lineTo x="21595" y="0"/>
                    <wp:lineTo x="0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9520" cy="176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00D07" w:rsidRPr="00700D07" w:rsidRDefault="00700D07" w:rsidP="00700D0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00D0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Užusalių tvenkinio ant Šešuvos upelio valymas ir tvarkymas,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00D07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VP3-1.4-AM-04-R-21-013</w:t>
                            </w:r>
                          </w:p>
                          <w:p w:rsidR="00700D07" w:rsidRPr="00343E0E" w:rsidRDefault="00700D07" w:rsidP="00700D07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Projekto metu</w:t>
                            </w:r>
                            <w:r w:rsidRPr="00343E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įgyvendintos šios vandens telkinio gerinimo priemonės: - vandens telkinio valymas ir tvarkymas sumažinant aplinkai kenksmingų teršalų ir biogeninių medžiagų koncentraciją vandenyje bei dugno nuosėdose; - vandens telkinio pakran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tės (apsauginių juostų ir zonų</w:t>
                            </w:r>
                            <w:r w:rsidRPr="00343E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) gamtosauginis tvarkymas. Šio projekto rezultatai prisideda ne tik prie teigiamos įtakos vandens telkinio hidroekologinei būklei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(gamtos kapitalo kūrimas)</w:t>
                            </w:r>
                            <w:r w:rsidRPr="00343E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bet ir prie rekreacinės infrastruktūros, kadangi vandens telkinys patenka į kaimo rekreacinę zoną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(socialinio kapitalo kūrimas)</w:t>
                            </w:r>
                            <w:r w:rsidRPr="00343E0E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Miestelio ribose esantis tvenkinys patenka į Užusalių rekreacinę zoną. Dėl šio priežasties patiria gausią nuolatinių lankytojų apkrovą, todėl jo pakrantės yra žymiai daugiau teršiamos šiukšlėmis nei neurbanizuotose teritorijose. Atsižvelgiant į šias problemas nuspręsta išvalyti ežerą nuo susikaupusių šiukšlių, apželdinti apsauginę juostą tinkamais želdiniais, tuo siekiant pagerinti pakrančių vandens ekosistemų būklę.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Investicijos į gamtos ir socialinį kapitalą teigiamai prisidėjo prie darnaus vystymosi principo.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left:0;text-align:left;margin-left:1.7pt;margin-top:35.75pt;width:397.6pt;height:139.1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">
                <v:textbox>
                  <w:txbxContent>
                    <w:p w:rsidR="00700D07" w:rsidRPr="00700D07" w:rsidRDefault="00700D07" w:rsidP="00700D07">
                      <w:pPr>
                        <w:jc w:val="both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700D0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Užusalių tvenkinio ant Šešuvos upelio valymas ir tvarkymas,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Pr="00700D07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VP3-1.4-AM-04-R-21-013</w:t>
                      </w:r>
                    </w:p>
                    <w:p w:rsidR="00700D07" w:rsidRPr="00343E0E" w:rsidRDefault="00700D07" w:rsidP="00700D07">
                      <w:pPr>
                        <w:jc w:val="both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Projekto metu</w:t>
                      </w:r>
                      <w:r w:rsidRPr="00343E0E">
                        <w:rPr>
                          <w:rFonts w:ascii="Arial" w:hAnsi="Arial" w:cs="Arial"/>
                          <w:sz w:val="16"/>
                          <w:szCs w:val="16"/>
                        </w:rPr>
                        <w:t>įgyvendintos šios vandens telkinio gerinimo priemonės: - vandens telkinio valymas ir tvarkymas sumažinant aplinkai kenksmingų teršalų ir biogeninių medžiagų koncentraciją vandenyje bei dugno nuosėdose; - vandens telkinio pakran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tės (apsauginių juostų ir zonų</w:t>
                      </w:r>
                      <w:r w:rsidRPr="00343E0E">
                        <w:rPr>
                          <w:rFonts w:ascii="Arial" w:hAnsi="Arial" w:cs="Arial"/>
                          <w:sz w:val="16"/>
                          <w:szCs w:val="16"/>
                        </w:rPr>
                        <w:t>) gamtosauginis tvarkymas. Šio projekto rezultatai prisideda ne tik prie teigiamos įtakos vandens telkinio hidroekologinei būklei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(gamtos kapitalo kūrimas)</w:t>
                      </w:r>
                      <w:r w:rsidRPr="00343E0E">
                        <w:rPr>
                          <w:rFonts w:ascii="Arial" w:hAnsi="Arial" w:cs="Arial"/>
                          <w:sz w:val="16"/>
                          <w:szCs w:val="16"/>
                        </w:rPr>
                        <w:t>, bet ir prie rekreacinės infrastruktūros, kadangi vandens telkinys patenka į kaimo rekreacinę zoną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(socialinio kapitalo kūrimas)</w:t>
                      </w:r>
                      <w:r w:rsidRPr="00343E0E">
                        <w:rPr>
                          <w:rFonts w:ascii="Arial" w:hAnsi="Arial" w:cs="Arial"/>
                          <w:sz w:val="16"/>
                          <w:szCs w:val="16"/>
                        </w:rPr>
                        <w:t>. Miestelio ribose esantis tvenkinys patenka į Užusalių rekreacinę zoną. Dėl šio priežasties patiria gausią nuolatinių lankytojų apkrovą, todėl jo pakrantės yra žymiai daugiau teršiamos šiukšlėmis nei neurbanizuotose teritorijose. Atsižvelgiant į šias problemas nuspręsta išvalyti ežerą nuo susikaupusių šiukšlių, apželdinti apsauginę juostą tinkamais želdiniais, tuo siekiant pagerinti pakrančių vandens ekosistemų būklę.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Investicijos į gamtos ir socialinį kapitalą teigiamai prisidėjo prie darnaus vystymosi principo.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446C3" w:rsidRPr="00C11D47">
        <w:rPr>
          <w:rFonts w:ascii="Arial" w:eastAsia="MS PGothic" w:hAnsi="Arial" w:cs="Times New Roman"/>
          <w:sz w:val="20"/>
          <w:szCs w:val="24"/>
        </w:rPr>
        <w:t xml:space="preserve">Vertinant savivaldybės raidą dešimties metų laikotarpiu, situacija tendencingai gerėja – sutvarkyta aplinka, atnaujinta infrastruktūra. </w:t>
      </w:r>
    </w:p>
    <w:p w:rsidR="002D1DCE" w:rsidRDefault="00C446C3" w:rsidP="002D1DCE">
      <w:pPr>
        <w:jc w:val="both"/>
        <w:rPr>
          <w:rFonts w:ascii="Arial" w:eastAsia="MS PGothic" w:hAnsi="Arial" w:cs="Times New Roman"/>
          <w:sz w:val="20"/>
          <w:szCs w:val="24"/>
        </w:rPr>
      </w:pPr>
      <w:r>
        <w:rPr>
          <w:rFonts w:ascii="Arial" w:eastAsia="MS PGothic" w:hAnsi="Arial" w:cs="Times New Roman"/>
          <w:sz w:val="20"/>
          <w:szCs w:val="24"/>
        </w:rPr>
        <w:t>Buvo stebimas multiplikacinio efekto „persiliejimas“ į kitas sritis. ES SF padarė teigiamą poveikį gyventojų požiūriui į aplinkos tvarkymą, būsto renovavimą. Vis dėlto ES SF lėšų kiekis buvo nepakankamas probleminių teritorijų plėtros programose nustatytiems tikslams pasiekti.</w:t>
      </w:r>
      <w:r w:rsidR="00700D07">
        <w:rPr>
          <w:rFonts w:ascii="Arial" w:eastAsia="MS PGothic" w:hAnsi="Arial" w:cs="Times New Roman"/>
          <w:sz w:val="20"/>
          <w:szCs w:val="24"/>
        </w:rPr>
        <w:t xml:space="preserve"> </w:t>
      </w:r>
      <w:r w:rsidR="002D1DCE">
        <w:rPr>
          <w:rFonts w:ascii="Arial" w:eastAsia="MS PGothic" w:hAnsi="Arial" w:cs="Times New Roman"/>
          <w:sz w:val="20"/>
          <w:szCs w:val="24"/>
        </w:rPr>
        <w:t>Apibendrinant, ES struktūrinių fondų lėšos didžiausią įtaką darė fizinės aplinkos gerinimo ir ekonominės veiklos skatinimo srityse, kuriant ir plėtojant socialinių paslaugų bei gyvenamosios aplinkos</w:t>
      </w:r>
      <w:r>
        <w:rPr>
          <w:rFonts w:ascii="Arial" w:eastAsia="MS PGothic" w:hAnsi="Arial" w:cs="Times New Roman"/>
          <w:sz w:val="20"/>
          <w:szCs w:val="24"/>
        </w:rPr>
        <w:t>, energijos efektyvumo gerinimo</w:t>
      </w:r>
      <w:r w:rsidR="002D1DCE">
        <w:rPr>
          <w:rFonts w:ascii="Arial" w:eastAsia="MS PGothic" w:hAnsi="Arial" w:cs="Times New Roman"/>
          <w:sz w:val="20"/>
          <w:szCs w:val="24"/>
        </w:rPr>
        <w:t xml:space="preserve"> infrastruktūrą.</w:t>
      </w:r>
      <w:r w:rsidR="0020507E">
        <w:rPr>
          <w:rFonts w:ascii="Arial" w:eastAsia="MS PGothic" w:hAnsi="Arial" w:cs="Times New Roman"/>
          <w:sz w:val="20"/>
          <w:szCs w:val="24"/>
        </w:rPr>
        <w:t xml:space="preserve"> </w:t>
      </w:r>
      <w:r w:rsidR="002D1DCE" w:rsidRPr="002E30F9">
        <w:rPr>
          <w:rFonts w:ascii="Arial" w:eastAsia="MS PGothic" w:hAnsi="Arial" w:cs="Times New Roman"/>
          <w:sz w:val="20"/>
          <w:szCs w:val="24"/>
        </w:rPr>
        <w:t xml:space="preserve">Įvertinus ES struktūrinių fondų investavimo kryptis ir </w:t>
      </w:r>
      <w:r w:rsidR="002D1DCE">
        <w:rPr>
          <w:rFonts w:ascii="Arial" w:eastAsia="MS PGothic" w:hAnsi="Arial" w:cs="Times New Roman"/>
          <w:sz w:val="20"/>
          <w:szCs w:val="24"/>
        </w:rPr>
        <w:t>stebimus socio-ekonominius bei aplinkos taršos rodiklių pokyčius</w:t>
      </w:r>
      <w:r w:rsidR="002D1DCE">
        <w:rPr>
          <w:rFonts w:ascii="Arial" w:eastAsia="MS PGothic" w:hAnsi="Arial" w:cs="Times New Roman"/>
          <w:sz w:val="20"/>
          <w:szCs w:val="24"/>
          <w:lang w:val="en-US"/>
        </w:rPr>
        <w:t xml:space="preserve">, </w:t>
      </w:r>
      <w:proofErr w:type="spellStart"/>
      <w:r w:rsidR="002D1DCE">
        <w:rPr>
          <w:rFonts w:ascii="Arial" w:eastAsia="MS PGothic" w:hAnsi="Arial" w:cs="Times New Roman"/>
          <w:sz w:val="20"/>
          <w:szCs w:val="24"/>
          <w:lang w:val="en-US"/>
        </w:rPr>
        <w:t>galima</w:t>
      </w:r>
      <w:proofErr w:type="spellEnd"/>
      <w:r w:rsidR="002D1DCE">
        <w:rPr>
          <w:rFonts w:ascii="Arial" w:eastAsia="MS PGothic" w:hAnsi="Arial" w:cs="Times New Roman"/>
          <w:sz w:val="20"/>
          <w:szCs w:val="24"/>
          <w:lang w:val="en-US"/>
        </w:rPr>
        <w:t xml:space="preserve"> </w:t>
      </w:r>
      <w:proofErr w:type="spellStart"/>
      <w:r w:rsidR="002D1DCE">
        <w:rPr>
          <w:rFonts w:ascii="Arial" w:eastAsia="MS PGothic" w:hAnsi="Arial" w:cs="Times New Roman"/>
          <w:sz w:val="20"/>
          <w:szCs w:val="24"/>
          <w:lang w:val="en-US"/>
        </w:rPr>
        <w:t>teigti</w:t>
      </w:r>
      <w:proofErr w:type="spellEnd"/>
      <w:r w:rsidR="002D1DCE">
        <w:rPr>
          <w:rFonts w:ascii="Arial" w:eastAsia="MS PGothic" w:hAnsi="Arial" w:cs="Times New Roman"/>
          <w:sz w:val="20"/>
          <w:szCs w:val="24"/>
          <w:lang w:val="en-US"/>
        </w:rPr>
        <w:t xml:space="preserve">, </w:t>
      </w:r>
      <w:proofErr w:type="spellStart"/>
      <w:r w:rsidR="002D1DCE">
        <w:rPr>
          <w:rFonts w:ascii="Arial" w:eastAsia="MS PGothic" w:hAnsi="Arial" w:cs="Times New Roman"/>
          <w:sz w:val="20"/>
          <w:szCs w:val="24"/>
          <w:lang w:val="en-US"/>
        </w:rPr>
        <w:t>kad</w:t>
      </w:r>
      <w:proofErr w:type="spellEnd"/>
      <w:r w:rsidR="002D1DCE">
        <w:rPr>
          <w:rFonts w:ascii="Arial" w:eastAsia="MS PGothic" w:hAnsi="Arial" w:cs="Times New Roman"/>
          <w:sz w:val="20"/>
          <w:szCs w:val="24"/>
        </w:rPr>
        <w:t xml:space="preserve"> </w:t>
      </w:r>
      <w:r>
        <w:rPr>
          <w:rFonts w:ascii="Arial" w:eastAsia="MS PGothic" w:hAnsi="Arial" w:cs="Times New Roman"/>
          <w:sz w:val="20"/>
          <w:szCs w:val="24"/>
        </w:rPr>
        <w:t>Jonavos rajono</w:t>
      </w:r>
      <w:r w:rsidR="00356065">
        <w:rPr>
          <w:rFonts w:ascii="Arial" w:eastAsia="MS PGothic" w:hAnsi="Arial" w:cs="Times New Roman"/>
          <w:sz w:val="20"/>
          <w:szCs w:val="24"/>
        </w:rPr>
        <w:t xml:space="preserve"> savivaldybėje </w:t>
      </w:r>
      <w:r>
        <w:rPr>
          <w:rFonts w:ascii="Arial" w:eastAsia="MS PGothic" w:hAnsi="Arial" w:cs="Times New Roman"/>
          <w:sz w:val="20"/>
          <w:szCs w:val="24"/>
        </w:rPr>
        <w:t>investicijos į ekonominės veiklos gerinimą bei aplinkosaugą nepadarė stipraus poveikio darniai savivaldybės plėtrai.</w:t>
      </w:r>
    </w:p>
    <w:p w:rsidR="00897144" w:rsidRPr="00BC4ECE" w:rsidRDefault="00897144">
      <w:pPr>
        <w:jc w:val="both"/>
        <w:rPr>
          <w:rFonts w:ascii="Arial" w:eastAsia="MS PGothic" w:hAnsi="Arial" w:cs="Times New Roman"/>
          <w:sz w:val="20"/>
          <w:szCs w:val="24"/>
        </w:rPr>
      </w:pPr>
      <w:bookmarkStart w:id="0" w:name="_GoBack"/>
      <w:bookmarkEnd w:id="0"/>
    </w:p>
    <w:sectPr w:rsidR="00897144" w:rsidRPr="00BC4ECE" w:rsidSect="00252B4A">
      <w:footerReference w:type="default" r:id="rId17"/>
      <w:footerReference w:type="first" r:id="rId18"/>
      <w:pgSz w:w="11901" w:h="16840"/>
      <w:pgMar w:top="1418" w:right="1134" w:bottom="1701" w:left="2835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32" w:rsidRDefault="003B5132">
      <w:pPr>
        <w:spacing w:after="0" w:line="240" w:lineRule="auto"/>
      </w:pPr>
      <w:r>
        <w:separator/>
      </w:r>
    </w:p>
  </w:endnote>
  <w:endnote w:type="continuationSeparator" w:id="0">
    <w:p w:rsidR="003B5132" w:rsidRDefault="003B5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3195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C7F6C" w:rsidRDefault="00DC7F6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944FE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8F6941" w:rsidRDefault="008F694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2416536"/>
      <w:docPartObj>
        <w:docPartGallery w:val="Page Numbers (Bottom of Page)"/>
        <w:docPartUnique/>
      </w:docPartObj>
    </w:sdtPr>
    <w:sdtEndPr>
      <w:rPr>
        <w:noProof/>
        <w:szCs w:val="17"/>
      </w:rPr>
    </w:sdtEndPr>
    <w:sdtContent>
      <w:p w:rsidR="008F6941" w:rsidRPr="00DC7F6C" w:rsidRDefault="008F6941">
        <w:pPr>
          <w:pStyle w:val="Footer"/>
          <w:jc w:val="right"/>
          <w:rPr>
            <w:szCs w:val="17"/>
          </w:rPr>
        </w:pPr>
        <w:r w:rsidRPr="00DC7F6C">
          <w:rPr>
            <w:szCs w:val="17"/>
          </w:rPr>
          <w:fldChar w:fldCharType="begin"/>
        </w:r>
        <w:r w:rsidRPr="00DC7F6C">
          <w:rPr>
            <w:szCs w:val="17"/>
          </w:rPr>
          <w:instrText xml:space="preserve"> PAGE   \* MERGEFORMAT </w:instrText>
        </w:r>
        <w:r w:rsidRPr="00DC7F6C">
          <w:rPr>
            <w:szCs w:val="17"/>
          </w:rPr>
          <w:fldChar w:fldCharType="separate"/>
        </w:r>
        <w:r w:rsidR="00700D07">
          <w:rPr>
            <w:noProof/>
            <w:szCs w:val="17"/>
          </w:rPr>
          <w:t>1</w:t>
        </w:r>
        <w:r w:rsidRPr="00DC7F6C">
          <w:rPr>
            <w:noProof/>
            <w:szCs w:val="17"/>
          </w:rPr>
          <w:fldChar w:fldCharType="end"/>
        </w:r>
      </w:p>
    </w:sdtContent>
  </w:sdt>
  <w:p w:rsidR="00C45115" w:rsidRPr="00BE0549" w:rsidRDefault="009944FE" w:rsidP="00BE05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32" w:rsidRDefault="003B5132">
      <w:pPr>
        <w:spacing w:after="0" w:line="240" w:lineRule="auto"/>
      </w:pPr>
      <w:r>
        <w:separator/>
      </w:r>
    </w:p>
  </w:footnote>
  <w:footnote w:type="continuationSeparator" w:id="0">
    <w:p w:rsidR="003B5132" w:rsidRDefault="003B5132">
      <w:pPr>
        <w:spacing w:after="0" w:line="240" w:lineRule="auto"/>
      </w:pPr>
      <w:r>
        <w:continuationSeparator/>
      </w:r>
    </w:p>
  </w:footnote>
  <w:footnote w:id="1">
    <w:p w:rsidR="00D66F8E" w:rsidRPr="00FC1F97" w:rsidRDefault="00D66F8E">
      <w:pPr>
        <w:pStyle w:val="FootnoteText"/>
        <w:rPr>
          <w:rFonts w:ascii="Arial" w:hAnsi="Arial" w:cs="Arial"/>
          <w:sz w:val="18"/>
          <w:lang w:val="en-US"/>
        </w:rPr>
      </w:pPr>
      <w:r w:rsidRPr="00FC1F97">
        <w:rPr>
          <w:rStyle w:val="FootnoteReference"/>
          <w:rFonts w:ascii="Arial" w:hAnsi="Arial" w:cs="Arial"/>
          <w:sz w:val="18"/>
        </w:rPr>
        <w:footnoteRef/>
      </w:r>
      <w:r w:rsidRPr="00FC1F97">
        <w:rPr>
          <w:rFonts w:ascii="Arial" w:hAnsi="Arial" w:cs="Arial"/>
          <w:sz w:val="18"/>
        </w:rPr>
        <w:t xml:space="preserve"> 2011 m. gegužės 18 d. </w:t>
      </w:r>
      <w:proofErr w:type="spellStart"/>
      <w:r w:rsidRPr="00FC1F97">
        <w:rPr>
          <w:rFonts w:ascii="Arial" w:hAnsi="Arial" w:cs="Arial"/>
          <w:sz w:val="18"/>
          <w:lang w:val="en-US"/>
        </w:rPr>
        <w:t>Lietuvos</w:t>
      </w:r>
      <w:proofErr w:type="spellEnd"/>
      <w:r w:rsidRPr="00FC1F9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FC1F97">
        <w:rPr>
          <w:rFonts w:ascii="Arial" w:hAnsi="Arial" w:cs="Arial"/>
          <w:sz w:val="18"/>
          <w:lang w:val="en-US"/>
        </w:rPr>
        <w:t>Respublikos</w:t>
      </w:r>
      <w:proofErr w:type="spellEnd"/>
      <w:r w:rsidRPr="00FC1F97">
        <w:rPr>
          <w:rFonts w:ascii="Arial" w:hAnsi="Arial" w:cs="Arial"/>
          <w:sz w:val="18"/>
          <w:lang w:val="en-US"/>
        </w:rPr>
        <w:t xml:space="preserve"> </w:t>
      </w:r>
      <w:proofErr w:type="spellStart"/>
      <w:r w:rsidRPr="00FC1F97">
        <w:rPr>
          <w:rFonts w:ascii="Arial" w:hAnsi="Arial" w:cs="Arial"/>
          <w:sz w:val="18"/>
          <w:lang w:val="en-US"/>
        </w:rPr>
        <w:t>Vyriausyb</w:t>
      </w:r>
      <w:proofErr w:type="spellEnd"/>
      <w:r w:rsidRPr="00FC1F97">
        <w:rPr>
          <w:rFonts w:ascii="Arial" w:hAnsi="Arial" w:cs="Arial"/>
          <w:sz w:val="18"/>
        </w:rPr>
        <w:t xml:space="preserve">ės nutarimas Nr. 588 „Dėl probleminių teritorijų plėtros programų patvirtinimo“ &lt; </w:t>
      </w:r>
      <w:hyperlink r:id="rId1" w:history="1">
        <w:r w:rsidRPr="00FC1F97">
          <w:rPr>
            <w:rStyle w:val="Hyperlink"/>
            <w:rFonts w:ascii="Arial" w:hAnsi="Arial" w:cs="Arial"/>
            <w:sz w:val="18"/>
          </w:rPr>
          <w:t>https://e-tar.lt/portal/lt/legalAct/TAR.FA6D2B23F867</w:t>
        </w:r>
      </w:hyperlink>
      <w:r w:rsidRPr="00FC1F97">
        <w:rPr>
          <w:rFonts w:ascii="Arial" w:hAnsi="Arial" w:cs="Arial"/>
          <w:sz w:val="18"/>
        </w:rPr>
        <w:t xml:space="preserve"> &gt;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8174A"/>
    <w:multiLevelType w:val="multilevel"/>
    <w:tmpl w:val="E03E5E5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>
    <w:nsid w:val="08D503ED"/>
    <w:multiLevelType w:val="multilevel"/>
    <w:tmpl w:val="3EF01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>
    <w:nsid w:val="1AB36E7E"/>
    <w:multiLevelType w:val="multilevel"/>
    <w:tmpl w:val="3EF01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>
    <w:nsid w:val="58922398"/>
    <w:multiLevelType w:val="hybridMultilevel"/>
    <w:tmpl w:val="69242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34343D"/>
    <w:multiLevelType w:val="hybridMultilevel"/>
    <w:tmpl w:val="516608C2"/>
    <w:lvl w:ilvl="0" w:tplc="349A78C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86592C"/>
    <w:multiLevelType w:val="multilevel"/>
    <w:tmpl w:val="3EF0123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7BB"/>
    <w:rsid w:val="0001054F"/>
    <w:rsid w:val="0001131C"/>
    <w:rsid w:val="00020455"/>
    <w:rsid w:val="000534F9"/>
    <w:rsid w:val="0005613F"/>
    <w:rsid w:val="0006433C"/>
    <w:rsid w:val="000C024B"/>
    <w:rsid w:val="000C341E"/>
    <w:rsid w:val="000D5BA5"/>
    <w:rsid w:val="000D77A0"/>
    <w:rsid w:val="000F56AE"/>
    <w:rsid w:val="00101E5E"/>
    <w:rsid w:val="00123257"/>
    <w:rsid w:val="001253F5"/>
    <w:rsid w:val="00136152"/>
    <w:rsid w:val="00156F09"/>
    <w:rsid w:val="001A72A7"/>
    <w:rsid w:val="001B09C3"/>
    <w:rsid w:val="001E095D"/>
    <w:rsid w:val="001F2140"/>
    <w:rsid w:val="0020507E"/>
    <w:rsid w:val="0020781B"/>
    <w:rsid w:val="00231F9C"/>
    <w:rsid w:val="0023534D"/>
    <w:rsid w:val="002427B5"/>
    <w:rsid w:val="00242947"/>
    <w:rsid w:val="00245A8A"/>
    <w:rsid w:val="00253066"/>
    <w:rsid w:val="002677E8"/>
    <w:rsid w:val="00284741"/>
    <w:rsid w:val="00295323"/>
    <w:rsid w:val="002A3F19"/>
    <w:rsid w:val="002B025C"/>
    <w:rsid w:val="002B4036"/>
    <w:rsid w:val="002D1DCE"/>
    <w:rsid w:val="002E30F9"/>
    <w:rsid w:val="002F53F5"/>
    <w:rsid w:val="00316283"/>
    <w:rsid w:val="00326A1B"/>
    <w:rsid w:val="00343E0E"/>
    <w:rsid w:val="00356065"/>
    <w:rsid w:val="0035623C"/>
    <w:rsid w:val="0037112C"/>
    <w:rsid w:val="003851F2"/>
    <w:rsid w:val="00397FF3"/>
    <w:rsid w:val="003B5132"/>
    <w:rsid w:val="003B6A9C"/>
    <w:rsid w:val="003D195A"/>
    <w:rsid w:val="003E5F95"/>
    <w:rsid w:val="00412185"/>
    <w:rsid w:val="00424FB7"/>
    <w:rsid w:val="0044118D"/>
    <w:rsid w:val="00462CCD"/>
    <w:rsid w:val="004722C7"/>
    <w:rsid w:val="004743DF"/>
    <w:rsid w:val="004A5F6F"/>
    <w:rsid w:val="004B45DE"/>
    <w:rsid w:val="004C6B41"/>
    <w:rsid w:val="004E0E71"/>
    <w:rsid w:val="00501B52"/>
    <w:rsid w:val="005246C8"/>
    <w:rsid w:val="00540ADA"/>
    <w:rsid w:val="005411B7"/>
    <w:rsid w:val="00554B62"/>
    <w:rsid w:val="005577BB"/>
    <w:rsid w:val="00560E0D"/>
    <w:rsid w:val="00591462"/>
    <w:rsid w:val="00594D44"/>
    <w:rsid w:val="005966F9"/>
    <w:rsid w:val="005D7C5E"/>
    <w:rsid w:val="0061421F"/>
    <w:rsid w:val="0062033D"/>
    <w:rsid w:val="0062159A"/>
    <w:rsid w:val="00621899"/>
    <w:rsid w:val="00631113"/>
    <w:rsid w:val="00645918"/>
    <w:rsid w:val="00660951"/>
    <w:rsid w:val="00687A46"/>
    <w:rsid w:val="00692255"/>
    <w:rsid w:val="006B7576"/>
    <w:rsid w:val="006C16C9"/>
    <w:rsid w:val="006C4D28"/>
    <w:rsid w:val="00700D07"/>
    <w:rsid w:val="0070345E"/>
    <w:rsid w:val="00742C97"/>
    <w:rsid w:val="00745B48"/>
    <w:rsid w:val="00761250"/>
    <w:rsid w:val="007B57EE"/>
    <w:rsid w:val="007D0C4A"/>
    <w:rsid w:val="007F0777"/>
    <w:rsid w:val="00800911"/>
    <w:rsid w:val="0080175F"/>
    <w:rsid w:val="00805F6F"/>
    <w:rsid w:val="00817BD0"/>
    <w:rsid w:val="008647DA"/>
    <w:rsid w:val="008856B5"/>
    <w:rsid w:val="00897144"/>
    <w:rsid w:val="008A1509"/>
    <w:rsid w:val="008B1202"/>
    <w:rsid w:val="008F6941"/>
    <w:rsid w:val="00917C1E"/>
    <w:rsid w:val="00923DC7"/>
    <w:rsid w:val="00942138"/>
    <w:rsid w:val="00955E14"/>
    <w:rsid w:val="009944FE"/>
    <w:rsid w:val="009A35E9"/>
    <w:rsid w:val="009A43BA"/>
    <w:rsid w:val="009C7D5B"/>
    <w:rsid w:val="009D1D9B"/>
    <w:rsid w:val="009D7299"/>
    <w:rsid w:val="009F1A90"/>
    <w:rsid w:val="00A2570C"/>
    <w:rsid w:val="00A46722"/>
    <w:rsid w:val="00A552B8"/>
    <w:rsid w:val="00A70602"/>
    <w:rsid w:val="00A82AF0"/>
    <w:rsid w:val="00A90A5D"/>
    <w:rsid w:val="00AA3395"/>
    <w:rsid w:val="00AE6D59"/>
    <w:rsid w:val="00AF0119"/>
    <w:rsid w:val="00B06A2E"/>
    <w:rsid w:val="00B13875"/>
    <w:rsid w:val="00B320FB"/>
    <w:rsid w:val="00B35CC8"/>
    <w:rsid w:val="00B35F78"/>
    <w:rsid w:val="00B47E2E"/>
    <w:rsid w:val="00B70EC1"/>
    <w:rsid w:val="00B72614"/>
    <w:rsid w:val="00B76AF6"/>
    <w:rsid w:val="00BA0105"/>
    <w:rsid w:val="00BC4ECE"/>
    <w:rsid w:val="00BF63D3"/>
    <w:rsid w:val="00C01E16"/>
    <w:rsid w:val="00C24D75"/>
    <w:rsid w:val="00C266D6"/>
    <w:rsid w:val="00C363C5"/>
    <w:rsid w:val="00C369A0"/>
    <w:rsid w:val="00C446C3"/>
    <w:rsid w:val="00C6756A"/>
    <w:rsid w:val="00C77B11"/>
    <w:rsid w:val="00C83C6E"/>
    <w:rsid w:val="00C849C4"/>
    <w:rsid w:val="00C979EF"/>
    <w:rsid w:val="00C97DE2"/>
    <w:rsid w:val="00CB7E91"/>
    <w:rsid w:val="00CD0222"/>
    <w:rsid w:val="00CF47D0"/>
    <w:rsid w:val="00D01CEF"/>
    <w:rsid w:val="00D41C73"/>
    <w:rsid w:val="00D45CFF"/>
    <w:rsid w:val="00D62EB8"/>
    <w:rsid w:val="00D65C3C"/>
    <w:rsid w:val="00D66F8E"/>
    <w:rsid w:val="00D81B36"/>
    <w:rsid w:val="00D91EEC"/>
    <w:rsid w:val="00DC3E9D"/>
    <w:rsid w:val="00DC7F6C"/>
    <w:rsid w:val="00DF75BE"/>
    <w:rsid w:val="00E41636"/>
    <w:rsid w:val="00E42D65"/>
    <w:rsid w:val="00E5283B"/>
    <w:rsid w:val="00E55606"/>
    <w:rsid w:val="00E56004"/>
    <w:rsid w:val="00E561C3"/>
    <w:rsid w:val="00E805EC"/>
    <w:rsid w:val="00EC1E09"/>
    <w:rsid w:val="00ED2FB0"/>
    <w:rsid w:val="00F02104"/>
    <w:rsid w:val="00F43E9F"/>
    <w:rsid w:val="00F47E08"/>
    <w:rsid w:val="00F543B3"/>
    <w:rsid w:val="00F606F0"/>
    <w:rsid w:val="00F607CD"/>
    <w:rsid w:val="00F63FF4"/>
    <w:rsid w:val="00F73ED6"/>
    <w:rsid w:val="00F86DB2"/>
    <w:rsid w:val="00FA6284"/>
    <w:rsid w:val="00FB52BA"/>
    <w:rsid w:val="00FC1F97"/>
    <w:rsid w:val="00FC34DA"/>
    <w:rsid w:val="00FF20FA"/>
    <w:rsid w:val="00FF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5577BB"/>
    <w:pPr>
      <w:keepNext/>
      <w:keepLines/>
      <w:spacing w:before="480" w:after="113" w:line="240" w:lineRule="exact"/>
      <w:outlineLvl w:val="0"/>
    </w:pPr>
    <w:rPr>
      <w:rFonts w:ascii="Calibri" w:eastAsia="MS PGothic" w:hAnsi="Calibri" w:cs="Times New Roman"/>
      <w:b/>
      <w:bCs/>
      <w:color w:val="6796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-lineSectionheading">
    <w:name w:val="00. 1-line Section heading"/>
    <w:basedOn w:val="Normal"/>
    <w:qFormat/>
    <w:rsid w:val="005577BB"/>
    <w:pPr>
      <w:shd w:val="clear" w:color="auto" w:fill="FFFFFF"/>
      <w:spacing w:after="1440" w:line="720" w:lineRule="exact"/>
    </w:pPr>
    <w:rPr>
      <w:rFonts w:ascii="Times New Roman" w:eastAsia="Times" w:hAnsi="Times New Roman" w:cs="Times New Roman"/>
      <w:noProof/>
      <w:color w:val="002776"/>
      <w:kern w:val="28"/>
      <w:sz w:val="64"/>
      <w:szCs w:val="70"/>
    </w:rPr>
  </w:style>
  <w:style w:type="character" w:customStyle="1" w:styleId="Heading1Char">
    <w:name w:val="Heading 1 Char"/>
    <w:basedOn w:val="DefaultParagraphFont"/>
    <w:link w:val="Heading1"/>
    <w:rsid w:val="005577BB"/>
    <w:rPr>
      <w:rFonts w:ascii="Calibri" w:eastAsia="MS PGothic" w:hAnsi="Calibri" w:cs="Times New Roman"/>
      <w:b/>
      <w:bCs/>
      <w:color w:val="679600"/>
      <w:sz w:val="32"/>
      <w:szCs w:val="32"/>
      <w:lang w:val="lt-LT"/>
    </w:rPr>
  </w:style>
  <w:style w:type="paragraph" w:styleId="Footer">
    <w:name w:val="footer"/>
    <w:basedOn w:val="Normal"/>
    <w:link w:val="FooterChar"/>
    <w:uiPriority w:val="99"/>
    <w:rsid w:val="005577BB"/>
    <w:pPr>
      <w:tabs>
        <w:tab w:val="center" w:pos="4320"/>
        <w:tab w:val="right" w:pos="8640"/>
      </w:tabs>
      <w:spacing w:after="0" w:line="240" w:lineRule="auto"/>
    </w:pPr>
    <w:rPr>
      <w:rFonts w:ascii="Arial" w:eastAsia="MS PGothic" w:hAnsi="Arial" w:cs="Times New Roman"/>
      <w:sz w:val="17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77BB"/>
    <w:rPr>
      <w:rFonts w:ascii="Arial" w:eastAsia="MS PGothic" w:hAnsi="Arial" w:cs="Times New Roman"/>
      <w:sz w:val="17"/>
      <w:szCs w:val="24"/>
      <w:lang w:val="lt-LT"/>
    </w:rPr>
  </w:style>
  <w:style w:type="paragraph" w:styleId="Caption">
    <w:name w:val="caption"/>
    <w:basedOn w:val="Normal"/>
    <w:next w:val="Normal"/>
    <w:qFormat/>
    <w:rsid w:val="005577BB"/>
    <w:pPr>
      <w:spacing w:after="200" w:line="240" w:lineRule="auto"/>
    </w:pPr>
    <w:rPr>
      <w:rFonts w:ascii="Arial" w:eastAsia="Times" w:hAnsi="Arial" w:cs="Times New Roman"/>
      <w:b/>
      <w:bCs/>
      <w:sz w:val="18"/>
      <w:szCs w:val="18"/>
    </w:rPr>
  </w:style>
  <w:style w:type="paragraph" w:customStyle="1" w:styleId="Deloittebodytext">
    <w:name w:val="Deloitte body text"/>
    <w:qFormat/>
    <w:rsid w:val="005577BB"/>
    <w:pPr>
      <w:spacing w:after="240" w:line="280" w:lineRule="exact"/>
    </w:pPr>
    <w:rPr>
      <w:rFonts w:ascii="Arial" w:eastAsia="Times New Roman" w:hAnsi="Arial" w:cs="Times New Roman"/>
      <w:color w:val="000000"/>
      <w:sz w:val="20"/>
      <w:szCs w:val="48"/>
      <w:lang w:val="cs-CZ"/>
    </w:rPr>
  </w:style>
  <w:style w:type="paragraph" w:styleId="NormalWeb">
    <w:name w:val="Normal (Web)"/>
    <w:basedOn w:val="Normal"/>
    <w:uiPriority w:val="99"/>
    <w:semiHidden/>
    <w:unhideWhenUsed/>
    <w:rsid w:val="00F73E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72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94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41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F8E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66F8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lt-LT"/>
    </w:rPr>
  </w:style>
  <w:style w:type="paragraph" w:styleId="Heading1">
    <w:name w:val="heading 1"/>
    <w:basedOn w:val="Normal"/>
    <w:next w:val="Normal"/>
    <w:link w:val="Heading1Char"/>
    <w:qFormat/>
    <w:rsid w:val="005577BB"/>
    <w:pPr>
      <w:keepNext/>
      <w:keepLines/>
      <w:spacing w:before="480" w:after="113" w:line="240" w:lineRule="exact"/>
      <w:outlineLvl w:val="0"/>
    </w:pPr>
    <w:rPr>
      <w:rFonts w:ascii="Calibri" w:eastAsia="MS PGothic" w:hAnsi="Calibri" w:cs="Times New Roman"/>
      <w:b/>
      <w:bCs/>
      <w:color w:val="6796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1-lineSectionheading">
    <w:name w:val="00. 1-line Section heading"/>
    <w:basedOn w:val="Normal"/>
    <w:qFormat/>
    <w:rsid w:val="005577BB"/>
    <w:pPr>
      <w:shd w:val="clear" w:color="auto" w:fill="FFFFFF"/>
      <w:spacing w:after="1440" w:line="720" w:lineRule="exact"/>
    </w:pPr>
    <w:rPr>
      <w:rFonts w:ascii="Times New Roman" w:eastAsia="Times" w:hAnsi="Times New Roman" w:cs="Times New Roman"/>
      <w:noProof/>
      <w:color w:val="002776"/>
      <w:kern w:val="28"/>
      <w:sz w:val="64"/>
      <w:szCs w:val="70"/>
    </w:rPr>
  </w:style>
  <w:style w:type="character" w:customStyle="1" w:styleId="Heading1Char">
    <w:name w:val="Heading 1 Char"/>
    <w:basedOn w:val="DefaultParagraphFont"/>
    <w:link w:val="Heading1"/>
    <w:rsid w:val="005577BB"/>
    <w:rPr>
      <w:rFonts w:ascii="Calibri" w:eastAsia="MS PGothic" w:hAnsi="Calibri" w:cs="Times New Roman"/>
      <w:b/>
      <w:bCs/>
      <w:color w:val="679600"/>
      <w:sz w:val="32"/>
      <w:szCs w:val="32"/>
      <w:lang w:val="lt-LT"/>
    </w:rPr>
  </w:style>
  <w:style w:type="paragraph" w:styleId="Footer">
    <w:name w:val="footer"/>
    <w:basedOn w:val="Normal"/>
    <w:link w:val="FooterChar"/>
    <w:uiPriority w:val="99"/>
    <w:rsid w:val="005577BB"/>
    <w:pPr>
      <w:tabs>
        <w:tab w:val="center" w:pos="4320"/>
        <w:tab w:val="right" w:pos="8640"/>
      </w:tabs>
      <w:spacing w:after="0" w:line="240" w:lineRule="auto"/>
    </w:pPr>
    <w:rPr>
      <w:rFonts w:ascii="Arial" w:eastAsia="MS PGothic" w:hAnsi="Arial" w:cs="Times New Roman"/>
      <w:sz w:val="17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77BB"/>
    <w:rPr>
      <w:rFonts w:ascii="Arial" w:eastAsia="MS PGothic" w:hAnsi="Arial" w:cs="Times New Roman"/>
      <w:sz w:val="17"/>
      <w:szCs w:val="24"/>
      <w:lang w:val="lt-LT"/>
    </w:rPr>
  </w:style>
  <w:style w:type="paragraph" w:styleId="Caption">
    <w:name w:val="caption"/>
    <w:basedOn w:val="Normal"/>
    <w:next w:val="Normal"/>
    <w:qFormat/>
    <w:rsid w:val="005577BB"/>
    <w:pPr>
      <w:spacing w:after="200" w:line="240" w:lineRule="auto"/>
    </w:pPr>
    <w:rPr>
      <w:rFonts w:ascii="Arial" w:eastAsia="Times" w:hAnsi="Arial" w:cs="Times New Roman"/>
      <w:b/>
      <w:bCs/>
      <w:sz w:val="18"/>
      <w:szCs w:val="18"/>
    </w:rPr>
  </w:style>
  <w:style w:type="paragraph" w:customStyle="1" w:styleId="Deloittebodytext">
    <w:name w:val="Deloitte body text"/>
    <w:qFormat/>
    <w:rsid w:val="005577BB"/>
    <w:pPr>
      <w:spacing w:after="240" w:line="280" w:lineRule="exact"/>
    </w:pPr>
    <w:rPr>
      <w:rFonts w:ascii="Arial" w:eastAsia="Times New Roman" w:hAnsi="Arial" w:cs="Times New Roman"/>
      <w:color w:val="000000"/>
      <w:sz w:val="20"/>
      <w:szCs w:val="48"/>
      <w:lang w:val="cs-CZ"/>
    </w:rPr>
  </w:style>
  <w:style w:type="paragraph" w:styleId="NormalWeb">
    <w:name w:val="Normal (Web)"/>
    <w:basedOn w:val="Normal"/>
    <w:uiPriority w:val="99"/>
    <w:semiHidden/>
    <w:unhideWhenUsed/>
    <w:rsid w:val="00F73ED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C1E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363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3C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D729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6941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941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66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66F8E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D66F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3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Microsoft_Excel_Chart1.xls"/><Relationship Id="rId5" Type="http://schemas.openxmlformats.org/officeDocument/2006/relationships/settings" Target="settings.xml"/><Relationship Id="rId15" Type="http://schemas.openxmlformats.org/officeDocument/2006/relationships/chart" Target="charts/chart5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4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-tar.lt/portal/lt/legalAct/TAR.FA6D2B23F867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Office_Excel_2007_Workbook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2007_Workbook3.xlsx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grigaliuniene\Desktop\Copy%20of%20Probleminiu%20statistika.xlsx" TargetMode="External"/><Relationship Id="rId1" Type="http://schemas.openxmlformats.org/officeDocument/2006/relationships/themeOverride" Target="../theme/themeOverride2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grigaliuniene\Desktop\Copy%20of%20Probleminiu%20statistika.xlsx" TargetMode="External"/><Relationship Id="rId1" Type="http://schemas.openxmlformats.org/officeDocument/2006/relationships/themeOverride" Target="../theme/themeOverride3.xm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sgrigaliuniene\Desktop\Copy%20of%20Probleminiu%20statistika.xlsx" TargetMode="External"/><Relationship Id="rId1" Type="http://schemas.openxmlformats.org/officeDocument/2006/relationships/themeOverride" Target="../theme/themeOverrid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5"/>
    </mc:Choice>
    <mc:Fallback>
      <c:style val="5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Sales</c:v>
                </c:pt>
              </c:strCache>
            </c:strRef>
          </c:tx>
          <c:spPr>
            <a:pattFill prst="wdUpDiag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</c:spPr>
          <c:dPt>
            <c:idx val="0"/>
            <c:bubble3D val="0"/>
            <c:spPr>
              <a:pattFill prst="wdUpDiag">
                <a:fgClr>
                  <a:srgbClr val="FFFFFF"/>
                </a:fgClr>
                <a:bgClr>
                  <a:srgbClr val="00A1DE"/>
                </a:bgClr>
              </a:pattFill>
              <a:ln w="50800">
                <a:noFill/>
              </a:ln>
            </c:spPr>
          </c:dPt>
          <c:dPt>
            <c:idx val="1"/>
            <c:bubble3D val="0"/>
            <c:spPr>
              <a:solidFill>
                <a:srgbClr val="00A1DE"/>
              </a:solidFill>
              <a:ln w="50800">
                <a:noFill/>
              </a:ln>
            </c:spPr>
          </c:dPt>
          <c:dPt>
            <c:idx val="2"/>
            <c:bubble3D val="0"/>
            <c:spPr>
              <a:solidFill>
                <a:schemeClr val="accent3"/>
              </a:solidFill>
              <a:ln w="50800">
                <a:noFill/>
              </a:ln>
            </c:spPr>
          </c:dPt>
          <c:dPt>
            <c:idx val="3"/>
            <c:bubble3D val="0"/>
            <c:spPr>
              <a:solidFill>
                <a:schemeClr val="bg1">
                  <a:lumMod val="85000"/>
                </a:schemeClr>
              </a:solidFill>
              <a:ln w="50800">
                <a:noFill/>
              </a:ln>
            </c:spPr>
          </c:dPt>
          <c:cat>
            <c:numRef>
              <c:f>Sheet1!$A$2:$A$3</c:f>
              <c:numCache>
                <c:formatCode>General</c:formatCode>
                <c:ptCount val="2"/>
              </c:numCache>
            </c:numRef>
          </c:cat>
          <c:val>
            <c:numRef>
              <c:f>Sheet1!$B$2:$B$3</c:f>
              <c:numCache>
                <c:formatCode>General</c:formatCode>
                <c:ptCount val="2"/>
                <c:pt idx="0">
                  <c:v>11</c:v>
                </c:pt>
                <c:pt idx="1">
                  <c:v>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800"/>
      </a:pPr>
      <a:endParaRPr lang="en-US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Skirtas finansavimas</c:v>
                </c:pt>
              </c:strCache>
            </c:strRef>
          </c:tx>
          <c:spPr>
            <a:solidFill>
              <a:srgbClr val="002776"/>
            </a:solidFill>
          </c:spPr>
          <c:dPt>
            <c:idx val="0"/>
            <c:bubble3D val="0"/>
            <c:spPr>
              <a:solidFill>
                <a:srgbClr val="00277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A1DE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81BC00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Sheet1!$B$2:$B$4</c:f>
              <c:numCache>
                <c:formatCode>General</c:formatCode>
                <c:ptCount val="3"/>
                <c:pt idx="0">
                  <c:v>4</c:v>
                </c:pt>
                <c:pt idx="1">
                  <c:v>51</c:v>
                </c:pt>
                <c:pt idx="2">
                  <c:v>45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9441113130089513"/>
          <c:y val="0.10148031496062994"/>
          <c:w val="0.17461572111178408"/>
          <c:h val="0.67111204432779237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percent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1 prioritetas</c:v>
                </c:pt>
              </c:strCache>
            </c:strRef>
          </c:tx>
          <c:spPr>
            <a:solidFill>
              <a:srgbClr val="002776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Sheet1!$B$2:$B$4</c:f>
              <c:numCache>
                <c:formatCode>0%</c:formatCode>
                <c:ptCount val="3"/>
                <c:pt idx="0">
                  <c:v>0.65</c:v>
                </c:pt>
                <c:pt idx="1">
                  <c:v>6.0567856324496728E-3</c:v>
                </c:pt>
                <c:pt idx="2">
                  <c:v>0.49728139226558166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2 prioritetas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Sheet1!$C$2:$C$4</c:f>
              <c:numCache>
                <c:formatCode>0%</c:formatCode>
                <c:ptCount val="3"/>
                <c:pt idx="0">
                  <c:v>0</c:v>
                </c:pt>
                <c:pt idx="1">
                  <c:v>0.41073065707450535</c:v>
                </c:pt>
                <c:pt idx="2">
                  <c:v>8.5505592148305637E-2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3 prioritetas</c:v>
                </c:pt>
              </c:strCache>
            </c:strRef>
          </c:tx>
          <c:spPr>
            <a:solidFill>
              <a:srgbClr val="00A1DE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Sheet1!$D$2:$D$4</c:f>
              <c:numCache>
                <c:formatCode>0%</c:formatCode>
                <c:ptCount val="3"/>
                <c:pt idx="0">
                  <c:v>0</c:v>
                </c:pt>
                <c:pt idx="1">
                  <c:v>1.2102136434031175E-2</c:v>
                </c:pt>
                <c:pt idx="2">
                  <c:v>0.41721301558611273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4 prioritetas</c:v>
                </c:pt>
              </c:strCache>
            </c:strRef>
          </c:tx>
          <c:spPr>
            <a:solidFill>
              <a:srgbClr val="8C8C8C"/>
            </a:solidFill>
            <a:ln>
              <a:noFill/>
            </a:ln>
            <a:effectLst/>
          </c:spPr>
          <c:invertIfNegative val="0"/>
          <c:cat>
            <c:strRef>
              <c:f>Sheet1!$A$2:$A$4</c:f>
              <c:strCache>
                <c:ptCount val="3"/>
                <c:pt idx="0">
                  <c:v>ŽIPVP</c:v>
                </c:pt>
                <c:pt idx="1">
                  <c:v>EAVP</c:v>
                </c:pt>
                <c:pt idx="2">
                  <c:v>SSVP</c:v>
                </c:pt>
              </c:strCache>
            </c:strRef>
          </c:cat>
          <c:val>
            <c:numRef>
              <c:f>Sheet1!$E$2:$E$4</c:f>
              <c:numCache>
                <c:formatCode>0%</c:formatCode>
                <c:ptCount val="3"/>
                <c:pt idx="0">
                  <c:v>0.34</c:v>
                </c:pt>
                <c:pt idx="1">
                  <c:v>0.57111042085901376</c:v>
                </c:pt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65066112"/>
        <c:axId val="65067648"/>
      </c:barChart>
      <c:catAx>
        <c:axId val="650661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067648"/>
        <c:crosses val="autoZero"/>
        <c:auto val="1"/>
        <c:lblAlgn val="ctr"/>
        <c:lblOffset val="100"/>
        <c:noMultiLvlLbl val="0"/>
      </c:catAx>
      <c:valAx>
        <c:axId val="650676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650661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1105955887543396E-2"/>
          <c:y val="6.1693774537296693E-2"/>
          <c:w val="0.8695239011993916"/>
          <c:h val="0.6934570152931668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Jonavos!$L$7</c:f>
              <c:strCache>
                <c:ptCount val="1"/>
                <c:pt idx="0">
                  <c:v>Kietosios medžiagos</c:v>
                </c:pt>
              </c:strCache>
            </c:strRef>
          </c:tx>
          <c:spPr>
            <a:solidFill>
              <a:srgbClr val="8C8C8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Jonavos!$M$7:$U$7</c:f>
              <c:numCache>
                <c:formatCode>General</c:formatCode>
                <c:ptCount val="7"/>
                <c:pt idx="0">
                  <c:v>633</c:v>
                </c:pt>
                <c:pt idx="1">
                  <c:v>497.1</c:v>
                </c:pt>
                <c:pt idx="2">
                  <c:v>559.5</c:v>
                </c:pt>
                <c:pt idx="3">
                  <c:v>515.4</c:v>
                </c:pt>
                <c:pt idx="4">
                  <c:v>548.6</c:v>
                </c:pt>
                <c:pt idx="5">
                  <c:v>558.20000000000005</c:v>
                </c:pt>
                <c:pt idx="6">
                  <c:v>522.79999999999995</c:v>
                </c:pt>
              </c:numCache>
            </c:numRef>
          </c:val>
        </c:ser>
        <c:ser>
          <c:idx val="1"/>
          <c:order val="1"/>
          <c:tx>
            <c:strRef>
              <c:f>Jonavos!$L$8</c:f>
              <c:strCache>
                <c:ptCount val="1"/>
                <c:pt idx="0">
                  <c:v>Sieros dioksidas, tonos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Jonavos!$M$8:$U$8</c:f>
              <c:numCache>
                <c:formatCode>General</c:formatCode>
                <c:ptCount val="7"/>
                <c:pt idx="0">
                  <c:v>2.7</c:v>
                </c:pt>
                <c:pt idx="1">
                  <c:v>0.6</c:v>
                </c:pt>
                <c:pt idx="2">
                  <c:v>50.8</c:v>
                </c:pt>
                <c:pt idx="3">
                  <c:v>33.700000000000003</c:v>
                </c:pt>
                <c:pt idx="4">
                  <c:v>0.2</c:v>
                </c:pt>
                <c:pt idx="5">
                  <c:v>0.1</c:v>
                </c:pt>
                <c:pt idx="6">
                  <c:v>5</c:v>
                </c:pt>
              </c:numCache>
            </c:numRef>
          </c:val>
        </c:ser>
        <c:ser>
          <c:idx val="2"/>
          <c:order val="2"/>
          <c:tx>
            <c:strRef>
              <c:f>Jonavos!$L$9</c:f>
              <c:strCache>
                <c:ptCount val="1"/>
                <c:pt idx="0">
                  <c:v>Azoto oksidai, tonos</c:v>
                </c:pt>
              </c:strCache>
            </c:strRef>
          </c:tx>
          <c:spPr>
            <a:solidFill>
              <a:srgbClr val="B4B4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Jonavos!$M$9:$U$9</c:f>
              <c:numCache>
                <c:formatCode>General</c:formatCode>
                <c:ptCount val="7"/>
                <c:pt idx="0">
                  <c:v>707</c:v>
                </c:pt>
                <c:pt idx="1">
                  <c:v>646.9</c:v>
                </c:pt>
                <c:pt idx="2">
                  <c:v>602</c:v>
                </c:pt>
                <c:pt idx="3">
                  <c:v>609.9</c:v>
                </c:pt>
                <c:pt idx="4">
                  <c:v>826.3</c:v>
                </c:pt>
                <c:pt idx="5">
                  <c:v>840.7</c:v>
                </c:pt>
                <c:pt idx="6">
                  <c:v>769.7</c:v>
                </c:pt>
              </c:numCache>
            </c:numRef>
          </c:val>
        </c:ser>
        <c:ser>
          <c:idx val="3"/>
          <c:order val="3"/>
          <c:tx>
            <c:strRef>
              <c:f>Jonavos!$L$10</c:f>
              <c:strCache>
                <c:ptCount val="1"/>
                <c:pt idx="0">
                  <c:v>Anglies monoksidas, tonos</c:v>
                </c:pt>
              </c:strCache>
            </c:strRef>
          </c:tx>
          <c:spPr>
            <a:solidFill>
              <a:srgbClr val="BDD20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Jonavos!$M$10:$U$10</c:f>
              <c:numCache>
                <c:formatCode>General</c:formatCode>
                <c:ptCount val="7"/>
                <c:pt idx="0">
                  <c:v>3249.9</c:v>
                </c:pt>
                <c:pt idx="1">
                  <c:v>856.5</c:v>
                </c:pt>
                <c:pt idx="2">
                  <c:v>885.8</c:v>
                </c:pt>
                <c:pt idx="3">
                  <c:v>758</c:v>
                </c:pt>
                <c:pt idx="4">
                  <c:v>908.5</c:v>
                </c:pt>
                <c:pt idx="5">
                  <c:v>985.5</c:v>
                </c:pt>
                <c:pt idx="6">
                  <c:v>820.7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73536640"/>
        <c:axId val="73551872"/>
      </c:barChart>
      <c:lineChart>
        <c:grouping val="standard"/>
        <c:varyColors val="0"/>
        <c:ser>
          <c:idx val="4"/>
          <c:order val="4"/>
          <c:tx>
            <c:strRef>
              <c:f>Jonavos!$L$11</c:f>
              <c:strCache>
                <c:ptCount val="1"/>
                <c:pt idx="0">
                  <c:v>Visi teršalai</c:v>
                </c:pt>
              </c:strCache>
            </c:strRef>
          </c:tx>
          <c:spPr>
            <a:ln w="28575" cap="rnd">
              <a:solidFill>
                <a:srgbClr val="3C8A2E"/>
              </a:solidFill>
              <a:round/>
            </a:ln>
            <a:effectLst/>
          </c:spPr>
          <c:marker>
            <c:symbol val="none"/>
          </c:marker>
          <c:dLbls>
            <c:delete val="1"/>
          </c:dLbls>
          <c:cat>
            <c:numRef>
              <c:f>Jonavos!$M$6:$U$6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Jonavos!$M$11:$U$11</c:f>
              <c:numCache>
                <c:formatCode>General</c:formatCode>
                <c:ptCount val="7"/>
                <c:pt idx="0">
                  <c:v>5401.6</c:v>
                </c:pt>
                <c:pt idx="1">
                  <c:v>2757.3</c:v>
                </c:pt>
                <c:pt idx="2">
                  <c:v>2878.2</c:v>
                </c:pt>
                <c:pt idx="3">
                  <c:v>2487.6999999999998</c:v>
                </c:pt>
                <c:pt idx="4">
                  <c:v>3181.4</c:v>
                </c:pt>
                <c:pt idx="5">
                  <c:v>3070</c:v>
                </c:pt>
                <c:pt idx="6">
                  <c:v>2782.6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3536640"/>
        <c:axId val="73551872"/>
      </c:lineChart>
      <c:lineChart>
        <c:grouping val="standard"/>
        <c:varyColors val="0"/>
        <c:ser>
          <c:idx val="5"/>
          <c:order val="5"/>
          <c:tx>
            <c:strRef>
              <c:f>Jonavos!$L$12</c:f>
              <c:strCache>
                <c:ptCount val="1"/>
                <c:pt idx="0">
                  <c:v>Išleista išvalytų iki normos nuotekų, tūkst. M³</c:v>
                </c:pt>
              </c:strCache>
            </c:strRef>
          </c:tx>
          <c:spPr>
            <a:ln w="28575" cap="rnd">
              <a:solidFill>
                <a:srgbClr val="00A1DE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9882838708310986E-17"/>
                  <c:y val="-2.174208734283987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3.272817201831826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6.5199674001630587E-3"/>
                  <c:y val="1.07555794568432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9765677416621972E-17"/>
                  <c:y val="-2.197261096709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1.1953135483324394E-16"/>
                  <c:y val="-2.19726109670951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0"/>
                  <c:y val="-3.833669697625430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9559902200488997E-2"/>
                  <c:y val="-2.688916036611314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4987646715309738E-2"/>
                      <c:h val="4.8964987201283887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Jonavos!$M$6:$U$6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Jonavos!$M$12:$U$12</c:f>
              <c:numCache>
                <c:formatCode>General</c:formatCode>
                <c:ptCount val="7"/>
                <c:pt idx="0">
                  <c:v>3316</c:v>
                </c:pt>
                <c:pt idx="1">
                  <c:v>2917</c:v>
                </c:pt>
                <c:pt idx="2">
                  <c:v>2746</c:v>
                </c:pt>
                <c:pt idx="3">
                  <c:v>2756</c:v>
                </c:pt>
                <c:pt idx="4">
                  <c:v>2627</c:v>
                </c:pt>
                <c:pt idx="5">
                  <c:v>2664</c:v>
                </c:pt>
                <c:pt idx="6">
                  <c:v>2707.2</c:v>
                </c:pt>
              </c:numCache>
            </c:numRef>
          </c:val>
          <c:smooth val="0"/>
          <c:extLst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73560064"/>
        <c:axId val="73553792"/>
      </c:lineChart>
      <c:catAx>
        <c:axId val="73536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551872"/>
        <c:crosses val="autoZero"/>
        <c:auto val="1"/>
        <c:lblAlgn val="ctr"/>
        <c:lblOffset val="100"/>
        <c:noMultiLvlLbl val="0"/>
      </c:catAx>
      <c:valAx>
        <c:axId val="7355187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Tonos</a:t>
                </a:r>
                <a:endParaRPr lang="en-US"/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536640"/>
        <c:crosses val="autoZero"/>
        <c:crossBetween val="between"/>
      </c:valAx>
      <c:valAx>
        <c:axId val="7355379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tūkst. m</a:t>
                </a:r>
                <a:r>
                  <a:rPr lang="en-US"/>
                  <a:t>3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560064"/>
        <c:crosses val="max"/>
        <c:crossBetween val="between"/>
      </c:valAx>
      <c:catAx>
        <c:axId val="73560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355379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3431814861414272E-2"/>
          <c:y val="0.80398350206224234"/>
          <c:w val="0.92975197171258228"/>
          <c:h val="0.192946203047555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1509186351706E-2"/>
          <c:y val="5.0925925925925923E-2"/>
          <c:w val="0.88882349081364831"/>
          <c:h val="0.680018226888305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Jonavos!$L$19</c:f>
              <c:strCache>
                <c:ptCount val="1"/>
                <c:pt idx="0">
                  <c:v>Nuolatinių gyventojų skaičius metų pradžioje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Jonavos!$M$18:$U$18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Jonavos!$M$19:$U$19</c:f>
              <c:numCache>
                <c:formatCode>General</c:formatCode>
                <c:ptCount val="7"/>
                <c:pt idx="0">
                  <c:v>49589</c:v>
                </c:pt>
                <c:pt idx="1">
                  <c:v>49051</c:v>
                </c:pt>
                <c:pt idx="2">
                  <c:v>48792</c:v>
                </c:pt>
                <c:pt idx="3">
                  <c:v>48036</c:v>
                </c:pt>
                <c:pt idx="4">
                  <c:v>46653</c:v>
                </c:pt>
                <c:pt idx="5">
                  <c:v>45713</c:v>
                </c:pt>
                <c:pt idx="6">
                  <c:v>45079</c:v>
                </c:pt>
              </c:numCache>
            </c:numRef>
          </c:val>
        </c:ser>
        <c:ser>
          <c:idx val="1"/>
          <c:order val="1"/>
          <c:tx>
            <c:strRef>
              <c:f>Jonavos!$L$20</c:f>
              <c:strCache>
                <c:ptCount val="1"/>
                <c:pt idx="0">
                  <c:v>Darbingo amžiaus gyventojai</c:v>
                </c:pt>
              </c:strCache>
            </c:strRef>
          </c:tx>
          <c:spPr>
            <a:solidFill>
              <a:srgbClr val="B4B4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Jonavos!$M$18:$U$18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Jonavos!$M$20:$U$20</c:f>
              <c:numCache>
                <c:formatCode>General</c:formatCode>
                <c:ptCount val="7"/>
                <c:pt idx="0">
                  <c:v>30973</c:v>
                </c:pt>
                <c:pt idx="1">
                  <c:v>30798</c:v>
                </c:pt>
                <c:pt idx="2">
                  <c:v>30719</c:v>
                </c:pt>
                <c:pt idx="3">
                  <c:v>30196</c:v>
                </c:pt>
                <c:pt idx="4">
                  <c:v>28642</c:v>
                </c:pt>
                <c:pt idx="5">
                  <c:v>27798</c:v>
                </c:pt>
                <c:pt idx="6">
                  <c:v>27522</c:v>
                </c:pt>
              </c:numCache>
            </c:numRef>
          </c:val>
        </c:ser>
        <c:ser>
          <c:idx val="2"/>
          <c:order val="2"/>
          <c:tx>
            <c:strRef>
              <c:f>Jonavos!$L$21</c:f>
              <c:strCache>
                <c:ptCount val="1"/>
                <c:pt idx="0">
                  <c:v>Pensinio amžiaus gyventojai</c:v>
                </c:pt>
              </c:strCache>
            </c:strRef>
          </c:tx>
          <c:spPr>
            <a:solidFill>
              <a:srgbClr val="BDD20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Jonavos!$M$18:$U$18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Jonavos!$M$21:$U$21</c:f>
              <c:numCache>
                <c:formatCode>General</c:formatCode>
                <c:ptCount val="7"/>
                <c:pt idx="0">
                  <c:v>8883</c:v>
                </c:pt>
                <c:pt idx="1">
                  <c:v>8923</c:v>
                </c:pt>
                <c:pt idx="2">
                  <c:v>9042</c:v>
                </c:pt>
                <c:pt idx="3">
                  <c:v>9167</c:v>
                </c:pt>
                <c:pt idx="4">
                  <c:v>9442</c:v>
                </c:pt>
                <c:pt idx="5">
                  <c:v>9634</c:v>
                </c:pt>
                <c:pt idx="6">
                  <c:v>9605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618176"/>
        <c:axId val="73619712"/>
      </c:barChart>
      <c:lineChart>
        <c:grouping val="standard"/>
        <c:varyColors val="0"/>
        <c:ser>
          <c:idx val="3"/>
          <c:order val="3"/>
          <c:tx>
            <c:strRef>
              <c:f>Jonavos!$L$22</c:f>
              <c:strCache>
                <c:ptCount val="1"/>
                <c:pt idx="0">
                  <c:v>Registruotų bedarbių ir darbingo amžiaus gyventojų santykis | proc.</c:v>
                </c:pt>
              </c:strCache>
            </c:strRef>
          </c:tx>
          <c:spPr>
            <a:ln w="28575" cap="rnd">
              <a:solidFill>
                <a:srgbClr val="00A1DE"/>
              </a:solidFill>
              <a:round/>
            </a:ln>
            <a:effectLst/>
          </c:spPr>
          <c:marker>
            <c:symbol val="none"/>
          </c:marker>
          <c:cat>
            <c:numRef>
              <c:f>Jonavos!$M$18:$U$18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Jonavos!$M$22:$U$22</c:f>
              <c:numCache>
                <c:formatCode>General</c:formatCode>
                <c:ptCount val="7"/>
                <c:pt idx="0">
                  <c:v>5.9</c:v>
                </c:pt>
                <c:pt idx="1">
                  <c:v>5.0999999999999996</c:v>
                </c:pt>
                <c:pt idx="2">
                  <c:v>10.7</c:v>
                </c:pt>
                <c:pt idx="3">
                  <c:v>16.600000000000001</c:v>
                </c:pt>
                <c:pt idx="4">
                  <c:v>14.5</c:v>
                </c:pt>
                <c:pt idx="5">
                  <c:v>13.7</c:v>
                </c:pt>
                <c:pt idx="6">
                  <c:v>13.9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623040"/>
        <c:axId val="73621504"/>
      </c:lineChart>
      <c:catAx>
        <c:axId val="736181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619712"/>
        <c:crosses val="autoZero"/>
        <c:auto val="1"/>
        <c:lblAlgn val="ctr"/>
        <c:lblOffset val="100"/>
        <c:noMultiLvlLbl val="0"/>
      </c:catAx>
      <c:valAx>
        <c:axId val="73619712"/>
        <c:scaling>
          <c:orientation val="minMax"/>
          <c:max val="65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numFmt formatCode="00\ 00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618176"/>
        <c:crosses val="autoZero"/>
        <c:crossBetween val="between"/>
        <c:majorUnit val="5000"/>
      </c:valAx>
      <c:valAx>
        <c:axId val="73621504"/>
        <c:scaling>
          <c:orientation val="minMax"/>
        </c:scaling>
        <c:delete val="0"/>
        <c:axPos val="r"/>
        <c:numFmt formatCode="General\ \%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623040"/>
        <c:crosses val="max"/>
        <c:crossBetween val="between"/>
      </c:valAx>
      <c:catAx>
        <c:axId val="7362304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36215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523622047244113E-3"/>
          <c:y val="0.78547317002041395"/>
          <c:w val="0.97973972003499565"/>
          <c:h val="0.18674905220180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61509186351706E-2"/>
          <c:y val="5.0925925925925923E-2"/>
          <c:w val="0.88882349081364831"/>
          <c:h val="0.6800182268883056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Jonavos!$L$44</c:f>
              <c:strCache>
                <c:ptCount val="1"/>
                <c:pt idx="0">
                  <c:v>Pridėtinė vertė gamybos kainomis pagal veiklos vykdymo vietą | tūkst. EUR</c:v>
                </c:pt>
              </c:strCache>
            </c:strRef>
          </c:tx>
          <c:spPr>
            <a:solidFill>
              <a:srgbClr val="81BC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Jonavos!$M$42:$U$42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Jonavos!$M$44:$U$44</c:f>
              <c:numCache>
                <c:formatCode>General</c:formatCode>
                <c:ptCount val="7"/>
                <c:pt idx="0">
                  <c:v>205019</c:v>
                </c:pt>
                <c:pt idx="1">
                  <c:v>269291</c:v>
                </c:pt>
                <c:pt idx="2">
                  <c:v>68724</c:v>
                </c:pt>
                <c:pt idx="3">
                  <c:v>141148</c:v>
                </c:pt>
                <c:pt idx="4">
                  <c:v>208682</c:v>
                </c:pt>
                <c:pt idx="5">
                  <c:v>189025</c:v>
                </c:pt>
                <c:pt idx="6">
                  <c:v>101313</c:v>
                </c:pt>
              </c:numCache>
            </c:numRef>
          </c:val>
        </c:ser>
        <c:ser>
          <c:idx val="2"/>
          <c:order val="2"/>
          <c:tx>
            <c:strRef>
              <c:f>Jonavos!$L$45</c:f>
              <c:strCache>
                <c:ptCount val="1"/>
                <c:pt idx="0">
                  <c:v>Materialinės investicijos to meto kainomis | tūkst. EUR</c:v>
                </c:pt>
              </c:strCache>
            </c:strRef>
          </c:tx>
          <c:spPr>
            <a:solidFill>
              <a:srgbClr val="B4B4B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Jonavos!$M$42:$U$42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Jonavos!$M$45:$U$45</c:f>
              <c:numCache>
                <c:formatCode>General</c:formatCode>
                <c:ptCount val="7"/>
                <c:pt idx="0">
                  <c:v>85084</c:v>
                </c:pt>
                <c:pt idx="1">
                  <c:v>91895</c:v>
                </c:pt>
                <c:pt idx="2">
                  <c:v>76558</c:v>
                </c:pt>
                <c:pt idx="3">
                  <c:v>24546</c:v>
                </c:pt>
                <c:pt idx="4">
                  <c:v>53170</c:v>
                </c:pt>
                <c:pt idx="5">
                  <c:v>61644</c:v>
                </c:pt>
                <c:pt idx="6">
                  <c:v>71598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3675904"/>
        <c:axId val="73677440"/>
      </c:barChart>
      <c:lineChart>
        <c:grouping val="standard"/>
        <c:varyColors val="0"/>
        <c:ser>
          <c:idx val="0"/>
          <c:order val="0"/>
          <c:tx>
            <c:strRef>
              <c:f>Jonavos!$L$43</c:f>
              <c:strCache>
                <c:ptCount val="1"/>
                <c:pt idx="0">
                  <c:v>Tiesioginės užsienio investicijos, tenkančios vienam gyventojui, metų pabaigoje | EUR</c:v>
                </c:pt>
              </c:strCache>
            </c:strRef>
          </c:tx>
          <c:spPr>
            <a:ln w="28575" cap="rnd">
              <a:solidFill>
                <a:srgbClr val="00A1DE"/>
              </a:solidFill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Jonavos!$M$42:$U$42</c:f>
              <c:numCache>
                <c:formatCode>General</c:formatCod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</c:numCache>
            </c:numRef>
          </c:cat>
          <c:val>
            <c:numRef>
              <c:f>Jonavos!$M$43:$U$43</c:f>
              <c:numCache>
                <c:formatCode>General</c:formatCode>
                <c:ptCount val="7"/>
                <c:pt idx="0">
                  <c:v>150</c:v>
                </c:pt>
                <c:pt idx="1">
                  <c:v>138</c:v>
                </c:pt>
                <c:pt idx="2">
                  <c:v>101</c:v>
                </c:pt>
                <c:pt idx="3">
                  <c:v>81</c:v>
                </c:pt>
                <c:pt idx="4">
                  <c:v>78</c:v>
                </c:pt>
                <c:pt idx="5">
                  <c:v>88</c:v>
                </c:pt>
                <c:pt idx="6">
                  <c:v>102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3685632"/>
        <c:axId val="73683712"/>
      </c:lineChart>
      <c:catAx>
        <c:axId val="736759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677440"/>
        <c:crosses val="autoZero"/>
        <c:auto val="1"/>
        <c:lblAlgn val="ctr"/>
        <c:lblOffset val="100"/>
        <c:noMultiLvlLbl val="0"/>
      </c:catAx>
      <c:valAx>
        <c:axId val="73677440"/>
        <c:scaling>
          <c:orientation val="minMax"/>
          <c:max val="290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minorGridlines>
          <c:spPr>
            <a:ln w="9525" cap="flat" cmpd="sng" algn="ctr">
              <a:solidFill>
                <a:schemeClr val="tx1">
                  <a:lumMod val="5000"/>
                  <a:lumOff val="95000"/>
                </a:schemeClr>
              </a:solidFill>
              <a:round/>
            </a:ln>
            <a:effectLst/>
          </c:spPr>
        </c:min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Tūkst. EUR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386001386001386E-2"/>
              <c:y val="0.6333633295838021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675904"/>
        <c:crosses val="autoZero"/>
        <c:crossBetween val="between"/>
      </c:valAx>
      <c:valAx>
        <c:axId val="73683712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5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lt-LT"/>
                  <a:t>EUR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97476080562694734"/>
              <c:y val="0.67622047244094496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3685632"/>
        <c:crosses val="max"/>
        <c:crossBetween val="between"/>
      </c:valAx>
      <c:catAx>
        <c:axId val="736856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7368371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7.3523553838514451E-3"/>
          <c:y val="0.79499700037495336"/>
          <c:w val="0.97973972003499565"/>
          <c:h val="0.18674905220180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5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5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Custom 1">
    <a:dk1>
      <a:srgbClr val="002776"/>
    </a:dk1>
    <a:lt1>
      <a:srgbClr val="FFFFFF"/>
    </a:lt1>
    <a:dk2>
      <a:srgbClr val="002776"/>
    </a:dk2>
    <a:lt2>
      <a:srgbClr val="FFFFFF"/>
    </a:lt2>
    <a:accent1>
      <a:srgbClr val="00A1DE"/>
    </a:accent1>
    <a:accent2>
      <a:srgbClr val="92D400"/>
    </a:accent2>
    <a:accent3>
      <a:srgbClr val="72C7E7"/>
    </a:accent3>
    <a:accent4>
      <a:srgbClr val="3C8A2E"/>
    </a:accent4>
    <a:accent5>
      <a:srgbClr val="002776"/>
    </a:accent5>
    <a:accent6>
      <a:srgbClr val="C9DD03"/>
    </a:accent6>
    <a:hlink>
      <a:srgbClr val="00A1DE"/>
    </a:hlink>
    <a:folHlink>
      <a:srgbClr val="72C7E7"/>
    </a:folHlink>
  </a:clrScheme>
  <a:fontScheme name="Custom 1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6C373-8826-4D47-B59C-45C02ACF5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5</Pages>
  <Words>1645</Words>
  <Characters>9382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Touche Tohmatsu Services, Inc.</Company>
  <LinksUpToDate>false</LinksUpToDate>
  <CharactersWithSpaces>11005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Gytis Jakstonis</dc:creator>
  <cp:keywords/>
  <dc:description/>
  <cp:lastModifiedBy>Sabina</cp:lastModifiedBy>
  <cp:revision>73</cp:revision>
  <cp:lastPrinted>2016-03-02T08:05:00Z</cp:lastPrinted>
  <dcterms:created xsi:type="dcterms:W3CDTF">2016-03-01T20:52:00Z</dcterms:created>
  <dcterms:modified xsi:type="dcterms:W3CDTF">2016-06-02T20:13:00Z</dcterms:modified>
</cp:coreProperties>
</file>