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2803ED" w:rsidRDefault="00A36584" w:rsidP="0080175F">
      <w:pPr>
        <w:pStyle w:val="001-lineSectionheading"/>
        <w:spacing w:after="240"/>
        <w:outlineLvl w:val="0"/>
        <w:rPr>
          <w:noProof w:val="0"/>
          <w:sz w:val="52"/>
        </w:rPr>
      </w:pPr>
      <w:r w:rsidRPr="002803ED">
        <w:rPr>
          <w:noProof w:val="0"/>
          <w:sz w:val="52"/>
        </w:rPr>
        <w:t>Kelmės rajono</w:t>
      </w:r>
      <w:r w:rsidR="005577BB" w:rsidRPr="002803ED">
        <w:rPr>
          <w:noProof w:val="0"/>
          <w:sz w:val="52"/>
        </w:rPr>
        <w:t xml:space="preserve"> savivaldybės analizė</w:t>
      </w:r>
    </w:p>
    <w:p w:rsidR="00C849C4" w:rsidRPr="002803ED" w:rsidRDefault="00C849C4" w:rsidP="002B4036">
      <w:pPr>
        <w:pStyle w:val="Deloittebodytext"/>
        <w:spacing w:line="240" w:lineRule="auto"/>
        <w:jc w:val="both"/>
        <w:rPr>
          <w:lang w:val="lt-LT"/>
        </w:rPr>
      </w:pPr>
      <w:r w:rsidRPr="002803ED">
        <w:rPr>
          <w:lang w:val="lt-LT"/>
        </w:rPr>
        <w:t xml:space="preserve">Toliau pateikiama vienos iš probleminių teritorijų – </w:t>
      </w:r>
      <w:r w:rsidR="00A36584" w:rsidRPr="002803ED">
        <w:rPr>
          <w:lang w:val="lt-LT"/>
        </w:rPr>
        <w:t>Kelmės rajono</w:t>
      </w:r>
      <w:r w:rsidRPr="002803ED">
        <w:rPr>
          <w:lang w:val="lt-LT"/>
        </w:rPr>
        <w:t xml:space="preserve"> savivaldybės – atvejo stud</w:t>
      </w:r>
      <w:r w:rsidR="001F2140" w:rsidRPr="002803ED">
        <w:rPr>
          <w:lang w:val="lt-LT"/>
        </w:rPr>
        <w:t>ija. Pirma, yra pristatoma ES struktūrinių fondų</w:t>
      </w:r>
      <w:r w:rsidRPr="002803ED">
        <w:rPr>
          <w:lang w:val="lt-LT"/>
        </w:rPr>
        <w:t xml:space="preserve"> finansavimo apžvalga, aptariamos pagrindinės i</w:t>
      </w:r>
      <w:r w:rsidR="002E30F9" w:rsidRPr="002803ED">
        <w:rPr>
          <w:lang w:val="lt-LT"/>
        </w:rPr>
        <w:t xml:space="preserve">nvesticinės kryptys. Vėliau </w:t>
      </w:r>
      <w:r w:rsidR="002B4036" w:rsidRPr="002803ED">
        <w:rPr>
          <w:lang w:val="lt-LT"/>
        </w:rPr>
        <w:t>pristatoma socio-ekonominių ir aplinkos rodiklių kaita</w:t>
      </w:r>
      <w:r w:rsidR="00BC4ECE" w:rsidRPr="002803ED">
        <w:rPr>
          <w:lang w:val="lt-LT"/>
        </w:rPr>
        <w:t xml:space="preserve"> 2007 – 2013 m. laikotarpiu</w:t>
      </w:r>
      <w:r w:rsidR="002B4036" w:rsidRPr="002803ED">
        <w:rPr>
          <w:lang w:val="lt-LT"/>
        </w:rPr>
        <w:t xml:space="preserve">. Atvejo </w:t>
      </w:r>
      <w:r w:rsidR="002E30F9" w:rsidRPr="002803ED">
        <w:rPr>
          <w:lang w:val="lt-LT"/>
        </w:rPr>
        <w:t>studiją apibendrina</w:t>
      </w:r>
      <w:r w:rsidR="00D02D62">
        <w:rPr>
          <w:lang w:val="lt-LT"/>
        </w:rPr>
        <w:t xml:space="preserve"> 2007 – 2013 m.</w:t>
      </w:r>
      <w:r w:rsidR="002E30F9" w:rsidRPr="002803ED">
        <w:rPr>
          <w:lang w:val="lt-LT"/>
        </w:rPr>
        <w:t xml:space="preserve"> ES</w:t>
      </w:r>
      <w:r w:rsidR="00D02D62">
        <w:rPr>
          <w:lang w:val="lt-LT"/>
        </w:rPr>
        <w:t xml:space="preserve"> struktūrinės</w:t>
      </w:r>
      <w:r w:rsidR="002E30F9" w:rsidRPr="002803ED">
        <w:rPr>
          <w:lang w:val="lt-LT"/>
        </w:rPr>
        <w:t xml:space="preserve"> paramos poveikio darniam vystymuisi vertinimas</w:t>
      </w:r>
      <w:r w:rsidR="00D02D62">
        <w:rPr>
          <w:lang w:val="lt-LT"/>
        </w:rPr>
        <w:t>; 1.3. dalyje yra pateikiami gerosios praktikos projektų pavyzdžiai.</w:t>
      </w:r>
      <w:r w:rsidRPr="002803ED">
        <w:rPr>
          <w:lang w:val="lt-LT"/>
        </w:rPr>
        <w:t xml:space="preserve"> </w:t>
      </w:r>
    </w:p>
    <w:p w:rsidR="005577BB" w:rsidRPr="002803ED" w:rsidRDefault="0080175F" w:rsidP="0080175F">
      <w:pPr>
        <w:pStyle w:val="Heading1"/>
        <w:numPr>
          <w:ilvl w:val="1"/>
          <w:numId w:val="1"/>
        </w:numPr>
        <w:spacing w:before="360"/>
        <w:ind w:left="630" w:hanging="630"/>
        <w:rPr>
          <w:rFonts w:ascii="Arial" w:hAnsi="Arial" w:cs="Arial"/>
          <w:b w:val="0"/>
          <w:sz w:val="28"/>
          <w:szCs w:val="28"/>
        </w:rPr>
      </w:pPr>
      <w:r w:rsidRPr="002803ED">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D02D62" w:rsidRDefault="00AA2DFF" w:rsidP="00F73ED6">
                              <w:pPr>
                                <w:pStyle w:val="NormalWeb"/>
                                <w:spacing w:before="0" w:beforeAutospacing="0" w:after="0" w:afterAutospacing="0"/>
                                <w:jc w:val="center"/>
                                <w:rPr>
                                  <w:rFonts w:ascii="Arial" w:hAnsi="Arial" w:cs="Arial"/>
                                  <w:sz w:val="6"/>
                                </w:rPr>
                              </w:pPr>
                              <w:r w:rsidRPr="00D02D62">
                                <w:rPr>
                                  <w:rFonts w:ascii="Arial" w:hAnsi="Arial" w:cs="Arial"/>
                                  <w:color w:val="FFFFFF"/>
                                  <w:kern w:val="24"/>
                                  <w:sz w:val="32"/>
                                  <w:szCs w:val="144"/>
                                  <w:lang w:val="nl-NL"/>
                                </w:rPr>
                                <w:t>7.12</w:t>
                              </w:r>
                              <w:r w:rsidR="0080175F" w:rsidRPr="00D02D62">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D02D62" w:rsidRDefault="00AA2DFF" w:rsidP="00F73ED6">
                        <w:pPr>
                          <w:pStyle w:val="NormalWeb"/>
                          <w:spacing w:before="0" w:beforeAutospacing="0" w:after="0" w:afterAutospacing="0"/>
                          <w:jc w:val="center"/>
                          <w:rPr>
                            <w:rFonts w:ascii="Arial" w:hAnsi="Arial" w:cs="Arial"/>
                            <w:sz w:val="6"/>
                          </w:rPr>
                        </w:pPr>
                        <w:r w:rsidRPr="00D02D62">
                          <w:rPr>
                            <w:rFonts w:ascii="Arial" w:hAnsi="Arial" w:cs="Arial"/>
                            <w:color w:val="FFFFFF"/>
                            <w:kern w:val="24"/>
                            <w:sz w:val="32"/>
                            <w:szCs w:val="144"/>
                            <w:lang w:val="nl-NL"/>
                          </w:rPr>
                          <w:t>7.12</w:t>
                        </w:r>
                        <w:r w:rsidR="0080175F" w:rsidRPr="00D02D62">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1391" r:id="rId11">
                <o:FieldCodes>\s</o:FieldCodes>
              </o:OLEObject>
            </w:pict>
          </mc:Fallback>
        </mc:AlternateContent>
      </w:r>
      <w:r w:rsidR="005577BB" w:rsidRPr="002803ED">
        <w:rPr>
          <w:rFonts w:ascii="Arial" w:hAnsi="Arial" w:cs="Arial"/>
          <w:b w:val="0"/>
          <w:sz w:val="28"/>
          <w:szCs w:val="28"/>
        </w:rPr>
        <w:t>Finansavimo apžvalga</w:t>
      </w:r>
    </w:p>
    <w:p w:rsidR="005577BB" w:rsidRPr="002803ED" w:rsidRDefault="00F73ED6" w:rsidP="00F73ED6">
      <w:pPr>
        <w:jc w:val="both"/>
        <w:rPr>
          <w:rFonts w:ascii="Arial" w:eastAsia="MS PGothic" w:hAnsi="Arial" w:cs="Times New Roman"/>
          <w:color w:val="000000"/>
          <w:sz w:val="20"/>
          <w:szCs w:val="48"/>
        </w:rPr>
      </w:pPr>
      <w:r w:rsidRPr="002803ED">
        <w:rPr>
          <w:rFonts w:ascii="Arial" w:eastAsia="MS PGothic" w:hAnsi="Arial" w:cs="Times New Roman"/>
          <w:color w:val="000000"/>
          <w:sz w:val="20"/>
          <w:szCs w:val="48"/>
        </w:rPr>
        <w:t xml:space="preserve">2007 – 2013 </w:t>
      </w:r>
      <w:r w:rsidR="009A35E9" w:rsidRPr="002803ED">
        <w:rPr>
          <w:rFonts w:ascii="Arial" w:eastAsia="MS PGothic" w:hAnsi="Arial" w:cs="Times New Roman"/>
          <w:color w:val="000000"/>
          <w:sz w:val="20"/>
          <w:szCs w:val="48"/>
        </w:rPr>
        <w:t>m</w:t>
      </w:r>
      <w:r w:rsidR="0080175F" w:rsidRPr="002803ED">
        <w:rPr>
          <w:rFonts w:ascii="Arial" w:eastAsia="MS PGothic" w:hAnsi="Arial" w:cs="Times New Roman"/>
          <w:color w:val="000000"/>
          <w:sz w:val="20"/>
          <w:szCs w:val="48"/>
        </w:rPr>
        <w:t>. ES struktūrinių fondų</w:t>
      </w:r>
      <w:r w:rsidR="001F2140" w:rsidRPr="002803ED">
        <w:rPr>
          <w:rFonts w:ascii="Arial" w:eastAsia="MS PGothic" w:hAnsi="Arial" w:cs="Times New Roman"/>
          <w:color w:val="000000"/>
          <w:sz w:val="20"/>
          <w:szCs w:val="48"/>
        </w:rPr>
        <w:t xml:space="preserve"> (ES SF)</w:t>
      </w:r>
      <w:r w:rsidR="0080175F" w:rsidRPr="002803ED">
        <w:rPr>
          <w:rFonts w:ascii="Arial" w:eastAsia="MS PGothic" w:hAnsi="Arial" w:cs="Times New Roman"/>
          <w:color w:val="000000"/>
          <w:sz w:val="20"/>
          <w:szCs w:val="48"/>
        </w:rPr>
        <w:t xml:space="preserve"> programavimo</w:t>
      </w:r>
      <w:r w:rsidR="00DD1930" w:rsidRPr="002803ED">
        <w:rPr>
          <w:rFonts w:ascii="Arial" w:eastAsia="MS PGothic" w:hAnsi="Arial" w:cs="Times New Roman"/>
          <w:color w:val="000000"/>
          <w:sz w:val="20"/>
          <w:szCs w:val="48"/>
        </w:rPr>
        <w:t xml:space="preserve"> laikotarpiu, Kelmės rajono</w:t>
      </w:r>
      <w:r w:rsidR="009A35E9" w:rsidRPr="002803ED">
        <w:rPr>
          <w:rFonts w:ascii="Arial" w:eastAsia="MS PGothic" w:hAnsi="Arial" w:cs="Times New Roman"/>
          <w:color w:val="000000"/>
          <w:sz w:val="20"/>
          <w:szCs w:val="48"/>
        </w:rPr>
        <w:t xml:space="preserve"> savivaldybėje, </w:t>
      </w:r>
      <w:r w:rsidR="00CF47D0" w:rsidRPr="002803ED">
        <w:rPr>
          <w:rFonts w:ascii="Arial" w:eastAsia="MS PGothic" w:hAnsi="Arial" w:cs="Times New Roman"/>
          <w:color w:val="000000"/>
          <w:sz w:val="20"/>
          <w:szCs w:val="48"/>
        </w:rPr>
        <w:t xml:space="preserve">buvo finansuoti </w:t>
      </w:r>
      <w:r w:rsidR="00AA2DFF" w:rsidRPr="002803ED">
        <w:rPr>
          <w:rFonts w:ascii="Arial" w:eastAsia="MS PGothic" w:hAnsi="Arial" w:cs="Times New Roman"/>
          <w:color w:val="000000"/>
          <w:sz w:val="20"/>
          <w:szCs w:val="48"/>
        </w:rPr>
        <w:t>59</w:t>
      </w:r>
      <w:r w:rsidRPr="002803ED">
        <w:rPr>
          <w:rFonts w:ascii="Arial" w:eastAsia="MS PGothic" w:hAnsi="Arial" w:cs="Times New Roman"/>
          <w:color w:val="000000"/>
          <w:sz w:val="20"/>
          <w:szCs w:val="48"/>
        </w:rPr>
        <w:t xml:space="preserve"> projektai. </w:t>
      </w:r>
      <w:r w:rsidR="009A35E9" w:rsidRPr="002803ED">
        <w:rPr>
          <w:rFonts w:ascii="Arial" w:eastAsia="MS PGothic" w:hAnsi="Arial" w:cs="Times New Roman"/>
          <w:color w:val="000000"/>
          <w:sz w:val="20"/>
          <w:szCs w:val="48"/>
        </w:rPr>
        <w:t xml:space="preserve">Bendra </w:t>
      </w:r>
      <w:r w:rsidR="0080175F" w:rsidRPr="002803ED">
        <w:rPr>
          <w:rFonts w:ascii="Arial" w:eastAsia="MS PGothic" w:hAnsi="Arial" w:cs="Times New Roman"/>
          <w:color w:val="000000"/>
          <w:sz w:val="20"/>
          <w:szCs w:val="48"/>
        </w:rPr>
        <w:t>projektų vertė</w:t>
      </w:r>
      <w:r w:rsidR="009A35E9" w:rsidRPr="002803ED">
        <w:rPr>
          <w:rFonts w:ascii="Arial" w:eastAsia="MS PGothic" w:hAnsi="Arial" w:cs="Times New Roman"/>
          <w:color w:val="000000"/>
          <w:sz w:val="20"/>
          <w:szCs w:val="48"/>
        </w:rPr>
        <w:t xml:space="preserve"> siekė</w:t>
      </w:r>
      <w:r w:rsidR="0080175F" w:rsidRPr="002803ED">
        <w:rPr>
          <w:rFonts w:ascii="Arial" w:eastAsia="MS PGothic" w:hAnsi="Arial" w:cs="Times New Roman"/>
          <w:color w:val="000000"/>
          <w:sz w:val="20"/>
          <w:szCs w:val="48"/>
        </w:rPr>
        <w:t xml:space="preserve"> </w:t>
      </w:r>
      <w:r w:rsidR="00D02D62">
        <w:rPr>
          <w:rFonts w:ascii="Arial" w:eastAsia="MS PGothic" w:hAnsi="Arial" w:cs="Times New Roman"/>
          <w:color w:val="000000"/>
          <w:sz w:val="20"/>
          <w:szCs w:val="48"/>
        </w:rPr>
        <w:t>61.</w:t>
      </w:r>
      <w:r w:rsidR="00AA2DFF" w:rsidRPr="002803ED">
        <w:rPr>
          <w:rFonts w:ascii="Arial" w:eastAsia="MS PGothic" w:hAnsi="Arial" w:cs="Times New Roman"/>
          <w:color w:val="000000"/>
          <w:sz w:val="20"/>
          <w:szCs w:val="48"/>
        </w:rPr>
        <w:t>236</w:t>
      </w:r>
      <w:r w:rsidR="00D02D62">
        <w:rPr>
          <w:rFonts w:ascii="Arial" w:eastAsia="MS PGothic" w:hAnsi="Arial" w:cs="Times New Roman"/>
          <w:color w:val="000000"/>
          <w:sz w:val="20"/>
          <w:szCs w:val="48"/>
        </w:rPr>
        <w:t xml:space="preserve"> mln.</w:t>
      </w:r>
      <w:r w:rsidR="005D34E4" w:rsidRPr="002803ED">
        <w:rPr>
          <w:rFonts w:ascii="Arial" w:eastAsia="MS PGothic" w:hAnsi="Arial" w:cs="Times New Roman"/>
          <w:color w:val="000000"/>
          <w:sz w:val="20"/>
          <w:szCs w:val="48"/>
        </w:rPr>
        <w:t xml:space="preserve"> EUR; tai sudarė </w:t>
      </w:r>
      <w:r w:rsidR="00AA2DFF" w:rsidRPr="002803ED">
        <w:rPr>
          <w:rFonts w:ascii="Arial" w:eastAsia="MS PGothic" w:hAnsi="Arial" w:cs="Times New Roman"/>
          <w:color w:val="000000"/>
          <w:sz w:val="20"/>
          <w:szCs w:val="48"/>
        </w:rPr>
        <w:t>7.12</w:t>
      </w:r>
      <w:r w:rsidR="0080175F" w:rsidRPr="002803ED">
        <w:rPr>
          <w:rFonts w:ascii="Arial" w:eastAsia="MS PGothic" w:hAnsi="Arial" w:cs="Times New Roman"/>
          <w:color w:val="000000"/>
          <w:sz w:val="20"/>
          <w:szCs w:val="48"/>
        </w:rPr>
        <w:t xml:space="preserve"> proc. visų probleminėse teritorijose įgyvendintų</w:t>
      </w:r>
      <w:r w:rsidR="001F2140" w:rsidRPr="002803ED">
        <w:rPr>
          <w:rFonts w:ascii="Arial" w:eastAsia="MS PGothic" w:hAnsi="Arial" w:cs="Times New Roman"/>
          <w:color w:val="000000"/>
          <w:sz w:val="20"/>
          <w:szCs w:val="48"/>
        </w:rPr>
        <w:t xml:space="preserve"> ES SF</w:t>
      </w:r>
      <w:r w:rsidR="0080175F" w:rsidRPr="002803ED">
        <w:rPr>
          <w:rFonts w:ascii="Arial" w:eastAsia="MS PGothic" w:hAnsi="Arial" w:cs="Times New Roman"/>
          <w:color w:val="000000"/>
          <w:sz w:val="20"/>
          <w:szCs w:val="48"/>
        </w:rPr>
        <w:t xml:space="preserve"> projektų vertės.</w:t>
      </w:r>
      <w:r w:rsidR="005D34E4" w:rsidRPr="002803ED">
        <w:rPr>
          <w:rFonts w:ascii="Arial" w:eastAsia="MS PGothic" w:hAnsi="Arial" w:cs="Times New Roman"/>
          <w:color w:val="000000"/>
          <w:sz w:val="20"/>
          <w:szCs w:val="48"/>
        </w:rPr>
        <w:t xml:space="preserve"> </w:t>
      </w:r>
    </w:p>
    <w:p w:rsidR="000D5BA5" w:rsidRPr="002803ED" w:rsidRDefault="00DD1930" w:rsidP="00544CFE">
      <w:pPr>
        <w:jc w:val="both"/>
        <w:rPr>
          <w:rFonts w:ascii="Arial" w:eastAsia="MS PGothic" w:hAnsi="Arial" w:cs="Times New Roman"/>
          <w:color w:val="000000"/>
          <w:sz w:val="20"/>
          <w:szCs w:val="48"/>
        </w:rPr>
      </w:pPr>
      <w:r w:rsidRPr="002803ED">
        <w:rPr>
          <w:rFonts w:ascii="Arial" w:eastAsia="MS PGothic" w:hAnsi="Arial" w:cs="Times New Roman"/>
          <w:color w:val="000000"/>
          <w:sz w:val="20"/>
          <w:szCs w:val="48"/>
        </w:rPr>
        <w:t>Pagal Sanglaudos skatinimo veiksmų programą (SSVP) ir Ekonomikos augimo veiksmų programą (EAVP) buvo skirtas panašus kiekis ES SF lėšų (atitinkamai 50 proc. ir 47 proc.). Mažiausiai (kaip ir kitose probleminių teritorijų savivaldybėse)</w:t>
      </w:r>
      <w:r w:rsidR="00544CFE" w:rsidRPr="002803ED">
        <w:rPr>
          <w:rFonts w:ascii="Arial" w:eastAsia="MS PGothic" w:hAnsi="Arial" w:cs="Times New Roman"/>
          <w:color w:val="000000"/>
          <w:sz w:val="20"/>
          <w:szCs w:val="48"/>
        </w:rPr>
        <w:t xml:space="preserve"> lėšų buvo skirta pagal </w:t>
      </w:r>
      <w:r w:rsidR="00D65C3C" w:rsidRPr="002803ED">
        <w:rPr>
          <w:rFonts w:ascii="Arial" w:eastAsia="MS PGothic" w:hAnsi="Arial" w:cs="Times New Roman"/>
          <w:color w:val="000000"/>
          <w:sz w:val="20"/>
          <w:szCs w:val="48"/>
        </w:rPr>
        <w:t>Žmogiškųjų išt</w:t>
      </w:r>
      <w:r w:rsidR="00544CFE" w:rsidRPr="002803ED">
        <w:rPr>
          <w:rFonts w:ascii="Arial" w:eastAsia="MS PGothic" w:hAnsi="Arial" w:cs="Times New Roman"/>
          <w:color w:val="000000"/>
          <w:sz w:val="20"/>
          <w:szCs w:val="48"/>
        </w:rPr>
        <w:t>eklių veiksmų programą</w:t>
      </w:r>
      <w:r w:rsidR="00D65C3C" w:rsidRPr="002803ED">
        <w:rPr>
          <w:rFonts w:ascii="Arial" w:eastAsia="MS PGothic" w:hAnsi="Arial" w:cs="Times New Roman"/>
          <w:color w:val="000000"/>
          <w:sz w:val="20"/>
          <w:szCs w:val="48"/>
        </w:rPr>
        <w:t xml:space="preserve"> (ŽIPVP) </w:t>
      </w:r>
      <w:r w:rsidR="00544CFE" w:rsidRPr="002803ED">
        <w:rPr>
          <w:rFonts w:ascii="Arial" w:eastAsia="MS PGothic" w:hAnsi="Arial" w:cs="Times New Roman"/>
          <w:color w:val="000000"/>
          <w:sz w:val="20"/>
          <w:szCs w:val="48"/>
        </w:rPr>
        <w:t>- vos</w:t>
      </w:r>
      <w:r w:rsidR="00AA2DFF" w:rsidRPr="002803ED">
        <w:rPr>
          <w:rFonts w:ascii="Arial" w:eastAsia="MS PGothic" w:hAnsi="Arial" w:cs="Times New Roman"/>
          <w:color w:val="000000"/>
          <w:sz w:val="20"/>
          <w:szCs w:val="48"/>
        </w:rPr>
        <w:t xml:space="preserve"> 3</w:t>
      </w:r>
      <w:r w:rsidR="00544CFE" w:rsidRPr="002803ED">
        <w:rPr>
          <w:rFonts w:ascii="Arial" w:eastAsia="MS PGothic" w:hAnsi="Arial" w:cs="Times New Roman"/>
          <w:color w:val="000000"/>
          <w:sz w:val="20"/>
          <w:szCs w:val="48"/>
        </w:rPr>
        <w:t xml:space="preserve"> proc. Panašiai kaip ir kitose savivaldybėse, mažas ŽIPVP lėšų skaičius nebūtinai lėmė mažą projektų skaičių: Kelmės rajono savivaldybėje buvo įgyvendinta 13 mažos apimties Europos socialinio fondo lėšomis finansuojamų projektų. EAVP apimtyje finansuota 10 projektų; SSVP projektų skaičius atitiko finansinių lėšų paskirstymą – finansuoti 36 projektai.</w:t>
      </w:r>
      <w:r w:rsidR="001B09C3" w:rsidRPr="002803ED">
        <w:rPr>
          <w:rFonts w:ascii="Arial" w:eastAsia="MS PGothic" w:hAnsi="Arial" w:cs="Times New Roman"/>
          <w:color w:val="000000"/>
          <w:sz w:val="20"/>
          <w:szCs w:val="48"/>
        </w:rPr>
        <w:t xml:space="preserve"> </w:t>
      </w:r>
    </w:p>
    <w:p w:rsidR="0020781B" w:rsidRPr="002803ED" w:rsidRDefault="0020781B" w:rsidP="0020781B">
      <w:pPr>
        <w:pStyle w:val="Caption"/>
        <w:keepNext/>
      </w:pPr>
      <w:r w:rsidRPr="002803ED">
        <w:fldChar w:fldCharType="begin"/>
      </w:r>
      <w:r w:rsidRPr="002803ED">
        <w:instrText xml:space="preserve"> SEQ paveikslas \* ARABIC </w:instrText>
      </w:r>
      <w:r w:rsidRPr="002803ED">
        <w:fldChar w:fldCharType="separate"/>
      </w:r>
      <w:r w:rsidR="008A1509" w:rsidRPr="002803ED">
        <w:t>1</w:t>
      </w:r>
      <w:r w:rsidRPr="002803ED">
        <w:fldChar w:fldCharType="end"/>
      </w:r>
      <w:r w:rsidRPr="002803ED">
        <w:t xml:space="preserve"> paveikslas. Veiksmų</w:t>
      </w:r>
      <w:r w:rsidR="000D5BA5" w:rsidRPr="002803ED">
        <w:t xml:space="preserve"> programų finansavimas (dalis bendros projektų vertės</w:t>
      </w:r>
      <w:r w:rsidR="00326A1B" w:rsidRPr="002803ED">
        <w:t>)</w:t>
      </w:r>
      <w:r w:rsidRPr="002803ED">
        <w:t xml:space="preserve"> </w:t>
      </w:r>
    </w:p>
    <w:p w:rsidR="00D65C3C" w:rsidRPr="002803ED" w:rsidRDefault="00D02D62" w:rsidP="00A552B8">
      <w:pPr>
        <w:pStyle w:val="Caption"/>
        <w:spacing w:before="240"/>
        <w:rPr>
          <w:b w:val="0"/>
        </w:rPr>
      </w:pPr>
      <w:r w:rsidRPr="002803ED">
        <w:rPr>
          <w:noProof/>
          <w:lang w:val="en-US"/>
        </w:rPr>
        <w:drawing>
          <wp:anchor distT="0" distB="0" distL="114300" distR="114300" simplePos="0" relativeHeight="251671552" behindDoc="0" locked="0" layoutInCell="1" allowOverlap="1" wp14:anchorId="23639B99" wp14:editId="3F55105A">
            <wp:simplePos x="0" y="0"/>
            <wp:positionH relativeFrom="margin">
              <wp:posOffset>26670</wp:posOffset>
            </wp:positionH>
            <wp:positionV relativeFrom="paragraph">
              <wp:posOffset>25400</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65C3C" w:rsidRPr="002803ED" w:rsidRDefault="00D65C3C" w:rsidP="00A552B8">
      <w:pPr>
        <w:pStyle w:val="Caption"/>
        <w:spacing w:before="240"/>
        <w:rPr>
          <w:b w:val="0"/>
        </w:rPr>
      </w:pPr>
    </w:p>
    <w:p w:rsidR="00D65C3C" w:rsidRPr="002803ED" w:rsidRDefault="00D65C3C" w:rsidP="00A552B8">
      <w:pPr>
        <w:pStyle w:val="Caption"/>
        <w:spacing w:before="240"/>
        <w:rPr>
          <w:b w:val="0"/>
        </w:rPr>
      </w:pPr>
    </w:p>
    <w:p w:rsidR="00D65C3C" w:rsidRPr="002803ED" w:rsidRDefault="00D65C3C" w:rsidP="00A552B8">
      <w:pPr>
        <w:pStyle w:val="Caption"/>
        <w:spacing w:before="240"/>
        <w:rPr>
          <w:b w:val="0"/>
        </w:rPr>
      </w:pPr>
    </w:p>
    <w:p w:rsidR="00D65C3C" w:rsidRPr="002803ED" w:rsidRDefault="00D65C3C" w:rsidP="00A552B8">
      <w:pPr>
        <w:pStyle w:val="Caption"/>
        <w:spacing w:before="240"/>
        <w:rPr>
          <w:b w:val="0"/>
        </w:rPr>
      </w:pPr>
    </w:p>
    <w:p w:rsidR="00D65C3C" w:rsidRPr="002803ED" w:rsidRDefault="00D65C3C" w:rsidP="00A552B8">
      <w:pPr>
        <w:pStyle w:val="Caption"/>
        <w:spacing w:before="240"/>
        <w:rPr>
          <w:b w:val="0"/>
        </w:rPr>
      </w:pPr>
    </w:p>
    <w:p w:rsidR="00D65C3C" w:rsidRPr="002803ED" w:rsidRDefault="00D65C3C" w:rsidP="00A552B8">
      <w:pPr>
        <w:pStyle w:val="Caption"/>
        <w:spacing w:before="240"/>
        <w:rPr>
          <w:b w:val="0"/>
        </w:rPr>
      </w:pPr>
    </w:p>
    <w:p w:rsidR="00D65C3C" w:rsidRPr="002803ED" w:rsidRDefault="00D65C3C" w:rsidP="00D65C3C">
      <w:pPr>
        <w:pStyle w:val="Caption"/>
        <w:spacing w:after="0"/>
        <w:rPr>
          <w:b w:val="0"/>
        </w:rPr>
      </w:pPr>
    </w:p>
    <w:p w:rsidR="00D02D62" w:rsidRDefault="00D02D62" w:rsidP="00D65C3C">
      <w:pPr>
        <w:pStyle w:val="Caption"/>
        <w:spacing w:before="120"/>
        <w:rPr>
          <w:b w:val="0"/>
        </w:rPr>
      </w:pPr>
    </w:p>
    <w:p w:rsidR="005577BB" w:rsidRPr="002803ED" w:rsidRDefault="005577BB" w:rsidP="00D65C3C">
      <w:pPr>
        <w:pStyle w:val="Caption"/>
        <w:spacing w:before="120"/>
        <w:rPr>
          <w:b w:val="0"/>
        </w:rPr>
      </w:pPr>
      <w:r w:rsidRPr="002803ED">
        <w:rPr>
          <w:b w:val="0"/>
        </w:rPr>
        <w:t xml:space="preserve">Šaltinis: </w:t>
      </w:r>
      <w:hyperlink r:id="rId13" w:history="1">
        <w:r w:rsidR="009D7299" w:rsidRPr="002803ED">
          <w:rPr>
            <w:rStyle w:val="Hyperlink"/>
            <w:b w:val="0"/>
          </w:rPr>
          <w:t>www.esparama.lt</w:t>
        </w:r>
      </w:hyperlink>
    </w:p>
    <w:p w:rsidR="00C83C6E" w:rsidRPr="002803ED" w:rsidRDefault="002677E8" w:rsidP="000C024B">
      <w:pPr>
        <w:jc w:val="both"/>
        <w:rPr>
          <w:rFonts w:ascii="Arial" w:hAnsi="Arial" w:cs="Arial"/>
          <w:sz w:val="20"/>
        </w:rPr>
      </w:pPr>
      <w:r w:rsidRPr="002803ED">
        <w:rPr>
          <w:rFonts w:ascii="Arial" w:hAnsi="Arial" w:cs="Arial"/>
          <w:sz w:val="20"/>
        </w:rPr>
        <w:t xml:space="preserve">Analizuojant veiksmų </w:t>
      </w:r>
      <w:r w:rsidR="000534F9" w:rsidRPr="002803ED">
        <w:rPr>
          <w:rFonts w:ascii="Arial" w:hAnsi="Arial" w:cs="Arial"/>
          <w:sz w:val="20"/>
        </w:rPr>
        <w:t>programų prioritetų</w:t>
      </w:r>
      <w:r w:rsidRPr="002803ED">
        <w:rPr>
          <w:rFonts w:ascii="Arial" w:hAnsi="Arial" w:cs="Arial"/>
          <w:sz w:val="20"/>
        </w:rPr>
        <w:t xml:space="preserve"> finansavimą</w:t>
      </w:r>
      <w:r w:rsidR="003D195A" w:rsidRPr="002803ED">
        <w:rPr>
          <w:rFonts w:ascii="Arial" w:hAnsi="Arial" w:cs="Arial"/>
          <w:sz w:val="20"/>
        </w:rPr>
        <w:t>,</w:t>
      </w:r>
      <w:r w:rsidR="00C83C6E" w:rsidRPr="002803ED">
        <w:rPr>
          <w:rFonts w:ascii="Arial" w:hAnsi="Arial" w:cs="Arial"/>
          <w:sz w:val="20"/>
        </w:rPr>
        <w:t xml:space="preserve"> ŽIPVP apimtyje ES finansavim</w:t>
      </w:r>
      <w:r w:rsidR="00D02D62">
        <w:rPr>
          <w:rFonts w:ascii="Arial" w:hAnsi="Arial" w:cs="Arial"/>
          <w:sz w:val="20"/>
        </w:rPr>
        <w:t>as skirtas</w:t>
      </w:r>
      <w:r w:rsidR="00C83C6E" w:rsidRPr="002803ED">
        <w:rPr>
          <w:rFonts w:ascii="Arial" w:hAnsi="Arial" w:cs="Arial"/>
          <w:sz w:val="20"/>
        </w:rPr>
        <w:t xml:space="preserve"> prioritetų „1 Prioritetas. Kokybiškas užimtumas ir socialinė aprėptis“</w:t>
      </w:r>
      <w:r w:rsidR="005D34E4" w:rsidRPr="002803ED">
        <w:rPr>
          <w:rFonts w:ascii="Arial" w:hAnsi="Arial" w:cs="Arial"/>
          <w:sz w:val="20"/>
        </w:rPr>
        <w:t>, „2 Prioritetas. Mokymasis visą gyvenimą“</w:t>
      </w:r>
      <w:r w:rsidR="00C83C6E" w:rsidRPr="002803ED">
        <w:rPr>
          <w:rFonts w:ascii="Arial" w:hAnsi="Arial" w:cs="Arial"/>
          <w:sz w:val="20"/>
        </w:rPr>
        <w:t xml:space="preserve"> ir „4 Prioritetas. Administracinių gebėjimų stiprinimas ir viešojo administravimo</w:t>
      </w:r>
      <w:r w:rsidR="00D02D62">
        <w:rPr>
          <w:rFonts w:ascii="Arial" w:hAnsi="Arial" w:cs="Arial"/>
          <w:sz w:val="20"/>
        </w:rPr>
        <w:t xml:space="preserve"> efektyvumo didinimas“ projektams</w:t>
      </w:r>
      <w:r w:rsidR="00C83C6E" w:rsidRPr="002803ED">
        <w:rPr>
          <w:rFonts w:ascii="Arial" w:hAnsi="Arial" w:cs="Arial"/>
          <w:sz w:val="20"/>
        </w:rPr>
        <w:t xml:space="preserve">. </w:t>
      </w:r>
      <w:r w:rsidR="005D34E4" w:rsidRPr="002803ED">
        <w:rPr>
          <w:rFonts w:ascii="Arial" w:hAnsi="Arial" w:cs="Arial"/>
          <w:sz w:val="20"/>
        </w:rPr>
        <w:t>EAVP apimtyje – „2 Prioriteto.</w:t>
      </w:r>
      <w:r w:rsidR="005D34E4" w:rsidRPr="002803ED">
        <w:t xml:space="preserve"> </w:t>
      </w:r>
      <w:r w:rsidR="005D34E4" w:rsidRPr="002803ED">
        <w:rPr>
          <w:rFonts w:ascii="Arial" w:hAnsi="Arial" w:cs="Arial"/>
          <w:sz w:val="20"/>
        </w:rPr>
        <w:t>Verslo produktyvumo didinimas ir verslo aplinkos gerinimas“, „4 Prioriteto. Esminė ekonominė infrastruktūra“</w:t>
      </w:r>
      <w:r w:rsidR="00544CFE" w:rsidRPr="002803ED">
        <w:rPr>
          <w:rFonts w:ascii="Arial" w:hAnsi="Arial" w:cs="Arial"/>
          <w:sz w:val="20"/>
        </w:rPr>
        <w:t xml:space="preserve"> ir „5 Prioriteto. Transeuropinių transporto tinklų plėtra“</w:t>
      </w:r>
      <w:r w:rsidR="00D02D62">
        <w:rPr>
          <w:rFonts w:ascii="Arial" w:hAnsi="Arial" w:cs="Arial"/>
          <w:sz w:val="20"/>
        </w:rPr>
        <w:t xml:space="preserve"> projektams</w:t>
      </w:r>
      <w:r w:rsidR="005D34E4" w:rsidRPr="002803ED">
        <w:rPr>
          <w:rFonts w:ascii="Arial" w:hAnsi="Arial" w:cs="Arial"/>
          <w:sz w:val="20"/>
        </w:rPr>
        <w:t xml:space="preserve">. </w:t>
      </w:r>
      <w:r w:rsidR="00C83C6E" w:rsidRPr="002803ED">
        <w:rPr>
          <w:rFonts w:ascii="Arial" w:hAnsi="Arial" w:cs="Arial"/>
          <w:sz w:val="20"/>
        </w:rPr>
        <w:t xml:space="preserve"> SSVP apimtyje – „1 Prioriteto. Vietinė ir urbanistinė plėtra, kultūros paveldo </w:t>
      </w:r>
      <w:r w:rsidR="00C83C6E" w:rsidRPr="002803ED">
        <w:rPr>
          <w:rFonts w:ascii="Arial" w:hAnsi="Arial" w:cs="Arial"/>
          <w:sz w:val="20"/>
        </w:rPr>
        <w:lastRenderedPageBreak/>
        <w:t>ir gamtos išsaugojimas bei pritaikymas turizmo plėtrai“, „2 Prioriteto. Viešųjų paslaugų kokybė ir prieinamumas: sveikatos, švietimo ir socialinė infrastruktūra“ ir „3 Prioriteto. Aplinka</w:t>
      </w:r>
      <w:r w:rsidR="00D02D62">
        <w:rPr>
          <w:rFonts w:ascii="Arial" w:hAnsi="Arial" w:cs="Arial"/>
          <w:sz w:val="20"/>
        </w:rPr>
        <w:t xml:space="preserve"> ir darnus vystymasis“ projektams</w:t>
      </w:r>
      <w:r w:rsidR="00C83C6E" w:rsidRPr="002803ED">
        <w:rPr>
          <w:rFonts w:ascii="Arial" w:hAnsi="Arial" w:cs="Arial"/>
          <w:sz w:val="20"/>
        </w:rPr>
        <w:t xml:space="preserve">. Taigi investuojama buvo į užimtumo didinimą, </w:t>
      </w:r>
      <w:r w:rsidR="00180338" w:rsidRPr="002803ED">
        <w:rPr>
          <w:rFonts w:ascii="Arial" w:hAnsi="Arial" w:cs="Arial"/>
          <w:sz w:val="20"/>
        </w:rPr>
        <w:t xml:space="preserve">mokymąsi visą gyvenimą, </w:t>
      </w:r>
      <w:r w:rsidR="00C83C6E" w:rsidRPr="002803ED">
        <w:rPr>
          <w:rFonts w:ascii="Arial" w:hAnsi="Arial" w:cs="Arial"/>
          <w:sz w:val="20"/>
        </w:rPr>
        <w:t>viešojo valdymo tobulinimą,</w:t>
      </w:r>
      <w:r w:rsidR="00180338" w:rsidRPr="002803ED">
        <w:rPr>
          <w:rFonts w:ascii="Arial" w:hAnsi="Arial" w:cs="Arial"/>
          <w:sz w:val="20"/>
        </w:rPr>
        <w:t xml:space="preserve"> verslo aplinkos gerinimą ir įmonių konkurencingum</w:t>
      </w:r>
      <w:r w:rsidR="005F3390" w:rsidRPr="002803ED">
        <w:rPr>
          <w:rFonts w:ascii="Arial" w:hAnsi="Arial" w:cs="Arial"/>
          <w:sz w:val="20"/>
        </w:rPr>
        <w:t>ą</w:t>
      </w:r>
      <w:r w:rsidR="00180338" w:rsidRPr="002803ED">
        <w:rPr>
          <w:rFonts w:ascii="Arial" w:hAnsi="Arial" w:cs="Arial"/>
          <w:sz w:val="20"/>
        </w:rPr>
        <w:t>,</w:t>
      </w:r>
      <w:r w:rsidR="00C83C6E" w:rsidRPr="002803ED">
        <w:rPr>
          <w:rFonts w:ascii="Arial" w:hAnsi="Arial" w:cs="Arial"/>
          <w:sz w:val="20"/>
        </w:rPr>
        <w:t xml:space="preserve"> miestų plėtrą ir paveldo išsaugojimo, viešųjų paslaugų kokybę ir aplinkosaugą.</w:t>
      </w:r>
      <w:r w:rsidR="00544CFE" w:rsidRPr="002803ED">
        <w:rPr>
          <w:rFonts w:ascii="Arial" w:hAnsi="Arial" w:cs="Arial"/>
          <w:sz w:val="20"/>
        </w:rPr>
        <w:t xml:space="preserve"> Kelmės rajono savivaldybėje daugiausiai EAVP lėšų buvo skirta transporto tinklų ir infrastruktūros plėtrai. </w:t>
      </w:r>
      <w:r w:rsidR="00C83C6E" w:rsidRPr="002803ED">
        <w:rPr>
          <w:rFonts w:ascii="Arial" w:hAnsi="Arial" w:cs="Arial"/>
          <w:sz w:val="20"/>
        </w:rPr>
        <w:t xml:space="preserve"> Daugiausiai buvo investuojama į gamybinį kapitalą; didžioji dalis investicijų įgyvendintos pasitelkiant vertikaliai darnaus vystymosi horizontalų prioritetą integruojančias priemones. </w:t>
      </w:r>
    </w:p>
    <w:p w:rsidR="003B6A9C" w:rsidRPr="002803ED" w:rsidRDefault="003B6A9C" w:rsidP="003B6A9C">
      <w:pPr>
        <w:pStyle w:val="Caption"/>
        <w:keepNext/>
      </w:pPr>
      <w:r w:rsidRPr="002803ED">
        <w:fldChar w:fldCharType="begin"/>
      </w:r>
      <w:r w:rsidRPr="002803ED">
        <w:instrText xml:space="preserve"> SEQ paveikslas \* ARABIC </w:instrText>
      </w:r>
      <w:r w:rsidRPr="002803ED">
        <w:fldChar w:fldCharType="separate"/>
      </w:r>
      <w:r w:rsidR="00E41636" w:rsidRPr="002803ED">
        <w:t>2</w:t>
      </w:r>
      <w:r w:rsidRPr="002803ED">
        <w:fldChar w:fldCharType="end"/>
      </w:r>
      <w:r w:rsidRPr="002803ED">
        <w:t xml:space="preserve"> paveikslas. Veiksmų programų prioritetų finansavimas (</w:t>
      </w:r>
      <w:r w:rsidR="00C849C4" w:rsidRPr="002803ED">
        <w:t>dalis nuo visos VP)</w:t>
      </w:r>
    </w:p>
    <w:p w:rsidR="009D7299" w:rsidRPr="002803ED" w:rsidRDefault="003B6A9C" w:rsidP="000C024B">
      <w:pPr>
        <w:jc w:val="both"/>
        <w:rPr>
          <w:rFonts w:ascii="Arial" w:hAnsi="Arial" w:cs="Arial"/>
          <w:sz w:val="20"/>
        </w:rPr>
      </w:pPr>
      <w:r w:rsidRPr="002803ED">
        <w:rPr>
          <w:rFonts w:ascii="Arial" w:hAnsi="Arial" w:cs="Arial"/>
          <w:noProof/>
          <w:sz w:val="20"/>
          <w:lang w:val="en-US"/>
        </w:rPr>
        <w:drawing>
          <wp:anchor distT="0" distB="0" distL="114300" distR="114300" simplePos="0" relativeHeight="251672576" behindDoc="0" locked="0" layoutInCell="1" allowOverlap="1">
            <wp:simplePos x="0" y="0"/>
            <wp:positionH relativeFrom="margin">
              <wp:align>left</wp:align>
            </wp:positionH>
            <wp:positionV relativeFrom="paragraph">
              <wp:posOffset>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677E8" w:rsidRPr="002803ED" w:rsidRDefault="002677E8" w:rsidP="00A552B8">
      <w:pPr>
        <w:pStyle w:val="Caption"/>
        <w:spacing w:before="240"/>
        <w:rPr>
          <w:b w:val="0"/>
        </w:rPr>
      </w:pPr>
    </w:p>
    <w:p w:rsidR="00D02D62" w:rsidRDefault="00D02D62" w:rsidP="00FF20FA">
      <w:pPr>
        <w:pStyle w:val="Caption"/>
        <w:spacing w:before="240"/>
        <w:rPr>
          <w:b w:val="0"/>
        </w:rPr>
      </w:pPr>
    </w:p>
    <w:p w:rsidR="00D02D62" w:rsidRDefault="00D02D62" w:rsidP="00FF20FA">
      <w:pPr>
        <w:pStyle w:val="Caption"/>
        <w:spacing w:before="240"/>
        <w:rPr>
          <w:b w:val="0"/>
        </w:rPr>
      </w:pPr>
    </w:p>
    <w:p w:rsidR="00D02D62" w:rsidRDefault="00D02D62" w:rsidP="00FF20FA">
      <w:pPr>
        <w:pStyle w:val="Caption"/>
        <w:spacing w:before="240"/>
        <w:rPr>
          <w:b w:val="0"/>
        </w:rPr>
      </w:pPr>
    </w:p>
    <w:p w:rsidR="00D02D62" w:rsidRDefault="00D02D62" w:rsidP="00FF20FA">
      <w:pPr>
        <w:pStyle w:val="Caption"/>
        <w:spacing w:before="240"/>
        <w:rPr>
          <w:b w:val="0"/>
        </w:rPr>
      </w:pPr>
    </w:p>
    <w:p w:rsidR="00D02D62" w:rsidRDefault="00D02D62" w:rsidP="00FF20FA">
      <w:pPr>
        <w:pStyle w:val="Caption"/>
        <w:spacing w:before="240"/>
        <w:rPr>
          <w:b w:val="0"/>
        </w:rPr>
      </w:pPr>
    </w:p>
    <w:p w:rsidR="00A2570C" w:rsidRPr="002803ED" w:rsidRDefault="00761250" w:rsidP="00FF20FA">
      <w:pPr>
        <w:pStyle w:val="Caption"/>
        <w:spacing w:before="240"/>
        <w:rPr>
          <w:b w:val="0"/>
        </w:rPr>
      </w:pPr>
      <w:r w:rsidRPr="002803ED">
        <w:rPr>
          <w:b w:val="0"/>
        </w:rPr>
        <w:t xml:space="preserve">Šaltinis: </w:t>
      </w:r>
      <w:hyperlink r:id="rId15" w:history="1">
        <w:r w:rsidR="00FF20FA" w:rsidRPr="002803ED">
          <w:rPr>
            <w:rStyle w:val="Hyperlink"/>
            <w:b w:val="0"/>
          </w:rPr>
          <w:t>www.esparama.lt</w:t>
        </w:r>
      </w:hyperlink>
    </w:p>
    <w:p w:rsidR="00FF20FA" w:rsidRPr="002803ED" w:rsidRDefault="00FF20FA" w:rsidP="00FF20FA">
      <w:pPr>
        <w:jc w:val="both"/>
        <w:rPr>
          <w:rFonts w:ascii="Arial" w:eastAsia="MS PGothic" w:hAnsi="Arial" w:cs="Times New Roman"/>
          <w:sz w:val="20"/>
          <w:szCs w:val="24"/>
        </w:rPr>
      </w:pPr>
      <w:r w:rsidRPr="002803ED">
        <w:rPr>
          <w:rFonts w:ascii="Arial" w:eastAsia="MS PGothic" w:hAnsi="Arial" w:cs="Times New Roman"/>
          <w:sz w:val="20"/>
          <w:szCs w:val="24"/>
        </w:rPr>
        <w:t>Atlikus įgyvendintų projektų analizę, nustatyta, kad ŽIPVP</w:t>
      </w:r>
      <w:r w:rsidR="00AE7898" w:rsidRPr="002803ED">
        <w:rPr>
          <w:rFonts w:ascii="Arial" w:eastAsia="MS PGothic" w:hAnsi="Arial" w:cs="Times New Roman"/>
          <w:sz w:val="20"/>
          <w:szCs w:val="24"/>
        </w:rPr>
        <w:t xml:space="preserve"> apimtyje užimtumui ir švietimui buvo skirta mažiausiai dėmesio; daugiausia projektų įgyvendinta </w:t>
      </w:r>
      <w:r w:rsidR="00D62EB8" w:rsidRPr="002803ED">
        <w:rPr>
          <w:rFonts w:ascii="Arial" w:eastAsia="MS PGothic" w:hAnsi="Arial" w:cs="Times New Roman"/>
          <w:sz w:val="20"/>
          <w:szCs w:val="24"/>
        </w:rPr>
        <w:t xml:space="preserve">ŽIPVP 4 prioriteto </w:t>
      </w:r>
      <w:r w:rsidR="00AE7898" w:rsidRPr="002803ED">
        <w:rPr>
          <w:rFonts w:ascii="Arial" w:eastAsia="MS PGothic" w:hAnsi="Arial" w:cs="Times New Roman"/>
          <w:sz w:val="20"/>
          <w:szCs w:val="24"/>
        </w:rPr>
        <w:t>apimtyje. Jie</w:t>
      </w:r>
      <w:r w:rsidR="00D62EB8" w:rsidRPr="002803ED">
        <w:rPr>
          <w:rFonts w:ascii="Arial" w:eastAsia="MS PGothic" w:hAnsi="Arial" w:cs="Times New Roman"/>
          <w:sz w:val="20"/>
          <w:szCs w:val="24"/>
        </w:rPr>
        <w:t xml:space="preserve"> iš esmės atitiko ir kitose probleminėse teritorijose įgyvendintas viešojo valdymo tobulinimo priemones: viešojo administravimo įstaigų darbuotojų kvalifikacijos kėlimas, strateginio ir teritorijų planavimo dokumentų rengimas. EAVP </w:t>
      </w:r>
      <w:r w:rsidR="00AE7898" w:rsidRPr="002803ED">
        <w:rPr>
          <w:rFonts w:ascii="Arial" w:eastAsia="MS PGothic" w:hAnsi="Arial" w:cs="Times New Roman"/>
          <w:sz w:val="20"/>
          <w:szCs w:val="24"/>
        </w:rPr>
        <w:t>projektai tu</w:t>
      </w:r>
      <w:r w:rsidR="00DA236A">
        <w:rPr>
          <w:rFonts w:ascii="Arial" w:eastAsia="MS PGothic" w:hAnsi="Arial" w:cs="Times New Roman"/>
          <w:sz w:val="20"/>
          <w:szCs w:val="24"/>
        </w:rPr>
        <w:t>r</w:t>
      </w:r>
      <w:r w:rsidR="00AE7898" w:rsidRPr="002803ED">
        <w:rPr>
          <w:rFonts w:ascii="Arial" w:eastAsia="MS PGothic" w:hAnsi="Arial" w:cs="Times New Roman"/>
          <w:sz w:val="20"/>
          <w:szCs w:val="24"/>
        </w:rPr>
        <w:t>ėjo labai aiškią strateginę kryptį – daugiausiai buvo investuojama į kelių transporto infrastruktūros atnaujinimą, plėtrą</w:t>
      </w:r>
      <w:r w:rsidR="00D62EB8" w:rsidRPr="002803ED">
        <w:rPr>
          <w:rFonts w:ascii="Arial" w:eastAsia="MS PGothic" w:hAnsi="Arial" w:cs="Times New Roman"/>
          <w:sz w:val="20"/>
          <w:szCs w:val="24"/>
        </w:rPr>
        <w:t>. SSVP</w:t>
      </w:r>
      <w:r w:rsidR="00242947" w:rsidRPr="002803ED">
        <w:rPr>
          <w:rFonts w:ascii="Arial" w:eastAsia="MS PGothic" w:hAnsi="Arial" w:cs="Times New Roman"/>
          <w:sz w:val="20"/>
          <w:szCs w:val="24"/>
        </w:rPr>
        <w:t xml:space="preserve"> 1 prioriteto</w:t>
      </w:r>
      <w:r w:rsidR="00D62EB8" w:rsidRPr="002803ED">
        <w:rPr>
          <w:rFonts w:ascii="Arial" w:eastAsia="MS PGothic" w:hAnsi="Arial" w:cs="Times New Roman"/>
          <w:sz w:val="20"/>
          <w:szCs w:val="24"/>
        </w:rPr>
        <w:t xml:space="preserve"> </w:t>
      </w:r>
      <w:r w:rsidR="000252B1" w:rsidRPr="002803ED">
        <w:rPr>
          <w:rFonts w:ascii="Arial" w:eastAsia="MS PGothic" w:hAnsi="Arial" w:cs="Times New Roman"/>
          <w:sz w:val="20"/>
          <w:szCs w:val="24"/>
        </w:rPr>
        <w:t xml:space="preserve">priemonių apimtyje įgyvendinti </w:t>
      </w:r>
      <w:r w:rsidR="00D62EB8" w:rsidRPr="002803ED">
        <w:rPr>
          <w:rFonts w:ascii="Arial" w:eastAsia="MS PGothic" w:hAnsi="Arial" w:cs="Times New Roman"/>
          <w:sz w:val="20"/>
          <w:szCs w:val="24"/>
        </w:rPr>
        <w:t>kompl</w:t>
      </w:r>
      <w:r w:rsidR="000252B1" w:rsidRPr="002803ED">
        <w:rPr>
          <w:rFonts w:ascii="Arial" w:eastAsia="MS PGothic" w:hAnsi="Arial" w:cs="Times New Roman"/>
          <w:sz w:val="20"/>
          <w:szCs w:val="24"/>
        </w:rPr>
        <w:t xml:space="preserve">eksinio gyvenamosios aplinkos </w:t>
      </w:r>
      <w:r w:rsidR="00D62EB8" w:rsidRPr="002803ED">
        <w:rPr>
          <w:rFonts w:ascii="Arial" w:eastAsia="MS PGothic" w:hAnsi="Arial" w:cs="Times New Roman"/>
          <w:sz w:val="20"/>
          <w:szCs w:val="24"/>
        </w:rPr>
        <w:t>tvarkymo</w:t>
      </w:r>
      <w:r w:rsidR="000252B1" w:rsidRPr="002803ED">
        <w:rPr>
          <w:rFonts w:ascii="Arial" w:eastAsia="MS PGothic" w:hAnsi="Arial" w:cs="Times New Roman"/>
          <w:sz w:val="20"/>
          <w:szCs w:val="24"/>
        </w:rPr>
        <w:t xml:space="preserve"> ir </w:t>
      </w:r>
      <w:r w:rsidR="00AE7898" w:rsidRPr="002803ED">
        <w:rPr>
          <w:rFonts w:ascii="Arial" w:eastAsia="MS PGothic" w:hAnsi="Arial" w:cs="Times New Roman"/>
          <w:sz w:val="20"/>
          <w:szCs w:val="24"/>
        </w:rPr>
        <w:t xml:space="preserve">turizmo </w:t>
      </w:r>
      <w:r w:rsidR="000252B1" w:rsidRPr="002803ED">
        <w:rPr>
          <w:rFonts w:ascii="Arial" w:eastAsia="MS PGothic" w:hAnsi="Arial" w:cs="Times New Roman"/>
          <w:sz w:val="20"/>
          <w:szCs w:val="24"/>
        </w:rPr>
        <w:t>infrastruktūros plėtros, tobulinimo, renovacijos</w:t>
      </w:r>
      <w:r w:rsidR="00D62EB8" w:rsidRPr="002803ED">
        <w:rPr>
          <w:rFonts w:ascii="Arial" w:eastAsia="MS PGothic" w:hAnsi="Arial" w:cs="Times New Roman"/>
          <w:sz w:val="20"/>
          <w:szCs w:val="24"/>
        </w:rPr>
        <w:t xml:space="preserve"> projektai. </w:t>
      </w:r>
      <w:r w:rsidR="00242947" w:rsidRPr="002803ED">
        <w:rPr>
          <w:rFonts w:ascii="Arial" w:eastAsia="MS PGothic" w:hAnsi="Arial" w:cs="Times New Roman"/>
          <w:sz w:val="20"/>
          <w:szCs w:val="24"/>
        </w:rPr>
        <w:t xml:space="preserve">2 prioriteto projektai orientuoti į socialinių paslaugų ir </w:t>
      </w:r>
      <w:r w:rsidR="000252B1" w:rsidRPr="002803ED">
        <w:rPr>
          <w:rFonts w:ascii="Arial" w:eastAsia="MS PGothic" w:hAnsi="Arial" w:cs="Times New Roman"/>
          <w:sz w:val="20"/>
          <w:szCs w:val="24"/>
        </w:rPr>
        <w:t>sveika</w:t>
      </w:r>
      <w:r w:rsidR="00AE7898" w:rsidRPr="002803ED">
        <w:rPr>
          <w:rFonts w:ascii="Arial" w:eastAsia="MS PGothic" w:hAnsi="Arial" w:cs="Times New Roman"/>
          <w:sz w:val="20"/>
          <w:szCs w:val="24"/>
        </w:rPr>
        <w:t>tos</w:t>
      </w:r>
      <w:r w:rsidR="00242947" w:rsidRPr="002803ED">
        <w:rPr>
          <w:rFonts w:ascii="Arial" w:eastAsia="MS PGothic" w:hAnsi="Arial" w:cs="Times New Roman"/>
          <w:sz w:val="20"/>
          <w:szCs w:val="24"/>
        </w:rPr>
        <w:t xml:space="preserve"> infrastruktūros tobulinimą, tuo tarpu 3 prioriteto apimtyje įgyvendinti</w:t>
      </w:r>
      <w:r w:rsidR="000252B1" w:rsidRPr="002803ED">
        <w:rPr>
          <w:rFonts w:ascii="Arial" w:eastAsia="MS PGothic" w:hAnsi="Arial" w:cs="Times New Roman"/>
          <w:sz w:val="20"/>
          <w:szCs w:val="24"/>
        </w:rPr>
        <w:t xml:space="preserve"> </w:t>
      </w:r>
      <w:r w:rsidR="00AE7898" w:rsidRPr="002803ED">
        <w:rPr>
          <w:rFonts w:ascii="Arial" w:eastAsia="MS PGothic" w:hAnsi="Arial" w:cs="Times New Roman"/>
          <w:sz w:val="20"/>
          <w:szCs w:val="24"/>
        </w:rPr>
        <w:t>švietimo infrastruktūros</w:t>
      </w:r>
      <w:r w:rsidR="00242947" w:rsidRPr="002803ED">
        <w:rPr>
          <w:rFonts w:ascii="Arial" w:eastAsia="MS PGothic" w:hAnsi="Arial" w:cs="Times New Roman"/>
          <w:sz w:val="20"/>
          <w:szCs w:val="24"/>
        </w:rPr>
        <w:t xml:space="preserve">, vandens tiekimo ir nuotekų tvarkymo projektai. </w:t>
      </w:r>
      <w:r w:rsidR="00C849C4" w:rsidRPr="002803ED">
        <w:rPr>
          <w:rFonts w:ascii="Arial" w:eastAsia="MS PGothic" w:hAnsi="Arial" w:cs="Times New Roman"/>
          <w:sz w:val="20"/>
          <w:szCs w:val="24"/>
        </w:rPr>
        <w:t>Pastebėtina tendencija, kad daugiausiai</w:t>
      </w:r>
      <w:r w:rsidR="000252B1" w:rsidRPr="002803ED">
        <w:rPr>
          <w:rFonts w:ascii="Arial" w:eastAsia="MS PGothic" w:hAnsi="Arial" w:cs="Times New Roman"/>
          <w:sz w:val="20"/>
          <w:szCs w:val="24"/>
        </w:rPr>
        <w:t>, kaip ir kitose probleminių teritorijų savivaldybėse,</w:t>
      </w:r>
      <w:r w:rsidR="00C849C4" w:rsidRPr="002803ED">
        <w:rPr>
          <w:rFonts w:ascii="Arial" w:eastAsia="MS PGothic" w:hAnsi="Arial" w:cs="Times New Roman"/>
          <w:sz w:val="20"/>
          <w:szCs w:val="24"/>
        </w:rPr>
        <w:t xml:space="preserve"> investuota srityse, kur vyravo</w:t>
      </w:r>
      <w:r w:rsidR="000252B1" w:rsidRPr="002803ED">
        <w:rPr>
          <w:rFonts w:ascii="Arial" w:eastAsia="MS PGothic" w:hAnsi="Arial" w:cs="Times New Roman"/>
          <w:sz w:val="20"/>
          <w:szCs w:val="24"/>
        </w:rPr>
        <w:t xml:space="preserve"> </w:t>
      </w:r>
      <w:r w:rsidR="00AE7898" w:rsidRPr="002803ED">
        <w:rPr>
          <w:rFonts w:ascii="Arial" w:eastAsia="MS PGothic" w:hAnsi="Arial" w:cs="Times New Roman"/>
          <w:sz w:val="20"/>
          <w:szCs w:val="24"/>
        </w:rPr>
        <w:t>valstybės ir regionų projektų</w:t>
      </w:r>
      <w:r w:rsidR="000252B1" w:rsidRPr="002803ED">
        <w:rPr>
          <w:rFonts w:ascii="Arial" w:eastAsia="MS PGothic" w:hAnsi="Arial" w:cs="Times New Roman"/>
          <w:sz w:val="20"/>
          <w:szCs w:val="24"/>
        </w:rPr>
        <w:t xml:space="preserve"> planavimo priemonės</w:t>
      </w:r>
      <w:r w:rsidR="00AE7898" w:rsidRPr="002803ED">
        <w:rPr>
          <w:rFonts w:ascii="Arial" w:eastAsia="MS PGothic" w:hAnsi="Arial" w:cs="Times New Roman"/>
          <w:sz w:val="20"/>
          <w:szCs w:val="24"/>
        </w:rPr>
        <w:t>.</w:t>
      </w:r>
    </w:p>
    <w:p w:rsidR="00A2570C" w:rsidRPr="002803ED" w:rsidRDefault="00A2570C" w:rsidP="00C849C4">
      <w:pPr>
        <w:pStyle w:val="Heading1"/>
        <w:numPr>
          <w:ilvl w:val="1"/>
          <w:numId w:val="1"/>
        </w:numPr>
        <w:spacing w:before="360"/>
        <w:rPr>
          <w:rFonts w:ascii="Arial" w:hAnsi="Arial" w:cs="Arial"/>
          <w:b w:val="0"/>
          <w:sz w:val="28"/>
          <w:szCs w:val="28"/>
        </w:rPr>
      </w:pPr>
      <w:r w:rsidRPr="002803ED">
        <w:rPr>
          <w:rFonts w:ascii="Arial" w:hAnsi="Arial" w:cs="Arial"/>
          <w:b w:val="0"/>
          <w:sz w:val="28"/>
          <w:szCs w:val="28"/>
        </w:rPr>
        <w:t>Rodiklių analizė</w:t>
      </w:r>
    </w:p>
    <w:p w:rsidR="002B4036" w:rsidRPr="002803ED" w:rsidRDefault="002B4036" w:rsidP="002B4036">
      <w:pPr>
        <w:jc w:val="both"/>
        <w:rPr>
          <w:rFonts w:ascii="Arial" w:eastAsia="MS PGothic" w:hAnsi="Arial" w:cs="Times New Roman"/>
          <w:sz w:val="20"/>
          <w:szCs w:val="24"/>
        </w:rPr>
      </w:pPr>
      <w:r w:rsidRPr="002803ED">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2803ED">
        <w:rPr>
          <w:rFonts w:ascii="Arial" w:eastAsia="MS PGothic" w:hAnsi="Arial" w:cs="Times New Roman"/>
          <w:sz w:val="20"/>
          <w:szCs w:val="24"/>
          <w:vertAlign w:val="subscript"/>
        </w:rPr>
        <w:t>2</w:t>
      </w:r>
      <w:r w:rsidRPr="002803ED">
        <w:rPr>
          <w:rFonts w:ascii="Arial" w:eastAsia="MS PGothic" w:hAnsi="Arial" w:cs="Times New Roman"/>
          <w:sz w:val="20"/>
          <w:szCs w:val="24"/>
        </w:rPr>
        <w:t>)</w:t>
      </w:r>
      <w:r w:rsidRPr="002803ED">
        <w:rPr>
          <w:rFonts w:ascii="Arial" w:eastAsia="MS PGothic" w:hAnsi="Arial" w:cs="Times New Roman"/>
          <w:sz w:val="20"/>
          <w:szCs w:val="24"/>
          <w:vertAlign w:val="subscript"/>
        </w:rPr>
        <w:t>,</w:t>
      </w:r>
      <w:r w:rsidRPr="002803ED">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2803ED">
        <w:rPr>
          <w:rFonts w:ascii="Arial" w:eastAsia="MS PGothic" w:hAnsi="Arial" w:cs="Times New Roman"/>
          <w:sz w:val="20"/>
          <w:szCs w:val="24"/>
        </w:rPr>
        <w:t xml:space="preserve">darbingo amžiaus </w:t>
      </w:r>
      <w:r w:rsidRPr="002803ED">
        <w:rPr>
          <w:rFonts w:ascii="Arial" w:eastAsia="MS PGothic" w:hAnsi="Arial" w:cs="Times New Roman"/>
          <w:sz w:val="20"/>
          <w:szCs w:val="24"/>
        </w:rPr>
        <w:t xml:space="preserve">gyventojų skaičiaus ir registruotų bedarbių santykį. Ekonominės veiklos rodikliai </w:t>
      </w:r>
      <w:r w:rsidR="007F0777" w:rsidRPr="002803ED">
        <w:rPr>
          <w:rFonts w:ascii="Arial" w:eastAsia="MS PGothic" w:hAnsi="Arial" w:cs="Times New Roman"/>
          <w:sz w:val="20"/>
          <w:szCs w:val="24"/>
        </w:rPr>
        <w:t>– pridėtinė vertė gamybos kainomis, materialinės investicijos to meto kainomis ir tiesioginės užsienio investicijos.</w:t>
      </w:r>
    </w:p>
    <w:p w:rsidR="002803ED" w:rsidRPr="002803ED" w:rsidRDefault="007F0777" w:rsidP="002803ED">
      <w:pPr>
        <w:jc w:val="both"/>
        <w:rPr>
          <w:rFonts w:ascii="Arial" w:eastAsia="MS PGothic" w:hAnsi="Arial" w:cs="Times New Roman"/>
          <w:sz w:val="20"/>
          <w:szCs w:val="24"/>
        </w:rPr>
      </w:pPr>
      <w:r w:rsidRPr="002803ED">
        <w:rPr>
          <w:rFonts w:ascii="Arial" w:eastAsia="MS PGothic" w:hAnsi="Arial" w:cs="Times New Roman"/>
          <w:sz w:val="20"/>
          <w:szCs w:val="24"/>
        </w:rPr>
        <w:t>Aplinkos</w:t>
      </w:r>
      <w:r w:rsidR="007349E9" w:rsidRPr="002803ED">
        <w:rPr>
          <w:rFonts w:ascii="Arial" w:eastAsia="MS PGothic" w:hAnsi="Arial" w:cs="Times New Roman"/>
          <w:sz w:val="20"/>
          <w:szCs w:val="24"/>
        </w:rPr>
        <w:t xml:space="preserve"> taršos rodiklių atveju stebimos ryškios bendro teršalų kiekio mažėjimo ir bendros aplinkos būklės gerėjimo tendencijos. </w:t>
      </w:r>
      <w:r w:rsidR="002803ED" w:rsidRPr="002803ED">
        <w:rPr>
          <w:rFonts w:ascii="Arial" w:eastAsia="MS PGothic" w:hAnsi="Arial" w:cs="Times New Roman"/>
          <w:sz w:val="20"/>
          <w:szCs w:val="24"/>
        </w:rPr>
        <w:t xml:space="preserve">Žvelgiant į oro užterštumo rodiklius pastebima, kad nuo 2007 m. pradėjęs mažėti teršalų kiekis 2010 m. smarkiai išaugo, o 2012 m. buvo pasiektas aukščiausias taršos lygis – 264,6 tonos. Vėliau aplinkos taršos rodikliai buvo linkę mažėti. Analizuojant skirtingas teršalų grupes, pastebima, kad didžiausią įtaką 2011 m. bendram teršalų išmetimo kiekio didėjimui padarė kietosios medžiagos. Šių medžiagų </w:t>
      </w:r>
      <w:r w:rsidR="002803ED" w:rsidRPr="002803ED">
        <w:rPr>
          <w:rFonts w:ascii="Arial" w:eastAsia="MS PGothic" w:hAnsi="Arial" w:cs="Times New Roman"/>
          <w:sz w:val="20"/>
          <w:szCs w:val="24"/>
        </w:rPr>
        <w:lastRenderedPageBreak/>
        <w:t xml:space="preserve">išmetimas į orą suintensyvėjo daugiau nei 4 kartus. Tuo tarpu sieros dioksido išskyrimas į aplinką tuo pačiu laikotarpiu sumažėjo 31.76%, nuo 14.8 iki 10.1 tonų. Kitas svarus ir didžiausią dalį bendroje kenksmingų medžiagų išmetamo kiekyje sudaro anglies monoksidas. Tokią aplinkos taršos situaciją galėjo lemti transporto sektoriaus plėtra (į kurio </w:t>
      </w:r>
      <w:r w:rsidR="00DA236A" w:rsidRPr="002803ED">
        <w:rPr>
          <w:rFonts w:ascii="Arial" w:eastAsia="MS PGothic" w:hAnsi="Arial" w:cs="Times New Roman"/>
          <w:sz w:val="20"/>
          <w:szCs w:val="24"/>
        </w:rPr>
        <w:t>infrastruktūrą</w:t>
      </w:r>
      <w:r w:rsidR="002803ED" w:rsidRPr="002803ED">
        <w:rPr>
          <w:rFonts w:ascii="Arial" w:eastAsia="MS PGothic" w:hAnsi="Arial" w:cs="Times New Roman"/>
          <w:sz w:val="20"/>
          <w:szCs w:val="24"/>
        </w:rPr>
        <w:t xml:space="preserve"> 2007 – 2013 m. Kelmės rajono savivaldybė investavo bene daugiausiai lėšų).</w:t>
      </w:r>
    </w:p>
    <w:p w:rsidR="00B76AF6" w:rsidRPr="002803ED" w:rsidRDefault="00A2570C" w:rsidP="002803ED">
      <w:pPr>
        <w:pStyle w:val="Caption"/>
        <w:keepNext/>
        <w:jc w:val="both"/>
      </w:pPr>
      <w:r w:rsidRPr="002803ED">
        <w:fldChar w:fldCharType="begin"/>
      </w:r>
      <w:r w:rsidRPr="002803ED">
        <w:instrText xml:space="preserve"> SEQ paveikslas \* ARABIC </w:instrText>
      </w:r>
      <w:r w:rsidRPr="002803ED">
        <w:fldChar w:fldCharType="separate"/>
      </w:r>
      <w:r w:rsidR="00594D44" w:rsidRPr="002803ED">
        <w:t>3</w:t>
      </w:r>
      <w:r w:rsidRPr="002803ED">
        <w:fldChar w:fldCharType="end"/>
      </w:r>
      <w:r w:rsidRPr="002803ED">
        <w:t xml:space="preserve"> paveikslas. Aplinkos taršos rodikliai</w:t>
      </w:r>
      <w:r w:rsidR="002803ED" w:rsidRPr="002803ED">
        <w:rPr>
          <w:noProof/>
          <w:lang w:val="en-US"/>
        </w:rPr>
        <w:drawing>
          <wp:anchor distT="0" distB="0" distL="114300" distR="114300" simplePos="0" relativeHeight="251676672" behindDoc="0" locked="0" layoutInCell="1" allowOverlap="1" wp14:anchorId="30DC9AC5" wp14:editId="1A2A4A37">
            <wp:simplePos x="0" y="0"/>
            <wp:positionH relativeFrom="column">
              <wp:posOffset>0</wp:posOffset>
            </wp:positionH>
            <wp:positionV relativeFrom="paragraph">
              <wp:posOffset>279400</wp:posOffset>
            </wp:positionV>
            <wp:extent cx="4611996" cy="2641347"/>
            <wp:effectExtent l="0" t="0" r="17780" b="698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E0CBD">
        <w:t>*</w:t>
      </w: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D02D62" w:rsidRDefault="00D02D62" w:rsidP="00B72614">
      <w:pPr>
        <w:pStyle w:val="Caption"/>
        <w:spacing w:after="120"/>
        <w:rPr>
          <w:b w:val="0"/>
        </w:rPr>
      </w:pPr>
    </w:p>
    <w:p w:rsidR="00A2570C" w:rsidRPr="003E0CBD" w:rsidRDefault="00A2570C" w:rsidP="003E0CBD">
      <w:pPr>
        <w:pStyle w:val="Caption"/>
        <w:spacing w:after="0"/>
        <w:rPr>
          <w:b w:val="0"/>
        </w:rPr>
      </w:pPr>
      <w:r w:rsidRPr="003E0CBD">
        <w:rPr>
          <w:b w:val="0"/>
        </w:rPr>
        <w:t>Šaltinis: Statistiko</w:t>
      </w:r>
      <w:r w:rsidR="007F0777" w:rsidRPr="003E0CBD">
        <w:rPr>
          <w:b w:val="0"/>
        </w:rPr>
        <w:t>s</w:t>
      </w:r>
      <w:r w:rsidRPr="003E0CBD">
        <w:rPr>
          <w:b w:val="0"/>
        </w:rPr>
        <w:t xml:space="preserve"> departamentas</w:t>
      </w:r>
    </w:p>
    <w:p w:rsidR="003E0CBD" w:rsidRPr="003E0CBD" w:rsidRDefault="003E0CBD" w:rsidP="003E0CBD">
      <w:pPr>
        <w:rPr>
          <w:rFonts w:ascii="Arial" w:hAnsi="Arial" w:cs="Arial"/>
          <w:sz w:val="18"/>
          <w:szCs w:val="18"/>
        </w:rPr>
      </w:pPr>
      <w:r w:rsidRPr="003E0CBD">
        <w:rPr>
          <w:rFonts w:ascii="Arial" w:hAnsi="Arial" w:cs="Arial"/>
          <w:sz w:val="18"/>
          <w:szCs w:val="18"/>
        </w:rPr>
        <w:t>* - visi rodikliai, išskyrus „Išleista išvalytų iki normos nuotekų, tūkst. m</w:t>
      </w:r>
      <w:r w:rsidRPr="003E0CBD">
        <w:rPr>
          <w:rFonts w:ascii="Arial" w:hAnsi="Arial" w:cs="Arial"/>
          <w:sz w:val="18"/>
          <w:szCs w:val="18"/>
          <w:vertAlign w:val="superscript"/>
        </w:rPr>
        <w:t>3</w:t>
      </w:r>
      <w:r w:rsidRPr="003E0CBD">
        <w:rPr>
          <w:rFonts w:ascii="Arial" w:hAnsi="Arial" w:cs="Arial"/>
          <w:sz w:val="18"/>
          <w:szCs w:val="18"/>
        </w:rPr>
        <w:t>“ yra matuojami tonomis.</w:t>
      </w:r>
    </w:p>
    <w:p w:rsidR="0021741F" w:rsidRPr="002803ED" w:rsidRDefault="00B76AF6" w:rsidP="00FE520C">
      <w:pPr>
        <w:jc w:val="both"/>
        <w:rPr>
          <w:rFonts w:ascii="Arial" w:hAnsi="Arial" w:cs="Arial"/>
          <w:sz w:val="20"/>
        </w:rPr>
      </w:pPr>
      <w:r w:rsidRPr="002803ED">
        <w:rPr>
          <w:rFonts w:ascii="Arial" w:eastAsia="MS PGothic" w:hAnsi="Arial" w:cs="Times New Roman"/>
          <w:sz w:val="20"/>
          <w:szCs w:val="24"/>
        </w:rPr>
        <w:t>Vertinant demografinius rodiklius</w:t>
      </w:r>
      <w:r w:rsidR="00594D44" w:rsidRPr="002803ED">
        <w:rPr>
          <w:rFonts w:ascii="Arial" w:eastAsia="MS PGothic" w:hAnsi="Arial" w:cs="Times New Roman"/>
          <w:sz w:val="20"/>
          <w:szCs w:val="24"/>
        </w:rPr>
        <w:t>, 2007 - 2013 m. stebimos tendencijos atitinka nacion</w:t>
      </w:r>
      <w:r w:rsidR="00DA236A">
        <w:rPr>
          <w:rFonts w:ascii="Arial" w:eastAsia="MS PGothic" w:hAnsi="Arial" w:cs="Times New Roman"/>
          <w:sz w:val="20"/>
          <w:szCs w:val="24"/>
        </w:rPr>
        <w:t xml:space="preserve">aliniu mastu vykusius pokyčius. </w:t>
      </w:r>
      <w:r w:rsidR="00757D88">
        <w:rPr>
          <w:rFonts w:ascii="Arial" w:eastAsia="MS PGothic" w:hAnsi="Arial" w:cs="Times New Roman"/>
          <w:sz w:val="20"/>
          <w:szCs w:val="24"/>
        </w:rPr>
        <w:t xml:space="preserve">Nagrinėjamu laikotarpiu, nuolatinių gyventojų skaičius Kelmės rajono savivaldybėje sumažėjo beveik </w:t>
      </w:r>
      <w:r w:rsidR="00757D88">
        <w:rPr>
          <w:rFonts w:ascii="Arial" w:eastAsia="MS PGothic" w:hAnsi="Arial" w:cs="Times New Roman"/>
          <w:sz w:val="20"/>
          <w:szCs w:val="24"/>
          <w:lang w:val="en-US"/>
        </w:rPr>
        <w:t>15</w:t>
      </w:r>
      <w:r w:rsidR="00757D88">
        <w:rPr>
          <w:rFonts w:ascii="Arial" w:eastAsia="MS PGothic" w:hAnsi="Arial" w:cs="Times New Roman"/>
          <w:sz w:val="20"/>
          <w:szCs w:val="24"/>
        </w:rPr>
        <w:t xml:space="preserve"> proc</w:t>
      </w:r>
      <w:r w:rsidR="00757D88" w:rsidRPr="00CA49A7">
        <w:rPr>
          <w:rFonts w:ascii="Arial" w:eastAsia="MS PGothic" w:hAnsi="Arial" w:cs="Times New Roman"/>
          <w:sz w:val="20"/>
          <w:szCs w:val="24"/>
        </w:rPr>
        <w:t>. Tok</w:t>
      </w:r>
      <w:r w:rsidR="00DA236A">
        <w:rPr>
          <w:rFonts w:ascii="Arial" w:eastAsia="MS PGothic" w:hAnsi="Arial" w:cs="Times New Roman"/>
          <w:sz w:val="20"/>
          <w:szCs w:val="24"/>
        </w:rPr>
        <w:t>s</w:t>
      </w:r>
      <w:r w:rsidR="00757D88" w:rsidRPr="00CA49A7">
        <w:rPr>
          <w:rFonts w:ascii="Arial" w:eastAsia="MS PGothic" w:hAnsi="Arial" w:cs="Times New Roman"/>
          <w:sz w:val="20"/>
          <w:szCs w:val="24"/>
        </w:rPr>
        <w:t xml:space="preserve"> spart</w:t>
      </w:r>
      <w:r w:rsidR="00DA236A">
        <w:rPr>
          <w:rFonts w:ascii="Arial" w:eastAsia="MS PGothic" w:hAnsi="Arial" w:cs="Times New Roman"/>
          <w:sz w:val="20"/>
          <w:szCs w:val="24"/>
        </w:rPr>
        <w:t>us</w:t>
      </w:r>
      <w:r w:rsidR="00757D88" w:rsidRPr="00CA49A7">
        <w:rPr>
          <w:rFonts w:ascii="Arial" w:eastAsia="MS PGothic" w:hAnsi="Arial" w:cs="Times New Roman"/>
          <w:sz w:val="20"/>
          <w:szCs w:val="24"/>
        </w:rPr>
        <w:t xml:space="preserve"> gyventojų</w:t>
      </w:r>
      <w:r w:rsidR="00DA236A">
        <w:rPr>
          <w:rFonts w:ascii="Arial" w:eastAsia="MS PGothic" w:hAnsi="Arial" w:cs="Times New Roman"/>
          <w:sz w:val="20"/>
          <w:szCs w:val="24"/>
        </w:rPr>
        <w:t xml:space="preserve"> skaičiaus mažėjimas darė neigiamą įtaką ir darbingo amžiaus gyventojų skaičiui</w:t>
      </w:r>
      <w:r w:rsidR="00757D88" w:rsidRPr="00CA49A7">
        <w:rPr>
          <w:rFonts w:ascii="Arial" w:eastAsia="MS PGothic" w:hAnsi="Arial" w:cs="Times New Roman"/>
          <w:sz w:val="20"/>
          <w:szCs w:val="24"/>
        </w:rPr>
        <w:t xml:space="preserve">. </w:t>
      </w:r>
      <w:r w:rsidR="00FE520C">
        <w:rPr>
          <w:rFonts w:ascii="Arial" w:eastAsia="MS PGothic" w:hAnsi="Arial" w:cs="Times New Roman"/>
          <w:sz w:val="20"/>
          <w:szCs w:val="24"/>
        </w:rPr>
        <w:t xml:space="preserve">Registruotų bedarbių ir darbingo amžiaus gyventojų santykio rodiklis, kaip ir kitose savivaldybėse, aukščiausią įvertį įgavo </w:t>
      </w:r>
      <w:r w:rsidR="00757D88" w:rsidRPr="00CA49A7">
        <w:rPr>
          <w:rFonts w:ascii="Arial" w:eastAsia="MS PGothic" w:hAnsi="Arial" w:cs="Times New Roman"/>
          <w:sz w:val="20"/>
          <w:szCs w:val="24"/>
        </w:rPr>
        <w:t>2010 m</w:t>
      </w:r>
      <w:r w:rsidR="00FE520C">
        <w:rPr>
          <w:rFonts w:ascii="Arial" w:eastAsia="MS PGothic" w:hAnsi="Arial" w:cs="Times New Roman"/>
          <w:sz w:val="20"/>
          <w:szCs w:val="24"/>
        </w:rPr>
        <w:t>.: jis siekė net</w:t>
      </w:r>
      <w:r w:rsidR="00757D88" w:rsidRPr="00CA49A7">
        <w:rPr>
          <w:rFonts w:ascii="Arial" w:eastAsia="MS PGothic" w:hAnsi="Arial" w:cs="Times New Roman"/>
          <w:sz w:val="20"/>
          <w:szCs w:val="24"/>
        </w:rPr>
        <w:t xml:space="preserve"> 20.6%. </w:t>
      </w:r>
      <w:r w:rsidR="00FE520C">
        <w:rPr>
          <w:rFonts w:ascii="Arial" w:eastAsia="MS PGothic" w:hAnsi="Arial" w:cs="Times New Roman"/>
          <w:sz w:val="20"/>
          <w:szCs w:val="24"/>
        </w:rPr>
        <w:t xml:space="preserve">Nuo </w:t>
      </w:r>
      <w:r w:rsidR="00FE520C">
        <w:rPr>
          <w:rFonts w:ascii="Arial" w:eastAsia="MS PGothic" w:hAnsi="Arial" w:cs="Times New Roman"/>
          <w:sz w:val="20"/>
          <w:szCs w:val="24"/>
          <w:lang w:val="en-US"/>
        </w:rPr>
        <w:t>2011 m.</w:t>
      </w:r>
      <w:r w:rsidR="00757D88" w:rsidRPr="00CA49A7">
        <w:rPr>
          <w:rFonts w:ascii="Arial" w:eastAsia="MS PGothic" w:hAnsi="Arial" w:cs="Times New Roman"/>
          <w:sz w:val="20"/>
          <w:szCs w:val="24"/>
        </w:rPr>
        <w:t xml:space="preserve"> situacija ėmė santykinai gerėti, tačiau </w:t>
      </w:r>
      <w:r w:rsidR="00FE520C">
        <w:rPr>
          <w:rFonts w:ascii="Arial" w:eastAsia="MS PGothic" w:hAnsi="Arial" w:cs="Times New Roman"/>
          <w:sz w:val="20"/>
          <w:szCs w:val="24"/>
        </w:rPr>
        <w:t>teigiami rodiklio pokyčiai buvo daugiausia nulemti nuolatinių gyventojų skaičiaus ir darbingo amžiaus gyventojų skaičiaus mažėjimo savivaldybėje</w:t>
      </w:r>
      <w:r w:rsidR="00757D88" w:rsidRPr="00CA49A7">
        <w:rPr>
          <w:rFonts w:ascii="Arial" w:eastAsia="MS PGothic" w:hAnsi="Arial" w:cs="Times New Roman"/>
          <w:sz w:val="20"/>
          <w:szCs w:val="24"/>
        </w:rPr>
        <w:t xml:space="preserve">. Analizuojant </w:t>
      </w:r>
      <w:r w:rsidR="003E0CBD">
        <w:rPr>
          <w:rFonts w:ascii="Arial" w:eastAsia="MS PGothic" w:hAnsi="Arial" w:cs="Times New Roman"/>
          <w:sz w:val="20"/>
          <w:szCs w:val="24"/>
        </w:rPr>
        <w:t xml:space="preserve">vidutinio </w:t>
      </w:r>
      <w:r w:rsidR="00757D88" w:rsidRPr="00CA49A7">
        <w:rPr>
          <w:rFonts w:ascii="Arial" w:eastAsia="MS PGothic" w:hAnsi="Arial" w:cs="Times New Roman"/>
          <w:sz w:val="20"/>
          <w:szCs w:val="24"/>
        </w:rPr>
        <w:t>mėnesinio (bruto) darbo užmokesčio pokytį, pastebima, kad šis rodiklis augo pakankamai intensyviai. 2012 m</w:t>
      </w:r>
      <w:r w:rsidR="00FE520C">
        <w:rPr>
          <w:rFonts w:ascii="Arial" w:eastAsia="MS PGothic" w:hAnsi="Arial" w:cs="Times New Roman"/>
          <w:sz w:val="20"/>
          <w:szCs w:val="24"/>
        </w:rPr>
        <w:t>.</w:t>
      </w:r>
      <w:r w:rsidR="003E0CBD">
        <w:rPr>
          <w:rFonts w:ascii="Arial" w:eastAsia="MS PGothic" w:hAnsi="Arial" w:cs="Times New Roman"/>
          <w:sz w:val="20"/>
          <w:szCs w:val="24"/>
        </w:rPr>
        <w:t xml:space="preserve"> vidutinis mėnesinis</w:t>
      </w:r>
      <w:r w:rsidR="00FE520C">
        <w:rPr>
          <w:rFonts w:ascii="Arial" w:eastAsia="MS PGothic" w:hAnsi="Arial" w:cs="Times New Roman"/>
          <w:sz w:val="20"/>
          <w:szCs w:val="24"/>
        </w:rPr>
        <w:t xml:space="preserve"> darbo užmokestis pasiekė prieš-</w:t>
      </w:r>
      <w:r w:rsidR="00757D88" w:rsidRPr="00CA49A7">
        <w:rPr>
          <w:rFonts w:ascii="Arial" w:eastAsia="MS PGothic" w:hAnsi="Arial" w:cs="Times New Roman"/>
          <w:sz w:val="20"/>
          <w:szCs w:val="24"/>
        </w:rPr>
        <w:t>krizinį laikotarpį, po kurio sėkmingai augo ir 2014 m</w:t>
      </w:r>
      <w:r w:rsidR="00FE520C">
        <w:rPr>
          <w:rFonts w:ascii="Arial" w:eastAsia="MS PGothic" w:hAnsi="Arial" w:cs="Times New Roman"/>
          <w:sz w:val="20"/>
          <w:szCs w:val="24"/>
        </w:rPr>
        <w:t>. siekė 508.4 EUR. Lyginant su Lietuvos R</w:t>
      </w:r>
      <w:r w:rsidR="00757D88" w:rsidRPr="00CA49A7">
        <w:rPr>
          <w:rFonts w:ascii="Arial" w:eastAsia="MS PGothic" w:hAnsi="Arial" w:cs="Times New Roman"/>
          <w:sz w:val="20"/>
          <w:szCs w:val="24"/>
        </w:rPr>
        <w:t>espublikos vidurkiu</w:t>
      </w:r>
      <w:r w:rsidR="00FE520C">
        <w:rPr>
          <w:rFonts w:ascii="Arial" w:eastAsia="MS PGothic" w:hAnsi="Arial" w:cs="Times New Roman"/>
          <w:sz w:val="20"/>
          <w:szCs w:val="24"/>
        </w:rPr>
        <w:t>,</w:t>
      </w:r>
      <w:r w:rsidR="00757D88" w:rsidRPr="00CA49A7">
        <w:rPr>
          <w:rFonts w:ascii="Arial" w:eastAsia="MS PGothic" w:hAnsi="Arial" w:cs="Times New Roman"/>
          <w:sz w:val="20"/>
          <w:szCs w:val="24"/>
        </w:rPr>
        <w:t xml:space="preserve"> šis augimo tempas nebuvo pakankamas, kadangi </w:t>
      </w:r>
      <w:r w:rsidR="00FE520C">
        <w:rPr>
          <w:rFonts w:ascii="Arial" w:eastAsia="MS PGothic" w:hAnsi="Arial" w:cs="Times New Roman"/>
          <w:sz w:val="20"/>
          <w:szCs w:val="24"/>
        </w:rPr>
        <w:t>nagrinėjamu laikotarpiu atotrūkis</w:t>
      </w:r>
      <w:r w:rsidR="00757D88" w:rsidRPr="00CA49A7">
        <w:rPr>
          <w:rFonts w:ascii="Arial" w:eastAsia="MS PGothic" w:hAnsi="Arial" w:cs="Times New Roman"/>
          <w:sz w:val="20"/>
          <w:szCs w:val="24"/>
        </w:rPr>
        <w:t xml:space="preserve"> išaugo iki 175.8 EUR</w:t>
      </w:r>
      <w:r w:rsidR="00FE520C">
        <w:rPr>
          <w:rFonts w:ascii="Arial" w:eastAsia="MS PGothic" w:hAnsi="Arial" w:cs="Times New Roman"/>
          <w:sz w:val="20"/>
          <w:szCs w:val="24"/>
        </w:rPr>
        <w:t xml:space="preserve">. </w:t>
      </w:r>
      <w:r w:rsidR="0021741F" w:rsidRPr="002803ED">
        <w:rPr>
          <w:rFonts w:ascii="Arial" w:hAnsi="Arial" w:cs="Arial"/>
          <w:sz w:val="20"/>
        </w:rPr>
        <w:t xml:space="preserve">Apibendrinant, demografinė situacija </w:t>
      </w:r>
      <w:r w:rsidR="00FE520C">
        <w:rPr>
          <w:rFonts w:ascii="Arial" w:hAnsi="Arial" w:cs="Arial"/>
          <w:sz w:val="20"/>
        </w:rPr>
        <w:t>Kelmės rajono</w:t>
      </w:r>
      <w:r w:rsidR="0021741F" w:rsidRPr="002803ED">
        <w:rPr>
          <w:rFonts w:ascii="Arial" w:hAnsi="Arial" w:cs="Arial"/>
          <w:sz w:val="20"/>
        </w:rPr>
        <w:t xml:space="preserve"> savivaldybėje buvo stipriai veikiama finansų krizės ir augančių migracijos mastu. Taip pat pastebimo</w:t>
      </w:r>
      <w:r w:rsidR="005F3390" w:rsidRPr="002803ED">
        <w:rPr>
          <w:rFonts w:ascii="Arial" w:hAnsi="Arial" w:cs="Arial"/>
          <w:sz w:val="20"/>
        </w:rPr>
        <w:t>s bendros tendencijo</w:t>
      </w:r>
      <w:r w:rsidR="0021741F" w:rsidRPr="002803ED">
        <w:rPr>
          <w:rFonts w:ascii="Arial" w:hAnsi="Arial" w:cs="Arial"/>
          <w:sz w:val="20"/>
        </w:rPr>
        <w:t>s visoms probleminių teritorijų savivaldybėms: mažėjantis gimstamumas sąlygoja visuomenės senėjimą.</w:t>
      </w:r>
    </w:p>
    <w:p w:rsidR="005166EC" w:rsidRPr="002803ED" w:rsidRDefault="005166EC" w:rsidP="0021741F">
      <w:pPr>
        <w:jc w:val="both"/>
        <w:rPr>
          <w:rFonts w:ascii="Arial" w:hAnsi="Arial" w:cs="Arial"/>
          <w:b/>
          <w:sz w:val="18"/>
        </w:rPr>
      </w:pPr>
    </w:p>
    <w:p w:rsidR="005166EC" w:rsidRPr="002803ED" w:rsidRDefault="005166EC" w:rsidP="0021741F">
      <w:pPr>
        <w:jc w:val="both"/>
        <w:rPr>
          <w:rFonts w:ascii="Arial" w:hAnsi="Arial" w:cs="Arial"/>
          <w:b/>
          <w:sz w:val="18"/>
        </w:rPr>
      </w:pPr>
    </w:p>
    <w:p w:rsidR="005166EC" w:rsidRDefault="005166EC" w:rsidP="0021741F">
      <w:pPr>
        <w:jc w:val="both"/>
        <w:rPr>
          <w:rFonts w:ascii="Arial" w:hAnsi="Arial" w:cs="Arial"/>
          <w:b/>
          <w:sz w:val="18"/>
        </w:rPr>
      </w:pPr>
    </w:p>
    <w:p w:rsidR="00FE520C" w:rsidRDefault="00FE520C" w:rsidP="0021741F">
      <w:pPr>
        <w:jc w:val="both"/>
        <w:rPr>
          <w:rFonts w:ascii="Arial" w:hAnsi="Arial" w:cs="Arial"/>
          <w:b/>
          <w:sz w:val="18"/>
        </w:rPr>
      </w:pPr>
    </w:p>
    <w:p w:rsidR="00FE520C" w:rsidRDefault="00FE520C" w:rsidP="0021741F">
      <w:pPr>
        <w:jc w:val="both"/>
        <w:rPr>
          <w:rFonts w:ascii="Arial" w:hAnsi="Arial" w:cs="Arial"/>
          <w:b/>
          <w:sz w:val="18"/>
        </w:rPr>
      </w:pPr>
    </w:p>
    <w:p w:rsidR="00FE520C" w:rsidRDefault="00FE520C" w:rsidP="0021741F">
      <w:pPr>
        <w:jc w:val="both"/>
        <w:rPr>
          <w:rFonts w:ascii="Arial" w:hAnsi="Arial" w:cs="Arial"/>
          <w:b/>
          <w:sz w:val="18"/>
        </w:rPr>
      </w:pPr>
    </w:p>
    <w:p w:rsidR="00FE520C" w:rsidRDefault="00FE520C" w:rsidP="0021741F">
      <w:pPr>
        <w:jc w:val="both"/>
        <w:rPr>
          <w:rFonts w:ascii="Arial" w:hAnsi="Arial" w:cs="Arial"/>
          <w:b/>
          <w:sz w:val="18"/>
        </w:rPr>
      </w:pPr>
    </w:p>
    <w:p w:rsidR="00FE520C" w:rsidRDefault="00FE520C" w:rsidP="0021741F">
      <w:pPr>
        <w:jc w:val="both"/>
        <w:rPr>
          <w:rFonts w:ascii="Arial" w:hAnsi="Arial" w:cs="Arial"/>
          <w:b/>
          <w:sz w:val="18"/>
        </w:rPr>
      </w:pPr>
    </w:p>
    <w:p w:rsidR="00FE520C" w:rsidRPr="002803ED" w:rsidRDefault="00FE520C" w:rsidP="0021741F">
      <w:pPr>
        <w:jc w:val="both"/>
        <w:rPr>
          <w:rFonts w:ascii="Arial" w:hAnsi="Arial" w:cs="Arial"/>
          <w:b/>
          <w:sz w:val="18"/>
        </w:rPr>
      </w:pPr>
    </w:p>
    <w:p w:rsidR="005166EC" w:rsidRPr="002803ED" w:rsidRDefault="005166EC" w:rsidP="0021741F">
      <w:pPr>
        <w:jc w:val="both"/>
        <w:rPr>
          <w:rFonts w:ascii="Arial" w:hAnsi="Arial" w:cs="Arial"/>
          <w:b/>
          <w:sz w:val="18"/>
        </w:rPr>
      </w:pPr>
    </w:p>
    <w:p w:rsidR="0021741F" w:rsidRPr="00FE520C" w:rsidRDefault="00A2570C" w:rsidP="00FE520C">
      <w:pPr>
        <w:jc w:val="both"/>
        <w:rPr>
          <w:rFonts w:ascii="Arial" w:hAnsi="Arial" w:cs="Arial"/>
          <w:b/>
          <w:sz w:val="18"/>
        </w:rPr>
      </w:pPr>
      <w:r w:rsidRPr="002803ED">
        <w:rPr>
          <w:rFonts w:ascii="Arial" w:hAnsi="Arial" w:cs="Arial"/>
          <w:b/>
          <w:sz w:val="18"/>
        </w:rPr>
        <w:fldChar w:fldCharType="begin"/>
      </w:r>
      <w:r w:rsidRPr="002803ED">
        <w:rPr>
          <w:rFonts w:ascii="Arial" w:hAnsi="Arial" w:cs="Arial"/>
          <w:b/>
          <w:sz w:val="18"/>
        </w:rPr>
        <w:instrText xml:space="preserve"> SEQ paveikslas \* ARABIC </w:instrText>
      </w:r>
      <w:r w:rsidRPr="002803ED">
        <w:rPr>
          <w:rFonts w:ascii="Arial" w:hAnsi="Arial" w:cs="Arial"/>
          <w:b/>
          <w:sz w:val="18"/>
        </w:rPr>
        <w:fldChar w:fldCharType="separate"/>
      </w:r>
      <w:r w:rsidR="008A1509" w:rsidRPr="002803ED">
        <w:rPr>
          <w:rFonts w:ascii="Arial" w:hAnsi="Arial" w:cs="Arial"/>
          <w:b/>
          <w:sz w:val="18"/>
        </w:rPr>
        <w:t>5</w:t>
      </w:r>
      <w:r w:rsidRPr="002803ED">
        <w:rPr>
          <w:rFonts w:ascii="Arial" w:hAnsi="Arial" w:cs="Arial"/>
          <w:b/>
          <w:sz w:val="18"/>
        </w:rPr>
        <w:fldChar w:fldCharType="end"/>
      </w:r>
      <w:r w:rsidRPr="002803ED">
        <w:rPr>
          <w:rFonts w:ascii="Arial" w:hAnsi="Arial" w:cs="Arial"/>
          <w:b/>
          <w:sz w:val="18"/>
        </w:rPr>
        <w:t xml:space="preserve"> paveikslas. Demografiniai rodikliai</w:t>
      </w:r>
      <w:r w:rsidR="002803ED">
        <w:rPr>
          <w:noProof/>
          <w:lang w:val="en-US"/>
        </w:rPr>
        <w:drawing>
          <wp:anchor distT="0" distB="0" distL="114300" distR="114300" simplePos="0" relativeHeight="251678720" behindDoc="0" locked="0" layoutInCell="1" allowOverlap="1" wp14:anchorId="3B001C26" wp14:editId="0E44B0FA">
            <wp:simplePos x="0" y="0"/>
            <wp:positionH relativeFrom="column">
              <wp:posOffset>0</wp:posOffset>
            </wp:positionH>
            <wp:positionV relativeFrom="paragraph">
              <wp:posOffset>285750</wp:posOffset>
            </wp:positionV>
            <wp:extent cx="4572000" cy="274320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D02D62" w:rsidRDefault="00D02D62" w:rsidP="008A1509">
      <w:pPr>
        <w:pStyle w:val="Caption"/>
        <w:spacing w:before="240"/>
        <w:rPr>
          <w:b w:val="0"/>
        </w:rPr>
      </w:pPr>
    </w:p>
    <w:p w:rsidR="008A1509" w:rsidRPr="002803ED" w:rsidRDefault="008A1509" w:rsidP="008A1509">
      <w:pPr>
        <w:pStyle w:val="Caption"/>
        <w:spacing w:before="240"/>
        <w:rPr>
          <w:b w:val="0"/>
        </w:rPr>
      </w:pPr>
      <w:r w:rsidRPr="002803ED">
        <w:rPr>
          <w:b w:val="0"/>
        </w:rPr>
        <w:t>Šaltinis: Statistiko</w:t>
      </w:r>
      <w:r w:rsidR="00594D44" w:rsidRPr="002803ED">
        <w:rPr>
          <w:b w:val="0"/>
        </w:rPr>
        <w:t>s</w:t>
      </w:r>
      <w:r w:rsidRPr="002803ED">
        <w:rPr>
          <w:b w:val="0"/>
        </w:rPr>
        <w:t xml:space="preserve"> departamentas</w:t>
      </w:r>
    </w:p>
    <w:p w:rsidR="00B76AF6" w:rsidRDefault="00B76AF6" w:rsidP="00B76AF6">
      <w:pPr>
        <w:jc w:val="both"/>
        <w:rPr>
          <w:rFonts w:ascii="Arial" w:eastAsia="MS PGothic" w:hAnsi="Arial" w:cs="Times New Roman"/>
          <w:sz w:val="20"/>
          <w:szCs w:val="24"/>
        </w:rPr>
      </w:pPr>
      <w:r w:rsidRPr="002803ED">
        <w:rPr>
          <w:rFonts w:ascii="Arial" w:eastAsia="MS PGothic" w:hAnsi="Arial" w:cs="Times New Roman"/>
          <w:sz w:val="20"/>
          <w:szCs w:val="24"/>
        </w:rPr>
        <w:t>Vertinant ūkio ir finansini</w:t>
      </w:r>
      <w:r w:rsidR="004E0E71" w:rsidRPr="002803ED">
        <w:rPr>
          <w:rFonts w:ascii="Arial" w:eastAsia="MS PGothic" w:hAnsi="Arial" w:cs="Times New Roman"/>
          <w:sz w:val="20"/>
          <w:szCs w:val="24"/>
        </w:rPr>
        <w:t xml:space="preserve">us rodiklius </w:t>
      </w:r>
      <w:r w:rsidRPr="002803ED">
        <w:rPr>
          <w:rFonts w:ascii="Arial" w:eastAsia="MS PGothic" w:hAnsi="Arial" w:cs="Times New Roman"/>
          <w:sz w:val="20"/>
          <w:szCs w:val="24"/>
        </w:rPr>
        <w:t>pastebima,</w:t>
      </w:r>
      <w:r w:rsidR="00424FB7" w:rsidRPr="002803ED">
        <w:rPr>
          <w:rFonts w:ascii="Arial" w:eastAsia="MS PGothic" w:hAnsi="Arial" w:cs="Times New Roman"/>
          <w:sz w:val="20"/>
          <w:szCs w:val="24"/>
        </w:rPr>
        <w:t xml:space="preserve"> kad</w:t>
      </w:r>
      <w:r w:rsidR="0062159A" w:rsidRPr="002803ED">
        <w:rPr>
          <w:rFonts w:ascii="Arial" w:eastAsia="MS PGothic" w:hAnsi="Arial" w:cs="Times New Roman"/>
          <w:sz w:val="20"/>
          <w:szCs w:val="24"/>
        </w:rPr>
        <w:t xml:space="preserve"> 2007 – 2013</w:t>
      </w:r>
      <w:r w:rsidR="00BC4ECE" w:rsidRPr="002803ED">
        <w:rPr>
          <w:rFonts w:ascii="Arial" w:eastAsia="MS PGothic" w:hAnsi="Arial" w:cs="Times New Roman"/>
          <w:sz w:val="20"/>
          <w:szCs w:val="24"/>
        </w:rPr>
        <w:t xml:space="preserve"> m. </w:t>
      </w:r>
      <w:r w:rsidR="0062159A" w:rsidRPr="002803ED">
        <w:rPr>
          <w:rFonts w:ascii="Arial" w:eastAsia="MS PGothic" w:hAnsi="Arial" w:cs="Times New Roman"/>
          <w:sz w:val="20"/>
          <w:szCs w:val="24"/>
        </w:rPr>
        <w:t>pridėtinė</w:t>
      </w:r>
      <w:r w:rsidR="00BC4ECE" w:rsidRPr="002803ED">
        <w:rPr>
          <w:rFonts w:ascii="Arial" w:eastAsia="MS PGothic" w:hAnsi="Arial" w:cs="Times New Roman"/>
          <w:sz w:val="20"/>
          <w:szCs w:val="24"/>
        </w:rPr>
        <w:t>s</w:t>
      </w:r>
      <w:r w:rsidR="0062159A" w:rsidRPr="002803ED">
        <w:rPr>
          <w:rFonts w:ascii="Arial" w:eastAsia="MS PGothic" w:hAnsi="Arial" w:cs="Times New Roman"/>
          <w:sz w:val="20"/>
          <w:szCs w:val="24"/>
        </w:rPr>
        <w:t xml:space="preserve"> vertė</w:t>
      </w:r>
      <w:r w:rsidR="00BC4ECE" w:rsidRPr="002803ED">
        <w:rPr>
          <w:rFonts w:ascii="Arial" w:eastAsia="MS PGothic" w:hAnsi="Arial" w:cs="Times New Roman"/>
          <w:sz w:val="20"/>
          <w:szCs w:val="24"/>
        </w:rPr>
        <w:t>s gamybos kainomis ir m</w:t>
      </w:r>
      <w:r w:rsidR="0062159A" w:rsidRPr="002803ED">
        <w:rPr>
          <w:rFonts w:ascii="Arial" w:eastAsia="MS PGothic" w:hAnsi="Arial" w:cs="Times New Roman"/>
          <w:sz w:val="20"/>
          <w:szCs w:val="24"/>
        </w:rPr>
        <w:t>aterialin</w:t>
      </w:r>
      <w:r w:rsidR="00BC4ECE" w:rsidRPr="002803ED">
        <w:rPr>
          <w:rFonts w:ascii="Arial" w:eastAsia="MS PGothic" w:hAnsi="Arial" w:cs="Times New Roman"/>
          <w:sz w:val="20"/>
          <w:szCs w:val="24"/>
        </w:rPr>
        <w:t xml:space="preserve">ių investicijų rodikliai </w:t>
      </w:r>
      <w:r w:rsidR="0062159A" w:rsidRPr="002803ED">
        <w:rPr>
          <w:rFonts w:ascii="Arial" w:eastAsia="MS PGothic" w:hAnsi="Arial" w:cs="Times New Roman"/>
          <w:sz w:val="20"/>
          <w:szCs w:val="24"/>
        </w:rPr>
        <w:t xml:space="preserve">neturėjo </w:t>
      </w:r>
      <w:r w:rsidR="00BC4ECE" w:rsidRPr="002803ED">
        <w:rPr>
          <w:rFonts w:ascii="Arial" w:eastAsia="MS PGothic" w:hAnsi="Arial" w:cs="Times New Roman"/>
          <w:sz w:val="20"/>
          <w:szCs w:val="24"/>
        </w:rPr>
        <w:t>nuoseklių kitimo tendencijų. Dėl finansų krizės kuriama pridėtinė vertė nuo 2008 m. mažėjo ir</w:t>
      </w:r>
      <w:r w:rsidR="00FE520C">
        <w:rPr>
          <w:rFonts w:ascii="Arial" w:eastAsia="MS PGothic" w:hAnsi="Arial" w:cs="Times New Roman"/>
          <w:sz w:val="20"/>
          <w:szCs w:val="24"/>
        </w:rPr>
        <w:t xml:space="preserve"> jau 20</w:t>
      </w:r>
      <w:r w:rsidR="00BC4ECE" w:rsidRPr="002803ED">
        <w:rPr>
          <w:rFonts w:ascii="Arial" w:eastAsia="MS PGothic" w:hAnsi="Arial" w:cs="Times New Roman"/>
          <w:sz w:val="20"/>
          <w:szCs w:val="24"/>
        </w:rPr>
        <w:t>0</w:t>
      </w:r>
      <w:r w:rsidR="00FE520C">
        <w:rPr>
          <w:rFonts w:ascii="Arial" w:eastAsia="MS PGothic" w:hAnsi="Arial" w:cs="Times New Roman"/>
          <w:sz w:val="20"/>
          <w:szCs w:val="24"/>
        </w:rPr>
        <w:t>9</w:t>
      </w:r>
      <w:r w:rsidR="00BC4ECE" w:rsidRPr="002803ED">
        <w:rPr>
          <w:rFonts w:ascii="Arial" w:eastAsia="MS PGothic" w:hAnsi="Arial" w:cs="Times New Roman"/>
          <w:sz w:val="20"/>
          <w:szCs w:val="24"/>
        </w:rPr>
        <w:t xml:space="preserve"> m. pasiekė žemiausią savo įvertį nagrinėjamu laikotarpiu. Kaip </w:t>
      </w:r>
      <w:r w:rsidR="00FE520C">
        <w:rPr>
          <w:rFonts w:ascii="Arial" w:eastAsia="MS PGothic" w:hAnsi="Arial" w:cs="Times New Roman"/>
          <w:sz w:val="20"/>
          <w:szCs w:val="24"/>
        </w:rPr>
        <w:t>ir nacionaliniu mastu – nuo 2010</w:t>
      </w:r>
      <w:r w:rsidR="00BC4ECE" w:rsidRPr="002803ED">
        <w:rPr>
          <w:rFonts w:ascii="Arial" w:eastAsia="MS PGothic" w:hAnsi="Arial" w:cs="Times New Roman"/>
          <w:sz w:val="20"/>
          <w:szCs w:val="24"/>
        </w:rPr>
        <w:t xml:space="preserve"> m. rodiklio įverčiai pradeda augti su nežymiais svyravimais.</w:t>
      </w:r>
      <w:r w:rsidR="00FE520C">
        <w:rPr>
          <w:rFonts w:ascii="Arial" w:eastAsia="MS PGothic" w:hAnsi="Arial" w:cs="Times New Roman"/>
          <w:sz w:val="20"/>
          <w:szCs w:val="24"/>
        </w:rPr>
        <w:t xml:space="preserve"> </w:t>
      </w:r>
      <w:r w:rsidR="00FE520C" w:rsidRPr="00CA49A7">
        <w:rPr>
          <w:rFonts w:ascii="Arial" w:eastAsia="MS PGothic" w:hAnsi="Arial" w:cs="Times New Roman"/>
          <w:sz w:val="20"/>
          <w:szCs w:val="24"/>
        </w:rPr>
        <w:t>Toks gyvas ir tendencinga</w:t>
      </w:r>
      <w:r w:rsidR="00E709C4">
        <w:rPr>
          <w:rFonts w:ascii="Arial" w:eastAsia="MS PGothic" w:hAnsi="Arial" w:cs="Times New Roman"/>
          <w:sz w:val="20"/>
          <w:szCs w:val="24"/>
        </w:rPr>
        <w:t>s augimas tikėtina buvo nulemtas su transporto sektoriumi susijusių investicijų</w:t>
      </w:r>
      <w:r w:rsidR="00FE520C" w:rsidRPr="00CA49A7">
        <w:rPr>
          <w:rFonts w:ascii="Arial" w:eastAsia="MS PGothic" w:hAnsi="Arial" w:cs="Times New Roman"/>
          <w:sz w:val="20"/>
          <w:szCs w:val="24"/>
        </w:rPr>
        <w:t>.</w:t>
      </w:r>
      <w:r w:rsidR="00BC4ECE" w:rsidRPr="002803ED">
        <w:rPr>
          <w:rFonts w:ascii="Arial" w:eastAsia="MS PGothic" w:hAnsi="Arial" w:cs="Times New Roman"/>
          <w:sz w:val="20"/>
          <w:szCs w:val="24"/>
        </w:rPr>
        <w:t xml:space="preserve"> </w:t>
      </w:r>
      <w:r w:rsidR="00E709C4">
        <w:rPr>
          <w:rFonts w:ascii="Arial" w:eastAsia="MS PGothic" w:hAnsi="Arial" w:cs="Times New Roman"/>
          <w:sz w:val="20"/>
          <w:szCs w:val="24"/>
        </w:rPr>
        <w:t>M</w:t>
      </w:r>
      <w:r w:rsidR="00BC4ECE" w:rsidRPr="002803ED">
        <w:rPr>
          <w:rFonts w:ascii="Arial" w:eastAsia="MS PGothic" w:hAnsi="Arial" w:cs="Times New Roman"/>
          <w:sz w:val="20"/>
          <w:szCs w:val="24"/>
        </w:rPr>
        <w:t>aterialinių investicijų rodiklio atveju</w:t>
      </w:r>
      <w:r w:rsidR="00E709C4">
        <w:rPr>
          <w:rFonts w:ascii="Arial" w:eastAsia="MS PGothic" w:hAnsi="Arial" w:cs="Times New Roman"/>
          <w:sz w:val="20"/>
          <w:szCs w:val="24"/>
        </w:rPr>
        <w:t xml:space="preserve"> stebimos prieštaringos tendencijos: rodiklio įvertis laikotarpio pabaigoje buvo mažesnis nei laikotarpio pradžioje</w:t>
      </w:r>
      <w:r w:rsidR="00BC4ECE" w:rsidRPr="002803ED">
        <w:rPr>
          <w:rFonts w:ascii="Arial" w:eastAsia="MS PGothic" w:hAnsi="Arial" w:cs="Times New Roman"/>
          <w:sz w:val="20"/>
          <w:szCs w:val="24"/>
        </w:rPr>
        <w:t>. T</w:t>
      </w:r>
      <w:r w:rsidRPr="002803ED">
        <w:rPr>
          <w:rFonts w:ascii="Arial" w:eastAsia="MS PGothic" w:hAnsi="Arial" w:cs="Times New Roman"/>
          <w:sz w:val="20"/>
          <w:szCs w:val="24"/>
        </w:rPr>
        <w:t>iesioginės užsienio inve</w:t>
      </w:r>
      <w:r w:rsidR="00F63FF4" w:rsidRPr="002803ED">
        <w:rPr>
          <w:rFonts w:ascii="Arial" w:eastAsia="MS PGothic" w:hAnsi="Arial" w:cs="Times New Roman"/>
          <w:sz w:val="20"/>
          <w:szCs w:val="24"/>
        </w:rPr>
        <w:t>sticijos viso laikotarpio metu</w:t>
      </w:r>
      <w:r w:rsidR="00FE520C">
        <w:rPr>
          <w:rFonts w:ascii="Arial" w:eastAsia="MS PGothic" w:hAnsi="Arial" w:cs="Times New Roman"/>
          <w:sz w:val="20"/>
          <w:szCs w:val="24"/>
        </w:rPr>
        <w:t xml:space="preserve"> svyravo, o laikotarpio pabaigoje rodiklis pasiekė žemiausią savo įvertį</w:t>
      </w:r>
      <w:r w:rsidRPr="002803ED">
        <w:rPr>
          <w:rFonts w:ascii="Arial" w:eastAsia="MS PGothic" w:hAnsi="Arial" w:cs="Times New Roman"/>
          <w:sz w:val="20"/>
          <w:szCs w:val="24"/>
        </w:rPr>
        <w:t xml:space="preserve">. </w:t>
      </w:r>
      <w:r w:rsidR="00123257" w:rsidRPr="002803ED">
        <w:rPr>
          <w:rFonts w:ascii="Arial" w:eastAsia="MS PGothic" w:hAnsi="Arial" w:cs="Times New Roman"/>
          <w:sz w:val="20"/>
          <w:szCs w:val="24"/>
        </w:rPr>
        <w:t xml:space="preserve">Apibendrinant, </w:t>
      </w:r>
      <w:r w:rsidR="00FE520C">
        <w:rPr>
          <w:rFonts w:ascii="Arial" w:eastAsia="MS PGothic" w:hAnsi="Arial" w:cs="Times New Roman"/>
          <w:sz w:val="20"/>
          <w:szCs w:val="24"/>
        </w:rPr>
        <w:t xml:space="preserve">Kelmės rajono savivaldybės ekonominės veiklos rodikliams ES SF </w:t>
      </w:r>
      <w:r w:rsidR="00E709C4">
        <w:rPr>
          <w:rFonts w:ascii="Arial" w:eastAsia="MS PGothic" w:hAnsi="Arial" w:cs="Times New Roman"/>
          <w:sz w:val="20"/>
          <w:szCs w:val="24"/>
        </w:rPr>
        <w:t>reikšmingą poveikį padarė dėl didelės apimties investicijų į transporto sektorių.</w:t>
      </w: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Default="00D02D62" w:rsidP="00B76AF6">
      <w:pPr>
        <w:jc w:val="both"/>
        <w:rPr>
          <w:rFonts w:ascii="Arial" w:eastAsia="MS PGothic" w:hAnsi="Arial" w:cs="Times New Roman"/>
          <w:sz w:val="20"/>
          <w:szCs w:val="24"/>
        </w:rPr>
      </w:pPr>
    </w:p>
    <w:p w:rsidR="00D02D62" w:rsidRPr="002803ED" w:rsidRDefault="00D02D62" w:rsidP="00B76AF6">
      <w:pPr>
        <w:jc w:val="both"/>
        <w:rPr>
          <w:rFonts w:ascii="Arial" w:eastAsia="MS PGothic" w:hAnsi="Arial" w:cs="Times New Roman"/>
          <w:sz w:val="20"/>
          <w:szCs w:val="24"/>
        </w:rPr>
      </w:pPr>
    </w:p>
    <w:p w:rsidR="008A1509" w:rsidRDefault="008A1509" w:rsidP="008A1509">
      <w:pPr>
        <w:pStyle w:val="Caption"/>
        <w:keepNext/>
      </w:pPr>
      <w:r w:rsidRPr="002803ED">
        <w:fldChar w:fldCharType="begin"/>
      </w:r>
      <w:r w:rsidRPr="002803ED">
        <w:instrText xml:space="preserve"> SEQ paveikslas \* ARABIC </w:instrText>
      </w:r>
      <w:r w:rsidRPr="002803ED">
        <w:fldChar w:fldCharType="separate"/>
      </w:r>
      <w:r w:rsidRPr="002803ED">
        <w:t>6</w:t>
      </w:r>
      <w:r w:rsidRPr="002803ED">
        <w:fldChar w:fldCharType="end"/>
      </w:r>
      <w:r w:rsidRPr="002803ED">
        <w:t xml:space="preserve"> paveikslas. Ekonominės veiklos rodikliai</w:t>
      </w:r>
    </w:p>
    <w:p w:rsidR="00FE520C" w:rsidRPr="00FE520C" w:rsidRDefault="00FE520C" w:rsidP="00FE520C">
      <w:r>
        <w:rPr>
          <w:noProof/>
          <w:lang w:val="en-US"/>
        </w:rPr>
        <w:drawing>
          <wp:anchor distT="0" distB="0" distL="114300" distR="114300" simplePos="0" relativeHeight="251680768" behindDoc="0" locked="0" layoutInCell="1" allowOverlap="1" wp14:anchorId="31F8E5BF" wp14:editId="0297B18C">
            <wp:simplePos x="0" y="0"/>
            <wp:positionH relativeFrom="margin">
              <wp:align>left</wp:align>
            </wp:positionH>
            <wp:positionV relativeFrom="paragraph">
              <wp:posOffset>6606</wp:posOffset>
            </wp:positionV>
            <wp:extent cx="4597366" cy="2643809"/>
            <wp:effectExtent l="0" t="0" r="13335"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D02D62" w:rsidRDefault="00D02D62" w:rsidP="00805F6F">
      <w:pPr>
        <w:pStyle w:val="Caption"/>
        <w:spacing w:before="240" w:after="240"/>
        <w:rPr>
          <w:b w:val="0"/>
        </w:rPr>
      </w:pPr>
    </w:p>
    <w:p w:rsidR="004E0E71" w:rsidRPr="002803ED" w:rsidRDefault="004E0E71" w:rsidP="00805F6F">
      <w:pPr>
        <w:pStyle w:val="Caption"/>
        <w:spacing w:before="240" w:after="240"/>
        <w:rPr>
          <w:b w:val="0"/>
        </w:rPr>
      </w:pPr>
      <w:r w:rsidRPr="002803ED">
        <w:rPr>
          <w:b w:val="0"/>
        </w:rPr>
        <w:t>Šaltinis: Statistiko</w:t>
      </w:r>
      <w:r w:rsidR="0062159A" w:rsidRPr="002803ED">
        <w:rPr>
          <w:b w:val="0"/>
        </w:rPr>
        <w:t>s</w:t>
      </w:r>
      <w:r w:rsidRPr="002803ED">
        <w:rPr>
          <w:b w:val="0"/>
        </w:rPr>
        <w:t xml:space="preserve"> departamentas</w:t>
      </w:r>
    </w:p>
    <w:p w:rsidR="00942138" w:rsidRPr="002803ED" w:rsidRDefault="006C4D28" w:rsidP="00D02D62">
      <w:pPr>
        <w:pStyle w:val="Heading1"/>
        <w:numPr>
          <w:ilvl w:val="1"/>
          <w:numId w:val="1"/>
        </w:numPr>
        <w:spacing w:before="360" w:after="240"/>
        <w:rPr>
          <w:rFonts w:ascii="Arial" w:hAnsi="Arial" w:cs="Arial"/>
          <w:b w:val="0"/>
          <w:sz w:val="28"/>
        </w:rPr>
      </w:pPr>
      <w:r w:rsidRPr="002803ED">
        <w:rPr>
          <w:rFonts w:ascii="Arial" w:hAnsi="Arial" w:cs="Arial"/>
          <w:b w:val="0"/>
          <w:sz w:val="28"/>
        </w:rPr>
        <w:t>ES struktūrinės paramos poveikis</w:t>
      </w:r>
    </w:p>
    <w:p w:rsidR="001E3402" w:rsidRDefault="006C4D28" w:rsidP="005166EC">
      <w:pPr>
        <w:jc w:val="both"/>
        <w:rPr>
          <w:rFonts w:ascii="Arial" w:eastAsia="MS PGothic" w:hAnsi="Arial" w:cs="Times New Roman"/>
          <w:sz w:val="20"/>
          <w:szCs w:val="24"/>
        </w:rPr>
      </w:pPr>
      <w:r w:rsidRPr="002803ED">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2803ED">
        <w:rPr>
          <w:rFonts w:ascii="Arial" w:eastAsia="MS PGothic" w:hAnsi="Arial" w:cs="Times New Roman"/>
          <w:sz w:val="20"/>
          <w:szCs w:val="24"/>
        </w:rPr>
        <w:t xml:space="preserve">teritorijų gaivinimo programas. </w:t>
      </w:r>
      <w:r w:rsidR="00BF63D3" w:rsidRPr="002803ED">
        <w:rPr>
          <w:rFonts w:ascii="Arial" w:eastAsia="MS PGothic" w:hAnsi="Arial" w:cs="Times New Roman"/>
          <w:sz w:val="20"/>
          <w:szCs w:val="24"/>
        </w:rPr>
        <w:t xml:space="preserve">Pagrindiniai </w:t>
      </w:r>
      <w:r w:rsidR="00E709C4">
        <w:rPr>
          <w:rFonts w:ascii="Arial" w:eastAsia="MS PGothic" w:hAnsi="Arial" w:cs="Times New Roman"/>
          <w:sz w:val="20"/>
          <w:szCs w:val="24"/>
        </w:rPr>
        <w:t>Kelmės rajono</w:t>
      </w:r>
      <w:r w:rsidR="00BF63D3" w:rsidRPr="002803ED">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w:t>
      </w:r>
      <w:r w:rsidR="00E709C4">
        <w:rPr>
          <w:rFonts w:ascii="Arial" w:eastAsia="MS PGothic" w:hAnsi="Arial" w:cs="Times New Roman"/>
          <w:sz w:val="20"/>
          <w:szCs w:val="24"/>
        </w:rPr>
        <w:t>, transporto tinklų plėtrą</w:t>
      </w:r>
      <w:r w:rsidR="00BF63D3" w:rsidRPr="002803ED">
        <w:rPr>
          <w:rFonts w:ascii="Arial" w:eastAsia="MS PGothic" w:hAnsi="Arial" w:cs="Times New Roman"/>
          <w:sz w:val="20"/>
          <w:szCs w:val="24"/>
        </w:rPr>
        <w:t xml:space="preserve"> ir </w:t>
      </w:r>
      <w:r w:rsidR="005166EC" w:rsidRPr="002803ED">
        <w:rPr>
          <w:rFonts w:ascii="Arial" w:eastAsia="MS PGothic" w:hAnsi="Arial" w:cs="Times New Roman"/>
          <w:sz w:val="20"/>
          <w:szCs w:val="24"/>
        </w:rPr>
        <w:t>kompleksinės urbanistinės plėtros projektų įgyvendinimą</w:t>
      </w:r>
      <w:r w:rsidR="00BF63D3" w:rsidRPr="002803ED">
        <w:rPr>
          <w:rFonts w:ascii="Arial" w:eastAsia="MS PGothic" w:hAnsi="Arial" w:cs="Times New Roman"/>
          <w:sz w:val="20"/>
          <w:szCs w:val="24"/>
        </w:rPr>
        <w:t>.</w:t>
      </w:r>
      <w:r w:rsidR="00D66F8E" w:rsidRPr="002803ED">
        <w:rPr>
          <w:rStyle w:val="FootnoteReference"/>
          <w:rFonts w:ascii="Arial" w:eastAsia="MS PGothic" w:hAnsi="Arial" w:cs="Times New Roman"/>
          <w:sz w:val="20"/>
          <w:szCs w:val="24"/>
        </w:rPr>
        <w:footnoteReference w:id="1"/>
      </w:r>
      <w:r w:rsidR="002D1DCE" w:rsidRPr="002803ED">
        <w:rPr>
          <w:rFonts w:ascii="Arial" w:eastAsia="MS PGothic" w:hAnsi="Arial" w:cs="Times New Roman"/>
          <w:sz w:val="20"/>
          <w:szCs w:val="24"/>
        </w:rPr>
        <w:t xml:space="preserve"> Taigi ir ES SF lėšos daugiausia buvo investuotos</w:t>
      </w:r>
      <w:r w:rsidR="00D66F8E" w:rsidRPr="002803ED">
        <w:rPr>
          <w:rFonts w:ascii="Arial" w:eastAsia="MS PGothic" w:hAnsi="Arial" w:cs="Times New Roman"/>
          <w:sz w:val="20"/>
          <w:szCs w:val="24"/>
        </w:rPr>
        <w:t xml:space="preserve"> į fizinės aplinkos gerinimą, socialinės</w:t>
      </w:r>
      <w:r w:rsidR="00E709C4">
        <w:rPr>
          <w:rFonts w:ascii="Arial" w:eastAsia="MS PGothic" w:hAnsi="Arial" w:cs="Times New Roman"/>
          <w:sz w:val="20"/>
          <w:szCs w:val="24"/>
        </w:rPr>
        <w:t>, švietimo</w:t>
      </w:r>
      <w:r w:rsidR="00D66F8E" w:rsidRPr="002803ED">
        <w:rPr>
          <w:rFonts w:ascii="Arial" w:eastAsia="MS PGothic" w:hAnsi="Arial" w:cs="Times New Roman"/>
          <w:sz w:val="20"/>
          <w:szCs w:val="24"/>
        </w:rPr>
        <w:t xml:space="preserve"> infrastruktūros atnaujinimą, </w:t>
      </w:r>
      <w:r w:rsidR="005166EC" w:rsidRPr="002803ED">
        <w:rPr>
          <w:rFonts w:ascii="Arial" w:eastAsia="MS PGothic" w:hAnsi="Arial" w:cs="Times New Roman"/>
          <w:sz w:val="20"/>
          <w:szCs w:val="24"/>
        </w:rPr>
        <w:t>viešosios paskirties pastatų</w:t>
      </w:r>
      <w:r w:rsidR="00D66F8E" w:rsidRPr="002803ED">
        <w:rPr>
          <w:rFonts w:ascii="Arial" w:eastAsia="MS PGothic" w:hAnsi="Arial" w:cs="Times New Roman"/>
          <w:sz w:val="20"/>
          <w:szCs w:val="24"/>
        </w:rPr>
        <w:t xml:space="preserve"> renovavimą</w:t>
      </w:r>
      <w:r w:rsidR="00E709C4">
        <w:rPr>
          <w:rFonts w:ascii="Arial" w:eastAsia="MS PGothic" w:hAnsi="Arial" w:cs="Times New Roman"/>
          <w:sz w:val="20"/>
          <w:szCs w:val="24"/>
        </w:rPr>
        <w:t xml:space="preserve"> ir transporto infrastruktūros kūrimą ir plėtrą</w:t>
      </w:r>
      <w:r w:rsidR="00D66F8E" w:rsidRPr="002803ED">
        <w:rPr>
          <w:rFonts w:ascii="Arial" w:eastAsia="MS PGothic" w:hAnsi="Arial" w:cs="Times New Roman"/>
          <w:sz w:val="20"/>
          <w:szCs w:val="24"/>
        </w:rPr>
        <w:t xml:space="preserve">. </w:t>
      </w:r>
      <w:r w:rsidR="001E3402" w:rsidRPr="002803ED">
        <w:rPr>
          <w:rFonts w:ascii="Arial" w:eastAsia="MS PGothic" w:hAnsi="Arial" w:cs="Times New Roman"/>
          <w:sz w:val="20"/>
          <w:szCs w:val="24"/>
        </w:rPr>
        <w:t>Vis dėlto, v</w:t>
      </w:r>
      <w:r w:rsidR="005166EC" w:rsidRPr="002803ED">
        <w:rPr>
          <w:rFonts w:ascii="Arial" w:eastAsia="MS PGothic" w:hAnsi="Arial" w:cs="Times New Roman"/>
          <w:sz w:val="20"/>
          <w:szCs w:val="24"/>
        </w:rPr>
        <w:t>ertinant probleminių teritorijų lygmeniu gautą finansavimą buvo pastebėta, kad skirtos lėšos</w:t>
      </w:r>
      <w:r w:rsidR="001E3402" w:rsidRPr="002803ED">
        <w:rPr>
          <w:rFonts w:ascii="Arial" w:eastAsia="MS PGothic" w:hAnsi="Arial" w:cs="Times New Roman"/>
          <w:sz w:val="20"/>
          <w:szCs w:val="24"/>
        </w:rPr>
        <w:t xml:space="preserve"> (kaip ir kitų probleminių teritorijų atveju)</w:t>
      </w:r>
      <w:r w:rsidR="005166EC" w:rsidRPr="002803ED">
        <w:rPr>
          <w:rFonts w:ascii="Arial" w:eastAsia="MS PGothic" w:hAnsi="Arial" w:cs="Times New Roman"/>
          <w:sz w:val="20"/>
          <w:szCs w:val="24"/>
        </w:rPr>
        <w:t xml:space="preserve"> nebuvo pakankamos siekiant įgyvendinti programoje numatytus tikslus. </w:t>
      </w:r>
    </w:p>
    <w:p w:rsidR="003E0CBD" w:rsidRDefault="003E0CBD" w:rsidP="002D1DCE">
      <w:pPr>
        <w:jc w:val="both"/>
        <w:rPr>
          <w:rFonts w:ascii="Arial" w:eastAsia="MS PGothic" w:hAnsi="Arial" w:cs="Times New Roman"/>
          <w:sz w:val="20"/>
          <w:szCs w:val="24"/>
        </w:rPr>
      </w:pPr>
      <w:r>
        <w:rPr>
          <w:rFonts w:ascii="Arial" w:eastAsia="MS PGothic" w:hAnsi="Arial" w:cs="Times New Roman"/>
          <w:sz w:val="20"/>
          <w:szCs w:val="24"/>
        </w:rPr>
        <w:t>S</w:t>
      </w:r>
      <w:r w:rsidR="00E709C4" w:rsidRPr="00E709C4">
        <w:rPr>
          <w:rFonts w:ascii="Arial" w:eastAsia="MS PGothic" w:hAnsi="Arial" w:cs="Times New Roman"/>
          <w:sz w:val="20"/>
          <w:szCs w:val="24"/>
        </w:rPr>
        <w:t xml:space="preserve">avivaldybės teritorijoje įgyvendinti projektai daugiausia buvo orientuoti į aplinkos tvarkymą. </w:t>
      </w:r>
      <w:r w:rsidR="00E709C4">
        <w:rPr>
          <w:rFonts w:ascii="Arial" w:eastAsia="MS PGothic" w:hAnsi="Arial" w:cs="Times New Roman"/>
          <w:sz w:val="20"/>
          <w:szCs w:val="24"/>
        </w:rPr>
        <w:t>Kelmės rajono savivaldybėje</w:t>
      </w:r>
      <w:r w:rsidR="00E709C4" w:rsidRPr="00E709C4">
        <w:rPr>
          <w:rFonts w:ascii="Arial" w:eastAsia="MS PGothic" w:hAnsi="Arial" w:cs="Times New Roman"/>
          <w:sz w:val="20"/>
          <w:szCs w:val="24"/>
        </w:rPr>
        <w:t xml:space="preserve"> sėkmingai įgy</w:t>
      </w:r>
      <w:r w:rsidR="00E709C4">
        <w:rPr>
          <w:rFonts w:ascii="Arial" w:eastAsia="MS PGothic" w:hAnsi="Arial" w:cs="Times New Roman"/>
          <w:sz w:val="20"/>
          <w:szCs w:val="24"/>
        </w:rPr>
        <w:t>vendinta daugiabučių renovacija</w:t>
      </w:r>
      <w:r w:rsidR="00E709C4" w:rsidRPr="00E709C4">
        <w:rPr>
          <w:rFonts w:ascii="Arial" w:eastAsia="MS PGothic" w:hAnsi="Arial" w:cs="Times New Roman"/>
          <w:sz w:val="20"/>
          <w:szCs w:val="24"/>
        </w:rPr>
        <w:t xml:space="preserve"> padėjo per santykinai trumpą laiką pagerinti ne </w:t>
      </w:r>
      <w:r w:rsidR="00E709C4">
        <w:rPr>
          <w:rFonts w:ascii="Arial" w:eastAsia="MS PGothic" w:hAnsi="Arial" w:cs="Times New Roman"/>
          <w:sz w:val="20"/>
          <w:szCs w:val="24"/>
        </w:rPr>
        <w:t>tik vizualią aplinką, bet ir grą</w:t>
      </w:r>
      <w:r w:rsidR="00E709C4" w:rsidRPr="00E709C4">
        <w:rPr>
          <w:rFonts w:ascii="Arial" w:eastAsia="MS PGothic" w:hAnsi="Arial" w:cs="Times New Roman"/>
          <w:sz w:val="20"/>
          <w:szCs w:val="24"/>
        </w:rPr>
        <w:t xml:space="preserve">žinti būstus į nekilnojamą turto rinką. </w:t>
      </w:r>
      <w:r w:rsidR="00E709C4">
        <w:rPr>
          <w:rFonts w:ascii="Arial" w:eastAsia="MS PGothic" w:hAnsi="Arial" w:cs="Times New Roman"/>
          <w:sz w:val="20"/>
          <w:szCs w:val="24"/>
        </w:rPr>
        <w:t xml:space="preserve">Nagrinėjamo </w:t>
      </w:r>
      <w:r w:rsidR="00E709C4" w:rsidRPr="00E709C4">
        <w:rPr>
          <w:rFonts w:ascii="Arial" w:eastAsia="MS PGothic" w:hAnsi="Arial" w:cs="Times New Roman"/>
          <w:sz w:val="20"/>
          <w:szCs w:val="24"/>
        </w:rPr>
        <w:t xml:space="preserve">laikotarpio metu įgyvendinti aplinkosauginiai projektai – parkų tvarkymas, dumblo aikštelės įrengimas bei </w:t>
      </w:r>
      <w:r w:rsidR="00E709C4">
        <w:rPr>
          <w:rFonts w:ascii="Arial" w:eastAsia="MS PGothic" w:hAnsi="Arial" w:cs="Times New Roman"/>
          <w:sz w:val="20"/>
          <w:szCs w:val="24"/>
        </w:rPr>
        <w:t>atliekų tvarkymo</w:t>
      </w:r>
      <w:r w:rsidR="00E709C4" w:rsidRPr="00E709C4">
        <w:rPr>
          <w:rFonts w:ascii="Arial" w:eastAsia="MS PGothic" w:hAnsi="Arial" w:cs="Times New Roman"/>
          <w:sz w:val="20"/>
          <w:szCs w:val="24"/>
        </w:rPr>
        <w:t xml:space="preserve"> programos. </w:t>
      </w:r>
      <w:r w:rsidR="002D1DCE" w:rsidRPr="002803ED">
        <w:rPr>
          <w:rFonts w:ascii="Arial" w:eastAsia="MS PGothic" w:hAnsi="Arial" w:cs="Times New Roman"/>
          <w:sz w:val="20"/>
          <w:szCs w:val="24"/>
        </w:rPr>
        <w:t xml:space="preserve">Apibendrinant, </w:t>
      </w:r>
      <w:r w:rsidR="00E709C4">
        <w:rPr>
          <w:rFonts w:ascii="Arial" w:eastAsia="MS PGothic" w:hAnsi="Arial" w:cs="Times New Roman"/>
          <w:sz w:val="20"/>
          <w:szCs w:val="24"/>
        </w:rPr>
        <w:t>ES SF didžiausią poveikį padarė infrastruktūros, o ne socio-ekonominės plėtros srityje</w:t>
      </w:r>
      <w:r w:rsidR="00E709C4" w:rsidRPr="00E709C4">
        <w:rPr>
          <w:rFonts w:ascii="Arial" w:eastAsia="MS PGothic" w:hAnsi="Arial" w:cs="Times New Roman"/>
          <w:sz w:val="20"/>
          <w:szCs w:val="24"/>
        </w:rPr>
        <w:t xml:space="preserve">. </w:t>
      </w:r>
      <w:r w:rsidR="002D1DCE" w:rsidRPr="002803ED">
        <w:rPr>
          <w:rFonts w:ascii="Arial" w:eastAsia="MS PGothic" w:hAnsi="Arial" w:cs="Times New Roman"/>
          <w:sz w:val="20"/>
          <w:szCs w:val="24"/>
        </w:rPr>
        <w:t>ES struktūrinių fondų lėšos didžiausią įtaką darė kuriant ir plėtojant socialinių ir sveikatos paslaugų bei gyvenamosios aplinkos infrastruktūrą.</w:t>
      </w:r>
      <w:r w:rsidR="00E709C4">
        <w:rPr>
          <w:rFonts w:ascii="Arial" w:eastAsia="MS PGothic" w:hAnsi="Arial" w:cs="Times New Roman"/>
          <w:sz w:val="20"/>
          <w:szCs w:val="24"/>
        </w:rPr>
        <w:t xml:space="preserve"> </w:t>
      </w: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r w:rsidRPr="00FE1996">
        <w:rPr>
          <w:rFonts w:ascii="Arial" w:eastAsia="MS PGothic" w:hAnsi="Arial" w:cs="Times New Roman"/>
          <w:noProof/>
          <w:sz w:val="20"/>
          <w:szCs w:val="24"/>
          <w:lang w:val="en-US"/>
        </w:rPr>
        <mc:AlternateContent>
          <mc:Choice Requires="wps">
            <w:drawing>
              <wp:anchor distT="0" distB="0" distL="114300" distR="114300" simplePos="0" relativeHeight="251682816" behindDoc="0" locked="0" layoutInCell="1" allowOverlap="1" wp14:anchorId="5E575683" wp14:editId="579ECE55">
                <wp:simplePos x="0" y="0"/>
                <wp:positionH relativeFrom="column">
                  <wp:posOffset>-19192</wp:posOffset>
                </wp:positionH>
                <wp:positionV relativeFrom="paragraph">
                  <wp:posOffset>-415935</wp:posOffset>
                </wp:positionV>
                <wp:extent cx="5012852" cy="1856095"/>
                <wp:effectExtent l="0" t="0" r="1651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852" cy="1856095"/>
                        </a:xfrm>
                        <a:prstGeom prst="rect">
                          <a:avLst/>
                        </a:prstGeom>
                        <a:solidFill>
                          <a:srgbClr val="FFFFFF"/>
                        </a:solidFill>
                        <a:ln w="9525">
                          <a:solidFill>
                            <a:srgbClr val="000000"/>
                          </a:solidFill>
                          <a:miter lim="800000"/>
                          <a:headEnd/>
                          <a:tailEnd/>
                        </a:ln>
                      </wps:spPr>
                      <wps:txbx>
                        <w:txbxContent>
                          <w:p w:rsidR="003E0CBD" w:rsidRDefault="003E0CBD" w:rsidP="003E0CBD">
                            <w:pPr>
                              <w:jc w:val="both"/>
                              <w:rPr>
                                <w:rFonts w:ascii="Arial" w:hAnsi="Arial" w:cs="Arial"/>
                                <w:b/>
                                <w:sz w:val="16"/>
                                <w:szCs w:val="16"/>
                              </w:rPr>
                            </w:pPr>
                            <w:r w:rsidRPr="00FE1996">
                              <w:rPr>
                                <w:rFonts w:ascii="Arial" w:hAnsi="Arial" w:cs="Arial"/>
                                <w:b/>
                                <w:sz w:val="16"/>
                                <w:szCs w:val="16"/>
                              </w:rPr>
                              <w:t>Kelmės rajono Kražių gimnazijos Pašilės pradinio ugdymo skyriaus pastato rekonstravimas, pritaikant jį švietimo, kultūros ir socialinės paslaugas vaikams ir vietos bendruomenei teikiančiam centrui, VP3-2.2-ŠMM-04-R-61-004</w:t>
                            </w:r>
                          </w:p>
                          <w:p w:rsidR="003E0CBD" w:rsidRPr="00FE1996" w:rsidRDefault="003E0CBD" w:rsidP="003E0CBD">
                            <w:pPr>
                              <w:jc w:val="both"/>
                              <w:rPr>
                                <w:rFonts w:ascii="Arial" w:hAnsi="Arial" w:cs="Arial"/>
                                <w:sz w:val="16"/>
                                <w:szCs w:val="16"/>
                              </w:rPr>
                            </w:pPr>
                            <w:r w:rsidRPr="00FE1996">
                              <w:rPr>
                                <w:rFonts w:ascii="Arial" w:hAnsi="Arial" w:cs="Arial"/>
                                <w:sz w:val="16"/>
                                <w:szCs w:val="16"/>
                              </w:rPr>
                              <w:t>Projekto įgyvendinimo metu buvusiame Kelmės rajono Kražių gimnazijos Paš</w:t>
                            </w:r>
                            <w:r>
                              <w:rPr>
                                <w:rFonts w:ascii="Arial" w:hAnsi="Arial" w:cs="Arial"/>
                                <w:sz w:val="16"/>
                                <w:szCs w:val="16"/>
                              </w:rPr>
                              <w:t>ilės pradinio ugdymo pastate buvo</w:t>
                            </w:r>
                            <w:r w:rsidRPr="00FE1996">
                              <w:rPr>
                                <w:rFonts w:ascii="Arial" w:hAnsi="Arial" w:cs="Arial"/>
                                <w:sz w:val="16"/>
                                <w:szCs w:val="16"/>
                              </w:rPr>
                              <w:t xml:space="preserve"> įsteigtas universalus daugiafunkcinis centras (toliau – UDC), kuris padės sukurti ir plėtoti modernią švietimo ir socialinių paslaugų infrastruktūrą įvairaus amžiaus gyventojų grupėms. Pro</w:t>
                            </w:r>
                            <w:r>
                              <w:rPr>
                                <w:rFonts w:ascii="Arial" w:hAnsi="Arial" w:cs="Arial"/>
                                <w:sz w:val="16"/>
                                <w:szCs w:val="16"/>
                              </w:rPr>
                              <w:t>jekto rezultatai padėjo įgyvendinti</w:t>
                            </w:r>
                            <w:r w:rsidRPr="00FE1996">
                              <w:rPr>
                                <w:rFonts w:ascii="Arial" w:hAnsi="Arial" w:cs="Arial"/>
                                <w:sz w:val="16"/>
                                <w:szCs w:val="16"/>
                              </w:rPr>
                              <w:t xml:space="preserve"> bendruomenės socializacijos, saviraiškos, bendravimo poreikius, bus mažinamas atstumas tarp kartų, pagerės švietimo paslaugų kokybė ir prieinamuma</w:t>
                            </w:r>
                            <w:r>
                              <w:rPr>
                                <w:rFonts w:ascii="Arial" w:hAnsi="Arial" w:cs="Arial"/>
                                <w:sz w:val="16"/>
                                <w:szCs w:val="16"/>
                              </w:rPr>
                              <w:t>s. Projekto tikslinės grupės apėmė</w:t>
                            </w:r>
                            <w:r w:rsidRPr="00FE1996">
                              <w:rPr>
                                <w:rFonts w:ascii="Arial" w:hAnsi="Arial" w:cs="Arial"/>
                                <w:sz w:val="16"/>
                                <w:szCs w:val="16"/>
                              </w:rPr>
                              <w:t xml:space="preserve"> ikimo</w:t>
                            </w:r>
                            <w:r>
                              <w:rPr>
                                <w:rFonts w:ascii="Arial" w:hAnsi="Arial" w:cs="Arial"/>
                                <w:sz w:val="16"/>
                                <w:szCs w:val="16"/>
                              </w:rPr>
                              <w:t>kyklinio ugdymo programų gavėjus,</w:t>
                            </w:r>
                            <w:r w:rsidRPr="00FE1996">
                              <w:rPr>
                                <w:rFonts w:ascii="Arial" w:hAnsi="Arial" w:cs="Arial"/>
                                <w:sz w:val="16"/>
                                <w:szCs w:val="16"/>
                              </w:rPr>
                              <w:t xml:space="preserve"> Pašil</w:t>
                            </w:r>
                            <w:r>
                              <w:rPr>
                                <w:rFonts w:ascii="Arial" w:hAnsi="Arial" w:cs="Arial"/>
                                <w:sz w:val="16"/>
                                <w:szCs w:val="16"/>
                              </w:rPr>
                              <w:t>ės kaimo mokinius, lankančius</w:t>
                            </w:r>
                            <w:r w:rsidRPr="00FE1996">
                              <w:rPr>
                                <w:rFonts w:ascii="Arial" w:hAnsi="Arial" w:cs="Arial"/>
                                <w:sz w:val="16"/>
                                <w:szCs w:val="16"/>
                              </w:rPr>
                              <w:t xml:space="preserve"> Kražių gimnazi</w:t>
                            </w:r>
                            <w:r>
                              <w:rPr>
                                <w:rFonts w:ascii="Arial" w:hAnsi="Arial" w:cs="Arial"/>
                                <w:sz w:val="16"/>
                                <w:szCs w:val="16"/>
                              </w:rPr>
                              <w:t>ją, Karklėnų pagrindinę mokyklą,</w:t>
                            </w:r>
                            <w:r w:rsidRPr="00FE1996">
                              <w:rPr>
                                <w:rFonts w:ascii="Arial" w:hAnsi="Arial" w:cs="Arial"/>
                                <w:sz w:val="16"/>
                                <w:szCs w:val="16"/>
                              </w:rPr>
                              <w:t xml:space="preserve"> Pašilės kaimo bendruomen</w:t>
                            </w:r>
                            <w:r>
                              <w:rPr>
                                <w:rFonts w:ascii="Arial" w:hAnsi="Arial" w:cs="Arial"/>
                                <w:sz w:val="16"/>
                                <w:szCs w:val="16"/>
                              </w:rPr>
                              <w:t>ę</w:t>
                            </w:r>
                            <w:r w:rsidRPr="00FE1996">
                              <w:rPr>
                                <w:rFonts w:ascii="Arial" w:hAnsi="Arial" w:cs="Arial"/>
                                <w:sz w:val="16"/>
                                <w:szCs w:val="16"/>
                              </w:rPr>
                              <w:t>. Įgyvendinus Projektą</w:t>
                            </w:r>
                            <w:r>
                              <w:rPr>
                                <w:rFonts w:ascii="Arial" w:hAnsi="Arial" w:cs="Arial"/>
                                <w:sz w:val="16"/>
                                <w:szCs w:val="16"/>
                              </w:rPr>
                              <w:t xml:space="preserve">, UDC lankytojai paslaugas gauna </w:t>
                            </w:r>
                            <w:r w:rsidRPr="00FE1996">
                              <w:rPr>
                                <w:rFonts w:ascii="Arial" w:hAnsi="Arial" w:cs="Arial"/>
                                <w:sz w:val="16"/>
                                <w:szCs w:val="16"/>
                              </w:rPr>
                              <w:t>jaukioje ir modernioje aplinkoje. Atlik</w:t>
                            </w:r>
                            <w:r>
                              <w:rPr>
                                <w:rFonts w:ascii="Arial" w:hAnsi="Arial" w:cs="Arial"/>
                                <w:sz w:val="16"/>
                                <w:szCs w:val="16"/>
                              </w:rPr>
                              <w:t>us rekonstrukciją, patalpose buvo</w:t>
                            </w:r>
                            <w:r w:rsidRPr="00FE1996">
                              <w:rPr>
                                <w:rFonts w:ascii="Arial" w:hAnsi="Arial" w:cs="Arial"/>
                                <w:sz w:val="16"/>
                                <w:szCs w:val="16"/>
                              </w:rPr>
                              <w:t xml:space="preserve"> atnaujin</w:t>
                            </w:r>
                            <w:r>
                              <w:rPr>
                                <w:rFonts w:ascii="Arial" w:hAnsi="Arial" w:cs="Arial"/>
                                <w:sz w:val="16"/>
                                <w:szCs w:val="16"/>
                              </w:rPr>
                              <w:t>t</w:t>
                            </w:r>
                            <w:r w:rsidRPr="00FE1996">
                              <w:rPr>
                                <w:rFonts w:ascii="Arial" w:hAnsi="Arial" w:cs="Arial"/>
                                <w:sz w:val="16"/>
                                <w:szCs w:val="16"/>
                              </w:rPr>
                              <w:t>a kompiuterinė įranga bei baldai, sutvarkytas pastato stogas.</w:t>
                            </w:r>
                            <w:r>
                              <w:rPr>
                                <w:rFonts w:ascii="Arial" w:hAnsi="Arial" w:cs="Arial"/>
                                <w:sz w:val="16"/>
                                <w:szCs w:val="16"/>
                              </w:rPr>
                              <w:t xml:space="preserve"> Projektas prie darnaus vystymosi principo įgyvendinimo prisidėjo pasitelkiant investicijas į infratsruktūrą, kurios savo ruožtu sudaro sąlygas socialinio kapitalo stiprinimui.</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1.5pt;margin-top:-32.75pt;width:394.7pt;height:14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">
                <v:textbox>
                  <w:txbxContent>
                    <w:p w:rsidR="003E0CBD" w:rsidRDefault="003E0CBD" w:rsidP="003E0CBD">
                      <w:pPr>
                        <w:jc w:val="both"/>
                        <w:rPr>
                          <w:rFonts w:ascii="Arial" w:hAnsi="Arial" w:cs="Arial"/>
                          <w:b/>
                          <w:sz w:val="16"/>
                          <w:szCs w:val="16"/>
                        </w:rPr>
                      </w:pPr>
                      <w:r w:rsidRPr="00FE1996">
                        <w:rPr>
                          <w:rFonts w:ascii="Arial" w:hAnsi="Arial" w:cs="Arial"/>
                          <w:b/>
                          <w:sz w:val="16"/>
                          <w:szCs w:val="16"/>
                        </w:rPr>
                        <w:t>Kelmės rajono Kražių gimnazijos Pašilės pradinio ugdymo skyriaus pastato rekonstravimas, pritaikant jį švietimo, kultūros ir socialinės paslaugas vaikams ir vietos bendruomenei teikiančiam centrui, VP3-2.2-ŠMM-04-R-61-004</w:t>
                      </w:r>
                    </w:p>
                    <w:p w:rsidR="003E0CBD" w:rsidRPr="00FE1996" w:rsidRDefault="003E0CBD" w:rsidP="003E0CBD">
                      <w:pPr>
                        <w:jc w:val="both"/>
                        <w:rPr>
                          <w:rFonts w:ascii="Arial" w:hAnsi="Arial" w:cs="Arial"/>
                          <w:sz w:val="16"/>
                          <w:szCs w:val="16"/>
                        </w:rPr>
                      </w:pPr>
                      <w:r w:rsidRPr="00FE1996">
                        <w:rPr>
                          <w:rFonts w:ascii="Arial" w:hAnsi="Arial" w:cs="Arial"/>
                          <w:sz w:val="16"/>
                          <w:szCs w:val="16"/>
                        </w:rPr>
                        <w:t>Projekto įgyvendinimo metu buvusiame Kelmės rajono Kražių gimnazijos Paš</w:t>
                      </w:r>
                      <w:r>
                        <w:rPr>
                          <w:rFonts w:ascii="Arial" w:hAnsi="Arial" w:cs="Arial"/>
                          <w:sz w:val="16"/>
                          <w:szCs w:val="16"/>
                        </w:rPr>
                        <w:t>ilės pradinio ugdymo pastate buvo</w:t>
                      </w:r>
                      <w:r w:rsidRPr="00FE1996">
                        <w:rPr>
                          <w:rFonts w:ascii="Arial" w:hAnsi="Arial" w:cs="Arial"/>
                          <w:sz w:val="16"/>
                          <w:szCs w:val="16"/>
                        </w:rPr>
                        <w:t xml:space="preserve"> įsteigtas universalus daugiafunkcinis centras (toliau – UDC), kuris padės sukurti ir plėtoti modernią švietimo ir socialinių paslaugų infrastruktūrą įvairaus amžiaus gyventojų grupėms. Pro</w:t>
                      </w:r>
                      <w:r>
                        <w:rPr>
                          <w:rFonts w:ascii="Arial" w:hAnsi="Arial" w:cs="Arial"/>
                          <w:sz w:val="16"/>
                          <w:szCs w:val="16"/>
                        </w:rPr>
                        <w:t>jekto rezultatai padėjo įgyvendinti</w:t>
                      </w:r>
                      <w:r w:rsidRPr="00FE1996">
                        <w:rPr>
                          <w:rFonts w:ascii="Arial" w:hAnsi="Arial" w:cs="Arial"/>
                          <w:sz w:val="16"/>
                          <w:szCs w:val="16"/>
                        </w:rPr>
                        <w:t xml:space="preserve"> bendruomenės socializacijos, saviraiškos, bendravimo poreikius, bus mažinamas atstumas tarp kartų, pagerės švietimo paslaugų kokybė ir prieinamuma</w:t>
                      </w:r>
                      <w:r>
                        <w:rPr>
                          <w:rFonts w:ascii="Arial" w:hAnsi="Arial" w:cs="Arial"/>
                          <w:sz w:val="16"/>
                          <w:szCs w:val="16"/>
                        </w:rPr>
                        <w:t>s. Projekto tikslinės grupės apėmė</w:t>
                      </w:r>
                      <w:r w:rsidRPr="00FE1996">
                        <w:rPr>
                          <w:rFonts w:ascii="Arial" w:hAnsi="Arial" w:cs="Arial"/>
                          <w:sz w:val="16"/>
                          <w:szCs w:val="16"/>
                        </w:rPr>
                        <w:t xml:space="preserve"> ikimo</w:t>
                      </w:r>
                      <w:r>
                        <w:rPr>
                          <w:rFonts w:ascii="Arial" w:hAnsi="Arial" w:cs="Arial"/>
                          <w:sz w:val="16"/>
                          <w:szCs w:val="16"/>
                        </w:rPr>
                        <w:t>kyklinio ugdymo programų gavėjus,</w:t>
                      </w:r>
                      <w:r w:rsidRPr="00FE1996">
                        <w:rPr>
                          <w:rFonts w:ascii="Arial" w:hAnsi="Arial" w:cs="Arial"/>
                          <w:sz w:val="16"/>
                          <w:szCs w:val="16"/>
                        </w:rPr>
                        <w:t xml:space="preserve"> Pašil</w:t>
                      </w:r>
                      <w:r>
                        <w:rPr>
                          <w:rFonts w:ascii="Arial" w:hAnsi="Arial" w:cs="Arial"/>
                          <w:sz w:val="16"/>
                          <w:szCs w:val="16"/>
                        </w:rPr>
                        <w:t>ės kaimo mokinius, lankančius</w:t>
                      </w:r>
                      <w:r w:rsidRPr="00FE1996">
                        <w:rPr>
                          <w:rFonts w:ascii="Arial" w:hAnsi="Arial" w:cs="Arial"/>
                          <w:sz w:val="16"/>
                          <w:szCs w:val="16"/>
                        </w:rPr>
                        <w:t xml:space="preserve"> Kražių gimnazi</w:t>
                      </w:r>
                      <w:r>
                        <w:rPr>
                          <w:rFonts w:ascii="Arial" w:hAnsi="Arial" w:cs="Arial"/>
                          <w:sz w:val="16"/>
                          <w:szCs w:val="16"/>
                        </w:rPr>
                        <w:t>ją, Karklėnų pagrindinę mokyklą,</w:t>
                      </w:r>
                      <w:r w:rsidRPr="00FE1996">
                        <w:rPr>
                          <w:rFonts w:ascii="Arial" w:hAnsi="Arial" w:cs="Arial"/>
                          <w:sz w:val="16"/>
                          <w:szCs w:val="16"/>
                        </w:rPr>
                        <w:t xml:space="preserve"> Pašilės kaimo bendruomen</w:t>
                      </w:r>
                      <w:r>
                        <w:rPr>
                          <w:rFonts w:ascii="Arial" w:hAnsi="Arial" w:cs="Arial"/>
                          <w:sz w:val="16"/>
                          <w:szCs w:val="16"/>
                        </w:rPr>
                        <w:t>ę</w:t>
                      </w:r>
                      <w:r w:rsidRPr="00FE1996">
                        <w:rPr>
                          <w:rFonts w:ascii="Arial" w:hAnsi="Arial" w:cs="Arial"/>
                          <w:sz w:val="16"/>
                          <w:szCs w:val="16"/>
                        </w:rPr>
                        <w:t>. Įgyvendinus Projektą</w:t>
                      </w:r>
                      <w:r>
                        <w:rPr>
                          <w:rFonts w:ascii="Arial" w:hAnsi="Arial" w:cs="Arial"/>
                          <w:sz w:val="16"/>
                          <w:szCs w:val="16"/>
                        </w:rPr>
                        <w:t xml:space="preserve">, UDC lankytojai paslaugas gauna </w:t>
                      </w:r>
                      <w:r w:rsidRPr="00FE1996">
                        <w:rPr>
                          <w:rFonts w:ascii="Arial" w:hAnsi="Arial" w:cs="Arial"/>
                          <w:sz w:val="16"/>
                          <w:szCs w:val="16"/>
                        </w:rPr>
                        <w:t>jaukioje ir modernioje aplinkoje. Atlik</w:t>
                      </w:r>
                      <w:r>
                        <w:rPr>
                          <w:rFonts w:ascii="Arial" w:hAnsi="Arial" w:cs="Arial"/>
                          <w:sz w:val="16"/>
                          <w:szCs w:val="16"/>
                        </w:rPr>
                        <w:t>us rekonstrukciją, patalpose buvo</w:t>
                      </w:r>
                      <w:r w:rsidRPr="00FE1996">
                        <w:rPr>
                          <w:rFonts w:ascii="Arial" w:hAnsi="Arial" w:cs="Arial"/>
                          <w:sz w:val="16"/>
                          <w:szCs w:val="16"/>
                        </w:rPr>
                        <w:t xml:space="preserve"> atnaujin</w:t>
                      </w:r>
                      <w:r>
                        <w:rPr>
                          <w:rFonts w:ascii="Arial" w:hAnsi="Arial" w:cs="Arial"/>
                          <w:sz w:val="16"/>
                          <w:szCs w:val="16"/>
                        </w:rPr>
                        <w:t>t</w:t>
                      </w:r>
                      <w:r w:rsidRPr="00FE1996">
                        <w:rPr>
                          <w:rFonts w:ascii="Arial" w:hAnsi="Arial" w:cs="Arial"/>
                          <w:sz w:val="16"/>
                          <w:szCs w:val="16"/>
                        </w:rPr>
                        <w:t>a kompiuterinė įranga bei baldai, sutvarkytas pastato stogas.</w:t>
                      </w:r>
                      <w:r>
                        <w:rPr>
                          <w:rFonts w:ascii="Arial" w:hAnsi="Arial" w:cs="Arial"/>
                          <w:sz w:val="16"/>
                          <w:szCs w:val="16"/>
                        </w:rPr>
                        <w:t xml:space="preserve"> Projektas prie darnaus vystymosi principo įgyvendinimo prisidėjo pasitelkiant investicijas į infratsruktūrą, kurios savo ruožtu sudaro sąlygas socialinio kapitalo stiprinimui.</w:t>
                      </w:r>
                      <w:bookmarkStart w:id="1" w:name="_GoBack"/>
                      <w:bookmarkEnd w:id="1"/>
                    </w:p>
                  </w:txbxContent>
                </v:textbox>
              </v:shape>
            </w:pict>
          </mc:Fallback>
        </mc:AlternateContent>
      </w: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3E0CBD" w:rsidRDefault="003E0CBD" w:rsidP="002D1DCE">
      <w:pPr>
        <w:jc w:val="both"/>
        <w:rPr>
          <w:rFonts w:ascii="Arial" w:eastAsia="MS PGothic" w:hAnsi="Arial" w:cs="Times New Roman"/>
          <w:sz w:val="20"/>
          <w:szCs w:val="24"/>
        </w:rPr>
      </w:pPr>
    </w:p>
    <w:p w:rsidR="001E3402" w:rsidRPr="002803ED" w:rsidRDefault="00E709C4" w:rsidP="002D1DCE">
      <w:pPr>
        <w:jc w:val="both"/>
        <w:rPr>
          <w:rFonts w:ascii="Arial" w:eastAsia="MS PGothic" w:hAnsi="Arial" w:cs="Times New Roman"/>
          <w:sz w:val="20"/>
          <w:szCs w:val="24"/>
        </w:rPr>
      </w:pPr>
      <w:r>
        <w:rPr>
          <w:rFonts w:ascii="Arial" w:eastAsia="MS PGothic" w:hAnsi="Arial" w:cs="Times New Roman"/>
          <w:sz w:val="20"/>
          <w:szCs w:val="24"/>
        </w:rPr>
        <w:t>Didelį poveikį ES SF lėšos padarė transporto sektoriui.</w:t>
      </w:r>
      <w:r w:rsidR="001E3402" w:rsidRPr="002803ED">
        <w:rPr>
          <w:rFonts w:ascii="Arial" w:eastAsia="MS PGothic" w:hAnsi="Arial" w:cs="Times New Roman"/>
          <w:sz w:val="20"/>
          <w:szCs w:val="24"/>
        </w:rPr>
        <w:t xml:space="preserve"> Svarbu pabrėžti, kad</w:t>
      </w:r>
      <w:r>
        <w:rPr>
          <w:rFonts w:ascii="Arial" w:eastAsia="MS PGothic" w:hAnsi="Arial" w:cs="Times New Roman"/>
          <w:sz w:val="20"/>
          <w:szCs w:val="24"/>
        </w:rPr>
        <w:t xml:space="preserve"> įgyvendinant infrastruktūros plėtros projektus Kelmės rajono savivaldybei pavyko </w:t>
      </w:r>
      <w:r w:rsidR="00707C16">
        <w:rPr>
          <w:rFonts w:ascii="Arial" w:eastAsia="MS PGothic" w:hAnsi="Arial" w:cs="Times New Roman"/>
          <w:sz w:val="20"/>
          <w:szCs w:val="24"/>
        </w:rPr>
        <w:t>suvaldyti galimus aplinkos taršos padarinius.</w:t>
      </w:r>
    </w:p>
    <w:p w:rsidR="00745B48" w:rsidRPr="002803ED" w:rsidRDefault="00745B48" w:rsidP="00A2570C">
      <w:pPr>
        <w:jc w:val="both"/>
        <w:rPr>
          <w:rFonts w:ascii="Arial" w:eastAsia="MS PGothic" w:hAnsi="Arial" w:cs="Times New Roman"/>
          <w:sz w:val="20"/>
          <w:szCs w:val="24"/>
        </w:rPr>
      </w:pPr>
    </w:p>
    <w:p w:rsidR="00897144" w:rsidRPr="002803ED" w:rsidRDefault="00897144">
      <w:pPr>
        <w:jc w:val="both"/>
        <w:rPr>
          <w:rFonts w:ascii="Arial" w:eastAsia="MS PGothic" w:hAnsi="Arial" w:cs="Times New Roman"/>
          <w:sz w:val="20"/>
          <w:szCs w:val="24"/>
        </w:rPr>
      </w:pPr>
    </w:p>
    <w:sectPr w:rsidR="00897144" w:rsidRPr="002803ED"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31" w:rsidRDefault="00F72131">
      <w:pPr>
        <w:spacing w:after="0" w:line="240" w:lineRule="auto"/>
      </w:pPr>
      <w:r>
        <w:separator/>
      </w:r>
    </w:p>
  </w:endnote>
  <w:endnote w:type="continuationSeparator" w:id="0">
    <w:p w:rsidR="00F72131" w:rsidRDefault="00F7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3E0CBD">
          <w:rPr>
            <w:noProof/>
          </w:rPr>
          <w:t>6</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3E0CBD">
          <w:rPr>
            <w:noProof/>
            <w:szCs w:val="17"/>
          </w:rPr>
          <w:t>1</w:t>
        </w:r>
        <w:r w:rsidRPr="00DC7F6C">
          <w:rPr>
            <w:noProof/>
            <w:szCs w:val="17"/>
          </w:rPr>
          <w:fldChar w:fldCharType="end"/>
        </w:r>
      </w:p>
    </w:sdtContent>
  </w:sdt>
  <w:p w:rsidR="00C45115" w:rsidRPr="00BE0549" w:rsidRDefault="003E0CBD"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31" w:rsidRDefault="00F72131">
      <w:pPr>
        <w:spacing w:after="0" w:line="240" w:lineRule="auto"/>
      </w:pPr>
      <w:r>
        <w:separator/>
      </w:r>
    </w:p>
  </w:footnote>
  <w:footnote w:type="continuationSeparator" w:id="0">
    <w:p w:rsidR="00F72131" w:rsidRDefault="00F72131">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252B1"/>
    <w:rsid w:val="000534F9"/>
    <w:rsid w:val="0006433C"/>
    <w:rsid w:val="000C024B"/>
    <w:rsid w:val="000C341E"/>
    <w:rsid w:val="000D5BA5"/>
    <w:rsid w:val="000D77A0"/>
    <w:rsid w:val="000F56AE"/>
    <w:rsid w:val="00101E5E"/>
    <w:rsid w:val="00123257"/>
    <w:rsid w:val="001253F5"/>
    <w:rsid w:val="00136152"/>
    <w:rsid w:val="00180338"/>
    <w:rsid w:val="001A72A7"/>
    <w:rsid w:val="001B09C3"/>
    <w:rsid w:val="001E095D"/>
    <w:rsid w:val="001E3402"/>
    <w:rsid w:val="001F2140"/>
    <w:rsid w:val="0020507E"/>
    <w:rsid w:val="0020781B"/>
    <w:rsid w:val="0021741F"/>
    <w:rsid w:val="00231F9C"/>
    <w:rsid w:val="0023534D"/>
    <w:rsid w:val="00242947"/>
    <w:rsid w:val="00245A8A"/>
    <w:rsid w:val="00245FC3"/>
    <w:rsid w:val="00253066"/>
    <w:rsid w:val="002677E8"/>
    <w:rsid w:val="002803ED"/>
    <w:rsid w:val="00284741"/>
    <w:rsid w:val="00295323"/>
    <w:rsid w:val="002A3F19"/>
    <w:rsid w:val="002B4036"/>
    <w:rsid w:val="002D1DCE"/>
    <w:rsid w:val="002E30F9"/>
    <w:rsid w:val="002F53F5"/>
    <w:rsid w:val="00316283"/>
    <w:rsid w:val="00326A1B"/>
    <w:rsid w:val="00356065"/>
    <w:rsid w:val="0035623C"/>
    <w:rsid w:val="0037112C"/>
    <w:rsid w:val="003851F2"/>
    <w:rsid w:val="00397FF3"/>
    <w:rsid w:val="003B6A9C"/>
    <w:rsid w:val="003D195A"/>
    <w:rsid w:val="003E0CBD"/>
    <w:rsid w:val="003E5F95"/>
    <w:rsid w:val="00412185"/>
    <w:rsid w:val="00424FB7"/>
    <w:rsid w:val="0044118D"/>
    <w:rsid w:val="00462CCD"/>
    <w:rsid w:val="004722C7"/>
    <w:rsid w:val="004743DF"/>
    <w:rsid w:val="004A5F6F"/>
    <w:rsid w:val="004B45DE"/>
    <w:rsid w:val="004C6B41"/>
    <w:rsid w:val="004E0E71"/>
    <w:rsid w:val="00501B52"/>
    <w:rsid w:val="005166EC"/>
    <w:rsid w:val="00540ADA"/>
    <w:rsid w:val="005411B7"/>
    <w:rsid w:val="00544CFE"/>
    <w:rsid w:val="00554B62"/>
    <w:rsid w:val="005577BB"/>
    <w:rsid w:val="00560E0D"/>
    <w:rsid w:val="00591462"/>
    <w:rsid w:val="00594D44"/>
    <w:rsid w:val="005D34E4"/>
    <w:rsid w:val="005D7C5E"/>
    <w:rsid w:val="005F3390"/>
    <w:rsid w:val="0061421F"/>
    <w:rsid w:val="0062033D"/>
    <w:rsid w:val="0062159A"/>
    <w:rsid w:val="00621899"/>
    <w:rsid w:val="00631113"/>
    <w:rsid w:val="00645918"/>
    <w:rsid w:val="00660951"/>
    <w:rsid w:val="00666001"/>
    <w:rsid w:val="00687A46"/>
    <w:rsid w:val="006B7576"/>
    <w:rsid w:val="006C16C9"/>
    <w:rsid w:val="006C4D28"/>
    <w:rsid w:val="0070345E"/>
    <w:rsid w:val="00707C16"/>
    <w:rsid w:val="007349E9"/>
    <w:rsid w:val="00742C97"/>
    <w:rsid w:val="00745B48"/>
    <w:rsid w:val="00757D88"/>
    <w:rsid w:val="00761250"/>
    <w:rsid w:val="007B57EE"/>
    <w:rsid w:val="007D0C4A"/>
    <w:rsid w:val="007F0777"/>
    <w:rsid w:val="00800911"/>
    <w:rsid w:val="0080175F"/>
    <w:rsid w:val="00805F6F"/>
    <w:rsid w:val="008424C7"/>
    <w:rsid w:val="008856B5"/>
    <w:rsid w:val="00897144"/>
    <w:rsid w:val="008A1509"/>
    <w:rsid w:val="008B1202"/>
    <w:rsid w:val="008B796D"/>
    <w:rsid w:val="008F6941"/>
    <w:rsid w:val="00917C1E"/>
    <w:rsid w:val="00923DC7"/>
    <w:rsid w:val="00942138"/>
    <w:rsid w:val="009A35E9"/>
    <w:rsid w:val="009A43BA"/>
    <w:rsid w:val="009D1D9B"/>
    <w:rsid w:val="009D7299"/>
    <w:rsid w:val="009F1A90"/>
    <w:rsid w:val="00A01D4A"/>
    <w:rsid w:val="00A2570C"/>
    <w:rsid w:val="00A36584"/>
    <w:rsid w:val="00A552B8"/>
    <w:rsid w:val="00A70602"/>
    <w:rsid w:val="00A90A5D"/>
    <w:rsid w:val="00AA2DFF"/>
    <w:rsid w:val="00AA3395"/>
    <w:rsid w:val="00AE1FF1"/>
    <w:rsid w:val="00AE6D59"/>
    <w:rsid w:val="00AE7898"/>
    <w:rsid w:val="00AF0119"/>
    <w:rsid w:val="00B13875"/>
    <w:rsid w:val="00B320FB"/>
    <w:rsid w:val="00B35CC8"/>
    <w:rsid w:val="00B47E2E"/>
    <w:rsid w:val="00B72614"/>
    <w:rsid w:val="00B76AF6"/>
    <w:rsid w:val="00BA0105"/>
    <w:rsid w:val="00BC4ECE"/>
    <w:rsid w:val="00BF63D3"/>
    <w:rsid w:val="00C01E16"/>
    <w:rsid w:val="00C24D75"/>
    <w:rsid w:val="00C266D6"/>
    <w:rsid w:val="00C363C5"/>
    <w:rsid w:val="00C369A0"/>
    <w:rsid w:val="00C83C6E"/>
    <w:rsid w:val="00C849C4"/>
    <w:rsid w:val="00C979EF"/>
    <w:rsid w:val="00C97DE2"/>
    <w:rsid w:val="00CB7E91"/>
    <w:rsid w:val="00CD0222"/>
    <w:rsid w:val="00CF47D0"/>
    <w:rsid w:val="00D01CEF"/>
    <w:rsid w:val="00D02D62"/>
    <w:rsid w:val="00D41C73"/>
    <w:rsid w:val="00D62EB8"/>
    <w:rsid w:val="00D65C3C"/>
    <w:rsid w:val="00D66F8E"/>
    <w:rsid w:val="00D81B36"/>
    <w:rsid w:val="00DA236A"/>
    <w:rsid w:val="00DC3E9D"/>
    <w:rsid w:val="00DC7F6C"/>
    <w:rsid w:val="00DD1930"/>
    <w:rsid w:val="00DF75BE"/>
    <w:rsid w:val="00E41636"/>
    <w:rsid w:val="00E5283B"/>
    <w:rsid w:val="00E55606"/>
    <w:rsid w:val="00E56004"/>
    <w:rsid w:val="00E561C3"/>
    <w:rsid w:val="00E709C4"/>
    <w:rsid w:val="00EC1E09"/>
    <w:rsid w:val="00ED2FB0"/>
    <w:rsid w:val="00F02104"/>
    <w:rsid w:val="00F43E9F"/>
    <w:rsid w:val="00F47E08"/>
    <w:rsid w:val="00F543B3"/>
    <w:rsid w:val="00F606F0"/>
    <w:rsid w:val="00F607CD"/>
    <w:rsid w:val="00F62896"/>
    <w:rsid w:val="00F63FF4"/>
    <w:rsid w:val="00F72131"/>
    <w:rsid w:val="00F73ED6"/>
    <w:rsid w:val="00F81E0F"/>
    <w:rsid w:val="00F86DB2"/>
    <w:rsid w:val="00FA6284"/>
    <w:rsid w:val="00FB52BA"/>
    <w:rsid w:val="00FC1F97"/>
    <w:rsid w:val="00FC34DA"/>
    <w:rsid w:val="00FE1996"/>
    <w:rsid w:val="00FE520C"/>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4</c:v>
                </c:pt>
                <c:pt idx="1">
                  <c:v>47</c:v>
                </c:pt>
                <c:pt idx="2">
                  <c:v>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0.19462059666439704</c:v>
                </c:pt>
                <c:pt idx="1">
                  <c:v>0</c:v>
                </c:pt>
                <c:pt idx="2">
                  <c:v>0.5018976083450718</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0.1906648038525354</c:v>
                </c:pt>
                <c:pt idx="1">
                  <c:v>1.5446430104071769E-3</c:v>
                </c:pt>
                <c:pt idx="2">
                  <c:v>0.15465383384262557</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0</c:v>
                </c:pt>
                <c:pt idx="2">
                  <c:v>0.34344855781230266</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0.6147145994830675</c:v>
                </c:pt>
                <c:pt idx="1">
                  <c:v>0.11184615948631357</c:v>
                </c:pt>
                <c:pt idx="2">
                  <c:v>0</c:v>
                </c:pt>
              </c:numCache>
            </c:numRef>
          </c:val>
        </c:ser>
        <c:ser>
          <c:idx val="4"/>
          <c:order val="4"/>
          <c:tx>
            <c:strRef>
              <c:f>Sheet1!$F$1</c:f>
              <c:strCache>
                <c:ptCount val="1"/>
                <c:pt idx="0">
                  <c:v>5  prioritetas</c:v>
                </c:pt>
              </c:strCache>
            </c:strRef>
          </c:tx>
          <c:spPr>
            <a:solidFill>
              <a:srgbClr val="3C8A2E"/>
            </a:solidFill>
            <a:ln>
              <a:noFill/>
            </a:ln>
            <a:effectLst/>
          </c:spPr>
          <c:invertIfNegative val="0"/>
          <c:cat>
            <c:strRef>
              <c:f>Sheet1!$A$2:$A$4</c:f>
              <c:strCache>
                <c:ptCount val="3"/>
                <c:pt idx="0">
                  <c:v>ŽIPVP</c:v>
                </c:pt>
                <c:pt idx="1">
                  <c:v>EAVP</c:v>
                </c:pt>
                <c:pt idx="2">
                  <c:v>SSVP</c:v>
                </c:pt>
              </c:strCache>
            </c:strRef>
          </c:cat>
          <c:val>
            <c:numRef>
              <c:f>Sheet1!$F$2:$F$4</c:f>
              <c:numCache>
                <c:formatCode>0%</c:formatCode>
                <c:ptCount val="3"/>
                <c:pt idx="0">
                  <c:v>0</c:v>
                </c:pt>
                <c:pt idx="1">
                  <c:v>0.88660919750327927</c:v>
                </c:pt>
                <c:pt idx="2">
                  <c:v>0</c:v>
                </c:pt>
              </c:numCache>
            </c:numRef>
          </c:val>
        </c:ser>
        <c:dLbls>
          <c:showLegendKey val="0"/>
          <c:showVal val="0"/>
          <c:showCatName val="0"/>
          <c:showSerName val="0"/>
          <c:showPercent val="0"/>
          <c:showBubbleSize val="0"/>
        </c:dLbls>
        <c:gapWidth val="150"/>
        <c:overlap val="100"/>
        <c:axId val="64874368"/>
        <c:axId val="64875904"/>
      </c:barChart>
      <c:catAx>
        <c:axId val="64874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75904"/>
        <c:crosses val="autoZero"/>
        <c:auto val="1"/>
        <c:lblAlgn val="ctr"/>
        <c:lblOffset val="100"/>
        <c:noMultiLvlLbl val="0"/>
      </c:catAx>
      <c:valAx>
        <c:axId val="648759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874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Kelmės!$N$6</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Kelmės!$O$5:$W$5</c:f>
              <c:numCache>
                <c:formatCode>General</c:formatCode>
                <c:ptCount val="7"/>
                <c:pt idx="0">
                  <c:v>2007</c:v>
                </c:pt>
                <c:pt idx="1">
                  <c:v>2008</c:v>
                </c:pt>
                <c:pt idx="2">
                  <c:v>2009</c:v>
                </c:pt>
                <c:pt idx="3">
                  <c:v>2010</c:v>
                </c:pt>
                <c:pt idx="4">
                  <c:v>2011</c:v>
                </c:pt>
                <c:pt idx="5">
                  <c:v>2012</c:v>
                </c:pt>
                <c:pt idx="6">
                  <c:v>2013</c:v>
                </c:pt>
              </c:numCache>
            </c:numRef>
          </c:cat>
          <c:val>
            <c:numRef>
              <c:f>Kelmės!$O$6:$W$6</c:f>
              <c:numCache>
                <c:formatCode>General</c:formatCode>
                <c:ptCount val="7"/>
                <c:pt idx="0">
                  <c:v>9.3000000000000007</c:v>
                </c:pt>
                <c:pt idx="1">
                  <c:v>9.4</c:v>
                </c:pt>
                <c:pt idx="2">
                  <c:v>9.4</c:v>
                </c:pt>
                <c:pt idx="3">
                  <c:v>7.2</c:v>
                </c:pt>
                <c:pt idx="4">
                  <c:v>29.2</c:v>
                </c:pt>
                <c:pt idx="5">
                  <c:v>36.700000000000003</c:v>
                </c:pt>
                <c:pt idx="6">
                  <c:v>26</c:v>
                </c:pt>
              </c:numCache>
            </c:numRef>
          </c:val>
        </c:ser>
        <c:ser>
          <c:idx val="1"/>
          <c:order val="1"/>
          <c:tx>
            <c:strRef>
              <c:f>Kelmės!$N$7</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Kelmės!$O$5:$W$5</c:f>
              <c:numCache>
                <c:formatCode>General</c:formatCode>
                <c:ptCount val="7"/>
                <c:pt idx="0">
                  <c:v>2007</c:v>
                </c:pt>
                <c:pt idx="1">
                  <c:v>2008</c:v>
                </c:pt>
                <c:pt idx="2">
                  <c:v>2009</c:v>
                </c:pt>
                <c:pt idx="3">
                  <c:v>2010</c:v>
                </c:pt>
                <c:pt idx="4">
                  <c:v>2011</c:v>
                </c:pt>
                <c:pt idx="5">
                  <c:v>2012</c:v>
                </c:pt>
                <c:pt idx="6">
                  <c:v>2013</c:v>
                </c:pt>
              </c:numCache>
            </c:numRef>
          </c:cat>
          <c:val>
            <c:numRef>
              <c:f>Kelmės!$O$7:$W$7</c:f>
              <c:numCache>
                <c:formatCode>General</c:formatCode>
                <c:ptCount val="7"/>
                <c:pt idx="0">
                  <c:v>13.9</c:v>
                </c:pt>
                <c:pt idx="1">
                  <c:v>7.5</c:v>
                </c:pt>
                <c:pt idx="2">
                  <c:v>7.5</c:v>
                </c:pt>
                <c:pt idx="3">
                  <c:v>14.8</c:v>
                </c:pt>
                <c:pt idx="4">
                  <c:v>10.1</c:v>
                </c:pt>
                <c:pt idx="5">
                  <c:v>6.8</c:v>
                </c:pt>
                <c:pt idx="6">
                  <c:v>5.0999999999999996</c:v>
                </c:pt>
              </c:numCache>
            </c:numRef>
          </c:val>
        </c:ser>
        <c:ser>
          <c:idx val="2"/>
          <c:order val="2"/>
          <c:tx>
            <c:strRef>
              <c:f>Kelmės!$N$8</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Kelmės!$O$5:$W$5</c:f>
              <c:numCache>
                <c:formatCode>General</c:formatCode>
                <c:ptCount val="7"/>
                <c:pt idx="0">
                  <c:v>2007</c:v>
                </c:pt>
                <c:pt idx="1">
                  <c:v>2008</c:v>
                </c:pt>
                <c:pt idx="2">
                  <c:v>2009</c:v>
                </c:pt>
                <c:pt idx="3">
                  <c:v>2010</c:v>
                </c:pt>
                <c:pt idx="4">
                  <c:v>2011</c:v>
                </c:pt>
                <c:pt idx="5">
                  <c:v>2012</c:v>
                </c:pt>
                <c:pt idx="6">
                  <c:v>2013</c:v>
                </c:pt>
              </c:numCache>
            </c:numRef>
          </c:cat>
          <c:val>
            <c:numRef>
              <c:f>Kelmės!$O$8:$W$8</c:f>
              <c:numCache>
                <c:formatCode>General</c:formatCode>
                <c:ptCount val="7"/>
                <c:pt idx="0">
                  <c:v>14.4</c:v>
                </c:pt>
                <c:pt idx="1">
                  <c:v>12.5</c:v>
                </c:pt>
                <c:pt idx="2">
                  <c:v>12.8</c:v>
                </c:pt>
                <c:pt idx="3">
                  <c:v>10.5</c:v>
                </c:pt>
                <c:pt idx="4">
                  <c:v>12.3</c:v>
                </c:pt>
                <c:pt idx="5">
                  <c:v>13.9</c:v>
                </c:pt>
                <c:pt idx="6">
                  <c:v>13.6</c:v>
                </c:pt>
              </c:numCache>
            </c:numRef>
          </c:val>
        </c:ser>
        <c:ser>
          <c:idx val="3"/>
          <c:order val="3"/>
          <c:tx>
            <c:strRef>
              <c:f>Kelmės!$N$9</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Kelmės!$O$5:$W$5</c:f>
              <c:numCache>
                <c:formatCode>General</c:formatCode>
                <c:ptCount val="7"/>
                <c:pt idx="0">
                  <c:v>2007</c:v>
                </c:pt>
                <c:pt idx="1">
                  <c:v>2008</c:v>
                </c:pt>
                <c:pt idx="2">
                  <c:v>2009</c:v>
                </c:pt>
                <c:pt idx="3">
                  <c:v>2010</c:v>
                </c:pt>
                <c:pt idx="4">
                  <c:v>2011</c:v>
                </c:pt>
                <c:pt idx="5">
                  <c:v>2012</c:v>
                </c:pt>
                <c:pt idx="6">
                  <c:v>2013</c:v>
                </c:pt>
              </c:numCache>
            </c:numRef>
          </c:cat>
          <c:val>
            <c:numRef>
              <c:f>Kelmės!$O$9:$W$9</c:f>
              <c:numCache>
                <c:formatCode>General</c:formatCode>
                <c:ptCount val="7"/>
                <c:pt idx="0">
                  <c:v>145.19999999999999</c:v>
                </c:pt>
                <c:pt idx="1">
                  <c:v>131.6</c:v>
                </c:pt>
                <c:pt idx="2">
                  <c:v>125.1</c:v>
                </c:pt>
                <c:pt idx="3">
                  <c:v>97.9</c:v>
                </c:pt>
                <c:pt idx="4">
                  <c:v>103.6</c:v>
                </c:pt>
                <c:pt idx="5">
                  <c:v>134.19999999999999</c:v>
                </c:pt>
                <c:pt idx="6">
                  <c:v>128.4</c:v>
                </c:pt>
              </c:numCache>
            </c:numRef>
          </c:val>
        </c:ser>
        <c:dLbls>
          <c:showLegendKey val="0"/>
          <c:showVal val="1"/>
          <c:showCatName val="0"/>
          <c:showSerName val="0"/>
          <c:showPercent val="0"/>
          <c:showBubbleSize val="0"/>
        </c:dLbls>
        <c:gapWidth val="75"/>
        <c:axId val="73860992"/>
        <c:axId val="73880320"/>
      </c:barChart>
      <c:lineChart>
        <c:grouping val="standard"/>
        <c:varyColors val="0"/>
        <c:ser>
          <c:idx val="4"/>
          <c:order val="4"/>
          <c:tx>
            <c:strRef>
              <c:f>Kelmės!$N$10</c:f>
              <c:strCache>
                <c:ptCount val="1"/>
                <c:pt idx="0">
                  <c:v>Visi teršalai</c:v>
                </c:pt>
              </c:strCache>
            </c:strRef>
          </c:tx>
          <c:spPr>
            <a:ln w="28575" cap="rnd">
              <a:solidFill>
                <a:srgbClr val="3C8A2E"/>
              </a:solidFill>
              <a:round/>
            </a:ln>
            <a:effectLst/>
          </c:spPr>
          <c:marker>
            <c:symbol val="none"/>
          </c:marker>
          <c:dLbls>
            <c:delete val="1"/>
          </c:dLbls>
          <c:cat>
            <c:numRef>
              <c:f>Kelmės!$O$5:$W$5</c:f>
              <c:numCache>
                <c:formatCode>General</c:formatCode>
                <c:ptCount val="7"/>
                <c:pt idx="0">
                  <c:v>2007</c:v>
                </c:pt>
                <c:pt idx="1">
                  <c:v>2008</c:v>
                </c:pt>
                <c:pt idx="2">
                  <c:v>2009</c:v>
                </c:pt>
                <c:pt idx="3">
                  <c:v>2010</c:v>
                </c:pt>
                <c:pt idx="4">
                  <c:v>2011</c:v>
                </c:pt>
                <c:pt idx="5">
                  <c:v>2012</c:v>
                </c:pt>
                <c:pt idx="6">
                  <c:v>2013</c:v>
                </c:pt>
              </c:numCache>
            </c:numRef>
          </c:cat>
          <c:val>
            <c:numRef>
              <c:f>Kelmės!$O$10:$W$10</c:f>
              <c:numCache>
                <c:formatCode>General</c:formatCode>
                <c:ptCount val="7"/>
                <c:pt idx="0">
                  <c:v>184</c:v>
                </c:pt>
                <c:pt idx="1">
                  <c:v>161.6</c:v>
                </c:pt>
                <c:pt idx="2">
                  <c:v>155.4</c:v>
                </c:pt>
                <c:pt idx="3">
                  <c:v>130.9</c:v>
                </c:pt>
                <c:pt idx="4">
                  <c:v>248.4</c:v>
                </c:pt>
                <c:pt idx="5">
                  <c:v>264.60000000000002</c:v>
                </c:pt>
                <c:pt idx="6">
                  <c:v>238.9</c:v>
                </c:pt>
              </c:numCache>
            </c:numRef>
          </c:val>
          <c:smooth val="0"/>
        </c:ser>
        <c:dLbls>
          <c:showLegendKey val="0"/>
          <c:showVal val="1"/>
          <c:showCatName val="0"/>
          <c:showSerName val="0"/>
          <c:showPercent val="0"/>
          <c:showBubbleSize val="0"/>
        </c:dLbls>
        <c:marker val="1"/>
        <c:smooth val="0"/>
        <c:axId val="73860992"/>
        <c:axId val="73880320"/>
      </c:lineChart>
      <c:lineChart>
        <c:grouping val="standard"/>
        <c:varyColors val="0"/>
        <c:ser>
          <c:idx val="5"/>
          <c:order val="5"/>
          <c:tx>
            <c:strRef>
              <c:f>Kelmės!$N$11</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Kelmės!$O$5:$W$5</c:f>
              <c:numCache>
                <c:formatCode>General</c:formatCode>
                <c:ptCount val="7"/>
                <c:pt idx="0">
                  <c:v>2007</c:v>
                </c:pt>
                <c:pt idx="1">
                  <c:v>2008</c:v>
                </c:pt>
                <c:pt idx="2">
                  <c:v>2009</c:v>
                </c:pt>
                <c:pt idx="3">
                  <c:v>2010</c:v>
                </c:pt>
                <c:pt idx="4">
                  <c:v>2011</c:v>
                </c:pt>
                <c:pt idx="5">
                  <c:v>2012</c:v>
                </c:pt>
                <c:pt idx="6">
                  <c:v>2013</c:v>
                </c:pt>
              </c:numCache>
            </c:numRef>
          </c:cat>
          <c:val>
            <c:numRef>
              <c:f>Kelmės!$O$11:$W$11</c:f>
              <c:numCache>
                <c:formatCode>General</c:formatCode>
                <c:ptCount val="7"/>
                <c:pt idx="0">
                  <c:v>438</c:v>
                </c:pt>
                <c:pt idx="1">
                  <c:v>464</c:v>
                </c:pt>
                <c:pt idx="2">
                  <c:v>406</c:v>
                </c:pt>
                <c:pt idx="3">
                  <c:v>533</c:v>
                </c:pt>
                <c:pt idx="4">
                  <c:v>528</c:v>
                </c:pt>
                <c:pt idx="5">
                  <c:v>571</c:v>
                </c:pt>
                <c:pt idx="6">
                  <c:v>567.79999999999995</c:v>
                </c:pt>
              </c:numCache>
            </c:numRef>
          </c:val>
          <c:smooth val="0"/>
          <c:extLst/>
        </c:ser>
        <c:dLbls>
          <c:showLegendKey val="0"/>
          <c:showVal val="1"/>
          <c:showCatName val="0"/>
          <c:showSerName val="0"/>
          <c:showPercent val="0"/>
          <c:showBubbleSize val="0"/>
        </c:dLbls>
        <c:marker val="1"/>
        <c:smooth val="0"/>
        <c:axId val="73888512"/>
        <c:axId val="73882240"/>
      </c:lineChart>
      <c:catAx>
        <c:axId val="7386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880320"/>
        <c:crosses val="autoZero"/>
        <c:auto val="1"/>
        <c:lblAlgn val="ctr"/>
        <c:lblOffset val="100"/>
        <c:noMultiLvlLbl val="0"/>
      </c:catAx>
      <c:valAx>
        <c:axId val="73880320"/>
        <c:scaling>
          <c:orientation val="minMax"/>
          <c:max val="4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Tonos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860992"/>
        <c:crosses val="autoZero"/>
        <c:crossBetween val="between"/>
      </c:valAx>
      <c:valAx>
        <c:axId val="73882240"/>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888512"/>
        <c:crosses val="max"/>
        <c:crossBetween val="between"/>
      </c:valAx>
      <c:catAx>
        <c:axId val="73888512"/>
        <c:scaling>
          <c:orientation val="minMax"/>
        </c:scaling>
        <c:delete val="1"/>
        <c:axPos val="b"/>
        <c:numFmt formatCode="General" sourceLinked="1"/>
        <c:majorTickMark val="out"/>
        <c:minorTickMark val="none"/>
        <c:tickLblPos val="nextTo"/>
        <c:crossAx val="73882240"/>
        <c:crosses val="autoZero"/>
        <c:auto val="1"/>
        <c:lblAlgn val="ctr"/>
        <c:lblOffset val="100"/>
        <c:noMultiLvlLbl val="0"/>
      </c:catAx>
      <c:spPr>
        <a:noFill/>
        <a:ln>
          <a:noFill/>
        </a:ln>
        <a:effectLst/>
      </c:spPr>
    </c:plotArea>
    <c:legend>
      <c:legendPos val="b"/>
      <c:layout>
        <c:manualLayout>
          <c:xMode val="edge"/>
          <c:yMode val="edge"/>
          <c:x val="3.7877526346510267E-2"/>
          <c:y val="0.80398334637592095"/>
          <c:w val="0.92975197171258228"/>
          <c:h val="0.192946203047555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Kelmės!$M$20</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Kelmės!$N$19:$V$19</c:f>
              <c:numCache>
                <c:formatCode>General</c:formatCode>
                <c:ptCount val="7"/>
                <c:pt idx="0">
                  <c:v>2007</c:v>
                </c:pt>
                <c:pt idx="1">
                  <c:v>2008</c:v>
                </c:pt>
                <c:pt idx="2">
                  <c:v>2009</c:v>
                </c:pt>
                <c:pt idx="3">
                  <c:v>2010</c:v>
                </c:pt>
                <c:pt idx="4">
                  <c:v>2011</c:v>
                </c:pt>
                <c:pt idx="5">
                  <c:v>2012</c:v>
                </c:pt>
                <c:pt idx="6">
                  <c:v>2013</c:v>
                </c:pt>
              </c:numCache>
            </c:numRef>
          </c:cat>
          <c:val>
            <c:numRef>
              <c:f>Kelmės!$N$20:$V$20</c:f>
              <c:numCache>
                <c:formatCode>General</c:formatCode>
                <c:ptCount val="7"/>
                <c:pt idx="0">
                  <c:v>36488</c:v>
                </c:pt>
                <c:pt idx="1">
                  <c:v>35602</c:v>
                </c:pt>
                <c:pt idx="2">
                  <c:v>34777</c:v>
                </c:pt>
                <c:pt idx="3">
                  <c:v>33842</c:v>
                </c:pt>
                <c:pt idx="4">
                  <c:v>32566</c:v>
                </c:pt>
                <c:pt idx="5">
                  <c:v>31722</c:v>
                </c:pt>
                <c:pt idx="6">
                  <c:v>31037</c:v>
                </c:pt>
              </c:numCache>
            </c:numRef>
          </c:val>
        </c:ser>
        <c:ser>
          <c:idx val="1"/>
          <c:order val="1"/>
          <c:tx>
            <c:strRef>
              <c:f>Kelmės!$M$21</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Kelmės!$N$19:$V$19</c:f>
              <c:numCache>
                <c:formatCode>General</c:formatCode>
                <c:ptCount val="7"/>
                <c:pt idx="0">
                  <c:v>2007</c:v>
                </c:pt>
                <c:pt idx="1">
                  <c:v>2008</c:v>
                </c:pt>
                <c:pt idx="2">
                  <c:v>2009</c:v>
                </c:pt>
                <c:pt idx="3">
                  <c:v>2010</c:v>
                </c:pt>
                <c:pt idx="4">
                  <c:v>2011</c:v>
                </c:pt>
                <c:pt idx="5">
                  <c:v>2012</c:v>
                </c:pt>
                <c:pt idx="6">
                  <c:v>2013</c:v>
                </c:pt>
              </c:numCache>
            </c:numRef>
          </c:cat>
          <c:val>
            <c:numRef>
              <c:f>Kelmės!$N$21:$V$21</c:f>
              <c:numCache>
                <c:formatCode>General</c:formatCode>
                <c:ptCount val="7"/>
                <c:pt idx="0">
                  <c:v>20972</c:v>
                </c:pt>
                <c:pt idx="1">
                  <c:v>20623</c:v>
                </c:pt>
                <c:pt idx="2">
                  <c:v>20354</c:v>
                </c:pt>
                <c:pt idx="3">
                  <c:v>19865</c:v>
                </c:pt>
                <c:pt idx="4">
                  <c:v>19028</c:v>
                </c:pt>
                <c:pt idx="5">
                  <c:v>18478</c:v>
                </c:pt>
                <c:pt idx="6">
                  <c:v>18216</c:v>
                </c:pt>
              </c:numCache>
            </c:numRef>
          </c:val>
        </c:ser>
        <c:ser>
          <c:idx val="2"/>
          <c:order val="2"/>
          <c:tx>
            <c:strRef>
              <c:f>Kelmės!$M$22</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Kelmės!$N$19:$V$19</c:f>
              <c:numCache>
                <c:formatCode>General</c:formatCode>
                <c:ptCount val="7"/>
                <c:pt idx="0">
                  <c:v>2007</c:v>
                </c:pt>
                <c:pt idx="1">
                  <c:v>2008</c:v>
                </c:pt>
                <c:pt idx="2">
                  <c:v>2009</c:v>
                </c:pt>
                <c:pt idx="3">
                  <c:v>2010</c:v>
                </c:pt>
                <c:pt idx="4">
                  <c:v>2011</c:v>
                </c:pt>
                <c:pt idx="5">
                  <c:v>2012</c:v>
                </c:pt>
                <c:pt idx="6">
                  <c:v>2013</c:v>
                </c:pt>
              </c:numCache>
            </c:numRef>
          </c:cat>
          <c:val>
            <c:numRef>
              <c:f>Kelmės!$N$22:$V$22</c:f>
              <c:numCache>
                <c:formatCode>General</c:formatCode>
                <c:ptCount val="7"/>
                <c:pt idx="0">
                  <c:v>8686</c:v>
                </c:pt>
                <c:pt idx="1">
                  <c:v>8532</c:v>
                </c:pt>
                <c:pt idx="2">
                  <c:v>8415</c:v>
                </c:pt>
                <c:pt idx="3">
                  <c:v>8285</c:v>
                </c:pt>
                <c:pt idx="4">
                  <c:v>8290</c:v>
                </c:pt>
                <c:pt idx="5">
                  <c:v>8289</c:v>
                </c:pt>
                <c:pt idx="6">
                  <c:v>8106</c:v>
                </c:pt>
              </c:numCache>
            </c:numRef>
          </c:val>
        </c:ser>
        <c:dLbls>
          <c:showLegendKey val="0"/>
          <c:showVal val="0"/>
          <c:showCatName val="0"/>
          <c:showSerName val="0"/>
          <c:showPercent val="0"/>
          <c:showBubbleSize val="0"/>
        </c:dLbls>
        <c:gapWidth val="219"/>
        <c:overlap val="-27"/>
        <c:axId val="73946240"/>
        <c:axId val="73947776"/>
      </c:barChart>
      <c:lineChart>
        <c:grouping val="standard"/>
        <c:varyColors val="0"/>
        <c:ser>
          <c:idx val="3"/>
          <c:order val="3"/>
          <c:tx>
            <c:strRef>
              <c:f>Kelmės!$M$23</c:f>
              <c:strCache>
                <c:ptCount val="1"/>
                <c:pt idx="0">
                  <c:v>Registruotų bedarbių ir darbingo amžiaus gyventojų santykis | proc.</c:v>
                </c:pt>
              </c:strCache>
            </c:strRef>
          </c:tx>
          <c:spPr>
            <a:ln w="28575" cap="rnd">
              <a:solidFill>
                <a:srgbClr val="00A1DE"/>
              </a:solidFill>
              <a:round/>
            </a:ln>
            <a:effectLst/>
          </c:spPr>
          <c:marker>
            <c:symbol val="none"/>
          </c:marker>
          <c:cat>
            <c:numRef>
              <c:f>Kelmės!$N$19:$V$19</c:f>
              <c:numCache>
                <c:formatCode>General</c:formatCode>
                <c:ptCount val="7"/>
                <c:pt idx="0">
                  <c:v>2007</c:v>
                </c:pt>
                <c:pt idx="1">
                  <c:v>2008</c:v>
                </c:pt>
                <c:pt idx="2">
                  <c:v>2009</c:v>
                </c:pt>
                <c:pt idx="3">
                  <c:v>2010</c:v>
                </c:pt>
                <c:pt idx="4">
                  <c:v>2011</c:v>
                </c:pt>
                <c:pt idx="5">
                  <c:v>2012</c:v>
                </c:pt>
                <c:pt idx="6">
                  <c:v>2013</c:v>
                </c:pt>
              </c:numCache>
            </c:numRef>
          </c:cat>
          <c:val>
            <c:numRef>
              <c:f>Kelmės!$N$23:$V$23</c:f>
              <c:numCache>
                <c:formatCode>General</c:formatCode>
                <c:ptCount val="7"/>
                <c:pt idx="0">
                  <c:v>5.3</c:v>
                </c:pt>
                <c:pt idx="1">
                  <c:v>6.1</c:v>
                </c:pt>
                <c:pt idx="2">
                  <c:v>12.7</c:v>
                </c:pt>
                <c:pt idx="3">
                  <c:v>20.6</c:v>
                </c:pt>
                <c:pt idx="4">
                  <c:v>17.899999999999999</c:v>
                </c:pt>
                <c:pt idx="5">
                  <c:v>17.600000000000001</c:v>
                </c:pt>
                <c:pt idx="6">
                  <c:v>17.399999999999999</c:v>
                </c:pt>
              </c:numCache>
            </c:numRef>
          </c:val>
          <c:smooth val="0"/>
        </c:ser>
        <c:dLbls>
          <c:showLegendKey val="0"/>
          <c:showVal val="0"/>
          <c:showCatName val="0"/>
          <c:showSerName val="0"/>
          <c:showPercent val="0"/>
          <c:showBubbleSize val="0"/>
        </c:dLbls>
        <c:marker val="1"/>
        <c:smooth val="0"/>
        <c:axId val="73955200"/>
        <c:axId val="73953664"/>
      </c:lineChart>
      <c:catAx>
        <c:axId val="7394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947776"/>
        <c:crosses val="autoZero"/>
        <c:auto val="1"/>
        <c:lblAlgn val="ctr"/>
        <c:lblOffset val="100"/>
        <c:noMultiLvlLbl val="0"/>
      </c:catAx>
      <c:valAx>
        <c:axId val="73947776"/>
        <c:scaling>
          <c:orientation val="minMax"/>
          <c:max val="4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946240"/>
        <c:crosses val="autoZero"/>
        <c:crossBetween val="between"/>
      </c:valAx>
      <c:valAx>
        <c:axId val="73953664"/>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955200"/>
        <c:crosses val="max"/>
        <c:crossBetween val="between"/>
      </c:valAx>
      <c:catAx>
        <c:axId val="73955200"/>
        <c:scaling>
          <c:orientation val="minMax"/>
        </c:scaling>
        <c:delete val="1"/>
        <c:axPos val="b"/>
        <c:numFmt formatCode="General" sourceLinked="1"/>
        <c:majorTickMark val="out"/>
        <c:minorTickMark val="none"/>
        <c:tickLblPos val="nextTo"/>
        <c:crossAx val="73953664"/>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Kelmės!$L$44</c:f>
              <c:strCache>
                <c:ptCount val="1"/>
                <c:pt idx="0">
                  <c:v>Pridėtinė vertė gamybos kainomis pagal veiklos vykdymo vietą | tūkst. EUR</c:v>
                </c:pt>
              </c:strCache>
            </c:strRef>
          </c:tx>
          <c:spPr>
            <a:solidFill>
              <a:srgbClr val="81BC00"/>
            </a:solidFill>
            <a:ln>
              <a:noFill/>
            </a:ln>
            <a:effectLst/>
          </c:spPr>
          <c:invertIfNegative val="0"/>
          <c:dLbls>
            <c:dLbl>
              <c:idx val="5"/>
              <c:layout>
                <c:manualLayout>
                  <c:x val="-5.8097312999273783E-3"/>
                  <c:y val="0"/>
                </c:manualLayout>
              </c:layout>
              <c:showLegendKey val="0"/>
              <c:showVal val="1"/>
              <c:showCatName val="0"/>
              <c:showSerName val="0"/>
              <c:showPercent val="0"/>
              <c:showBubbleSize val="0"/>
              <c:extLst>
                <c:ext xmlns:c15="http://schemas.microsoft.com/office/drawing/2012/chart" uri="{CE6537A1-D6FC-4f65-9D91-7224C49458BB}">
                  <c15:layout>
                    <c:manualLayout>
                      <c:w val="6.1583151779230211E-2"/>
                      <c:h val="4.998808700110743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Kelmės!$M$42:$U$42</c:f>
              <c:numCache>
                <c:formatCode>General</c:formatCode>
                <c:ptCount val="7"/>
                <c:pt idx="0">
                  <c:v>2007</c:v>
                </c:pt>
                <c:pt idx="1">
                  <c:v>2008</c:v>
                </c:pt>
                <c:pt idx="2">
                  <c:v>2009</c:v>
                </c:pt>
                <c:pt idx="3">
                  <c:v>2010</c:v>
                </c:pt>
                <c:pt idx="4">
                  <c:v>2011</c:v>
                </c:pt>
                <c:pt idx="5">
                  <c:v>2012</c:v>
                </c:pt>
                <c:pt idx="6">
                  <c:v>2013</c:v>
                </c:pt>
              </c:numCache>
            </c:numRef>
          </c:cat>
          <c:val>
            <c:numRef>
              <c:f>Kelmės!$M$44:$U$44</c:f>
              <c:numCache>
                <c:formatCode>General</c:formatCode>
                <c:ptCount val="7"/>
                <c:pt idx="0">
                  <c:v>32520</c:v>
                </c:pt>
                <c:pt idx="1">
                  <c:v>31183</c:v>
                </c:pt>
                <c:pt idx="2">
                  <c:v>26671</c:v>
                </c:pt>
                <c:pt idx="3">
                  <c:v>26706</c:v>
                </c:pt>
                <c:pt idx="4">
                  <c:v>33327</c:v>
                </c:pt>
                <c:pt idx="5">
                  <c:v>33439</c:v>
                </c:pt>
                <c:pt idx="6">
                  <c:v>39608</c:v>
                </c:pt>
              </c:numCache>
            </c:numRef>
          </c:val>
        </c:ser>
        <c:ser>
          <c:idx val="2"/>
          <c:order val="2"/>
          <c:tx>
            <c:strRef>
              <c:f>Kelmės!$L$45</c:f>
              <c:strCache>
                <c:ptCount val="1"/>
                <c:pt idx="0">
                  <c:v>Materialinės investicijos to meto kainomis | tūkst. EUR</c:v>
                </c:pt>
              </c:strCache>
            </c:strRef>
          </c:tx>
          <c:spPr>
            <a:solidFill>
              <a:srgbClr val="B4B4B4"/>
            </a:solidFill>
            <a:ln>
              <a:noFill/>
            </a:ln>
            <a:effectLst/>
          </c:spPr>
          <c:invertIfNegative val="0"/>
          <c:dLbls>
            <c:dLbl>
              <c:idx val="2"/>
              <c:layout>
                <c:manualLayout>
                  <c:x val="0"/>
                  <c:y val="2.904865649963680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9.6828854998789633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4524328249818339E-2"/>
                  <c:y val="2.4207213749697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Kelmės!$M$42:$U$42</c:f>
              <c:numCache>
                <c:formatCode>General</c:formatCode>
                <c:ptCount val="7"/>
                <c:pt idx="0">
                  <c:v>2007</c:v>
                </c:pt>
                <c:pt idx="1">
                  <c:v>2008</c:v>
                </c:pt>
                <c:pt idx="2">
                  <c:v>2009</c:v>
                </c:pt>
                <c:pt idx="3">
                  <c:v>2010</c:v>
                </c:pt>
                <c:pt idx="4">
                  <c:v>2011</c:v>
                </c:pt>
                <c:pt idx="5">
                  <c:v>2012</c:v>
                </c:pt>
                <c:pt idx="6">
                  <c:v>2013</c:v>
                </c:pt>
              </c:numCache>
            </c:numRef>
          </c:cat>
          <c:val>
            <c:numRef>
              <c:f>Kelmės!$M$45:$U$45</c:f>
              <c:numCache>
                <c:formatCode>General</c:formatCode>
                <c:ptCount val="7"/>
                <c:pt idx="0">
                  <c:v>20951</c:v>
                </c:pt>
                <c:pt idx="1">
                  <c:v>20648</c:v>
                </c:pt>
                <c:pt idx="2">
                  <c:v>11690</c:v>
                </c:pt>
                <c:pt idx="3">
                  <c:v>11415</c:v>
                </c:pt>
                <c:pt idx="4">
                  <c:v>26407</c:v>
                </c:pt>
                <c:pt idx="5">
                  <c:v>24130</c:v>
                </c:pt>
                <c:pt idx="6">
                  <c:v>16828</c:v>
                </c:pt>
              </c:numCache>
            </c:numRef>
          </c:val>
        </c:ser>
        <c:dLbls>
          <c:showLegendKey val="0"/>
          <c:showVal val="0"/>
          <c:showCatName val="0"/>
          <c:showSerName val="0"/>
          <c:showPercent val="0"/>
          <c:showBubbleSize val="0"/>
        </c:dLbls>
        <c:gapWidth val="219"/>
        <c:overlap val="-27"/>
        <c:axId val="74012544"/>
        <c:axId val="74014080"/>
      </c:barChart>
      <c:lineChart>
        <c:grouping val="standard"/>
        <c:varyColors val="0"/>
        <c:ser>
          <c:idx val="0"/>
          <c:order val="0"/>
          <c:tx>
            <c:strRef>
              <c:f>Kelmės!$L$43</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dLbl>
              <c:idx val="2"/>
              <c:layout>
                <c:manualLayout>
                  <c:x val="-2.0334059549745823E-2"/>
                  <c:y val="-5.3255870249334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42072137496974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0651051008016726E-16"/>
                  <c:y val="-4.84144274993948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Kelmės!$M$42:$U$42</c:f>
              <c:numCache>
                <c:formatCode>General</c:formatCode>
                <c:ptCount val="7"/>
                <c:pt idx="0">
                  <c:v>2007</c:v>
                </c:pt>
                <c:pt idx="1">
                  <c:v>2008</c:v>
                </c:pt>
                <c:pt idx="2">
                  <c:v>2009</c:v>
                </c:pt>
                <c:pt idx="3">
                  <c:v>2010</c:v>
                </c:pt>
                <c:pt idx="4">
                  <c:v>2011</c:v>
                </c:pt>
                <c:pt idx="5">
                  <c:v>2012</c:v>
                </c:pt>
                <c:pt idx="6">
                  <c:v>2013</c:v>
                </c:pt>
              </c:numCache>
            </c:numRef>
          </c:cat>
          <c:val>
            <c:numRef>
              <c:f>Kelmės!$M$43:$U$43</c:f>
              <c:numCache>
                <c:formatCode>General</c:formatCode>
                <c:ptCount val="7"/>
                <c:pt idx="0">
                  <c:v>66</c:v>
                </c:pt>
                <c:pt idx="1">
                  <c:v>92</c:v>
                </c:pt>
                <c:pt idx="2">
                  <c:v>98</c:v>
                </c:pt>
                <c:pt idx="3">
                  <c:v>90</c:v>
                </c:pt>
                <c:pt idx="4">
                  <c:v>78</c:v>
                </c:pt>
                <c:pt idx="5">
                  <c:v>103</c:v>
                </c:pt>
                <c:pt idx="6">
                  <c:v>14</c:v>
                </c:pt>
              </c:numCache>
            </c:numRef>
          </c:val>
          <c:smooth val="0"/>
          <c:extLst/>
        </c:ser>
        <c:dLbls>
          <c:showLegendKey val="0"/>
          <c:showVal val="0"/>
          <c:showCatName val="0"/>
          <c:showSerName val="0"/>
          <c:showPercent val="0"/>
          <c:showBubbleSize val="0"/>
        </c:dLbls>
        <c:marker val="1"/>
        <c:smooth val="0"/>
        <c:axId val="74042752"/>
        <c:axId val="74040832"/>
      </c:lineChart>
      <c:catAx>
        <c:axId val="7401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014080"/>
        <c:crosses val="autoZero"/>
        <c:auto val="1"/>
        <c:lblAlgn val="ctr"/>
        <c:lblOffset val="100"/>
        <c:noMultiLvlLbl val="0"/>
      </c:catAx>
      <c:valAx>
        <c:axId val="74014080"/>
        <c:scaling>
          <c:orientation val="minMax"/>
          <c:max val="4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8.2873541066776062E-3"/>
              <c:y val="0.660613153219464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012544"/>
        <c:crosses val="autoZero"/>
        <c:crossBetween val="between"/>
      </c:valAx>
      <c:valAx>
        <c:axId val="74040832"/>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484777152830537"/>
              <c:y val="0.6398491721603187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042752"/>
        <c:crosses val="max"/>
        <c:crossBetween val="between"/>
      </c:valAx>
      <c:catAx>
        <c:axId val="74042752"/>
        <c:scaling>
          <c:orientation val="minMax"/>
        </c:scaling>
        <c:delete val="1"/>
        <c:axPos val="b"/>
        <c:numFmt formatCode="General" sourceLinked="1"/>
        <c:majorTickMark val="out"/>
        <c:minorTickMark val="none"/>
        <c:tickLblPos val="nextTo"/>
        <c:crossAx val="74040832"/>
        <c:crosses val="autoZero"/>
        <c:auto val="1"/>
        <c:lblAlgn val="ctr"/>
        <c:lblOffset val="100"/>
        <c:noMultiLvlLbl val="0"/>
      </c:catAx>
      <c:spPr>
        <a:noFill/>
        <a:ln>
          <a:noFill/>
        </a:ln>
        <a:effectLst/>
      </c:spPr>
    </c:plotArea>
    <c:legend>
      <c:legendPos val="b"/>
      <c:layout>
        <c:manualLayout>
          <c:xMode val="edge"/>
          <c:yMode val="edge"/>
          <c:x val="1.0114922327263047E-2"/>
          <c:y val="0.80949153286035413"/>
          <c:w val="0.97973972003499565"/>
          <c:h val="0.1867490522018081"/>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0346-2F86-479F-9828-DB894326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74</cp:revision>
  <cp:lastPrinted>2016-03-02T08:05:00Z</cp:lastPrinted>
  <dcterms:created xsi:type="dcterms:W3CDTF">2016-03-01T20:52:00Z</dcterms:created>
  <dcterms:modified xsi:type="dcterms:W3CDTF">2016-06-02T20:30:00Z</dcterms:modified>
</cp:coreProperties>
</file>