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7BB" w:rsidRPr="00CF2C00" w:rsidRDefault="00CF323C" w:rsidP="0080175F">
      <w:pPr>
        <w:pStyle w:val="001-lineSectionheading"/>
        <w:spacing w:after="240"/>
        <w:outlineLvl w:val="0"/>
        <w:rPr>
          <w:noProof w:val="0"/>
          <w:sz w:val="52"/>
        </w:rPr>
      </w:pPr>
      <w:r>
        <w:rPr>
          <w:noProof w:val="0"/>
          <w:sz w:val="52"/>
        </w:rPr>
        <w:t>Lazdijų</w:t>
      </w:r>
      <w:r w:rsidR="00F02104" w:rsidRPr="00CF2C00">
        <w:rPr>
          <w:noProof w:val="0"/>
          <w:sz w:val="52"/>
        </w:rPr>
        <w:t xml:space="preserve"> rajono</w:t>
      </w:r>
      <w:r w:rsidR="005577BB" w:rsidRPr="00CF2C00">
        <w:rPr>
          <w:noProof w:val="0"/>
          <w:sz w:val="52"/>
        </w:rPr>
        <w:t xml:space="preserve"> savivaldybės analizė</w:t>
      </w:r>
    </w:p>
    <w:p w:rsidR="00C849C4" w:rsidRPr="00CF2C00" w:rsidRDefault="00C849C4" w:rsidP="002B4036">
      <w:pPr>
        <w:pStyle w:val="Deloittebodytext"/>
        <w:spacing w:line="240" w:lineRule="auto"/>
        <w:jc w:val="both"/>
        <w:rPr>
          <w:lang w:val="lt-LT"/>
        </w:rPr>
      </w:pPr>
      <w:r w:rsidRPr="00CF2C00">
        <w:rPr>
          <w:lang w:val="lt-LT"/>
        </w:rPr>
        <w:t>Toliau pateikiama vien</w:t>
      </w:r>
      <w:r w:rsidR="00955E14" w:rsidRPr="00CF2C00">
        <w:rPr>
          <w:lang w:val="lt-LT"/>
        </w:rPr>
        <w:t xml:space="preserve">os iš </w:t>
      </w:r>
      <w:r w:rsidR="00E12034" w:rsidRPr="00CF2C00">
        <w:rPr>
          <w:lang w:val="lt-LT"/>
        </w:rPr>
        <w:t>p</w:t>
      </w:r>
      <w:r w:rsidR="00CF323C">
        <w:rPr>
          <w:lang w:val="lt-LT"/>
        </w:rPr>
        <w:t>robleminių teritorijų – Lazdijų</w:t>
      </w:r>
      <w:r w:rsidRPr="00CF2C00">
        <w:rPr>
          <w:lang w:val="lt-LT"/>
        </w:rPr>
        <w:t xml:space="preserve"> rajono savivaldybės – atvejo stud</w:t>
      </w:r>
      <w:r w:rsidR="001F2140" w:rsidRPr="00CF2C00">
        <w:rPr>
          <w:lang w:val="lt-LT"/>
        </w:rPr>
        <w:t>ija. Pirma, yra pristatoma ES struktūrinių fondų</w:t>
      </w:r>
      <w:r w:rsidRPr="00CF2C00">
        <w:rPr>
          <w:lang w:val="lt-LT"/>
        </w:rPr>
        <w:t xml:space="preserve"> finansavimo apžvalga, aptariamos pagrindinės i</w:t>
      </w:r>
      <w:r w:rsidR="002E30F9" w:rsidRPr="00CF2C00">
        <w:rPr>
          <w:lang w:val="lt-LT"/>
        </w:rPr>
        <w:t xml:space="preserve">nvesticinės kryptys. Vėliau </w:t>
      </w:r>
      <w:r w:rsidR="002B4036" w:rsidRPr="00CF2C00">
        <w:rPr>
          <w:lang w:val="lt-LT"/>
        </w:rPr>
        <w:t>pristatoma socio-ekonominių ir aplinkos rodiklių kaita</w:t>
      </w:r>
      <w:r w:rsidR="00BC4ECE" w:rsidRPr="00CF2C00">
        <w:rPr>
          <w:lang w:val="lt-LT"/>
        </w:rPr>
        <w:t xml:space="preserve"> 2007 – 2013 m. laikotarpiu</w:t>
      </w:r>
      <w:r w:rsidR="002B4036" w:rsidRPr="00CF2C00">
        <w:rPr>
          <w:lang w:val="lt-LT"/>
        </w:rPr>
        <w:t xml:space="preserve">. Atvejo </w:t>
      </w:r>
      <w:r w:rsidR="002E30F9" w:rsidRPr="00CF2C00">
        <w:rPr>
          <w:lang w:val="lt-LT"/>
        </w:rPr>
        <w:t>studiją apibendrina</w:t>
      </w:r>
      <w:r w:rsidR="00FB33DD">
        <w:rPr>
          <w:lang w:val="lt-LT"/>
        </w:rPr>
        <w:t xml:space="preserve"> 2007 – 2013 m.</w:t>
      </w:r>
      <w:r w:rsidR="002E30F9" w:rsidRPr="00CF2C00">
        <w:rPr>
          <w:lang w:val="lt-LT"/>
        </w:rPr>
        <w:t xml:space="preserve"> ES</w:t>
      </w:r>
      <w:r w:rsidR="00FB33DD">
        <w:rPr>
          <w:lang w:val="lt-LT"/>
        </w:rPr>
        <w:t xml:space="preserve"> struktūrinės</w:t>
      </w:r>
      <w:r w:rsidR="002E30F9" w:rsidRPr="00CF2C00">
        <w:rPr>
          <w:lang w:val="lt-LT"/>
        </w:rPr>
        <w:t xml:space="preserve"> paramos poveikio darniam vystymuisi vertinimas</w:t>
      </w:r>
      <w:r w:rsidR="00FB33DD">
        <w:rPr>
          <w:lang w:val="lt-LT"/>
        </w:rPr>
        <w:t>; 1.3. dalyje yra pateikiami gerosios praktikos projektų pavyzdžiai.</w:t>
      </w:r>
    </w:p>
    <w:p w:rsidR="005577BB" w:rsidRPr="00CF2C00" w:rsidRDefault="0080175F" w:rsidP="0080175F">
      <w:pPr>
        <w:pStyle w:val="Heading1"/>
        <w:numPr>
          <w:ilvl w:val="1"/>
          <w:numId w:val="1"/>
        </w:numPr>
        <w:spacing w:before="360"/>
        <w:ind w:left="630" w:hanging="630"/>
        <w:rPr>
          <w:rFonts w:ascii="Arial" w:hAnsi="Arial" w:cs="Arial"/>
          <w:b w:val="0"/>
          <w:sz w:val="28"/>
          <w:szCs w:val="28"/>
        </w:rPr>
      </w:pPr>
      <w:r w:rsidRPr="00CF2C00">
        <w:rPr>
          <w:rFonts w:ascii="Arial" w:hAnsi="Arial" w:cs="Arial"/>
          <w:b w:val="0"/>
          <w:noProof/>
          <w:sz w:val="28"/>
          <w:szCs w:val="28"/>
          <w:lang w:val="en-US"/>
        </w:rPr>
        <mc:AlternateContent>
          <mc:Choice Requires="wpg">
            <w:drawing>
              <wp:anchor distT="0" distB="0" distL="114300" distR="114300" simplePos="0" relativeHeight="251670528" behindDoc="0" locked="0" layoutInCell="1" allowOverlap="1" wp14:anchorId="4BB10F47" wp14:editId="62A404F0">
                <wp:simplePos x="0" y="0"/>
                <wp:positionH relativeFrom="margin">
                  <wp:posOffset>3761105</wp:posOffset>
                </wp:positionH>
                <wp:positionV relativeFrom="paragraph">
                  <wp:posOffset>222885</wp:posOffset>
                </wp:positionV>
                <wp:extent cx="1371600" cy="1290320"/>
                <wp:effectExtent l="0" t="0" r="0" b="5080"/>
                <wp:wrapSquare wrapText="bothSides"/>
                <wp:docPr id="14" name="Group 14"/>
                <wp:cNvGraphicFramePr/>
                <a:graphic xmlns:a="http://schemas.openxmlformats.org/drawingml/2006/main">
                  <a:graphicData uri="http://schemas.microsoft.com/office/word/2010/wordprocessingGroup">
                    <wpg:wgp>
                      <wpg:cNvGrpSpPr/>
                      <wpg:grpSpPr>
                        <a:xfrm>
                          <a:off x="0" y="0"/>
                          <a:ext cx="1371600" cy="1290320"/>
                          <a:chOff x="0" y="47361"/>
                          <a:chExt cx="923925" cy="995045"/>
                        </a:xfrm>
                      </wpg:grpSpPr>
                      <wpg:graphicFrame>
                        <wpg:cNvPr id="8" name="Chart 8"/>
                        <wpg:cNvFrPr/>
                        <wpg:xfrm>
                          <a:off x="0" y="47361"/>
                          <a:ext cx="923925" cy="995045"/>
                        </wpg:xfrm>
                        <a:graphic>
                          <a:graphicData uri="http://schemas.openxmlformats.org/drawingml/2006/chart">
                            <c:chart xmlns:c="http://schemas.openxmlformats.org/drawingml/2006/chart" xmlns:r="http://schemas.openxmlformats.org/officeDocument/2006/relationships" r:id="rId9"/>
                          </a:graphicData>
                        </a:graphic>
                      </wpg:graphicFrame>
                      <wps:wsp>
                        <wps:cNvPr id="30" name="TextBox 29"/>
                        <wps:cNvSpPr txBox="1"/>
                        <wps:spPr>
                          <a:xfrm>
                            <a:off x="95657" y="526457"/>
                            <a:ext cx="795020" cy="344170"/>
                          </a:xfrm>
                          <a:prstGeom prst="rect">
                            <a:avLst/>
                          </a:prstGeom>
                          <a:noFill/>
                        </wps:spPr>
                        <wps:txbx>
                          <w:txbxContent>
                            <w:p w:rsidR="00F73ED6" w:rsidRPr="00FB33DD" w:rsidRDefault="00CF323C" w:rsidP="00F73ED6">
                              <w:pPr>
                                <w:pStyle w:val="NormalWeb"/>
                                <w:spacing w:before="0" w:beforeAutospacing="0" w:after="0" w:afterAutospacing="0"/>
                                <w:jc w:val="center"/>
                                <w:rPr>
                                  <w:rFonts w:ascii="Arial" w:hAnsi="Arial" w:cs="Arial"/>
                                  <w:sz w:val="6"/>
                                </w:rPr>
                              </w:pPr>
                              <w:r w:rsidRPr="00FB33DD">
                                <w:rPr>
                                  <w:rFonts w:ascii="Arial" w:hAnsi="Arial" w:cs="Arial"/>
                                  <w:color w:val="FFFFFF"/>
                                  <w:kern w:val="24"/>
                                  <w:sz w:val="32"/>
                                  <w:szCs w:val="144"/>
                                  <w:lang w:val="nl-NL"/>
                                </w:rPr>
                                <w:t>3.2</w:t>
                              </w:r>
                              <w:r w:rsidR="00ED3673" w:rsidRPr="00FB33DD">
                                <w:rPr>
                                  <w:rFonts w:ascii="Arial" w:hAnsi="Arial" w:cs="Arial"/>
                                  <w:color w:val="FFFFFF"/>
                                  <w:kern w:val="24"/>
                                  <w:sz w:val="32"/>
                                  <w:szCs w:val="144"/>
                                  <w:lang w:val="nl-NL"/>
                                </w:rPr>
                                <w:t>7</w:t>
                              </w:r>
                              <w:r w:rsidR="0080175F" w:rsidRPr="00FB33DD">
                                <w:rPr>
                                  <w:rFonts w:ascii="Arial" w:hAnsi="Arial" w:cs="Arial"/>
                                  <w:color w:val="FFFFFF"/>
                                  <w:kern w:val="24"/>
                                  <w:sz w:val="32"/>
                                  <w:szCs w:val="144"/>
                                  <w:lang w:val="nl-NL"/>
                                </w:rPr>
                                <w:t xml:space="preserve"> %</w:t>
                              </w:r>
                            </w:p>
                          </w:txbxContent>
                        </wps:txbx>
                        <wps:bodyPr wrap="square" lIns="35999" tIns="35999" rIns="35999" bIns="35999" rtlCol="0">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left:0;text-align:left;margin-left:296.15pt;margin-top:17.55pt;width:108pt;height:101.6pt;z-index:251670528;mso-position-horizontal-relative:margin;mso-width-relative:margin;mso-height-relative:margin" coordorigin=",473" coordsize="9239,9950" o:gfxdata="UEsDBBQABgAIAAAAIQALya1QRwEAAEsDAAATAAAAW0NvbnRlbnRfVHlwZXNdLnhtbKSTy07DMBRE&#10;90j8g+UtStx2gRBq2gUpS0CofIBl3zxE/JCvm7Z/z43bIhX1JbGJFdszZyZ2pvON6VgPAVtnCz7O&#10;R5yBVU63ti741/I1e+IMo7Rads5CwbeAfD67v5sutx6QkdpiwZsY/bMQqBowEnPnwdJK5YKRkV5D&#10;LbxU37IGMRmNHoVyNoKNWRw8+GxaQiVXXWSLDU3vkgTokLOX3caBVXDpfdcqGSmp6K3+Q8n2hJyU&#10;aQ82rccHisHFScKwch5wQdfh5oLwRDJXVa0C7dTKUOscfQCpsQGIpsvTOER8p1MIrQb2IUN8k4Ya&#10;Cx1QwMSVTuWX4w5Ug9mOlJcBF0l1qH/OWzXEQpGG8Q2I44Pd436L6SDXdG+oVDK8Bo90WUCk5yHf&#10;/zMc2V1LoN3aBuhvKH70bUuSfUJ/cBfpV5j9AAAA//8DAFBLAwQUAAYACAAAACEAOP0h/9YAAACU&#10;AQAACwAAAF9yZWxzLy5yZWxzpJDBasMwDIbvg72D0X1xmsMYo04vo9Br6R7A2IpjGltGMtn69jOD&#10;wTJ621G/0PeJf3/4TItakSVSNrDrelCYHfmYg4H3y/HpBZRUm71dKKOBGwocxseH/RkXW9uRzLGI&#10;apQsBuZay6vW4mZMVjoqmNtmIk62tpGDLtZdbUA99P2z5t8MGDdMdfIG+OQHUJdbaeY/7BQdk9BU&#10;O0dJ0zRFd4+qPX3kM66NYjlgNeBZvkPGtWvPgb7v3f3TG9iWOboj24Rv5LZ+HKhlP3q96XL8AgAA&#10;//8DAFBLAwQUAAYACAAAACEAiC2+mpICAAA5BgAADgAAAGRycy9lMm9Eb2MueG1snFTLbtswELwX&#10;6D8QvNd6WXYkxA7auA4CFG2ApB9AU9QDkER2SUfK33dJybIbu2iai8RdUcuZneFe3/RNTZ4F6Eq2&#10;KxrMfEpEy2VWtcWK/nzafrqiRBvWZqyWrVjRF6Hpzfrjh+tOpSKUpawzAQSLtDrt1IqWxqjU8zQv&#10;RcP0TCrR4sdcQsMMhlB4GbAOqze1F/r+wuskZAokF1pjdjN8pGtXP88FNz/yXAtD6hVFbMY9wT13&#10;9umtr1laAFNlxUcY7B0oGla1eOhUasMMI3uozko1FQepZW5mXDaezPOKC8cB2QT+KzZ3IPfKcSnS&#10;rlBTm7C1r/r07rL8+/MDkCpD7eaUtKxBjdyxBGNsTqeKFPfcgXpUDzAmiiGyfPscGvtGJqR3bX2Z&#10;2ip6Qzgmg2gZLHzsPsdvQZj4UTg2npeozvG/+TJaBIMkvPw6/p2EURLGw89JEvvz2O7wDkd7FuEE&#10;aAicmltAMhOBkSS6ceB4WzIw5OqE4hYmfhdJnYA7EPsLNAviUGK01lus8W+vcwsa/cBTtxr9wM/c&#10;8NZKYwG8Dq/sdKHAYNWN5PtGtGa4eyBqZvDi67JSmhJIrY/gPnMaokIjeXsZnGJTM0bR/tQJB4A+&#10;elyfgfovjz+WTAl3dbT17yh/hCYc9H9CDb/InoTJYAG3y1qcmB7z6NNDXmPygtOTeBEvKUFHx+Fi&#10;jks3SQ7OWKJR0eTO8dF8Hiyd4SfTslSBNndCNsQusGk4qBAtS9nzN20Gfx+22HQrt1Vd23yndDpA&#10;sivT73rM2uVOZi8Iv8NZtqL6156BoKS+b7GRUZwkCQ6/0wBOg91pAKa+lW5cDid/3huZVw7U8ZwR&#10;CSrmVm4+nWp8UfPjxF//BgAA//8DAFBLAwQUAAYACAAAACEABq/9ufUAAADiAQAAIAAAAGRycy9j&#10;aGFydHMvX3JlbHMvY2hhcnQxLnhtbC5yZWxzrJHBSgMxEIbvgu8Q5u5mtwcVabaXKvQgBal4XNJk&#10;djdskglJlO3bmxYEFwpePIaffP83M+vN7Cz7wpgMeQFNVQNDr0gbPwh4P7zcPQJLWXotLXkUcMIE&#10;m/b2Zv2GVubyKY0mJFYoPgkYcw5PnCc1opOpooC+JD1FJ3N5xoEHqSY5IF/V9T2PvxnQLphspwXE&#10;nV4BO5xCaf6bTX1vFG5JfTr0+UrFT3tByjhgFlBVHN0R9XnexF+NipSoz93+guqeZ4W2K64P3QfF&#10;6Ug0NdVs0wz8um3zn7a5bBH35TjRaFw4XxK+yIuXs2ctvrhM+w0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F59osjfAAAACgEAAA8AAABkcnMvZG93bnJldi54bWxMj01Lw0AQhu+C/2EZ&#10;wZvdfBCJMZNSinoqgq0g3rbZaRKa3Q3ZbZL+e8eT3ubj4Z1nyvViejHR6DtnEeJVBIJs7XRnG4TP&#10;w+tDDsIHZbXqnSWEK3lYV7c3pSq0m+0HTfvQCA6xvlAIbQhDIaWvWzLKr9xAlncnNxoVuB0bqUc1&#10;c7jpZRJFj9KozvKFVg20bak+7y8G4W1W8yaNX6bd+bS9fh+y969dTIj3d8vmGUSgJfzB8KvP6lCx&#10;09FdrPaiR8iekpRRhDSLQTCQRzkPjghJyoWsSvn/heoHAAD//wMAUEsDBBQABgAIAAAAIQBzcmRd&#10;NgQAAKAQAAAcAAAAZHJzL3RoZW1lL3RoZW1lT3ZlcnJpZGUxLnhtbORYS2/jNhC+F+h/IHTftWTH&#10;cWxEWQT2Gj202CJJ0TMtUY+GogSSSZp/35mhJIuWgzzW6B7Wh1gafpz3y7n88m8l2aPQpqxVHESf&#10;w4AJldRpqfI4+Otu++kiYMZylXJZKxEHz8IEX65+/eWSr2whKvEN7uoyFQz4KLPicVBY26wmE5PA&#10;MTef60YoOMtqXXELrzqfpJo/Af9KTqZheD6peKmCK2CYSH2LtwRTvAJZ6wdj64pFdJjeR4gxOt+t&#10;pWaPXMZBGE4Xi/NgcnU54asWIO0Yt6VPi2sB6f30NX4EkHaMO+BHAJ4kQh2RHYbX0eZrK3sAco9j&#10;3svp5iwMPfyA/2yk82K6XnxdeHgCOf5nI/xsfXE99fUhkMPPR3jPxwOQezwf4dfLzSacefoQqJCl&#10;uh+hPe/0kKyWvx2Fe8buURD9PndQRFYr+3ImVfyfWm8BglDJbamYfW5ExhPIuWtdcona85XgA7oj&#10;JeaABJI9dlWpTsp7zw4k7c0iIyvfxm9ZViYioKNSylv7LMXvhow0tSzTLRDxkApT9DXUFPDYhsvD&#10;5ZrTHaZr+3dpi9uCN+AgV425aVnnhjW1gVIkwUd5o1BwsnU1Ow/h47xpuP2jTh15huQu7Xs2VNi5&#10;QQ6doBkyeKuw2aJlCmZ/RFiESr1ZWkSqUe540nqTIYZj04DYexOSnnHsvNE5tEYUzUzCpUjR767N&#10;dWEhn5wyRKbg0Mapr87R7nGMIgpSlyvUqSF3jsToglR/MdnoYC9tiWy/Q9pbgjQwbgnt9ai4Lnrf&#10;E6Uug/dRwro9KEephsUpFXuKg+V8Og9Ywps4yKAnwWPVQNSNygPGZQ6zObHapf2rxXzo384wvwii&#10;sKOPDPb6QKON3XBTuNSgozYFpEJJTv/pHKfWiQxwmf4BLWYXkAw/TAvwox9akWUiscNgDyjoO/fa&#10;ttL6wQp9W6RPbCcf9A2H8GOqgj1paWwcUEfAFx0H6G068ptz26r8HYmAKI3LpuBtu8US7SrZwamO&#10;ex3obaAe2HZUdzLu/aZQyZ/IlGEa/2Sm4DwRSsxSjEACS7PmDOs1Dmptixq6UFOUyVbDskO9A7KF&#10;QXfBcc1gn6dvLR7x29Wc44HcZJkX9qbMmS5hHtlCC/EntCXKvleYRe3sciw7RpRRA3VN49TeiUch&#10;77AHnuNsD1gBqU7dpG0DhDvMP/+9raBdjkvOsN68HtLPXlcD//fm44oZjPL7MC00nf97FY9MVXef&#10;rnezd2gIHuzXrLOuKkDYYNQu27L/oArvHLWuY40sns475SCKY4uB2C9EDbcFwz8w/0qdyP1+e1ff&#10;QG9l8CsQmUHaQFZ/cosHwwbpiDtYnBzRJROycq5tVyf0WjesT7zp9nIPnI2avSXe73R2v5z54rxa&#10;PKWzWw97vna0F10NkT0sUSBl3Q8ZCoz3X4Wr/wAAAP//AwBQSwMEFAAGAAgAAAAhAB/dgzVGBAAA&#10;iQsAABUAAABkcnMvY2hhcnRzL2NoYXJ0MS54bWysVtty2zgMfd+Z/QdV49dEknPZVBO548tmu7NJ&#10;44mbvlMSbGtMkVqSdux+/QIkJdtJm3bb5iGGQBA8BwQBXL/b1jzYgNKVFFmYnMZhAKKQZSUWWfj4&#10;8ebkKgy0YaJkXArIwh3o8N3g99+ui7RYMmVmDSsgQCdCp0UWLo1p0ijSxRJqpk9lAwLX5lLVzOCn&#10;WkSlYk/ovOZRP44vI+sk9A7YDzioWSXa/ep79sv5vCpgIot1DcI4FAo4MxgBvawaHQ6QXMkMJG/j&#10;82DDeBbGYURKzsTCKUCcPM6cUsm1KKEcSyUwjAf2dZEOuQEl0NVYCoOneZ71d0WqZmq1bk4KWTcI&#10;Lq94ZXYWLgJE3+OlRB7BA/y7rhToLCyS8zYQKL4IRV0VSmo5N6foMXJRaG+D3P4RXUV9fx9INjlP&#10;tdlxcISS+ILYRt25FsIN4zxnxYpic2Dcme7XaePzYNCugqs71txvVJAvkizkJgkDs0WpXKGUL/qk&#10;65MOpXKFEisKDCRaeKHV4LrTdDZnreastcGgOBsMlBMuWs1Fq7lsNZdhsOSVWGEg6ScM5pK/d4pW&#10;cglgU5jIsLWRHyvDYQIcDJQ+dM6q4dIMFTAy5Gwn18amVFPBmN4RqTdM7caSyzaLErdTg6LVqtwe&#10;JFeRSlWCOtKYLdlpox5gTtJ8MFsCmORNb9RLriNSuPUxw/dJcmPGmL3mGKgJ8CjKebLYDGaMg6bd&#10;G7x/2mJ/8BTvBXXtkSh6DM0UMbMUE9fcVJwHjdImC5/Kx2ZSsQV6Zul8MebWyBYLwA8Ho71XSrcD&#10;q/wr5pg3NjNZ6i1wU3ssHcMF/ReSYDiXpCHQFiO+9KkN/vPw5us853A2OYqw27M/4HVeapF3rG7s&#10;n0faUd+TOrSN42Ey+fMbrIKnLLyIr2K6plf4IVFP8DlPn12v8tSSVyVFjs7QX8V4ZMbFT0Pru8T/&#10;H9Co3zxPoTMfwV+Nzvot0h9GRxlrM3Nd30lfJK4uYrxJl5/de7AP4GfRF8ymt1jXL6rCsNdPe8Pe&#10;WVca0KgrDa5nj2UJg78AOxvj1sx2cqt9Xj7spWG67Z24D3ssih4I9lOqK1/CMyI8o1+Kh+rVcTlL&#10;bCXc17K9Bd0KVbmrt8R0b/EKJ0sG132JLm9zrsmJXsqnW1iAKP+B3XEFwZVPDEeug7GCrMfMfGC1&#10;77Z+3CD9DNQX9VNQ1Adf+BnZsjWrPr90dQsMO8ZtJcBPKa5wYoFoYc8rLNMzjmPFsB10XFJikLo+&#10;hXQPexnJnyp9L7gn6utKWelmhAPTSg/9cQvWuHdNvCZ05j0OnnfssK2h866dtsX2mxXcbF23yWW5&#10;myp8RFj1kQdNL/ajIY3vSCXMH6Yq0J9x2KXi6Z6cX8T7mjLFyIBGvSzsxjxqKrZruLOKFLZ2suMT&#10;ZligsDlnofq77NsUojngsaEJ8uB6kNnhHuvMUrUT9OA/AAAA//8DAFBLAwQKAAAAAAAAACEA35O6&#10;slMiAABTIgAAOQAAAGRycy9lbWJlZGRpbmdzL01pY3Jvc29mdF9PZmZpY2VfRXhjZWxfMjAwN19X&#10;b3JrYm9vazEueGxzeFBLAwQUAAYACAAAACEA3SuLWG8BAAAQBQAAEwAIAltDb250ZW50X1R5cGVz&#10;XS54bWw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FTLbsIwELxX6j9EvlaJoYeqqggc+ji2SKUfYOINiXBsy7tQ+PtuzEMtokQI&#10;LlnF3p0Zr3c8GK0akywhYO1sLvpZTyRgC6drO8vF1+QtfRQJkrJaGWchF2tAMRre3gwmaw+YcLXF&#10;XFRE/klKLCpoFGbOg+Wd0oVGEf+GmfSqmKsZyPte70EWzhJYSqnFEMPBC5RqYSh5XfHyRkkAgyJ5&#10;3iS2XLlQ3pu6UMRK5dLqA5Z0y5BxZczBqvZ4xzKEPMrQ7vxPsK374NaEWkMyVoHeVcMy5MrIbxfm&#10;U+fm2WmQIypdWdYFaFcsGu5Ahj6A0lgBUGOyGLNG1Xan+wR/TEYZQ//KQtrzReAOHcT3DTJ+L5cQ&#10;YToIkdYG8Mqn3YB2MVcqgP6kwM64uoDf2B06SE25AzKGy3v+d/4i6Cl+nttxcB7ZwQHOv4WdRdvq&#10;1DMQBKphb9Jjw75nZPefT3jgNmjfFw36CLeM79nwBwAA//8DAFBLAwQUAAYACAAAACEAtVUwI/U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IySz07DMAzG70i8Q+T76m5ICKGlu0xIuyFUHsAk&#10;7h+1jaMkQPf2hAOCSmPb0fbnzz9b3u7maVQfHGIvTsO6KEGxM2J712p4rZ9WD6BiImdpFMcajhxh&#10;V93ebF94pJSbYtf7qLKLixq6lPwjYjQdTxQL8exypZEwUcphaNGTGahl3JTlPYa/HlAtPNXBaggH&#10;eweqPvo8+bK3NE1veC/mfWKXToxAnhM7y3blQ2YLqc/bqJpCy0mDFfOc0xHJ+yJjA54m2lxP9P+2&#10;OHEiS4nQSODzPN+Kc0Dr64Eun2ip+L3OPOKnhOFNZPhhwcUPVF8AAAD//wMAUEsDBBQABgAIAAAA&#10;IQCBPpSX9AAAALoCAAAaAAgBeGwvX3JlbHMvd29ya2Jvb2sueG1sLnJlbHMgogQBKKAAAQ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sks9KxDAQxu+C7xDmbtOuIiKb7kWEvWp9gJBMm7JtEjLj&#10;n769oaLbhWW99BL4Zsj3/TKZ7e5rHMQHJuqDV1AVJQj0JtjedwremuebBxDE2ls9BI8KJiTY1ddX&#10;2xccNOdL5PpIIrt4UuCY46OUZByOmooQ0edOG9KoOcvUyajNQXcoN2V5L9PSA+oTT7G3CtLe3oJo&#10;ppiT//cObdsbfArmfUTPZyIk8TTkB4hGpw5ZwY8uMiPI8/GbNeM5jwWP6bOU81ldYqjWZPgM6UAO&#10;kY8cfyWSc+cizN2aMOR0QvvKKa/b8luW5d/JyJONq78BAAD//wMAUEsDBBQABgAIAAAAIQAlh8Az&#10;UQEAACECAAAPAAAAeGwvd29ya2Jvb2sueG1sjFHLTsMwELwj8Q+W7zRpWtKH6lQgQPSCkFras4k3&#10;jVXHjmyHtHw960ThceO0nt31eGa8Wp8rRT7AOmk0o+NRTAno3Aipj4y+7Z5u5pQ4z7Xgymhg9AKO&#10;rrPrq1Vr7OndmBNBAu0YLb2vl1Hk8hIq7kamBo2TwtiKe4T2GLnaAheuBPCVipI4TqOKS017hqX9&#10;D4cpCpnDg8mbCrTvSSwo7lG+K2XtaLYqpIJ974jwun7hFeo+K0oUd/5RSA+C0VuEpoU/DdvU941U&#10;OF1M4gmNsm+Tr5YIKHij/A7tDeyYVzJNkjRshij2Elr3cylAcj5ILUzLaDLFaC8DWiBou8lBCl8y&#10;mqYzlNS3nkEeS48qZvM4cEe/yLv48JGuEt1524ZIx/hPoW5QPp7tUuLBbsS4Yxiu5VzlaCaUsNjR&#10;GwVb+QnEQsHoXb8//G72BQAA//8DAFBLAwQUAAYACAAAACEAbQcMD9kAAAAoAQAAFAAAAHhsL3No&#10;YXJlZFN0cmluZ3MueG1sXE/bSsRADH0X/IeQZ+1UBZFlOvsg+AOuHxDabDvQZmqSrpevd1YRwcdz&#10;yck5cf++zHBitVykw5umRWDpy5Bl7PDl8HT9gGBOMtBchDv8YMN9uryIZg71VqzDyX3dhWD9xAtZ&#10;U1aWqhyLLuQV6hhsVabBJmZf5nDbtvdhoSwIfdnEO7xD2CS/bvz4i1O0nKKnZ5rZYvAUw5n4Js9/&#10;d7ZSX/vUYGM9MSb450qHAlXMnwz9ROowkBMoychXMCiNMJc3VtA8Tl6LqFRQjj+O5i8s1KXpCwAA&#10;//8DAFBLAwQUAAYACAAAACEAqJz1ALwAAAAlAQAAIwAAAHhsL3dvcmtzaGVldHMvX3JlbHMvc2hl&#10;ZXQxLnhtbC5yZWxzhI/BCsIwEETvgv8Q9m7SehCRpr2I0KvoB6zptg22SchG0b834EVB8DTsDvtm&#10;p2oe8yTuFNl6p6GUBQhyxnfWDRrOp8NqC4ITug4n70jDkxiaermojjRhykc82sAiUxxrGFMKO6XY&#10;jDQjSx/IZaf3ccaUxziogOaKA6l1UWxU/GRA/cUUbachtl0J4vQMOfk/2/e9NbT35jaTSz8iVMLL&#10;RBmIcaCkQcr3ht9SyvwsqLpSX+XqFwAAAP//AwBQSwMEFAAGAAgAAAAhAPtipW2UBgAApxsAABMA&#10;AAB4bC90aGVtZS90aGVtZTEueG1s7FlPb9s2FL8P2HcgdG9tJ7YbB3WK2LGbrU0bxG6HHmmZllhT&#10;okDSSX0b2uOAAcO6YZcBu+0wbCvQArt0nyZbh60D+hX2SEqyGMtL0gYb1tWHRCJ/fP/f4yN19dqD&#10;iKFDIiTlcdurXa56iMQ+H9M4aHt3hv1LGx6SCsdjzHhM2t6cSO/a1vvvXcWbKiQRQbA+lpu47YVK&#10;JZuVivRhGMvLPCExzE24iLCCVxFUxgIfAd2IVdaq1WYlwjT2UIwjIHt7MqE+QUNN0tvKiPcYvMZK&#10;6gGfiYEmTZwVBjue1jRCzmWXCXSIWdsDPmN+NCQPlIcYlgom2l7V/LzK1tUK3kwXMbVibWFd3/zS&#10;demC8XTN8BTBKGda69dbV3Zy+gbA1DKu1+t1e7WcngFg3wdNrSxFmvX+Rq2T0SyA7OMy7W61Ua27&#10;+AL99SWZW51Op9FKZbFEDcg+1pfwG9VmfXvNwRuQxTeW8PXOdrfbdPAGZPHNJXz/SqtZd/EGFDIa&#10;T5fQ2qH9fko9h0w42y2FbwB8o5rCFyiIhjy6NIsJj9WqWIvwfS76ANBAhhWNkZonZIJ9iOIujkaC&#10;Ys0AbxJcmLFDvlwa0ryQ9AVNVNv7MMGQEQt6r55//+r5U/Tq+ZPjh8+OH/50/OjR8cMfLS1n4S6O&#10;g+LCl99+9ufXH6M/nn7z8vEX5XhZxP/6wye//Px5ORAyaCHRiy+f/PbsyYuvPv39u8cl8G2BR0X4&#10;kEZEolvkCB3wCHQzhnElJyNxvhXDEFNnBQ6Bdgnpngod4K05ZmW4DnGNd1dA8SgDXp/dd2QdhGKm&#10;aAnnG2HkAPc4Zx0uSg1wQ/MqWHg4i4Ny5mJWxB1gfFjGu4tjx7W9WQJVMwtKx/bdkDhi7jMcKxyQ&#10;mCik5/iUkBLt7lHq2HWP+oJLPlHoHkUdTEtNMqQjJ5AWi3ZpBH6Zl+kMrnZss3cXdTgr03qHHLpI&#10;SAjMSoQfEuaY8TqeKRyVkRziiBUNfhOrsEzIwVz4RVxPKvB0QBhHvTGRsmzNbQH6Fpx+A0O9KnX7&#10;HptHLlIoOi2jeRNzXkTu8Gk3xFFShh3QOCxiP5BTCFGM9rkqg+9xN0P0O/gBxyvdfZcSx92nF4I7&#10;NHBEWgSInpmJEl9eJ9yJ38GcTTAxVQZKulOpIxr/XdlmFOq25fCubLe9bdjEypJn90SxXoX7D5bo&#10;HTyL9wlkxfIW9a5Cv6vQ3ltfoVfl8sXX5UUphiqtGxLba5vOO1rZeE8oYwM1Z+SmNL23hA1o3IdB&#10;vc4cOkl+EEtCeNSZDAwcXCCwWYMEVx9RFQ5CnEDfXvM0kUCmpAOJEi7hvGiGS2lrPPT+yp42G/oc&#10;YiuHxGqPj+3wuh7Ojhs5GSNVYM60GaN1TeCszNavpERBt9dhVtNCnZlbzYhmiqLDLVdZm9icy8Hk&#10;uWowmFsTOhsE/RBYuQnHfs0azjuYkbG2u/VR5hbjhYt0kQzxmKQ+0nov+6hmnJTFypIiWg8bDPrs&#10;eIrVCtxamuwbcDuLk4rs6ivYZd57Ey9lEbzwElA7mY4sLiYni9FR22s11hoe8nHS9iZwVIbHKAGv&#10;S91MYhbAfZOvhA37U5PZZPnCm61MMTcJanD7Ye2+pLBTBxIh1Q6WoQ0NM5WGAIs1Jyv/WgPMelEK&#10;lFSjs0mxvgHB8K9JAXZ0XUsmE+KrorMLI9p29jUtpXymiBiE4yM0YjNxgMH9OlRBnzGVcONhKoJ+&#10;ges5bW0z5RbnNOmKl2IGZ8cxS0KclludolkmW7gpSLkM5q0gHuhWKrtR7vyqmJS/IFWKYfw/U0Xv&#10;J3AFsT7WHvDhdlhgpDOl7XGhQg5VKAmp3xfQOJjaAdECV7wwDUEFd9TmvyCH+r/NOUvDpDWcJNUB&#10;DZCgsB+pUBCyD2XJRN8pxGrp3mVJspSQiaiCuDKxYo/IIWFDXQObem/3UAihbqpJWgYM7mT8ue9p&#10;Bo0C3eQU882pZPnea3Pgn+58bDKDUm4dNg1NZv9cxLw9WOyqdr1Znu29RUX0xKLNqmdZAcwKW0Er&#10;TfvXFOGcW62tWEsarzUy4cCLyxrDYN4QJXCRhPQf2P+o8Jn94KE31CE/gNqK4PuFJgZhA1F9yTYe&#10;SBdIOziCxskO2mDSpKxp09ZJWy3brC+40835njC2luws/j6nsfPmzGXn5OJFGju1sGNrO7bS1ODZ&#10;kykKQ5PsIGMcY76UFT9m8dF9cPQOfDaYMSVNMMGnKoGhhx6YPIDktxzN0q2/AAAA//8DAFBLAwQU&#10;AAYACAAAACEATA3PpKACAAA8BgAADQAAAHhsL3N0eWxlcy54bWykVE1v2zAMvQ/YfxB0TxR7SdcE&#10;tgskaYAC3VCgLbCrYsuJUH0YktzZG/bfR8kfSdHDMvRikzT1TD4+MblppECvzFiuVYqj6QwjpnJd&#10;cHVI8fPTbnKNkXVUFVRoxVLcMotvss+fEutawR6PjDkEEMqm+OhctSLE5kcmqZ3qiin4UmojqQPX&#10;HIitDKOF9YekIPFsdkUk5Qp3CCuZXwIiqXmpq0muZUUd33PBXRuwMJL56u6gtKF7AaU20ZzmA3Zw&#10;3sFLnhttdemmAEd0WfKcva9ySZYEkLKk1MpZlOtaOeAKoP0fVi9K/1Q7/8kHu6wssb/QKxUQiTDJ&#10;klwLbZADZqCwEFFUsi5jQwXfG+7TSiq5aLtw7AOBzD5PcmjNB4mvo39ZOMSFGKuKfQEQyBJgxzGj&#10;duCg3n5qK/i9gkF2MCHvH9kHQ9soXpwdIOGHWbLXpgDhnPgYQlkiWOmgUMMPR/92uoLnXjsHLGdJ&#10;welBKyrAJB3IaEA7ORPi0YvrR/kGuymRquVOursixSBTT8JgQiO92eF1jsc/R+uwz2A9Wf8Pi5py&#10;xP/AaUSrSrTrQGKviVAt1HdGwhsKxmaQV0+Kv/u7JUCHfUFoX3PhuBrLO7UPmEXzllDwh4mhYSTP&#10;VeB2cLegbB/oJgqLAMaSYneEOztomquCNQxGEgXBEj/6fvIX5QeNBIlclA5SGpR0UX4nulFfYIS2&#10;/RMocX5TBLGNPIOyClbSWrin8WOKT/Y3VvBaxmPWA3/VLkCk+GTfe+VHV/7WsMbdW6AE3qg2PMW/&#10;b9dfl9vbXTy5nq2vJ/MvbDFZLtbbyWK+WW+3u+Usnm3+nC2uD6ytsF5B5NF8ZQUsN9M327f4eIql&#10;+Mzpyg93HsoG0oYmSJBAWPvZXwAAAP//AwBQSwMEFAAGAAgAAAAhAL47e8NIAgAAdQUAABgAAAB4&#10;bC93b3Jrc2hlZXRzL3NoZWV0MS54bWyUVMtu2zAQvBfoPxC8R5TdpLEFy0FcI6gPBYL0daaplUWY&#10;FFWSfv19l1SkWnUOzkUgV8OZ3dklZw9HrcgerJOmzukoSSmBWphC1puc/vzxdDOhxHleF1yZGnJ6&#10;Akcf5h8/zA7Gbl0F4Aky1C6nlfdNxpgTFWjuEtNAjX9KYzX3uLUb5hoLvIiHtGLjNP3MNJc1bRky&#10;ew2HKUspYGnETkPtWxILinvM31WycR2bFtfQaW63u+ZGGN0gxVoq6U+RlBItstWmNpavFdZ9HN1y&#10;0XHHzQW9lsIaZ0qfIB1rE72secqmDJnms0JiBcF2YqHM6eMoW0wom8+iP78kHNzZmni+/g4KhIcC&#10;20RJsH9tzDYAVxhKkdFFQGDkwss9fAGlcroYYwf/RA1cogDrFc7XndpTbNizJQWUfKf8izl8Bbmp&#10;PMreoQHBh6w4LcEJbAAKJ+O7wCqMQgr8Ei3DJKGB/NimKgtf4QpDYue80b9fAzGZ9lxMack9n8+s&#10;ORAcBUS7hofBGmVYwdu6KBiwjwEcj2BCDp3Yz0cztsfyxCticYlIewRDyV43uHW1bgAH3VB/SCR6&#10;HQIxhX85DBQ+vUchgAcKXSAoTKZv13D7HoUAHiicBQZ5Y/evdyaAB6xngQFreF+u9RsvCOk7PP6v&#10;9nas2xlq+Aa+cbuRtSMKyjim95TYdo7TBNfeNGF47zGvtfE4ld2uwjcKsJdpglaXxvhug03GW6jg&#10;mVvviDC7MP6h1X2U2EwWObWrIo4E63/gzWD9gzn/CwAA//8DAFBLAwQUAAYACAAAACEAMmqSjloB&#10;AACRAgAAEQAIAWRvY1Byb3BzL2NvcmUueG1s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jJLBT8IwGMXvJv4PTU+aOLpuBrAZI6LhBMREjMZb037A4totbWXw39ttMDF44Nh+7/36&#10;XttkvFM52oKxWaFHmPZCjECLQmZ6PcJvy2kwxMg6riXPCw0jvAeLx+n1VSJKJgoDL6YowbgMLPIk&#10;bZkoR3jjXMkIsWIDitueV2g/XBVGceeXZk1KLr74GkgUhn2iwHHJHSc1MCg7Ij4gpeiQ5bfJG4AU&#10;BHJQoJ0ltEfJr9aBUfZfQzM5UarM7Uvf6RD3lC1FO+zUO5t1wqqqelXcxPD5KfmYz16bqkGm67sS&#10;gNNECiYMcFeYdGJ8UHOHFlxmsEE3ixkK0KOyDvItgL5NyIm4vticWzf3b7DKQE72F/jPPf78pm4b&#10;AiTyBVhb9zh5j5+el1OcRiGNg3AQ0MGSRizss4h+1pH++OtC7YY6BLuEOFzSexY/sLh/QjwC0oSc&#10;faL0BwAA//8DAFBLAwQUAAYACAAAACEApOKjwQwBAACwAQAAFAAAAHhsL3RhYmxlcy90YWJsZTEu&#10;eG1sZJDdSsNAEIXvBd9hmXu7aQSR0k2xSqEgXpj6AGsyaRb2J+xsbfP2TpKqBC/nzJwz38x6c3FW&#10;fGEkE7yC5SIDgb4KtfFHBR+H3d0jCEra19oGjwp6JNgUtzfrpD8tCnZ7UtCm1K2kpKpFp2kROvTc&#10;aUJ0OnEZj5K6iLqmFjE5K/Mse5BOGw/C1LwWhNeO0w9DKFe1oc7q/m0mRmwUPC1X23sQKSRt6T2c&#10;yzacGZyxR6BtiDXGl0uz59gMignzOdiT8ySqcPJJQT7X5wgC5Mw1dvMfwFJbfgBPyHHdNfhqKFNv&#10;ce+bIIipdiZSmgZGvkF71f+k4YYUTYf8Rr58mJpMv2r2t6/4BgAA//8DAFBLAwQUAAYACAAAACEA&#10;MFfogI8BAAAZAwAAEAAIAWRvY1Byb3BzL2FwcC54bWwgogQBKKAAAQ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CckkFv2zAMhe8D9h8M3Rs5XTEMgayiSDb0sGEBknZnVaZjobIkiKyR7NePtpHF&#10;2XbajeR7ePpESd0fO1/0kNHFUInlohQFBBtrFw6VeNp/ufkkCiQTauNjgEqcAMW9fv9ObXNMkMkB&#10;FhwRsBItUVpJibaFzuCC5cBKE3NniNt8kLFpnIVNtG8dBJK3ZflRwpEg1FDfpN+BYkpc9fS/oXW0&#10;Ax8+70+JgbV6SMk7a4hvqb85myPGhorPRwteybmomG4H9i07OulSyXmrdtZ4WHOwboxHUPIyUI9g&#10;hqVtjcuoVU+rHizFXKD7yWu7FcWLQRhwKtGb7EwgxhpsUzPWPiFl/SPmV2wBCJVkwzQcy7l3Xrs7&#10;vRwNXFwbh4AJhIVrxL0jD/i92ZpM/yBezolHhol3wtkNfNOZc77xynzSH9nr2CUTTnoDPjoiXtx5&#10;or668IpPaR83huC81uuh2rUmQ80vcdYvA/XIG81+CFm3JhygPnv+FoZP8Dz9dL28W5QfSn7f2UzJ&#10;y5/WvwAAAP//AwBQSwECLQAUAAYACAAAACEA3SuLWG8BAAAQBQAAEwAAAAAAAAAAAAAAAAAAAAAA&#10;W0NvbnRlbnRfVHlwZXNdLnhtbFBLAQItABQABgAIAAAAIQC1VTAj9QAAAEwCAAALAAAAAAAAAAAA&#10;AAAAAKgDAABfcmVscy8ucmVsc1BLAQItABQABgAIAAAAIQCBPpSX9AAAALoCAAAaAAAAAAAAAAAA&#10;AAAAAM4GAAB4bC9fcmVscy93b3JrYm9vay54bWwucmVsc1BLAQItABQABgAIAAAAIQAlh8AzUQEA&#10;ACECAAAPAAAAAAAAAAAAAAAAAAIJAAB4bC93b3JrYm9vay54bWxQSwECLQAUAAYACAAAACEAbQcM&#10;D9kAAAAoAQAAFAAAAAAAAAAAAAAAAACACgAAeGwvc2hhcmVkU3RyaW5ncy54bWxQSwECLQAUAAYA&#10;CAAAACEAqJz1ALwAAAAlAQAAIwAAAAAAAAAAAAAAAACLCwAAeGwvd29ya3NoZWV0cy9fcmVscy9z&#10;aGVldDEueG1sLnJlbHNQSwECLQAUAAYACAAAACEA+2KlbZQGAACnGwAAEwAAAAAAAAAAAAAAAACI&#10;DAAAeGwvdGhlbWUvdGhlbWUxLnhtbFBLAQItABQABgAIAAAAIQBMDc+koAIAADwGAAANAAAAAAAA&#10;AAAAAAAAAE0TAAB4bC9zdHlsZXMueG1sUEsBAi0AFAAGAAgAAAAhAL47e8NIAgAAdQUAABgAAAAA&#10;AAAAAAAAAAAAGBYAAHhsL3dvcmtzaGVldHMvc2hlZXQxLnhtbFBLAQItABQABgAIAAAAIQAyapKO&#10;WgEAAJECAAARAAAAAAAAAAAAAAAAAJYYAABkb2NQcm9wcy9jb3JlLnhtbFBLAQItABQABgAIAAAA&#10;IQCk4qPBDAEAALABAAAUAAAAAAAAAAAAAAAAACcbAAB4bC90YWJsZXMvdGFibGUxLnhtbFBLAQIt&#10;ABQABgAIAAAAIQAwV+iAjwEAABkDAAAQAAAAAAAAAAAAAAAAAGUcAABkb2NQcm9wcy9hcHAueG1s&#10;UEsFBgAAAAAMAAwAEwMAACofAAAAAFBLAQItABQABgAIAAAAIQALya1QRwEAAEsDAAATAAAAAAAA&#10;AAAAAAAAAAAAAABbQ29udGVudF9UeXBlc10ueG1sUEsBAi0AFAAGAAgAAAAhADj9If/WAAAAlAEA&#10;AAsAAAAAAAAAAAAAAAAAeAEAAF9yZWxzLy5yZWxzUEsBAi0AFAAGAAgAAAAhAIgtvpqSAgAAOQYA&#10;AA4AAAAAAAAAAAAAAAAAdwIAAGRycy9lMm9Eb2MueG1sUEsBAi0AFAAGAAgAAAAhAAav/bn1AAAA&#10;4gEAACAAAAAAAAAAAAAAAAAANQUAAGRycy9jaGFydHMvX3JlbHMvY2hhcnQxLnhtbC5yZWxzUEsB&#10;Ai0AFAAGAAgAAAAhAKsWzUa5AAAAIgEAABkAAAAAAAAAAAAAAAAAaAYAAGRycy9fcmVscy9lMm9E&#10;b2MueG1sLnJlbHNQSwECLQAUAAYACAAAACEAXn2iyN8AAAAKAQAADwAAAAAAAAAAAAAAAABYBwAA&#10;ZHJzL2Rvd25yZXYueG1sUEsBAi0AFAAGAAgAAAAhAHNyZF02BAAAoBAAABwAAAAAAAAAAAAAAAAA&#10;ZAgAAGRycy90aGVtZS90aGVtZU92ZXJyaWRlMS54bWxQSwECLQAUAAYACAAAACEAH92DNUYEAACJ&#10;CwAAFQAAAAAAAAAAAAAAAADUDAAAZHJzL2NoYXJ0cy9jaGFydDEueG1sUEsBAi0ACgAAAAAAAAAh&#10;AN+TurJTIgAAUyIAADkAAAAAAAAAAAAAAAAATREAAGRycy9lbWJlZGRpbmdzL01pY3Jvc29mdF9P&#10;ZmZpY2VfRXhjZWxfMjAwN19Xb3JrYm9vazEueGxzeFBLBQYAAAAACQAJAHwCAAD3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 o:spid="_x0000_s1027" type="#_x0000_t75" style="position:absolute;top:473;width:9239;height:996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pm0/&#10;mLwAAADaAAAADwAAAGRycy9kb3ducmV2LnhtbERPuwrCMBTdBf8hXMFNUx2kVqOIKLio+ABxuzTX&#10;ttjclCba+vdmEBwP5z1ftqYUb6pdYVnBaBiBIE6tLjhTcL1sBzEI55E1lpZJwYccLBfdzhwTbRs+&#10;0fvsMxFC2CWoIPe+SqR0aU4G3dBWxIF72NqgD7DOpK6xCeGmlOMomkiDBYeGHCta55Q+zy+jYNrg&#10;/v6JT6k/xny7PdzuethYpfq9djUD4an1f/HPvdMKwtZwJdwAufgCAAD//wMAUEsBAi0AFAAGAAgA&#10;AAAhALaDOJL+AAAA4QEAABMAAAAAAAAAAAAAAAAAAAAAAFtDb250ZW50X1R5cGVzXS54bWxQSwEC&#10;LQAUAAYACAAAACEAOP0h/9YAAACUAQAACwAAAAAAAAAAAAAAAAAvAQAAX3JlbHMvLnJlbHNQSwEC&#10;LQAUAAYACAAAACEAMy8FnkEAAAA5AAAADgAAAAAAAAAAAAAAAAAuAgAAZHJzL2Uyb0RvYy54bWxQ&#10;SwECLQAUAAYACAAAACEApm0/mLwAAADaAAAADwAAAAAAAAAAAAAAAACbAgAAZHJzL2Rvd25yZXYu&#10;eG1sUEsFBgAAAAAEAAQA8wAAAIQDAAAAAA==&#10;">
                  <v:imagedata r:id="rId10" o:title=""/>
                  <o:lock v:ext="edit" aspectratio="f"/>
                </v:shape>
                <v:shapetype id="_x0000_t202" coordsize="21600,21600" o:spt="202" path="m,l,21600r21600,l21600,xe">
                  <v:stroke joinstyle="miter"/>
                  <v:path gradientshapeok="t" o:connecttype="rect"/>
                </v:shapetype>
                <v:shape id="TextBox 29" o:spid="_x0000_s1028" type="#_x0000_t202" style="position:absolute;left:956;top:5264;width:795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vCMEA&#10;AADbAAAADwAAAGRycy9kb3ducmV2LnhtbERPXWvCMBR9H/gfwhV8m4kKY3TG0gmiCG7MCfp4ae7a&#10;YnNTkqjVX788DPZ4ON/zvLetuJIPjWMNk7ECQVw603Cl4fC9en4FESKywdYxabhTgHwxeJpjZtyN&#10;v+i6j5VIIRwy1FDH2GVShrImi2HsOuLE/ThvMSboK2k83lK4beVUqRdpseHUUGNHy5rK8/5iNZw+&#10;du/OF+qw/rxztTXHhzpvHlqPhn3xBiJSH//Ff+6N0TBL69OX9AP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mrwjBAAAA2wAAAA8AAAAAAAAAAAAAAAAAmAIAAGRycy9kb3du&#10;cmV2LnhtbFBLBQYAAAAABAAEAPUAAACGAwAAAAA=&#10;" filled="f" stroked="f">
                  <v:textbox inset=".99997mm,.99997mm,.99997mm,.99997mm">
                    <w:txbxContent>
                      <w:p w:rsidR="00F73ED6" w:rsidRPr="00FB33DD" w:rsidRDefault="00CF323C" w:rsidP="00F73ED6">
                        <w:pPr>
                          <w:pStyle w:val="NormalWeb"/>
                          <w:spacing w:before="0" w:beforeAutospacing="0" w:after="0" w:afterAutospacing="0"/>
                          <w:jc w:val="center"/>
                          <w:rPr>
                            <w:rFonts w:ascii="Arial" w:hAnsi="Arial" w:cs="Arial"/>
                            <w:sz w:val="6"/>
                          </w:rPr>
                        </w:pPr>
                        <w:r w:rsidRPr="00FB33DD">
                          <w:rPr>
                            <w:rFonts w:ascii="Arial" w:hAnsi="Arial" w:cs="Arial"/>
                            <w:color w:val="FFFFFF"/>
                            <w:kern w:val="24"/>
                            <w:sz w:val="32"/>
                            <w:szCs w:val="144"/>
                            <w:lang w:val="nl-NL"/>
                          </w:rPr>
                          <w:t>3.2</w:t>
                        </w:r>
                        <w:r w:rsidR="00ED3673" w:rsidRPr="00FB33DD">
                          <w:rPr>
                            <w:rFonts w:ascii="Arial" w:hAnsi="Arial" w:cs="Arial"/>
                            <w:color w:val="FFFFFF"/>
                            <w:kern w:val="24"/>
                            <w:sz w:val="32"/>
                            <w:szCs w:val="144"/>
                            <w:lang w:val="nl-NL"/>
                          </w:rPr>
                          <w:t>7</w:t>
                        </w:r>
                        <w:r w:rsidR="0080175F" w:rsidRPr="00FB33DD">
                          <w:rPr>
                            <w:rFonts w:ascii="Arial" w:hAnsi="Arial" w:cs="Arial"/>
                            <w:color w:val="FFFFFF"/>
                            <w:kern w:val="24"/>
                            <w:sz w:val="32"/>
                            <w:szCs w:val="144"/>
                            <w:lang w:val="nl-NL"/>
                          </w:rPr>
                          <w:t xml:space="preserve"> %</w:t>
                        </w:r>
                      </w:p>
                    </w:txbxContent>
                  </v:textbox>
                </v:shape>
                <w10:wrap type="square" anchorx="margin"/>
              </v:group>
              <o:OLEObject Type="Embed" ProgID="Excel.Chart.8" ShapeID="Chart 8" DrawAspect="Content" ObjectID="_1524602027" r:id="rId11">
                <o:FieldCodes>\s</o:FieldCodes>
              </o:OLEObject>
            </w:pict>
          </mc:Fallback>
        </mc:AlternateContent>
      </w:r>
      <w:r w:rsidR="005577BB" w:rsidRPr="00CF2C00">
        <w:rPr>
          <w:rFonts w:ascii="Arial" w:hAnsi="Arial" w:cs="Arial"/>
          <w:b w:val="0"/>
          <w:sz w:val="28"/>
          <w:szCs w:val="28"/>
        </w:rPr>
        <w:t>Finansavimo apžvalga</w:t>
      </w:r>
    </w:p>
    <w:p w:rsidR="005577BB" w:rsidRPr="00CF2C00" w:rsidRDefault="00F73ED6" w:rsidP="00F73ED6">
      <w:pPr>
        <w:jc w:val="both"/>
        <w:rPr>
          <w:rFonts w:ascii="Arial" w:eastAsia="MS PGothic" w:hAnsi="Arial" w:cs="Times New Roman"/>
          <w:color w:val="000000"/>
          <w:sz w:val="20"/>
          <w:szCs w:val="48"/>
        </w:rPr>
      </w:pPr>
      <w:r w:rsidRPr="00CF2C00">
        <w:rPr>
          <w:rFonts w:ascii="Arial" w:eastAsia="MS PGothic" w:hAnsi="Arial" w:cs="Times New Roman"/>
          <w:color w:val="000000"/>
          <w:sz w:val="20"/>
          <w:szCs w:val="48"/>
        </w:rPr>
        <w:t xml:space="preserve">2007 – 2013 </w:t>
      </w:r>
      <w:r w:rsidR="009A35E9" w:rsidRPr="00CF2C00">
        <w:rPr>
          <w:rFonts w:ascii="Arial" w:eastAsia="MS PGothic" w:hAnsi="Arial" w:cs="Times New Roman"/>
          <w:color w:val="000000"/>
          <w:sz w:val="20"/>
          <w:szCs w:val="48"/>
        </w:rPr>
        <w:t>m</w:t>
      </w:r>
      <w:r w:rsidR="0080175F" w:rsidRPr="00CF2C00">
        <w:rPr>
          <w:rFonts w:ascii="Arial" w:eastAsia="MS PGothic" w:hAnsi="Arial" w:cs="Times New Roman"/>
          <w:color w:val="000000"/>
          <w:sz w:val="20"/>
          <w:szCs w:val="48"/>
        </w:rPr>
        <w:t>. ES struktūrinių fondų</w:t>
      </w:r>
      <w:r w:rsidR="001F2140" w:rsidRPr="00CF2C00">
        <w:rPr>
          <w:rFonts w:ascii="Arial" w:eastAsia="MS PGothic" w:hAnsi="Arial" w:cs="Times New Roman"/>
          <w:color w:val="000000"/>
          <w:sz w:val="20"/>
          <w:szCs w:val="48"/>
        </w:rPr>
        <w:t xml:space="preserve"> (ES SF)</w:t>
      </w:r>
      <w:r w:rsidR="0080175F" w:rsidRPr="00CF2C00">
        <w:rPr>
          <w:rFonts w:ascii="Arial" w:eastAsia="MS PGothic" w:hAnsi="Arial" w:cs="Times New Roman"/>
          <w:color w:val="000000"/>
          <w:sz w:val="20"/>
          <w:szCs w:val="48"/>
        </w:rPr>
        <w:t xml:space="preserve"> programavimo</w:t>
      </w:r>
      <w:r w:rsidR="00CF323C">
        <w:rPr>
          <w:rFonts w:ascii="Arial" w:eastAsia="MS PGothic" w:hAnsi="Arial" w:cs="Times New Roman"/>
          <w:color w:val="000000"/>
          <w:sz w:val="20"/>
          <w:szCs w:val="48"/>
        </w:rPr>
        <w:t xml:space="preserve"> laikotarpiu, Lazdijų</w:t>
      </w:r>
      <w:r w:rsidR="00955E14" w:rsidRPr="00CF2C00">
        <w:rPr>
          <w:rFonts w:ascii="Arial" w:eastAsia="MS PGothic" w:hAnsi="Arial" w:cs="Times New Roman"/>
          <w:color w:val="000000"/>
          <w:sz w:val="20"/>
          <w:szCs w:val="48"/>
        </w:rPr>
        <w:t xml:space="preserve"> rajono</w:t>
      </w:r>
      <w:r w:rsidR="009A35E9" w:rsidRPr="00CF2C00">
        <w:rPr>
          <w:rFonts w:ascii="Arial" w:eastAsia="MS PGothic" w:hAnsi="Arial" w:cs="Times New Roman"/>
          <w:color w:val="000000"/>
          <w:sz w:val="20"/>
          <w:szCs w:val="48"/>
        </w:rPr>
        <w:t xml:space="preserve"> savivaldybėje, </w:t>
      </w:r>
      <w:r w:rsidR="00CF47D0" w:rsidRPr="00CF2C00">
        <w:rPr>
          <w:rFonts w:ascii="Arial" w:eastAsia="MS PGothic" w:hAnsi="Arial" w:cs="Times New Roman"/>
          <w:color w:val="000000"/>
          <w:sz w:val="20"/>
          <w:szCs w:val="48"/>
        </w:rPr>
        <w:t xml:space="preserve">buvo finansuoti </w:t>
      </w:r>
      <w:r w:rsidR="00CF323C">
        <w:rPr>
          <w:rFonts w:ascii="Arial" w:eastAsia="MS PGothic" w:hAnsi="Arial" w:cs="Times New Roman"/>
          <w:color w:val="000000"/>
          <w:sz w:val="20"/>
          <w:szCs w:val="48"/>
        </w:rPr>
        <w:t>47</w:t>
      </w:r>
      <w:r w:rsidR="00ED3673" w:rsidRPr="00CF2C00">
        <w:rPr>
          <w:rFonts w:ascii="Arial" w:eastAsia="MS PGothic" w:hAnsi="Arial" w:cs="Times New Roman"/>
          <w:color w:val="000000"/>
          <w:sz w:val="20"/>
          <w:szCs w:val="48"/>
        </w:rPr>
        <w:t xml:space="preserve"> </w:t>
      </w:r>
      <w:r w:rsidRPr="00CF2C00">
        <w:rPr>
          <w:rFonts w:ascii="Arial" w:eastAsia="MS PGothic" w:hAnsi="Arial" w:cs="Times New Roman"/>
          <w:color w:val="000000"/>
          <w:sz w:val="20"/>
          <w:szCs w:val="48"/>
        </w:rPr>
        <w:t xml:space="preserve">projektai. </w:t>
      </w:r>
      <w:r w:rsidR="009A35E9" w:rsidRPr="00CF2C00">
        <w:rPr>
          <w:rFonts w:ascii="Arial" w:eastAsia="MS PGothic" w:hAnsi="Arial" w:cs="Times New Roman"/>
          <w:color w:val="000000"/>
          <w:sz w:val="20"/>
          <w:szCs w:val="48"/>
        </w:rPr>
        <w:t xml:space="preserve">Bendra </w:t>
      </w:r>
      <w:r w:rsidR="0080175F" w:rsidRPr="00CF2C00">
        <w:rPr>
          <w:rFonts w:ascii="Arial" w:eastAsia="MS PGothic" w:hAnsi="Arial" w:cs="Times New Roman"/>
          <w:color w:val="000000"/>
          <w:sz w:val="20"/>
          <w:szCs w:val="48"/>
        </w:rPr>
        <w:t>projektų vertė</w:t>
      </w:r>
      <w:r w:rsidR="009A35E9" w:rsidRPr="00CF2C00">
        <w:rPr>
          <w:rFonts w:ascii="Arial" w:eastAsia="MS PGothic" w:hAnsi="Arial" w:cs="Times New Roman"/>
          <w:color w:val="000000"/>
          <w:sz w:val="20"/>
          <w:szCs w:val="48"/>
        </w:rPr>
        <w:t xml:space="preserve"> siekė</w:t>
      </w:r>
      <w:r w:rsidR="00955E14" w:rsidRPr="00CF2C00">
        <w:rPr>
          <w:rFonts w:ascii="Arial" w:eastAsia="MS PGothic" w:hAnsi="Arial" w:cs="Times New Roman"/>
          <w:color w:val="000000"/>
          <w:sz w:val="20"/>
          <w:szCs w:val="48"/>
        </w:rPr>
        <w:t xml:space="preserve"> </w:t>
      </w:r>
      <w:r w:rsidR="00497FA6" w:rsidRPr="00497FA6">
        <w:rPr>
          <w:rFonts w:ascii="Arial" w:eastAsia="MS PGothic" w:hAnsi="Arial" w:cs="Times New Roman"/>
          <w:color w:val="000000"/>
          <w:sz w:val="20"/>
          <w:szCs w:val="48"/>
        </w:rPr>
        <w:t>28</w:t>
      </w:r>
      <w:r w:rsidR="00FB33DD">
        <w:rPr>
          <w:rFonts w:ascii="Arial" w:eastAsia="MS PGothic" w:hAnsi="Arial" w:cs="Times New Roman"/>
          <w:color w:val="000000"/>
          <w:sz w:val="20"/>
          <w:szCs w:val="48"/>
        </w:rPr>
        <w:t>.142 mln.</w:t>
      </w:r>
      <w:r w:rsidR="00497FA6">
        <w:rPr>
          <w:rFonts w:ascii="Arial" w:eastAsia="MS PGothic" w:hAnsi="Arial" w:cs="Times New Roman"/>
          <w:color w:val="000000"/>
          <w:sz w:val="20"/>
          <w:szCs w:val="48"/>
        </w:rPr>
        <w:t xml:space="preserve"> </w:t>
      </w:r>
      <w:r w:rsidR="00CF323C">
        <w:rPr>
          <w:rFonts w:ascii="Arial" w:eastAsia="MS PGothic" w:hAnsi="Arial" w:cs="Times New Roman"/>
          <w:color w:val="000000"/>
          <w:sz w:val="20"/>
          <w:szCs w:val="48"/>
        </w:rPr>
        <w:t>EUR; tai sudarė 3.2</w:t>
      </w:r>
      <w:r w:rsidR="00ED3673" w:rsidRPr="00CF2C00">
        <w:rPr>
          <w:rFonts w:ascii="Arial" w:eastAsia="MS PGothic" w:hAnsi="Arial" w:cs="Times New Roman"/>
          <w:color w:val="000000"/>
          <w:sz w:val="20"/>
          <w:szCs w:val="48"/>
        </w:rPr>
        <w:t>7</w:t>
      </w:r>
      <w:r w:rsidR="0080175F" w:rsidRPr="00CF2C00">
        <w:rPr>
          <w:rFonts w:ascii="Arial" w:eastAsia="MS PGothic" w:hAnsi="Arial" w:cs="Times New Roman"/>
          <w:color w:val="000000"/>
          <w:sz w:val="20"/>
          <w:szCs w:val="48"/>
        </w:rPr>
        <w:t xml:space="preserve"> proc. visų probleminėse teritorijose įgyvendintų</w:t>
      </w:r>
      <w:r w:rsidR="001F2140" w:rsidRPr="00CF2C00">
        <w:rPr>
          <w:rFonts w:ascii="Arial" w:eastAsia="MS PGothic" w:hAnsi="Arial" w:cs="Times New Roman"/>
          <w:color w:val="000000"/>
          <w:sz w:val="20"/>
          <w:szCs w:val="48"/>
        </w:rPr>
        <w:t xml:space="preserve"> ES SF</w:t>
      </w:r>
      <w:r w:rsidR="0080175F" w:rsidRPr="00CF2C00">
        <w:rPr>
          <w:rFonts w:ascii="Arial" w:eastAsia="MS PGothic" w:hAnsi="Arial" w:cs="Times New Roman"/>
          <w:color w:val="000000"/>
          <w:sz w:val="20"/>
          <w:szCs w:val="48"/>
        </w:rPr>
        <w:t xml:space="preserve"> projektų vertės.</w:t>
      </w:r>
      <w:r w:rsidR="00CF323C">
        <w:rPr>
          <w:rFonts w:ascii="Arial" w:eastAsia="MS PGothic" w:hAnsi="Arial" w:cs="Times New Roman"/>
          <w:color w:val="000000"/>
          <w:sz w:val="20"/>
          <w:szCs w:val="48"/>
        </w:rPr>
        <w:t xml:space="preserve"> Lazdijų rajono savivaldybė buvo </w:t>
      </w:r>
      <w:r w:rsidR="00264515">
        <w:rPr>
          <w:rFonts w:ascii="Arial" w:eastAsia="MS PGothic" w:hAnsi="Arial" w:cs="Times New Roman"/>
          <w:color w:val="000000"/>
          <w:sz w:val="20"/>
          <w:szCs w:val="48"/>
        </w:rPr>
        <w:t xml:space="preserve">viena iš </w:t>
      </w:r>
      <w:r w:rsidR="00CF323C">
        <w:rPr>
          <w:rFonts w:ascii="Arial" w:eastAsia="MS PGothic" w:hAnsi="Arial" w:cs="Times New Roman"/>
          <w:color w:val="000000"/>
          <w:sz w:val="20"/>
          <w:szCs w:val="48"/>
        </w:rPr>
        <w:t>mažiausiai ES SF lėšų gavusi</w:t>
      </w:r>
      <w:r w:rsidR="00264515">
        <w:rPr>
          <w:rFonts w:ascii="Arial" w:eastAsia="MS PGothic" w:hAnsi="Arial" w:cs="Times New Roman"/>
          <w:color w:val="000000"/>
          <w:sz w:val="20"/>
          <w:szCs w:val="48"/>
        </w:rPr>
        <w:t>ų</w:t>
      </w:r>
      <w:r w:rsidR="00CF323C">
        <w:rPr>
          <w:rFonts w:ascii="Arial" w:eastAsia="MS PGothic" w:hAnsi="Arial" w:cs="Times New Roman"/>
          <w:color w:val="000000"/>
          <w:sz w:val="20"/>
          <w:szCs w:val="48"/>
        </w:rPr>
        <w:t xml:space="preserve"> pr</w:t>
      </w:r>
      <w:r w:rsidR="00264515">
        <w:rPr>
          <w:rFonts w:ascii="Arial" w:eastAsia="MS PGothic" w:hAnsi="Arial" w:cs="Times New Roman"/>
          <w:color w:val="000000"/>
          <w:sz w:val="20"/>
          <w:szCs w:val="48"/>
        </w:rPr>
        <w:t>obleminių teritorijų savivaldybių (mažiau finansavimo sulaukė tik Skuodo rajono savivaldybė)</w:t>
      </w:r>
      <w:r w:rsidR="00CF323C">
        <w:rPr>
          <w:rFonts w:ascii="Arial" w:eastAsia="MS PGothic" w:hAnsi="Arial" w:cs="Times New Roman"/>
          <w:color w:val="000000"/>
          <w:sz w:val="20"/>
          <w:szCs w:val="48"/>
        </w:rPr>
        <w:t>.</w:t>
      </w:r>
    </w:p>
    <w:p w:rsidR="000D5BA5" w:rsidRPr="00CF2C00" w:rsidRDefault="0080175F" w:rsidP="00F73ED6">
      <w:pPr>
        <w:jc w:val="both"/>
        <w:rPr>
          <w:rFonts w:ascii="Arial" w:eastAsia="MS PGothic" w:hAnsi="Arial" w:cs="Times New Roman"/>
          <w:color w:val="000000"/>
          <w:sz w:val="20"/>
          <w:szCs w:val="48"/>
        </w:rPr>
      </w:pPr>
      <w:r w:rsidRPr="00CF2C00">
        <w:rPr>
          <w:rFonts w:ascii="Arial" w:eastAsia="MS PGothic" w:hAnsi="Arial" w:cs="Times New Roman"/>
          <w:color w:val="000000"/>
          <w:sz w:val="20"/>
          <w:szCs w:val="48"/>
        </w:rPr>
        <w:t>Sangl</w:t>
      </w:r>
      <w:r w:rsidR="00955E14" w:rsidRPr="00CF2C00">
        <w:rPr>
          <w:rFonts w:ascii="Arial" w:eastAsia="MS PGothic" w:hAnsi="Arial" w:cs="Times New Roman"/>
          <w:color w:val="000000"/>
          <w:sz w:val="20"/>
          <w:szCs w:val="48"/>
        </w:rPr>
        <w:t>audos skatinimo veiksmų programos</w:t>
      </w:r>
      <w:r w:rsidRPr="00CF2C00">
        <w:rPr>
          <w:rFonts w:ascii="Arial" w:eastAsia="MS PGothic" w:hAnsi="Arial" w:cs="Times New Roman"/>
          <w:color w:val="000000"/>
          <w:sz w:val="20"/>
          <w:szCs w:val="48"/>
        </w:rPr>
        <w:t xml:space="preserve"> (SSVP)</w:t>
      </w:r>
      <w:r w:rsidR="00C144CE" w:rsidRPr="00CF2C00">
        <w:rPr>
          <w:rFonts w:ascii="Arial" w:eastAsia="MS PGothic" w:hAnsi="Arial" w:cs="Times New Roman"/>
          <w:color w:val="000000"/>
          <w:sz w:val="20"/>
          <w:szCs w:val="48"/>
        </w:rPr>
        <w:t xml:space="preserve"> apimtyje įgyvendintų projektų vertė </w:t>
      </w:r>
      <w:r w:rsidR="00CF323C">
        <w:rPr>
          <w:rFonts w:ascii="Arial" w:eastAsia="MS PGothic" w:hAnsi="Arial" w:cs="Times New Roman"/>
          <w:color w:val="000000"/>
          <w:sz w:val="20"/>
          <w:szCs w:val="48"/>
        </w:rPr>
        <w:t>sudaro daugiausiai</w:t>
      </w:r>
      <w:r w:rsidR="00C144CE" w:rsidRPr="00CF2C00">
        <w:rPr>
          <w:rFonts w:ascii="Arial" w:eastAsia="MS PGothic" w:hAnsi="Arial" w:cs="Times New Roman"/>
          <w:color w:val="000000"/>
          <w:sz w:val="20"/>
          <w:szCs w:val="48"/>
        </w:rPr>
        <w:t xml:space="preserve"> savivaldybės teritorijoje ES SF lėšomi</w:t>
      </w:r>
      <w:r w:rsidR="00CF323C">
        <w:rPr>
          <w:rFonts w:ascii="Arial" w:eastAsia="MS PGothic" w:hAnsi="Arial" w:cs="Times New Roman"/>
          <w:color w:val="000000"/>
          <w:sz w:val="20"/>
          <w:szCs w:val="48"/>
        </w:rPr>
        <w:t>s finansuotų projektų vertės (87</w:t>
      </w:r>
      <w:r w:rsidR="00C144CE" w:rsidRPr="00CF2C00">
        <w:rPr>
          <w:rFonts w:ascii="Arial" w:eastAsia="MS PGothic" w:hAnsi="Arial" w:cs="Times New Roman"/>
          <w:color w:val="000000"/>
          <w:sz w:val="20"/>
          <w:szCs w:val="48"/>
        </w:rPr>
        <w:t xml:space="preserve"> proc.). </w:t>
      </w:r>
      <w:r w:rsidR="00955E14" w:rsidRPr="00CF2C00">
        <w:rPr>
          <w:rFonts w:ascii="Arial" w:eastAsia="MS PGothic" w:hAnsi="Arial" w:cs="Times New Roman"/>
          <w:color w:val="000000"/>
          <w:sz w:val="20"/>
          <w:szCs w:val="48"/>
        </w:rPr>
        <w:t xml:space="preserve"> Ekonomikos augimo veiksmų programos (EAVP) lėšos sudarė beveik </w:t>
      </w:r>
      <w:r w:rsidR="00CF323C">
        <w:rPr>
          <w:rFonts w:ascii="Arial" w:eastAsia="MS PGothic" w:hAnsi="Arial" w:cs="Times New Roman"/>
          <w:color w:val="000000"/>
          <w:sz w:val="20"/>
          <w:szCs w:val="48"/>
        </w:rPr>
        <w:t>6</w:t>
      </w:r>
      <w:r w:rsidR="00955E14" w:rsidRPr="00CF2C00">
        <w:rPr>
          <w:rFonts w:ascii="Arial" w:eastAsia="MS PGothic" w:hAnsi="Arial" w:cs="Times New Roman"/>
          <w:color w:val="000000"/>
          <w:sz w:val="20"/>
          <w:szCs w:val="48"/>
        </w:rPr>
        <w:t xml:space="preserve"> proc.</w:t>
      </w:r>
      <w:r w:rsidR="00C144CE" w:rsidRPr="00CF2C00">
        <w:rPr>
          <w:rFonts w:ascii="Arial" w:eastAsia="MS PGothic" w:hAnsi="Arial" w:cs="Times New Roman"/>
          <w:color w:val="000000"/>
          <w:sz w:val="20"/>
          <w:szCs w:val="48"/>
        </w:rPr>
        <w:t xml:space="preserve"> viso skirto ES SF finansavimo, t</w:t>
      </w:r>
      <w:r w:rsidR="00D65C3C" w:rsidRPr="00CF2C00">
        <w:rPr>
          <w:rFonts w:ascii="Arial" w:eastAsia="MS PGothic" w:hAnsi="Arial" w:cs="Times New Roman"/>
          <w:color w:val="000000"/>
          <w:sz w:val="20"/>
          <w:szCs w:val="48"/>
        </w:rPr>
        <w:t>uo tarpu Žmogiškųjų išt</w:t>
      </w:r>
      <w:r w:rsidR="000D5BA5" w:rsidRPr="00CF2C00">
        <w:rPr>
          <w:rFonts w:ascii="Arial" w:eastAsia="MS PGothic" w:hAnsi="Arial" w:cs="Times New Roman"/>
          <w:color w:val="000000"/>
          <w:sz w:val="20"/>
          <w:szCs w:val="48"/>
        </w:rPr>
        <w:t>eklių veiksmų programos</w:t>
      </w:r>
      <w:r w:rsidR="00D65C3C" w:rsidRPr="00CF2C00">
        <w:rPr>
          <w:rFonts w:ascii="Arial" w:eastAsia="MS PGothic" w:hAnsi="Arial" w:cs="Times New Roman"/>
          <w:color w:val="000000"/>
          <w:sz w:val="20"/>
          <w:szCs w:val="48"/>
        </w:rPr>
        <w:t xml:space="preserve"> (ŽIPVP) </w:t>
      </w:r>
      <w:r w:rsidR="000D5BA5" w:rsidRPr="00CF2C00">
        <w:rPr>
          <w:rFonts w:ascii="Arial" w:eastAsia="MS PGothic" w:hAnsi="Arial" w:cs="Times New Roman"/>
          <w:color w:val="000000"/>
          <w:sz w:val="20"/>
          <w:szCs w:val="48"/>
        </w:rPr>
        <w:t>lėšos</w:t>
      </w:r>
      <w:r w:rsidR="00D65C3C" w:rsidRPr="00CF2C00">
        <w:rPr>
          <w:rFonts w:ascii="Arial" w:eastAsia="MS PGothic" w:hAnsi="Arial" w:cs="Times New Roman"/>
          <w:color w:val="000000"/>
          <w:sz w:val="20"/>
          <w:szCs w:val="48"/>
        </w:rPr>
        <w:t xml:space="preserve"> </w:t>
      </w:r>
      <w:r w:rsidR="000D5BA5" w:rsidRPr="00CF2C00">
        <w:rPr>
          <w:rFonts w:ascii="Arial" w:eastAsia="MS PGothic" w:hAnsi="Arial" w:cs="Times New Roman"/>
          <w:color w:val="000000"/>
          <w:sz w:val="20"/>
          <w:szCs w:val="48"/>
        </w:rPr>
        <w:t xml:space="preserve">sudarė </w:t>
      </w:r>
      <w:r w:rsidR="00CF323C">
        <w:rPr>
          <w:rFonts w:ascii="Arial" w:eastAsia="MS PGothic" w:hAnsi="Arial" w:cs="Times New Roman"/>
          <w:color w:val="000000"/>
          <w:sz w:val="20"/>
          <w:szCs w:val="48"/>
        </w:rPr>
        <w:t>šiek tiek daugiau – 7</w:t>
      </w:r>
      <w:r w:rsidR="000D5BA5" w:rsidRPr="00CF2C00">
        <w:rPr>
          <w:rFonts w:ascii="Arial" w:eastAsia="MS PGothic" w:hAnsi="Arial" w:cs="Times New Roman"/>
          <w:color w:val="000000"/>
          <w:sz w:val="20"/>
          <w:szCs w:val="48"/>
        </w:rPr>
        <w:t xml:space="preserve"> proc. </w:t>
      </w:r>
      <w:r w:rsidR="00C144CE" w:rsidRPr="00CF2C00">
        <w:rPr>
          <w:rFonts w:ascii="Arial" w:eastAsia="MS PGothic" w:hAnsi="Arial" w:cs="Times New Roman"/>
          <w:color w:val="000000"/>
          <w:sz w:val="20"/>
          <w:szCs w:val="48"/>
        </w:rPr>
        <w:t>Nagrinėjant projektų skaičių, matoma, kad ŽIPVP ap</w:t>
      </w:r>
      <w:r w:rsidR="00CF323C">
        <w:rPr>
          <w:rFonts w:ascii="Arial" w:eastAsia="MS PGothic" w:hAnsi="Arial" w:cs="Times New Roman"/>
          <w:color w:val="000000"/>
          <w:sz w:val="20"/>
          <w:szCs w:val="48"/>
        </w:rPr>
        <w:t>imtyje buvo įgyvendinta daug (15</w:t>
      </w:r>
      <w:r w:rsidR="00264515">
        <w:rPr>
          <w:rFonts w:ascii="Arial" w:eastAsia="MS PGothic" w:hAnsi="Arial" w:cs="Times New Roman"/>
          <w:color w:val="000000"/>
          <w:sz w:val="20"/>
          <w:szCs w:val="48"/>
        </w:rPr>
        <w:t xml:space="preserve"> projektų</w:t>
      </w:r>
      <w:r w:rsidR="00C144CE" w:rsidRPr="00CF2C00">
        <w:rPr>
          <w:rFonts w:ascii="Arial" w:eastAsia="MS PGothic" w:hAnsi="Arial" w:cs="Times New Roman"/>
          <w:color w:val="000000"/>
          <w:sz w:val="20"/>
          <w:szCs w:val="48"/>
        </w:rPr>
        <w:t xml:space="preserve">) mažos vertės projektų, </w:t>
      </w:r>
      <w:r w:rsidR="00CF323C">
        <w:rPr>
          <w:rFonts w:ascii="Arial" w:eastAsia="MS PGothic" w:hAnsi="Arial" w:cs="Times New Roman"/>
          <w:color w:val="000000"/>
          <w:sz w:val="20"/>
          <w:szCs w:val="48"/>
        </w:rPr>
        <w:t>tuo tarpu EAVP – atvirkščiai (3</w:t>
      </w:r>
      <w:r w:rsidR="00264515">
        <w:rPr>
          <w:rFonts w:ascii="Arial" w:eastAsia="MS PGothic" w:hAnsi="Arial" w:cs="Times New Roman"/>
          <w:color w:val="000000"/>
          <w:sz w:val="20"/>
          <w:szCs w:val="48"/>
        </w:rPr>
        <w:t xml:space="preserve"> projektai</w:t>
      </w:r>
      <w:r w:rsidR="00C144CE" w:rsidRPr="00CF2C00">
        <w:rPr>
          <w:rFonts w:ascii="Arial" w:eastAsia="MS PGothic" w:hAnsi="Arial" w:cs="Times New Roman"/>
          <w:color w:val="000000"/>
          <w:sz w:val="20"/>
          <w:szCs w:val="48"/>
        </w:rPr>
        <w:t>). SSVP projektų skaičius</w:t>
      </w:r>
      <w:r w:rsidR="00CF323C">
        <w:rPr>
          <w:rFonts w:ascii="Arial" w:eastAsia="MS PGothic" w:hAnsi="Arial" w:cs="Times New Roman"/>
          <w:color w:val="000000"/>
          <w:sz w:val="20"/>
          <w:szCs w:val="48"/>
        </w:rPr>
        <w:t xml:space="preserve"> atitiko skirtą finansavimą – 29</w:t>
      </w:r>
      <w:r w:rsidR="00C144CE" w:rsidRPr="00CF2C00">
        <w:rPr>
          <w:rFonts w:ascii="Arial" w:eastAsia="MS PGothic" w:hAnsi="Arial" w:cs="Times New Roman"/>
          <w:color w:val="000000"/>
          <w:sz w:val="20"/>
          <w:szCs w:val="48"/>
        </w:rPr>
        <w:t xml:space="preserve"> projektai.</w:t>
      </w:r>
    </w:p>
    <w:p w:rsidR="0020781B" w:rsidRPr="00CF2C00" w:rsidRDefault="00D65C3C" w:rsidP="0020781B">
      <w:pPr>
        <w:pStyle w:val="Caption"/>
        <w:keepNext/>
      </w:pPr>
      <w:r w:rsidRPr="00CF2C00">
        <w:rPr>
          <w:noProof/>
          <w:lang w:val="en-US"/>
        </w:rPr>
        <w:drawing>
          <wp:anchor distT="0" distB="0" distL="114300" distR="114300" simplePos="0" relativeHeight="251671552" behindDoc="0" locked="0" layoutInCell="1" allowOverlap="1" wp14:anchorId="4C163F33" wp14:editId="0C835CCD">
            <wp:simplePos x="0" y="0"/>
            <wp:positionH relativeFrom="margin">
              <wp:posOffset>74930</wp:posOffset>
            </wp:positionH>
            <wp:positionV relativeFrom="paragraph">
              <wp:posOffset>393065</wp:posOffset>
            </wp:positionV>
            <wp:extent cx="2971800" cy="2143125"/>
            <wp:effectExtent l="0" t="0" r="0" b="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0020781B" w:rsidRPr="00CF2C00">
        <w:fldChar w:fldCharType="begin"/>
      </w:r>
      <w:r w:rsidR="0020781B" w:rsidRPr="00CF2C00">
        <w:instrText xml:space="preserve"> SEQ paveikslas \* ARABIC </w:instrText>
      </w:r>
      <w:r w:rsidR="0020781B" w:rsidRPr="00CF2C00">
        <w:fldChar w:fldCharType="separate"/>
      </w:r>
      <w:r w:rsidR="008A1509" w:rsidRPr="00CF2C00">
        <w:t>1</w:t>
      </w:r>
      <w:r w:rsidR="0020781B" w:rsidRPr="00CF2C00">
        <w:fldChar w:fldCharType="end"/>
      </w:r>
      <w:r w:rsidR="0020781B" w:rsidRPr="00CF2C00">
        <w:t xml:space="preserve"> paveikslas. Veiksmų</w:t>
      </w:r>
      <w:r w:rsidR="000D5BA5" w:rsidRPr="00CF2C00">
        <w:t xml:space="preserve"> programų finansavimas (dalis bendros projektų vertės</w:t>
      </w:r>
      <w:r w:rsidR="00326A1B" w:rsidRPr="00CF2C00">
        <w:t>)</w:t>
      </w:r>
      <w:r w:rsidR="0020781B" w:rsidRPr="00CF2C00">
        <w:t xml:space="preserve"> </w:t>
      </w:r>
    </w:p>
    <w:p w:rsidR="00D65C3C" w:rsidRPr="00CF2C00" w:rsidRDefault="00D65C3C" w:rsidP="00A552B8">
      <w:pPr>
        <w:pStyle w:val="Caption"/>
        <w:spacing w:before="240"/>
        <w:rPr>
          <w:b w:val="0"/>
        </w:rPr>
      </w:pPr>
    </w:p>
    <w:p w:rsidR="00D65C3C" w:rsidRPr="00CF2C00" w:rsidRDefault="00D65C3C" w:rsidP="00A552B8">
      <w:pPr>
        <w:pStyle w:val="Caption"/>
        <w:spacing w:before="240"/>
        <w:rPr>
          <w:b w:val="0"/>
        </w:rPr>
      </w:pPr>
    </w:p>
    <w:p w:rsidR="00D65C3C" w:rsidRPr="00CF2C00" w:rsidRDefault="00D65C3C" w:rsidP="00A552B8">
      <w:pPr>
        <w:pStyle w:val="Caption"/>
        <w:spacing w:before="240"/>
        <w:rPr>
          <w:b w:val="0"/>
        </w:rPr>
      </w:pPr>
    </w:p>
    <w:p w:rsidR="00D65C3C" w:rsidRPr="00CF2C00" w:rsidRDefault="00D65C3C" w:rsidP="00A552B8">
      <w:pPr>
        <w:pStyle w:val="Caption"/>
        <w:spacing w:before="240"/>
        <w:rPr>
          <w:b w:val="0"/>
        </w:rPr>
      </w:pPr>
    </w:p>
    <w:p w:rsidR="00D65C3C" w:rsidRPr="00CF2C00" w:rsidRDefault="00D65C3C" w:rsidP="00A552B8">
      <w:pPr>
        <w:pStyle w:val="Caption"/>
        <w:spacing w:before="240"/>
        <w:rPr>
          <w:b w:val="0"/>
        </w:rPr>
      </w:pPr>
    </w:p>
    <w:p w:rsidR="00D65C3C" w:rsidRPr="00CF2C00" w:rsidRDefault="00D65C3C" w:rsidP="00A552B8">
      <w:pPr>
        <w:pStyle w:val="Caption"/>
        <w:spacing w:before="240"/>
        <w:rPr>
          <w:b w:val="0"/>
        </w:rPr>
      </w:pPr>
    </w:p>
    <w:p w:rsidR="00D65C3C" w:rsidRPr="00CF2C00" w:rsidRDefault="00D65C3C" w:rsidP="00A552B8">
      <w:pPr>
        <w:pStyle w:val="Caption"/>
        <w:spacing w:before="240"/>
        <w:rPr>
          <w:b w:val="0"/>
        </w:rPr>
      </w:pPr>
    </w:p>
    <w:p w:rsidR="00D65C3C" w:rsidRPr="00CF2C00" w:rsidRDefault="00D65C3C" w:rsidP="00D65C3C">
      <w:pPr>
        <w:pStyle w:val="Caption"/>
        <w:spacing w:after="0"/>
        <w:rPr>
          <w:b w:val="0"/>
        </w:rPr>
      </w:pPr>
    </w:p>
    <w:p w:rsidR="00FB33DD" w:rsidRDefault="00FB33DD" w:rsidP="00D65C3C">
      <w:pPr>
        <w:pStyle w:val="Caption"/>
        <w:spacing w:before="120"/>
        <w:rPr>
          <w:b w:val="0"/>
        </w:rPr>
      </w:pPr>
    </w:p>
    <w:p w:rsidR="005577BB" w:rsidRPr="00CF2C00" w:rsidRDefault="005577BB" w:rsidP="00D65C3C">
      <w:pPr>
        <w:pStyle w:val="Caption"/>
        <w:spacing w:before="120"/>
        <w:rPr>
          <w:b w:val="0"/>
        </w:rPr>
      </w:pPr>
      <w:r w:rsidRPr="00CF2C00">
        <w:rPr>
          <w:b w:val="0"/>
        </w:rPr>
        <w:t xml:space="preserve">Šaltinis: </w:t>
      </w:r>
      <w:hyperlink r:id="rId13" w:history="1">
        <w:r w:rsidR="009D7299" w:rsidRPr="00CF2C00">
          <w:rPr>
            <w:rStyle w:val="Hyperlink"/>
            <w:b w:val="0"/>
          </w:rPr>
          <w:t>www.esparama.lt</w:t>
        </w:r>
      </w:hyperlink>
    </w:p>
    <w:p w:rsidR="00C83C6E" w:rsidRPr="00CF2C00" w:rsidRDefault="002677E8" w:rsidP="000C024B">
      <w:pPr>
        <w:jc w:val="both"/>
        <w:rPr>
          <w:rFonts w:ascii="Arial" w:hAnsi="Arial" w:cs="Arial"/>
          <w:sz w:val="20"/>
        </w:rPr>
      </w:pPr>
      <w:r w:rsidRPr="00CF2C00">
        <w:rPr>
          <w:rFonts w:ascii="Arial" w:hAnsi="Arial" w:cs="Arial"/>
          <w:sz w:val="20"/>
        </w:rPr>
        <w:t xml:space="preserve">Analizuojant veiksmų </w:t>
      </w:r>
      <w:r w:rsidR="000534F9" w:rsidRPr="00CF2C00">
        <w:rPr>
          <w:rFonts w:ascii="Arial" w:hAnsi="Arial" w:cs="Arial"/>
          <w:sz w:val="20"/>
        </w:rPr>
        <w:t>programų prioritetų</w:t>
      </w:r>
      <w:r w:rsidRPr="00CF2C00">
        <w:rPr>
          <w:rFonts w:ascii="Arial" w:hAnsi="Arial" w:cs="Arial"/>
          <w:sz w:val="20"/>
        </w:rPr>
        <w:t xml:space="preserve"> finansavimą</w:t>
      </w:r>
      <w:r w:rsidR="003D195A" w:rsidRPr="00CF2C00">
        <w:rPr>
          <w:rFonts w:ascii="Arial" w:hAnsi="Arial" w:cs="Arial"/>
          <w:sz w:val="20"/>
        </w:rPr>
        <w:t>,</w:t>
      </w:r>
      <w:r w:rsidR="00FB33DD">
        <w:rPr>
          <w:rFonts w:ascii="Arial" w:hAnsi="Arial" w:cs="Arial"/>
          <w:sz w:val="20"/>
        </w:rPr>
        <w:t xml:space="preserve"> ŽIPVP apimtyje ES finansavimas </w:t>
      </w:r>
      <w:r w:rsidR="00C83C6E" w:rsidRPr="00CF2C00">
        <w:rPr>
          <w:rFonts w:ascii="Arial" w:hAnsi="Arial" w:cs="Arial"/>
          <w:sz w:val="20"/>
        </w:rPr>
        <w:t xml:space="preserve"> </w:t>
      </w:r>
      <w:r w:rsidR="003B6A83">
        <w:rPr>
          <w:rFonts w:ascii="Arial" w:hAnsi="Arial" w:cs="Arial"/>
          <w:sz w:val="20"/>
        </w:rPr>
        <w:t>buvo skirta</w:t>
      </w:r>
      <w:r w:rsidR="00FB33DD">
        <w:rPr>
          <w:rFonts w:ascii="Arial" w:hAnsi="Arial" w:cs="Arial"/>
          <w:sz w:val="20"/>
        </w:rPr>
        <w:t>s</w:t>
      </w:r>
      <w:r w:rsidR="00C83C6E" w:rsidRPr="00CF2C00">
        <w:rPr>
          <w:rFonts w:ascii="Arial" w:hAnsi="Arial" w:cs="Arial"/>
          <w:sz w:val="20"/>
        </w:rPr>
        <w:t xml:space="preserve"> prioritetų „1 Prioritetas. Kokybiškas užimtumas ir socialinė aprėptis</w:t>
      </w:r>
      <w:r w:rsidR="003B6A83">
        <w:rPr>
          <w:rFonts w:ascii="Arial" w:hAnsi="Arial" w:cs="Arial"/>
          <w:sz w:val="20"/>
        </w:rPr>
        <w:t xml:space="preserve">“ </w:t>
      </w:r>
      <w:r w:rsidR="00C83C6E" w:rsidRPr="00CF2C00">
        <w:rPr>
          <w:rFonts w:ascii="Arial" w:hAnsi="Arial" w:cs="Arial"/>
          <w:sz w:val="20"/>
        </w:rPr>
        <w:t>ir „4 Prioritetas. Administracinių gebėjimų stiprinimas ir viešojo administravimo efektyvumo didinima</w:t>
      </w:r>
      <w:r w:rsidR="00FB33DD">
        <w:rPr>
          <w:rFonts w:ascii="Arial" w:hAnsi="Arial" w:cs="Arial"/>
          <w:sz w:val="20"/>
        </w:rPr>
        <w:t>s“ projektams</w:t>
      </w:r>
      <w:r w:rsidR="0005613F" w:rsidRPr="00CF2C00">
        <w:rPr>
          <w:rFonts w:ascii="Arial" w:hAnsi="Arial" w:cs="Arial"/>
          <w:sz w:val="20"/>
        </w:rPr>
        <w:t>. EAVP apimtyje –</w:t>
      </w:r>
      <w:r w:rsidR="00955E14" w:rsidRPr="00CF2C00">
        <w:rPr>
          <w:rFonts w:ascii="Arial" w:hAnsi="Arial" w:cs="Arial"/>
          <w:sz w:val="20"/>
        </w:rPr>
        <w:t xml:space="preserve"> </w:t>
      </w:r>
      <w:r w:rsidR="003B6A83">
        <w:rPr>
          <w:rFonts w:ascii="Arial" w:hAnsi="Arial" w:cs="Arial"/>
          <w:sz w:val="20"/>
        </w:rPr>
        <w:t xml:space="preserve"> „3</w:t>
      </w:r>
      <w:r w:rsidR="00C83C6E" w:rsidRPr="00CF2C00">
        <w:rPr>
          <w:rFonts w:ascii="Arial" w:hAnsi="Arial" w:cs="Arial"/>
          <w:sz w:val="20"/>
        </w:rPr>
        <w:t xml:space="preserve"> Prioriteto.</w:t>
      </w:r>
      <w:r w:rsidR="0005613F" w:rsidRPr="00CF2C00">
        <w:t xml:space="preserve"> </w:t>
      </w:r>
      <w:r w:rsidR="003B6A83">
        <w:rPr>
          <w:rFonts w:ascii="Arial" w:hAnsi="Arial" w:cs="Arial"/>
          <w:sz w:val="20"/>
        </w:rPr>
        <w:t>Informacinė visuomenė visiems</w:t>
      </w:r>
      <w:r w:rsidR="00C83C6E" w:rsidRPr="00CF2C00">
        <w:rPr>
          <w:rFonts w:ascii="Arial" w:hAnsi="Arial" w:cs="Arial"/>
          <w:sz w:val="20"/>
        </w:rPr>
        <w:t>“</w:t>
      </w:r>
      <w:r w:rsidR="003B6A83">
        <w:rPr>
          <w:rFonts w:ascii="Arial" w:hAnsi="Arial" w:cs="Arial"/>
          <w:sz w:val="20"/>
        </w:rPr>
        <w:t xml:space="preserve"> ir</w:t>
      </w:r>
      <w:r w:rsidR="00955E14" w:rsidRPr="00CF2C00">
        <w:rPr>
          <w:rFonts w:ascii="Arial" w:hAnsi="Arial" w:cs="Arial"/>
          <w:sz w:val="20"/>
        </w:rPr>
        <w:t xml:space="preserve"> </w:t>
      </w:r>
      <w:r w:rsidR="0005613F" w:rsidRPr="00CF2C00">
        <w:rPr>
          <w:rFonts w:ascii="Arial" w:hAnsi="Arial" w:cs="Arial"/>
          <w:sz w:val="20"/>
        </w:rPr>
        <w:t>„4 Prioriteto. Esminė ekonominė infrastruktūra“</w:t>
      </w:r>
      <w:r w:rsidR="00332F7B" w:rsidRPr="00CF2C00">
        <w:rPr>
          <w:rFonts w:ascii="Arial" w:hAnsi="Arial" w:cs="Arial"/>
          <w:sz w:val="20"/>
        </w:rPr>
        <w:t xml:space="preserve"> </w:t>
      </w:r>
      <w:r w:rsidR="00C83C6E" w:rsidRPr="00CF2C00">
        <w:rPr>
          <w:rFonts w:ascii="Arial" w:hAnsi="Arial" w:cs="Arial"/>
          <w:sz w:val="20"/>
        </w:rPr>
        <w:t>projekta</w:t>
      </w:r>
      <w:r w:rsidR="00FB33DD">
        <w:rPr>
          <w:rFonts w:ascii="Arial" w:hAnsi="Arial" w:cs="Arial"/>
          <w:sz w:val="20"/>
        </w:rPr>
        <w:t>ms</w:t>
      </w:r>
      <w:r w:rsidR="00C83C6E" w:rsidRPr="00CF2C00">
        <w:rPr>
          <w:rFonts w:ascii="Arial" w:hAnsi="Arial" w:cs="Arial"/>
          <w:sz w:val="20"/>
        </w:rPr>
        <w:t xml:space="preserve">. SSVP apimtyje – „1 Prioriteto. Vietinė ir urbanistinė plėtra, kultūros paveldo ir gamtos išsaugojimas bei pritaikymas </w:t>
      </w:r>
      <w:r w:rsidR="00C83C6E" w:rsidRPr="00CF2C00">
        <w:rPr>
          <w:rFonts w:ascii="Arial" w:hAnsi="Arial" w:cs="Arial"/>
          <w:sz w:val="20"/>
        </w:rPr>
        <w:lastRenderedPageBreak/>
        <w:t>turizmo plėtrai“, „2 Prioriteto. Viešųjų paslaugų kokybė ir prieinamumas: sveikatos, švietimo ir socialinė infrastruktūra“ ir „3 Prioriteto. Aplinka</w:t>
      </w:r>
      <w:r w:rsidR="00FB33DD">
        <w:rPr>
          <w:rFonts w:ascii="Arial" w:hAnsi="Arial" w:cs="Arial"/>
          <w:sz w:val="20"/>
        </w:rPr>
        <w:t xml:space="preserve"> ir darnus vystymasis“ projektams</w:t>
      </w:r>
      <w:r w:rsidR="00C83C6E" w:rsidRPr="00CF2C00">
        <w:rPr>
          <w:rFonts w:ascii="Arial" w:hAnsi="Arial" w:cs="Arial"/>
          <w:sz w:val="20"/>
        </w:rPr>
        <w:t>. Taigi investuojama buvo į užimtumo didinimą,</w:t>
      </w:r>
      <w:r w:rsidR="003B6A83">
        <w:rPr>
          <w:rFonts w:ascii="Arial" w:hAnsi="Arial" w:cs="Arial"/>
          <w:sz w:val="20"/>
        </w:rPr>
        <w:t xml:space="preserve"> </w:t>
      </w:r>
      <w:r w:rsidR="00C83C6E" w:rsidRPr="00CF2C00">
        <w:rPr>
          <w:rFonts w:ascii="Arial" w:hAnsi="Arial" w:cs="Arial"/>
          <w:sz w:val="20"/>
        </w:rPr>
        <w:t>viešojo valdymo tobulinimą,</w:t>
      </w:r>
      <w:r w:rsidR="00E805EC" w:rsidRPr="00CF2C00">
        <w:rPr>
          <w:rFonts w:ascii="Arial" w:hAnsi="Arial" w:cs="Arial"/>
          <w:sz w:val="20"/>
        </w:rPr>
        <w:t xml:space="preserve"> </w:t>
      </w:r>
      <w:r w:rsidR="003B6A83">
        <w:rPr>
          <w:rFonts w:ascii="Arial" w:hAnsi="Arial" w:cs="Arial"/>
          <w:sz w:val="20"/>
        </w:rPr>
        <w:t xml:space="preserve">informacinės visuomenės plėtrą, </w:t>
      </w:r>
      <w:r w:rsidR="00C83C6E" w:rsidRPr="00CF2C00">
        <w:rPr>
          <w:rFonts w:ascii="Arial" w:hAnsi="Arial" w:cs="Arial"/>
          <w:sz w:val="20"/>
        </w:rPr>
        <w:t xml:space="preserve">miestų plėtrą ir paveldo išsaugojimo, viešųjų paslaugų kokybę ir aplinkosaugą. Daugiausiai buvo investuojama į gamybinį kapitalą; didžioji dalis investicijų įgyvendintos pasitelkiant vertikaliai darnaus vystymosi horizontalų prioritetą integruojančias priemones. </w:t>
      </w:r>
    </w:p>
    <w:p w:rsidR="003B6A9C" w:rsidRPr="00CF2C00" w:rsidRDefault="003B6A9C" w:rsidP="003B6A9C">
      <w:pPr>
        <w:pStyle w:val="Caption"/>
        <w:keepNext/>
      </w:pPr>
      <w:r w:rsidRPr="00CF2C00">
        <w:fldChar w:fldCharType="begin"/>
      </w:r>
      <w:r w:rsidRPr="00CF2C00">
        <w:instrText xml:space="preserve"> SEQ paveikslas \* ARABIC </w:instrText>
      </w:r>
      <w:r w:rsidRPr="00CF2C00">
        <w:fldChar w:fldCharType="separate"/>
      </w:r>
      <w:r w:rsidR="00E41636" w:rsidRPr="00CF2C00">
        <w:t>2</w:t>
      </w:r>
      <w:r w:rsidRPr="00CF2C00">
        <w:fldChar w:fldCharType="end"/>
      </w:r>
      <w:r w:rsidRPr="00CF2C00">
        <w:t xml:space="preserve"> paveikslas. Veiksmų programų prioritetų finansavimas (</w:t>
      </w:r>
      <w:r w:rsidR="00C849C4" w:rsidRPr="00CF2C00">
        <w:t>dalis nuo visos VP)</w:t>
      </w:r>
    </w:p>
    <w:p w:rsidR="009D7299" w:rsidRPr="00CF2C00" w:rsidRDefault="00FB33DD" w:rsidP="000C024B">
      <w:pPr>
        <w:jc w:val="both"/>
        <w:rPr>
          <w:rFonts w:ascii="Arial" w:hAnsi="Arial" w:cs="Arial"/>
          <w:sz w:val="20"/>
        </w:rPr>
      </w:pPr>
      <w:r w:rsidRPr="00CF2C00">
        <w:rPr>
          <w:rFonts w:ascii="Arial" w:hAnsi="Arial" w:cs="Arial"/>
          <w:noProof/>
          <w:sz w:val="20"/>
          <w:lang w:val="en-US"/>
        </w:rPr>
        <w:drawing>
          <wp:anchor distT="0" distB="0" distL="114300" distR="114300" simplePos="0" relativeHeight="251672576" behindDoc="0" locked="0" layoutInCell="1" allowOverlap="1" wp14:anchorId="5A5A14B3" wp14:editId="4CD8F9C8">
            <wp:simplePos x="0" y="0"/>
            <wp:positionH relativeFrom="margin">
              <wp:posOffset>-7620</wp:posOffset>
            </wp:positionH>
            <wp:positionV relativeFrom="paragraph">
              <wp:posOffset>34290</wp:posOffset>
            </wp:positionV>
            <wp:extent cx="4676775" cy="1724025"/>
            <wp:effectExtent l="0" t="0" r="9525" b="9525"/>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2677E8" w:rsidRPr="00CF2C00" w:rsidRDefault="002677E8" w:rsidP="00A552B8">
      <w:pPr>
        <w:pStyle w:val="Caption"/>
        <w:spacing w:before="240"/>
        <w:rPr>
          <w:b w:val="0"/>
        </w:rPr>
      </w:pPr>
    </w:p>
    <w:p w:rsidR="00FB33DD" w:rsidRDefault="00FB33DD" w:rsidP="00FF20FA">
      <w:pPr>
        <w:pStyle w:val="Caption"/>
        <w:spacing w:before="240"/>
        <w:rPr>
          <w:b w:val="0"/>
        </w:rPr>
      </w:pPr>
    </w:p>
    <w:p w:rsidR="00FB33DD" w:rsidRDefault="00FB33DD" w:rsidP="00FF20FA">
      <w:pPr>
        <w:pStyle w:val="Caption"/>
        <w:spacing w:before="240"/>
        <w:rPr>
          <w:b w:val="0"/>
        </w:rPr>
      </w:pPr>
    </w:p>
    <w:p w:rsidR="00FB33DD" w:rsidRDefault="00FB33DD" w:rsidP="00FF20FA">
      <w:pPr>
        <w:pStyle w:val="Caption"/>
        <w:spacing w:before="240"/>
        <w:rPr>
          <w:b w:val="0"/>
        </w:rPr>
      </w:pPr>
    </w:p>
    <w:p w:rsidR="00FB33DD" w:rsidRDefault="00FB33DD" w:rsidP="00FF20FA">
      <w:pPr>
        <w:pStyle w:val="Caption"/>
        <w:spacing w:before="240"/>
        <w:rPr>
          <w:b w:val="0"/>
        </w:rPr>
      </w:pPr>
    </w:p>
    <w:p w:rsidR="00FB33DD" w:rsidRDefault="00FB33DD" w:rsidP="00FF20FA">
      <w:pPr>
        <w:pStyle w:val="Caption"/>
        <w:spacing w:before="240"/>
        <w:rPr>
          <w:b w:val="0"/>
        </w:rPr>
      </w:pPr>
    </w:p>
    <w:p w:rsidR="00A2570C" w:rsidRPr="00CF2C00" w:rsidRDefault="00761250" w:rsidP="00FF20FA">
      <w:pPr>
        <w:pStyle w:val="Caption"/>
        <w:spacing w:before="240"/>
        <w:rPr>
          <w:b w:val="0"/>
        </w:rPr>
      </w:pPr>
      <w:r w:rsidRPr="00CF2C00">
        <w:rPr>
          <w:b w:val="0"/>
        </w:rPr>
        <w:t xml:space="preserve">Šaltinis: </w:t>
      </w:r>
      <w:hyperlink r:id="rId15" w:history="1">
        <w:r w:rsidR="00FF20FA" w:rsidRPr="00CF2C00">
          <w:rPr>
            <w:rStyle w:val="Hyperlink"/>
            <w:b w:val="0"/>
          </w:rPr>
          <w:t>www.esparama.lt</w:t>
        </w:r>
      </w:hyperlink>
    </w:p>
    <w:p w:rsidR="00FF20FA" w:rsidRPr="00CF2C00" w:rsidRDefault="00FF20FA" w:rsidP="00FF20FA">
      <w:pPr>
        <w:jc w:val="both"/>
        <w:rPr>
          <w:rFonts w:ascii="Arial" w:eastAsia="MS PGothic" w:hAnsi="Arial" w:cs="Times New Roman"/>
          <w:sz w:val="20"/>
          <w:szCs w:val="24"/>
        </w:rPr>
      </w:pPr>
      <w:r w:rsidRPr="00CF2C00">
        <w:rPr>
          <w:rFonts w:ascii="Arial" w:eastAsia="MS PGothic" w:hAnsi="Arial" w:cs="Times New Roman"/>
          <w:sz w:val="20"/>
          <w:szCs w:val="24"/>
        </w:rPr>
        <w:t>Atlikus įgyvendintų projektų analizę, nustatyta, kad ŽIPVP 1</w:t>
      </w:r>
      <w:r w:rsidR="003B6A83">
        <w:rPr>
          <w:rFonts w:ascii="Arial" w:eastAsia="MS PGothic" w:hAnsi="Arial" w:cs="Times New Roman"/>
          <w:sz w:val="20"/>
          <w:szCs w:val="24"/>
        </w:rPr>
        <w:t xml:space="preserve"> prioriteto</w:t>
      </w:r>
      <w:r w:rsidRPr="00CF2C00">
        <w:rPr>
          <w:rFonts w:ascii="Arial" w:eastAsia="MS PGothic" w:hAnsi="Arial" w:cs="Times New Roman"/>
          <w:sz w:val="20"/>
          <w:szCs w:val="24"/>
        </w:rPr>
        <w:t xml:space="preserve"> apimtyje </w:t>
      </w:r>
      <w:r w:rsidR="003B6A83">
        <w:rPr>
          <w:rFonts w:ascii="Arial" w:eastAsia="MS PGothic" w:hAnsi="Arial" w:cs="Times New Roman"/>
          <w:sz w:val="20"/>
          <w:szCs w:val="24"/>
        </w:rPr>
        <w:t>finansuoti keli kompetencijų stiprinimo projektai. Tuo tarpu</w:t>
      </w:r>
      <w:r w:rsidRPr="00CF2C00">
        <w:rPr>
          <w:rFonts w:ascii="Arial" w:eastAsia="MS PGothic" w:hAnsi="Arial" w:cs="Times New Roman"/>
          <w:sz w:val="20"/>
          <w:szCs w:val="24"/>
        </w:rPr>
        <w:t xml:space="preserve"> aktyvioms užimtumo skatinimo/ nedarbo priemonėms skirtas dėmesys buvo ribotas.</w:t>
      </w:r>
      <w:r w:rsidR="00332F7B" w:rsidRPr="00CF2C00">
        <w:rPr>
          <w:rFonts w:ascii="Arial" w:eastAsia="MS PGothic" w:hAnsi="Arial" w:cs="Times New Roman"/>
          <w:sz w:val="20"/>
          <w:szCs w:val="24"/>
        </w:rPr>
        <w:t xml:space="preserve"> Reikšmingam poveikiui finansavimas buvo nepakankamas.</w:t>
      </w:r>
      <w:r w:rsidRPr="00CF2C00">
        <w:rPr>
          <w:rFonts w:ascii="Arial" w:eastAsia="MS PGothic" w:hAnsi="Arial" w:cs="Times New Roman"/>
          <w:sz w:val="20"/>
          <w:szCs w:val="24"/>
        </w:rPr>
        <w:t xml:space="preserve"> </w:t>
      </w:r>
      <w:r w:rsidR="00D62EB8" w:rsidRPr="00CF2C00">
        <w:rPr>
          <w:rFonts w:ascii="Arial" w:eastAsia="MS PGothic" w:hAnsi="Arial" w:cs="Times New Roman"/>
          <w:sz w:val="20"/>
          <w:szCs w:val="24"/>
        </w:rPr>
        <w:t>ŽIPVP 4 prioriteto projektai iš esmės atitiko ir kitose probleminėse teritorijose įgyvendintas viešojo valdymo tobulinimo priemones: viešojo administravimo įstaigų darbuotojų kvalifikacijos kėlimas, strateginio ir teritorijų planavimo dokumentų rengimas</w:t>
      </w:r>
      <w:r w:rsidR="00332F7B" w:rsidRPr="00CF2C00">
        <w:rPr>
          <w:rFonts w:ascii="Arial" w:eastAsia="MS PGothic" w:hAnsi="Arial" w:cs="Times New Roman"/>
          <w:sz w:val="20"/>
          <w:szCs w:val="24"/>
        </w:rPr>
        <w:t xml:space="preserve"> ir </w:t>
      </w:r>
      <w:r w:rsidR="003B6A83">
        <w:rPr>
          <w:rFonts w:ascii="Arial" w:eastAsia="MS PGothic" w:hAnsi="Arial" w:cs="Times New Roman"/>
          <w:sz w:val="20"/>
          <w:szCs w:val="24"/>
        </w:rPr>
        <w:t>įvairių administravimo tobulinimo sistemų</w:t>
      </w:r>
      <w:r w:rsidR="00332F7B" w:rsidRPr="00CF2C00">
        <w:rPr>
          <w:rFonts w:ascii="Arial" w:eastAsia="MS PGothic" w:hAnsi="Arial" w:cs="Times New Roman"/>
          <w:sz w:val="20"/>
          <w:szCs w:val="24"/>
        </w:rPr>
        <w:t xml:space="preserve"> diegimas</w:t>
      </w:r>
      <w:r w:rsidR="00C6756A" w:rsidRPr="00CF2C00">
        <w:rPr>
          <w:rFonts w:ascii="Arial" w:eastAsia="MS PGothic" w:hAnsi="Arial" w:cs="Times New Roman"/>
          <w:sz w:val="20"/>
          <w:szCs w:val="24"/>
        </w:rPr>
        <w:t xml:space="preserve">. EAVP </w:t>
      </w:r>
      <w:r w:rsidR="003B6A83">
        <w:rPr>
          <w:rFonts w:ascii="Arial" w:eastAsia="MS PGothic" w:hAnsi="Arial" w:cs="Times New Roman"/>
          <w:sz w:val="20"/>
          <w:szCs w:val="24"/>
        </w:rPr>
        <w:t>projektų skaičius buvo itin mažas; jų įgyvendinimo metu buvo plėtojama transporto ir informacinės visuomenės infrastruktūra</w:t>
      </w:r>
      <w:r w:rsidR="00D62EB8" w:rsidRPr="00CF2C00">
        <w:rPr>
          <w:rFonts w:ascii="Arial" w:eastAsia="MS PGothic" w:hAnsi="Arial" w:cs="Times New Roman"/>
          <w:sz w:val="20"/>
          <w:szCs w:val="24"/>
        </w:rPr>
        <w:t>. SSVP</w:t>
      </w:r>
      <w:r w:rsidR="00242947" w:rsidRPr="00CF2C00">
        <w:rPr>
          <w:rFonts w:ascii="Arial" w:eastAsia="MS PGothic" w:hAnsi="Arial" w:cs="Times New Roman"/>
          <w:sz w:val="20"/>
          <w:szCs w:val="24"/>
        </w:rPr>
        <w:t xml:space="preserve"> 1 prioriteto</w:t>
      </w:r>
      <w:r w:rsidR="00D62EB8" w:rsidRPr="00CF2C00">
        <w:rPr>
          <w:rFonts w:ascii="Arial" w:eastAsia="MS PGothic" w:hAnsi="Arial" w:cs="Times New Roman"/>
          <w:sz w:val="20"/>
          <w:szCs w:val="24"/>
        </w:rPr>
        <w:t xml:space="preserve"> priemonių apimtyje įgyvendinti daugiabučių renovacijos ir kompleksinio </w:t>
      </w:r>
      <w:r w:rsidR="00847350">
        <w:rPr>
          <w:rFonts w:ascii="Arial" w:eastAsia="MS PGothic" w:hAnsi="Arial" w:cs="Times New Roman"/>
          <w:sz w:val="20"/>
          <w:szCs w:val="24"/>
        </w:rPr>
        <w:t>urbanistinės infrastruktūros bei</w:t>
      </w:r>
      <w:r w:rsidR="003B6A83" w:rsidRPr="003B6A83">
        <w:rPr>
          <w:rFonts w:ascii="Arial" w:eastAsia="MS PGothic" w:hAnsi="Arial" w:cs="Times New Roman"/>
          <w:sz w:val="20"/>
          <w:szCs w:val="24"/>
        </w:rPr>
        <w:t xml:space="preserve"> gyvenamosios aplinkos</w:t>
      </w:r>
      <w:r w:rsidR="00D62EB8" w:rsidRPr="00CF2C00">
        <w:rPr>
          <w:rFonts w:ascii="Arial" w:eastAsia="MS PGothic" w:hAnsi="Arial" w:cs="Times New Roman"/>
          <w:sz w:val="20"/>
          <w:szCs w:val="24"/>
        </w:rPr>
        <w:t xml:space="preserve"> </w:t>
      </w:r>
      <w:r w:rsidR="00847350">
        <w:rPr>
          <w:rFonts w:ascii="Arial" w:eastAsia="MS PGothic" w:hAnsi="Arial" w:cs="Times New Roman"/>
          <w:sz w:val="20"/>
          <w:szCs w:val="24"/>
        </w:rPr>
        <w:t xml:space="preserve">gerinimo  projektai, užterštų teritorijų tvarkymo </w:t>
      </w:r>
      <w:r w:rsidR="00D62EB8" w:rsidRPr="00CF2C00">
        <w:rPr>
          <w:rFonts w:ascii="Arial" w:eastAsia="MS PGothic" w:hAnsi="Arial" w:cs="Times New Roman"/>
          <w:sz w:val="20"/>
          <w:szCs w:val="24"/>
        </w:rPr>
        <w:t xml:space="preserve">projektai. </w:t>
      </w:r>
      <w:r w:rsidR="00242947" w:rsidRPr="00CF2C00">
        <w:rPr>
          <w:rFonts w:ascii="Arial" w:eastAsia="MS PGothic" w:hAnsi="Arial" w:cs="Times New Roman"/>
          <w:sz w:val="20"/>
          <w:szCs w:val="24"/>
        </w:rPr>
        <w:t>2 prioriteto projektai orientuoti į socialinių paslaugų infrastruktūros tobulinimą</w:t>
      </w:r>
      <w:r w:rsidR="00847350">
        <w:rPr>
          <w:rFonts w:ascii="Arial" w:eastAsia="MS PGothic" w:hAnsi="Arial" w:cs="Times New Roman"/>
          <w:sz w:val="20"/>
          <w:szCs w:val="24"/>
        </w:rPr>
        <w:t>,</w:t>
      </w:r>
      <w:r w:rsidR="00C6756A" w:rsidRPr="00CF2C00">
        <w:rPr>
          <w:rFonts w:ascii="Arial" w:eastAsia="MS PGothic" w:hAnsi="Arial" w:cs="Times New Roman"/>
          <w:sz w:val="20"/>
          <w:szCs w:val="24"/>
        </w:rPr>
        <w:t xml:space="preserve"> </w:t>
      </w:r>
      <w:r w:rsidR="00242947" w:rsidRPr="00CF2C00">
        <w:rPr>
          <w:rFonts w:ascii="Arial" w:eastAsia="MS PGothic" w:hAnsi="Arial" w:cs="Times New Roman"/>
          <w:sz w:val="20"/>
          <w:szCs w:val="24"/>
        </w:rPr>
        <w:t xml:space="preserve">tuo tarpu 3 prioriteto apimtyje įgyvendinti </w:t>
      </w:r>
      <w:r w:rsidR="00847350">
        <w:rPr>
          <w:rFonts w:ascii="Arial" w:eastAsia="MS PGothic" w:hAnsi="Arial" w:cs="Times New Roman"/>
          <w:sz w:val="20"/>
          <w:szCs w:val="24"/>
        </w:rPr>
        <w:t>švietimo sektoriaus infrastruktūros atnaujinimo ir vandens t</w:t>
      </w:r>
      <w:r w:rsidR="00500B34">
        <w:rPr>
          <w:rFonts w:ascii="Arial" w:eastAsia="MS PGothic" w:hAnsi="Arial" w:cs="Times New Roman"/>
          <w:sz w:val="20"/>
          <w:szCs w:val="24"/>
        </w:rPr>
        <w:t>iekimo</w:t>
      </w:r>
      <w:r w:rsidR="00847350">
        <w:rPr>
          <w:rFonts w:ascii="Arial" w:eastAsia="MS PGothic" w:hAnsi="Arial" w:cs="Times New Roman"/>
          <w:sz w:val="20"/>
          <w:szCs w:val="24"/>
        </w:rPr>
        <w:t xml:space="preserve"> bei nuotekų tvarkymo</w:t>
      </w:r>
      <w:r w:rsidR="00C335FC" w:rsidRPr="00CF2C00">
        <w:rPr>
          <w:rFonts w:ascii="Arial" w:eastAsia="MS PGothic" w:hAnsi="Arial" w:cs="Times New Roman"/>
          <w:sz w:val="20"/>
          <w:szCs w:val="24"/>
        </w:rPr>
        <w:t xml:space="preserve"> projektai</w:t>
      </w:r>
      <w:r w:rsidR="00242947" w:rsidRPr="00CF2C00">
        <w:rPr>
          <w:rFonts w:ascii="Arial" w:eastAsia="MS PGothic" w:hAnsi="Arial" w:cs="Times New Roman"/>
          <w:sz w:val="20"/>
          <w:szCs w:val="24"/>
        </w:rPr>
        <w:t xml:space="preserve">. </w:t>
      </w:r>
      <w:r w:rsidR="00C849C4" w:rsidRPr="00CF2C00">
        <w:rPr>
          <w:rFonts w:ascii="Arial" w:eastAsia="MS PGothic" w:hAnsi="Arial" w:cs="Times New Roman"/>
          <w:sz w:val="20"/>
          <w:szCs w:val="24"/>
        </w:rPr>
        <w:t>Pastebėtina tendencija, kad daugiausiai investuota srityse, kur vyravo region</w:t>
      </w:r>
      <w:r w:rsidR="00847350">
        <w:rPr>
          <w:rFonts w:ascii="Arial" w:eastAsia="MS PGothic" w:hAnsi="Arial" w:cs="Times New Roman"/>
          <w:sz w:val="20"/>
          <w:szCs w:val="24"/>
        </w:rPr>
        <w:t>ų</w:t>
      </w:r>
      <w:r w:rsidR="00C849C4" w:rsidRPr="00CF2C00">
        <w:rPr>
          <w:rFonts w:ascii="Arial" w:eastAsia="MS PGothic" w:hAnsi="Arial" w:cs="Times New Roman"/>
          <w:sz w:val="20"/>
          <w:szCs w:val="24"/>
        </w:rPr>
        <w:t xml:space="preserve"> </w:t>
      </w:r>
      <w:r w:rsidR="00847350">
        <w:rPr>
          <w:rFonts w:ascii="Arial" w:eastAsia="MS PGothic" w:hAnsi="Arial" w:cs="Times New Roman"/>
          <w:sz w:val="20"/>
          <w:szCs w:val="24"/>
        </w:rPr>
        <w:t xml:space="preserve">ir valstybės projektų </w:t>
      </w:r>
      <w:r w:rsidR="00C849C4" w:rsidRPr="00CF2C00">
        <w:rPr>
          <w:rFonts w:ascii="Arial" w:eastAsia="MS PGothic" w:hAnsi="Arial" w:cs="Times New Roman"/>
          <w:sz w:val="20"/>
          <w:szCs w:val="24"/>
        </w:rPr>
        <w:t>planavimo priemonės.</w:t>
      </w:r>
    </w:p>
    <w:p w:rsidR="00A2570C" w:rsidRPr="00CF2C00" w:rsidRDefault="00A2570C" w:rsidP="00C849C4">
      <w:pPr>
        <w:pStyle w:val="Heading1"/>
        <w:numPr>
          <w:ilvl w:val="1"/>
          <w:numId w:val="1"/>
        </w:numPr>
        <w:spacing w:before="360"/>
        <w:rPr>
          <w:rFonts w:ascii="Arial" w:hAnsi="Arial" w:cs="Arial"/>
          <w:b w:val="0"/>
          <w:sz w:val="28"/>
          <w:szCs w:val="28"/>
        </w:rPr>
      </w:pPr>
      <w:r w:rsidRPr="00CF2C00">
        <w:rPr>
          <w:rFonts w:ascii="Arial" w:hAnsi="Arial" w:cs="Arial"/>
          <w:b w:val="0"/>
          <w:sz w:val="28"/>
          <w:szCs w:val="28"/>
        </w:rPr>
        <w:t>Rodiklių analizė</w:t>
      </w:r>
    </w:p>
    <w:p w:rsidR="002B4036" w:rsidRPr="00CF2C00" w:rsidRDefault="002B4036" w:rsidP="002B4036">
      <w:pPr>
        <w:jc w:val="both"/>
        <w:rPr>
          <w:rFonts w:ascii="Arial" w:eastAsia="MS PGothic" w:hAnsi="Arial" w:cs="Times New Roman"/>
          <w:sz w:val="20"/>
          <w:szCs w:val="24"/>
        </w:rPr>
      </w:pPr>
      <w:r w:rsidRPr="00CF2C00">
        <w:rPr>
          <w:rFonts w:ascii="Arial" w:eastAsia="MS PGothic" w:hAnsi="Arial" w:cs="Times New Roman"/>
          <w:sz w:val="20"/>
          <w:szCs w:val="24"/>
        </w:rPr>
        <w:t>Atliekant atvejo studiją buvo vertinti trijų rūšių – aplinkos taršos, demografiniai ir ekonominės veiklos – rodikliai. Aplinkos taršos rodikliai apėmė išvalytų iki normos nuotekų kiekius, išmetamų teršalų kiekius, sieros dioksido (SO</w:t>
      </w:r>
      <w:r w:rsidRPr="00CF2C00">
        <w:rPr>
          <w:rFonts w:ascii="Arial" w:eastAsia="MS PGothic" w:hAnsi="Arial" w:cs="Times New Roman"/>
          <w:sz w:val="20"/>
          <w:szCs w:val="24"/>
          <w:vertAlign w:val="subscript"/>
        </w:rPr>
        <w:t>2</w:t>
      </w:r>
      <w:r w:rsidRPr="00CF2C00">
        <w:rPr>
          <w:rFonts w:ascii="Arial" w:eastAsia="MS PGothic" w:hAnsi="Arial" w:cs="Times New Roman"/>
          <w:sz w:val="20"/>
          <w:szCs w:val="24"/>
        </w:rPr>
        <w:t>)</w:t>
      </w:r>
      <w:r w:rsidRPr="00CF2C00">
        <w:rPr>
          <w:rFonts w:ascii="Arial" w:eastAsia="MS PGothic" w:hAnsi="Arial" w:cs="Times New Roman"/>
          <w:sz w:val="20"/>
          <w:szCs w:val="24"/>
          <w:vertAlign w:val="subscript"/>
        </w:rPr>
        <w:t>,</w:t>
      </w:r>
      <w:r w:rsidRPr="00CF2C00">
        <w:rPr>
          <w:rFonts w:ascii="Arial" w:eastAsia="MS PGothic" w:hAnsi="Arial" w:cs="Times New Roman"/>
          <w:sz w:val="20"/>
          <w:szCs w:val="24"/>
        </w:rPr>
        <w:t xml:space="preserve"> anglies monoksido (CO) rodiklius. Demografiniai rodikliai apėmė nuolatinių gyventojų skaičių, pensinio amžiaus ir darbingo amžiaus gyventojų dalį, bei </w:t>
      </w:r>
      <w:r w:rsidR="00594D44" w:rsidRPr="00CF2C00">
        <w:rPr>
          <w:rFonts w:ascii="Arial" w:eastAsia="MS PGothic" w:hAnsi="Arial" w:cs="Times New Roman"/>
          <w:sz w:val="20"/>
          <w:szCs w:val="24"/>
        </w:rPr>
        <w:t xml:space="preserve">darbingo amžiaus </w:t>
      </w:r>
      <w:r w:rsidRPr="00CF2C00">
        <w:rPr>
          <w:rFonts w:ascii="Arial" w:eastAsia="MS PGothic" w:hAnsi="Arial" w:cs="Times New Roman"/>
          <w:sz w:val="20"/>
          <w:szCs w:val="24"/>
        </w:rPr>
        <w:t xml:space="preserve">gyventojų skaičiaus ir registruotų bedarbių santykį. Ekonominės veiklos rodikliai </w:t>
      </w:r>
      <w:r w:rsidR="007F0777" w:rsidRPr="00CF2C00">
        <w:rPr>
          <w:rFonts w:ascii="Arial" w:eastAsia="MS PGothic" w:hAnsi="Arial" w:cs="Times New Roman"/>
          <w:sz w:val="20"/>
          <w:szCs w:val="24"/>
        </w:rPr>
        <w:t>– pridėtinė vertė gamybos kainomis, materialinės investicijos to meto kainomis ir tiesioginės užsienio investicijos.</w:t>
      </w:r>
    </w:p>
    <w:p w:rsidR="001A1350" w:rsidRPr="00CF2C00" w:rsidRDefault="007F0777" w:rsidP="00B76AF6">
      <w:pPr>
        <w:jc w:val="both"/>
        <w:rPr>
          <w:rFonts w:ascii="Arial" w:eastAsia="MS PGothic" w:hAnsi="Arial" w:cs="Times New Roman"/>
          <w:sz w:val="20"/>
          <w:szCs w:val="24"/>
        </w:rPr>
      </w:pPr>
      <w:r w:rsidRPr="00CF2C00">
        <w:rPr>
          <w:rFonts w:ascii="Arial" w:eastAsia="MS PGothic" w:hAnsi="Arial" w:cs="Times New Roman"/>
          <w:sz w:val="20"/>
          <w:szCs w:val="24"/>
        </w:rPr>
        <w:t>Aplinkos taršos rodiklių atveju stebim</w:t>
      </w:r>
      <w:r w:rsidR="00D45CFF" w:rsidRPr="00CF2C00">
        <w:rPr>
          <w:rFonts w:ascii="Arial" w:eastAsia="MS PGothic" w:hAnsi="Arial" w:cs="Times New Roman"/>
          <w:sz w:val="20"/>
          <w:szCs w:val="24"/>
        </w:rPr>
        <w:t xml:space="preserve">a teigiama aplinkos taršos mažėjimo tendencija. </w:t>
      </w:r>
      <w:r w:rsidR="009C0862">
        <w:rPr>
          <w:rFonts w:ascii="Arial" w:eastAsia="MS PGothic" w:hAnsi="Arial" w:cs="Times New Roman"/>
          <w:sz w:val="20"/>
          <w:szCs w:val="24"/>
        </w:rPr>
        <w:t xml:space="preserve">Vis dėlto nuotekų tvarkymo srityje laikotarpio pabaigoje yra stebimi staigūs neigiami pokyčiai. </w:t>
      </w:r>
      <w:r w:rsidR="009C0862" w:rsidRPr="001D4F9B">
        <w:rPr>
          <w:rFonts w:ascii="Arial" w:eastAsia="MS PGothic" w:hAnsi="Arial" w:cs="Times New Roman"/>
          <w:sz w:val="20"/>
          <w:szCs w:val="24"/>
        </w:rPr>
        <w:t>Bendro teršalų kiekio mažinimą smarkiai nulėmė kietųjų dalelių kiekio sumažėjimas, kuris 2008 m</w:t>
      </w:r>
      <w:r w:rsidR="00D4179A">
        <w:rPr>
          <w:rFonts w:ascii="Arial" w:eastAsia="MS PGothic" w:hAnsi="Arial" w:cs="Times New Roman"/>
          <w:sz w:val="20"/>
          <w:szCs w:val="24"/>
        </w:rPr>
        <w:t>.</w:t>
      </w:r>
      <w:r w:rsidR="009C0862" w:rsidRPr="001D4F9B">
        <w:rPr>
          <w:rFonts w:ascii="Arial" w:eastAsia="MS PGothic" w:hAnsi="Arial" w:cs="Times New Roman"/>
          <w:sz w:val="20"/>
          <w:szCs w:val="24"/>
        </w:rPr>
        <w:t xml:space="preserve"> buvo nukritęs </w:t>
      </w:r>
      <w:r w:rsidR="009C0862">
        <w:rPr>
          <w:rFonts w:ascii="Arial" w:eastAsia="MS PGothic" w:hAnsi="Arial" w:cs="Times New Roman"/>
          <w:sz w:val="20"/>
          <w:szCs w:val="24"/>
        </w:rPr>
        <w:t>6.9 t (beveik 80</w:t>
      </w:r>
      <w:r w:rsidR="009C0862" w:rsidRPr="001D4F9B">
        <w:rPr>
          <w:rFonts w:ascii="Arial" w:eastAsia="MS PGothic" w:hAnsi="Arial" w:cs="Times New Roman"/>
          <w:sz w:val="20"/>
          <w:szCs w:val="24"/>
        </w:rPr>
        <w:t>%</w:t>
      </w:r>
      <w:r w:rsidR="009C0862">
        <w:rPr>
          <w:rFonts w:ascii="Arial" w:eastAsia="MS PGothic" w:hAnsi="Arial" w:cs="Times New Roman"/>
          <w:sz w:val="20"/>
          <w:szCs w:val="24"/>
        </w:rPr>
        <w:t xml:space="preserve"> pokytis lyginant su 200</w:t>
      </w:r>
      <w:r w:rsidR="009C0862">
        <w:rPr>
          <w:rFonts w:ascii="Arial" w:eastAsia="MS PGothic" w:hAnsi="Arial" w:cs="Times New Roman"/>
          <w:sz w:val="20"/>
          <w:szCs w:val="24"/>
          <w:lang w:val="en-US"/>
        </w:rPr>
        <w:t>7</w:t>
      </w:r>
      <w:r w:rsidR="00D4179A">
        <w:rPr>
          <w:rFonts w:ascii="Arial" w:eastAsia="MS PGothic" w:hAnsi="Arial" w:cs="Times New Roman"/>
          <w:sz w:val="20"/>
          <w:szCs w:val="24"/>
          <w:lang w:val="en-US"/>
        </w:rPr>
        <w:t xml:space="preserve"> m.</w:t>
      </w:r>
      <w:r w:rsidR="009C0862" w:rsidRPr="001D4F9B">
        <w:rPr>
          <w:rFonts w:ascii="Arial" w:eastAsia="MS PGothic" w:hAnsi="Arial" w:cs="Times New Roman"/>
          <w:sz w:val="20"/>
          <w:szCs w:val="24"/>
        </w:rPr>
        <w:t>). Lazdijų savivaldybės išmetamų teršalų kiekis Lietuvos Respublikos išmetamų teršalų mastu 2012 m</w:t>
      </w:r>
      <w:r w:rsidR="009C0862">
        <w:rPr>
          <w:rFonts w:ascii="Arial" w:eastAsia="MS PGothic" w:hAnsi="Arial" w:cs="Times New Roman"/>
          <w:sz w:val="20"/>
          <w:szCs w:val="24"/>
        </w:rPr>
        <w:t>.</w:t>
      </w:r>
      <w:r w:rsidR="00D4179A">
        <w:rPr>
          <w:rFonts w:ascii="Arial" w:eastAsia="MS PGothic" w:hAnsi="Arial" w:cs="Times New Roman"/>
          <w:sz w:val="20"/>
          <w:szCs w:val="24"/>
        </w:rPr>
        <w:t xml:space="preserve"> </w:t>
      </w:r>
      <w:r w:rsidR="009C0862" w:rsidRPr="001D4F9B">
        <w:rPr>
          <w:rFonts w:ascii="Arial" w:eastAsia="MS PGothic" w:hAnsi="Arial" w:cs="Times New Roman"/>
          <w:sz w:val="20"/>
          <w:szCs w:val="24"/>
        </w:rPr>
        <w:t xml:space="preserve">sudarė 0.22%. </w:t>
      </w:r>
      <w:r w:rsidR="009C0862">
        <w:rPr>
          <w:rFonts w:ascii="Arial" w:eastAsia="MS PGothic" w:hAnsi="Arial" w:cs="Times New Roman"/>
          <w:sz w:val="20"/>
          <w:szCs w:val="24"/>
        </w:rPr>
        <w:t xml:space="preserve">Nuo laikotarpio pradžios šis rodiklis sumažėjo vos keliomis šimtosiomis </w:t>
      </w:r>
      <w:r w:rsidR="009C0862">
        <w:rPr>
          <w:rFonts w:ascii="Arial" w:eastAsia="MS PGothic" w:hAnsi="Arial" w:cs="Times New Roman"/>
          <w:sz w:val="20"/>
          <w:szCs w:val="24"/>
        </w:rPr>
        <w:lastRenderedPageBreak/>
        <w:t>procento, todėl ryškių pokyčių, lyginant su nacionaliniu vidurkiu, nėra stebima</w:t>
      </w:r>
      <w:r w:rsidR="009C0862" w:rsidRPr="001D4F9B">
        <w:rPr>
          <w:rFonts w:ascii="Arial" w:eastAsia="MS PGothic" w:hAnsi="Arial" w:cs="Times New Roman"/>
          <w:sz w:val="20"/>
          <w:szCs w:val="24"/>
        </w:rPr>
        <w:t xml:space="preserve">. </w:t>
      </w:r>
      <w:r w:rsidR="009C0862">
        <w:rPr>
          <w:rFonts w:ascii="Arial" w:eastAsia="MS PGothic" w:hAnsi="Arial" w:cs="Times New Roman"/>
          <w:sz w:val="20"/>
          <w:szCs w:val="24"/>
        </w:rPr>
        <w:t xml:space="preserve">Žemą </w:t>
      </w:r>
      <w:r w:rsidR="009C0862" w:rsidRPr="001D4F9B">
        <w:rPr>
          <w:rFonts w:ascii="Arial" w:eastAsia="MS PGothic" w:hAnsi="Arial" w:cs="Times New Roman"/>
          <w:sz w:val="20"/>
          <w:szCs w:val="24"/>
        </w:rPr>
        <w:t>2013 m</w:t>
      </w:r>
      <w:r w:rsidR="009C0862">
        <w:rPr>
          <w:rFonts w:ascii="Arial" w:eastAsia="MS PGothic" w:hAnsi="Arial" w:cs="Times New Roman"/>
          <w:sz w:val="20"/>
          <w:szCs w:val="24"/>
        </w:rPr>
        <w:t>.</w:t>
      </w:r>
      <w:r w:rsidR="009C0862" w:rsidRPr="001D4F9B">
        <w:rPr>
          <w:rFonts w:ascii="Arial" w:eastAsia="MS PGothic" w:hAnsi="Arial" w:cs="Times New Roman"/>
          <w:sz w:val="20"/>
          <w:szCs w:val="24"/>
        </w:rPr>
        <w:t xml:space="preserve"> teršalų  </w:t>
      </w:r>
      <w:r w:rsidR="009C0862">
        <w:rPr>
          <w:rFonts w:ascii="Arial" w:eastAsia="MS PGothic" w:hAnsi="Arial" w:cs="Times New Roman"/>
          <w:sz w:val="20"/>
          <w:szCs w:val="24"/>
        </w:rPr>
        <w:t xml:space="preserve">kiekį, tikėtina, </w:t>
      </w:r>
      <w:r w:rsidR="009C0862" w:rsidRPr="001D4F9B">
        <w:rPr>
          <w:rFonts w:ascii="Arial" w:eastAsia="MS PGothic" w:hAnsi="Arial" w:cs="Times New Roman"/>
          <w:sz w:val="20"/>
          <w:szCs w:val="24"/>
        </w:rPr>
        <w:t xml:space="preserve">nulėmė smarkiai sumažėjęs išmetamų anglies monoksidų bei dujinių ir skystųjų </w:t>
      </w:r>
      <w:r w:rsidR="009C0862">
        <w:rPr>
          <w:rFonts w:ascii="Arial" w:eastAsia="MS PGothic" w:hAnsi="Arial" w:cs="Times New Roman"/>
          <w:sz w:val="20"/>
          <w:szCs w:val="24"/>
        </w:rPr>
        <w:t>teršalų</w:t>
      </w:r>
      <w:r w:rsidR="009C0862" w:rsidRPr="001D4F9B">
        <w:rPr>
          <w:rFonts w:ascii="Arial" w:eastAsia="MS PGothic" w:hAnsi="Arial" w:cs="Times New Roman"/>
          <w:sz w:val="20"/>
          <w:szCs w:val="24"/>
        </w:rPr>
        <w:t xml:space="preserve"> kiekiai.</w:t>
      </w:r>
    </w:p>
    <w:p w:rsidR="00B76AF6" w:rsidRPr="009C0862" w:rsidRDefault="00A2570C" w:rsidP="009C0862">
      <w:pPr>
        <w:pStyle w:val="Caption"/>
        <w:keepNext/>
        <w:jc w:val="both"/>
      </w:pPr>
      <w:r w:rsidRPr="00CF2C00">
        <w:fldChar w:fldCharType="begin"/>
      </w:r>
      <w:r w:rsidRPr="00CF2C00">
        <w:instrText xml:space="preserve"> SEQ paveikslas \* ARABIC </w:instrText>
      </w:r>
      <w:r w:rsidRPr="00CF2C00">
        <w:fldChar w:fldCharType="separate"/>
      </w:r>
      <w:r w:rsidR="00594D44" w:rsidRPr="00CF2C00">
        <w:t>3</w:t>
      </w:r>
      <w:r w:rsidRPr="00CF2C00">
        <w:fldChar w:fldCharType="end"/>
      </w:r>
      <w:r w:rsidRPr="00CF2C00">
        <w:t xml:space="preserve"> paveikslas. Aplinkos taršos rodikliai</w:t>
      </w:r>
      <w:r w:rsidR="009C0862">
        <w:rPr>
          <w:noProof/>
          <w:lang w:val="en-US"/>
        </w:rPr>
        <w:drawing>
          <wp:anchor distT="0" distB="0" distL="114300" distR="114300" simplePos="0" relativeHeight="251693056" behindDoc="0" locked="0" layoutInCell="1" allowOverlap="1" wp14:anchorId="54BEF43B" wp14:editId="3CAC66E2">
            <wp:simplePos x="0" y="0"/>
            <wp:positionH relativeFrom="column">
              <wp:posOffset>0</wp:posOffset>
            </wp:positionH>
            <wp:positionV relativeFrom="paragraph">
              <wp:posOffset>279400</wp:posOffset>
            </wp:positionV>
            <wp:extent cx="4609837" cy="2688770"/>
            <wp:effectExtent l="0" t="0" r="635" b="16510"/>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00D64CFF">
        <w:t>*</w:t>
      </w:r>
    </w:p>
    <w:p w:rsidR="00B72614" w:rsidRPr="00CF2C00" w:rsidRDefault="00B72614" w:rsidP="00A2570C">
      <w:pPr>
        <w:pStyle w:val="Caption"/>
        <w:spacing w:before="240"/>
        <w:rPr>
          <w:b w:val="0"/>
        </w:rPr>
      </w:pPr>
    </w:p>
    <w:p w:rsidR="00B72614" w:rsidRPr="00CF2C00" w:rsidRDefault="00B72614" w:rsidP="00A2570C">
      <w:pPr>
        <w:pStyle w:val="Caption"/>
        <w:spacing w:before="240"/>
        <w:rPr>
          <w:b w:val="0"/>
        </w:rPr>
      </w:pPr>
    </w:p>
    <w:p w:rsidR="00B72614" w:rsidRPr="00CF2C00" w:rsidRDefault="00B72614" w:rsidP="00A2570C">
      <w:pPr>
        <w:pStyle w:val="Caption"/>
        <w:spacing w:before="240"/>
        <w:rPr>
          <w:b w:val="0"/>
        </w:rPr>
      </w:pPr>
    </w:p>
    <w:p w:rsidR="00B72614" w:rsidRPr="00CF2C00" w:rsidRDefault="00B72614" w:rsidP="00A2570C">
      <w:pPr>
        <w:pStyle w:val="Caption"/>
        <w:spacing w:before="240"/>
        <w:rPr>
          <w:b w:val="0"/>
        </w:rPr>
      </w:pPr>
    </w:p>
    <w:p w:rsidR="00B72614" w:rsidRPr="00CF2C00" w:rsidRDefault="00B72614" w:rsidP="00A2570C">
      <w:pPr>
        <w:pStyle w:val="Caption"/>
        <w:spacing w:before="240"/>
        <w:rPr>
          <w:b w:val="0"/>
        </w:rPr>
      </w:pPr>
    </w:p>
    <w:p w:rsidR="00B72614" w:rsidRPr="00CF2C00" w:rsidRDefault="00B72614" w:rsidP="00A2570C">
      <w:pPr>
        <w:pStyle w:val="Caption"/>
        <w:spacing w:before="240"/>
        <w:rPr>
          <w:b w:val="0"/>
        </w:rPr>
      </w:pPr>
    </w:p>
    <w:p w:rsidR="00B72614" w:rsidRPr="00CF2C00" w:rsidRDefault="00B72614" w:rsidP="00B72614">
      <w:pPr>
        <w:pStyle w:val="Caption"/>
        <w:spacing w:after="0"/>
        <w:rPr>
          <w:b w:val="0"/>
        </w:rPr>
      </w:pPr>
    </w:p>
    <w:p w:rsidR="00805F6F" w:rsidRPr="00CF2C00" w:rsidRDefault="00805F6F" w:rsidP="00B72614">
      <w:pPr>
        <w:pStyle w:val="Caption"/>
        <w:spacing w:after="120"/>
        <w:rPr>
          <w:b w:val="0"/>
        </w:rPr>
      </w:pPr>
    </w:p>
    <w:p w:rsidR="00805F6F" w:rsidRPr="00CF2C00" w:rsidRDefault="00805F6F" w:rsidP="00B72614">
      <w:pPr>
        <w:pStyle w:val="Caption"/>
        <w:spacing w:after="120"/>
        <w:rPr>
          <w:b w:val="0"/>
        </w:rPr>
      </w:pPr>
    </w:p>
    <w:p w:rsidR="00C23DA0" w:rsidRPr="00CF2C00" w:rsidRDefault="00C23DA0" w:rsidP="00B72614">
      <w:pPr>
        <w:pStyle w:val="Caption"/>
        <w:spacing w:after="120"/>
        <w:rPr>
          <w:b w:val="0"/>
        </w:rPr>
      </w:pPr>
    </w:p>
    <w:p w:rsidR="00FB33DD" w:rsidRDefault="00FB33DD" w:rsidP="00B72614">
      <w:pPr>
        <w:pStyle w:val="Caption"/>
        <w:spacing w:after="120"/>
        <w:rPr>
          <w:b w:val="0"/>
        </w:rPr>
      </w:pPr>
    </w:p>
    <w:p w:rsidR="00FB33DD" w:rsidRDefault="00FB33DD" w:rsidP="00B72614">
      <w:pPr>
        <w:pStyle w:val="Caption"/>
        <w:spacing w:after="120"/>
        <w:rPr>
          <w:b w:val="0"/>
        </w:rPr>
      </w:pPr>
    </w:p>
    <w:p w:rsidR="00A2570C" w:rsidRPr="00D64CFF" w:rsidRDefault="00A2570C" w:rsidP="00D64CFF">
      <w:pPr>
        <w:pStyle w:val="Caption"/>
        <w:spacing w:after="0"/>
        <w:rPr>
          <w:rFonts w:cs="Arial"/>
          <w:b w:val="0"/>
        </w:rPr>
      </w:pPr>
      <w:r w:rsidRPr="00D64CFF">
        <w:rPr>
          <w:rFonts w:cs="Arial"/>
          <w:b w:val="0"/>
        </w:rPr>
        <w:t>Šaltinis: Statistiko</w:t>
      </w:r>
      <w:r w:rsidR="007F0777" w:rsidRPr="00D64CFF">
        <w:rPr>
          <w:rFonts w:cs="Arial"/>
          <w:b w:val="0"/>
        </w:rPr>
        <w:t>s</w:t>
      </w:r>
      <w:r w:rsidRPr="00D64CFF">
        <w:rPr>
          <w:rFonts w:cs="Arial"/>
          <w:b w:val="0"/>
        </w:rPr>
        <w:t xml:space="preserve"> departamentas</w:t>
      </w:r>
    </w:p>
    <w:p w:rsidR="00D64CFF" w:rsidRPr="00D64CFF" w:rsidRDefault="00D64CFF" w:rsidP="00D64CFF">
      <w:pPr>
        <w:spacing w:after="120"/>
        <w:rPr>
          <w:rFonts w:ascii="Arial" w:hAnsi="Arial" w:cs="Arial"/>
          <w:sz w:val="18"/>
          <w:szCs w:val="18"/>
        </w:rPr>
      </w:pPr>
      <w:r w:rsidRPr="00D64CFF">
        <w:rPr>
          <w:rFonts w:ascii="Arial" w:hAnsi="Arial" w:cs="Arial"/>
          <w:sz w:val="18"/>
          <w:szCs w:val="18"/>
        </w:rPr>
        <w:t>* - visi rodikliai, išskyrus „Išleista išvalytų iki normos nuotekų, tūkst. m</w:t>
      </w:r>
      <w:r w:rsidRPr="00D64CFF">
        <w:rPr>
          <w:rFonts w:ascii="Arial" w:hAnsi="Arial" w:cs="Arial"/>
          <w:sz w:val="18"/>
          <w:szCs w:val="18"/>
          <w:vertAlign w:val="superscript"/>
        </w:rPr>
        <w:t>3</w:t>
      </w:r>
      <w:r w:rsidRPr="00D64CFF">
        <w:rPr>
          <w:rFonts w:ascii="Arial" w:hAnsi="Arial" w:cs="Arial"/>
          <w:sz w:val="18"/>
          <w:szCs w:val="18"/>
        </w:rPr>
        <w:t>“ yra matuojami tonomis.</w:t>
      </w:r>
    </w:p>
    <w:p w:rsidR="00E41B59" w:rsidRDefault="00B76AF6" w:rsidP="00E41B59">
      <w:pPr>
        <w:jc w:val="both"/>
        <w:rPr>
          <w:rFonts w:ascii="Arial" w:eastAsia="MS PGothic" w:hAnsi="Arial" w:cs="Times New Roman"/>
          <w:sz w:val="20"/>
          <w:szCs w:val="24"/>
        </w:rPr>
      </w:pPr>
      <w:r w:rsidRPr="00CF2C00">
        <w:rPr>
          <w:rFonts w:ascii="Arial" w:eastAsia="MS PGothic" w:hAnsi="Arial" w:cs="Times New Roman"/>
          <w:sz w:val="20"/>
          <w:szCs w:val="24"/>
        </w:rPr>
        <w:t>Vertinant demografinius rodiklius</w:t>
      </w:r>
      <w:r w:rsidR="00594D44" w:rsidRPr="00CF2C00">
        <w:rPr>
          <w:rFonts w:ascii="Arial" w:eastAsia="MS PGothic" w:hAnsi="Arial" w:cs="Times New Roman"/>
          <w:sz w:val="20"/>
          <w:szCs w:val="24"/>
        </w:rPr>
        <w:t>, 2007 - 2013 m. stebimos tendencijos atitinka nacion</w:t>
      </w:r>
      <w:r w:rsidR="002427B5" w:rsidRPr="00CF2C00">
        <w:rPr>
          <w:rFonts w:ascii="Arial" w:eastAsia="MS PGothic" w:hAnsi="Arial" w:cs="Times New Roman"/>
          <w:sz w:val="20"/>
          <w:szCs w:val="24"/>
        </w:rPr>
        <w:t>aliniu mastu vykusius pokyčius. Daugumos rodiklių tar</w:t>
      </w:r>
      <w:r w:rsidR="002502B8">
        <w:rPr>
          <w:rFonts w:ascii="Arial" w:eastAsia="MS PGothic" w:hAnsi="Arial" w:cs="Times New Roman"/>
          <w:sz w:val="20"/>
          <w:szCs w:val="24"/>
        </w:rPr>
        <w:t>pe vyrauja neigiama tendencija. N</w:t>
      </w:r>
      <w:r w:rsidR="002502B8" w:rsidRPr="001D4F9B">
        <w:rPr>
          <w:rFonts w:ascii="Arial" w:eastAsia="MS PGothic" w:hAnsi="Arial" w:cs="Times New Roman"/>
          <w:sz w:val="20"/>
          <w:szCs w:val="24"/>
        </w:rPr>
        <w:t>uolatinis gyventojų skaičius</w:t>
      </w:r>
      <w:r w:rsidR="002502B8">
        <w:rPr>
          <w:rFonts w:ascii="Arial" w:eastAsia="MS PGothic" w:hAnsi="Arial" w:cs="Times New Roman"/>
          <w:sz w:val="20"/>
          <w:szCs w:val="24"/>
        </w:rPr>
        <w:t xml:space="preserve"> Lazdijų savivaldybėje</w:t>
      </w:r>
      <w:r w:rsidR="002502B8" w:rsidRPr="001D4F9B">
        <w:rPr>
          <w:rFonts w:ascii="Arial" w:eastAsia="MS PGothic" w:hAnsi="Arial" w:cs="Times New Roman"/>
          <w:sz w:val="20"/>
          <w:szCs w:val="24"/>
        </w:rPr>
        <w:t xml:space="preserve"> tendencingai mažėja. </w:t>
      </w:r>
      <w:r w:rsidR="002502B8">
        <w:rPr>
          <w:rFonts w:ascii="Arial" w:eastAsia="MS PGothic" w:hAnsi="Arial" w:cs="Times New Roman"/>
          <w:sz w:val="20"/>
          <w:szCs w:val="24"/>
        </w:rPr>
        <w:t>Nagrinėjamu laikotarpiu gyventojų skaičius sumažėjo beveik</w:t>
      </w:r>
      <w:r w:rsidR="002502B8" w:rsidRPr="001D4F9B">
        <w:rPr>
          <w:rFonts w:ascii="Arial" w:eastAsia="MS PGothic" w:hAnsi="Arial" w:cs="Times New Roman"/>
          <w:sz w:val="20"/>
          <w:szCs w:val="24"/>
        </w:rPr>
        <w:t xml:space="preserve"> 15</w:t>
      </w:r>
      <w:r w:rsidR="002502B8">
        <w:rPr>
          <w:rFonts w:ascii="Arial" w:eastAsia="MS PGothic" w:hAnsi="Arial" w:cs="Times New Roman"/>
          <w:sz w:val="20"/>
          <w:szCs w:val="24"/>
        </w:rPr>
        <w:t xml:space="preserve"> %; tuo tarpu </w:t>
      </w:r>
      <w:r w:rsidR="002502B8" w:rsidRPr="001D4F9B">
        <w:rPr>
          <w:rFonts w:ascii="Arial" w:eastAsia="MS PGothic" w:hAnsi="Arial" w:cs="Times New Roman"/>
          <w:sz w:val="20"/>
          <w:szCs w:val="24"/>
        </w:rPr>
        <w:t>darbingo amžiaus</w:t>
      </w:r>
      <w:r w:rsidR="002502B8">
        <w:rPr>
          <w:rFonts w:ascii="Arial" w:eastAsia="MS PGothic" w:hAnsi="Arial" w:cs="Times New Roman"/>
          <w:sz w:val="20"/>
          <w:szCs w:val="24"/>
        </w:rPr>
        <w:t xml:space="preserve"> žmonių skaičius mažėjo 6.6 </w:t>
      </w:r>
      <w:r w:rsidR="002502B8" w:rsidRPr="001D4F9B">
        <w:rPr>
          <w:rFonts w:ascii="Arial" w:eastAsia="MS PGothic" w:hAnsi="Arial" w:cs="Times New Roman"/>
          <w:sz w:val="20"/>
          <w:szCs w:val="24"/>
        </w:rPr>
        <w:t xml:space="preserve">%. Tai iš dalies paaiškina didelį registruotų bedarbių ir darbingo amžiaus gyventojų santykį, kuris ekonominio nuosmukio laikotarpiu išaugo </w:t>
      </w:r>
      <w:r w:rsidR="002502B8">
        <w:rPr>
          <w:rFonts w:ascii="Arial" w:eastAsia="MS PGothic" w:hAnsi="Arial" w:cs="Times New Roman"/>
          <w:sz w:val="20"/>
          <w:szCs w:val="24"/>
        </w:rPr>
        <w:t xml:space="preserve">tris kartus (lyginant su laikotarpio pradžios reikšme). 2010 m. pasiektas </w:t>
      </w:r>
      <w:r w:rsidR="002502B8" w:rsidRPr="001D4F9B">
        <w:rPr>
          <w:rFonts w:ascii="Arial" w:eastAsia="MS PGothic" w:hAnsi="Arial" w:cs="Times New Roman"/>
          <w:sz w:val="20"/>
          <w:szCs w:val="24"/>
        </w:rPr>
        <w:t>18.4</w:t>
      </w:r>
      <w:r w:rsidR="002502B8">
        <w:rPr>
          <w:rFonts w:ascii="Arial" w:eastAsia="MS PGothic" w:hAnsi="Arial" w:cs="Times New Roman"/>
          <w:sz w:val="20"/>
          <w:szCs w:val="24"/>
        </w:rPr>
        <w:t xml:space="preserve"> proc. lygis, 201</w:t>
      </w:r>
      <w:r w:rsidR="002502B8">
        <w:rPr>
          <w:rFonts w:ascii="Arial" w:eastAsia="MS PGothic" w:hAnsi="Arial" w:cs="Times New Roman"/>
          <w:sz w:val="20"/>
          <w:szCs w:val="24"/>
          <w:lang w:val="en-US"/>
        </w:rPr>
        <w:t>3</w:t>
      </w:r>
      <w:r w:rsidR="002502B8" w:rsidRPr="001D4F9B">
        <w:rPr>
          <w:rFonts w:ascii="Arial" w:eastAsia="MS PGothic" w:hAnsi="Arial" w:cs="Times New Roman"/>
          <w:sz w:val="20"/>
          <w:szCs w:val="24"/>
        </w:rPr>
        <w:t xml:space="preserve"> m</w:t>
      </w:r>
      <w:r w:rsidR="002502B8">
        <w:rPr>
          <w:rFonts w:ascii="Arial" w:eastAsia="MS PGothic" w:hAnsi="Arial" w:cs="Times New Roman"/>
          <w:sz w:val="20"/>
          <w:szCs w:val="24"/>
        </w:rPr>
        <w:t>.</w:t>
      </w:r>
      <w:r w:rsidR="002502B8" w:rsidRPr="001D4F9B">
        <w:rPr>
          <w:rFonts w:ascii="Arial" w:eastAsia="MS PGothic" w:hAnsi="Arial" w:cs="Times New Roman"/>
          <w:sz w:val="20"/>
          <w:szCs w:val="24"/>
        </w:rPr>
        <w:t xml:space="preserve"> buvo </w:t>
      </w:r>
      <w:r w:rsidR="002502B8">
        <w:rPr>
          <w:rFonts w:ascii="Arial" w:eastAsia="MS PGothic" w:hAnsi="Arial" w:cs="Times New Roman"/>
          <w:sz w:val="20"/>
          <w:szCs w:val="24"/>
        </w:rPr>
        <w:t xml:space="preserve">sumažėjęs vos </w:t>
      </w:r>
      <w:r w:rsidR="002502B8">
        <w:rPr>
          <w:rFonts w:ascii="Arial" w:eastAsia="MS PGothic" w:hAnsi="Arial" w:cs="Times New Roman"/>
          <w:sz w:val="20"/>
          <w:szCs w:val="24"/>
          <w:lang w:val="en-US"/>
        </w:rPr>
        <w:t>0.6 proc.</w:t>
      </w:r>
      <w:r w:rsidR="002502B8" w:rsidRPr="001D4F9B">
        <w:rPr>
          <w:rFonts w:ascii="Arial" w:eastAsia="MS PGothic" w:hAnsi="Arial" w:cs="Times New Roman"/>
          <w:sz w:val="20"/>
          <w:szCs w:val="24"/>
        </w:rPr>
        <w:t xml:space="preserve"> Mėnesinis (bruto) darbo užmokestis, </w:t>
      </w:r>
      <w:r w:rsidR="002502B8">
        <w:rPr>
          <w:rFonts w:ascii="Arial" w:eastAsia="MS PGothic" w:hAnsi="Arial" w:cs="Times New Roman"/>
          <w:sz w:val="20"/>
          <w:szCs w:val="24"/>
        </w:rPr>
        <w:t>2007 – 2014 m.</w:t>
      </w:r>
      <w:r w:rsidR="002502B8" w:rsidRPr="001D4F9B">
        <w:rPr>
          <w:rFonts w:ascii="Arial" w:eastAsia="MS PGothic" w:hAnsi="Arial" w:cs="Times New Roman"/>
          <w:sz w:val="20"/>
          <w:szCs w:val="24"/>
        </w:rPr>
        <w:t xml:space="preserve"> laikotarpiu išaugo 70.37%</w:t>
      </w:r>
      <w:r w:rsidR="002502B8">
        <w:rPr>
          <w:rFonts w:ascii="Arial" w:eastAsia="MS PGothic" w:hAnsi="Arial" w:cs="Times New Roman"/>
          <w:sz w:val="20"/>
          <w:szCs w:val="24"/>
        </w:rPr>
        <w:t>: n</w:t>
      </w:r>
      <w:r w:rsidR="002502B8" w:rsidRPr="001D4F9B">
        <w:rPr>
          <w:rFonts w:ascii="Arial" w:eastAsia="MS PGothic" w:hAnsi="Arial" w:cs="Times New Roman"/>
          <w:sz w:val="20"/>
          <w:szCs w:val="24"/>
        </w:rPr>
        <w:t>uo 328.7 EUR iki 560.0 EUR. Lyginant su Lietuvos Respublikos vidurkiu</w:t>
      </w:r>
      <w:r w:rsidR="002502B8">
        <w:rPr>
          <w:rFonts w:ascii="Arial" w:eastAsia="MS PGothic" w:hAnsi="Arial" w:cs="Times New Roman"/>
          <w:sz w:val="20"/>
          <w:szCs w:val="24"/>
        </w:rPr>
        <w:t>,</w:t>
      </w:r>
      <w:r w:rsidR="002502B8" w:rsidRPr="001D4F9B">
        <w:rPr>
          <w:rFonts w:ascii="Arial" w:eastAsia="MS PGothic" w:hAnsi="Arial" w:cs="Times New Roman"/>
          <w:sz w:val="20"/>
          <w:szCs w:val="24"/>
        </w:rPr>
        <w:t xml:space="preserve"> 2014</w:t>
      </w:r>
      <w:r w:rsidR="002502B8">
        <w:rPr>
          <w:rFonts w:ascii="Arial" w:eastAsia="MS PGothic" w:hAnsi="Arial" w:cs="Times New Roman"/>
          <w:sz w:val="20"/>
          <w:szCs w:val="24"/>
        </w:rPr>
        <w:t xml:space="preserve"> </w:t>
      </w:r>
      <w:r w:rsidR="002502B8" w:rsidRPr="001D4F9B">
        <w:rPr>
          <w:rFonts w:ascii="Arial" w:eastAsia="MS PGothic" w:hAnsi="Arial" w:cs="Times New Roman"/>
          <w:sz w:val="20"/>
          <w:szCs w:val="24"/>
        </w:rPr>
        <w:t>m</w:t>
      </w:r>
      <w:r w:rsidR="002502B8">
        <w:rPr>
          <w:rFonts w:ascii="Arial" w:eastAsia="MS PGothic" w:hAnsi="Arial" w:cs="Times New Roman"/>
          <w:sz w:val="20"/>
          <w:szCs w:val="24"/>
        </w:rPr>
        <w:t>.</w:t>
      </w:r>
      <w:r w:rsidR="002502B8" w:rsidRPr="001D4F9B">
        <w:rPr>
          <w:rFonts w:ascii="Arial" w:eastAsia="MS PGothic" w:hAnsi="Arial" w:cs="Times New Roman"/>
          <w:sz w:val="20"/>
          <w:szCs w:val="24"/>
        </w:rPr>
        <w:t xml:space="preserve"> duomenimis Lazdijų savivaldybėje vidutinis mėnesinis atlyg</w:t>
      </w:r>
      <w:r w:rsidR="002502B8">
        <w:rPr>
          <w:rFonts w:ascii="Arial" w:eastAsia="MS PGothic" w:hAnsi="Arial" w:cs="Times New Roman"/>
          <w:sz w:val="20"/>
          <w:szCs w:val="24"/>
        </w:rPr>
        <w:t>inimas buvo</w:t>
      </w:r>
      <w:r w:rsidR="002502B8" w:rsidRPr="001D4F9B">
        <w:rPr>
          <w:rFonts w:ascii="Arial" w:eastAsia="MS PGothic" w:hAnsi="Arial" w:cs="Times New Roman"/>
          <w:sz w:val="20"/>
          <w:szCs w:val="24"/>
        </w:rPr>
        <w:t xml:space="preserve"> mažesnis 117.4 EUR. </w:t>
      </w:r>
      <w:r w:rsidR="002502B8">
        <w:rPr>
          <w:rFonts w:ascii="Arial" w:eastAsia="MS PGothic" w:hAnsi="Arial" w:cs="Times New Roman"/>
          <w:sz w:val="20"/>
          <w:szCs w:val="24"/>
        </w:rPr>
        <w:t xml:space="preserve">Vis dėlto </w:t>
      </w:r>
      <w:r w:rsidR="00D64CFF">
        <w:rPr>
          <w:rFonts w:ascii="Arial" w:eastAsia="MS PGothic" w:hAnsi="Arial" w:cs="Times New Roman"/>
          <w:sz w:val="20"/>
          <w:szCs w:val="24"/>
        </w:rPr>
        <w:t xml:space="preserve">vidutinio mėnesinio </w:t>
      </w:r>
      <w:r w:rsidR="002502B8">
        <w:rPr>
          <w:rFonts w:ascii="Arial" w:eastAsia="MS PGothic" w:hAnsi="Arial" w:cs="Times New Roman"/>
          <w:sz w:val="20"/>
          <w:szCs w:val="24"/>
        </w:rPr>
        <w:t xml:space="preserve">atlyginimo rodiklių gerėjimas galėjo būti nulemtas minimalios algos didinimo nacionaliniu mastu. </w:t>
      </w:r>
      <w:r w:rsidR="00A027E9" w:rsidRPr="00CF2C00">
        <w:rPr>
          <w:rFonts w:ascii="Arial" w:eastAsia="MS PGothic" w:hAnsi="Arial" w:cs="Times New Roman"/>
          <w:sz w:val="20"/>
          <w:szCs w:val="24"/>
        </w:rPr>
        <w:t>Apibendrinant, demografiniai rodikliai nagrinėjamu laikotarpiu buvo veikiami pasaulinės finansų krizės, augančių migracijos mastų ir mažėjančio gyventojų skaičiaus; visu laikotarpiu buvo stebimos bendros neigiamos plėtros tendencijos.</w:t>
      </w:r>
    </w:p>
    <w:p w:rsidR="00FB33DD" w:rsidRDefault="00FB33DD" w:rsidP="00E41B59">
      <w:pPr>
        <w:jc w:val="both"/>
        <w:rPr>
          <w:rFonts w:ascii="Arial" w:eastAsia="MS PGothic" w:hAnsi="Arial" w:cs="Times New Roman"/>
          <w:sz w:val="20"/>
          <w:szCs w:val="24"/>
        </w:rPr>
      </w:pPr>
    </w:p>
    <w:p w:rsidR="00FB33DD" w:rsidRDefault="00FB33DD" w:rsidP="00E41B59">
      <w:pPr>
        <w:jc w:val="both"/>
        <w:rPr>
          <w:rFonts w:ascii="Arial" w:eastAsia="MS PGothic" w:hAnsi="Arial" w:cs="Times New Roman"/>
          <w:sz w:val="20"/>
          <w:szCs w:val="24"/>
        </w:rPr>
      </w:pPr>
    </w:p>
    <w:p w:rsidR="00FB33DD" w:rsidRDefault="00FB33DD" w:rsidP="00E41B59">
      <w:pPr>
        <w:jc w:val="both"/>
        <w:rPr>
          <w:rFonts w:ascii="Arial" w:eastAsia="MS PGothic" w:hAnsi="Arial" w:cs="Times New Roman"/>
          <w:sz w:val="20"/>
          <w:szCs w:val="24"/>
        </w:rPr>
      </w:pPr>
    </w:p>
    <w:p w:rsidR="00FB33DD" w:rsidRDefault="00FB33DD" w:rsidP="00E41B59">
      <w:pPr>
        <w:jc w:val="both"/>
        <w:rPr>
          <w:rFonts w:ascii="Arial" w:eastAsia="MS PGothic" w:hAnsi="Arial" w:cs="Times New Roman"/>
          <w:sz w:val="20"/>
          <w:szCs w:val="24"/>
        </w:rPr>
      </w:pPr>
    </w:p>
    <w:p w:rsidR="00FB33DD" w:rsidRDefault="00FB33DD" w:rsidP="00E41B59">
      <w:pPr>
        <w:jc w:val="both"/>
        <w:rPr>
          <w:rFonts w:ascii="Arial" w:eastAsia="MS PGothic" w:hAnsi="Arial" w:cs="Times New Roman"/>
          <w:sz w:val="20"/>
          <w:szCs w:val="24"/>
        </w:rPr>
      </w:pPr>
    </w:p>
    <w:p w:rsidR="00FB33DD" w:rsidRDefault="00FB33DD" w:rsidP="00E41B59">
      <w:pPr>
        <w:jc w:val="both"/>
        <w:rPr>
          <w:rFonts w:ascii="Arial" w:eastAsia="MS PGothic" w:hAnsi="Arial" w:cs="Times New Roman"/>
          <w:sz w:val="20"/>
          <w:szCs w:val="24"/>
        </w:rPr>
      </w:pPr>
    </w:p>
    <w:p w:rsidR="00FB33DD" w:rsidRDefault="00FB33DD" w:rsidP="00E41B59">
      <w:pPr>
        <w:jc w:val="both"/>
        <w:rPr>
          <w:rFonts w:ascii="Arial" w:eastAsia="MS PGothic" w:hAnsi="Arial" w:cs="Times New Roman"/>
          <w:sz w:val="20"/>
          <w:szCs w:val="24"/>
        </w:rPr>
      </w:pPr>
    </w:p>
    <w:p w:rsidR="00FB33DD" w:rsidRPr="00CF2C00" w:rsidRDefault="00FB33DD" w:rsidP="00E41B59">
      <w:pPr>
        <w:jc w:val="both"/>
        <w:rPr>
          <w:rFonts w:ascii="Arial" w:eastAsia="MS PGothic" w:hAnsi="Arial" w:cs="Times New Roman"/>
          <w:sz w:val="20"/>
          <w:szCs w:val="24"/>
        </w:rPr>
      </w:pPr>
    </w:p>
    <w:p w:rsidR="00020455" w:rsidRPr="00CF2C00" w:rsidRDefault="00A2570C" w:rsidP="00020455">
      <w:pPr>
        <w:pStyle w:val="Caption"/>
        <w:keepNext/>
      </w:pPr>
      <w:r w:rsidRPr="00CF2C00">
        <w:fldChar w:fldCharType="begin"/>
      </w:r>
      <w:r w:rsidRPr="00CF2C00">
        <w:instrText xml:space="preserve"> SEQ paveikslas \* ARABIC </w:instrText>
      </w:r>
      <w:r w:rsidRPr="00CF2C00">
        <w:fldChar w:fldCharType="separate"/>
      </w:r>
      <w:r w:rsidR="008A1509" w:rsidRPr="00CF2C00">
        <w:t>5</w:t>
      </w:r>
      <w:r w:rsidRPr="00CF2C00">
        <w:fldChar w:fldCharType="end"/>
      </w:r>
      <w:r w:rsidRPr="00CF2C00">
        <w:t xml:space="preserve"> paveikslas. Demografiniai rodikliai</w:t>
      </w:r>
    </w:p>
    <w:p w:rsidR="00B76AF6" w:rsidRPr="00CF2C00" w:rsidRDefault="00FB33DD" w:rsidP="00594D44">
      <w:pPr>
        <w:pStyle w:val="Caption"/>
        <w:keepNext/>
      </w:pPr>
      <w:r>
        <w:rPr>
          <w:noProof/>
          <w:lang w:val="en-US"/>
        </w:rPr>
        <w:drawing>
          <wp:anchor distT="0" distB="0" distL="114300" distR="114300" simplePos="0" relativeHeight="251695104" behindDoc="0" locked="0" layoutInCell="1" allowOverlap="1" wp14:anchorId="0F831466" wp14:editId="32B2404F">
            <wp:simplePos x="0" y="0"/>
            <wp:positionH relativeFrom="margin">
              <wp:posOffset>-635</wp:posOffset>
            </wp:positionH>
            <wp:positionV relativeFrom="paragraph">
              <wp:posOffset>5715</wp:posOffset>
            </wp:positionV>
            <wp:extent cx="4496435" cy="2497455"/>
            <wp:effectExtent l="0" t="0" r="18415" b="17145"/>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rsidR="002427B5" w:rsidRPr="00CF2C00" w:rsidRDefault="00B76AF6" w:rsidP="008A1509">
      <w:pPr>
        <w:pStyle w:val="Caption"/>
        <w:spacing w:before="240"/>
        <w:rPr>
          <w:b w:val="0"/>
        </w:rPr>
      </w:pPr>
      <w:r w:rsidRPr="00CF2C00">
        <w:rPr>
          <w:b w:val="0"/>
        </w:rPr>
        <w:br/>
      </w:r>
    </w:p>
    <w:p w:rsidR="002427B5" w:rsidRPr="00CF2C00" w:rsidRDefault="002427B5" w:rsidP="008A1509">
      <w:pPr>
        <w:pStyle w:val="Caption"/>
        <w:spacing w:before="240"/>
        <w:rPr>
          <w:b w:val="0"/>
        </w:rPr>
      </w:pPr>
    </w:p>
    <w:p w:rsidR="002427B5" w:rsidRPr="00CF2C00" w:rsidRDefault="002427B5" w:rsidP="008A1509">
      <w:pPr>
        <w:pStyle w:val="Caption"/>
        <w:spacing w:before="240"/>
        <w:rPr>
          <w:b w:val="0"/>
        </w:rPr>
      </w:pPr>
    </w:p>
    <w:p w:rsidR="002427B5" w:rsidRPr="00CF2C00" w:rsidRDefault="002427B5" w:rsidP="008A1509">
      <w:pPr>
        <w:pStyle w:val="Caption"/>
        <w:spacing w:before="240"/>
        <w:rPr>
          <w:b w:val="0"/>
        </w:rPr>
      </w:pPr>
    </w:p>
    <w:p w:rsidR="002427B5" w:rsidRPr="00CF2C00" w:rsidRDefault="002427B5" w:rsidP="008A1509">
      <w:pPr>
        <w:pStyle w:val="Caption"/>
        <w:spacing w:before="240"/>
        <w:rPr>
          <w:b w:val="0"/>
        </w:rPr>
      </w:pPr>
    </w:p>
    <w:p w:rsidR="002427B5" w:rsidRPr="00CF2C00" w:rsidRDefault="002427B5" w:rsidP="008A1509">
      <w:pPr>
        <w:pStyle w:val="Caption"/>
        <w:spacing w:before="240"/>
        <w:rPr>
          <w:b w:val="0"/>
        </w:rPr>
      </w:pPr>
    </w:p>
    <w:p w:rsidR="002427B5" w:rsidRPr="00CF2C00" w:rsidRDefault="002427B5" w:rsidP="008A1509">
      <w:pPr>
        <w:pStyle w:val="Caption"/>
        <w:spacing w:before="240"/>
        <w:rPr>
          <w:b w:val="0"/>
        </w:rPr>
      </w:pPr>
    </w:p>
    <w:p w:rsidR="00FB33DD" w:rsidRDefault="00FB33DD" w:rsidP="008A1509">
      <w:pPr>
        <w:pStyle w:val="Caption"/>
        <w:spacing w:before="240"/>
        <w:rPr>
          <w:b w:val="0"/>
        </w:rPr>
      </w:pPr>
    </w:p>
    <w:p w:rsidR="008A1509" w:rsidRPr="00CF2C00" w:rsidRDefault="008A1509" w:rsidP="008A1509">
      <w:pPr>
        <w:pStyle w:val="Caption"/>
        <w:spacing w:before="240"/>
        <w:rPr>
          <w:b w:val="0"/>
        </w:rPr>
      </w:pPr>
      <w:r w:rsidRPr="00CF2C00">
        <w:rPr>
          <w:b w:val="0"/>
        </w:rPr>
        <w:t>Šaltinis: Statistiko</w:t>
      </w:r>
      <w:r w:rsidR="00594D44" w:rsidRPr="00CF2C00">
        <w:rPr>
          <w:b w:val="0"/>
        </w:rPr>
        <w:t>s</w:t>
      </w:r>
      <w:r w:rsidRPr="00CF2C00">
        <w:rPr>
          <w:b w:val="0"/>
        </w:rPr>
        <w:t xml:space="preserve"> departamentas</w:t>
      </w:r>
    </w:p>
    <w:p w:rsidR="00B76AF6" w:rsidRPr="00CF2C00" w:rsidRDefault="00B76AF6" w:rsidP="00B76AF6">
      <w:pPr>
        <w:jc w:val="both"/>
        <w:rPr>
          <w:rFonts w:ascii="Arial" w:eastAsia="MS PGothic" w:hAnsi="Arial" w:cs="Times New Roman"/>
          <w:sz w:val="20"/>
          <w:szCs w:val="24"/>
        </w:rPr>
      </w:pPr>
      <w:r w:rsidRPr="00CF2C00">
        <w:rPr>
          <w:rFonts w:ascii="Arial" w:eastAsia="MS PGothic" w:hAnsi="Arial" w:cs="Times New Roman"/>
          <w:sz w:val="20"/>
          <w:szCs w:val="24"/>
        </w:rPr>
        <w:t>Vertinant ūkio ir finansini</w:t>
      </w:r>
      <w:r w:rsidR="004E0E71" w:rsidRPr="00CF2C00">
        <w:rPr>
          <w:rFonts w:ascii="Arial" w:eastAsia="MS PGothic" w:hAnsi="Arial" w:cs="Times New Roman"/>
          <w:sz w:val="20"/>
          <w:szCs w:val="24"/>
        </w:rPr>
        <w:t xml:space="preserve">us </w:t>
      </w:r>
      <w:r w:rsidR="004E0E71" w:rsidRPr="000B2A0A">
        <w:rPr>
          <w:rFonts w:ascii="Arial" w:eastAsia="MS PGothic" w:hAnsi="Arial" w:cs="Arial"/>
          <w:sz w:val="20"/>
          <w:szCs w:val="24"/>
        </w:rPr>
        <w:t xml:space="preserve">rodiklius </w:t>
      </w:r>
      <w:r w:rsidRPr="000B2A0A">
        <w:rPr>
          <w:rFonts w:ascii="Arial" w:eastAsia="MS PGothic" w:hAnsi="Arial" w:cs="Arial"/>
          <w:sz w:val="20"/>
          <w:szCs w:val="24"/>
        </w:rPr>
        <w:t>pastebima,</w:t>
      </w:r>
      <w:r w:rsidR="00424FB7" w:rsidRPr="000B2A0A">
        <w:rPr>
          <w:rFonts w:ascii="Arial" w:eastAsia="MS PGothic" w:hAnsi="Arial" w:cs="Arial"/>
          <w:sz w:val="20"/>
          <w:szCs w:val="24"/>
        </w:rPr>
        <w:t xml:space="preserve"> kad</w:t>
      </w:r>
      <w:r w:rsidR="0062159A" w:rsidRPr="000B2A0A">
        <w:rPr>
          <w:rFonts w:ascii="Arial" w:eastAsia="MS PGothic" w:hAnsi="Arial" w:cs="Arial"/>
          <w:sz w:val="20"/>
          <w:szCs w:val="24"/>
        </w:rPr>
        <w:t xml:space="preserve"> 2007 – 2013</w:t>
      </w:r>
      <w:r w:rsidR="00BC4ECE" w:rsidRPr="000B2A0A">
        <w:rPr>
          <w:rFonts w:ascii="Arial" w:eastAsia="MS PGothic" w:hAnsi="Arial" w:cs="Arial"/>
          <w:sz w:val="20"/>
          <w:szCs w:val="24"/>
        </w:rPr>
        <w:t xml:space="preserve"> m. </w:t>
      </w:r>
      <w:r w:rsidR="0062159A" w:rsidRPr="000B2A0A">
        <w:rPr>
          <w:rFonts w:ascii="Arial" w:eastAsia="MS PGothic" w:hAnsi="Arial" w:cs="Arial"/>
          <w:sz w:val="20"/>
          <w:szCs w:val="24"/>
        </w:rPr>
        <w:t>pridėtinė</w:t>
      </w:r>
      <w:r w:rsidR="00BC4ECE" w:rsidRPr="000B2A0A">
        <w:rPr>
          <w:rFonts w:ascii="Arial" w:eastAsia="MS PGothic" w:hAnsi="Arial" w:cs="Arial"/>
          <w:sz w:val="20"/>
          <w:szCs w:val="24"/>
        </w:rPr>
        <w:t>s</w:t>
      </w:r>
      <w:r w:rsidR="0062159A" w:rsidRPr="000B2A0A">
        <w:rPr>
          <w:rFonts w:ascii="Arial" w:eastAsia="MS PGothic" w:hAnsi="Arial" w:cs="Arial"/>
          <w:sz w:val="20"/>
          <w:szCs w:val="24"/>
        </w:rPr>
        <w:t xml:space="preserve"> vertė</w:t>
      </w:r>
      <w:r w:rsidR="00BC4ECE" w:rsidRPr="000B2A0A">
        <w:rPr>
          <w:rFonts w:ascii="Arial" w:eastAsia="MS PGothic" w:hAnsi="Arial" w:cs="Arial"/>
          <w:sz w:val="20"/>
          <w:szCs w:val="24"/>
        </w:rPr>
        <w:t>s gamybos kainomis ir m</w:t>
      </w:r>
      <w:r w:rsidR="0062159A" w:rsidRPr="000B2A0A">
        <w:rPr>
          <w:rFonts w:ascii="Arial" w:eastAsia="MS PGothic" w:hAnsi="Arial" w:cs="Arial"/>
          <w:sz w:val="20"/>
          <w:szCs w:val="24"/>
        </w:rPr>
        <w:t>aterialin</w:t>
      </w:r>
      <w:r w:rsidR="00BC4ECE" w:rsidRPr="000B2A0A">
        <w:rPr>
          <w:rFonts w:ascii="Arial" w:eastAsia="MS PGothic" w:hAnsi="Arial" w:cs="Arial"/>
          <w:sz w:val="20"/>
          <w:szCs w:val="24"/>
        </w:rPr>
        <w:t xml:space="preserve">ių investicijų rodikliai </w:t>
      </w:r>
      <w:r w:rsidR="000B2A0A" w:rsidRPr="000B2A0A">
        <w:rPr>
          <w:rFonts w:ascii="Arial" w:eastAsia="MS PGothic" w:hAnsi="Arial" w:cs="Arial"/>
          <w:sz w:val="20"/>
          <w:szCs w:val="24"/>
        </w:rPr>
        <w:t>buvo stipriai veikiami ekonomikos ciklo svyravimų</w:t>
      </w:r>
      <w:r w:rsidR="00BC4ECE" w:rsidRPr="000B2A0A">
        <w:rPr>
          <w:rFonts w:ascii="Arial" w:eastAsia="MS PGothic" w:hAnsi="Arial" w:cs="Arial"/>
          <w:sz w:val="20"/>
          <w:szCs w:val="24"/>
        </w:rPr>
        <w:t>. Dėl finansų krizės kuriama pridėtinė</w:t>
      </w:r>
      <w:r w:rsidR="00156F09" w:rsidRPr="000B2A0A">
        <w:rPr>
          <w:rFonts w:ascii="Arial" w:eastAsia="MS PGothic" w:hAnsi="Arial" w:cs="Arial"/>
          <w:sz w:val="20"/>
          <w:szCs w:val="24"/>
        </w:rPr>
        <w:t xml:space="preserve"> ve</w:t>
      </w:r>
      <w:r w:rsidR="00A027E9" w:rsidRPr="000B2A0A">
        <w:rPr>
          <w:rFonts w:ascii="Arial" w:eastAsia="MS PGothic" w:hAnsi="Arial" w:cs="Arial"/>
          <w:sz w:val="20"/>
          <w:szCs w:val="24"/>
        </w:rPr>
        <w:t>rtė nuo 2009</w:t>
      </w:r>
      <w:r w:rsidR="00156F09" w:rsidRPr="000B2A0A">
        <w:rPr>
          <w:rFonts w:ascii="Arial" w:eastAsia="MS PGothic" w:hAnsi="Arial" w:cs="Arial"/>
          <w:sz w:val="20"/>
          <w:szCs w:val="24"/>
        </w:rPr>
        <w:t xml:space="preserve"> m. </w:t>
      </w:r>
      <w:r w:rsidR="00156F09" w:rsidRPr="000B2A0A">
        <w:rPr>
          <w:rFonts w:ascii="Arial" w:eastAsia="MS PGothic" w:hAnsi="Arial" w:cs="Arial"/>
          <w:sz w:val="20"/>
          <w:szCs w:val="20"/>
        </w:rPr>
        <w:t>mažėjo</w:t>
      </w:r>
      <w:r w:rsidR="00BC4ECE" w:rsidRPr="000B2A0A">
        <w:rPr>
          <w:rFonts w:ascii="Arial" w:eastAsia="MS PGothic" w:hAnsi="Arial" w:cs="Arial"/>
          <w:sz w:val="20"/>
          <w:szCs w:val="20"/>
        </w:rPr>
        <w:t>.</w:t>
      </w:r>
      <w:r w:rsidR="000B2A0A" w:rsidRPr="000B2A0A">
        <w:rPr>
          <w:rFonts w:ascii="Arial" w:hAnsi="Arial" w:cs="Arial"/>
          <w:sz w:val="20"/>
          <w:szCs w:val="20"/>
        </w:rPr>
        <w:t xml:space="preserve"> Nuo</w:t>
      </w:r>
      <w:r w:rsidR="000B2A0A">
        <w:rPr>
          <w:rFonts w:ascii="Arial" w:hAnsi="Arial" w:cs="Arial"/>
          <w:sz w:val="20"/>
          <w:szCs w:val="20"/>
        </w:rPr>
        <w:t xml:space="preserve"> 2010 m. stebimas staigus ekonomikos atsigavimas leidžia daryti prielaidą</w:t>
      </w:r>
      <w:r w:rsidR="000B2A0A" w:rsidRPr="000B2A0A">
        <w:rPr>
          <w:rFonts w:ascii="Arial" w:eastAsia="MS PGothic" w:hAnsi="Arial" w:cs="Arial"/>
          <w:sz w:val="20"/>
          <w:szCs w:val="24"/>
        </w:rPr>
        <w:t xml:space="preserve">, kad </w:t>
      </w:r>
      <w:r w:rsidR="000B2A0A">
        <w:rPr>
          <w:rFonts w:ascii="Arial" w:eastAsia="MS PGothic" w:hAnsi="Arial" w:cs="Arial"/>
          <w:sz w:val="20"/>
          <w:szCs w:val="24"/>
        </w:rPr>
        <w:t>savivaldybė, nepaisant vienos mažiausių ES SF investicijų apimties, sugebėjo suvaldyti finansų krizės pasekmes.</w:t>
      </w:r>
      <w:r w:rsidR="004B3A55">
        <w:rPr>
          <w:rFonts w:ascii="Arial" w:eastAsia="MS PGothic" w:hAnsi="Arial" w:cs="Arial"/>
          <w:sz w:val="20"/>
          <w:szCs w:val="24"/>
        </w:rPr>
        <w:t xml:space="preserve"> </w:t>
      </w:r>
      <w:r w:rsidR="00BC4ECE" w:rsidRPr="00CF2C00">
        <w:rPr>
          <w:rFonts w:ascii="Arial" w:eastAsia="MS PGothic" w:hAnsi="Arial" w:cs="Times New Roman"/>
          <w:sz w:val="20"/>
          <w:szCs w:val="24"/>
        </w:rPr>
        <w:t>Analogiškos tendencijos stebimos ir materialinių investicijų rodiklio atveju</w:t>
      </w:r>
      <w:r w:rsidR="00156F09" w:rsidRPr="00CF2C00">
        <w:rPr>
          <w:rFonts w:ascii="Arial" w:eastAsia="MS PGothic" w:hAnsi="Arial" w:cs="Times New Roman"/>
          <w:sz w:val="20"/>
          <w:szCs w:val="24"/>
        </w:rPr>
        <w:t xml:space="preserve">, </w:t>
      </w:r>
      <w:r w:rsidR="00A8696E" w:rsidRPr="00CF2C00">
        <w:rPr>
          <w:rFonts w:ascii="Arial" w:eastAsia="MS PGothic" w:hAnsi="Arial" w:cs="Times New Roman"/>
          <w:sz w:val="20"/>
          <w:szCs w:val="24"/>
        </w:rPr>
        <w:t>kurios nagrin</w:t>
      </w:r>
      <w:r w:rsidR="00CF2C00" w:rsidRPr="00CF2C00">
        <w:rPr>
          <w:rFonts w:ascii="Arial" w:eastAsia="MS PGothic" w:hAnsi="Arial" w:cs="Times New Roman"/>
          <w:sz w:val="20"/>
          <w:szCs w:val="24"/>
        </w:rPr>
        <w:t xml:space="preserve">ėjamo laikotarpio pabaigoje </w:t>
      </w:r>
      <w:r w:rsidR="000B2A0A">
        <w:rPr>
          <w:rFonts w:ascii="Arial" w:eastAsia="MS PGothic" w:hAnsi="Arial" w:cs="Times New Roman"/>
          <w:sz w:val="20"/>
          <w:szCs w:val="24"/>
        </w:rPr>
        <w:t>viršijo pradinę</w:t>
      </w:r>
      <w:r w:rsidR="00CF2C00" w:rsidRPr="00CF2C00">
        <w:rPr>
          <w:rFonts w:ascii="Arial" w:eastAsia="MS PGothic" w:hAnsi="Arial" w:cs="Times New Roman"/>
          <w:sz w:val="20"/>
          <w:szCs w:val="24"/>
        </w:rPr>
        <w:t xml:space="preserve"> 2007 m. fiksuot</w:t>
      </w:r>
      <w:r w:rsidR="000B2A0A">
        <w:rPr>
          <w:rFonts w:ascii="Arial" w:eastAsia="MS PGothic" w:hAnsi="Arial" w:cs="Times New Roman"/>
          <w:sz w:val="20"/>
          <w:szCs w:val="24"/>
        </w:rPr>
        <w:t>ą rodiklio reikšmę</w:t>
      </w:r>
      <w:r w:rsidR="00CF2C00" w:rsidRPr="00CF2C00">
        <w:rPr>
          <w:rFonts w:ascii="Arial" w:eastAsia="MS PGothic" w:hAnsi="Arial" w:cs="Times New Roman"/>
          <w:sz w:val="20"/>
          <w:szCs w:val="24"/>
        </w:rPr>
        <w:t xml:space="preserve">. </w:t>
      </w:r>
      <w:r w:rsidR="004B3A55">
        <w:rPr>
          <w:rFonts w:ascii="Arial" w:eastAsia="MS PGothic" w:hAnsi="Arial" w:cs="Times New Roman"/>
          <w:sz w:val="20"/>
          <w:szCs w:val="24"/>
        </w:rPr>
        <w:t xml:space="preserve">Tiesioginės užsienio investicijos mažėjo visu nagrinėjamu laikotarpiu, tačiau tai nepadarė neigiamos įtakos verslo kuriamos pridėtinės vertės rodikliams. </w:t>
      </w:r>
      <w:r w:rsidR="00CF2C00" w:rsidRPr="00CF2C00">
        <w:rPr>
          <w:rFonts w:ascii="Arial" w:eastAsia="MS PGothic" w:hAnsi="Arial" w:cs="Times New Roman"/>
          <w:sz w:val="20"/>
          <w:szCs w:val="24"/>
        </w:rPr>
        <w:t xml:space="preserve">Apibendrinant, ekonominės veiklos rodikliai </w:t>
      </w:r>
      <w:r w:rsidR="004B3A55">
        <w:rPr>
          <w:rFonts w:ascii="Arial" w:eastAsia="MS PGothic" w:hAnsi="Arial" w:cs="Times New Roman"/>
          <w:sz w:val="20"/>
          <w:szCs w:val="24"/>
        </w:rPr>
        <w:t>Lazdijų</w:t>
      </w:r>
      <w:r w:rsidR="00CF2C00" w:rsidRPr="00CF2C00">
        <w:rPr>
          <w:rFonts w:ascii="Arial" w:eastAsia="MS PGothic" w:hAnsi="Arial" w:cs="Times New Roman"/>
          <w:sz w:val="20"/>
          <w:szCs w:val="24"/>
        </w:rPr>
        <w:t xml:space="preserve"> savivaldybėje </w:t>
      </w:r>
      <w:r w:rsidR="00CF2C00">
        <w:rPr>
          <w:rFonts w:ascii="Arial" w:eastAsia="MS PGothic" w:hAnsi="Arial" w:cs="Times New Roman"/>
          <w:sz w:val="20"/>
          <w:szCs w:val="24"/>
        </w:rPr>
        <w:t xml:space="preserve">pasižymėjo bendra </w:t>
      </w:r>
      <w:r w:rsidR="004B3A55">
        <w:rPr>
          <w:rFonts w:ascii="Arial" w:eastAsia="MS PGothic" w:hAnsi="Arial" w:cs="Times New Roman"/>
          <w:sz w:val="20"/>
          <w:szCs w:val="24"/>
        </w:rPr>
        <w:t>teigiama</w:t>
      </w:r>
      <w:r w:rsidR="00CF2C00">
        <w:rPr>
          <w:rFonts w:ascii="Arial" w:eastAsia="MS PGothic" w:hAnsi="Arial" w:cs="Times New Roman"/>
          <w:sz w:val="20"/>
          <w:szCs w:val="24"/>
        </w:rPr>
        <w:t xml:space="preserve"> kitimo tendencija.</w:t>
      </w:r>
    </w:p>
    <w:p w:rsidR="008A1509" w:rsidRPr="00CF2C00" w:rsidRDefault="008A1509" w:rsidP="008A1509">
      <w:pPr>
        <w:pStyle w:val="Caption"/>
        <w:keepNext/>
      </w:pPr>
      <w:r w:rsidRPr="00CF2C00">
        <w:fldChar w:fldCharType="begin"/>
      </w:r>
      <w:r w:rsidRPr="00CF2C00">
        <w:instrText xml:space="preserve"> SEQ paveikslas \* ARABIC </w:instrText>
      </w:r>
      <w:r w:rsidRPr="00CF2C00">
        <w:fldChar w:fldCharType="separate"/>
      </w:r>
      <w:r w:rsidRPr="00CF2C00">
        <w:t>6</w:t>
      </w:r>
      <w:r w:rsidRPr="00CF2C00">
        <w:fldChar w:fldCharType="end"/>
      </w:r>
      <w:r w:rsidRPr="00CF2C00">
        <w:t xml:space="preserve"> paveikslas. Ekonominės veiklos rodikliai</w:t>
      </w:r>
    </w:p>
    <w:p w:rsidR="00A027E9" w:rsidRPr="00CF2C00" w:rsidRDefault="000B2A0A" w:rsidP="00A027E9">
      <w:r>
        <w:rPr>
          <w:noProof/>
          <w:lang w:val="en-US"/>
        </w:rPr>
        <w:drawing>
          <wp:anchor distT="0" distB="0" distL="114300" distR="114300" simplePos="0" relativeHeight="251697152" behindDoc="0" locked="0" layoutInCell="1" allowOverlap="1" wp14:anchorId="140012B6" wp14:editId="0043B0CA">
            <wp:simplePos x="0" y="0"/>
            <wp:positionH relativeFrom="margin">
              <wp:align>left</wp:align>
            </wp:positionH>
            <wp:positionV relativeFrom="paragraph">
              <wp:posOffset>6606</wp:posOffset>
            </wp:positionV>
            <wp:extent cx="4595812" cy="2688772"/>
            <wp:effectExtent l="0" t="0" r="14605" b="1651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FB33DD" w:rsidRDefault="00FB33DD" w:rsidP="00805F6F">
      <w:pPr>
        <w:pStyle w:val="Caption"/>
        <w:spacing w:before="240" w:after="240"/>
        <w:rPr>
          <w:b w:val="0"/>
        </w:rPr>
      </w:pPr>
    </w:p>
    <w:p w:rsidR="004E0E71" w:rsidRPr="00CF2C00" w:rsidRDefault="004E0E71" w:rsidP="00805F6F">
      <w:pPr>
        <w:pStyle w:val="Caption"/>
        <w:spacing w:before="240" w:after="240"/>
        <w:rPr>
          <w:b w:val="0"/>
        </w:rPr>
      </w:pPr>
      <w:r w:rsidRPr="00CF2C00">
        <w:rPr>
          <w:b w:val="0"/>
        </w:rPr>
        <w:t>Šaltinis: Statistiko</w:t>
      </w:r>
      <w:r w:rsidR="0062159A" w:rsidRPr="00CF2C00">
        <w:rPr>
          <w:b w:val="0"/>
        </w:rPr>
        <w:t>s</w:t>
      </w:r>
      <w:r w:rsidRPr="00CF2C00">
        <w:rPr>
          <w:b w:val="0"/>
        </w:rPr>
        <w:t xml:space="preserve"> departamentas</w:t>
      </w:r>
    </w:p>
    <w:p w:rsidR="00942138" w:rsidRPr="00CF2C00" w:rsidRDefault="006C4D28" w:rsidP="00156F09">
      <w:pPr>
        <w:pStyle w:val="Heading1"/>
        <w:numPr>
          <w:ilvl w:val="1"/>
          <w:numId w:val="1"/>
        </w:numPr>
        <w:spacing w:before="600" w:after="240"/>
        <w:rPr>
          <w:rFonts w:ascii="Arial" w:hAnsi="Arial" w:cs="Arial"/>
          <w:b w:val="0"/>
          <w:sz w:val="28"/>
        </w:rPr>
      </w:pPr>
      <w:r w:rsidRPr="00CF2C00">
        <w:rPr>
          <w:rFonts w:ascii="Arial" w:hAnsi="Arial" w:cs="Arial"/>
          <w:b w:val="0"/>
          <w:sz w:val="28"/>
        </w:rPr>
        <w:t>ES struktūrinės paramos poveikis</w:t>
      </w:r>
    </w:p>
    <w:p w:rsidR="00CF2C00" w:rsidRDefault="006C4D28" w:rsidP="00CF2C00">
      <w:pPr>
        <w:jc w:val="both"/>
        <w:rPr>
          <w:rFonts w:ascii="Arial" w:eastAsia="MS PGothic" w:hAnsi="Arial" w:cs="Times New Roman"/>
          <w:sz w:val="20"/>
          <w:szCs w:val="24"/>
        </w:rPr>
      </w:pPr>
      <w:r w:rsidRPr="00CF2C00">
        <w:rPr>
          <w:rFonts w:ascii="Arial" w:eastAsia="MS PGothic" w:hAnsi="Arial" w:cs="Times New Roman"/>
          <w:sz w:val="20"/>
          <w:szCs w:val="24"/>
        </w:rPr>
        <w:t xml:space="preserve">Investicijos probleminėms teritorijoms priskirtoms savivaldybėms buvo skiriamos pagal LRV nutarimu patvirtintas probleminių </w:t>
      </w:r>
      <w:r w:rsidR="002D1DCE" w:rsidRPr="00CF2C00">
        <w:rPr>
          <w:rFonts w:ascii="Arial" w:eastAsia="MS PGothic" w:hAnsi="Arial" w:cs="Times New Roman"/>
          <w:sz w:val="20"/>
          <w:szCs w:val="24"/>
        </w:rPr>
        <w:t xml:space="preserve">teritorijų gaivinimo programas. </w:t>
      </w:r>
      <w:r w:rsidR="00BF63D3" w:rsidRPr="00CF2C00">
        <w:rPr>
          <w:rFonts w:ascii="Arial" w:eastAsia="MS PGothic" w:hAnsi="Arial" w:cs="Times New Roman"/>
          <w:sz w:val="20"/>
          <w:szCs w:val="24"/>
        </w:rPr>
        <w:t xml:space="preserve">Pagrindiniai </w:t>
      </w:r>
      <w:r w:rsidR="005E7012">
        <w:rPr>
          <w:rFonts w:ascii="Arial" w:eastAsia="MS PGothic" w:hAnsi="Arial" w:cs="Times New Roman"/>
          <w:sz w:val="20"/>
          <w:szCs w:val="24"/>
        </w:rPr>
        <w:t>Lazdijų</w:t>
      </w:r>
      <w:r w:rsidR="00C446C3" w:rsidRPr="00CF2C00">
        <w:rPr>
          <w:rFonts w:ascii="Arial" w:eastAsia="MS PGothic" w:hAnsi="Arial" w:cs="Times New Roman"/>
          <w:sz w:val="20"/>
          <w:szCs w:val="24"/>
        </w:rPr>
        <w:t xml:space="preserve"> rajono</w:t>
      </w:r>
      <w:r w:rsidR="00BF63D3" w:rsidRPr="00CF2C00">
        <w:rPr>
          <w:rFonts w:ascii="Arial" w:eastAsia="MS PGothic" w:hAnsi="Arial" w:cs="Times New Roman"/>
          <w:sz w:val="20"/>
          <w:szCs w:val="24"/>
        </w:rPr>
        <w:t xml:space="preserve"> savivaldybės programos tikslai buvo mažinti nedarbo rodiklius ir socialinės pašalpos gavėjų skaičių. Tuo tarpu uždaviniai ir veiklos telkėsi į infrastruktūros tobulinimą, daugiabučių atnaujinimą ir </w:t>
      </w:r>
      <w:r w:rsidR="00CF2C00">
        <w:rPr>
          <w:rFonts w:ascii="Arial" w:eastAsia="MS PGothic" w:hAnsi="Arial" w:cs="Times New Roman"/>
          <w:sz w:val="20"/>
          <w:szCs w:val="24"/>
        </w:rPr>
        <w:t>kompleksinį</w:t>
      </w:r>
      <w:r w:rsidR="00D4179A">
        <w:rPr>
          <w:rFonts w:ascii="Arial" w:eastAsia="MS PGothic" w:hAnsi="Arial" w:cs="Times New Roman"/>
          <w:sz w:val="20"/>
          <w:szCs w:val="24"/>
        </w:rPr>
        <w:t xml:space="preserve"> gyvenamosios aplinkos ir </w:t>
      </w:r>
      <w:r w:rsidR="005E7012">
        <w:rPr>
          <w:rFonts w:ascii="Arial" w:eastAsia="MS PGothic" w:hAnsi="Arial" w:cs="Times New Roman"/>
          <w:sz w:val="20"/>
          <w:szCs w:val="24"/>
        </w:rPr>
        <w:t xml:space="preserve">urbanistinės </w:t>
      </w:r>
      <w:r w:rsidR="00BF63D3" w:rsidRPr="00CF2C00">
        <w:rPr>
          <w:rFonts w:ascii="Arial" w:eastAsia="MS PGothic" w:hAnsi="Arial" w:cs="Times New Roman"/>
          <w:sz w:val="20"/>
          <w:szCs w:val="24"/>
        </w:rPr>
        <w:t xml:space="preserve"> </w:t>
      </w:r>
      <w:r w:rsidR="005E7012">
        <w:rPr>
          <w:rFonts w:ascii="Arial" w:eastAsia="MS PGothic" w:hAnsi="Arial" w:cs="Times New Roman"/>
          <w:sz w:val="20"/>
          <w:szCs w:val="24"/>
        </w:rPr>
        <w:t xml:space="preserve">infrastruktūros </w:t>
      </w:r>
      <w:r w:rsidR="00BF63D3" w:rsidRPr="00CF2C00">
        <w:rPr>
          <w:rFonts w:ascii="Arial" w:eastAsia="MS PGothic" w:hAnsi="Arial" w:cs="Times New Roman"/>
          <w:sz w:val="20"/>
          <w:szCs w:val="24"/>
        </w:rPr>
        <w:t>tobulinimą.</w:t>
      </w:r>
      <w:r w:rsidR="00D66F8E" w:rsidRPr="00CF2C00">
        <w:rPr>
          <w:rStyle w:val="FootnoteReference"/>
          <w:rFonts w:ascii="Arial" w:eastAsia="MS PGothic" w:hAnsi="Arial" w:cs="Times New Roman"/>
          <w:sz w:val="20"/>
          <w:szCs w:val="24"/>
        </w:rPr>
        <w:footnoteReference w:id="1"/>
      </w:r>
      <w:r w:rsidR="002D1DCE" w:rsidRPr="00CF2C00">
        <w:rPr>
          <w:rFonts w:ascii="Arial" w:eastAsia="MS PGothic" w:hAnsi="Arial" w:cs="Times New Roman"/>
          <w:sz w:val="20"/>
          <w:szCs w:val="24"/>
        </w:rPr>
        <w:t xml:space="preserve"> Taigi ir ES SF lėšos daugiausia buvo investuotos</w:t>
      </w:r>
      <w:r w:rsidR="00D66F8E" w:rsidRPr="00CF2C00">
        <w:rPr>
          <w:rFonts w:ascii="Arial" w:eastAsia="MS PGothic" w:hAnsi="Arial" w:cs="Times New Roman"/>
          <w:sz w:val="20"/>
          <w:szCs w:val="24"/>
        </w:rPr>
        <w:t xml:space="preserve"> į fizinės aplinkos gerinimą, </w:t>
      </w:r>
      <w:r w:rsidR="005E7012">
        <w:rPr>
          <w:rFonts w:ascii="Arial" w:eastAsia="MS PGothic" w:hAnsi="Arial" w:cs="Times New Roman"/>
          <w:sz w:val="20"/>
          <w:szCs w:val="24"/>
        </w:rPr>
        <w:t>viešosios paskirties pastatų ir daugiabučių</w:t>
      </w:r>
      <w:r w:rsidR="00CF2C00">
        <w:rPr>
          <w:rFonts w:ascii="Arial" w:eastAsia="MS PGothic" w:hAnsi="Arial" w:cs="Times New Roman"/>
          <w:sz w:val="20"/>
          <w:szCs w:val="24"/>
        </w:rPr>
        <w:t xml:space="preserve"> renovavimą. </w:t>
      </w:r>
      <w:r w:rsidR="00CF2C00" w:rsidRPr="00DF7AAE">
        <w:rPr>
          <w:rFonts w:ascii="Arial" w:eastAsia="MS PGothic" w:hAnsi="Arial" w:cs="Times New Roman"/>
          <w:sz w:val="20"/>
          <w:szCs w:val="24"/>
        </w:rPr>
        <w:t>Probleminių ter</w:t>
      </w:r>
      <w:r w:rsidR="00CF2C00">
        <w:rPr>
          <w:rFonts w:ascii="Arial" w:eastAsia="MS PGothic" w:hAnsi="Arial" w:cs="Times New Roman"/>
          <w:sz w:val="20"/>
          <w:szCs w:val="24"/>
        </w:rPr>
        <w:t>itorijų programa buvo viena pagrindinių priemonių, skirtų socialinės atskirties mažinimui tarp regionų</w:t>
      </w:r>
      <w:r w:rsidR="00CF2C00" w:rsidRPr="00DF7AAE">
        <w:rPr>
          <w:rFonts w:ascii="Arial" w:eastAsia="MS PGothic" w:hAnsi="Arial" w:cs="Times New Roman"/>
          <w:sz w:val="20"/>
          <w:szCs w:val="24"/>
        </w:rPr>
        <w:t xml:space="preserve">. </w:t>
      </w:r>
      <w:r w:rsidR="00CF2C00">
        <w:rPr>
          <w:rFonts w:ascii="Arial" w:eastAsia="MS PGothic" w:hAnsi="Arial" w:cs="Times New Roman"/>
          <w:sz w:val="20"/>
          <w:szCs w:val="24"/>
        </w:rPr>
        <w:t>Vis dėlto skirtos lėšos buvo nepakankamos numatytų tikslų pasiekimui.</w:t>
      </w:r>
      <w:r w:rsidR="00CF2C00" w:rsidRPr="00DF7AAE">
        <w:rPr>
          <w:rFonts w:ascii="Arial" w:eastAsia="MS PGothic" w:hAnsi="Arial" w:cs="Times New Roman"/>
          <w:sz w:val="20"/>
          <w:szCs w:val="24"/>
        </w:rPr>
        <w:t xml:space="preserve"> </w:t>
      </w:r>
    </w:p>
    <w:p w:rsidR="005E7012" w:rsidRDefault="003B1EF1" w:rsidP="002D1DCE">
      <w:pPr>
        <w:jc w:val="both"/>
        <w:rPr>
          <w:rFonts w:ascii="Arial" w:eastAsia="MS PGothic" w:hAnsi="Arial" w:cs="Times New Roman"/>
          <w:sz w:val="20"/>
          <w:szCs w:val="24"/>
        </w:rPr>
      </w:pPr>
      <w:r>
        <w:rPr>
          <w:rFonts w:ascii="Arial" w:eastAsia="MS PGothic" w:hAnsi="Arial" w:cs="Times New Roman"/>
          <w:sz w:val="20"/>
          <w:szCs w:val="24"/>
        </w:rPr>
        <w:t>E</w:t>
      </w:r>
      <w:r w:rsidR="00CF2C00" w:rsidRPr="00DF7AAE">
        <w:rPr>
          <w:rFonts w:ascii="Arial" w:eastAsia="MS PGothic" w:hAnsi="Arial" w:cs="Times New Roman"/>
          <w:sz w:val="20"/>
          <w:szCs w:val="24"/>
        </w:rPr>
        <w:t xml:space="preserve">S SF programavimo laikotarpiu </w:t>
      </w:r>
      <w:r w:rsidR="005E7012">
        <w:rPr>
          <w:rFonts w:ascii="Arial" w:eastAsia="MS PGothic" w:hAnsi="Arial" w:cs="Times New Roman"/>
          <w:sz w:val="20"/>
          <w:szCs w:val="24"/>
        </w:rPr>
        <w:t>Lazdijų</w:t>
      </w:r>
      <w:r w:rsidR="00CF2C00">
        <w:rPr>
          <w:rFonts w:ascii="Arial" w:eastAsia="MS PGothic" w:hAnsi="Arial" w:cs="Times New Roman"/>
          <w:sz w:val="20"/>
          <w:szCs w:val="24"/>
        </w:rPr>
        <w:t xml:space="preserve"> savivaldybėje </w:t>
      </w:r>
      <w:r w:rsidR="00CF2C00" w:rsidRPr="00DF7AAE">
        <w:rPr>
          <w:rFonts w:ascii="Arial" w:eastAsia="MS PGothic" w:hAnsi="Arial" w:cs="Times New Roman"/>
          <w:sz w:val="20"/>
          <w:szCs w:val="24"/>
        </w:rPr>
        <w:t xml:space="preserve">buvo </w:t>
      </w:r>
      <w:r w:rsidR="00CF2C00">
        <w:rPr>
          <w:rFonts w:ascii="Arial" w:eastAsia="MS PGothic" w:hAnsi="Arial" w:cs="Times New Roman"/>
          <w:sz w:val="20"/>
          <w:szCs w:val="24"/>
        </w:rPr>
        <w:t>investuojama į miestų plėtrą, kompleksinį gyvenamosios aplinkos gerinimą.</w:t>
      </w:r>
      <w:r w:rsidR="00CF2C00" w:rsidRPr="00DF7AAE">
        <w:rPr>
          <w:rFonts w:ascii="Arial" w:eastAsia="MS PGothic" w:hAnsi="Arial" w:cs="Times New Roman"/>
          <w:sz w:val="20"/>
          <w:szCs w:val="24"/>
        </w:rPr>
        <w:t xml:space="preserve"> </w:t>
      </w:r>
      <w:r w:rsidR="005E7012" w:rsidRPr="001D4F9B">
        <w:rPr>
          <w:rFonts w:ascii="Arial" w:eastAsia="MS PGothic" w:hAnsi="Arial" w:cs="Times New Roman"/>
          <w:sz w:val="20"/>
          <w:szCs w:val="24"/>
        </w:rPr>
        <w:t xml:space="preserve">Išsiskiriantys Lazdijų savivaldybėje </w:t>
      </w:r>
      <w:r>
        <w:rPr>
          <w:rFonts w:ascii="Arial" w:eastAsia="MS PGothic" w:hAnsi="Arial" w:cs="Times New Roman"/>
          <w:sz w:val="20"/>
          <w:szCs w:val="24"/>
        </w:rPr>
        <w:t>į</w:t>
      </w:r>
      <w:r w:rsidR="005E7012" w:rsidRPr="001D4F9B">
        <w:rPr>
          <w:rFonts w:ascii="Arial" w:eastAsia="MS PGothic" w:hAnsi="Arial" w:cs="Times New Roman"/>
          <w:sz w:val="20"/>
          <w:szCs w:val="24"/>
        </w:rPr>
        <w:t xml:space="preserve">gyvendinti projektai – kompleksinė plėtra bei daugiabučių namų </w:t>
      </w:r>
      <w:r w:rsidR="005E7012">
        <w:rPr>
          <w:rFonts w:ascii="Arial" w:eastAsia="MS PGothic" w:hAnsi="Arial" w:cs="Times New Roman"/>
          <w:sz w:val="20"/>
          <w:szCs w:val="24"/>
        </w:rPr>
        <w:t>renovacija</w:t>
      </w:r>
      <w:r w:rsidR="005E7012" w:rsidRPr="001D4F9B">
        <w:rPr>
          <w:rFonts w:ascii="Arial" w:eastAsia="MS PGothic" w:hAnsi="Arial" w:cs="Times New Roman"/>
          <w:sz w:val="20"/>
          <w:szCs w:val="24"/>
        </w:rPr>
        <w:t xml:space="preserve">. </w:t>
      </w:r>
      <w:r w:rsidR="00C446C3" w:rsidRPr="00CF2C00">
        <w:rPr>
          <w:rFonts w:ascii="Arial" w:eastAsia="MS PGothic" w:hAnsi="Arial" w:cs="Times New Roman"/>
          <w:sz w:val="20"/>
          <w:szCs w:val="24"/>
        </w:rPr>
        <w:t xml:space="preserve">2007 – 2013 m. įgyvendinti projektai labiausiai prisidėjo prie </w:t>
      </w:r>
      <w:r w:rsidR="005E7012">
        <w:rPr>
          <w:rFonts w:ascii="Arial" w:eastAsia="MS PGothic" w:hAnsi="Arial" w:cs="Times New Roman"/>
          <w:sz w:val="20"/>
          <w:szCs w:val="24"/>
        </w:rPr>
        <w:t>socialinės ir švietimo infrastruktūros plėtojimo. Lyginant savivaldybei tekusių lėšų kiekį ir pasiektus rezultatus, galima daryti išvadą, kad lėšos buvo panaudotos itin kryptingai ir efektyviai, daugiausiai dėmesio skiriant „kietosioms“</w:t>
      </w:r>
      <w:r w:rsidR="00D64CFF">
        <w:rPr>
          <w:rFonts w:ascii="Arial" w:eastAsia="MS PGothic" w:hAnsi="Arial" w:cs="Times New Roman"/>
          <w:sz w:val="20"/>
          <w:szCs w:val="24"/>
        </w:rPr>
        <w:t xml:space="preserve"> ir į aplinkos būklę orientuotoms</w:t>
      </w:r>
      <w:r w:rsidR="005E7012">
        <w:rPr>
          <w:rFonts w:ascii="Arial" w:eastAsia="MS PGothic" w:hAnsi="Arial" w:cs="Times New Roman"/>
          <w:sz w:val="20"/>
          <w:szCs w:val="24"/>
        </w:rPr>
        <w:t xml:space="preserve"> investicijų sritims.</w:t>
      </w:r>
    </w:p>
    <w:p w:rsidR="00D64CFF" w:rsidRDefault="00D64CFF" w:rsidP="002D1DCE">
      <w:pPr>
        <w:jc w:val="both"/>
        <w:rPr>
          <w:rFonts w:ascii="Arial" w:eastAsia="MS PGothic" w:hAnsi="Arial" w:cs="Times New Roman"/>
          <w:sz w:val="20"/>
          <w:szCs w:val="24"/>
        </w:rPr>
      </w:pPr>
      <w:r w:rsidRPr="003B1EF1">
        <w:rPr>
          <w:rFonts w:ascii="Arial" w:eastAsia="MS PGothic" w:hAnsi="Arial" w:cs="Times New Roman"/>
          <w:noProof/>
          <w:sz w:val="20"/>
          <w:szCs w:val="24"/>
          <w:lang w:val="en-US"/>
        </w:rPr>
        <mc:AlternateContent>
          <mc:Choice Requires="wps">
            <w:drawing>
              <wp:anchor distT="0" distB="0" distL="114300" distR="114300" simplePos="0" relativeHeight="251699200" behindDoc="0" locked="0" layoutInCell="1" allowOverlap="1" wp14:anchorId="6EEC85E2" wp14:editId="02D91EF9">
                <wp:simplePos x="0" y="0"/>
                <wp:positionH relativeFrom="column">
                  <wp:posOffset>682</wp:posOffset>
                </wp:positionH>
                <wp:positionV relativeFrom="paragraph">
                  <wp:posOffset>19154</wp:posOffset>
                </wp:positionV>
                <wp:extent cx="5055870" cy="1403985"/>
                <wp:effectExtent l="0" t="0" r="1143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5870" cy="1403985"/>
                        </a:xfrm>
                        <a:prstGeom prst="rect">
                          <a:avLst/>
                        </a:prstGeom>
                        <a:solidFill>
                          <a:srgbClr val="FFFFFF"/>
                        </a:solidFill>
                        <a:ln w="9525">
                          <a:solidFill>
                            <a:srgbClr val="000000"/>
                          </a:solidFill>
                          <a:miter lim="800000"/>
                          <a:headEnd/>
                          <a:tailEnd/>
                        </a:ln>
                      </wps:spPr>
                      <wps:txbx>
                        <w:txbxContent>
                          <w:p w:rsidR="00D64CFF" w:rsidRDefault="00D64CFF" w:rsidP="00D64CFF">
                            <w:pPr>
                              <w:jc w:val="both"/>
                              <w:rPr>
                                <w:rFonts w:ascii="Arial" w:hAnsi="Arial" w:cs="Arial"/>
                                <w:b/>
                                <w:sz w:val="16"/>
                                <w:szCs w:val="16"/>
                              </w:rPr>
                            </w:pPr>
                            <w:r w:rsidRPr="003B1EF1">
                              <w:rPr>
                                <w:rFonts w:ascii="Arial" w:hAnsi="Arial" w:cs="Arial"/>
                                <w:b/>
                                <w:sz w:val="16"/>
                                <w:szCs w:val="16"/>
                              </w:rPr>
                              <w:t>Vandens tiekimo ir nuotekų tvarkymo infrastruktūros plėtra Lazdijų rajone (Veisiejuose, Kailiniuose, Lazdijuose, Bajoriškėse), VP3-3.1-AM-01-V-02-079</w:t>
                            </w:r>
                          </w:p>
                          <w:p w:rsidR="00D64CFF" w:rsidRPr="003B1EF1" w:rsidRDefault="00D64CFF" w:rsidP="00D64CFF">
                            <w:pPr>
                              <w:jc w:val="both"/>
                              <w:rPr>
                                <w:rFonts w:ascii="Arial" w:hAnsi="Arial" w:cs="Arial"/>
                                <w:sz w:val="16"/>
                                <w:szCs w:val="16"/>
                              </w:rPr>
                            </w:pPr>
                            <w:r w:rsidRPr="003B1EF1">
                              <w:rPr>
                                <w:rFonts w:ascii="Arial" w:hAnsi="Arial" w:cs="Arial"/>
                                <w:sz w:val="16"/>
                                <w:szCs w:val="16"/>
                              </w:rPr>
                              <w:t>Centralizuotų vandens tiekimo ir nuotekų tvarkymo paslaugų prieinamumo didinimas ir kokybės užtikrinimas Lazdijų ir Veisiejų miestų aglomeracijų gyventojams yra aktualus klausimas Lazdijų rajono savivaldybėje. Lazdijų mieste viešai prieinamomis vandens tiekimo bei nuotekų tvarkymo paslaugomis naudojasi atitinkamai 62 proc. ir 48 proc. gyventojų, Veisiejų mieste - atitinkamai 57 proc. ir 44 proc. gyventojų. Nedidelį vandens tiekimo ir nuotekų tvarkymo paslaugų prieinamumą lemia tai, kad yra nemažai gatvių, kuriose vandentiekio ir nuotekų tinklų visai nėra. Gyventojai, kurie neturi galimybės prisijungti prie viešų vandentiekio ir nuotekų tinklų, vartoja vandenį, kuris neatitinka higienos reikalavimų bei negali užtikrinti tinkamo nuotekų išvalymo. Tinkamo nuotekų išvalymo taip pat neužtikrina Lazdijų nuotekų valykla, kurioje naudojami įrengimai neleidžia užtikrinti išleidžiamų nuotekų atitikimo ES ir nacionaliniams reikalavimams. Pagal Geriamojo vandens tiekimo ir nuotekų tvarkymo 2008–2015 metų plėtros strategiją - viešai tiekiamo geriamojo vandens ir nuotekų tvarkymo paslaugos prieinamumas iki 2015 m. turėtų siekti 95 proc. visų LR gyventojų, o surenkamų nuotekų išvalymo iki nustatytųjų normų siektina reikšmė - 100 proc. Pagal Lietuvos Respublikos vietos savivaldos įstatymą ir Lietuvos Respublikos geriamojo vandens tiekimo ir nuotekų tvarkymo įstatymą savivaldybėms bei miesto vandentvarkos įmonėms priskirtos geriamojo vandens tiekimo ir nuotekų tvarkymo paslaugų organizavimo funkcijos. Todėl centralizuoto vandens tiekimo ir nuotekų tvarkymo tinklų išplėtimas geriausiai u</w:t>
                            </w:r>
                            <w:r>
                              <w:rPr>
                                <w:rFonts w:ascii="Arial" w:hAnsi="Arial" w:cs="Arial"/>
                                <w:sz w:val="16"/>
                                <w:szCs w:val="16"/>
                              </w:rPr>
                              <w:t>žtikrina</w:t>
                            </w:r>
                            <w:r w:rsidRPr="003B1EF1">
                              <w:rPr>
                                <w:rFonts w:ascii="Arial" w:hAnsi="Arial" w:cs="Arial"/>
                                <w:sz w:val="16"/>
                                <w:szCs w:val="16"/>
                              </w:rPr>
                              <w:t xml:space="preserve"> šių funkcijų (prievolių) - aprūpinti gyventojus kokybišku vandeniu bei pagal reikalavimus išleidžiamų nuotekų tvarkymu - vykdymą. Lazdijų rajono savivaldybė vandens tiekimo ir nuotekų tvarkymo paslaugas teikti perdav</w:t>
                            </w:r>
                            <w:r>
                              <w:rPr>
                                <w:rFonts w:ascii="Arial" w:hAnsi="Arial" w:cs="Arial"/>
                                <w:sz w:val="16"/>
                                <w:szCs w:val="16"/>
                              </w:rPr>
                              <w:t>ė UAB "Lazdijų vanduo", kuri buvo</w:t>
                            </w:r>
                            <w:r w:rsidRPr="003B1EF1">
                              <w:rPr>
                                <w:rFonts w:ascii="Arial" w:hAnsi="Arial" w:cs="Arial"/>
                                <w:sz w:val="16"/>
                                <w:szCs w:val="16"/>
                              </w:rPr>
                              <w:t xml:space="preserve"> šio projekto iniciatorė ir vykdytoja.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left:0;text-align:left;margin-left:.05pt;margin-top:1.5pt;width:398.1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RUiJwIAAE4EAAAOAAAAZHJzL2Uyb0RvYy54bWysVNtu2zAMfR+wfxD0vthJ4zUx4hRdugwD&#10;ugvQ7gNoWY6F6TZJiZ19/Sg5TbPbyzA/CKJIHR0ekl7dDEqSA3deGF3R6SSnhGtmGqF3Ff3yuH21&#10;oMQH0A1Io3lFj9zTm/XLF6velnxmOiMb7giCaF/2tqJdCLbMMs86rsBPjOUana1xCgKabpc1DnpE&#10;VzKb5fnrrDeusc4w7j2e3o1Ouk74bctZ+NS2ngciK4rcQlpdWuu4ZusVlDsHthPsRAP+gYUCofHR&#10;M9QdBCB7J36DUoI5400bJsyozLStYDzlgNlM81+yeejA8pQLiuPtWSb//2DZx8NnR0RT0av8mhIN&#10;Cov0yIdA3piBzKI+vfUlhj1YDAwDHmOdU67e3hv21RNtNh3oHb91zvQdhwb5TePN7OLqiOMjSN1/&#10;MA0+A/tgEtDQOhXFQzkIomOdjufaRCoMD4u8KBbX6GLom87zq+WiSG9A+XTdOh/ecaNI3FTUYfET&#10;PBzufYh0oHwKia95I0WzFVImw+3qjXTkANgo2/Sd0H8Kk5r0FV0Ws2JU4K8Qefr+BKFEwI6XQlV0&#10;cQ6CMur2VjepHwMIOe6RstQnIaN2o4phqIdUs6RyFLk2zRGVdWZscBxI3HTGfaekx+auqP+2B8cp&#10;ke81Vmc5nc/jNCRjXlzP0HCXnvrSA5ohVEUDJeN2E9IEJd3sLVZxK5K+z0xOlLFpk+ynAYtTcWmn&#10;qOffwPoHAAAA//8DAFBLAwQUAAYACAAAACEAkP5dSdsAAAAGAQAADwAAAGRycy9kb3ducmV2Lnht&#10;bEyPwU7DMBBE70j8g7VIXCrqNKEBQjYVVOqJU0O5u/GSRMTrYLtt+ve4p3IczWjmTbmazCCO5Hxv&#10;GWExT0AQN1b33CLsPjcPzyB8UKzVYJkQzuRhVd3elKrQ9sRbOtahFbGEfaEQuhDGQkrfdGSUn9uR&#10;OHrf1hkVonSt1E6dYrkZZJokuTSq57jQqZHWHTU/9cEg5L91Nvv40jPenjfvrjFLvd4tEe/vprdX&#10;EIGmcA3DBT+iQxWZ9vbA2ovhokVAyOKfaD695BmIPUKaPi5AVqX8j1/9AQAA//8DAFBLAQItABQA&#10;BgAIAAAAIQC2gziS/gAAAOEBAAATAAAAAAAAAAAAAAAAAAAAAABbQ29udGVudF9UeXBlc10ueG1s&#10;UEsBAi0AFAAGAAgAAAAhADj9If/WAAAAlAEAAAsAAAAAAAAAAAAAAAAALwEAAF9yZWxzLy5yZWxz&#10;UEsBAi0AFAAGAAgAAAAhAFItFSInAgAATgQAAA4AAAAAAAAAAAAAAAAALgIAAGRycy9lMm9Eb2Mu&#10;eG1sUEsBAi0AFAAGAAgAAAAhAJD+XUnbAAAABgEAAA8AAAAAAAAAAAAAAAAAgQQAAGRycy9kb3du&#10;cmV2LnhtbFBLBQYAAAAABAAEAPMAAACJBQAAAAA=&#10;">
                <v:textbox style="mso-fit-shape-to-text:t">
                  <w:txbxContent>
                    <w:p w:rsidR="00D64CFF" w:rsidRDefault="00D64CFF" w:rsidP="00D64CFF">
                      <w:pPr>
                        <w:jc w:val="both"/>
                        <w:rPr>
                          <w:rFonts w:ascii="Arial" w:hAnsi="Arial" w:cs="Arial"/>
                          <w:b/>
                          <w:sz w:val="16"/>
                          <w:szCs w:val="16"/>
                        </w:rPr>
                      </w:pPr>
                      <w:r w:rsidRPr="003B1EF1">
                        <w:rPr>
                          <w:rFonts w:ascii="Arial" w:hAnsi="Arial" w:cs="Arial"/>
                          <w:b/>
                          <w:sz w:val="16"/>
                          <w:szCs w:val="16"/>
                        </w:rPr>
                        <w:t>Vandens tiekimo ir nuotekų tvarkymo infrastruktūros plėtra Lazdijų rajone (Veisiejuose, Kailiniuose, Lazdijuose, Bajoriškėse), VP3-3.1-AM-01-V-02-079</w:t>
                      </w:r>
                    </w:p>
                    <w:p w:rsidR="00D64CFF" w:rsidRPr="003B1EF1" w:rsidRDefault="00D64CFF" w:rsidP="00D64CFF">
                      <w:pPr>
                        <w:jc w:val="both"/>
                        <w:rPr>
                          <w:rFonts w:ascii="Arial" w:hAnsi="Arial" w:cs="Arial"/>
                          <w:sz w:val="16"/>
                          <w:szCs w:val="16"/>
                        </w:rPr>
                      </w:pPr>
                      <w:r w:rsidRPr="003B1EF1">
                        <w:rPr>
                          <w:rFonts w:ascii="Arial" w:hAnsi="Arial" w:cs="Arial"/>
                          <w:sz w:val="16"/>
                          <w:szCs w:val="16"/>
                        </w:rPr>
                        <w:t>Centralizuotų vandens tiekimo ir nuotekų tvarkymo paslaugų prieinamumo didinimas ir kokybės užtikrinimas Lazdijų ir Veisiejų miestų aglomeracijų gyventojams yra aktualus klausimas Lazdijų rajono savivaldybėje. Lazdijų mieste viešai prieinamomis vandens tiekimo bei nuotekų tvarkymo paslaugomis naudojasi atitinkamai 62 proc. ir 48 proc. gyventojų, Veisiejų mieste - atitinkamai 57 proc. ir 44 proc. gyventojų. Nedidelį vandens tiekimo ir nuotekų tvarkymo paslaugų prieinamumą lemia tai, kad yra nemažai gatvių, kuriose vandentiekio ir nuotekų tinklų visai nėra. Gyventojai, kurie neturi galimybės prisijungti prie viešų vandentiekio ir nuotekų tinklų, vartoja vandenį, kuris neatitinka higienos reikalavimų bei negali užtikrinti tinkamo nuotekų išvalymo. Tinkamo nuotekų išvalymo taip pat neužtikrina Lazdijų nuotekų valykla, kurioje naudojami įrengimai neleidžia užtikrinti išleidžiamų nuotekų atitikimo ES ir nacionaliniams reikalavimams. Pagal Geriamojo vandens tiekimo ir nuotekų tvarkymo 2008–2015 metų plėtros strategiją - viešai tiekiamo geriamojo vandens ir nuotekų tvarkymo paslaugos prieinamumas iki 2015 m. turėtų siekti 95 proc. visų LR gyventojų, o surenkamų nuotekų išvalymo iki nustatytųjų normų siektina reikšmė - 100 proc. Pagal Lietuvos Respublikos vietos savivaldos įstatymą ir Lietuvos Respublikos geriamojo vandens tiekimo ir nuotekų tvarkymo įstatymą savivaldybėms bei miesto vandentvarkos įmonėms priskirtos geriamojo vandens tiekimo ir nuotekų tvarkymo paslaugų organizavimo funkcijos. Todėl centralizuoto vandens tiekimo ir nuotekų tvarkymo tinklų išplėtimas geriausiai u</w:t>
                      </w:r>
                      <w:r>
                        <w:rPr>
                          <w:rFonts w:ascii="Arial" w:hAnsi="Arial" w:cs="Arial"/>
                          <w:sz w:val="16"/>
                          <w:szCs w:val="16"/>
                        </w:rPr>
                        <w:t>žtikrina</w:t>
                      </w:r>
                      <w:r w:rsidRPr="003B1EF1">
                        <w:rPr>
                          <w:rFonts w:ascii="Arial" w:hAnsi="Arial" w:cs="Arial"/>
                          <w:sz w:val="16"/>
                          <w:szCs w:val="16"/>
                        </w:rPr>
                        <w:t xml:space="preserve"> šių funkcijų (prievolių) - aprūpinti gyventojus kokybišku vandeniu bei pagal reikalavimus išleidžiamų nuotekų tvarkymu - vykdymą. Lazdijų rajono savivaldybė vandens tiekimo ir nuotekų tvarkymo paslaugas teikti perdav</w:t>
                      </w:r>
                      <w:r>
                        <w:rPr>
                          <w:rFonts w:ascii="Arial" w:hAnsi="Arial" w:cs="Arial"/>
                          <w:sz w:val="16"/>
                          <w:szCs w:val="16"/>
                        </w:rPr>
                        <w:t>ė UAB "Lazdijų vanduo", kuri buvo</w:t>
                      </w:r>
                      <w:r w:rsidRPr="003B1EF1">
                        <w:rPr>
                          <w:rFonts w:ascii="Arial" w:hAnsi="Arial" w:cs="Arial"/>
                          <w:sz w:val="16"/>
                          <w:szCs w:val="16"/>
                        </w:rPr>
                        <w:t xml:space="preserve"> šio projekto iniciatorė ir vykdytoja.</w:t>
                      </w:r>
                    </w:p>
                  </w:txbxContent>
                </v:textbox>
              </v:shape>
            </w:pict>
          </mc:Fallback>
        </mc:AlternateContent>
      </w: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p>
    <w:p w:rsidR="00D64CFF" w:rsidRDefault="00D64CFF" w:rsidP="002D1DCE">
      <w:pPr>
        <w:jc w:val="both"/>
        <w:rPr>
          <w:rFonts w:ascii="Arial" w:eastAsia="MS PGothic" w:hAnsi="Arial" w:cs="Times New Roman"/>
          <w:sz w:val="20"/>
          <w:szCs w:val="24"/>
        </w:rPr>
      </w:pPr>
      <w:bookmarkStart w:id="0" w:name="_GoBack"/>
      <w:bookmarkEnd w:id="0"/>
    </w:p>
    <w:p w:rsidR="00D64CFF" w:rsidRDefault="00D64CFF" w:rsidP="002D1DCE">
      <w:pPr>
        <w:jc w:val="both"/>
        <w:rPr>
          <w:rFonts w:ascii="Arial" w:eastAsia="MS PGothic" w:hAnsi="Arial" w:cs="Times New Roman"/>
          <w:sz w:val="20"/>
          <w:szCs w:val="24"/>
        </w:rPr>
      </w:pPr>
    </w:p>
    <w:p w:rsidR="002D1DCE" w:rsidRPr="00CF2C00" w:rsidRDefault="002D1DCE" w:rsidP="002D1DCE">
      <w:pPr>
        <w:jc w:val="both"/>
        <w:rPr>
          <w:rFonts w:ascii="Arial" w:eastAsia="MS PGothic" w:hAnsi="Arial" w:cs="Times New Roman"/>
          <w:sz w:val="20"/>
          <w:szCs w:val="24"/>
        </w:rPr>
      </w:pPr>
      <w:r w:rsidRPr="00CF2C00">
        <w:rPr>
          <w:rFonts w:ascii="Arial" w:eastAsia="MS PGothic" w:hAnsi="Arial" w:cs="Times New Roman"/>
          <w:sz w:val="20"/>
          <w:szCs w:val="24"/>
        </w:rPr>
        <w:t xml:space="preserve">Apibendrinant, ES struktūrinių fondų lėšos didžiausią įtaką darė </w:t>
      </w:r>
      <w:r w:rsidR="005E7012">
        <w:rPr>
          <w:rFonts w:ascii="Arial" w:eastAsia="MS PGothic" w:hAnsi="Arial" w:cs="Times New Roman"/>
          <w:sz w:val="20"/>
          <w:szCs w:val="24"/>
        </w:rPr>
        <w:t>miestų ir gyvenamosios aplinkos tvarkymo srityse</w:t>
      </w:r>
      <w:r w:rsidRPr="00CF2C00">
        <w:rPr>
          <w:rFonts w:ascii="Arial" w:eastAsia="MS PGothic" w:hAnsi="Arial" w:cs="Times New Roman"/>
          <w:sz w:val="20"/>
          <w:szCs w:val="24"/>
        </w:rPr>
        <w:t>.</w:t>
      </w:r>
      <w:r w:rsidR="001824B7">
        <w:rPr>
          <w:rFonts w:ascii="Arial" w:eastAsia="MS PGothic" w:hAnsi="Arial" w:cs="Times New Roman"/>
          <w:sz w:val="20"/>
          <w:szCs w:val="24"/>
        </w:rPr>
        <w:t xml:space="preserve"> Vis dėlto savivaldybės situaciją apibrėžiantiems rodikliams didžiausią įtaką darė išorės veiksniai, o skirtas ES SF finansavimas nebuvo pakankamas.</w:t>
      </w:r>
      <w:r w:rsidR="0020507E" w:rsidRPr="00CF2C00">
        <w:rPr>
          <w:rFonts w:ascii="Arial" w:eastAsia="MS PGothic" w:hAnsi="Arial" w:cs="Times New Roman"/>
          <w:sz w:val="20"/>
          <w:szCs w:val="24"/>
        </w:rPr>
        <w:t xml:space="preserve"> </w:t>
      </w:r>
      <w:r w:rsidRPr="00CF2C00">
        <w:rPr>
          <w:rFonts w:ascii="Arial" w:eastAsia="MS PGothic" w:hAnsi="Arial" w:cs="Times New Roman"/>
          <w:sz w:val="20"/>
          <w:szCs w:val="24"/>
        </w:rPr>
        <w:t xml:space="preserve">Įvertinus ES struktūrinių fondų investavimo kryptis ir stebimus socio-ekonominius bei aplinkos taršos rodiklių pokyčius, galima teigti, kad </w:t>
      </w:r>
      <w:r w:rsidR="005E7012">
        <w:rPr>
          <w:rFonts w:ascii="Arial" w:eastAsia="MS PGothic" w:hAnsi="Arial" w:cs="Times New Roman"/>
          <w:sz w:val="20"/>
          <w:szCs w:val="24"/>
        </w:rPr>
        <w:t>Lazdijų rajono savivaldybėje ES SF lėšų apimtis buvo per maža tam, kad būtų padarytas reikšmingas poveikis darniai plėtrai.</w:t>
      </w:r>
    </w:p>
    <w:p w:rsidR="00745B48" w:rsidRPr="00CF2C00" w:rsidRDefault="00745B48" w:rsidP="00A2570C">
      <w:pPr>
        <w:jc w:val="both"/>
        <w:rPr>
          <w:rFonts w:ascii="Arial" w:eastAsia="MS PGothic" w:hAnsi="Arial" w:cs="Times New Roman"/>
          <w:sz w:val="20"/>
          <w:szCs w:val="24"/>
        </w:rPr>
      </w:pPr>
    </w:p>
    <w:p w:rsidR="00897144" w:rsidRPr="00CF2C00" w:rsidRDefault="00897144">
      <w:pPr>
        <w:jc w:val="both"/>
        <w:rPr>
          <w:rFonts w:ascii="Arial" w:eastAsia="MS PGothic" w:hAnsi="Arial" w:cs="Times New Roman"/>
          <w:sz w:val="20"/>
          <w:szCs w:val="24"/>
        </w:rPr>
      </w:pPr>
    </w:p>
    <w:sectPr w:rsidR="00897144" w:rsidRPr="00CF2C00" w:rsidSect="00252B4A">
      <w:footerReference w:type="default" r:id="rId19"/>
      <w:footerReference w:type="first" r:id="rId20"/>
      <w:pgSz w:w="11901" w:h="16840"/>
      <w:pgMar w:top="1418" w:right="1134" w:bottom="1701" w:left="2835"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ACA" w:rsidRDefault="00384ACA">
      <w:pPr>
        <w:spacing w:after="0" w:line="240" w:lineRule="auto"/>
      </w:pPr>
      <w:r>
        <w:separator/>
      </w:r>
    </w:p>
  </w:endnote>
  <w:endnote w:type="continuationSeparator" w:id="0">
    <w:p w:rsidR="00384ACA" w:rsidRDefault="00384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PGothic">
    <w:panose1 w:val="020B0600070205080204"/>
    <w:charset w:val="80"/>
    <w:family w:val="swiss"/>
    <w:pitch w:val="variable"/>
    <w:sig w:usb0="E00002FF" w:usb1="6AC7FDFB" w:usb2="00000012" w:usb3="00000000" w:csb0="0002009F" w:csb1="00000000"/>
  </w:font>
  <w:font w:name="Times">
    <w:panose1 w:val="02020603050405020304"/>
    <w:charset w:val="BA"/>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319519"/>
      <w:docPartObj>
        <w:docPartGallery w:val="Page Numbers (Bottom of Page)"/>
        <w:docPartUnique/>
      </w:docPartObj>
    </w:sdtPr>
    <w:sdtEndPr>
      <w:rPr>
        <w:noProof/>
      </w:rPr>
    </w:sdtEndPr>
    <w:sdtContent>
      <w:p w:rsidR="00DC7F6C" w:rsidRDefault="00DC7F6C">
        <w:pPr>
          <w:pStyle w:val="Footer"/>
          <w:jc w:val="right"/>
        </w:pPr>
        <w:r>
          <w:fldChar w:fldCharType="begin"/>
        </w:r>
        <w:r>
          <w:instrText xml:space="preserve"> PAGE   \* MERGEFORMAT </w:instrText>
        </w:r>
        <w:r>
          <w:fldChar w:fldCharType="separate"/>
        </w:r>
        <w:r w:rsidR="00D414B7">
          <w:rPr>
            <w:noProof/>
          </w:rPr>
          <w:t>4</w:t>
        </w:r>
        <w:r>
          <w:rPr>
            <w:noProof/>
          </w:rPr>
          <w:fldChar w:fldCharType="end"/>
        </w:r>
      </w:p>
    </w:sdtContent>
  </w:sdt>
  <w:p w:rsidR="008F6941" w:rsidRDefault="008F69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416536"/>
      <w:docPartObj>
        <w:docPartGallery w:val="Page Numbers (Bottom of Page)"/>
        <w:docPartUnique/>
      </w:docPartObj>
    </w:sdtPr>
    <w:sdtEndPr>
      <w:rPr>
        <w:noProof/>
        <w:szCs w:val="17"/>
      </w:rPr>
    </w:sdtEndPr>
    <w:sdtContent>
      <w:p w:rsidR="008F6941" w:rsidRPr="00DC7F6C" w:rsidRDefault="008F6941">
        <w:pPr>
          <w:pStyle w:val="Footer"/>
          <w:jc w:val="right"/>
          <w:rPr>
            <w:szCs w:val="17"/>
          </w:rPr>
        </w:pPr>
        <w:r w:rsidRPr="00DC7F6C">
          <w:rPr>
            <w:szCs w:val="17"/>
          </w:rPr>
          <w:fldChar w:fldCharType="begin"/>
        </w:r>
        <w:r w:rsidRPr="00DC7F6C">
          <w:rPr>
            <w:szCs w:val="17"/>
          </w:rPr>
          <w:instrText xml:space="preserve"> PAGE   \* MERGEFORMAT </w:instrText>
        </w:r>
        <w:r w:rsidRPr="00DC7F6C">
          <w:rPr>
            <w:szCs w:val="17"/>
          </w:rPr>
          <w:fldChar w:fldCharType="separate"/>
        </w:r>
        <w:r w:rsidR="00D64CFF">
          <w:rPr>
            <w:noProof/>
            <w:szCs w:val="17"/>
          </w:rPr>
          <w:t>1</w:t>
        </w:r>
        <w:r w:rsidRPr="00DC7F6C">
          <w:rPr>
            <w:noProof/>
            <w:szCs w:val="17"/>
          </w:rPr>
          <w:fldChar w:fldCharType="end"/>
        </w:r>
      </w:p>
    </w:sdtContent>
  </w:sdt>
  <w:p w:rsidR="00C45115" w:rsidRPr="00BE0549" w:rsidRDefault="00D414B7" w:rsidP="00BE05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ACA" w:rsidRDefault="00384ACA">
      <w:pPr>
        <w:spacing w:after="0" w:line="240" w:lineRule="auto"/>
      </w:pPr>
      <w:r>
        <w:separator/>
      </w:r>
    </w:p>
  </w:footnote>
  <w:footnote w:type="continuationSeparator" w:id="0">
    <w:p w:rsidR="00384ACA" w:rsidRDefault="00384ACA">
      <w:pPr>
        <w:spacing w:after="0" w:line="240" w:lineRule="auto"/>
      </w:pPr>
      <w:r>
        <w:continuationSeparator/>
      </w:r>
    </w:p>
  </w:footnote>
  <w:footnote w:id="1">
    <w:p w:rsidR="00D66F8E" w:rsidRPr="00FC1F97" w:rsidRDefault="00D66F8E">
      <w:pPr>
        <w:pStyle w:val="FootnoteText"/>
        <w:rPr>
          <w:rFonts w:ascii="Arial" w:hAnsi="Arial" w:cs="Arial"/>
          <w:sz w:val="18"/>
          <w:lang w:val="en-US"/>
        </w:rPr>
      </w:pPr>
      <w:r w:rsidRPr="00FC1F97">
        <w:rPr>
          <w:rStyle w:val="FootnoteReference"/>
          <w:rFonts w:ascii="Arial" w:hAnsi="Arial" w:cs="Arial"/>
          <w:sz w:val="18"/>
        </w:rPr>
        <w:footnoteRef/>
      </w:r>
      <w:r w:rsidRPr="00FC1F97">
        <w:rPr>
          <w:rFonts w:ascii="Arial" w:hAnsi="Arial" w:cs="Arial"/>
          <w:sz w:val="18"/>
        </w:rPr>
        <w:t xml:space="preserve"> 2011 m. gegužės 18 d. </w:t>
      </w:r>
      <w:proofErr w:type="spellStart"/>
      <w:r w:rsidRPr="00FC1F97">
        <w:rPr>
          <w:rFonts w:ascii="Arial" w:hAnsi="Arial" w:cs="Arial"/>
          <w:sz w:val="18"/>
          <w:lang w:val="en-US"/>
        </w:rPr>
        <w:t>Lietuvos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Respublikos</w:t>
      </w:r>
      <w:proofErr w:type="spellEnd"/>
      <w:r w:rsidRPr="00FC1F97">
        <w:rPr>
          <w:rFonts w:ascii="Arial" w:hAnsi="Arial" w:cs="Arial"/>
          <w:sz w:val="18"/>
          <w:lang w:val="en-US"/>
        </w:rPr>
        <w:t xml:space="preserve"> </w:t>
      </w:r>
      <w:proofErr w:type="spellStart"/>
      <w:r w:rsidRPr="00FC1F97">
        <w:rPr>
          <w:rFonts w:ascii="Arial" w:hAnsi="Arial" w:cs="Arial"/>
          <w:sz w:val="18"/>
          <w:lang w:val="en-US"/>
        </w:rPr>
        <w:t>Vyriausyb</w:t>
      </w:r>
      <w:proofErr w:type="spellEnd"/>
      <w:r w:rsidRPr="00FC1F97">
        <w:rPr>
          <w:rFonts w:ascii="Arial" w:hAnsi="Arial" w:cs="Arial"/>
          <w:sz w:val="18"/>
        </w:rPr>
        <w:t xml:space="preserve">ės nutarimas Nr. 588 „Dėl probleminių teritorijų plėtros programų patvirtinimo“ &lt; </w:t>
      </w:r>
      <w:hyperlink r:id="rId1" w:history="1">
        <w:r w:rsidRPr="00FC1F97">
          <w:rPr>
            <w:rStyle w:val="Hyperlink"/>
            <w:rFonts w:ascii="Arial" w:hAnsi="Arial" w:cs="Arial"/>
            <w:sz w:val="18"/>
          </w:rPr>
          <w:t>https://e-tar.lt/portal/lt/legalAct/TAR.FA6D2B23F867</w:t>
        </w:r>
      </w:hyperlink>
      <w:r w:rsidRPr="00FC1F97">
        <w:rPr>
          <w:rFonts w:ascii="Arial" w:hAnsi="Arial" w:cs="Arial"/>
          <w:sz w:val="18"/>
        </w:rPr>
        <w:t xml:space="preserve"> &gt;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4A"/>
    <w:multiLevelType w:val="multilevel"/>
    <w:tmpl w:val="E03E5E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ascii="Arial" w:hAnsi="Arial" w:cs="Arial" w:hint="default"/>
        <w:b w:val="0"/>
        <w:sz w:val="28"/>
        <w:szCs w:val="28"/>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08D503ED"/>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nsid w:val="1AB36E7E"/>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58922398"/>
    <w:multiLevelType w:val="hybridMultilevel"/>
    <w:tmpl w:val="6924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90443D"/>
    <w:multiLevelType w:val="hybridMultilevel"/>
    <w:tmpl w:val="B9C44042"/>
    <w:lvl w:ilvl="0" w:tplc="3B4C4BFE">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6592C"/>
    <w:multiLevelType w:val="multilevel"/>
    <w:tmpl w:val="3EF012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7BB"/>
    <w:rsid w:val="0001054F"/>
    <w:rsid w:val="0001131C"/>
    <w:rsid w:val="00020455"/>
    <w:rsid w:val="000534F9"/>
    <w:rsid w:val="0005398B"/>
    <w:rsid w:val="0005613F"/>
    <w:rsid w:val="0006433C"/>
    <w:rsid w:val="000B2A0A"/>
    <w:rsid w:val="000C024B"/>
    <w:rsid w:val="000C341E"/>
    <w:rsid w:val="000D5BA5"/>
    <w:rsid w:val="000D77A0"/>
    <w:rsid w:val="000F56AE"/>
    <w:rsid w:val="00101E5E"/>
    <w:rsid w:val="00123257"/>
    <w:rsid w:val="001253F5"/>
    <w:rsid w:val="00136152"/>
    <w:rsid w:val="00156492"/>
    <w:rsid w:val="00156F09"/>
    <w:rsid w:val="001824B7"/>
    <w:rsid w:val="001A1350"/>
    <w:rsid w:val="001A72A7"/>
    <w:rsid w:val="001B09C3"/>
    <w:rsid w:val="001E095D"/>
    <w:rsid w:val="001F2140"/>
    <w:rsid w:val="0020507E"/>
    <w:rsid w:val="0020781B"/>
    <w:rsid w:val="00223773"/>
    <w:rsid w:val="00231F9C"/>
    <w:rsid w:val="0023534D"/>
    <w:rsid w:val="002427B5"/>
    <w:rsid w:val="00242947"/>
    <w:rsid w:val="00245A8A"/>
    <w:rsid w:val="002502B8"/>
    <w:rsid w:val="00253066"/>
    <w:rsid w:val="00264515"/>
    <w:rsid w:val="002677E8"/>
    <w:rsid w:val="00284741"/>
    <w:rsid w:val="00295323"/>
    <w:rsid w:val="002A3F19"/>
    <w:rsid w:val="002B025C"/>
    <w:rsid w:val="002B4036"/>
    <w:rsid w:val="002D1DCE"/>
    <w:rsid w:val="002E30F9"/>
    <w:rsid w:val="002F53F5"/>
    <w:rsid w:val="00316283"/>
    <w:rsid w:val="00326A1B"/>
    <w:rsid w:val="00332F7B"/>
    <w:rsid w:val="00353193"/>
    <w:rsid w:val="00356065"/>
    <w:rsid w:val="0035623C"/>
    <w:rsid w:val="0037112C"/>
    <w:rsid w:val="00384ACA"/>
    <w:rsid w:val="003851F2"/>
    <w:rsid w:val="00397FF3"/>
    <w:rsid w:val="003B1EF1"/>
    <w:rsid w:val="003B6A83"/>
    <w:rsid w:val="003B6A9C"/>
    <w:rsid w:val="003D195A"/>
    <w:rsid w:val="003E5F95"/>
    <w:rsid w:val="00412185"/>
    <w:rsid w:val="00424FB7"/>
    <w:rsid w:val="0044118D"/>
    <w:rsid w:val="00462CCD"/>
    <w:rsid w:val="004722C7"/>
    <w:rsid w:val="004743DF"/>
    <w:rsid w:val="00497FA6"/>
    <w:rsid w:val="004A5F6F"/>
    <w:rsid w:val="004B3A55"/>
    <w:rsid w:val="004B45DE"/>
    <w:rsid w:val="004C6B41"/>
    <w:rsid w:val="004E0E71"/>
    <w:rsid w:val="004F6A7B"/>
    <w:rsid w:val="00500B34"/>
    <w:rsid w:val="00501B52"/>
    <w:rsid w:val="00540ADA"/>
    <w:rsid w:val="005411B7"/>
    <w:rsid w:val="00554B62"/>
    <w:rsid w:val="005577BB"/>
    <w:rsid w:val="00560E0D"/>
    <w:rsid w:val="00591462"/>
    <w:rsid w:val="00594D44"/>
    <w:rsid w:val="005966F9"/>
    <w:rsid w:val="005D7C5E"/>
    <w:rsid w:val="005E7012"/>
    <w:rsid w:val="0061421F"/>
    <w:rsid w:val="0062033D"/>
    <w:rsid w:val="0062159A"/>
    <w:rsid w:val="00621899"/>
    <w:rsid w:val="00631113"/>
    <w:rsid w:val="00645918"/>
    <w:rsid w:val="00660951"/>
    <w:rsid w:val="00687A46"/>
    <w:rsid w:val="00692255"/>
    <w:rsid w:val="006B7576"/>
    <w:rsid w:val="006C16C9"/>
    <w:rsid w:val="006C4D28"/>
    <w:rsid w:val="0070178B"/>
    <w:rsid w:val="0070345E"/>
    <w:rsid w:val="00706426"/>
    <w:rsid w:val="00742C97"/>
    <w:rsid w:val="00745B48"/>
    <w:rsid w:val="00761250"/>
    <w:rsid w:val="007B57EE"/>
    <w:rsid w:val="007D0C4A"/>
    <w:rsid w:val="007F0777"/>
    <w:rsid w:val="00800911"/>
    <w:rsid w:val="0080175F"/>
    <w:rsid w:val="00805F6F"/>
    <w:rsid w:val="00847350"/>
    <w:rsid w:val="008856B5"/>
    <w:rsid w:val="00897144"/>
    <w:rsid w:val="008A1509"/>
    <w:rsid w:val="008B1202"/>
    <w:rsid w:val="008F1A11"/>
    <w:rsid w:val="008F6941"/>
    <w:rsid w:val="00917C1E"/>
    <w:rsid w:val="00923DC7"/>
    <w:rsid w:val="00942138"/>
    <w:rsid w:val="00955E14"/>
    <w:rsid w:val="009A35E9"/>
    <w:rsid w:val="009A43BA"/>
    <w:rsid w:val="009C0862"/>
    <w:rsid w:val="009D1D9B"/>
    <w:rsid w:val="009D7299"/>
    <w:rsid w:val="009F1A90"/>
    <w:rsid w:val="00A027E9"/>
    <w:rsid w:val="00A2570C"/>
    <w:rsid w:val="00A46722"/>
    <w:rsid w:val="00A552B8"/>
    <w:rsid w:val="00A70602"/>
    <w:rsid w:val="00A82AF0"/>
    <w:rsid w:val="00A8696E"/>
    <w:rsid w:val="00A90A5D"/>
    <w:rsid w:val="00AA3395"/>
    <w:rsid w:val="00AE6D59"/>
    <w:rsid w:val="00AF0119"/>
    <w:rsid w:val="00B06A2E"/>
    <w:rsid w:val="00B13875"/>
    <w:rsid w:val="00B20ED7"/>
    <w:rsid w:val="00B25A1E"/>
    <w:rsid w:val="00B320FB"/>
    <w:rsid w:val="00B35CC8"/>
    <w:rsid w:val="00B47E2E"/>
    <w:rsid w:val="00B70EC1"/>
    <w:rsid w:val="00B72614"/>
    <w:rsid w:val="00B76AF6"/>
    <w:rsid w:val="00BA0105"/>
    <w:rsid w:val="00BC4ECE"/>
    <w:rsid w:val="00BF63D3"/>
    <w:rsid w:val="00C01E16"/>
    <w:rsid w:val="00C144CE"/>
    <w:rsid w:val="00C23DA0"/>
    <w:rsid w:val="00C24D75"/>
    <w:rsid w:val="00C266D6"/>
    <w:rsid w:val="00C335FC"/>
    <w:rsid w:val="00C363C5"/>
    <w:rsid w:val="00C369A0"/>
    <w:rsid w:val="00C446C3"/>
    <w:rsid w:val="00C6756A"/>
    <w:rsid w:val="00C77B11"/>
    <w:rsid w:val="00C83C6E"/>
    <w:rsid w:val="00C849C4"/>
    <w:rsid w:val="00C979EF"/>
    <w:rsid w:val="00C97DE2"/>
    <w:rsid w:val="00CB7E91"/>
    <w:rsid w:val="00CD0222"/>
    <w:rsid w:val="00CF2C00"/>
    <w:rsid w:val="00CF323C"/>
    <w:rsid w:val="00CF47D0"/>
    <w:rsid w:val="00D01CEF"/>
    <w:rsid w:val="00D3587C"/>
    <w:rsid w:val="00D414B7"/>
    <w:rsid w:val="00D4179A"/>
    <w:rsid w:val="00D41C73"/>
    <w:rsid w:val="00D45CFF"/>
    <w:rsid w:val="00D62EB8"/>
    <w:rsid w:val="00D64CFF"/>
    <w:rsid w:val="00D65C3C"/>
    <w:rsid w:val="00D66F8E"/>
    <w:rsid w:val="00D81B36"/>
    <w:rsid w:val="00DA55EF"/>
    <w:rsid w:val="00DC3E9D"/>
    <w:rsid w:val="00DC7F6C"/>
    <w:rsid w:val="00DF75BE"/>
    <w:rsid w:val="00E12034"/>
    <w:rsid w:val="00E41636"/>
    <w:rsid w:val="00E41B59"/>
    <w:rsid w:val="00E5283B"/>
    <w:rsid w:val="00E55606"/>
    <w:rsid w:val="00E56004"/>
    <w:rsid w:val="00E561C3"/>
    <w:rsid w:val="00E805EC"/>
    <w:rsid w:val="00EC1E09"/>
    <w:rsid w:val="00ED2FB0"/>
    <w:rsid w:val="00ED3673"/>
    <w:rsid w:val="00F02104"/>
    <w:rsid w:val="00F43E9F"/>
    <w:rsid w:val="00F47E08"/>
    <w:rsid w:val="00F543B3"/>
    <w:rsid w:val="00F606F0"/>
    <w:rsid w:val="00F607CD"/>
    <w:rsid w:val="00F63FF4"/>
    <w:rsid w:val="00F73ED6"/>
    <w:rsid w:val="00F86DB2"/>
    <w:rsid w:val="00FA6284"/>
    <w:rsid w:val="00FB33DD"/>
    <w:rsid w:val="00FB52BA"/>
    <w:rsid w:val="00FC1F97"/>
    <w:rsid w:val="00FC34DA"/>
    <w:rsid w:val="00FF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lt-LT"/>
    </w:rPr>
  </w:style>
  <w:style w:type="paragraph" w:styleId="Heading1">
    <w:name w:val="heading 1"/>
    <w:basedOn w:val="Normal"/>
    <w:next w:val="Normal"/>
    <w:link w:val="Heading1Char"/>
    <w:qFormat/>
    <w:rsid w:val="005577BB"/>
    <w:pPr>
      <w:keepNext/>
      <w:keepLines/>
      <w:spacing w:before="480" w:after="113" w:line="240" w:lineRule="exact"/>
      <w:outlineLvl w:val="0"/>
    </w:pPr>
    <w:rPr>
      <w:rFonts w:ascii="Calibri" w:eastAsia="MS PGothic" w:hAnsi="Calibri" w:cs="Times New Roman"/>
      <w:b/>
      <w:bCs/>
      <w:color w:val="6796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1-lineSectionheading">
    <w:name w:val="00. 1-line Section heading"/>
    <w:basedOn w:val="Normal"/>
    <w:qFormat/>
    <w:rsid w:val="005577BB"/>
    <w:pPr>
      <w:shd w:val="clear" w:color="auto" w:fill="FFFFFF"/>
      <w:spacing w:after="1440" w:line="720" w:lineRule="exact"/>
    </w:pPr>
    <w:rPr>
      <w:rFonts w:ascii="Times New Roman" w:eastAsia="Times" w:hAnsi="Times New Roman" w:cs="Times New Roman"/>
      <w:noProof/>
      <w:color w:val="002776"/>
      <w:kern w:val="28"/>
      <w:sz w:val="64"/>
      <w:szCs w:val="70"/>
    </w:rPr>
  </w:style>
  <w:style w:type="character" w:customStyle="1" w:styleId="Heading1Char">
    <w:name w:val="Heading 1 Char"/>
    <w:basedOn w:val="DefaultParagraphFont"/>
    <w:link w:val="Heading1"/>
    <w:rsid w:val="005577BB"/>
    <w:rPr>
      <w:rFonts w:ascii="Calibri" w:eastAsia="MS PGothic" w:hAnsi="Calibri" w:cs="Times New Roman"/>
      <w:b/>
      <w:bCs/>
      <w:color w:val="679600"/>
      <w:sz w:val="32"/>
      <w:szCs w:val="32"/>
      <w:lang w:val="lt-LT"/>
    </w:rPr>
  </w:style>
  <w:style w:type="paragraph" w:styleId="Footer">
    <w:name w:val="footer"/>
    <w:basedOn w:val="Normal"/>
    <w:link w:val="FooterChar"/>
    <w:uiPriority w:val="99"/>
    <w:rsid w:val="005577BB"/>
    <w:pPr>
      <w:tabs>
        <w:tab w:val="center" w:pos="4320"/>
        <w:tab w:val="right" w:pos="8640"/>
      </w:tabs>
      <w:spacing w:after="0" w:line="240" w:lineRule="auto"/>
    </w:pPr>
    <w:rPr>
      <w:rFonts w:ascii="Arial" w:eastAsia="MS PGothic" w:hAnsi="Arial" w:cs="Times New Roman"/>
      <w:sz w:val="17"/>
      <w:szCs w:val="24"/>
    </w:rPr>
  </w:style>
  <w:style w:type="character" w:customStyle="1" w:styleId="FooterChar">
    <w:name w:val="Footer Char"/>
    <w:basedOn w:val="DefaultParagraphFont"/>
    <w:link w:val="Footer"/>
    <w:uiPriority w:val="99"/>
    <w:rsid w:val="005577BB"/>
    <w:rPr>
      <w:rFonts w:ascii="Arial" w:eastAsia="MS PGothic" w:hAnsi="Arial" w:cs="Times New Roman"/>
      <w:sz w:val="17"/>
      <w:szCs w:val="24"/>
      <w:lang w:val="lt-LT"/>
    </w:rPr>
  </w:style>
  <w:style w:type="paragraph" w:styleId="Caption">
    <w:name w:val="caption"/>
    <w:basedOn w:val="Normal"/>
    <w:next w:val="Normal"/>
    <w:qFormat/>
    <w:rsid w:val="005577BB"/>
    <w:pPr>
      <w:spacing w:after="200" w:line="240" w:lineRule="auto"/>
    </w:pPr>
    <w:rPr>
      <w:rFonts w:ascii="Arial" w:eastAsia="Times" w:hAnsi="Arial" w:cs="Times New Roman"/>
      <w:b/>
      <w:bCs/>
      <w:sz w:val="18"/>
      <w:szCs w:val="18"/>
    </w:rPr>
  </w:style>
  <w:style w:type="paragraph" w:customStyle="1" w:styleId="Deloittebodytext">
    <w:name w:val="Deloitte body text"/>
    <w:qFormat/>
    <w:rsid w:val="005577BB"/>
    <w:pPr>
      <w:spacing w:after="240" w:line="280" w:lineRule="exact"/>
    </w:pPr>
    <w:rPr>
      <w:rFonts w:ascii="Arial" w:eastAsia="Times New Roman" w:hAnsi="Arial" w:cs="Times New Roman"/>
      <w:color w:val="000000"/>
      <w:sz w:val="20"/>
      <w:szCs w:val="48"/>
      <w:lang w:val="cs-CZ"/>
    </w:rPr>
  </w:style>
  <w:style w:type="paragraph" w:styleId="NormalWeb">
    <w:name w:val="Normal (Web)"/>
    <w:basedOn w:val="Normal"/>
    <w:uiPriority w:val="99"/>
    <w:semiHidden/>
    <w:unhideWhenUsed/>
    <w:rsid w:val="00F73ED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EC1E09"/>
    <w:pPr>
      <w:ind w:left="720"/>
      <w:contextualSpacing/>
    </w:pPr>
  </w:style>
  <w:style w:type="paragraph" w:styleId="BalloonText">
    <w:name w:val="Balloon Text"/>
    <w:basedOn w:val="Normal"/>
    <w:link w:val="BalloonTextChar"/>
    <w:uiPriority w:val="99"/>
    <w:semiHidden/>
    <w:unhideWhenUsed/>
    <w:rsid w:val="00C363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3C5"/>
    <w:rPr>
      <w:rFonts w:ascii="Segoe UI" w:hAnsi="Segoe UI" w:cs="Segoe UI"/>
      <w:sz w:val="18"/>
      <w:szCs w:val="18"/>
    </w:rPr>
  </w:style>
  <w:style w:type="character" w:styleId="Hyperlink">
    <w:name w:val="Hyperlink"/>
    <w:basedOn w:val="DefaultParagraphFont"/>
    <w:uiPriority w:val="99"/>
    <w:unhideWhenUsed/>
    <w:rsid w:val="009D7299"/>
    <w:rPr>
      <w:color w:val="0563C1" w:themeColor="hyperlink"/>
      <w:u w:val="single"/>
    </w:rPr>
  </w:style>
  <w:style w:type="paragraph" w:styleId="Header">
    <w:name w:val="header"/>
    <w:basedOn w:val="Normal"/>
    <w:link w:val="HeaderChar"/>
    <w:uiPriority w:val="99"/>
    <w:unhideWhenUsed/>
    <w:rsid w:val="008F6941"/>
    <w:pPr>
      <w:tabs>
        <w:tab w:val="center" w:pos="4986"/>
        <w:tab w:val="right" w:pos="9972"/>
      </w:tabs>
      <w:spacing w:after="0" w:line="240" w:lineRule="auto"/>
    </w:pPr>
  </w:style>
  <w:style w:type="character" w:customStyle="1" w:styleId="HeaderChar">
    <w:name w:val="Header Char"/>
    <w:basedOn w:val="DefaultParagraphFont"/>
    <w:link w:val="Header"/>
    <w:uiPriority w:val="99"/>
    <w:rsid w:val="008F6941"/>
    <w:rPr>
      <w:lang w:val="lt-LT"/>
    </w:rPr>
  </w:style>
  <w:style w:type="paragraph" w:styleId="FootnoteText">
    <w:name w:val="footnote text"/>
    <w:basedOn w:val="Normal"/>
    <w:link w:val="FootnoteTextChar"/>
    <w:uiPriority w:val="99"/>
    <w:semiHidden/>
    <w:unhideWhenUsed/>
    <w:rsid w:val="00D66F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F8E"/>
    <w:rPr>
      <w:sz w:val="20"/>
      <w:szCs w:val="20"/>
      <w:lang w:val="lt-LT"/>
    </w:rPr>
  </w:style>
  <w:style w:type="character" w:styleId="FootnoteReference">
    <w:name w:val="footnote reference"/>
    <w:basedOn w:val="DefaultParagraphFont"/>
    <w:uiPriority w:val="99"/>
    <w:semiHidden/>
    <w:unhideWhenUsed/>
    <w:rsid w:val="00D66F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175393">
      <w:bodyDiv w:val="1"/>
      <w:marLeft w:val="0"/>
      <w:marRight w:val="0"/>
      <w:marTop w:val="0"/>
      <w:marBottom w:val="0"/>
      <w:divBdr>
        <w:top w:val="none" w:sz="0" w:space="0" w:color="auto"/>
        <w:left w:val="none" w:sz="0" w:space="0" w:color="auto"/>
        <w:bottom w:val="none" w:sz="0" w:space="0" w:color="auto"/>
        <w:right w:val="none" w:sz="0" w:space="0" w:color="auto"/>
      </w:divBdr>
    </w:div>
    <w:div w:id="16234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parama.lt" TargetMode="Externa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Chart1.xls"/><Relationship Id="rId5" Type="http://schemas.openxmlformats.org/officeDocument/2006/relationships/settings" Target="settings.xml"/><Relationship Id="rId15" Type="http://schemas.openxmlformats.org/officeDocument/2006/relationships/hyperlink" Target="http://www.esparama.lt"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TAR.FA6D2B23F867"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2007_Workbook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2007_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2007_Workbook3.xlsx"/></Relationships>
</file>

<file path=word/charts/_rels/chart4.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grigaliuniene\Desktop\Copy%20of%20Probleminiu%20statistika.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spPr>
            <a:pattFill prst="wdUpDiag">
              <a:fgClr>
                <a:schemeClr val="accent1"/>
              </a:fgClr>
              <a:bgClr>
                <a:schemeClr val="bg1"/>
              </a:bgClr>
            </a:pattFill>
            <a:ln>
              <a:noFill/>
            </a:ln>
          </c:spPr>
          <c:dPt>
            <c:idx val="0"/>
            <c:bubble3D val="0"/>
            <c:spPr>
              <a:pattFill prst="wdUpDiag">
                <a:fgClr>
                  <a:srgbClr val="FFFFFF"/>
                </a:fgClr>
                <a:bgClr>
                  <a:srgbClr val="00A1DE"/>
                </a:bgClr>
              </a:pattFill>
              <a:ln w="50800">
                <a:noFill/>
              </a:ln>
            </c:spPr>
          </c:dPt>
          <c:dPt>
            <c:idx val="1"/>
            <c:bubble3D val="0"/>
            <c:spPr>
              <a:solidFill>
                <a:srgbClr val="00A1DE"/>
              </a:solidFill>
              <a:ln w="50800">
                <a:noFill/>
              </a:ln>
            </c:spPr>
          </c:dPt>
          <c:dPt>
            <c:idx val="2"/>
            <c:bubble3D val="0"/>
            <c:spPr>
              <a:solidFill>
                <a:schemeClr val="accent3"/>
              </a:solidFill>
              <a:ln w="50800">
                <a:noFill/>
              </a:ln>
            </c:spPr>
          </c:dPt>
          <c:dPt>
            <c:idx val="3"/>
            <c:bubble3D val="0"/>
            <c:spPr>
              <a:solidFill>
                <a:schemeClr val="bg1">
                  <a:lumMod val="85000"/>
                </a:schemeClr>
              </a:solidFill>
              <a:ln w="50800">
                <a:noFill/>
              </a:ln>
            </c:spPr>
          </c:dPt>
          <c:cat>
            <c:numRef>
              <c:f>Sheet1!$A$2:$A$3</c:f>
              <c:numCache>
                <c:formatCode>General</c:formatCode>
                <c:ptCount val="2"/>
              </c:numCache>
            </c:numRef>
          </c:cat>
          <c:val>
            <c:numRef>
              <c:f>Sheet1!$B$2:$B$3</c:f>
              <c:numCache>
                <c:formatCode>General</c:formatCode>
                <c:ptCount val="2"/>
                <c:pt idx="0">
                  <c:v>11</c:v>
                </c:pt>
                <c:pt idx="1">
                  <c:v>89</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txPr>
    <a:bodyPr/>
    <a:lstStyle/>
    <a:p>
      <a:pPr>
        <a:defRPr sz="1800"/>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Skirtas finansavimas</c:v>
                </c:pt>
              </c:strCache>
            </c:strRef>
          </c:tx>
          <c:spPr>
            <a:solidFill>
              <a:srgbClr val="002776"/>
            </a:solidFill>
          </c:spPr>
          <c:dPt>
            <c:idx val="0"/>
            <c:bubble3D val="0"/>
            <c:spPr>
              <a:solidFill>
                <a:srgbClr val="002776"/>
              </a:solidFill>
              <a:ln w="19050">
                <a:solidFill>
                  <a:schemeClr val="lt1"/>
                </a:solidFill>
              </a:ln>
              <a:effectLst/>
            </c:spPr>
          </c:dPt>
          <c:dPt>
            <c:idx val="1"/>
            <c:bubble3D val="0"/>
            <c:spPr>
              <a:solidFill>
                <a:srgbClr val="00A1DE"/>
              </a:solidFill>
              <a:ln w="19050">
                <a:solidFill>
                  <a:schemeClr val="lt1"/>
                </a:solidFill>
              </a:ln>
              <a:effectLst/>
            </c:spPr>
          </c:dPt>
          <c:dPt>
            <c:idx val="2"/>
            <c:bubble3D val="0"/>
            <c:spPr>
              <a:solidFill>
                <a:srgbClr val="81BC00"/>
              </a:solidFill>
              <a:ln w="19050">
                <a:solidFill>
                  <a:schemeClr val="lt1"/>
                </a:solidFill>
              </a:ln>
              <a:effectLst/>
            </c:spPr>
          </c:dPt>
          <c:cat>
            <c:strRef>
              <c:f>Sheet1!$A$2:$A$4</c:f>
              <c:strCache>
                <c:ptCount val="3"/>
                <c:pt idx="0">
                  <c:v>ŽIPVP</c:v>
                </c:pt>
                <c:pt idx="1">
                  <c:v>EAVP</c:v>
                </c:pt>
                <c:pt idx="2">
                  <c:v>SSVP</c:v>
                </c:pt>
              </c:strCache>
            </c:strRef>
          </c:cat>
          <c:val>
            <c:numRef>
              <c:f>Sheet1!$B$2:$B$4</c:f>
              <c:numCache>
                <c:formatCode>General</c:formatCode>
                <c:ptCount val="3"/>
                <c:pt idx="0">
                  <c:v>7</c:v>
                </c:pt>
                <c:pt idx="1">
                  <c:v>6</c:v>
                </c:pt>
                <c:pt idx="2">
                  <c:v>87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79441113130089513"/>
          <c:y val="0.10148031496062994"/>
          <c:w val="0.17461572111178408"/>
          <c:h val="0.671112044327792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Sheet1!$B$1</c:f>
              <c:strCache>
                <c:ptCount val="1"/>
                <c:pt idx="0">
                  <c:v>1 prioritetas</c:v>
                </c:pt>
              </c:strCache>
            </c:strRef>
          </c:tx>
          <c:spPr>
            <a:solidFill>
              <a:srgbClr val="002776"/>
            </a:solidFill>
            <a:ln>
              <a:noFill/>
            </a:ln>
            <a:effectLst/>
          </c:spPr>
          <c:invertIfNegative val="0"/>
          <c:cat>
            <c:strRef>
              <c:f>Sheet1!$A$2:$A$4</c:f>
              <c:strCache>
                <c:ptCount val="3"/>
                <c:pt idx="0">
                  <c:v>ŽIPVP</c:v>
                </c:pt>
                <c:pt idx="1">
                  <c:v>EAVP</c:v>
                </c:pt>
                <c:pt idx="2">
                  <c:v>SSVP</c:v>
                </c:pt>
              </c:strCache>
            </c:strRef>
          </c:cat>
          <c:val>
            <c:numRef>
              <c:f>Sheet1!$B$2:$B$4</c:f>
              <c:numCache>
                <c:formatCode>0%</c:formatCode>
                <c:ptCount val="3"/>
                <c:pt idx="0">
                  <c:v>0.57909199594002769</c:v>
                </c:pt>
                <c:pt idx="1">
                  <c:v>0</c:v>
                </c:pt>
                <c:pt idx="2">
                  <c:v>0.41163745908313776</c:v>
                </c:pt>
              </c:numCache>
            </c:numRef>
          </c:val>
        </c:ser>
        <c:ser>
          <c:idx val="1"/>
          <c:order val="1"/>
          <c:tx>
            <c:strRef>
              <c:f>Sheet1!$C$1</c:f>
              <c:strCache>
                <c:ptCount val="1"/>
                <c:pt idx="0">
                  <c:v>2 prioritetas</c:v>
                </c:pt>
              </c:strCache>
            </c:strRef>
          </c:tx>
          <c:spPr>
            <a:solidFill>
              <a:srgbClr val="81BC00"/>
            </a:solidFill>
            <a:ln>
              <a:noFill/>
            </a:ln>
            <a:effectLst/>
          </c:spPr>
          <c:invertIfNegative val="0"/>
          <c:cat>
            <c:strRef>
              <c:f>Sheet1!$A$2:$A$4</c:f>
              <c:strCache>
                <c:ptCount val="3"/>
                <c:pt idx="0">
                  <c:v>ŽIPVP</c:v>
                </c:pt>
                <c:pt idx="1">
                  <c:v>EAVP</c:v>
                </c:pt>
                <c:pt idx="2">
                  <c:v>SSVP</c:v>
                </c:pt>
              </c:strCache>
            </c:strRef>
          </c:cat>
          <c:val>
            <c:numRef>
              <c:f>Sheet1!$C$2:$C$4</c:f>
              <c:numCache>
                <c:formatCode>0%</c:formatCode>
                <c:ptCount val="3"/>
                <c:pt idx="0">
                  <c:v>0</c:v>
                </c:pt>
                <c:pt idx="1">
                  <c:v>0</c:v>
                </c:pt>
                <c:pt idx="2">
                  <c:v>0.14212382524140441</c:v>
                </c:pt>
              </c:numCache>
            </c:numRef>
          </c:val>
        </c:ser>
        <c:ser>
          <c:idx val="2"/>
          <c:order val="2"/>
          <c:tx>
            <c:strRef>
              <c:f>Sheet1!$D$1</c:f>
              <c:strCache>
                <c:ptCount val="1"/>
                <c:pt idx="0">
                  <c:v>3 prioritetas</c:v>
                </c:pt>
              </c:strCache>
            </c:strRef>
          </c:tx>
          <c:spPr>
            <a:solidFill>
              <a:srgbClr val="00A1DE"/>
            </a:solidFill>
            <a:ln>
              <a:noFill/>
            </a:ln>
            <a:effectLst/>
          </c:spPr>
          <c:invertIfNegative val="0"/>
          <c:cat>
            <c:strRef>
              <c:f>Sheet1!$A$2:$A$4</c:f>
              <c:strCache>
                <c:ptCount val="3"/>
                <c:pt idx="0">
                  <c:v>ŽIPVP</c:v>
                </c:pt>
                <c:pt idx="1">
                  <c:v>EAVP</c:v>
                </c:pt>
                <c:pt idx="2">
                  <c:v>SSVP</c:v>
                </c:pt>
              </c:strCache>
            </c:strRef>
          </c:cat>
          <c:val>
            <c:numRef>
              <c:f>Sheet1!$D$2:$D$4</c:f>
              <c:numCache>
                <c:formatCode>0%</c:formatCode>
                <c:ptCount val="3"/>
                <c:pt idx="0">
                  <c:v>0</c:v>
                </c:pt>
                <c:pt idx="1">
                  <c:v>3.725226259065411E-2</c:v>
                </c:pt>
                <c:pt idx="2">
                  <c:v>0.44623871567545781</c:v>
                </c:pt>
              </c:numCache>
            </c:numRef>
          </c:val>
        </c:ser>
        <c:ser>
          <c:idx val="3"/>
          <c:order val="3"/>
          <c:tx>
            <c:strRef>
              <c:f>Sheet1!$E$1</c:f>
              <c:strCache>
                <c:ptCount val="1"/>
                <c:pt idx="0">
                  <c:v>4 prioritetas</c:v>
                </c:pt>
              </c:strCache>
            </c:strRef>
          </c:tx>
          <c:spPr>
            <a:solidFill>
              <a:srgbClr val="8C8C8C"/>
            </a:solidFill>
            <a:ln>
              <a:noFill/>
            </a:ln>
            <a:effectLst/>
          </c:spPr>
          <c:invertIfNegative val="0"/>
          <c:cat>
            <c:strRef>
              <c:f>Sheet1!$A$2:$A$4</c:f>
              <c:strCache>
                <c:ptCount val="3"/>
                <c:pt idx="0">
                  <c:v>ŽIPVP</c:v>
                </c:pt>
                <c:pt idx="1">
                  <c:v>EAVP</c:v>
                </c:pt>
                <c:pt idx="2">
                  <c:v>SSVP</c:v>
                </c:pt>
              </c:strCache>
            </c:strRef>
          </c:cat>
          <c:val>
            <c:numRef>
              <c:f>Sheet1!$E$2:$E$4</c:f>
              <c:numCache>
                <c:formatCode>0%</c:formatCode>
                <c:ptCount val="3"/>
                <c:pt idx="0">
                  <c:v>0.42090800405997225</c:v>
                </c:pt>
                <c:pt idx="1">
                  <c:v>0.96274773740934583</c:v>
                </c:pt>
                <c:pt idx="2">
                  <c:v>0</c:v>
                </c:pt>
              </c:numCache>
            </c:numRef>
          </c:val>
        </c:ser>
        <c:dLbls>
          <c:showLegendKey val="0"/>
          <c:showVal val="0"/>
          <c:showCatName val="0"/>
          <c:showSerName val="0"/>
          <c:showPercent val="0"/>
          <c:showBubbleSize val="0"/>
        </c:dLbls>
        <c:gapWidth val="150"/>
        <c:overlap val="100"/>
        <c:axId val="74052736"/>
        <c:axId val="74054272"/>
      </c:barChart>
      <c:catAx>
        <c:axId val="74052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54272"/>
        <c:crosses val="autoZero"/>
        <c:auto val="1"/>
        <c:lblAlgn val="ctr"/>
        <c:lblOffset val="100"/>
        <c:noMultiLvlLbl val="0"/>
      </c:catAx>
      <c:valAx>
        <c:axId val="7405427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0527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1105955887543396E-2"/>
          <c:y val="6.1693774537296693E-2"/>
          <c:w val="0.8695239011993916"/>
          <c:h val="0.69345701529316683"/>
        </c:manualLayout>
      </c:layout>
      <c:barChart>
        <c:barDir val="col"/>
        <c:grouping val="clustered"/>
        <c:varyColors val="0"/>
        <c:ser>
          <c:idx val="0"/>
          <c:order val="0"/>
          <c:tx>
            <c:strRef>
              <c:f>Lazdijai!$O$6</c:f>
              <c:strCache>
                <c:ptCount val="1"/>
                <c:pt idx="0">
                  <c:v>Kietosios medžiagos</c:v>
                </c:pt>
              </c:strCache>
            </c:strRef>
          </c:tx>
          <c:spPr>
            <a:solidFill>
              <a:srgbClr val="8C8C8C"/>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Lazdijai!$P$5:$X$5</c:f>
              <c:numCache>
                <c:formatCode>General</c:formatCode>
                <c:ptCount val="7"/>
                <c:pt idx="0">
                  <c:v>2007</c:v>
                </c:pt>
                <c:pt idx="1">
                  <c:v>2008</c:v>
                </c:pt>
                <c:pt idx="2">
                  <c:v>2009</c:v>
                </c:pt>
                <c:pt idx="3">
                  <c:v>2010</c:v>
                </c:pt>
                <c:pt idx="4">
                  <c:v>2011</c:v>
                </c:pt>
                <c:pt idx="5">
                  <c:v>2012</c:v>
                </c:pt>
                <c:pt idx="6">
                  <c:v>2013</c:v>
                </c:pt>
              </c:numCache>
            </c:numRef>
          </c:cat>
          <c:val>
            <c:numRef>
              <c:f>Lazdijai!$P$6:$X$6</c:f>
              <c:numCache>
                <c:formatCode>General</c:formatCode>
                <c:ptCount val="7"/>
                <c:pt idx="0">
                  <c:v>43.5</c:v>
                </c:pt>
                <c:pt idx="1">
                  <c:v>6.9</c:v>
                </c:pt>
                <c:pt idx="2">
                  <c:v>4</c:v>
                </c:pt>
                <c:pt idx="3">
                  <c:v>4.3</c:v>
                </c:pt>
                <c:pt idx="4">
                  <c:v>3.8</c:v>
                </c:pt>
                <c:pt idx="5">
                  <c:v>13.8</c:v>
                </c:pt>
                <c:pt idx="6">
                  <c:v>14.2</c:v>
                </c:pt>
              </c:numCache>
            </c:numRef>
          </c:val>
        </c:ser>
        <c:ser>
          <c:idx val="1"/>
          <c:order val="1"/>
          <c:tx>
            <c:strRef>
              <c:f>Lazdijai!$O$7</c:f>
              <c:strCache>
                <c:ptCount val="1"/>
                <c:pt idx="0">
                  <c:v>Sieros dioksidas, tonos</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Lazdijai!$P$5:$X$5</c:f>
              <c:numCache>
                <c:formatCode>General</c:formatCode>
                <c:ptCount val="7"/>
                <c:pt idx="0">
                  <c:v>2007</c:v>
                </c:pt>
                <c:pt idx="1">
                  <c:v>2008</c:v>
                </c:pt>
                <c:pt idx="2">
                  <c:v>2009</c:v>
                </c:pt>
                <c:pt idx="3">
                  <c:v>2010</c:v>
                </c:pt>
                <c:pt idx="4">
                  <c:v>2011</c:v>
                </c:pt>
                <c:pt idx="5">
                  <c:v>2012</c:v>
                </c:pt>
                <c:pt idx="6">
                  <c:v>2013</c:v>
                </c:pt>
              </c:numCache>
            </c:numRef>
          </c:cat>
          <c:val>
            <c:numRef>
              <c:f>Lazdijai!$P$7:$X$7</c:f>
              <c:numCache>
                <c:formatCode>General</c:formatCode>
                <c:ptCount val="7"/>
                <c:pt idx="0">
                  <c:v>1.4</c:v>
                </c:pt>
                <c:pt idx="1">
                  <c:v>0.2</c:v>
                </c:pt>
              </c:numCache>
            </c:numRef>
          </c:val>
        </c:ser>
        <c:ser>
          <c:idx val="2"/>
          <c:order val="2"/>
          <c:tx>
            <c:strRef>
              <c:f>Lazdijai!$O$8</c:f>
              <c:strCache>
                <c:ptCount val="1"/>
                <c:pt idx="0">
                  <c:v>Azoto oksidai, tonos</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Lazdijai!$P$5:$X$5</c:f>
              <c:numCache>
                <c:formatCode>General</c:formatCode>
                <c:ptCount val="7"/>
                <c:pt idx="0">
                  <c:v>2007</c:v>
                </c:pt>
                <c:pt idx="1">
                  <c:v>2008</c:v>
                </c:pt>
                <c:pt idx="2">
                  <c:v>2009</c:v>
                </c:pt>
                <c:pt idx="3">
                  <c:v>2010</c:v>
                </c:pt>
                <c:pt idx="4">
                  <c:v>2011</c:v>
                </c:pt>
                <c:pt idx="5">
                  <c:v>2012</c:v>
                </c:pt>
                <c:pt idx="6">
                  <c:v>2013</c:v>
                </c:pt>
              </c:numCache>
            </c:numRef>
          </c:cat>
          <c:val>
            <c:numRef>
              <c:f>Lazdijai!$P$8:$X$8</c:f>
              <c:numCache>
                <c:formatCode>General</c:formatCode>
                <c:ptCount val="7"/>
                <c:pt idx="0">
                  <c:v>8.6999999999999993</c:v>
                </c:pt>
                <c:pt idx="1">
                  <c:v>7.2</c:v>
                </c:pt>
                <c:pt idx="2">
                  <c:v>4.4000000000000004</c:v>
                </c:pt>
                <c:pt idx="3">
                  <c:v>4.5999999999999996</c:v>
                </c:pt>
                <c:pt idx="4">
                  <c:v>5</c:v>
                </c:pt>
                <c:pt idx="5">
                  <c:v>4.5999999999999996</c:v>
                </c:pt>
                <c:pt idx="6">
                  <c:v>6.4</c:v>
                </c:pt>
              </c:numCache>
            </c:numRef>
          </c:val>
        </c:ser>
        <c:ser>
          <c:idx val="3"/>
          <c:order val="3"/>
          <c:tx>
            <c:strRef>
              <c:f>Lazdijai!$O$9</c:f>
              <c:strCache>
                <c:ptCount val="1"/>
                <c:pt idx="0">
                  <c:v>Anglies monoksidas, tonos</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Lazdijai!$P$5:$X$5</c:f>
              <c:numCache>
                <c:formatCode>General</c:formatCode>
                <c:ptCount val="7"/>
                <c:pt idx="0">
                  <c:v>2007</c:v>
                </c:pt>
                <c:pt idx="1">
                  <c:v>2008</c:v>
                </c:pt>
                <c:pt idx="2">
                  <c:v>2009</c:v>
                </c:pt>
                <c:pt idx="3">
                  <c:v>2010</c:v>
                </c:pt>
                <c:pt idx="4">
                  <c:v>2011</c:v>
                </c:pt>
                <c:pt idx="5">
                  <c:v>2012</c:v>
                </c:pt>
                <c:pt idx="6">
                  <c:v>2013</c:v>
                </c:pt>
              </c:numCache>
            </c:numRef>
          </c:cat>
          <c:val>
            <c:numRef>
              <c:f>Lazdijai!$P$9:$X$9</c:f>
              <c:numCache>
                <c:formatCode>General</c:formatCode>
                <c:ptCount val="7"/>
                <c:pt idx="0">
                  <c:v>87.5</c:v>
                </c:pt>
                <c:pt idx="1">
                  <c:v>69.2</c:v>
                </c:pt>
                <c:pt idx="2">
                  <c:v>74.900000000000006</c:v>
                </c:pt>
                <c:pt idx="3">
                  <c:v>79.5</c:v>
                </c:pt>
                <c:pt idx="4">
                  <c:v>73.599999999999994</c:v>
                </c:pt>
                <c:pt idx="5">
                  <c:v>81.2</c:v>
                </c:pt>
                <c:pt idx="6">
                  <c:v>4.3</c:v>
                </c:pt>
              </c:numCache>
            </c:numRef>
          </c:val>
        </c:ser>
        <c:dLbls>
          <c:showLegendKey val="0"/>
          <c:showVal val="1"/>
          <c:showCatName val="0"/>
          <c:showSerName val="0"/>
          <c:showPercent val="0"/>
          <c:showBubbleSize val="0"/>
        </c:dLbls>
        <c:gapWidth val="75"/>
        <c:axId val="80942208"/>
        <c:axId val="80957440"/>
      </c:barChart>
      <c:lineChart>
        <c:grouping val="standard"/>
        <c:varyColors val="0"/>
        <c:ser>
          <c:idx val="4"/>
          <c:order val="4"/>
          <c:tx>
            <c:strRef>
              <c:f>Lazdijai!$O$10</c:f>
              <c:strCache>
                <c:ptCount val="1"/>
                <c:pt idx="0">
                  <c:v>Visi teršalai</c:v>
                </c:pt>
              </c:strCache>
            </c:strRef>
          </c:tx>
          <c:spPr>
            <a:ln w="28575" cap="rnd">
              <a:solidFill>
                <a:srgbClr val="3C8A2E"/>
              </a:solidFill>
              <a:round/>
            </a:ln>
            <a:effectLst/>
          </c:spPr>
          <c:marker>
            <c:symbol val="none"/>
          </c:marker>
          <c:dLbls>
            <c:delete val="1"/>
          </c:dLbls>
          <c:cat>
            <c:numRef>
              <c:f>Lazdijai!$P$5:$X$5</c:f>
              <c:numCache>
                <c:formatCode>General</c:formatCode>
                <c:ptCount val="7"/>
                <c:pt idx="0">
                  <c:v>2007</c:v>
                </c:pt>
                <c:pt idx="1">
                  <c:v>2008</c:v>
                </c:pt>
                <c:pt idx="2">
                  <c:v>2009</c:v>
                </c:pt>
                <c:pt idx="3">
                  <c:v>2010</c:v>
                </c:pt>
                <c:pt idx="4">
                  <c:v>2011</c:v>
                </c:pt>
                <c:pt idx="5">
                  <c:v>2012</c:v>
                </c:pt>
                <c:pt idx="6">
                  <c:v>2013</c:v>
                </c:pt>
              </c:numCache>
            </c:numRef>
          </c:cat>
          <c:val>
            <c:numRef>
              <c:f>Lazdijai!$P$10:$X$10</c:f>
              <c:numCache>
                <c:formatCode>General</c:formatCode>
                <c:ptCount val="7"/>
                <c:pt idx="0">
                  <c:v>139.80000000000001</c:v>
                </c:pt>
                <c:pt idx="1">
                  <c:v>81</c:v>
                </c:pt>
                <c:pt idx="2">
                  <c:v>83.9</c:v>
                </c:pt>
                <c:pt idx="3">
                  <c:v>89.2</c:v>
                </c:pt>
                <c:pt idx="4">
                  <c:v>82.4</c:v>
                </c:pt>
                <c:pt idx="5">
                  <c:v>145.5</c:v>
                </c:pt>
                <c:pt idx="6">
                  <c:v>48.3</c:v>
                </c:pt>
              </c:numCache>
            </c:numRef>
          </c:val>
          <c:smooth val="0"/>
        </c:ser>
        <c:dLbls>
          <c:showLegendKey val="0"/>
          <c:showVal val="1"/>
          <c:showCatName val="0"/>
          <c:showSerName val="0"/>
          <c:showPercent val="0"/>
          <c:showBubbleSize val="0"/>
        </c:dLbls>
        <c:marker val="1"/>
        <c:smooth val="0"/>
        <c:axId val="80942208"/>
        <c:axId val="80957440"/>
      </c:lineChart>
      <c:lineChart>
        <c:grouping val="standard"/>
        <c:varyColors val="0"/>
        <c:ser>
          <c:idx val="5"/>
          <c:order val="5"/>
          <c:tx>
            <c:strRef>
              <c:f>Lazdijai!$O$11</c:f>
              <c:strCache>
                <c:ptCount val="1"/>
                <c:pt idx="0">
                  <c:v>Išleista išvalytų iki normos nuotekų, tūkst. M³</c:v>
                </c:pt>
              </c:strCache>
            </c:strRef>
          </c:tx>
          <c:spPr>
            <a:ln w="28575" cap="rnd">
              <a:solidFill>
                <a:srgbClr val="00A1DE"/>
              </a:solidFill>
              <a:round/>
            </a:ln>
            <a:effectLst/>
          </c:spPr>
          <c:marker>
            <c:symbol val="none"/>
          </c:marker>
          <c:dLbls>
            <c:dLbl>
              <c:idx val="0"/>
              <c:layout>
                <c:manualLayout>
                  <c:x val="-2.9882838708310986E-17"/>
                  <c:y val="-2.174208734283987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
                  <c:y val="-3.2728172018318263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6.5199674001630587E-3"/>
                  <c:y val="1.075557945684323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9765677416621972E-17"/>
                  <c:y val="-2.1972610967095182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1953135483324394E-16"/>
                  <c:y val="-2.1972610967095168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3.8336696976254303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1.9559902200488997E-2"/>
                  <c:y val="-2.6889160366113149E-2"/>
                </c:manualLayout>
              </c:layout>
              <c:showLegendKey val="0"/>
              <c:showVal val="1"/>
              <c:showCatName val="0"/>
              <c:showSerName val="0"/>
              <c:showPercent val="0"/>
              <c:showBubbleSize val="0"/>
              <c:extLst>
                <c:ext xmlns:c15="http://schemas.microsoft.com/office/drawing/2012/chart" uri="{CE6537A1-D6FC-4f65-9D91-7224C49458BB}">
                  <c15:layout>
                    <c:manualLayout>
                      <c:w val="6.4987646715309738E-2"/>
                      <c:h val="4.8964987201283887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Lazdijai!$P$5:$X$5</c:f>
              <c:numCache>
                <c:formatCode>General</c:formatCode>
                <c:ptCount val="7"/>
                <c:pt idx="0">
                  <c:v>2007</c:v>
                </c:pt>
                <c:pt idx="1">
                  <c:v>2008</c:v>
                </c:pt>
                <c:pt idx="2">
                  <c:v>2009</c:v>
                </c:pt>
                <c:pt idx="3">
                  <c:v>2010</c:v>
                </c:pt>
                <c:pt idx="4">
                  <c:v>2011</c:v>
                </c:pt>
                <c:pt idx="5">
                  <c:v>2012</c:v>
                </c:pt>
                <c:pt idx="6">
                  <c:v>2013</c:v>
                </c:pt>
              </c:numCache>
            </c:numRef>
          </c:cat>
          <c:val>
            <c:numRef>
              <c:f>Lazdijai!$P$11:$X$11</c:f>
              <c:numCache>
                <c:formatCode>General</c:formatCode>
                <c:ptCount val="7"/>
                <c:pt idx="0">
                  <c:v>154.19999999999999</c:v>
                </c:pt>
                <c:pt idx="1">
                  <c:v>136.4</c:v>
                </c:pt>
                <c:pt idx="2">
                  <c:v>134.9</c:v>
                </c:pt>
                <c:pt idx="3">
                  <c:v>147.19999999999999</c:v>
                </c:pt>
                <c:pt idx="4">
                  <c:v>184.1</c:v>
                </c:pt>
                <c:pt idx="5">
                  <c:v>186.3</c:v>
                </c:pt>
                <c:pt idx="6">
                  <c:v>36.799999999999997</c:v>
                </c:pt>
              </c:numCache>
            </c:numRef>
          </c:val>
          <c:smooth val="0"/>
          <c:extLst/>
        </c:ser>
        <c:dLbls>
          <c:showLegendKey val="0"/>
          <c:showVal val="1"/>
          <c:showCatName val="0"/>
          <c:showSerName val="0"/>
          <c:showPercent val="0"/>
          <c:showBubbleSize val="0"/>
        </c:dLbls>
        <c:marker val="1"/>
        <c:smooth val="0"/>
        <c:axId val="80965632"/>
        <c:axId val="80959360"/>
      </c:lineChart>
      <c:catAx>
        <c:axId val="80942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957440"/>
        <c:crosses val="autoZero"/>
        <c:auto val="1"/>
        <c:lblAlgn val="ctr"/>
        <c:lblOffset val="100"/>
        <c:noMultiLvlLbl val="0"/>
      </c:catAx>
      <c:valAx>
        <c:axId val="80957440"/>
        <c:scaling>
          <c:orientation val="minMax"/>
          <c:max val="225"/>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Tonos</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942208"/>
        <c:crosses val="autoZero"/>
        <c:crossBetween val="between"/>
      </c:valAx>
      <c:valAx>
        <c:axId val="80959360"/>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m</a:t>
                </a:r>
                <a:r>
                  <a:rPr lang="en-US"/>
                  <a:t>3</a:t>
                </a:r>
              </a:p>
            </c:rich>
          </c:tx>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0965632"/>
        <c:crosses val="max"/>
        <c:crossBetween val="between"/>
      </c:valAx>
      <c:catAx>
        <c:axId val="80965632"/>
        <c:scaling>
          <c:orientation val="minMax"/>
        </c:scaling>
        <c:delete val="1"/>
        <c:axPos val="b"/>
        <c:numFmt formatCode="General" sourceLinked="1"/>
        <c:majorTickMark val="out"/>
        <c:minorTickMark val="none"/>
        <c:tickLblPos val="nextTo"/>
        <c:crossAx val="80959360"/>
        <c:crosses val="autoZero"/>
        <c:auto val="1"/>
        <c:lblAlgn val="ctr"/>
        <c:lblOffset val="100"/>
        <c:noMultiLvlLbl val="0"/>
      </c:catAx>
      <c:spPr>
        <a:noFill/>
        <a:ln>
          <a:noFill/>
        </a:ln>
        <a:effectLst/>
      </c:spPr>
    </c:plotArea>
    <c:legend>
      <c:legendPos val="b"/>
      <c:layout>
        <c:manualLayout>
          <c:xMode val="edge"/>
          <c:yMode val="edge"/>
          <c:x val="2.6858867244112967E-2"/>
          <c:y val="0.80398323396943583"/>
          <c:w val="0.92975197171258228"/>
          <c:h val="0.19294620304755536"/>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0"/>
          <c:order val="0"/>
          <c:tx>
            <c:strRef>
              <c:f>Lazdijai!$M$23</c:f>
              <c:strCache>
                <c:ptCount val="1"/>
                <c:pt idx="0">
                  <c:v>Nuolatinių gyventojų skaičius metų pradžioje</c:v>
                </c:pt>
              </c:strCache>
            </c:strRef>
          </c:tx>
          <c:spPr>
            <a:solidFill>
              <a:srgbClr val="81BC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Lazdijai!$N$22:$V$22</c:f>
              <c:numCache>
                <c:formatCode>General</c:formatCode>
                <c:ptCount val="7"/>
                <c:pt idx="0">
                  <c:v>2007</c:v>
                </c:pt>
                <c:pt idx="1">
                  <c:v>2008</c:v>
                </c:pt>
                <c:pt idx="2">
                  <c:v>2009</c:v>
                </c:pt>
                <c:pt idx="3">
                  <c:v>2010</c:v>
                </c:pt>
                <c:pt idx="4">
                  <c:v>2011</c:v>
                </c:pt>
                <c:pt idx="5">
                  <c:v>2012</c:v>
                </c:pt>
                <c:pt idx="6">
                  <c:v>2013</c:v>
                </c:pt>
              </c:numCache>
            </c:numRef>
          </c:cat>
          <c:val>
            <c:numRef>
              <c:f>Lazdijai!$N$23:$V$23</c:f>
              <c:numCache>
                <c:formatCode>General</c:formatCode>
                <c:ptCount val="7"/>
                <c:pt idx="0">
                  <c:v>24430</c:v>
                </c:pt>
                <c:pt idx="1">
                  <c:v>23902</c:v>
                </c:pt>
                <c:pt idx="2">
                  <c:v>23507</c:v>
                </c:pt>
                <c:pt idx="3">
                  <c:v>23078</c:v>
                </c:pt>
                <c:pt idx="4">
                  <c:v>22509</c:v>
                </c:pt>
                <c:pt idx="5">
                  <c:v>22064</c:v>
                </c:pt>
                <c:pt idx="6">
                  <c:v>21639</c:v>
                </c:pt>
              </c:numCache>
            </c:numRef>
          </c:val>
        </c:ser>
        <c:ser>
          <c:idx val="1"/>
          <c:order val="1"/>
          <c:tx>
            <c:strRef>
              <c:f>Lazdijai!$M$24</c:f>
              <c:strCache>
                <c:ptCount val="1"/>
                <c:pt idx="0">
                  <c:v>Darbingo amžiaus gyventojai</c:v>
                </c:pt>
              </c:strCache>
            </c:strRef>
          </c:tx>
          <c:spPr>
            <a:solidFill>
              <a:srgbClr val="B4B4B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Lazdijai!$N$22:$V$22</c:f>
              <c:numCache>
                <c:formatCode>General</c:formatCode>
                <c:ptCount val="7"/>
                <c:pt idx="0">
                  <c:v>2007</c:v>
                </c:pt>
                <c:pt idx="1">
                  <c:v>2008</c:v>
                </c:pt>
                <c:pt idx="2">
                  <c:v>2009</c:v>
                </c:pt>
                <c:pt idx="3">
                  <c:v>2010</c:v>
                </c:pt>
                <c:pt idx="4">
                  <c:v>2011</c:v>
                </c:pt>
                <c:pt idx="5">
                  <c:v>2012</c:v>
                </c:pt>
                <c:pt idx="6">
                  <c:v>2013</c:v>
                </c:pt>
              </c:numCache>
            </c:numRef>
          </c:cat>
          <c:val>
            <c:numRef>
              <c:f>Lazdijai!$N$24:$V$24</c:f>
              <c:numCache>
                <c:formatCode>General</c:formatCode>
                <c:ptCount val="7"/>
                <c:pt idx="0">
                  <c:v>13223</c:v>
                </c:pt>
                <c:pt idx="1">
                  <c:v>13077</c:v>
                </c:pt>
                <c:pt idx="2">
                  <c:v>13015</c:v>
                </c:pt>
                <c:pt idx="3">
                  <c:v>12866</c:v>
                </c:pt>
                <c:pt idx="4">
                  <c:v>12884</c:v>
                </c:pt>
                <c:pt idx="5">
                  <c:v>12714</c:v>
                </c:pt>
                <c:pt idx="6">
                  <c:v>12575</c:v>
                </c:pt>
              </c:numCache>
            </c:numRef>
          </c:val>
        </c:ser>
        <c:ser>
          <c:idx val="2"/>
          <c:order val="2"/>
          <c:tx>
            <c:strRef>
              <c:f>Lazdijai!$M$25</c:f>
              <c:strCache>
                <c:ptCount val="1"/>
                <c:pt idx="0">
                  <c:v>Pensinio amžiaus gyventojai</c:v>
                </c:pt>
              </c:strCache>
            </c:strRef>
          </c:tx>
          <c:spPr>
            <a:solidFill>
              <a:srgbClr val="BDD20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Lazdijai!$N$22:$V$22</c:f>
              <c:numCache>
                <c:formatCode>General</c:formatCode>
                <c:ptCount val="7"/>
                <c:pt idx="0">
                  <c:v>2007</c:v>
                </c:pt>
                <c:pt idx="1">
                  <c:v>2008</c:v>
                </c:pt>
                <c:pt idx="2">
                  <c:v>2009</c:v>
                </c:pt>
                <c:pt idx="3">
                  <c:v>2010</c:v>
                </c:pt>
                <c:pt idx="4">
                  <c:v>2011</c:v>
                </c:pt>
                <c:pt idx="5">
                  <c:v>2012</c:v>
                </c:pt>
                <c:pt idx="6">
                  <c:v>2013</c:v>
                </c:pt>
              </c:numCache>
            </c:numRef>
          </c:cat>
          <c:val>
            <c:numRef>
              <c:f>Lazdijai!$N$25:$V$25</c:f>
              <c:numCache>
                <c:formatCode>General</c:formatCode>
                <c:ptCount val="7"/>
                <c:pt idx="0">
                  <c:v>6797</c:v>
                </c:pt>
                <c:pt idx="1">
                  <c:v>6629</c:v>
                </c:pt>
                <c:pt idx="2">
                  <c:v>6525</c:v>
                </c:pt>
                <c:pt idx="3">
                  <c:v>6382</c:v>
                </c:pt>
                <c:pt idx="4">
                  <c:v>6236</c:v>
                </c:pt>
                <c:pt idx="5">
                  <c:v>6111</c:v>
                </c:pt>
                <c:pt idx="6">
                  <c:v>5936</c:v>
                </c:pt>
              </c:numCache>
            </c:numRef>
          </c:val>
        </c:ser>
        <c:dLbls>
          <c:showLegendKey val="0"/>
          <c:showVal val="0"/>
          <c:showCatName val="0"/>
          <c:showSerName val="0"/>
          <c:showPercent val="0"/>
          <c:showBubbleSize val="0"/>
        </c:dLbls>
        <c:gapWidth val="219"/>
        <c:overlap val="-27"/>
        <c:axId val="81019648"/>
        <c:axId val="81021184"/>
      </c:barChart>
      <c:lineChart>
        <c:grouping val="standard"/>
        <c:varyColors val="0"/>
        <c:ser>
          <c:idx val="3"/>
          <c:order val="3"/>
          <c:tx>
            <c:strRef>
              <c:f>Lazdijai!$M$26</c:f>
              <c:strCache>
                <c:ptCount val="1"/>
                <c:pt idx="0">
                  <c:v>Registruotų bedarbių ir darbingo amžiaus gyventojų santykis | proc.</c:v>
                </c:pt>
              </c:strCache>
            </c:strRef>
          </c:tx>
          <c:spPr>
            <a:ln w="28575" cap="rnd">
              <a:solidFill>
                <a:srgbClr val="00A1DE"/>
              </a:solidFill>
              <a:round/>
            </a:ln>
            <a:effectLst/>
          </c:spPr>
          <c:marker>
            <c:symbol val="none"/>
          </c:marker>
          <c:cat>
            <c:numRef>
              <c:f>Lazdijai!$N$22:$V$22</c:f>
              <c:numCache>
                <c:formatCode>General</c:formatCode>
                <c:ptCount val="7"/>
                <c:pt idx="0">
                  <c:v>2007</c:v>
                </c:pt>
                <c:pt idx="1">
                  <c:v>2008</c:v>
                </c:pt>
                <c:pt idx="2">
                  <c:v>2009</c:v>
                </c:pt>
                <c:pt idx="3">
                  <c:v>2010</c:v>
                </c:pt>
                <c:pt idx="4">
                  <c:v>2011</c:v>
                </c:pt>
                <c:pt idx="5">
                  <c:v>2012</c:v>
                </c:pt>
                <c:pt idx="6">
                  <c:v>2013</c:v>
                </c:pt>
              </c:numCache>
            </c:numRef>
          </c:cat>
          <c:val>
            <c:numRef>
              <c:f>Lazdijai!$N$26:$V$26</c:f>
              <c:numCache>
                <c:formatCode>General</c:formatCode>
                <c:ptCount val="7"/>
                <c:pt idx="0">
                  <c:v>6.5</c:v>
                </c:pt>
                <c:pt idx="1">
                  <c:v>6.3</c:v>
                </c:pt>
                <c:pt idx="2">
                  <c:v>11.2</c:v>
                </c:pt>
                <c:pt idx="3">
                  <c:v>18.399999999999999</c:v>
                </c:pt>
                <c:pt idx="4">
                  <c:v>17.5</c:v>
                </c:pt>
                <c:pt idx="5">
                  <c:v>17</c:v>
                </c:pt>
                <c:pt idx="6">
                  <c:v>17.8</c:v>
                </c:pt>
              </c:numCache>
            </c:numRef>
          </c:val>
          <c:smooth val="0"/>
        </c:ser>
        <c:dLbls>
          <c:showLegendKey val="0"/>
          <c:showVal val="0"/>
          <c:showCatName val="0"/>
          <c:showSerName val="0"/>
          <c:showPercent val="0"/>
          <c:showBubbleSize val="0"/>
        </c:dLbls>
        <c:marker val="1"/>
        <c:smooth val="0"/>
        <c:axId val="81032704"/>
        <c:axId val="81031168"/>
      </c:lineChart>
      <c:catAx>
        <c:axId val="81019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021184"/>
        <c:crosses val="autoZero"/>
        <c:auto val="1"/>
        <c:lblAlgn val="ctr"/>
        <c:lblOffset val="100"/>
        <c:noMultiLvlLbl val="0"/>
      </c:catAx>
      <c:valAx>
        <c:axId val="81021184"/>
        <c:scaling>
          <c:orientation val="minMax"/>
          <c:max val="26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019648"/>
        <c:crosses val="autoZero"/>
        <c:crossBetween val="between"/>
      </c:valAx>
      <c:valAx>
        <c:axId val="81031168"/>
        <c:scaling>
          <c:orientation val="minMax"/>
        </c:scaling>
        <c:delete val="0"/>
        <c:axPos val="r"/>
        <c:numFmt formatCode="General\ \%" sourceLinked="0"/>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032704"/>
        <c:crosses val="max"/>
        <c:crossBetween val="between"/>
      </c:valAx>
      <c:catAx>
        <c:axId val="81032704"/>
        <c:scaling>
          <c:orientation val="minMax"/>
        </c:scaling>
        <c:delete val="1"/>
        <c:axPos val="b"/>
        <c:numFmt formatCode="General" sourceLinked="1"/>
        <c:majorTickMark val="out"/>
        <c:minorTickMark val="none"/>
        <c:tickLblPos val="nextTo"/>
        <c:crossAx val="81031168"/>
        <c:crosses val="autoZero"/>
        <c:auto val="1"/>
        <c:lblAlgn val="ctr"/>
        <c:lblOffset val="100"/>
        <c:noMultiLvlLbl val="0"/>
      </c:catAx>
      <c:spPr>
        <a:noFill/>
        <a:ln>
          <a:noFill/>
        </a:ln>
        <a:effectLst/>
      </c:spPr>
    </c:plotArea>
    <c:legend>
      <c:legendPos val="b"/>
      <c:layout>
        <c:manualLayout>
          <c:xMode val="edge"/>
          <c:yMode val="edge"/>
          <c:x val="7.3523622047244113E-3"/>
          <c:y val="0.78547317002041395"/>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61509186351706E-2"/>
          <c:y val="5.0925925925925923E-2"/>
          <c:w val="0.88882349081364831"/>
          <c:h val="0.6800182268883056"/>
        </c:manualLayout>
      </c:layout>
      <c:barChart>
        <c:barDir val="col"/>
        <c:grouping val="clustered"/>
        <c:varyColors val="0"/>
        <c:ser>
          <c:idx val="1"/>
          <c:order val="1"/>
          <c:tx>
            <c:strRef>
              <c:f>Lazdijai!$N$44</c:f>
              <c:strCache>
                <c:ptCount val="1"/>
                <c:pt idx="0">
                  <c:v>Pridėtinė vertė gamybos kainomis pagal veiklos vykdymo vietą | tūkst. EUR</c:v>
                </c:pt>
              </c:strCache>
            </c:strRef>
          </c:tx>
          <c:spPr>
            <a:solidFill>
              <a:srgbClr val="81BC00"/>
            </a:solidFill>
            <a:ln>
              <a:noFill/>
            </a:ln>
            <a:effectLst/>
          </c:spPr>
          <c:invertIfNegative val="0"/>
          <c:dLbls>
            <c:dLbl>
              <c:idx val="5"/>
              <c:layout>
                <c:manualLayout>
                  <c:x val="-5.8097312999273783E-3"/>
                  <c:y val="0"/>
                </c:manualLayout>
              </c:layout>
              <c:showLegendKey val="0"/>
              <c:showVal val="1"/>
              <c:showCatName val="0"/>
              <c:showSerName val="0"/>
              <c:showPercent val="0"/>
              <c:showBubbleSize val="0"/>
              <c:extLst>
                <c:ext xmlns:c15="http://schemas.microsoft.com/office/drawing/2012/chart" uri="{CE6537A1-D6FC-4f65-9D91-7224C49458BB}">
                  <c15:layout>
                    <c:manualLayout>
                      <c:w val="6.1583151779230211E-2"/>
                      <c:h val="4.9988087001107434E-2"/>
                    </c:manualLayout>
                  </c15:layout>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Lazdijai!$O$42:$W$42</c:f>
              <c:numCache>
                <c:formatCode>General</c:formatCode>
                <c:ptCount val="7"/>
                <c:pt idx="0">
                  <c:v>2007</c:v>
                </c:pt>
                <c:pt idx="1">
                  <c:v>2008</c:v>
                </c:pt>
                <c:pt idx="2">
                  <c:v>2009</c:v>
                </c:pt>
                <c:pt idx="3">
                  <c:v>2010</c:v>
                </c:pt>
                <c:pt idx="4">
                  <c:v>2011</c:v>
                </c:pt>
                <c:pt idx="5">
                  <c:v>2012</c:v>
                </c:pt>
                <c:pt idx="6">
                  <c:v>2013</c:v>
                </c:pt>
              </c:numCache>
            </c:numRef>
          </c:cat>
          <c:val>
            <c:numRef>
              <c:f>Lazdijai!$O$44:$W$44</c:f>
              <c:numCache>
                <c:formatCode>General</c:formatCode>
                <c:ptCount val="7"/>
                <c:pt idx="0">
                  <c:v>18462</c:v>
                </c:pt>
                <c:pt idx="1">
                  <c:v>19966</c:v>
                </c:pt>
                <c:pt idx="2">
                  <c:v>14819</c:v>
                </c:pt>
                <c:pt idx="3">
                  <c:v>15239</c:v>
                </c:pt>
                <c:pt idx="4">
                  <c:v>20158</c:v>
                </c:pt>
                <c:pt idx="5">
                  <c:v>20840</c:v>
                </c:pt>
                <c:pt idx="6">
                  <c:v>23138</c:v>
                </c:pt>
              </c:numCache>
            </c:numRef>
          </c:val>
        </c:ser>
        <c:ser>
          <c:idx val="2"/>
          <c:order val="2"/>
          <c:tx>
            <c:strRef>
              <c:f>Lazdijai!$N$45</c:f>
              <c:strCache>
                <c:ptCount val="1"/>
                <c:pt idx="0">
                  <c:v>Materialinės investicijos to meto kainomis | tūkst. EUR</c:v>
                </c:pt>
              </c:strCache>
            </c:strRef>
          </c:tx>
          <c:spPr>
            <a:solidFill>
              <a:srgbClr val="B4B4B4"/>
            </a:solidFill>
            <a:ln>
              <a:noFill/>
            </a:ln>
            <a:effectLst/>
          </c:spPr>
          <c:invertIfNegative val="0"/>
          <c:dLbls>
            <c:dLbl>
              <c:idx val="2"/>
              <c:layout>
                <c:manualLayout>
                  <c:x val="0"/>
                  <c:y val="2.904865649963680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9.6828854998789633E-3"/>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4524328249818339E-2"/>
                  <c:y val="2.4207213749697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Lazdijai!$O$42:$W$42</c:f>
              <c:numCache>
                <c:formatCode>General</c:formatCode>
                <c:ptCount val="7"/>
                <c:pt idx="0">
                  <c:v>2007</c:v>
                </c:pt>
                <c:pt idx="1">
                  <c:v>2008</c:v>
                </c:pt>
                <c:pt idx="2">
                  <c:v>2009</c:v>
                </c:pt>
                <c:pt idx="3">
                  <c:v>2010</c:v>
                </c:pt>
                <c:pt idx="4">
                  <c:v>2011</c:v>
                </c:pt>
                <c:pt idx="5">
                  <c:v>2012</c:v>
                </c:pt>
                <c:pt idx="6">
                  <c:v>2013</c:v>
                </c:pt>
              </c:numCache>
            </c:numRef>
          </c:cat>
          <c:val>
            <c:numRef>
              <c:f>Lazdijai!$O$45:$W$45</c:f>
              <c:numCache>
                <c:formatCode>General</c:formatCode>
                <c:ptCount val="7"/>
                <c:pt idx="0">
                  <c:v>22343</c:v>
                </c:pt>
                <c:pt idx="1">
                  <c:v>21085</c:v>
                </c:pt>
                <c:pt idx="2">
                  <c:v>10754</c:v>
                </c:pt>
                <c:pt idx="3">
                  <c:v>8838</c:v>
                </c:pt>
                <c:pt idx="4">
                  <c:v>12402</c:v>
                </c:pt>
                <c:pt idx="5">
                  <c:v>12429</c:v>
                </c:pt>
                <c:pt idx="6">
                  <c:v>23029</c:v>
                </c:pt>
              </c:numCache>
            </c:numRef>
          </c:val>
        </c:ser>
        <c:dLbls>
          <c:showLegendKey val="0"/>
          <c:showVal val="0"/>
          <c:showCatName val="0"/>
          <c:showSerName val="0"/>
          <c:showPercent val="0"/>
          <c:showBubbleSize val="0"/>
        </c:dLbls>
        <c:gapWidth val="219"/>
        <c:overlap val="-27"/>
        <c:axId val="81089664"/>
        <c:axId val="81091200"/>
      </c:barChart>
      <c:lineChart>
        <c:grouping val="standard"/>
        <c:varyColors val="0"/>
        <c:ser>
          <c:idx val="0"/>
          <c:order val="0"/>
          <c:tx>
            <c:strRef>
              <c:f>Lazdijai!$N$43</c:f>
              <c:strCache>
                <c:ptCount val="1"/>
                <c:pt idx="0">
                  <c:v>Tiesioginės užsienio investicijos, tenkančios vienam gyventojui, metų pabaigoje | EUR</c:v>
                </c:pt>
              </c:strCache>
            </c:strRef>
          </c:tx>
          <c:spPr>
            <a:ln w="28575" cap="rnd">
              <a:solidFill>
                <a:srgbClr val="00A1DE"/>
              </a:solidFill>
              <a:round/>
            </a:ln>
            <a:effectLst/>
          </c:spPr>
          <c:marker>
            <c:symbol val="none"/>
          </c:marker>
          <c:dLbls>
            <c:dLbl>
              <c:idx val="2"/>
              <c:layout>
                <c:manualLayout>
                  <c:x val="-2.0334059549745823E-2"/>
                  <c:y val="-5.32558702493343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2.420721374969741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0651051008016726E-16"/>
                  <c:y val="-4.8414427499394841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Lazdijai!$O$42:$W$42</c:f>
              <c:numCache>
                <c:formatCode>General</c:formatCode>
                <c:ptCount val="7"/>
                <c:pt idx="0">
                  <c:v>2007</c:v>
                </c:pt>
                <c:pt idx="1">
                  <c:v>2008</c:v>
                </c:pt>
                <c:pt idx="2">
                  <c:v>2009</c:v>
                </c:pt>
                <c:pt idx="3">
                  <c:v>2010</c:v>
                </c:pt>
                <c:pt idx="4">
                  <c:v>2011</c:v>
                </c:pt>
                <c:pt idx="5">
                  <c:v>2012</c:v>
                </c:pt>
                <c:pt idx="6">
                  <c:v>2013</c:v>
                </c:pt>
              </c:numCache>
            </c:numRef>
          </c:cat>
          <c:val>
            <c:numRef>
              <c:f>Lazdijai!$O$43:$W$43</c:f>
              <c:numCache>
                <c:formatCode>General</c:formatCode>
                <c:ptCount val="7"/>
                <c:pt idx="0">
                  <c:v>56</c:v>
                </c:pt>
                <c:pt idx="1">
                  <c:v>39</c:v>
                </c:pt>
                <c:pt idx="2">
                  <c:v>16</c:v>
                </c:pt>
                <c:pt idx="3">
                  <c:v>1</c:v>
                </c:pt>
                <c:pt idx="4">
                  <c:v>11</c:v>
                </c:pt>
                <c:pt idx="5">
                  <c:v>4</c:v>
                </c:pt>
                <c:pt idx="6">
                  <c:v>9</c:v>
                </c:pt>
              </c:numCache>
            </c:numRef>
          </c:val>
          <c:smooth val="0"/>
          <c:extLst/>
        </c:ser>
        <c:dLbls>
          <c:showLegendKey val="0"/>
          <c:showVal val="0"/>
          <c:showCatName val="0"/>
          <c:showSerName val="0"/>
          <c:showPercent val="0"/>
          <c:showBubbleSize val="0"/>
        </c:dLbls>
        <c:marker val="1"/>
        <c:smooth val="0"/>
        <c:axId val="81119872"/>
        <c:axId val="81117952"/>
      </c:lineChart>
      <c:catAx>
        <c:axId val="81089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091200"/>
        <c:crosses val="autoZero"/>
        <c:auto val="1"/>
        <c:lblAlgn val="ctr"/>
        <c:lblOffset val="100"/>
        <c:noMultiLvlLbl val="0"/>
      </c:catAx>
      <c:valAx>
        <c:axId val="81091200"/>
        <c:scaling>
          <c:orientation val="minMax"/>
          <c:max val="26000"/>
          <c:min val="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Tūkst. EUR</a:t>
                </a:r>
                <a:endParaRPr lang="en-US"/>
              </a:p>
            </c:rich>
          </c:tx>
          <c:layout>
            <c:manualLayout>
              <c:xMode val="edge"/>
              <c:yMode val="edge"/>
              <c:x val="5.5271521348625122E-3"/>
              <c:y val="0.6372269479541320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089664"/>
        <c:crosses val="autoZero"/>
        <c:crossBetween val="between"/>
      </c:valAx>
      <c:valAx>
        <c:axId val="81117952"/>
        <c:scaling>
          <c:orientation val="minMax"/>
        </c:scaling>
        <c:delete val="0"/>
        <c:axPos val="r"/>
        <c:title>
          <c:tx>
            <c:rich>
              <a:bodyPr rot="-54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EUR</a:t>
                </a:r>
                <a:endParaRPr lang="en-US"/>
              </a:p>
            </c:rich>
          </c:tx>
          <c:layout>
            <c:manualLayout>
              <c:xMode val="edge"/>
              <c:yMode val="edge"/>
              <c:x val="0.97207395503639982"/>
              <c:y val="0.69754815721251651"/>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1119872"/>
        <c:crosses val="max"/>
        <c:crossBetween val="between"/>
      </c:valAx>
      <c:catAx>
        <c:axId val="81119872"/>
        <c:scaling>
          <c:orientation val="minMax"/>
        </c:scaling>
        <c:delete val="1"/>
        <c:axPos val="b"/>
        <c:numFmt formatCode="General" sourceLinked="1"/>
        <c:majorTickMark val="out"/>
        <c:minorTickMark val="none"/>
        <c:tickLblPos val="nextTo"/>
        <c:crossAx val="81117952"/>
        <c:crosses val="autoZero"/>
        <c:auto val="1"/>
        <c:lblAlgn val="ctr"/>
        <c:lblOffset val="100"/>
        <c:noMultiLvlLbl val="0"/>
      </c:catAx>
      <c:spPr>
        <a:noFill/>
        <a:ln>
          <a:noFill/>
        </a:ln>
        <a:effectLst/>
      </c:spPr>
    </c:plotArea>
    <c:legend>
      <c:legendPos val="b"/>
      <c:layout>
        <c:manualLayout>
          <c:xMode val="edge"/>
          <c:yMode val="edge"/>
          <c:x val="1.564314616814946E-2"/>
          <c:y val="0.8043677169073753"/>
          <c:w val="0.97973972003499565"/>
          <c:h val="0.1867490522018081"/>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5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1">
    <a:dk1>
      <a:srgbClr val="002776"/>
    </a:dk1>
    <a:lt1>
      <a:srgbClr val="FFFFFF"/>
    </a:lt1>
    <a:dk2>
      <a:srgbClr val="002776"/>
    </a:dk2>
    <a:lt2>
      <a:srgbClr val="FFFFFF"/>
    </a:lt2>
    <a:accent1>
      <a:srgbClr val="00A1DE"/>
    </a:accent1>
    <a:accent2>
      <a:srgbClr val="92D400"/>
    </a:accent2>
    <a:accent3>
      <a:srgbClr val="72C7E7"/>
    </a:accent3>
    <a:accent4>
      <a:srgbClr val="3C8A2E"/>
    </a:accent4>
    <a:accent5>
      <a:srgbClr val="002776"/>
    </a:accent5>
    <a:accent6>
      <a:srgbClr val="C9DD03"/>
    </a:accent6>
    <a:hlink>
      <a:srgbClr val="00A1DE"/>
    </a:hlink>
    <a:folHlink>
      <a:srgbClr val="72C7E7"/>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E9CF-B067-4664-B530-C2747852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Gytis Jakstonis</dc:creator>
  <cp:keywords/>
  <dc:description/>
  <cp:lastModifiedBy>Sabina</cp:lastModifiedBy>
  <cp:revision>88</cp:revision>
  <cp:lastPrinted>2016-03-02T08:05:00Z</cp:lastPrinted>
  <dcterms:created xsi:type="dcterms:W3CDTF">2016-03-01T20:52:00Z</dcterms:created>
  <dcterms:modified xsi:type="dcterms:W3CDTF">2016-06-02T20:44:00Z</dcterms:modified>
</cp:coreProperties>
</file>