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C61115" w:rsidRDefault="004358A2" w:rsidP="0080175F">
      <w:pPr>
        <w:pStyle w:val="001-lineSectionheading"/>
        <w:spacing w:after="240"/>
        <w:outlineLvl w:val="0"/>
        <w:rPr>
          <w:noProof w:val="0"/>
          <w:sz w:val="52"/>
        </w:rPr>
      </w:pPr>
      <w:r w:rsidRPr="00C61115">
        <w:rPr>
          <w:noProof w:val="0"/>
          <w:sz w:val="52"/>
        </w:rPr>
        <w:t>Mažeikių</w:t>
      </w:r>
      <w:r w:rsidR="00255C61" w:rsidRPr="00C61115">
        <w:rPr>
          <w:noProof w:val="0"/>
          <w:sz w:val="52"/>
        </w:rPr>
        <w:t xml:space="preserve"> rajono</w:t>
      </w:r>
      <w:r w:rsidR="005577BB" w:rsidRPr="00C61115">
        <w:rPr>
          <w:noProof w:val="0"/>
          <w:sz w:val="52"/>
        </w:rPr>
        <w:t xml:space="preserve"> savivaldybės analizė</w:t>
      </w:r>
    </w:p>
    <w:p w:rsidR="00C849C4" w:rsidRPr="00C61115" w:rsidRDefault="00C849C4" w:rsidP="002B4036">
      <w:pPr>
        <w:pStyle w:val="Deloittebodytext"/>
        <w:spacing w:line="240" w:lineRule="auto"/>
        <w:jc w:val="both"/>
        <w:rPr>
          <w:lang w:val="lt-LT"/>
        </w:rPr>
      </w:pPr>
      <w:r w:rsidRPr="00C61115">
        <w:rPr>
          <w:lang w:val="lt-LT"/>
        </w:rPr>
        <w:t xml:space="preserve">Toliau pateikiama vienos iš probleminių teritorijų – </w:t>
      </w:r>
      <w:r w:rsidR="00535003" w:rsidRPr="00C61115">
        <w:rPr>
          <w:lang w:val="lt-LT"/>
        </w:rPr>
        <w:t>Mažeikių</w:t>
      </w:r>
      <w:r w:rsidR="00255C61" w:rsidRPr="00C61115">
        <w:rPr>
          <w:lang w:val="lt-LT"/>
        </w:rPr>
        <w:t xml:space="preserve"> rajono</w:t>
      </w:r>
      <w:r w:rsidRPr="00C61115">
        <w:rPr>
          <w:lang w:val="lt-LT"/>
        </w:rPr>
        <w:t xml:space="preserve"> savivaldybės – atvejo stud</w:t>
      </w:r>
      <w:r w:rsidR="001F2140" w:rsidRPr="00C61115">
        <w:rPr>
          <w:lang w:val="lt-LT"/>
        </w:rPr>
        <w:t>ija. Pirma, yra pristatoma ES struktūrinių fondų</w:t>
      </w:r>
      <w:r w:rsidRPr="00C61115">
        <w:rPr>
          <w:lang w:val="lt-LT"/>
        </w:rPr>
        <w:t xml:space="preserve"> finansavimo apžvalga, aptariamos pagrindinės i</w:t>
      </w:r>
      <w:r w:rsidR="002E30F9" w:rsidRPr="00C61115">
        <w:rPr>
          <w:lang w:val="lt-LT"/>
        </w:rPr>
        <w:t xml:space="preserve">nvesticinės kryptys. Vėliau </w:t>
      </w:r>
      <w:r w:rsidR="002B4036" w:rsidRPr="00C61115">
        <w:rPr>
          <w:lang w:val="lt-LT"/>
        </w:rPr>
        <w:t>pristatoma socio-ekonominių ir aplinkos rodiklių kaita</w:t>
      </w:r>
      <w:r w:rsidR="00BC4ECE" w:rsidRPr="00C61115">
        <w:rPr>
          <w:lang w:val="lt-LT"/>
        </w:rPr>
        <w:t xml:space="preserve"> 2007 – 2013 m. laikotarpiu</w:t>
      </w:r>
      <w:r w:rsidR="002B4036" w:rsidRPr="00C61115">
        <w:rPr>
          <w:lang w:val="lt-LT"/>
        </w:rPr>
        <w:t xml:space="preserve">. Atvejo </w:t>
      </w:r>
      <w:r w:rsidR="002E30F9" w:rsidRPr="00C61115">
        <w:rPr>
          <w:lang w:val="lt-LT"/>
        </w:rPr>
        <w:t>studiją apibendrina</w:t>
      </w:r>
      <w:r w:rsidR="007650A6">
        <w:rPr>
          <w:lang w:val="lt-LT"/>
        </w:rPr>
        <w:t xml:space="preserve"> 2007 – 2013 m.</w:t>
      </w:r>
      <w:r w:rsidR="002E30F9" w:rsidRPr="00C61115">
        <w:rPr>
          <w:lang w:val="lt-LT"/>
        </w:rPr>
        <w:t xml:space="preserve"> ES</w:t>
      </w:r>
      <w:r w:rsidR="007650A6">
        <w:rPr>
          <w:lang w:val="lt-LT"/>
        </w:rPr>
        <w:t xml:space="preserve"> struktūrinės</w:t>
      </w:r>
      <w:r w:rsidR="002E30F9" w:rsidRPr="00C61115">
        <w:rPr>
          <w:lang w:val="lt-LT"/>
        </w:rPr>
        <w:t xml:space="preserve"> paramos poveikio darniam vystymuisi vertinimas</w:t>
      </w:r>
      <w:r w:rsidR="007650A6">
        <w:rPr>
          <w:lang w:val="lt-LT"/>
        </w:rPr>
        <w:t>; 1.3. dalyje pateikiamas gerosios praktikos projektų pavyzdžių aprašymas.</w:t>
      </w:r>
      <w:r w:rsidRPr="00C61115">
        <w:rPr>
          <w:lang w:val="lt-LT"/>
        </w:rPr>
        <w:t xml:space="preserve"> </w:t>
      </w:r>
    </w:p>
    <w:p w:rsidR="005577BB" w:rsidRPr="00C61115" w:rsidRDefault="0080175F" w:rsidP="0080175F">
      <w:pPr>
        <w:pStyle w:val="Heading1"/>
        <w:numPr>
          <w:ilvl w:val="1"/>
          <w:numId w:val="1"/>
        </w:numPr>
        <w:spacing w:before="360"/>
        <w:ind w:left="630" w:hanging="630"/>
        <w:rPr>
          <w:rFonts w:ascii="Arial" w:hAnsi="Arial" w:cs="Arial"/>
          <w:b w:val="0"/>
          <w:sz w:val="28"/>
          <w:szCs w:val="28"/>
        </w:rPr>
      </w:pPr>
      <w:r w:rsidRPr="00C61115">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4BB10F47" wp14:editId="62A404F0">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7650A6" w:rsidRDefault="00535003" w:rsidP="00F73ED6">
                              <w:pPr>
                                <w:pStyle w:val="NormalWeb"/>
                                <w:spacing w:before="0" w:beforeAutospacing="0" w:after="0" w:afterAutospacing="0"/>
                                <w:jc w:val="center"/>
                                <w:rPr>
                                  <w:rFonts w:ascii="Arial" w:hAnsi="Arial" w:cs="Arial"/>
                                  <w:sz w:val="6"/>
                                </w:rPr>
                              </w:pPr>
                              <w:r w:rsidRPr="007650A6">
                                <w:rPr>
                                  <w:rFonts w:ascii="Arial" w:hAnsi="Arial" w:cs="Arial"/>
                                  <w:color w:val="FFFFFF"/>
                                  <w:kern w:val="24"/>
                                  <w:sz w:val="32"/>
                                  <w:szCs w:val="144"/>
                                  <w:lang w:val="en-US"/>
                                </w:rPr>
                                <w:t>13</w:t>
                              </w:r>
                              <w:r w:rsidRPr="007650A6">
                                <w:rPr>
                                  <w:rFonts w:ascii="Arial" w:hAnsi="Arial" w:cs="Arial"/>
                                  <w:color w:val="FFFFFF"/>
                                  <w:kern w:val="24"/>
                                  <w:sz w:val="32"/>
                                  <w:szCs w:val="144"/>
                                  <w:lang w:val="nl-NL"/>
                                </w:rPr>
                                <w:t>.22</w:t>
                              </w:r>
                              <w:r w:rsidR="0080175F" w:rsidRPr="007650A6">
                                <w:rPr>
                                  <w:rFonts w:ascii="Arial" w:hAnsi="Arial" w:cs="Arial"/>
                                  <w:color w:val="FFFFFF"/>
                                  <w:kern w:val="24"/>
                                  <w:sz w:val="32"/>
                                  <w:szCs w:val="144"/>
                                  <w:lang w:val="nl-NL"/>
                                </w:rPr>
                                <w:t xml:space="preserve">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7650A6" w:rsidRDefault="00535003" w:rsidP="00F73ED6">
                        <w:pPr>
                          <w:pStyle w:val="NormalWeb"/>
                          <w:spacing w:before="0" w:beforeAutospacing="0" w:after="0" w:afterAutospacing="0"/>
                          <w:jc w:val="center"/>
                          <w:rPr>
                            <w:rFonts w:ascii="Arial" w:hAnsi="Arial" w:cs="Arial"/>
                            <w:sz w:val="6"/>
                          </w:rPr>
                        </w:pPr>
                        <w:r w:rsidRPr="007650A6">
                          <w:rPr>
                            <w:rFonts w:ascii="Arial" w:hAnsi="Arial" w:cs="Arial"/>
                            <w:color w:val="FFFFFF"/>
                            <w:kern w:val="24"/>
                            <w:sz w:val="32"/>
                            <w:szCs w:val="144"/>
                            <w:lang w:val="en-US"/>
                          </w:rPr>
                          <w:t>13</w:t>
                        </w:r>
                        <w:r w:rsidRPr="007650A6">
                          <w:rPr>
                            <w:rFonts w:ascii="Arial" w:hAnsi="Arial" w:cs="Arial"/>
                            <w:color w:val="FFFFFF"/>
                            <w:kern w:val="24"/>
                            <w:sz w:val="32"/>
                            <w:szCs w:val="144"/>
                            <w:lang w:val="nl-NL"/>
                          </w:rPr>
                          <w:t>.22</w:t>
                        </w:r>
                        <w:r w:rsidR="0080175F" w:rsidRPr="007650A6">
                          <w:rPr>
                            <w:rFonts w:ascii="Arial" w:hAnsi="Arial" w:cs="Arial"/>
                            <w:color w:val="FFFFFF"/>
                            <w:kern w:val="24"/>
                            <w:sz w:val="32"/>
                            <w:szCs w:val="144"/>
                            <w:lang w:val="nl-NL"/>
                          </w:rPr>
                          <w:t xml:space="preserve"> %</w:t>
                        </w:r>
                      </w:p>
                    </w:txbxContent>
                  </v:textbox>
                </v:shape>
                <w10:wrap type="square" anchorx="margin"/>
              </v:group>
              <o:OLEObject Type="Embed" ProgID="Excel.Chart.8" ShapeID="Chart 8" DrawAspect="Content" ObjectID="_1524602414" r:id="rId11">
                <o:FieldCodes>\s</o:FieldCodes>
              </o:OLEObject>
            </w:pict>
          </mc:Fallback>
        </mc:AlternateContent>
      </w:r>
      <w:r w:rsidR="005577BB" w:rsidRPr="00C61115">
        <w:rPr>
          <w:rFonts w:ascii="Arial" w:hAnsi="Arial" w:cs="Arial"/>
          <w:b w:val="0"/>
          <w:sz w:val="28"/>
          <w:szCs w:val="28"/>
        </w:rPr>
        <w:t>Finansavimo apžvalga</w:t>
      </w:r>
    </w:p>
    <w:p w:rsidR="005577BB" w:rsidRPr="00C61115" w:rsidRDefault="00F73ED6" w:rsidP="00F73ED6">
      <w:pPr>
        <w:jc w:val="both"/>
        <w:rPr>
          <w:rFonts w:ascii="Arial" w:eastAsia="MS PGothic" w:hAnsi="Arial" w:cs="Times New Roman"/>
          <w:color w:val="000000"/>
          <w:sz w:val="20"/>
          <w:szCs w:val="48"/>
        </w:rPr>
      </w:pPr>
      <w:r w:rsidRPr="00C61115">
        <w:rPr>
          <w:rFonts w:ascii="Arial" w:eastAsia="MS PGothic" w:hAnsi="Arial" w:cs="Times New Roman"/>
          <w:color w:val="000000"/>
          <w:sz w:val="20"/>
          <w:szCs w:val="48"/>
        </w:rPr>
        <w:t xml:space="preserve">2007 – 2013 </w:t>
      </w:r>
      <w:r w:rsidR="009A35E9" w:rsidRPr="00C61115">
        <w:rPr>
          <w:rFonts w:ascii="Arial" w:eastAsia="MS PGothic" w:hAnsi="Arial" w:cs="Times New Roman"/>
          <w:color w:val="000000"/>
          <w:sz w:val="20"/>
          <w:szCs w:val="48"/>
        </w:rPr>
        <w:t>m</w:t>
      </w:r>
      <w:r w:rsidR="0080175F" w:rsidRPr="00C61115">
        <w:rPr>
          <w:rFonts w:ascii="Arial" w:eastAsia="MS PGothic" w:hAnsi="Arial" w:cs="Times New Roman"/>
          <w:color w:val="000000"/>
          <w:sz w:val="20"/>
          <w:szCs w:val="48"/>
        </w:rPr>
        <w:t>. ES struktūrinių fondų</w:t>
      </w:r>
      <w:r w:rsidR="001F2140" w:rsidRPr="00C61115">
        <w:rPr>
          <w:rFonts w:ascii="Arial" w:eastAsia="MS PGothic" w:hAnsi="Arial" w:cs="Times New Roman"/>
          <w:color w:val="000000"/>
          <w:sz w:val="20"/>
          <w:szCs w:val="48"/>
        </w:rPr>
        <w:t xml:space="preserve"> (ES SF)</w:t>
      </w:r>
      <w:r w:rsidR="0080175F" w:rsidRPr="00C61115">
        <w:rPr>
          <w:rFonts w:ascii="Arial" w:eastAsia="MS PGothic" w:hAnsi="Arial" w:cs="Times New Roman"/>
          <w:color w:val="000000"/>
          <w:sz w:val="20"/>
          <w:szCs w:val="48"/>
        </w:rPr>
        <w:t xml:space="preserve"> programavimo</w:t>
      </w:r>
      <w:r w:rsidR="005D34E4" w:rsidRPr="00C61115">
        <w:rPr>
          <w:rFonts w:ascii="Arial" w:eastAsia="MS PGothic" w:hAnsi="Arial" w:cs="Times New Roman"/>
          <w:color w:val="000000"/>
          <w:sz w:val="20"/>
          <w:szCs w:val="48"/>
        </w:rPr>
        <w:t xml:space="preserve"> laikotarpiu, </w:t>
      </w:r>
      <w:r w:rsidR="00535003" w:rsidRPr="00C61115">
        <w:rPr>
          <w:rFonts w:ascii="Arial" w:eastAsia="MS PGothic" w:hAnsi="Arial" w:cs="Times New Roman"/>
          <w:color w:val="000000"/>
          <w:sz w:val="20"/>
          <w:szCs w:val="48"/>
        </w:rPr>
        <w:t>Mažeikių</w:t>
      </w:r>
      <w:r w:rsidR="00255C61" w:rsidRPr="00C61115">
        <w:rPr>
          <w:rFonts w:ascii="Arial" w:eastAsia="MS PGothic" w:hAnsi="Arial" w:cs="Times New Roman"/>
          <w:color w:val="000000"/>
          <w:sz w:val="20"/>
          <w:szCs w:val="48"/>
        </w:rPr>
        <w:t xml:space="preserve"> rajono</w:t>
      </w:r>
      <w:r w:rsidR="009A35E9" w:rsidRPr="00C61115">
        <w:rPr>
          <w:rFonts w:ascii="Arial" w:eastAsia="MS PGothic" w:hAnsi="Arial" w:cs="Times New Roman"/>
          <w:color w:val="000000"/>
          <w:sz w:val="20"/>
          <w:szCs w:val="48"/>
        </w:rPr>
        <w:t xml:space="preserve"> savivaldybėje, </w:t>
      </w:r>
      <w:r w:rsidR="00CF47D0" w:rsidRPr="00C61115">
        <w:rPr>
          <w:rFonts w:ascii="Arial" w:eastAsia="MS PGothic" w:hAnsi="Arial" w:cs="Times New Roman"/>
          <w:color w:val="000000"/>
          <w:sz w:val="20"/>
          <w:szCs w:val="48"/>
        </w:rPr>
        <w:t xml:space="preserve">buvo finansuoti </w:t>
      </w:r>
      <w:r w:rsidR="00535003" w:rsidRPr="00C61115">
        <w:rPr>
          <w:rFonts w:ascii="Arial" w:eastAsia="MS PGothic" w:hAnsi="Arial" w:cs="Times New Roman"/>
          <w:color w:val="000000"/>
          <w:sz w:val="20"/>
          <w:szCs w:val="48"/>
        </w:rPr>
        <w:t>175</w:t>
      </w:r>
      <w:r w:rsidRPr="00C61115">
        <w:rPr>
          <w:rFonts w:ascii="Arial" w:eastAsia="MS PGothic" w:hAnsi="Arial" w:cs="Times New Roman"/>
          <w:color w:val="000000"/>
          <w:sz w:val="20"/>
          <w:szCs w:val="48"/>
        </w:rPr>
        <w:t xml:space="preserve"> projektai. </w:t>
      </w:r>
      <w:r w:rsidR="009A35E9" w:rsidRPr="00C61115">
        <w:rPr>
          <w:rFonts w:ascii="Arial" w:eastAsia="MS PGothic" w:hAnsi="Arial" w:cs="Times New Roman"/>
          <w:color w:val="000000"/>
          <w:sz w:val="20"/>
          <w:szCs w:val="48"/>
        </w:rPr>
        <w:t xml:space="preserve">Bendra </w:t>
      </w:r>
      <w:r w:rsidR="0080175F" w:rsidRPr="00C61115">
        <w:rPr>
          <w:rFonts w:ascii="Arial" w:eastAsia="MS PGothic" w:hAnsi="Arial" w:cs="Times New Roman"/>
          <w:color w:val="000000"/>
          <w:sz w:val="20"/>
          <w:szCs w:val="48"/>
        </w:rPr>
        <w:t>projektų vertė</w:t>
      </w:r>
      <w:r w:rsidR="009A35E9" w:rsidRPr="00C61115">
        <w:rPr>
          <w:rFonts w:ascii="Arial" w:eastAsia="MS PGothic" w:hAnsi="Arial" w:cs="Times New Roman"/>
          <w:color w:val="000000"/>
          <w:sz w:val="20"/>
          <w:szCs w:val="48"/>
        </w:rPr>
        <w:t xml:space="preserve"> siekė</w:t>
      </w:r>
      <w:r w:rsidR="0080175F" w:rsidRPr="00C61115">
        <w:rPr>
          <w:rFonts w:ascii="Arial" w:eastAsia="MS PGothic" w:hAnsi="Arial" w:cs="Times New Roman"/>
          <w:color w:val="000000"/>
          <w:sz w:val="20"/>
          <w:szCs w:val="48"/>
        </w:rPr>
        <w:t xml:space="preserve"> </w:t>
      </w:r>
      <w:r w:rsidR="007650A6">
        <w:rPr>
          <w:rFonts w:ascii="Arial" w:eastAsia="MS PGothic" w:hAnsi="Arial" w:cs="Times New Roman"/>
          <w:color w:val="000000"/>
          <w:sz w:val="20"/>
          <w:szCs w:val="48"/>
        </w:rPr>
        <w:t>113.</w:t>
      </w:r>
      <w:r w:rsidR="00535003" w:rsidRPr="00C61115">
        <w:rPr>
          <w:rFonts w:ascii="Arial" w:eastAsia="MS PGothic" w:hAnsi="Arial" w:cs="Times New Roman"/>
          <w:color w:val="000000"/>
          <w:sz w:val="20"/>
          <w:szCs w:val="48"/>
        </w:rPr>
        <w:t>725</w:t>
      </w:r>
      <w:r w:rsidR="007650A6">
        <w:rPr>
          <w:rFonts w:ascii="Arial" w:eastAsia="MS PGothic" w:hAnsi="Arial" w:cs="Times New Roman"/>
          <w:color w:val="000000"/>
          <w:sz w:val="20"/>
          <w:szCs w:val="48"/>
        </w:rPr>
        <w:t xml:space="preserve"> mln.</w:t>
      </w:r>
      <w:r w:rsidR="00535003" w:rsidRPr="00C61115">
        <w:rPr>
          <w:rFonts w:ascii="Arial" w:eastAsia="MS PGothic" w:hAnsi="Arial" w:cs="Times New Roman"/>
          <w:color w:val="000000"/>
          <w:sz w:val="20"/>
          <w:szCs w:val="48"/>
        </w:rPr>
        <w:t xml:space="preserve"> EUR; tai sudarė 13.22</w:t>
      </w:r>
      <w:r w:rsidR="0080175F" w:rsidRPr="00C61115">
        <w:rPr>
          <w:rFonts w:ascii="Arial" w:eastAsia="MS PGothic" w:hAnsi="Arial" w:cs="Times New Roman"/>
          <w:color w:val="000000"/>
          <w:sz w:val="20"/>
          <w:szCs w:val="48"/>
        </w:rPr>
        <w:t xml:space="preserve"> proc. visų probleminėse teritorijose įgyvendintų</w:t>
      </w:r>
      <w:r w:rsidR="001F2140" w:rsidRPr="00C61115">
        <w:rPr>
          <w:rFonts w:ascii="Arial" w:eastAsia="MS PGothic" w:hAnsi="Arial" w:cs="Times New Roman"/>
          <w:color w:val="000000"/>
          <w:sz w:val="20"/>
          <w:szCs w:val="48"/>
        </w:rPr>
        <w:t xml:space="preserve"> ES SF</w:t>
      </w:r>
      <w:r w:rsidR="0080175F" w:rsidRPr="00C61115">
        <w:rPr>
          <w:rFonts w:ascii="Arial" w:eastAsia="MS PGothic" w:hAnsi="Arial" w:cs="Times New Roman"/>
          <w:color w:val="000000"/>
          <w:sz w:val="20"/>
          <w:szCs w:val="48"/>
        </w:rPr>
        <w:t xml:space="preserve"> projektų vertės.</w:t>
      </w:r>
      <w:r w:rsidR="00255C61" w:rsidRPr="00C61115">
        <w:rPr>
          <w:rFonts w:ascii="Arial" w:eastAsia="MS PGothic" w:hAnsi="Arial" w:cs="Times New Roman"/>
          <w:color w:val="000000"/>
          <w:sz w:val="20"/>
          <w:szCs w:val="48"/>
        </w:rPr>
        <w:t xml:space="preserve"> </w:t>
      </w:r>
      <w:r w:rsidR="00535003" w:rsidRPr="00C61115">
        <w:rPr>
          <w:rFonts w:ascii="Arial" w:eastAsia="MS PGothic" w:hAnsi="Arial" w:cs="Times New Roman"/>
          <w:color w:val="000000"/>
          <w:sz w:val="20"/>
          <w:szCs w:val="48"/>
        </w:rPr>
        <w:t>Mažeikių rajono savivaldybė yra daugiausiai ES SF lėšų gavusi savivaldybė probleminių teritorijų tarpe.</w:t>
      </w:r>
    </w:p>
    <w:p w:rsidR="000D5BA5" w:rsidRPr="00C61115" w:rsidRDefault="00535003" w:rsidP="00F73ED6">
      <w:pPr>
        <w:jc w:val="both"/>
        <w:rPr>
          <w:rFonts w:ascii="Arial" w:eastAsia="MS PGothic" w:hAnsi="Arial" w:cs="Times New Roman"/>
          <w:color w:val="000000"/>
          <w:sz w:val="20"/>
          <w:szCs w:val="48"/>
        </w:rPr>
      </w:pPr>
      <w:r w:rsidRPr="00C61115">
        <w:rPr>
          <w:rFonts w:ascii="Arial" w:eastAsia="MS PGothic" w:hAnsi="Arial" w:cs="Times New Roman"/>
          <w:color w:val="000000"/>
          <w:sz w:val="20"/>
          <w:szCs w:val="48"/>
        </w:rPr>
        <w:t xml:space="preserve">Daugiausiai ES SF lėšų (85 proc.), kaip ir daugumoje kitų savivaldybių, buvo skirta pagal Sanglaudos skatinimo veiksmų programą (SSVP). </w:t>
      </w:r>
      <w:r w:rsidR="00255C61" w:rsidRPr="00C61115">
        <w:rPr>
          <w:rFonts w:ascii="Arial" w:eastAsia="MS PGothic" w:hAnsi="Arial" w:cs="Times New Roman"/>
          <w:color w:val="000000"/>
          <w:sz w:val="20"/>
          <w:szCs w:val="48"/>
        </w:rPr>
        <w:t xml:space="preserve">Ekonomikos augimo veiksmų programos (EAVP) </w:t>
      </w:r>
      <w:r w:rsidRPr="00C61115">
        <w:rPr>
          <w:rFonts w:ascii="Arial" w:eastAsia="MS PGothic" w:hAnsi="Arial" w:cs="Times New Roman"/>
          <w:color w:val="000000"/>
          <w:sz w:val="20"/>
          <w:szCs w:val="48"/>
        </w:rPr>
        <w:t xml:space="preserve">lėšos sudarė 10 proc., </w:t>
      </w:r>
      <w:r w:rsidR="00D65C3C" w:rsidRPr="00C61115">
        <w:rPr>
          <w:rFonts w:ascii="Arial" w:eastAsia="MS PGothic" w:hAnsi="Arial" w:cs="Times New Roman"/>
          <w:color w:val="000000"/>
          <w:sz w:val="20"/>
          <w:szCs w:val="48"/>
        </w:rPr>
        <w:t>Žmogiškųjų išt</w:t>
      </w:r>
      <w:r w:rsidR="000D5BA5" w:rsidRPr="00C61115">
        <w:rPr>
          <w:rFonts w:ascii="Arial" w:eastAsia="MS PGothic" w:hAnsi="Arial" w:cs="Times New Roman"/>
          <w:color w:val="000000"/>
          <w:sz w:val="20"/>
          <w:szCs w:val="48"/>
        </w:rPr>
        <w:t>eklių veiksmų programos</w:t>
      </w:r>
      <w:r w:rsidR="00D65C3C" w:rsidRPr="00C61115">
        <w:rPr>
          <w:rFonts w:ascii="Arial" w:eastAsia="MS PGothic" w:hAnsi="Arial" w:cs="Times New Roman"/>
          <w:color w:val="000000"/>
          <w:sz w:val="20"/>
          <w:szCs w:val="48"/>
        </w:rPr>
        <w:t xml:space="preserve"> (ŽIPVP) </w:t>
      </w:r>
      <w:r w:rsidRPr="00C61115">
        <w:rPr>
          <w:rFonts w:ascii="Arial" w:eastAsia="MS PGothic" w:hAnsi="Arial" w:cs="Times New Roman"/>
          <w:color w:val="000000"/>
          <w:sz w:val="20"/>
          <w:szCs w:val="48"/>
        </w:rPr>
        <w:t>–</w:t>
      </w:r>
      <w:r w:rsidR="00255C61" w:rsidRPr="00C61115">
        <w:rPr>
          <w:rFonts w:ascii="Arial" w:eastAsia="MS PGothic" w:hAnsi="Arial" w:cs="Times New Roman"/>
          <w:color w:val="000000"/>
          <w:sz w:val="20"/>
          <w:szCs w:val="48"/>
        </w:rPr>
        <w:t xml:space="preserve"> v</w:t>
      </w:r>
      <w:r w:rsidRPr="00C61115">
        <w:rPr>
          <w:rFonts w:ascii="Arial" w:eastAsia="MS PGothic" w:hAnsi="Arial" w:cs="Times New Roman"/>
          <w:color w:val="000000"/>
          <w:sz w:val="20"/>
          <w:szCs w:val="48"/>
        </w:rPr>
        <w:t>os 5</w:t>
      </w:r>
      <w:r w:rsidR="00255C61" w:rsidRPr="00C61115">
        <w:rPr>
          <w:rFonts w:ascii="Arial" w:eastAsia="MS PGothic" w:hAnsi="Arial" w:cs="Times New Roman"/>
          <w:color w:val="000000"/>
          <w:sz w:val="20"/>
          <w:szCs w:val="48"/>
        </w:rPr>
        <w:t xml:space="preserve"> proc.</w:t>
      </w:r>
      <w:r w:rsidR="009D7299" w:rsidRPr="00C61115">
        <w:rPr>
          <w:rFonts w:ascii="Arial" w:eastAsia="MS PGothic" w:hAnsi="Arial" w:cs="Times New Roman"/>
          <w:color w:val="000000"/>
          <w:sz w:val="20"/>
          <w:szCs w:val="48"/>
        </w:rPr>
        <w:t xml:space="preserve"> </w:t>
      </w:r>
      <w:r w:rsidR="001B09C3" w:rsidRPr="00C61115">
        <w:rPr>
          <w:rFonts w:ascii="Arial" w:eastAsia="MS PGothic" w:hAnsi="Arial" w:cs="Times New Roman"/>
          <w:color w:val="000000"/>
          <w:sz w:val="20"/>
          <w:szCs w:val="48"/>
        </w:rPr>
        <w:t>Projektų skaičius</w:t>
      </w:r>
      <w:r w:rsidRPr="00C61115">
        <w:rPr>
          <w:rFonts w:ascii="Arial" w:eastAsia="MS PGothic" w:hAnsi="Arial" w:cs="Times New Roman"/>
          <w:color w:val="000000"/>
          <w:sz w:val="20"/>
          <w:szCs w:val="48"/>
        </w:rPr>
        <w:t xml:space="preserve"> daugiau mažiau atitinka finansavimo pasiskirstymą: Mažeikių savivaldybėje buvo finansuoti 106</w:t>
      </w:r>
      <w:r w:rsidR="00881D15" w:rsidRPr="00C61115">
        <w:rPr>
          <w:rFonts w:ascii="Arial" w:eastAsia="MS PGothic" w:hAnsi="Arial" w:cs="Times New Roman"/>
          <w:color w:val="000000"/>
          <w:sz w:val="20"/>
          <w:szCs w:val="48"/>
        </w:rPr>
        <w:t>-i</w:t>
      </w:r>
      <w:r w:rsidRPr="00C61115">
        <w:rPr>
          <w:rFonts w:ascii="Arial" w:eastAsia="MS PGothic" w:hAnsi="Arial" w:cs="Times New Roman"/>
          <w:color w:val="000000"/>
          <w:sz w:val="20"/>
          <w:szCs w:val="48"/>
        </w:rPr>
        <w:t xml:space="preserve"> SSVP, 39</w:t>
      </w:r>
      <w:r w:rsidR="00881D15" w:rsidRPr="00C61115">
        <w:rPr>
          <w:rFonts w:ascii="Arial" w:eastAsia="MS PGothic" w:hAnsi="Arial" w:cs="Times New Roman"/>
          <w:color w:val="000000"/>
          <w:sz w:val="20"/>
          <w:szCs w:val="48"/>
        </w:rPr>
        <w:t>-i</w:t>
      </w:r>
      <w:r w:rsidRPr="00C61115">
        <w:rPr>
          <w:rFonts w:ascii="Arial" w:eastAsia="MS PGothic" w:hAnsi="Arial" w:cs="Times New Roman"/>
          <w:color w:val="000000"/>
          <w:sz w:val="20"/>
          <w:szCs w:val="48"/>
        </w:rPr>
        <w:t xml:space="preserve"> EAVP ir 30 ŽIPVP projektų.</w:t>
      </w:r>
    </w:p>
    <w:p w:rsidR="0020781B" w:rsidRPr="00C61115" w:rsidRDefault="0020781B" w:rsidP="0020781B">
      <w:pPr>
        <w:pStyle w:val="Caption"/>
        <w:keepNext/>
      </w:pPr>
      <w:r w:rsidRPr="00C61115">
        <w:fldChar w:fldCharType="begin"/>
      </w:r>
      <w:r w:rsidRPr="00C61115">
        <w:instrText xml:space="preserve"> SEQ paveikslas \* ARABIC </w:instrText>
      </w:r>
      <w:r w:rsidRPr="00C61115">
        <w:fldChar w:fldCharType="separate"/>
      </w:r>
      <w:r w:rsidR="008A1509" w:rsidRPr="00C61115">
        <w:t>1</w:t>
      </w:r>
      <w:r w:rsidRPr="00C61115">
        <w:fldChar w:fldCharType="end"/>
      </w:r>
      <w:r w:rsidRPr="00C61115">
        <w:t xml:space="preserve"> paveikslas. Veiksmų</w:t>
      </w:r>
      <w:r w:rsidR="000D5BA5" w:rsidRPr="00C61115">
        <w:t xml:space="preserve"> programų finansavimas (dalis bendros projektų vertės</w:t>
      </w:r>
      <w:r w:rsidR="00326A1B" w:rsidRPr="00C61115">
        <w:t>)</w:t>
      </w:r>
      <w:r w:rsidRPr="00C61115">
        <w:t xml:space="preserve"> </w:t>
      </w:r>
    </w:p>
    <w:p w:rsidR="00D65C3C" w:rsidRPr="00C61115" w:rsidRDefault="007650A6" w:rsidP="00A552B8">
      <w:pPr>
        <w:pStyle w:val="Caption"/>
        <w:spacing w:before="240"/>
        <w:rPr>
          <w:b w:val="0"/>
        </w:rPr>
      </w:pPr>
      <w:r w:rsidRPr="00C61115">
        <w:rPr>
          <w:noProof/>
          <w:lang w:val="en-US"/>
        </w:rPr>
        <w:drawing>
          <wp:anchor distT="0" distB="0" distL="114300" distR="114300" simplePos="0" relativeHeight="251671552" behindDoc="0" locked="0" layoutInCell="1" allowOverlap="1" wp14:anchorId="0477D1B4" wp14:editId="03B495C0">
            <wp:simplePos x="0" y="0"/>
            <wp:positionH relativeFrom="margin">
              <wp:posOffset>-6985</wp:posOffset>
            </wp:positionH>
            <wp:positionV relativeFrom="paragraph">
              <wp:posOffset>52070</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D65C3C" w:rsidRPr="00C61115" w:rsidRDefault="00D65C3C" w:rsidP="00A552B8">
      <w:pPr>
        <w:pStyle w:val="Caption"/>
        <w:spacing w:before="240"/>
        <w:rPr>
          <w:b w:val="0"/>
        </w:rPr>
      </w:pPr>
    </w:p>
    <w:p w:rsidR="00D65C3C" w:rsidRPr="00C61115" w:rsidRDefault="00D65C3C" w:rsidP="00A552B8">
      <w:pPr>
        <w:pStyle w:val="Caption"/>
        <w:spacing w:before="240"/>
        <w:rPr>
          <w:b w:val="0"/>
        </w:rPr>
      </w:pPr>
    </w:p>
    <w:p w:rsidR="00D65C3C" w:rsidRPr="00C61115" w:rsidRDefault="00D65C3C" w:rsidP="00A552B8">
      <w:pPr>
        <w:pStyle w:val="Caption"/>
        <w:spacing w:before="240"/>
        <w:rPr>
          <w:b w:val="0"/>
        </w:rPr>
      </w:pPr>
    </w:p>
    <w:p w:rsidR="00D65C3C" w:rsidRPr="00C61115" w:rsidRDefault="00D65C3C" w:rsidP="00A552B8">
      <w:pPr>
        <w:pStyle w:val="Caption"/>
        <w:spacing w:before="240"/>
        <w:rPr>
          <w:b w:val="0"/>
        </w:rPr>
      </w:pPr>
    </w:p>
    <w:p w:rsidR="00D65C3C" w:rsidRPr="00C61115" w:rsidRDefault="00D65C3C" w:rsidP="00A552B8">
      <w:pPr>
        <w:pStyle w:val="Caption"/>
        <w:spacing w:before="240"/>
        <w:rPr>
          <w:b w:val="0"/>
        </w:rPr>
      </w:pPr>
    </w:p>
    <w:p w:rsidR="00D65C3C" w:rsidRPr="00C61115" w:rsidRDefault="00D65C3C" w:rsidP="00A552B8">
      <w:pPr>
        <w:pStyle w:val="Caption"/>
        <w:spacing w:before="240"/>
        <w:rPr>
          <w:b w:val="0"/>
        </w:rPr>
      </w:pPr>
    </w:p>
    <w:p w:rsidR="00D65C3C" w:rsidRPr="00C61115" w:rsidRDefault="00D65C3C" w:rsidP="00D65C3C">
      <w:pPr>
        <w:pStyle w:val="Caption"/>
        <w:spacing w:after="0"/>
        <w:rPr>
          <w:b w:val="0"/>
        </w:rPr>
      </w:pPr>
    </w:p>
    <w:p w:rsidR="007650A6" w:rsidRDefault="007650A6" w:rsidP="00D65C3C">
      <w:pPr>
        <w:pStyle w:val="Caption"/>
        <w:spacing w:before="120"/>
        <w:rPr>
          <w:b w:val="0"/>
        </w:rPr>
      </w:pPr>
    </w:p>
    <w:p w:rsidR="005577BB" w:rsidRPr="00C61115" w:rsidRDefault="005577BB" w:rsidP="00D65C3C">
      <w:pPr>
        <w:pStyle w:val="Caption"/>
        <w:spacing w:before="120"/>
        <w:rPr>
          <w:b w:val="0"/>
        </w:rPr>
      </w:pPr>
      <w:r w:rsidRPr="00C61115">
        <w:rPr>
          <w:b w:val="0"/>
        </w:rPr>
        <w:t xml:space="preserve">Šaltinis: </w:t>
      </w:r>
      <w:hyperlink r:id="rId13" w:history="1">
        <w:r w:rsidR="009D7299" w:rsidRPr="00C61115">
          <w:rPr>
            <w:rStyle w:val="Hyperlink"/>
            <w:b w:val="0"/>
          </w:rPr>
          <w:t>www.esparama.lt</w:t>
        </w:r>
      </w:hyperlink>
    </w:p>
    <w:p w:rsidR="00C83C6E" w:rsidRPr="00C61115" w:rsidRDefault="002677E8" w:rsidP="000C024B">
      <w:pPr>
        <w:jc w:val="both"/>
        <w:rPr>
          <w:rFonts w:ascii="Arial" w:hAnsi="Arial" w:cs="Arial"/>
          <w:sz w:val="20"/>
        </w:rPr>
      </w:pPr>
      <w:r w:rsidRPr="00C61115">
        <w:rPr>
          <w:rFonts w:ascii="Arial" w:hAnsi="Arial" w:cs="Arial"/>
          <w:sz w:val="20"/>
        </w:rPr>
        <w:t xml:space="preserve">Analizuojant veiksmų </w:t>
      </w:r>
      <w:r w:rsidR="000534F9" w:rsidRPr="00C61115">
        <w:rPr>
          <w:rFonts w:ascii="Arial" w:hAnsi="Arial" w:cs="Arial"/>
          <w:sz w:val="20"/>
        </w:rPr>
        <w:t>programų prioritetų</w:t>
      </w:r>
      <w:r w:rsidRPr="00C61115">
        <w:rPr>
          <w:rFonts w:ascii="Arial" w:hAnsi="Arial" w:cs="Arial"/>
          <w:sz w:val="20"/>
        </w:rPr>
        <w:t xml:space="preserve"> finansavimą</w:t>
      </w:r>
      <w:r w:rsidR="003D195A" w:rsidRPr="00C61115">
        <w:rPr>
          <w:rFonts w:ascii="Arial" w:hAnsi="Arial" w:cs="Arial"/>
          <w:sz w:val="20"/>
        </w:rPr>
        <w:t>,</w:t>
      </w:r>
      <w:r w:rsidR="007650A6">
        <w:rPr>
          <w:rFonts w:ascii="Arial" w:hAnsi="Arial" w:cs="Arial"/>
          <w:sz w:val="20"/>
        </w:rPr>
        <w:t xml:space="preserve"> ŽIPVP apimtyje ES finansavimas skirtas</w:t>
      </w:r>
      <w:r w:rsidR="00C83C6E" w:rsidRPr="00C61115">
        <w:rPr>
          <w:rFonts w:ascii="Arial" w:hAnsi="Arial" w:cs="Arial"/>
          <w:sz w:val="20"/>
        </w:rPr>
        <w:t xml:space="preserve"> prioritetų „1 Prioritetas. Kokybiškas užimtumas ir socialinė aprėptis“</w:t>
      </w:r>
      <w:r w:rsidR="005D34E4" w:rsidRPr="00C61115">
        <w:rPr>
          <w:rFonts w:ascii="Arial" w:hAnsi="Arial" w:cs="Arial"/>
          <w:sz w:val="20"/>
        </w:rPr>
        <w:t xml:space="preserve"> </w:t>
      </w:r>
      <w:r w:rsidR="00C83C6E" w:rsidRPr="00C61115">
        <w:rPr>
          <w:rFonts w:ascii="Arial" w:hAnsi="Arial" w:cs="Arial"/>
          <w:sz w:val="20"/>
        </w:rPr>
        <w:t>ir „4 Prioritetas. Administracinių gebėjimų stiprinimas ir viešojo administravimo efektyvumo didinimas“ projekta</w:t>
      </w:r>
      <w:r w:rsidR="007650A6">
        <w:rPr>
          <w:rFonts w:ascii="Arial" w:hAnsi="Arial" w:cs="Arial"/>
          <w:sz w:val="20"/>
        </w:rPr>
        <w:t>ms</w:t>
      </w:r>
      <w:r w:rsidR="00C83C6E" w:rsidRPr="00C61115">
        <w:rPr>
          <w:rFonts w:ascii="Arial" w:hAnsi="Arial" w:cs="Arial"/>
          <w:sz w:val="20"/>
        </w:rPr>
        <w:t xml:space="preserve">. </w:t>
      </w:r>
      <w:r w:rsidR="005D34E4" w:rsidRPr="00C61115">
        <w:rPr>
          <w:rFonts w:ascii="Arial" w:hAnsi="Arial" w:cs="Arial"/>
          <w:sz w:val="20"/>
        </w:rPr>
        <w:t>EAVP apimtyje –</w:t>
      </w:r>
      <w:r w:rsidR="00881D15" w:rsidRPr="00C61115">
        <w:rPr>
          <w:rFonts w:ascii="Arial" w:hAnsi="Arial" w:cs="Arial"/>
          <w:sz w:val="20"/>
        </w:rPr>
        <w:t xml:space="preserve"> „1 Prioriteto.</w:t>
      </w:r>
      <w:r w:rsidR="00EC0A0A" w:rsidRPr="00C61115">
        <w:t xml:space="preserve"> </w:t>
      </w:r>
      <w:r w:rsidR="00EC0A0A" w:rsidRPr="00C61115">
        <w:rPr>
          <w:rFonts w:ascii="Arial" w:hAnsi="Arial" w:cs="Arial"/>
          <w:sz w:val="20"/>
        </w:rPr>
        <w:t>Ūkio konkurencingumui ir ekonomikos augimui skirti moksliniai tyrimai ir technologinė plėtra</w:t>
      </w:r>
      <w:r w:rsidR="00881D15" w:rsidRPr="00C61115">
        <w:rPr>
          <w:rFonts w:ascii="Arial" w:hAnsi="Arial" w:cs="Arial"/>
          <w:sz w:val="20"/>
        </w:rPr>
        <w:t>“, „2 prioriteto.</w:t>
      </w:r>
      <w:r w:rsidR="00EC0A0A" w:rsidRPr="00C61115">
        <w:t xml:space="preserve"> </w:t>
      </w:r>
      <w:r w:rsidR="00EC0A0A" w:rsidRPr="00C61115">
        <w:rPr>
          <w:rFonts w:ascii="Arial" w:hAnsi="Arial" w:cs="Arial"/>
          <w:sz w:val="20"/>
        </w:rPr>
        <w:t>Verslo produktyvumo didinimas ir verslo aplinkos gerinimas</w:t>
      </w:r>
      <w:r w:rsidR="00881D15" w:rsidRPr="00C61115">
        <w:rPr>
          <w:rFonts w:ascii="Arial" w:hAnsi="Arial" w:cs="Arial"/>
          <w:sz w:val="20"/>
        </w:rPr>
        <w:t xml:space="preserve">“, „3 Prioriteto. </w:t>
      </w:r>
      <w:r w:rsidR="00EC0A0A" w:rsidRPr="00C61115">
        <w:rPr>
          <w:rFonts w:ascii="Arial" w:hAnsi="Arial" w:cs="Arial"/>
          <w:sz w:val="20"/>
        </w:rPr>
        <w:t>Informacinė visuomenė visiems</w:t>
      </w:r>
      <w:r w:rsidR="00881D15" w:rsidRPr="00C61115">
        <w:rPr>
          <w:rFonts w:ascii="Arial" w:hAnsi="Arial" w:cs="Arial"/>
          <w:sz w:val="20"/>
        </w:rPr>
        <w:t>“ ir</w:t>
      </w:r>
      <w:r w:rsidR="00D31B3A" w:rsidRPr="00C61115">
        <w:rPr>
          <w:rFonts w:ascii="Arial" w:hAnsi="Arial" w:cs="Arial"/>
          <w:sz w:val="20"/>
        </w:rPr>
        <w:t xml:space="preserve"> </w:t>
      </w:r>
      <w:r w:rsidR="005D34E4" w:rsidRPr="00C61115">
        <w:rPr>
          <w:rFonts w:ascii="Arial" w:hAnsi="Arial" w:cs="Arial"/>
          <w:sz w:val="20"/>
        </w:rPr>
        <w:t>„4 Prioriteto. Esminė ekonominė infrastruktūra“ projekta</w:t>
      </w:r>
      <w:r w:rsidR="007650A6">
        <w:rPr>
          <w:rFonts w:ascii="Arial" w:hAnsi="Arial" w:cs="Arial"/>
          <w:sz w:val="20"/>
        </w:rPr>
        <w:t>ms</w:t>
      </w:r>
      <w:r w:rsidR="005D34E4" w:rsidRPr="00C61115">
        <w:rPr>
          <w:rFonts w:ascii="Arial" w:hAnsi="Arial" w:cs="Arial"/>
          <w:sz w:val="20"/>
        </w:rPr>
        <w:t xml:space="preserve">. </w:t>
      </w:r>
      <w:r w:rsidR="00C83C6E" w:rsidRPr="00C61115">
        <w:rPr>
          <w:rFonts w:ascii="Arial" w:hAnsi="Arial" w:cs="Arial"/>
          <w:sz w:val="20"/>
        </w:rPr>
        <w:t xml:space="preserve"> SSVP apimtyje – „1 Prioriteto. Vietinė ir urbanistinė plėtra, kultūros paveldo ir gamtos išsaugojimas bei pritaikymas turizmo plėtrai“, „2 Prioriteto. Viešųjų paslaugų kokybė ir </w:t>
      </w:r>
      <w:r w:rsidR="00C83C6E" w:rsidRPr="00C61115">
        <w:rPr>
          <w:rFonts w:ascii="Arial" w:hAnsi="Arial" w:cs="Arial"/>
          <w:sz w:val="20"/>
        </w:rPr>
        <w:lastRenderedPageBreak/>
        <w:t>prieinamumas: sveikatos, švietimo ir socialinė infrastruktūra“ ir „3 Prioriteto. Aplinka</w:t>
      </w:r>
      <w:r w:rsidR="007650A6">
        <w:rPr>
          <w:rFonts w:ascii="Arial" w:hAnsi="Arial" w:cs="Arial"/>
          <w:sz w:val="20"/>
        </w:rPr>
        <w:t xml:space="preserve"> ir darnus vystymasis“ projektams</w:t>
      </w:r>
      <w:r w:rsidR="00C83C6E" w:rsidRPr="00C61115">
        <w:rPr>
          <w:rFonts w:ascii="Arial" w:hAnsi="Arial" w:cs="Arial"/>
          <w:sz w:val="20"/>
        </w:rPr>
        <w:t>. Taigi invest</w:t>
      </w:r>
      <w:r w:rsidR="00D31B3A" w:rsidRPr="00C61115">
        <w:rPr>
          <w:rFonts w:ascii="Arial" w:hAnsi="Arial" w:cs="Arial"/>
          <w:sz w:val="20"/>
        </w:rPr>
        <w:t xml:space="preserve">uojama buvo į užimtumo didinimą ir </w:t>
      </w:r>
      <w:r w:rsidR="00C83C6E" w:rsidRPr="00C61115">
        <w:rPr>
          <w:rFonts w:ascii="Arial" w:hAnsi="Arial" w:cs="Arial"/>
          <w:sz w:val="20"/>
        </w:rPr>
        <w:t>viešojo valdymo tobulinimą,</w:t>
      </w:r>
      <w:r w:rsidR="00D31B3A" w:rsidRPr="00C61115">
        <w:rPr>
          <w:rFonts w:ascii="Arial" w:hAnsi="Arial" w:cs="Arial"/>
          <w:sz w:val="20"/>
        </w:rPr>
        <w:t xml:space="preserve"> </w:t>
      </w:r>
      <w:r w:rsidR="00881D15" w:rsidRPr="00C61115">
        <w:rPr>
          <w:rFonts w:ascii="Arial" w:hAnsi="Arial" w:cs="Arial"/>
          <w:sz w:val="20"/>
        </w:rPr>
        <w:t xml:space="preserve">verslo aplinkos gerinimą, </w:t>
      </w:r>
      <w:r w:rsidR="00D31B3A" w:rsidRPr="00C61115">
        <w:rPr>
          <w:rFonts w:ascii="Arial" w:hAnsi="Arial" w:cs="Arial"/>
          <w:sz w:val="20"/>
        </w:rPr>
        <w:t>ekonominę</w:t>
      </w:r>
      <w:r w:rsidR="00EC0A0A" w:rsidRPr="00C61115">
        <w:rPr>
          <w:rFonts w:ascii="Arial" w:hAnsi="Arial" w:cs="Arial"/>
          <w:sz w:val="20"/>
        </w:rPr>
        <w:t>, transporto</w:t>
      </w:r>
      <w:r w:rsidR="00D31B3A" w:rsidRPr="00C61115">
        <w:rPr>
          <w:rFonts w:ascii="Arial" w:hAnsi="Arial" w:cs="Arial"/>
          <w:sz w:val="20"/>
        </w:rPr>
        <w:t xml:space="preserve"> infrastruktūrą,</w:t>
      </w:r>
      <w:r w:rsidR="00180338" w:rsidRPr="00C61115">
        <w:rPr>
          <w:rFonts w:ascii="Arial" w:hAnsi="Arial" w:cs="Arial"/>
          <w:sz w:val="20"/>
        </w:rPr>
        <w:t xml:space="preserve"> </w:t>
      </w:r>
      <w:r w:rsidR="00C83C6E" w:rsidRPr="00C61115">
        <w:rPr>
          <w:rFonts w:ascii="Arial" w:hAnsi="Arial" w:cs="Arial"/>
          <w:sz w:val="20"/>
        </w:rPr>
        <w:t xml:space="preserve">miestų plėtrą ir paveldo išsaugojimo, viešųjų paslaugų kokybę ir aplinkosaugą. Daugiausiai buvo investuojama į gamybinį kapitalą; didžioji dalis investicijų įgyvendintos pasitelkiant vertikaliai darnaus vystymosi horizontalų prioritetą integruojančias priemones. </w:t>
      </w:r>
    </w:p>
    <w:p w:rsidR="003B6A9C" w:rsidRPr="00C61115" w:rsidRDefault="003B6A9C" w:rsidP="003B6A9C">
      <w:pPr>
        <w:pStyle w:val="Caption"/>
        <w:keepNext/>
      </w:pPr>
      <w:r w:rsidRPr="00C61115">
        <w:fldChar w:fldCharType="begin"/>
      </w:r>
      <w:r w:rsidRPr="00C61115">
        <w:instrText xml:space="preserve"> SEQ paveikslas \* ARABIC </w:instrText>
      </w:r>
      <w:r w:rsidRPr="00C61115">
        <w:fldChar w:fldCharType="separate"/>
      </w:r>
      <w:r w:rsidR="00E41636" w:rsidRPr="00C61115">
        <w:t>2</w:t>
      </w:r>
      <w:r w:rsidRPr="00C61115">
        <w:fldChar w:fldCharType="end"/>
      </w:r>
      <w:r w:rsidRPr="00C61115">
        <w:t xml:space="preserve"> paveikslas. Veiksmų programų prioritetų finansavimas (</w:t>
      </w:r>
      <w:r w:rsidR="00C849C4" w:rsidRPr="00C61115">
        <w:t>dalis nuo visos VP)</w:t>
      </w:r>
    </w:p>
    <w:p w:rsidR="009D7299" w:rsidRPr="00C61115" w:rsidRDefault="007650A6" w:rsidP="000C024B">
      <w:pPr>
        <w:jc w:val="both"/>
        <w:rPr>
          <w:rFonts w:ascii="Arial" w:hAnsi="Arial" w:cs="Arial"/>
          <w:sz w:val="20"/>
        </w:rPr>
      </w:pPr>
      <w:r w:rsidRPr="00C61115">
        <w:rPr>
          <w:rFonts w:ascii="Arial" w:hAnsi="Arial" w:cs="Arial"/>
          <w:noProof/>
          <w:sz w:val="20"/>
          <w:lang w:val="en-US"/>
        </w:rPr>
        <w:drawing>
          <wp:anchor distT="0" distB="0" distL="114300" distR="114300" simplePos="0" relativeHeight="251672576" behindDoc="0" locked="0" layoutInCell="1" allowOverlap="1" wp14:anchorId="46F7A938" wp14:editId="2623959F">
            <wp:simplePos x="0" y="0"/>
            <wp:positionH relativeFrom="margin">
              <wp:posOffset>33655</wp:posOffset>
            </wp:positionH>
            <wp:positionV relativeFrom="paragraph">
              <wp:posOffset>74295</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A2570C" w:rsidRPr="00C61115" w:rsidRDefault="00761250" w:rsidP="007650A6">
      <w:pPr>
        <w:pStyle w:val="Caption"/>
        <w:rPr>
          <w:b w:val="0"/>
        </w:rPr>
      </w:pPr>
      <w:r w:rsidRPr="00C61115">
        <w:rPr>
          <w:b w:val="0"/>
        </w:rPr>
        <w:t xml:space="preserve">Šaltinis: </w:t>
      </w:r>
      <w:hyperlink r:id="rId15" w:history="1">
        <w:r w:rsidR="00FF20FA" w:rsidRPr="00C61115">
          <w:rPr>
            <w:rStyle w:val="Hyperlink"/>
            <w:b w:val="0"/>
          </w:rPr>
          <w:t>www.esparama.lt</w:t>
        </w:r>
      </w:hyperlink>
    </w:p>
    <w:p w:rsidR="00FF20FA" w:rsidRPr="00C61115" w:rsidRDefault="00FF20FA" w:rsidP="00FF20FA">
      <w:pPr>
        <w:jc w:val="both"/>
        <w:rPr>
          <w:rFonts w:ascii="Arial" w:eastAsia="MS PGothic" w:hAnsi="Arial" w:cs="Times New Roman"/>
          <w:sz w:val="20"/>
          <w:szCs w:val="24"/>
        </w:rPr>
      </w:pPr>
      <w:r w:rsidRPr="00C61115">
        <w:rPr>
          <w:rFonts w:ascii="Arial" w:eastAsia="MS PGothic" w:hAnsi="Arial" w:cs="Times New Roman"/>
          <w:sz w:val="20"/>
          <w:szCs w:val="24"/>
        </w:rPr>
        <w:t xml:space="preserve">Atlikus įgyvendintų projektų analizę, nustatyta, kad ŽIPVP 1 prioriteto apimtyje daugiausiai finansuoti su </w:t>
      </w:r>
      <w:r w:rsidR="00881D15" w:rsidRPr="00C61115">
        <w:rPr>
          <w:rFonts w:ascii="Arial" w:eastAsia="MS PGothic" w:hAnsi="Arial" w:cs="Times New Roman"/>
          <w:sz w:val="20"/>
          <w:szCs w:val="24"/>
        </w:rPr>
        <w:t>pažeidžiamų ir specialių poreikių turinčių</w:t>
      </w:r>
      <w:r w:rsidR="00AF7F8C" w:rsidRPr="00C61115">
        <w:rPr>
          <w:rFonts w:ascii="Arial" w:eastAsia="MS PGothic" w:hAnsi="Arial" w:cs="Times New Roman"/>
          <w:sz w:val="20"/>
          <w:szCs w:val="24"/>
        </w:rPr>
        <w:t xml:space="preserve"> asmenų</w:t>
      </w:r>
      <w:r w:rsidR="00881D15" w:rsidRPr="00C61115">
        <w:rPr>
          <w:rFonts w:ascii="Arial" w:eastAsia="MS PGothic" w:hAnsi="Arial" w:cs="Times New Roman"/>
          <w:sz w:val="20"/>
          <w:szCs w:val="24"/>
        </w:rPr>
        <w:t xml:space="preserve"> </w:t>
      </w:r>
      <w:r w:rsidR="00AF7F8C" w:rsidRPr="00C61115">
        <w:rPr>
          <w:rFonts w:ascii="Arial" w:eastAsia="MS PGothic" w:hAnsi="Arial" w:cs="Times New Roman"/>
          <w:sz w:val="20"/>
          <w:szCs w:val="24"/>
        </w:rPr>
        <w:t>integracija</w:t>
      </w:r>
      <w:r w:rsidR="00881D15" w:rsidRPr="00C61115">
        <w:rPr>
          <w:rFonts w:ascii="Arial" w:eastAsia="MS PGothic" w:hAnsi="Arial" w:cs="Times New Roman"/>
          <w:sz w:val="20"/>
          <w:szCs w:val="24"/>
        </w:rPr>
        <w:t xml:space="preserve"> ir su privataus verslo subjektų darbuotojų kompetencijos tobulinimu</w:t>
      </w:r>
      <w:r w:rsidR="00AF7F8C" w:rsidRPr="00C61115">
        <w:rPr>
          <w:rFonts w:ascii="Arial" w:eastAsia="MS PGothic" w:hAnsi="Arial" w:cs="Times New Roman"/>
          <w:sz w:val="20"/>
          <w:szCs w:val="24"/>
        </w:rPr>
        <w:t xml:space="preserve"> susiję</w:t>
      </w:r>
      <w:r w:rsidR="00245FC3" w:rsidRPr="00C61115">
        <w:rPr>
          <w:rFonts w:ascii="Arial" w:eastAsia="MS PGothic" w:hAnsi="Arial" w:cs="Times New Roman"/>
          <w:sz w:val="20"/>
          <w:szCs w:val="24"/>
        </w:rPr>
        <w:t xml:space="preserve"> projektai;</w:t>
      </w:r>
      <w:r w:rsidRPr="00C61115">
        <w:rPr>
          <w:rFonts w:ascii="Arial" w:eastAsia="MS PGothic" w:hAnsi="Arial" w:cs="Times New Roman"/>
          <w:sz w:val="20"/>
          <w:szCs w:val="24"/>
        </w:rPr>
        <w:t xml:space="preserve"> aktyvioms užimtumo skatinimo/ nedarbo</w:t>
      </w:r>
      <w:r w:rsidR="00881D15" w:rsidRPr="00C61115">
        <w:rPr>
          <w:rFonts w:ascii="Arial" w:eastAsia="MS PGothic" w:hAnsi="Arial" w:cs="Times New Roman"/>
          <w:sz w:val="20"/>
          <w:szCs w:val="24"/>
        </w:rPr>
        <w:t xml:space="preserve"> mažinimo</w:t>
      </w:r>
      <w:r w:rsidRPr="00C61115">
        <w:rPr>
          <w:rFonts w:ascii="Arial" w:eastAsia="MS PGothic" w:hAnsi="Arial" w:cs="Times New Roman"/>
          <w:sz w:val="20"/>
          <w:szCs w:val="24"/>
        </w:rPr>
        <w:t xml:space="preserve"> priemonėms </w:t>
      </w:r>
      <w:r w:rsidR="00AF7F8C" w:rsidRPr="00C61115">
        <w:rPr>
          <w:rFonts w:ascii="Arial" w:eastAsia="MS PGothic" w:hAnsi="Arial" w:cs="Times New Roman"/>
          <w:sz w:val="20"/>
          <w:szCs w:val="24"/>
        </w:rPr>
        <w:t>skirtas dėmesys buvo ribotas</w:t>
      </w:r>
      <w:r w:rsidRPr="00C61115">
        <w:rPr>
          <w:rFonts w:ascii="Arial" w:eastAsia="MS PGothic" w:hAnsi="Arial" w:cs="Times New Roman"/>
          <w:sz w:val="20"/>
          <w:szCs w:val="24"/>
        </w:rPr>
        <w:t>.</w:t>
      </w:r>
      <w:r w:rsidR="00AF7F8C" w:rsidRPr="00C61115">
        <w:rPr>
          <w:rFonts w:ascii="Arial" w:eastAsia="MS PGothic" w:hAnsi="Arial" w:cs="Times New Roman"/>
          <w:sz w:val="20"/>
          <w:szCs w:val="24"/>
        </w:rPr>
        <w:t xml:space="preserve"> </w:t>
      </w:r>
      <w:r w:rsidR="00D62EB8" w:rsidRPr="00C61115">
        <w:rPr>
          <w:rFonts w:ascii="Arial" w:eastAsia="MS PGothic" w:hAnsi="Arial" w:cs="Times New Roman"/>
          <w:sz w:val="20"/>
          <w:szCs w:val="24"/>
        </w:rPr>
        <w:t>ŽIPVP 4 prioriteto projektai iš esmės atitiko ir kitose probleminėse teritorijose įgyvendintas viešojo valdymo tobulinimo priemones: viešojo administravimo įstaigų darbuotojų kvalifikacijos kėlimas, strateginio ir teritorijų planavimo dokumentų rengimas</w:t>
      </w:r>
      <w:r w:rsidR="00881D15" w:rsidRPr="00C61115">
        <w:rPr>
          <w:rFonts w:ascii="Arial" w:eastAsia="MS PGothic" w:hAnsi="Arial" w:cs="Times New Roman"/>
          <w:sz w:val="20"/>
          <w:szCs w:val="24"/>
        </w:rPr>
        <w:t>, veiklos valdymo sprendimų</w:t>
      </w:r>
      <w:r w:rsidR="00AF7F8C" w:rsidRPr="00C61115">
        <w:rPr>
          <w:rFonts w:ascii="Arial" w:eastAsia="MS PGothic" w:hAnsi="Arial" w:cs="Times New Roman"/>
          <w:sz w:val="20"/>
          <w:szCs w:val="24"/>
        </w:rPr>
        <w:t xml:space="preserve"> </w:t>
      </w:r>
      <w:r w:rsidR="00D62EB8" w:rsidRPr="00C61115">
        <w:rPr>
          <w:rFonts w:ascii="Arial" w:eastAsia="MS PGothic" w:hAnsi="Arial" w:cs="Times New Roman"/>
          <w:sz w:val="20"/>
          <w:szCs w:val="24"/>
        </w:rPr>
        <w:t xml:space="preserve">diegimas. EAVP </w:t>
      </w:r>
      <w:r w:rsidR="00AF7F8C" w:rsidRPr="00C61115">
        <w:rPr>
          <w:rFonts w:ascii="Arial" w:eastAsia="MS PGothic" w:hAnsi="Arial" w:cs="Times New Roman"/>
          <w:sz w:val="20"/>
          <w:szCs w:val="24"/>
        </w:rPr>
        <w:t xml:space="preserve">projektai </w:t>
      </w:r>
      <w:r w:rsidR="00EC0A0A" w:rsidRPr="00C61115">
        <w:rPr>
          <w:rFonts w:ascii="Arial" w:eastAsia="MS PGothic" w:hAnsi="Arial" w:cs="Times New Roman"/>
          <w:sz w:val="20"/>
          <w:szCs w:val="24"/>
        </w:rPr>
        <w:t>net keturių prioritetų</w:t>
      </w:r>
      <w:r w:rsidR="00AF7F8C" w:rsidRPr="00C61115">
        <w:rPr>
          <w:rFonts w:ascii="Arial" w:eastAsia="MS PGothic" w:hAnsi="Arial" w:cs="Times New Roman"/>
          <w:sz w:val="20"/>
          <w:szCs w:val="24"/>
        </w:rPr>
        <w:t xml:space="preserve"> priemonių apimtyje, o savo turiniu dažniausiai </w:t>
      </w:r>
      <w:r w:rsidR="00EC0A0A" w:rsidRPr="00C61115">
        <w:rPr>
          <w:rFonts w:ascii="Arial" w:eastAsia="MS PGothic" w:hAnsi="Arial" w:cs="Times New Roman"/>
          <w:sz w:val="20"/>
          <w:szCs w:val="24"/>
        </w:rPr>
        <w:t>buvo orientuoti naujų gamybos procesų diegimą, eksporto galimybių plėtrą, įmonių produktyvumo didinimą, transporto infrastruktūrą (gatvių tiesimą) ir centralizuoto šilumos tiekimo sistemos renovaciją</w:t>
      </w:r>
      <w:r w:rsidR="00D62EB8" w:rsidRPr="00C61115">
        <w:rPr>
          <w:rFonts w:ascii="Arial" w:eastAsia="MS PGothic" w:hAnsi="Arial" w:cs="Times New Roman"/>
          <w:sz w:val="20"/>
          <w:szCs w:val="24"/>
        </w:rPr>
        <w:t>. SSVP</w:t>
      </w:r>
      <w:r w:rsidR="00242947" w:rsidRPr="00C61115">
        <w:rPr>
          <w:rFonts w:ascii="Arial" w:eastAsia="MS PGothic" w:hAnsi="Arial" w:cs="Times New Roman"/>
          <w:sz w:val="20"/>
          <w:szCs w:val="24"/>
        </w:rPr>
        <w:t xml:space="preserve"> 1 prioriteto</w:t>
      </w:r>
      <w:r w:rsidR="00D62EB8" w:rsidRPr="00C61115">
        <w:rPr>
          <w:rFonts w:ascii="Arial" w:eastAsia="MS PGothic" w:hAnsi="Arial" w:cs="Times New Roman"/>
          <w:sz w:val="20"/>
          <w:szCs w:val="24"/>
        </w:rPr>
        <w:t xml:space="preserve"> </w:t>
      </w:r>
      <w:r w:rsidR="000252B1" w:rsidRPr="00C61115">
        <w:rPr>
          <w:rFonts w:ascii="Arial" w:eastAsia="MS PGothic" w:hAnsi="Arial" w:cs="Times New Roman"/>
          <w:sz w:val="20"/>
          <w:szCs w:val="24"/>
        </w:rPr>
        <w:t xml:space="preserve">priemonių apimtyje įgyvendinti </w:t>
      </w:r>
      <w:r w:rsidR="00D62EB8" w:rsidRPr="00C61115">
        <w:rPr>
          <w:rFonts w:ascii="Arial" w:eastAsia="MS PGothic" w:hAnsi="Arial" w:cs="Times New Roman"/>
          <w:sz w:val="20"/>
          <w:szCs w:val="24"/>
        </w:rPr>
        <w:t>kompl</w:t>
      </w:r>
      <w:r w:rsidR="000252B1" w:rsidRPr="00C61115">
        <w:rPr>
          <w:rFonts w:ascii="Arial" w:eastAsia="MS PGothic" w:hAnsi="Arial" w:cs="Times New Roman"/>
          <w:sz w:val="20"/>
          <w:szCs w:val="24"/>
        </w:rPr>
        <w:t xml:space="preserve">eksinio gyvenamosios aplinkos </w:t>
      </w:r>
      <w:r w:rsidR="00D62EB8" w:rsidRPr="00C61115">
        <w:rPr>
          <w:rFonts w:ascii="Arial" w:eastAsia="MS PGothic" w:hAnsi="Arial" w:cs="Times New Roman"/>
          <w:sz w:val="20"/>
          <w:szCs w:val="24"/>
        </w:rPr>
        <w:t>tvarkymo</w:t>
      </w:r>
      <w:r w:rsidR="00AF7F8C" w:rsidRPr="00C61115">
        <w:rPr>
          <w:rFonts w:ascii="Arial" w:eastAsia="MS PGothic" w:hAnsi="Arial" w:cs="Times New Roman"/>
          <w:sz w:val="20"/>
          <w:szCs w:val="24"/>
        </w:rPr>
        <w:t xml:space="preserve">, socialinio būsto plėtros ir renovacijos </w:t>
      </w:r>
      <w:r w:rsidR="00D62EB8" w:rsidRPr="00C61115">
        <w:rPr>
          <w:rFonts w:ascii="Arial" w:eastAsia="MS PGothic" w:hAnsi="Arial" w:cs="Times New Roman"/>
          <w:sz w:val="20"/>
          <w:szCs w:val="24"/>
        </w:rPr>
        <w:t xml:space="preserve">projektai. </w:t>
      </w:r>
      <w:r w:rsidR="00242947" w:rsidRPr="00C61115">
        <w:rPr>
          <w:rFonts w:ascii="Arial" w:eastAsia="MS PGothic" w:hAnsi="Arial" w:cs="Times New Roman"/>
          <w:sz w:val="20"/>
          <w:szCs w:val="24"/>
        </w:rPr>
        <w:t>2 prioriteto projektai orientuoti į socialinių</w:t>
      </w:r>
      <w:r w:rsidR="00EC0A0A" w:rsidRPr="00C61115">
        <w:rPr>
          <w:rFonts w:ascii="Arial" w:eastAsia="MS PGothic" w:hAnsi="Arial" w:cs="Times New Roman"/>
          <w:sz w:val="20"/>
          <w:szCs w:val="24"/>
        </w:rPr>
        <w:t xml:space="preserve"> ir</w:t>
      </w:r>
      <w:r w:rsidR="00AF7F8C" w:rsidRPr="00C61115">
        <w:rPr>
          <w:rFonts w:ascii="Arial" w:eastAsia="MS PGothic" w:hAnsi="Arial" w:cs="Times New Roman"/>
          <w:sz w:val="20"/>
          <w:szCs w:val="24"/>
        </w:rPr>
        <w:t xml:space="preserve"> švietimo</w:t>
      </w:r>
      <w:r w:rsidR="00EC0A0A" w:rsidRPr="00C61115">
        <w:rPr>
          <w:rFonts w:ascii="Arial" w:eastAsia="MS PGothic" w:hAnsi="Arial" w:cs="Times New Roman"/>
          <w:sz w:val="20"/>
          <w:szCs w:val="24"/>
        </w:rPr>
        <w:t xml:space="preserve"> paslaugų infrastruktūros tobulinimo</w:t>
      </w:r>
      <w:r w:rsidR="00242947" w:rsidRPr="00C61115">
        <w:rPr>
          <w:rFonts w:ascii="Arial" w:eastAsia="MS PGothic" w:hAnsi="Arial" w:cs="Times New Roman"/>
          <w:sz w:val="20"/>
          <w:szCs w:val="24"/>
        </w:rPr>
        <w:t xml:space="preserve"> </w:t>
      </w:r>
      <w:r w:rsidR="00EC0A0A" w:rsidRPr="00C61115">
        <w:rPr>
          <w:rFonts w:ascii="Arial" w:eastAsia="MS PGothic" w:hAnsi="Arial" w:cs="Times New Roman"/>
          <w:sz w:val="20"/>
          <w:szCs w:val="24"/>
        </w:rPr>
        <w:t>ir daugiafunkcinių centrų</w:t>
      </w:r>
      <w:r w:rsidR="003D276A" w:rsidRPr="00C61115">
        <w:rPr>
          <w:rFonts w:ascii="Arial" w:eastAsia="MS PGothic" w:hAnsi="Arial" w:cs="Times New Roman"/>
          <w:sz w:val="20"/>
          <w:szCs w:val="24"/>
        </w:rPr>
        <w:t xml:space="preserve"> steigimo projektai</w:t>
      </w:r>
      <w:r w:rsidR="00242947" w:rsidRPr="00C61115">
        <w:rPr>
          <w:rFonts w:ascii="Arial" w:eastAsia="MS PGothic" w:hAnsi="Arial" w:cs="Times New Roman"/>
          <w:sz w:val="20"/>
          <w:szCs w:val="24"/>
        </w:rPr>
        <w:t>, tuo tarpu 3 prioriteto apimtyje įgyvendinti</w:t>
      </w:r>
      <w:r w:rsidR="000252B1" w:rsidRPr="00C61115">
        <w:rPr>
          <w:rFonts w:ascii="Arial" w:eastAsia="MS PGothic" w:hAnsi="Arial" w:cs="Times New Roman"/>
          <w:sz w:val="20"/>
          <w:szCs w:val="24"/>
        </w:rPr>
        <w:t xml:space="preserve"> </w:t>
      </w:r>
      <w:r w:rsidR="00AF7F8C" w:rsidRPr="00C61115">
        <w:rPr>
          <w:rFonts w:ascii="Arial" w:eastAsia="MS PGothic" w:hAnsi="Arial" w:cs="Times New Roman"/>
          <w:sz w:val="20"/>
          <w:szCs w:val="24"/>
        </w:rPr>
        <w:t xml:space="preserve">viešosios paskirties </w:t>
      </w:r>
      <w:r w:rsidR="000252B1" w:rsidRPr="00C61115">
        <w:rPr>
          <w:rFonts w:ascii="Arial" w:eastAsia="MS PGothic" w:hAnsi="Arial" w:cs="Times New Roman"/>
          <w:sz w:val="20"/>
          <w:szCs w:val="24"/>
        </w:rPr>
        <w:t>pastatų renovacijos,</w:t>
      </w:r>
      <w:r w:rsidR="00242947" w:rsidRPr="00C61115">
        <w:rPr>
          <w:rFonts w:ascii="Arial" w:eastAsia="MS PGothic" w:hAnsi="Arial" w:cs="Times New Roman"/>
          <w:sz w:val="20"/>
          <w:szCs w:val="24"/>
        </w:rPr>
        <w:t xml:space="preserve"> </w:t>
      </w:r>
      <w:r w:rsidR="00AF7F8C" w:rsidRPr="00C61115">
        <w:rPr>
          <w:rFonts w:ascii="Arial" w:eastAsia="MS PGothic" w:hAnsi="Arial" w:cs="Times New Roman"/>
          <w:sz w:val="20"/>
          <w:szCs w:val="24"/>
        </w:rPr>
        <w:t>vandens tiekimo ir nuotekų tvarkymo</w:t>
      </w:r>
      <w:r w:rsidR="001E3402" w:rsidRPr="00C61115">
        <w:rPr>
          <w:rFonts w:ascii="Arial" w:eastAsia="MS PGothic" w:hAnsi="Arial" w:cs="Times New Roman"/>
          <w:sz w:val="20"/>
          <w:szCs w:val="24"/>
        </w:rPr>
        <w:t xml:space="preserve"> </w:t>
      </w:r>
      <w:r w:rsidR="00242947" w:rsidRPr="00C61115">
        <w:rPr>
          <w:rFonts w:ascii="Arial" w:eastAsia="MS PGothic" w:hAnsi="Arial" w:cs="Times New Roman"/>
          <w:sz w:val="20"/>
          <w:szCs w:val="24"/>
        </w:rPr>
        <w:t xml:space="preserve">projektai. </w:t>
      </w:r>
      <w:r w:rsidR="00C849C4" w:rsidRPr="00C61115">
        <w:rPr>
          <w:rFonts w:ascii="Arial" w:eastAsia="MS PGothic" w:hAnsi="Arial" w:cs="Times New Roman"/>
          <w:sz w:val="20"/>
          <w:szCs w:val="24"/>
        </w:rPr>
        <w:t>Pastebėtina tendencija, kad daugiausiai</w:t>
      </w:r>
      <w:r w:rsidR="000252B1" w:rsidRPr="00C61115">
        <w:rPr>
          <w:rFonts w:ascii="Arial" w:eastAsia="MS PGothic" w:hAnsi="Arial" w:cs="Times New Roman"/>
          <w:sz w:val="20"/>
          <w:szCs w:val="24"/>
        </w:rPr>
        <w:t>, kaip ir kitose probleminių teritorijų savivaldybėse,</w:t>
      </w:r>
      <w:r w:rsidR="00C849C4" w:rsidRPr="00C61115">
        <w:rPr>
          <w:rFonts w:ascii="Arial" w:eastAsia="MS PGothic" w:hAnsi="Arial" w:cs="Times New Roman"/>
          <w:sz w:val="20"/>
          <w:szCs w:val="24"/>
        </w:rPr>
        <w:t xml:space="preserve"> investuota srityse, kur vyravo</w:t>
      </w:r>
      <w:r w:rsidR="003D276A" w:rsidRPr="00C61115">
        <w:rPr>
          <w:rFonts w:ascii="Arial" w:eastAsia="MS PGothic" w:hAnsi="Arial" w:cs="Times New Roman"/>
          <w:sz w:val="20"/>
          <w:szCs w:val="24"/>
        </w:rPr>
        <w:t xml:space="preserve"> valstybės ir</w:t>
      </w:r>
      <w:r w:rsidR="000252B1" w:rsidRPr="00C61115">
        <w:rPr>
          <w:rFonts w:ascii="Arial" w:eastAsia="MS PGothic" w:hAnsi="Arial" w:cs="Times New Roman"/>
          <w:sz w:val="20"/>
          <w:szCs w:val="24"/>
        </w:rPr>
        <w:t xml:space="preserve"> region</w:t>
      </w:r>
      <w:r w:rsidR="003D276A" w:rsidRPr="00C61115">
        <w:rPr>
          <w:rFonts w:ascii="Arial" w:eastAsia="MS PGothic" w:hAnsi="Arial" w:cs="Times New Roman"/>
          <w:sz w:val="20"/>
          <w:szCs w:val="24"/>
        </w:rPr>
        <w:t>ų projektų</w:t>
      </w:r>
      <w:r w:rsidR="000252B1" w:rsidRPr="00C61115">
        <w:rPr>
          <w:rFonts w:ascii="Arial" w:eastAsia="MS PGothic" w:hAnsi="Arial" w:cs="Times New Roman"/>
          <w:sz w:val="20"/>
          <w:szCs w:val="24"/>
        </w:rPr>
        <w:t xml:space="preserve"> planavimo priemonės</w:t>
      </w:r>
      <w:r w:rsidR="00AF7F8C" w:rsidRPr="00C61115">
        <w:rPr>
          <w:rFonts w:ascii="Arial" w:eastAsia="MS PGothic" w:hAnsi="Arial" w:cs="Times New Roman"/>
          <w:sz w:val="20"/>
          <w:szCs w:val="24"/>
        </w:rPr>
        <w:t>.</w:t>
      </w:r>
    </w:p>
    <w:p w:rsidR="00A2570C" w:rsidRPr="00C61115" w:rsidRDefault="00A2570C" w:rsidP="00C849C4">
      <w:pPr>
        <w:pStyle w:val="Heading1"/>
        <w:numPr>
          <w:ilvl w:val="1"/>
          <w:numId w:val="1"/>
        </w:numPr>
        <w:spacing w:before="360"/>
        <w:rPr>
          <w:rFonts w:ascii="Arial" w:hAnsi="Arial" w:cs="Arial"/>
          <w:b w:val="0"/>
          <w:sz w:val="28"/>
          <w:szCs w:val="28"/>
        </w:rPr>
      </w:pPr>
      <w:r w:rsidRPr="00C61115">
        <w:rPr>
          <w:rFonts w:ascii="Arial" w:hAnsi="Arial" w:cs="Arial"/>
          <w:b w:val="0"/>
          <w:sz w:val="28"/>
          <w:szCs w:val="28"/>
        </w:rPr>
        <w:t>Rodiklių analizė</w:t>
      </w:r>
    </w:p>
    <w:p w:rsidR="002B4036" w:rsidRPr="00C61115" w:rsidRDefault="002B4036" w:rsidP="002B4036">
      <w:pPr>
        <w:jc w:val="both"/>
        <w:rPr>
          <w:rFonts w:ascii="Arial" w:eastAsia="MS PGothic" w:hAnsi="Arial" w:cs="Times New Roman"/>
          <w:sz w:val="20"/>
          <w:szCs w:val="24"/>
        </w:rPr>
      </w:pPr>
      <w:r w:rsidRPr="00C61115">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C61115">
        <w:rPr>
          <w:rFonts w:ascii="Arial" w:eastAsia="MS PGothic" w:hAnsi="Arial" w:cs="Times New Roman"/>
          <w:sz w:val="20"/>
          <w:szCs w:val="24"/>
          <w:vertAlign w:val="subscript"/>
        </w:rPr>
        <w:t>2</w:t>
      </w:r>
      <w:r w:rsidRPr="00C61115">
        <w:rPr>
          <w:rFonts w:ascii="Arial" w:eastAsia="MS PGothic" w:hAnsi="Arial" w:cs="Times New Roman"/>
          <w:sz w:val="20"/>
          <w:szCs w:val="24"/>
        </w:rPr>
        <w:t>)</w:t>
      </w:r>
      <w:r w:rsidRPr="00C61115">
        <w:rPr>
          <w:rFonts w:ascii="Arial" w:eastAsia="MS PGothic" w:hAnsi="Arial" w:cs="Times New Roman"/>
          <w:sz w:val="20"/>
          <w:szCs w:val="24"/>
          <w:vertAlign w:val="subscript"/>
        </w:rPr>
        <w:t>,</w:t>
      </w:r>
      <w:r w:rsidRPr="00C61115">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C61115">
        <w:rPr>
          <w:rFonts w:ascii="Arial" w:eastAsia="MS PGothic" w:hAnsi="Arial" w:cs="Times New Roman"/>
          <w:sz w:val="20"/>
          <w:szCs w:val="24"/>
        </w:rPr>
        <w:t xml:space="preserve">darbingo amžiaus </w:t>
      </w:r>
      <w:r w:rsidRPr="00C61115">
        <w:rPr>
          <w:rFonts w:ascii="Arial" w:eastAsia="MS PGothic" w:hAnsi="Arial" w:cs="Times New Roman"/>
          <w:sz w:val="20"/>
          <w:szCs w:val="24"/>
        </w:rPr>
        <w:t xml:space="preserve">gyventojų skaičiaus ir registruotų bedarbių santykį. Ekonominės veiklos rodikliai </w:t>
      </w:r>
      <w:r w:rsidR="007F0777" w:rsidRPr="00C61115">
        <w:rPr>
          <w:rFonts w:ascii="Arial" w:eastAsia="MS PGothic" w:hAnsi="Arial" w:cs="Times New Roman"/>
          <w:sz w:val="20"/>
          <w:szCs w:val="24"/>
        </w:rPr>
        <w:t>– pridėtinė vertė gamybos kainomis, materialinės investicijos to meto kainomis ir tiesioginės užsienio investicijos.</w:t>
      </w:r>
    </w:p>
    <w:p w:rsidR="00B76AF6" w:rsidRPr="00C61115" w:rsidRDefault="007F0777" w:rsidP="00B76AF6">
      <w:pPr>
        <w:jc w:val="both"/>
        <w:rPr>
          <w:rFonts w:ascii="Arial" w:eastAsia="MS PGothic" w:hAnsi="Arial" w:cs="Times New Roman"/>
          <w:sz w:val="20"/>
          <w:szCs w:val="24"/>
        </w:rPr>
      </w:pPr>
      <w:r w:rsidRPr="00C61115">
        <w:rPr>
          <w:rFonts w:ascii="Arial" w:eastAsia="MS PGothic" w:hAnsi="Arial" w:cs="Times New Roman"/>
          <w:sz w:val="20"/>
          <w:szCs w:val="24"/>
        </w:rPr>
        <w:t>Aplinkos</w:t>
      </w:r>
      <w:r w:rsidR="007349E9" w:rsidRPr="00C61115">
        <w:rPr>
          <w:rFonts w:ascii="Arial" w:eastAsia="MS PGothic" w:hAnsi="Arial" w:cs="Times New Roman"/>
          <w:sz w:val="20"/>
          <w:szCs w:val="24"/>
        </w:rPr>
        <w:t xml:space="preserve"> taršos rodiklių atveju stebimos ryškios bendro teršalų kiekio mažėjimo ir bendros aplink</w:t>
      </w:r>
      <w:r w:rsidR="002C673B" w:rsidRPr="00C61115">
        <w:rPr>
          <w:rFonts w:ascii="Arial" w:eastAsia="MS PGothic" w:hAnsi="Arial" w:cs="Times New Roman"/>
          <w:sz w:val="20"/>
          <w:szCs w:val="24"/>
        </w:rPr>
        <w:t xml:space="preserve">os būklės gerėjimo tendencijos. Vertinant bendrą teršalų kiekio pokytį, nesunku įžvelgti, kad egzistuoja tendencija mažinanti šių teršalų kiekio išmetimą. Laikotarpio </w:t>
      </w:r>
      <w:r w:rsidR="002C673B" w:rsidRPr="00C61115">
        <w:rPr>
          <w:rFonts w:ascii="Arial" w:eastAsia="MS PGothic" w:hAnsi="Arial" w:cs="Times New Roman"/>
          <w:sz w:val="20"/>
          <w:szCs w:val="24"/>
        </w:rPr>
        <w:lastRenderedPageBreak/>
        <w:t xml:space="preserve">pradžioje išmetamų teršalų kiekis siekė  33 221.6 t, Lietuvos mastu tai sudarė net 39.30 proc. Per septynerių metų laikotarpį išmetamų teršalų kiekis buvo sumažintas beveik 39 proc. Lyginant su kitomis probleminėmis teritorijomis neįprastai didelis sieros dioksido medžiagų išmetimo kiekis (2007 m – 11844.9 t) buvo sumažintas 27 %. Ši tendencija vyrauja ir azoto oksidų išmetimo į orą kiekyje, bendras pokytis sudarė apie 50 %. </w:t>
      </w:r>
      <w:r w:rsidR="000D77A0" w:rsidRPr="00C61115">
        <w:rPr>
          <w:rFonts w:ascii="Arial" w:eastAsia="MS PGothic" w:hAnsi="Arial" w:cs="Times New Roman"/>
          <w:sz w:val="20"/>
          <w:szCs w:val="24"/>
        </w:rPr>
        <w:t xml:space="preserve">Apibendrinant, bendra aplinkos tarša 2007 – 2013 m. laikotarpiu buvo linkusi </w:t>
      </w:r>
      <w:r w:rsidR="0021741F" w:rsidRPr="00C61115">
        <w:rPr>
          <w:rFonts w:ascii="Arial" w:eastAsia="MS PGothic" w:hAnsi="Arial" w:cs="Times New Roman"/>
          <w:sz w:val="20"/>
          <w:szCs w:val="24"/>
        </w:rPr>
        <w:t>mažėti.</w:t>
      </w:r>
    </w:p>
    <w:p w:rsidR="00A2570C" w:rsidRPr="00C61115" w:rsidRDefault="007F52E7" w:rsidP="00A2570C">
      <w:pPr>
        <w:pStyle w:val="Caption"/>
        <w:keepNext/>
        <w:jc w:val="both"/>
      </w:pPr>
      <w:r w:rsidRPr="00C61115">
        <w:rPr>
          <w:noProof/>
          <w:lang w:val="en-US"/>
        </w:rPr>
        <w:drawing>
          <wp:anchor distT="0" distB="0" distL="114300" distR="114300" simplePos="0" relativeHeight="251682816" behindDoc="0" locked="0" layoutInCell="1" allowOverlap="1" wp14:anchorId="2D106762" wp14:editId="695AE89A">
            <wp:simplePos x="0" y="0"/>
            <wp:positionH relativeFrom="column">
              <wp:posOffset>53975</wp:posOffset>
            </wp:positionH>
            <wp:positionV relativeFrom="paragraph">
              <wp:posOffset>393700</wp:posOffset>
            </wp:positionV>
            <wp:extent cx="4572000" cy="2743200"/>
            <wp:effectExtent l="0" t="0" r="19050" b="1905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2570C" w:rsidRPr="00C61115">
        <w:fldChar w:fldCharType="begin"/>
      </w:r>
      <w:r w:rsidR="00A2570C" w:rsidRPr="00C61115">
        <w:instrText xml:space="preserve"> SEQ paveikslas \* ARABIC </w:instrText>
      </w:r>
      <w:r w:rsidR="00A2570C" w:rsidRPr="00C61115">
        <w:fldChar w:fldCharType="separate"/>
      </w:r>
      <w:r w:rsidR="00594D44" w:rsidRPr="00C61115">
        <w:t>3</w:t>
      </w:r>
      <w:r w:rsidR="00A2570C" w:rsidRPr="00C61115">
        <w:fldChar w:fldCharType="end"/>
      </w:r>
      <w:r w:rsidR="00A2570C" w:rsidRPr="00C61115">
        <w:t xml:space="preserve"> paveikslas. Aplinkos taršos rodikliai</w:t>
      </w:r>
      <w:r w:rsidR="0020150F">
        <w:t>*</w:t>
      </w:r>
    </w:p>
    <w:p w:rsidR="00B76AF6" w:rsidRPr="00C61115" w:rsidRDefault="00B76AF6" w:rsidP="000252B1">
      <w:pPr>
        <w:pStyle w:val="Caption"/>
        <w:spacing w:before="24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7650A6" w:rsidRDefault="007650A6" w:rsidP="00B72614">
      <w:pPr>
        <w:pStyle w:val="Caption"/>
        <w:spacing w:after="120"/>
        <w:rPr>
          <w:b w:val="0"/>
        </w:rPr>
      </w:pPr>
    </w:p>
    <w:p w:rsidR="00A2570C" w:rsidRPr="0020150F" w:rsidRDefault="00A2570C" w:rsidP="0020150F">
      <w:pPr>
        <w:pStyle w:val="Caption"/>
        <w:spacing w:after="0"/>
        <w:rPr>
          <w:rFonts w:cs="Arial"/>
          <w:b w:val="0"/>
        </w:rPr>
      </w:pPr>
      <w:r w:rsidRPr="0020150F">
        <w:rPr>
          <w:rFonts w:cs="Arial"/>
          <w:b w:val="0"/>
        </w:rPr>
        <w:t>Šaltinis: Statistiko</w:t>
      </w:r>
      <w:r w:rsidR="007F0777" w:rsidRPr="0020150F">
        <w:rPr>
          <w:rFonts w:cs="Arial"/>
          <w:b w:val="0"/>
        </w:rPr>
        <w:t>s</w:t>
      </w:r>
      <w:r w:rsidRPr="0020150F">
        <w:rPr>
          <w:rFonts w:cs="Arial"/>
          <w:b w:val="0"/>
        </w:rPr>
        <w:t xml:space="preserve"> departamentas</w:t>
      </w:r>
    </w:p>
    <w:p w:rsidR="0020150F" w:rsidRPr="0020150F" w:rsidRDefault="0020150F" w:rsidP="0020150F">
      <w:pPr>
        <w:spacing w:after="120"/>
        <w:rPr>
          <w:rFonts w:ascii="Arial" w:hAnsi="Arial" w:cs="Arial"/>
          <w:sz w:val="18"/>
          <w:szCs w:val="18"/>
        </w:rPr>
      </w:pPr>
      <w:r w:rsidRPr="0020150F">
        <w:rPr>
          <w:rFonts w:ascii="Arial" w:hAnsi="Arial" w:cs="Arial"/>
          <w:sz w:val="18"/>
          <w:szCs w:val="18"/>
        </w:rPr>
        <w:t>* - visi rodikliai, išskyrus „Išleista išvalytų iki normos nuotekų, tūkst. m</w:t>
      </w:r>
      <w:r w:rsidRPr="0020150F">
        <w:rPr>
          <w:rFonts w:ascii="Arial" w:hAnsi="Arial" w:cs="Arial"/>
          <w:sz w:val="18"/>
          <w:szCs w:val="18"/>
          <w:vertAlign w:val="superscript"/>
        </w:rPr>
        <w:t>3</w:t>
      </w:r>
      <w:r w:rsidRPr="0020150F">
        <w:rPr>
          <w:rFonts w:ascii="Arial" w:hAnsi="Arial" w:cs="Arial"/>
          <w:sz w:val="18"/>
          <w:szCs w:val="18"/>
        </w:rPr>
        <w:t>“ yra matuojami tonomis.</w:t>
      </w:r>
    </w:p>
    <w:p w:rsidR="0021741F" w:rsidRPr="00C61115" w:rsidRDefault="00B76AF6" w:rsidP="007160E3">
      <w:pPr>
        <w:jc w:val="both"/>
        <w:rPr>
          <w:rFonts w:ascii="Arial" w:hAnsi="Arial" w:cs="Arial"/>
          <w:sz w:val="20"/>
        </w:rPr>
      </w:pPr>
      <w:r w:rsidRPr="00C61115">
        <w:rPr>
          <w:rFonts w:ascii="Arial" w:eastAsia="MS PGothic" w:hAnsi="Arial" w:cs="Times New Roman"/>
          <w:sz w:val="20"/>
          <w:szCs w:val="24"/>
        </w:rPr>
        <w:t>Vertinant demografinius rodiklius</w:t>
      </w:r>
      <w:r w:rsidR="00594D44" w:rsidRPr="00C61115">
        <w:rPr>
          <w:rFonts w:ascii="Arial" w:eastAsia="MS PGothic" w:hAnsi="Arial" w:cs="Times New Roman"/>
          <w:sz w:val="20"/>
          <w:szCs w:val="24"/>
        </w:rPr>
        <w:t>, 2007 - 2013 m. stebimos tendencijos atitinka nacion</w:t>
      </w:r>
      <w:r w:rsidR="00462CCD" w:rsidRPr="00C61115">
        <w:rPr>
          <w:rFonts w:ascii="Arial" w:eastAsia="MS PGothic" w:hAnsi="Arial" w:cs="Times New Roman"/>
          <w:sz w:val="20"/>
          <w:szCs w:val="24"/>
        </w:rPr>
        <w:t xml:space="preserve">aliniu mastu vykusius pokyčius. </w:t>
      </w:r>
      <w:r w:rsidR="00E21622" w:rsidRPr="00C61115">
        <w:rPr>
          <w:rFonts w:ascii="Arial" w:eastAsia="MS PGothic" w:hAnsi="Arial" w:cs="Times New Roman"/>
          <w:sz w:val="20"/>
          <w:szCs w:val="24"/>
        </w:rPr>
        <w:t xml:space="preserve">Neigiama tendencija vyrauja visų rodiklių įverčiuose. </w:t>
      </w:r>
      <w:r w:rsidR="00162D6F" w:rsidRPr="00C61115">
        <w:rPr>
          <w:rFonts w:ascii="Arial" w:eastAsia="MS PGothic" w:hAnsi="Arial" w:cs="Times New Roman"/>
          <w:sz w:val="20"/>
          <w:szCs w:val="24"/>
        </w:rPr>
        <w:t>Nagrinėjamu laikotarpiu g</w:t>
      </w:r>
      <w:r w:rsidR="002C673B" w:rsidRPr="00C61115">
        <w:rPr>
          <w:rFonts w:ascii="Arial" w:eastAsia="MS PGothic" w:hAnsi="Arial" w:cs="Times New Roman"/>
          <w:sz w:val="20"/>
          <w:szCs w:val="24"/>
        </w:rPr>
        <w:t xml:space="preserve">yventojų kiekis savivaldybėje sumažėjo </w:t>
      </w:r>
      <w:r w:rsidR="00162D6F" w:rsidRPr="00C61115">
        <w:rPr>
          <w:rFonts w:ascii="Arial" w:eastAsia="MS PGothic" w:hAnsi="Arial" w:cs="Times New Roman"/>
          <w:sz w:val="20"/>
          <w:szCs w:val="24"/>
        </w:rPr>
        <w:t>beveik 10 proc.:</w:t>
      </w:r>
      <w:r w:rsidR="002C673B" w:rsidRPr="00C61115">
        <w:rPr>
          <w:rFonts w:ascii="Arial" w:eastAsia="MS PGothic" w:hAnsi="Arial" w:cs="Times New Roman"/>
          <w:sz w:val="20"/>
          <w:szCs w:val="24"/>
        </w:rPr>
        <w:t xml:space="preserve"> vidutiniškai </w:t>
      </w:r>
      <w:r w:rsidR="00162D6F" w:rsidRPr="00C61115">
        <w:rPr>
          <w:rFonts w:ascii="Arial" w:eastAsia="MS PGothic" w:hAnsi="Arial" w:cs="Times New Roman"/>
          <w:sz w:val="20"/>
          <w:szCs w:val="24"/>
        </w:rPr>
        <w:t>per metus savivaldybę palikdavo 930</w:t>
      </w:r>
      <w:r w:rsidR="002C673B" w:rsidRPr="00C61115">
        <w:rPr>
          <w:rFonts w:ascii="Arial" w:eastAsia="MS PGothic" w:hAnsi="Arial" w:cs="Times New Roman"/>
          <w:sz w:val="20"/>
          <w:szCs w:val="24"/>
        </w:rPr>
        <w:t xml:space="preserve"> žmonių. </w:t>
      </w:r>
      <w:r w:rsidR="007160E3" w:rsidRPr="00C61115">
        <w:rPr>
          <w:rFonts w:ascii="Arial" w:eastAsia="MS PGothic" w:hAnsi="Arial" w:cs="Times New Roman"/>
          <w:sz w:val="20"/>
          <w:szCs w:val="24"/>
        </w:rPr>
        <w:t>Darbingo amžiaus žmonių kiekis taip pat ženkliai sumažėjo.</w:t>
      </w:r>
      <w:r w:rsidR="002C673B" w:rsidRPr="00C61115">
        <w:rPr>
          <w:rFonts w:ascii="Arial" w:eastAsia="MS PGothic" w:hAnsi="Arial" w:cs="Times New Roman"/>
          <w:sz w:val="20"/>
          <w:szCs w:val="24"/>
        </w:rPr>
        <w:t xml:space="preserve"> Pensinio amžiaus žmonių raida išsiskyrė tuo, kad per ataskaitinį laikotarpį išaugo 3.29%</w:t>
      </w:r>
      <w:r w:rsidR="007160E3" w:rsidRPr="00C61115">
        <w:rPr>
          <w:rFonts w:ascii="Arial" w:eastAsia="MS PGothic" w:hAnsi="Arial" w:cs="Times New Roman"/>
          <w:sz w:val="20"/>
          <w:szCs w:val="24"/>
        </w:rPr>
        <w:t>; tai vienas didžiausių rodiklių visų probleminių savivaldybių tarpe</w:t>
      </w:r>
      <w:r w:rsidR="002C673B" w:rsidRPr="00C61115">
        <w:rPr>
          <w:rFonts w:ascii="Arial" w:eastAsia="MS PGothic" w:hAnsi="Arial" w:cs="Times New Roman"/>
          <w:sz w:val="20"/>
          <w:szCs w:val="24"/>
        </w:rPr>
        <w:t xml:space="preserve">. Šis faktorius identifikuoja, kad Mažeikių savivaldybės populiacija santykinai </w:t>
      </w:r>
      <w:r w:rsidR="007160E3" w:rsidRPr="00C61115">
        <w:rPr>
          <w:rFonts w:ascii="Arial" w:eastAsia="MS PGothic" w:hAnsi="Arial" w:cs="Times New Roman"/>
          <w:sz w:val="20"/>
          <w:szCs w:val="24"/>
        </w:rPr>
        <w:t>greitai senta:</w:t>
      </w:r>
      <w:r w:rsidR="002C673B" w:rsidRPr="00C61115">
        <w:rPr>
          <w:rFonts w:ascii="Arial" w:eastAsia="MS PGothic" w:hAnsi="Arial" w:cs="Times New Roman"/>
          <w:sz w:val="20"/>
          <w:szCs w:val="24"/>
        </w:rPr>
        <w:t xml:space="preserve"> 2014 m</w:t>
      </w:r>
      <w:r w:rsidR="007160E3" w:rsidRPr="00C61115">
        <w:rPr>
          <w:rFonts w:ascii="Arial" w:eastAsia="MS PGothic" w:hAnsi="Arial" w:cs="Times New Roman"/>
          <w:sz w:val="20"/>
          <w:szCs w:val="24"/>
        </w:rPr>
        <w:t>.</w:t>
      </w:r>
      <w:r w:rsidR="002C673B" w:rsidRPr="00C61115">
        <w:rPr>
          <w:rFonts w:ascii="Arial" w:eastAsia="MS PGothic" w:hAnsi="Arial" w:cs="Times New Roman"/>
          <w:sz w:val="20"/>
          <w:szCs w:val="24"/>
        </w:rPr>
        <w:t xml:space="preserve"> pensinio amžiaus asmenys sudarė 19.40</w:t>
      </w:r>
      <w:r w:rsidR="007160E3" w:rsidRPr="00C61115">
        <w:rPr>
          <w:rFonts w:ascii="Arial" w:eastAsia="MS PGothic" w:hAnsi="Arial" w:cs="Times New Roman"/>
          <w:sz w:val="20"/>
          <w:szCs w:val="24"/>
        </w:rPr>
        <w:t>% bendro gyventojų skaičiaus. R</w:t>
      </w:r>
      <w:r w:rsidR="002C673B" w:rsidRPr="00C61115">
        <w:rPr>
          <w:rFonts w:ascii="Arial" w:eastAsia="MS PGothic" w:hAnsi="Arial" w:cs="Times New Roman"/>
          <w:sz w:val="20"/>
          <w:szCs w:val="24"/>
        </w:rPr>
        <w:t>egistruotų bedarbių ir darbingo amžiaus gyventojų santyki</w:t>
      </w:r>
      <w:r w:rsidR="007160E3" w:rsidRPr="00C61115">
        <w:rPr>
          <w:rFonts w:ascii="Arial" w:eastAsia="MS PGothic" w:hAnsi="Arial" w:cs="Times New Roman"/>
          <w:sz w:val="20"/>
          <w:szCs w:val="24"/>
        </w:rPr>
        <w:t>o rodiklis atspindėjo nacionalines tendencijas: iki 2010 m. staigiai išaugęs, vėliau ėmė stabilizuotis</w:t>
      </w:r>
      <w:r w:rsidR="0020150F">
        <w:rPr>
          <w:rFonts w:ascii="Arial" w:eastAsia="MS PGothic" w:hAnsi="Arial" w:cs="Times New Roman"/>
          <w:sz w:val="20"/>
          <w:szCs w:val="24"/>
        </w:rPr>
        <w:t>. Vidutinis m</w:t>
      </w:r>
      <w:r w:rsidR="002C673B" w:rsidRPr="00C61115">
        <w:rPr>
          <w:rFonts w:ascii="Arial" w:eastAsia="MS PGothic" w:hAnsi="Arial" w:cs="Times New Roman"/>
          <w:sz w:val="20"/>
          <w:szCs w:val="24"/>
        </w:rPr>
        <w:t>ėnesinis darbo (bruto) darbo užmokestis vidutiniškai augo po 3.89% per metus. Laikotarpio pradžioje siekęs 484.50 EUR, Lietuvos Respublikos vidurkį viršijo 51.3 EUR. 2014 m</w:t>
      </w:r>
      <w:r w:rsidR="007160E3" w:rsidRPr="00C61115">
        <w:rPr>
          <w:rFonts w:ascii="Arial" w:eastAsia="MS PGothic" w:hAnsi="Arial" w:cs="Times New Roman"/>
          <w:sz w:val="20"/>
          <w:szCs w:val="24"/>
        </w:rPr>
        <w:t>.</w:t>
      </w:r>
      <w:r w:rsidR="002C673B" w:rsidRPr="00C61115">
        <w:rPr>
          <w:rFonts w:ascii="Arial" w:eastAsia="MS PGothic" w:hAnsi="Arial" w:cs="Times New Roman"/>
          <w:sz w:val="20"/>
          <w:szCs w:val="24"/>
        </w:rPr>
        <w:t xml:space="preserve"> šis skirtumas pasikeitė ir </w:t>
      </w:r>
      <w:r w:rsidR="007160E3" w:rsidRPr="00C61115">
        <w:rPr>
          <w:rFonts w:ascii="Arial" w:eastAsia="MS PGothic" w:hAnsi="Arial" w:cs="Times New Roman"/>
          <w:sz w:val="20"/>
          <w:szCs w:val="24"/>
        </w:rPr>
        <w:t>atlyginimo rodiklio atotrūkis tarp</w:t>
      </w:r>
      <w:r w:rsidR="002C673B" w:rsidRPr="00C61115">
        <w:rPr>
          <w:rFonts w:ascii="Arial" w:eastAsia="MS PGothic" w:hAnsi="Arial" w:cs="Times New Roman"/>
          <w:sz w:val="20"/>
          <w:szCs w:val="24"/>
        </w:rPr>
        <w:t xml:space="preserve"> Lietuvos vidurkio</w:t>
      </w:r>
      <w:r w:rsidR="007160E3" w:rsidRPr="00C61115">
        <w:rPr>
          <w:rFonts w:ascii="Arial" w:eastAsia="MS PGothic" w:hAnsi="Arial" w:cs="Times New Roman"/>
          <w:sz w:val="20"/>
          <w:szCs w:val="24"/>
        </w:rPr>
        <w:t xml:space="preserve"> ir Mažeikių savivaldybės situacijos sudarė</w:t>
      </w:r>
      <w:r w:rsidR="0020150F">
        <w:rPr>
          <w:rFonts w:ascii="Arial" w:eastAsia="MS PGothic" w:hAnsi="Arial" w:cs="Times New Roman"/>
          <w:sz w:val="20"/>
          <w:szCs w:val="24"/>
        </w:rPr>
        <w:t xml:space="preserve"> </w:t>
      </w:r>
      <w:r w:rsidR="002C673B" w:rsidRPr="00C61115">
        <w:rPr>
          <w:rFonts w:ascii="Arial" w:eastAsia="MS PGothic" w:hAnsi="Arial" w:cs="Times New Roman"/>
          <w:sz w:val="20"/>
          <w:szCs w:val="24"/>
        </w:rPr>
        <w:t xml:space="preserve">31.80 EUR. </w:t>
      </w:r>
      <w:r w:rsidR="0021741F" w:rsidRPr="00C61115">
        <w:rPr>
          <w:rFonts w:ascii="Arial" w:hAnsi="Arial" w:cs="Arial"/>
          <w:sz w:val="20"/>
        </w:rPr>
        <w:t xml:space="preserve">Apibendrinant, demografinė situacija </w:t>
      </w:r>
      <w:r w:rsidR="007160E3" w:rsidRPr="00C61115">
        <w:rPr>
          <w:rFonts w:ascii="Arial" w:hAnsi="Arial" w:cs="Arial"/>
          <w:sz w:val="20"/>
        </w:rPr>
        <w:t>Mažeikių rajono</w:t>
      </w:r>
      <w:r w:rsidR="0021741F" w:rsidRPr="00C61115">
        <w:rPr>
          <w:rFonts w:ascii="Arial" w:hAnsi="Arial" w:cs="Arial"/>
          <w:sz w:val="20"/>
        </w:rPr>
        <w:t xml:space="preserve"> savivaldybėje buvo stipriai veikiama finansų kri</w:t>
      </w:r>
      <w:r w:rsidR="00031E4B" w:rsidRPr="00C61115">
        <w:rPr>
          <w:rFonts w:ascii="Arial" w:hAnsi="Arial" w:cs="Arial"/>
          <w:sz w:val="20"/>
        </w:rPr>
        <w:t>zės ir augančių migracijos mastų</w:t>
      </w:r>
      <w:r w:rsidR="0021741F" w:rsidRPr="00C61115">
        <w:rPr>
          <w:rFonts w:ascii="Arial" w:hAnsi="Arial" w:cs="Arial"/>
          <w:sz w:val="20"/>
        </w:rPr>
        <w:t>. Taip pat pastebimo</w:t>
      </w:r>
      <w:r w:rsidR="00A57626" w:rsidRPr="00C61115">
        <w:rPr>
          <w:rFonts w:ascii="Arial" w:hAnsi="Arial" w:cs="Arial"/>
          <w:sz w:val="20"/>
        </w:rPr>
        <w:t>s</w:t>
      </w:r>
      <w:r w:rsidR="00031E4B" w:rsidRPr="00C61115">
        <w:rPr>
          <w:rFonts w:ascii="Arial" w:hAnsi="Arial" w:cs="Arial"/>
          <w:sz w:val="20"/>
        </w:rPr>
        <w:t xml:space="preserve"> bendros tendencijo</w:t>
      </w:r>
      <w:r w:rsidR="0021741F" w:rsidRPr="00C61115">
        <w:rPr>
          <w:rFonts w:ascii="Arial" w:hAnsi="Arial" w:cs="Arial"/>
          <w:sz w:val="20"/>
        </w:rPr>
        <w:t>s visoms probleminių teritorijų savivaldybėms: mažėjantis gimstamum</w:t>
      </w:r>
      <w:r w:rsidR="00A57626" w:rsidRPr="00C61115">
        <w:rPr>
          <w:rFonts w:ascii="Arial" w:hAnsi="Arial" w:cs="Arial"/>
          <w:sz w:val="20"/>
        </w:rPr>
        <w:t>as sąlygoja visuomenės senėjimą.</w:t>
      </w:r>
    </w:p>
    <w:p w:rsidR="005166EC" w:rsidRPr="00C61115" w:rsidRDefault="005166EC" w:rsidP="0021741F">
      <w:pPr>
        <w:jc w:val="both"/>
        <w:rPr>
          <w:rFonts w:ascii="Arial" w:hAnsi="Arial" w:cs="Arial"/>
          <w:b/>
          <w:sz w:val="18"/>
        </w:rPr>
      </w:pPr>
    </w:p>
    <w:p w:rsidR="007F52E7" w:rsidRPr="00C61115" w:rsidRDefault="007F52E7" w:rsidP="0021741F">
      <w:pPr>
        <w:jc w:val="both"/>
        <w:rPr>
          <w:rFonts w:ascii="Arial" w:hAnsi="Arial" w:cs="Arial"/>
          <w:b/>
          <w:sz w:val="18"/>
        </w:rPr>
      </w:pPr>
    </w:p>
    <w:p w:rsidR="007F52E7" w:rsidRDefault="007F52E7" w:rsidP="0021741F">
      <w:pPr>
        <w:jc w:val="both"/>
        <w:rPr>
          <w:rFonts w:ascii="Arial" w:hAnsi="Arial" w:cs="Arial"/>
          <w:b/>
          <w:sz w:val="18"/>
        </w:rPr>
      </w:pPr>
    </w:p>
    <w:p w:rsidR="007650A6" w:rsidRDefault="007650A6" w:rsidP="0021741F">
      <w:pPr>
        <w:jc w:val="both"/>
        <w:rPr>
          <w:rFonts w:ascii="Arial" w:hAnsi="Arial" w:cs="Arial"/>
          <w:b/>
          <w:sz w:val="18"/>
        </w:rPr>
      </w:pPr>
    </w:p>
    <w:p w:rsidR="007650A6" w:rsidRDefault="007650A6" w:rsidP="0021741F">
      <w:pPr>
        <w:jc w:val="both"/>
        <w:rPr>
          <w:rFonts w:ascii="Arial" w:hAnsi="Arial" w:cs="Arial"/>
          <w:b/>
          <w:sz w:val="18"/>
        </w:rPr>
      </w:pPr>
    </w:p>
    <w:p w:rsidR="00020455" w:rsidRPr="00C61115" w:rsidRDefault="00A2570C" w:rsidP="0021741F">
      <w:pPr>
        <w:jc w:val="both"/>
        <w:rPr>
          <w:rFonts w:ascii="Arial" w:hAnsi="Arial" w:cs="Arial"/>
          <w:b/>
          <w:sz w:val="18"/>
        </w:rPr>
      </w:pPr>
      <w:r w:rsidRPr="00C61115">
        <w:rPr>
          <w:rFonts w:ascii="Arial" w:hAnsi="Arial" w:cs="Arial"/>
          <w:b/>
          <w:sz w:val="18"/>
        </w:rPr>
        <w:fldChar w:fldCharType="begin"/>
      </w:r>
      <w:r w:rsidRPr="00C61115">
        <w:rPr>
          <w:rFonts w:ascii="Arial" w:hAnsi="Arial" w:cs="Arial"/>
          <w:b/>
          <w:sz w:val="18"/>
        </w:rPr>
        <w:instrText xml:space="preserve"> SEQ paveikslas \* ARABIC </w:instrText>
      </w:r>
      <w:r w:rsidRPr="00C61115">
        <w:rPr>
          <w:rFonts w:ascii="Arial" w:hAnsi="Arial" w:cs="Arial"/>
          <w:b/>
          <w:sz w:val="18"/>
        </w:rPr>
        <w:fldChar w:fldCharType="separate"/>
      </w:r>
      <w:r w:rsidR="008A1509" w:rsidRPr="00C61115">
        <w:rPr>
          <w:rFonts w:ascii="Arial" w:hAnsi="Arial" w:cs="Arial"/>
          <w:b/>
          <w:sz w:val="18"/>
        </w:rPr>
        <w:t>5</w:t>
      </w:r>
      <w:r w:rsidRPr="00C61115">
        <w:rPr>
          <w:rFonts w:ascii="Arial" w:hAnsi="Arial" w:cs="Arial"/>
          <w:b/>
          <w:sz w:val="18"/>
        </w:rPr>
        <w:fldChar w:fldCharType="end"/>
      </w:r>
      <w:r w:rsidRPr="00C61115">
        <w:rPr>
          <w:rFonts w:ascii="Arial" w:hAnsi="Arial" w:cs="Arial"/>
          <w:b/>
          <w:sz w:val="18"/>
        </w:rPr>
        <w:t xml:space="preserve"> paveikslas. Demografiniai rodikliai</w:t>
      </w:r>
    </w:p>
    <w:p w:rsidR="007F52E7" w:rsidRPr="00C61115" w:rsidRDefault="007650A6" w:rsidP="0021741F">
      <w:pPr>
        <w:jc w:val="both"/>
        <w:rPr>
          <w:rFonts w:ascii="Arial" w:hAnsi="Arial" w:cs="Arial"/>
          <w:b/>
          <w:sz w:val="18"/>
        </w:rPr>
      </w:pPr>
      <w:r w:rsidRPr="00C61115">
        <w:rPr>
          <w:noProof/>
          <w:lang w:val="en-US"/>
        </w:rPr>
        <w:drawing>
          <wp:anchor distT="0" distB="0" distL="114300" distR="114300" simplePos="0" relativeHeight="251684864" behindDoc="0" locked="0" layoutInCell="1" allowOverlap="1" wp14:anchorId="24BFD291" wp14:editId="6DFDD3B9">
            <wp:simplePos x="0" y="0"/>
            <wp:positionH relativeFrom="margin">
              <wp:posOffset>-635</wp:posOffset>
            </wp:positionH>
            <wp:positionV relativeFrom="paragraph">
              <wp:posOffset>74930</wp:posOffset>
            </wp:positionV>
            <wp:extent cx="4572000" cy="2743200"/>
            <wp:effectExtent l="0" t="0" r="19050" b="190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7650A6" w:rsidRDefault="007650A6" w:rsidP="008A1509">
      <w:pPr>
        <w:pStyle w:val="Caption"/>
        <w:spacing w:before="240"/>
        <w:rPr>
          <w:b w:val="0"/>
        </w:rPr>
      </w:pPr>
    </w:p>
    <w:p w:rsidR="007650A6" w:rsidRDefault="007650A6" w:rsidP="008A1509">
      <w:pPr>
        <w:pStyle w:val="Caption"/>
        <w:spacing w:before="240"/>
        <w:rPr>
          <w:b w:val="0"/>
        </w:rPr>
      </w:pPr>
    </w:p>
    <w:p w:rsidR="007650A6" w:rsidRDefault="007650A6" w:rsidP="008A1509">
      <w:pPr>
        <w:pStyle w:val="Caption"/>
        <w:spacing w:before="240"/>
        <w:rPr>
          <w:b w:val="0"/>
        </w:rPr>
      </w:pPr>
    </w:p>
    <w:p w:rsidR="007650A6" w:rsidRDefault="007650A6" w:rsidP="008A1509">
      <w:pPr>
        <w:pStyle w:val="Caption"/>
        <w:spacing w:before="240"/>
        <w:rPr>
          <w:b w:val="0"/>
        </w:rPr>
      </w:pPr>
    </w:p>
    <w:p w:rsidR="007650A6" w:rsidRDefault="007650A6" w:rsidP="008A1509">
      <w:pPr>
        <w:pStyle w:val="Caption"/>
        <w:spacing w:before="240"/>
        <w:rPr>
          <w:b w:val="0"/>
        </w:rPr>
      </w:pPr>
    </w:p>
    <w:p w:rsidR="007650A6" w:rsidRDefault="007650A6" w:rsidP="008A1509">
      <w:pPr>
        <w:pStyle w:val="Caption"/>
        <w:spacing w:before="240"/>
        <w:rPr>
          <w:b w:val="0"/>
        </w:rPr>
      </w:pPr>
    </w:p>
    <w:p w:rsidR="007650A6" w:rsidRDefault="007650A6" w:rsidP="008A1509">
      <w:pPr>
        <w:pStyle w:val="Caption"/>
        <w:spacing w:before="240"/>
        <w:rPr>
          <w:b w:val="0"/>
        </w:rPr>
      </w:pPr>
    </w:p>
    <w:p w:rsidR="007650A6" w:rsidRDefault="007650A6" w:rsidP="008A1509">
      <w:pPr>
        <w:pStyle w:val="Caption"/>
        <w:spacing w:before="240"/>
        <w:rPr>
          <w:b w:val="0"/>
        </w:rPr>
      </w:pPr>
    </w:p>
    <w:p w:rsidR="007650A6" w:rsidRDefault="007650A6" w:rsidP="008A1509">
      <w:pPr>
        <w:pStyle w:val="Caption"/>
        <w:spacing w:before="240"/>
        <w:rPr>
          <w:b w:val="0"/>
        </w:rPr>
      </w:pPr>
    </w:p>
    <w:p w:rsidR="007650A6" w:rsidRDefault="007650A6" w:rsidP="008A1509">
      <w:pPr>
        <w:pStyle w:val="Caption"/>
        <w:spacing w:before="240"/>
        <w:rPr>
          <w:b w:val="0"/>
        </w:rPr>
      </w:pPr>
    </w:p>
    <w:p w:rsidR="008A1509" w:rsidRPr="00C61115" w:rsidRDefault="008A1509" w:rsidP="008A1509">
      <w:pPr>
        <w:pStyle w:val="Caption"/>
        <w:spacing w:before="240"/>
        <w:rPr>
          <w:b w:val="0"/>
        </w:rPr>
      </w:pPr>
      <w:r w:rsidRPr="00C61115">
        <w:rPr>
          <w:b w:val="0"/>
        </w:rPr>
        <w:t>Šaltinis: Statistiko</w:t>
      </w:r>
      <w:r w:rsidR="00594D44" w:rsidRPr="00C61115">
        <w:rPr>
          <w:b w:val="0"/>
        </w:rPr>
        <w:t>s</w:t>
      </w:r>
      <w:r w:rsidRPr="00C61115">
        <w:rPr>
          <w:b w:val="0"/>
        </w:rPr>
        <w:t xml:space="preserve"> departamentas</w:t>
      </w:r>
    </w:p>
    <w:p w:rsidR="00B76AF6" w:rsidRPr="00C61115" w:rsidRDefault="00B76AF6" w:rsidP="00B76AF6">
      <w:pPr>
        <w:jc w:val="both"/>
        <w:rPr>
          <w:rFonts w:ascii="Arial" w:eastAsia="MS PGothic" w:hAnsi="Arial" w:cs="Times New Roman"/>
          <w:sz w:val="20"/>
          <w:szCs w:val="24"/>
        </w:rPr>
      </w:pPr>
      <w:r w:rsidRPr="00C61115">
        <w:rPr>
          <w:rFonts w:ascii="Arial" w:eastAsia="MS PGothic" w:hAnsi="Arial" w:cs="Times New Roman"/>
          <w:sz w:val="20"/>
          <w:szCs w:val="24"/>
        </w:rPr>
        <w:t>Vertinant ūkio ir finansini</w:t>
      </w:r>
      <w:r w:rsidR="004E0E71" w:rsidRPr="00C61115">
        <w:rPr>
          <w:rFonts w:ascii="Arial" w:eastAsia="MS PGothic" w:hAnsi="Arial" w:cs="Times New Roman"/>
          <w:sz w:val="20"/>
          <w:szCs w:val="24"/>
        </w:rPr>
        <w:t xml:space="preserve">us rodiklius </w:t>
      </w:r>
      <w:r w:rsidRPr="00C61115">
        <w:rPr>
          <w:rFonts w:ascii="Arial" w:eastAsia="MS PGothic" w:hAnsi="Arial" w:cs="Times New Roman"/>
          <w:sz w:val="20"/>
          <w:szCs w:val="24"/>
        </w:rPr>
        <w:t>pastebima,</w:t>
      </w:r>
      <w:r w:rsidR="00424FB7" w:rsidRPr="00C61115">
        <w:rPr>
          <w:rFonts w:ascii="Arial" w:eastAsia="MS PGothic" w:hAnsi="Arial" w:cs="Times New Roman"/>
          <w:sz w:val="20"/>
          <w:szCs w:val="24"/>
        </w:rPr>
        <w:t xml:space="preserve"> kad</w:t>
      </w:r>
      <w:r w:rsidR="0062159A" w:rsidRPr="00C61115">
        <w:rPr>
          <w:rFonts w:ascii="Arial" w:eastAsia="MS PGothic" w:hAnsi="Arial" w:cs="Times New Roman"/>
          <w:sz w:val="20"/>
          <w:szCs w:val="24"/>
        </w:rPr>
        <w:t xml:space="preserve"> 2007 – 2013</w:t>
      </w:r>
      <w:r w:rsidR="00BC4ECE" w:rsidRPr="00C61115">
        <w:rPr>
          <w:rFonts w:ascii="Arial" w:eastAsia="MS PGothic" w:hAnsi="Arial" w:cs="Times New Roman"/>
          <w:sz w:val="20"/>
          <w:szCs w:val="24"/>
        </w:rPr>
        <w:t xml:space="preserve"> m. </w:t>
      </w:r>
      <w:r w:rsidR="0062159A" w:rsidRPr="00C61115">
        <w:rPr>
          <w:rFonts w:ascii="Arial" w:eastAsia="MS PGothic" w:hAnsi="Arial" w:cs="Times New Roman"/>
          <w:sz w:val="20"/>
          <w:szCs w:val="24"/>
        </w:rPr>
        <w:t>pridėtinė</w:t>
      </w:r>
      <w:r w:rsidR="00BC4ECE" w:rsidRPr="00C61115">
        <w:rPr>
          <w:rFonts w:ascii="Arial" w:eastAsia="MS PGothic" w:hAnsi="Arial" w:cs="Times New Roman"/>
          <w:sz w:val="20"/>
          <w:szCs w:val="24"/>
        </w:rPr>
        <w:t>s</w:t>
      </w:r>
      <w:r w:rsidR="0062159A" w:rsidRPr="00C61115">
        <w:rPr>
          <w:rFonts w:ascii="Arial" w:eastAsia="MS PGothic" w:hAnsi="Arial" w:cs="Times New Roman"/>
          <w:sz w:val="20"/>
          <w:szCs w:val="24"/>
        </w:rPr>
        <w:t xml:space="preserve"> vertė</w:t>
      </w:r>
      <w:r w:rsidR="00BC4ECE" w:rsidRPr="00C61115">
        <w:rPr>
          <w:rFonts w:ascii="Arial" w:eastAsia="MS PGothic" w:hAnsi="Arial" w:cs="Times New Roman"/>
          <w:sz w:val="20"/>
          <w:szCs w:val="24"/>
        </w:rPr>
        <w:t>s gamybos kainomis ir m</w:t>
      </w:r>
      <w:r w:rsidR="0062159A" w:rsidRPr="00C61115">
        <w:rPr>
          <w:rFonts w:ascii="Arial" w:eastAsia="MS PGothic" w:hAnsi="Arial" w:cs="Times New Roman"/>
          <w:sz w:val="20"/>
          <w:szCs w:val="24"/>
        </w:rPr>
        <w:t>aterialin</w:t>
      </w:r>
      <w:r w:rsidR="00BC4ECE" w:rsidRPr="00C61115">
        <w:rPr>
          <w:rFonts w:ascii="Arial" w:eastAsia="MS PGothic" w:hAnsi="Arial" w:cs="Times New Roman"/>
          <w:sz w:val="20"/>
          <w:szCs w:val="24"/>
        </w:rPr>
        <w:t xml:space="preserve">ių investicijų rodikliai </w:t>
      </w:r>
      <w:r w:rsidR="0062159A" w:rsidRPr="00C61115">
        <w:rPr>
          <w:rFonts w:ascii="Arial" w:eastAsia="MS PGothic" w:hAnsi="Arial" w:cs="Times New Roman"/>
          <w:sz w:val="20"/>
          <w:szCs w:val="24"/>
        </w:rPr>
        <w:t xml:space="preserve">neturėjo </w:t>
      </w:r>
      <w:r w:rsidR="00BC4ECE" w:rsidRPr="00C61115">
        <w:rPr>
          <w:rFonts w:ascii="Arial" w:eastAsia="MS PGothic" w:hAnsi="Arial" w:cs="Times New Roman"/>
          <w:sz w:val="20"/>
          <w:szCs w:val="24"/>
        </w:rPr>
        <w:t>nuoseklių kitimo tendencijų.</w:t>
      </w:r>
      <w:r w:rsidR="007160E3" w:rsidRPr="00C61115">
        <w:rPr>
          <w:rFonts w:ascii="Arial" w:eastAsia="MS PGothic" w:hAnsi="Arial" w:cs="Times New Roman"/>
          <w:sz w:val="20"/>
          <w:szCs w:val="24"/>
        </w:rPr>
        <w:t xml:space="preserve"> Pridėtinės vertės rodiklio kaita sutapo su tiesioginėmis užsienio investicijomis; tai galėjo būti nulemta savivaldybės ekonominės situacijos priklausomybės nuo užsienio investuotojo ir naftos rinkos pokyčių.</w:t>
      </w:r>
      <w:r w:rsidR="00C61115" w:rsidRPr="00C61115">
        <w:rPr>
          <w:rFonts w:ascii="Arial" w:eastAsia="MS PGothic" w:hAnsi="Arial" w:cs="Times New Roman"/>
          <w:sz w:val="20"/>
          <w:szCs w:val="24"/>
        </w:rPr>
        <w:t xml:space="preserve"> Materialinių investicijų rodiklio įverčiuose finansų krizės poveikis atsispindėjo šiek tiek vėliau: didžiausias nuosmukis stebimas 2010 m. Vis dėlto prieš-krizini</w:t>
      </w:r>
      <w:r w:rsidR="00C61115">
        <w:rPr>
          <w:rFonts w:ascii="Arial" w:eastAsia="MS PGothic" w:hAnsi="Arial" w:cs="Times New Roman"/>
          <w:sz w:val="20"/>
          <w:szCs w:val="24"/>
        </w:rPr>
        <w:t>o laikotarpio rodi</w:t>
      </w:r>
      <w:r w:rsidR="00523A8D">
        <w:rPr>
          <w:rFonts w:ascii="Arial" w:eastAsia="MS PGothic" w:hAnsi="Arial" w:cs="Times New Roman"/>
          <w:sz w:val="20"/>
          <w:szCs w:val="24"/>
        </w:rPr>
        <w:t xml:space="preserve">klio reikšmės nepasiekė. </w:t>
      </w:r>
      <w:r w:rsidR="00123257" w:rsidRPr="00C61115">
        <w:rPr>
          <w:rFonts w:ascii="Arial" w:eastAsia="MS PGothic" w:hAnsi="Arial" w:cs="Times New Roman"/>
          <w:sz w:val="20"/>
          <w:szCs w:val="24"/>
        </w:rPr>
        <w:t xml:space="preserve">Apibendrinant, </w:t>
      </w:r>
      <w:r w:rsidR="00523A8D">
        <w:rPr>
          <w:rFonts w:ascii="Arial" w:eastAsia="MS PGothic" w:hAnsi="Arial" w:cs="Times New Roman"/>
          <w:sz w:val="20"/>
          <w:szCs w:val="24"/>
        </w:rPr>
        <w:t>Mažeikių</w:t>
      </w:r>
      <w:r w:rsidR="00182A6D" w:rsidRPr="00C61115">
        <w:rPr>
          <w:rFonts w:ascii="Arial" w:eastAsia="MS PGothic" w:hAnsi="Arial" w:cs="Times New Roman"/>
          <w:sz w:val="20"/>
          <w:szCs w:val="24"/>
        </w:rPr>
        <w:t xml:space="preserve"> rajono </w:t>
      </w:r>
      <w:r w:rsidR="00123257" w:rsidRPr="00C61115">
        <w:rPr>
          <w:rFonts w:ascii="Arial" w:eastAsia="MS PGothic" w:hAnsi="Arial" w:cs="Times New Roman"/>
          <w:sz w:val="20"/>
          <w:szCs w:val="24"/>
        </w:rPr>
        <w:t>ekonominės veiklos rodikliai</w:t>
      </w:r>
      <w:r w:rsidR="00B72614" w:rsidRPr="00C61115">
        <w:rPr>
          <w:rFonts w:ascii="Arial" w:eastAsia="MS PGothic" w:hAnsi="Arial" w:cs="Times New Roman"/>
          <w:sz w:val="20"/>
          <w:szCs w:val="24"/>
        </w:rPr>
        <w:t xml:space="preserve"> </w:t>
      </w:r>
      <w:r w:rsidR="00006BDE" w:rsidRPr="00C61115">
        <w:rPr>
          <w:rFonts w:ascii="Arial" w:eastAsia="MS PGothic" w:hAnsi="Arial" w:cs="Times New Roman"/>
          <w:sz w:val="20"/>
          <w:szCs w:val="24"/>
        </w:rPr>
        <w:t xml:space="preserve">programavimo laikotarpio metu atspindėję bendras nacionalines tendencijas, </w:t>
      </w:r>
      <w:r w:rsidR="00B72614" w:rsidRPr="00C61115">
        <w:rPr>
          <w:rFonts w:ascii="Arial" w:eastAsia="MS PGothic" w:hAnsi="Arial" w:cs="Times New Roman"/>
          <w:sz w:val="20"/>
          <w:szCs w:val="24"/>
        </w:rPr>
        <w:t xml:space="preserve"> </w:t>
      </w:r>
      <w:r w:rsidR="00523A8D">
        <w:rPr>
          <w:rFonts w:ascii="Arial" w:eastAsia="MS PGothic" w:hAnsi="Arial" w:cs="Times New Roman"/>
          <w:sz w:val="20"/>
          <w:szCs w:val="24"/>
        </w:rPr>
        <w:t>programavimo laikotarpio pabaigoje vėl ėmė prastėti.</w:t>
      </w:r>
    </w:p>
    <w:p w:rsidR="008A1509" w:rsidRPr="00C61115" w:rsidRDefault="008A1509" w:rsidP="008A1509">
      <w:pPr>
        <w:pStyle w:val="Caption"/>
        <w:keepNext/>
      </w:pPr>
      <w:r w:rsidRPr="00C61115">
        <w:fldChar w:fldCharType="begin"/>
      </w:r>
      <w:r w:rsidRPr="00C61115">
        <w:instrText xml:space="preserve"> SEQ paveikslas \* ARABIC </w:instrText>
      </w:r>
      <w:r w:rsidRPr="00C61115">
        <w:fldChar w:fldCharType="separate"/>
      </w:r>
      <w:r w:rsidRPr="00C61115">
        <w:t>6</w:t>
      </w:r>
      <w:r w:rsidRPr="00C61115">
        <w:fldChar w:fldCharType="end"/>
      </w:r>
      <w:r w:rsidRPr="00C61115">
        <w:t xml:space="preserve"> paveikslas. Ekonominės veiklos rodikliai</w:t>
      </w:r>
    </w:p>
    <w:p w:rsidR="007F52E7" w:rsidRPr="00C61115" w:rsidRDefault="007F52E7" w:rsidP="007F52E7">
      <w:r w:rsidRPr="00C61115">
        <w:rPr>
          <w:noProof/>
          <w:lang w:val="en-US"/>
        </w:rPr>
        <w:drawing>
          <wp:anchor distT="0" distB="0" distL="114300" distR="114300" simplePos="0" relativeHeight="251686912" behindDoc="0" locked="0" layoutInCell="1" allowOverlap="1" wp14:anchorId="623DAA1F" wp14:editId="755AB676">
            <wp:simplePos x="0" y="0"/>
            <wp:positionH relativeFrom="margin">
              <wp:align>left</wp:align>
            </wp:positionH>
            <wp:positionV relativeFrom="paragraph">
              <wp:posOffset>7080</wp:posOffset>
            </wp:positionV>
            <wp:extent cx="4606017" cy="2685369"/>
            <wp:effectExtent l="0" t="0" r="4445" b="127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7650A6" w:rsidRDefault="007650A6" w:rsidP="00805F6F">
      <w:pPr>
        <w:pStyle w:val="Caption"/>
        <w:spacing w:before="240" w:after="240"/>
        <w:rPr>
          <w:b w:val="0"/>
        </w:rPr>
      </w:pPr>
    </w:p>
    <w:p w:rsidR="007650A6" w:rsidRDefault="007650A6" w:rsidP="00805F6F">
      <w:pPr>
        <w:pStyle w:val="Caption"/>
        <w:spacing w:before="240" w:after="240"/>
        <w:rPr>
          <w:b w:val="0"/>
        </w:rPr>
      </w:pPr>
    </w:p>
    <w:p w:rsidR="007650A6" w:rsidRDefault="007650A6" w:rsidP="00805F6F">
      <w:pPr>
        <w:pStyle w:val="Caption"/>
        <w:spacing w:before="240" w:after="240"/>
        <w:rPr>
          <w:b w:val="0"/>
        </w:rPr>
      </w:pPr>
    </w:p>
    <w:p w:rsidR="007650A6" w:rsidRDefault="007650A6" w:rsidP="00805F6F">
      <w:pPr>
        <w:pStyle w:val="Caption"/>
        <w:spacing w:before="240" w:after="240"/>
        <w:rPr>
          <w:b w:val="0"/>
        </w:rPr>
      </w:pPr>
    </w:p>
    <w:p w:rsidR="007650A6" w:rsidRDefault="007650A6" w:rsidP="00805F6F">
      <w:pPr>
        <w:pStyle w:val="Caption"/>
        <w:spacing w:before="240" w:after="240"/>
        <w:rPr>
          <w:b w:val="0"/>
        </w:rPr>
      </w:pPr>
    </w:p>
    <w:p w:rsidR="007650A6" w:rsidRDefault="007650A6" w:rsidP="00805F6F">
      <w:pPr>
        <w:pStyle w:val="Caption"/>
        <w:spacing w:before="240" w:after="240"/>
        <w:rPr>
          <w:b w:val="0"/>
        </w:rPr>
      </w:pPr>
    </w:p>
    <w:p w:rsidR="007650A6" w:rsidRDefault="007650A6" w:rsidP="00805F6F">
      <w:pPr>
        <w:pStyle w:val="Caption"/>
        <w:spacing w:before="240" w:after="240"/>
        <w:rPr>
          <w:b w:val="0"/>
        </w:rPr>
      </w:pPr>
    </w:p>
    <w:p w:rsidR="007650A6" w:rsidRDefault="007650A6" w:rsidP="00805F6F">
      <w:pPr>
        <w:pStyle w:val="Caption"/>
        <w:spacing w:before="240" w:after="240"/>
        <w:rPr>
          <w:b w:val="0"/>
        </w:rPr>
      </w:pPr>
    </w:p>
    <w:p w:rsidR="007650A6" w:rsidRDefault="007650A6" w:rsidP="00805F6F">
      <w:pPr>
        <w:pStyle w:val="Caption"/>
        <w:spacing w:before="240" w:after="240"/>
        <w:rPr>
          <w:b w:val="0"/>
        </w:rPr>
      </w:pPr>
    </w:p>
    <w:p w:rsidR="004E0E71" w:rsidRPr="00C61115" w:rsidRDefault="004E0E71" w:rsidP="00805F6F">
      <w:pPr>
        <w:pStyle w:val="Caption"/>
        <w:spacing w:before="240" w:after="240"/>
        <w:rPr>
          <w:b w:val="0"/>
        </w:rPr>
      </w:pPr>
      <w:r w:rsidRPr="00C61115">
        <w:rPr>
          <w:b w:val="0"/>
        </w:rPr>
        <w:t>Šaltinis: Statistiko</w:t>
      </w:r>
      <w:r w:rsidR="0062159A" w:rsidRPr="00C61115">
        <w:rPr>
          <w:b w:val="0"/>
        </w:rPr>
        <w:t>s</w:t>
      </w:r>
      <w:r w:rsidRPr="00C61115">
        <w:rPr>
          <w:b w:val="0"/>
        </w:rPr>
        <w:t xml:space="preserve"> departamentas</w:t>
      </w:r>
    </w:p>
    <w:p w:rsidR="00942138" w:rsidRPr="00C61115" w:rsidRDefault="006C4D28" w:rsidP="005166EC">
      <w:pPr>
        <w:pStyle w:val="Heading1"/>
        <w:numPr>
          <w:ilvl w:val="1"/>
          <w:numId w:val="1"/>
        </w:numPr>
        <w:spacing w:before="1200" w:after="240"/>
        <w:rPr>
          <w:rFonts w:ascii="Arial" w:hAnsi="Arial" w:cs="Arial"/>
          <w:b w:val="0"/>
          <w:sz w:val="28"/>
        </w:rPr>
      </w:pPr>
      <w:r w:rsidRPr="00C61115">
        <w:rPr>
          <w:rFonts w:ascii="Arial" w:hAnsi="Arial" w:cs="Arial"/>
          <w:b w:val="0"/>
          <w:sz w:val="28"/>
        </w:rPr>
        <w:t>ES struktūrinės paramos poveikis</w:t>
      </w:r>
    </w:p>
    <w:p w:rsidR="001E3402" w:rsidRDefault="0020150F" w:rsidP="005166EC">
      <w:pPr>
        <w:jc w:val="both"/>
        <w:rPr>
          <w:rFonts w:ascii="Arial" w:eastAsia="MS PGothic" w:hAnsi="Arial" w:cs="Times New Roman"/>
          <w:sz w:val="20"/>
          <w:szCs w:val="24"/>
        </w:rPr>
      </w:pPr>
      <w:r w:rsidRPr="00C751C8">
        <w:rPr>
          <w:rFonts w:ascii="Arial" w:eastAsia="MS PGothic" w:hAnsi="Arial" w:cs="Times New Roman"/>
          <w:noProof/>
          <w:sz w:val="20"/>
          <w:szCs w:val="24"/>
          <w:lang w:val="en-US"/>
        </w:rPr>
        <mc:AlternateContent>
          <mc:Choice Requires="wps">
            <w:drawing>
              <wp:anchor distT="0" distB="0" distL="114300" distR="114300" simplePos="0" relativeHeight="251688960" behindDoc="1" locked="0" layoutInCell="1" allowOverlap="1" wp14:anchorId="5D24C8CF" wp14:editId="67388670">
                <wp:simplePos x="0" y="0"/>
                <wp:positionH relativeFrom="column">
                  <wp:posOffset>7620</wp:posOffset>
                </wp:positionH>
                <wp:positionV relativeFrom="paragraph">
                  <wp:posOffset>1571625</wp:posOffset>
                </wp:positionV>
                <wp:extent cx="5015230" cy="1364615"/>
                <wp:effectExtent l="0" t="0" r="13970" b="26035"/>
                <wp:wrapTight wrapText="bothSides">
                  <wp:wrapPolygon edited="0">
                    <wp:start x="0" y="0"/>
                    <wp:lineTo x="0" y="21711"/>
                    <wp:lineTo x="21578" y="21711"/>
                    <wp:lineTo x="2157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1364615"/>
                        </a:xfrm>
                        <a:prstGeom prst="rect">
                          <a:avLst/>
                        </a:prstGeom>
                        <a:solidFill>
                          <a:srgbClr val="FFFFFF"/>
                        </a:solidFill>
                        <a:ln w="9525">
                          <a:solidFill>
                            <a:srgbClr val="000000"/>
                          </a:solidFill>
                          <a:miter lim="800000"/>
                          <a:headEnd/>
                          <a:tailEnd/>
                        </a:ln>
                      </wps:spPr>
                      <wps:txbx>
                        <w:txbxContent>
                          <w:p w:rsidR="0020150F" w:rsidRDefault="0020150F" w:rsidP="0020150F">
                            <w:pPr>
                              <w:jc w:val="both"/>
                              <w:rPr>
                                <w:rFonts w:ascii="Arial" w:hAnsi="Arial" w:cs="Arial"/>
                                <w:b/>
                                <w:sz w:val="16"/>
                                <w:szCs w:val="16"/>
                              </w:rPr>
                            </w:pPr>
                            <w:r w:rsidRPr="0020150F">
                              <w:rPr>
                                <w:rFonts w:ascii="Arial" w:hAnsi="Arial" w:cs="Arial"/>
                                <w:b/>
                                <w:sz w:val="16"/>
                                <w:szCs w:val="16"/>
                              </w:rPr>
                              <w:t>Vandens tiekimo ir nuotekų tvarkymo infrastruktūros plėtra Mažeikių rajone (Viekšniuose)</w:t>
                            </w:r>
                            <w:r>
                              <w:rPr>
                                <w:rFonts w:ascii="Arial" w:hAnsi="Arial" w:cs="Arial"/>
                                <w:b/>
                                <w:sz w:val="16"/>
                                <w:szCs w:val="16"/>
                              </w:rPr>
                              <w:t xml:space="preserve">, </w:t>
                            </w:r>
                            <w:r w:rsidRPr="0020150F">
                              <w:rPr>
                                <w:rFonts w:ascii="Arial" w:hAnsi="Arial" w:cs="Arial"/>
                                <w:b/>
                                <w:sz w:val="16"/>
                                <w:szCs w:val="16"/>
                              </w:rPr>
                              <w:t>VP3-3.1-AM-01-V-05-017</w:t>
                            </w:r>
                          </w:p>
                          <w:p w:rsidR="0020150F" w:rsidRPr="0020150F" w:rsidRDefault="0020150F" w:rsidP="0020150F">
                            <w:pPr>
                              <w:jc w:val="both"/>
                              <w:rPr>
                                <w:rFonts w:ascii="Arial" w:hAnsi="Arial" w:cs="Arial"/>
                                <w:sz w:val="16"/>
                                <w:szCs w:val="16"/>
                              </w:rPr>
                            </w:pPr>
                            <w:r w:rsidRPr="0020150F">
                              <w:rPr>
                                <w:rFonts w:ascii="Arial" w:hAnsi="Arial" w:cs="Arial"/>
                                <w:sz w:val="16"/>
                                <w:szCs w:val="16"/>
                              </w:rPr>
                              <w:t>Centralizuoto vandens tiekimo ir nuotekų tvarkymo tinklų išplėtimas geriausiai užtikrin</w:t>
                            </w:r>
                            <w:r>
                              <w:rPr>
                                <w:rFonts w:ascii="Arial" w:hAnsi="Arial" w:cs="Arial"/>
                                <w:sz w:val="16"/>
                                <w:szCs w:val="16"/>
                              </w:rPr>
                              <w:t>a</w:t>
                            </w:r>
                            <w:r w:rsidRPr="0020150F">
                              <w:rPr>
                                <w:rFonts w:ascii="Arial" w:hAnsi="Arial" w:cs="Arial"/>
                                <w:sz w:val="16"/>
                                <w:szCs w:val="16"/>
                              </w:rPr>
                              <w:t xml:space="preserve"> savivaldybės funkcijų (prievolių) - aprūpinti gyventojus kokybišku vandeniu bei pagal reikalavimus išleidžiamų nuotekų tvarkymu - vykdymą. Kadangi Viekšnių miestelio teritorija yra gana tankiai apgyvendinta sanitariniu, ekonominiu ir aplinkosauginiu požiūriais, centralizuotas vandens t</w:t>
                            </w:r>
                            <w:r>
                              <w:rPr>
                                <w:rFonts w:ascii="Arial" w:hAnsi="Arial" w:cs="Arial"/>
                                <w:sz w:val="16"/>
                                <w:szCs w:val="16"/>
                              </w:rPr>
                              <w:t>iekimas ir nuotekų tvarkymas buvo laikomas geriausiu būdu</w:t>
                            </w:r>
                            <w:r w:rsidRPr="0020150F">
                              <w:rPr>
                                <w:rFonts w:ascii="Arial" w:hAnsi="Arial" w:cs="Arial"/>
                                <w:sz w:val="16"/>
                                <w:szCs w:val="16"/>
                              </w:rPr>
                              <w:t xml:space="preserve"> išspręsti gyventojų problemas ir taip pagerinti jų gyvenimo sąlygas. </w:t>
                            </w:r>
                            <w:r>
                              <w:rPr>
                                <w:rFonts w:ascii="Arial" w:hAnsi="Arial" w:cs="Arial"/>
                                <w:sz w:val="16"/>
                                <w:szCs w:val="16"/>
                              </w:rPr>
                              <w:t>Tokiu b8du projektas prisidėjo prie darnaus vystymosi principo įgyvendinimo tiek ekonominiu, tiek socialiniu, tiek aplinkosauginiu aspektais.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6pt;margin-top:123.75pt;width:394.9pt;height:107.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">
                <v:textbox>
                  <w:txbxContent>
                    <w:p w:rsidR="0020150F" w:rsidRDefault="0020150F" w:rsidP="0020150F">
                      <w:pPr>
                        <w:jc w:val="both"/>
                        <w:rPr>
                          <w:rFonts w:ascii="Arial" w:hAnsi="Arial" w:cs="Arial"/>
                          <w:b/>
                          <w:sz w:val="16"/>
                          <w:szCs w:val="16"/>
                        </w:rPr>
                      </w:pPr>
                      <w:r w:rsidRPr="0020150F">
                        <w:rPr>
                          <w:rFonts w:ascii="Arial" w:hAnsi="Arial" w:cs="Arial"/>
                          <w:b/>
                          <w:sz w:val="16"/>
                          <w:szCs w:val="16"/>
                        </w:rPr>
                        <w:t>Vandens tiekimo ir nuotekų tvarkymo infrastruktūros plėtra Mažeikių rajone (Viekšniuose)</w:t>
                      </w:r>
                      <w:r>
                        <w:rPr>
                          <w:rFonts w:ascii="Arial" w:hAnsi="Arial" w:cs="Arial"/>
                          <w:b/>
                          <w:sz w:val="16"/>
                          <w:szCs w:val="16"/>
                        </w:rPr>
                        <w:t xml:space="preserve">, </w:t>
                      </w:r>
                      <w:r w:rsidRPr="0020150F">
                        <w:rPr>
                          <w:rFonts w:ascii="Arial" w:hAnsi="Arial" w:cs="Arial"/>
                          <w:b/>
                          <w:sz w:val="16"/>
                          <w:szCs w:val="16"/>
                        </w:rPr>
                        <w:t>VP3-3.1-AM-01-V-05-017</w:t>
                      </w:r>
                    </w:p>
                    <w:p w:rsidR="0020150F" w:rsidRPr="0020150F" w:rsidRDefault="0020150F" w:rsidP="0020150F">
                      <w:pPr>
                        <w:jc w:val="both"/>
                        <w:rPr>
                          <w:rFonts w:ascii="Arial" w:hAnsi="Arial" w:cs="Arial"/>
                          <w:sz w:val="16"/>
                          <w:szCs w:val="16"/>
                        </w:rPr>
                      </w:pPr>
                      <w:r w:rsidRPr="0020150F">
                        <w:rPr>
                          <w:rFonts w:ascii="Arial" w:hAnsi="Arial" w:cs="Arial"/>
                          <w:sz w:val="16"/>
                          <w:szCs w:val="16"/>
                        </w:rPr>
                        <w:t>Centralizuoto vandens tiekimo ir nuotekų tvarkymo tinklų išplėtimas geriausiai užtikrin</w:t>
                      </w:r>
                      <w:r>
                        <w:rPr>
                          <w:rFonts w:ascii="Arial" w:hAnsi="Arial" w:cs="Arial"/>
                          <w:sz w:val="16"/>
                          <w:szCs w:val="16"/>
                        </w:rPr>
                        <w:t>a</w:t>
                      </w:r>
                      <w:r w:rsidRPr="0020150F">
                        <w:rPr>
                          <w:rFonts w:ascii="Arial" w:hAnsi="Arial" w:cs="Arial"/>
                          <w:sz w:val="16"/>
                          <w:szCs w:val="16"/>
                        </w:rPr>
                        <w:t xml:space="preserve"> savivaldybės funkcijų (prievolių) - aprūpinti gyventojus kokybišku vandeniu bei pagal reikalavimus išleidžiamų nuotekų tvarkymu - vykdymą. Kadangi Viekšnių miestelio teritorija yra gana tankiai apgyvendinta sanitariniu, ekonominiu ir aplinkosauginiu požiūriais, centralizuotas vandens t</w:t>
                      </w:r>
                      <w:r>
                        <w:rPr>
                          <w:rFonts w:ascii="Arial" w:hAnsi="Arial" w:cs="Arial"/>
                          <w:sz w:val="16"/>
                          <w:szCs w:val="16"/>
                        </w:rPr>
                        <w:t>iekimas ir nuotekų tvarkymas buvo laikomas geriausiu būdu</w:t>
                      </w:r>
                      <w:r w:rsidRPr="0020150F">
                        <w:rPr>
                          <w:rFonts w:ascii="Arial" w:hAnsi="Arial" w:cs="Arial"/>
                          <w:sz w:val="16"/>
                          <w:szCs w:val="16"/>
                        </w:rPr>
                        <w:t xml:space="preserve"> išspręsti gyventojų problemas ir taip pagerinti jų gyvenimo sąlygas. </w:t>
                      </w:r>
                      <w:r>
                        <w:rPr>
                          <w:rFonts w:ascii="Arial" w:hAnsi="Arial" w:cs="Arial"/>
                          <w:sz w:val="16"/>
                          <w:szCs w:val="16"/>
                        </w:rPr>
                        <w:t>Tokiu b8du projektas prisidėjo prie darnaus vystymosi principo įgyvendinimo tiek ekonominiu, tiek socialiniu, tiek aplinkosauginiu aspektais.</w:t>
                      </w:r>
                    </w:p>
                  </w:txbxContent>
                </v:textbox>
                <w10:wrap type="tight"/>
              </v:shape>
            </w:pict>
          </mc:Fallback>
        </mc:AlternateContent>
      </w:r>
      <w:r w:rsidR="006C4D28" w:rsidRPr="00C61115">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C61115">
        <w:rPr>
          <w:rFonts w:ascii="Arial" w:eastAsia="MS PGothic" w:hAnsi="Arial" w:cs="Times New Roman"/>
          <w:sz w:val="20"/>
          <w:szCs w:val="24"/>
        </w:rPr>
        <w:t xml:space="preserve">teritorijų gaivinimo programas. </w:t>
      </w:r>
      <w:r w:rsidR="00BF63D3" w:rsidRPr="00C61115">
        <w:rPr>
          <w:rFonts w:ascii="Arial" w:eastAsia="MS PGothic" w:hAnsi="Arial" w:cs="Times New Roman"/>
          <w:sz w:val="20"/>
          <w:szCs w:val="24"/>
        </w:rPr>
        <w:t xml:space="preserve">Pagrindiniai </w:t>
      </w:r>
      <w:r w:rsidR="00006BDE" w:rsidRPr="00C61115">
        <w:rPr>
          <w:rFonts w:ascii="Arial" w:eastAsia="MS PGothic" w:hAnsi="Arial" w:cs="Times New Roman"/>
          <w:sz w:val="20"/>
          <w:szCs w:val="24"/>
        </w:rPr>
        <w:t>Ignalinos rajono</w:t>
      </w:r>
      <w:r w:rsidR="00BF63D3" w:rsidRPr="00C61115">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 ir </w:t>
      </w:r>
      <w:r w:rsidR="005166EC" w:rsidRPr="00C61115">
        <w:rPr>
          <w:rFonts w:ascii="Arial" w:eastAsia="MS PGothic" w:hAnsi="Arial" w:cs="Times New Roman"/>
          <w:sz w:val="20"/>
          <w:szCs w:val="24"/>
        </w:rPr>
        <w:t>kompleksinės urbanistinės plėtros projektų įgyvendinimą</w:t>
      </w:r>
      <w:r w:rsidR="00BF63D3" w:rsidRPr="00C61115">
        <w:rPr>
          <w:rFonts w:ascii="Arial" w:eastAsia="MS PGothic" w:hAnsi="Arial" w:cs="Times New Roman"/>
          <w:sz w:val="20"/>
          <w:szCs w:val="24"/>
        </w:rPr>
        <w:t>.</w:t>
      </w:r>
      <w:r w:rsidR="00D66F8E" w:rsidRPr="00C61115">
        <w:rPr>
          <w:rStyle w:val="FootnoteReference"/>
          <w:rFonts w:ascii="Arial" w:eastAsia="MS PGothic" w:hAnsi="Arial" w:cs="Times New Roman"/>
          <w:sz w:val="20"/>
          <w:szCs w:val="24"/>
        </w:rPr>
        <w:footnoteReference w:id="1"/>
      </w:r>
      <w:r w:rsidR="002D1DCE" w:rsidRPr="00C61115">
        <w:rPr>
          <w:rFonts w:ascii="Arial" w:eastAsia="MS PGothic" w:hAnsi="Arial" w:cs="Times New Roman"/>
          <w:sz w:val="20"/>
          <w:szCs w:val="24"/>
        </w:rPr>
        <w:t xml:space="preserve"> Taigi ir ES SF lėšos daugiausia buvo investuotos</w:t>
      </w:r>
      <w:r w:rsidR="00006BDE" w:rsidRPr="00C61115">
        <w:rPr>
          <w:rFonts w:ascii="Arial" w:eastAsia="MS PGothic" w:hAnsi="Arial" w:cs="Times New Roman"/>
          <w:sz w:val="20"/>
          <w:szCs w:val="24"/>
        </w:rPr>
        <w:t xml:space="preserve"> į fizinės aplinkos gerinimą, kelių </w:t>
      </w:r>
      <w:r w:rsidR="00D66F8E" w:rsidRPr="00C61115">
        <w:rPr>
          <w:rFonts w:ascii="Arial" w:eastAsia="MS PGothic" w:hAnsi="Arial" w:cs="Times New Roman"/>
          <w:sz w:val="20"/>
          <w:szCs w:val="24"/>
        </w:rPr>
        <w:t xml:space="preserve">infrastruktūros atnaujinimą, </w:t>
      </w:r>
      <w:r w:rsidR="005166EC" w:rsidRPr="00C61115">
        <w:rPr>
          <w:rFonts w:ascii="Arial" w:eastAsia="MS PGothic" w:hAnsi="Arial" w:cs="Times New Roman"/>
          <w:sz w:val="20"/>
          <w:szCs w:val="24"/>
        </w:rPr>
        <w:t>viešosios paskirties pastatų</w:t>
      </w:r>
      <w:r w:rsidR="00D66F8E" w:rsidRPr="00C61115">
        <w:rPr>
          <w:rFonts w:ascii="Arial" w:eastAsia="MS PGothic" w:hAnsi="Arial" w:cs="Times New Roman"/>
          <w:sz w:val="20"/>
          <w:szCs w:val="24"/>
        </w:rPr>
        <w:t xml:space="preserve"> renovavimą. </w:t>
      </w:r>
      <w:r w:rsidR="001E3402" w:rsidRPr="00C61115">
        <w:rPr>
          <w:rFonts w:ascii="Arial" w:eastAsia="MS PGothic" w:hAnsi="Arial" w:cs="Times New Roman"/>
          <w:sz w:val="20"/>
          <w:szCs w:val="24"/>
        </w:rPr>
        <w:t>Vis dėlto, v</w:t>
      </w:r>
      <w:r w:rsidR="005166EC" w:rsidRPr="00C61115">
        <w:rPr>
          <w:rFonts w:ascii="Arial" w:eastAsia="MS PGothic" w:hAnsi="Arial" w:cs="Times New Roman"/>
          <w:sz w:val="20"/>
          <w:szCs w:val="24"/>
        </w:rPr>
        <w:t>ertinant probleminių teritorijų lygmeniu gautą finansavimą buvo pastebėta, kad skirtos lėšos</w:t>
      </w:r>
      <w:r w:rsidR="001E3402" w:rsidRPr="00C61115">
        <w:rPr>
          <w:rFonts w:ascii="Arial" w:eastAsia="MS PGothic" w:hAnsi="Arial" w:cs="Times New Roman"/>
          <w:sz w:val="20"/>
          <w:szCs w:val="24"/>
        </w:rPr>
        <w:t xml:space="preserve"> </w:t>
      </w:r>
      <w:r w:rsidR="005166EC" w:rsidRPr="00C61115">
        <w:rPr>
          <w:rFonts w:ascii="Arial" w:eastAsia="MS PGothic" w:hAnsi="Arial" w:cs="Times New Roman"/>
          <w:sz w:val="20"/>
          <w:szCs w:val="24"/>
        </w:rPr>
        <w:t xml:space="preserve">nebuvo pakankamos siekiant įgyvendinti programoje numatytus tikslus. </w:t>
      </w:r>
    </w:p>
    <w:p w:rsidR="002D1DCE" w:rsidRPr="00C61115" w:rsidRDefault="002D1DCE" w:rsidP="002D1DCE">
      <w:pPr>
        <w:jc w:val="both"/>
        <w:rPr>
          <w:rFonts w:ascii="Arial" w:eastAsia="MS PGothic" w:hAnsi="Arial" w:cs="Times New Roman"/>
          <w:sz w:val="20"/>
          <w:szCs w:val="24"/>
        </w:rPr>
      </w:pPr>
      <w:r w:rsidRPr="00C61115">
        <w:rPr>
          <w:rFonts w:ascii="Arial" w:eastAsia="MS PGothic" w:hAnsi="Arial" w:cs="Times New Roman"/>
          <w:sz w:val="20"/>
          <w:szCs w:val="24"/>
        </w:rPr>
        <w:t>ES struktūrinių fondų lėšos didžiausią įtaką darė fizinės aplinkos gerinimo ir ekonominės veiklos skatinimo srityse, kuriant ir plėtojant gyvenamosios aplinkos</w:t>
      </w:r>
      <w:r w:rsidR="00006BDE" w:rsidRPr="00C61115">
        <w:rPr>
          <w:rFonts w:ascii="Arial" w:eastAsia="MS PGothic" w:hAnsi="Arial" w:cs="Times New Roman"/>
          <w:sz w:val="20"/>
          <w:szCs w:val="24"/>
        </w:rPr>
        <w:t xml:space="preserve">, </w:t>
      </w:r>
      <w:r w:rsidR="00C47152">
        <w:rPr>
          <w:rFonts w:ascii="Arial" w:eastAsia="MS PGothic" w:hAnsi="Arial" w:cs="Times New Roman"/>
          <w:sz w:val="20"/>
          <w:szCs w:val="24"/>
        </w:rPr>
        <w:t>automobilių kelių</w:t>
      </w:r>
      <w:r w:rsidRPr="00C61115">
        <w:rPr>
          <w:rFonts w:ascii="Arial" w:eastAsia="MS PGothic" w:hAnsi="Arial" w:cs="Times New Roman"/>
          <w:sz w:val="20"/>
          <w:szCs w:val="24"/>
        </w:rPr>
        <w:t xml:space="preserve"> infrastruktūrą.</w:t>
      </w:r>
      <w:r w:rsidR="00006BDE" w:rsidRPr="00C61115">
        <w:rPr>
          <w:rFonts w:ascii="Arial" w:eastAsia="MS PGothic" w:hAnsi="Arial" w:cs="Times New Roman"/>
          <w:sz w:val="20"/>
          <w:szCs w:val="24"/>
        </w:rPr>
        <w:t xml:space="preserve"> Verslo aplinkos gerinimo ir įmonių konkurencingumo</w:t>
      </w:r>
      <w:r w:rsidR="001E3402" w:rsidRPr="00C61115">
        <w:rPr>
          <w:rFonts w:ascii="Arial" w:eastAsia="MS PGothic" w:hAnsi="Arial" w:cs="Times New Roman"/>
          <w:sz w:val="20"/>
          <w:szCs w:val="24"/>
        </w:rPr>
        <w:t xml:space="preserve"> </w:t>
      </w:r>
      <w:r w:rsidR="00006BDE" w:rsidRPr="00C61115">
        <w:rPr>
          <w:rFonts w:ascii="Arial" w:eastAsia="MS PGothic" w:hAnsi="Arial" w:cs="Times New Roman"/>
          <w:sz w:val="20"/>
          <w:szCs w:val="24"/>
        </w:rPr>
        <w:t xml:space="preserve">srityje </w:t>
      </w:r>
      <w:r w:rsidR="00C47152">
        <w:rPr>
          <w:rFonts w:ascii="Arial" w:eastAsia="MS PGothic" w:hAnsi="Arial" w:cs="Times New Roman"/>
          <w:sz w:val="20"/>
          <w:szCs w:val="24"/>
        </w:rPr>
        <w:t>įgyvendinti projektai buvo palyginti fragmentiški ir prie didesnių pokyčių neprisidėjo</w:t>
      </w:r>
      <w:r w:rsidR="00006BDE" w:rsidRPr="00C61115">
        <w:rPr>
          <w:rFonts w:ascii="Arial" w:eastAsia="MS PGothic" w:hAnsi="Arial" w:cs="Times New Roman"/>
          <w:sz w:val="20"/>
          <w:szCs w:val="24"/>
        </w:rPr>
        <w:t>. Į</w:t>
      </w:r>
      <w:r w:rsidRPr="00C61115">
        <w:rPr>
          <w:rFonts w:ascii="Arial" w:eastAsia="MS PGothic" w:hAnsi="Arial" w:cs="Times New Roman"/>
          <w:sz w:val="20"/>
          <w:szCs w:val="24"/>
        </w:rPr>
        <w:t>vertinus ES struktūrinių fondų investavimo</w:t>
      </w:r>
      <w:bookmarkStart w:id="0" w:name="_GoBack"/>
      <w:bookmarkEnd w:id="0"/>
      <w:r w:rsidRPr="00C61115">
        <w:rPr>
          <w:rFonts w:ascii="Arial" w:eastAsia="MS PGothic" w:hAnsi="Arial" w:cs="Times New Roman"/>
          <w:sz w:val="20"/>
          <w:szCs w:val="24"/>
        </w:rPr>
        <w:t xml:space="preserve"> kryptis ir stebimus socio-ekonominius bei aplinkos taršos rodiklių pokyčius, galima teigti, kad </w:t>
      </w:r>
      <w:r w:rsidR="00C47152">
        <w:rPr>
          <w:rFonts w:ascii="Arial" w:eastAsia="MS PGothic" w:hAnsi="Arial" w:cs="Times New Roman"/>
          <w:sz w:val="20"/>
          <w:szCs w:val="24"/>
        </w:rPr>
        <w:t>Mažeikių</w:t>
      </w:r>
      <w:r w:rsidR="00006BDE" w:rsidRPr="00C61115">
        <w:rPr>
          <w:rFonts w:ascii="Arial" w:eastAsia="MS PGothic" w:hAnsi="Arial" w:cs="Times New Roman"/>
          <w:sz w:val="20"/>
          <w:szCs w:val="24"/>
        </w:rPr>
        <w:t xml:space="preserve"> rajono savivaldybėje ES SF didesnio poveikio socio-ekonominių rodiklių kaitai nepadarė. </w:t>
      </w:r>
      <w:r w:rsidR="00AA6707">
        <w:rPr>
          <w:rFonts w:ascii="Arial" w:eastAsia="MS PGothic" w:hAnsi="Arial" w:cs="Times New Roman"/>
          <w:sz w:val="20"/>
          <w:szCs w:val="24"/>
        </w:rPr>
        <w:t xml:space="preserve">Vis dėlto tikėtina, kad investicijos į gamtos kapitalo išteklius </w:t>
      </w:r>
      <w:r w:rsidR="001C29E5">
        <w:rPr>
          <w:rFonts w:ascii="Arial" w:eastAsia="MS PGothic" w:hAnsi="Arial" w:cs="Times New Roman"/>
          <w:sz w:val="20"/>
          <w:szCs w:val="24"/>
        </w:rPr>
        <w:t>teigiamai veikė aplinkos kokybę ir padėjo efektyviau suvaldyti neigiamą pramonės poveikė aplinkos taršai.</w:t>
      </w:r>
    </w:p>
    <w:p w:rsidR="00745B48" w:rsidRPr="00C61115" w:rsidRDefault="00745B48" w:rsidP="00A2570C">
      <w:pPr>
        <w:jc w:val="both"/>
        <w:rPr>
          <w:rFonts w:ascii="Arial" w:eastAsia="MS PGothic" w:hAnsi="Arial" w:cs="Times New Roman"/>
          <w:sz w:val="20"/>
          <w:szCs w:val="24"/>
        </w:rPr>
      </w:pPr>
    </w:p>
    <w:p w:rsidR="00897144" w:rsidRPr="00C61115" w:rsidRDefault="00897144">
      <w:pPr>
        <w:jc w:val="both"/>
        <w:rPr>
          <w:rFonts w:ascii="Arial" w:eastAsia="MS PGothic" w:hAnsi="Arial" w:cs="Times New Roman"/>
          <w:sz w:val="20"/>
          <w:szCs w:val="24"/>
        </w:rPr>
      </w:pPr>
    </w:p>
    <w:sectPr w:rsidR="00897144" w:rsidRPr="00C61115" w:rsidSect="00252B4A">
      <w:footerReference w:type="default" r:id="rId19"/>
      <w:footerReference w:type="first" r:id="rId20"/>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BFF" w:rsidRDefault="00770BFF">
      <w:pPr>
        <w:spacing w:after="0" w:line="240" w:lineRule="auto"/>
      </w:pPr>
      <w:r>
        <w:separator/>
      </w:r>
    </w:p>
  </w:endnote>
  <w:endnote w:type="continuationSeparator" w:id="0">
    <w:p w:rsidR="00770BFF" w:rsidRDefault="0077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20150F">
          <w:rPr>
            <w:noProof/>
          </w:rPr>
          <w:t>3</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20150F">
          <w:rPr>
            <w:noProof/>
            <w:szCs w:val="17"/>
          </w:rPr>
          <w:t>1</w:t>
        </w:r>
        <w:r w:rsidRPr="00DC7F6C">
          <w:rPr>
            <w:noProof/>
            <w:szCs w:val="17"/>
          </w:rPr>
          <w:fldChar w:fldCharType="end"/>
        </w:r>
      </w:p>
    </w:sdtContent>
  </w:sdt>
  <w:p w:rsidR="00C45115" w:rsidRPr="00BE0549" w:rsidRDefault="0020150F"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BFF" w:rsidRDefault="00770BFF">
      <w:pPr>
        <w:spacing w:after="0" w:line="240" w:lineRule="auto"/>
      </w:pPr>
      <w:r>
        <w:separator/>
      </w:r>
    </w:p>
  </w:footnote>
  <w:footnote w:type="continuationSeparator" w:id="0">
    <w:p w:rsidR="00770BFF" w:rsidRDefault="00770BFF">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06BDE"/>
    <w:rsid w:val="0001054F"/>
    <w:rsid w:val="0001131C"/>
    <w:rsid w:val="00020455"/>
    <w:rsid w:val="000252B1"/>
    <w:rsid w:val="00031E4B"/>
    <w:rsid w:val="000534F9"/>
    <w:rsid w:val="0006433C"/>
    <w:rsid w:val="000C024B"/>
    <w:rsid w:val="000C341E"/>
    <w:rsid w:val="000D5BA5"/>
    <w:rsid w:val="000D77A0"/>
    <w:rsid w:val="000F56AE"/>
    <w:rsid w:val="00101E5E"/>
    <w:rsid w:val="00110C88"/>
    <w:rsid w:val="00123257"/>
    <w:rsid w:val="001253F5"/>
    <w:rsid w:val="00136152"/>
    <w:rsid w:val="00162D6F"/>
    <w:rsid w:val="00180338"/>
    <w:rsid w:val="00182A6D"/>
    <w:rsid w:val="001A72A7"/>
    <w:rsid w:val="001B09C3"/>
    <w:rsid w:val="001C29E5"/>
    <w:rsid w:val="001E095D"/>
    <w:rsid w:val="001E3402"/>
    <w:rsid w:val="001F2140"/>
    <w:rsid w:val="0020150F"/>
    <w:rsid w:val="0020507E"/>
    <w:rsid w:val="0020781B"/>
    <w:rsid w:val="0021741F"/>
    <w:rsid w:val="00231F9C"/>
    <w:rsid w:val="0023534D"/>
    <w:rsid w:val="00242947"/>
    <w:rsid w:val="00245A8A"/>
    <w:rsid w:val="00245FC3"/>
    <w:rsid w:val="00253066"/>
    <w:rsid w:val="00255C61"/>
    <w:rsid w:val="002677E8"/>
    <w:rsid w:val="00284741"/>
    <w:rsid w:val="00295323"/>
    <w:rsid w:val="002A3F19"/>
    <w:rsid w:val="002B4036"/>
    <w:rsid w:val="002C673B"/>
    <w:rsid w:val="002D1DCE"/>
    <w:rsid w:val="002D76C1"/>
    <w:rsid w:val="002E30F9"/>
    <w:rsid w:val="002F2E98"/>
    <w:rsid w:val="002F53F5"/>
    <w:rsid w:val="003102D0"/>
    <w:rsid w:val="00316283"/>
    <w:rsid w:val="00326A1B"/>
    <w:rsid w:val="00356065"/>
    <w:rsid w:val="0035623C"/>
    <w:rsid w:val="0037112C"/>
    <w:rsid w:val="003851F2"/>
    <w:rsid w:val="00397FF3"/>
    <w:rsid w:val="003A6449"/>
    <w:rsid w:val="003B6A9C"/>
    <w:rsid w:val="003D195A"/>
    <w:rsid w:val="003D276A"/>
    <w:rsid w:val="003E5F95"/>
    <w:rsid w:val="00412185"/>
    <w:rsid w:val="00424FB7"/>
    <w:rsid w:val="004358A2"/>
    <w:rsid w:val="0044118D"/>
    <w:rsid w:val="00462CCD"/>
    <w:rsid w:val="004722C7"/>
    <w:rsid w:val="004743DF"/>
    <w:rsid w:val="0048233F"/>
    <w:rsid w:val="004A5F6F"/>
    <w:rsid w:val="004B45DE"/>
    <w:rsid w:val="004B5207"/>
    <w:rsid w:val="004C6B41"/>
    <w:rsid w:val="004E0E71"/>
    <w:rsid w:val="00501B52"/>
    <w:rsid w:val="005166EC"/>
    <w:rsid w:val="00523A8D"/>
    <w:rsid w:val="00535003"/>
    <w:rsid w:val="00540ADA"/>
    <w:rsid w:val="005411B7"/>
    <w:rsid w:val="00554B62"/>
    <w:rsid w:val="005577BB"/>
    <w:rsid w:val="00560E0D"/>
    <w:rsid w:val="00591462"/>
    <w:rsid w:val="00594D44"/>
    <w:rsid w:val="005D34E4"/>
    <w:rsid w:val="005D7C5E"/>
    <w:rsid w:val="005E245E"/>
    <w:rsid w:val="00604D62"/>
    <w:rsid w:val="0061421F"/>
    <w:rsid w:val="0062033D"/>
    <w:rsid w:val="0062159A"/>
    <w:rsid w:val="00621899"/>
    <w:rsid w:val="00631113"/>
    <w:rsid w:val="00634F47"/>
    <w:rsid w:val="00645918"/>
    <w:rsid w:val="00660951"/>
    <w:rsid w:val="00666001"/>
    <w:rsid w:val="00687A46"/>
    <w:rsid w:val="006B7576"/>
    <w:rsid w:val="006C16C9"/>
    <w:rsid w:val="006C4D28"/>
    <w:rsid w:val="006E0752"/>
    <w:rsid w:val="0070345E"/>
    <w:rsid w:val="007160E3"/>
    <w:rsid w:val="007349E9"/>
    <w:rsid w:val="00742C97"/>
    <w:rsid w:val="00745B48"/>
    <w:rsid w:val="00761250"/>
    <w:rsid w:val="007650A6"/>
    <w:rsid w:val="00770BFF"/>
    <w:rsid w:val="00771A85"/>
    <w:rsid w:val="007B1E88"/>
    <w:rsid w:val="007B57EE"/>
    <w:rsid w:val="007D0C4A"/>
    <w:rsid w:val="007F0777"/>
    <w:rsid w:val="007F52E7"/>
    <w:rsid w:val="00800911"/>
    <w:rsid w:val="0080175F"/>
    <w:rsid w:val="00805F6F"/>
    <w:rsid w:val="008701B2"/>
    <w:rsid w:val="00881D15"/>
    <w:rsid w:val="008856B5"/>
    <w:rsid w:val="00897144"/>
    <w:rsid w:val="008A1509"/>
    <w:rsid w:val="008B1202"/>
    <w:rsid w:val="008C718B"/>
    <w:rsid w:val="008F6941"/>
    <w:rsid w:val="00917C1E"/>
    <w:rsid w:val="00923DC7"/>
    <w:rsid w:val="00942138"/>
    <w:rsid w:val="009A35E9"/>
    <w:rsid w:val="009A43BA"/>
    <w:rsid w:val="009D1D9B"/>
    <w:rsid w:val="009D7299"/>
    <w:rsid w:val="009F1A90"/>
    <w:rsid w:val="00A2570C"/>
    <w:rsid w:val="00A552B8"/>
    <w:rsid w:val="00A57626"/>
    <w:rsid w:val="00A650FA"/>
    <w:rsid w:val="00A70602"/>
    <w:rsid w:val="00A90A5D"/>
    <w:rsid w:val="00AA3395"/>
    <w:rsid w:val="00AA6707"/>
    <w:rsid w:val="00AE6D59"/>
    <w:rsid w:val="00AF0119"/>
    <w:rsid w:val="00AF7F8C"/>
    <w:rsid w:val="00B13875"/>
    <w:rsid w:val="00B320FB"/>
    <w:rsid w:val="00B35CC8"/>
    <w:rsid w:val="00B47E2E"/>
    <w:rsid w:val="00B72614"/>
    <w:rsid w:val="00B76AF6"/>
    <w:rsid w:val="00BA0105"/>
    <w:rsid w:val="00BC4ECE"/>
    <w:rsid w:val="00BF63D3"/>
    <w:rsid w:val="00C01E16"/>
    <w:rsid w:val="00C24D75"/>
    <w:rsid w:val="00C266D6"/>
    <w:rsid w:val="00C363C5"/>
    <w:rsid w:val="00C369A0"/>
    <w:rsid w:val="00C47152"/>
    <w:rsid w:val="00C61115"/>
    <w:rsid w:val="00C6486A"/>
    <w:rsid w:val="00C751C8"/>
    <w:rsid w:val="00C83C6E"/>
    <w:rsid w:val="00C849C4"/>
    <w:rsid w:val="00C979EF"/>
    <w:rsid w:val="00C97DE2"/>
    <w:rsid w:val="00CB7E91"/>
    <w:rsid w:val="00CD0222"/>
    <w:rsid w:val="00CF47D0"/>
    <w:rsid w:val="00D01CEF"/>
    <w:rsid w:val="00D31B3A"/>
    <w:rsid w:val="00D3459A"/>
    <w:rsid w:val="00D41C73"/>
    <w:rsid w:val="00D62EB8"/>
    <w:rsid w:val="00D65C3C"/>
    <w:rsid w:val="00D66F8E"/>
    <w:rsid w:val="00D81B36"/>
    <w:rsid w:val="00DC3E9D"/>
    <w:rsid w:val="00DC7F6C"/>
    <w:rsid w:val="00DF75BE"/>
    <w:rsid w:val="00E21622"/>
    <w:rsid w:val="00E41636"/>
    <w:rsid w:val="00E50A2D"/>
    <w:rsid w:val="00E5283B"/>
    <w:rsid w:val="00E55606"/>
    <w:rsid w:val="00E56004"/>
    <w:rsid w:val="00E561C3"/>
    <w:rsid w:val="00EC0A0A"/>
    <w:rsid w:val="00EC1E09"/>
    <w:rsid w:val="00ED2FB0"/>
    <w:rsid w:val="00F00692"/>
    <w:rsid w:val="00F02104"/>
    <w:rsid w:val="00F35F84"/>
    <w:rsid w:val="00F43E9F"/>
    <w:rsid w:val="00F47E08"/>
    <w:rsid w:val="00F543B3"/>
    <w:rsid w:val="00F606F0"/>
    <w:rsid w:val="00F607CD"/>
    <w:rsid w:val="00F63FF4"/>
    <w:rsid w:val="00F73ED6"/>
    <w:rsid w:val="00F86DB2"/>
    <w:rsid w:val="00FA6284"/>
    <w:rsid w:val="00FB52BA"/>
    <w:rsid w:val="00FC1F97"/>
    <w:rsid w:val="00FC34DA"/>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 w:type="character" w:styleId="FollowedHyperlink">
    <w:name w:val="FollowedHyperlink"/>
    <w:basedOn w:val="DefaultParagraphFont"/>
    <w:uiPriority w:val="99"/>
    <w:semiHidden/>
    <w:unhideWhenUsed/>
    <w:rsid w:val="005166EC"/>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 w:type="character" w:styleId="FollowedHyperlink">
    <w:name w:val="FollowedHyperlink"/>
    <w:basedOn w:val="DefaultParagraphFont"/>
    <w:uiPriority w:val="99"/>
    <w:semiHidden/>
    <w:unhideWhenUsed/>
    <w:rsid w:val="00516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hyperlink" Target="http://www.esparama.lt"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5</c:v>
                </c:pt>
                <c:pt idx="1">
                  <c:v>10</c:v>
                </c:pt>
                <c:pt idx="2">
                  <c:v>85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0.75160045466598469</c:v>
                </c:pt>
                <c:pt idx="1">
                  <c:v>8.438318369313598E-2</c:v>
                </c:pt>
                <c:pt idx="2">
                  <c:v>0.44065415312264927</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0</c:v>
                </c:pt>
                <c:pt idx="1">
                  <c:v>0.29790947682989666</c:v>
                </c:pt>
                <c:pt idx="2">
                  <c:v>0.34708470387926565</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2.6408062194543405E-2</c:v>
                </c:pt>
                <c:pt idx="2">
                  <c:v>0.21226114299808505</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0.24839954533401529</c:v>
                </c:pt>
                <c:pt idx="1">
                  <c:v>0.59129927728242393</c:v>
                </c:pt>
                <c:pt idx="2">
                  <c:v>0</c:v>
                </c:pt>
              </c:numCache>
            </c:numRef>
          </c:val>
        </c:ser>
        <c:dLbls>
          <c:showLegendKey val="0"/>
          <c:showVal val="0"/>
          <c:showCatName val="0"/>
          <c:showSerName val="0"/>
          <c:showPercent val="0"/>
          <c:showBubbleSize val="0"/>
        </c:dLbls>
        <c:gapWidth val="150"/>
        <c:overlap val="100"/>
        <c:axId val="72479872"/>
        <c:axId val="72481408"/>
      </c:barChart>
      <c:catAx>
        <c:axId val="72479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481408"/>
        <c:crosses val="autoZero"/>
        <c:auto val="1"/>
        <c:lblAlgn val="ctr"/>
        <c:lblOffset val="100"/>
        <c:noMultiLvlLbl val="0"/>
      </c:catAx>
      <c:valAx>
        <c:axId val="724814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24798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Mažeikių!$M$5</c:f>
              <c:strCache>
                <c:ptCount val="1"/>
                <c:pt idx="0">
                  <c:v>Kietosios medžiagos</c:v>
                </c:pt>
              </c:strCache>
            </c:strRef>
          </c:tx>
          <c:spPr>
            <a:solidFill>
              <a:srgbClr val="8C8C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Mažeikių!$O$4:$U$4</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Mažeikių!$N$4:$V$4</c15:sqref>
                  </c15:fullRef>
                </c:ext>
              </c:extLst>
            </c:numRef>
          </c:cat>
          <c:val>
            <c:numRef>
              <c:f>Mažeikių!$O$5:$U$5</c:f>
              <c:numCache>
                <c:formatCode>General</c:formatCode>
                <c:ptCount val="7"/>
                <c:pt idx="0">
                  <c:v>224.2</c:v>
                </c:pt>
                <c:pt idx="1">
                  <c:v>652.6</c:v>
                </c:pt>
                <c:pt idx="2">
                  <c:v>484.7</c:v>
                </c:pt>
                <c:pt idx="3">
                  <c:v>425.2</c:v>
                </c:pt>
                <c:pt idx="4">
                  <c:v>297.5</c:v>
                </c:pt>
                <c:pt idx="5">
                  <c:v>338</c:v>
                </c:pt>
                <c:pt idx="6">
                  <c:v>258</c:v>
                </c:pt>
              </c:numCache>
              <c:extLst>
                <c:ext xmlns:c15="http://schemas.microsoft.com/office/drawing/2012/chart" uri="{02D57815-91ED-43cb-92C2-25804820EDAC}">
                  <c15:fullRef>
                    <c15:sqref>Mažeikių!$N$5:$V$5</c15:sqref>
                  </c15:fullRef>
                </c:ext>
              </c:extLst>
            </c:numRef>
          </c:val>
        </c:ser>
        <c:ser>
          <c:idx val="1"/>
          <c:order val="1"/>
          <c:tx>
            <c:strRef>
              <c:f>Mažeikių!$M$6</c:f>
              <c:strCache>
                <c:ptCount val="1"/>
                <c:pt idx="0">
                  <c:v>Sieros dioksidas, tonos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Mažeikių!$O$4:$U$4</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Mažeikių!$N$4:$V$4</c15:sqref>
                  </c15:fullRef>
                </c:ext>
              </c:extLst>
            </c:numRef>
          </c:cat>
          <c:val>
            <c:numRef>
              <c:f>Mažeikių!$O$6:$U$6</c:f>
              <c:numCache>
                <c:formatCode>General</c:formatCode>
                <c:ptCount val="7"/>
                <c:pt idx="0">
                  <c:v>11844.9</c:v>
                </c:pt>
                <c:pt idx="1">
                  <c:v>12286.9</c:v>
                </c:pt>
                <c:pt idx="2">
                  <c:v>10912.2</c:v>
                </c:pt>
                <c:pt idx="3">
                  <c:v>10277.1</c:v>
                </c:pt>
                <c:pt idx="4">
                  <c:v>12603.4</c:v>
                </c:pt>
                <c:pt idx="5">
                  <c:v>10711.6</c:v>
                </c:pt>
                <c:pt idx="6">
                  <c:v>8674.2000000000007</c:v>
                </c:pt>
              </c:numCache>
              <c:extLst>
                <c:ext xmlns:c15="http://schemas.microsoft.com/office/drawing/2012/chart" uri="{02D57815-91ED-43cb-92C2-25804820EDAC}">
                  <c15:fullRef>
                    <c15:sqref>Mažeikių!$N$6:$V$6</c15:sqref>
                  </c15:fullRef>
                </c:ext>
              </c:extLst>
            </c:numRef>
          </c:val>
        </c:ser>
        <c:ser>
          <c:idx val="2"/>
          <c:order val="2"/>
          <c:tx>
            <c:strRef>
              <c:f>Mažeikių!$M$7</c:f>
              <c:strCache>
                <c:ptCount val="1"/>
                <c:pt idx="0">
                  <c:v>Azoto oksidai, tonos</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Mažeikių!$O$4:$U$4</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Mažeikių!$N$4:$V$4</c15:sqref>
                  </c15:fullRef>
                </c:ext>
              </c:extLst>
            </c:numRef>
          </c:cat>
          <c:val>
            <c:numRef>
              <c:f>Mažeikių!$O$7:$U$7</c:f>
              <c:numCache>
                <c:formatCode>General</c:formatCode>
                <c:ptCount val="7"/>
                <c:pt idx="0">
                  <c:v>1730.9</c:v>
                </c:pt>
                <c:pt idx="1">
                  <c:v>2911.7</c:v>
                </c:pt>
                <c:pt idx="2">
                  <c:v>2512.1999999999998</c:v>
                </c:pt>
                <c:pt idx="3">
                  <c:v>2434.5</c:v>
                </c:pt>
                <c:pt idx="4">
                  <c:v>1827.3</c:v>
                </c:pt>
                <c:pt idx="5">
                  <c:v>1406.2</c:v>
                </c:pt>
                <c:pt idx="6">
                  <c:v>1289</c:v>
                </c:pt>
              </c:numCache>
              <c:extLst>
                <c:ext xmlns:c15="http://schemas.microsoft.com/office/drawing/2012/chart" uri="{02D57815-91ED-43cb-92C2-25804820EDAC}">
                  <c15:fullRef>
                    <c15:sqref>Mažeikių!$N$7:$V$7</c15:sqref>
                  </c15:fullRef>
                </c:ext>
              </c:extLst>
            </c:numRef>
          </c:val>
        </c:ser>
        <c:ser>
          <c:idx val="3"/>
          <c:order val="3"/>
          <c:tx>
            <c:strRef>
              <c:f>Mažeikių!$M$8</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Mažeikių!$O$4:$U$4</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Mažeikių!$N$4:$V$4</c15:sqref>
                  </c15:fullRef>
                </c:ext>
              </c:extLst>
            </c:numRef>
          </c:cat>
          <c:val>
            <c:numRef>
              <c:f>Mažeikių!$O$8:$U$8</c:f>
              <c:numCache>
                <c:formatCode>General</c:formatCode>
                <c:ptCount val="7"/>
              </c:numCache>
              <c:extLst>
                <c:ext xmlns:c15="http://schemas.microsoft.com/office/drawing/2012/chart" uri="{02D57815-91ED-43cb-92C2-25804820EDAC}">
                  <c15:fullRef>
                    <c15:sqref>Mažeikių!$N$8:$V$8</c15:sqref>
                  </c15:fullRef>
                </c:ext>
              </c:extLst>
            </c:numRef>
          </c:val>
        </c:ser>
        <c:dLbls>
          <c:showLegendKey val="0"/>
          <c:showVal val="1"/>
          <c:showCatName val="0"/>
          <c:showSerName val="0"/>
          <c:showPercent val="0"/>
          <c:showBubbleSize val="0"/>
        </c:dLbls>
        <c:gapWidth val="75"/>
        <c:axId val="75511680"/>
        <c:axId val="75514624"/>
      </c:barChart>
      <c:lineChart>
        <c:grouping val="standard"/>
        <c:varyColors val="0"/>
        <c:ser>
          <c:idx val="4"/>
          <c:order val="4"/>
          <c:tx>
            <c:strRef>
              <c:f>Mažeikių!$M$9</c:f>
              <c:strCache>
                <c:ptCount val="1"/>
                <c:pt idx="0">
                  <c:v>Visi teršalai</c:v>
                </c:pt>
              </c:strCache>
            </c:strRef>
          </c:tx>
          <c:spPr>
            <a:ln w="28575" cap="rnd">
              <a:solidFill>
                <a:srgbClr val="3C8A2E"/>
              </a:solidFill>
              <a:round/>
            </a:ln>
            <a:effectLst/>
          </c:spPr>
          <c:marker>
            <c:symbol val="none"/>
          </c:marker>
          <c:dLbls>
            <c:delete val="1"/>
          </c:dLbls>
          <c:cat>
            <c:numRef>
              <c:f>Mažeikių!$O$4:$U$4</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Mažeikių!$N$4:$V$4</c15:sqref>
                  </c15:fullRef>
                </c:ext>
              </c:extLst>
            </c:numRef>
          </c:cat>
          <c:val>
            <c:numRef>
              <c:f>Mažeikių!$O$9:$U$9</c:f>
              <c:numCache>
                <c:formatCode>General</c:formatCode>
                <c:ptCount val="7"/>
                <c:pt idx="0">
                  <c:v>24698</c:v>
                </c:pt>
                <c:pt idx="1">
                  <c:v>30382.1</c:v>
                </c:pt>
                <c:pt idx="2">
                  <c:v>26209.200000000001</c:v>
                </c:pt>
                <c:pt idx="3">
                  <c:v>25321.200000000001</c:v>
                </c:pt>
                <c:pt idx="4">
                  <c:v>26955.9</c:v>
                </c:pt>
                <c:pt idx="5">
                  <c:v>24146.1</c:v>
                </c:pt>
                <c:pt idx="6">
                  <c:v>21897.9</c:v>
                </c:pt>
              </c:numCache>
              <c:extLst>
                <c:ext xmlns:c15="http://schemas.microsoft.com/office/drawing/2012/chart" uri="{02D57815-91ED-43cb-92C2-25804820EDAC}">
                  <c15:fullRef>
                    <c15:sqref>Mažeikių!$N$9:$V$9</c15:sqref>
                  </c15:fullRef>
                </c:ext>
              </c:extLst>
            </c:numRef>
          </c:val>
          <c:smooth val="0"/>
        </c:ser>
        <c:dLbls>
          <c:showLegendKey val="0"/>
          <c:showVal val="1"/>
          <c:showCatName val="0"/>
          <c:showSerName val="0"/>
          <c:showPercent val="0"/>
          <c:showBubbleSize val="0"/>
        </c:dLbls>
        <c:marker val="1"/>
        <c:smooth val="0"/>
        <c:axId val="75511680"/>
        <c:axId val="75514624"/>
      </c:lineChart>
      <c:lineChart>
        <c:grouping val="standard"/>
        <c:varyColors val="0"/>
        <c:ser>
          <c:idx val="5"/>
          <c:order val="5"/>
          <c:tx>
            <c:strRef>
              <c:f>Mažeikių!$M$10</c:f>
              <c:strCache>
                <c:ptCount val="1"/>
                <c:pt idx="0">
                  <c:v>Išleista išvalytų iki normos nuotekų, tūkst. M³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Mažeikių!$O$4:$U$4</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Mažeikių!$N$4:$V$4</c15:sqref>
                  </c15:fullRef>
                </c:ext>
              </c:extLst>
            </c:numRef>
          </c:cat>
          <c:val>
            <c:numRef>
              <c:f>Mažeikių!$O$10:$U$10</c:f>
              <c:numCache>
                <c:formatCode>General</c:formatCode>
                <c:ptCount val="7"/>
                <c:pt idx="0">
                  <c:v>2632</c:v>
                </c:pt>
                <c:pt idx="1">
                  <c:v>5370</c:v>
                </c:pt>
                <c:pt idx="2">
                  <c:v>5969</c:v>
                </c:pt>
                <c:pt idx="3">
                  <c:v>5907</c:v>
                </c:pt>
                <c:pt idx="4">
                  <c:v>7162</c:v>
                </c:pt>
                <c:pt idx="5">
                  <c:v>6835</c:v>
                </c:pt>
                <c:pt idx="6">
                  <c:v>7123.6</c:v>
                </c:pt>
              </c:numCache>
              <c:extLst>
                <c:ext xmlns:c15="http://schemas.microsoft.com/office/drawing/2012/chart" uri="{02D57815-91ED-43cb-92C2-25804820EDAC}">
                  <c15:fullRef>
                    <c15:sqref>Mažeikių!$N$10:$V$10</c15:sqref>
                  </c15:fullRef>
                </c:ext>
              </c:extLst>
            </c:numRef>
          </c:val>
          <c:smooth val="0"/>
          <c:extLst>
            <c:ext xmlns:c15="http://schemas.microsoft.com/office/drawing/2012/chart" uri="{02D57815-91ED-43cb-92C2-25804820EDAC}">
              <c15:categoryFilterExceptions>
                <c15:categoryFilterException>
                  <c15:sqref>Mažeikių!$O$10</c15:sqref>
                  <c15:dLbl>
                    <c:idx val="-1"/>
                    <c:layout>
                      <c:manualLayout>
                        <c:x val="-5.2159739201303991E-2"/>
                        <c:y val="-5.6085249579360626E-2"/>
                      </c:manualLayout>
                    </c:layout>
                    <c:showLegendKey val="0"/>
                    <c:showVal val="1"/>
                    <c:showCatName val="0"/>
                    <c:showSerName val="0"/>
                    <c:showPercent val="0"/>
                    <c:showBubbleSize val="0"/>
                    <c:extLst>
                      <c:ext uri="{CE6537A1-D6FC-4f65-9D91-7224C49458BB}"/>
                    </c:extLst>
                  </c15:dLbl>
                </c15:categoryFilterException>
              </c15:categoryFilterExceptions>
            </c:ext>
          </c:extLst>
        </c:ser>
        <c:dLbls>
          <c:showLegendKey val="0"/>
          <c:showVal val="1"/>
          <c:showCatName val="0"/>
          <c:showSerName val="0"/>
          <c:showPercent val="0"/>
          <c:showBubbleSize val="0"/>
        </c:dLbls>
        <c:marker val="1"/>
        <c:smooth val="0"/>
        <c:axId val="75531008"/>
        <c:axId val="75516544"/>
      </c:lineChart>
      <c:catAx>
        <c:axId val="7551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514624"/>
        <c:crosses val="autoZero"/>
        <c:auto val="1"/>
        <c:lblAlgn val="ctr"/>
        <c:lblOffset val="100"/>
        <c:noMultiLvlLbl val="0"/>
      </c:catAx>
      <c:valAx>
        <c:axId val="7551462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Tonos</a:t>
                </a:r>
                <a:endParaRPr lang="en-US"/>
              </a:p>
            </c:rich>
          </c:tx>
          <c:layout>
            <c:manualLayout>
              <c:xMode val="edge"/>
              <c:yMode val="edge"/>
              <c:x val="5.5555555555555558E-3"/>
              <c:y val="0.6809106153397492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511680"/>
        <c:crosses val="autoZero"/>
        <c:crossBetween val="between"/>
      </c:valAx>
      <c:valAx>
        <c:axId val="75516544"/>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m</a:t>
                </a:r>
                <a:r>
                  <a:rPr lang="en-US"/>
                  <a:t>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531008"/>
        <c:crosses val="max"/>
        <c:crossBetween val="between"/>
      </c:valAx>
      <c:catAx>
        <c:axId val="75531008"/>
        <c:scaling>
          <c:orientation val="minMax"/>
        </c:scaling>
        <c:delete val="1"/>
        <c:axPos val="b"/>
        <c:numFmt formatCode="General" sourceLinked="1"/>
        <c:majorTickMark val="out"/>
        <c:minorTickMark val="none"/>
        <c:tickLblPos val="nextTo"/>
        <c:crossAx val="75516544"/>
        <c:crosses val="autoZero"/>
        <c:auto val="1"/>
        <c:lblAlgn val="ctr"/>
        <c:lblOffset val="100"/>
        <c:noMultiLvlLbl val="0"/>
      </c:catAx>
      <c:spPr>
        <a:noFill/>
        <a:ln>
          <a:noFill/>
        </a:ln>
        <a:effectLst/>
      </c:spPr>
    </c:plotArea>
    <c:legend>
      <c:legendPos val="b"/>
      <c:layout>
        <c:manualLayout>
          <c:xMode val="edge"/>
          <c:yMode val="edge"/>
          <c:x val="2.6790463692038496E-2"/>
          <c:y val="0.80398330417031205"/>
          <c:w val="0.92975197171258228"/>
          <c:h val="0.192946203047555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0"/>
          <c:order val="0"/>
          <c:tx>
            <c:strRef>
              <c:f>Mažeikių!$N$16</c:f>
              <c:strCache>
                <c:ptCount val="1"/>
                <c:pt idx="0">
                  <c:v>Nuolatinių gyventojų skaičius metų pradžioje</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Mažeikių!$P$15:$V$15</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Mažeikių!$O$15:$W$15</c15:sqref>
                  </c15:fullRef>
                </c:ext>
              </c:extLst>
            </c:numRef>
          </c:cat>
          <c:val>
            <c:numRef>
              <c:f>Mažeikių!$P$16:$V$16</c:f>
              <c:numCache>
                <c:formatCode>General</c:formatCode>
                <c:ptCount val="7"/>
                <c:pt idx="0">
                  <c:v>62750</c:v>
                </c:pt>
                <c:pt idx="1">
                  <c:v>61932</c:v>
                </c:pt>
                <c:pt idx="2">
                  <c:v>61443</c:v>
                </c:pt>
                <c:pt idx="3">
                  <c:v>60471</c:v>
                </c:pt>
                <c:pt idx="4">
                  <c:v>58431</c:v>
                </c:pt>
                <c:pt idx="5">
                  <c:v>57457</c:v>
                </c:pt>
                <c:pt idx="6">
                  <c:v>56773</c:v>
                </c:pt>
              </c:numCache>
              <c:extLst>
                <c:ext xmlns:c15="http://schemas.microsoft.com/office/drawing/2012/chart" uri="{02D57815-91ED-43cb-92C2-25804820EDAC}">
                  <c15:fullRef>
                    <c15:sqref>Mažeikių!$O$16:$W$16</c15:sqref>
                  </c15:fullRef>
                </c:ext>
              </c:extLst>
            </c:numRef>
          </c:val>
        </c:ser>
        <c:ser>
          <c:idx val="1"/>
          <c:order val="1"/>
          <c:tx>
            <c:strRef>
              <c:f>Mažeikių!$N$17</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Mažeikių!$P$15:$V$15</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Mažeikių!$O$15:$W$15</c15:sqref>
                  </c15:fullRef>
                </c:ext>
              </c:extLst>
            </c:numRef>
          </c:cat>
          <c:val>
            <c:numRef>
              <c:f>Mažeikių!$P$17:$V$17</c:f>
              <c:numCache>
                <c:formatCode>General</c:formatCode>
                <c:ptCount val="7"/>
                <c:pt idx="0">
                  <c:v>39640</c:v>
                </c:pt>
                <c:pt idx="1">
                  <c:v>39439</c:v>
                </c:pt>
                <c:pt idx="2">
                  <c:v>39442</c:v>
                </c:pt>
                <c:pt idx="3">
                  <c:v>38911</c:v>
                </c:pt>
                <c:pt idx="4">
                  <c:v>36988</c:v>
                </c:pt>
                <c:pt idx="5">
                  <c:v>36212</c:v>
                </c:pt>
                <c:pt idx="6">
                  <c:v>35840</c:v>
                </c:pt>
              </c:numCache>
              <c:extLst>
                <c:ext xmlns:c15="http://schemas.microsoft.com/office/drawing/2012/chart" uri="{02D57815-91ED-43cb-92C2-25804820EDAC}">
                  <c15:fullRef>
                    <c15:sqref>Mažeikių!$O$17:$W$17</c15:sqref>
                  </c15:fullRef>
                </c:ext>
              </c:extLst>
            </c:numRef>
          </c:val>
        </c:ser>
        <c:ser>
          <c:idx val="2"/>
          <c:order val="2"/>
          <c:tx>
            <c:strRef>
              <c:f>Mažeikių!$N$18</c:f>
              <c:strCache>
                <c:ptCount val="1"/>
                <c:pt idx="0">
                  <c:v>Pensinio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Mažeikių!$P$15:$V$15</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Mažeikių!$O$15:$W$15</c15:sqref>
                  </c15:fullRef>
                </c:ext>
              </c:extLst>
            </c:numRef>
          </c:cat>
          <c:val>
            <c:numRef>
              <c:f>Mažeikių!$P$18:$V$18</c:f>
              <c:numCache>
                <c:formatCode>General</c:formatCode>
                <c:ptCount val="7"/>
                <c:pt idx="0">
                  <c:v>10361</c:v>
                </c:pt>
                <c:pt idx="1">
                  <c:v>10324</c:v>
                </c:pt>
                <c:pt idx="2">
                  <c:v>10394</c:v>
                </c:pt>
                <c:pt idx="3">
                  <c:v>10434</c:v>
                </c:pt>
                <c:pt idx="4">
                  <c:v>10855</c:v>
                </c:pt>
                <c:pt idx="5">
                  <c:v>11002</c:v>
                </c:pt>
                <c:pt idx="6">
                  <c:v>10959</c:v>
                </c:pt>
              </c:numCache>
              <c:extLst>
                <c:ext xmlns:c15="http://schemas.microsoft.com/office/drawing/2012/chart" uri="{02D57815-91ED-43cb-92C2-25804820EDAC}">
                  <c15:fullRef>
                    <c15:sqref>Mažeikių!$O$18:$W$18</c15:sqref>
                  </c15:fullRef>
                </c:ext>
              </c:extLst>
            </c:numRef>
          </c:val>
        </c:ser>
        <c:dLbls>
          <c:showLegendKey val="0"/>
          <c:showVal val="0"/>
          <c:showCatName val="0"/>
          <c:showSerName val="0"/>
          <c:showPercent val="0"/>
          <c:showBubbleSize val="0"/>
        </c:dLbls>
        <c:gapWidth val="219"/>
        <c:overlap val="-27"/>
        <c:axId val="75584256"/>
        <c:axId val="75585792"/>
      </c:barChart>
      <c:lineChart>
        <c:grouping val="standard"/>
        <c:varyColors val="0"/>
        <c:ser>
          <c:idx val="3"/>
          <c:order val="3"/>
          <c:tx>
            <c:strRef>
              <c:f>Mažeikių!$N$19</c:f>
              <c:strCache>
                <c:ptCount val="1"/>
                <c:pt idx="0">
                  <c:v>Registruotų bedarbių ir darbingo amžiaus gyventojų santykis | proc.</c:v>
                </c:pt>
              </c:strCache>
            </c:strRef>
          </c:tx>
          <c:spPr>
            <a:ln w="28575" cap="rnd">
              <a:solidFill>
                <a:srgbClr val="00A1DE"/>
              </a:solidFill>
              <a:round/>
            </a:ln>
            <a:effectLst/>
          </c:spPr>
          <c:marker>
            <c:symbol val="none"/>
          </c:marker>
          <c:cat>
            <c:numRef>
              <c:f>Mažeikių!$P$15:$V$15</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Mažeikių!$O$15:$W$15</c15:sqref>
                  </c15:fullRef>
                </c:ext>
              </c:extLst>
            </c:numRef>
          </c:cat>
          <c:val>
            <c:numRef>
              <c:f>Mažeikių!$P$19:$V$19</c:f>
              <c:numCache>
                <c:formatCode>General</c:formatCode>
                <c:ptCount val="7"/>
                <c:pt idx="0">
                  <c:v>5</c:v>
                </c:pt>
                <c:pt idx="1">
                  <c:v>4.8</c:v>
                </c:pt>
                <c:pt idx="2">
                  <c:v>13.3</c:v>
                </c:pt>
                <c:pt idx="3">
                  <c:v>21.5</c:v>
                </c:pt>
                <c:pt idx="4">
                  <c:v>19.100000000000001</c:v>
                </c:pt>
                <c:pt idx="5">
                  <c:v>17.3</c:v>
                </c:pt>
                <c:pt idx="6">
                  <c:v>16.2</c:v>
                </c:pt>
              </c:numCache>
              <c:extLst>
                <c:ext xmlns:c15="http://schemas.microsoft.com/office/drawing/2012/chart" uri="{02D57815-91ED-43cb-92C2-25804820EDAC}">
                  <c15:fullRef>
                    <c15:sqref>Mažeikių!$O$19:$W$19</c15:sqref>
                  </c15:fullRef>
                </c:ext>
              </c:extLst>
            </c:numRef>
          </c:val>
          <c:smooth val="0"/>
        </c:ser>
        <c:dLbls>
          <c:showLegendKey val="0"/>
          <c:showVal val="0"/>
          <c:showCatName val="0"/>
          <c:showSerName val="0"/>
          <c:showPercent val="0"/>
          <c:showBubbleSize val="0"/>
        </c:dLbls>
        <c:marker val="1"/>
        <c:smooth val="0"/>
        <c:axId val="75605504"/>
        <c:axId val="75603968"/>
      </c:lineChart>
      <c:catAx>
        <c:axId val="7558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585792"/>
        <c:crosses val="autoZero"/>
        <c:auto val="1"/>
        <c:lblAlgn val="ctr"/>
        <c:lblOffset val="100"/>
        <c:noMultiLvlLbl val="0"/>
      </c:catAx>
      <c:valAx>
        <c:axId val="75585792"/>
        <c:scaling>
          <c:orientation val="minMax"/>
          <c:max val="65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584256"/>
        <c:crosses val="autoZero"/>
        <c:crossBetween val="between"/>
      </c:valAx>
      <c:valAx>
        <c:axId val="75603968"/>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605504"/>
        <c:crosses val="max"/>
        <c:crossBetween val="between"/>
      </c:valAx>
      <c:catAx>
        <c:axId val="75605504"/>
        <c:scaling>
          <c:orientation val="minMax"/>
        </c:scaling>
        <c:delete val="1"/>
        <c:axPos val="b"/>
        <c:numFmt formatCode="General" sourceLinked="1"/>
        <c:majorTickMark val="out"/>
        <c:minorTickMark val="none"/>
        <c:tickLblPos val="nextTo"/>
        <c:crossAx val="75603968"/>
        <c:crosses val="autoZero"/>
        <c:auto val="1"/>
        <c:lblAlgn val="ctr"/>
        <c:lblOffset val="100"/>
        <c:noMultiLvlLbl val="0"/>
      </c:catAx>
      <c:spPr>
        <a:noFill/>
        <a:ln>
          <a:noFill/>
        </a:ln>
        <a:effectLst/>
      </c:spPr>
    </c:plotArea>
    <c:legend>
      <c:legendPos val="b"/>
      <c:layout>
        <c:manualLayout>
          <c:xMode val="edge"/>
          <c:yMode val="edge"/>
          <c:x val="7.3523622047244113E-3"/>
          <c:y val="0.78547317002041395"/>
          <c:w val="0.97973972003499565"/>
          <c:h val="0.186749052201808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Mažeikių!$L$44</c:f>
              <c:strCache>
                <c:ptCount val="1"/>
                <c:pt idx="0">
                  <c:v>Pridėtinė vertė gamybos kainomis pagal veiklos vykdymo vietą | tūkst. EUR</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Mažeikių!$N$42:$T$42</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Mažeikių!$M$42:$U$42</c15:sqref>
                  </c15:fullRef>
                </c:ext>
              </c:extLst>
            </c:numRef>
          </c:cat>
          <c:val>
            <c:numRef>
              <c:f>Mažeikių!$N$44:$T$44</c:f>
              <c:numCache>
                <c:formatCode>General</c:formatCode>
                <c:ptCount val="7"/>
                <c:pt idx="0">
                  <c:v>256313</c:v>
                </c:pt>
                <c:pt idx="1">
                  <c:v>164099</c:v>
                </c:pt>
                <c:pt idx="2">
                  <c:v>213371</c:v>
                </c:pt>
                <c:pt idx="3">
                  <c:v>302955</c:v>
                </c:pt>
                <c:pt idx="4">
                  <c:v>352347</c:v>
                </c:pt>
                <c:pt idx="5">
                  <c:v>354241</c:v>
                </c:pt>
                <c:pt idx="6">
                  <c:v>236673</c:v>
                </c:pt>
              </c:numCache>
              <c:extLst>
                <c:ext xmlns:c15="http://schemas.microsoft.com/office/drawing/2012/chart" uri="{02D57815-91ED-43cb-92C2-25804820EDAC}">
                  <c15:fullRef>
                    <c15:sqref>Mažeikių!$M$44:$U$44</c15:sqref>
                  </c15:fullRef>
                </c:ext>
              </c:extLst>
            </c:numRef>
          </c:val>
        </c:ser>
        <c:ser>
          <c:idx val="2"/>
          <c:order val="2"/>
          <c:tx>
            <c:strRef>
              <c:f>Mažeikių!$L$45</c:f>
              <c:strCache>
                <c:ptCount val="1"/>
                <c:pt idx="0">
                  <c:v>Materialinės investicijos to meto kainomis | tūkst. EUR</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Mažeikių!$N$42:$T$42</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Mažeikių!$M$42:$U$42</c15:sqref>
                  </c15:fullRef>
                </c:ext>
              </c:extLst>
            </c:numRef>
          </c:cat>
          <c:val>
            <c:numRef>
              <c:f>Mažeikių!$N$45:$T$45</c:f>
              <c:numCache>
                <c:formatCode>General</c:formatCode>
                <c:ptCount val="7"/>
                <c:pt idx="0">
                  <c:v>378672</c:v>
                </c:pt>
                <c:pt idx="1">
                  <c:v>248356</c:v>
                </c:pt>
                <c:pt idx="2">
                  <c:v>90421</c:v>
                </c:pt>
                <c:pt idx="3">
                  <c:v>50812</c:v>
                </c:pt>
                <c:pt idx="4">
                  <c:v>100976</c:v>
                </c:pt>
                <c:pt idx="5">
                  <c:v>140270</c:v>
                </c:pt>
                <c:pt idx="6">
                  <c:v>132222</c:v>
                </c:pt>
              </c:numCache>
              <c:extLst>
                <c:ext xmlns:c15="http://schemas.microsoft.com/office/drawing/2012/chart" uri="{02D57815-91ED-43cb-92C2-25804820EDAC}">
                  <c15:fullRef>
                    <c15:sqref>Mažeikių!$M$45:$U$45</c15:sqref>
                  </c15:fullRef>
                </c:ext>
              </c:extLst>
            </c:numRef>
          </c:val>
        </c:ser>
        <c:dLbls>
          <c:showLegendKey val="0"/>
          <c:showVal val="0"/>
          <c:showCatName val="0"/>
          <c:showSerName val="0"/>
          <c:showPercent val="0"/>
          <c:showBubbleSize val="0"/>
        </c:dLbls>
        <c:gapWidth val="219"/>
        <c:overlap val="-27"/>
        <c:axId val="75652480"/>
        <c:axId val="75662464"/>
      </c:barChart>
      <c:lineChart>
        <c:grouping val="standard"/>
        <c:varyColors val="0"/>
        <c:ser>
          <c:idx val="0"/>
          <c:order val="0"/>
          <c:tx>
            <c:strRef>
              <c:f>Mažeikių!$L$43</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Mažeikių!$N$42:$T$42</c:f>
              <c:numCache>
                <c:formatCode>General</c:formatCode>
                <c:ptCount val="7"/>
                <c:pt idx="0">
                  <c:v>2007</c:v>
                </c:pt>
                <c:pt idx="1">
                  <c:v>2008</c:v>
                </c:pt>
                <c:pt idx="2">
                  <c:v>2009</c:v>
                </c:pt>
                <c:pt idx="3">
                  <c:v>2010</c:v>
                </c:pt>
                <c:pt idx="4">
                  <c:v>2011</c:v>
                </c:pt>
                <c:pt idx="5">
                  <c:v>2012</c:v>
                </c:pt>
                <c:pt idx="6">
                  <c:v>2013</c:v>
                </c:pt>
              </c:numCache>
              <c:extLst>
                <c:ext xmlns:c15="http://schemas.microsoft.com/office/drawing/2012/chart" uri="{02D57815-91ED-43cb-92C2-25804820EDAC}">
                  <c15:fullRef>
                    <c15:sqref>Mažeikių!$M$42:$U$42</c15:sqref>
                  </c15:fullRef>
                </c:ext>
              </c:extLst>
            </c:numRef>
          </c:cat>
          <c:val>
            <c:numRef>
              <c:f>Mažeikių!$N$43:$T$43</c:f>
              <c:numCache>
                <c:formatCode>General</c:formatCode>
                <c:ptCount val="7"/>
                <c:pt idx="0">
                  <c:v>27307</c:v>
                </c:pt>
                <c:pt idx="1">
                  <c:v>6930</c:v>
                </c:pt>
                <c:pt idx="2">
                  <c:v>12369</c:v>
                </c:pt>
                <c:pt idx="3">
                  <c:v>17287</c:v>
                </c:pt>
                <c:pt idx="4">
                  <c:v>18715</c:v>
                </c:pt>
                <c:pt idx="5">
                  <c:v>17938</c:v>
                </c:pt>
                <c:pt idx="6">
                  <c:v>17017</c:v>
                </c:pt>
              </c:numCache>
              <c:extLst>
                <c:ext xmlns:c15="http://schemas.microsoft.com/office/drawing/2012/chart" uri="{02D57815-91ED-43cb-92C2-25804820EDAC}">
                  <c15:fullRef>
                    <c15:sqref>Mažeikių!$M$43:$U$43</c15:sqref>
                  </c15:fullRef>
                </c:ext>
              </c:extLst>
            </c:numRef>
          </c:val>
          <c:smooth val="0"/>
        </c:ser>
        <c:dLbls>
          <c:showLegendKey val="0"/>
          <c:showVal val="0"/>
          <c:showCatName val="0"/>
          <c:showSerName val="0"/>
          <c:showPercent val="0"/>
          <c:showBubbleSize val="0"/>
        </c:dLbls>
        <c:marker val="1"/>
        <c:smooth val="0"/>
        <c:axId val="75691136"/>
        <c:axId val="75664384"/>
      </c:lineChart>
      <c:catAx>
        <c:axId val="75652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662464"/>
        <c:crosses val="autoZero"/>
        <c:auto val="1"/>
        <c:lblAlgn val="ctr"/>
        <c:lblOffset val="100"/>
        <c:noMultiLvlLbl val="0"/>
      </c:catAx>
      <c:valAx>
        <c:axId val="75662464"/>
        <c:scaling>
          <c:orientation val="minMax"/>
          <c:max val="400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5.5555555555555558E-3"/>
              <c:y val="0.672925780110819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652480"/>
        <c:crosses val="autoZero"/>
        <c:crossBetween val="between"/>
      </c:valAx>
      <c:valAx>
        <c:axId val="75664384"/>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EUR</a:t>
                </a:r>
                <a:endParaRPr lang="en-US"/>
              </a:p>
            </c:rich>
          </c:tx>
          <c:layout>
            <c:manualLayout>
              <c:xMode val="edge"/>
              <c:yMode val="edge"/>
              <c:x val="0.97489501232843911"/>
              <c:y val="0.67899867764914246"/>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75691136"/>
        <c:crosses val="max"/>
        <c:crossBetween val="between"/>
      </c:valAx>
      <c:catAx>
        <c:axId val="75691136"/>
        <c:scaling>
          <c:orientation val="minMax"/>
        </c:scaling>
        <c:delete val="1"/>
        <c:axPos val="b"/>
        <c:numFmt formatCode="General" sourceLinked="1"/>
        <c:majorTickMark val="out"/>
        <c:minorTickMark val="none"/>
        <c:tickLblPos val="nextTo"/>
        <c:crossAx val="75664384"/>
        <c:crosses val="autoZero"/>
        <c:auto val="1"/>
        <c:lblAlgn val="ctr"/>
        <c:lblOffset val="100"/>
        <c:noMultiLvlLbl val="0"/>
      </c:catAx>
      <c:spPr>
        <a:noFill/>
        <a:ln>
          <a:noFill/>
        </a:ln>
        <a:effectLst/>
      </c:spPr>
    </c:plotArea>
    <c:legend>
      <c:legendPos val="b"/>
      <c:layout>
        <c:manualLayout>
          <c:xMode val="edge"/>
          <c:yMode val="edge"/>
          <c:x val="1.5685695538057744E-2"/>
          <c:y val="0.80399168853893266"/>
          <c:w val="0.97973972003499565"/>
          <c:h val="0.186749052201808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3F02-61BC-42AC-A6D5-5A772568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5</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87</cp:revision>
  <cp:lastPrinted>2016-03-02T08:05:00Z</cp:lastPrinted>
  <dcterms:created xsi:type="dcterms:W3CDTF">2016-03-01T20:52:00Z</dcterms:created>
  <dcterms:modified xsi:type="dcterms:W3CDTF">2016-06-02T20:50:00Z</dcterms:modified>
</cp:coreProperties>
</file>