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566C1F" w:rsidRDefault="00027CBA" w:rsidP="0080175F">
      <w:pPr>
        <w:pStyle w:val="001-lineSectionheading"/>
        <w:spacing w:after="240"/>
        <w:outlineLvl w:val="0"/>
        <w:rPr>
          <w:noProof w:val="0"/>
          <w:sz w:val="52"/>
        </w:rPr>
      </w:pPr>
      <w:r w:rsidRPr="00566C1F">
        <w:rPr>
          <w:noProof w:val="0"/>
          <w:sz w:val="52"/>
        </w:rPr>
        <w:t>Pasvalio</w:t>
      </w:r>
      <w:r w:rsidR="00F02104" w:rsidRPr="00566C1F">
        <w:rPr>
          <w:noProof w:val="0"/>
          <w:sz w:val="52"/>
        </w:rPr>
        <w:t xml:space="preserve"> rajono</w:t>
      </w:r>
      <w:r w:rsidR="005577BB" w:rsidRPr="00566C1F">
        <w:rPr>
          <w:noProof w:val="0"/>
          <w:sz w:val="52"/>
        </w:rPr>
        <w:t xml:space="preserve"> savivaldybės analizė</w:t>
      </w:r>
    </w:p>
    <w:p w:rsidR="00C849C4" w:rsidRPr="00566C1F" w:rsidRDefault="00C849C4" w:rsidP="002B4036">
      <w:pPr>
        <w:pStyle w:val="Deloittebodytext"/>
        <w:spacing w:line="240" w:lineRule="auto"/>
        <w:jc w:val="both"/>
        <w:rPr>
          <w:lang w:val="lt-LT"/>
        </w:rPr>
      </w:pPr>
      <w:r w:rsidRPr="00566C1F">
        <w:rPr>
          <w:lang w:val="lt-LT"/>
        </w:rPr>
        <w:t>Toliau pateikiama vien</w:t>
      </w:r>
      <w:r w:rsidR="00955E14" w:rsidRPr="00566C1F">
        <w:rPr>
          <w:lang w:val="lt-LT"/>
        </w:rPr>
        <w:t xml:space="preserve">os iš </w:t>
      </w:r>
      <w:r w:rsidR="00E12034" w:rsidRPr="00566C1F">
        <w:rPr>
          <w:lang w:val="lt-LT"/>
        </w:rPr>
        <w:t>p</w:t>
      </w:r>
      <w:r w:rsidR="00027CBA" w:rsidRPr="00566C1F">
        <w:rPr>
          <w:lang w:val="lt-LT"/>
        </w:rPr>
        <w:t>robleminių teritorijų – Pasvalio</w:t>
      </w:r>
      <w:r w:rsidRPr="00566C1F">
        <w:rPr>
          <w:lang w:val="lt-LT"/>
        </w:rPr>
        <w:t xml:space="preserve"> rajono savivaldybės – atvejo stud</w:t>
      </w:r>
      <w:r w:rsidR="001F2140" w:rsidRPr="00566C1F">
        <w:rPr>
          <w:lang w:val="lt-LT"/>
        </w:rPr>
        <w:t>ija. Pirma, yra pristatoma ES struktūrinių fondų</w:t>
      </w:r>
      <w:r w:rsidRPr="00566C1F">
        <w:rPr>
          <w:lang w:val="lt-LT"/>
        </w:rPr>
        <w:t xml:space="preserve"> finansavimo apžvalga, aptariamos pagrindinės i</w:t>
      </w:r>
      <w:r w:rsidR="002E30F9" w:rsidRPr="00566C1F">
        <w:rPr>
          <w:lang w:val="lt-LT"/>
        </w:rPr>
        <w:t xml:space="preserve">nvesticinės kryptys. Vėliau </w:t>
      </w:r>
      <w:r w:rsidR="002B4036" w:rsidRPr="00566C1F">
        <w:rPr>
          <w:lang w:val="lt-LT"/>
        </w:rPr>
        <w:t>pristatoma socio-ekonominių ir aplinkos rodiklių kaita</w:t>
      </w:r>
      <w:r w:rsidR="00BC4ECE" w:rsidRPr="00566C1F">
        <w:rPr>
          <w:lang w:val="lt-LT"/>
        </w:rPr>
        <w:t xml:space="preserve"> 2007 – 2013 m. laikotarpiu</w:t>
      </w:r>
      <w:r w:rsidR="002B4036" w:rsidRPr="00566C1F">
        <w:rPr>
          <w:lang w:val="lt-LT"/>
        </w:rPr>
        <w:t xml:space="preserve">. Atvejo </w:t>
      </w:r>
      <w:r w:rsidR="002E30F9" w:rsidRPr="00566C1F">
        <w:rPr>
          <w:lang w:val="lt-LT"/>
        </w:rPr>
        <w:t>studiją apibendrina</w:t>
      </w:r>
      <w:r w:rsidR="00FE59D1">
        <w:rPr>
          <w:lang w:val="lt-LT"/>
        </w:rPr>
        <w:t xml:space="preserve"> 2007 – 2013 m.</w:t>
      </w:r>
      <w:r w:rsidR="002E30F9" w:rsidRPr="00566C1F">
        <w:rPr>
          <w:lang w:val="lt-LT"/>
        </w:rPr>
        <w:t xml:space="preserve"> ES</w:t>
      </w:r>
      <w:r w:rsidR="00FE59D1">
        <w:rPr>
          <w:lang w:val="lt-LT"/>
        </w:rPr>
        <w:t xml:space="preserve"> struktūrinės</w:t>
      </w:r>
      <w:r w:rsidR="002E30F9" w:rsidRPr="00566C1F">
        <w:rPr>
          <w:lang w:val="lt-LT"/>
        </w:rPr>
        <w:t xml:space="preserve"> paramos poveikio darniam vystymuisi vertinimas</w:t>
      </w:r>
      <w:r w:rsidR="00FE59D1">
        <w:rPr>
          <w:lang w:val="lt-LT"/>
        </w:rPr>
        <w:t>; 1.3. dalyje pateikiamas gerosios praktikos projektų pavyzdžių pristatymas.</w:t>
      </w:r>
    </w:p>
    <w:p w:rsidR="005577BB" w:rsidRPr="00566C1F" w:rsidRDefault="0080175F" w:rsidP="0080175F">
      <w:pPr>
        <w:pStyle w:val="Heading1"/>
        <w:numPr>
          <w:ilvl w:val="1"/>
          <w:numId w:val="1"/>
        </w:numPr>
        <w:spacing w:before="360"/>
        <w:ind w:left="630" w:hanging="630"/>
        <w:rPr>
          <w:rFonts w:ascii="Arial" w:hAnsi="Arial" w:cs="Arial"/>
          <w:b w:val="0"/>
          <w:sz w:val="28"/>
          <w:szCs w:val="28"/>
        </w:rPr>
      </w:pPr>
      <w:r w:rsidRPr="00566C1F">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FE59D1" w:rsidRDefault="00AF5B7C" w:rsidP="00F73ED6">
                              <w:pPr>
                                <w:pStyle w:val="NormalWeb"/>
                                <w:spacing w:before="0" w:beforeAutospacing="0" w:after="0" w:afterAutospacing="0"/>
                                <w:jc w:val="center"/>
                                <w:rPr>
                                  <w:rFonts w:ascii="Arial" w:hAnsi="Arial" w:cs="Arial"/>
                                  <w:sz w:val="6"/>
                                </w:rPr>
                              </w:pPr>
                              <w:r w:rsidRPr="00FE59D1">
                                <w:rPr>
                                  <w:rFonts w:ascii="Arial" w:hAnsi="Arial" w:cs="Arial"/>
                                  <w:color w:val="FFFFFF"/>
                                  <w:kern w:val="24"/>
                                  <w:sz w:val="32"/>
                                  <w:szCs w:val="144"/>
                                  <w:lang w:val="en-US"/>
                                </w:rPr>
                                <w:t>6</w:t>
                              </w:r>
                              <w:r w:rsidRPr="00FE59D1">
                                <w:rPr>
                                  <w:rFonts w:ascii="Arial" w:hAnsi="Arial" w:cs="Arial"/>
                                  <w:color w:val="FFFFFF"/>
                                  <w:kern w:val="24"/>
                                  <w:sz w:val="32"/>
                                  <w:szCs w:val="144"/>
                                  <w:lang w:val="nl-NL"/>
                                </w:rPr>
                                <w:t>.03</w:t>
                              </w:r>
                              <w:r w:rsidR="0080175F" w:rsidRPr="00FE59D1">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FE59D1" w:rsidRDefault="00AF5B7C" w:rsidP="00F73ED6">
                        <w:pPr>
                          <w:pStyle w:val="NormalWeb"/>
                          <w:spacing w:before="0" w:beforeAutospacing="0" w:after="0" w:afterAutospacing="0"/>
                          <w:jc w:val="center"/>
                          <w:rPr>
                            <w:rFonts w:ascii="Arial" w:hAnsi="Arial" w:cs="Arial"/>
                            <w:sz w:val="6"/>
                          </w:rPr>
                        </w:pPr>
                        <w:r w:rsidRPr="00FE59D1">
                          <w:rPr>
                            <w:rFonts w:ascii="Arial" w:hAnsi="Arial" w:cs="Arial"/>
                            <w:color w:val="FFFFFF"/>
                            <w:kern w:val="24"/>
                            <w:sz w:val="32"/>
                            <w:szCs w:val="144"/>
                            <w:lang w:val="en-US"/>
                          </w:rPr>
                          <w:t>6</w:t>
                        </w:r>
                        <w:r w:rsidRPr="00FE59D1">
                          <w:rPr>
                            <w:rFonts w:ascii="Arial" w:hAnsi="Arial" w:cs="Arial"/>
                            <w:color w:val="FFFFFF"/>
                            <w:kern w:val="24"/>
                            <w:sz w:val="32"/>
                            <w:szCs w:val="144"/>
                            <w:lang w:val="nl-NL"/>
                          </w:rPr>
                          <w:t>.03</w:t>
                        </w:r>
                        <w:r w:rsidR="0080175F" w:rsidRPr="00FE59D1">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2815" r:id="rId11">
                <o:FieldCodes>\s</o:FieldCodes>
              </o:OLEObject>
            </w:pict>
          </mc:Fallback>
        </mc:AlternateContent>
      </w:r>
      <w:r w:rsidR="005577BB" w:rsidRPr="00566C1F">
        <w:rPr>
          <w:rFonts w:ascii="Arial" w:hAnsi="Arial" w:cs="Arial"/>
          <w:b w:val="0"/>
          <w:sz w:val="28"/>
          <w:szCs w:val="28"/>
        </w:rPr>
        <w:t>Finansavimo apžvalga</w:t>
      </w:r>
    </w:p>
    <w:p w:rsidR="005577BB" w:rsidRPr="00566C1F" w:rsidRDefault="00F73ED6" w:rsidP="00F73ED6">
      <w:pPr>
        <w:jc w:val="both"/>
        <w:rPr>
          <w:rFonts w:ascii="Arial" w:eastAsia="MS PGothic" w:hAnsi="Arial" w:cs="Times New Roman"/>
          <w:color w:val="000000"/>
          <w:sz w:val="20"/>
          <w:szCs w:val="48"/>
        </w:rPr>
      </w:pPr>
      <w:r w:rsidRPr="00566C1F">
        <w:rPr>
          <w:rFonts w:ascii="Arial" w:eastAsia="MS PGothic" w:hAnsi="Arial" w:cs="Times New Roman"/>
          <w:color w:val="000000"/>
          <w:sz w:val="20"/>
          <w:szCs w:val="48"/>
        </w:rPr>
        <w:t xml:space="preserve">2007 – 2013 </w:t>
      </w:r>
      <w:r w:rsidR="009A35E9" w:rsidRPr="00566C1F">
        <w:rPr>
          <w:rFonts w:ascii="Arial" w:eastAsia="MS PGothic" w:hAnsi="Arial" w:cs="Times New Roman"/>
          <w:color w:val="000000"/>
          <w:sz w:val="20"/>
          <w:szCs w:val="48"/>
        </w:rPr>
        <w:t>m</w:t>
      </w:r>
      <w:r w:rsidR="0080175F" w:rsidRPr="00566C1F">
        <w:rPr>
          <w:rFonts w:ascii="Arial" w:eastAsia="MS PGothic" w:hAnsi="Arial" w:cs="Times New Roman"/>
          <w:color w:val="000000"/>
          <w:sz w:val="20"/>
          <w:szCs w:val="48"/>
        </w:rPr>
        <w:t>. ES struktūrinių fondų</w:t>
      </w:r>
      <w:r w:rsidR="001F2140" w:rsidRPr="00566C1F">
        <w:rPr>
          <w:rFonts w:ascii="Arial" w:eastAsia="MS PGothic" w:hAnsi="Arial" w:cs="Times New Roman"/>
          <w:color w:val="000000"/>
          <w:sz w:val="20"/>
          <w:szCs w:val="48"/>
        </w:rPr>
        <w:t xml:space="preserve"> (ES SF)</w:t>
      </w:r>
      <w:r w:rsidR="0080175F" w:rsidRPr="00566C1F">
        <w:rPr>
          <w:rFonts w:ascii="Arial" w:eastAsia="MS PGothic" w:hAnsi="Arial" w:cs="Times New Roman"/>
          <w:color w:val="000000"/>
          <w:sz w:val="20"/>
          <w:szCs w:val="48"/>
        </w:rPr>
        <w:t xml:space="preserve"> programavimo</w:t>
      </w:r>
      <w:r w:rsidR="00ED3673" w:rsidRPr="00566C1F">
        <w:rPr>
          <w:rFonts w:ascii="Arial" w:eastAsia="MS PGothic" w:hAnsi="Arial" w:cs="Times New Roman"/>
          <w:color w:val="000000"/>
          <w:sz w:val="20"/>
          <w:szCs w:val="48"/>
        </w:rPr>
        <w:t xml:space="preserve"> laikotarpiu, </w:t>
      </w:r>
      <w:r w:rsidR="00027CBA" w:rsidRPr="00566C1F">
        <w:rPr>
          <w:rFonts w:ascii="Arial" w:eastAsia="MS PGothic" w:hAnsi="Arial" w:cs="Times New Roman"/>
          <w:color w:val="000000"/>
          <w:sz w:val="20"/>
          <w:szCs w:val="48"/>
        </w:rPr>
        <w:t>Pasvalio</w:t>
      </w:r>
      <w:r w:rsidR="00955E14" w:rsidRPr="00566C1F">
        <w:rPr>
          <w:rFonts w:ascii="Arial" w:eastAsia="MS PGothic" w:hAnsi="Arial" w:cs="Times New Roman"/>
          <w:color w:val="000000"/>
          <w:sz w:val="20"/>
          <w:szCs w:val="48"/>
        </w:rPr>
        <w:t xml:space="preserve"> rajono</w:t>
      </w:r>
      <w:r w:rsidR="009A35E9" w:rsidRPr="00566C1F">
        <w:rPr>
          <w:rFonts w:ascii="Arial" w:eastAsia="MS PGothic" w:hAnsi="Arial" w:cs="Times New Roman"/>
          <w:color w:val="000000"/>
          <w:sz w:val="20"/>
          <w:szCs w:val="48"/>
        </w:rPr>
        <w:t xml:space="preserve"> savivaldybėje, </w:t>
      </w:r>
      <w:r w:rsidR="00CF47D0" w:rsidRPr="00566C1F">
        <w:rPr>
          <w:rFonts w:ascii="Arial" w:eastAsia="MS PGothic" w:hAnsi="Arial" w:cs="Times New Roman"/>
          <w:color w:val="000000"/>
          <w:sz w:val="20"/>
          <w:szCs w:val="48"/>
        </w:rPr>
        <w:t xml:space="preserve">buvo finansuoti </w:t>
      </w:r>
      <w:r w:rsidR="00AF5B7C" w:rsidRPr="00566C1F">
        <w:rPr>
          <w:rFonts w:ascii="Arial" w:eastAsia="MS PGothic" w:hAnsi="Arial" w:cs="Times New Roman"/>
          <w:color w:val="000000"/>
          <w:sz w:val="20"/>
          <w:szCs w:val="48"/>
        </w:rPr>
        <w:t>66</w:t>
      </w:r>
      <w:r w:rsidR="00ED3673" w:rsidRPr="00566C1F">
        <w:rPr>
          <w:rFonts w:ascii="Arial" w:eastAsia="MS PGothic" w:hAnsi="Arial" w:cs="Times New Roman"/>
          <w:color w:val="000000"/>
          <w:sz w:val="20"/>
          <w:szCs w:val="48"/>
        </w:rPr>
        <w:t xml:space="preserve"> </w:t>
      </w:r>
      <w:r w:rsidRPr="00566C1F">
        <w:rPr>
          <w:rFonts w:ascii="Arial" w:eastAsia="MS PGothic" w:hAnsi="Arial" w:cs="Times New Roman"/>
          <w:color w:val="000000"/>
          <w:sz w:val="20"/>
          <w:szCs w:val="48"/>
        </w:rPr>
        <w:t xml:space="preserve">projektai. </w:t>
      </w:r>
      <w:r w:rsidR="009A35E9" w:rsidRPr="00566C1F">
        <w:rPr>
          <w:rFonts w:ascii="Arial" w:eastAsia="MS PGothic" w:hAnsi="Arial" w:cs="Times New Roman"/>
          <w:color w:val="000000"/>
          <w:sz w:val="20"/>
          <w:szCs w:val="48"/>
        </w:rPr>
        <w:t xml:space="preserve">Bendra </w:t>
      </w:r>
      <w:r w:rsidR="0080175F" w:rsidRPr="00566C1F">
        <w:rPr>
          <w:rFonts w:ascii="Arial" w:eastAsia="MS PGothic" w:hAnsi="Arial" w:cs="Times New Roman"/>
          <w:color w:val="000000"/>
          <w:sz w:val="20"/>
          <w:szCs w:val="48"/>
        </w:rPr>
        <w:t>projektų vertė</w:t>
      </w:r>
      <w:r w:rsidR="009A35E9" w:rsidRPr="00566C1F">
        <w:rPr>
          <w:rFonts w:ascii="Arial" w:eastAsia="MS PGothic" w:hAnsi="Arial" w:cs="Times New Roman"/>
          <w:color w:val="000000"/>
          <w:sz w:val="20"/>
          <w:szCs w:val="48"/>
        </w:rPr>
        <w:t xml:space="preserve"> siekė</w:t>
      </w:r>
      <w:r w:rsidR="00955E14" w:rsidRPr="00566C1F">
        <w:rPr>
          <w:rFonts w:ascii="Arial" w:eastAsia="MS PGothic" w:hAnsi="Arial" w:cs="Times New Roman"/>
          <w:color w:val="000000"/>
          <w:sz w:val="20"/>
          <w:szCs w:val="48"/>
        </w:rPr>
        <w:t xml:space="preserve"> </w:t>
      </w:r>
      <w:r w:rsidR="00FE59D1">
        <w:rPr>
          <w:rFonts w:ascii="Arial" w:eastAsia="MS PGothic" w:hAnsi="Arial" w:cs="Times New Roman"/>
          <w:color w:val="000000"/>
          <w:sz w:val="20"/>
          <w:szCs w:val="48"/>
        </w:rPr>
        <w:t>51.</w:t>
      </w:r>
      <w:r w:rsidR="00AF5B7C" w:rsidRPr="00566C1F">
        <w:rPr>
          <w:rFonts w:ascii="Arial" w:eastAsia="MS PGothic" w:hAnsi="Arial" w:cs="Times New Roman"/>
          <w:color w:val="000000"/>
          <w:sz w:val="20"/>
          <w:szCs w:val="48"/>
        </w:rPr>
        <w:t>910</w:t>
      </w:r>
      <w:r w:rsidR="00FE59D1">
        <w:rPr>
          <w:rFonts w:ascii="Arial" w:eastAsia="MS PGothic" w:hAnsi="Arial" w:cs="Times New Roman"/>
          <w:color w:val="000000"/>
          <w:sz w:val="20"/>
          <w:szCs w:val="48"/>
        </w:rPr>
        <w:t xml:space="preserve"> mln.</w:t>
      </w:r>
      <w:r w:rsidR="00AF5B7C" w:rsidRPr="00566C1F">
        <w:rPr>
          <w:rFonts w:ascii="Arial" w:eastAsia="MS PGothic" w:hAnsi="Arial" w:cs="Times New Roman"/>
          <w:color w:val="000000"/>
          <w:sz w:val="20"/>
          <w:szCs w:val="48"/>
        </w:rPr>
        <w:t xml:space="preserve"> EUR; tai sudarė 6.03</w:t>
      </w:r>
      <w:r w:rsidR="0080175F" w:rsidRPr="00566C1F">
        <w:rPr>
          <w:rFonts w:ascii="Arial" w:eastAsia="MS PGothic" w:hAnsi="Arial" w:cs="Times New Roman"/>
          <w:color w:val="000000"/>
          <w:sz w:val="20"/>
          <w:szCs w:val="48"/>
        </w:rPr>
        <w:t xml:space="preserve"> proc. visų probleminėse teritorijose įgyvendintų</w:t>
      </w:r>
      <w:r w:rsidR="001F2140" w:rsidRPr="00566C1F">
        <w:rPr>
          <w:rFonts w:ascii="Arial" w:eastAsia="MS PGothic" w:hAnsi="Arial" w:cs="Times New Roman"/>
          <w:color w:val="000000"/>
          <w:sz w:val="20"/>
          <w:szCs w:val="48"/>
        </w:rPr>
        <w:t xml:space="preserve"> ES SF</w:t>
      </w:r>
      <w:r w:rsidR="0080175F" w:rsidRPr="00566C1F">
        <w:rPr>
          <w:rFonts w:ascii="Arial" w:eastAsia="MS PGothic" w:hAnsi="Arial" w:cs="Times New Roman"/>
          <w:color w:val="000000"/>
          <w:sz w:val="20"/>
          <w:szCs w:val="48"/>
        </w:rPr>
        <w:t xml:space="preserve"> projektų vertės.</w:t>
      </w:r>
    </w:p>
    <w:p w:rsidR="000D5BA5" w:rsidRPr="00566C1F" w:rsidRDefault="0080175F" w:rsidP="00F73ED6">
      <w:pPr>
        <w:jc w:val="both"/>
        <w:rPr>
          <w:rFonts w:ascii="Arial" w:eastAsia="MS PGothic" w:hAnsi="Arial" w:cs="Times New Roman"/>
          <w:color w:val="000000"/>
          <w:sz w:val="20"/>
          <w:szCs w:val="48"/>
        </w:rPr>
      </w:pPr>
      <w:r w:rsidRPr="00566C1F">
        <w:rPr>
          <w:rFonts w:ascii="Arial" w:eastAsia="MS PGothic" w:hAnsi="Arial" w:cs="Times New Roman"/>
          <w:color w:val="000000"/>
          <w:sz w:val="20"/>
          <w:szCs w:val="48"/>
        </w:rPr>
        <w:t>Sangl</w:t>
      </w:r>
      <w:r w:rsidR="00955E14" w:rsidRPr="00566C1F">
        <w:rPr>
          <w:rFonts w:ascii="Arial" w:eastAsia="MS PGothic" w:hAnsi="Arial" w:cs="Times New Roman"/>
          <w:color w:val="000000"/>
          <w:sz w:val="20"/>
          <w:szCs w:val="48"/>
        </w:rPr>
        <w:t>audos skatinimo veiksmų programos</w:t>
      </w:r>
      <w:r w:rsidRPr="00566C1F">
        <w:rPr>
          <w:rFonts w:ascii="Arial" w:eastAsia="MS PGothic" w:hAnsi="Arial" w:cs="Times New Roman"/>
          <w:color w:val="000000"/>
          <w:sz w:val="20"/>
          <w:szCs w:val="48"/>
        </w:rPr>
        <w:t xml:space="preserve"> (SSVP)</w:t>
      </w:r>
      <w:r w:rsidR="00C144CE" w:rsidRPr="00566C1F">
        <w:rPr>
          <w:rFonts w:ascii="Arial" w:eastAsia="MS PGothic" w:hAnsi="Arial" w:cs="Times New Roman"/>
          <w:color w:val="000000"/>
          <w:sz w:val="20"/>
          <w:szCs w:val="48"/>
        </w:rPr>
        <w:t xml:space="preserve"> apimtyje įgyvendintų projektų vertė siekė daugiau nei pusę visų savivaldybės teritorijoje ES SF lėšomi</w:t>
      </w:r>
      <w:r w:rsidR="00AF5B7C" w:rsidRPr="00566C1F">
        <w:rPr>
          <w:rFonts w:ascii="Arial" w:eastAsia="MS PGothic" w:hAnsi="Arial" w:cs="Times New Roman"/>
          <w:color w:val="000000"/>
          <w:sz w:val="20"/>
          <w:szCs w:val="48"/>
        </w:rPr>
        <w:t>s finansuotų projektų vertės (58</w:t>
      </w:r>
      <w:r w:rsidR="00C144CE" w:rsidRPr="00566C1F">
        <w:rPr>
          <w:rFonts w:ascii="Arial" w:eastAsia="MS PGothic" w:hAnsi="Arial" w:cs="Times New Roman"/>
          <w:color w:val="000000"/>
          <w:sz w:val="20"/>
          <w:szCs w:val="48"/>
        </w:rPr>
        <w:t xml:space="preserve"> proc.). </w:t>
      </w:r>
      <w:r w:rsidR="00955E14" w:rsidRPr="00566C1F">
        <w:rPr>
          <w:rFonts w:ascii="Arial" w:eastAsia="MS PGothic" w:hAnsi="Arial" w:cs="Times New Roman"/>
          <w:color w:val="000000"/>
          <w:sz w:val="20"/>
          <w:szCs w:val="48"/>
        </w:rPr>
        <w:t xml:space="preserve"> Ekonomikos augimo veiksmų prog</w:t>
      </w:r>
      <w:r w:rsidR="00AF5B7C" w:rsidRPr="00566C1F">
        <w:rPr>
          <w:rFonts w:ascii="Arial" w:eastAsia="MS PGothic" w:hAnsi="Arial" w:cs="Times New Roman"/>
          <w:color w:val="000000"/>
          <w:sz w:val="20"/>
          <w:szCs w:val="48"/>
        </w:rPr>
        <w:t>ramos (EAVP) lėšos sudarė</w:t>
      </w:r>
      <w:r w:rsidR="00955E14" w:rsidRPr="00566C1F">
        <w:rPr>
          <w:rFonts w:ascii="Arial" w:eastAsia="MS PGothic" w:hAnsi="Arial" w:cs="Times New Roman"/>
          <w:color w:val="000000"/>
          <w:sz w:val="20"/>
          <w:szCs w:val="48"/>
        </w:rPr>
        <w:t xml:space="preserve"> </w:t>
      </w:r>
      <w:r w:rsidR="00AF5B7C" w:rsidRPr="00566C1F">
        <w:rPr>
          <w:rFonts w:ascii="Arial" w:eastAsia="MS PGothic" w:hAnsi="Arial" w:cs="Times New Roman"/>
          <w:color w:val="000000"/>
          <w:sz w:val="20"/>
          <w:szCs w:val="48"/>
        </w:rPr>
        <w:t>35</w:t>
      </w:r>
      <w:r w:rsidR="00955E14" w:rsidRPr="00566C1F">
        <w:rPr>
          <w:rFonts w:ascii="Arial" w:eastAsia="MS PGothic" w:hAnsi="Arial" w:cs="Times New Roman"/>
          <w:color w:val="000000"/>
          <w:sz w:val="20"/>
          <w:szCs w:val="48"/>
        </w:rPr>
        <w:t xml:space="preserve"> proc.</w:t>
      </w:r>
      <w:r w:rsidR="00C144CE" w:rsidRPr="00566C1F">
        <w:rPr>
          <w:rFonts w:ascii="Arial" w:eastAsia="MS PGothic" w:hAnsi="Arial" w:cs="Times New Roman"/>
          <w:color w:val="000000"/>
          <w:sz w:val="20"/>
          <w:szCs w:val="48"/>
        </w:rPr>
        <w:t xml:space="preserve"> viso skirto ES SF finansavimo, t</w:t>
      </w:r>
      <w:r w:rsidR="00D65C3C" w:rsidRPr="00566C1F">
        <w:rPr>
          <w:rFonts w:ascii="Arial" w:eastAsia="MS PGothic" w:hAnsi="Arial" w:cs="Times New Roman"/>
          <w:color w:val="000000"/>
          <w:sz w:val="20"/>
          <w:szCs w:val="48"/>
        </w:rPr>
        <w:t>uo tarpu Žmogiškųjų išt</w:t>
      </w:r>
      <w:r w:rsidR="000D5BA5" w:rsidRPr="00566C1F">
        <w:rPr>
          <w:rFonts w:ascii="Arial" w:eastAsia="MS PGothic" w:hAnsi="Arial" w:cs="Times New Roman"/>
          <w:color w:val="000000"/>
          <w:sz w:val="20"/>
          <w:szCs w:val="48"/>
        </w:rPr>
        <w:t>eklių veiksmų programos</w:t>
      </w:r>
      <w:r w:rsidR="00D65C3C" w:rsidRPr="00566C1F">
        <w:rPr>
          <w:rFonts w:ascii="Arial" w:eastAsia="MS PGothic" w:hAnsi="Arial" w:cs="Times New Roman"/>
          <w:color w:val="000000"/>
          <w:sz w:val="20"/>
          <w:szCs w:val="48"/>
        </w:rPr>
        <w:t xml:space="preserve"> (ŽIPVP) </w:t>
      </w:r>
      <w:r w:rsidR="000D5BA5" w:rsidRPr="00566C1F">
        <w:rPr>
          <w:rFonts w:ascii="Arial" w:eastAsia="MS PGothic" w:hAnsi="Arial" w:cs="Times New Roman"/>
          <w:color w:val="000000"/>
          <w:sz w:val="20"/>
          <w:szCs w:val="48"/>
        </w:rPr>
        <w:t>lėšos</w:t>
      </w:r>
      <w:r w:rsidR="00D65C3C" w:rsidRPr="00566C1F">
        <w:rPr>
          <w:rFonts w:ascii="Arial" w:eastAsia="MS PGothic" w:hAnsi="Arial" w:cs="Times New Roman"/>
          <w:color w:val="000000"/>
          <w:sz w:val="20"/>
          <w:szCs w:val="48"/>
        </w:rPr>
        <w:t xml:space="preserve"> </w:t>
      </w:r>
      <w:r w:rsidR="000D5BA5" w:rsidRPr="00566C1F">
        <w:rPr>
          <w:rFonts w:ascii="Arial" w:eastAsia="MS PGothic" w:hAnsi="Arial" w:cs="Times New Roman"/>
          <w:color w:val="000000"/>
          <w:sz w:val="20"/>
          <w:szCs w:val="48"/>
        </w:rPr>
        <w:t xml:space="preserve">sudarė </w:t>
      </w:r>
      <w:r w:rsidR="00AF5B7C" w:rsidRPr="00566C1F">
        <w:rPr>
          <w:rFonts w:ascii="Arial" w:eastAsia="MS PGothic" w:hAnsi="Arial" w:cs="Times New Roman"/>
          <w:color w:val="000000"/>
          <w:sz w:val="20"/>
          <w:szCs w:val="48"/>
        </w:rPr>
        <w:t>7</w:t>
      </w:r>
      <w:r w:rsidR="000D5BA5" w:rsidRPr="00566C1F">
        <w:rPr>
          <w:rFonts w:ascii="Arial" w:eastAsia="MS PGothic" w:hAnsi="Arial" w:cs="Times New Roman"/>
          <w:color w:val="000000"/>
          <w:sz w:val="20"/>
          <w:szCs w:val="48"/>
        </w:rPr>
        <w:t xml:space="preserve"> proc. </w:t>
      </w:r>
      <w:r w:rsidR="00C144CE" w:rsidRPr="00566C1F">
        <w:rPr>
          <w:rFonts w:ascii="Arial" w:eastAsia="MS PGothic" w:hAnsi="Arial" w:cs="Times New Roman"/>
          <w:color w:val="000000"/>
          <w:sz w:val="20"/>
          <w:szCs w:val="48"/>
        </w:rPr>
        <w:t>Nagrinėjant projektų skaičių, matoma, kad ŽIPVP ap</w:t>
      </w:r>
      <w:r w:rsidR="00AF5B7C" w:rsidRPr="00566C1F">
        <w:rPr>
          <w:rFonts w:ascii="Arial" w:eastAsia="MS PGothic" w:hAnsi="Arial" w:cs="Times New Roman"/>
          <w:color w:val="000000"/>
          <w:sz w:val="20"/>
          <w:szCs w:val="48"/>
        </w:rPr>
        <w:t>imtyje buvo įgyvendinta daug (15</w:t>
      </w:r>
      <w:r w:rsidR="00C144CE" w:rsidRPr="00566C1F">
        <w:rPr>
          <w:rFonts w:ascii="Arial" w:eastAsia="MS PGothic" w:hAnsi="Arial" w:cs="Times New Roman"/>
          <w:color w:val="000000"/>
          <w:sz w:val="20"/>
          <w:szCs w:val="48"/>
        </w:rPr>
        <w:t xml:space="preserve"> projektai) mažos vertės projektų, </w:t>
      </w:r>
      <w:r w:rsidR="00AF5B7C" w:rsidRPr="00566C1F">
        <w:rPr>
          <w:rFonts w:ascii="Arial" w:eastAsia="MS PGothic" w:hAnsi="Arial" w:cs="Times New Roman"/>
          <w:color w:val="000000"/>
          <w:sz w:val="20"/>
          <w:szCs w:val="48"/>
        </w:rPr>
        <w:t>tuo tarpu EAVP – atvirkščiai (13</w:t>
      </w:r>
      <w:r w:rsidR="00C144CE" w:rsidRPr="00566C1F">
        <w:rPr>
          <w:rFonts w:ascii="Arial" w:eastAsia="MS PGothic" w:hAnsi="Arial" w:cs="Times New Roman"/>
          <w:color w:val="000000"/>
          <w:sz w:val="20"/>
          <w:szCs w:val="48"/>
        </w:rPr>
        <w:t xml:space="preserve"> projektų). SSVP projektų skaičius</w:t>
      </w:r>
      <w:r w:rsidR="00AF5B7C" w:rsidRPr="00566C1F">
        <w:rPr>
          <w:rFonts w:ascii="Arial" w:eastAsia="MS PGothic" w:hAnsi="Arial" w:cs="Times New Roman"/>
          <w:color w:val="000000"/>
          <w:sz w:val="20"/>
          <w:szCs w:val="48"/>
        </w:rPr>
        <w:t xml:space="preserve"> atitiko skirtą finansavimą – 38</w:t>
      </w:r>
      <w:r w:rsidR="00C144CE" w:rsidRPr="00566C1F">
        <w:rPr>
          <w:rFonts w:ascii="Arial" w:eastAsia="MS PGothic" w:hAnsi="Arial" w:cs="Times New Roman"/>
          <w:color w:val="000000"/>
          <w:sz w:val="20"/>
          <w:szCs w:val="48"/>
        </w:rPr>
        <w:t xml:space="preserve"> projektai.</w:t>
      </w:r>
    </w:p>
    <w:p w:rsidR="0020781B" w:rsidRPr="00566C1F" w:rsidRDefault="00D65C3C" w:rsidP="0020781B">
      <w:pPr>
        <w:pStyle w:val="Caption"/>
        <w:keepNext/>
      </w:pPr>
      <w:r w:rsidRPr="00566C1F">
        <w:rPr>
          <w:noProof/>
          <w:lang w:val="en-US"/>
        </w:rPr>
        <w:drawing>
          <wp:anchor distT="0" distB="0" distL="114300" distR="114300" simplePos="0" relativeHeight="251671552" behindDoc="0" locked="0" layoutInCell="1" allowOverlap="1" wp14:anchorId="4C163F33" wp14:editId="0C835CCD">
            <wp:simplePos x="0" y="0"/>
            <wp:positionH relativeFrom="margin">
              <wp:posOffset>190500</wp:posOffset>
            </wp:positionH>
            <wp:positionV relativeFrom="paragraph">
              <wp:posOffset>290195</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0781B" w:rsidRPr="00566C1F">
        <w:fldChar w:fldCharType="begin"/>
      </w:r>
      <w:r w:rsidR="0020781B" w:rsidRPr="00566C1F">
        <w:instrText xml:space="preserve"> SEQ paveikslas \* ARABIC </w:instrText>
      </w:r>
      <w:r w:rsidR="0020781B" w:rsidRPr="00566C1F">
        <w:fldChar w:fldCharType="separate"/>
      </w:r>
      <w:r w:rsidR="008A1509" w:rsidRPr="00566C1F">
        <w:t>1</w:t>
      </w:r>
      <w:r w:rsidR="0020781B" w:rsidRPr="00566C1F">
        <w:fldChar w:fldCharType="end"/>
      </w:r>
      <w:r w:rsidR="0020781B" w:rsidRPr="00566C1F">
        <w:t xml:space="preserve"> paveikslas. Veiksmų</w:t>
      </w:r>
      <w:r w:rsidR="000D5BA5" w:rsidRPr="00566C1F">
        <w:t xml:space="preserve"> programų finansavimas (dalis bendros projektų vertės</w:t>
      </w:r>
      <w:r w:rsidR="00326A1B" w:rsidRPr="00566C1F">
        <w:t>)</w:t>
      </w:r>
      <w:r w:rsidR="0020781B" w:rsidRPr="00566C1F">
        <w:t xml:space="preserve"> </w:t>
      </w:r>
    </w:p>
    <w:p w:rsidR="00D65C3C" w:rsidRPr="00566C1F" w:rsidRDefault="00D65C3C" w:rsidP="00A552B8">
      <w:pPr>
        <w:pStyle w:val="Caption"/>
        <w:spacing w:before="240"/>
        <w:rPr>
          <w:b w:val="0"/>
        </w:rPr>
      </w:pPr>
    </w:p>
    <w:p w:rsidR="00D65C3C" w:rsidRPr="00566C1F" w:rsidRDefault="00D65C3C" w:rsidP="00A552B8">
      <w:pPr>
        <w:pStyle w:val="Caption"/>
        <w:spacing w:before="240"/>
        <w:rPr>
          <w:b w:val="0"/>
        </w:rPr>
      </w:pPr>
    </w:p>
    <w:p w:rsidR="00D65C3C" w:rsidRPr="00566C1F" w:rsidRDefault="00D65C3C" w:rsidP="00A552B8">
      <w:pPr>
        <w:pStyle w:val="Caption"/>
        <w:spacing w:before="240"/>
        <w:rPr>
          <w:b w:val="0"/>
        </w:rPr>
      </w:pPr>
    </w:p>
    <w:p w:rsidR="00D65C3C" w:rsidRPr="00566C1F" w:rsidRDefault="00D65C3C" w:rsidP="00A552B8">
      <w:pPr>
        <w:pStyle w:val="Caption"/>
        <w:spacing w:before="240"/>
        <w:rPr>
          <w:b w:val="0"/>
        </w:rPr>
      </w:pPr>
    </w:p>
    <w:p w:rsidR="00D65C3C" w:rsidRPr="00566C1F" w:rsidRDefault="00D65C3C" w:rsidP="00A552B8">
      <w:pPr>
        <w:pStyle w:val="Caption"/>
        <w:spacing w:before="240"/>
        <w:rPr>
          <w:b w:val="0"/>
        </w:rPr>
      </w:pPr>
    </w:p>
    <w:p w:rsidR="00D65C3C" w:rsidRPr="00566C1F" w:rsidRDefault="00D65C3C" w:rsidP="00A552B8">
      <w:pPr>
        <w:pStyle w:val="Caption"/>
        <w:spacing w:before="240"/>
        <w:rPr>
          <w:b w:val="0"/>
        </w:rPr>
      </w:pPr>
    </w:p>
    <w:p w:rsidR="00D65C3C" w:rsidRPr="00566C1F" w:rsidRDefault="00D65C3C" w:rsidP="00A552B8">
      <w:pPr>
        <w:pStyle w:val="Caption"/>
        <w:spacing w:before="240"/>
        <w:rPr>
          <w:b w:val="0"/>
        </w:rPr>
      </w:pPr>
    </w:p>
    <w:p w:rsidR="00D65C3C" w:rsidRPr="00566C1F" w:rsidRDefault="00D65C3C" w:rsidP="00D65C3C">
      <w:pPr>
        <w:pStyle w:val="Caption"/>
        <w:spacing w:after="0"/>
        <w:rPr>
          <w:b w:val="0"/>
        </w:rPr>
      </w:pPr>
    </w:p>
    <w:p w:rsidR="00FE59D1" w:rsidRDefault="00FE59D1" w:rsidP="00D65C3C">
      <w:pPr>
        <w:pStyle w:val="Caption"/>
        <w:spacing w:before="120"/>
        <w:rPr>
          <w:b w:val="0"/>
        </w:rPr>
      </w:pPr>
    </w:p>
    <w:p w:rsidR="005577BB" w:rsidRPr="00566C1F" w:rsidRDefault="005577BB" w:rsidP="00D65C3C">
      <w:pPr>
        <w:pStyle w:val="Caption"/>
        <w:spacing w:before="120"/>
        <w:rPr>
          <w:b w:val="0"/>
        </w:rPr>
      </w:pPr>
      <w:r w:rsidRPr="00566C1F">
        <w:rPr>
          <w:b w:val="0"/>
        </w:rPr>
        <w:t xml:space="preserve">Šaltinis: </w:t>
      </w:r>
      <w:hyperlink r:id="rId13" w:history="1">
        <w:r w:rsidR="009D7299" w:rsidRPr="00566C1F">
          <w:rPr>
            <w:rStyle w:val="Hyperlink"/>
            <w:b w:val="0"/>
          </w:rPr>
          <w:t>www.esparama.lt</w:t>
        </w:r>
      </w:hyperlink>
    </w:p>
    <w:p w:rsidR="00C83C6E" w:rsidRPr="00566C1F" w:rsidRDefault="002677E8" w:rsidP="000C024B">
      <w:pPr>
        <w:jc w:val="both"/>
        <w:rPr>
          <w:rFonts w:ascii="Arial" w:hAnsi="Arial" w:cs="Arial"/>
          <w:sz w:val="20"/>
        </w:rPr>
      </w:pPr>
      <w:r w:rsidRPr="00566C1F">
        <w:rPr>
          <w:rFonts w:ascii="Arial" w:hAnsi="Arial" w:cs="Arial"/>
          <w:sz w:val="20"/>
        </w:rPr>
        <w:t xml:space="preserve">Analizuojant veiksmų </w:t>
      </w:r>
      <w:r w:rsidR="000534F9" w:rsidRPr="00566C1F">
        <w:rPr>
          <w:rFonts w:ascii="Arial" w:hAnsi="Arial" w:cs="Arial"/>
          <w:sz w:val="20"/>
        </w:rPr>
        <w:t>programų prioritetų</w:t>
      </w:r>
      <w:r w:rsidRPr="00566C1F">
        <w:rPr>
          <w:rFonts w:ascii="Arial" w:hAnsi="Arial" w:cs="Arial"/>
          <w:sz w:val="20"/>
        </w:rPr>
        <w:t xml:space="preserve"> finansavimą</w:t>
      </w:r>
      <w:r w:rsidR="003D195A" w:rsidRPr="00566C1F">
        <w:rPr>
          <w:rFonts w:ascii="Arial" w:hAnsi="Arial" w:cs="Arial"/>
          <w:sz w:val="20"/>
        </w:rPr>
        <w:t>,</w:t>
      </w:r>
      <w:r w:rsidR="00FE59D1">
        <w:rPr>
          <w:rFonts w:ascii="Arial" w:hAnsi="Arial" w:cs="Arial"/>
          <w:sz w:val="20"/>
        </w:rPr>
        <w:t xml:space="preserve"> ŽIPVP apimtyje ES finansavimas</w:t>
      </w:r>
      <w:r w:rsidR="00C83C6E" w:rsidRPr="00566C1F">
        <w:rPr>
          <w:rFonts w:ascii="Arial" w:hAnsi="Arial" w:cs="Arial"/>
          <w:sz w:val="20"/>
        </w:rPr>
        <w:t xml:space="preserve"> </w:t>
      </w:r>
      <w:r w:rsidR="00FE59D1">
        <w:rPr>
          <w:rFonts w:ascii="Arial" w:hAnsi="Arial" w:cs="Arial"/>
          <w:sz w:val="20"/>
        </w:rPr>
        <w:t>skirtas</w:t>
      </w:r>
      <w:r w:rsidR="00C83C6E" w:rsidRPr="00566C1F">
        <w:rPr>
          <w:rFonts w:ascii="Arial" w:hAnsi="Arial" w:cs="Arial"/>
          <w:sz w:val="20"/>
        </w:rPr>
        <w:t xml:space="preserve"> prioritetų „1 Prioritetas. Kokybiškas užimtumas ir socialinė aprėptis“</w:t>
      </w:r>
      <w:r w:rsidR="00332F7B" w:rsidRPr="00566C1F">
        <w:rPr>
          <w:rFonts w:ascii="Arial" w:hAnsi="Arial" w:cs="Arial"/>
          <w:sz w:val="20"/>
        </w:rPr>
        <w:t>, „2 Prioritetas. Mokymasis visą gyvenimą“</w:t>
      </w:r>
      <w:r w:rsidR="00C83C6E" w:rsidRPr="00566C1F">
        <w:rPr>
          <w:rFonts w:ascii="Arial" w:hAnsi="Arial" w:cs="Arial"/>
          <w:sz w:val="20"/>
        </w:rPr>
        <w:t xml:space="preserve"> ir „4 Prioritetas. Administracinių gebėjimų stiprinimas ir viešojo administravimo efektyvumo didinima</w:t>
      </w:r>
      <w:r w:rsidR="0005613F" w:rsidRPr="00566C1F">
        <w:rPr>
          <w:rFonts w:ascii="Arial" w:hAnsi="Arial" w:cs="Arial"/>
          <w:sz w:val="20"/>
        </w:rPr>
        <w:t>s“ projekta</w:t>
      </w:r>
      <w:r w:rsidR="00FE59D1">
        <w:rPr>
          <w:rFonts w:ascii="Arial" w:hAnsi="Arial" w:cs="Arial"/>
          <w:sz w:val="20"/>
        </w:rPr>
        <w:t>ms</w:t>
      </w:r>
      <w:r w:rsidR="0005613F" w:rsidRPr="00566C1F">
        <w:rPr>
          <w:rFonts w:ascii="Arial" w:hAnsi="Arial" w:cs="Arial"/>
          <w:sz w:val="20"/>
        </w:rPr>
        <w:t>. EAVP apimtyje –</w:t>
      </w:r>
      <w:r w:rsidR="00955E14" w:rsidRPr="00566C1F">
        <w:rPr>
          <w:rFonts w:ascii="Arial" w:hAnsi="Arial" w:cs="Arial"/>
          <w:sz w:val="20"/>
        </w:rPr>
        <w:t xml:space="preserve"> </w:t>
      </w:r>
      <w:r w:rsidR="0005613F" w:rsidRPr="00566C1F">
        <w:rPr>
          <w:rFonts w:ascii="Arial" w:hAnsi="Arial" w:cs="Arial"/>
          <w:sz w:val="20"/>
        </w:rPr>
        <w:t xml:space="preserve"> „2</w:t>
      </w:r>
      <w:r w:rsidR="00C83C6E" w:rsidRPr="00566C1F">
        <w:rPr>
          <w:rFonts w:ascii="Arial" w:hAnsi="Arial" w:cs="Arial"/>
          <w:sz w:val="20"/>
        </w:rPr>
        <w:t xml:space="preserve"> Prioriteto.</w:t>
      </w:r>
      <w:r w:rsidR="0005613F" w:rsidRPr="00566C1F">
        <w:t xml:space="preserve"> </w:t>
      </w:r>
      <w:r w:rsidR="0005613F" w:rsidRPr="00566C1F">
        <w:rPr>
          <w:rFonts w:ascii="Arial" w:hAnsi="Arial" w:cs="Arial"/>
          <w:sz w:val="20"/>
        </w:rPr>
        <w:t>Verslo produktyvumo didinimas ir verslo aplinkos gerinimas</w:t>
      </w:r>
      <w:r w:rsidR="00C83C6E" w:rsidRPr="00566C1F">
        <w:rPr>
          <w:rFonts w:ascii="Arial" w:hAnsi="Arial" w:cs="Arial"/>
          <w:sz w:val="20"/>
        </w:rPr>
        <w:t>“</w:t>
      </w:r>
      <w:r w:rsidR="00955E14" w:rsidRPr="00566C1F">
        <w:rPr>
          <w:rFonts w:ascii="Arial" w:hAnsi="Arial" w:cs="Arial"/>
          <w:sz w:val="20"/>
        </w:rPr>
        <w:t>,</w:t>
      </w:r>
      <w:r w:rsidR="002172F7" w:rsidRPr="00566C1F">
        <w:rPr>
          <w:rFonts w:ascii="Arial" w:hAnsi="Arial" w:cs="Arial"/>
          <w:sz w:val="20"/>
        </w:rPr>
        <w:t xml:space="preserve"> „3 Prioriteto. Informacinė visuomenė visiems“,</w:t>
      </w:r>
      <w:r w:rsidR="00955E14" w:rsidRPr="00566C1F">
        <w:rPr>
          <w:rFonts w:ascii="Arial" w:hAnsi="Arial" w:cs="Arial"/>
          <w:sz w:val="20"/>
        </w:rPr>
        <w:t xml:space="preserve"> </w:t>
      </w:r>
      <w:r w:rsidR="0005613F" w:rsidRPr="00566C1F">
        <w:rPr>
          <w:rFonts w:ascii="Arial" w:hAnsi="Arial" w:cs="Arial"/>
          <w:sz w:val="20"/>
        </w:rPr>
        <w:t>„4 Prioriteto. Esminė ekonominė infrastruktūra“</w:t>
      </w:r>
      <w:r w:rsidR="00423C42" w:rsidRPr="00566C1F">
        <w:rPr>
          <w:rFonts w:ascii="Arial" w:hAnsi="Arial" w:cs="Arial"/>
          <w:sz w:val="20"/>
        </w:rPr>
        <w:t xml:space="preserve"> ir „5 Prioriteto. </w:t>
      </w:r>
      <w:r w:rsidR="00332F7B" w:rsidRPr="00566C1F">
        <w:rPr>
          <w:rFonts w:ascii="Arial" w:hAnsi="Arial" w:cs="Arial"/>
          <w:sz w:val="20"/>
        </w:rPr>
        <w:t>Transeuropinių transporto tinklų plėtra“</w:t>
      </w:r>
      <w:r w:rsidR="00FE59D1">
        <w:rPr>
          <w:rFonts w:ascii="Arial" w:hAnsi="Arial" w:cs="Arial"/>
          <w:sz w:val="20"/>
        </w:rPr>
        <w:t xml:space="preserve"> projektams</w:t>
      </w:r>
      <w:r w:rsidR="00C83C6E" w:rsidRPr="00566C1F">
        <w:rPr>
          <w:rFonts w:ascii="Arial" w:hAnsi="Arial" w:cs="Arial"/>
          <w:sz w:val="20"/>
        </w:rPr>
        <w:t xml:space="preserve">. SSVP apimtyje – „1 Prioriteto. Vietinė ir urbanistinė plėtra, kultūros paveldo ir gamtos išsaugojimas bei pritaikymas turizmo </w:t>
      </w:r>
      <w:r w:rsidR="00C83C6E" w:rsidRPr="00566C1F">
        <w:rPr>
          <w:rFonts w:ascii="Arial" w:hAnsi="Arial" w:cs="Arial"/>
          <w:sz w:val="20"/>
        </w:rPr>
        <w:lastRenderedPageBreak/>
        <w:t>plėtrai“, „2 Prioriteto. Viešųjų paslaugų kokybė ir prieinamumas: sveikatos, švietimo ir socialinė infrastruktūra“ ir „3 Prioriteto. Aplinka</w:t>
      </w:r>
      <w:r w:rsidR="00FE59D1">
        <w:rPr>
          <w:rFonts w:ascii="Arial" w:hAnsi="Arial" w:cs="Arial"/>
          <w:sz w:val="20"/>
        </w:rPr>
        <w:t xml:space="preserve"> ir darnus vystymasis“ projektams</w:t>
      </w:r>
      <w:r w:rsidR="00C83C6E" w:rsidRPr="00566C1F">
        <w:rPr>
          <w:rFonts w:ascii="Arial" w:hAnsi="Arial" w:cs="Arial"/>
          <w:sz w:val="20"/>
        </w:rPr>
        <w:t>. Taigi investuojama buvo į užimtumo didinimą,</w:t>
      </w:r>
      <w:r w:rsidR="00332F7B" w:rsidRPr="00566C1F">
        <w:rPr>
          <w:rFonts w:ascii="Arial" w:hAnsi="Arial" w:cs="Arial"/>
          <w:sz w:val="20"/>
        </w:rPr>
        <w:t xml:space="preserve"> švietimo plėtrą,</w:t>
      </w:r>
      <w:r w:rsidR="00C83C6E" w:rsidRPr="00566C1F">
        <w:rPr>
          <w:rFonts w:ascii="Arial" w:hAnsi="Arial" w:cs="Arial"/>
          <w:sz w:val="20"/>
        </w:rPr>
        <w:t xml:space="preserve"> viešojo valdymo tobulinimą,</w:t>
      </w:r>
      <w:r w:rsidR="00E805EC" w:rsidRPr="00566C1F">
        <w:rPr>
          <w:rFonts w:ascii="Arial" w:hAnsi="Arial" w:cs="Arial"/>
          <w:sz w:val="20"/>
        </w:rPr>
        <w:t xml:space="preserve"> verslo įmonių</w:t>
      </w:r>
      <w:r w:rsidR="00332F7B" w:rsidRPr="00566C1F">
        <w:rPr>
          <w:rFonts w:ascii="Arial" w:hAnsi="Arial" w:cs="Arial"/>
          <w:sz w:val="20"/>
        </w:rPr>
        <w:t xml:space="preserve"> produktyvumą ir</w:t>
      </w:r>
      <w:r w:rsidR="00E805EC" w:rsidRPr="00566C1F">
        <w:rPr>
          <w:rFonts w:ascii="Arial" w:hAnsi="Arial" w:cs="Arial"/>
          <w:sz w:val="20"/>
        </w:rPr>
        <w:t xml:space="preserve"> konkurencingumą</w:t>
      </w:r>
      <w:r w:rsidR="00332F7B" w:rsidRPr="00566C1F">
        <w:rPr>
          <w:rFonts w:ascii="Arial" w:hAnsi="Arial" w:cs="Arial"/>
          <w:sz w:val="20"/>
        </w:rPr>
        <w:t xml:space="preserve">, verslo aplinkos </w:t>
      </w:r>
      <w:r w:rsidR="00E805EC" w:rsidRPr="00566C1F">
        <w:rPr>
          <w:rFonts w:ascii="Arial" w:hAnsi="Arial" w:cs="Arial"/>
          <w:sz w:val="20"/>
        </w:rPr>
        <w:t>gerinimą,</w:t>
      </w:r>
      <w:r w:rsidR="00C83C6E" w:rsidRPr="00566C1F">
        <w:rPr>
          <w:rFonts w:ascii="Arial" w:hAnsi="Arial" w:cs="Arial"/>
          <w:sz w:val="20"/>
        </w:rPr>
        <w:t xml:space="preserve"> </w:t>
      </w:r>
      <w:r w:rsidR="00332F7B" w:rsidRPr="00566C1F">
        <w:rPr>
          <w:rFonts w:ascii="Arial" w:hAnsi="Arial" w:cs="Arial"/>
          <w:sz w:val="20"/>
        </w:rPr>
        <w:t xml:space="preserve">transporto tinklų plėtrą, </w:t>
      </w:r>
      <w:r w:rsidR="00C83C6E" w:rsidRPr="00566C1F">
        <w:rPr>
          <w:rFonts w:ascii="Arial" w:hAnsi="Arial" w:cs="Arial"/>
          <w:sz w:val="20"/>
        </w:rPr>
        <w:t xml:space="preserve">miestų plėtrą ir paveldo išsaugojimo, viešųjų paslaugų kokybę ir aplinkosaugą. Daugiausiai buvo investuojama į gamybinį kapitalą; didžioji dalis investicijų įgyvendintos pasitelkiant vertikaliai darnaus vystymosi horizontalų prioritetą integruojančias priemones. </w:t>
      </w:r>
    </w:p>
    <w:p w:rsidR="003B6A9C" w:rsidRPr="00566C1F" w:rsidRDefault="003B6A9C" w:rsidP="003B6A9C">
      <w:pPr>
        <w:pStyle w:val="Caption"/>
        <w:keepNext/>
      </w:pPr>
      <w:r w:rsidRPr="00566C1F">
        <w:fldChar w:fldCharType="begin"/>
      </w:r>
      <w:r w:rsidRPr="00566C1F">
        <w:instrText xml:space="preserve"> SEQ paveikslas \* ARABIC </w:instrText>
      </w:r>
      <w:r w:rsidRPr="00566C1F">
        <w:fldChar w:fldCharType="separate"/>
      </w:r>
      <w:r w:rsidR="00E41636" w:rsidRPr="00566C1F">
        <w:t>2</w:t>
      </w:r>
      <w:r w:rsidRPr="00566C1F">
        <w:fldChar w:fldCharType="end"/>
      </w:r>
      <w:r w:rsidRPr="00566C1F">
        <w:t xml:space="preserve"> paveikslas. Veiksmų programų prioritetų finansavimas (</w:t>
      </w:r>
      <w:r w:rsidR="00C849C4" w:rsidRPr="00566C1F">
        <w:t>dalis nuo visos VP)</w:t>
      </w:r>
    </w:p>
    <w:p w:rsidR="009D7299" w:rsidRPr="00566C1F" w:rsidRDefault="00FE59D1" w:rsidP="000C024B">
      <w:pPr>
        <w:jc w:val="both"/>
        <w:rPr>
          <w:rFonts w:ascii="Arial" w:hAnsi="Arial" w:cs="Arial"/>
          <w:sz w:val="20"/>
        </w:rPr>
      </w:pPr>
      <w:r w:rsidRPr="00566C1F">
        <w:rPr>
          <w:rFonts w:ascii="Arial" w:hAnsi="Arial" w:cs="Arial"/>
          <w:noProof/>
          <w:sz w:val="20"/>
          <w:lang w:val="en-US"/>
        </w:rPr>
        <w:drawing>
          <wp:anchor distT="0" distB="0" distL="114300" distR="114300" simplePos="0" relativeHeight="251672576" behindDoc="0" locked="0" layoutInCell="1" allowOverlap="1" wp14:anchorId="386B6F1A" wp14:editId="0C920E64">
            <wp:simplePos x="0" y="0"/>
            <wp:positionH relativeFrom="margin">
              <wp:posOffset>19685</wp:posOffset>
            </wp:positionH>
            <wp:positionV relativeFrom="paragraph">
              <wp:posOffset>26670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A2570C" w:rsidRPr="00566C1F" w:rsidRDefault="00761250" w:rsidP="00FF20FA">
      <w:pPr>
        <w:pStyle w:val="Caption"/>
        <w:spacing w:before="240"/>
        <w:rPr>
          <w:b w:val="0"/>
        </w:rPr>
      </w:pPr>
      <w:r w:rsidRPr="00566C1F">
        <w:rPr>
          <w:b w:val="0"/>
        </w:rPr>
        <w:t xml:space="preserve">Šaltinis: </w:t>
      </w:r>
      <w:hyperlink r:id="rId15" w:history="1">
        <w:r w:rsidR="00FF20FA" w:rsidRPr="00566C1F">
          <w:rPr>
            <w:rStyle w:val="Hyperlink"/>
            <w:b w:val="0"/>
          </w:rPr>
          <w:t>www.esparama.lt</w:t>
        </w:r>
      </w:hyperlink>
    </w:p>
    <w:p w:rsidR="00FF20FA" w:rsidRPr="00566C1F" w:rsidRDefault="00FF20FA" w:rsidP="00FF20FA">
      <w:pPr>
        <w:jc w:val="both"/>
        <w:rPr>
          <w:rFonts w:ascii="Arial" w:eastAsia="MS PGothic" w:hAnsi="Arial" w:cs="Times New Roman"/>
          <w:sz w:val="20"/>
          <w:szCs w:val="24"/>
        </w:rPr>
      </w:pPr>
      <w:r w:rsidRPr="00566C1F">
        <w:rPr>
          <w:rFonts w:ascii="Arial" w:eastAsia="MS PGothic" w:hAnsi="Arial" w:cs="Times New Roman"/>
          <w:sz w:val="20"/>
          <w:szCs w:val="24"/>
        </w:rPr>
        <w:t>Atlikus įgyvendintų projektų analizę, nustatyta, kad ŽIPVP 1</w:t>
      </w:r>
      <w:r w:rsidR="00332F7B" w:rsidRPr="00566C1F">
        <w:rPr>
          <w:rFonts w:ascii="Arial" w:eastAsia="MS PGothic" w:hAnsi="Arial" w:cs="Times New Roman"/>
          <w:sz w:val="20"/>
          <w:szCs w:val="24"/>
        </w:rPr>
        <w:t xml:space="preserve"> ir 2 prioritetų</w:t>
      </w:r>
      <w:r w:rsidRPr="00566C1F">
        <w:rPr>
          <w:rFonts w:ascii="Arial" w:eastAsia="MS PGothic" w:hAnsi="Arial" w:cs="Times New Roman"/>
          <w:sz w:val="20"/>
          <w:szCs w:val="24"/>
        </w:rPr>
        <w:t xml:space="preserve"> apimtyje daugiausiai finansuoti su pažeidžiamų visuomenės grupių integracija</w:t>
      </w:r>
      <w:r w:rsidR="00332F7B" w:rsidRPr="00566C1F">
        <w:rPr>
          <w:rFonts w:ascii="Arial" w:eastAsia="MS PGothic" w:hAnsi="Arial" w:cs="Times New Roman"/>
          <w:sz w:val="20"/>
          <w:szCs w:val="24"/>
        </w:rPr>
        <w:t xml:space="preserve">, </w:t>
      </w:r>
      <w:r w:rsidR="00423C42" w:rsidRPr="00566C1F">
        <w:rPr>
          <w:rFonts w:ascii="Arial" w:eastAsia="MS PGothic" w:hAnsi="Arial" w:cs="Times New Roman"/>
          <w:sz w:val="20"/>
          <w:szCs w:val="24"/>
        </w:rPr>
        <w:t>socialinių paslaugų teikimu susiję</w:t>
      </w:r>
      <w:r w:rsidRPr="00566C1F">
        <w:rPr>
          <w:rFonts w:ascii="Arial" w:eastAsia="MS PGothic" w:hAnsi="Arial" w:cs="Times New Roman"/>
          <w:sz w:val="20"/>
          <w:szCs w:val="24"/>
        </w:rPr>
        <w:t xml:space="preserve"> projektai, tuo tarpu aktyvioms užimtumo skatinimo/ nedarbo priemonėms </w:t>
      </w:r>
      <w:r w:rsidR="00423C42" w:rsidRPr="00566C1F">
        <w:rPr>
          <w:rFonts w:ascii="Arial" w:eastAsia="MS PGothic" w:hAnsi="Arial" w:cs="Times New Roman"/>
          <w:sz w:val="20"/>
          <w:szCs w:val="24"/>
        </w:rPr>
        <w:t xml:space="preserve">buvo </w:t>
      </w:r>
      <w:r w:rsidRPr="00566C1F">
        <w:rPr>
          <w:rFonts w:ascii="Arial" w:eastAsia="MS PGothic" w:hAnsi="Arial" w:cs="Times New Roman"/>
          <w:sz w:val="20"/>
          <w:szCs w:val="24"/>
        </w:rPr>
        <w:t xml:space="preserve">skirtas </w:t>
      </w:r>
      <w:r w:rsidR="00423C42" w:rsidRPr="00566C1F">
        <w:rPr>
          <w:rFonts w:ascii="Arial" w:eastAsia="MS PGothic" w:hAnsi="Arial" w:cs="Times New Roman"/>
          <w:sz w:val="20"/>
          <w:szCs w:val="24"/>
        </w:rPr>
        <w:t xml:space="preserve">ribotas </w:t>
      </w:r>
      <w:r w:rsidRPr="00566C1F">
        <w:rPr>
          <w:rFonts w:ascii="Arial" w:eastAsia="MS PGothic" w:hAnsi="Arial" w:cs="Times New Roman"/>
          <w:sz w:val="20"/>
          <w:szCs w:val="24"/>
        </w:rPr>
        <w:t>dėmesys.</w:t>
      </w:r>
      <w:r w:rsidR="00332F7B" w:rsidRPr="00566C1F">
        <w:rPr>
          <w:rFonts w:ascii="Arial" w:eastAsia="MS PGothic" w:hAnsi="Arial" w:cs="Times New Roman"/>
          <w:sz w:val="20"/>
          <w:szCs w:val="24"/>
        </w:rPr>
        <w:t xml:space="preserve"> Reikšmingam poveikiui finansavimas buvo nepakankamas.</w:t>
      </w:r>
      <w:r w:rsidRPr="00566C1F">
        <w:rPr>
          <w:rFonts w:ascii="Arial" w:eastAsia="MS PGothic" w:hAnsi="Arial" w:cs="Times New Roman"/>
          <w:sz w:val="20"/>
          <w:szCs w:val="24"/>
        </w:rPr>
        <w:t xml:space="preserve"> </w:t>
      </w:r>
      <w:r w:rsidR="00D62EB8" w:rsidRPr="00566C1F">
        <w:rPr>
          <w:rFonts w:ascii="Arial" w:eastAsia="MS PGothic" w:hAnsi="Arial" w:cs="Times New Roman"/>
          <w:sz w:val="20"/>
          <w:szCs w:val="24"/>
        </w:rPr>
        <w:t>ŽIPVP 4 prioriteto projektai iš esmės atitiko ir kitose probleminėse teritorijose įgyvendintas viešojo valdymo tobulinimo priemones: viešojo administravimo įstaigų darbuotojų kvalifikacijos kėlimas, strateginio ir teritorijų planavimo dokumentų rengimas</w:t>
      </w:r>
      <w:r w:rsidR="007F647F" w:rsidRPr="00566C1F">
        <w:rPr>
          <w:rFonts w:ascii="Arial" w:eastAsia="MS PGothic" w:hAnsi="Arial" w:cs="Times New Roman"/>
          <w:sz w:val="20"/>
          <w:szCs w:val="24"/>
        </w:rPr>
        <w:t>. EAVP projektai buvo iš esmės orientuoti į kelių infrastruktūrą</w:t>
      </w:r>
      <w:r w:rsidR="00D62EB8" w:rsidRPr="00566C1F">
        <w:rPr>
          <w:rFonts w:ascii="Arial" w:eastAsia="MS PGothic" w:hAnsi="Arial" w:cs="Times New Roman"/>
          <w:sz w:val="20"/>
          <w:szCs w:val="24"/>
        </w:rPr>
        <w:t>. SSVP</w:t>
      </w:r>
      <w:r w:rsidR="00242947" w:rsidRPr="00566C1F">
        <w:rPr>
          <w:rFonts w:ascii="Arial" w:eastAsia="MS PGothic" w:hAnsi="Arial" w:cs="Times New Roman"/>
          <w:sz w:val="20"/>
          <w:szCs w:val="24"/>
        </w:rPr>
        <w:t xml:space="preserve"> 1 prioriteto</w:t>
      </w:r>
      <w:r w:rsidR="00D62EB8" w:rsidRPr="00566C1F">
        <w:rPr>
          <w:rFonts w:ascii="Arial" w:eastAsia="MS PGothic" w:hAnsi="Arial" w:cs="Times New Roman"/>
          <w:sz w:val="20"/>
          <w:szCs w:val="24"/>
        </w:rPr>
        <w:t xml:space="preserve"> priemonių apimtyje įgyvendinti daugiabučių renovacijos ir kompleksinio gyvenamosios aplinkos</w:t>
      </w:r>
      <w:r w:rsidR="007F647F" w:rsidRPr="00566C1F">
        <w:rPr>
          <w:rFonts w:ascii="Arial" w:eastAsia="MS PGothic" w:hAnsi="Arial" w:cs="Times New Roman"/>
          <w:sz w:val="20"/>
          <w:szCs w:val="24"/>
        </w:rPr>
        <w:t xml:space="preserve"> </w:t>
      </w:r>
      <w:r w:rsidR="00D62EB8" w:rsidRPr="00566C1F">
        <w:rPr>
          <w:rFonts w:ascii="Arial" w:eastAsia="MS PGothic" w:hAnsi="Arial" w:cs="Times New Roman"/>
          <w:sz w:val="20"/>
          <w:szCs w:val="24"/>
        </w:rPr>
        <w:t xml:space="preserve">sutvarkymo projektai. </w:t>
      </w:r>
      <w:r w:rsidR="00242947" w:rsidRPr="00566C1F">
        <w:rPr>
          <w:rFonts w:ascii="Arial" w:eastAsia="MS PGothic" w:hAnsi="Arial" w:cs="Times New Roman"/>
          <w:sz w:val="20"/>
          <w:szCs w:val="24"/>
        </w:rPr>
        <w:t>2 prioriteto projektai orientuoti į socialinių</w:t>
      </w:r>
      <w:r w:rsidR="00C335FC" w:rsidRPr="00566C1F">
        <w:rPr>
          <w:rFonts w:ascii="Arial" w:eastAsia="MS PGothic" w:hAnsi="Arial" w:cs="Times New Roman"/>
          <w:sz w:val="20"/>
          <w:szCs w:val="24"/>
        </w:rPr>
        <w:t>, švietimo</w:t>
      </w:r>
      <w:r w:rsidR="00242947" w:rsidRPr="00566C1F">
        <w:rPr>
          <w:rFonts w:ascii="Arial" w:eastAsia="MS PGothic" w:hAnsi="Arial" w:cs="Times New Roman"/>
          <w:sz w:val="20"/>
          <w:szCs w:val="24"/>
        </w:rPr>
        <w:t xml:space="preserve"> paslaugų infrastruktūros tobulinimą</w:t>
      </w:r>
      <w:r w:rsidR="007F647F" w:rsidRPr="00566C1F">
        <w:rPr>
          <w:rFonts w:ascii="Arial" w:eastAsia="MS PGothic" w:hAnsi="Arial" w:cs="Times New Roman"/>
          <w:sz w:val="20"/>
          <w:szCs w:val="24"/>
        </w:rPr>
        <w:t>,</w:t>
      </w:r>
      <w:r w:rsidR="00C6756A" w:rsidRPr="00566C1F">
        <w:rPr>
          <w:rFonts w:ascii="Arial" w:eastAsia="MS PGothic" w:hAnsi="Arial" w:cs="Times New Roman"/>
          <w:sz w:val="20"/>
          <w:szCs w:val="24"/>
        </w:rPr>
        <w:t xml:space="preserve"> daugiafunkcinių centrų plėtrą</w:t>
      </w:r>
      <w:r w:rsidR="00242947" w:rsidRPr="00566C1F">
        <w:rPr>
          <w:rFonts w:ascii="Arial" w:eastAsia="MS PGothic" w:hAnsi="Arial" w:cs="Times New Roman"/>
          <w:sz w:val="20"/>
          <w:szCs w:val="24"/>
        </w:rPr>
        <w:t xml:space="preserve">, tuo tarpu 3 prioriteto apimtyje įgyvendinti </w:t>
      </w:r>
      <w:r w:rsidR="00C335FC" w:rsidRPr="00566C1F">
        <w:rPr>
          <w:rFonts w:ascii="Arial" w:eastAsia="MS PGothic" w:hAnsi="Arial" w:cs="Times New Roman"/>
          <w:sz w:val="20"/>
          <w:szCs w:val="24"/>
        </w:rPr>
        <w:t>viešosios paskirties pastatų renovacijos</w:t>
      </w:r>
      <w:r w:rsidR="007F647F" w:rsidRPr="00566C1F">
        <w:rPr>
          <w:rFonts w:ascii="Arial" w:eastAsia="MS PGothic" w:hAnsi="Arial" w:cs="Times New Roman"/>
          <w:sz w:val="20"/>
          <w:szCs w:val="24"/>
        </w:rPr>
        <w:t xml:space="preserve"> ir vandens tiekimo ir nuotekų tvarkymo</w:t>
      </w:r>
      <w:r w:rsidR="00C335FC" w:rsidRPr="00566C1F">
        <w:rPr>
          <w:rFonts w:ascii="Arial" w:eastAsia="MS PGothic" w:hAnsi="Arial" w:cs="Times New Roman"/>
          <w:sz w:val="20"/>
          <w:szCs w:val="24"/>
        </w:rPr>
        <w:t xml:space="preserve"> projektai</w:t>
      </w:r>
      <w:r w:rsidR="00242947" w:rsidRPr="00566C1F">
        <w:rPr>
          <w:rFonts w:ascii="Arial" w:eastAsia="MS PGothic" w:hAnsi="Arial" w:cs="Times New Roman"/>
          <w:sz w:val="20"/>
          <w:szCs w:val="24"/>
        </w:rPr>
        <w:t xml:space="preserve">. </w:t>
      </w:r>
      <w:r w:rsidR="00C849C4" w:rsidRPr="00566C1F">
        <w:rPr>
          <w:rFonts w:ascii="Arial" w:eastAsia="MS PGothic" w:hAnsi="Arial" w:cs="Times New Roman"/>
          <w:sz w:val="20"/>
          <w:szCs w:val="24"/>
        </w:rPr>
        <w:t>Pastebėtina tendencija, kad daugiausiai investuota srityse, kur vyravo</w:t>
      </w:r>
      <w:r w:rsidR="007F647F" w:rsidRPr="00566C1F">
        <w:rPr>
          <w:rFonts w:ascii="Arial" w:eastAsia="MS PGothic" w:hAnsi="Arial" w:cs="Times New Roman"/>
          <w:sz w:val="20"/>
          <w:szCs w:val="24"/>
        </w:rPr>
        <w:t xml:space="preserve"> valstybės ir regionų</w:t>
      </w:r>
      <w:r w:rsidR="00C849C4" w:rsidRPr="00566C1F">
        <w:rPr>
          <w:rFonts w:ascii="Arial" w:eastAsia="MS PGothic" w:hAnsi="Arial" w:cs="Times New Roman"/>
          <w:sz w:val="20"/>
          <w:szCs w:val="24"/>
        </w:rPr>
        <w:t xml:space="preserve"> </w:t>
      </w:r>
      <w:r w:rsidR="007F647F" w:rsidRPr="00566C1F">
        <w:rPr>
          <w:rFonts w:ascii="Arial" w:eastAsia="MS PGothic" w:hAnsi="Arial" w:cs="Times New Roman"/>
          <w:sz w:val="20"/>
          <w:szCs w:val="24"/>
        </w:rPr>
        <w:t xml:space="preserve">projektų </w:t>
      </w:r>
      <w:r w:rsidR="00C849C4" w:rsidRPr="00566C1F">
        <w:rPr>
          <w:rFonts w:ascii="Arial" w:eastAsia="MS PGothic" w:hAnsi="Arial" w:cs="Times New Roman"/>
          <w:sz w:val="20"/>
          <w:szCs w:val="24"/>
        </w:rPr>
        <w:t>planavimo priemonės.</w:t>
      </w:r>
    </w:p>
    <w:p w:rsidR="00A2570C" w:rsidRPr="00566C1F" w:rsidRDefault="00A2570C" w:rsidP="00C849C4">
      <w:pPr>
        <w:pStyle w:val="Heading1"/>
        <w:numPr>
          <w:ilvl w:val="1"/>
          <w:numId w:val="1"/>
        </w:numPr>
        <w:spacing w:before="360"/>
        <w:rPr>
          <w:rFonts w:ascii="Arial" w:hAnsi="Arial" w:cs="Arial"/>
          <w:b w:val="0"/>
          <w:sz w:val="28"/>
          <w:szCs w:val="28"/>
        </w:rPr>
      </w:pPr>
      <w:r w:rsidRPr="00566C1F">
        <w:rPr>
          <w:rFonts w:ascii="Arial" w:hAnsi="Arial" w:cs="Arial"/>
          <w:b w:val="0"/>
          <w:sz w:val="28"/>
          <w:szCs w:val="28"/>
        </w:rPr>
        <w:t>Rodiklių analizė</w:t>
      </w:r>
    </w:p>
    <w:p w:rsidR="002B4036" w:rsidRPr="00566C1F" w:rsidRDefault="002B4036" w:rsidP="002B4036">
      <w:pPr>
        <w:jc w:val="both"/>
        <w:rPr>
          <w:rFonts w:ascii="Arial" w:eastAsia="MS PGothic" w:hAnsi="Arial" w:cs="Times New Roman"/>
          <w:sz w:val="20"/>
          <w:szCs w:val="24"/>
        </w:rPr>
      </w:pPr>
      <w:r w:rsidRPr="00566C1F">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566C1F">
        <w:rPr>
          <w:rFonts w:ascii="Arial" w:eastAsia="MS PGothic" w:hAnsi="Arial" w:cs="Times New Roman"/>
          <w:sz w:val="20"/>
          <w:szCs w:val="24"/>
          <w:vertAlign w:val="subscript"/>
        </w:rPr>
        <w:t>2</w:t>
      </w:r>
      <w:r w:rsidRPr="00566C1F">
        <w:rPr>
          <w:rFonts w:ascii="Arial" w:eastAsia="MS PGothic" w:hAnsi="Arial" w:cs="Times New Roman"/>
          <w:sz w:val="20"/>
          <w:szCs w:val="24"/>
        </w:rPr>
        <w:t>)</w:t>
      </w:r>
      <w:r w:rsidRPr="00566C1F">
        <w:rPr>
          <w:rFonts w:ascii="Arial" w:eastAsia="MS PGothic" w:hAnsi="Arial" w:cs="Times New Roman"/>
          <w:sz w:val="20"/>
          <w:szCs w:val="24"/>
          <w:vertAlign w:val="subscript"/>
        </w:rPr>
        <w:t>,</w:t>
      </w:r>
      <w:r w:rsidRPr="00566C1F">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566C1F">
        <w:rPr>
          <w:rFonts w:ascii="Arial" w:eastAsia="MS PGothic" w:hAnsi="Arial" w:cs="Times New Roman"/>
          <w:sz w:val="20"/>
          <w:szCs w:val="24"/>
        </w:rPr>
        <w:t xml:space="preserve">darbingo amžiaus </w:t>
      </w:r>
      <w:r w:rsidRPr="00566C1F">
        <w:rPr>
          <w:rFonts w:ascii="Arial" w:eastAsia="MS PGothic" w:hAnsi="Arial" w:cs="Times New Roman"/>
          <w:sz w:val="20"/>
          <w:szCs w:val="24"/>
        </w:rPr>
        <w:t xml:space="preserve">gyventojų skaičiaus ir registruotų bedarbių santykį. Ekonominės veiklos rodikliai </w:t>
      </w:r>
      <w:r w:rsidR="007F0777" w:rsidRPr="00566C1F">
        <w:rPr>
          <w:rFonts w:ascii="Arial" w:eastAsia="MS PGothic" w:hAnsi="Arial" w:cs="Times New Roman"/>
          <w:sz w:val="20"/>
          <w:szCs w:val="24"/>
        </w:rPr>
        <w:t>– pridėtinė vertė gamybos kainomis, materialinės investicijos to meto kainomis ir tiesioginės užsienio investicijos.</w:t>
      </w:r>
    </w:p>
    <w:p w:rsidR="001A1350" w:rsidRPr="00566C1F" w:rsidRDefault="007F0777" w:rsidP="00B76AF6">
      <w:pPr>
        <w:jc w:val="both"/>
        <w:rPr>
          <w:rFonts w:ascii="Arial" w:eastAsia="MS PGothic" w:hAnsi="Arial" w:cs="Times New Roman"/>
          <w:sz w:val="20"/>
          <w:szCs w:val="24"/>
        </w:rPr>
      </w:pPr>
      <w:r w:rsidRPr="00566C1F">
        <w:rPr>
          <w:rFonts w:ascii="Arial" w:eastAsia="MS PGothic" w:hAnsi="Arial" w:cs="Times New Roman"/>
          <w:sz w:val="20"/>
          <w:szCs w:val="24"/>
        </w:rPr>
        <w:t>Aplinkos taršos rodiklių atveju stebim</w:t>
      </w:r>
      <w:r w:rsidR="00D45CFF" w:rsidRPr="00566C1F">
        <w:rPr>
          <w:rFonts w:ascii="Arial" w:eastAsia="MS PGothic" w:hAnsi="Arial" w:cs="Times New Roman"/>
          <w:sz w:val="20"/>
          <w:szCs w:val="24"/>
        </w:rPr>
        <w:t xml:space="preserve">a teigiama aplinkos taršos mažėjimo tendencija. </w:t>
      </w:r>
      <w:r w:rsidR="00493419" w:rsidRPr="00566C1F">
        <w:rPr>
          <w:rFonts w:ascii="Arial" w:eastAsia="MS PGothic" w:hAnsi="Arial" w:cs="Times New Roman"/>
          <w:sz w:val="20"/>
          <w:szCs w:val="24"/>
        </w:rPr>
        <w:t>Vienas iš rodiklių – išleistų iki normos išvalytų nuotekų kiekis iki pat 2010 m. buvęs santykinai pastovus, 2010 m. išaugo vienuolika kartų nuo 101.8 iki 1137.1 tūkst. m</w:t>
      </w:r>
      <w:r w:rsidR="006258E9" w:rsidRPr="00566C1F">
        <w:rPr>
          <w:rFonts w:ascii="Arial" w:eastAsia="MS PGothic" w:hAnsi="Arial" w:cs="Times New Roman"/>
          <w:sz w:val="20"/>
          <w:szCs w:val="24"/>
        </w:rPr>
        <w:t xml:space="preserve">³ ir laikėsi panašiame lygyje iki laikotarpio pabaigos. </w:t>
      </w:r>
      <w:r w:rsidR="00493419" w:rsidRPr="00566C1F">
        <w:rPr>
          <w:rFonts w:ascii="Arial" w:eastAsia="MS PGothic" w:hAnsi="Arial" w:cs="Times New Roman"/>
          <w:sz w:val="20"/>
          <w:szCs w:val="24"/>
        </w:rPr>
        <w:t>Šis pokytis buvo nulemtas</w:t>
      </w:r>
      <w:r w:rsidR="006258E9" w:rsidRPr="00566C1F">
        <w:rPr>
          <w:rFonts w:ascii="Arial" w:eastAsia="MS PGothic" w:hAnsi="Arial" w:cs="Times New Roman"/>
          <w:sz w:val="20"/>
          <w:szCs w:val="24"/>
        </w:rPr>
        <w:t xml:space="preserve"> sėkmingai</w:t>
      </w:r>
      <w:r w:rsidR="00493419" w:rsidRPr="00566C1F">
        <w:rPr>
          <w:rFonts w:ascii="Arial" w:eastAsia="MS PGothic" w:hAnsi="Arial" w:cs="Times New Roman"/>
          <w:sz w:val="20"/>
          <w:szCs w:val="24"/>
        </w:rPr>
        <w:t xml:space="preserve"> UAB „Pasvalio vandenys" įgyvendinto projekto „Vandens tiekimo ir nuotekų tvarkymo </w:t>
      </w:r>
      <w:r w:rsidR="00493419" w:rsidRPr="00566C1F">
        <w:rPr>
          <w:rFonts w:ascii="Arial" w:eastAsia="MS PGothic" w:hAnsi="Arial" w:cs="Times New Roman"/>
          <w:sz w:val="20"/>
          <w:szCs w:val="24"/>
        </w:rPr>
        <w:lastRenderedPageBreak/>
        <w:t>infrastruktūros plėtra Pasvalyje“. Analizuojant skirtingas oro teršalų grupes, pastebima, kad 2010 m</w:t>
      </w:r>
      <w:r w:rsidR="006258E9" w:rsidRPr="00566C1F">
        <w:rPr>
          <w:rFonts w:ascii="Arial" w:eastAsia="MS PGothic" w:hAnsi="Arial" w:cs="Times New Roman"/>
          <w:sz w:val="20"/>
          <w:szCs w:val="24"/>
        </w:rPr>
        <w:t>.</w:t>
      </w:r>
      <w:r w:rsidR="00493419" w:rsidRPr="00566C1F">
        <w:rPr>
          <w:rFonts w:ascii="Arial" w:eastAsia="MS PGothic" w:hAnsi="Arial" w:cs="Times New Roman"/>
          <w:sz w:val="20"/>
          <w:szCs w:val="24"/>
        </w:rPr>
        <w:t xml:space="preserve"> taip pat pasižymėjo kaip lūžio taškas, kuomet beveik dvigubai išaugo į orą išmetamų teršalų kiekis (šiam pokyčiui įtakos galėjo turėti didelio efektyvumo termofikacinės elektrinės statyba Pasvalio mieste), kuris nuo 149.4 t išaugo iki 258.2 t. Pastebima, kad didžiausią įtaką 2010 m</w:t>
      </w:r>
      <w:r w:rsidR="006258E9" w:rsidRPr="00566C1F">
        <w:rPr>
          <w:rFonts w:ascii="Arial" w:eastAsia="MS PGothic" w:hAnsi="Arial" w:cs="Times New Roman"/>
          <w:sz w:val="20"/>
          <w:szCs w:val="24"/>
        </w:rPr>
        <w:t>.</w:t>
      </w:r>
      <w:r w:rsidR="00493419" w:rsidRPr="00566C1F">
        <w:rPr>
          <w:rFonts w:ascii="Arial" w:eastAsia="MS PGothic" w:hAnsi="Arial" w:cs="Times New Roman"/>
          <w:sz w:val="20"/>
          <w:szCs w:val="24"/>
        </w:rPr>
        <w:t xml:space="preserve"> bendram teršalų išmetimo kiekio didėjimui padarė anglies monoksido ir azoto oksidų išmetamo kiekio augimas, šie rodikliai atitinkamai išaugo po </w:t>
      </w:r>
      <w:r w:rsidR="006258E9" w:rsidRPr="00566C1F">
        <w:rPr>
          <w:rFonts w:ascii="Arial" w:eastAsia="MS PGothic" w:hAnsi="Arial" w:cs="Times New Roman"/>
          <w:sz w:val="20"/>
          <w:szCs w:val="24"/>
        </w:rPr>
        <w:t>46.34 % ir 120.18%. Iki pat 2013</w:t>
      </w:r>
      <w:r w:rsidR="00493419" w:rsidRPr="00566C1F">
        <w:rPr>
          <w:rFonts w:ascii="Arial" w:eastAsia="MS PGothic" w:hAnsi="Arial" w:cs="Times New Roman"/>
          <w:sz w:val="20"/>
          <w:szCs w:val="24"/>
        </w:rPr>
        <w:t xml:space="preserve"> m</w:t>
      </w:r>
      <w:r w:rsidR="006258E9" w:rsidRPr="00566C1F">
        <w:rPr>
          <w:rFonts w:ascii="Arial" w:eastAsia="MS PGothic" w:hAnsi="Arial" w:cs="Times New Roman"/>
          <w:sz w:val="20"/>
          <w:szCs w:val="24"/>
        </w:rPr>
        <w:t>.</w:t>
      </w:r>
      <w:r w:rsidR="00493419" w:rsidRPr="00566C1F">
        <w:rPr>
          <w:rFonts w:ascii="Arial" w:eastAsia="MS PGothic" w:hAnsi="Arial" w:cs="Times New Roman"/>
          <w:sz w:val="20"/>
          <w:szCs w:val="24"/>
        </w:rPr>
        <w:t xml:space="preserve"> vyravo tendencingas išmetamų teršalų kiekio mažėjimas. </w:t>
      </w:r>
      <w:r w:rsidR="006258E9" w:rsidRPr="00566C1F">
        <w:rPr>
          <w:rFonts w:ascii="Arial" w:eastAsia="MS PGothic" w:hAnsi="Arial" w:cs="Times New Roman"/>
          <w:sz w:val="20"/>
          <w:szCs w:val="24"/>
        </w:rPr>
        <w:t>M</w:t>
      </w:r>
      <w:r w:rsidR="00493419" w:rsidRPr="00566C1F">
        <w:rPr>
          <w:rFonts w:ascii="Arial" w:eastAsia="MS PGothic" w:hAnsi="Arial" w:cs="Times New Roman"/>
          <w:sz w:val="20"/>
          <w:szCs w:val="24"/>
        </w:rPr>
        <w:t>atuojant visų į orą išmetamų teršalų pokytį pasiektą per ataskaitinį laikotarpį fiksuojamas</w:t>
      </w:r>
      <w:r w:rsidR="006258E9" w:rsidRPr="00566C1F">
        <w:rPr>
          <w:rFonts w:ascii="Arial" w:eastAsia="MS PGothic" w:hAnsi="Arial" w:cs="Times New Roman"/>
          <w:sz w:val="20"/>
          <w:szCs w:val="24"/>
        </w:rPr>
        <w:t xml:space="preserve"> beveik</w:t>
      </w:r>
      <w:r w:rsidR="00493419" w:rsidRPr="00566C1F">
        <w:rPr>
          <w:rFonts w:ascii="Arial" w:eastAsia="MS PGothic" w:hAnsi="Arial" w:cs="Times New Roman"/>
          <w:sz w:val="20"/>
          <w:szCs w:val="24"/>
        </w:rPr>
        <w:t xml:space="preserve"> 17</w:t>
      </w:r>
      <w:r w:rsidR="006258E9" w:rsidRPr="00566C1F">
        <w:rPr>
          <w:rFonts w:ascii="Arial" w:eastAsia="MS PGothic" w:hAnsi="Arial" w:cs="Times New Roman"/>
          <w:sz w:val="20"/>
          <w:szCs w:val="24"/>
        </w:rPr>
        <w:t xml:space="preserve">0 </w:t>
      </w:r>
      <w:r w:rsidR="00493419" w:rsidRPr="00566C1F">
        <w:rPr>
          <w:rFonts w:ascii="Arial" w:eastAsia="MS PGothic" w:hAnsi="Arial" w:cs="Times New Roman"/>
          <w:sz w:val="20"/>
          <w:szCs w:val="24"/>
        </w:rPr>
        <w:t xml:space="preserve">% augimas. Derėtų išskirti tai, jog vienintelio sieros dioksido išmetimo kiekis sumažėjo nuo </w:t>
      </w:r>
      <w:r w:rsidR="006258E9" w:rsidRPr="00566C1F">
        <w:rPr>
          <w:rFonts w:ascii="Arial" w:eastAsia="MS PGothic" w:hAnsi="Arial" w:cs="Times New Roman"/>
          <w:sz w:val="20"/>
          <w:szCs w:val="24"/>
        </w:rPr>
        <w:t>3.3 t iki 0.1 t.</w:t>
      </w:r>
    </w:p>
    <w:p w:rsidR="00A2570C" w:rsidRPr="00566C1F" w:rsidRDefault="00A2570C" w:rsidP="00A2570C">
      <w:pPr>
        <w:pStyle w:val="Caption"/>
        <w:keepNext/>
        <w:jc w:val="both"/>
      </w:pPr>
      <w:r w:rsidRPr="00566C1F">
        <w:fldChar w:fldCharType="begin"/>
      </w:r>
      <w:r w:rsidRPr="00566C1F">
        <w:instrText xml:space="preserve"> SEQ paveikslas \* ARABIC </w:instrText>
      </w:r>
      <w:r w:rsidRPr="00566C1F">
        <w:fldChar w:fldCharType="separate"/>
      </w:r>
      <w:r w:rsidR="00594D44" w:rsidRPr="00566C1F">
        <w:t>3</w:t>
      </w:r>
      <w:r w:rsidRPr="00566C1F">
        <w:fldChar w:fldCharType="end"/>
      </w:r>
      <w:r w:rsidRPr="00566C1F">
        <w:t xml:space="preserve"> paveikslas. Aplinkos taršos rodikliai</w:t>
      </w:r>
    </w:p>
    <w:p w:rsidR="00493419" w:rsidRPr="00566C1F" w:rsidRDefault="00493419" w:rsidP="00493419">
      <w:r w:rsidRPr="00566C1F">
        <w:rPr>
          <w:noProof/>
          <w:lang w:val="en-US"/>
        </w:rPr>
        <w:drawing>
          <wp:anchor distT="0" distB="0" distL="114300" distR="114300" simplePos="0" relativeHeight="251693056" behindDoc="0" locked="0" layoutInCell="1" allowOverlap="1" wp14:anchorId="08C42255" wp14:editId="6765CFE6">
            <wp:simplePos x="0" y="0"/>
            <wp:positionH relativeFrom="column">
              <wp:posOffset>34119</wp:posOffset>
            </wp:positionH>
            <wp:positionV relativeFrom="paragraph">
              <wp:posOffset>5971</wp:posOffset>
            </wp:positionV>
            <wp:extent cx="4606017" cy="2688772"/>
            <wp:effectExtent l="0" t="0" r="4445" b="1651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B76AF6" w:rsidRPr="00566C1F" w:rsidRDefault="00B76AF6" w:rsidP="002B025C">
      <w:pPr>
        <w:pStyle w:val="Caption"/>
        <w:spacing w:before="240"/>
        <w:rPr>
          <w:b w:val="0"/>
        </w:rPr>
      </w:pPr>
    </w:p>
    <w:p w:rsidR="00B72614" w:rsidRPr="00566C1F" w:rsidRDefault="00B72614" w:rsidP="00A2570C">
      <w:pPr>
        <w:pStyle w:val="Caption"/>
        <w:spacing w:before="240"/>
        <w:rPr>
          <w:b w:val="0"/>
        </w:rPr>
      </w:pPr>
    </w:p>
    <w:p w:rsidR="00B72614" w:rsidRPr="00566C1F" w:rsidRDefault="00B72614" w:rsidP="00A2570C">
      <w:pPr>
        <w:pStyle w:val="Caption"/>
        <w:spacing w:before="240"/>
        <w:rPr>
          <w:b w:val="0"/>
        </w:rPr>
      </w:pPr>
    </w:p>
    <w:p w:rsidR="00B72614" w:rsidRPr="00566C1F" w:rsidRDefault="00B72614" w:rsidP="00A2570C">
      <w:pPr>
        <w:pStyle w:val="Caption"/>
        <w:spacing w:before="240"/>
        <w:rPr>
          <w:b w:val="0"/>
        </w:rPr>
      </w:pPr>
    </w:p>
    <w:p w:rsidR="00B72614" w:rsidRPr="00566C1F" w:rsidRDefault="00B72614" w:rsidP="00A2570C">
      <w:pPr>
        <w:pStyle w:val="Caption"/>
        <w:spacing w:before="240"/>
        <w:rPr>
          <w:b w:val="0"/>
        </w:rPr>
      </w:pPr>
    </w:p>
    <w:p w:rsidR="00B72614" w:rsidRPr="00566C1F" w:rsidRDefault="00B72614" w:rsidP="00A2570C">
      <w:pPr>
        <w:pStyle w:val="Caption"/>
        <w:spacing w:before="240"/>
        <w:rPr>
          <w:b w:val="0"/>
        </w:rPr>
      </w:pPr>
    </w:p>
    <w:p w:rsidR="00B72614" w:rsidRPr="00566C1F" w:rsidRDefault="00B72614" w:rsidP="00A2570C">
      <w:pPr>
        <w:pStyle w:val="Caption"/>
        <w:spacing w:before="240"/>
        <w:rPr>
          <w:b w:val="0"/>
        </w:rPr>
      </w:pPr>
    </w:p>
    <w:p w:rsidR="00B72614" w:rsidRPr="00566C1F" w:rsidRDefault="00B72614" w:rsidP="00B72614">
      <w:pPr>
        <w:pStyle w:val="Caption"/>
        <w:spacing w:after="0"/>
        <w:rPr>
          <w:b w:val="0"/>
        </w:rPr>
      </w:pPr>
    </w:p>
    <w:p w:rsidR="00805F6F" w:rsidRPr="00566C1F" w:rsidRDefault="00805F6F" w:rsidP="00B72614">
      <w:pPr>
        <w:pStyle w:val="Caption"/>
        <w:spacing w:after="120"/>
        <w:rPr>
          <w:b w:val="0"/>
        </w:rPr>
      </w:pPr>
    </w:p>
    <w:p w:rsidR="00805F6F" w:rsidRPr="00566C1F" w:rsidRDefault="00805F6F" w:rsidP="00B72614">
      <w:pPr>
        <w:pStyle w:val="Caption"/>
        <w:spacing w:after="120"/>
        <w:rPr>
          <w:b w:val="0"/>
        </w:rPr>
      </w:pPr>
    </w:p>
    <w:p w:rsidR="00A2570C" w:rsidRDefault="00A2570C" w:rsidP="003346CF">
      <w:pPr>
        <w:pStyle w:val="Caption"/>
        <w:spacing w:after="0"/>
        <w:rPr>
          <w:b w:val="0"/>
        </w:rPr>
      </w:pPr>
      <w:r w:rsidRPr="00566C1F">
        <w:rPr>
          <w:b w:val="0"/>
        </w:rPr>
        <w:t>Šaltinis: Statistiko</w:t>
      </w:r>
      <w:r w:rsidR="007F0777" w:rsidRPr="00566C1F">
        <w:rPr>
          <w:b w:val="0"/>
        </w:rPr>
        <w:t>s</w:t>
      </w:r>
      <w:r w:rsidRPr="00566C1F">
        <w:rPr>
          <w:b w:val="0"/>
        </w:rPr>
        <w:t xml:space="preserve"> departamentas</w:t>
      </w:r>
    </w:p>
    <w:p w:rsidR="003346CF" w:rsidRPr="003346CF" w:rsidRDefault="003346CF" w:rsidP="003346CF">
      <w:pPr>
        <w:spacing w:after="120"/>
        <w:rPr>
          <w:rFonts w:ascii="Arial" w:eastAsia="Times" w:hAnsi="Arial" w:cs="Times New Roman"/>
          <w:bCs/>
          <w:sz w:val="18"/>
          <w:szCs w:val="18"/>
        </w:rPr>
      </w:pPr>
      <w:r w:rsidRPr="003346CF">
        <w:rPr>
          <w:rFonts w:ascii="Arial" w:eastAsia="Times" w:hAnsi="Arial" w:cs="Times New Roman"/>
          <w:bCs/>
          <w:sz w:val="18"/>
          <w:szCs w:val="18"/>
        </w:rPr>
        <w:t>* - visi rodikliai, išskyrus „Išleista išvalytų iki normos nuotekų, tūkst. m</w:t>
      </w:r>
      <w:r w:rsidRPr="003346CF">
        <w:rPr>
          <w:rFonts w:ascii="Arial" w:eastAsia="Times" w:hAnsi="Arial" w:cs="Times New Roman"/>
          <w:bCs/>
          <w:sz w:val="18"/>
          <w:szCs w:val="18"/>
          <w:vertAlign w:val="superscript"/>
        </w:rPr>
        <w:t>3</w:t>
      </w:r>
      <w:r w:rsidRPr="003346CF">
        <w:rPr>
          <w:rFonts w:ascii="Arial" w:eastAsia="Times" w:hAnsi="Arial" w:cs="Times New Roman"/>
          <w:bCs/>
          <w:sz w:val="18"/>
          <w:szCs w:val="18"/>
        </w:rPr>
        <w:t>“ yra matuojami tonomis.</w:t>
      </w:r>
    </w:p>
    <w:p w:rsidR="00E41B59" w:rsidRPr="00566C1F" w:rsidRDefault="00B76AF6" w:rsidP="00E41B59">
      <w:pPr>
        <w:jc w:val="both"/>
        <w:rPr>
          <w:rFonts w:ascii="Arial" w:eastAsia="MS PGothic" w:hAnsi="Arial" w:cs="Times New Roman"/>
          <w:sz w:val="20"/>
          <w:szCs w:val="24"/>
        </w:rPr>
      </w:pPr>
      <w:r w:rsidRPr="00566C1F">
        <w:rPr>
          <w:rFonts w:ascii="Arial" w:eastAsia="MS PGothic" w:hAnsi="Arial" w:cs="Times New Roman"/>
          <w:sz w:val="20"/>
          <w:szCs w:val="24"/>
        </w:rPr>
        <w:t>Vertinant demografinius rodiklius</w:t>
      </w:r>
      <w:r w:rsidR="00594D44" w:rsidRPr="00566C1F">
        <w:rPr>
          <w:rFonts w:ascii="Arial" w:eastAsia="MS PGothic" w:hAnsi="Arial" w:cs="Times New Roman"/>
          <w:sz w:val="20"/>
          <w:szCs w:val="24"/>
        </w:rPr>
        <w:t>, 2007 - 2013 m. stebimos tendencijos atitinka nacion</w:t>
      </w:r>
      <w:r w:rsidR="002427B5" w:rsidRPr="00566C1F">
        <w:rPr>
          <w:rFonts w:ascii="Arial" w:eastAsia="MS PGothic" w:hAnsi="Arial" w:cs="Times New Roman"/>
          <w:sz w:val="20"/>
          <w:szCs w:val="24"/>
        </w:rPr>
        <w:t xml:space="preserve">aliniu mastu vykusius pokyčius. Daugumos rodiklių tarpe vyrauja neigiama tendencija. </w:t>
      </w:r>
      <w:r w:rsidR="00566C1F" w:rsidRPr="00566C1F">
        <w:rPr>
          <w:rFonts w:ascii="Arial" w:eastAsia="MS PGothic" w:hAnsi="Arial" w:cs="Times New Roman"/>
          <w:sz w:val="20"/>
          <w:szCs w:val="24"/>
        </w:rPr>
        <w:t>Nuolatinis gyventojų skaičius nagrinėjamu laikotarpiu nuosekliai mažėjo: nuo 2007</w:t>
      </w:r>
      <w:r w:rsidR="00566C1F">
        <w:rPr>
          <w:rFonts w:ascii="Arial" w:eastAsia="MS PGothic" w:hAnsi="Arial" w:cs="Times New Roman"/>
          <w:sz w:val="20"/>
          <w:szCs w:val="24"/>
        </w:rPr>
        <w:t xml:space="preserve"> m.</w:t>
      </w:r>
      <w:r w:rsidR="00566C1F" w:rsidRPr="00566C1F">
        <w:rPr>
          <w:rFonts w:ascii="Arial" w:eastAsia="MS PGothic" w:hAnsi="Arial" w:cs="Times New Roman"/>
          <w:sz w:val="20"/>
          <w:szCs w:val="24"/>
        </w:rPr>
        <w:t xml:space="preserve"> iki 2013 m. pokytis siekė 12.7 proc. Tuo pačiu laikotarpiu darbingo amžiaus žmonių </w:t>
      </w:r>
      <w:r w:rsidR="00566C1F">
        <w:rPr>
          <w:rFonts w:ascii="Arial" w:eastAsia="MS PGothic" w:hAnsi="Arial" w:cs="Times New Roman"/>
          <w:sz w:val="20"/>
          <w:szCs w:val="24"/>
        </w:rPr>
        <w:t>skaičius taip pat nuosekliai mažėjo. Nors darbingo amžiaus gyventojų ir nuolatinių gyventojų santykio rodiklis nagrinėjamu laikotarpiu gerėjo, tačiau tai galėjo būti nulemta bendro gyventojų skaičiaus mažėjimo.</w:t>
      </w:r>
      <w:r w:rsidR="00566C1F" w:rsidRPr="00566C1F">
        <w:rPr>
          <w:rFonts w:ascii="Arial" w:eastAsia="MS PGothic" w:hAnsi="Arial" w:cs="Times New Roman"/>
          <w:sz w:val="20"/>
          <w:szCs w:val="24"/>
        </w:rPr>
        <w:t xml:space="preserve"> Registruotų bedarbių ir darbingo amžiaus gyventojų  santykis identifikuoja, jog išgyvenus ekonominę recesiją (kuri 2010 m</w:t>
      </w:r>
      <w:r w:rsidR="00566C1F">
        <w:rPr>
          <w:rFonts w:ascii="Arial" w:eastAsia="MS PGothic" w:hAnsi="Arial" w:cs="Times New Roman"/>
          <w:sz w:val="20"/>
          <w:szCs w:val="24"/>
        </w:rPr>
        <w:t>.</w:t>
      </w:r>
      <w:r w:rsidR="00566C1F" w:rsidRPr="00566C1F">
        <w:rPr>
          <w:rFonts w:ascii="Arial" w:eastAsia="MS PGothic" w:hAnsi="Arial" w:cs="Times New Roman"/>
          <w:sz w:val="20"/>
          <w:szCs w:val="24"/>
        </w:rPr>
        <w:t xml:space="preserve"> šį santykinį rodiklį pastūmėjo iki 18.30% ribos) situacija savivaldybėje ima gerėti. Žvelgiant į mėnesinį darbo užmokesčio dydį pastebima, kad </w:t>
      </w:r>
      <w:r w:rsidR="00566C1F">
        <w:rPr>
          <w:rFonts w:ascii="Arial" w:eastAsia="MS PGothic" w:hAnsi="Arial" w:cs="Times New Roman"/>
          <w:sz w:val="20"/>
          <w:szCs w:val="24"/>
        </w:rPr>
        <w:t>nagrinėjamu laikotarpiu</w:t>
      </w:r>
      <w:r w:rsidR="00566C1F" w:rsidRPr="00566C1F">
        <w:rPr>
          <w:rFonts w:ascii="Arial" w:eastAsia="MS PGothic" w:hAnsi="Arial" w:cs="Times New Roman"/>
          <w:sz w:val="20"/>
          <w:szCs w:val="24"/>
        </w:rPr>
        <w:t xml:space="preserve"> jis pakilo 209.1 EUR (67.28% teigiamas pokytis. Vis dėlto lyginant su Lietuvos</w:t>
      </w:r>
      <w:r w:rsidR="003346CF">
        <w:rPr>
          <w:rFonts w:ascii="Arial" w:eastAsia="MS PGothic" w:hAnsi="Arial" w:cs="Times New Roman"/>
          <w:sz w:val="20"/>
          <w:szCs w:val="24"/>
        </w:rPr>
        <w:t xml:space="preserve"> vidutinio</w:t>
      </w:r>
      <w:r w:rsidR="00566C1F" w:rsidRPr="00566C1F">
        <w:rPr>
          <w:rFonts w:ascii="Arial" w:eastAsia="MS PGothic" w:hAnsi="Arial" w:cs="Times New Roman"/>
          <w:sz w:val="20"/>
          <w:szCs w:val="24"/>
        </w:rPr>
        <w:t xml:space="preserve"> mėnesinio atlyginimo vidurkiu, </w:t>
      </w:r>
      <w:r w:rsidR="00566C1F">
        <w:rPr>
          <w:rFonts w:ascii="Arial" w:eastAsia="MS PGothic" w:hAnsi="Arial" w:cs="Times New Roman"/>
          <w:sz w:val="20"/>
          <w:szCs w:val="24"/>
        </w:rPr>
        <w:t>pastebima, kad</w:t>
      </w:r>
      <w:r w:rsidR="00566C1F" w:rsidRPr="00566C1F">
        <w:rPr>
          <w:rFonts w:ascii="Arial" w:eastAsia="MS PGothic" w:hAnsi="Arial" w:cs="Times New Roman"/>
          <w:sz w:val="20"/>
          <w:szCs w:val="24"/>
        </w:rPr>
        <w:t xml:space="preserve"> atlyginimo augimo tempas buvo santykinai mažesnis. Per šį laikotarpį skirtumas tarp Lietuvos Respublikoje gaunamo vidutinio atlygin</w:t>
      </w:r>
      <w:r w:rsidR="003346CF">
        <w:rPr>
          <w:rFonts w:ascii="Arial" w:eastAsia="MS PGothic" w:hAnsi="Arial" w:cs="Times New Roman"/>
          <w:sz w:val="20"/>
          <w:szCs w:val="24"/>
        </w:rPr>
        <w:t>im</w:t>
      </w:r>
      <w:r w:rsidR="00566C1F" w:rsidRPr="00566C1F">
        <w:rPr>
          <w:rFonts w:ascii="Arial" w:eastAsia="MS PGothic" w:hAnsi="Arial" w:cs="Times New Roman"/>
          <w:sz w:val="20"/>
          <w:szCs w:val="24"/>
        </w:rPr>
        <w:t>o ir Pasvalio savivaldybėje vidutiniškai mokamos mėnesinės algos išaugo 25.8 EUR</w:t>
      </w:r>
      <w:r w:rsidR="00566C1F">
        <w:rPr>
          <w:rFonts w:ascii="Arial" w:eastAsia="MS PGothic" w:hAnsi="Arial" w:cs="Times New Roman"/>
          <w:sz w:val="20"/>
          <w:szCs w:val="24"/>
        </w:rPr>
        <w:t>, t.y.</w:t>
      </w:r>
      <w:r w:rsidR="00566C1F" w:rsidRPr="00566C1F">
        <w:rPr>
          <w:rFonts w:ascii="Arial" w:eastAsia="MS PGothic" w:hAnsi="Arial" w:cs="Times New Roman"/>
          <w:sz w:val="20"/>
          <w:szCs w:val="24"/>
        </w:rPr>
        <w:t xml:space="preserve"> nuo 150 EUR iki 175.8 EUR.</w:t>
      </w:r>
      <w:r w:rsidR="00566C1F">
        <w:rPr>
          <w:rFonts w:ascii="Arial" w:eastAsia="MS PGothic" w:hAnsi="Arial" w:cs="Times New Roman"/>
          <w:sz w:val="20"/>
          <w:szCs w:val="24"/>
        </w:rPr>
        <w:t xml:space="preserve"> </w:t>
      </w:r>
      <w:r w:rsidR="00A027E9" w:rsidRPr="00566C1F">
        <w:rPr>
          <w:rFonts w:ascii="Arial" w:eastAsia="MS PGothic" w:hAnsi="Arial" w:cs="Times New Roman"/>
          <w:sz w:val="20"/>
          <w:szCs w:val="24"/>
        </w:rPr>
        <w:t>Apibendrinant, demografiniai rodikliai nagrinėjamu laikotarpiu buvo veikiami pasaulinės finansų krizės, augančių migracijos mastų ir mažėjančio gyventojų skaičiaus; visu laikotarpiu buvo stebimos bendros neigiamos plėtros tendencijos.</w:t>
      </w:r>
    </w:p>
    <w:p w:rsidR="002427B5" w:rsidRPr="00566C1F" w:rsidRDefault="00A2570C" w:rsidP="002F4AE8">
      <w:pPr>
        <w:pStyle w:val="Caption"/>
        <w:keepNext/>
      </w:pPr>
      <w:r w:rsidRPr="00566C1F">
        <w:fldChar w:fldCharType="begin"/>
      </w:r>
      <w:r w:rsidRPr="00566C1F">
        <w:instrText xml:space="preserve"> SEQ paveikslas \* ARABIC </w:instrText>
      </w:r>
      <w:r w:rsidRPr="00566C1F">
        <w:fldChar w:fldCharType="separate"/>
      </w:r>
      <w:r w:rsidR="008A1509" w:rsidRPr="00566C1F">
        <w:t>5</w:t>
      </w:r>
      <w:r w:rsidRPr="00566C1F">
        <w:fldChar w:fldCharType="end"/>
      </w:r>
      <w:r w:rsidRPr="00566C1F">
        <w:t xml:space="preserve"> paveikslas. Demografiniai rodikliai</w:t>
      </w:r>
      <w:r w:rsidR="002F4AE8" w:rsidRPr="00566C1F">
        <w:rPr>
          <w:noProof/>
          <w:lang w:val="en-US"/>
        </w:rPr>
        <w:drawing>
          <wp:anchor distT="0" distB="0" distL="114300" distR="114300" simplePos="0" relativeHeight="251695104" behindDoc="0" locked="0" layoutInCell="1" allowOverlap="1" wp14:anchorId="4FAE2460" wp14:editId="66B669D0">
            <wp:simplePos x="0" y="0"/>
            <wp:positionH relativeFrom="column">
              <wp:posOffset>0</wp:posOffset>
            </wp:positionH>
            <wp:positionV relativeFrom="paragraph">
              <wp:posOffset>156210</wp:posOffset>
            </wp:positionV>
            <wp:extent cx="4606017" cy="2688772"/>
            <wp:effectExtent l="0" t="0" r="4445" b="1651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B76AF6" w:rsidRPr="00566C1F">
        <w:rPr>
          <w:b w:val="0"/>
        </w:rPr>
        <w:br/>
      </w:r>
    </w:p>
    <w:p w:rsidR="002427B5" w:rsidRPr="00566C1F" w:rsidRDefault="002427B5" w:rsidP="008A1509">
      <w:pPr>
        <w:pStyle w:val="Caption"/>
        <w:spacing w:before="240"/>
        <w:rPr>
          <w:b w:val="0"/>
        </w:rPr>
      </w:pPr>
    </w:p>
    <w:p w:rsidR="002427B5" w:rsidRPr="00566C1F" w:rsidRDefault="002427B5" w:rsidP="008A1509">
      <w:pPr>
        <w:pStyle w:val="Caption"/>
        <w:spacing w:before="240"/>
        <w:rPr>
          <w:b w:val="0"/>
        </w:rPr>
      </w:pPr>
    </w:p>
    <w:p w:rsidR="002427B5" w:rsidRPr="00566C1F" w:rsidRDefault="002427B5" w:rsidP="008A1509">
      <w:pPr>
        <w:pStyle w:val="Caption"/>
        <w:spacing w:before="240"/>
        <w:rPr>
          <w:b w:val="0"/>
        </w:rPr>
      </w:pPr>
    </w:p>
    <w:p w:rsidR="002427B5" w:rsidRPr="00566C1F" w:rsidRDefault="002427B5" w:rsidP="008A1509">
      <w:pPr>
        <w:pStyle w:val="Caption"/>
        <w:spacing w:before="240"/>
        <w:rPr>
          <w:b w:val="0"/>
        </w:rPr>
      </w:pPr>
    </w:p>
    <w:p w:rsidR="002427B5" w:rsidRPr="00566C1F" w:rsidRDefault="002427B5" w:rsidP="008A1509">
      <w:pPr>
        <w:pStyle w:val="Caption"/>
        <w:spacing w:before="240"/>
        <w:rPr>
          <w:b w:val="0"/>
        </w:rPr>
      </w:pPr>
    </w:p>
    <w:p w:rsidR="002427B5" w:rsidRPr="00566C1F" w:rsidRDefault="002427B5" w:rsidP="008A1509">
      <w:pPr>
        <w:pStyle w:val="Caption"/>
        <w:spacing w:before="240"/>
        <w:rPr>
          <w:b w:val="0"/>
        </w:rPr>
      </w:pPr>
    </w:p>
    <w:p w:rsidR="00FE59D1" w:rsidRDefault="00FE59D1" w:rsidP="008A1509">
      <w:pPr>
        <w:pStyle w:val="Caption"/>
        <w:spacing w:before="240"/>
        <w:rPr>
          <w:b w:val="0"/>
        </w:rPr>
      </w:pPr>
    </w:p>
    <w:p w:rsidR="00FE59D1" w:rsidRDefault="00FE59D1" w:rsidP="008A1509">
      <w:pPr>
        <w:pStyle w:val="Caption"/>
        <w:spacing w:before="240"/>
        <w:rPr>
          <w:b w:val="0"/>
        </w:rPr>
      </w:pPr>
    </w:p>
    <w:p w:rsidR="00FE59D1" w:rsidRDefault="00FE59D1" w:rsidP="008A1509">
      <w:pPr>
        <w:pStyle w:val="Caption"/>
        <w:spacing w:before="240"/>
        <w:rPr>
          <w:b w:val="0"/>
        </w:rPr>
      </w:pPr>
    </w:p>
    <w:p w:rsidR="008A1509" w:rsidRPr="00566C1F" w:rsidRDefault="008A1509" w:rsidP="008A1509">
      <w:pPr>
        <w:pStyle w:val="Caption"/>
        <w:spacing w:before="240"/>
        <w:rPr>
          <w:b w:val="0"/>
        </w:rPr>
      </w:pPr>
      <w:r w:rsidRPr="00566C1F">
        <w:rPr>
          <w:b w:val="0"/>
        </w:rPr>
        <w:t>Šaltinis: Statistiko</w:t>
      </w:r>
      <w:r w:rsidR="00594D44" w:rsidRPr="00566C1F">
        <w:rPr>
          <w:b w:val="0"/>
        </w:rPr>
        <w:t>s</w:t>
      </w:r>
      <w:r w:rsidRPr="00566C1F">
        <w:rPr>
          <w:b w:val="0"/>
        </w:rPr>
        <w:t xml:space="preserve"> departamentas</w:t>
      </w:r>
    </w:p>
    <w:p w:rsidR="00B76AF6" w:rsidRPr="00566C1F" w:rsidRDefault="00B76AF6" w:rsidP="00B76AF6">
      <w:pPr>
        <w:jc w:val="both"/>
        <w:rPr>
          <w:rFonts w:ascii="Arial" w:eastAsia="MS PGothic" w:hAnsi="Arial" w:cs="Times New Roman"/>
          <w:sz w:val="20"/>
          <w:szCs w:val="24"/>
        </w:rPr>
      </w:pPr>
      <w:r w:rsidRPr="00566C1F">
        <w:rPr>
          <w:rFonts w:ascii="Arial" w:eastAsia="MS PGothic" w:hAnsi="Arial" w:cs="Times New Roman"/>
          <w:sz w:val="20"/>
          <w:szCs w:val="24"/>
        </w:rPr>
        <w:t>Vertinant ūkio ir finansini</w:t>
      </w:r>
      <w:r w:rsidR="004E0E71" w:rsidRPr="00566C1F">
        <w:rPr>
          <w:rFonts w:ascii="Arial" w:eastAsia="MS PGothic" w:hAnsi="Arial" w:cs="Times New Roman"/>
          <w:sz w:val="20"/>
          <w:szCs w:val="24"/>
        </w:rPr>
        <w:t xml:space="preserve">us rodiklius </w:t>
      </w:r>
      <w:r w:rsidRPr="00566C1F">
        <w:rPr>
          <w:rFonts w:ascii="Arial" w:eastAsia="MS PGothic" w:hAnsi="Arial" w:cs="Times New Roman"/>
          <w:sz w:val="20"/>
          <w:szCs w:val="24"/>
        </w:rPr>
        <w:t>pastebima,</w:t>
      </w:r>
      <w:r w:rsidR="00424FB7" w:rsidRPr="00566C1F">
        <w:rPr>
          <w:rFonts w:ascii="Arial" w:eastAsia="MS PGothic" w:hAnsi="Arial" w:cs="Times New Roman"/>
          <w:sz w:val="20"/>
          <w:szCs w:val="24"/>
        </w:rPr>
        <w:t xml:space="preserve"> kad</w:t>
      </w:r>
      <w:r w:rsidR="0062159A" w:rsidRPr="00566C1F">
        <w:rPr>
          <w:rFonts w:ascii="Arial" w:eastAsia="MS PGothic" w:hAnsi="Arial" w:cs="Times New Roman"/>
          <w:sz w:val="20"/>
          <w:szCs w:val="24"/>
        </w:rPr>
        <w:t xml:space="preserve"> 2007 – 2013</w:t>
      </w:r>
      <w:r w:rsidR="00BC4ECE" w:rsidRPr="00566C1F">
        <w:rPr>
          <w:rFonts w:ascii="Arial" w:eastAsia="MS PGothic" w:hAnsi="Arial" w:cs="Times New Roman"/>
          <w:sz w:val="20"/>
          <w:szCs w:val="24"/>
        </w:rPr>
        <w:t xml:space="preserve"> m. </w:t>
      </w:r>
      <w:r w:rsidR="0062159A" w:rsidRPr="00566C1F">
        <w:rPr>
          <w:rFonts w:ascii="Arial" w:eastAsia="MS PGothic" w:hAnsi="Arial" w:cs="Times New Roman"/>
          <w:sz w:val="20"/>
          <w:szCs w:val="24"/>
        </w:rPr>
        <w:t>pridėtinė</w:t>
      </w:r>
      <w:r w:rsidR="00BC4ECE" w:rsidRPr="00566C1F">
        <w:rPr>
          <w:rFonts w:ascii="Arial" w:eastAsia="MS PGothic" w:hAnsi="Arial" w:cs="Times New Roman"/>
          <w:sz w:val="20"/>
          <w:szCs w:val="24"/>
        </w:rPr>
        <w:t>s</w:t>
      </w:r>
      <w:r w:rsidR="0062159A" w:rsidRPr="00566C1F">
        <w:rPr>
          <w:rFonts w:ascii="Arial" w:eastAsia="MS PGothic" w:hAnsi="Arial" w:cs="Times New Roman"/>
          <w:sz w:val="20"/>
          <w:szCs w:val="24"/>
        </w:rPr>
        <w:t xml:space="preserve"> vertė</w:t>
      </w:r>
      <w:r w:rsidR="00BC4ECE" w:rsidRPr="00566C1F">
        <w:rPr>
          <w:rFonts w:ascii="Arial" w:eastAsia="MS PGothic" w:hAnsi="Arial" w:cs="Times New Roman"/>
          <w:sz w:val="20"/>
          <w:szCs w:val="24"/>
        </w:rPr>
        <w:t>s gamybos kainomis ir m</w:t>
      </w:r>
      <w:r w:rsidR="0062159A" w:rsidRPr="00566C1F">
        <w:rPr>
          <w:rFonts w:ascii="Arial" w:eastAsia="MS PGothic" w:hAnsi="Arial" w:cs="Times New Roman"/>
          <w:sz w:val="20"/>
          <w:szCs w:val="24"/>
        </w:rPr>
        <w:t>aterialin</w:t>
      </w:r>
      <w:r w:rsidR="00BC4ECE" w:rsidRPr="00566C1F">
        <w:rPr>
          <w:rFonts w:ascii="Arial" w:eastAsia="MS PGothic" w:hAnsi="Arial" w:cs="Times New Roman"/>
          <w:sz w:val="20"/>
          <w:szCs w:val="24"/>
        </w:rPr>
        <w:t xml:space="preserve">ių investicijų rodikliai </w:t>
      </w:r>
      <w:r w:rsidR="0062159A" w:rsidRPr="00566C1F">
        <w:rPr>
          <w:rFonts w:ascii="Arial" w:eastAsia="MS PGothic" w:hAnsi="Arial" w:cs="Times New Roman"/>
          <w:sz w:val="20"/>
          <w:szCs w:val="24"/>
        </w:rPr>
        <w:t xml:space="preserve">neturėjo </w:t>
      </w:r>
      <w:r w:rsidR="00BC4ECE" w:rsidRPr="00566C1F">
        <w:rPr>
          <w:rFonts w:ascii="Arial" w:eastAsia="MS PGothic" w:hAnsi="Arial" w:cs="Times New Roman"/>
          <w:sz w:val="20"/>
          <w:szCs w:val="24"/>
        </w:rPr>
        <w:t xml:space="preserve">nuoseklių kitimo tendencijų. </w:t>
      </w:r>
      <w:r w:rsidR="00566C1F">
        <w:rPr>
          <w:rFonts w:ascii="Arial" w:eastAsia="MS PGothic" w:hAnsi="Arial" w:cs="Times New Roman"/>
          <w:sz w:val="20"/>
          <w:szCs w:val="24"/>
        </w:rPr>
        <w:t>Vis dėlto bend</w:t>
      </w:r>
      <w:r w:rsidR="00845723">
        <w:rPr>
          <w:rFonts w:ascii="Arial" w:eastAsia="MS PGothic" w:hAnsi="Arial" w:cs="Times New Roman"/>
          <w:sz w:val="20"/>
          <w:szCs w:val="24"/>
        </w:rPr>
        <w:t>ros tendencijos buvo teigiamos. Pasvalio rajono savivaldybė iš kitų išsiskiria</w:t>
      </w:r>
      <w:r w:rsidR="00CF2C00" w:rsidRPr="00566C1F">
        <w:rPr>
          <w:rFonts w:ascii="Arial" w:eastAsia="MS PGothic" w:hAnsi="Arial" w:cs="Times New Roman"/>
          <w:sz w:val="20"/>
          <w:szCs w:val="24"/>
        </w:rPr>
        <w:t xml:space="preserve"> </w:t>
      </w:r>
      <w:r w:rsidR="00845723">
        <w:rPr>
          <w:rFonts w:ascii="Arial" w:eastAsia="MS PGothic" w:hAnsi="Arial" w:cs="Times New Roman"/>
          <w:sz w:val="20"/>
          <w:szCs w:val="24"/>
        </w:rPr>
        <w:t>palyginti nedideliu</w:t>
      </w:r>
      <w:r w:rsidR="00FB49A3">
        <w:rPr>
          <w:rFonts w:ascii="Arial" w:eastAsia="MS PGothic" w:hAnsi="Arial" w:cs="Times New Roman"/>
          <w:sz w:val="20"/>
          <w:szCs w:val="24"/>
        </w:rPr>
        <w:t xml:space="preserve"> finansų krizės nulemtu ekonominės veiklos rodiklių nuosmukiu </w:t>
      </w:r>
      <w:r w:rsidR="00FB49A3">
        <w:rPr>
          <w:rFonts w:ascii="Arial" w:eastAsia="MS PGothic" w:hAnsi="Arial" w:cs="Times New Roman"/>
          <w:sz w:val="20"/>
          <w:szCs w:val="24"/>
          <w:lang w:val="en-US"/>
        </w:rPr>
        <w:t>2008 – 2009 m.</w:t>
      </w:r>
      <w:r w:rsidR="00FB49A3">
        <w:rPr>
          <w:rFonts w:ascii="Arial" w:eastAsia="MS PGothic" w:hAnsi="Arial" w:cs="Times New Roman"/>
          <w:sz w:val="20"/>
          <w:szCs w:val="24"/>
        </w:rPr>
        <w:t xml:space="preserve"> Labiausiai ekonomikos ciklo svyravimai paveikė materialinių investicijų rodiklį, tuo tarpu </w:t>
      </w:r>
      <w:r w:rsidR="00582F9B">
        <w:rPr>
          <w:rFonts w:ascii="Arial" w:eastAsia="MS PGothic" w:hAnsi="Arial" w:cs="Times New Roman"/>
          <w:sz w:val="20"/>
          <w:szCs w:val="24"/>
        </w:rPr>
        <w:t xml:space="preserve">pridėtinės vertės gamybos kainomis rodiklis išliko daugmaž pastovus, o </w:t>
      </w:r>
      <w:r w:rsidR="00582F9B">
        <w:rPr>
          <w:rFonts w:ascii="Arial" w:eastAsia="MS PGothic" w:hAnsi="Arial" w:cs="Times New Roman"/>
          <w:sz w:val="20"/>
          <w:szCs w:val="24"/>
          <w:lang w:val="en-US"/>
        </w:rPr>
        <w:t>2012 m.</w:t>
      </w:r>
      <w:r w:rsidR="00582F9B">
        <w:rPr>
          <w:rFonts w:ascii="Arial" w:eastAsia="MS PGothic" w:hAnsi="Arial" w:cs="Times New Roman"/>
          <w:sz w:val="20"/>
          <w:szCs w:val="24"/>
        </w:rPr>
        <w:t xml:space="preserve"> netgi viršijo prieš-krizinį savo įvertį. </w:t>
      </w:r>
      <w:r w:rsidR="008A3C91">
        <w:rPr>
          <w:rFonts w:ascii="Arial" w:eastAsia="MS PGothic" w:hAnsi="Arial" w:cs="Times New Roman"/>
          <w:sz w:val="20"/>
          <w:szCs w:val="24"/>
        </w:rPr>
        <w:t>Tiesioginės užsienio investicijos taip pat nuosekliai augo visu nagrinėjamu laikotarpiu. A</w:t>
      </w:r>
      <w:r w:rsidR="00CF2C00" w:rsidRPr="00566C1F">
        <w:rPr>
          <w:rFonts w:ascii="Arial" w:eastAsia="MS PGothic" w:hAnsi="Arial" w:cs="Times New Roman"/>
          <w:sz w:val="20"/>
          <w:szCs w:val="24"/>
        </w:rPr>
        <w:t xml:space="preserve">pibendrinant, ekonominės veiklos rodikliai </w:t>
      </w:r>
      <w:r w:rsidR="008A3C91">
        <w:rPr>
          <w:rFonts w:ascii="Arial" w:eastAsia="MS PGothic" w:hAnsi="Arial" w:cs="Times New Roman"/>
          <w:sz w:val="20"/>
          <w:szCs w:val="24"/>
        </w:rPr>
        <w:t xml:space="preserve">Pasvalio rajono </w:t>
      </w:r>
      <w:r w:rsidR="00CF2C00" w:rsidRPr="00566C1F">
        <w:rPr>
          <w:rFonts w:ascii="Arial" w:eastAsia="MS PGothic" w:hAnsi="Arial" w:cs="Times New Roman"/>
          <w:sz w:val="20"/>
          <w:szCs w:val="24"/>
        </w:rPr>
        <w:t xml:space="preserve">savivaldybėje pasižymėjo bendra </w:t>
      </w:r>
      <w:r w:rsidR="008A3C91">
        <w:rPr>
          <w:rFonts w:ascii="Arial" w:eastAsia="MS PGothic" w:hAnsi="Arial" w:cs="Times New Roman"/>
          <w:sz w:val="20"/>
          <w:szCs w:val="24"/>
        </w:rPr>
        <w:t>teigiama</w:t>
      </w:r>
      <w:r w:rsidR="00CF2C00" w:rsidRPr="00566C1F">
        <w:rPr>
          <w:rFonts w:ascii="Arial" w:eastAsia="MS PGothic" w:hAnsi="Arial" w:cs="Times New Roman"/>
          <w:sz w:val="20"/>
          <w:szCs w:val="24"/>
        </w:rPr>
        <w:t xml:space="preserve"> kitimo tendencija.</w:t>
      </w:r>
    </w:p>
    <w:p w:rsidR="008A1509" w:rsidRPr="00566C1F" w:rsidRDefault="008A1509" w:rsidP="008A1509">
      <w:pPr>
        <w:pStyle w:val="Caption"/>
        <w:keepNext/>
      </w:pPr>
      <w:r w:rsidRPr="00566C1F">
        <w:fldChar w:fldCharType="begin"/>
      </w:r>
      <w:r w:rsidRPr="00566C1F">
        <w:instrText xml:space="preserve"> SEQ paveikslas \* ARABIC </w:instrText>
      </w:r>
      <w:r w:rsidRPr="00566C1F">
        <w:fldChar w:fldCharType="separate"/>
      </w:r>
      <w:r w:rsidRPr="00566C1F">
        <w:t>6</w:t>
      </w:r>
      <w:r w:rsidRPr="00566C1F">
        <w:fldChar w:fldCharType="end"/>
      </w:r>
      <w:r w:rsidRPr="00566C1F">
        <w:t xml:space="preserve"> paveikslas. Ekonominės veiklos rodikliai</w:t>
      </w:r>
    </w:p>
    <w:p w:rsidR="002F4AE8" w:rsidRPr="00566C1F" w:rsidRDefault="002F4AE8" w:rsidP="002F4AE8">
      <w:r w:rsidRPr="00566C1F">
        <w:rPr>
          <w:noProof/>
          <w:lang w:val="en-US"/>
        </w:rPr>
        <w:drawing>
          <wp:anchor distT="0" distB="0" distL="114300" distR="114300" simplePos="0" relativeHeight="251697152" behindDoc="0" locked="0" layoutInCell="1" allowOverlap="1" wp14:anchorId="6EDD043D" wp14:editId="2FF877C5">
            <wp:simplePos x="0" y="0"/>
            <wp:positionH relativeFrom="margin">
              <wp:align>left</wp:align>
            </wp:positionH>
            <wp:positionV relativeFrom="paragraph">
              <wp:posOffset>6606</wp:posOffset>
            </wp:positionV>
            <wp:extent cx="4611120" cy="2688771"/>
            <wp:effectExtent l="0" t="0" r="18415" b="1651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A027E9" w:rsidRPr="00566C1F" w:rsidRDefault="00A027E9" w:rsidP="00A027E9"/>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FE59D1" w:rsidRDefault="00FE59D1" w:rsidP="00805F6F">
      <w:pPr>
        <w:pStyle w:val="Caption"/>
        <w:spacing w:before="240" w:after="240"/>
        <w:rPr>
          <w:b w:val="0"/>
        </w:rPr>
      </w:pPr>
    </w:p>
    <w:p w:rsidR="004E0E71" w:rsidRDefault="004E0E71" w:rsidP="00805F6F">
      <w:pPr>
        <w:pStyle w:val="Caption"/>
        <w:spacing w:before="240" w:after="240"/>
        <w:rPr>
          <w:b w:val="0"/>
        </w:rPr>
      </w:pPr>
      <w:r w:rsidRPr="00566C1F">
        <w:rPr>
          <w:b w:val="0"/>
        </w:rPr>
        <w:t>Šaltinis: Statistiko</w:t>
      </w:r>
      <w:r w:rsidR="0062159A" w:rsidRPr="00566C1F">
        <w:rPr>
          <w:b w:val="0"/>
        </w:rPr>
        <w:t>s</w:t>
      </w:r>
      <w:r w:rsidRPr="00566C1F">
        <w:rPr>
          <w:b w:val="0"/>
        </w:rPr>
        <w:t xml:space="preserve"> departamentas</w:t>
      </w:r>
    </w:p>
    <w:p w:rsidR="008A3C91" w:rsidRDefault="008A3C91" w:rsidP="008A3C91"/>
    <w:p w:rsidR="008A3C91" w:rsidRDefault="008A3C91" w:rsidP="008A3C91"/>
    <w:p w:rsidR="008A3C91" w:rsidRDefault="008A3C91" w:rsidP="008A3C91"/>
    <w:p w:rsidR="00942138" w:rsidRPr="00566C1F" w:rsidRDefault="006C4D28" w:rsidP="00FE59D1">
      <w:pPr>
        <w:pStyle w:val="Heading1"/>
        <w:numPr>
          <w:ilvl w:val="1"/>
          <w:numId w:val="1"/>
        </w:numPr>
        <w:spacing w:before="360" w:after="240"/>
        <w:rPr>
          <w:rFonts w:ascii="Arial" w:hAnsi="Arial" w:cs="Arial"/>
          <w:b w:val="0"/>
          <w:sz w:val="28"/>
        </w:rPr>
      </w:pPr>
      <w:r w:rsidRPr="00566C1F">
        <w:rPr>
          <w:rFonts w:ascii="Arial" w:hAnsi="Arial" w:cs="Arial"/>
          <w:b w:val="0"/>
          <w:sz w:val="28"/>
        </w:rPr>
        <w:t>ES struktūrinės paramos poveikis</w:t>
      </w:r>
    </w:p>
    <w:p w:rsidR="00CF2C00" w:rsidRDefault="006C4D28" w:rsidP="00CF2C00">
      <w:pPr>
        <w:jc w:val="both"/>
        <w:rPr>
          <w:rFonts w:ascii="Arial" w:eastAsia="MS PGothic" w:hAnsi="Arial" w:cs="Times New Roman"/>
          <w:sz w:val="20"/>
          <w:szCs w:val="24"/>
        </w:rPr>
      </w:pPr>
      <w:r w:rsidRPr="00566C1F">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566C1F">
        <w:rPr>
          <w:rFonts w:ascii="Arial" w:eastAsia="MS PGothic" w:hAnsi="Arial" w:cs="Times New Roman"/>
          <w:sz w:val="20"/>
          <w:szCs w:val="24"/>
        </w:rPr>
        <w:t xml:space="preserve">teritorijų gaivinimo programas. </w:t>
      </w:r>
      <w:r w:rsidR="00BF63D3" w:rsidRPr="00566C1F">
        <w:rPr>
          <w:rFonts w:ascii="Arial" w:eastAsia="MS PGothic" w:hAnsi="Arial" w:cs="Times New Roman"/>
          <w:sz w:val="20"/>
          <w:szCs w:val="24"/>
        </w:rPr>
        <w:t xml:space="preserve">Pagrindiniai </w:t>
      </w:r>
      <w:r w:rsidR="008A3C91">
        <w:rPr>
          <w:rFonts w:ascii="Arial" w:eastAsia="MS PGothic" w:hAnsi="Arial" w:cs="Times New Roman"/>
          <w:sz w:val="20"/>
          <w:szCs w:val="24"/>
        </w:rPr>
        <w:t>Pasvalio</w:t>
      </w:r>
      <w:r w:rsidR="00C446C3" w:rsidRPr="00566C1F">
        <w:rPr>
          <w:rFonts w:ascii="Arial" w:eastAsia="MS PGothic" w:hAnsi="Arial" w:cs="Times New Roman"/>
          <w:sz w:val="20"/>
          <w:szCs w:val="24"/>
        </w:rPr>
        <w:t xml:space="preserve"> rajono</w:t>
      </w:r>
      <w:r w:rsidR="00BF63D3" w:rsidRPr="00566C1F">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CF2C00" w:rsidRPr="00566C1F">
        <w:rPr>
          <w:rFonts w:ascii="Arial" w:eastAsia="MS PGothic" w:hAnsi="Arial" w:cs="Times New Roman"/>
          <w:sz w:val="20"/>
          <w:szCs w:val="24"/>
        </w:rPr>
        <w:t>kompleksinį</w:t>
      </w:r>
      <w:r w:rsidR="008A3C91">
        <w:rPr>
          <w:rFonts w:ascii="Arial" w:eastAsia="MS PGothic" w:hAnsi="Arial" w:cs="Times New Roman"/>
          <w:sz w:val="20"/>
          <w:szCs w:val="24"/>
        </w:rPr>
        <w:t xml:space="preserve"> ekonominės</w:t>
      </w:r>
      <w:r w:rsidR="00CF2C00" w:rsidRPr="00566C1F">
        <w:rPr>
          <w:rFonts w:ascii="Arial" w:eastAsia="MS PGothic" w:hAnsi="Arial" w:cs="Times New Roman"/>
          <w:sz w:val="20"/>
          <w:szCs w:val="24"/>
        </w:rPr>
        <w:t xml:space="preserve"> infrastruktūros</w:t>
      </w:r>
      <w:r w:rsidR="00BF63D3" w:rsidRPr="00566C1F">
        <w:rPr>
          <w:rFonts w:ascii="Arial" w:eastAsia="MS PGothic" w:hAnsi="Arial" w:cs="Times New Roman"/>
          <w:sz w:val="20"/>
          <w:szCs w:val="24"/>
        </w:rPr>
        <w:t xml:space="preserve"> tobulinimą.</w:t>
      </w:r>
      <w:r w:rsidR="00D66F8E" w:rsidRPr="00566C1F">
        <w:rPr>
          <w:rStyle w:val="FootnoteReference"/>
          <w:rFonts w:ascii="Arial" w:eastAsia="MS PGothic" w:hAnsi="Arial" w:cs="Times New Roman"/>
          <w:sz w:val="20"/>
          <w:szCs w:val="24"/>
        </w:rPr>
        <w:footnoteReference w:id="1"/>
      </w:r>
      <w:r w:rsidR="002D1DCE" w:rsidRPr="00566C1F">
        <w:rPr>
          <w:rFonts w:ascii="Arial" w:eastAsia="MS PGothic" w:hAnsi="Arial" w:cs="Times New Roman"/>
          <w:sz w:val="20"/>
          <w:szCs w:val="24"/>
        </w:rPr>
        <w:t xml:space="preserve"> Taigi ir ES SF lėšos daugiausia buvo investuotos</w:t>
      </w:r>
      <w:r w:rsidR="00D66F8E" w:rsidRPr="00566C1F">
        <w:rPr>
          <w:rFonts w:ascii="Arial" w:eastAsia="MS PGothic" w:hAnsi="Arial" w:cs="Times New Roman"/>
          <w:sz w:val="20"/>
          <w:szCs w:val="24"/>
        </w:rPr>
        <w:t xml:space="preserve"> į fizinės aplinkos gerinimą, </w:t>
      </w:r>
      <w:r w:rsidR="008A3C91">
        <w:rPr>
          <w:rFonts w:ascii="Arial" w:eastAsia="MS PGothic" w:hAnsi="Arial" w:cs="Times New Roman"/>
          <w:sz w:val="20"/>
          <w:szCs w:val="24"/>
        </w:rPr>
        <w:t>kelių</w:t>
      </w:r>
      <w:r w:rsidR="00CF2C00" w:rsidRPr="00566C1F">
        <w:rPr>
          <w:rFonts w:ascii="Arial" w:eastAsia="MS PGothic" w:hAnsi="Arial" w:cs="Times New Roman"/>
          <w:sz w:val="20"/>
          <w:szCs w:val="24"/>
        </w:rPr>
        <w:t xml:space="preserve"> plėtrą, daugiabučių renovavimą. Probleminių teritorijų programa buvo viena pagrindinių priemonių, skirtų socialinės atskirties mažinimui tarp regionų. Vis dėlto skirtos lėšos buvo nepakankamos numatytų tikslų pasiekimui. </w:t>
      </w:r>
    </w:p>
    <w:p w:rsidR="003346CF" w:rsidRDefault="003346CF" w:rsidP="00566C1F">
      <w:pPr>
        <w:jc w:val="both"/>
        <w:rPr>
          <w:rFonts w:ascii="Arial" w:eastAsia="MS PGothic" w:hAnsi="Arial" w:cs="Times New Roman"/>
          <w:sz w:val="20"/>
          <w:szCs w:val="24"/>
        </w:rPr>
      </w:pPr>
      <w:r w:rsidRPr="00FE59D1">
        <w:rPr>
          <w:rFonts w:ascii="Arial" w:eastAsia="MS PGothic" w:hAnsi="Arial" w:cs="Times New Roman"/>
          <w:noProof/>
          <w:sz w:val="20"/>
          <w:szCs w:val="24"/>
          <w:lang w:val="en-US"/>
        </w:rPr>
        <mc:AlternateContent>
          <mc:Choice Requires="wps">
            <w:drawing>
              <wp:anchor distT="0" distB="0" distL="114300" distR="114300" simplePos="0" relativeHeight="251699200" behindDoc="1" locked="0" layoutInCell="1" allowOverlap="1" wp14:anchorId="5565236E" wp14:editId="240D13FF">
                <wp:simplePos x="0" y="0"/>
                <wp:positionH relativeFrom="column">
                  <wp:posOffset>12065</wp:posOffset>
                </wp:positionH>
                <wp:positionV relativeFrom="paragraph">
                  <wp:posOffset>1010285</wp:posOffset>
                </wp:positionV>
                <wp:extent cx="5001895" cy="1403985"/>
                <wp:effectExtent l="0" t="0" r="27305" b="26670"/>
                <wp:wrapTight wrapText="bothSides">
                  <wp:wrapPolygon edited="0">
                    <wp:start x="0" y="0"/>
                    <wp:lineTo x="0" y="21680"/>
                    <wp:lineTo x="21636" y="21680"/>
                    <wp:lineTo x="2163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1403985"/>
                        </a:xfrm>
                        <a:prstGeom prst="rect">
                          <a:avLst/>
                        </a:prstGeom>
                        <a:solidFill>
                          <a:srgbClr val="FFFFFF"/>
                        </a:solidFill>
                        <a:ln w="9525">
                          <a:solidFill>
                            <a:srgbClr val="000000"/>
                          </a:solidFill>
                          <a:miter lim="800000"/>
                          <a:headEnd/>
                          <a:tailEnd/>
                        </a:ln>
                      </wps:spPr>
                      <wps:txbx>
                        <w:txbxContent>
                          <w:p w:rsidR="003346CF" w:rsidRDefault="003346CF" w:rsidP="003346CF">
                            <w:pPr>
                              <w:jc w:val="both"/>
                              <w:rPr>
                                <w:rFonts w:ascii="Arial" w:hAnsi="Arial" w:cs="Arial"/>
                                <w:b/>
                                <w:sz w:val="16"/>
                              </w:rPr>
                            </w:pPr>
                            <w:r w:rsidRPr="00FE59D1">
                              <w:rPr>
                                <w:rFonts w:ascii="Arial" w:hAnsi="Arial" w:cs="Arial"/>
                                <w:b/>
                                <w:sz w:val="16"/>
                              </w:rPr>
                              <w:t>Pasvalio rajono kaimų viešosios infrastruktūros kompleksinis atnaujinimas II etapas, VP3-1.2-VRM-01-R-51-023</w:t>
                            </w:r>
                          </w:p>
                          <w:p w:rsidR="003346CF" w:rsidRPr="00FE59D1" w:rsidRDefault="003346CF" w:rsidP="003346CF">
                            <w:pPr>
                              <w:jc w:val="both"/>
                              <w:rPr>
                                <w:rFonts w:ascii="Arial" w:hAnsi="Arial" w:cs="Arial"/>
                                <w:sz w:val="16"/>
                              </w:rPr>
                            </w:pPr>
                            <w:r w:rsidRPr="00FE59D1">
                              <w:rPr>
                                <w:rFonts w:ascii="Arial" w:hAnsi="Arial" w:cs="Arial"/>
                                <w:sz w:val="16"/>
                              </w:rPr>
                              <w:t>Projekto tikslui pasiekti buvo numatoma modernizuoti Pajiešmenių kultūros centro ir bibliotekos pastatą, Vaškuose, Pumpėnuose ir Pajiešmeniuose įrengti vaikų žaidimo aikšteles, Vaškų parke bei prie Pumpėnų tvenkinio sutvarkyti ir įrengti estradas, Vaškuose, Pumpėnuose, Pajiešmeniuose įrengti daugiafunkcines sporto aikšteles, sutvarkyti stadioną šalia Pumpėnų mokyklos, įrengti stovėjimo aikšteles šalia Pajiešmenių kultūros centro ir bibliotekos pastato, įrengti automobilių stovėjimo aikšteles ir privažiavimus prie Vaškų tvenkinio ir estrados bei Pumpėnų tvenkinio, įrengti pėsčiųjų ir dviračių taką Pumpėnų centrinėje dalyje šalia Įstro upelio, išvalyti ir rekreacijai pritaikyti Vaškų ir Pumpėnų tvenkinius ir prie jų įrengti paplūdimio bei kitą poilsio infrastruktūrą. Tikslinės grupės – Pajiešmenių, Vaškų ir Pumpėnų gyventojai, lankytojai, svečiai. Tikimasi, kad sutvarkytas Pajiešmenių kaime viešasis pastatas, įrengtos daugiafunkcinės sporto, vaikų žaidimo aikštelės, privažiuojamieji keliai, automobilių stovėjimo aikštelės ir apšvietimas padės kompleksiškai spręsti šių kaimiškųjų teritorijų problemas, plėtojant bendruomenės infrastuktūrą, mažinti socialinę, ekonominę gyventojų atskirtį, skirtumus tarp miesto ir kaimo.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95pt;margin-top:79.55pt;width:393.85pt;height:110.55pt;z-index:-251617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">
                <v:textbox style="mso-fit-shape-to-text:t">
                  <w:txbxContent>
                    <w:p w:rsidR="003346CF" w:rsidRDefault="003346CF" w:rsidP="003346CF">
                      <w:pPr>
                        <w:jc w:val="both"/>
                        <w:rPr>
                          <w:rFonts w:ascii="Arial" w:hAnsi="Arial" w:cs="Arial"/>
                          <w:b/>
                          <w:sz w:val="16"/>
                        </w:rPr>
                      </w:pPr>
                      <w:r w:rsidRPr="00FE59D1">
                        <w:rPr>
                          <w:rFonts w:ascii="Arial" w:hAnsi="Arial" w:cs="Arial"/>
                          <w:b/>
                          <w:sz w:val="16"/>
                        </w:rPr>
                        <w:t>Pasvalio rajono kaimų viešosios infrastruktūros kompleksinis atnaujinimas II etapas, VP3-1.2-VRM-01-R-51-023</w:t>
                      </w:r>
                    </w:p>
                    <w:p w:rsidR="003346CF" w:rsidRPr="00FE59D1" w:rsidRDefault="003346CF" w:rsidP="003346CF">
                      <w:pPr>
                        <w:jc w:val="both"/>
                        <w:rPr>
                          <w:rFonts w:ascii="Arial" w:hAnsi="Arial" w:cs="Arial"/>
                          <w:sz w:val="16"/>
                        </w:rPr>
                      </w:pPr>
                      <w:r w:rsidRPr="00FE59D1">
                        <w:rPr>
                          <w:rFonts w:ascii="Arial" w:hAnsi="Arial" w:cs="Arial"/>
                          <w:sz w:val="16"/>
                        </w:rPr>
                        <w:t>Projekto tikslui pasiekti buvo numatoma modernizuoti Pajiešmenių kultūros centro ir bibliotekos pastatą, Vaškuose, Pumpėnuose ir Pajiešmeniuose įrengti vaikų žaidimo aikšteles, Vaškų parke bei prie Pumpėnų tvenkinio sutvarkyti ir įrengti estradas, Vaškuose, Pumpėnuose, Pajiešmeniuose įrengti daugiafunkcines sporto aikšteles, sutvarkyti stadioną šalia Pumpėnų mokyklos, įrengti stovėjimo aikšteles šalia Pajiešmenių kultūros centro ir bibliotekos pastato, įrengti automobilių stovėjimo aikšteles ir privažiavimus prie Vaškų tvenkinio ir estrados bei Pumpėnų tvenkinio, įrengti pėsčiųjų ir dviračių taką Pumpėnų centrinėje dalyje šalia Įstro upelio, išvalyti ir rekreacijai pritaikyti Vaškų ir Pumpėnų tvenkinius ir prie jų įrengti paplūdimio bei kitą poilsio infrastruktūrą. Tikslinės grupės – Pajiešmenių, Vaškų ir Pumpėnų gyventojai, lankytojai, svečiai. Tikimasi, kad sutvarkytas Pajiešmenių kaime viešasis pastatas, įrengtos daugiafunkcinės sporto, vaikų žaidimo aikštelės, privažiuojamieji keliai, automobilių stovėjimo aikštelės ir apšvietimas padės kompleksiškai spręsti šių kaimiškųjų teritorijų problemas, plėtojant bendruomenės infrastuktūrą, mažinti socialinę, ekonominę gyventojų atskirtį, skirtumus tarp miesto ir kaimo.</w:t>
                      </w:r>
                    </w:p>
                  </w:txbxContent>
                </v:textbox>
                <w10:wrap type="tight"/>
              </v:shape>
            </w:pict>
          </mc:Fallback>
        </mc:AlternateContent>
      </w:r>
      <w:r w:rsidR="008A3C91">
        <w:rPr>
          <w:rFonts w:ascii="Arial" w:eastAsia="MS PGothic" w:hAnsi="Arial" w:cs="Times New Roman"/>
          <w:sz w:val="20"/>
          <w:szCs w:val="24"/>
        </w:rPr>
        <w:t>Taigi v</w:t>
      </w:r>
      <w:r w:rsidR="00566C1F" w:rsidRPr="004108FE">
        <w:rPr>
          <w:rFonts w:ascii="Arial" w:eastAsia="MS PGothic" w:hAnsi="Arial" w:cs="Times New Roman"/>
          <w:sz w:val="20"/>
          <w:szCs w:val="24"/>
        </w:rPr>
        <w:t>ertinant pagal rodiklių pokyčius, probleminių teritorijų gaivinimo programos, buvo iš dalies veiksmingos</w:t>
      </w:r>
      <w:r w:rsidR="008A3C91">
        <w:rPr>
          <w:rFonts w:ascii="Arial" w:eastAsia="MS PGothic" w:hAnsi="Arial" w:cs="Times New Roman"/>
          <w:sz w:val="20"/>
          <w:szCs w:val="24"/>
        </w:rPr>
        <w:t>,</w:t>
      </w:r>
      <w:r w:rsidR="00566C1F" w:rsidRPr="004108FE">
        <w:rPr>
          <w:rFonts w:ascii="Arial" w:eastAsia="MS PGothic" w:hAnsi="Arial" w:cs="Times New Roman"/>
          <w:sz w:val="20"/>
          <w:szCs w:val="24"/>
        </w:rPr>
        <w:t xml:space="preserve"> kadangi dalies rodiklių reikšmės priartėjo prie šalies rodiklio. </w:t>
      </w:r>
      <w:r w:rsidR="008A3C91">
        <w:rPr>
          <w:rFonts w:ascii="Arial" w:eastAsia="MS PGothic" w:hAnsi="Arial" w:cs="Times New Roman"/>
          <w:sz w:val="20"/>
          <w:szCs w:val="24"/>
        </w:rPr>
        <w:t>Nagrinėjamo</w:t>
      </w:r>
      <w:r w:rsidR="00566C1F" w:rsidRPr="004108FE">
        <w:rPr>
          <w:rFonts w:ascii="Arial" w:eastAsia="MS PGothic" w:hAnsi="Arial" w:cs="Times New Roman"/>
          <w:sz w:val="20"/>
          <w:szCs w:val="24"/>
        </w:rPr>
        <w:t xml:space="preserve"> laikotarpio metu, Pasvalio savivaldybėje sutvarkyta aplinka ir infrastruktūra, kuria gali naudotis ne tik viešasis</w:t>
      </w:r>
      <w:r w:rsidR="008A3C91">
        <w:rPr>
          <w:rFonts w:ascii="Arial" w:eastAsia="MS PGothic" w:hAnsi="Arial" w:cs="Times New Roman"/>
          <w:sz w:val="20"/>
          <w:szCs w:val="24"/>
        </w:rPr>
        <w:t>,</w:t>
      </w:r>
      <w:r w:rsidR="00566C1F" w:rsidRPr="004108FE">
        <w:rPr>
          <w:rFonts w:ascii="Arial" w:eastAsia="MS PGothic" w:hAnsi="Arial" w:cs="Times New Roman"/>
          <w:sz w:val="20"/>
          <w:szCs w:val="24"/>
        </w:rPr>
        <w:t xml:space="preserve"> bet ir privatus sektorius. Sutvarkytos aplinkos dėka, pastebimas lankytojų skaičiaus augimas, kuris tampa patrauklus verslo subjektų atsiradimui.</w:t>
      </w:r>
    </w:p>
    <w:p w:rsidR="003346CF" w:rsidRDefault="003346CF" w:rsidP="00566C1F">
      <w:pPr>
        <w:jc w:val="both"/>
        <w:rPr>
          <w:rFonts w:ascii="Arial" w:eastAsia="MS PGothic" w:hAnsi="Arial" w:cs="Times New Roman"/>
          <w:sz w:val="20"/>
          <w:szCs w:val="24"/>
        </w:rPr>
      </w:pPr>
    </w:p>
    <w:p w:rsidR="00566C1F" w:rsidRPr="004108FE" w:rsidRDefault="00566C1F" w:rsidP="00566C1F">
      <w:pPr>
        <w:jc w:val="both"/>
        <w:rPr>
          <w:rFonts w:ascii="Arial" w:eastAsia="MS PGothic" w:hAnsi="Arial" w:cs="Times New Roman"/>
          <w:sz w:val="20"/>
          <w:szCs w:val="24"/>
        </w:rPr>
      </w:pPr>
      <w:bookmarkStart w:id="0" w:name="_GoBack"/>
      <w:bookmarkEnd w:id="0"/>
      <w:r w:rsidRPr="004108FE">
        <w:rPr>
          <w:rFonts w:ascii="Arial" w:eastAsia="MS PGothic" w:hAnsi="Arial" w:cs="Times New Roman"/>
          <w:sz w:val="20"/>
          <w:szCs w:val="24"/>
        </w:rPr>
        <w:t xml:space="preserve">Tiesiogiai socialinį vystymąsi </w:t>
      </w:r>
      <w:r w:rsidR="008A3C91">
        <w:rPr>
          <w:rFonts w:ascii="Arial" w:eastAsia="MS PGothic" w:hAnsi="Arial" w:cs="Times New Roman"/>
          <w:sz w:val="20"/>
          <w:szCs w:val="24"/>
        </w:rPr>
        <w:t>lėmė</w:t>
      </w:r>
      <w:r w:rsidRPr="004108FE">
        <w:rPr>
          <w:rFonts w:ascii="Arial" w:eastAsia="MS PGothic" w:hAnsi="Arial" w:cs="Times New Roman"/>
          <w:sz w:val="20"/>
          <w:szCs w:val="24"/>
        </w:rPr>
        <w:t xml:space="preserve"> užimtumo centrų, dienos centrų kūrimas, ku</w:t>
      </w:r>
      <w:r w:rsidR="008A3C91">
        <w:rPr>
          <w:rFonts w:ascii="Arial" w:eastAsia="MS PGothic" w:hAnsi="Arial" w:cs="Times New Roman"/>
          <w:sz w:val="20"/>
          <w:szCs w:val="24"/>
        </w:rPr>
        <w:t>riuose vaikai ir jaunimas gali</w:t>
      </w:r>
      <w:r w:rsidRPr="004108FE">
        <w:rPr>
          <w:rFonts w:ascii="Arial" w:eastAsia="MS PGothic" w:hAnsi="Arial" w:cs="Times New Roman"/>
          <w:sz w:val="20"/>
          <w:szCs w:val="24"/>
        </w:rPr>
        <w:t xml:space="preserve"> praleisti laiką. Pastebima, kad didelio populiarumo sulaukęs sprendimas buvo sporto aikštelių kūrimas. Jaunimas yra linkęs į aktyvų laisvalaikį, todėl tokio pobūdžio investicijos gerina jaunimo užimtumą, palaiko aukštesnį sveikatos lygį tiesiogiai gerinant </w:t>
      </w:r>
      <w:r w:rsidR="008A3C91">
        <w:rPr>
          <w:rFonts w:ascii="Arial" w:eastAsia="MS PGothic" w:hAnsi="Arial" w:cs="Times New Roman"/>
          <w:sz w:val="20"/>
          <w:szCs w:val="24"/>
        </w:rPr>
        <w:t xml:space="preserve">ir </w:t>
      </w:r>
      <w:r w:rsidRPr="004108FE">
        <w:rPr>
          <w:rFonts w:ascii="Arial" w:eastAsia="MS PGothic" w:hAnsi="Arial" w:cs="Times New Roman"/>
          <w:sz w:val="20"/>
          <w:szCs w:val="24"/>
        </w:rPr>
        <w:t xml:space="preserve">gyvenimo kokybę. </w:t>
      </w:r>
      <w:r w:rsidR="008A3C91">
        <w:rPr>
          <w:rFonts w:ascii="Arial" w:eastAsia="MS PGothic" w:hAnsi="Arial" w:cs="Times New Roman"/>
          <w:sz w:val="20"/>
          <w:szCs w:val="24"/>
        </w:rPr>
        <w:t>Apibendrinant, įgyvendinti projektai suteikė trumpalaikę apčiuopiamą materialinę naudą, kuri, tikimasi, ateityje atsispindės ir strateginio lygmens socio-ekonominiuose rodikliuose.</w:t>
      </w:r>
    </w:p>
    <w:p w:rsidR="002D1DCE" w:rsidRPr="00566C1F" w:rsidRDefault="008A3C91" w:rsidP="002D1DCE">
      <w:pPr>
        <w:jc w:val="both"/>
        <w:rPr>
          <w:rFonts w:ascii="Arial" w:eastAsia="MS PGothic" w:hAnsi="Arial" w:cs="Times New Roman"/>
          <w:sz w:val="20"/>
          <w:szCs w:val="24"/>
        </w:rPr>
      </w:pPr>
      <w:r>
        <w:rPr>
          <w:rFonts w:ascii="Arial" w:eastAsia="MS PGothic" w:hAnsi="Arial" w:cs="Times New Roman"/>
          <w:sz w:val="20"/>
          <w:szCs w:val="24"/>
        </w:rPr>
        <w:t>E</w:t>
      </w:r>
      <w:r w:rsidR="002D1DCE" w:rsidRPr="00566C1F">
        <w:rPr>
          <w:rFonts w:ascii="Arial" w:eastAsia="MS PGothic" w:hAnsi="Arial" w:cs="Times New Roman"/>
          <w:sz w:val="20"/>
          <w:szCs w:val="24"/>
        </w:rPr>
        <w:t>S struktūrinių fondų lėšos didžiausią įtaką darė fizinės aplinkos gerinimo ir ekonominės veiklos skatinimo srityse, kuriant ir plėtojant socialinių</w:t>
      </w:r>
      <w:r w:rsidR="001824B7" w:rsidRPr="00566C1F">
        <w:rPr>
          <w:rFonts w:ascii="Arial" w:eastAsia="MS PGothic" w:hAnsi="Arial" w:cs="Times New Roman"/>
          <w:sz w:val="20"/>
          <w:szCs w:val="24"/>
        </w:rPr>
        <w:t>, švietimo</w:t>
      </w:r>
      <w:r w:rsidR="002D1DCE" w:rsidRPr="00566C1F">
        <w:rPr>
          <w:rFonts w:ascii="Arial" w:eastAsia="MS PGothic" w:hAnsi="Arial" w:cs="Times New Roman"/>
          <w:sz w:val="20"/>
          <w:szCs w:val="24"/>
        </w:rPr>
        <w:t xml:space="preserve"> paslaugų bei gyvenamosios aplinkos</w:t>
      </w:r>
      <w:r w:rsidR="00C446C3" w:rsidRPr="00566C1F">
        <w:rPr>
          <w:rFonts w:ascii="Arial" w:eastAsia="MS PGothic" w:hAnsi="Arial" w:cs="Times New Roman"/>
          <w:sz w:val="20"/>
          <w:szCs w:val="24"/>
        </w:rPr>
        <w:t xml:space="preserve">, </w:t>
      </w:r>
      <w:r>
        <w:rPr>
          <w:rFonts w:ascii="Arial" w:eastAsia="MS PGothic" w:hAnsi="Arial" w:cs="Times New Roman"/>
          <w:sz w:val="20"/>
          <w:szCs w:val="24"/>
        </w:rPr>
        <w:t>gatvių</w:t>
      </w:r>
      <w:r w:rsidR="002D1DCE" w:rsidRPr="00566C1F">
        <w:rPr>
          <w:rFonts w:ascii="Arial" w:eastAsia="MS PGothic" w:hAnsi="Arial" w:cs="Times New Roman"/>
          <w:sz w:val="20"/>
          <w:szCs w:val="24"/>
        </w:rPr>
        <w:t xml:space="preserve"> infrastruktūrą.</w:t>
      </w:r>
      <w:r w:rsidR="001824B7" w:rsidRPr="00566C1F">
        <w:rPr>
          <w:rFonts w:ascii="Arial" w:eastAsia="MS PGothic" w:hAnsi="Arial" w:cs="Times New Roman"/>
          <w:sz w:val="20"/>
          <w:szCs w:val="24"/>
        </w:rPr>
        <w:t xml:space="preserve"> Vis dėlto savivaldybės situaciją apibrėžiantiems rodikliams didžiausią įtaką darė išorės veiksniai, o skirtas ES SF finansavimas nebuvo pakankamas.</w:t>
      </w:r>
      <w:r w:rsidR="0020507E" w:rsidRPr="00566C1F">
        <w:rPr>
          <w:rFonts w:ascii="Arial" w:eastAsia="MS PGothic" w:hAnsi="Arial" w:cs="Times New Roman"/>
          <w:sz w:val="20"/>
          <w:szCs w:val="24"/>
        </w:rPr>
        <w:t xml:space="preserve"> </w:t>
      </w:r>
    </w:p>
    <w:p w:rsidR="00745B48" w:rsidRPr="00566C1F" w:rsidRDefault="00745B48" w:rsidP="00A2570C">
      <w:pPr>
        <w:jc w:val="both"/>
        <w:rPr>
          <w:rFonts w:ascii="Arial" w:eastAsia="MS PGothic" w:hAnsi="Arial" w:cs="Times New Roman"/>
          <w:sz w:val="20"/>
          <w:szCs w:val="24"/>
        </w:rPr>
      </w:pPr>
    </w:p>
    <w:p w:rsidR="00897144" w:rsidRPr="00566C1F" w:rsidRDefault="00897144">
      <w:pPr>
        <w:jc w:val="both"/>
        <w:rPr>
          <w:rFonts w:ascii="Arial" w:eastAsia="MS PGothic" w:hAnsi="Arial" w:cs="Times New Roman"/>
          <w:sz w:val="20"/>
          <w:szCs w:val="24"/>
        </w:rPr>
      </w:pPr>
    </w:p>
    <w:sectPr w:rsidR="00897144" w:rsidRPr="00566C1F"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6F" w:rsidRDefault="0026566F">
      <w:pPr>
        <w:spacing w:after="0" w:line="240" w:lineRule="auto"/>
      </w:pPr>
      <w:r>
        <w:separator/>
      </w:r>
    </w:p>
  </w:endnote>
  <w:endnote w:type="continuationSeparator" w:id="0">
    <w:p w:rsidR="0026566F" w:rsidRDefault="0026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3346CF">
          <w:rPr>
            <w:noProof/>
          </w:rPr>
          <w:t>4</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3346CF">
          <w:rPr>
            <w:noProof/>
            <w:szCs w:val="17"/>
          </w:rPr>
          <w:t>1</w:t>
        </w:r>
        <w:r w:rsidRPr="00DC7F6C">
          <w:rPr>
            <w:noProof/>
            <w:szCs w:val="17"/>
          </w:rPr>
          <w:fldChar w:fldCharType="end"/>
        </w:r>
      </w:p>
    </w:sdtContent>
  </w:sdt>
  <w:p w:rsidR="00C45115" w:rsidRPr="00BE0549" w:rsidRDefault="003346CF"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6F" w:rsidRDefault="0026566F">
      <w:pPr>
        <w:spacing w:after="0" w:line="240" w:lineRule="auto"/>
      </w:pPr>
      <w:r>
        <w:separator/>
      </w:r>
    </w:p>
  </w:footnote>
  <w:footnote w:type="continuationSeparator" w:id="0">
    <w:p w:rsidR="0026566F" w:rsidRDefault="0026566F">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27CBA"/>
    <w:rsid w:val="00043479"/>
    <w:rsid w:val="000534F9"/>
    <w:rsid w:val="0005613F"/>
    <w:rsid w:val="0006433C"/>
    <w:rsid w:val="000C024B"/>
    <w:rsid w:val="000C341E"/>
    <w:rsid w:val="000D5BA5"/>
    <w:rsid w:val="000D77A0"/>
    <w:rsid w:val="000F56AE"/>
    <w:rsid w:val="00101E5E"/>
    <w:rsid w:val="00107341"/>
    <w:rsid w:val="00123257"/>
    <w:rsid w:val="001253F5"/>
    <w:rsid w:val="001274F3"/>
    <w:rsid w:val="00136152"/>
    <w:rsid w:val="00156492"/>
    <w:rsid w:val="00156F09"/>
    <w:rsid w:val="001824B7"/>
    <w:rsid w:val="001A1350"/>
    <w:rsid w:val="001A72A7"/>
    <w:rsid w:val="001B09C3"/>
    <w:rsid w:val="001E095D"/>
    <w:rsid w:val="001F2140"/>
    <w:rsid w:val="0020507E"/>
    <w:rsid w:val="0020781B"/>
    <w:rsid w:val="002172F7"/>
    <w:rsid w:val="00223773"/>
    <w:rsid w:val="00231F9C"/>
    <w:rsid w:val="0023534D"/>
    <w:rsid w:val="002427B5"/>
    <w:rsid w:val="00242947"/>
    <w:rsid w:val="00245A8A"/>
    <w:rsid w:val="00253066"/>
    <w:rsid w:val="0026566F"/>
    <w:rsid w:val="002677E8"/>
    <w:rsid w:val="00284741"/>
    <w:rsid w:val="00295323"/>
    <w:rsid w:val="002A3F19"/>
    <w:rsid w:val="002B025C"/>
    <w:rsid w:val="002B4036"/>
    <w:rsid w:val="002D1DCE"/>
    <w:rsid w:val="002E30F9"/>
    <w:rsid w:val="002E7095"/>
    <w:rsid w:val="002F4AE8"/>
    <w:rsid w:val="002F53F5"/>
    <w:rsid w:val="00316283"/>
    <w:rsid w:val="00326A1B"/>
    <w:rsid w:val="00332F7B"/>
    <w:rsid w:val="003346CF"/>
    <w:rsid w:val="00345298"/>
    <w:rsid w:val="00356065"/>
    <w:rsid w:val="0035623C"/>
    <w:rsid w:val="0037112C"/>
    <w:rsid w:val="003851F2"/>
    <w:rsid w:val="00397FF3"/>
    <w:rsid w:val="003B6A9C"/>
    <w:rsid w:val="003D195A"/>
    <w:rsid w:val="003E5F95"/>
    <w:rsid w:val="00412185"/>
    <w:rsid w:val="00423C42"/>
    <w:rsid w:val="00424FB7"/>
    <w:rsid w:val="0044118D"/>
    <w:rsid w:val="00462CCD"/>
    <w:rsid w:val="004722C7"/>
    <w:rsid w:val="004743DF"/>
    <w:rsid w:val="00493419"/>
    <w:rsid w:val="004A5F6F"/>
    <w:rsid w:val="004B45DE"/>
    <w:rsid w:val="004C6B41"/>
    <w:rsid w:val="004E0E71"/>
    <w:rsid w:val="00501B52"/>
    <w:rsid w:val="00540ADA"/>
    <w:rsid w:val="005411B7"/>
    <w:rsid w:val="00554B62"/>
    <w:rsid w:val="005577BB"/>
    <w:rsid w:val="00560E0D"/>
    <w:rsid w:val="00566C1F"/>
    <w:rsid w:val="00582F9B"/>
    <w:rsid w:val="00591462"/>
    <w:rsid w:val="00594D44"/>
    <w:rsid w:val="005966F9"/>
    <w:rsid w:val="005D7C5E"/>
    <w:rsid w:val="0061421F"/>
    <w:rsid w:val="0062033D"/>
    <w:rsid w:val="0062159A"/>
    <w:rsid w:val="00621899"/>
    <w:rsid w:val="006258E9"/>
    <w:rsid w:val="00631113"/>
    <w:rsid w:val="00645918"/>
    <w:rsid w:val="0065754D"/>
    <w:rsid w:val="00660951"/>
    <w:rsid w:val="00687A46"/>
    <w:rsid w:val="00692255"/>
    <w:rsid w:val="006B7576"/>
    <w:rsid w:val="006C16C9"/>
    <w:rsid w:val="006C4D28"/>
    <w:rsid w:val="0070345E"/>
    <w:rsid w:val="00706426"/>
    <w:rsid w:val="00742C97"/>
    <w:rsid w:val="00745B48"/>
    <w:rsid w:val="00761250"/>
    <w:rsid w:val="007B57EE"/>
    <w:rsid w:val="007B649A"/>
    <w:rsid w:val="007D0C4A"/>
    <w:rsid w:val="007F0777"/>
    <w:rsid w:val="007F647F"/>
    <w:rsid w:val="00800911"/>
    <w:rsid w:val="0080175F"/>
    <w:rsid w:val="00805F6F"/>
    <w:rsid w:val="00845723"/>
    <w:rsid w:val="008856B5"/>
    <w:rsid w:val="00897144"/>
    <w:rsid w:val="008A1509"/>
    <w:rsid w:val="008A3C91"/>
    <w:rsid w:val="008B1202"/>
    <w:rsid w:val="008F6941"/>
    <w:rsid w:val="008F7038"/>
    <w:rsid w:val="00917C1E"/>
    <w:rsid w:val="00923DC7"/>
    <w:rsid w:val="00942138"/>
    <w:rsid w:val="0094664C"/>
    <w:rsid w:val="00955E14"/>
    <w:rsid w:val="00973D36"/>
    <w:rsid w:val="009A35E9"/>
    <w:rsid w:val="009A43BA"/>
    <w:rsid w:val="009D1D9B"/>
    <w:rsid w:val="009D7299"/>
    <w:rsid w:val="009F1A90"/>
    <w:rsid w:val="00A027E9"/>
    <w:rsid w:val="00A2570C"/>
    <w:rsid w:val="00A46722"/>
    <w:rsid w:val="00A552B8"/>
    <w:rsid w:val="00A70602"/>
    <w:rsid w:val="00A82AF0"/>
    <w:rsid w:val="00A8696E"/>
    <w:rsid w:val="00A90A5D"/>
    <w:rsid w:val="00AA3395"/>
    <w:rsid w:val="00AE6D59"/>
    <w:rsid w:val="00AF0119"/>
    <w:rsid w:val="00AF5B7C"/>
    <w:rsid w:val="00B06A2E"/>
    <w:rsid w:val="00B07AAB"/>
    <w:rsid w:val="00B13875"/>
    <w:rsid w:val="00B320FB"/>
    <w:rsid w:val="00B35CC8"/>
    <w:rsid w:val="00B47E2E"/>
    <w:rsid w:val="00B70EC1"/>
    <w:rsid w:val="00B72614"/>
    <w:rsid w:val="00B76AF6"/>
    <w:rsid w:val="00BA0105"/>
    <w:rsid w:val="00BB2A69"/>
    <w:rsid w:val="00BC4ECE"/>
    <w:rsid w:val="00BC5A65"/>
    <w:rsid w:val="00BF63D3"/>
    <w:rsid w:val="00C01E16"/>
    <w:rsid w:val="00C144CE"/>
    <w:rsid w:val="00C23DA0"/>
    <w:rsid w:val="00C24D75"/>
    <w:rsid w:val="00C266D6"/>
    <w:rsid w:val="00C335FC"/>
    <w:rsid w:val="00C363C5"/>
    <w:rsid w:val="00C369A0"/>
    <w:rsid w:val="00C446C3"/>
    <w:rsid w:val="00C6756A"/>
    <w:rsid w:val="00C77B11"/>
    <w:rsid w:val="00C83C6E"/>
    <w:rsid w:val="00C849C4"/>
    <w:rsid w:val="00C979EF"/>
    <w:rsid w:val="00C97DE2"/>
    <w:rsid w:val="00CB7E91"/>
    <w:rsid w:val="00CD0222"/>
    <w:rsid w:val="00CF2C00"/>
    <w:rsid w:val="00CF47D0"/>
    <w:rsid w:val="00D01CEF"/>
    <w:rsid w:val="00D3587C"/>
    <w:rsid w:val="00D41C73"/>
    <w:rsid w:val="00D45CFF"/>
    <w:rsid w:val="00D62EB8"/>
    <w:rsid w:val="00D65C3C"/>
    <w:rsid w:val="00D66F8E"/>
    <w:rsid w:val="00D81B36"/>
    <w:rsid w:val="00DC3E9D"/>
    <w:rsid w:val="00DC7F6C"/>
    <w:rsid w:val="00DF75BE"/>
    <w:rsid w:val="00E12034"/>
    <w:rsid w:val="00E16A94"/>
    <w:rsid w:val="00E41636"/>
    <w:rsid w:val="00E41B59"/>
    <w:rsid w:val="00E446EE"/>
    <w:rsid w:val="00E5283B"/>
    <w:rsid w:val="00E55606"/>
    <w:rsid w:val="00E56004"/>
    <w:rsid w:val="00E561C3"/>
    <w:rsid w:val="00E805EC"/>
    <w:rsid w:val="00EC1E09"/>
    <w:rsid w:val="00ED2FB0"/>
    <w:rsid w:val="00ED3673"/>
    <w:rsid w:val="00F02104"/>
    <w:rsid w:val="00F43E9F"/>
    <w:rsid w:val="00F47E08"/>
    <w:rsid w:val="00F543B3"/>
    <w:rsid w:val="00F606F0"/>
    <w:rsid w:val="00F607CD"/>
    <w:rsid w:val="00F63FF4"/>
    <w:rsid w:val="00F73ED6"/>
    <w:rsid w:val="00F86DB2"/>
    <w:rsid w:val="00F95571"/>
    <w:rsid w:val="00FA6284"/>
    <w:rsid w:val="00FB49A3"/>
    <w:rsid w:val="00FB52BA"/>
    <w:rsid w:val="00FC1F97"/>
    <w:rsid w:val="00FC34DA"/>
    <w:rsid w:val="00FE59D1"/>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7</c:v>
                </c:pt>
                <c:pt idx="1">
                  <c:v>35</c:v>
                </c:pt>
                <c:pt idx="2">
                  <c:v>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0.66140045493214883</c:v>
                </c:pt>
                <c:pt idx="1">
                  <c:v>0</c:v>
                </c:pt>
                <c:pt idx="2">
                  <c:v>0.37465114529439375</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8.7289215835070169E-2</c:v>
                </c:pt>
                <c:pt idx="1">
                  <c:v>8.4137583449724156E-3</c:v>
                </c:pt>
                <c:pt idx="2">
                  <c:v>0.1090591399089996</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3.0787917529879086E-3</c:v>
                </c:pt>
                <c:pt idx="2">
                  <c:v>0.51628971479660668</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0.25131032923278096</c:v>
                </c:pt>
                <c:pt idx="1">
                  <c:v>0.22784915915422921</c:v>
                </c:pt>
                <c:pt idx="2">
                  <c:v>0</c:v>
                </c:pt>
              </c:numCache>
            </c:numRef>
          </c:val>
        </c:ser>
        <c:ser>
          <c:idx val="4"/>
          <c:order val="4"/>
          <c:tx>
            <c:strRef>
              <c:f>Sheet1!$F$1</c:f>
              <c:strCache>
                <c:ptCount val="1"/>
                <c:pt idx="0">
                  <c:v>5 prioritetas</c:v>
                </c:pt>
              </c:strCache>
            </c:strRef>
          </c:tx>
          <c:spPr>
            <a:solidFill>
              <a:srgbClr val="3C8A2E"/>
            </a:solidFill>
            <a:ln>
              <a:noFill/>
            </a:ln>
            <a:effectLst/>
          </c:spPr>
          <c:invertIfNegative val="0"/>
          <c:dPt>
            <c:idx val="1"/>
            <c:invertIfNegative val="0"/>
            <c:bubble3D val="0"/>
          </c:dPt>
          <c:cat>
            <c:strRef>
              <c:f>Sheet1!$A$2:$A$4</c:f>
              <c:strCache>
                <c:ptCount val="3"/>
                <c:pt idx="0">
                  <c:v>ŽIPVP</c:v>
                </c:pt>
                <c:pt idx="1">
                  <c:v>EAVP</c:v>
                </c:pt>
                <c:pt idx="2">
                  <c:v>SSVP</c:v>
                </c:pt>
              </c:strCache>
            </c:strRef>
          </c:cat>
          <c:val>
            <c:numRef>
              <c:f>Sheet1!$F$2:$F$4</c:f>
              <c:numCache>
                <c:formatCode>0%</c:formatCode>
                <c:ptCount val="3"/>
                <c:pt idx="0">
                  <c:v>0</c:v>
                </c:pt>
                <c:pt idx="1">
                  <c:v>0.76065829074781055</c:v>
                </c:pt>
                <c:pt idx="2">
                  <c:v>0</c:v>
                </c:pt>
              </c:numCache>
            </c:numRef>
          </c:val>
        </c:ser>
        <c:dLbls>
          <c:showLegendKey val="0"/>
          <c:showVal val="0"/>
          <c:showCatName val="0"/>
          <c:showSerName val="0"/>
          <c:showPercent val="0"/>
          <c:showBubbleSize val="0"/>
        </c:dLbls>
        <c:gapWidth val="150"/>
        <c:overlap val="100"/>
        <c:axId val="73795456"/>
        <c:axId val="73796992"/>
      </c:barChart>
      <c:catAx>
        <c:axId val="737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96992"/>
        <c:crosses val="autoZero"/>
        <c:auto val="1"/>
        <c:lblAlgn val="ctr"/>
        <c:lblOffset val="100"/>
        <c:noMultiLvlLbl val="0"/>
      </c:catAx>
      <c:valAx>
        <c:axId val="73796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95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Pasvalio!$N$7</c:f>
              <c:strCache>
                <c:ptCount val="1"/>
                <c:pt idx="0">
                  <c:v>Kietosios medžiagos</c:v>
                </c:pt>
              </c:strCache>
            </c:strRef>
          </c:tx>
          <c:spPr>
            <a:solidFill>
              <a:srgbClr val="8C8C8C"/>
            </a:solidFill>
            <a:ln>
              <a:noFill/>
            </a:ln>
            <a:effectLst/>
          </c:spPr>
          <c:invertIfNegative val="0"/>
          <c:dLbls>
            <c:dLbl>
              <c:idx val="0"/>
              <c:layout>
                <c:manualLayout>
                  <c:x val="0"/>
                  <c:y val="5.012531328320709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137207661800873E-17"/>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075187969924814E-3"/>
                  <c:y val="1.002506265664160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Pasvalio!$O$6:$W$6</c:f>
              <c:numCache>
                <c:formatCode>General</c:formatCode>
                <c:ptCount val="7"/>
                <c:pt idx="0">
                  <c:v>2007</c:v>
                </c:pt>
                <c:pt idx="1">
                  <c:v>2008</c:v>
                </c:pt>
                <c:pt idx="2">
                  <c:v>2009</c:v>
                </c:pt>
                <c:pt idx="3">
                  <c:v>2010</c:v>
                </c:pt>
                <c:pt idx="4">
                  <c:v>2011</c:v>
                </c:pt>
                <c:pt idx="5">
                  <c:v>2012</c:v>
                </c:pt>
                <c:pt idx="6">
                  <c:v>2013</c:v>
                </c:pt>
              </c:numCache>
            </c:numRef>
          </c:cat>
          <c:val>
            <c:numRef>
              <c:f>Pasvalio!$O$7:$W$7</c:f>
              <c:numCache>
                <c:formatCode>General</c:formatCode>
                <c:ptCount val="7"/>
                <c:pt idx="0">
                  <c:v>17.100000000000001</c:v>
                </c:pt>
                <c:pt idx="1">
                  <c:v>18.3</c:v>
                </c:pt>
                <c:pt idx="2">
                  <c:v>5.6</c:v>
                </c:pt>
                <c:pt idx="3">
                  <c:v>13.8</c:v>
                </c:pt>
                <c:pt idx="4">
                  <c:v>30</c:v>
                </c:pt>
                <c:pt idx="5">
                  <c:v>44.5</c:v>
                </c:pt>
                <c:pt idx="6">
                  <c:v>35.9</c:v>
                </c:pt>
              </c:numCache>
            </c:numRef>
          </c:val>
          <c:extLst/>
        </c:ser>
        <c:ser>
          <c:idx val="1"/>
          <c:order val="1"/>
          <c:tx>
            <c:strRef>
              <c:f>Pasvalio!$N$8</c:f>
              <c:strCache>
                <c:ptCount val="1"/>
                <c:pt idx="0">
                  <c:v>Sieros dioksidas, tonos</c:v>
                </c:pt>
              </c:strCache>
            </c:strRef>
          </c:tx>
          <c:spPr>
            <a:solidFill>
              <a:srgbClr val="81BC00"/>
            </a:solidFill>
            <a:ln>
              <a:noFill/>
            </a:ln>
            <a:effectLst/>
          </c:spPr>
          <c:invertIfNegative val="0"/>
          <c:dLbls>
            <c:dLbl>
              <c:idx val="0"/>
              <c:layout>
                <c:manualLayout>
                  <c:x val="0"/>
                  <c:y val="-5.012531328320893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01253132832089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Pasvalio!$O$6:$W$6</c:f>
              <c:numCache>
                <c:formatCode>General</c:formatCode>
                <c:ptCount val="7"/>
                <c:pt idx="0">
                  <c:v>2007</c:v>
                </c:pt>
                <c:pt idx="1">
                  <c:v>2008</c:v>
                </c:pt>
                <c:pt idx="2">
                  <c:v>2009</c:v>
                </c:pt>
                <c:pt idx="3">
                  <c:v>2010</c:v>
                </c:pt>
                <c:pt idx="4">
                  <c:v>2011</c:v>
                </c:pt>
                <c:pt idx="5">
                  <c:v>2012</c:v>
                </c:pt>
                <c:pt idx="6">
                  <c:v>2013</c:v>
                </c:pt>
              </c:numCache>
            </c:numRef>
          </c:cat>
          <c:val>
            <c:numRef>
              <c:f>Pasvalio!$O$8:$W$8</c:f>
              <c:numCache>
                <c:formatCode>General</c:formatCode>
                <c:ptCount val="7"/>
                <c:pt idx="0">
                  <c:v>3.3</c:v>
                </c:pt>
                <c:pt idx="1">
                  <c:v>2.5</c:v>
                </c:pt>
                <c:pt idx="2">
                  <c:v>0.3</c:v>
                </c:pt>
                <c:pt idx="3">
                  <c:v>3.3</c:v>
                </c:pt>
                <c:pt idx="4">
                  <c:v>0.6</c:v>
                </c:pt>
                <c:pt idx="5">
                  <c:v>0.5</c:v>
                </c:pt>
                <c:pt idx="6">
                  <c:v>0.1</c:v>
                </c:pt>
              </c:numCache>
            </c:numRef>
          </c:val>
          <c:extLst/>
        </c:ser>
        <c:ser>
          <c:idx val="2"/>
          <c:order val="2"/>
          <c:tx>
            <c:strRef>
              <c:f>Pasvalio!$N$9</c:f>
              <c:strCache>
                <c:ptCount val="1"/>
                <c:pt idx="0">
                  <c:v>Azoto oksidai, tonos</c:v>
                </c:pt>
              </c:strCache>
            </c:strRef>
          </c:tx>
          <c:spPr>
            <a:solidFill>
              <a:srgbClr val="B4B4B4"/>
            </a:solidFill>
            <a:ln>
              <a:noFill/>
            </a:ln>
            <a:effectLst/>
          </c:spPr>
          <c:invertIfNegative val="0"/>
          <c:dLbls>
            <c:dLbl>
              <c:idx val="0"/>
              <c:layout>
                <c:manualLayout>
                  <c:x val="6.015037593984935E-3"/>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0075187969924259E-3"/>
                  <c:y val="2.005012531328311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0150375939849628E-3"/>
                  <c:y val="1.002506265664160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0150375939849628E-3"/>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0225563909774441E-3"/>
                  <c:y val="1.503759398496231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5.01253132832089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Pasvalio!$O$6:$W$6</c:f>
              <c:numCache>
                <c:formatCode>General</c:formatCode>
                <c:ptCount val="7"/>
                <c:pt idx="0">
                  <c:v>2007</c:v>
                </c:pt>
                <c:pt idx="1">
                  <c:v>2008</c:v>
                </c:pt>
                <c:pt idx="2">
                  <c:v>2009</c:v>
                </c:pt>
                <c:pt idx="3">
                  <c:v>2010</c:v>
                </c:pt>
                <c:pt idx="4">
                  <c:v>2011</c:v>
                </c:pt>
                <c:pt idx="5">
                  <c:v>2012</c:v>
                </c:pt>
                <c:pt idx="6">
                  <c:v>2013</c:v>
                </c:pt>
              </c:numCache>
            </c:numRef>
          </c:cat>
          <c:val>
            <c:numRef>
              <c:f>Pasvalio!$O$9:$W$9</c:f>
              <c:numCache>
                <c:formatCode>General</c:formatCode>
                <c:ptCount val="7"/>
                <c:pt idx="0">
                  <c:v>37.299999999999997</c:v>
                </c:pt>
                <c:pt idx="1">
                  <c:v>33.1</c:v>
                </c:pt>
                <c:pt idx="2">
                  <c:v>34.200000000000003</c:v>
                </c:pt>
                <c:pt idx="3">
                  <c:v>75.3</c:v>
                </c:pt>
                <c:pt idx="4">
                  <c:v>54.5</c:v>
                </c:pt>
                <c:pt idx="5">
                  <c:v>50.7</c:v>
                </c:pt>
                <c:pt idx="6">
                  <c:v>48.4</c:v>
                </c:pt>
              </c:numCache>
            </c:numRef>
          </c:val>
          <c:extLst/>
        </c:ser>
        <c:ser>
          <c:idx val="3"/>
          <c:order val="3"/>
          <c:tx>
            <c:strRef>
              <c:f>Pasvalio!$N$10</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Pasvalio!$O$6:$W$6</c:f>
              <c:numCache>
                <c:formatCode>General</c:formatCode>
                <c:ptCount val="7"/>
                <c:pt idx="0">
                  <c:v>2007</c:v>
                </c:pt>
                <c:pt idx="1">
                  <c:v>2008</c:v>
                </c:pt>
                <c:pt idx="2">
                  <c:v>2009</c:v>
                </c:pt>
                <c:pt idx="3">
                  <c:v>2010</c:v>
                </c:pt>
                <c:pt idx="4">
                  <c:v>2011</c:v>
                </c:pt>
                <c:pt idx="5">
                  <c:v>2012</c:v>
                </c:pt>
                <c:pt idx="6">
                  <c:v>2013</c:v>
                </c:pt>
              </c:numCache>
            </c:numRef>
          </c:cat>
          <c:val>
            <c:numRef>
              <c:f>Pasvalio!$O$10:$W$10</c:f>
              <c:numCache>
                <c:formatCode>General</c:formatCode>
                <c:ptCount val="7"/>
                <c:pt idx="0">
                  <c:v>107.8</c:v>
                </c:pt>
                <c:pt idx="1">
                  <c:v>98.2</c:v>
                </c:pt>
                <c:pt idx="2">
                  <c:v>101.2</c:v>
                </c:pt>
                <c:pt idx="3">
                  <c:v>148.1</c:v>
                </c:pt>
                <c:pt idx="4">
                  <c:v>147</c:v>
                </c:pt>
                <c:pt idx="5">
                  <c:v>132.30000000000001</c:v>
                </c:pt>
                <c:pt idx="6">
                  <c:v>116.9</c:v>
                </c:pt>
              </c:numCache>
            </c:numRef>
          </c:val>
        </c:ser>
        <c:dLbls>
          <c:showLegendKey val="0"/>
          <c:showVal val="1"/>
          <c:showCatName val="0"/>
          <c:showSerName val="0"/>
          <c:showPercent val="0"/>
          <c:showBubbleSize val="0"/>
        </c:dLbls>
        <c:gapWidth val="75"/>
        <c:axId val="74520448"/>
        <c:axId val="74547968"/>
      </c:barChart>
      <c:lineChart>
        <c:grouping val="standard"/>
        <c:varyColors val="0"/>
        <c:ser>
          <c:idx val="4"/>
          <c:order val="4"/>
          <c:tx>
            <c:strRef>
              <c:f>Pasvalio!$N$11</c:f>
              <c:strCache>
                <c:ptCount val="1"/>
                <c:pt idx="0">
                  <c:v>Visi teršalai</c:v>
                </c:pt>
              </c:strCache>
            </c:strRef>
          </c:tx>
          <c:spPr>
            <a:ln w="28575" cap="rnd">
              <a:solidFill>
                <a:srgbClr val="3C8A2E"/>
              </a:solidFill>
              <a:round/>
            </a:ln>
            <a:effectLst/>
          </c:spPr>
          <c:marker>
            <c:symbol val="none"/>
          </c:marker>
          <c:dLbls>
            <c:delete val="1"/>
          </c:dLbls>
          <c:cat>
            <c:numRef>
              <c:f>Pasvalio!$O$6:$W$6</c:f>
              <c:numCache>
                <c:formatCode>General</c:formatCode>
                <c:ptCount val="7"/>
                <c:pt idx="0">
                  <c:v>2007</c:v>
                </c:pt>
                <c:pt idx="1">
                  <c:v>2008</c:v>
                </c:pt>
                <c:pt idx="2">
                  <c:v>2009</c:v>
                </c:pt>
                <c:pt idx="3">
                  <c:v>2010</c:v>
                </c:pt>
                <c:pt idx="4">
                  <c:v>2011</c:v>
                </c:pt>
                <c:pt idx="5">
                  <c:v>2012</c:v>
                </c:pt>
                <c:pt idx="6">
                  <c:v>2013</c:v>
                </c:pt>
              </c:numCache>
            </c:numRef>
          </c:cat>
          <c:val>
            <c:numRef>
              <c:f>Pasvalio!$O$11:$W$11</c:f>
              <c:numCache>
                <c:formatCode>General</c:formatCode>
                <c:ptCount val="7"/>
                <c:pt idx="0">
                  <c:v>166.1</c:v>
                </c:pt>
                <c:pt idx="1">
                  <c:v>153.19999999999999</c:v>
                </c:pt>
                <c:pt idx="2">
                  <c:v>149.4</c:v>
                </c:pt>
                <c:pt idx="3">
                  <c:v>258.2</c:v>
                </c:pt>
                <c:pt idx="4">
                  <c:v>335.4</c:v>
                </c:pt>
                <c:pt idx="5">
                  <c:v>337.3</c:v>
                </c:pt>
                <c:pt idx="6">
                  <c:v>293.2</c:v>
                </c:pt>
              </c:numCache>
            </c:numRef>
          </c:val>
          <c:smooth val="0"/>
        </c:ser>
        <c:dLbls>
          <c:showLegendKey val="0"/>
          <c:showVal val="1"/>
          <c:showCatName val="0"/>
          <c:showSerName val="0"/>
          <c:showPercent val="0"/>
          <c:showBubbleSize val="0"/>
        </c:dLbls>
        <c:marker val="1"/>
        <c:smooth val="0"/>
        <c:axId val="74520448"/>
        <c:axId val="74547968"/>
      </c:lineChart>
      <c:lineChart>
        <c:grouping val="standard"/>
        <c:varyColors val="0"/>
        <c:ser>
          <c:idx val="5"/>
          <c:order val="5"/>
          <c:tx>
            <c:strRef>
              <c:f>Pasvalio!$N$12</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Pasvalio!$O$6:$W$6</c:f>
              <c:numCache>
                <c:formatCode>General</c:formatCode>
                <c:ptCount val="7"/>
                <c:pt idx="0">
                  <c:v>2007</c:v>
                </c:pt>
                <c:pt idx="1">
                  <c:v>2008</c:v>
                </c:pt>
                <c:pt idx="2">
                  <c:v>2009</c:v>
                </c:pt>
                <c:pt idx="3">
                  <c:v>2010</c:v>
                </c:pt>
                <c:pt idx="4">
                  <c:v>2011</c:v>
                </c:pt>
                <c:pt idx="5">
                  <c:v>2012</c:v>
                </c:pt>
                <c:pt idx="6">
                  <c:v>2013</c:v>
                </c:pt>
              </c:numCache>
            </c:numRef>
          </c:cat>
          <c:val>
            <c:numRef>
              <c:f>Pasvalio!$O$12:$W$12</c:f>
              <c:numCache>
                <c:formatCode>General</c:formatCode>
                <c:ptCount val="7"/>
                <c:pt idx="0">
                  <c:v>141.19999999999999</c:v>
                </c:pt>
                <c:pt idx="1">
                  <c:v>160.19999999999999</c:v>
                </c:pt>
                <c:pt idx="2">
                  <c:v>129.4</c:v>
                </c:pt>
                <c:pt idx="3">
                  <c:v>101.8</c:v>
                </c:pt>
                <c:pt idx="4">
                  <c:v>1137.0999999999999</c:v>
                </c:pt>
                <c:pt idx="5">
                  <c:v>1189.0999999999999</c:v>
                </c:pt>
                <c:pt idx="6">
                  <c:v>1167.5999999999999</c:v>
                </c:pt>
              </c:numCache>
            </c:numRef>
          </c:val>
          <c:smooth val="0"/>
          <c:extLst/>
        </c:ser>
        <c:dLbls>
          <c:showLegendKey val="0"/>
          <c:showVal val="1"/>
          <c:showCatName val="0"/>
          <c:showSerName val="0"/>
          <c:showPercent val="0"/>
          <c:showBubbleSize val="0"/>
        </c:dLbls>
        <c:marker val="1"/>
        <c:smooth val="0"/>
        <c:axId val="74556160"/>
        <c:axId val="74549888"/>
      </c:lineChart>
      <c:catAx>
        <c:axId val="7452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74547968"/>
        <c:crosses val="autoZero"/>
        <c:auto val="1"/>
        <c:lblAlgn val="ctr"/>
        <c:lblOffset val="100"/>
        <c:noMultiLvlLbl val="0"/>
      </c:catAx>
      <c:valAx>
        <c:axId val="74547968"/>
        <c:scaling>
          <c:orientation val="minMax"/>
          <c:max val="4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r>
                  <a:rPr lang="en-US"/>
                  <a:t>Tonos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74520448"/>
        <c:crosses val="autoZero"/>
        <c:crossBetween val="between"/>
      </c:valAx>
      <c:valAx>
        <c:axId val="74549888"/>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74556160"/>
        <c:crosses val="max"/>
        <c:crossBetween val="between"/>
      </c:valAx>
      <c:catAx>
        <c:axId val="74556160"/>
        <c:scaling>
          <c:orientation val="minMax"/>
        </c:scaling>
        <c:delete val="1"/>
        <c:axPos val="b"/>
        <c:numFmt formatCode="General" sourceLinked="1"/>
        <c:majorTickMark val="out"/>
        <c:minorTickMark val="none"/>
        <c:tickLblPos val="nextTo"/>
        <c:crossAx val="74549888"/>
        <c:crosses val="autoZero"/>
        <c:auto val="1"/>
        <c:lblAlgn val="ctr"/>
        <c:lblOffset val="100"/>
        <c:noMultiLvlLbl val="0"/>
      </c:catAx>
      <c:spPr>
        <a:noFill/>
        <a:ln>
          <a:noFill/>
        </a:ln>
        <a:effectLst/>
      </c:spPr>
    </c:plotArea>
    <c:legend>
      <c:legendPos val="b"/>
      <c:layout>
        <c:manualLayout>
          <c:xMode val="edge"/>
          <c:yMode val="edge"/>
          <c:x val="3.7881102045433178E-2"/>
          <c:y val="0.80398337977336864"/>
          <c:w val="0.92975197171258228"/>
          <c:h val="0.192946203047555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Pasvalio!$N$22</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Pasvalio!$O$21:$W$21</c:f>
              <c:numCache>
                <c:formatCode>General</c:formatCode>
                <c:ptCount val="7"/>
                <c:pt idx="0">
                  <c:v>2007</c:v>
                </c:pt>
                <c:pt idx="1">
                  <c:v>2008</c:v>
                </c:pt>
                <c:pt idx="2">
                  <c:v>2009</c:v>
                </c:pt>
                <c:pt idx="3">
                  <c:v>2010</c:v>
                </c:pt>
                <c:pt idx="4">
                  <c:v>2011</c:v>
                </c:pt>
                <c:pt idx="5">
                  <c:v>2012</c:v>
                </c:pt>
                <c:pt idx="6">
                  <c:v>2013</c:v>
                </c:pt>
              </c:numCache>
            </c:numRef>
          </c:cat>
          <c:val>
            <c:numRef>
              <c:f>Pasvalio!$O$22:$W$22</c:f>
              <c:numCache>
                <c:formatCode>General</c:formatCode>
                <c:ptCount val="7"/>
                <c:pt idx="0">
                  <c:v>31230</c:v>
                </c:pt>
                <c:pt idx="1">
                  <c:v>30598</c:v>
                </c:pt>
                <c:pt idx="2">
                  <c:v>30004</c:v>
                </c:pt>
                <c:pt idx="3">
                  <c:v>29400</c:v>
                </c:pt>
                <c:pt idx="4">
                  <c:v>28511</c:v>
                </c:pt>
                <c:pt idx="5">
                  <c:v>27752</c:v>
                </c:pt>
                <c:pt idx="6">
                  <c:v>27245</c:v>
                </c:pt>
              </c:numCache>
            </c:numRef>
          </c:val>
        </c:ser>
        <c:ser>
          <c:idx val="1"/>
          <c:order val="1"/>
          <c:tx>
            <c:strRef>
              <c:f>Pasvalio!$N$23</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Pasvalio!$O$21:$W$21</c:f>
              <c:numCache>
                <c:formatCode>General</c:formatCode>
                <c:ptCount val="7"/>
                <c:pt idx="0">
                  <c:v>2007</c:v>
                </c:pt>
                <c:pt idx="1">
                  <c:v>2008</c:v>
                </c:pt>
                <c:pt idx="2">
                  <c:v>2009</c:v>
                </c:pt>
                <c:pt idx="3">
                  <c:v>2010</c:v>
                </c:pt>
                <c:pt idx="4">
                  <c:v>2011</c:v>
                </c:pt>
                <c:pt idx="5">
                  <c:v>2012</c:v>
                </c:pt>
                <c:pt idx="6">
                  <c:v>2013</c:v>
                </c:pt>
              </c:numCache>
            </c:numRef>
          </c:cat>
          <c:val>
            <c:numRef>
              <c:f>Pasvalio!$O$23:$W$23</c:f>
              <c:numCache>
                <c:formatCode>General</c:formatCode>
                <c:ptCount val="7"/>
                <c:pt idx="0">
                  <c:v>17723</c:v>
                </c:pt>
                <c:pt idx="1">
                  <c:v>17596</c:v>
                </c:pt>
                <c:pt idx="2">
                  <c:v>17531</c:v>
                </c:pt>
                <c:pt idx="3">
                  <c:v>17286</c:v>
                </c:pt>
                <c:pt idx="4">
                  <c:v>16868</c:v>
                </c:pt>
                <c:pt idx="5">
                  <c:v>16436</c:v>
                </c:pt>
                <c:pt idx="6">
                  <c:v>16294</c:v>
                </c:pt>
              </c:numCache>
            </c:numRef>
          </c:val>
        </c:ser>
        <c:ser>
          <c:idx val="2"/>
          <c:order val="2"/>
          <c:tx>
            <c:strRef>
              <c:f>Pasvalio!$N$24</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Pasvalio!$O$21:$W$21</c:f>
              <c:numCache>
                <c:formatCode>General</c:formatCode>
                <c:ptCount val="7"/>
                <c:pt idx="0">
                  <c:v>2007</c:v>
                </c:pt>
                <c:pt idx="1">
                  <c:v>2008</c:v>
                </c:pt>
                <c:pt idx="2">
                  <c:v>2009</c:v>
                </c:pt>
                <c:pt idx="3">
                  <c:v>2010</c:v>
                </c:pt>
                <c:pt idx="4">
                  <c:v>2011</c:v>
                </c:pt>
                <c:pt idx="5">
                  <c:v>2012</c:v>
                </c:pt>
                <c:pt idx="6">
                  <c:v>2013</c:v>
                </c:pt>
              </c:numCache>
            </c:numRef>
          </c:cat>
          <c:val>
            <c:numRef>
              <c:f>Pasvalio!$O$24:$W$24</c:f>
              <c:numCache>
                <c:formatCode>General</c:formatCode>
                <c:ptCount val="7"/>
                <c:pt idx="0">
                  <c:v>7302</c:v>
                </c:pt>
                <c:pt idx="1">
                  <c:v>7159</c:v>
                </c:pt>
                <c:pt idx="2">
                  <c:v>7006</c:v>
                </c:pt>
                <c:pt idx="3">
                  <c:v>6938</c:v>
                </c:pt>
                <c:pt idx="4">
                  <c:v>6895</c:v>
                </c:pt>
                <c:pt idx="5">
                  <c:v>6815</c:v>
                </c:pt>
                <c:pt idx="6">
                  <c:v>6655</c:v>
                </c:pt>
              </c:numCache>
            </c:numRef>
          </c:val>
        </c:ser>
        <c:dLbls>
          <c:showLegendKey val="0"/>
          <c:showVal val="0"/>
          <c:showCatName val="0"/>
          <c:showSerName val="0"/>
          <c:showPercent val="0"/>
          <c:showBubbleSize val="0"/>
        </c:dLbls>
        <c:gapWidth val="219"/>
        <c:overlap val="-27"/>
        <c:axId val="74609792"/>
        <c:axId val="74611328"/>
      </c:barChart>
      <c:lineChart>
        <c:grouping val="standard"/>
        <c:varyColors val="0"/>
        <c:ser>
          <c:idx val="3"/>
          <c:order val="3"/>
          <c:tx>
            <c:strRef>
              <c:f>Pasvalio!$N$25</c:f>
              <c:strCache>
                <c:ptCount val="1"/>
                <c:pt idx="0">
                  <c:v>Registruotų bedarbių ir darbingo amžiaus gyventojų santykis | proc.</c:v>
                </c:pt>
              </c:strCache>
            </c:strRef>
          </c:tx>
          <c:spPr>
            <a:ln w="28575" cap="rnd">
              <a:solidFill>
                <a:srgbClr val="00A1DE"/>
              </a:solidFill>
              <a:round/>
            </a:ln>
            <a:effectLst/>
          </c:spPr>
          <c:marker>
            <c:symbol val="none"/>
          </c:marker>
          <c:cat>
            <c:numRef>
              <c:f>Pasvalio!$O$21:$W$21</c:f>
              <c:numCache>
                <c:formatCode>General</c:formatCode>
                <c:ptCount val="7"/>
                <c:pt idx="0">
                  <c:v>2007</c:v>
                </c:pt>
                <c:pt idx="1">
                  <c:v>2008</c:v>
                </c:pt>
                <c:pt idx="2">
                  <c:v>2009</c:v>
                </c:pt>
                <c:pt idx="3">
                  <c:v>2010</c:v>
                </c:pt>
                <c:pt idx="4">
                  <c:v>2011</c:v>
                </c:pt>
                <c:pt idx="5">
                  <c:v>2012</c:v>
                </c:pt>
                <c:pt idx="6">
                  <c:v>2013</c:v>
                </c:pt>
              </c:numCache>
            </c:numRef>
          </c:cat>
          <c:val>
            <c:numRef>
              <c:f>Pasvalio!$O$25:$W$25</c:f>
              <c:numCache>
                <c:formatCode>General</c:formatCode>
                <c:ptCount val="7"/>
                <c:pt idx="0">
                  <c:v>5.7</c:v>
                </c:pt>
                <c:pt idx="1">
                  <c:v>5.3</c:v>
                </c:pt>
                <c:pt idx="2">
                  <c:v>11.6</c:v>
                </c:pt>
                <c:pt idx="3">
                  <c:v>18.3</c:v>
                </c:pt>
                <c:pt idx="4">
                  <c:v>16.8</c:v>
                </c:pt>
                <c:pt idx="5">
                  <c:v>15.8</c:v>
                </c:pt>
                <c:pt idx="6">
                  <c:v>14.7</c:v>
                </c:pt>
              </c:numCache>
            </c:numRef>
          </c:val>
          <c:smooth val="0"/>
        </c:ser>
        <c:dLbls>
          <c:showLegendKey val="0"/>
          <c:showVal val="0"/>
          <c:showCatName val="0"/>
          <c:showSerName val="0"/>
          <c:showPercent val="0"/>
          <c:showBubbleSize val="0"/>
        </c:dLbls>
        <c:marker val="1"/>
        <c:smooth val="0"/>
        <c:axId val="74622848"/>
        <c:axId val="74621312"/>
      </c:lineChart>
      <c:catAx>
        <c:axId val="746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11328"/>
        <c:crosses val="autoZero"/>
        <c:auto val="1"/>
        <c:lblAlgn val="ctr"/>
        <c:lblOffset val="100"/>
        <c:noMultiLvlLbl val="0"/>
      </c:catAx>
      <c:valAx>
        <c:axId val="74611328"/>
        <c:scaling>
          <c:orientation val="minMax"/>
          <c:max val="35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09792"/>
        <c:crosses val="autoZero"/>
        <c:crossBetween val="between"/>
      </c:valAx>
      <c:valAx>
        <c:axId val="74621312"/>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22848"/>
        <c:crosses val="max"/>
        <c:crossBetween val="between"/>
      </c:valAx>
      <c:catAx>
        <c:axId val="74622848"/>
        <c:scaling>
          <c:orientation val="minMax"/>
        </c:scaling>
        <c:delete val="1"/>
        <c:axPos val="b"/>
        <c:numFmt formatCode="General" sourceLinked="1"/>
        <c:majorTickMark val="out"/>
        <c:minorTickMark val="none"/>
        <c:tickLblPos val="nextTo"/>
        <c:crossAx val="74621312"/>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Pasvalio!$M$44</c:f>
              <c:strCache>
                <c:ptCount val="1"/>
                <c:pt idx="0">
                  <c:v>Pridėtinė vertė gamybos kainomis pagal veiklos vykdymo vietą | tūkst. EUR</c:v>
                </c:pt>
              </c:strCache>
            </c:strRef>
          </c:tx>
          <c:spPr>
            <a:solidFill>
              <a:srgbClr val="81BC00"/>
            </a:solidFill>
            <a:ln>
              <a:noFill/>
            </a:ln>
            <a:effectLst/>
          </c:spPr>
          <c:invertIfNegative val="0"/>
          <c:dLbls>
            <c:dLbl>
              <c:idx val="5"/>
              <c:layout>
                <c:manualLayout>
                  <c:x val="-5.8097312999273783E-3"/>
                  <c:y val="0"/>
                </c:manualLayout>
              </c:layout>
              <c:showLegendKey val="0"/>
              <c:showVal val="1"/>
              <c:showCatName val="0"/>
              <c:showSerName val="0"/>
              <c:showPercent val="0"/>
              <c:showBubbleSize val="0"/>
              <c:extLst>
                <c:ext xmlns:c15="http://schemas.microsoft.com/office/drawing/2012/chart" uri="{CE6537A1-D6FC-4f65-9D91-7224C49458BB}">
                  <c15:layout>
                    <c:manualLayout>
                      <c:w val="6.1583151779230211E-2"/>
                      <c:h val="4.998808700110743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Pasvalio!$N$42:$V$42</c:f>
              <c:numCache>
                <c:formatCode>General</c:formatCode>
                <c:ptCount val="7"/>
                <c:pt idx="0">
                  <c:v>2007</c:v>
                </c:pt>
                <c:pt idx="1">
                  <c:v>2008</c:v>
                </c:pt>
                <c:pt idx="2">
                  <c:v>2009</c:v>
                </c:pt>
                <c:pt idx="3">
                  <c:v>2010</c:v>
                </c:pt>
                <c:pt idx="4">
                  <c:v>2011</c:v>
                </c:pt>
                <c:pt idx="5">
                  <c:v>2012</c:v>
                </c:pt>
                <c:pt idx="6">
                  <c:v>2013</c:v>
                </c:pt>
              </c:numCache>
            </c:numRef>
          </c:cat>
          <c:val>
            <c:numRef>
              <c:f>Pasvalio!$N$44:$V$44</c:f>
              <c:numCache>
                <c:formatCode>General</c:formatCode>
                <c:ptCount val="7"/>
                <c:pt idx="0">
                  <c:v>37568</c:v>
                </c:pt>
                <c:pt idx="1">
                  <c:v>35900</c:v>
                </c:pt>
                <c:pt idx="2">
                  <c:v>31008</c:v>
                </c:pt>
                <c:pt idx="3">
                  <c:v>32890</c:v>
                </c:pt>
                <c:pt idx="4">
                  <c:v>35381</c:v>
                </c:pt>
                <c:pt idx="5">
                  <c:v>38861</c:v>
                </c:pt>
                <c:pt idx="6">
                  <c:v>38561</c:v>
                </c:pt>
              </c:numCache>
            </c:numRef>
          </c:val>
        </c:ser>
        <c:ser>
          <c:idx val="2"/>
          <c:order val="2"/>
          <c:tx>
            <c:strRef>
              <c:f>Pasvalio!$M$45</c:f>
              <c:strCache>
                <c:ptCount val="1"/>
                <c:pt idx="0">
                  <c:v>Materialinės investicijos to meto kainomis | tūkst. EUR</c:v>
                </c:pt>
              </c:strCache>
            </c:strRef>
          </c:tx>
          <c:spPr>
            <a:solidFill>
              <a:srgbClr val="B4B4B4"/>
            </a:solidFill>
            <a:ln>
              <a:noFill/>
            </a:ln>
            <a:effectLst/>
          </c:spPr>
          <c:invertIfNegative val="0"/>
          <c:dLbls>
            <c:dLbl>
              <c:idx val="2"/>
              <c:layout>
                <c:manualLayout>
                  <c:x val="0"/>
                  <c:y val="2.904865649963680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9.6828854998789633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4524328249818339E-2"/>
                  <c:y val="2.4207213749697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Pasvalio!$N$42:$V$42</c:f>
              <c:numCache>
                <c:formatCode>General</c:formatCode>
                <c:ptCount val="7"/>
                <c:pt idx="0">
                  <c:v>2007</c:v>
                </c:pt>
                <c:pt idx="1">
                  <c:v>2008</c:v>
                </c:pt>
                <c:pt idx="2">
                  <c:v>2009</c:v>
                </c:pt>
                <c:pt idx="3">
                  <c:v>2010</c:v>
                </c:pt>
                <c:pt idx="4">
                  <c:v>2011</c:v>
                </c:pt>
                <c:pt idx="5">
                  <c:v>2012</c:v>
                </c:pt>
                <c:pt idx="6">
                  <c:v>2013</c:v>
                </c:pt>
              </c:numCache>
            </c:numRef>
          </c:cat>
          <c:val>
            <c:numRef>
              <c:f>Pasvalio!$N$45:$V$45</c:f>
              <c:numCache>
                <c:formatCode>General</c:formatCode>
                <c:ptCount val="7"/>
                <c:pt idx="0">
                  <c:v>34186</c:v>
                </c:pt>
                <c:pt idx="1">
                  <c:v>41402</c:v>
                </c:pt>
                <c:pt idx="2">
                  <c:v>35276</c:v>
                </c:pt>
                <c:pt idx="3">
                  <c:v>17181</c:v>
                </c:pt>
                <c:pt idx="4">
                  <c:v>26636</c:v>
                </c:pt>
                <c:pt idx="5">
                  <c:v>18123</c:v>
                </c:pt>
                <c:pt idx="6">
                  <c:v>29147</c:v>
                </c:pt>
              </c:numCache>
            </c:numRef>
          </c:val>
        </c:ser>
        <c:dLbls>
          <c:showLegendKey val="0"/>
          <c:showVal val="0"/>
          <c:showCatName val="0"/>
          <c:showSerName val="0"/>
          <c:showPercent val="0"/>
          <c:showBubbleSize val="0"/>
        </c:dLbls>
        <c:gapWidth val="219"/>
        <c:overlap val="-27"/>
        <c:axId val="74688384"/>
        <c:axId val="74689920"/>
      </c:barChart>
      <c:lineChart>
        <c:grouping val="standard"/>
        <c:varyColors val="0"/>
        <c:ser>
          <c:idx val="0"/>
          <c:order val="0"/>
          <c:tx>
            <c:strRef>
              <c:f>Pasvalio!$M$43</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dLbl>
              <c:idx val="2"/>
              <c:layout>
                <c:manualLayout>
                  <c:x val="-2.0334059549745823E-2"/>
                  <c:y val="-5.3255870249334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42072137496974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0651051008016726E-16"/>
                  <c:y val="-4.84144274993948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Pasvalio!$N$42:$V$42</c:f>
              <c:numCache>
                <c:formatCode>General</c:formatCode>
                <c:ptCount val="7"/>
                <c:pt idx="0">
                  <c:v>2007</c:v>
                </c:pt>
                <c:pt idx="1">
                  <c:v>2008</c:v>
                </c:pt>
                <c:pt idx="2">
                  <c:v>2009</c:v>
                </c:pt>
                <c:pt idx="3">
                  <c:v>2010</c:v>
                </c:pt>
                <c:pt idx="4">
                  <c:v>2011</c:v>
                </c:pt>
                <c:pt idx="5">
                  <c:v>2012</c:v>
                </c:pt>
                <c:pt idx="6">
                  <c:v>2013</c:v>
                </c:pt>
              </c:numCache>
            </c:numRef>
          </c:cat>
          <c:val>
            <c:numRef>
              <c:f>Pasvalio!$N$43:$V$43</c:f>
              <c:numCache>
                <c:formatCode>General</c:formatCode>
                <c:ptCount val="7"/>
                <c:pt idx="0">
                  <c:v>43</c:v>
                </c:pt>
                <c:pt idx="1">
                  <c:v>44</c:v>
                </c:pt>
                <c:pt idx="2">
                  <c:v>141</c:v>
                </c:pt>
                <c:pt idx="3">
                  <c:v>174</c:v>
                </c:pt>
                <c:pt idx="4">
                  <c:v>207</c:v>
                </c:pt>
                <c:pt idx="5">
                  <c:v>212</c:v>
                </c:pt>
                <c:pt idx="6">
                  <c:v>242</c:v>
                </c:pt>
              </c:numCache>
            </c:numRef>
          </c:val>
          <c:smooth val="0"/>
          <c:extLst/>
        </c:ser>
        <c:dLbls>
          <c:showLegendKey val="0"/>
          <c:showVal val="0"/>
          <c:showCatName val="0"/>
          <c:showSerName val="0"/>
          <c:showPercent val="0"/>
          <c:showBubbleSize val="0"/>
        </c:dLbls>
        <c:marker val="1"/>
        <c:smooth val="0"/>
        <c:axId val="74706304"/>
        <c:axId val="74704384"/>
      </c:lineChart>
      <c:catAx>
        <c:axId val="7468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89920"/>
        <c:crosses val="autoZero"/>
        <c:auto val="1"/>
        <c:lblAlgn val="ctr"/>
        <c:lblOffset val="100"/>
        <c:noMultiLvlLbl val="0"/>
      </c:catAx>
      <c:valAx>
        <c:axId val="74689920"/>
        <c:scaling>
          <c:orientation val="minMax"/>
          <c:max val="45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5.508423116292788E-3"/>
              <c:y val="0.6644638014914622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88384"/>
        <c:crosses val="autoZero"/>
        <c:crossBetween val="between"/>
      </c:valAx>
      <c:valAx>
        <c:axId val="7470438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EUR</a:t>
                </a:r>
              </a:p>
            </c:rich>
          </c:tx>
          <c:layout>
            <c:manualLayout>
              <c:xMode val="edge"/>
              <c:yMode val="edge"/>
              <c:x val="0.97492279532955117"/>
              <c:y val="0.64084706358406884"/>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706304"/>
        <c:crosses val="max"/>
        <c:crossBetween val="between"/>
      </c:valAx>
      <c:catAx>
        <c:axId val="74706304"/>
        <c:scaling>
          <c:orientation val="minMax"/>
        </c:scaling>
        <c:delete val="1"/>
        <c:axPos val="b"/>
        <c:numFmt formatCode="General" sourceLinked="1"/>
        <c:majorTickMark val="out"/>
        <c:minorTickMark val="none"/>
        <c:tickLblPos val="nextTo"/>
        <c:crossAx val="74704384"/>
        <c:crosses val="autoZero"/>
        <c:auto val="1"/>
        <c:lblAlgn val="ctr"/>
        <c:lblOffset val="100"/>
        <c:noMultiLvlLbl val="0"/>
      </c:catAx>
      <c:spPr>
        <a:noFill/>
        <a:ln>
          <a:noFill/>
        </a:ln>
        <a:effectLst/>
      </c:spPr>
    </c:plotArea>
    <c:legend>
      <c:legendPos val="b"/>
      <c:layout>
        <c:manualLayout>
          <c:xMode val="edge"/>
          <c:yMode val="edge"/>
          <c:x val="1.010665521608633E-2"/>
          <c:y val="0.80436638151780127"/>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8F4D-9BA4-4498-96E1-020B8D67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93</cp:revision>
  <cp:lastPrinted>2016-03-02T08:05:00Z</cp:lastPrinted>
  <dcterms:created xsi:type="dcterms:W3CDTF">2016-03-01T20:52:00Z</dcterms:created>
  <dcterms:modified xsi:type="dcterms:W3CDTF">2016-06-02T20:53:00Z</dcterms:modified>
</cp:coreProperties>
</file>