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8575C9" w:rsidRDefault="00D271D7" w:rsidP="0080175F">
      <w:pPr>
        <w:pStyle w:val="001-lineSectionheading"/>
        <w:spacing w:after="240"/>
        <w:outlineLvl w:val="0"/>
        <w:rPr>
          <w:noProof w:val="0"/>
          <w:sz w:val="52"/>
        </w:rPr>
      </w:pPr>
      <w:r w:rsidRPr="008575C9">
        <w:rPr>
          <w:noProof w:val="0"/>
          <w:sz w:val="52"/>
        </w:rPr>
        <w:t>Rokiškio</w:t>
      </w:r>
      <w:r w:rsidR="00F02104" w:rsidRPr="008575C9">
        <w:rPr>
          <w:noProof w:val="0"/>
          <w:sz w:val="52"/>
        </w:rPr>
        <w:t xml:space="preserve"> rajono</w:t>
      </w:r>
      <w:r w:rsidR="005577BB" w:rsidRPr="008575C9">
        <w:rPr>
          <w:noProof w:val="0"/>
          <w:sz w:val="52"/>
        </w:rPr>
        <w:t xml:space="preserve"> savivaldybės analizė</w:t>
      </w:r>
    </w:p>
    <w:p w:rsidR="00C849C4" w:rsidRPr="008575C9" w:rsidRDefault="00C849C4" w:rsidP="002B4036">
      <w:pPr>
        <w:pStyle w:val="Deloittebodytext"/>
        <w:spacing w:line="240" w:lineRule="auto"/>
        <w:jc w:val="both"/>
        <w:rPr>
          <w:lang w:val="lt-LT"/>
        </w:rPr>
      </w:pPr>
      <w:r w:rsidRPr="008575C9">
        <w:rPr>
          <w:lang w:val="lt-LT"/>
        </w:rPr>
        <w:t>Toliau pateikiama vien</w:t>
      </w:r>
      <w:r w:rsidR="00955E14" w:rsidRPr="008575C9">
        <w:rPr>
          <w:lang w:val="lt-LT"/>
        </w:rPr>
        <w:t xml:space="preserve">os iš </w:t>
      </w:r>
      <w:r w:rsidR="00E12034" w:rsidRPr="008575C9">
        <w:rPr>
          <w:lang w:val="lt-LT"/>
        </w:rPr>
        <w:t>p</w:t>
      </w:r>
      <w:r w:rsidR="00D271D7" w:rsidRPr="008575C9">
        <w:rPr>
          <w:lang w:val="lt-LT"/>
        </w:rPr>
        <w:t>robleminių teritorijų – Rokiškio</w:t>
      </w:r>
      <w:r w:rsidRPr="008575C9">
        <w:rPr>
          <w:lang w:val="lt-LT"/>
        </w:rPr>
        <w:t xml:space="preserve"> rajono savivaldybės – atvejo stud</w:t>
      </w:r>
      <w:r w:rsidR="001F2140" w:rsidRPr="008575C9">
        <w:rPr>
          <w:lang w:val="lt-LT"/>
        </w:rPr>
        <w:t>ija. Pirma, yra pristatoma ES struktūrinių fondų</w:t>
      </w:r>
      <w:r w:rsidRPr="008575C9">
        <w:rPr>
          <w:lang w:val="lt-LT"/>
        </w:rPr>
        <w:t xml:space="preserve"> finansavimo apžvalga, aptariamos pagrindinės i</w:t>
      </w:r>
      <w:r w:rsidR="002E30F9" w:rsidRPr="008575C9">
        <w:rPr>
          <w:lang w:val="lt-LT"/>
        </w:rPr>
        <w:t xml:space="preserve">nvesticinės kryptys. Vėliau </w:t>
      </w:r>
      <w:r w:rsidR="002B4036" w:rsidRPr="008575C9">
        <w:rPr>
          <w:lang w:val="lt-LT"/>
        </w:rPr>
        <w:t>pristatoma socio-ekonominių ir aplinkos rodiklių kaita</w:t>
      </w:r>
      <w:r w:rsidR="00BC4ECE" w:rsidRPr="008575C9">
        <w:rPr>
          <w:lang w:val="lt-LT"/>
        </w:rPr>
        <w:t xml:space="preserve"> 2007 – 2013 m. laikotarpiu</w:t>
      </w:r>
      <w:r w:rsidR="002B4036" w:rsidRPr="008575C9">
        <w:rPr>
          <w:lang w:val="lt-LT"/>
        </w:rPr>
        <w:t xml:space="preserve">. Atvejo </w:t>
      </w:r>
      <w:r w:rsidR="002E30F9" w:rsidRPr="008575C9">
        <w:rPr>
          <w:lang w:val="lt-LT"/>
        </w:rPr>
        <w:t>studiją apibendrina</w:t>
      </w:r>
      <w:r w:rsidR="00647F70">
        <w:rPr>
          <w:lang w:val="lt-LT"/>
        </w:rPr>
        <w:t xml:space="preserve"> 2007 – 2013 m.</w:t>
      </w:r>
      <w:r w:rsidR="002E30F9" w:rsidRPr="008575C9">
        <w:rPr>
          <w:lang w:val="lt-LT"/>
        </w:rPr>
        <w:t xml:space="preserve"> ES</w:t>
      </w:r>
      <w:r w:rsidR="00647F70">
        <w:rPr>
          <w:lang w:val="lt-LT"/>
        </w:rPr>
        <w:t xml:space="preserve"> struktūrinės</w:t>
      </w:r>
      <w:r w:rsidR="002E30F9" w:rsidRPr="008575C9">
        <w:rPr>
          <w:lang w:val="lt-LT"/>
        </w:rPr>
        <w:t xml:space="preserve"> paramos poveikio darniam vystymuisi vertinimas</w:t>
      </w:r>
      <w:r w:rsidR="00647F70">
        <w:rPr>
          <w:lang w:val="lt-LT"/>
        </w:rPr>
        <w:t>; 1.3. dalyje pateikiami gerosios praktikos projektų pavyzdžiai.</w:t>
      </w:r>
    </w:p>
    <w:p w:rsidR="005577BB" w:rsidRPr="008575C9" w:rsidRDefault="0080175F" w:rsidP="0080175F">
      <w:pPr>
        <w:pStyle w:val="Heading1"/>
        <w:numPr>
          <w:ilvl w:val="1"/>
          <w:numId w:val="1"/>
        </w:numPr>
        <w:spacing w:before="360"/>
        <w:ind w:left="630" w:hanging="630"/>
        <w:rPr>
          <w:rFonts w:ascii="Arial" w:hAnsi="Arial" w:cs="Arial"/>
          <w:b w:val="0"/>
          <w:sz w:val="28"/>
          <w:szCs w:val="28"/>
        </w:rPr>
      </w:pPr>
      <w:r w:rsidRPr="008575C9">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58C0B79E" wp14:editId="74510A54">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647F70" w:rsidRDefault="00D271D7" w:rsidP="00F73ED6">
                              <w:pPr>
                                <w:pStyle w:val="NormalWeb"/>
                                <w:spacing w:before="0" w:beforeAutospacing="0" w:after="0" w:afterAutospacing="0"/>
                                <w:jc w:val="center"/>
                                <w:rPr>
                                  <w:rFonts w:ascii="Arial" w:hAnsi="Arial" w:cs="Arial"/>
                                  <w:sz w:val="6"/>
                                </w:rPr>
                              </w:pPr>
                              <w:r w:rsidRPr="00647F70">
                                <w:rPr>
                                  <w:rFonts w:ascii="Arial" w:hAnsi="Arial" w:cs="Arial"/>
                                  <w:color w:val="FFFFFF"/>
                                  <w:kern w:val="24"/>
                                  <w:sz w:val="32"/>
                                  <w:szCs w:val="144"/>
                                  <w:lang w:val="en-US"/>
                                </w:rPr>
                                <w:t>7</w:t>
                              </w:r>
                              <w:r w:rsidRPr="00647F70">
                                <w:rPr>
                                  <w:rFonts w:ascii="Arial" w:hAnsi="Arial" w:cs="Arial"/>
                                  <w:color w:val="FFFFFF"/>
                                  <w:kern w:val="24"/>
                                  <w:sz w:val="32"/>
                                  <w:szCs w:val="144"/>
                                  <w:lang w:val="nl-NL"/>
                                </w:rPr>
                                <w:t>.83</w:t>
                              </w:r>
                              <w:r w:rsidR="0080175F" w:rsidRPr="00647F70">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647F70" w:rsidRDefault="00D271D7" w:rsidP="00F73ED6">
                        <w:pPr>
                          <w:pStyle w:val="NormalWeb"/>
                          <w:spacing w:before="0" w:beforeAutospacing="0" w:after="0" w:afterAutospacing="0"/>
                          <w:jc w:val="center"/>
                          <w:rPr>
                            <w:rFonts w:ascii="Arial" w:hAnsi="Arial" w:cs="Arial"/>
                            <w:sz w:val="6"/>
                          </w:rPr>
                        </w:pPr>
                        <w:r w:rsidRPr="00647F70">
                          <w:rPr>
                            <w:rFonts w:ascii="Arial" w:hAnsi="Arial" w:cs="Arial"/>
                            <w:color w:val="FFFFFF"/>
                            <w:kern w:val="24"/>
                            <w:sz w:val="32"/>
                            <w:szCs w:val="144"/>
                            <w:lang w:val="en-US"/>
                          </w:rPr>
                          <w:t>7</w:t>
                        </w:r>
                        <w:r w:rsidRPr="00647F70">
                          <w:rPr>
                            <w:rFonts w:ascii="Arial" w:hAnsi="Arial" w:cs="Arial"/>
                            <w:color w:val="FFFFFF"/>
                            <w:kern w:val="24"/>
                            <w:sz w:val="32"/>
                            <w:szCs w:val="144"/>
                            <w:lang w:val="nl-NL"/>
                          </w:rPr>
                          <w:t>.83</w:t>
                        </w:r>
                        <w:r w:rsidR="0080175F" w:rsidRPr="00647F70">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603202" r:id="rId11">
                <o:FieldCodes>\s</o:FieldCodes>
              </o:OLEObject>
            </w:pict>
          </mc:Fallback>
        </mc:AlternateContent>
      </w:r>
      <w:r w:rsidR="005577BB" w:rsidRPr="008575C9">
        <w:rPr>
          <w:rFonts w:ascii="Arial" w:hAnsi="Arial" w:cs="Arial"/>
          <w:b w:val="0"/>
          <w:sz w:val="28"/>
          <w:szCs w:val="28"/>
        </w:rPr>
        <w:t>Finansavimo apžvalga</w:t>
      </w:r>
    </w:p>
    <w:p w:rsidR="005577BB" w:rsidRPr="008575C9" w:rsidRDefault="00F73ED6" w:rsidP="00F73ED6">
      <w:pPr>
        <w:jc w:val="both"/>
        <w:rPr>
          <w:rFonts w:ascii="Arial" w:eastAsia="MS PGothic" w:hAnsi="Arial" w:cs="Times New Roman"/>
          <w:color w:val="000000"/>
          <w:sz w:val="20"/>
          <w:szCs w:val="48"/>
        </w:rPr>
      </w:pPr>
      <w:r w:rsidRPr="008575C9">
        <w:rPr>
          <w:rFonts w:ascii="Arial" w:eastAsia="MS PGothic" w:hAnsi="Arial" w:cs="Times New Roman"/>
          <w:color w:val="000000"/>
          <w:sz w:val="20"/>
          <w:szCs w:val="48"/>
        </w:rPr>
        <w:t xml:space="preserve">2007 – 2013 </w:t>
      </w:r>
      <w:r w:rsidR="009A35E9" w:rsidRPr="008575C9">
        <w:rPr>
          <w:rFonts w:ascii="Arial" w:eastAsia="MS PGothic" w:hAnsi="Arial" w:cs="Times New Roman"/>
          <w:color w:val="000000"/>
          <w:sz w:val="20"/>
          <w:szCs w:val="48"/>
        </w:rPr>
        <w:t>m</w:t>
      </w:r>
      <w:r w:rsidR="0080175F" w:rsidRPr="008575C9">
        <w:rPr>
          <w:rFonts w:ascii="Arial" w:eastAsia="MS PGothic" w:hAnsi="Arial" w:cs="Times New Roman"/>
          <w:color w:val="000000"/>
          <w:sz w:val="20"/>
          <w:szCs w:val="48"/>
        </w:rPr>
        <w:t>. ES struktūrinių fondų</w:t>
      </w:r>
      <w:r w:rsidR="001F2140" w:rsidRPr="008575C9">
        <w:rPr>
          <w:rFonts w:ascii="Arial" w:eastAsia="MS PGothic" w:hAnsi="Arial" w:cs="Times New Roman"/>
          <w:color w:val="000000"/>
          <w:sz w:val="20"/>
          <w:szCs w:val="48"/>
        </w:rPr>
        <w:t xml:space="preserve"> (ES SF)</w:t>
      </w:r>
      <w:r w:rsidR="0080175F" w:rsidRPr="008575C9">
        <w:rPr>
          <w:rFonts w:ascii="Arial" w:eastAsia="MS PGothic" w:hAnsi="Arial" w:cs="Times New Roman"/>
          <w:color w:val="000000"/>
          <w:sz w:val="20"/>
          <w:szCs w:val="48"/>
        </w:rPr>
        <w:t xml:space="preserve"> programavimo</w:t>
      </w:r>
      <w:r w:rsidR="00CF323C" w:rsidRPr="008575C9">
        <w:rPr>
          <w:rFonts w:ascii="Arial" w:eastAsia="MS PGothic" w:hAnsi="Arial" w:cs="Times New Roman"/>
          <w:color w:val="000000"/>
          <w:sz w:val="20"/>
          <w:szCs w:val="48"/>
        </w:rPr>
        <w:t xml:space="preserve"> laikotarpiu, </w:t>
      </w:r>
      <w:r w:rsidR="00D271D7" w:rsidRPr="008575C9">
        <w:rPr>
          <w:rFonts w:ascii="Arial" w:eastAsia="MS PGothic" w:hAnsi="Arial" w:cs="Times New Roman"/>
          <w:color w:val="000000"/>
          <w:sz w:val="20"/>
          <w:szCs w:val="48"/>
        </w:rPr>
        <w:t>Rokiškio</w:t>
      </w:r>
      <w:r w:rsidR="00955E14" w:rsidRPr="008575C9">
        <w:rPr>
          <w:rFonts w:ascii="Arial" w:eastAsia="MS PGothic" w:hAnsi="Arial" w:cs="Times New Roman"/>
          <w:color w:val="000000"/>
          <w:sz w:val="20"/>
          <w:szCs w:val="48"/>
        </w:rPr>
        <w:t xml:space="preserve"> rajono</w:t>
      </w:r>
      <w:r w:rsidR="009A35E9" w:rsidRPr="008575C9">
        <w:rPr>
          <w:rFonts w:ascii="Arial" w:eastAsia="MS PGothic" w:hAnsi="Arial" w:cs="Times New Roman"/>
          <w:color w:val="000000"/>
          <w:sz w:val="20"/>
          <w:szCs w:val="48"/>
        </w:rPr>
        <w:t xml:space="preserve"> savivaldybėje, </w:t>
      </w:r>
      <w:r w:rsidR="00CF47D0" w:rsidRPr="008575C9">
        <w:rPr>
          <w:rFonts w:ascii="Arial" w:eastAsia="MS PGothic" w:hAnsi="Arial" w:cs="Times New Roman"/>
          <w:color w:val="000000"/>
          <w:sz w:val="20"/>
          <w:szCs w:val="48"/>
        </w:rPr>
        <w:t xml:space="preserve">buvo finansuoti </w:t>
      </w:r>
      <w:r w:rsidR="00D271D7" w:rsidRPr="008575C9">
        <w:rPr>
          <w:rFonts w:ascii="Arial" w:eastAsia="MS PGothic" w:hAnsi="Arial" w:cs="Times New Roman"/>
          <w:color w:val="000000"/>
          <w:sz w:val="20"/>
          <w:szCs w:val="48"/>
        </w:rPr>
        <w:t>92</w:t>
      </w:r>
      <w:r w:rsidR="00ED3673" w:rsidRPr="008575C9">
        <w:rPr>
          <w:rFonts w:ascii="Arial" w:eastAsia="MS PGothic" w:hAnsi="Arial" w:cs="Times New Roman"/>
          <w:color w:val="000000"/>
          <w:sz w:val="20"/>
          <w:szCs w:val="48"/>
        </w:rPr>
        <w:t xml:space="preserve"> </w:t>
      </w:r>
      <w:r w:rsidRPr="008575C9">
        <w:rPr>
          <w:rFonts w:ascii="Arial" w:eastAsia="MS PGothic" w:hAnsi="Arial" w:cs="Times New Roman"/>
          <w:color w:val="000000"/>
          <w:sz w:val="20"/>
          <w:szCs w:val="48"/>
        </w:rPr>
        <w:t xml:space="preserve">projektai. </w:t>
      </w:r>
      <w:r w:rsidR="009A35E9" w:rsidRPr="008575C9">
        <w:rPr>
          <w:rFonts w:ascii="Arial" w:eastAsia="MS PGothic" w:hAnsi="Arial" w:cs="Times New Roman"/>
          <w:color w:val="000000"/>
          <w:sz w:val="20"/>
          <w:szCs w:val="48"/>
        </w:rPr>
        <w:t xml:space="preserve">Bendra </w:t>
      </w:r>
      <w:r w:rsidR="0080175F" w:rsidRPr="008575C9">
        <w:rPr>
          <w:rFonts w:ascii="Arial" w:eastAsia="MS PGothic" w:hAnsi="Arial" w:cs="Times New Roman"/>
          <w:color w:val="000000"/>
          <w:sz w:val="20"/>
          <w:szCs w:val="48"/>
        </w:rPr>
        <w:t>projektų vertė</w:t>
      </w:r>
      <w:r w:rsidR="009A35E9" w:rsidRPr="008575C9">
        <w:rPr>
          <w:rFonts w:ascii="Arial" w:eastAsia="MS PGothic" w:hAnsi="Arial" w:cs="Times New Roman"/>
          <w:color w:val="000000"/>
          <w:sz w:val="20"/>
          <w:szCs w:val="48"/>
        </w:rPr>
        <w:t xml:space="preserve"> siekė</w:t>
      </w:r>
      <w:r w:rsidR="00955E14" w:rsidRPr="008575C9">
        <w:rPr>
          <w:rFonts w:ascii="Arial" w:eastAsia="MS PGothic" w:hAnsi="Arial" w:cs="Times New Roman"/>
          <w:color w:val="000000"/>
          <w:sz w:val="20"/>
          <w:szCs w:val="48"/>
        </w:rPr>
        <w:t xml:space="preserve"> </w:t>
      </w:r>
      <w:r w:rsidR="00D271D7" w:rsidRPr="008575C9">
        <w:rPr>
          <w:rFonts w:ascii="Arial" w:eastAsia="MS PGothic" w:hAnsi="Arial" w:cs="Times New Roman"/>
          <w:color w:val="000000"/>
          <w:sz w:val="20"/>
          <w:szCs w:val="48"/>
        </w:rPr>
        <w:t>67</w:t>
      </w:r>
      <w:r w:rsidR="00647F70">
        <w:rPr>
          <w:rFonts w:ascii="Arial" w:eastAsia="MS PGothic" w:hAnsi="Arial" w:cs="Times New Roman"/>
          <w:color w:val="000000"/>
          <w:sz w:val="20"/>
          <w:szCs w:val="48"/>
        </w:rPr>
        <w:t>.</w:t>
      </w:r>
      <w:r w:rsidR="00D271D7" w:rsidRPr="008575C9">
        <w:rPr>
          <w:rFonts w:ascii="Arial" w:eastAsia="MS PGothic" w:hAnsi="Arial" w:cs="Times New Roman"/>
          <w:color w:val="000000"/>
          <w:sz w:val="20"/>
          <w:szCs w:val="48"/>
        </w:rPr>
        <w:t>348</w:t>
      </w:r>
      <w:r w:rsidR="00647F70">
        <w:rPr>
          <w:rFonts w:ascii="Arial" w:eastAsia="MS PGothic" w:hAnsi="Arial" w:cs="Times New Roman"/>
          <w:color w:val="000000"/>
          <w:sz w:val="20"/>
          <w:szCs w:val="48"/>
        </w:rPr>
        <w:t xml:space="preserve"> mln.</w:t>
      </w:r>
      <w:r w:rsidR="00D271D7" w:rsidRPr="008575C9">
        <w:rPr>
          <w:rFonts w:ascii="Arial" w:eastAsia="MS PGothic" w:hAnsi="Arial" w:cs="Times New Roman"/>
          <w:color w:val="000000"/>
          <w:sz w:val="20"/>
          <w:szCs w:val="48"/>
        </w:rPr>
        <w:t xml:space="preserve"> EUR; tai sudarė 7.83</w:t>
      </w:r>
      <w:r w:rsidR="0080175F" w:rsidRPr="008575C9">
        <w:rPr>
          <w:rFonts w:ascii="Arial" w:eastAsia="MS PGothic" w:hAnsi="Arial" w:cs="Times New Roman"/>
          <w:color w:val="000000"/>
          <w:sz w:val="20"/>
          <w:szCs w:val="48"/>
        </w:rPr>
        <w:t xml:space="preserve"> proc. visų probleminėse teritorijose įgyvendintų</w:t>
      </w:r>
      <w:r w:rsidR="001F2140" w:rsidRPr="008575C9">
        <w:rPr>
          <w:rFonts w:ascii="Arial" w:eastAsia="MS PGothic" w:hAnsi="Arial" w:cs="Times New Roman"/>
          <w:color w:val="000000"/>
          <w:sz w:val="20"/>
          <w:szCs w:val="48"/>
        </w:rPr>
        <w:t xml:space="preserve"> ES SF</w:t>
      </w:r>
      <w:r w:rsidR="0080175F" w:rsidRPr="008575C9">
        <w:rPr>
          <w:rFonts w:ascii="Arial" w:eastAsia="MS PGothic" w:hAnsi="Arial" w:cs="Times New Roman"/>
          <w:color w:val="000000"/>
          <w:sz w:val="20"/>
          <w:szCs w:val="48"/>
        </w:rPr>
        <w:t xml:space="preserve"> projektų vertės.</w:t>
      </w:r>
      <w:r w:rsidR="00CF323C" w:rsidRPr="008575C9">
        <w:rPr>
          <w:rFonts w:ascii="Arial" w:eastAsia="MS PGothic" w:hAnsi="Arial" w:cs="Times New Roman"/>
          <w:color w:val="000000"/>
          <w:sz w:val="20"/>
          <w:szCs w:val="48"/>
        </w:rPr>
        <w:t xml:space="preserve"> </w:t>
      </w:r>
    </w:p>
    <w:p w:rsidR="000D5BA5" w:rsidRPr="008575C9" w:rsidRDefault="0080175F" w:rsidP="00F73ED6">
      <w:pPr>
        <w:jc w:val="both"/>
        <w:rPr>
          <w:rFonts w:ascii="Arial" w:eastAsia="MS PGothic" w:hAnsi="Arial" w:cs="Times New Roman"/>
          <w:color w:val="000000"/>
          <w:sz w:val="20"/>
          <w:szCs w:val="48"/>
        </w:rPr>
      </w:pPr>
      <w:r w:rsidRPr="008575C9">
        <w:rPr>
          <w:rFonts w:ascii="Arial" w:eastAsia="MS PGothic" w:hAnsi="Arial" w:cs="Times New Roman"/>
          <w:color w:val="000000"/>
          <w:sz w:val="20"/>
          <w:szCs w:val="48"/>
        </w:rPr>
        <w:t>Sangl</w:t>
      </w:r>
      <w:r w:rsidR="00955E14" w:rsidRPr="008575C9">
        <w:rPr>
          <w:rFonts w:ascii="Arial" w:eastAsia="MS PGothic" w:hAnsi="Arial" w:cs="Times New Roman"/>
          <w:color w:val="000000"/>
          <w:sz w:val="20"/>
          <w:szCs w:val="48"/>
        </w:rPr>
        <w:t>audos skatinimo veiksmų programos</w:t>
      </w:r>
      <w:r w:rsidRPr="008575C9">
        <w:rPr>
          <w:rFonts w:ascii="Arial" w:eastAsia="MS PGothic" w:hAnsi="Arial" w:cs="Times New Roman"/>
          <w:color w:val="000000"/>
          <w:sz w:val="20"/>
          <w:szCs w:val="48"/>
        </w:rPr>
        <w:t xml:space="preserve"> (SSVP)</w:t>
      </w:r>
      <w:r w:rsidR="00C144CE" w:rsidRPr="008575C9">
        <w:rPr>
          <w:rFonts w:ascii="Arial" w:eastAsia="MS PGothic" w:hAnsi="Arial" w:cs="Times New Roman"/>
          <w:color w:val="000000"/>
          <w:sz w:val="20"/>
          <w:szCs w:val="48"/>
        </w:rPr>
        <w:t xml:space="preserve"> apimtyje įgyvendintų projektų vertė </w:t>
      </w:r>
      <w:r w:rsidR="00CF323C" w:rsidRPr="008575C9">
        <w:rPr>
          <w:rFonts w:ascii="Arial" w:eastAsia="MS PGothic" w:hAnsi="Arial" w:cs="Times New Roman"/>
          <w:color w:val="000000"/>
          <w:sz w:val="20"/>
          <w:szCs w:val="48"/>
        </w:rPr>
        <w:t>sudaro daugiausiai</w:t>
      </w:r>
      <w:r w:rsidR="00C144CE" w:rsidRPr="008575C9">
        <w:rPr>
          <w:rFonts w:ascii="Arial" w:eastAsia="MS PGothic" w:hAnsi="Arial" w:cs="Times New Roman"/>
          <w:color w:val="000000"/>
          <w:sz w:val="20"/>
          <w:szCs w:val="48"/>
        </w:rPr>
        <w:t xml:space="preserve"> savivaldybės teritorijoje ES SF lėšomi</w:t>
      </w:r>
      <w:r w:rsidR="00D271D7" w:rsidRPr="008575C9">
        <w:rPr>
          <w:rFonts w:ascii="Arial" w:eastAsia="MS PGothic" w:hAnsi="Arial" w:cs="Times New Roman"/>
          <w:color w:val="000000"/>
          <w:sz w:val="20"/>
          <w:szCs w:val="48"/>
        </w:rPr>
        <w:t>s finansuotų projektų vertės (57</w:t>
      </w:r>
      <w:r w:rsidR="00C144CE" w:rsidRPr="008575C9">
        <w:rPr>
          <w:rFonts w:ascii="Arial" w:eastAsia="MS PGothic" w:hAnsi="Arial" w:cs="Times New Roman"/>
          <w:color w:val="000000"/>
          <w:sz w:val="20"/>
          <w:szCs w:val="48"/>
        </w:rPr>
        <w:t xml:space="preserve"> proc.). </w:t>
      </w:r>
      <w:r w:rsidR="00955E14" w:rsidRPr="008575C9">
        <w:rPr>
          <w:rFonts w:ascii="Arial" w:eastAsia="MS PGothic" w:hAnsi="Arial" w:cs="Times New Roman"/>
          <w:color w:val="000000"/>
          <w:sz w:val="20"/>
          <w:szCs w:val="48"/>
        </w:rPr>
        <w:t xml:space="preserve"> Ekonomikos augimo veiksmų programos (EAVP) lėšos sudarė </w:t>
      </w:r>
      <w:r w:rsidR="00D271D7" w:rsidRPr="008575C9">
        <w:rPr>
          <w:rFonts w:ascii="Arial" w:eastAsia="MS PGothic" w:hAnsi="Arial" w:cs="Times New Roman"/>
          <w:color w:val="000000"/>
          <w:sz w:val="20"/>
          <w:szCs w:val="48"/>
        </w:rPr>
        <w:t>37</w:t>
      </w:r>
      <w:r w:rsidR="00955E14" w:rsidRPr="008575C9">
        <w:rPr>
          <w:rFonts w:ascii="Arial" w:eastAsia="MS PGothic" w:hAnsi="Arial" w:cs="Times New Roman"/>
          <w:color w:val="000000"/>
          <w:sz w:val="20"/>
          <w:szCs w:val="48"/>
        </w:rPr>
        <w:t xml:space="preserve"> proc.</w:t>
      </w:r>
      <w:r w:rsidR="00C144CE" w:rsidRPr="008575C9">
        <w:rPr>
          <w:rFonts w:ascii="Arial" w:eastAsia="MS PGothic" w:hAnsi="Arial" w:cs="Times New Roman"/>
          <w:color w:val="000000"/>
          <w:sz w:val="20"/>
          <w:szCs w:val="48"/>
        </w:rPr>
        <w:t xml:space="preserve"> viso skirto ES SF finansavimo, t</w:t>
      </w:r>
      <w:r w:rsidR="00D65C3C" w:rsidRPr="008575C9">
        <w:rPr>
          <w:rFonts w:ascii="Arial" w:eastAsia="MS PGothic" w:hAnsi="Arial" w:cs="Times New Roman"/>
          <w:color w:val="000000"/>
          <w:sz w:val="20"/>
          <w:szCs w:val="48"/>
        </w:rPr>
        <w:t>uo tarpu Žmogiškųjų išt</w:t>
      </w:r>
      <w:r w:rsidR="000D5BA5" w:rsidRPr="008575C9">
        <w:rPr>
          <w:rFonts w:ascii="Arial" w:eastAsia="MS PGothic" w:hAnsi="Arial" w:cs="Times New Roman"/>
          <w:color w:val="000000"/>
          <w:sz w:val="20"/>
          <w:szCs w:val="48"/>
        </w:rPr>
        <w:t>eklių veiksmų programos</w:t>
      </w:r>
      <w:r w:rsidR="00D65C3C" w:rsidRPr="008575C9">
        <w:rPr>
          <w:rFonts w:ascii="Arial" w:eastAsia="MS PGothic" w:hAnsi="Arial" w:cs="Times New Roman"/>
          <w:color w:val="000000"/>
          <w:sz w:val="20"/>
          <w:szCs w:val="48"/>
        </w:rPr>
        <w:t xml:space="preserve"> (ŽIPVP) </w:t>
      </w:r>
      <w:r w:rsidR="000D5BA5" w:rsidRPr="008575C9">
        <w:rPr>
          <w:rFonts w:ascii="Arial" w:eastAsia="MS PGothic" w:hAnsi="Arial" w:cs="Times New Roman"/>
          <w:color w:val="000000"/>
          <w:sz w:val="20"/>
          <w:szCs w:val="48"/>
        </w:rPr>
        <w:t>lėšos</w:t>
      </w:r>
      <w:r w:rsidR="00D65C3C" w:rsidRPr="008575C9">
        <w:rPr>
          <w:rFonts w:ascii="Arial" w:eastAsia="MS PGothic" w:hAnsi="Arial" w:cs="Times New Roman"/>
          <w:color w:val="000000"/>
          <w:sz w:val="20"/>
          <w:szCs w:val="48"/>
        </w:rPr>
        <w:t xml:space="preserve"> </w:t>
      </w:r>
      <w:r w:rsidR="000D5BA5" w:rsidRPr="008575C9">
        <w:rPr>
          <w:rFonts w:ascii="Arial" w:eastAsia="MS PGothic" w:hAnsi="Arial" w:cs="Times New Roman"/>
          <w:color w:val="000000"/>
          <w:sz w:val="20"/>
          <w:szCs w:val="48"/>
        </w:rPr>
        <w:t>sudarė</w:t>
      </w:r>
      <w:r w:rsidR="008575C9" w:rsidRPr="008575C9">
        <w:rPr>
          <w:rFonts w:ascii="Arial" w:eastAsia="MS PGothic" w:hAnsi="Arial" w:cs="Times New Roman"/>
          <w:color w:val="000000"/>
          <w:sz w:val="20"/>
          <w:szCs w:val="48"/>
        </w:rPr>
        <w:t xml:space="preserve"> vos</w:t>
      </w:r>
      <w:r w:rsidR="00D271D7" w:rsidRPr="008575C9">
        <w:rPr>
          <w:rFonts w:ascii="Arial" w:eastAsia="MS PGothic" w:hAnsi="Arial" w:cs="Times New Roman"/>
          <w:color w:val="000000"/>
          <w:sz w:val="20"/>
          <w:szCs w:val="48"/>
        </w:rPr>
        <w:t xml:space="preserve"> 6</w:t>
      </w:r>
      <w:r w:rsidR="000D5BA5" w:rsidRPr="008575C9">
        <w:rPr>
          <w:rFonts w:ascii="Arial" w:eastAsia="MS PGothic" w:hAnsi="Arial" w:cs="Times New Roman"/>
          <w:color w:val="000000"/>
          <w:sz w:val="20"/>
          <w:szCs w:val="48"/>
        </w:rPr>
        <w:t xml:space="preserve"> proc. </w:t>
      </w:r>
      <w:r w:rsidR="00C144CE" w:rsidRPr="008575C9">
        <w:rPr>
          <w:rFonts w:ascii="Arial" w:eastAsia="MS PGothic" w:hAnsi="Arial" w:cs="Times New Roman"/>
          <w:color w:val="000000"/>
          <w:sz w:val="20"/>
          <w:szCs w:val="48"/>
        </w:rPr>
        <w:t>Nagrinėjant projektų skaičių, matoma, kad ŽIPVP ap</w:t>
      </w:r>
      <w:r w:rsidR="00D271D7" w:rsidRPr="008575C9">
        <w:rPr>
          <w:rFonts w:ascii="Arial" w:eastAsia="MS PGothic" w:hAnsi="Arial" w:cs="Times New Roman"/>
          <w:color w:val="000000"/>
          <w:sz w:val="20"/>
          <w:szCs w:val="48"/>
        </w:rPr>
        <w:t>imtyje buvo įgyvendinta daug (19</w:t>
      </w:r>
      <w:r w:rsidR="00264515" w:rsidRPr="008575C9">
        <w:rPr>
          <w:rFonts w:ascii="Arial" w:eastAsia="MS PGothic" w:hAnsi="Arial" w:cs="Times New Roman"/>
          <w:color w:val="000000"/>
          <w:sz w:val="20"/>
          <w:szCs w:val="48"/>
        </w:rPr>
        <w:t xml:space="preserve"> projektų</w:t>
      </w:r>
      <w:r w:rsidR="00C144CE" w:rsidRPr="008575C9">
        <w:rPr>
          <w:rFonts w:ascii="Arial" w:eastAsia="MS PGothic" w:hAnsi="Arial" w:cs="Times New Roman"/>
          <w:color w:val="000000"/>
          <w:sz w:val="20"/>
          <w:szCs w:val="48"/>
        </w:rPr>
        <w:t xml:space="preserve">) mažos vertės projektų, </w:t>
      </w:r>
      <w:r w:rsidR="00CF323C" w:rsidRPr="008575C9">
        <w:rPr>
          <w:rFonts w:ascii="Arial" w:eastAsia="MS PGothic" w:hAnsi="Arial" w:cs="Times New Roman"/>
          <w:color w:val="000000"/>
          <w:sz w:val="20"/>
          <w:szCs w:val="48"/>
        </w:rPr>
        <w:t xml:space="preserve">EAVP – </w:t>
      </w:r>
      <w:r w:rsidR="008575C9" w:rsidRPr="008575C9">
        <w:rPr>
          <w:rFonts w:ascii="Arial" w:eastAsia="MS PGothic" w:hAnsi="Arial" w:cs="Times New Roman"/>
          <w:color w:val="000000"/>
          <w:sz w:val="20"/>
          <w:szCs w:val="48"/>
        </w:rPr>
        <w:t>daug vidutinės vertės projektų</w:t>
      </w:r>
      <w:r w:rsidR="00CF323C" w:rsidRPr="008575C9">
        <w:rPr>
          <w:rFonts w:ascii="Arial" w:eastAsia="MS PGothic" w:hAnsi="Arial" w:cs="Times New Roman"/>
          <w:color w:val="000000"/>
          <w:sz w:val="20"/>
          <w:szCs w:val="48"/>
        </w:rPr>
        <w:t xml:space="preserve"> (</w:t>
      </w:r>
      <w:r w:rsidR="00D271D7" w:rsidRPr="008575C9">
        <w:rPr>
          <w:rFonts w:ascii="Arial" w:eastAsia="MS PGothic" w:hAnsi="Arial" w:cs="Times New Roman"/>
          <w:color w:val="000000"/>
          <w:sz w:val="20"/>
          <w:szCs w:val="48"/>
        </w:rPr>
        <w:t>21</w:t>
      </w:r>
      <w:r w:rsidR="008575C9" w:rsidRPr="008575C9">
        <w:rPr>
          <w:rFonts w:ascii="Arial" w:eastAsia="MS PGothic" w:hAnsi="Arial" w:cs="Times New Roman"/>
          <w:color w:val="000000"/>
          <w:sz w:val="20"/>
          <w:szCs w:val="48"/>
        </w:rPr>
        <w:t xml:space="preserve"> projektas</w:t>
      </w:r>
      <w:r w:rsidR="00C144CE" w:rsidRPr="008575C9">
        <w:rPr>
          <w:rFonts w:ascii="Arial" w:eastAsia="MS PGothic" w:hAnsi="Arial" w:cs="Times New Roman"/>
          <w:color w:val="000000"/>
          <w:sz w:val="20"/>
          <w:szCs w:val="48"/>
        </w:rPr>
        <w:t>). SSVP projektų skaičius</w:t>
      </w:r>
      <w:r w:rsidR="00D271D7" w:rsidRPr="008575C9">
        <w:rPr>
          <w:rFonts w:ascii="Arial" w:eastAsia="MS PGothic" w:hAnsi="Arial" w:cs="Times New Roman"/>
          <w:color w:val="000000"/>
          <w:sz w:val="20"/>
          <w:szCs w:val="48"/>
        </w:rPr>
        <w:t xml:space="preserve"> atitiko skirtą finansavimą – 52</w:t>
      </w:r>
      <w:r w:rsidR="00C144CE" w:rsidRPr="008575C9">
        <w:rPr>
          <w:rFonts w:ascii="Arial" w:eastAsia="MS PGothic" w:hAnsi="Arial" w:cs="Times New Roman"/>
          <w:color w:val="000000"/>
          <w:sz w:val="20"/>
          <w:szCs w:val="48"/>
        </w:rPr>
        <w:t xml:space="preserve"> projektai.</w:t>
      </w:r>
    </w:p>
    <w:p w:rsidR="0020781B" w:rsidRPr="008575C9" w:rsidRDefault="00D65C3C" w:rsidP="0020781B">
      <w:pPr>
        <w:pStyle w:val="Caption"/>
        <w:keepNext/>
      </w:pPr>
      <w:r w:rsidRPr="008575C9">
        <w:rPr>
          <w:noProof/>
          <w:lang w:val="en-US"/>
        </w:rPr>
        <w:drawing>
          <wp:anchor distT="0" distB="0" distL="114300" distR="114300" simplePos="0" relativeHeight="251671552" behindDoc="0" locked="0" layoutInCell="1" allowOverlap="1" wp14:anchorId="4C163F33" wp14:editId="0C835CCD">
            <wp:simplePos x="0" y="0"/>
            <wp:positionH relativeFrom="margin">
              <wp:posOffset>53975</wp:posOffset>
            </wp:positionH>
            <wp:positionV relativeFrom="paragraph">
              <wp:posOffset>393065</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0781B" w:rsidRPr="008575C9">
        <w:fldChar w:fldCharType="begin"/>
      </w:r>
      <w:r w:rsidR="0020781B" w:rsidRPr="008575C9">
        <w:instrText xml:space="preserve"> SEQ paveikslas \* ARABIC </w:instrText>
      </w:r>
      <w:r w:rsidR="0020781B" w:rsidRPr="008575C9">
        <w:fldChar w:fldCharType="separate"/>
      </w:r>
      <w:r w:rsidR="008A1509" w:rsidRPr="008575C9">
        <w:t>1</w:t>
      </w:r>
      <w:r w:rsidR="0020781B" w:rsidRPr="008575C9">
        <w:fldChar w:fldCharType="end"/>
      </w:r>
      <w:r w:rsidR="0020781B" w:rsidRPr="008575C9">
        <w:t xml:space="preserve"> paveikslas. Veiksmų</w:t>
      </w:r>
      <w:r w:rsidR="000D5BA5" w:rsidRPr="008575C9">
        <w:t xml:space="preserve"> programų finansavimas (dalis bendros projektų vertės</w:t>
      </w:r>
      <w:r w:rsidR="00326A1B" w:rsidRPr="008575C9">
        <w:t>)</w:t>
      </w:r>
      <w:r w:rsidR="0020781B" w:rsidRPr="008575C9">
        <w:t xml:space="preserve"> </w:t>
      </w:r>
    </w:p>
    <w:p w:rsidR="00D65C3C" w:rsidRPr="008575C9" w:rsidRDefault="00D65C3C" w:rsidP="00A552B8">
      <w:pPr>
        <w:pStyle w:val="Caption"/>
        <w:spacing w:before="240"/>
        <w:rPr>
          <w:b w:val="0"/>
        </w:rPr>
      </w:pPr>
    </w:p>
    <w:p w:rsidR="00D65C3C" w:rsidRPr="008575C9" w:rsidRDefault="00D65C3C" w:rsidP="00A552B8">
      <w:pPr>
        <w:pStyle w:val="Caption"/>
        <w:spacing w:before="240"/>
        <w:rPr>
          <w:b w:val="0"/>
        </w:rPr>
      </w:pPr>
    </w:p>
    <w:p w:rsidR="00D65C3C" w:rsidRPr="008575C9" w:rsidRDefault="00D65C3C" w:rsidP="00A552B8">
      <w:pPr>
        <w:pStyle w:val="Caption"/>
        <w:spacing w:before="240"/>
        <w:rPr>
          <w:b w:val="0"/>
        </w:rPr>
      </w:pPr>
    </w:p>
    <w:p w:rsidR="00D65C3C" w:rsidRPr="008575C9" w:rsidRDefault="00D65C3C" w:rsidP="00A552B8">
      <w:pPr>
        <w:pStyle w:val="Caption"/>
        <w:spacing w:before="240"/>
        <w:rPr>
          <w:b w:val="0"/>
        </w:rPr>
      </w:pPr>
    </w:p>
    <w:p w:rsidR="00D65C3C" w:rsidRPr="008575C9" w:rsidRDefault="00D65C3C" w:rsidP="00A552B8">
      <w:pPr>
        <w:pStyle w:val="Caption"/>
        <w:spacing w:before="240"/>
        <w:rPr>
          <w:b w:val="0"/>
        </w:rPr>
      </w:pPr>
    </w:p>
    <w:p w:rsidR="00D65C3C" w:rsidRPr="008575C9" w:rsidRDefault="00D65C3C" w:rsidP="00A552B8">
      <w:pPr>
        <w:pStyle w:val="Caption"/>
        <w:spacing w:before="240"/>
        <w:rPr>
          <w:b w:val="0"/>
        </w:rPr>
      </w:pPr>
    </w:p>
    <w:p w:rsidR="00D65C3C" w:rsidRPr="008575C9" w:rsidRDefault="00D65C3C" w:rsidP="00A552B8">
      <w:pPr>
        <w:pStyle w:val="Caption"/>
        <w:spacing w:before="240"/>
        <w:rPr>
          <w:b w:val="0"/>
        </w:rPr>
      </w:pPr>
    </w:p>
    <w:p w:rsidR="00D65C3C" w:rsidRPr="008575C9" w:rsidRDefault="00D65C3C" w:rsidP="00D65C3C">
      <w:pPr>
        <w:pStyle w:val="Caption"/>
        <w:spacing w:after="0"/>
        <w:rPr>
          <w:b w:val="0"/>
        </w:rPr>
      </w:pPr>
    </w:p>
    <w:p w:rsidR="00647F70" w:rsidRDefault="00647F70" w:rsidP="00D65C3C">
      <w:pPr>
        <w:pStyle w:val="Caption"/>
        <w:spacing w:before="120"/>
        <w:rPr>
          <w:b w:val="0"/>
        </w:rPr>
      </w:pPr>
    </w:p>
    <w:p w:rsidR="005577BB" w:rsidRPr="008575C9" w:rsidRDefault="005577BB" w:rsidP="00D65C3C">
      <w:pPr>
        <w:pStyle w:val="Caption"/>
        <w:spacing w:before="120"/>
        <w:rPr>
          <w:b w:val="0"/>
        </w:rPr>
      </w:pPr>
      <w:r w:rsidRPr="008575C9">
        <w:rPr>
          <w:b w:val="0"/>
        </w:rPr>
        <w:t xml:space="preserve">Šaltinis: </w:t>
      </w:r>
      <w:r w:rsidR="00DD6704">
        <w:fldChar w:fldCharType="begin"/>
      </w:r>
      <w:r w:rsidR="00DD6704">
        <w:instrText xml:space="preserve"> HYPERLINK "http://www.esparama.lt" </w:instrText>
      </w:r>
      <w:r w:rsidR="00DD6704">
        <w:fldChar w:fldCharType="separate"/>
      </w:r>
      <w:r w:rsidR="009D7299" w:rsidRPr="008575C9">
        <w:rPr>
          <w:rStyle w:val="Hyperlink"/>
          <w:b w:val="0"/>
        </w:rPr>
        <w:t>www.esparama.lt</w:t>
      </w:r>
      <w:r w:rsidR="00DD6704">
        <w:rPr>
          <w:rStyle w:val="Hyperlink"/>
          <w:b w:val="0"/>
        </w:rPr>
        <w:fldChar w:fldCharType="end"/>
      </w:r>
    </w:p>
    <w:p w:rsidR="00C83C6E" w:rsidRPr="008575C9" w:rsidRDefault="002677E8" w:rsidP="000C024B">
      <w:pPr>
        <w:jc w:val="both"/>
        <w:rPr>
          <w:rFonts w:ascii="Arial" w:hAnsi="Arial" w:cs="Arial"/>
          <w:sz w:val="20"/>
        </w:rPr>
      </w:pPr>
      <w:r w:rsidRPr="008575C9">
        <w:rPr>
          <w:rFonts w:ascii="Arial" w:hAnsi="Arial" w:cs="Arial"/>
          <w:sz w:val="20"/>
        </w:rPr>
        <w:t xml:space="preserve">Analizuojant veiksmų </w:t>
      </w:r>
      <w:r w:rsidR="000534F9" w:rsidRPr="008575C9">
        <w:rPr>
          <w:rFonts w:ascii="Arial" w:hAnsi="Arial" w:cs="Arial"/>
          <w:sz w:val="20"/>
        </w:rPr>
        <w:t>programų prioritetų</w:t>
      </w:r>
      <w:r w:rsidRPr="008575C9">
        <w:rPr>
          <w:rFonts w:ascii="Arial" w:hAnsi="Arial" w:cs="Arial"/>
          <w:sz w:val="20"/>
        </w:rPr>
        <w:t xml:space="preserve"> finansavimą</w:t>
      </w:r>
      <w:r w:rsidR="003D195A" w:rsidRPr="008575C9">
        <w:rPr>
          <w:rFonts w:ascii="Arial" w:hAnsi="Arial" w:cs="Arial"/>
          <w:sz w:val="20"/>
        </w:rPr>
        <w:t>,</w:t>
      </w:r>
      <w:r w:rsidR="00647F70">
        <w:rPr>
          <w:rFonts w:ascii="Arial" w:hAnsi="Arial" w:cs="Arial"/>
          <w:sz w:val="20"/>
        </w:rPr>
        <w:t xml:space="preserve"> ŽIPVP apimtyje ES finansavimas</w:t>
      </w:r>
      <w:r w:rsidR="00C83C6E" w:rsidRPr="008575C9">
        <w:rPr>
          <w:rFonts w:ascii="Arial" w:hAnsi="Arial" w:cs="Arial"/>
          <w:sz w:val="20"/>
        </w:rPr>
        <w:t xml:space="preserve"> </w:t>
      </w:r>
      <w:r w:rsidR="003B6A83" w:rsidRPr="008575C9">
        <w:rPr>
          <w:rFonts w:ascii="Arial" w:hAnsi="Arial" w:cs="Arial"/>
          <w:sz w:val="20"/>
        </w:rPr>
        <w:t>buvo skirta</w:t>
      </w:r>
      <w:r w:rsidR="00647F70">
        <w:rPr>
          <w:rFonts w:ascii="Arial" w:hAnsi="Arial" w:cs="Arial"/>
          <w:sz w:val="20"/>
        </w:rPr>
        <w:t>s</w:t>
      </w:r>
      <w:r w:rsidR="00C83C6E" w:rsidRPr="008575C9">
        <w:rPr>
          <w:rFonts w:ascii="Arial" w:hAnsi="Arial" w:cs="Arial"/>
          <w:sz w:val="20"/>
        </w:rPr>
        <w:t xml:space="preserve"> prioritetų „1 Prioritetas. Kokybiškas užimtumas ir socialinė aprėptis</w:t>
      </w:r>
      <w:r w:rsidR="003B6A83" w:rsidRPr="008575C9">
        <w:rPr>
          <w:rFonts w:ascii="Arial" w:hAnsi="Arial" w:cs="Arial"/>
          <w:sz w:val="20"/>
        </w:rPr>
        <w:t>“</w:t>
      </w:r>
      <w:r w:rsidR="008575C9" w:rsidRPr="008575C9">
        <w:rPr>
          <w:rFonts w:ascii="Arial" w:hAnsi="Arial" w:cs="Arial"/>
          <w:sz w:val="20"/>
        </w:rPr>
        <w:t>, „2 Prioritetas. Mokymasis visą gyvenimą“</w:t>
      </w:r>
      <w:r w:rsidR="003B6A83" w:rsidRPr="008575C9">
        <w:rPr>
          <w:rFonts w:ascii="Arial" w:hAnsi="Arial" w:cs="Arial"/>
          <w:sz w:val="20"/>
        </w:rPr>
        <w:t xml:space="preserve"> </w:t>
      </w:r>
      <w:r w:rsidR="00C83C6E" w:rsidRPr="008575C9">
        <w:rPr>
          <w:rFonts w:ascii="Arial" w:hAnsi="Arial" w:cs="Arial"/>
          <w:sz w:val="20"/>
        </w:rPr>
        <w:t>ir „4 Prioritetas. Administracinių gebėjimų stiprinimas ir viešojo administravimo efektyvumo didinima</w:t>
      </w:r>
      <w:r w:rsidR="00647F70">
        <w:rPr>
          <w:rFonts w:ascii="Arial" w:hAnsi="Arial" w:cs="Arial"/>
          <w:sz w:val="20"/>
        </w:rPr>
        <w:t>s“ projektams</w:t>
      </w:r>
      <w:r w:rsidR="0005613F" w:rsidRPr="008575C9">
        <w:rPr>
          <w:rFonts w:ascii="Arial" w:hAnsi="Arial" w:cs="Arial"/>
          <w:sz w:val="20"/>
        </w:rPr>
        <w:t>. EAVP apimtyje –</w:t>
      </w:r>
      <w:r w:rsidR="00955E14" w:rsidRPr="008575C9">
        <w:rPr>
          <w:rFonts w:ascii="Arial" w:hAnsi="Arial" w:cs="Arial"/>
          <w:sz w:val="20"/>
        </w:rPr>
        <w:t xml:space="preserve"> </w:t>
      </w:r>
      <w:r w:rsidR="003B6A83" w:rsidRPr="008575C9">
        <w:rPr>
          <w:rFonts w:ascii="Arial" w:hAnsi="Arial" w:cs="Arial"/>
          <w:sz w:val="20"/>
        </w:rPr>
        <w:t xml:space="preserve"> </w:t>
      </w:r>
      <w:r w:rsidR="008575C9" w:rsidRPr="008575C9">
        <w:rPr>
          <w:rFonts w:ascii="Arial" w:hAnsi="Arial" w:cs="Arial"/>
          <w:sz w:val="20"/>
        </w:rPr>
        <w:t>„1 Prioriteto.</w:t>
      </w:r>
      <w:r w:rsidR="008575C9">
        <w:rPr>
          <w:rFonts w:ascii="Arial" w:hAnsi="Arial" w:cs="Arial"/>
          <w:sz w:val="20"/>
        </w:rPr>
        <w:t xml:space="preserve"> </w:t>
      </w:r>
      <w:r w:rsidR="008575C9" w:rsidRPr="008575C9">
        <w:rPr>
          <w:rFonts w:ascii="Arial" w:hAnsi="Arial" w:cs="Arial"/>
          <w:sz w:val="20"/>
        </w:rPr>
        <w:t>Ūkio konkurencingumui ir ekonomikos augimui skirti moksliniai tyrimai ir technologinė plėtra</w:t>
      </w:r>
      <w:r w:rsidR="008575C9">
        <w:rPr>
          <w:rFonts w:ascii="Arial" w:hAnsi="Arial" w:cs="Arial"/>
          <w:sz w:val="20"/>
        </w:rPr>
        <w:t xml:space="preserve">“, </w:t>
      </w:r>
      <w:r w:rsidR="008575C9" w:rsidRPr="008575C9">
        <w:rPr>
          <w:rFonts w:ascii="Arial" w:hAnsi="Arial" w:cs="Arial"/>
          <w:sz w:val="20"/>
        </w:rPr>
        <w:t xml:space="preserve"> </w:t>
      </w:r>
      <w:r w:rsidR="008575C9">
        <w:rPr>
          <w:rFonts w:ascii="Arial" w:hAnsi="Arial" w:cs="Arial"/>
          <w:sz w:val="20"/>
        </w:rPr>
        <w:t>„</w:t>
      </w:r>
      <w:r w:rsidR="008575C9" w:rsidRPr="008575C9">
        <w:rPr>
          <w:rFonts w:ascii="Arial" w:hAnsi="Arial" w:cs="Arial"/>
          <w:sz w:val="20"/>
        </w:rPr>
        <w:t>2</w:t>
      </w:r>
      <w:r w:rsidR="008575C9">
        <w:rPr>
          <w:rFonts w:ascii="Arial" w:hAnsi="Arial" w:cs="Arial"/>
          <w:sz w:val="20"/>
        </w:rPr>
        <w:t xml:space="preserve"> Prioriteto. </w:t>
      </w:r>
      <w:r w:rsidR="008575C9" w:rsidRPr="008575C9">
        <w:rPr>
          <w:rFonts w:ascii="Arial" w:hAnsi="Arial" w:cs="Arial"/>
          <w:sz w:val="20"/>
        </w:rPr>
        <w:t>Verslo produktyvumo didinimas ir verslo aplinkos gerinimas</w:t>
      </w:r>
      <w:r w:rsidR="008575C9">
        <w:rPr>
          <w:rFonts w:ascii="Arial" w:hAnsi="Arial" w:cs="Arial"/>
          <w:sz w:val="20"/>
        </w:rPr>
        <w:t>“,</w:t>
      </w:r>
      <w:r w:rsidR="008575C9" w:rsidRPr="008575C9">
        <w:rPr>
          <w:rFonts w:ascii="Arial" w:hAnsi="Arial" w:cs="Arial"/>
          <w:sz w:val="20"/>
        </w:rPr>
        <w:t xml:space="preserve"> </w:t>
      </w:r>
      <w:r w:rsidR="003B6A83" w:rsidRPr="008575C9">
        <w:rPr>
          <w:rFonts w:ascii="Arial" w:hAnsi="Arial" w:cs="Arial"/>
          <w:sz w:val="20"/>
        </w:rPr>
        <w:t>„3</w:t>
      </w:r>
      <w:r w:rsidR="00C83C6E" w:rsidRPr="008575C9">
        <w:rPr>
          <w:rFonts w:ascii="Arial" w:hAnsi="Arial" w:cs="Arial"/>
          <w:sz w:val="20"/>
        </w:rPr>
        <w:t xml:space="preserve"> Prioriteto.</w:t>
      </w:r>
      <w:r w:rsidR="0005613F" w:rsidRPr="008575C9">
        <w:t xml:space="preserve"> </w:t>
      </w:r>
      <w:r w:rsidR="003B6A83" w:rsidRPr="008575C9">
        <w:rPr>
          <w:rFonts w:ascii="Arial" w:hAnsi="Arial" w:cs="Arial"/>
          <w:sz w:val="20"/>
        </w:rPr>
        <w:t>Informacinė visuomenė visiems</w:t>
      </w:r>
      <w:r w:rsidR="00C83C6E" w:rsidRPr="008575C9">
        <w:rPr>
          <w:rFonts w:ascii="Arial" w:hAnsi="Arial" w:cs="Arial"/>
          <w:sz w:val="20"/>
        </w:rPr>
        <w:t>“</w:t>
      </w:r>
      <w:r w:rsidR="003B6A83" w:rsidRPr="008575C9">
        <w:rPr>
          <w:rFonts w:ascii="Arial" w:hAnsi="Arial" w:cs="Arial"/>
          <w:sz w:val="20"/>
        </w:rPr>
        <w:t xml:space="preserve"> ir</w:t>
      </w:r>
      <w:r w:rsidR="00955E14" w:rsidRPr="008575C9">
        <w:rPr>
          <w:rFonts w:ascii="Arial" w:hAnsi="Arial" w:cs="Arial"/>
          <w:sz w:val="20"/>
        </w:rPr>
        <w:t xml:space="preserve"> </w:t>
      </w:r>
      <w:r w:rsidR="0005613F" w:rsidRPr="008575C9">
        <w:rPr>
          <w:rFonts w:ascii="Arial" w:hAnsi="Arial" w:cs="Arial"/>
          <w:sz w:val="20"/>
        </w:rPr>
        <w:t>„4 Prioriteto. Esminė ekonominė infrastruktūra“</w:t>
      </w:r>
      <w:r w:rsidR="00332F7B" w:rsidRPr="008575C9">
        <w:rPr>
          <w:rFonts w:ascii="Arial" w:hAnsi="Arial" w:cs="Arial"/>
          <w:sz w:val="20"/>
        </w:rPr>
        <w:t xml:space="preserve"> </w:t>
      </w:r>
      <w:r w:rsidR="00647F70">
        <w:rPr>
          <w:rFonts w:ascii="Arial" w:hAnsi="Arial" w:cs="Arial"/>
          <w:sz w:val="20"/>
        </w:rPr>
        <w:t>projektams</w:t>
      </w:r>
      <w:r w:rsidR="00C83C6E" w:rsidRPr="008575C9">
        <w:rPr>
          <w:rFonts w:ascii="Arial" w:hAnsi="Arial" w:cs="Arial"/>
          <w:sz w:val="20"/>
        </w:rPr>
        <w:t xml:space="preserve">. SSVP apimtyje – „1 Prioriteto. Vietinė ir urbanistinė </w:t>
      </w:r>
      <w:r w:rsidR="00C83C6E" w:rsidRPr="008575C9">
        <w:rPr>
          <w:rFonts w:ascii="Arial" w:hAnsi="Arial" w:cs="Arial"/>
          <w:sz w:val="20"/>
        </w:rPr>
        <w:lastRenderedPageBreak/>
        <w:t>plėtra, kultūros paveldo ir gamtos išsaugojimas bei pritaikymas turizmo plėtrai“, „2 Prioriteto. Viešųjų paslaugų kokybė ir prieinamumas: sveikatos, švietimo ir socialinė infrastruktūra“ ir „3 Prioriteto. Aplinka</w:t>
      </w:r>
      <w:r w:rsidR="00647F70">
        <w:rPr>
          <w:rFonts w:ascii="Arial" w:hAnsi="Arial" w:cs="Arial"/>
          <w:sz w:val="20"/>
        </w:rPr>
        <w:t xml:space="preserve"> ir darnus vystymasis“ projektams</w:t>
      </w:r>
      <w:r w:rsidR="00C83C6E" w:rsidRPr="008575C9">
        <w:rPr>
          <w:rFonts w:ascii="Arial" w:hAnsi="Arial" w:cs="Arial"/>
          <w:sz w:val="20"/>
        </w:rPr>
        <w:t>. Taigi investuojama buvo į užimtumo didinimą,</w:t>
      </w:r>
      <w:r w:rsidR="003B6A83" w:rsidRPr="008575C9">
        <w:rPr>
          <w:rFonts w:ascii="Arial" w:hAnsi="Arial" w:cs="Arial"/>
          <w:sz w:val="20"/>
        </w:rPr>
        <w:t xml:space="preserve"> </w:t>
      </w:r>
      <w:r w:rsidR="008575C9">
        <w:rPr>
          <w:rFonts w:ascii="Arial" w:hAnsi="Arial" w:cs="Arial"/>
          <w:sz w:val="20"/>
        </w:rPr>
        <w:t xml:space="preserve">švietimą, </w:t>
      </w:r>
      <w:r w:rsidR="00C83C6E" w:rsidRPr="008575C9">
        <w:rPr>
          <w:rFonts w:ascii="Arial" w:hAnsi="Arial" w:cs="Arial"/>
          <w:sz w:val="20"/>
        </w:rPr>
        <w:t>viešojo valdymo tobulinimą,</w:t>
      </w:r>
      <w:r w:rsidR="008575C9">
        <w:rPr>
          <w:rFonts w:ascii="Arial" w:hAnsi="Arial" w:cs="Arial"/>
          <w:sz w:val="20"/>
        </w:rPr>
        <w:t xml:space="preserve"> verslo subjektų eksporto plėtrą, produktyvumo didinimą,</w:t>
      </w:r>
      <w:r w:rsidR="00E805EC" w:rsidRPr="008575C9">
        <w:rPr>
          <w:rFonts w:ascii="Arial" w:hAnsi="Arial" w:cs="Arial"/>
          <w:sz w:val="20"/>
        </w:rPr>
        <w:t xml:space="preserve"> </w:t>
      </w:r>
      <w:r w:rsidR="003B6A83" w:rsidRPr="008575C9">
        <w:rPr>
          <w:rFonts w:ascii="Arial" w:hAnsi="Arial" w:cs="Arial"/>
          <w:sz w:val="20"/>
        </w:rPr>
        <w:t xml:space="preserve">informacinės visuomenės plėtrą, </w:t>
      </w:r>
      <w:r w:rsidR="00C83C6E" w:rsidRPr="008575C9">
        <w:rPr>
          <w:rFonts w:ascii="Arial" w:hAnsi="Arial" w:cs="Arial"/>
          <w:sz w:val="20"/>
        </w:rPr>
        <w:t xml:space="preserve">miestų plėtrą ir paveldo išsaugojimo, viešųjų paslaugų kokybę ir aplinkosaugą. Daugiausiai buvo investuojama į gamybinį kapitalą; didžioji dalis investicijų įgyvendintos pasitelkiant vertikaliai darnaus vystymosi horizontalų prioritetą integruojančias priemones. </w:t>
      </w:r>
    </w:p>
    <w:p w:rsidR="003B6A9C" w:rsidRPr="008575C9" w:rsidRDefault="00647F70" w:rsidP="003B6A9C">
      <w:pPr>
        <w:pStyle w:val="Caption"/>
        <w:keepNext/>
      </w:pPr>
      <w:r w:rsidRPr="008575C9">
        <w:rPr>
          <w:rFonts w:cs="Arial"/>
          <w:noProof/>
          <w:sz w:val="20"/>
          <w:lang w:val="en-US"/>
        </w:rPr>
        <w:drawing>
          <wp:anchor distT="0" distB="0" distL="114300" distR="114300" simplePos="0" relativeHeight="251672576" behindDoc="0" locked="0" layoutInCell="1" allowOverlap="1" wp14:anchorId="66F0367E" wp14:editId="28676228">
            <wp:simplePos x="0" y="0"/>
            <wp:positionH relativeFrom="margin">
              <wp:posOffset>-34925</wp:posOffset>
            </wp:positionH>
            <wp:positionV relativeFrom="paragraph">
              <wp:posOffset>318770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3B6A9C" w:rsidRPr="008575C9">
        <w:fldChar w:fldCharType="begin"/>
      </w:r>
      <w:r w:rsidR="003B6A9C" w:rsidRPr="008575C9">
        <w:instrText xml:space="preserve"> SEQ paveikslas \* ARABIC </w:instrText>
      </w:r>
      <w:r w:rsidR="003B6A9C" w:rsidRPr="008575C9">
        <w:fldChar w:fldCharType="separate"/>
      </w:r>
      <w:r w:rsidR="00E41636" w:rsidRPr="008575C9">
        <w:t>2</w:t>
      </w:r>
      <w:r w:rsidR="003B6A9C" w:rsidRPr="008575C9">
        <w:fldChar w:fldCharType="end"/>
      </w:r>
      <w:r w:rsidR="003B6A9C" w:rsidRPr="008575C9">
        <w:t xml:space="preserve"> paveikslas. Veiksmų programų prioritetų finansavimas (</w:t>
      </w:r>
      <w:r w:rsidR="00C849C4" w:rsidRPr="008575C9">
        <w:t>dalis nuo visos VP)</w:t>
      </w:r>
    </w:p>
    <w:p w:rsidR="009D7299" w:rsidRPr="008575C9" w:rsidRDefault="009D7299" w:rsidP="000C024B">
      <w:pPr>
        <w:jc w:val="both"/>
        <w:rPr>
          <w:rFonts w:ascii="Arial" w:hAnsi="Arial" w:cs="Arial"/>
          <w:sz w:val="20"/>
        </w:rPr>
      </w:pPr>
    </w:p>
    <w:p w:rsidR="002677E8" w:rsidRPr="008575C9" w:rsidRDefault="002677E8" w:rsidP="00A552B8">
      <w:pPr>
        <w:pStyle w:val="Caption"/>
        <w:spacing w:before="240"/>
        <w:rPr>
          <w:b w:val="0"/>
        </w:rPr>
      </w:pPr>
    </w:p>
    <w:p w:rsidR="00647F70" w:rsidRDefault="00647F70" w:rsidP="00FF20FA">
      <w:pPr>
        <w:pStyle w:val="Caption"/>
        <w:spacing w:before="240"/>
        <w:rPr>
          <w:b w:val="0"/>
        </w:rPr>
      </w:pPr>
    </w:p>
    <w:p w:rsidR="00647F70" w:rsidRDefault="00647F70" w:rsidP="00FF20FA">
      <w:pPr>
        <w:pStyle w:val="Caption"/>
        <w:spacing w:before="240"/>
        <w:rPr>
          <w:b w:val="0"/>
        </w:rPr>
      </w:pPr>
    </w:p>
    <w:p w:rsidR="00647F70" w:rsidRDefault="00647F70" w:rsidP="00FF20FA">
      <w:pPr>
        <w:pStyle w:val="Caption"/>
        <w:spacing w:before="240"/>
        <w:rPr>
          <w:b w:val="0"/>
        </w:rPr>
      </w:pPr>
    </w:p>
    <w:p w:rsidR="00647F70" w:rsidRDefault="00647F70" w:rsidP="00FF20FA">
      <w:pPr>
        <w:pStyle w:val="Caption"/>
        <w:spacing w:before="240"/>
        <w:rPr>
          <w:b w:val="0"/>
        </w:rPr>
      </w:pPr>
    </w:p>
    <w:p w:rsidR="00647F70" w:rsidRDefault="00647F70" w:rsidP="00FF20FA">
      <w:pPr>
        <w:pStyle w:val="Caption"/>
        <w:spacing w:before="240"/>
        <w:rPr>
          <w:b w:val="0"/>
        </w:rPr>
      </w:pPr>
    </w:p>
    <w:p w:rsidR="00A2570C" w:rsidRPr="008575C9" w:rsidRDefault="00761250" w:rsidP="00FF20FA">
      <w:pPr>
        <w:pStyle w:val="Caption"/>
        <w:spacing w:before="240"/>
        <w:rPr>
          <w:b w:val="0"/>
        </w:rPr>
      </w:pPr>
      <w:r w:rsidRPr="008575C9">
        <w:rPr>
          <w:b w:val="0"/>
        </w:rPr>
        <w:t xml:space="preserve">Šaltinis: </w:t>
      </w:r>
      <w:r w:rsidR="00DD6704">
        <w:fldChar w:fldCharType="begin"/>
      </w:r>
      <w:r w:rsidR="00DD6704">
        <w:instrText xml:space="preserve"> HYPERLINK "http://www.esparama.lt" </w:instrText>
      </w:r>
      <w:r w:rsidR="00DD6704">
        <w:fldChar w:fldCharType="separate"/>
      </w:r>
      <w:r w:rsidR="00FF20FA" w:rsidRPr="008575C9">
        <w:rPr>
          <w:rStyle w:val="Hyperlink"/>
          <w:b w:val="0"/>
        </w:rPr>
        <w:t>www.esparama.lt</w:t>
      </w:r>
      <w:r w:rsidR="00DD6704">
        <w:rPr>
          <w:rStyle w:val="Hyperlink"/>
          <w:b w:val="0"/>
        </w:rPr>
        <w:fldChar w:fldCharType="end"/>
      </w:r>
    </w:p>
    <w:p w:rsidR="00FF20FA" w:rsidRPr="008575C9" w:rsidRDefault="00FF20FA" w:rsidP="00FF20FA">
      <w:pPr>
        <w:jc w:val="both"/>
        <w:rPr>
          <w:rFonts w:ascii="Arial" w:eastAsia="MS PGothic" w:hAnsi="Arial" w:cs="Times New Roman"/>
          <w:sz w:val="20"/>
          <w:szCs w:val="24"/>
        </w:rPr>
      </w:pPr>
      <w:r w:rsidRPr="008575C9">
        <w:rPr>
          <w:rFonts w:ascii="Arial" w:eastAsia="MS PGothic" w:hAnsi="Arial" w:cs="Times New Roman"/>
          <w:sz w:val="20"/>
          <w:szCs w:val="24"/>
        </w:rPr>
        <w:t>Atlikus įgyvendintų projektų analizę, nustatyta, kad ŽIPVP 1</w:t>
      </w:r>
      <w:r w:rsidR="008575C9">
        <w:rPr>
          <w:rFonts w:ascii="Arial" w:eastAsia="MS PGothic" w:hAnsi="Arial" w:cs="Times New Roman"/>
          <w:sz w:val="20"/>
          <w:szCs w:val="24"/>
        </w:rPr>
        <w:t xml:space="preserve"> </w:t>
      </w:r>
      <w:proofErr w:type="spellStart"/>
      <w:r w:rsidR="008575C9">
        <w:rPr>
          <w:rFonts w:ascii="Arial" w:eastAsia="MS PGothic" w:hAnsi="Arial" w:cs="Times New Roman"/>
          <w:sz w:val="20"/>
          <w:szCs w:val="24"/>
          <w:lang w:val="en-US"/>
        </w:rPr>
        <w:t>ir</w:t>
      </w:r>
      <w:proofErr w:type="spellEnd"/>
      <w:r w:rsidR="008575C9">
        <w:rPr>
          <w:rFonts w:ascii="Arial" w:eastAsia="MS PGothic" w:hAnsi="Arial" w:cs="Times New Roman"/>
          <w:sz w:val="20"/>
          <w:szCs w:val="24"/>
          <w:lang w:val="en-US"/>
        </w:rPr>
        <w:t xml:space="preserve"> 2</w:t>
      </w:r>
      <w:r w:rsidR="008575C9">
        <w:rPr>
          <w:rFonts w:ascii="Arial" w:eastAsia="MS PGothic" w:hAnsi="Arial" w:cs="Times New Roman"/>
          <w:sz w:val="20"/>
          <w:szCs w:val="24"/>
        </w:rPr>
        <w:t xml:space="preserve"> prioritetų</w:t>
      </w:r>
      <w:r w:rsidRPr="008575C9">
        <w:rPr>
          <w:rFonts w:ascii="Arial" w:eastAsia="MS PGothic" w:hAnsi="Arial" w:cs="Times New Roman"/>
          <w:sz w:val="20"/>
          <w:szCs w:val="24"/>
        </w:rPr>
        <w:t xml:space="preserve"> apimtyje </w:t>
      </w:r>
      <w:r w:rsidR="008575C9">
        <w:rPr>
          <w:rFonts w:ascii="Arial" w:eastAsia="MS PGothic" w:hAnsi="Arial" w:cs="Times New Roman"/>
          <w:sz w:val="20"/>
          <w:szCs w:val="24"/>
        </w:rPr>
        <w:t>daugiausia dėmesio buvo skirta moterų užimtumo skatinimo, socialinės partnerystės ir kompetencijų tobulinimo projektams.</w:t>
      </w:r>
      <w:r w:rsidR="00332F7B" w:rsidRPr="008575C9">
        <w:rPr>
          <w:rFonts w:ascii="Arial" w:eastAsia="MS PGothic" w:hAnsi="Arial" w:cs="Times New Roman"/>
          <w:sz w:val="20"/>
          <w:szCs w:val="24"/>
        </w:rPr>
        <w:t xml:space="preserve"> </w:t>
      </w:r>
      <w:r w:rsidR="008575C9">
        <w:rPr>
          <w:rFonts w:ascii="Arial" w:eastAsia="MS PGothic" w:hAnsi="Arial" w:cs="Times New Roman"/>
          <w:sz w:val="20"/>
          <w:szCs w:val="24"/>
        </w:rPr>
        <w:t xml:space="preserve">Pačių projektų skaičius buvo palyginti nedidelis, tačiau vertės prasme jie gerokai lenkė </w:t>
      </w:r>
      <w:r w:rsidR="00D62EB8" w:rsidRPr="008575C9">
        <w:rPr>
          <w:rFonts w:ascii="Arial" w:eastAsia="MS PGothic" w:hAnsi="Arial" w:cs="Times New Roman"/>
          <w:sz w:val="20"/>
          <w:szCs w:val="24"/>
        </w:rPr>
        <w:t>ŽIPVP 4 prioriteto</w:t>
      </w:r>
      <w:r w:rsidR="008575C9">
        <w:rPr>
          <w:rFonts w:ascii="Arial" w:eastAsia="MS PGothic" w:hAnsi="Arial" w:cs="Times New Roman"/>
          <w:sz w:val="20"/>
          <w:szCs w:val="24"/>
        </w:rPr>
        <w:t xml:space="preserve"> projektus; pastarieji</w:t>
      </w:r>
      <w:r w:rsidR="00D62EB8" w:rsidRPr="008575C9">
        <w:rPr>
          <w:rFonts w:ascii="Arial" w:eastAsia="MS PGothic" w:hAnsi="Arial" w:cs="Times New Roman"/>
          <w:sz w:val="20"/>
          <w:szCs w:val="24"/>
        </w:rPr>
        <w:t xml:space="preserve"> </w:t>
      </w:r>
      <w:r w:rsidR="00D4329D">
        <w:rPr>
          <w:rFonts w:ascii="Arial" w:eastAsia="MS PGothic" w:hAnsi="Arial" w:cs="Times New Roman"/>
          <w:sz w:val="20"/>
          <w:szCs w:val="24"/>
        </w:rPr>
        <w:t>visi buvo orientuoti į strateginių dokumentų ir teritorijų planavimo dokumentų rengimą</w:t>
      </w:r>
      <w:r w:rsidR="00C6756A" w:rsidRPr="008575C9">
        <w:rPr>
          <w:rFonts w:ascii="Arial" w:eastAsia="MS PGothic" w:hAnsi="Arial" w:cs="Times New Roman"/>
          <w:sz w:val="20"/>
          <w:szCs w:val="24"/>
        </w:rPr>
        <w:t xml:space="preserve">. EAVP </w:t>
      </w:r>
      <w:r w:rsidR="003B6A83" w:rsidRPr="008575C9">
        <w:rPr>
          <w:rFonts w:ascii="Arial" w:eastAsia="MS PGothic" w:hAnsi="Arial" w:cs="Times New Roman"/>
          <w:sz w:val="20"/>
          <w:szCs w:val="24"/>
        </w:rPr>
        <w:t>projektų skaičius buvo</w:t>
      </w:r>
      <w:r w:rsidR="00D4329D">
        <w:rPr>
          <w:rFonts w:ascii="Arial" w:eastAsia="MS PGothic" w:hAnsi="Arial" w:cs="Times New Roman"/>
          <w:sz w:val="20"/>
          <w:szCs w:val="24"/>
        </w:rPr>
        <w:t xml:space="preserve"> palyginti didelis</w:t>
      </w:r>
      <w:r w:rsidR="003B6A83" w:rsidRPr="008575C9">
        <w:rPr>
          <w:rFonts w:ascii="Arial" w:eastAsia="MS PGothic" w:hAnsi="Arial" w:cs="Times New Roman"/>
          <w:sz w:val="20"/>
          <w:szCs w:val="24"/>
        </w:rPr>
        <w:t>; jų įgyven</w:t>
      </w:r>
      <w:r w:rsidR="00D4329D">
        <w:rPr>
          <w:rFonts w:ascii="Arial" w:eastAsia="MS PGothic" w:hAnsi="Arial" w:cs="Times New Roman"/>
          <w:sz w:val="20"/>
          <w:szCs w:val="24"/>
        </w:rPr>
        <w:t>dinimo metu buvo investuojama į</w:t>
      </w:r>
      <w:r w:rsidR="003B6A83" w:rsidRPr="008575C9">
        <w:rPr>
          <w:rFonts w:ascii="Arial" w:eastAsia="MS PGothic" w:hAnsi="Arial" w:cs="Times New Roman"/>
          <w:sz w:val="20"/>
          <w:szCs w:val="24"/>
        </w:rPr>
        <w:t xml:space="preserve"> </w:t>
      </w:r>
      <w:r w:rsidR="00D4329D">
        <w:rPr>
          <w:rFonts w:ascii="Arial" w:eastAsia="MS PGothic" w:hAnsi="Arial" w:cs="Times New Roman"/>
          <w:sz w:val="20"/>
          <w:szCs w:val="24"/>
        </w:rPr>
        <w:t>verslo įmonių konkurencingumo potencialo didinimą, miestų energetikos infrastruktūrą</w:t>
      </w:r>
      <w:r w:rsidR="00D62EB8" w:rsidRPr="008575C9">
        <w:rPr>
          <w:rFonts w:ascii="Arial" w:eastAsia="MS PGothic" w:hAnsi="Arial" w:cs="Times New Roman"/>
          <w:sz w:val="20"/>
          <w:szCs w:val="24"/>
        </w:rPr>
        <w:t>. SSVP</w:t>
      </w:r>
      <w:r w:rsidR="00242947" w:rsidRPr="008575C9">
        <w:rPr>
          <w:rFonts w:ascii="Arial" w:eastAsia="MS PGothic" w:hAnsi="Arial" w:cs="Times New Roman"/>
          <w:sz w:val="20"/>
          <w:szCs w:val="24"/>
        </w:rPr>
        <w:t xml:space="preserve"> 1 prioriteto</w:t>
      </w:r>
      <w:r w:rsidR="00D62EB8" w:rsidRPr="008575C9">
        <w:rPr>
          <w:rFonts w:ascii="Arial" w:eastAsia="MS PGothic" w:hAnsi="Arial" w:cs="Times New Roman"/>
          <w:sz w:val="20"/>
          <w:szCs w:val="24"/>
        </w:rPr>
        <w:t xml:space="preserve"> priemonių apimtyje įgyvendinti daugiabučių renovacijos ir kompleksinio </w:t>
      </w:r>
      <w:r w:rsidR="00847350" w:rsidRPr="008575C9">
        <w:rPr>
          <w:rFonts w:ascii="Arial" w:eastAsia="MS PGothic" w:hAnsi="Arial" w:cs="Times New Roman"/>
          <w:sz w:val="20"/>
          <w:szCs w:val="24"/>
        </w:rPr>
        <w:t>urbanistinės infrastruktūros bei</w:t>
      </w:r>
      <w:r w:rsidR="003B6A83" w:rsidRPr="008575C9">
        <w:rPr>
          <w:rFonts w:ascii="Arial" w:eastAsia="MS PGothic" w:hAnsi="Arial" w:cs="Times New Roman"/>
          <w:sz w:val="20"/>
          <w:szCs w:val="24"/>
        </w:rPr>
        <w:t xml:space="preserve"> gyvenamosios aplinkos</w:t>
      </w:r>
      <w:r w:rsidR="00D62EB8" w:rsidRPr="008575C9">
        <w:rPr>
          <w:rFonts w:ascii="Arial" w:eastAsia="MS PGothic" w:hAnsi="Arial" w:cs="Times New Roman"/>
          <w:sz w:val="20"/>
          <w:szCs w:val="24"/>
        </w:rPr>
        <w:t xml:space="preserve"> </w:t>
      </w:r>
      <w:r w:rsidR="00847350" w:rsidRPr="008575C9">
        <w:rPr>
          <w:rFonts w:ascii="Arial" w:eastAsia="MS PGothic" w:hAnsi="Arial" w:cs="Times New Roman"/>
          <w:sz w:val="20"/>
          <w:szCs w:val="24"/>
        </w:rPr>
        <w:t>gerinimo  projektai</w:t>
      </w:r>
      <w:r w:rsidR="00D62EB8" w:rsidRPr="008575C9">
        <w:rPr>
          <w:rFonts w:ascii="Arial" w:eastAsia="MS PGothic" w:hAnsi="Arial" w:cs="Times New Roman"/>
          <w:sz w:val="20"/>
          <w:szCs w:val="24"/>
        </w:rPr>
        <w:t xml:space="preserve">. </w:t>
      </w:r>
      <w:r w:rsidR="00242947" w:rsidRPr="008575C9">
        <w:rPr>
          <w:rFonts w:ascii="Arial" w:eastAsia="MS PGothic" w:hAnsi="Arial" w:cs="Times New Roman"/>
          <w:sz w:val="20"/>
          <w:szCs w:val="24"/>
        </w:rPr>
        <w:t>2 prioriteto projektai orientuoti į socialinių</w:t>
      </w:r>
      <w:r w:rsidR="00D4329D">
        <w:rPr>
          <w:rFonts w:ascii="Arial" w:eastAsia="MS PGothic" w:hAnsi="Arial" w:cs="Times New Roman"/>
          <w:sz w:val="20"/>
          <w:szCs w:val="24"/>
        </w:rPr>
        <w:t xml:space="preserve"> ir švietimo</w:t>
      </w:r>
      <w:r w:rsidR="00242947" w:rsidRPr="008575C9">
        <w:rPr>
          <w:rFonts w:ascii="Arial" w:eastAsia="MS PGothic" w:hAnsi="Arial" w:cs="Times New Roman"/>
          <w:sz w:val="20"/>
          <w:szCs w:val="24"/>
        </w:rPr>
        <w:t xml:space="preserve"> paslaugų infrastruktūros tobulinimą</w:t>
      </w:r>
      <w:r w:rsidR="00847350" w:rsidRPr="008575C9">
        <w:rPr>
          <w:rFonts w:ascii="Arial" w:eastAsia="MS PGothic" w:hAnsi="Arial" w:cs="Times New Roman"/>
          <w:sz w:val="20"/>
          <w:szCs w:val="24"/>
        </w:rPr>
        <w:t>,</w:t>
      </w:r>
      <w:r w:rsidR="00D4329D">
        <w:rPr>
          <w:rFonts w:ascii="Arial" w:eastAsia="MS PGothic" w:hAnsi="Arial" w:cs="Times New Roman"/>
          <w:sz w:val="20"/>
          <w:szCs w:val="24"/>
        </w:rPr>
        <w:t xml:space="preserve"> daugiafunkcinių centrų plėtrą;</w:t>
      </w:r>
      <w:r w:rsidR="00C6756A" w:rsidRPr="008575C9">
        <w:rPr>
          <w:rFonts w:ascii="Arial" w:eastAsia="MS PGothic" w:hAnsi="Arial" w:cs="Times New Roman"/>
          <w:sz w:val="20"/>
          <w:szCs w:val="24"/>
        </w:rPr>
        <w:t xml:space="preserve"> </w:t>
      </w:r>
      <w:r w:rsidR="00242947" w:rsidRPr="008575C9">
        <w:rPr>
          <w:rFonts w:ascii="Arial" w:eastAsia="MS PGothic" w:hAnsi="Arial" w:cs="Times New Roman"/>
          <w:sz w:val="20"/>
          <w:szCs w:val="24"/>
        </w:rPr>
        <w:t xml:space="preserve">tuo tarpu 3 prioriteto apimtyje įgyvendinti </w:t>
      </w:r>
      <w:r w:rsidR="00847350" w:rsidRPr="008575C9">
        <w:rPr>
          <w:rFonts w:ascii="Arial" w:eastAsia="MS PGothic" w:hAnsi="Arial" w:cs="Times New Roman"/>
          <w:sz w:val="20"/>
          <w:szCs w:val="24"/>
        </w:rPr>
        <w:t xml:space="preserve">švietimo </w:t>
      </w:r>
      <w:r w:rsidR="00D4329D">
        <w:rPr>
          <w:rFonts w:ascii="Arial" w:eastAsia="MS PGothic" w:hAnsi="Arial" w:cs="Times New Roman"/>
          <w:sz w:val="20"/>
          <w:szCs w:val="24"/>
        </w:rPr>
        <w:t>ir socialinių paslaugų sektorių</w:t>
      </w:r>
      <w:r w:rsidR="00847350" w:rsidRPr="008575C9">
        <w:rPr>
          <w:rFonts w:ascii="Arial" w:eastAsia="MS PGothic" w:hAnsi="Arial" w:cs="Times New Roman"/>
          <w:sz w:val="20"/>
          <w:szCs w:val="24"/>
        </w:rPr>
        <w:t xml:space="preserve"> infrastruktūros atnaujinimo ir vandens tvarkymo bei nuotekų tvarkymo</w:t>
      </w:r>
      <w:r w:rsidR="00C335FC" w:rsidRPr="008575C9">
        <w:rPr>
          <w:rFonts w:ascii="Arial" w:eastAsia="MS PGothic" w:hAnsi="Arial" w:cs="Times New Roman"/>
          <w:sz w:val="20"/>
          <w:szCs w:val="24"/>
        </w:rPr>
        <w:t xml:space="preserve"> projektai</w:t>
      </w:r>
      <w:r w:rsidR="00242947" w:rsidRPr="008575C9">
        <w:rPr>
          <w:rFonts w:ascii="Arial" w:eastAsia="MS PGothic" w:hAnsi="Arial" w:cs="Times New Roman"/>
          <w:sz w:val="20"/>
          <w:szCs w:val="24"/>
        </w:rPr>
        <w:t xml:space="preserve">. </w:t>
      </w:r>
      <w:r w:rsidR="00C849C4" w:rsidRPr="008575C9">
        <w:rPr>
          <w:rFonts w:ascii="Arial" w:eastAsia="MS PGothic" w:hAnsi="Arial" w:cs="Times New Roman"/>
          <w:sz w:val="20"/>
          <w:szCs w:val="24"/>
        </w:rPr>
        <w:t>Pastebėtina tendencija, kad daugiausiai investuota srityse, kur vyravo region</w:t>
      </w:r>
      <w:r w:rsidR="00847350" w:rsidRPr="008575C9">
        <w:rPr>
          <w:rFonts w:ascii="Arial" w:eastAsia="MS PGothic" w:hAnsi="Arial" w:cs="Times New Roman"/>
          <w:sz w:val="20"/>
          <w:szCs w:val="24"/>
        </w:rPr>
        <w:t>ų</w:t>
      </w:r>
      <w:r w:rsidR="00C849C4" w:rsidRPr="008575C9">
        <w:rPr>
          <w:rFonts w:ascii="Arial" w:eastAsia="MS PGothic" w:hAnsi="Arial" w:cs="Times New Roman"/>
          <w:sz w:val="20"/>
          <w:szCs w:val="24"/>
        </w:rPr>
        <w:t xml:space="preserve"> </w:t>
      </w:r>
      <w:r w:rsidR="00847350" w:rsidRPr="008575C9">
        <w:rPr>
          <w:rFonts w:ascii="Arial" w:eastAsia="MS PGothic" w:hAnsi="Arial" w:cs="Times New Roman"/>
          <w:sz w:val="20"/>
          <w:szCs w:val="24"/>
        </w:rPr>
        <w:t xml:space="preserve">ir valstybės projektų </w:t>
      </w:r>
      <w:r w:rsidR="00C849C4" w:rsidRPr="008575C9">
        <w:rPr>
          <w:rFonts w:ascii="Arial" w:eastAsia="MS PGothic" w:hAnsi="Arial" w:cs="Times New Roman"/>
          <w:sz w:val="20"/>
          <w:szCs w:val="24"/>
        </w:rPr>
        <w:t>planavimo priemonės.</w:t>
      </w:r>
    </w:p>
    <w:p w:rsidR="00A2570C" w:rsidRPr="008575C9" w:rsidRDefault="00A2570C" w:rsidP="00C849C4">
      <w:pPr>
        <w:pStyle w:val="Heading1"/>
        <w:numPr>
          <w:ilvl w:val="1"/>
          <w:numId w:val="1"/>
        </w:numPr>
        <w:spacing w:before="360"/>
        <w:rPr>
          <w:rFonts w:ascii="Arial" w:hAnsi="Arial" w:cs="Arial"/>
          <w:b w:val="0"/>
          <w:sz w:val="28"/>
          <w:szCs w:val="28"/>
        </w:rPr>
      </w:pPr>
      <w:r w:rsidRPr="008575C9">
        <w:rPr>
          <w:rFonts w:ascii="Arial" w:hAnsi="Arial" w:cs="Arial"/>
          <w:b w:val="0"/>
          <w:sz w:val="28"/>
          <w:szCs w:val="28"/>
        </w:rPr>
        <w:t>Rodiklių analizė</w:t>
      </w:r>
    </w:p>
    <w:p w:rsidR="002B4036" w:rsidRPr="008575C9" w:rsidRDefault="002B4036" w:rsidP="002B4036">
      <w:pPr>
        <w:jc w:val="both"/>
        <w:rPr>
          <w:rFonts w:ascii="Arial" w:eastAsia="MS PGothic" w:hAnsi="Arial" w:cs="Times New Roman"/>
          <w:sz w:val="20"/>
          <w:szCs w:val="24"/>
        </w:rPr>
      </w:pPr>
      <w:r w:rsidRPr="008575C9">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8575C9">
        <w:rPr>
          <w:rFonts w:ascii="Arial" w:eastAsia="MS PGothic" w:hAnsi="Arial" w:cs="Times New Roman"/>
          <w:sz w:val="20"/>
          <w:szCs w:val="24"/>
          <w:vertAlign w:val="subscript"/>
        </w:rPr>
        <w:t>2</w:t>
      </w:r>
      <w:r w:rsidRPr="008575C9">
        <w:rPr>
          <w:rFonts w:ascii="Arial" w:eastAsia="MS PGothic" w:hAnsi="Arial" w:cs="Times New Roman"/>
          <w:sz w:val="20"/>
          <w:szCs w:val="24"/>
        </w:rPr>
        <w:t>)</w:t>
      </w:r>
      <w:r w:rsidRPr="008575C9">
        <w:rPr>
          <w:rFonts w:ascii="Arial" w:eastAsia="MS PGothic" w:hAnsi="Arial" w:cs="Times New Roman"/>
          <w:sz w:val="20"/>
          <w:szCs w:val="24"/>
          <w:vertAlign w:val="subscript"/>
        </w:rPr>
        <w:t>,</w:t>
      </w:r>
      <w:r w:rsidRPr="008575C9">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8575C9">
        <w:rPr>
          <w:rFonts w:ascii="Arial" w:eastAsia="MS PGothic" w:hAnsi="Arial" w:cs="Times New Roman"/>
          <w:sz w:val="20"/>
          <w:szCs w:val="24"/>
        </w:rPr>
        <w:t xml:space="preserve">darbingo amžiaus </w:t>
      </w:r>
      <w:r w:rsidRPr="008575C9">
        <w:rPr>
          <w:rFonts w:ascii="Arial" w:eastAsia="MS PGothic" w:hAnsi="Arial" w:cs="Times New Roman"/>
          <w:sz w:val="20"/>
          <w:szCs w:val="24"/>
        </w:rPr>
        <w:t xml:space="preserve">gyventojų skaičiaus ir registruotų bedarbių santykį. Ekonominės veiklos rodikliai </w:t>
      </w:r>
      <w:r w:rsidR="007F0777" w:rsidRPr="008575C9">
        <w:rPr>
          <w:rFonts w:ascii="Arial" w:eastAsia="MS PGothic" w:hAnsi="Arial" w:cs="Times New Roman"/>
          <w:sz w:val="20"/>
          <w:szCs w:val="24"/>
        </w:rPr>
        <w:t>– pridėtinė vertė gamybos kainomis, materialinės investicijos to meto kainomis ir tiesioginės užsienio investicijos.</w:t>
      </w:r>
    </w:p>
    <w:p w:rsidR="001A1350" w:rsidRPr="001056B0" w:rsidRDefault="007F0777" w:rsidP="00B76AF6">
      <w:pPr>
        <w:jc w:val="both"/>
        <w:rPr>
          <w:rFonts w:ascii="Arial" w:hAnsi="Arial" w:cs="Arial"/>
          <w:sz w:val="20"/>
        </w:rPr>
      </w:pPr>
      <w:r w:rsidRPr="008575C9">
        <w:rPr>
          <w:rFonts w:ascii="Arial" w:eastAsia="MS PGothic" w:hAnsi="Arial" w:cs="Times New Roman"/>
          <w:sz w:val="20"/>
          <w:szCs w:val="24"/>
        </w:rPr>
        <w:t>Aplinkos taršos rodiklių atveju stebim</w:t>
      </w:r>
      <w:r w:rsidR="00D45CFF" w:rsidRPr="008575C9">
        <w:rPr>
          <w:rFonts w:ascii="Arial" w:eastAsia="MS PGothic" w:hAnsi="Arial" w:cs="Times New Roman"/>
          <w:sz w:val="20"/>
          <w:szCs w:val="24"/>
        </w:rPr>
        <w:t xml:space="preserve">a teigiama aplinkos taršos mažėjimo tendencija. </w:t>
      </w:r>
      <w:r w:rsidR="001056B0" w:rsidRPr="00443B19">
        <w:rPr>
          <w:rFonts w:ascii="Arial" w:hAnsi="Arial" w:cs="Arial"/>
          <w:sz w:val="20"/>
        </w:rPr>
        <w:t xml:space="preserve">Pastebima, kad išleistų išvalytų iki normos nuotekų kiekis per </w:t>
      </w:r>
      <w:r w:rsidR="001056B0">
        <w:rPr>
          <w:rFonts w:ascii="Arial" w:hAnsi="Arial" w:cs="Arial"/>
          <w:sz w:val="20"/>
        </w:rPr>
        <w:t>septynerių</w:t>
      </w:r>
      <w:r w:rsidR="001056B0" w:rsidRPr="00443B19">
        <w:rPr>
          <w:rFonts w:ascii="Arial" w:hAnsi="Arial" w:cs="Arial"/>
          <w:sz w:val="20"/>
        </w:rPr>
        <w:t xml:space="preserve"> metų laikotarpį išaugo beveik tris kartus. Šis pokytis buvo </w:t>
      </w:r>
      <w:r w:rsidR="001056B0">
        <w:rPr>
          <w:rFonts w:ascii="Arial" w:hAnsi="Arial" w:cs="Arial"/>
          <w:sz w:val="20"/>
        </w:rPr>
        <w:t>nulemtas</w:t>
      </w:r>
      <w:r w:rsidR="001056B0" w:rsidRPr="00443B19">
        <w:rPr>
          <w:rFonts w:ascii="Arial" w:hAnsi="Arial" w:cs="Arial"/>
          <w:sz w:val="20"/>
        </w:rPr>
        <w:t xml:space="preserve"> dviejų projektų, kurie buvo orientuoti į vandens bei nuotekų infrastruktūros plėtrą Rokiškio rajone.</w:t>
      </w:r>
      <w:r w:rsidR="001056B0">
        <w:rPr>
          <w:rFonts w:ascii="Arial" w:hAnsi="Arial" w:cs="Arial"/>
          <w:sz w:val="20"/>
        </w:rPr>
        <w:t xml:space="preserve"> </w:t>
      </w:r>
      <w:r w:rsidR="001056B0" w:rsidRPr="00443B19">
        <w:rPr>
          <w:rFonts w:ascii="Arial" w:hAnsi="Arial" w:cs="Arial"/>
          <w:sz w:val="20"/>
        </w:rPr>
        <w:t>Vertinant į orą išmetamų teršalų kiekį pastebima, kad trijuose iš keturių teršalų rūšių vyravo pastovumas. Sieros dioksido išmetimo kiekis buvo vienintelis, kurį pavyko sėkmingai sumažinti nuo</w:t>
      </w:r>
      <w:r w:rsidR="001056B0">
        <w:rPr>
          <w:rFonts w:ascii="Arial" w:hAnsi="Arial" w:cs="Arial"/>
          <w:sz w:val="20"/>
        </w:rPr>
        <w:t xml:space="preserve"> 282 t iki </w:t>
      </w:r>
      <w:r w:rsidR="001056B0">
        <w:rPr>
          <w:rFonts w:ascii="Arial" w:hAnsi="Arial" w:cs="Arial"/>
          <w:sz w:val="20"/>
        </w:rPr>
        <w:lastRenderedPageBreak/>
        <w:t>44 t:</w:t>
      </w:r>
      <w:r w:rsidR="001056B0" w:rsidRPr="00443B19">
        <w:rPr>
          <w:rFonts w:ascii="Arial" w:hAnsi="Arial" w:cs="Arial"/>
          <w:sz w:val="20"/>
        </w:rPr>
        <w:t xml:space="preserve"> pokytis siekia 84.40%. Dėka šios rūšies teršalų sumažinimo, bendras išmetamas </w:t>
      </w:r>
      <w:r w:rsidR="001056B0">
        <w:rPr>
          <w:rFonts w:ascii="Arial" w:hAnsi="Arial" w:cs="Arial"/>
          <w:sz w:val="20"/>
        </w:rPr>
        <w:t>teršalų kiekis palyginti su 200</w:t>
      </w:r>
      <w:r w:rsidR="001056B0">
        <w:rPr>
          <w:rFonts w:ascii="Arial" w:hAnsi="Arial" w:cs="Arial"/>
          <w:sz w:val="20"/>
          <w:lang w:val="en-US"/>
        </w:rPr>
        <w:t>7</w:t>
      </w:r>
      <w:r w:rsidR="001056B0" w:rsidRPr="00443B19">
        <w:rPr>
          <w:rFonts w:ascii="Arial" w:hAnsi="Arial" w:cs="Arial"/>
          <w:sz w:val="20"/>
        </w:rPr>
        <w:t xml:space="preserve"> m</w:t>
      </w:r>
      <w:r w:rsidR="001056B0">
        <w:rPr>
          <w:rFonts w:ascii="Arial" w:hAnsi="Arial" w:cs="Arial"/>
          <w:sz w:val="20"/>
        </w:rPr>
        <w:t>. sumažėjo 1</w:t>
      </w:r>
      <w:r w:rsidR="001056B0">
        <w:rPr>
          <w:rFonts w:ascii="Arial" w:hAnsi="Arial" w:cs="Arial"/>
          <w:sz w:val="20"/>
          <w:lang w:val="en-US"/>
        </w:rPr>
        <w:t>3</w:t>
      </w:r>
      <w:r w:rsidR="001056B0">
        <w:rPr>
          <w:rFonts w:ascii="Arial" w:hAnsi="Arial" w:cs="Arial"/>
          <w:sz w:val="20"/>
        </w:rPr>
        <w:t xml:space="preserve"> %.</w:t>
      </w:r>
      <w:r w:rsidR="001056B0" w:rsidRPr="00443B19">
        <w:rPr>
          <w:rFonts w:ascii="Arial" w:hAnsi="Arial" w:cs="Arial"/>
          <w:sz w:val="20"/>
        </w:rPr>
        <w:t xml:space="preserve"> </w:t>
      </w:r>
      <w:r w:rsidR="001056B0">
        <w:rPr>
          <w:rFonts w:ascii="Arial" w:hAnsi="Arial" w:cs="Arial"/>
          <w:sz w:val="20"/>
        </w:rPr>
        <w:t>N</w:t>
      </w:r>
      <w:r w:rsidR="001056B0" w:rsidRPr="00443B19">
        <w:rPr>
          <w:rFonts w:ascii="Arial" w:hAnsi="Arial" w:cs="Arial"/>
          <w:sz w:val="20"/>
        </w:rPr>
        <w:t>ors ir sumažėjęs</w:t>
      </w:r>
      <w:r w:rsidR="001056B0">
        <w:rPr>
          <w:rFonts w:ascii="Arial" w:hAnsi="Arial" w:cs="Arial"/>
          <w:sz w:val="20"/>
        </w:rPr>
        <w:t>, bendras teršalų kiekis yra</w:t>
      </w:r>
      <w:r w:rsidR="001056B0" w:rsidRPr="00443B19">
        <w:rPr>
          <w:rFonts w:ascii="Arial" w:hAnsi="Arial" w:cs="Arial"/>
          <w:sz w:val="20"/>
        </w:rPr>
        <w:t xml:space="preserve"> santykinai didesnis </w:t>
      </w:r>
      <w:r w:rsidR="001056B0">
        <w:rPr>
          <w:rFonts w:ascii="Arial" w:hAnsi="Arial" w:cs="Arial"/>
          <w:sz w:val="20"/>
        </w:rPr>
        <w:t>už</w:t>
      </w:r>
      <w:r w:rsidR="001056B0" w:rsidRPr="00443B19">
        <w:rPr>
          <w:rFonts w:ascii="Arial" w:hAnsi="Arial" w:cs="Arial"/>
          <w:sz w:val="20"/>
        </w:rPr>
        <w:t xml:space="preserve"> Lietuvos Resp</w:t>
      </w:r>
      <w:r w:rsidR="001056B0">
        <w:rPr>
          <w:rFonts w:ascii="Arial" w:hAnsi="Arial" w:cs="Arial"/>
          <w:sz w:val="20"/>
        </w:rPr>
        <w:t>ublikos teršalų kiekio vidurkio rodiklį</w:t>
      </w:r>
      <w:r w:rsidR="001056B0" w:rsidRPr="00443B19">
        <w:rPr>
          <w:rFonts w:ascii="Arial" w:hAnsi="Arial" w:cs="Arial"/>
          <w:sz w:val="20"/>
        </w:rPr>
        <w:t>. 2006 m</w:t>
      </w:r>
      <w:r w:rsidR="001056B0">
        <w:rPr>
          <w:rFonts w:ascii="Arial" w:hAnsi="Arial" w:cs="Arial"/>
          <w:sz w:val="20"/>
        </w:rPr>
        <w:t>.</w:t>
      </w:r>
      <w:r w:rsidR="001056B0" w:rsidRPr="00443B19">
        <w:rPr>
          <w:rFonts w:ascii="Arial" w:hAnsi="Arial" w:cs="Arial"/>
          <w:sz w:val="20"/>
        </w:rPr>
        <w:t xml:space="preserve"> Rokiškio</w:t>
      </w:r>
      <w:r w:rsidR="001056B0" w:rsidRPr="00443B19">
        <w:rPr>
          <w:color w:val="000000"/>
          <w:sz w:val="20"/>
          <w:szCs w:val="48"/>
        </w:rPr>
        <w:t xml:space="preserve"> </w:t>
      </w:r>
      <w:r w:rsidR="001056B0" w:rsidRPr="00443B19">
        <w:rPr>
          <w:rFonts w:ascii="Arial" w:hAnsi="Arial" w:cs="Arial"/>
          <w:sz w:val="20"/>
        </w:rPr>
        <w:t>savivaldybėje į orą išmestų teršalų kiekis</w:t>
      </w:r>
      <w:r w:rsidR="001056B0">
        <w:rPr>
          <w:rFonts w:ascii="Arial" w:hAnsi="Arial" w:cs="Arial"/>
          <w:sz w:val="20"/>
        </w:rPr>
        <w:t xml:space="preserve"> (lyginant nacionaliniu mastu)</w:t>
      </w:r>
      <w:r w:rsidR="001056B0" w:rsidRPr="00443B19">
        <w:rPr>
          <w:rFonts w:ascii="Arial" w:hAnsi="Arial" w:cs="Arial"/>
          <w:sz w:val="20"/>
        </w:rPr>
        <w:t xml:space="preserve"> sudarė 1.12%, tuo tarpu 2014 m</w:t>
      </w:r>
      <w:r w:rsidR="001056B0">
        <w:rPr>
          <w:rFonts w:ascii="Arial" w:hAnsi="Arial" w:cs="Arial"/>
          <w:sz w:val="20"/>
        </w:rPr>
        <w:t>.</w:t>
      </w:r>
      <w:r w:rsidR="001056B0" w:rsidRPr="00443B19">
        <w:rPr>
          <w:rFonts w:ascii="Arial" w:hAnsi="Arial" w:cs="Arial"/>
          <w:sz w:val="20"/>
        </w:rPr>
        <w:t xml:space="preserve"> šis rodiklis pakilo iki 1.38%.</w:t>
      </w:r>
    </w:p>
    <w:p w:rsidR="00B72614" w:rsidRPr="008575C9" w:rsidRDefault="00A2570C" w:rsidP="00D271D7">
      <w:pPr>
        <w:pStyle w:val="Caption"/>
        <w:keepNext/>
        <w:jc w:val="both"/>
      </w:pPr>
      <w:r w:rsidRPr="008575C9">
        <w:fldChar w:fldCharType="begin"/>
      </w:r>
      <w:r w:rsidRPr="008575C9">
        <w:instrText xml:space="preserve"> SEQ paveikslas \* ARABIC </w:instrText>
      </w:r>
      <w:r w:rsidRPr="008575C9">
        <w:fldChar w:fldCharType="separate"/>
      </w:r>
      <w:r w:rsidR="00594D44" w:rsidRPr="008575C9">
        <w:t>3</w:t>
      </w:r>
      <w:r w:rsidRPr="008575C9">
        <w:fldChar w:fldCharType="end"/>
      </w:r>
      <w:r w:rsidRPr="008575C9">
        <w:t xml:space="preserve"> paveikslas. Aplinkos taršos rodikliai</w:t>
      </w:r>
      <w:r w:rsidR="00D271D7" w:rsidRPr="008575C9">
        <w:rPr>
          <w:noProof/>
          <w:lang w:val="en-US"/>
        </w:rPr>
        <w:drawing>
          <wp:anchor distT="0" distB="0" distL="114300" distR="114300" simplePos="0" relativeHeight="251699200" behindDoc="0" locked="0" layoutInCell="1" allowOverlap="1" wp14:anchorId="7AFEB196" wp14:editId="17EFC1B4">
            <wp:simplePos x="0" y="0"/>
            <wp:positionH relativeFrom="column">
              <wp:posOffset>0</wp:posOffset>
            </wp:positionH>
            <wp:positionV relativeFrom="paragraph">
              <wp:posOffset>279400</wp:posOffset>
            </wp:positionV>
            <wp:extent cx="4568597" cy="3383069"/>
            <wp:effectExtent l="0" t="0" r="3810" b="825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44928">
        <w:t>*</w:t>
      </w:r>
    </w:p>
    <w:p w:rsidR="00B72614" w:rsidRPr="008575C9" w:rsidRDefault="00B72614" w:rsidP="00A2570C">
      <w:pPr>
        <w:pStyle w:val="Caption"/>
        <w:spacing w:before="240"/>
        <w:rPr>
          <w:b w:val="0"/>
        </w:rPr>
      </w:pPr>
    </w:p>
    <w:p w:rsidR="00B72614" w:rsidRPr="008575C9" w:rsidRDefault="00B72614" w:rsidP="00A2570C">
      <w:pPr>
        <w:pStyle w:val="Caption"/>
        <w:spacing w:before="240"/>
        <w:rPr>
          <w:b w:val="0"/>
        </w:rPr>
      </w:pPr>
    </w:p>
    <w:p w:rsidR="00B72614" w:rsidRPr="008575C9" w:rsidRDefault="00B72614" w:rsidP="00A2570C">
      <w:pPr>
        <w:pStyle w:val="Caption"/>
        <w:spacing w:before="240"/>
        <w:rPr>
          <w:b w:val="0"/>
        </w:rPr>
      </w:pPr>
    </w:p>
    <w:p w:rsidR="00B72614" w:rsidRPr="008575C9" w:rsidRDefault="00B72614" w:rsidP="00A2570C">
      <w:pPr>
        <w:pStyle w:val="Caption"/>
        <w:spacing w:before="240"/>
        <w:rPr>
          <w:b w:val="0"/>
        </w:rPr>
      </w:pPr>
    </w:p>
    <w:p w:rsidR="00B72614" w:rsidRPr="008575C9" w:rsidRDefault="00B72614" w:rsidP="00A2570C">
      <w:pPr>
        <w:pStyle w:val="Caption"/>
        <w:spacing w:before="240"/>
        <w:rPr>
          <w:b w:val="0"/>
        </w:rPr>
      </w:pPr>
    </w:p>
    <w:p w:rsidR="00B72614" w:rsidRPr="008575C9" w:rsidRDefault="00B72614" w:rsidP="00B72614">
      <w:pPr>
        <w:pStyle w:val="Caption"/>
        <w:spacing w:after="0"/>
        <w:rPr>
          <w:b w:val="0"/>
        </w:rPr>
      </w:pPr>
    </w:p>
    <w:p w:rsidR="00805F6F" w:rsidRPr="008575C9" w:rsidRDefault="00805F6F" w:rsidP="00B72614">
      <w:pPr>
        <w:pStyle w:val="Caption"/>
        <w:spacing w:after="120"/>
        <w:rPr>
          <w:b w:val="0"/>
        </w:rPr>
      </w:pPr>
    </w:p>
    <w:p w:rsidR="00805F6F" w:rsidRPr="008575C9" w:rsidRDefault="00805F6F" w:rsidP="00B72614">
      <w:pPr>
        <w:pStyle w:val="Caption"/>
        <w:spacing w:after="120"/>
        <w:rPr>
          <w:b w:val="0"/>
        </w:rPr>
      </w:pPr>
    </w:p>
    <w:p w:rsidR="00C23DA0" w:rsidRPr="008575C9" w:rsidRDefault="00C23DA0" w:rsidP="00B72614">
      <w:pPr>
        <w:pStyle w:val="Caption"/>
        <w:spacing w:after="120"/>
        <w:rPr>
          <w:b w:val="0"/>
        </w:rPr>
      </w:pPr>
    </w:p>
    <w:p w:rsidR="00647F70" w:rsidRDefault="00647F70" w:rsidP="00B72614">
      <w:pPr>
        <w:pStyle w:val="Caption"/>
        <w:spacing w:after="120"/>
        <w:rPr>
          <w:b w:val="0"/>
        </w:rPr>
      </w:pPr>
    </w:p>
    <w:p w:rsidR="00647F70" w:rsidRDefault="00647F70" w:rsidP="00B72614">
      <w:pPr>
        <w:pStyle w:val="Caption"/>
        <w:spacing w:after="120"/>
        <w:rPr>
          <w:b w:val="0"/>
        </w:rPr>
      </w:pPr>
    </w:p>
    <w:p w:rsidR="00647F70" w:rsidRDefault="00647F70" w:rsidP="00B72614">
      <w:pPr>
        <w:pStyle w:val="Caption"/>
        <w:spacing w:after="120"/>
        <w:rPr>
          <w:b w:val="0"/>
        </w:rPr>
      </w:pPr>
    </w:p>
    <w:p w:rsidR="00647F70" w:rsidRDefault="00647F70" w:rsidP="00B72614">
      <w:pPr>
        <w:pStyle w:val="Caption"/>
        <w:spacing w:after="120"/>
        <w:rPr>
          <w:b w:val="0"/>
        </w:rPr>
      </w:pPr>
    </w:p>
    <w:p w:rsidR="00647F70" w:rsidRDefault="00647F70" w:rsidP="00B72614">
      <w:pPr>
        <w:pStyle w:val="Caption"/>
        <w:spacing w:after="120"/>
        <w:rPr>
          <w:b w:val="0"/>
        </w:rPr>
      </w:pPr>
    </w:p>
    <w:p w:rsidR="00647F70" w:rsidRDefault="00647F70" w:rsidP="00B72614">
      <w:pPr>
        <w:pStyle w:val="Caption"/>
        <w:spacing w:after="120"/>
        <w:rPr>
          <w:b w:val="0"/>
        </w:rPr>
      </w:pPr>
    </w:p>
    <w:p w:rsidR="00A2570C" w:rsidRPr="00E44928" w:rsidRDefault="00A2570C" w:rsidP="00E44928">
      <w:pPr>
        <w:pStyle w:val="Caption"/>
        <w:spacing w:after="0"/>
        <w:rPr>
          <w:rFonts w:cs="Arial"/>
          <w:b w:val="0"/>
        </w:rPr>
      </w:pPr>
      <w:r w:rsidRPr="00E44928">
        <w:rPr>
          <w:rFonts w:cs="Arial"/>
          <w:b w:val="0"/>
        </w:rPr>
        <w:t>Šaltinis: Statistiko</w:t>
      </w:r>
      <w:r w:rsidR="007F0777" w:rsidRPr="00E44928">
        <w:rPr>
          <w:rFonts w:cs="Arial"/>
          <w:b w:val="0"/>
        </w:rPr>
        <w:t>s</w:t>
      </w:r>
      <w:r w:rsidRPr="00E44928">
        <w:rPr>
          <w:rFonts w:cs="Arial"/>
          <w:b w:val="0"/>
        </w:rPr>
        <w:t xml:space="preserve"> departamentas</w:t>
      </w:r>
    </w:p>
    <w:p w:rsidR="00E44928" w:rsidRPr="00E44928" w:rsidRDefault="00E44928" w:rsidP="00E44928">
      <w:pPr>
        <w:rPr>
          <w:rFonts w:ascii="Arial" w:hAnsi="Arial" w:cs="Arial"/>
          <w:sz w:val="18"/>
          <w:szCs w:val="18"/>
        </w:rPr>
      </w:pPr>
      <w:r w:rsidRPr="00E44928">
        <w:rPr>
          <w:rFonts w:ascii="Arial" w:hAnsi="Arial" w:cs="Arial"/>
          <w:sz w:val="18"/>
          <w:szCs w:val="18"/>
        </w:rPr>
        <w:t>* - visi rodikliai, išskyrus „Išleista išvalytų iki normos nuotekų, tūkst. m</w:t>
      </w:r>
      <w:r w:rsidRPr="00E44928">
        <w:rPr>
          <w:rFonts w:ascii="Arial" w:hAnsi="Arial" w:cs="Arial"/>
          <w:sz w:val="18"/>
          <w:szCs w:val="18"/>
          <w:vertAlign w:val="superscript"/>
        </w:rPr>
        <w:t>3</w:t>
      </w:r>
      <w:r w:rsidRPr="00E44928">
        <w:rPr>
          <w:rFonts w:ascii="Arial" w:hAnsi="Arial" w:cs="Arial"/>
          <w:sz w:val="18"/>
          <w:szCs w:val="18"/>
        </w:rPr>
        <w:t>“ yra matuojami tonomis.</w:t>
      </w:r>
    </w:p>
    <w:p w:rsidR="00E41B59" w:rsidRPr="008575C9" w:rsidRDefault="00B76AF6" w:rsidP="00E41B59">
      <w:pPr>
        <w:jc w:val="both"/>
        <w:rPr>
          <w:rFonts w:ascii="Arial" w:eastAsia="MS PGothic" w:hAnsi="Arial" w:cs="Times New Roman"/>
          <w:sz w:val="20"/>
          <w:szCs w:val="24"/>
        </w:rPr>
      </w:pPr>
      <w:r w:rsidRPr="008575C9">
        <w:rPr>
          <w:rFonts w:ascii="Arial" w:eastAsia="MS PGothic" w:hAnsi="Arial" w:cs="Times New Roman"/>
          <w:sz w:val="20"/>
          <w:szCs w:val="24"/>
        </w:rPr>
        <w:t>Vertinant demografinius rodiklius</w:t>
      </w:r>
      <w:r w:rsidR="00594D44" w:rsidRPr="008575C9">
        <w:rPr>
          <w:rFonts w:ascii="Arial" w:eastAsia="MS PGothic" w:hAnsi="Arial" w:cs="Times New Roman"/>
          <w:sz w:val="20"/>
          <w:szCs w:val="24"/>
        </w:rPr>
        <w:t>, 2007 - 2013 m. stebimos tendencijos atitinka nacion</w:t>
      </w:r>
      <w:r w:rsidR="002427B5" w:rsidRPr="008575C9">
        <w:rPr>
          <w:rFonts w:ascii="Arial" w:eastAsia="MS PGothic" w:hAnsi="Arial" w:cs="Times New Roman"/>
          <w:sz w:val="20"/>
          <w:szCs w:val="24"/>
        </w:rPr>
        <w:t>aliniu mastu vykusius pokyčius. Daugumos rodiklių tar</w:t>
      </w:r>
      <w:r w:rsidR="002502B8" w:rsidRPr="008575C9">
        <w:rPr>
          <w:rFonts w:ascii="Arial" w:eastAsia="MS PGothic" w:hAnsi="Arial" w:cs="Times New Roman"/>
          <w:sz w:val="20"/>
          <w:szCs w:val="24"/>
        </w:rPr>
        <w:t xml:space="preserve">pe vyrauja neigiama tendencija. </w:t>
      </w:r>
      <w:r w:rsidR="00812B03" w:rsidRPr="00443B19">
        <w:rPr>
          <w:rFonts w:ascii="Arial" w:hAnsi="Arial" w:cs="Arial"/>
          <w:sz w:val="20"/>
        </w:rPr>
        <w:t>Žvelgiant į nuolatinių gyventojų skaičių, fiksuojamas nuoseklus gyventojų mažėjimas</w:t>
      </w:r>
      <w:r w:rsidR="00812B03">
        <w:rPr>
          <w:rFonts w:ascii="Arial" w:hAnsi="Arial" w:cs="Arial"/>
          <w:sz w:val="20"/>
        </w:rPr>
        <w:t>:</w:t>
      </w:r>
      <w:r w:rsidR="00812B03" w:rsidRPr="00443B19">
        <w:rPr>
          <w:rFonts w:ascii="Arial" w:hAnsi="Arial" w:cs="Arial"/>
          <w:sz w:val="20"/>
        </w:rPr>
        <w:t xml:space="preserve"> per </w:t>
      </w:r>
      <w:r w:rsidR="00812B03">
        <w:rPr>
          <w:rFonts w:ascii="Arial" w:hAnsi="Arial" w:cs="Arial"/>
          <w:sz w:val="20"/>
        </w:rPr>
        <w:t>septynerių metų laikotarpyje</w:t>
      </w:r>
      <w:r w:rsidR="00812B03" w:rsidRPr="00443B19">
        <w:rPr>
          <w:rFonts w:ascii="Arial" w:hAnsi="Arial" w:cs="Arial"/>
          <w:sz w:val="20"/>
        </w:rPr>
        <w:t xml:space="preserve"> savivaldybėje gyvenančių asmenų skaičius sumažėjo </w:t>
      </w:r>
      <w:r w:rsidR="00812B03">
        <w:rPr>
          <w:rFonts w:ascii="Arial" w:hAnsi="Arial" w:cs="Arial"/>
          <w:sz w:val="20"/>
        </w:rPr>
        <w:t xml:space="preserve">beveik </w:t>
      </w:r>
      <w:r w:rsidR="00812B03">
        <w:rPr>
          <w:rFonts w:ascii="Arial" w:hAnsi="Arial" w:cs="Arial"/>
          <w:sz w:val="20"/>
          <w:lang w:val="en-US"/>
        </w:rPr>
        <w:t>13</w:t>
      </w:r>
      <w:r w:rsidR="00812B03">
        <w:rPr>
          <w:rFonts w:ascii="Arial" w:hAnsi="Arial" w:cs="Arial"/>
          <w:sz w:val="20"/>
        </w:rPr>
        <w:t xml:space="preserve"> proc</w:t>
      </w:r>
      <w:r w:rsidR="00812B03" w:rsidRPr="00443B19">
        <w:rPr>
          <w:rFonts w:ascii="Arial" w:hAnsi="Arial" w:cs="Arial"/>
          <w:sz w:val="20"/>
        </w:rPr>
        <w:t>. Darbingo amžiaus</w:t>
      </w:r>
      <w:r w:rsidR="0076601E">
        <w:rPr>
          <w:rFonts w:ascii="Arial" w:hAnsi="Arial" w:cs="Arial"/>
          <w:sz w:val="20"/>
        </w:rPr>
        <w:t>,</w:t>
      </w:r>
      <w:r w:rsidR="00812B03" w:rsidRPr="00443B19">
        <w:rPr>
          <w:rFonts w:ascii="Arial" w:hAnsi="Arial" w:cs="Arial"/>
          <w:sz w:val="20"/>
        </w:rPr>
        <w:t xml:space="preserve"> kaip ir pensinio amžiaus</w:t>
      </w:r>
      <w:r w:rsidR="0076601E">
        <w:rPr>
          <w:rFonts w:ascii="Arial" w:hAnsi="Arial" w:cs="Arial"/>
          <w:sz w:val="20"/>
        </w:rPr>
        <w:t>,</w:t>
      </w:r>
      <w:r w:rsidR="00812B03" w:rsidRPr="00443B19">
        <w:rPr>
          <w:rFonts w:ascii="Arial" w:hAnsi="Arial" w:cs="Arial"/>
          <w:sz w:val="20"/>
        </w:rPr>
        <w:t xml:space="preserve"> gyventojų skaičius taip pat tendencingai mažėja. </w:t>
      </w:r>
      <w:r w:rsidR="0076601E">
        <w:rPr>
          <w:rFonts w:ascii="Arial" w:hAnsi="Arial" w:cs="Arial"/>
          <w:sz w:val="20"/>
        </w:rPr>
        <w:t>S</w:t>
      </w:r>
      <w:r w:rsidR="00812B03" w:rsidRPr="00443B19">
        <w:rPr>
          <w:rFonts w:ascii="Arial" w:hAnsi="Arial" w:cs="Arial"/>
          <w:sz w:val="20"/>
        </w:rPr>
        <w:t xml:space="preserve">ituaciją savivaldybėje apsunkina ir tai, kad registruotų bedarbių ir darbingo amžiaus gyventojų santykis </w:t>
      </w:r>
      <w:r w:rsidR="0076601E">
        <w:rPr>
          <w:rFonts w:ascii="Arial" w:hAnsi="Arial" w:cs="Arial"/>
          <w:sz w:val="20"/>
        </w:rPr>
        <w:t>nagrinėjamu laikotarpiu</w:t>
      </w:r>
      <w:r w:rsidR="00812B03" w:rsidRPr="00443B19">
        <w:rPr>
          <w:rFonts w:ascii="Arial" w:hAnsi="Arial" w:cs="Arial"/>
          <w:sz w:val="20"/>
        </w:rPr>
        <w:t xml:space="preserve"> </w:t>
      </w:r>
      <w:r w:rsidR="0076601E">
        <w:rPr>
          <w:rFonts w:ascii="Arial" w:hAnsi="Arial" w:cs="Arial"/>
          <w:sz w:val="20"/>
        </w:rPr>
        <w:t xml:space="preserve">išaugo </w:t>
      </w:r>
      <w:r w:rsidR="00812B03" w:rsidRPr="00443B19">
        <w:rPr>
          <w:rFonts w:ascii="Arial" w:hAnsi="Arial" w:cs="Arial"/>
          <w:sz w:val="20"/>
        </w:rPr>
        <w:t>dvigubai</w:t>
      </w:r>
      <w:r w:rsidR="0076601E">
        <w:rPr>
          <w:rFonts w:ascii="Arial" w:hAnsi="Arial" w:cs="Arial"/>
          <w:sz w:val="20"/>
        </w:rPr>
        <w:t xml:space="preserve"> (nuo </w:t>
      </w:r>
      <w:r w:rsidR="0076601E">
        <w:rPr>
          <w:rFonts w:ascii="Arial" w:hAnsi="Arial" w:cs="Arial"/>
          <w:sz w:val="20"/>
          <w:lang w:val="en-US"/>
        </w:rPr>
        <w:t xml:space="preserve">6.2 proc. 2007 m. </w:t>
      </w:r>
      <w:proofErr w:type="spellStart"/>
      <w:r w:rsidR="0076601E">
        <w:rPr>
          <w:rFonts w:ascii="Arial" w:hAnsi="Arial" w:cs="Arial"/>
          <w:sz w:val="20"/>
          <w:lang w:val="en-US"/>
        </w:rPr>
        <w:t>iki</w:t>
      </w:r>
      <w:proofErr w:type="spellEnd"/>
      <w:r w:rsidR="0076601E">
        <w:rPr>
          <w:rFonts w:ascii="Arial" w:hAnsi="Arial" w:cs="Arial"/>
          <w:sz w:val="20"/>
          <w:lang w:val="en-US"/>
        </w:rPr>
        <w:t xml:space="preserve"> 12.9 proc. 2013 m.)</w:t>
      </w:r>
      <w:r w:rsidR="0076601E">
        <w:rPr>
          <w:rFonts w:ascii="Arial" w:hAnsi="Arial" w:cs="Arial"/>
          <w:sz w:val="20"/>
        </w:rPr>
        <w:t xml:space="preserve">. </w:t>
      </w:r>
      <w:r w:rsidR="00812B03" w:rsidRPr="00443B19">
        <w:rPr>
          <w:rFonts w:ascii="Arial" w:hAnsi="Arial" w:cs="Arial"/>
          <w:sz w:val="20"/>
        </w:rPr>
        <w:t>Toks pokytis identifikuoja, jog</w:t>
      </w:r>
      <w:r w:rsidR="0076601E">
        <w:rPr>
          <w:rFonts w:ascii="Arial" w:hAnsi="Arial" w:cs="Arial"/>
          <w:sz w:val="20"/>
        </w:rPr>
        <w:t xml:space="preserve"> beveik</w:t>
      </w:r>
      <w:r w:rsidR="00812B03" w:rsidRPr="00443B19">
        <w:rPr>
          <w:rFonts w:ascii="Arial" w:hAnsi="Arial" w:cs="Arial"/>
          <w:sz w:val="20"/>
        </w:rPr>
        <w:t xml:space="preserve"> 2.00 mln</w:t>
      </w:r>
      <w:r w:rsidR="0076601E">
        <w:rPr>
          <w:rFonts w:ascii="Arial" w:hAnsi="Arial" w:cs="Arial"/>
          <w:sz w:val="20"/>
        </w:rPr>
        <w:t>.</w:t>
      </w:r>
      <w:r w:rsidR="00812B03" w:rsidRPr="00443B19">
        <w:rPr>
          <w:rFonts w:ascii="Arial" w:hAnsi="Arial" w:cs="Arial"/>
          <w:sz w:val="20"/>
        </w:rPr>
        <w:t xml:space="preserve"> EUR investicija į prioritetą</w:t>
      </w:r>
      <w:r w:rsidR="0076601E">
        <w:rPr>
          <w:rFonts w:ascii="Arial" w:hAnsi="Arial" w:cs="Arial"/>
          <w:sz w:val="20"/>
        </w:rPr>
        <w:t>,</w:t>
      </w:r>
      <w:r w:rsidR="00812B03" w:rsidRPr="00443B19">
        <w:rPr>
          <w:rFonts w:ascii="Arial" w:hAnsi="Arial" w:cs="Arial"/>
          <w:sz w:val="20"/>
        </w:rPr>
        <w:t xml:space="preserve"> siekiantį spręsti šio pobūdžio problemas</w:t>
      </w:r>
      <w:r w:rsidR="0076601E">
        <w:rPr>
          <w:rFonts w:ascii="Arial" w:hAnsi="Arial" w:cs="Arial"/>
          <w:sz w:val="20"/>
        </w:rPr>
        <w:t>,</w:t>
      </w:r>
      <w:r w:rsidR="00812B03" w:rsidRPr="00443B19">
        <w:rPr>
          <w:rFonts w:ascii="Arial" w:hAnsi="Arial" w:cs="Arial"/>
          <w:sz w:val="20"/>
        </w:rPr>
        <w:t xml:space="preserve"> </w:t>
      </w:r>
      <w:r w:rsidR="0076601E">
        <w:rPr>
          <w:rFonts w:ascii="Arial" w:hAnsi="Arial" w:cs="Arial"/>
          <w:sz w:val="20"/>
        </w:rPr>
        <w:t>nebuvo pakankama finansų krizės įtakai ir demografiniams iššūkiams suvaldyti.</w:t>
      </w:r>
      <w:r w:rsidR="00812B03" w:rsidRPr="00443B19">
        <w:rPr>
          <w:rFonts w:ascii="Arial" w:hAnsi="Arial" w:cs="Arial"/>
          <w:sz w:val="20"/>
        </w:rPr>
        <w:t xml:space="preserve">  Vertinant </w:t>
      </w:r>
      <w:r w:rsidR="00E44928">
        <w:rPr>
          <w:rFonts w:ascii="Arial" w:hAnsi="Arial" w:cs="Arial"/>
          <w:sz w:val="20"/>
        </w:rPr>
        <w:t xml:space="preserve">vidutinį </w:t>
      </w:r>
      <w:r w:rsidR="00812B03" w:rsidRPr="00443B19">
        <w:rPr>
          <w:rFonts w:ascii="Arial" w:hAnsi="Arial" w:cs="Arial"/>
          <w:sz w:val="20"/>
        </w:rPr>
        <w:t>mėnesinį (bruto) darbo užmokestį</w:t>
      </w:r>
      <w:r w:rsidR="0076601E">
        <w:rPr>
          <w:rFonts w:ascii="Arial" w:hAnsi="Arial" w:cs="Arial"/>
          <w:sz w:val="20"/>
        </w:rPr>
        <w:t>,</w:t>
      </w:r>
      <w:r w:rsidR="00812B03" w:rsidRPr="00443B19">
        <w:rPr>
          <w:rFonts w:ascii="Arial" w:hAnsi="Arial" w:cs="Arial"/>
          <w:sz w:val="20"/>
        </w:rPr>
        <w:t xml:space="preserve"> </w:t>
      </w:r>
      <w:r w:rsidR="0076601E">
        <w:rPr>
          <w:rFonts w:ascii="Arial" w:hAnsi="Arial" w:cs="Arial"/>
          <w:sz w:val="20"/>
        </w:rPr>
        <w:t>galima daryti išvadą</w:t>
      </w:r>
      <w:r w:rsidR="00812B03" w:rsidRPr="00443B19">
        <w:rPr>
          <w:rFonts w:ascii="Arial" w:hAnsi="Arial" w:cs="Arial"/>
          <w:sz w:val="20"/>
        </w:rPr>
        <w:t>,</w:t>
      </w:r>
      <w:r w:rsidR="0076601E">
        <w:rPr>
          <w:rFonts w:ascii="Arial" w:hAnsi="Arial" w:cs="Arial"/>
          <w:sz w:val="20"/>
        </w:rPr>
        <w:t xml:space="preserve"> kad situacija palyginti su 200</w:t>
      </w:r>
      <w:r w:rsidR="0076601E">
        <w:rPr>
          <w:rFonts w:ascii="Arial" w:hAnsi="Arial" w:cs="Arial"/>
          <w:sz w:val="20"/>
          <w:lang w:val="en-US"/>
        </w:rPr>
        <w:t>7</w:t>
      </w:r>
      <w:r w:rsidR="00812B03" w:rsidRPr="00443B19">
        <w:rPr>
          <w:rFonts w:ascii="Arial" w:hAnsi="Arial" w:cs="Arial"/>
          <w:sz w:val="20"/>
        </w:rPr>
        <w:t xml:space="preserve"> m  santykinai pagerėjo</w:t>
      </w:r>
      <w:r w:rsidR="0076601E">
        <w:rPr>
          <w:rFonts w:ascii="Arial" w:hAnsi="Arial" w:cs="Arial"/>
          <w:sz w:val="20"/>
        </w:rPr>
        <w:t>:</w:t>
      </w:r>
      <w:r w:rsidR="00812B03" w:rsidRPr="00443B19">
        <w:rPr>
          <w:rFonts w:ascii="Arial" w:hAnsi="Arial" w:cs="Arial"/>
          <w:sz w:val="20"/>
        </w:rPr>
        <w:t xml:space="preserve"> mėnesinis atlyginimas išaugo 213.9 EUR (t.y. 62.16%). Vis dėlto lyginant su Lietuvos Respublikos vidurkiu, neigiamas atotrūkis išaugo, </w:t>
      </w:r>
      <w:r w:rsidR="0076601E">
        <w:rPr>
          <w:rFonts w:ascii="Arial" w:hAnsi="Arial" w:cs="Arial"/>
          <w:sz w:val="20"/>
        </w:rPr>
        <w:t>laikotarpio pradžioje</w:t>
      </w:r>
      <w:r w:rsidR="00812B03" w:rsidRPr="00443B19">
        <w:rPr>
          <w:rFonts w:ascii="Arial" w:hAnsi="Arial" w:cs="Arial"/>
          <w:sz w:val="20"/>
        </w:rPr>
        <w:t xml:space="preserve"> siekęs 89.1 EUR, 2014 m</w:t>
      </w:r>
      <w:r w:rsidR="0076601E">
        <w:rPr>
          <w:rFonts w:ascii="Arial" w:hAnsi="Arial" w:cs="Arial"/>
          <w:sz w:val="20"/>
        </w:rPr>
        <w:t>. jis</w:t>
      </w:r>
      <w:r w:rsidR="00812B03" w:rsidRPr="00443B19">
        <w:rPr>
          <w:rFonts w:ascii="Arial" w:hAnsi="Arial" w:cs="Arial"/>
          <w:sz w:val="20"/>
        </w:rPr>
        <w:t xml:space="preserve"> išaugo iki 119.4 EUR. </w:t>
      </w:r>
      <w:r w:rsidR="00A027E9" w:rsidRPr="008575C9">
        <w:rPr>
          <w:rFonts w:ascii="Arial" w:eastAsia="MS PGothic" w:hAnsi="Arial" w:cs="Times New Roman"/>
          <w:sz w:val="20"/>
          <w:szCs w:val="24"/>
        </w:rPr>
        <w:t>Apibendrinant, demografiniai rodikliai nagrinėjamu laikotarpiu buvo veikiami pasaulinės finansų krizės, augančių migracijos mastų ir mažėjančio gyventojų skaičiaus; visu laikotarpiu buvo stebimos bendros neigiamos plėtros tendencijos.</w:t>
      </w:r>
    </w:p>
    <w:p w:rsidR="00B76AF6" w:rsidRPr="008575C9" w:rsidRDefault="00A2570C" w:rsidP="00594D44">
      <w:pPr>
        <w:pStyle w:val="Caption"/>
        <w:keepNext/>
      </w:pPr>
      <w:r w:rsidRPr="008575C9">
        <w:fldChar w:fldCharType="begin"/>
      </w:r>
      <w:r w:rsidRPr="008575C9">
        <w:instrText xml:space="preserve"> SEQ paveikslas \* ARABIC </w:instrText>
      </w:r>
      <w:r w:rsidRPr="008575C9">
        <w:fldChar w:fldCharType="separate"/>
      </w:r>
      <w:r w:rsidR="008A1509" w:rsidRPr="008575C9">
        <w:t>5</w:t>
      </w:r>
      <w:r w:rsidRPr="008575C9">
        <w:fldChar w:fldCharType="end"/>
      </w:r>
      <w:r w:rsidRPr="008575C9">
        <w:t xml:space="preserve"> paveikslas. Demografiniai rodikliai</w:t>
      </w:r>
      <w:r w:rsidR="00D271D7" w:rsidRPr="008575C9">
        <w:rPr>
          <w:noProof/>
          <w:lang w:val="en-US"/>
        </w:rPr>
        <w:drawing>
          <wp:anchor distT="0" distB="0" distL="114300" distR="114300" simplePos="0" relativeHeight="251701248" behindDoc="0" locked="0" layoutInCell="1" allowOverlap="1" wp14:anchorId="2B501675" wp14:editId="3A7A5AE0">
            <wp:simplePos x="0" y="0"/>
            <wp:positionH relativeFrom="column">
              <wp:posOffset>0</wp:posOffset>
            </wp:positionH>
            <wp:positionV relativeFrom="paragraph">
              <wp:posOffset>259080</wp:posOffset>
            </wp:positionV>
            <wp:extent cx="4593771" cy="2663598"/>
            <wp:effectExtent l="0" t="0" r="16510" b="38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2427B5" w:rsidRPr="008575C9" w:rsidRDefault="00B76AF6" w:rsidP="008A1509">
      <w:pPr>
        <w:pStyle w:val="Caption"/>
        <w:spacing w:before="240"/>
        <w:rPr>
          <w:b w:val="0"/>
        </w:rPr>
      </w:pPr>
      <w:r w:rsidRPr="008575C9">
        <w:rPr>
          <w:b w:val="0"/>
        </w:rPr>
        <w:br/>
      </w:r>
    </w:p>
    <w:p w:rsidR="002427B5" w:rsidRPr="008575C9" w:rsidRDefault="002427B5" w:rsidP="008A1509">
      <w:pPr>
        <w:pStyle w:val="Caption"/>
        <w:spacing w:before="240"/>
        <w:rPr>
          <w:b w:val="0"/>
        </w:rPr>
      </w:pPr>
    </w:p>
    <w:p w:rsidR="002427B5" w:rsidRPr="008575C9" w:rsidRDefault="002427B5" w:rsidP="008A1509">
      <w:pPr>
        <w:pStyle w:val="Caption"/>
        <w:spacing w:before="240"/>
        <w:rPr>
          <w:b w:val="0"/>
        </w:rPr>
      </w:pPr>
    </w:p>
    <w:p w:rsidR="002427B5" w:rsidRPr="008575C9" w:rsidRDefault="002427B5" w:rsidP="008A1509">
      <w:pPr>
        <w:pStyle w:val="Caption"/>
        <w:spacing w:before="240"/>
        <w:rPr>
          <w:b w:val="0"/>
        </w:rPr>
      </w:pPr>
    </w:p>
    <w:p w:rsidR="002427B5" w:rsidRPr="008575C9" w:rsidRDefault="002427B5" w:rsidP="008A1509">
      <w:pPr>
        <w:pStyle w:val="Caption"/>
        <w:spacing w:before="240"/>
        <w:rPr>
          <w:b w:val="0"/>
        </w:rPr>
      </w:pPr>
    </w:p>
    <w:p w:rsidR="002427B5" w:rsidRPr="008575C9" w:rsidRDefault="002427B5" w:rsidP="008A1509">
      <w:pPr>
        <w:pStyle w:val="Caption"/>
        <w:spacing w:before="240"/>
        <w:rPr>
          <w:b w:val="0"/>
        </w:rPr>
      </w:pPr>
    </w:p>
    <w:p w:rsidR="002427B5" w:rsidRPr="008575C9" w:rsidRDefault="002427B5" w:rsidP="008A1509">
      <w:pPr>
        <w:pStyle w:val="Caption"/>
        <w:spacing w:before="240"/>
        <w:rPr>
          <w:b w:val="0"/>
        </w:rPr>
      </w:pPr>
    </w:p>
    <w:p w:rsidR="00647F70" w:rsidRDefault="00647F70" w:rsidP="008A1509">
      <w:pPr>
        <w:pStyle w:val="Caption"/>
        <w:spacing w:before="240"/>
        <w:rPr>
          <w:b w:val="0"/>
        </w:rPr>
      </w:pPr>
    </w:p>
    <w:p w:rsidR="00647F70" w:rsidRPr="00647F70" w:rsidRDefault="00647F70" w:rsidP="00647F70"/>
    <w:p w:rsidR="008A1509" w:rsidRPr="008575C9" w:rsidRDefault="008A1509" w:rsidP="008A1509">
      <w:pPr>
        <w:pStyle w:val="Caption"/>
        <w:spacing w:before="240"/>
        <w:rPr>
          <w:b w:val="0"/>
        </w:rPr>
      </w:pPr>
      <w:r w:rsidRPr="008575C9">
        <w:rPr>
          <w:b w:val="0"/>
        </w:rPr>
        <w:t>Šaltinis: Statistiko</w:t>
      </w:r>
      <w:r w:rsidR="00594D44" w:rsidRPr="008575C9">
        <w:rPr>
          <w:b w:val="0"/>
        </w:rPr>
        <w:t>s</w:t>
      </w:r>
      <w:r w:rsidRPr="008575C9">
        <w:rPr>
          <w:b w:val="0"/>
        </w:rPr>
        <w:t xml:space="preserve"> departamentas</w:t>
      </w:r>
    </w:p>
    <w:p w:rsidR="00B76AF6" w:rsidRPr="008575C9" w:rsidRDefault="00B76AF6" w:rsidP="00B76AF6">
      <w:pPr>
        <w:jc w:val="both"/>
        <w:rPr>
          <w:rFonts w:ascii="Arial" w:eastAsia="MS PGothic" w:hAnsi="Arial" w:cs="Times New Roman"/>
          <w:sz w:val="20"/>
          <w:szCs w:val="24"/>
        </w:rPr>
      </w:pPr>
      <w:r w:rsidRPr="008575C9">
        <w:rPr>
          <w:rFonts w:ascii="Arial" w:eastAsia="MS PGothic" w:hAnsi="Arial" w:cs="Times New Roman"/>
          <w:sz w:val="20"/>
          <w:szCs w:val="24"/>
        </w:rPr>
        <w:t>Vertinant ūkio ir finansini</w:t>
      </w:r>
      <w:r w:rsidR="004E0E71" w:rsidRPr="008575C9">
        <w:rPr>
          <w:rFonts w:ascii="Arial" w:eastAsia="MS PGothic" w:hAnsi="Arial" w:cs="Times New Roman"/>
          <w:sz w:val="20"/>
          <w:szCs w:val="24"/>
        </w:rPr>
        <w:t xml:space="preserve">us </w:t>
      </w:r>
      <w:r w:rsidR="004E0E71" w:rsidRPr="008575C9">
        <w:rPr>
          <w:rFonts w:ascii="Arial" w:eastAsia="MS PGothic" w:hAnsi="Arial" w:cs="Arial"/>
          <w:sz w:val="20"/>
          <w:szCs w:val="24"/>
        </w:rPr>
        <w:t xml:space="preserve">rodiklius </w:t>
      </w:r>
      <w:r w:rsidRPr="008575C9">
        <w:rPr>
          <w:rFonts w:ascii="Arial" w:eastAsia="MS PGothic" w:hAnsi="Arial" w:cs="Arial"/>
          <w:sz w:val="20"/>
          <w:szCs w:val="24"/>
        </w:rPr>
        <w:t>pastebima,</w:t>
      </w:r>
      <w:r w:rsidR="00424FB7" w:rsidRPr="008575C9">
        <w:rPr>
          <w:rFonts w:ascii="Arial" w:eastAsia="MS PGothic" w:hAnsi="Arial" w:cs="Arial"/>
          <w:sz w:val="20"/>
          <w:szCs w:val="24"/>
        </w:rPr>
        <w:t xml:space="preserve"> kad</w:t>
      </w:r>
      <w:r w:rsidR="0062159A" w:rsidRPr="008575C9">
        <w:rPr>
          <w:rFonts w:ascii="Arial" w:eastAsia="MS PGothic" w:hAnsi="Arial" w:cs="Arial"/>
          <w:sz w:val="20"/>
          <w:szCs w:val="24"/>
        </w:rPr>
        <w:t xml:space="preserve"> 2007 – 2013</w:t>
      </w:r>
      <w:r w:rsidR="00BC4ECE" w:rsidRPr="008575C9">
        <w:rPr>
          <w:rFonts w:ascii="Arial" w:eastAsia="MS PGothic" w:hAnsi="Arial" w:cs="Arial"/>
          <w:sz w:val="20"/>
          <w:szCs w:val="24"/>
        </w:rPr>
        <w:t xml:space="preserve"> m. </w:t>
      </w:r>
      <w:r w:rsidR="0062159A" w:rsidRPr="008575C9">
        <w:rPr>
          <w:rFonts w:ascii="Arial" w:eastAsia="MS PGothic" w:hAnsi="Arial" w:cs="Arial"/>
          <w:sz w:val="20"/>
          <w:szCs w:val="24"/>
        </w:rPr>
        <w:t>pridėtinė</w:t>
      </w:r>
      <w:r w:rsidR="00BC4ECE" w:rsidRPr="008575C9">
        <w:rPr>
          <w:rFonts w:ascii="Arial" w:eastAsia="MS PGothic" w:hAnsi="Arial" w:cs="Arial"/>
          <w:sz w:val="20"/>
          <w:szCs w:val="24"/>
        </w:rPr>
        <w:t>s</w:t>
      </w:r>
      <w:r w:rsidR="0062159A" w:rsidRPr="008575C9">
        <w:rPr>
          <w:rFonts w:ascii="Arial" w:eastAsia="MS PGothic" w:hAnsi="Arial" w:cs="Arial"/>
          <w:sz w:val="20"/>
          <w:szCs w:val="24"/>
        </w:rPr>
        <w:t xml:space="preserve"> vertė</w:t>
      </w:r>
      <w:r w:rsidR="00BC4ECE" w:rsidRPr="008575C9">
        <w:rPr>
          <w:rFonts w:ascii="Arial" w:eastAsia="MS PGothic" w:hAnsi="Arial" w:cs="Arial"/>
          <w:sz w:val="20"/>
          <w:szCs w:val="24"/>
        </w:rPr>
        <w:t>s gamybos kainomis ir m</w:t>
      </w:r>
      <w:r w:rsidR="0062159A" w:rsidRPr="008575C9">
        <w:rPr>
          <w:rFonts w:ascii="Arial" w:eastAsia="MS PGothic" w:hAnsi="Arial" w:cs="Arial"/>
          <w:sz w:val="20"/>
          <w:szCs w:val="24"/>
        </w:rPr>
        <w:t>aterialin</w:t>
      </w:r>
      <w:r w:rsidR="00BC4ECE" w:rsidRPr="008575C9">
        <w:rPr>
          <w:rFonts w:ascii="Arial" w:eastAsia="MS PGothic" w:hAnsi="Arial" w:cs="Arial"/>
          <w:sz w:val="20"/>
          <w:szCs w:val="24"/>
        </w:rPr>
        <w:t xml:space="preserve">ių investicijų rodikliai </w:t>
      </w:r>
      <w:r w:rsidR="000B2A0A" w:rsidRPr="008575C9">
        <w:rPr>
          <w:rFonts w:ascii="Arial" w:eastAsia="MS PGothic" w:hAnsi="Arial" w:cs="Arial"/>
          <w:sz w:val="20"/>
          <w:szCs w:val="24"/>
        </w:rPr>
        <w:t>buvo stipriai veikiami ekonomikos ciklo svyravimų</w:t>
      </w:r>
      <w:r w:rsidR="00BC4ECE" w:rsidRPr="008575C9">
        <w:rPr>
          <w:rFonts w:ascii="Arial" w:eastAsia="MS PGothic" w:hAnsi="Arial" w:cs="Arial"/>
          <w:sz w:val="20"/>
          <w:szCs w:val="24"/>
        </w:rPr>
        <w:t xml:space="preserve">. </w:t>
      </w:r>
      <w:r w:rsidR="0007089A" w:rsidRPr="00443B19">
        <w:rPr>
          <w:rFonts w:ascii="Arial" w:hAnsi="Arial" w:cs="Arial"/>
          <w:sz w:val="20"/>
        </w:rPr>
        <w:t>Tiesiogines užsienio investicijas lyginant s</w:t>
      </w:r>
      <w:r w:rsidR="0007089A">
        <w:rPr>
          <w:rFonts w:ascii="Arial" w:hAnsi="Arial" w:cs="Arial"/>
          <w:sz w:val="20"/>
        </w:rPr>
        <w:t xml:space="preserve">u Lietuvos Respublikos vidurkiu, laikotarpio pabaigoje </w:t>
      </w:r>
      <w:r w:rsidR="0007089A" w:rsidRPr="00443B19">
        <w:rPr>
          <w:rFonts w:ascii="Arial" w:hAnsi="Arial" w:cs="Arial"/>
          <w:sz w:val="20"/>
        </w:rPr>
        <w:t>situac</w:t>
      </w:r>
      <w:r w:rsidR="0007089A">
        <w:rPr>
          <w:rFonts w:ascii="Arial" w:hAnsi="Arial" w:cs="Arial"/>
          <w:sz w:val="20"/>
        </w:rPr>
        <w:t>ija išlieka pakankamai prasta: Rokiškio savivaldybės rodikliai sudaro</w:t>
      </w:r>
      <w:r w:rsidR="0007089A" w:rsidRPr="00443B19">
        <w:rPr>
          <w:rFonts w:ascii="Arial" w:hAnsi="Arial" w:cs="Arial"/>
          <w:sz w:val="20"/>
        </w:rPr>
        <w:t xml:space="preserve"> mažiau nei penktadalį šalies vidurkio – 17.28</w:t>
      </w:r>
      <w:r w:rsidR="009752D8">
        <w:rPr>
          <w:rFonts w:ascii="Arial" w:hAnsi="Arial" w:cs="Arial"/>
          <w:sz w:val="20"/>
        </w:rPr>
        <w:t xml:space="preserve"> </w:t>
      </w:r>
      <w:r w:rsidR="0007089A" w:rsidRPr="00443B19">
        <w:rPr>
          <w:rFonts w:ascii="Arial" w:hAnsi="Arial" w:cs="Arial"/>
          <w:sz w:val="20"/>
        </w:rPr>
        <w:t xml:space="preserve">%. </w:t>
      </w:r>
      <w:r w:rsidR="0007089A">
        <w:rPr>
          <w:rFonts w:ascii="Arial" w:hAnsi="Arial" w:cs="Arial"/>
          <w:sz w:val="20"/>
        </w:rPr>
        <w:t>Materialinių investicijų rodiklis taip pat yra ženkliai mažesnis nei prieš-kriziniais metais</w:t>
      </w:r>
      <w:r w:rsidR="009752D8">
        <w:rPr>
          <w:rFonts w:ascii="Arial" w:hAnsi="Arial" w:cs="Arial"/>
          <w:sz w:val="20"/>
        </w:rPr>
        <w:t xml:space="preserve">: </w:t>
      </w:r>
      <w:r w:rsidR="009752D8">
        <w:rPr>
          <w:rFonts w:ascii="Arial" w:hAnsi="Arial" w:cs="Arial"/>
          <w:sz w:val="20"/>
          <w:lang w:val="en-US"/>
        </w:rPr>
        <w:t>2010 m.</w:t>
      </w:r>
      <w:r w:rsidR="009752D8">
        <w:rPr>
          <w:rFonts w:ascii="Arial" w:hAnsi="Arial" w:cs="Arial"/>
          <w:sz w:val="20"/>
        </w:rPr>
        <w:t xml:space="preserve"> pasiekęs žemiausią savo įvertį, likusiu laikotarpiu laikėsi panašiose pozicijose. Pridėtinės vertės gamybos kainomis rodiklis, skirtingai nei kiti ekonominės veiklos rezultatai, laikotarpio antroje pusėj netgi viršijo </w:t>
      </w:r>
      <w:r w:rsidR="009752D8">
        <w:rPr>
          <w:rFonts w:ascii="Arial" w:hAnsi="Arial" w:cs="Arial"/>
          <w:sz w:val="20"/>
          <w:lang w:val="en-US"/>
        </w:rPr>
        <w:t>2007 m.</w:t>
      </w:r>
      <w:r w:rsidR="009752D8">
        <w:rPr>
          <w:rFonts w:ascii="Arial" w:hAnsi="Arial" w:cs="Arial"/>
          <w:sz w:val="20"/>
        </w:rPr>
        <w:t xml:space="preserve"> įvertį. </w:t>
      </w:r>
      <w:r w:rsidR="00CF2C00" w:rsidRPr="008575C9">
        <w:rPr>
          <w:rFonts w:ascii="Arial" w:eastAsia="MS PGothic" w:hAnsi="Arial" w:cs="Times New Roman"/>
          <w:sz w:val="20"/>
          <w:szCs w:val="24"/>
        </w:rPr>
        <w:t xml:space="preserve">Apibendrinant, ekonominės veiklos rodikliai </w:t>
      </w:r>
      <w:r w:rsidR="009752D8">
        <w:rPr>
          <w:rFonts w:ascii="Arial" w:eastAsia="MS PGothic" w:hAnsi="Arial" w:cs="Times New Roman"/>
          <w:sz w:val="20"/>
          <w:szCs w:val="24"/>
        </w:rPr>
        <w:t>Rokiškio rajono</w:t>
      </w:r>
      <w:r w:rsidR="00CF2C00" w:rsidRPr="008575C9">
        <w:rPr>
          <w:rFonts w:ascii="Arial" w:eastAsia="MS PGothic" w:hAnsi="Arial" w:cs="Times New Roman"/>
          <w:sz w:val="20"/>
          <w:szCs w:val="24"/>
        </w:rPr>
        <w:t xml:space="preserve"> savivaldybėje pasižymėjo bendra </w:t>
      </w:r>
      <w:r w:rsidR="009752D8">
        <w:rPr>
          <w:rFonts w:ascii="Arial" w:eastAsia="MS PGothic" w:hAnsi="Arial" w:cs="Times New Roman"/>
          <w:sz w:val="20"/>
          <w:szCs w:val="24"/>
        </w:rPr>
        <w:t>neigiama</w:t>
      </w:r>
      <w:r w:rsidR="00CF2C00" w:rsidRPr="008575C9">
        <w:rPr>
          <w:rFonts w:ascii="Arial" w:eastAsia="MS PGothic" w:hAnsi="Arial" w:cs="Times New Roman"/>
          <w:sz w:val="20"/>
          <w:szCs w:val="24"/>
        </w:rPr>
        <w:t xml:space="preserve"> kitimo te</w:t>
      </w:r>
      <w:r w:rsidR="009752D8">
        <w:rPr>
          <w:rFonts w:ascii="Arial" w:eastAsia="MS PGothic" w:hAnsi="Arial" w:cs="Times New Roman"/>
          <w:sz w:val="20"/>
          <w:szCs w:val="24"/>
        </w:rPr>
        <w:t>ndencija; tikėtina, kad ES SF investicijos į verslo sektoriaus įmones padėjo suvaldyti krizės padarinius ir kurti pridėtinę vertę viso laikotarpio metu.</w:t>
      </w:r>
    </w:p>
    <w:p w:rsidR="00A027E9" w:rsidRPr="008575C9" w:rsidRDefault="008A1509" w:rsidP="00D271D7">
      <w:pPr>
        <w:pStyle w:val="Caption"/>
        <w:keepNext/>
      </w:pPr>
      <w:r w:rsidRPr="008575C9">
        <w:fldChar w:fldCharType="begin"/>
      </w:r>
      <w:r w:rsidRPr="008575C9">
        <w:instrText xml:space="preserve"> SEQ paveikslas \* ARABIC </w:instrText>
      </w:r>
      <w:r w:rsidRPr="008575C9">
        <w:fldChar w:fldCharType="separate"/>
      </w:r>
      <w:r w:rsidRPr="008575C9">
        <w:t>6</w:t>
      </w:r>
      <w:r w:rsidRPr="008575C9">
        <w:fldChar w:fldCharType="end"/>
      </w:r>
      <w:r w:rsidRPr="008575C9">
        <w:t xml:space="preserve"> paveikslas. Ekonominės veiklos rodikliai</w:t>
      </w:r>
      <w:r w:rsidR="00D271D7" w:rsidRPr="008575C9">
        <w:rPr>
          <w:noProof/>
          <w:lang w:val="en-US"/>
        </w:rPr>
        <w:drawing>
          <wp:anchor distT="0" distB="0" distL="114300" distR="114300" simplePos="0" relativeHeight="251703296" behindDoc="0" locked="0" layoutInCell="1" allowOverlap="1" wp14:anchorId="3811C2A8" wp14:editId="1C657D93">
            <wp:simplePos x="0" y="0"/>
            <wp:positionH relativeFrom="column">
              <wp:posOffset>0</wp:posOffset>
            </wp:positionH>
            <wp:positionV relativeFrom="paragraph">
              <wp:posOffset>286385</wp:posOffset>
            </wp:positionV>
            <wp:extent cx="4550229" cy="2720068"/>
            <wp:effectExtent l="0" t="0" r="3175" b="44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647F70" w:rsidRDefault="00647F70" w:rsidP="00805F6F">
      <w:pPr>
        <w:pStyle w:val="Caption"/>
        <w:spacing w:before="240" w:after="240"/>
        <w:rPr>
          <w:b w:val="0"/>
        </w:rPr>
      </w:pPr>
    </w:p>
    <w:p w:rsidR="004E0E71" w:rsidRPr="008575C9" w:rsidRDefault="004E0E71" w:rsidP="00805F6F">
      <w:pPr>
        <w:pStyle w:val="Caption"/>
        <w:spacing w:before="240" w:after="240"/>
        <w:rPr>
          <w:b w:val="0"/>
        </w:rPr>
      </w:pPr>
      <w:r w:rsidRPr="008575C9">
        <w:rPr>
          <w:b w:val="0"/>
        </w:rPr>
        <w:t>Šaltinis: Statistiko</w:t>
      </w:r>
      <w:r w:rsidR="0062159A" w:rsidRPr="008575C9">
        <w:rPr>
          <w:b w:val="0"/>
        </w:rPr>
        <w:t>s</w:t>
      </w:r>
      <w:r w:rsidRPr="008575C9">
        <w:rPr>
          <w:b w:val="0"/>
        </w:rPr>
        <w:t xml:space="preserve"> departamentas</w:t>
      </w:r>
    </w:p>
    <w:p w:rsidR="00942138" w:rsidRPr="008575C9" w:rsidRDefault="006C4D28" w:rsidP="00156F09">
      <w:pPr>
        <w:pStyle w:val="Heading1"/>
        <w:numPr>
          <w:ilvl w:val="1"/>
          <w:numId w:val="1"/>
        </w:numPr>
        <w:spacing w:before="600" w:after="240"/>
        <w:rPr>
          <w:rFonts w:ascii="Arial" w:hAnsi="Arial" w:cs="Arial"/>
          <w:b w:val="0"/>
          <w:sz w:val="28"/>
        </w:rPr>
      </w:pPr>
      <w:r w:rsidRPr="008575C9">
        <w:rPr>
          <w:rFonts w:ascii="Arial" w:hAnsi="Arial" w:cs="Arial"/>
          <w:b w:val="0"/>
          <w:sz w:val="28"/>
        </w:rPr>
        <w:t>ES struktūrinės paramos poveikis</w:t>
      </w:r>
    </w:p>
    <w:p w:rsidR="00647F70" w:rsidRDefault="006C4D28" w:rsidP="00CF2C00">
      <w:pPr>
        <w:jc w:val="both"/>
        <w:rPr>
          <w:rFonts w:ascii="Arial" w:eastAsia="MS PGothic" w:hAnsi="Arial" w:cs="Times New Roman"/>
          <w:sz w:val="20"/>
          <w:szCs w:val="24"/>
        </w:rPr>
      </w:pPr>
      <w:r w:rsidRPr="008575C9">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8575C9">
        <w:rPr>
          <w:rFonts w:ascii="Arial" w:eastAsia="MS PGothic" w:hAnsi="Arial" w:cs="Times New Roman"/>
          <w:sz w:val="20"/>
          <w:szCs w:val="24"/>
        </w:rPr>
        <w:t xml:space="preserve">teritorijų gaivinimo programas. </w:t>
      </w:r>
      <w:r w:rsidR="00BF63D3" w:rsidRPr="008575C9">
        <w:rPr>
          <w:rFonts w:ascii="Arial" w:eastAsia="MS PGothic" w:hAnsi="Arial" w:cs="Times New Roman"/>
          <w:sz w:val="20"/>
          <w:szCs w:val="24"/>
        </w:rPr>
        <w:t xml:space="preserve">Pagrindiniai </w:t>
      </w:r>
      <w:r w:rsidR="009752D8">
        <w:rPr>
          <w:rFonts w:ascii="Arial" w:eastAsia="MS PGothic" w:hAnsi="Arial" w:cs="Times New Roman"/>
          <w:sz w:val="20"/>
          <w:szCs w:val="24"/>
        </w:rPr>
        <w:t>Rokiškio</w:t>
      </w:r>
      <w:r w:rsidR="00C446C3" w:rsidRPr="008575C9">
        <w:rPr>
          <w:rFonts w:ascii="Arial" w:eastAsia="MS PGothic" w:hAnsi="Arial" w:cs="Times New Roman"/>
          <w:sz w:val="20"/>
          <w:szCs w:val="24"/>
        </w:rPr>
        <w:t xml:space="preserve"> rajono</w:t>
      </w:r>
      <w:r w:rsidR="00BF63D3" w:rsidRPr="008575C9">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CF2C00" w:rsidRPr="008575C9">
        <w:rPr>
          <w:rFonts w:ascii="Arial" w:eastAsia="MS PGothic" w:hAnsi="Arial" w:cs="Times New Roman"/>
          <w:sz w:val="20"/>
          <w:szCs w:val="24"/>
        </w:rPr>
        <w:t>kompleksinį</w:t>
      </w:r>
      <w:r w:rsidR="00D4179A" w:rsidRPr="008575C9">
        <w:rPr>
          <w:rFonts w:ascii="Arial" w:eastAsia="MS PGothic" w:hAnsi="Arial" w:cs="Times New Roman"/>
          <w:sz w:val="20"/>
          <w:szCs w:val="24"/>
        </w:rPr>
        <w:t xml:space="preserve"> gyvenamosios aplinkos ir </w:t>
      </w:r>
      <w:r w:rsidR="005E7012" w:rsidRPr="008575C9">
        <w:rPr>
          <w:rFonts w:ascii="Arial" w:eastAsia="MS PGothic" w:hAnsi="Arial" w:cs="Times New Roman"/>
          <w:sz w:val="20"/>
          <w:szCs w:val="24"/>
        </w:rPr>
        <w:t xml:space="preserve">urbanistinės </w:t>
      </w:r>
      <w:r w:rsidR="00BF63D3" w:rsidRPr="008575C9">
        <w:rPr>
          <w:rFonts w:ascii="Arial" w:eastAsia="MS PGothic" w:hAnsi="Arial" w:cs="Times New Roman"/>
          <w:sz w:val="20"/>
          <w:szCs w:val="24"/>
        </w:rPr>
        <w:t xml:space="preserve"> </w:t>
      </w:r>
      <w:r w:rsidR="005E7012" w:rsidRPr="008575C9">
        <w:rPr>
          <w:rFonts w:ascii="Arial" w:eastAsia="MS PGothic" w:hAnsi="Arial" w:cs="Times New Roman"/>
          <w:sz w:val="20"/>
          <w:szCs w:val="24"/>
        </w:rPr>
        <w:t xml:space="preserve">infrastruktūros </w:t>
      </w:r>
      <w:r w:rsidR="00BF63D3" w:rsidRPr="008575C9">
        <w:rPr>
          <w:rFonts w:ascii="Arial" w:eastAsia="MS PGothic" w:hAnsi="Arial" w:cs="Times New Roman"/>
          <w:sz w:val="20"/>
          <w:szCs w:val="24"/>
        </w:rPr>
        <w:t>tobulinimą.</w:t>
      </w:r>
      <w:r w:rsidR="00D66F8E" w:rsidRPr="008575C9">
        <w:rPr>
          <w:rStyle w:val="FootnoteReference"/>
          <w:rFonts w:ascii="Arial" w:eastAsia="MS PGothic" w:hAnsi="Arial" w:cs="Times New Roman"/>
          <w:sz w:val="20"/>
          <w:szCs w:val="24"/>
        </w:rPr>
        <w:footnoteReference w:id="1"/>
      </w:r>
      <w:r w:rsidR="002D1DCE" w:rsidRPr="008575C9">
        <w:rPr>
          <w:rFonts w:ascii="Arial" w:eastAsia="MS PGothic" w:hAnsi="Arial" w:cs="Times New Roman"/>
          <w:sz w:val="20"/>
          <w:szCs w:val="24"/>
        </w:rPr>
        <w:t xml:space="preserve"> Taigi ir ES SF lėšos daugiausia buvo investuotos</w:t>
      </w:r>
      <w:r w:rsidR="00D66F8E" w:rsidRPr="008575C9">
        <w:rPr>
          <w:rFonts w:ascii="Arial" w:eastAsia="MS PGothic" w:hAnsi="Arial" w:cs="Times New Roman"/>
          <w:sz w:val="20"/>
          <w:szCs w:val="24"/>
        </w:rPr>
        <w:t xml:space="preserve"> į fizinės aplinkos gerinimą, </w:t>
      </w:r>
      <w:r w:rsidR="005E7012" w:rsidRPr="008575C9">
        <w:rPr>
          <w:rFonts w:ascii="Arial" w:eastAsia="MS PGothic" w:hAnsi="Arial" w:cs="Times New Roman"/>
          <w:sz w:val="20"/>
          <w:szCs w:val="24"/>
        </w:rPr>
        <w:t>viešosios paskirties pastatų ir daugiabučių</w:t>
      </w:r>
      <w:r w:rsidR="00CF2C00" w:rsidRPr="008575C9">
        <w:rPr>
          <w:rFonts w:ascii="Arial" w:eastAsia="MS PGothic" w:hAnsi="Arial" w:cs="Times New Roman"/>
          <w:sz w:val="20"/>
          <w:szCs w:val="24"/>
        </w:rPr>
        <w:t xml:space="preserve"> renovavimą. Probleminių teritorijų programa buvo viena pagrindinių priemonių, skirtų socialinės atskirties mažinimui tarp regionų. Vis dėlto skirtos lėšos buvo nepakankamos numatytų tikslų pasiekimui.</w:t>
      </w:r>
    </w:p>
    <w:p w:rsidR="00647F70" w:rsidRDefault="00E44928" w:rsidP="00647F70">
      <w:pPr>
        <w:jc w:val="both"/>
        <w:rPr>
          <w:rFonts w:ascii="Arial" w:hAnsi="Arial" w:cs="Arial"/>
          <w:sz w:val="20"/>
        </w:rPr>
      </w:pPr>
      <w:r w:rsidRPr="00647F70">
        <w:rPr>
          <w:rFonts w:ascii="Arial" w:eastAsia="MS PGothic" w:hAnsi="Arial" w:cs="Times New Roman"/>
          <w:noProof/>
          <w:sz w:val="20"/>
          <w:szCs w:val="24"/>
          <w:lang w:val="en-US"/>
        </w:rPr>
        <mc:AlternateContent>
          <mc:Choice Requires="wps">
            <w:drawing>
              <wp:anchor distT="0" distB="0" distL="114300" distR="114300" simplePos="0" relativeHeight="251705344" behindDoc="1" locked="0" layoutInCell="1" allowOverlap="1" wp14:anchorId="14ACF67F" wp14:editId="4A7926CD">
                <wp:simplePos x="0" y="0"/>
                <wp:positionH relativeFrom="column">
                  <wp:posOffset>-5715</wp:posOffset>
                </wp:positionH>
                <wp:positionV relativeFrom="paragraph">
                  <wp:posOffset>1531620</wp:posOffset>
                </wp:positionV>
                <wp:extent cx="5015230" cy="2279015"/>
                <wp:effectExtent l="0" t="0" r="13970" b="26035"/>
                <wp:wrapTight wrapText="bothSides">
                  <wp:wrapPolygon edited="0">
                    <wp:start x="0" y="0"/>
                    <wp:lineTo x="0" y="21666"/>
                    <wp:lineTo x="21578" y="21666"/>
                    <wp:lineTo x="2157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2279015"/>
                        </a:xfrm>
                        <a:prstGeom prst="rect">
                          <a:avLst/>
                        </a:prstGeom>
                        <a:solidFill>
                          <a:srgbClr val="FFFFFF"/>
                        </a:solidFill>
                        <a:ln w="9525">
                          <a:solidFill>
                            <a:srgbClr val="000000"/>
                          </a:solidFill>
                          <a:miter lim="800000"/>
                          <a:headEnd/>
                          <a:tailEnd/>
                        </a:ln>
                      </wps:spPr>
                      <wps:txbx>
                        <w:txbxContent>
                          <w:p w:rsidR="00E44928" w:rsidRPr="00E44928" w:rsidRDefault="00E44928" w:rsidP="00E44928">
                            <w:pPr>
                              <w:rPr>
                                <w:rFonts w:ascii="Arial" w:hAnsi="Arial" w:cs="Arial"/>
                                <w:b/>
                                <w:sz w:val="16"/>
                                <w:szCs w:val="16"/>
                              </w:rPr>
                            </w:pPr>
                            <w:r w:rsidRPr="00E44928">
                              <w:rPr>
                                <w:rFonts w:ascii="Arial" w:hAnsi="Arial" w:cs="Arial"/>
                                <w:b/>
                                <w:sz w:val="16"/>
                                <w:szCs w:val="16"/>
                              </w:rPr>
                              <w:t>Urbanistinės teritorijos Rokiškio mieste tarp Respublikos-Aušros-Parko-Taikos-Vilties-P.Širvio-Jaunystės-Panevėžio-Perkūno-Kauno-J.Basanavičiaus-Ąžuolų-Tyzenhauzų-Pievų-Juodupės-Laisvės gatvių sutvarkymas ir plėtra, VP3-1.1.-VRM-02-R-52-001</w:t>
                            </w:r>
                          </w:p>
                          <w:p w:rsidR="00E44928" w:rsidRPr="00647F70" w:rsidRDefault="00E44928" w:rsidP="00E44928">
                            <w:pPr>
                              <w:jc w:val="both"/>
                              <w:rPr>
                                <w:rFonts w:ascii="Arial" w:hAnsi="Arial" w:cs="Arial"/>
                                <w:sz w:val="16"/>
                                <w:szCs w:val="16"/>
                              </w:rPr>
                            </w:pPr>
                            <w:r w:rsidRPr="00647F70">
                              <w:rPr>
                                <w:rFonts w:ascii="Arial" w:hAnsi="Arial" w:cs="Arial"/>
                                <w:sz w:val="16"/>
                                <w:szCs w:val="16"/>
                              </w:rPr>
                              <w:t>Rokiškio rajono savivaldybės administracija 2007-2013 m. programavimo periode įgyvendino projektą "Urbanistinės teritorijos Rokiškio mieste tarp Respublikos-Aušros-Parko-Taikos-Vilties-P.Širvio-Jauny</w:t>
                            </w:r>
                            <w:r>
                              <w:rPr>
                                <w:rFonts w:ascii="Arial" w:hAnsi="Arial" w:cs="Arial"/>
                                <w:sz w:val="16"/>
                                <w:szCs w:val="16"/>
                              </w:rPr>
                              <w:t>stės-Panevėžio-Perkūno-Kauno-J.</w:t>
                            </w:r>
                            <w:r w:rsidRPr="00647F70">
                              <w:rPr>
                                <w:rFonts w:ascii="Arial" w:hAnsi="Arial" w:cs="Arial"/>
                                <w:sz w:val="16"/>
                                <w:szCs w:val="16"/>
                              </w:rPr>
                              <w:t xml:space="preserve">Basanavičiaus-Ąžuolų-Tyzenhauzų-Pievų-Juodupės-Laisvės </w:t>
                            </w:r>
                            <w:r>
                              <w:rPr>
                                <w:rFonts w:ascii="Arial" w:hAnsi="Arial" w:cs="Arial"/>
                                <w:sz w:val="16"/>
                                <w:szCs w:val="16"/>
                              </w:rPr>
                              <w:t xml:space="preserve"> g</w:t>
                            </w:r>
                            <w:r w:rsidRPr="00647F70">
                              <w:rPr>
                                <w:rFonts w:ascii="Arial" w:hAnsi="Arial" w:cs="Arial"/>
                                <w:sz w:val="16"/>
                                <w:szCs w:val="16"/>
                              </w:rPr>
                              <w:t>atvių sutvarkymas ir plėtra" Nr. VP3-1.1.-VRM-02-R-52-001, finansuojamą priemonės "Probleminių teritorijų plėtra lėšomis". Projekto metu buvo atskleistas darnaus vystymosi principo įgyvendinimas šiose srityse: aplinkosaugos (įrengtos atliekų rūšiavimo aikštelės, todėl gyventojai skatinami rūšiuoti atliekas, įrengtos automobilių stovėjimo aikštelės, todėl gyventojai nebestato automobilių ant žaliųjų vejų); socialinėje (sutvarkius skverą, aikštę jais gali naudotis įvarius poreikius turinčios žmonių grupės-vaikai, senyvo amžiaus žmonės, neįgalieji, įrengtos vaikų žaidimų aikštelės skatina vaikų užimtumą, stadionas pritaikytas senjorų poreikiams skatina senyvo amžiaus žmonių užimtumą, gerina sveikatą  ); ekonomikos (modernizavus skvero, gatvės, aikštės apšvietimą sumažėjo elektros sąnaudos, o sutaupytos lėšos nukreipiamos ilgalaikėmes investicijoms, įrengiami pėščiųjų ir dviračių takai, todėl  daugiau žmonių važinėja dviračiais).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45pt;margin-top:120.6pt;width:394.9pt;height:179.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4DJgIAAE4EAAAOAAAAZHJzL2Uyb0RvYy54bWysVNuO2yAQfa/Uf0C8N3a8SbOx4qy22aaq&#10;tL1Iu/0AjHGMCgwFEjv9+g44m01vL1X9gBhmOJw5M+PVzaAVOQjnJZiKTic5JcJwaKTZVfTL4/bV&#10;NSU+MNMwBUZU9Cg8vVm/fLHqbSkK6EA1whEEMb7sbUW7EGyZZZ53QjM/ASsMOltwmgU03S5rHOsR&#10;XausyPPXWQ+usQ648B5P70YnXSf8thU8fGpbLwJRFUVuIa0urXVcs/WKlTvHbCf5iQb7BxaaSYOP&#10;nqHuWGBk7+RvUFpyBx7aMOGgM2hbyUXKAbOZ5r9k89AxK1IuKI63Z5n8/4PlHw+fHZFNRa/yBSWG&#10;aSzSoxgCeQMDKaI+vfUlhj1YDAwDHmOdU67e3gP/6omBTcfMTtw6B30nWIP8pvFmdnF1xPERpO4/&#10;QIPPsH2ABDS0TkfxUA6C6Fin47k2kQrHw3k+nRdX6OLoK4rFEu30BiufrlvnwzsBmsRNRR0WP8Gz&#10;w70PkQ4rn0Liax6UbLZSqWS4Xb1RjhwYNso2fSf0n8KUIX1Fl/NiPirwV4g8fX+C0DJgxyupK3p9&#10;DmJl1O2taVI/BibVuEfKypyEjNqNKoahHlLNkspR5BqaIyrrYGxwHEjcdOC+U9Jjc1fUf9szJyhR&#10;7w1WZzmdzeI0JGM2XxRouEtPfelhhiNURQMl43YT0gRF3QzcYhVbmfR9ZnKijE2bZD8NWJyKSztF&#10;Pf8G1j8AAAD//wMAUEsDBBQABgAIAAAAIQB5uPAJ3wAAAAkBAAAPAAAAZHJzL2Rvd25yZXYueG1s&#10;TI/NTsMwEITvSLyDtUhcUGsnVGkasqkQEghuUBBc3dhNIvwTbDcNb89yguPsjGa+rbezNWzSIQ7e&#10;IWRLAUy71qvBdQhvr/eLElhM0ilpvNMI3zrCtjk/q2Wl/Mm96GmXOkYlLlYSoU9prDiPba+tjEs/&#10;akfewQcrE8nQcRXkicqt4bkQBbdycLTQy1Hf9br93B0tQrl6nD7i0/Xze1sczCZdraeHr4B4eTHf&#10;3gBLek5/YfjFJ3RoiGnvj05FZhAWGwoi5KssB0b+uizpskcohMiANzX//0HzAwAA//8DAFBLAQIt&#10;ABQABgAIAAAAIQC2gziS/gAAAOEBAAATAAAAAAAAAAAAAAAAAAAAAABbQ29udGVudF9UeXBlc10u&#10;eG1sUEsBAi0AFAAGAAgAAAAhADj9If/WAAAAlAEAAAsAAAAAAAAAAAAAAAAALwEAAF9yZWxzLy5y&#10;ZWxzUEsBAi0AFAAGAAgAAAAhAPNcLgMmAgAATgQAAA4AAAAAAAAAAAAAAAAALgIAAGRycy9lMm9E&#10;b2MueG1sUEsBAi0AFAAGAAgAAAAhAHm48AnfAAAACQEAAA8AAAAAAAAAAAAAAAAAgAQAAGRycy9k&#10;b3ducmV2LnhtbFBLBQYAAAAABAAEAPMAAACMBQAAAAA=&#10;">
                <v:textbox>
                  <w:txbxContent>
                    <w:p w:rsidR="00E44928" w:rsidRPr="00E44928" w:rsidRDefault="00E44928" w:rsidP="00E44928">
                      <w:pPr>
                        <w:rPr>
                          <w:rFonts w:ascii="Arial" w:hAnsi="Arial" w:cs="Arial"/>
                          <w:b/>
                          <w:sz w:val="16"/>
                          <w:szCs w:val="16"/>
                        </w:rPr>
                      </w:pPr>
                      <w:r w:rsidRPr="00E44928">
                        <w:rPr>
                          <w:rFonts w:ascii="Arial" w:hAnsi="Arial" w:cs="Arial"/>
                          <w:b/>
                          <w:sz w:val="16"/>
                          <w:szCs w:val="16"/>
                        </w:rPr>
                        <w:t>Urbanistinės teritorijos Rokiškio mieste tarp Respublikos-Aušros-Parko-Taikos-Vilties-P.Širvio-Jaunystės-Panevėžio-Perkūno-Kauno-J.Basanavičiaus-Ąžuolų-Tyzenhauzų-Pievų-Juodupės-Laisvės gatvių sutvarkymas ir plėtra, VP3-1.1.-VRM-02-R-52-001</w:t>
                      </w:r>
                    </w:p>
                    <w:p w:rsidR="00E44928" w:rsidRPr="00647F70" w:rsidRDefault="00E44928" w:rsidP="00E44928">
                      <w:pPr>
                        <w:jc w:val="both"/>
                        <w:rPr>
                          <w:rFonts w:ascii="Arial" w:hAnsi="Arial" w:cs="Arial"/>
                          <w:sz w:val="16"/>
                          <w:szCs w:val="16"/>
                        </w:rPr>
                      </w:pPr>
                      <w:r w:rsidRPr="00647F70">
                        <w:rPr>
                          <w:rFonts w:ascii="Arial" w:hAnsi="Arial" w:cs="Arial"/>
                          <w:sz w:val="16"/>
                          <w:szCs w:val="16"/>
                        </w:rPr>
                        <w:t>Rokiškio rajono savivaldybės administracija 2007-2013 m. programavimo periode įgyvendino projektą "Urbanistinės teritorijos Rokiškio mieste tarp Respublikos-Aušros-Parko-Taikos-Vilties-P.Širvio-Jauny</w:t>
                      </w:r>
                      <w:r>
                        <w:rPr>
                          <w:rFonts w:ascii="Arial" w:hAnsi="Arial" w:cs="Arial"/>
                          <w:sz w:val="16"/>
                          <w:szCs w:val="16"/>
                        </w:rPr>
                        <w:t>stės-Panevėžio-Perkūno-Kauno-J.</w:t>
                      </w:r>
                      <w:r w:rsidRPr="00647F70">
                        <w:rPr>
                          <w:rFonts w:ascii="Arial" w:hAnsi="Arial" w:cs="Arial"/>
                          <w:sz w:val="16"/>
                          <w:szCs w:val="16"/>
                        </w:rPr>
                        <w:t xml:space="preserve">Basanavičiaus-Ąžuolų-Tyzenhauzų-Pievų-Juodupės-Laisvės </w:t>
                      </w:r>
                      <w:r>
                        <w:rPr>
                          <w:rFonts w:ascii="Arial" w:hAnsi="Arial" w:cs="Arial"/>
                          <w:sz w:val="16"/>
                          <w:szCs w:val="16"/>
                        </w:rPr>
                        <w:t xml:space="preserve"> g</w:t>
                      </w:r>
                      <w:r w:rsidRPr="00647F70">
                        <w:rPr>
                          <w:rFonts w:ascii="Arial" w:hAnsi="Arial" w:cs="Arial"/>
                          <w:sz w:val="16"/>
                          <w:szCs w:val="16"/>
                        </w:rPr>
                        <w:t>atvių sutvarkymas ir plėtra" Nr. VP3-1.1.-VRM-02-R-52-001, finansuojamą priemonės "Probleminių teritorijų plėtra lėšomis". Projekto metu buvo atskleistas darnaus vystymosi principo įgyvendinimas šiose srityse: aplinkosaugos (įrengtos atliekų rūšiavimo aikštelės, todėl gyventojai skatinami rūšiuoti atliekas, įrengtos automobilių stovėjimo aikštelės, todėl gyventojai nebestato automobilių ant žaliųjų vejų); socialinėje (sutvarkius skverą, aikštę jais gali naudotis įvarius poreikius turinčios žmonių grupės-vaikai, senyvo amžiaus žmonės, neįgalieji, įrengtos vaikų žaidimų aikštelės skatina vaikų užimtumą, stadionas pritaikytas senjorų poreikiams skatina senyvo amžiaus žmonių užimtumą, gerina sveikatą  ); ekonomikos (modernizavus skvero, gatvės, aikštės apšvietimą sumažėjo elektros sąnaudos, o sutaupytos lėšos nukreipiamos ilgalaikėmes investicijoms, įrengiami pėščiųjų ir dviračių takai, todėl  daugiau žmonių važinėja dviračiais).</w:t>
                      </w:r>
                    </w:p>
                  </w:txbxContent>
                </v:textbox>
                <w10:wrap type="tight"/>
              </v:shape>
            </w:pict>
          </mc:Fallback>
        </mc:AlternateContent>
      </w:r>
      <w:r w:rsidR="00647F70" w:rsidRPr="00443B19">
        <w:rPr>
          <w:rFonts w:ascii="Arial" w:hAnsi="Arial" w:cs="Arial"/>
          <w:sz w:val="20"/>
        </w:rPr>
        <w:t>ES skirtos lėšos leido Rokiškio miestui pagerinti viešąją infrastruktūrą, įrengti automobilių stovėjimo aikšteles, šaligatvius, dviračių takus, apšvietimą, modernizuoti daugiabučius namus ar įrengti šiuolaikišką socialinį būstą. Be šių išorės investicijų</w:t>
      </w:r>
      <w:r w:rsidR="00647F70">
        <w:rPr>
          <w:rFonts w:ascii="Arial" w:hAnsi="Arial" w:cs="Arial"/>
          <w:sz w:val="20"/>
        </w:rPr>
        <w:t>,</w:t>
      </w:r>
      <w:r w:rsidR="00647F70" w:rsidRPr="00443B19">
        <w:rPr>
          <w:rFonts w:ascii="Arial" w:hAnsi="Arial" w:cs="Arial"/>
          <w:sz w:val="20"/>
        </w:rPr>
        <w:t xml:space="preserve"> savivaldybė nebūtų įstengusi </w:t>
      </w:r>
      <w:r w:rsidR="00647F70">
        <w:rPr>
          <w:rFonts w:ascii="Arial" w:hAnsi="Arial" w:cs="Arial"/>
          <w:sz w:val="20"/>
        </w:rPr>
        <w:t>įgyvendinti tokių ryškių pokyčių fizinės aplinkos gerinimo srityje</w:t>
      </w:r>
      <w:r w:rsidR="00647F70" w:rsidRPr="00443B19">
        <w:rPr>
          <w:rFonts w:ascii="Arial" w:hAnsi="Arial" w:cs="Arial"/>
          <w:sz w:val="20"/>
        </w:rPr>
        <w:t>. ES lėšos leido pagerinti gyvenimo kokybę, padidinti investicinį patrauklumą. Vertinant darbo vietų kūrimą bei užimtumo didinimą išskiriama, jog įgyvendinti projektai trumpuoju laikotarpiu rajono statybos ar paslaugų įmonėms suteikė galimybę dalyvauti savivaldybės ar jos įstaigų įgyvendintų projektų procese, vykdant rangos darbus, teikiant paslaugas ar prekes, tačiau ilgalaikis efektas nėra pastebimas.</w:t>
      </w:r>
    </w:p>
    <w:p w:rsidR="00E44928" w:rsidRPr="00443B19" w:rsidRDefault="00E44928" w:rsidP="00647F70">
      <w:pPr>
        <w:jc w:val="both"/>
        <w:rPr>
          <w:rFonts w:ascii="Arial" w:hAnsi="Arial" w:cs="Arial"/>
          <w:sz w:val="20"/>
        </w:rPr>
      </w:pPr>
      <w:bookmarkStart w:id="0" w:name="_GoBack"/>
      <w:bookmarkEnd w:id="0"/>
    </w:p>
    <w:p w:rsidR="00647F70" w:rsidRPr="008575C9" w:rsidRDefault="00647F70" w:rsidP="00647F70">
      <w:pPr>
        <w:jc w:val="both"/>
        <w:rPr>
          <w:rFonts w:ascii="Arial" w:eastAsia="MS PGothic" w:hAnsi="Arial" w:cs="Times New Roman"/>
          <w:sz w:val="20"/>
          <w:szCs w:val="24"/>
        </w:rPr>
      </w:pPr>
      <w:r w:rsidRPr="008575C9">
        <w:rPr>
          <w:rFonts w:ascii="Arial" w:eastAsia="MS PGothic" w:hAnsi="Arial" w:cs="Times New Roman"/>
          <w:sz w:val="20"/>
          <w:szCs w:val="24"/>
        </w:rPr>
        <w:t xml:space="preserve">Apibendrinant, ES struktūrinių fondų lėšos didžiausią įtaką darė miestų ir gyvenamosios aplinkos tvarkymo srityse. Vis dėlto savivaldybės situaciją apibrėžiantiems rodikliams didžiausią įtaką darė išorės veiksniai, o skirtas ES SF finansavimas nebuvo pakankamas. Įvertinus ES struktūrinių fondų investavimo kryptis ir stebimus socio-ekonominius bei aplinkos taršos rodiklių pokyčius, galima teigti, kad </w:t>
      </w:r>
      <w:r>
        <w:rPr>
          <w:rFonts w:ascii="Arial" w:eastAsia="MS PGothic" w:hAnsi="Arial" w:cs="Times New Roman"/>
          <w:sz w:val="20"/>
          <w:szCs w:val="24"/>
        </w:rPr>
        <w:t>Rokiškio</w:t>
      </w:r>
      <w:r w:rsidRPr="008575C9">
        <w:rPr>
          <w:rFonts w:ascii="Arial" w:eastAsia="MS PGothic" w:hAnsi="Arial" w:cs="Times New Roman"/>
          <w:sz w:val="20"/>
          <w:szCs w:val="24"/>
        </w:rPr>
        <w:t xml:space="preserve"> rajono savivaldybėje ES SF lėšų apimtis buvo per maža tam, kad būtų padarytas reikšmingas</w:t>
      </w:r>
      <w:r>
        <w:rPr>
          <w:rFonts w:ascii="Arial" w:eastAsia="MS PGothic" w:hAnsi="Arial" w:cs="Times New Roman"/>
          <w:sz w:val="20"/>
          <w:szCs w:val="24"/>
        </w:rPr>
        <w:t xml:space="preserve"> ilgalaikis</w:t>
      </w:r>
      <w:r w:rsidRPr="008575C9">
        <w:rPr>
          <w:rFonts w:ascii="Arial" w:eastAsia="MS PGothic" w:hAnsi="Arial" w:cs="Times New Roman"/>
          <w:sz w:val="20"/>
          <w:szCs w:val="24"/>
        </w:rPr>
        <w:t xml:space="preserve"> poveikis darniai plėtrai.</w:t>
      </w:r>
    </w:p>
    <w:p w:rsidR="00CF2C00" w:rsidRDefault="00CF2C00" w:rsidP="00CF2C00">
      <w:pPr>
        <w:jc w:val="both"/>
        <w:rPr>
          <w:rFonts w:ascii="Arial" w:eastAsia="MS PGothic" w:hAnsi="Arial" w:cs="Times New Roman"/>
          <w:sz w:val="20"/>
          <w:szCs w:val="24"/>
        </w:rPr>
      </w:pPr>
    </w:p>
    <w:p w:rsidR="00647F70" w:rsidRPr="008575C9" w:rsidRDefault="00647F70" w:rsidP="00CF2C00">
      <w:pPr>
        <w:jc w:val="both"/>
        <w:rPr>
          <w:rFonts w:ascii="Arial" w:eastAsia="MS PGothic" w:hAnsi="Arial" w:cs="Times New Roman"/>
          <w:sz w:val="20"/>
          <w:szCs w:val="24"/>
        </w:rPr>
      </w:pPr>
    </w:p>
    <w:p w:rsidR="00745B48" w:rsidRPr="008575C9" w:rsidRDefault="00745B48" w:rsidP="00A2570C">
      <w:pPr>
        <w:jc w:val="both"/>
        <w:rPr>
          <w:rFonts w:ascii="Arial" w:eastAsia="MS PGothic" w:hAnsi="Arial" w:cs="Times New Roman"/>
          <w:sz w:val="20"/>
          <w:szCs w:val="24"/>
        </w:rPr>
      </w:pPr>
    </w:p>
    <w:p w:rsidR="00897144" w:rsidRPr="008575C9" w:rsidRDefault="00897144">
      <w:pPr>
        <w:jc w:val="both"/>
        <w:rPr>
          <w:rFonts w:ascii="Arial" w:eastAsia="MS PGothic" w:hAnsi="Arial" w:cs="Times New Roman"/>
          <w:sz w:val="20"/>
          <w:szCs w:val="24"/>
        </w:rPr>
      </w:pPr>
    </w:p>
    <w:sectPr w:rsidR="00897144" w:rsidRPr="008575C9" w:rsidSect="00252B4A">
      <w:footerReference w:type="default" r:id="rId17"/>
      <w:footerReference w:type="first" r:id="rId18"/>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704" w:rsidRDefault="00DD6704">
      <w:pPr>
        <w:spacing w:after="0" w:line="240" w:lineRule="auto"/>
      </w:pPr>
      <w:r>
        <w:separator/>
      </w:r>
    </w:p>
  </w:endnote>
  <w:endnote w:type="continuationSeparator" w:id="0">
    <w:p w:rsidR="00DD6704" w:rsidRDefault="00DD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E44928">
          <w:rPr>
            <w:noProof/>
          </w:rPr>
          <w:t>5</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E44928">
          <w:rPr>
            <w:noProof/>
            <w:szCs w:val="17"/>
          </w:rPr>
          <w:t>1</w:t>
        </w:r>
        <w:r w:rsidRPr="00DC7F6C">
          <w:rPr>
            <w:noProof/>
            <w:szCs w:val="17"/>
          </w:rPr>
          <w:fldChar w:fldCharType="end"/>
        </w:r>
      </w:p>
    </w:sdtContent>
  </w:sdt>
  <w:p w:rsidR="00C45115" w:rsidRPr="00BE0549" w:rsidRDefault="00E44928"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704" w:rsidRDefault="00DD6704">
      <w:pPr>
        <w:spacing w:after="0" w:line="240" w:lineRule="auto"/>
      </w:pPr>
      <w:r>
        <w:separator/>
      </w:r>
    </w:p>
  </w:footnote>
  <w:footnote w:type="continuationSeparator" w:id="0">
    <w:p w:rsidR="00DD6704" w:rsidRDefault="00DD6704">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534F9"/>
    <w:rsid w:val="0005613F"/>
    <w:rsid w:val="0006433C"/>
    <w:rsid w:val="0007089A"/>
    <w:rsid w:val="000B2A0A"/>
    <w:rsid w:val="000C024B"/>
    <w:rsid w:val="000C341E"/>
    <w:rsid w:val="000D5BA5"/>
    <w:rsid w:val="000D77A0"/>
    <w:rsid w:val="000F56AE"/>
    <w:rsid w:val="00101E5E"/>
    <w:rsid w:val="001056B0"/>
    <w:rsid w:val="00123257"/>
    <w:rsid w:val="001253F5"/>
    <w:rsid w:val="00136152"/>
    <w:rsid w:val="00156492"/>
    <w:rsid w:val="00156F09"/>
    <w:rsid w:val="001824B7"/>
    <w:rsid w:val="001A1350"/>
    <w:rsid w:val="001A72A7"/>
    <w:rsid w:val="001B09C3"/>
    <w:rsid w:val="001E095D"/>
    <w:rsid w:val="001F2140"/>
    <w:rsid w:val="0020507E"/>
    <w:rsid w:val="0020781B"/>
    <w:rsid w:val="00223773"/>
    <w:rsid w:val="00231F9C"/>
    <w:rsid w:val="0023534D"/>
    <w:rsid w:val="002427B5"/>
    <w:rsid w:val="00242947"/>
    <w:rsid w:val="00245A8A"/>
    <w:rsid w:val="002502B8"/>
    <w:rsid w:val="00253066"/>
    <w:rsid w:val="00264515"/>
    <w:rsid w:val="002677E8"/>
    <w:rsid w:val="00284741"/>
    <w:rsid w:val="00295323"/>
    <w:rsid w:val="002A3F19"/>
    <w:rsid w:val="002B025C"/>
    <w:rsid w:val="002B4036"/>
    <w:rsid w:val="002D1DCE"/>
    <w:rsid w:val="002E30F9"/>
    <w:rsid w:val="002F53F5"/>
    <w:rsid w:val="00316283"/>
    <w:rsid w:val="00326A1B"/>
    <w:rsid w:val="00332F7B"/>
    <w:rsid w:val="00353193"/>
    <w:rsid w:val="00356065"/>
    <w:rsid w:val="0035623C"/>
    <w:rsid w:val="0037112C"/>
    <w:rsid w:val="003851F2"/>
    <w:rsid w:val="00397FF3"/>
    <w:rsid w:val="003B6A83"/>
    <w:rsid w:val="003B6A9C"/>
    <w:rsid w:val="003D195A"/>
    <w:rsid w:val="003E5F95"/>
    <w:rsid w:val="00412185"/>
    <w:rsid w:val="00424FB7"/>
    <w:rsid w:val="0044118D"/>
    <w:rsid w:val="00462CCD"/>
    <w:rsid w:val="004722C7"/>
    <w:rsid w:val="004743DF"/>
    <w:rsid w:val="00492F3F"/>
    <w:rsid w:val="004A5F6F"/>
    <w:rsid w:val="004B3A55"/>
    <w:rsid w:val="004B45DE"/>
    <w:rsid w:val="004C6B41"/>
    <w:rsid w:val="004E0E71"/>
    <w:rsid w:val="00501B52"/>
    <w:rsid w:val="00540ADA"/>
    <w:rsid w:val="005411B7"/>
    <w:rsid w:val="00554B62"/>
    <w:rsid w:val="005577BB"/>
    <w:rsid w:val="00560E0D"/>
    <w:rsid w:val="00591462"/>
    <w:rsid w:val="00594D44"/>
    <w:rsid w:val="005966F9"/>
    <w:rsid w:val="005D7C5E"/>
    <w:rsid w:val="005E7012"/>
    <w:rsid w:val="0061421F"/>
    <w:rsid w:val="0062033D"/>
    <w:rsid w:val="0062159A"/>
    <w:rsid w:val="00621899"/>
    <w:rsid w:val="00631113"/>
    <w:rsid w:val="00645918"/>
    <w:rsid w:val="00647F70"/>
    <w:rsid w:val="00660951"/>
    <w:rsid w:val="00687A46"/>
    <w:rsid w:val="00692255"/>
    <w:rsid w:val="006B7576"/>
    <w:rsid w:val="006C16C9"/>
    <w:rsid w:val="006C4D28"/>
    <w:rsid w:val="0070178B"/>
    <w:rsid w:val="0070345E"/>
    <w:rsid w:val="00706426"/>
    <w:rsid w:val="00742C97"/>
    <w:rsid w:val="00745B48"/>
    <w:rsid w:val="00761250"/>
    <w:rsid w:val="0076601E"/>
    <w:rsid w:val="007B57EE"/>
    <w:rsid w:val="007D0C4A"/>
    <w:rsid w:val="007F0777"/>
    <w:rsid w:val="00800911"/>
    <w:rsid w:val="0080175F"/>
    <w:rsid w:val="00805F6F"/>
    <w:rsid w:val="00812B03"/>
    <w:rsid w:val="00847350"/>
    <w:rsid w:val="008575C9"/>
    <w:rsid w:val="008856B5"/>
    <w:rsid w:val="00897144"/>
    <w:rsid w:val="008A1509"/>
    <w:rsid w:val="008B1202"/>
    <w:rsid w:val="008F1A11"/>
    <w:rsid w:val="008F6941"/>
    <w:rsid w:val="00917C1E"/>
    <w:rsid w:val="00923DC7"/>
    <w:rsid w:val="00942138"/>
    <w:rsid w:val="00955E14"/>
    <w:rsid w:val="009752D8"/>
    <w:rsid w:val="009A35E9"/>
    <w:rsid w:val="009A43BA"/>
    <w:rsid w:val="009C0862"/>
    <w:rsid w:val="009D1D9B"/>
    <w:rsid w:val="009D7299"/>
    <w:rsid w:val="009F1A90"/>
    <w:rsid w:val="00A027E9"/>
    <w:rsid w:val="00A2570C"/>
    <w:rsid w:val="00A46722"/>
    <w:rsid w:val="00A552B8"/>
    <w:rsid w:val="00A70602"/>
    <w:rsid w:val="00A82AF0"/>
    <w:rsid w:val="00A8696E"/>
    <w:rsid w:val="00A90A5D"/>
    <w:rsid w:val="00AA3395"/>
    <w:rsid w:val="00AE6D59"/>
    <w:rsid w:val="00AF0119"/>
    <w:rsid w:val="00B06A2E"/>
    <w:rsid w:val="00B13875"/>
    <w:rsid w:val="00B25A1E"/>
    <w:rsid w:val="00B320FB"/>
    <w:rsid w:val="00B35CC8"/>
    <w:rsid w:val="00B4121C"/>
    <w:rsid w:val="00B47E2E"/>
    <w:rsid w:val="00B70EC1"/>
    <w:rsid w:val="00B72614"/>
    <w:rsid w:val="00B76AF6"/>
    <w:rsid w:val="00BA0105"/>
    <w:rsid w:val="00BC4ECE"/>
    <w:rsid w:val="00BF63D3"/>
    <w:rsid w:val="00C01E16"/>
    <w:rsid w:val="00C144CE"/>
    <w:rsid w:val="00C23DA0"/>
    <w:rsid w:val="00C24D75"/>
    <w:rsid w:val="00C266D6"/>
    <w:rsid w:val="00C335FC"/>
    <w:rsid w:val="00C363C5"/>
    <w:rsid w:val="00C369A0"/>
    <w:rsid w:val="00C446C3"/>
    <w:rsid w:val="00C6756A"/>
    <w:rsid w:val="00C77B11"/>
    <w:rsid w:val="00C83C6E"/>
    <w:rsid w:val="00C849C4"/>
    <w:rsid w:val="00C979EF"/>
    <w:rsid w:val="00C97DE2"/>
    <w:rsid w:val="00CB7E91"/>
    <w:rsid w:val="00CD0222"/>
    <w:rsid w:val="00CF2C00"/>
    <w:rsid w:val="00CF323C"/>
    <w:rsid w:val="00CF47D0"/>
    <w:rsid w:val="00D01CEF"/>
    <w:rsid w:val="00D271D7"/>
    <w:rsid w:val="00D3587C"/>
    <w:rsid w:val="00D4179A"/>
    <w:rsid w:val="00D41C73"/>
    <w:rsid w:val="00D4329D"/>
    <w:rsid w:val="00D45CFF"/>
    <w:rsid w:val="00D62EB8"/>
    <w:rsid w:val="00D65C3C"/>
    <w:rsid w:val="00D66F8E"/>
    <w:rsid w:val="00D81B36"/>
    <w:rsid w:val="00DA55EF"/>
    <w:rsid w:val="00DC3E9D"/>
    <w:rsid w:val="00DC7F6C"/>
    <w:rsid w:val="00DD4F07"/>
    <w:rsid w:val="00DD6704"/>
    <w:rsid w:val="00DF75BE"/>
    <w:rsid w:val="00E12034"/>
    <w:rsid w:val="00E41636"/>
    <w:rsid w:val="00E41B59"/>
    <w:rsid w:val="00E44928"/>
    <w:rsid w:val="00E5283B"/>
    <w:rsid w:val="00E55606"/>
    <w:rsid w:val="00E56004"/>
    <w:rsid w:val="00E561C3"/>
    <w:rsid w:val="00E805EC"/>
    <w:rsid w:val="00EC1E09"/>
    <w:rsid w:val="00ED2FB0"/>
    <w:rsid w:val="00ED3673"/>
    <w:rsid w:val="00F02104"/>
    <w:rsid w:val="00F43E9F"/>
    <w:rsid w:val="00F47E08"/>
    <w:rsid w:val="00F543B3"/>
    <w:rsid w:val="00F606F0"/>
    <w:rsid w:val="00F607CD"/>
    <w:rsid w:val="00F63FF4"/>
    <w:rsid w:val="00F73ED6"/>
    <w:rsid w:val="00F86DB2"/>
    <w:rsid w:val="00FA6284"/>
    <w:rsid w:val="00FB52BA"/>
    <w:rsid w:val="00FC1F97"/>
    <w:rsid w:val="00FC34DA"/>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6</c:v>
                </c:pt>
                <c:pt idx="1">
                  <c:v>37</c:v>
                </c:pt>
                <c:pt idx="2">
                  <c:v>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0.60639341088547949</c:v>
                </c:pt>
                <c:pt idx="1">
                  <c:v>2.7117764633972436E-2</c:v>
                </c:pt>
                <c:pt idx="2">
                  <c:v>0.32549284579752674</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8.1627586971527263E-2</c:v>
                </c:pt>
                <c:pt idx="1">
                  <c:v>0.12130736459415499</c:v>
                </c:pt>
                <c:pt idx="2">
                  <c:v>0.14720896462549954</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2.5638706781625907E-2</c:v>
                </c:pt>
                <c:pt idx="2">
                  <c:v>0.52729818957697383</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0.31197900214299329</c:v>
                </c:pt>
                <c:pt idx="1">
                  <c:v>0.82593616399024661</c:v>
                </c:pt>
                <c:pt idx="2">
                  <c:v>0</c:v>
                </c:pt>
              </c:numCache>
            </c:numRef>
          </c:val>
        </c:ser>
        <c:dLbls>
          <c:showLegendKey val="0"/>
          <c:showVal val="0"/>
          <c:showCatName val="0"/>
          <c:showSerName val="0"/>
          <c:showPercent val="0"/>
          <c:showBubbleSize val="0"/>
        </c:dLbls>
        <c:gapWidth val="150"/>
        <c:overlap val="100"/>
        <c:axId val="63829120"/>
        <c:axId val="63830656"/>
      </c:barChart>
      <c:catAx>
        <c:axId val="63829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30656"/>
        <c:crosses val="autoZero"/>
        <c:auto val="1"/>
        <c:lblAlgn val="ctr"/>
        <c:lblOffset val="100"/>
        <c:noMultiLvlLbl val="0"/>
      </c:catAx>
      <c:valAx>
        <c:axId val="63830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29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Rokiškio!$A$7</c:f>
              <c:strCache>
                <c:ptCount val="1"/>
                <c:pt idx="0">
                  <c:v>Kietosios medžiagos</c:v>
                </c:pt>
              </c:strCache>
            </c:strRef>
          </c:tx>
          <c:spPr>
            <a:solidFill>
              <a:srgbClr val="8C8C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Rokiškio!$B$5:$J$5</c:f>
              <c:numCache>
                <c:formatCode>General</c:formatCode>
                <c:ptCount val="7"/>
                <c:pt idx="0">
                  <c:v>2007</c:v>
                </c:pt>
                <c:pt idx="1">
                  <c:v>2008</c:v>
                </c:pt>
                <c:pt idx="2">
                  <c:v>2009</c:v>
                </c:pt>
                <c:pt idx="3">
                  <c:v>2010</c:v>
                </c:pt>
                <c:pt idx="4">
                  <c:v>2011</c:v>
                </c:pt>
                <c:pt idx="5">
                  <c:v>2012</c:v>
                </c:pt>
                <c:pt idx="6">
                  <c:v>2013</c:v>
                </c:pt>
              </c:numCache>
            </c:numRef>
          </c:cat>
          <c:val>
            <c:numRef>
              <c:f>Rokiškio!$B$7:$J$7</c:f>
              <c:numCache>
                <c:formatCode>General</c:formatCode>
                <c:ptCount val="7"/>
                <c:pt idx="0">
                  <c:v>21.5</c:v>
                </c:pt>
                <c:pt idx="1">
                  <c:v>23.4</c:v>
                </c:pt>
                <c:pt idx="2">
                  <c:v>24.9</c:v>
                </c:pt>
                <c:pt idx="3">
                  <c:v>29.8</c:v>
                </c:pt>
                <c:pt idx="4">
                  <c:v>23.2</c:v>
                </c:pt>
                <c:pt idx="5">
                  <c:v>24.2</c:v>
                </c:pt>
                <c:pt idx="6">
                  <c:v>22.9</c:v>
                </c:pt>
              </c:numCache>
            </c:numRef>
          </c:val>
        </c:ser>
        <c:ser>
          <c:idx val="1"/>
          <c:order val="1"/>
          <c:tx>
            <c:strRef>
              <c:f>Rokiškio!$A$8</c:f>
              <c:strCache>
                <c:ptCount val="1"/>
                <c:pt idx="0">
                  <c:v>Sieros dioksidas, tonos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Rokiškio!$B$5:$J$5</c:f>
              <c:numCache>
                <c:formatCode>General</c:formatCode>
                <c:ptCount val="7"/>
                <c:pt idx="0">
                  <c:v>2007</c:v>
                </c:pt>
                <c:pt idx="1">
                  <c:v>2008</c:v>
                </c:pt>
                <c:pt idx="2">
                  <c:v>2009</c:v>
                </c:pt>
                <c:pt idx="3">
                  <c:v>2010</c:v>
                </c:pt>
                <c:pt idx="4">
                  <c:v>2011</c:v>
                </c:pt>
                <c:pt idx="5">
                  <c:v>2012</c:v>
                </c:pt>
                <c:pt idx="6">
                  <c:v>2013</c:v>
                </c:pt>
              </c:numCache>
            </c:numRef>
          </c:cat>
          <c:val>
            <c:numRef>
              <c:f>Rokiškio!$B$8:$J$8</c:f>
              <c:numCache>
                <c:formatCode>General</c:formatCode>
                <c:ptCount val="7"/>
                <c:pt idx="0">
                  <c:v>234.3</c:v>
                </c:pt>
                <c:pt idx="1">
                  <c:v>132.4</c:v>
                </c:pt>
                <c:pt idx="2">
                  <c:v>112.6</c:v>
                </c:pt>
                <c:pt idx="3">
                  <c:v>133.4</c:v>
                </c:pt>
                <c:pt idx="4">
                  <c:v>66</c:v>
                </c:pt>
                <c:pt idx="5">
                  <c:v>85.4</c:v>
                </c:pt>
                <c:pt idx="6">
                  <c:v>69.2</c:v>
                </c:pt>
              </c:numCache>
            </c:numRef>
          </c:val>
        </c:ser>
        <c:ser>
          <c:idx val="2"/>
          <c:order val="2"/>
          <c:tx>
            <c:strRef>
              <c:f>Rokiškio!$A$9</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Rokiškio!$B$5:$J$5</c:f>
              <c:numCache>
                <c:formatCode>General</c:formatCode>
                <c:ptCount val="7"/>
                <c:pt idx="0">
                  <c:v>2007</c:v>
                </c:pt>
                <c:pt idx="1">
                  <c:v>2008</c:v>
                </c:pt>
                <c:pt idx="2">
                  <c:v>2009</c:v>
                </c:pt>
                <c:pt idx="3">
                  <c:v>2010</c:v>
                </c:pt>
                <c:pt idx="4">
                  <c:v>2011</c:v>
                </c:pt>
                <c:pt idx="5">
                  <c:v>2012</c:v>
                </c:pt>
                <c:pt idx="6">
                  <c:v>2013</c:v>
                </c:pt>
              </c:numCache>
            </c:numRef>
          </c:cat>
          <c:val>
            <c:numRef>
              <c:f>Rokiškio!$B$9:$J$9</c:f>
              <c:numCache>
                <c:formatCode>General</c:formatCode>
                <c:ptCount val="7"/>
                <c:pt idx="0">
                  <c:v>71.7</c:v>
                </c:pt>
                <c:pt idx="1">
                  <c:v>72.3</c:v>
                </c:pt>
                <c:pt idx="2">
                  <c:v>64.900000000000006</c:v>
                </c:pt>
                <c:pt idx="3">
                  <c:v>73.400000000000006</c:v>
                </c:pt>
                <c:pt idx="4">
                  <c:v>61.8</c:v>
                </c:pt>
                <c:pt idx="5">
                  <c:v>73.2</c:v>
                </c:pt>
                <c:pt idx="6">
                  <c:v>67.3</c:v>
                </c:pt>
              </c:numCache>
            </c:numRef>
          </c:val>
        </c:ser>
        <c:ser>
          <c:idx val="3"/>
          <c:order val="3"/>
          <c:tx>
            <c:strRef>
              <c:f>Rokiškio!$A$10</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Rokiškio!$B$5:$J$5</c:f>
              <c:numCache>
                <c:formatCode>General</c:formatCode>
                <c:ptCount val="7"/>
                <c:pt idx="0">
                  <c:v>2007</c:v>
                </c:pt>
                <c:pt idx="1">
                  <c:v>2008</c:v>
                </c:pt>
                <c:pt idx="2">
                  <c:v>2009</c:v>
                </c:pt>
                <c:pt idx="3">
                  <c:v>2010</c:v>
                </c:pt>
                <c:pt idx="4">
                  <c:v>2011</c:v>
                </c:pt>
                <c:pt idx="5">
                  <c:v>2012</c:v>
                </c:pt>
                <c:pt idx="6">
                  <c:v>2013</c:v>
                </c:pt>
              </c:numCache>
            </c:numRef>
          </c:cat>
          <c:val>
            <c:numRef>
              <c:f>Rokiškio!$B$10:$J$10</c:f>
              <c:numCache>
                <c:formatCode>General</c:formatCode>
                <c:ptCount val="7"/>
                <c:pt idx="0">
                  <c:v>541.29999999999995</c:v>
                </c:pt>
                <c:pt idx="1">
                  <c:v>574.20000000000005</c:v>
                </c:pt>
                <c:pt idx="2">
                  <c:v>497.8</c:v>
                </c:pt>
                <c:pt idx="3">
                  <c:v>567.29999999999995</c:v>
                </c:pt>
                <c:pt idx="4">
                  <c:v>502.4</c:v>
                </c:pt>
                <c:pt idx="5">
                  <c:v>581.1</c:v>
                </c:pt>
                <c:pt idx="6">
                  <c:v>557.70000000000005</c:v>
                </c:pt>
              </c:numCache>
            </c:numRef>
          </c:val>
        </c:ser>
        <c:dLbls>
          <c:showLegendKey val="0"/>
          <c:showVal val="1"/>
          <c:showCatName val="0"/>
          <c:showSerName val="0"/>
          <c:showPercent val="0"/>
          <c:showBubbleSize val="0"/>
        </c:dLbls>
        <c:gapWidth val="75"/>
        <c:axId val="66917504"/>
        <c:axId val="66932736"/>
      </c:barChart>
      <c:lineChart>
        <c:grouping val="standard"/>
        <c:varyColors val="0"/>
        <c:ser>
          <c:idx val="4"/>
          <c:order val="4"/>
          <c:tx>
            <c:strRef>
              <c:f>Rokiškio!$A$6</c:f>
              <c:strCache>
                <c:ptCount val="1"/>
                <c:pt idx="0">
                  <c:v>Visi teršalai</c:v>
                </c:pt>
              </c:strCache>
            </c:strRef>
          </c:tx>
          <c:spPr>
            <a:ln w="28575" cap="rnd">
              <a:solidFill>
                <a:srgbClr val="3C8A2E"/>
              </a:solidFill>
              <a:round/>
            </a:ln>
            <a:effectLst/>
          </c:spPr>
          <c:marker>
            <c:symbol val="none"/>
          </c:marker>
          <c:dLbls>
            <c:delete val="1"/>
          </c:dLbls>
          <c:cat>
            <c:numRef>
              <c:f>Rokiškio!$B$5:$J$5</c:f>
              <c:numCache>
                <c:formatCode>General</c:formatCode>
                <c:ptCount val="7"/>
                <c:pt idx="0">
                  <c:v>2007</c:v>
                </c:pt>
                <c:pt idx="1">
                  <c:v>2008</c:v>
                </c:pt>
                <c:pt idx="2">
                  <c:v>2009</c:v>
                </c:pt>
                <c:pt idx="3">
                  <c:v>2010</c:v>
                </c:pt>
                <c:pt idx="4">
                  <c:v>2011</c:v>
                </c:pt>
                <c:pt idx="5">
                  <c:v>2012</c:v>
                </c:pt>
                <c:pt idx="6">
                  <c:v>2013</c:v>
                </c:pt>
              </c:numCache>
            </c:numRef>
          </c:cat>
          <c:val>
            <c:numRef>
              <c:f>Rokiškio!$B$6:$J$6</c:f>
              <c:numCache>
                <c:formatCode>General</c:formatCode>
                <c:ptCount val="7"/>
                <c:pt idx="0">
                  <c:v>876.2</c:v>
                </c:pt>
                <c:pt idx="1">
                  <c:v>809.4</c:v>
                </c:pt>
                <c:pt idx="2">
                  <c:v>706.6</c:v>
                </c:pt>
                <c:pt idx="3">
                  <c:v>813.7</c:v>
                </c:pt>
                <c:pt idx="4">
                  <c:v>710.2</c:v>
                </c:pt>
                <c:pt idx="5">
                  <c:v>818.3</c:v>
                </c:pt>
                <c:pt idx="6">
                  <c:v>758</c:v>
                </c:pt>
              </c:numCache>
            </c:numRef>
          </c:val>
          <c:smooth val="0"/>
        </c:ser>
        <c:dLbls>
          <c:showLegendKey val="0"/>
          <c:showVal val="1"/>
          <c:showCatName val="0"/>
          <c:showSerName val="0"/>
          <c:showPercent val="0"/>
          <c:showBubbleSize val="0"/>
        </c:dLbls>
        <c:marker val="1"/>
        <c:smooth val="0"/>
        <c:axId val="66917504"/>
        <c:axId val="66932736"/>
      </c:lineChart>
      <c:lineChart>
        <c:grouping val="standard"/>
        <c:varyColors val="0"/>
        <c:ser>
          <c:idx val="5"/>
          <c:order val="5"/>
          <c:tx>
            <c:strRef>
              <c:f>Rokiškio!$A$11</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Rokiškio!$B$5:$J$5</c:f>
              <c:numCache>
                <c:formatCode>General</c:formatCode>
                <c:ptCount val="7"/>
                <c:pt idx="0">
                  <c:v>2007</c:v>
                </c:pt>
                <c:pt idx="1">
                  <c:v>2008</c:v>
                </c:pt>
                <c:pt idx="2">
                  <c:v>2009</c:v>
                </c:pt>
                <c:pt idx="3">
                  <c:v>2010</c:v>
                </c:pt>
                <c:pt idx="4">
                  <c:v>2011</c:v>
                </c:pt>
                <c:pt idx="5">
                  <c:v>2012</c:v>
                </c:pt>
                <c:pt idx="6">
                  <c:v>2013</c:v>
                </c:pt>
              </c:numCache>
            </c:numRef>
          </c:cat>
          <c:val>
            <c:numRef>
              <c:f>Rokiškio!$B$11:$J$11</c:f>
              <c:numCache>
                <c:formatCode>General</c:formatCode>
                <c:ptCount val="7"/>
                <c:pt idx="0">
                  <c:v>1004.1</c:v>
                </c:pt>
                <c:pt idx="1">
                  <c:v>454.6</c:v>
                </c:pt>
                <c:pt idx="2">
                  <c:v>1400.8</c:v>
                </c:pt>
                <c:pt idx="3">
                  <c:v>2506.5</c:v>
                </c:pt>
                <c:pt idx="4">
                  <c:v>2373.8000000000002</c:v>
                </c:pt>
                <c:pt idx="5">
                  <c:v>2744</c:v>
                </c:pt>
                <c:pt idx="6">
                  <c:v>2423.1999999999998</c:v>
                </c:pt>
              </c:numCache>
            </c:numRef>
          </c:val>
          <c:smooth val="0"/>
          <c:extLst>
            <c:ext xmlns:c15="http://schemas.microsoft.com/office/drawing/2012/chart" uri="{02D57815-91ED-43cb-92C2-25804820EDAC}">
              <c15:categoryFilterExceptions>
                <c15:categoryFilterException>
                  <c15:sqref/>
                  <c15:dLbl>
                    <c:idx val="-1"/>
                    <c:layout>
                      <c:manualLayout>
                        <c:x val="-5.2159739201303991E-2"/>
                        <c:y val="-5.6085249579360626E-2"/>
                      </c:manualLayout>
                    </c:layout>
                    <c:showLegendKey val="0"/>
                    <c:showVal val="1"/>
                    <c:showCatName val="0"/>
                    <c:showSerName val="0"/>
                    <c:showPercent val="0"/>
                    <c:showBubbleSize val="0"/>
                    <c:extLst>
                      <c:ext uri="{CE6537A1-D6FC-4f65-9D91-7224C49458BB}"/>
                    </c:extLst>
                  </c15:dLbl>
                </c15:categoryFilterException>
              </c15:categoryFilterExceptions>
            </c:ext>
          </c:extLst>
        </c:ser>
        <c:dLbls>
          <c:showLegendKey val="0"/>
          <c:showVal val="1"/>
          <c:showCatName val="0"/>
          <c:showSerName val="0"/>
          <c:showPercent val="0"/>
          <c:showBubbleSize val="0"/>
        </c:dLbls>
        <c:marker val="1"/>
        <c:smooth val="0"/>
        <c:axId val="66940928"/>
        <c:axId val="66934656"/>
      </c:lineChart>
      <c:catAx>
        <c:axId val="6691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932736"/>
        <c:crosses val="autoZero"/>
        <c:auto val="1"/>
        <c:lblAlgn val="ctr"/>
        <c:lblOffset val="100"/>
        <c:noMultiLvlLbl val="0"/>
      </c:catAx>
      <c:valAx>
        <c:axId val="669327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Tonos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917504"/>
        <c:crosses val="autoZero"/>
        <c:crossBetween val="between"/>
      </c:valAx>
      <c:valAx>
        <c:axId val="66934656"/>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m</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940928"/>
        <c:crosses val="max"/>
        <c:crossBetween val="between"/>
      </c:valAx>
      <c:catAx>
        <c:axId val="66940928"/>
        <c:scaling>
          <c:orientation val="minMax"/>
        </c:scaling>
        <c:delete val="1"/>
        <c:axPos val="b"/>
        <c:numFmt formatCode="General" sourceLinked="1"/>
        <c:majorTickMark val="out"/>
        <c:minorTickMark val="none"/>
        <c:tickLblPos val="nextTo"/>
        <c:crossAx val="66934656"/>
        <c:crosses val="autoZero"/>
        <c:auto val="1"/>
        <c:lblAlgn val="ctr"/>
        <c:lblOffset val="100"/>
        <c:noMultiLvlLbl val="0"/>
      </c:catAx>
      <c:spPr>
        <a:noFill/>
        <a:ln>
          <a:noFill/>
        </a:ln>
        <a:effectLst/>
      </c:spPr>
    </c:plotArea>
    <c:legend>
      <c:legendPos val="b"/>
      <c:layout>
        <c:manualLayout>
          <c:xMode val="edge"/>
          <c:yMode val="edge"/>
          <c:x val="4.3463452784301179E-2"/>
          <c:y val="0.8039833062819588"/>
          <c:w val="0.92975197171258228"/>
          <c:h val="0.192946203047555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Rokiškio!$N$28</c:f>
              <c:strCache>
                <c:ptCount val="1"/>
                <c:pt idx="0">
                  <c:v>Nuolatinių gyventojų skaičius metų pradžioje</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Rokiškio!$O$27:$W$27</c:f>
              <c:numCache>
                <c:formatCode>General</c:formatCode>
                <c:ptCount val="7"/>
                <c:pt idx="0">
                  <c:v>2007</c:v>
                </c:pt>
                <c:pt idx="1">
                  <c:v>2008</c:v>
                </c:pt>
                <c:pt idx="2">
                  <c:v>2009</c:v>
                </c:pt>
                <c:pt idx="3">
                  <c:v>2010</c:v>
                </c:pt>
                <c:pt idx="4">
                  <c:v>2011</c:v>
                </c:pt>
                <c:pt idx="5">
                  <c:v>2012</c:v>
                </c:pt>
                <c:pt idx="6">
                  <c:v>2013</c:v>
                </c:pt>
              </c:numCache>
            </c:numRef>
          </c:cat>
          <c:val>
            <c:numRef>
              <c:f>Rokiškio!$O$28:$W$28</c:f>
              <c:numCache>
                <c:formatCode>General</c:formatCode>
                <c:ptCount val="7"/>
                <c:pt idx="0">
                  <c:v>38309</c:v>
                </c:pt>
                <c:pt idx="1">
                  <c:v>37549</c:v>
                </c:pt>
                <c:pt idx="2">
                  <c:v>36768</c:v>
                </c:pt>
                <c:pt idx="3">
                  <c:v>35993</c:v>
                </c:pt>
                <c:pt idx="4">
                  <c:v>35022</c:v>
                </c:pt>
                <c:pt idx="5">
                  <c:v>34218</c:v>
                </c:pt>
                <c:pt idx="6">
                  <c:v>33434</c:v>
                </c:pt>
              </c:numCache>
            </c:numRef>
          </c:val>
        </c:ser>
        <c:ser>
          <c:idx val="1"/>
          <c:order val="1"/>
          <c:tx>
            <c:strRef>
              <c:f>Rokiškio!$N$29</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Rokiškio!$O$27:$W$27</c:f>
              <c:numCache>
                <c:formatCode>General</c:formatCode>
                <c:ptCount val="7"/>
                <c:pt idx="0">
                  <c:v>2007</c:v>
                </c:pt>
                <c:pt idx="1">
                  <c:v>2008</c:v>
                </c:pt>
                <c:pt idx="2">
                  <c:v>2009</c:v>
                </c:pt>
                <c:pt idx="3">
                  <c:v>2010</c:v>
                </c:pt>
                <c:pt idx="4">
                  <c:v>2011</c:v>
                </c:pt>
                <c:pt idx="5">
                  <c:v>2012</c:v>
                </c:pt>
                <c:pt idx="6">
                  <c:v>2013</c:v>
                </c:pt>
              </c:numCache>
            </c:numRef>
          </c:cat>
          <c:val>
            <c:numRef>
              <c:f>Rokiškio!$O$29:$W$29</c:f>
              <c:numCache>
                <c:formatCode>General</c:formatCode>
                <c:ptCount val="7"/>
                <c:pt idx="0">
                  <c:v>21807</c:v>
                </c:pt>
                <c:pt idx="1">
                  <c:v>21610</c:v>
                </c:pt>
                <c:pt idx="2">
                  <c:v>21394</c:v>
                </c:pt>
                <c:pt idx="3">
                  <c:v>21036</c:v>
                </c:pt>
                <c:pt idx="4">
                  <c:v>20620</c:v>
                </c:pt>
                <c:pt idx="5">
                  <c:v>20131</c:v>
                </c:pt>
                <c:pt idx="6">
                  <c:v>19755</c:v>
                </c:pt>
              </c:numCache>
            </c:numRef>
          </c:val>
        </c:ser>
        <c:ser>
          <c:idx val="2"/>
          <c:order val="2"/>
          <c:tx>
            <c:strRef>
              <c:f>Rokiškio!$N$30</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Rokiškio!$O$27:$W$27</c:f>
              <c:numCache>
                <c:formatCode>General</c:formatCode>
                <c:ptCount val="7"/>
                <c:pt idx="0">
                  <c:v>2007</c:v>
                </c:pt>
                <c:pt idx="1">
                  <c:v>2008</c:v>
                </c:pt>
                <c:pt idx="2">
                  <c:v>2009</c:v>
                </c:pt>
                <c:pt idx="3">
                  <c:v>2010</c:v>
                </c:pt>
                <c:pt idx="4">
                  <c:v>2011</c:v>
                </c:pt>
                <c:pt idx="5">
                  <c:v>2012</c:v>
                </c:pt>
                <c:pt idx="6">
                  <c:v>2013</c:v>
                </c:pt>
              </c:numCache>
            </c:numRef>
          </c:cat>
          <c:val>
            <c:numRef>
              <c:f>Rokiškio!$O$30:$W$30</c:f>
              <c:numCache>
                <c:formatCode>General</c:formatCode>
                <c:ptCount val="7"/>
                <c:pt idx="0">
                  <c:v>10023</c:v>
                </c:pt>
                <c:pt idx="1">
                  <c:v>9852</c:v>
                </c:pt>
                <c:pt idx="2">
                  <c:v>9648</c:v>
                </c:pt>
                <c:pt idx="3">
                  <c:v>9491</c:v>
                </c:pt>
                <c:pt idx="4">
                  <c:v>9358</c:v>
                </c:pt>
                <c:pt idx="5">
                  <c:v>9243</c:v>
                </c:pt>
                <c:pt idx="6">
                  <c:v>9063</c:v>
                </c:pt>
              </c:numCache>
            </c:numRef>
          </c:val>
        </c:ser>
        <c:dLbls>
          <c:showLegendKey val="0"/>
          <c:showVal val="0"/>
          <c:showCatName val="0"/>
          <c:showSerName val="0"/>
          <c:showPercent val="0"/>
          <c:showBubbleSize val="0"/>
        </c:dLbls>
        <c:gapWidth val="219"/>
        <c:overlap val="-27"/>
        <c:axId val="66998656"/>
        <c:axId val="67000192"/>
      </c:barChart>
      <c:lineChart>
        <c:grouping val="standard"/>
        <c:varyColors val="0"/>
        <c:ser>
          <c:idx val="3"/>
          <c:order val="3"/>
          <c:tx>
            <c:strRef>
              <c:f>Rokiškio!$N$31</c:f>
              <c:strCache>
                <c:ptCount val="1"/>
                <c:pt idx="0">
                  <c:v>Registruotų bedarbių ir darbingo amžiaus gyventojų santykis | proc.</c:v>
                </c:pt>
              </c:strCache>
            </c:strRef>
          </c:tx>
          <c:spPr>
            <a:ln w="28575" cap="rnd">
              <a:solidFill>
                <a:srgbClr val="00A1DE"/>
              </a:solidFill>
              <a:round/>
            </a:ln>
            <a:effectLst/>
          </c:spPr>
          <c:marker>
            <c:symbol val="none"/>
          </c:marker>
          <c:cat>
            <c:numRef>
              <c:f>Rokiškio!$O$27:$W$27</c:f>
              <c:numCache>
                <c:formatCode>General</c:formatCode>
                <c:ptCount val="7"/>
                <c:pt idx="0">
                  <c:v>2007</c:v>
                </c:pt>
                <c:pt idx="1">
                  <c:v>2008</c:v>
                </c:pt>
                <c:pt idx="2">
                  <c:v>2009</c:v>
                </c:pt>
                <c:pt idx="3">
                  <c:v>2010</c:v>
                </c:pt>
                <c:pt idx="4">
                  <c:v>2011</c:v>
                </c:pt>
                <c:pt idx="5">
                  <c:v>2012</c:v>
                </c:pt>
                <c:pt idx="6">
                  <c:v>2013</c:v>
                </c:pt>
              </c:numCache>
            </c:numRef>
          </c:cat>
          <c:val>
            <c:numRef>
              <c:f>Rokiškio!$O$31:$W$31</c:f>
              <c:numCache>
                <c:formatCode>General</c:formatCode>
                <c:ptCount val="7"/>
                <c:pt idx="0">
                  <c:v>6.2</c:v>
                </c:pt>
                <c:pt idx="1">
                  <c:v>5.5</c:v>
                </c:pt>
                <c:pt idx="2">
                  <c:v>11.2</c:v>
                </c:pt>
                <c:pt idx="3">
                  <c:v>17.2</c:v>
                </c:pt>
                <c:pt idx="4">
                  <c:v>13.6</c:v>
                </c:pt>
                <c:pt idx="5">
                  <c:v>12.8</c:v>
                </c:pt>
                <c:pt idx="6">
                  <c:v>12.9</c:v>
                </c:pt>
              </c:numCache>
            </c:numRef>
          </c:val>
          <c:smooth val="0"/>
        </c:ser>
        <c:dLbls>
          <c:showLegendKey val="0"/>
          <c:showVal val="0"/>
          <c:showCatName val="0"/>
          <c:showSerName val="0"/>
          <c:showPercent val="0"/>
          <c:showBubbleSize val="0"/>
        </c:dLbls>
        <c:marker val="1"/>
        <c:smooth val="0"/>
        <c:axId val="67007616"/>
        <c:axId val="67001728"/>
      </c:lineChart>
      <c:catAx>
        <c:axId val="6699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000192"/>
        <c:crosses val="autoZero"/>
        <c:auto val="1"/>
        <c:lblAlgn val="ctr"/>
        <c:lblOffset val="100"/>
        <c:noMultiLvlLbl val="0"/>
      </c:catAx>
      <c:valAx>
        <c:axId val="67000192"/>
        <c:scaling>
          <c:orientation val="minMax"/>
          <c:max val="40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998656"/>
        <c:crosses val="autoZero"/>
        <c:crossBetween val="between"/>
      </c:valAx>
      <c:valAx>
        <c:axId val="67001728"/>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7007616"/>
        <c:crosses val="max"/>
        <c:crossBetween val="between"/>
      </c:valAx>
      <c:catAx>
        <c:axId val="67007616"/>
        <c:scaling>
          <c:orientation val="minMax"/>
        </c:scaling>
        <c:delete val="1"/>
        <c:axPos val="b"/>
        <c:numFmt formatCode="General" sourceLinked="1"/>
        <c:majorTickMark val="out"/>
        <c:minorTickMark val="none"/>
        <c:tickLblPos val="nextTo"/>
        <c:crossAx val="67001728"/>
        <c:crosses val="autoZero"/>
        <c:auto val="1"/>
        <c:lblAlgn val="ctr"/>
        <c:lblOffset val="100"/>
        <c:noMultiLvlLbl val="0"/>
      </c:catAx>
      <c:spPr>
        <a:noFill/>
        <a:ln>
          <a:noFill/>
        </a:ln>
        <a:effectLst/>
      </c:spPr>
    </c:plotArea>
    <c:legend>
      <c:legendPos val="b"/>
      <c:layout>
        <c:manualLayout>
          <c:xMode val="edge"/>
          <c:yMode val="edge"/>
          <c:x val="7.3523622047244113E-3"/>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Rokiškio!$N$48</c:f>
              <c:strCache>
                <c:ptCount val="1"/>
                <c:pt idx="0">
                  <c:v>Pridėtinė vertė gamybos kainomis pagal veiklos vykdymo vietą | tūkst. EUR</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Rokiškio!$O$46:$W$46</c:f>
              <c:numCache>
                <c:formatCode>General</c:formatCode>
                <c:ptCount val="7"/>
                <c:pt idx="0">
                  <c:v>2007</c:v>
                </c:pt>
                <c:pt idx="1">
                  <c:v>2008</c:v>
                </c:pt>
                <c:pt idx="2">
                  <c:v>2009</c:v>
                </c:pt>
                <c:pt idx="3">
                  <c:v>2010</c:v>
                </c:pt>
                <c:pt idx="4">
                  <c:v>2011</c:v>
                </c:pt>
                <c:pt idx="5">
                  <c:v>2012</c:v>
                </c:pt>
                <c:pt idx="6">
                  <c:v>2013</c:v>
                </c:pt>
              </c:numCache>
            </c:numRef>
          </c:cat>
          <c:val>
            <c:numRef>
              <c:f>Rokiškio!$O$48:$W$48</c:f>
              <c:numCache>
                <c:formatCode>General</c:formatCode>
                <c:ptCount val="7"/>
                <c:pt idx="0">
                  <c:v>90700</c:v>
                </c:pt>
                <c:pt idx="1">
                  <c:v>70991</c:v>
                </c:pt>
                <c:pt idx="2">
                  <c:v>56118</c:v>
                </c:pt>
                <c:pt idx="3">
                  <c:v>68503</c:v>
                </c:pt>
                <c:pt idx="4">
                  <c:v>90710</c:v>
                </c:pt>
                <c:pt idx="5">
                  <c:v>60122</c:v>
                </c:pt>
                <c:pt idx="6">
                  <c:v>82074</c:v>
                </c:pt>
              </c:numCache>
            </c:numRef>
          </c:val>
        </c:ser>
        <c:ser>
          <c:idx val="2"/>
          <c:order val="2"/>
          <c:tx>
            <c:strRef>
              <c:f>Rokiškio!$N$49</c:f>
              <c:strCache>
                <c:ptCount val="1"/>
                <c:pt idx="0">
                  <c:v>Materialinės investicijos to meto kainomis | tūkst. EUR</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Rokiškio!$O$46:$W$46</c:f>
              <c:numCache>
                <c:formatCode>General</c:formatCode>
                <c:ptCount val="7"/>
                <c:pt idx="0">
                  <c:v>2007</c:v>
                </c:pt>
                <c:pt idx="1">
                  <c:v>2008</c:v>
                </c:pt>
                <c:pt idx="2">
                  <c:v>2009</c:v>
                </c:pt>
                <c:pt idx="3">
                  <c:v>2010</c:v>
                </c:pt>
                <c:pt idx="4">
                  <c:v>2011</c:v>
                </c:pt>
                <c:pt idx="5">
                  <c:v>2012</c:v>
                </c:pt>
                <c:pt idx="6">
                  <c:v>2013</c:v>
                </c:pt>
              </c:numCache>
            </c:numRef>
          </c:cat>
          <c:val>
            <c:numRef>
              <c:f>Rokiškio!$O$49:$W$49</c:f>
              <c:numCache>
                <c:formatCode>General</c:formatCode>
                <c:ptCount val="7"/>
                <c:pt idx="0">
                  <c:v>39457</c:v>
                </c:pt>
                <c:pt idx="1">
                  <c:v>49913</c:v>
                </c:pt>
                <c:pt idx="2">
                  <c:v>22316</c:v>
                </c:pt>
                <c:pt idx="3">
                  <c:v>18365</c:v>
                </c:pt>
                <c:pt idx="4">
                  <c:v>27928</c:v>
                </c:pt>
                <c:pt idx="5">
                  <c:v>24710</c:v>
                </c:pt>
                <c:pt idx="6">
                  <c:v>26809</c:v>
                </c:pt>
              </c:numCache>
            </c:numRef>
          </c:val>
        </c:ser>
        <c:dLbls>
          <c:showLegendKey val="0"/>
          <c:showVal val="0"/>
          <c:showCatName val="0"/>
          <c:showSerName val="0"/>
          <c:showPercent val="0"/>
          <c:showBubbleSize val="0"/>
        </c:dLbls>
        <c:gapWidth val="219"/>
        <c:overlap val="-27"/>
        <c:axId val="68899584"/>
        <c:axId val="68901120"/>
      </c:barChart>
      <c:lineChart>
        <c:grouping val="standard"/>
        <c:varyColors val="0"/>
        <c:ser>
          <c:idx val="0"/>
          <c:order val="0"/>
          <c:tx>
            <c:strRef>
              <c:f>Rokiškio!$N$47</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Rokiškio!$O$46:$W$46</c:f>
              <c:numCache>
                <c:formatCode>General</c:formatCode>
                <c:ptCount val="7"/>
                <c:pt idx="0">
                  <c:v>2007</c:v>
                </c:pt>
                <c:pt idx="1">
                  <c:v>2008</c:v>
                </c:pt>
                <c:pt idx="2">
                  <c:v>2009</c:v>
                </c:pt>
                <c:pt idx="3">
                  <c:v>2010</c:v>
                </c:pt>
                <c:pt idx="4">
                  <c:v>2011</c:v>
                </c:pt>
                <c:pt idx="5">
                  <c:v>2012</c:v>
                </c:pt>
                <c:pt idx="6">
                  <c:v>2013</c:v>
                </c:pt>
              </c:numCache>
            </c:numRef>
          </c:cat>
          <c:val>
            <c:numRef>
              <c:f>Rokiškio!$O$47:$W$47</c:f>
              <c:numCache>
                <c:formatCode>General</c:formatCode>
                <c:ptCount val="7"/>
                <c:pt idx="0">
                  <c:v>12</c:v>
                </c:pt>
                <c:pt idx="1">
                  <c:v>9</c:v>
                </c:pt>
                <c:pt idx="2">
                  <c:v>8</c:v>
                </c:pt>
                <c:pt idx="3">
                  <c:v>10</c:v>
                </c:pt>
                <c:pt idx="4">
                  <c:v>11</c:v>
                </c:pt>
                <c:pt idx="5">
                  <c:v>12</c:v>
                </c:pt>
                <c:pt idx="6">
                  <c:v>456</c:v>
                </c:pt>
              </c:numCache>
            </c:numRef>
          </c:val>
          <c:smooth val="0"/>
        </c:ser>
        <c:dLbls>
          <c:showLegendKey val="0"/>
          <c:showVal val="0"/>
          <c:showCatName val="0"/>
          <c:showSerName val="0"/>
          <c:showPercent val="0"/>
          <c:showBubbleSize val="0"/>
        </c:dLbls>
        <c:marker val="1"/>
        <c:smooth val="0"/>
        <c:axId val="68913408"/>
        <c:axId val="68911488"/>
      </c:lineChart>
      <c:catAx>
        <c:axId val="6889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901120"/>
        <c:crosses val="autoZero"/>
        <c:auto val="1"/>
        <c:lblAlgn val="ctr"/>
        <c:lblOffset val="100"/>
        <c:noMultiLvlLbl val="0"/>
      </c:catAx>
      <c:valAx>
        <c:axId val="68901120"/>
        <c:scaling>
          <c:orientation val="minMax"/>
          <c:max val="91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8.3732049529814875E-3"/>
              <c:y val="0.6846619275694578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899584"/>
        <c:crosses val="autoZero"/>
        <c:crossBetween val="between"/>
      </c:valAx>
      <c:valAx>
        <c:axId val="68911488"/>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458721308312179"/>
              <c:y val="0.68466192756945787"/>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913408"/>
        <c:crosses val="max"/>
        <c:crossBetween val="between"/>
      </c:valAx>
      <c:catAx>
        <c:axId val="68913408"/>
        <c:scaling>
          <c:orientation val="minMax"/>
        </c:scaling>
        <c:delete val="1"/>
        <c:axPos val="b"/>
        <c:numFmt formatCode="General" sourceLinked="1"/>
        <c:majorTickMark val="out"/>
        <c:minorTickMark val="none"/>
        <c:tickLblPos val="nextTo"/>
        <c:crossAx val="68911488"/>
        <c:crosses val="autoZero"/>
        <c:auto val="1"/>
        <c:lblAlgn val="ctr"/>
        <c:lblOffset val="100"/>
        <c:noMultiLvlLbl val="0"/>
      </c:catAx>
      <c:spPr>
        <a:noFill/>
        <a:ln>
          <a:noFill/>
        </a:ln>
        <a:effectLst/>
      </c:spPr>
    </c:plotArea>
    <c:legend>
      <c:legendPos val="b"/>
      <c:layout>
        <c:manualLayout>
          <c:xMode val="edge"/>
          <c:yMode val="edge"/>
          <c:x val="1.572558216300762E-2"/>
          <c:y val="0.80414901392171079"/>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D9F8-FB99-489E-9F15-AB2C9E02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5</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92</cp:revision>
  <cp:lastPrinted>2016-03-02T08:05:00Z</cp:lastPrinted>
  <dcterms:created xsi:type="dcterms:W3CDTF">2016-03-01T20:52:00Z</dcterms:created>
  <dcterms:modified xsi:type="dcterms:W3CDTF">2016-06-02T20:57:00Z</dcterms:modified>
</cp:coreProperties>
</file>