
<file path=[Content_Types].xml><?xml version="1.0" encoding="utf-8"?>
<Types xmlns="http://schemas.openxmlformats.org/package/2006/content-types">
  <Default Extension="png" ContentType="image/png"/>
  <Default Extension="xls" ContentType="application/vnd.ms-excel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2.xml" ContentType="application/vnd.openxmlformats-officedocument.themeOverride+xml"/>
  <Override PartName="/word/charts/chart5.xml" ContentType="application/vnd.openxmlformats-officedocument.drawingml.chart+xml"/>
  <Override PartName="/word/theme/themeOverride3.xml" ContentType="application/vnd.openxmlformats-officedocument.themeOverride+xml"/>
  <Override PartName="/word/charts/chart6.xml" ContentType="application/vnd.openxmlformats-officedocument.drawingml.chart+xml"/>
  <Override PartName="/word/theme/themeOverride4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7BB" w:rsidRPr="00CF2C00" w:rsidRDefault="003801C0" w:rsidP="0080175F">
      <w:pPr>
        <w:pStyle w:val="001-lineSectionheading"/>
        <w:spacing w:after="240"/>
        <w:outlineLvl w:val="0"/>
        <w:rPr>
          <w:noProof w:val="0"/>
          <w:sz w:val="52"/>
        </w:rPr>
      </w:pPr>
      <w:r>
        <w:rPr>
          <w:noProof w:val="0"/>
          <w:sz w:val="52"/>
        </w:rPr>
        <w:t>Skuodo</w:t>
      </w:r>
      <w:r w:rsidR="00F02104" w:rsidRPr="00CF2C00">
        <w:rPr>
          <w:noProof w:val="0"/>
          <w:sz w:val="52"/>
        </w:rPr>
        <w:t xml:space="preserve"> rajono</w:t>
      </w:r>
      <w:r w:rsidR="005577BB" w:rsidRPr="00CF2C00">
        <w:rPr>
          <w:noProof w:val="0"/>
          <w:sz w:val="52"/>
        </w:rPr>
        <w:t xml:space="preserve"> savivaldybės analizė</w:t>
      </w:r>
    </w:p>
    <w:p w:rsidR="00C849C4" w:rsidRPr="00CF2C00" w:rsidRDefault="00C849C4" w:rsidP="002B4036">
      <w:pPr>
        <w:pStyle w:val="Deloittebodytext"/>
        <w:spacing w:line="240" w:lineRule="auto"/>
        <w:jc w:val="both"/>
        <w:rPr>
          <w:lang w:val="lt-LT"/>
        </w:rPr>
      </w:pPr>
      <w:r w:rsidRPr="00CF2C00">
        <w:rPr>
          <w:lang w:val="lt-LT"/>
        </w:rPr>
        <w:t>Toliau pateikiama vien</w:t>
      </w:r>
      <w:r w:rsidR="00955E14" w:rsidRPr="00CF2C00">
        <w:rPr>
          <w:lang w:val="lt-LT"/>
        </w:rPr>
        <w:t xml:space="preserve">os iš </w:t>
      </w:r>
      <w:r w:rsidR="00E12034" w:rsidRPr="00CF2C00">
        <w:rPr>
          <w:lang w:val="lt-LT"/>
        </w:rPr>
        <w:t>p</w:t>
      </w:r>
      <w:r w:rsidR="003801C0">
        <w:rPr>
          <w:lang w:val="lt-LT"/>
        </w:rPr>
        <w:t>robleminių teritorijų – Skuodo</w:t>
      </w:r>
      <w:r w:rsidRPr="00CF2C00">
        <w:rPr>
          <w:lang w:val="lt-LT"/>
        </w:rPr>
        <w:t xml:space="preserve"> rajono savivaldybės – atvejo stud</w:t>
      </w:r>
      <w:r w:rsidR="001F2140" w:rsidRPr="00CF2C00">
        <w:rPr>
          <w:lang w:val="lt-LT"/>
        </w:rPr>
        <w:t>ija. Pirma, yra pristatoma ES struktūrinių fondų</w:t>
      </w:r>
      <w:r w:rsidRPr="00CF2C00">
        <w:rPr>
          <w:lang w:val="lt-LT"/>
        </w:rPr>
        <w:t xml:space="preserve"> finansavimo apžvalga, aptariamos pagrindinės i</w:t>
      </w:r>
      <w:r w:rsidR="002E30F9" w:rsidRPr="00CF2C00">
        <w:rPr>
          <w:lang w:val="lt-LT"/>
        </w:rPr>
        <w:t xml:space="preserve">nvesticinės kryptys. Vėliau </w:t>
      </w:r>
      <w:r w:rsidR="002B4036" w:rsidRPr="00CF2C00">
        <w:rPr>
          <w:lang w:val="lt-LT"/>
        </w:rPr>
        <w:t>pristatoma socio-ekonominių ir aplinkos rodiklių kaita</w:t>
      </w:r>
      <w:r w:rsidR="00BC4ECE" w:rsidRPr="00CF2C00">
        <w:rPr>
          <w:lang w:val="lt-LT"/>
        </w:rPr>
        <w:t xml:space="preserve"> 2007 – 2013 m. laikotarpiu</w:t>
      </w:r>
      <w:r w:rsidR="002B4036" w:rsidRPr="00CF2C00">
        <w:rPr>
          <w:lang w:val="lt-LT"/>
        </w:rPr>
        <w:t xml:space="preserve">. Atvejo </w:t>
      </w:r>
      <w:r w:rsidR="002E30F9" w:rsidRPr="00CF2C00">
        <w:rPr>
          <w:lang w:val="lt-LT"/>
        </w:rPr>
        <w:t>studiją apibendrina</w:t>
      </w:r>
      <w:r w:rsidR="00EC3E73">
        <w:rPr>
          <w:lang w:val="lt-LT"/>
        </w:rPr>
        <w:t xml:space="preserve"> 2007 – 2013 m.</w:t>
      </w:r>
      <w:r w:rsidR="002E30F9" w:rsidRPr="00CF2C00">
        <w:rPr>
          <w:lang w:val="lt-LT"/>
        </w:rPr>
        <w:t xml:space="preserve"> ES</w:t>
      </w:r>
      <w:r w:rsidR="00EC3E73">
        <w:rPr>
          <w:lang w:val="lt-LT"/>
        </w:rPr>
        <w:t xml:space="preserve"> struktūrinės</w:t>
      </w:r>
      <w:r w:rsidR="002E30F9" w:rsidRPr="00CF2C00">
        <w:rPr>
          <w:lang w:val="lt-LT"/>
        </w:rPr>
        <w:t xml:space="preserve"> paramos poveikio darniam vystymuisi vertinimas</w:t>
      </w:r>
      <w:r w:rsidR="00EC3E73">
        <w:rPr>
          <w:lang w:val="lt-LT"/>
        </w:rPr>
        <w:t>; 1.3. dalyje pateikiami gerosios praktikos projektų pavyzdžiai.</w:t>
      </w:r>
    </w:p>
    <w:p w:rsidR="005577BB" w:rsidRPr="00CF2C00" w:rsidRDefault="0080175F" w:rsidP="0080175F">
      <w:pPr>
        <w:pStyle w:val="Heading1"/>
        <w:numPr>
          <w:ilvl w:val="1"/>
          <w:numId w:val="1"/>
        </w:numPr>
        <w:spacing w:before="360"/>
        <w:ind w:left="630" w:hanging="630"/>
        <w:rPr>
          <w:rFonts w:ascii="Arial" w:hAnsi="Arial" w:cs="Arial"/>
          <w:b w:val="0"/>
          <w:sz w:val="28"/>
          <w:szCs w:val="28"/>
        </w:rPr>
      </w:pPr>
      <w:r w:rsidRPr="00CF2C00">
        <w:rPr>
          <w:rFonts w:ascii="Arial" w:hAnsi="Arial" w:cs="Arial"/>
          <w:b w:val="0"/>
          <w:noProof/>
          <w:sz w:val="28"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BB10F47" wp14:editId="62A404F0">
                <wp:simplePos x="0" y="0"/>
                <wp:positionH relativeFrom="margin">
                  <wp:posOffset>3761105</wp:posOffset>
                </wp:positionH>
                <wp:positionV relativeFrom="paragraph">
                  <wp:posOffset>222885</wp:posOffset>
                </wp:positionV>
                <wp:extent cx="1371600" cy="1290320"/>
                <wp:effectExtent l="0" t="0" r="0" b="5080"/>
                <wp:wrapSquare wrapText="bothSides"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1600" cy="1290320"/>
                          <a:chOff x="0" y="47361"/>
                          <a:chExt cx="923925" cy="995045"/>
                        </a:xfrm>
                      </wpg:grpSpPr>
                      <wpg:graphicFrame>
                        <wpg:cNvPr id="8" name="Chart 8"/>
                        <wpg:cNvFrPr/>
                        <wpg:xfrm>
                          <a:off x="0" y="47361"/>
                          <a:ext cx="923925" cy="995045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9"/>
                          </a:graphicData>
                        </a:graphic>
                      </wpg:graphicFrame>
                      <wps:wsp>
                        <wps:cNvPr id="30" name="TextBox 29"/>
                        <wps:cNvSpPr txBox="1"/>
                        <wps:spPr>
                          <a:xfrm>
                            <a:off x="95657" y="526457"/>
                            <a:ext cx="795020" cy="3441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73ED6" w:rsidRPr="0080175F" w:rsidRDefault="003801C0" w:rsidP="00F73ED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sz w:val="6"/>
                                </w:rPr>
                              </w:pPr>
                              <w:r>
                                <w:rPr>
                                  <w:rFonts w:asciiTheme="majorHAnsi" w:hAnsi="Calibri Light" w:cstheme="minorBidi"/>
                                  <w:b/>
                                  <w:color w:val="FFFFFF"/>
                                  <w:kern w:val="24"/>
                                  <w:sz w:val="32"/>
                                  <w:szCs w:val="144"/>
                                  <w:lang w:val="nl-NL"/>
                                </w:rPr>
                                <w:t>2.75</w:t>
                              </w:r>
                              <w:r w:rsidR="0080175F" w:rsidRPr="0080175F">
                                <w:rPr>
                                  <w:rFonts w:asciiTheme="majorHAnsi" w:hAnsi="Calibri Light" w:cstheme="minorBidi"/>
                                  <w:b/>
                                  <w:color w:val="FFFFFF"/>
                                  <w:kern w:val="24"/>
                                  <w:sz w:val="32"/>
                                  <w:szCs w:val="144"/>
                                  <w:lang w:val="nl-NL"/>
                                </w:rPr>
                                <w:t xml:space="preserve"> %</w:t>
                              </w:r>
                            </w:p>
                          </w:txbxContent>
                        </wps:txbx>
                        <wps:bodyPr wrap="square" lIns="35999" tIns="35999" rIns="35999" bIns="35999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BB10F47" id="Group 14" o:spid="_x0000_s1026" style="position:absolute;left:0;text-align:left;margin-left:296.15pt;margin-top:17.55pt;width:108pt;height:101.6pt;z-index:251670528;mso-position-horizontal-relative:margin;mso-width-relative:margin;mso-height-relative:margin" coordorigin=",473" coordsize="9239,9950" o:gfxdata="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hart 8" o:spid="_x0000_s1027" type="#_x0000_t75" style="position:absolute;top:473;width:9239;height:996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">
                  <v:imagedata r:id="rId10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9" o:spid="_x0000_s1028" type="#_x0000_t202" style="position:absolute;left:956;top:5264;width:7950;height:3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avCMEA&#10;AADbAAAADwAAAGRycy9kb3ducmV2LnhtbERPXWvCMBR9H/gfwhV8m4kKY3TG0gmiCG7MCfp4ae7a&#10;YnNTkqjVX788DPZ4ON/zvLetuJIPjWMNk7ECQVw603Cl4fC9en4FESKywdYxabhTgHwxeJpjZtyN&#10;v+i6j5VIIRwy1FDH2GVShrImi2HsOuLE/ThvMSboK2k83lK4beVUqRdpseHUUGNHy5rK8/5iNZw+&#10;du/OF+qw/rxztTXHhzpvHlqPhn3xBiJSH//Ff+6N0TBL69OX9APk4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mrwjBAAAA2wAAAA8AAAAAAAAAAAAAAAAAmAIAAGRycy9kb3du&#10;cmV2LnhtbFBLBQYAAAAABAAEAPUAAACGAwAAAAA=&#10;" filled="f" stroked="f">
                  <v:textbox inset=".99997mm,.99997mm,.99997mm,.99997mm">
                    <w:txbxContent>
                      <w:p w:rsidR="00F73ED6" w:rsidRPr="0080175F" w:rsidRDefault="003801C0" w:rsidP="00F73ED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sz w:val="6"/>
                          </w:rPr>
                        </w:pPr>
                        <w:r>
                          <w:rPr>
                            <w:rFonts w:asciiTheme="majorHAnsi" w:hAnsi="Calibri Light" w:cstheme="minorBidi"/>
                            <w:b/>
                            <w:color w:val="FFFFFF"/>
                            <w:kern w:val="24"/>
                            <w:sz w:val="32"/>
                            <w:szCs w:val="144"/>
                            <w:lang w:val="nl-NL"/>
                          </w:rPr>
                          <w:t>2.75</w:t>
                        </w:r>
                        <w:r w:rsidR="0080175F" w:rsidRPr="0080175F">
                          <w:rPr>
                            <w:rFonts w:asciiTheme="majorHAnsi" w:hAnsi="Calibri Light" w:cstheme="minorBidi"/>
                            <w:b/>
                            <w:color w:val="FFFFFF"/>
                            <w:kern w:val="24"/>
                            <w:sz w:val="32"/>
                            <w:szCs w:val="144"/>
                            <w:lang w:val="nl-NL"/>
                          </w:rPr>
                          <w:t xml:space="preserve"> %</w:t>
                        </w:r>
                      </w:p>
                    </w:txbxContent>
                  </v:textbox>
                </v:shape>
                <w10:wrap type="square" anchorx="margin"/>
              </v:group>
              <o:OLEObject Type="Embed" ProgID="Excel.Chart.8" ShapeID="Chart 8" DrawAspect="Content" ObjectID="_1522009150" r:id="rId11">
                <o:FieldCodes>\s</o:FieldCodes>
              </o:OLEObject>
            </w:pict>
          </mc:Fallback>
        </mc:AlternateContent>
      </w:r>
      <w:r w:rsidR="005577BB" w:rsidRPr="00CF2C00">
        <w:rPr>
          <w:rFonts w:ascii="Arial" w:hAnsi="Arial" w:cs="Arial"/>
          <w:b w:val="0"/>
          <w:sz w:val="28"/>
          <w:szCs w:val="28"/>
        </w:rPr>
        <w:t>Finansavimo apžvalga</w:t>
      </w:r>
    </w:p>
    <w:p w:rsidR="005577BB" w:rsidRPr="00CF2C00" w:rsidRDefault="00F73ED6" w:rsidP="00F73ED6">
      <w:pPr>
        <w:jc w:val="both"/>
        <w:rPr>
          <w:rFonts w:ascii="Arial" w:eastAsia="MS PGothic" w:hAnsi="Arial" w:cs="Times New Roman"/>
          <w:color w:val="000000"/>
          <w:sz w:val="20"/>
          <w:szCs w:val="48"/>
        </w:rPr>
      </w:pPr>
      <w:r w:rsidRPr="00CF2C00">
        <w:rPr>
          <w:rFonts w:ascii="Arial" w:eastAsia="MS PGothic" w:hAnsi="Arial" w:cs="Times New Roman"/>
          <w:color w:val="000000"/>
          <w:sz w:val="20"/>
          <w:szCs w:val="48"/>
        </w:rPr>
        <w:t xml:space="preserve">2007 – 2013 </w:t>
      </w:r>
      <w:r w:rsidR="009A35E9" w:rsidRPr="00CF2C00">
        <w:rPr>
          <w:rFonts w:ascii="Arial" w:eastAsia="MS PGothic" w:hAnsi="Arial" w:cs="Times New Roman"/>
          <w:color w:val="000000"/>
          <w:sz w:val="20"/>
          <w:szCs w:val="48"/>
        </w:rPr>
        <w:t>m</w:t>
      </w:r>
      <w:r w:rsidR="0080175F" w:rsidRPr="00CF2C00">
        <w:rPr>
          <w:rFonts w:ascii="Arial" w:eastAsia="MS PGothic" w:hAnsi="Arial" w:cs="Times New Roman"/>
          <w:color w:val="000000"/>
          <w:sz w:val="20"/>
          <w:szCs w:val="48"/>
        </w:rPr>
        <w:t>. ES struktūrinių fondų</w:t>
      </w:r>
      <w:r w:rsidR="001F2140" w:rsidRPr="00CF2C00">
        <w:rPr>
          <w:rFonts w:ascii="Arial" w:eastAsia="MS PGothic" w:hAnsi="Arial" w:cs="Times New Roman"/>
          <w:color w:val="000000"/>
          <w:sz w:val="20"/>
          <w:szCs w:val="48"/>
        </w:rPr>
        <w:t xml:space="preserve"> (ES SF)</w:t>
      </w:r>
      <w:r w:rsidR="0080175F" w:rsidRPr="00CF2C00">
        <w:rPr>
          <w:rFonts w:ascii="Arial" w:eastAsia="MS PGothic" w:hAnsi="Arial" w:cs="Times New Roman"/>
          <w:color w:val="000000"/>
          <w:sz w:val="20"/>
          <w:szCs w:val="48"/>
        </w:rPr>
        <w:t xml:space="preserve"> programavimo</w:t>
      </w:r>
      <w:r w:rsidR="00CF323C">
        <w:rPr>
          <w:rFonts w:ascii="Arial" w:eastAsia="MS PGothic" w:hAnsi="Arial" w:cs="Times New Roman"/>
          <w:color w:val="000000"/>
          <w:sz w:val="20"/>
          <w:szCs w:val="48"/>
        </w:rPr>
        <w:t xml:space="preserve"> laikotarpiu, </w:t>
      </w:r>
      <w:r w:rsidR="003801C0">
        <w:rPr>
          <w:rFonts w:ascii="Arial" w:eastAsia="MS PGothic" w:hAnsi="Arial" w:cs="Times New Roman"/>
          <w:color w:val="000000"/>
          <w:sz w:val="20"/>
          <w:szCs w:val="48"/>
        </w:rPr>
        <w:t>Skuodo</w:t>
      </w:r>
      <w:r w:rsidR="00955E14" w:rsidRPr="00CF2C00">
        <w:rPr>
          <w:rFonts w:ascii="Arial" w:eastAsia="MS PGothic" w:hAnsi="Arial" w:cs="Times New Roman"/>
          <w:color w:val="000000"/>
          <w:sz w:val="20"/>
          <w:szCs w:val="48"/>
        </w:rPr>
        <w:t xml:space="preserve"> rajono</w:t>
      </w:r>
      <w:r w:rsidR="009A35E9" w:rsidRPr="00CF2C00">
        <w:rPr>
          <w:rFonts w:ascii="Arial" w:eastAsia="MS PGothic" w:hAnsi="Arial" w:cs="Times New Roman"/>
          <w:color w:val="000000"/>
          <w:sz w:val="20"/>
          <w:szCs w:val="48"/>
        </w:rPr>
        <w:t xml:space="preserve"> savivaldybėje, </w:t>
      </w:r>
      <w:r w:rsidR="00C63A96">
        <w:rPr>
          <w:rFonts w:ascii="Arial" w:eastAsia="MS PGothic" w:hAnsi="Arial" w:cs="Times New Roman"/>
          <w:color w:val="000000"/>
          <w:sz w:val="20"/>
          <w:szCs w:val="48"/>
        </w:rPr>
        <w:t>buvo finansuotas</w:t>
      </w:r>
      <w:r w:rsidR="00CF47D0" w:rsidRPr="00CF2C00">
        <w:rPr>
          <w:rFonts w:ascii="Arial" w:eastAsia="MS PGothic" w:hAnsi="Arial" w:cs="Times New Roman"/>
          <w:color w:val="000000"/>
          <w:sz w:val="20"/>
          <w:szCs w:val="48"/>
        </w:rPr>
        <w:t xml:space="preserve"> </w:t>
      </w:r>
      <w:r w:rsidR="003801C0">
        <w:rPr>
          <w:rFonts w:ascii="Arial" w:eastAsia="MS PGothic" w:hAnsi="Arial" w:cs="Times New Roman"/>
          <w:color w:val="000000"/>
          <w:sz w:val="20"/>
          <w:szCs w:val="48"/>
        </w:rPr>
        <w:t>51</w:t>
      </w:r>
      <w:r w:rsidR="00ED3673" w:rsidRPr="00CF2C00">
        <w:rPr>
          <w:rFonts w:ascii="Arial" w:eastAsia="MS PGothic" w:hAnsi="Arial" w:cs="Times New Roman"/>
          <w:color w:val="000000"/>
          <w:sz w:val="20"/>
          <w:szCs w:val="48"/>
        </w:rPr>
        <w:t xml:space="preserve"> </w:t>
      </w:r>
      <w:r w:rsidR="00C63A96">
        <w:rPr>
          <w:rFonts w:ascii="Arial" w:eastAsia="MS PGothic" w:hAnsi="Arial" w:cs="Times New Roman"/>
          <w:color w:val="000000"/>
          <w:sz w:val="20"/>
          <w:szCs w:val="48"/>
        </w:rPr>
        <w:t>projektas</w:t>
      </w:r>
      <w:r w:rsidRPr="00CF2C00">
        <w:rPr>
          <w:rFonts w:ascii="Arial" w:eastAsia="MS PGothic" w:hAnsi="Arial" w:cs="Times New Roman"/>
          <w:color w:val="000000"/>
          <w:sz w:val="20"/>
          <w:szCs w:val="48"/>
        </w:rPr>
        <w:t xml:space="preserve">. </w:t>
      </w:r>
      <w:r w:rsidR="009A35E9" w:rsidRPr="00CF2C00">
        <w:rPr>
          <w:rFonts w:ascii="Arial" w:eastAsia="MS PGothic" w:hAnsi="Arial" w:cs="Times New Roman"/>
          <w:color w:val="000000"/>
          <w:sz w:val="20"/>
          <w:szCs w:val="48"/>
        </w:rPr>
        <w:t xml:space="preserve">Bendra </w:t>
      </w:r>
      <w:r w:rsidR="0080175F" w:rsidRPr="00CF2C00">
        <w:rPr>
          <w:rFonts w:ascii="Arial" w:eastAsia="MS PGothic" w:hAnsi="Arial" w:cs="Times New Roman"/>
          <w:color w:val="000000"/>
          <w:sz w:val="20"/>
          <w:szCs w:val="48"/>
        </w:rPr>
        <w:t>projektų vertė</w:t>
      </w:r>
      <w:r w:rsidR="009A35E9" w:rsidRPr="00CF2C00">
        <w:rPr>
          <w:rFonts w:ascii="Arial" w:eastAsia="MS PGothic" w:hAnsi="Arial" w:cs="Times New Roman"/>
          <w:color w:val="000000"/>
          <w:sz w:val="20"/>
          <w:szCs w:val="48"/>
        </w:rPr>
        <w:t xml:space="preserve"> siekė</w:t>
      </w:r>
      <w:r w:rsidR="00955E14" w:rsidRPr="00CF2C00">
        <w:rPr>
          <w:rFonts w:ascii="Arial" w:eastAsia="MS PGothic" w:hAnsi="Arial" w:cs="Times New Roman"/>
          <w:color w:val="000000"/>
          <w:sz w:val="20"/>
          <w:szCs w:val="48"/>
        </w:rPr>
        <w:t xml:space="preserve"> </w:t>
      </w:r>
      <w:r w:rsidR="003801C0" w:rsidRPr="003801C0">
        <w:rPr>
          <w:rFonts w:ascii="Arial" w:eastAsia="MS PGothic" w:hAnsi="Arial" w:cs="Times New Roman"/>
          <w:color w:val="000000"/>
          <w:sz w:val="20"/>
          <w:szCs w:val="48"/>
        </w:rPr>
        <w:t>23</w:t>
      </w:r>
      <w:r w:rsidR="00EC3E73">
        <w:rPr>
          <w:rFonts w:ascii="Arial" w:eastAsia="MS PGothic" w:hAnsi="Arial" w:cs="Times New Roman"/>
          <w:color w:val="000000"/>
          <w:sz w:val="20"/>
          <w:szCs w:val="48"/>
        </w:rPr>
        <w:t>.</w:t>
      </w:r>
      <w:r w:rsidR="003801C0" w:rsidRPr="003801C0">
        <w:rPr>
          <w:rFonts w:ascii="Arial" w:eastAsia="MS PGothic" w:hAnsi="Arial" w:cs="Times New Roman"/>
          <w:color w:val="000000"/>
          <w:sz w:val="20"/>
          <w:szCs w:val="48"/>
        </w:rPr>
        <w:t>656</w:t>
      </w:r>
      <w:r w:rsidR="00EC3E73">
        <w:rPr>
          <w:rFonts w:ascii="Arial" w:eastAsia="MS PGothic" w:hAnsi="Arial" w:cs="Times New Roman"/>
          <w:color w:val="000000"/>
          <w:sz w:val="20"/>
          <w:szCs w:val="48"/>
        </w:rPr>
        <w:t xml:space="preserve"> mln.</w:t>
      </w:r>
      <w:r w:rsidR="003801C0">
        <w:rPr>
          <w:rFonts w:ascii="Arial" w:eastAsia="MS PGothic" w:hAnsi="Arial" w:cs="Times New Roman"/>
          <w:color w:val="000000"/>
          <w:sz w:val="20"/>
          <w:szCs w:val="48"/>
        </w:rPr>
        <w:t xml:space="preserve"> EUR; tai sudarė 2.</w:t>
      </w:r>
      <w:r w:rsidR="00ED3673" w:rsidRPr="00CF2C00">
        <w:rPr>
          <w:rFonts w:ascii="Arial" w:eastAsia="MS PGothic" w:hAnsi="Arial" w:cs="Times New Roman"/>
          <w:color w:val="000000"/>
          <w:sz w:val="20"/>
          <w:szCs w:val="48"/>
        </w:rPr>
        <w:t>7</w:t>
      </w:r>
      <w:r w:rsidR="003801C0">
        <w:rPr>
          <w:rFonts w:ascii="Arial" w:eastAsia="MS PGothic" w:hAnsi="Arial" w:cs="Times New Roman"/>
          <w:color w:val="000000"/>
          <w:sz w:val="20"/>
          <w:szCs w:val="48"/>
        </w:rPr>
        <w:t>5</w:t>
      </w:r>
      <w:r w:rsidR="0080175F" w:rsidRPr="00CF2C00">
        <w:rPr>
          <w:rFonts w:ascii="Arial" w:eastAsia="MS PGothic" w:hAnsi="Arial" w:cs="Times New Roman"/>
          <w:color w:val="000000"/>
          <w:sz w:val="20"/>
          <w:szCs w:val="48"/>
        </w:rPr>
        <w:t xml:space="preserve"> proc. visų probleminėse teritorijose įgyvendintų</w:t>
      </w:r>
      <w:r w:rsidR="001F2140" w:rsidRPr="00CF2C00">
        <w:rPr>
          <w:rFonts w:ascii="Arial" w:eastAsia="MS PGothic" w:hAnsi="Arial" w:cs="Times New Roman"/>
          <w:color w:val="000000"/>
          <w:sz w:val="20"/>
          <w:szCs w:val="48"/>
        </w:rPr>
        <w:t xml:space="preserve"> ES SF</w:t>
      </w:r>
      <w:r w:rsidR="0080175F" w:rsidRPr="00CF2C00">
        <w:rPr>
          <w:rFonts w:ascii="Arial" w:eastAsia="MS PGothic" w:hAnsi="Arial" w:cs="Times New Roman"/>
          <w:color w:val="000000"/>
          <w:sz w:val="20"/>
          <w:szCs w:val="48"/>
        </w:rPr>
        <w:t xml:space="preserve"> projektų vertės.</w:t>
      </w:r>
      <w:r w:rsidR="00CF323C">
        <w:rPr>
          <w:rFonts w:ascii="Arial" w:eastAsia="MS PGothic" w:hAnsi="Arial" w:cs="Times New Roman"/>
          <w:color w:val="000000"/>
          <w:sz w:val="20"/>
          <w:szCs w:val="48"/>
        </w:rPr>
        <w:t xml:space="preserve"> </w:t>
      </w:r>
      <w:r w:rsidR="003801C0">
        <w:rPr>
          <w:rFonts w:ascii="Arial" w:eastAsia="MS PGothic" w:hAnsi="Arial" w:cs="Times New Roman"/>
          <w:color w:val="000000"/>
          <w:sz w:val="20"/>
          <w:szCs w:val="48"/>
        </w:rPr>
        <w:t>Skuodo</w:t>
      </w:r>
      <w:r w:rsidR="00CF323C">
        <w:rPr>
          <w:rFonts w:ascii="Arial" w:eastAsia="MS PGothic" w:hAnsi="Arial" w:cs="Times New Roman"/>
          <w:color w:val="000000"/>
          <w:sz w:val="20"/>
          <w:szCs w:val="48"/>
        </w:rPr>
        <w:t xml:space="preserve"> rajono savivaldybė buvo mažiausiai ES SF lėšų gavusi pr</w:t>
      </w:r>
      <w:r w:rsidR="00264515">
        <w:rPr>
          <w:rFonts w:ascii="Arial" w:eastAsia="MS PGothic" w:hAnsi="Arial" w:cs="Times New Roman"/>
          <w:color w:val="000000"/>
          <w:sz w:val="20"/>
          <w:szCs w:val="48"/>
        </w:rPr>
        <w:t>o</w:t>
      </w:r>
      <w:r w:rsidR="00C63A96">
        <w:rPr>
          <w:rFonts w:ascii="Arial" w:eastAsia="MS PGothic" w:hAnsi="Arial" w:cs="Times New Roman"/>
          <w:color w:val="000000"/>
          <w:sz w:val="20"/>
          <w:szCs w:val="48"/>
        </w:rPr>
        <w:t>bleminių teritorijų savivaldybė</w:t>
      </w:r>
      <w:r w:rsidR="003801C0">
        <w:rPr>
          <w:rFonts w:ascii="Arial" w:eastAsia="MS PGothic" w:hAnsi="Arial" w:cs="Times New Roman"/>
          <w:color w:val="000000"/>
          <w:sz w:val="20"/>
          <w:szCs w:val="48"/>
        </w:rPr>
        <w:t>.</w:t>
      </w:r>
      <w:r w:rsidR="00264515">
        <w:rPr>
          <w:rFonts w:ascii="Arial" w:eastAsia="MS PGothic" w:hAnsi="Arial" w:cs="Times New Roman"/>
          <w:color w:val="000000"/>
          <w:sz w:val="20"/>
          <w:szCs w:val="48"/>
        </w:rPr>
        <w:t xml:space="preserve"> </w:t>
      </w:r>
    </w:p>
    <w:p w:rsidR="000D5BA5" w:rsidRPr="00CF2C00" w:rsidRDefault="0080175F" w:rsidP="00F73ED6">
      <w:pPr>
        <w:jc w:val="both"/>
        <w:rPr>
          <w:rFonts w:ascii="Arial" w:eastAsia="MS PGothic" w:hAnsi="Arial" w:cs="Times New Roman"/>
          <w:color w:val="000000"/>
          <w:sz w:val="20"/>
          <w:szCs w:val="48"/>
        </w:rPr>
      </w:pPr>
      <w:r w:rsidRPr="00CF2C00">
        <w:rPr>
          <w:rFonts w:ascii="Arial" w:eastAsia="MS PGothic" w:hAnsi="Arial" w:cs="Times New Roman"/>
          <w:color w:val="000000"/>
          <w:sz w:val="20"/>
          <w:szCs w:val="48"/>
        </w:rPr>
        <w:t>Sangl</w:t>
      </w:r>
      <w:r w:rsidR="00955E14" w:rsidRPr="00CF2C00">
        <w:rPr>
          <w:rFonts w:ascii="Arial" w:eastAsia="MS PGothic" w:hAnsi="Arial" w:cs="Times New Roman"/>
          <w:color w:val="000000"/>
          <w:sz w:val="20"/>
          <w:szCs w:val="48"/>
        </w:rPr>
        <w:t>audos skatinimo veiksmų programos</w:t>
      </w:r>
      <w:r w:rsidRPr="00CF2C00">
        <w:rPr>
          <w:rFonts w:ascii="Arial" w:eastAsia="MS PGothic" w:hAnsi="Arial" w:cs="Times New Roman"/>
          <w:color w:val="000000"/>
          <w:sz w:val="20"/>
          <w:szCs w:val="48"/>
        </w:rPr>
        <w:t xml:space="preserve"> (SSVP)</w:t>
      </w:r>
      <w:r w:rsidR="00C144CE" w:rsidRPr="00CF2C00">
        <w:rPr>
          <w:rFonts w:ascii="Arial" w:eastAsia="MS PGothic" w:hAnsi="Arial" w:cs="Times New Roman"/>
          <w:color w:val="000000"/>
          <w:sz w:val="20"/>
          <w:szCs w:val="48"/>
        </w:rPr>
        <w:t xml:space="preserve"> apimtyje įgyvendintų projektų vertė </w:t>
      </w:r>
      <w:r w:rsidR="00CF323C">
        <w:rPr>
          <w:rFonts w:ascii="Arial" w:eastAsia="MS PGothic" w:hAnsi="Arial" w:cs="Times New Roman"/>
          <w:color w:val="000000"/>
          <w:sz w:val="20"/>
          <w:szCs w:val="48"/>
        </w:rPr>
        <w:t>sudaro daugiausiai</w:t>
      </w:r>
      <w:r w:rsidR="00C144CE" w:rsidRPr="00CF2C00">
        <w:rPr>
          <w:rFonts w:ascii="Arial" w:eastAsia="MS PGothic" w:hAnsi="Arial" w:cs="Times New Roman"/>
          <w:color w:val="000000"/>
          <w:sz w:val="20"/>
          <w:szCs w:val="48"/>
        </w:rPr>
        <w:t xml:space="preserve"> savivaldybės teritorijoje ES SF lėšomi</w:t>
      </w:r>
      <w:r w:rsidR="00BA41A7">
        <w:rPr>
          <w:rFonts w:ascii="Arial" w:eastAsia="MS PGothic" w:hAnsi="Arial" w:cs="Times New Roman"/>
          <w:color w:val="000000"/>
          <w:sz w:val="20"/>
          <w:szCs w:val="48"/>
        </w:rPr>
        <w:t>s finansuotų projektų vertės (83</w:t>
      </w:r>
      <w:r w:rsidR="00C144CE" w:rsidRPr="00CF2C00">
        <w:rPr>
          <w:rFonts w:ascii="Arial" w:eastAsia="MS PGothic" w:hAnsi="Arial" w:cs="Times New Roman"/>
          <w:color w:val="000000"/>
          <w:sz w:val="20"/>
          <w:szCs w:val="48"/>
        </w:rPr>
        <w:t xml:space="preserve"> proc.). </w:t>
      </w:r>
      <w:r w:rsidR="00955E14" w:rsidRPr="00CF2C00">
        <w:rPr>
          <w:rFonts w:ascii="Arial" w:eastAsia="MS PGothic" w:hAnsi="Arial" w:cs="Times New Roman"/>
          <w:color w:val="000000"/>
          <w:sz w:val="20"/>
          <w:szCs w:val="48"/>
        </w:rPr>
        <w:t xml:space="preserve"> Ekonomikos augimo veiksmų programos (EAVP) lėšos sudarė beveik </w:t>
      </w:r>
      <w:r w:rsidR="00BA41A7">
        <w:rPr>
          <w:rFonts w:ascii="Arial" w:eastAsia="MS PGothic" w:hAnsi="Arial" w:cs="Times New Roman"/>
          <w:color w:val="000000"/>
          <w:sz w:val="20"/>
          <w:szCs w:val="48"/>
        </w:rPr>
        <w:t>10</w:t>
      </w:r>
      <w:r w:rsidR="00955E14" w:rsidRPr="00CF2C00">
        <w:rPr>
          <w:rFonts w:ascii="Arial" w:eastAsia="MS PGothic" w:hAnsi="Arial" w:cs="Times New Roman"/>
          <w:color w:val="000000"/>
          <w:sz w:val="20"/>
          <w:szCs w:val="48"/>
        </w:rPr>
        <w:t xml:space="preserve"> proc.</w:t>
      </w:r>
      <w:r w:rsidR="00C144CE" w:rsidRPr="00CF2C00">
        <w:rPr>
          <w:rFonts w:ascii="Arial" w:eastAsia="MS PGothic" w:hAnsi="Arial" w:cs="Times New Roman"/>
          <w:color w:val="000000"/>
          <w:sz w:val="20"/>
          <w:szCs w:val="48"/>
        </w:rPr>
        <w:t xml:space="preserve"> viso skirto ES SF finansavimo, t</w:t>
      </w:r>
      <w:r w:rsidR="00D65C3C" w:rsidRPr="00CF2C00">
        <w:rPr>
          <w:rFonts w:ascii="Arial" w:eastAsia="MS PGothic" w:hAnsi="Arial" w:cs="Times New Roman"/>
          <w:color w:val="000000"/>
          <w:sz w:val="20"/>
          <w:szCs w:val="48"/>
        </w:rPr>
        <w:t>uo tarpu Žmogiškųjų išt</w:t>
      </w:r>
      <w:r w:rsidR="000D5BA5" w:rsidRPr="00CF2C00">
        <w:rPr>
          <w:rFonts w:ascii="Arial" w:eastAsia="MS PGothic" w:hAnsi="Arial" w:cs="Times New Roman"/>
          <w:color w:val="000000"/>
          <w:sz w:val="20"/>
          <w:szCs w:val="48"/>
        </w:rPr>
        <w:t>eklių veiksmų programos</w:t>
      </w:r>
      <w:r w:rsidR="00D65C3C" w:rsidRPr="00CF2C00">
        <w:rPr>
          <w:rFonts w:ascii="Arial" w:eastAsia="MS PGothic" w:hAnsi="Arial" w:cs="Times New Roman"/>
          <w:color w:val="000000"/>
          <w:sz w:val="20"/>
          <w:szCs w:val="48"/>
        </w:rPr>
        <w:t xml:space="preserve"> (ŽIPVP) </w:t>
      </w:r>
      <w:r w:rsidR="000D5BA5" w:rsidRPr="00CF2C00">
        <w:rPr>
          <w:rFonts w:ascii="Arial" w:eastAsia="MS PGothic" w:hAnsi="Arial" w:cs="Times New Roman"/>
          <w:color w:val="000000"/>
          <w:sz w:val="20"/>
          <w:szCs w:val="48"/>
        </w:rPr>
        <w:t>lėšos</w:t>
      </w:r>
      <w:r w:rsidR="00D65C3C" w:rsidRPr="00CF2C00">
        <w:rPr>
          <w:rFonts w:ascii="Arial" w:eastAsia="MS PGothic" w:hAnsi="Arial" w:cs="Times New Roman"/>
          <w:color w:val="000000"/>
          <w:sz w:val="20"/>
          <w:szCs w:val="48"/>
        </w:rPr>
        <w:t xml:space="preserve"> </w:t>
      </w:r>
      <w:r w:rsidR="000D5BA5" w:rsidRPr="00CF2C00">
        <w:rPr>
          <w:rFonts w:ascii="Arial" w:eastAsia="MS PGothic" w:hAnsi="Arial" w:cs="Times New Roman"/>
          <w:color w:val="000000"/>
          <w:sz w:val="20"/>
          <w:szCs w:val="48"/>
        </w:rPr>
        <w:t>sudarė</w:t>
      </w:r>
      <w:r w:rsidR="00CF323C">
        <w:rPr>
          <w:rFonts w:ascii="Arial" w:eastAsia="MS PGothic" w:hAnsi="Arial" w:cs="Times New Roman"/>
          <w:color w:val="000000"/>
          <w:sz w:val="20"/>
          <w:szCs w:val="48"/>
        </w:rPr>
        <w:t xml:space="preserve"> 7</w:t>
      </w:r>
      <w:r w:rsidR="000D5BA5" w:rsidRPr="00CF2C00">
        <w:rPr>
          <w:rFonts w:ascii="Arial" w:eastAsia="MS PGothic" w:hAnsi="Arial" w:cs="Times New Roman"/>
          <w:color w:val="000000"/>
          <w:sz w:val="20"/>
          <w:szCs w:val="48"/>
        </w:rPr>
        <w:t xml:space="preserve"> proc</w:t>
      </w:r>
      <w:r w:rsidR="00C63A96">
        <w:rPr>
          <w:rFonts w:ascii="Arial" w:eastAsia="MS PGothic" w:hAnsi="Arial" w:cs="Times New Roman"/>
          <w:color w:val="000000"/>
          <w:sz w:val="20"/>
          <w:szCs w:val="48"/>
        </w:rPr>
        <w:t>. lėšų</w:t>
      </w:r>
      <w:r w:rsidR="000D5BA5" w:rsidRPr="00CF2C00">
        <w:rPr>
          <w:rFonts w:ascii="Arial" w:eastAsia="MS PGothic" w:hAnsi="Arial" w:cs="Times New Roman"/>
          <w:color w:val="000000"/>
          <w:sz w:val="20"/>
          <w:szCs w:val="48"/>
        </w:rPr>
        <w:t xml:space="preserve">. </w:t>
      </w:r>
      <w:r w:rsidR="00C144CE" w:rsidRPr="00CF2C00">
        <w:rPr>
          <w:rFonts w:ascii="Arial" w:eastAsia="MS PGothic" w:hAnsi="Arial" w:cs="Times New Roman"/>
          <w:color w:val="000000"/>
          <w:sz w:val="20"/>
          <w:szCs w:val="48"/>
        </w:rPr>
        <w:t xml:space="preserve">Nagrinėjant projektų skaičių, matoma, kad ŽIPVP </w:t>
      </w:r>
      <w:r w:rsidR="00C63A96">
        <w:rPr>
          <w:rFonts w:ascii="Arial" w:eastAsia="MS PGothic" w:hAnsi="Arial" w:cs="Times New Roman"/>
          <w:color w:val="000000"/>
          <w:sz w:val="20"/>
          <w:szCs w:val="48"/>
        </w:rPr>
        <w:t xml:space="preserve">ir EAVP </w:t>
      </w:r>
      <w:r w:rsidR="00C144CE" w:rsidRPr="00CF2C00">
        <w:rPr>
          <w:rFonts w:ascii="Arial" w:eastAsia="MS PGothic" w:hAnsi="Arial" w:cs="Times New Roman"/>
          <w:color w:val="000000"/>
          <w:sz w:val="20"/>
          <w:szCs w:val="48"/>
        </w:rPr>
        <w:t>ap</w:t>
      </w:r>
      <w:r w:rsidR="003801C0">
        <w:rPr>
          <w:rFonts w:ascii="Arial" w:eastAsia="MS PGothic" w:hAnsi="Arial" w:cs="Times New Roman"/>
          <w:color w:val="000000"/>
          <w:sz w:val="20"/>
          <w:szCs w:val="48"/>
        </w:rPr>
        <w:t>imtyje buvo įgyvendinta</w:t>
      </w:r>
      <w:r w:rsidR="00C63A96">
        <w:rPr>
          <w:rFonts w:ascii="Arial" w:eastAsia="MS PGothic" w:hAnsi="Arial" w:cs="Times New Roman"/>
          <w:color w:val="000000"/>
          <w:sz w:val="20"/>
          <w:szCs w:val="48"/>
        </w:rPr>
        <w:t>s</w:t>
      </w:r>
      <w:r w:rsidR="003801C0">
        <w:rPr>
          <w:rFonts w:ascii="Arial" w:eastAsia="MS PGothic" w:hAnsi="Arial" w:cs="Times New Roman"/>
          <w:color w:val="000000"/>
          <w:sz w:val="20"/>
          <w:szCs w:val="48"/>
        </w:rPr>
        <w:t xml:space="preserve"> </w:t>
      </w:r>
      <w:r w:rsidR="00C63A96">
        <w:rPr>
          <w:rFonts w:ascii="Arial" w:eastAsia="MS PGothic" w:hAnsi="Arial" w:cs="Times New Roman"/>
          <w:color w:val="000000"/>
          <w:sz w:val="20"/>
          <w:szCs w:val="48"/>
        </w:rPr>
        <w:t xml:space="preserve">panašus skaičius projektų (atitinkamai </w:t>
      </w:r>
      <w:r w:rsidR="003801C0">
        <w:rPr>
          <w:rFonts w:ascii="Arial" w:eastAsia="MS PGothic" w:hAnsi="Arial" w:cs="Times New Roman"/>
          <w:color w:val="000000"/>
          <w:sz w:val="20"/>
          <w:szCs w:val="48"/>
        </w:rPr>
        <w:t>9</w:t>
      </w:r>
      <w:r w:rsidR="00264515">
        <w:rPr>
          <w:rFonts w:ascii="Arial" w:eastAsia="MS PGothic" w:hAnsi="Arial" w:cs="Times New Roman"/>
          <w:color w:val="000000"/>
          <w:sz w:val="20"/>
          <w:szCs w:val="48"/>
        </w:rPr>
        <w:t xml:space="preserve"> </w:t>
      </w:r>
      <w:r w:rsidR="00C63A96">
        <w:rPr>
          <w:rFonts w:ascii="Arial" w:eastAsia="MS PGothic" w:hAnsi="Arial" w:cs="Times New Roman"/>
          <w:color w:val="000000"/>
          <w:sz w:val="20"/>
          <w:szCs w:val="48"/>
        </w:rPr>
        <w:t xml:space="preserve">ir </w:t>
      </w:r>
      <w:r w:rsidR="003801C0">
        <w:rPr>
          <w:rFonts w:ascii="Arial" w:eastAsia="MS PGothic" w:hAnsi="Arial" w:cs="Times New Roman"/>
          <w:color w:val="000000"/>
          <w:sz w:val="20"/>
          <w:szCs w:val="48"/>
        </w:rPr>
        <w:t>6</w:t>
      </w:r>
      <w:r w:rsidR="00264515">
        <w:rPr>
          <w:rFonts w:ascii="Arial" w:eastAsia="MS PGothic" w:hAnsi="Arial" w:cs="Times New Roman"/>
          <w:color w:val="000000"/>
          <w:sz w:val="20"/>
          <w:szCs w:val="48"/>
        </w:rPr>
        <w:t xml:space="preserve"> projektai</w:t>
      </w:r>
      <w:r w:rsidR="00C144CE" w:rsidRPr="00CF2C00">
        <w:rPr>
          <w:rFonts w:ascii="Arial" w:eastAsia="MS PGothic" w:hAnsi="Arial" w:cs="Times New Roman"/>
          <w:color w:val="000000"/>
          <w:sz w:val="20"/>
          <w:szCs w:val="48"/>
        </w:rPr>
        <w:t>). SSVP projektų skaičius</w:t>
      </w:r>
      <w:r w:rsidR="003801C0">
        <w:rPr>
          <w:rFonts w:ascii="Arial" w:eastAsia="MS PGothic" w:hAnsi="Arial" w:cs="Times New Roman"/>
          <w:color w:val="000000"/>
          <w:sz w:val="20"/>
          <w:szCs w:val="48"/>
        </w:rPr>
        <w:t xml:space="preserve"> atitiko skirtą</w:t>
      </w:r>
      <w:r w:rsidR="00C63A96">
        <w:rPr>
          <w:rFonts w:ascii="Arial" w:eastAsia="MS PGothic" w:hAnsi="Arial" w:cs="Times New Roman"/>
          <w:color w:val="000000"/>
          <w:sz w:val="20"/>
          <w:szCs w:val="48"/>
        </w:rPr>
        <w:t>: jų buvo daugiausiai</w:t>
      </w:r>
      <w:r w:rsidR="003801C0">
        <w:rPr>
          <w:rFonts w:ascii="Arial" w:eastAsia="MS PGothic" w:hAnsi="Arial" w:cs="Times New Roman"/>
          <w:color w:val="000000"/>
          <w:sz w:val="20"/>
          <w:szCs w:val="48"/>
        </w:rPr>
        <w:t xml:space="preserve"> – 36</w:t>
      </w:r>
      <w:r w:rsidR="00C144CE" w:rsidRPr="00CF2C00">
        <w:rPr>
          <w:rFonts w:ascii="Arial" w:eastAsia="MS PGothic" w:hAnsi="Arial" w:cs="Times New Roman"/>
          <w:color w:val="000000"/>
          <w:sz w:val="20"/>
          <w:szCs w:val="48"/>
        </w:rPr>
        <w:t xml:space="preserve"> projektai.</w:t>
      </w:r>
    </w:p>
    <w:p w:rsidR="0020781B" w:rsidRPr="00CF2C00" w:rsidRDefault="0020781B" w:rsidP="0020781B">
      <w:pPr>
        <w:pStyle w:val="Caption"/>
        <w:keepNext/>
      </w:pPr>
      <w:r w:rsidRPr="00CF2C00">
        <w:fldChar w:fldCharType="begin"/>
      </w:r>
      <w:r w:rsidRPr="00CF2C00">
        <w:instrText xml:space="preserve"> SEQ paveikslas \* ARABIC </w:instrText>
      </w:r>
      <w:r w:rsidRPr="00CF2C00">
        <w:fldChar w:fldCharType="separate"/>
      </w:r>
      <w:r w:rsidR="008A1509" w:rsidRPr="00CF2C00">
        <w:t>1</w:t>
      </w:r>
      <w:r w:rsidRPr="00CF2C00">
        <w:fldChar w:fldCharType="end"/>
      </w:r>
      <w:r w:rsidRPr="00CF2C00">
        <w:t xml:space="preserve"> paveikslas. Veiksmų</w:t>
      </w:r>
      <w:r w:rsidR="000D5BA5" w:rsidRPr="00CF2C00">
        <w:t xml:space="preserve"> programų finansavimas (dalis bendros projektų vertės</w:t>
      </w:r>
      <w:r w:rsidR="00326A1B" w:rsidRPr="00CF2C00">
        <w:t>)</w:t>
      </w:r>
      <w:r w:rsidRPr="00CF2C00">
        <w:t xml:space="preserve"> </w:t>
      </w:r>
    </w:p>
    <w:p w:rsidR="00D65C3C" w:rsidRPr="00CF2C00" w:rsidRDefault="00EC3E73" w:rsidP="00A552B8">
      <w:pPr>
        <w:pStyle w:val="Caption"/>
        <w:spacing w:before="240"/>
        <w:rPr>
          <w:b w:val="0"/>
        </w:rPr>
      </w:pPr>
      <w:r w:rsidRPr="00CF2C00">
        <w:rPr>
          <w:noProof/>
          <w:lang w:val="en-US"/>
        </w:rPr>
        <w:drawing>
          <wp:anchor distT="0" distB="0" distL="114300" distR="114300" simplePos="0" relativeHeight="251671552" behindDoc="0" locked="0" layoutInCell="1" allowOverlap="1" wp14:anchorId="46F715F8" wp14:editId="1012A22A">
            <wp:simplePos x="0" y="0"/>
            <wp:positionH relativeFrom="margin">
              <wp:posOffset>33655</wp:posOffset>
            </wp:positionH>
            <wp:positionV relativeFrom="paragraph">
              <wp:posOffset>86360</wp:posOffset>
            </wp:positionV>
            <wp:extent cx="2971800" cy="2143125"/>
            <wp:effectExtent l="0" t="0" r="0" b="0"/>
            <wp:wrapSquare wrapText="bothSides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5C3C" w:rsidRPr="00CF2C00" w:rsidRDefault="00D65C3C" w:rsidP="00A552B8">
      <w:pPr>
        <w:pStyle w:val="Caption"/>
        <w:spacing w:before="240"/>
        <w:rPr>
          <w:b w:val="0"/>
        </w:rPr>
      </w:pPr>
    </w:p>
    <w:p w:rsidR="00D65C3C" w:rsidRPr="00CF2C00" w:rsidRDefault="00D65C3C" w:rsidP="00A552B8">
      <w:pPr>
        <w:pStyle w:val="Caption"/>
        <w:spacing w:before="240"/>
        <w:rPr>
          <w:b w:val="0"/>
        </w:rPr>
      </w:pPr>
    </w:p>
    <w:p w:rsidR="00D65C3C" w:rsidRPr="00CF2C00" w:rsidRDefault="00D65C3C" w:rsidP="00A552B8">
      <w:pPr>
        <w:pStyle w:val="Caption"/>
        <w:spacing w:before="240"/>
        <w:rPr>
          <w:b w:val="0"/>
        </w:rPr>
      </w:pPr>
    </w:p>
    <w:p w:rsidR="00D65C3C" w:rsidRPr="00CF2C00" w:rsidRDefault="00D65C3C" w:rsidP="00A552B8">
      <w:pPr>
        <w:pStyle w:val="Caption"/>
        <w:spacing w:before="240"/>
        <w:rPr>
          <w:b w:val="0"/>
        </w:rPr>
      </w:pPr>
    </w:p>
    <w:p w:rsidR="00D65C3C" w:rsidRPr="00CF2C00" w:rsidRDefault="00D65C3C" w:rsidP="00A552B8">
      <w:pPr>
        <w:pStyle w:val="Caption"/>
        <w:spacing w:before="240"/>
        <w:rPr>
          <w:b w:val="0"/>
        </w:rPr>
      </w:pPr>
    </w:p>
    <w:p w:rsidR="00D65C3C" w:rsidRPr="00CF2C00" w:rsidRDefault="00D65C3C" w:rsidP="00A552B8">
      <w:pPr>
        <w:pStyle w:val="Caption"/>
        <w:spacing w:before="240"/>
        <w:rPr>
          <w:b w:val="0"/>
        </w:rPr>
      </w:pPr>
    </w:p>
    <w:p w:rsidR="00D65C3C" w:rsidRPr="00CF2C00" w:rsidRDefault="00D65C3C" w:rsidP="00D65C3C">
      <w:pPr>
        <w:pStyle w:val="Caption"/>
        <w:spacing w:after="0"/>
        <w:rPr>
          <w:b w:val="0"/>
        </w:rPr>
      </w:pPr>
    </w:p>
    <w:p w:rsidR="00EC3E73" w:rsidRDefault="00EC3E73" w:rsidP="00D65C3C">
      <w:pPr>
        <w:pStyle w:val="Caption"/>
        <w:spacing w:before="120"/>
        <w:rPr>
          <w:b w:val="0"/>
        </w:rPr>
      </w:pPr>
    </w:p>
    <w:p w:rsidR="005577BB" w:rsidRPr="00CF2C00" w:rsidRDefault="005577BB" w:rsidP="00D65C3C">
      <w:pPr>
        <w:pStyle w:val="Caption"/>
        <w:spacing w:before="120"/>
        <w:rPr>
          <w:b w:val="0"/>
        </w:rPr>
      </w:pPr>
      <w:r w:rsidRPr="00CF2C00">
        <w:rPr>
          <w:b w:val="0"/>
        </w:rPr>
        <w:t xml:space="preserve">Šaltinis: </w:t>
      </w:r>
      <w:hyperlink r:id="rId13" w:history="1">
        <w:r w:rsidR="009D7299" w:rsidRPr="00CF2C00">
          <w:rPr>
            <w:rStyle w:val="Hyperlink"/>
            <w:b w:val="0"/>
          </w:rPr>
          <w:t>www.esparama.lt</w:t>
        </w:r>
      </w:hyperlink>
    </w:p>
    <w:p w:rsidR="00C83C6E" w:rsidRPr="00CF2C00" w:rsidRDefault="002677E8" w:rsidP="000C024B">
      <w:pPr>
        <w:jc w:val="both"/>
        <w:rPr>
          <w:rFonts w:ascii="Arial" w:hAnsi="Arial" w:cs="Arial"/>
          <w:sz w:val="20"/>
        </w:rPr>
      </w:pPr>
      <w:r w:rsidRPr="00CF2C00">
        <w:rPr>
          <w:rFonts w:ascii="Arial" w:hAnsi="Arial" w:cs="Arial"/>
          <w:sz w:val="20"/>
        </w:rPr>
        <w:t xml:space="preserve">Analizuojant veiksmų </w:t>
      </w:r>
      <w:r w:rsidR="000534F9" w:rsidRPr="00CF2C00">
        <w:rPr>
          <w:rFonts w:ascii="Arial" w:hAnsi="Arial" w:cs="Arial"/>
          <w:sz w:val="20"/>
        </w:rPr>
        <w:t>programų prioritetų</w:t>
      </w:r>
      <w:r w:rsidRPr="00CF2C00">
        <w:rPr>
          <w:rFonts w:ascii="Arial" w:hAnsi="Arial" w:cs="Arial"/>
          <w:sz w:val="20"/>
        </w:rPr>
        <w:t xml:space="preserve"> finansavimą</w:t>
      </w:r>
      <w:r w:rsidR="003D195A" w:rsidRPr="00CF2C00">
        <w:rPr>
          <w:rFonts w:ascii="Arial" w:hAnsi="Arial" w:cs="Arial"/>
          <w:sz w:val="20"/>
        </w:rPr>
        <w:t>,</w:t>
      </w:r>
      <w:r w:rsidR="00EC3E73">
        <w:rPr>
          <w:rFonts w:ascii="Arial" w:hAnsi="Arial" w:cs="Arial"/>
          <w:sz w:val="20"/>
        </w:rPr>
        <w:t xml:space="preserve"> ŽIPVP apimtyje ES finansavimas</w:t>
      </w:r>
      <w:r w:rsidR="00C83C6E" w:rsidRPr="00CF2C00">
        <w:rPr>
          <w:rFonts w:ascii="Arial" w:hAnsi="Arial" w:cs="Arial"/>
          <w:sz w:val="20"/>
        </w:rPr>
        <w:t xml:space="preserve"> </w:t>
      </w:r>
      <w:r w:rsidR="003B6A83">
        <w:rPr>
          <w:rFonts w:ascii="Arial" w:hAnsi="Arial" w:cs="Arial"/>
          <w:sz w:val="20"/>
        </w:rPr>
        <w:t>buvo skirta</w:t>
      </w:r>
      <w:r w:rsidR="00EC3E73">
        <w:rPr>
          <w:rFonts w:ascii="Arial" w:hAnsi="Arial" w:cs="Arial"/>
          <w:sz w:val="20"/>
        </w:rPr>
        <w:t>s</w:t>
      </w:r>
      <w:r w:rsidR="00C83C6E" w:rsidRPr="00CF2C00">
        <w:rPr>
          <w:rFonts w:ascii="Arial" w:hAnsi="Arial" w:cs="Arial"/>
          <w:sz w:val="20"/>
        </w:rPr>
        <w:t xml:space="preserve"> prioritetų „1 Prioritetas. Kokybiškas užimtumas ir socialinė aprėptis</w:t>
      </w:r>
      <w:r w:rsidR="003B6A83">
        <w:rPr>
          <w:rFonts w:ascii="Arial" w:hAnsi="Arial" w:cs="Arial"/>
          <w:sz w:val="20"/>
        </w:rPr>
        <w:t xml:space="preserve">“ </w:t>
      </w:r>
      <w:r w:rsidR="00C83C6E" w:rsidRPr="00CF2C00">
        <w:rPr>
          <w:rFonts w:ascii="Arial" w:hAnsi="Arial" w:cs="Arial"/>
          <w:sz w:val="20"/>
        </w:rPr>
        <w:t>ir „4 Prioritetas. Administracinių gebėjimų stiprinimas ir viešojo administravimo efektyvumo didinima</w:t>
      </w:r>
      <w:r w:rsidR="0005613F" w:rsidRPr="00CF2C00">
        <w:rPr>
          <w:rFonts w:ascii="Arial" w:hAnsi="Arial" w:cs="Arial"/>
          <w:sz w:val="20"/>
        </w:rPr>
        <w:t>s“ projekta</w:t>
      </w:r>
      <w:r w:rsidR="00EC3E73">
        <w:rPr>
          <w:rFonts w:ascii="Arial" w:hAnsi="Arial" w:cs="Arial"/>
          <w:sz w:val="20"/>
        </w:rPr>
        <w:t>ms</w:t>
      </w:r>
      <w:r w:rsidR="0005613F" w:rsidRPr="00CF2C00">
        <w:rPr>
          <w:rFonts w:ascii="Arial" w:hAnsi="Arial" w:cs="Arial"/>
          <w:sz w:val="20"/>
        </w:rPr>
        <w:t>. EAVP apimtyje –</w:t>
      </w:r>
      <w:r w:rsidR="00955E14" w:rsidRPr="00CF2C00">
        <w:rPr>
          <w:rFonts w:ascii="Arial" w:hAnsi="Arial" w:cs="Arial"/>
          <w:sz w:val="20"/>
        </w:rPr>
        <w:t xml:space="preserve"> </w:t>
      </w:r>
      <w:r w:rsidR="00C63A96">
        <w:rPr>
          <w:rFonts w:ascii="Arial" w:hAnsi="Arial" w:cs="Arial"/>
          <w:sz w:val="20"/>
        </w:rPr>
        <w:t xml:space="preserve"> „</w:t>
      </w:r>
      <w:r w:rsidR="00C63A96">
        <w:rPr>
          <w:rFonts w:ascii="Arial" w:hAnsi="Arial" w:cs="Arial"/>
          <w:sz w:val="20"/>
          <w:lang w:val="en-US"/>
        </w:rPr>
        <w:t>2</w:t>
      </w:r>
      <w:r w:rsidR="00C83C6E" w:rsidRPr="00CF2C00">
        <w:rPr>
          <w:rFonts w:ascii="Arial" w:hAnsi="Arial" w:cs="Arial"/>
          <w:sz w:val="20"/>
        </w:rPr>
        <w:t xml:space="preserve"> Prioriteto.</w:t>
      </w:r>
      <w:r w:rsidR="0005613F" w:rsidRPr="00CF2C00">
        <w:t xml:space="preserve"> </w:t>
      </w:r>
      <w:r w:rsidR="00C63A96" w:rsidRPr="00C63A96">
        <w:rPr>
          <w:rFonts w:ascii="Arial" w:hAnsi="Arial" w:cs="Arial"/>
          <w:sz w:val="20"/>
        </w:rPr>
        <w:t>Verslo produktyvumo didinimas ir verslo aplinkos gerinimas</w:t>
      </w:r>
      <w:r w:rsidR="00C83C6E" w:rsidRPr="00CF2C00">
        <w:rPr>
          <w:rFonts w:ascii="Arial" w:hAnsi="Arial" w:cs="Arial"/>
          <w:sz w:val="20"/>
        </w:rPr>
        <w:t>“</w:t>
      </w:r>
      <w:r w:rsidR="003B6A83">
        <w:rPr>
          <w:rFonts w:ascii="Arial" w:hAnsi="Arial" w:cs="Arial"/>
          <w:sz w:val="20"/>
        </w:rPr>
        <w:t xml:space="preserve"> ir</w:t>
      </w:r>
      <w:r w:rsidR="00955E14" w:rsidRPr="00CF2C00">
        <w:rPr>
          <w:rFonts w:ascii="Arial" w:hAnsi="Arial" w:cs="Arial"/>
          <w:sz w:val="20"/>
        </w:rPr>
        <w:t xml:space="preserve"> </w:t>
      </w:r>
      <w:r w:rsidR="0005613F" w:rsidRPr="00CF2C00">
        <w:rPr>
          <w:rFonts w:ascii="Arial" w:hAnsi="Arial" w:cs="Arial"/>
          <w:sz w:val="20"/>
        </w:rPr>
        <w:t>„4 Prioriteto. Esminė ekonominė infrastruktūra“</w:t>
      </w:r>
      <w:r w:rsidR="00332F7B" w:rsidRPr="00CF2C00">
        <w:rPr>
          <w:rFonts w:ascii="Arial" w:hAnsi="Arial" w:cs="Arial"/>
          <w:sz w:val="20"/>
        </w:rPr>
        <w:t xml:space="preserve"> </w:t>
      </w:r>
      <w:r w:rsidR="00EC3E73">
        <w:rPr>
          <w:rFonts w:ascii="Arial" w:hAnsi="Arial" w:cs="Arial"/>
          <w:sz w:val="20"/>
        </w:rPr>
        <w:t>projektams</w:t>
      </w:r>
      <w:r w:rsidR="00C83C6E" w:rsidRPr="00CF2C00">
        <w:rPr>
          <w:rFonts w:ascii="Arial" w:hAnsi="Arial" w:cs="Arial"/>
          <w:sz w:val="20"/>
        </w:rPr>
        <w:t xml:space="preserve">. SSVP apimtyje – „1 Prioriteto. Vietinė ir urbanistinė plėtra, kultūros paveldo ir gamtos išsaugojimas bei pritaikymas turizmo plėtrai“, „2 Prioriteto. Viešųjų paslaugų kokybė ir prieinamumas: sveikatos, švietimo ir socialinė infrastruktūra“ ir „3 Prioriteto. Aplinka ir </w:t>
      </w:r>
      <w:r w:rsidR="00EC3E73">
        <w:rPr>
          <w:rFonts w:ascii="Arial" w:hAnsi="Arial" w:cs="Arial"/>
          <w:sz w:val="20"/>
        </w:rPr>
        <w:lastRenderedPageBreak/>
        <w:t>darnus vystymasis“ projektams</w:t>
      </w:r>
      <w:r w:rsidR="00C83C6E" w:rsidRPr="00CF2C00">
        <w:rPr>
          <w:rFonts w:ascii="Arial" w:hAnsi="Arial" w:cs="Arial"/>
          <w:sz w:val="20"/>
        </w:rPr>
        <w:t>. Taigi investuojama buvo į užimtumo didinimą,</w:t>
      </w:r>
      <w:r w:rsidR="003B6A83">
        <w:rPr>
          <w:rFonts w:ascii="Arial" w:hAnsi="Arial" w:cs="Arial"/>
          <w:sz w:val="20"/>
        </w:rPr>
        <w:t xml:space="preserve"> </w:t>
      </w:r>
      <w:r w:rsidR="00C83C6E" w:rsidRPr="00CF2C00">
        <w:rPr>
          <w:rFonts w:ascii="Arial" w:hAnsi="Arial" w:cs="Arial"/>
          <w:sz w:val="20"/>
        </w:rPr>
        <w:t>viešojo valdymo tobulinimą,</w:t>
      </w:r>
      <w:r w:rsidR="00E805EC" w:rsidRPr="00CF2C00">
        <w:rPr>
          <w:rFonts w:ascii="Arial" w:hAnsi="Arial" w:cs="Arial"/>
          <w:sz w:val="20"/>
        </w:rPr>
        <w:t xml:space="preserve"> </w:t>
      </w:r>
      <w:r w:rsidR="00C63A96">
        <w:rPr>
          <w:rFonts w:ascii="Arial" w:hAnsi="Arial" w:cs="Arial"/>
          <w:sz w:val="20"/>
        </w:rPr>
        <w:t>verslo įmonių produktyvumo potencialą</w:t>
      </w:r>
      <w:r w:rsidR="003B6A83">
        <w:rPr>
          <w:rFonts w:ascii="Arial" w:hAnsi="Arial" w:cs="Arial"/>
          <w:sz w:val="20"/>
        </w:rPr>
        <w:t xml:space="preserve">, </w:t>
      </w:r>
      <w:r w:rsidR="00C83C6E" w:rsidRPr="00CF2C00">
        <w:rPr>
          <w:rFonts w:ascii="Arial" w:hAnsi="Arial" w:cs="Arial"/>
          <w:sz w:val="20"/>
        </w:rPr>
        <w:t xml:space="preserve">miestų plėtrą ir paveldo išsaugojimo, viešųjų paslaugų kokybę ir aplinkosaugą. Daugiausiai buvo investuojama į gamybinį kapitalą; didžioji dalis investicijų įgyvendintos pasitelkiant vertikaliai darnaus vystymosi horizontalų prioritetą integruojančias priemones. </w:t>
      </w:r>
    </w:p>
    <w:p w:rsidR="003B6A9C" w:rsidRPr="00CF2C00" w:rsidRDefault="003B6A9C" w:rsidP="003B6A9C">
      <w:pPr>
        <w:pStyle w:val="Caption"/>
        <w:keepNext/>
      </w:pPr>
      <w:r w:rsidRPr="00CF2C00">
        <w:fldChar w:fldCharType="begin"/>
      </w:r>
      <w:r w:rsidRPr="00CF2C00">
        <w:instrText xml:space="preserve"> SEQ paveikslas \* ARABIC </w:instrText>
      </w:r>
      <w:r w:rsidRPr="00CF2C00">
        <w:fldChar w:fldCharType="separate"/>
      </w:r>
      <w:r w:rsidR="00E41636" w:rsidRPr="00CF2C00">
        <w:t>2</w:t>
      </w:r>
      <w:r w:rsidRPr="00CF2C00">
        <w:fldChar w:fldCharType="end"/>
      </w:r>
      <w:r w:rsidRPr="00CF2C00">
        <w:t xml:space="preserve"> paveikslas. Veiksmų programų prioritetų finansavimas (</w:t>
      </w:r>
      <w:r w:rsidR="00C849C4" w:rsidRPr="00CF2C00">
        <w:t>dalis nuo visos VP)</w:t>
      </w:r>
    </w:p>
    <w:p w:rsidR="009D7299" w:rsidRPr="00CF2C00" w:rsidRDefault="003B6A9C" w:rsidP="000C024B">
      <w:pPr>
        <w:jc w:val="both"/>
        <w:rPr>
          <w:rFonts w:ascii="Arial" w:hAnsi="Arial" w:cs="Arial"/>
          <w:sz w:val="20"/>
        </w:rPr>
      </w:pPr>
      <w:r w:rsidRPr="00CF2C00">
        <w:rPr>
          <w:rFonts w:ascii="Arial" w:hAnsi="Arial" w:cs="Arial"/>
          <w:noProof/>
          <w:sz w:val="20"/>
          <w:lang w:val="en-U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676775" cy="1724025"/>
            <wp:effectExtent l="0" t="0" r="9525" b="9525"/>
            <wp:wrapSquare wrapText="bothSides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77E8" w:rsidRPr="00CF2C00" w:rsidRDefault="002677E8" w:rsidP="00A552B8">
      <w:pPr>
        <w:pStyle w:val="Caption"/>
        <w:spacing w:before="240"/>
        <w:rPr>
          <w:b w:val="0"/>
        </w:rPr>
      </w:pPr>
    </w:p>
    <w:p w:rsidR="00EC3E73" w:rsidRDefault="00EC3E73" w:rsidP="00FF20FA">
      <w:pPr>
        <w:pStyle w:val="Caption"/>
        <w:spacing w:before="240"/>
        <w:rPr>
          <w:b w:val="0"/>
        </w:rPr>
      </w:pPr>
    </w:p>
    <w:p w:rsidR="00EC3E73" w:rsidRDefault="00EC3E73" w:rsidP="00FF20FA">
      <w:pPr>
        <w:pStyle w:val="Caption"/>
        <w:spacing w:before="240"/>
        <w:rPr>
          <w:b w:val="0"/>
        </w:rPr>
      </w:pPr>
    </w:p>
    <w:p w:rsidR="00EC3E73" w:rsidRDefault="00EC3E73" w:rsidP="00FF20FA">
      <w:pPr>
        <w:pStyle w:val="Caption"/>
        <w:spacing w:before="240"/>
        <w:rPr>
          <w:b w:val="0"/>
        </w:rPr>
      </w:pPr>
    </w:p>
    <w:p w:rsidR="00EC3E73" w:rsidRDefault="00EC3E73" w:rsidP="00FF20FA">
      <w:pPr>
        <w:pStyle w:val="Caption"/>
        <w:spacing w:before="240"/>
        <w:rPr>
          <w:b w:val="0"/>
        </w:rPr>
      </w:pPr>
    </w:p>
    <w:p w:rsidR="00EC3E73" w:rsidRDefault="00EC3E73" w:rsidP="00FF20FA">
      <w:pPr>
        <w:pStyle w:val="Caption"/>
        <w:spacing w:before="240"/>
        <w:rPr>
          <w:b w:val="0"/>
        </w:rPr>
      </w:pPr>
    </w:p>
    <w:p w:rsidR="00A2570C" w:rsidRPr="00CF2C00" w:rsidRDefault="00761250" w:rsidP="00FF20FA">
      <w:pPr>
        <w:pStyle w:val="Caption"/>
        <w:spacing w:before="240"/>
        <w:rPr>
          <w:b w:val="0"/>
        </w:rPr>
      </w:pPr>
      <w:r w:rsidRPr="00CF2C00">
        <w:rPr>
          <w:b w:val="0"/>
        </w:rPr>
        <w:t xml:space="preserve">Šaltinis: </w:t>
      </w:r>
      <w:hyperlink r:id="rId15" w:history="1">
        <w:r w:rsidR="00FF20FA" w:rsidRPr="00CF2C00">
          <w:rPr>
            <w:rStyle w:val="Hyperlink"/>
            <w:b w:val="0"/>
          </w:rPr>
          <w:t>www.esparama.lt</w:t>
        </w:r>
      </w:hyperlink>
    </w:p>
    <w:p w:rsidR="00FF20FA" w:rsidRPr="00CF2C00" w:rsidRDefault="00FF20FA" w:rsidP="00FF20FA">
      <w:pPr>
        <w:jc w:val="both"/>
        <w:rPr>
          <w:rFonts w:ascii="Arial" w:eastAsia="MS PGothic" w:hAnsi="Arial" w:cs="Times New Roman"/>
          <w:sz w:val="20"/>
          <w:szCs w:val="24"/>
        </w:rPr>
      </w:pPr>
      <w:r w:rsidRPr="00CF2C00">
        <w:rPr>
          <w:rFonts w:ascii="Arial" w:eastAsia="MS PGothic" w:hAnsi="Arial" w:cs="Times New Roman"/>
          <w:sz w:val="20"/>
          <w:szCs w:val="24"/>
        </w:rPr>
        <w:t>Atlikus įgyvendintų projektų analizę, nustatyta, kad ŽIPVP 1</w:t>
      </w:r>
      <w:r w:rsidR="003B6A83">
        <w:rPr>
          <w:rFonts w:ascii="Arial" w:eastAsia="MS PGothic" w:hAnsi="Arial" w:cs="Times New Roman"/>
          <w:sz w:val="20"/>
          <w:szCs w:val="24"/>
        </w:rPr>
        <w:t xml:space="preserve"> prioriteto</w:t>
      </w:r>
      <w:r w:rsidRPr="00CF2C00">
        <w:rPr>
          <w:rFonts w:ascii="Arial" w:eastAsia="MS PGothic" w:hAnsi="Arial" w:cs="Times New Roman"/>
          <w:sz w:val="20"/>
          <w:szCs w:val="24"/>
        </w:rPr>
        <w:t xml:space="preserve"> apimtyje </w:t>
      </w:r>
      <w:r w:rsidR="003B6A83">
        <w:rPr>
          <w:rFonts w:ascii="Arial" w:eastAsia="MS PGothic" w:hAnsi="Arial" w:cs="Times New Roman"/>
          <w:sz w:val="20"/>
          <w:szCs w:val="24"/>
        </w:rPr>
        <w:t xml:space="preserve">finansuoti </w:t>
      </w:r>
      <w:r w:rsidR="00C63A96">
        <w:rPr>
          <w:rFonts w:ascii="Arial" w:eastAsia="MS PGothic" w:hAnsi="Arial" w:cs="Times New Roman"/>
          <w:sz w:val="20"/>
          <w:szCs w:val="24"/>
        </w:rPr>
        <w:t>vos keli projektai: abu orientuoti į šeimos ir darbo įsipareigojimų derinimą</w:t>
      </w:r>
      <w:r w:rsidR="003B6A83">
        <w:rPr>
          <w:rFonts w:ascii="Arial" w:eastAsia="MS PGothic" w:hAnsi="Arial" w:cs="Times New Roman"/>
          <w:sz w:val="20"/>
          <w:szCs w:val="24"/>
        </w:rPr>
        <w:t>. Tuo tarpu</w:t>
      </w:r>
      <w:r w:rsidRPr="00CF2C00">
        <w:rPr>
          <w:rFonts w:ascii="Arial" w:eastAsia="MS PGothic" w:hAnsi="Arial" w:cs="Times New Roman"/>
          <w:sz w:val="20"/>
          <w:szCs w:val="24"/>
        </w:rPr>
        <w:t xml:space="preserve"> aktyvioms užimtumo skatinimo/ nedarbo priemonėms skirtas dėmesys buvo ribotas.</w:t>
      </w:r>
      <w:r w:rsidR="00332F7B" w:rsidRPr="00CF2C00">
        <w:rPr>
          <w:rFonts w:ascii="Arial" w:eastAsia="MS PGothic" w:hAnsi="Arial" w:cs="Times New Roman"/>
          <w:sz w:val="20"/>
          <w:szCs w:val="24"/>
        </w:rPr>
        <w:t xml:space="preserve"> Rei</w:t>
      </w:r>
      <w:r w:rsidR="00C63A96">
        <w:rPr>
          <w:rFonts w:ascii="Arial" w:eastAsia="MS PGothic" w:hAnsi="Arial" w:cs="Times New Roman"/>
          <w:sz w:val="20"/>
          <w:szCs w:val="24"/>
        </w:rPr>
        <w:t xml:space="preserve">kšmingam poveikiui finansavimas nedarbo mažinimo srityje </w:t>
      </w:r>
      <w:r w:rsidR="00332F7B" w:rsidRPr="00CF2C00">
        <w:rPr>
          <w:rFonts w:ascii="Arial" w:eastAsia="MS PGothic" w:hAnsi="Arial" w:cs="Times New Roman"/>
          <w:sz w:val="20"/>
          <w:szCs w:val="24"/>
        </w:rPr>
        <w:t>buvo nepakankamas.</w:t>
      </w:r>
      <w:r w:rsidRPr="00CF2C00">
        <w:rPr>
          <w:rFonts w:ascii="Arial" w:eastAsia="MS PGothic" w:hAnsi="Arial" w:cs="Times New Roman"/>
          <w:sz w:val="20"/>
          <w:szCs w:val="24"/>
        </w:rPr>
        <w:t xml:space="preserve"> </w:t>
      </w:r>
      <w:r w:rsidR="00D62EB8" w:rsidRPr="00CF2C00">
        <w:rPr>
          <w:rFonts w:ascii="Arial" w:eastAsia="MS PGothic" w:hAnsi="Arial" w:cs="Times New Roman"/>
          <w:sz w:val="20"/>
          <w:szCs w:val="24"/>
        </w:rPr>
        <w:t>ŽIPVP 4 prioriteto projektai iš esmės atitiko ir kitose probleminėse teritorijose įgyvendintas viešojo valdymo tobulinimo priemones: viešojo administravimo įstaigų darbuotojų kvalifikacijos kėlimas, strateginio ir teritorijų planavimo dokumentų rengimas</w:t>
      </w:r>
      <w:r w:rsidR="00332F7B" w:rsidRPr="00CF2C00">
        <w:rPr>
          <w:rFonts w:ascii="Arial" w:eastAsia="MS PGothic" w:hAnsi="Arial" w:cs="Times New Roman"/>
          <w:sz w:val="20"/>
          <w:szCs w:val="24"/>
        </w:rPr>
        <w:t xml:space="preserve"> ir </w:t>
      </w:r>
      <w:r w:rsidR="003B6A83">
        <w:rPr>
          <w:rFonts w:ascii="Arial" w:eastAsia="MS PGothic" w:hAnsi="Arial" w:cs="Times New Roman"/>
          <w:sz w:val="20"/>
          <w:szCs w:val="24"/>
        </w:rPr>
        <w:t>įvairių administravimo tobulinimo sistemų</w:t>
      </w:r>
      <w:r w:rsidR="00332F7B" w:rsidRPr="00CF2C00">
        <w:rPr>
          <w:rFonts w:ascii="Arial" w:eastAsia="MS PGothic" w:hAnsi="Arial" w:cs="Times New Roman"/>
          <w:sz w:val="20"/>
          <w:szCs w:val="24"/>
        </w:rPr>
        <w:t xml:space="preserve"> diegimas</w:t>
      </w:r>
      <w:r w:rsidR="00C6756A" w:rsidRPr="00CF2C00">
        <w:rPr>
          <w:rFonts w:ascii="Arial" w:eastAsia="MS PGothic" w:hAnsi="Arial" w:cs="Times New Roman"/>
          <w:sz w:val="20"/>
          <w:szCs w:val="24"/>
        </w:rPr>
        <w:t xml:space="preserve">. EAVP </w:t>
      </w:r>
      <w:r w:rsidR="003B6A83">
        <w:rPr>
          <w:rFonts w:ascii="Arial" w:eastAsia="MS PGothic" w:hAnsi="Arial" w:cs="Times New Roman"/>
          <w:sz w:val="20"/>
          <w:szCs w:val="24"/>
        </w:rPr>
        <w:t>projektų skaičius buvo itin mažas; jų įgyven</w:t>
      </w:r>
      <w:r w:rsidR="00C63A96">
        <w:rPr>
          <w:rFonts w:ascii="Arial" w:eastAsia="MS PGothic" w:hAnsi="Arial" w:cs="Times New Roman"/>
          <w:sz w:val="20"/>
          <w:szCs w:val="24"/>
        </w:rPr>
        <w:t>dinimo metu buvo investuojama į šilumos tinklų atnaujinimą ir modernizavimą, gatvių tiesimą</w:t>
      </w:r>
      <w:r w:rsidR="00D62EB8" w:rsidRPr="00CF2C00">
        <w:rPr>
          <w:rFonts w:ascii="Arial" w:eastAsia="MS PGothic" w:hAnsi="Arial" w:cs="Times New Roman"/>
          <w:sz w:val="20"/>
          <w:szCs w:val="24"/>
        </w:rPr>
        <w:t>.</w:t>
      </w:r>
      <w:r w:rsidR="00C63A96">
        <w:rPr>
          <w:rFonts w:ascii="Arial" w:eastAsia="MS PGothic" w:hAnsi="Arial" w:cs="Times New Roman"/>
          <w:sz w:val="20"/>
          <w:szCs w:val="24"/>
        </w:rPr>
        <w:t xml:space="preserve"> Vos vienas projektas buvo skirtas tiesiogiai verslo įmonėms.</w:t>
      </w:r>
      <w:r w:rsidR="00D62EB8" w:rsidRPr="00CF2C00">
        <w:rPr>
          <w:rFonts w:ascii="Arial" w:eastAsia="MS PGothic" w:hAnsi="Arial" w:cs="Times New Roman"/>
          <w:sz w:val="20"/>
          <w:szCs w:val="24"/>
        </w:rPr>
        <w:t xml:space="preserve"> SSVP</w:t>
      </w:r>
      <w:r w:rsidR="00242947" w:rsidRPr="00CF2C00">
        <w:rPr>
          <w:rFonts w:ascii="Arial" w:eastAsia="MS PGothic" w:hAnsi="Arial" w:cs="Times New Roman"/>
          <w:sz w:val="20"/>
          <w:szCs w:val="24"/>
        </w:rPr>
        <w:t xml:space="preserve"> 1 prioriteto</w:t>
      </w:r>
      <w:r w:rsidR="00D62EB8" w:rsidRPr="00CF2C00">
        <w:rPr>
          <w:rFonts w:ascii="Arial" w:eastAsia="MS PGothic" w:hAnsi="Arial" w:cs="Times New Roman"/>
          <w:sz w:val="20"/>
          <w:szCs w:val="24"/>
        </w:rPr>
        <w:t xml:space="preserve"> priemonių apimtyje įgyvendinti daugiabučių renovacijos ir </w:t>
      </w:r>
      <w:r w:rsidR="00C63A96" w:rsidRPr="00C63A96">
        <w:rPr>
          <w:rFonts w:ascii="Arial" w:eastAsia="MS PGothic" w:hAnsi="Arial" w:cs="Times New Roman"/>
          <w:sz w:val="20"/>
          <w:szCs w:val="24"/>
        </w:rPr>
        <w:t xml:space="preserve">bendruomeninės infrastruktūros ir </w:t>
      </w:r>
      <w:r w:rsidR="00C63A96">
        <w:rPr>
          <w:rFonts w:ascii="Arial" w:eastAsia="MS PGothic" w:hAnsi="Arial" w:cs="Times New Roman"/>
          <w:sz w:val="20"/>
          <w:szCs w:val="24"/>
        </w:rPr>
        <w:t>gyvenamosios aplinkos vystymo projektai</w:t>
      </w:r>
      <w:r w:rsidR="00D62EB8" w:rsidRPr="00CF2C00">
        <w:rPr>
          <w:rFonts w:ascii="Arial" w:eastAsia="MS PGothic" w:hAnsi="Arial" w:cs="Times New Roman"/>
          <w:sz w:val="20"/>
          <w:szCs w:val="24"/>
        </w:rPr>
        <w:t xml:space="preserve">. </w:t>
      </w:r>
      <w:r w:rsidR="00242947" w:rsidRPr="00CF2C00">
        <w:rPr>
          <w:rFonts w:ascii="Arial" w:eastAsia="MS PGothic" w:hAnsi="Arial" w:cs="Times New Roman"/>
          <w:sz w:val="20"/>
          <w:szCs w:val="24"/>
        </w:rPr>
        <w:t>2 prioriteto projektai orientuoti į socialinių paslaugų infrastruktūros tobulinimą</w:t>
      </w:r>
      <w:r w:rsidR="00847350">
        <w:rPr>
          <w:rFonts w:ascii="Arial" w:eastAsia="MS PGothic" w:hAnsi="Arial" w:cs="Times New Roman"/>
          <w:sz w:val="20"/>
          <w:szCs w:val="24"/>
        </w:rPr>
        <w:t>,</w:t>
      </w:r>
      <w:r w:rsidR="00C6756A" w:rsidRPr="00CF2C00">
        <w:rPr>
          <w:rFonts w:ascii="Arial" w:eastAsia="MS PGothic" w:hAnsi="Arial" w:cs="Times New Roman"/>
          <w:sz w:val="20"/>
          <w:szCs w:val="24"/>
        </w:rPr>
        <w:t xml:space="preserve"> </w:t>
      </w:r>
      <w:r w:rsidR="00242947" w:rsidRPr="00CF2C00">
        <w:rPr>
          <w:rFonts w:ascii="Arial" w:eastAsia="MS PGothic" w:hAnsi="Arial" w:cs="Times New Roman"/>
          <w:sz w:val="20"/>
          <w:szCs w:val="24"/>
        </w:rPr>
        <w:t xml:space="preserve">tuo tarpu 3 prioriteto apimtyje įgyvendinti </w:t>
      </w:r>
      <w:r w:rsidR="00847350">
        <w:rPr>
          <w:rFonts w:ascii="Arial" w:eastAsia="MS PGothic" w:hAnsi="Arial" w:cs="Times New Roman"/>
          <w:sz w:val="20"/>
          <w:szCs w:val="24"/>
        </w:rPr>
        <w:t>švietimo sektoriaus infrastruktūros atnaujinimo ir vandens t</w:t>
      </w:r>
      <w:r w:rsidR="00500B34">
        <w:rPr>
          <w:rFonts w:ascii="Arial" w:eastAsia="MS PGothic" w:hAnsi="Arial" w:cs="Times New Roman"/>
          <w:sz w:val="20"/>
          <w:szCs w:val="24"/>
        </w:rPr>
        <w:t>iekimo</w:t>
      </w:r>
      <w:r w:rsidR="00847350">
        <w:rPr>
          <w:rFonts w:ascii="Arial" w:eastAsia="MS PGothic" w:hAnsi="Arial" w:cs="Times New Roman"/>
          <w:sz w:val="20"/>
          <w:szCs w:val="24"/>
        </w:rPr>
        <w:t xml:space="preserve"> bei nuotekų tvarkymo</w:t>
      </w:r>
      <w:r w:rsidR="00C335FC" w:rsidRPr="00CF2C00">
        <w:rPr>
          <w:rFonts w:ascii="Arial" w:eastAsia="MS PGothic" w:hAnsi="Arial" w:cs="Times New Roman"/>
          <w:sz w:val="20"/>
          <w:szCs w:val="24"/>
        </w:rPr>
        <w:t xml:space="preserve"> projektai</w:t>
      </w:r>
      <w:r w:rsidR="00242947" w:rsidRPr="00CF2C00">
        <w:rPr>
          <w:rFonts w:ascii="Arial" w:eastAsia="MS PGothic" w:hAnsi="Arial" w:cs="Times New Roman"/>
          <w:sz w:val="20"/>
          <w:szCs w:val="24"/>
        </w:rPr>
        <w:t xml:space="preserve">. </w:t>
      </w:r>
      <w:r w:rsidR="00C849C4" w:rsidRPr="00CF2C00">
        <w:rPr>
          <w:rFonts w:ascii="Arial" w:eastAsia="MS PGothic" w:hAnsi="Arial" w:cs="Times New Roman"/>
          <w:sz w:val="20"/>
          <w:szCs w:val="24"/>
        </w:rPr>
        <w:t>Pastebėtina tendencija, kad daugiausiai investuota srityse, kur vyravo region</w:t>
      </w:r>
      <w:r w:rsidR="00847350">
        <w:rPr>
          <w:rFonts w:ascii="Arial" w:eastAsia="MS PGothic" w:hAnsi="Arial" w:cs="Times New Roman"/>
          <w:sz w:val="20"/>
          <w:szCs w:val="24"/>
        </w:rPr>
        <w:t>ų</w:t>
      </w:r>
      <w:r w:rsidR="00C849C4" w:rsidRPr="00CF2C00">
        <w:rPr>
          <w:rFonts w:ascii="Arial" w:eastAsia="MS PGothic" w:hAnsi="Arial" w:cs="Times New Roman"/>
          <w:sz w:val="20"/>
          <w:szCs w:val="24"/>
        </w:rPr>
        <w:t xml:space="preserve"> </w:t>
      </w:r>
      <w:r w:rsidR="00847350">
        <w:rPr>
          <w:rFonts w:ascii="Arial" w:eastAsia="MS PGothic" w:hAnsi="Arial" w:cs="Times New Roman"/>
          <w:sz w:val="20"/>
          <w:szCs w:val="24"/>
        </w:rPr>
        <w:t xml:space="preserve">ir valstybės projektų </w:t>
      </w:r>
      <w:r w:rsidR="00C849C4" w:rsidRPr="00CF2C00">
        <w:rPr>
          <w:rFonts w:ascii="Arial" w:eastAsia="MS PGothic" w:hAnsi="Arial" w:cs="Times New Roman"/>
          <w:sz w:val="20"/>
          <w:szCs w:val="24"/>
        </w:rPr>
        <w:t>planavimo priemonės.</w:t>
      </w:r>
    </w:p>
    <w:p w:rsidR="00A2570C" w:rsidRPr="00CF2C00" w:rsidRDefault="00A2570C" w:rsidP="00C849C4">
      <w:pPr>
        <w:pStyle w:val="Heading1"/>
        <w:numPr>
          <w:ilvl w:val="1"/>
          <w:numId w:val="1"/>
        </w:numPr>
        <w:spacing w:before="360"/>
        <w:rPr>
          <w:rFonts w:ascii="Arial" w:hAnsi="Arial" w:cs="Arial"/>
          <w:b w:val="0"/>
          <w:sz w:val="28"/>
          <w:szCs w:val="28"/>
        </w:rPr>
      </w:pPr>
      <w:r w:rsidRPr="00CF2C00">
        <w:rPr>
          <w:rFonts w:ascii="Arial" w:hAnsi="Arial" w:cs="Arial"/>
          <w:b w:val="0"/>
          <w:sz w:val="28"/>
          <w:szCs w:val="28"/>
        </w:rPr>
        <w:t>Rodiklių analizė</w:t>
      </w:r>
    </w:p>
    <w:p w:rsidR="002B4036" w:rsidRPr="00CF2C00" w:rsidRDefault="002B4036" w:rsidP="002B4036">
      <w:pPr>
        <w:jc w:val="both"/>
        <w:rPr>
          <w:rFonts w:ascii="Arial" w:eastAsia="MS PGothic" w:hAnsi="Arial" w:cs="Times New Roman"/>
          <w:sz w:val="20"/>
          <w:szCs w:val="24"/>
        </w:rPr>
      </w:pPr>
      <w:r w:rsidRPr="00CF2C00">
        <w:rPr>
          <w:rFonts w:ascii="Arial" w:eastAsia="MS PGothic" w:hAnsi="Arial" w:cs="Times New Roman"/>
          <w:sz w:val="20"/>
          <w:szCs w:val="24"/>
        </w:rPr>
        <w:t>Atliekant atvejo studiją buvo vertinti trijų rūšių – aplinkos taršos, demografiniai ir ekonominės veiklos – rodikliai. Aplinkos taršos rodikliai apėmė išvalytų iki normos nuotekų kiekius, išmetamų teršalų kiekius, sieros dioksido (SO</w:t>
      </w:r>
      <w:r w:rsidRPr="00CF2C00">
        <w:rPr>
          <w:rFonts w:ascii="Arial" w:eastAsia="MS PGothic" w:hAnsi="Arial" w:cs="Times New Roman"/>
          <w:sz w:val="20"/>
          <w:szCs w:val="24"/>
          <w:vertAlign w:val="subscript"/>
        </w:rPr>
        <w:t>2</w:t>
      </w:r>
      <w:r w:rsidRPr="00CF2C00">
        <w:rPr>
          <w:rFonts w:ascii="Arial" w:eastAsia="MS PGothic" w:hAnsi="Arial" w:cs="Times New Roman"/>
          <w:sz w:val="20"/>
          <w:szCs w:val="24"/>
        </w:rPr>
        <w:t>)</w:t>
      </w:r>
      <w:r w:rsidRPr="00CF2C00">
        <w:rPr>
          <w:rFonts w:ascii="Arial" w:eastAsia="MS PGothic" w:hAnsi="Arial" w:cs="Times New Roman"/>
          <w:sz w:val="20"/>
          <w:szCs w:val="24"/>
          <w:vertAlign w:val="subscript"/>
        </w:rPr>
        <w:t>,</w:t>
      </w:r>
      <w:r w:rsidRPr="00CF2C00">
        <w:rPr>
          <w:rFonts w:ascii="Arial" w:eastAsia="MS PGothic" w:hAnsi="Arial" w:cs="Times New Roman"/>
          <w:sz w:val="20"/>
          <w:szCs w:val="24"/>
        </w:rPr>
        <w:t xml:space="preserve"> anglies monoksido (CO) rodiklius. Demografiniai rodikliai apėmė nuolatinių gyventojų skaičių, pensinio amžiaus ir darbingo amžiaus gyventojų dalį, bei </w:t>
      </w:r>
      <w:r w:rsidR="00594D44" w:rsidRPr="00CF2C00">
        <w:rPr>
          <w:rFonts w:ascii="Arial" w:eastAsia="MS PGothic" w:hAnsi="Arial" w:cs="Times New Roman"/>
          <w:sz w:val="20"/>
          <w:szCs w:val="24"/>
        </w:rPr>
        <w:t xml:space="preserve">darbingo amžiaus </w:t>
      </w:r>
      <w:r w:rsidRPr="00CF2C00">
        <w:rPr>
          <w:rFonts w:ascii="Arial" w:eastAsia="MS PGothic" w:hAnsi="Arial" w:cs="Times New Roman"/>
          <w:sz w:val="20"/>
          <w:szCs w:val="24"/>
        </w:rPr>
        <w:t xml:space="preserve">gyventojų skaičiaus ir registruotų bedarbių santykį. Ekonominės veiklos rodikliai </w:t>
      </w:r>
      <w:r w:rsidR="007F0777" w:rsidRPr="00CF2C00">
        <w:rPr>
          <w:rFonts w:ascii="Arial" w:eastAsia="MS PGothic" w:hAnsi="Arial" w:cs="Times New Roman"/>
          <w:sz w:val="20"/>
          <w:szCs w:val="24"/>
        </w:rPr>
        <w:t>– pridėtinė vertė gamybos kainomis, materialinės investicijos to meto kainomis ir tiesioginės užsienio investicijos.</w:t>
      </w:r>
    </w:p>
    <w:p w:rsidR="001A1350" w:rsidRPr="00CF2C00" w:rsidRDefault="007F0777" w:rsidP="00F22491">
      <w:pPr>
        <w:spacing w:after="80"/>
        <w:jc w:val="both"/>
        <w:rPr>
          <w:rFonts w:ascii="Arial" w:eastAsia="MS PGothic" w:hAnsi="Arial" w:cs="Times New Roman"/>
          <w:sz w:val="20"/>
          <w:szCs w:val="24"/>
        </w:rPr>
      </w:pPr>
      <w:r w:rsidRPr="00CF2C00">
        <w:rPr>
          <w:rFonts w:ascii="Arial" w:eastAsia="MS PGothic" w:hAnsi="Arial" w:cs="Times New Roman"/>
          <w:sz w:val="20"/>
          <w:szCs w:val="24"/>
        </w:rPr>
        <w:t>Aplinkos taršos rodiklių atveju stebim</w:t>
      </w:r>
      <w:r w:rsidR="00D45CFF" w:rsidRPr="00CF2C00">
        <w:rPr>
          <w:rFonts w:ascii="Arial" w:eastAsia="MS PGothic" w:hAnsi="Arial" w:cs="Times New Roman"/>
          <w:sz w:val="20"/>
          <w:szCs w:val="24"/>
        </w:rPr>
        <w:t xml:space="preserve">a teigiama aplinkos taršos </w:t>
      </w:r>
      <w:r w:rsidR="003A4332">
        <w:rPr>
          <w:rFonts w:ascii="Arial" w:eastAsia="MS PGothic" w:hAnsi="Arial" w:cs="Times New Roman"/>
          <w:sz w:val="20"/>
          <w:szCs w:val="24"/>
        </w:rPr>
        <w:t>didėjimo</w:t>
      </w:r>
      <w:r w:rsidR="00D45CFF" w:rsidRPr="00CF2C00">
        <w:rPr>
          <w:rFonts w:ascii="Arial" w:eastAsia="MS PGothic" w:hAnsi="Arial" w:cs="Times New Roman"/>
          <w:sz w:val="20"/>
          <w:szCs w:val="24"/>
        </w:rPr>
        <w:t xml:space="preserve"> tendencija.</w:t>
      </w:r>
      <w:r w:rsidR="003A4332">
        <w:rPr>
          <w:rFonts w:ascii="Arial" w:eastAsia="MS PGothic" w:hAnsi="Arial" w:cs="Times New Roman"/>
          <w:sz w:val="20"/>
          <w:szCs w:val="24"/>
        </w:rPr>
        <w:t xml:space="preserve"> </w:t>
      </w:r>
      <w:r w:rsidR="003A4332" w:rsidRPr="00F272C8">
        <w:rPr>
          <w:rFonts w:ascii="Arial" w:eastAsia="MS PGothic" w:hAnsi="Arial" w:cs="Times New Roman"/>
          <w:sz w:val="20"/>
          <w:szCs w:val="24"/>
        </w:rPr>
        <w:t xml:space="preserve">Oro užterštumui tiesioginį poveikį turinčių kenksmingų medžiagų kiekis </w:t>
      </w:r>
      <w:r w:rsidR="003A4332">
        <w:rPr>
          <w:rFonts w:ascii="Arial" w:eastAsia="MS PGothic" w:hAnsi="Arial" w:cs="Times New Roman"/>
          <w:sz w:val="20"/>
          <w:szCs w:val="24"/>
        </w:rPr>
        <w:t>išliko</w:t>
      </w:r>
      <w:r w:rsidR="003A4332" w:rsidRPr="00F272C8">
        <w:rPr>
          <w:rFonts w:ascii="Arial" w:eastAsia="MS PGothic" w:hAnsi="Arial" w:cs="Times New Roman"/>
          <w:sz w:val="20"/>
          <w:szCs w:val="24"/>
        </w:rPr>
        <w:t xml:space="preserve"> nepastovus</w:t>
      </w:r>
      <w:r w:rsidR="003A4332">
        <w:rPr>
          <w:rFonts w:ascii="Arial" w:eastAsia="MS PGothic" w:hAnsi="Arial" w:cs="Times New Roman"/>
          <w:sz w:val="20"/>
          <w:szCs w:val="24"/>
        </w:rPr>
        <w:t xml:space="preserve"> visą laikotarpį</w:t>
      </w:r>
      <w:r w:rsidR="003A4332" w:rsidRPr="00F272C8">
        <w:rPr>
          <w:rFonts w:ascii="Arial" w:eastAsia="MS PGothic" w:hAnsi="Arial" w:cs="Times New Roman"/>
          <w:sz w:val="20"/>
          <w:szCs w:val="24"/>
        </w:rPr>
        <w:t>. Iki 2009 m</w:t>
      </w:r>
      <w:r w:rsidR="003A4332">
        <w:rPr>
          <w:rFonts w:ascii="Arial" w:eastAsia="MS PGothic" w:hAnsi="Arial" w:cs="Times New Roman"/>
          <w:sz w:val="20"/>
          <w:szCs w:val="24"/>
        </w:rPr>
        <w:t>.</w:t>
      </w:r>
      <w:r w:rsidR="003A4332" w:rsidRPr="00F272C8">
        <w:rPr>
          <w:rFonts w:ascii="Arial" w:eastAsia="MS PGothic" w:hAnsi="Arial" w:cs="Times New Roman"/>
          <w:sz w:val="20"/>
          <w:szCs w:val="24"/>
        </w:rPr>
        <w:t xml:space="preserve"> smarkiai mažėjęs teršalų išmetimas pasiekė žemiausią lygį (34 t), po to trejus metus vyravusį stabilumą pakeitė staigus teršalų kiekio didėjimas. Per vienerius metus išmetamų teršalų kiekis padidėjo 52.51% iki 54.6 t. Vertinant atskiras teršalų rūšis pastebima, kad pradžioje 61.75% teršalų sudaręs sieros dioksidas per trejus metus buvo sumažintas iki 5.9 t, bendroje teršalų dalyje sudarant 17.35%. </w:t>
      </w:r>
      <w:r w:rsidR="003A4332">
        <w:rPr>
          <w:rFonts w:ascii="Arial" w:eastAsia="MS PGothic" w:hAnsi="Arial" w:cs="Times New Roman"/>
          <w:sz w:val="20"/>
          <w:szCs w:val="24"/>
        </w:rPr>
        <w:t xml:space="preserve">Apibendrinant, </w:t>
      </w:r>
      <w:r w:rsidR="003A4332">
        <w:rPr>
          <w:rFonts w:ascii="Arial" w:eastAsia="MS PGothic" w:hAnsi="Arial" w:cs="Times New Roman"/>
          <w:sz w:val="20"/>
          <w:szCs w:val="24"/>
        </w:rPr>
        <w:lastRenderedPageBreak/>
        <w:t>Skuodo rajono savivaldybei geriausiai pavyko sumažinti sieros dioksido kiekį bei padidinti iki normos išvalomų nuotekų kiekį. Visa tai (nepaisant kitų aplinkos taršos rodiklių) rodo pagerėjusią aplinkos būklę.</w:t>
      </w:r>
    </w:p>
    <w:p w:rsidR="00BA41A7" w:rsidRPr="00BA41A7" w:rsidRDefault="00A2570C" w:rsidP="00EF549B">
      <w:pPr>
        <w:pStyle w:val="Caption"/>
        <w:keepNext/>
        <w:jc w:val="both"/>
        <w:rPr>
          <w:noProof/>
          <w:lang w:val="en-US"/>
        </w:rPr>
      </w:pPr>
      <w:r w:rsidRPr="00CF2C00">
        <w:fldChar w:fldCharType="begin"/>
      </w:r>
      <w:r w:rsidRPr="00CF2C00">
        <w:instrText xml:space="preserve"> SEQ paveikslas \* ARABIC </w:instrText>
      </w:r>
      <w:r w:rsidRPr="00CF2C00">
        <w:fldChar w:fldCharType="separate"/>
      </w:r>
      <w:r w:rsidR="00594D44" w:rsidRPr="00CF2C00">
        <w:t>3</w:t>
      </w:r>
      <w:r w:rsidRPr="00CF2C00">
        <w:fldChar w:fldCharType="end"/>
      </w:r>
      <w:r w:rsidRPr="00CF2C00">
        <w:t xml:space="preserve"> paveikslas. Aplinkos taršos rodikliai</w:t>
      </w:r>
      <w:r w:rsidR="00F22491">
        <w:t>*</w:t>
      </w:r>
    </w:p>
    <w:p w:rsidR="00B72614" w:rsidRPr="00CF2C00" w:rsidRDefault="00F22491" w:rsidP="00A2570C">
      <w:pPr>
        <w:pStyle w:val="Caption"/>
        <w:spacing w:before="240"/>
        <w:rPr>
          <w:b w:val="0"/>
        </w:rPr>
      </w:pPr>
      <w:r>
        <w:rPr>
          <w:noProof/>
          <w:lang w:val="en-US"/>
        </w:rPr>
        <w:drawing>
          <wp:anchor distT="0" distB="0" distL="114300" distR="114300" simplePos="0" relativeHeight="251674624" behindDoc="0" locked="0" layoutInCell="1" allowOverlap="1" wp14:anchorId="713C769C" wp14:editId="379F318A">
            <wp:simplePos x="0" y="0"/>
            <wp:positionH relativeFrom="column">
              <wp:posOffset>1270</wp:posOffset>
            </wp:positionH>
            <wp:positionV relativeFrom="paragraph">
              <wp:posOffset>26670</wp:posOffset>
            </wp:positionV>
            <wp:extent cx="4462780" cy="2483485"/>
            <wp:effectExtent l="0" t="0" r="13970" b="12065"/>
            <wp:wrapSquare wrapText="bothSides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72614" w:rsidRPr="00CF2C00" w:rsidRDefault="00B72614" w:rsidP="00A2570C">
      <w:pPr>
        <w:pStyle w:val="Caption"/>
        <w:spacing w:before="240"/>
        <w:rPr>
          <w:b w:val="0"/>
        </w:rPr>
      </w:pPr>
    </w:p>
    <w:p w:rsidR="00B72614" w:rsidRPr="00CF2C00" w:rsidRDefault="00B72614" w:rsidP="00A2570C">
      <w:pPr>
        <w:pStyle w:val="Caption"/>
        <w:spacing w:before="240"/>
        <w:rPr>
          <w:b w:val="0"/>
        </w:rPr>
      </w:pPr>
    </w:p>
    <w:p w:rsidR="00B72614" w:rsidRPr="00CF2C00" w:rsidRDefault="00B72614" w:rsidP="00A2570C">
      <w:pPr>
        <w:pStyle w:val="Caption"/>
        <w:spacing w:before="240"/>
        <w:rPr>
          <w:b w:val="0"/>
        </w:rPr>
      </w:pPr>
    </w:p>
    <w:p w:rsidR="00B72614" w:rsidRPr="00CF2C00" w:rsidRDefault="00B72614" w:rsidP="00A2570C">
      <w:pPr>
        <w:pStyle w:val="Caption"/>
        <w:spacing w:before="240"/>
        <w:rPr>
          <w:b w:val="0"/>
        </w:rPr>
      </w:pPr>
    </w:p>
    <w:p w:rsidR="00B72614" w:rsidRPr="00CF2C00" w:rsidRDefault="00B72614" w:rsidP="00A2570C">
      <w:pPr>
        <w:pStyle w:val="Caption"/>
        <w:spacing w:before="240"/>
        <w:rPr>
          <w:b w:val="0"/>
        </w:rPr>
      </w:pPr>
    </w:p>
    <w:p w:rsidR="00B72614" w:rsidRPr="00CF2C00" w:rsidRDefault="00B72614" w:rsidP="00B72614">
      <w:pPr>
        <w:pStyle w:val="Caption"/>
        <w:spacing w:after="0"/>
        <w:rPr>
          <w:b w:val="0"/>
        </w:rPr>
      </w:pPr>
    </w:p>
    <w:p w:rsidR="00805F6F" w:rsidRPr="00CF2C00" w:rsidRDefault="00805F6F" w:rsidP="00B72614">
      <w:pPr>
        <w:pStyle w:val="Caption"/>
        <w:spacing w:after="120"/>
        <w:rPr>
          <w:b w:val="0"/>
        </w:rPr>
      </w:pPr>
    </w:p>
    <w:p w:rsidR="00805F6F" w:rsidRPr="00CF2C00" w:rsidRDefault="00805F6F" w:rsidP="00B72614">
      <w:pPr>
        <w:pStyle w:val="Caption"/>
        <w:spacing w:after="120"/>
        <w:rPr>
          <w:b w:val="0"/>
        </w:rPr>
      </w:pPr>
    </w:p>
    <w:p w:rsidR="00C23DA0" w:rsidRPr="00CF2C00" w:rsidRDefault="00C23DA0" w:rsidP="00B72614">
      <w:pPr>
        <w:pStyle w:val="Caption"/>
        <w:spacing w:after="120"/>
        <w:rPr>
          <w:b w:val="0"/>
        </w:rPr>
      </w:pPr>
    </w:p>
    <w:p w:rsidR="00EC3E73" w:rsidRDefault="00EC3E73" w:rsidP="00B72614">
      <w:pPr>
        <w:pStyle w:val="Caption"/>
        <w:spacing w:after="120"/>
        <w:rPr>
          <w:b w:val="0"/>
        </w:rPr>
      </w:pPr>
    </w:p>
    <w:p w:rsidR="00A2570C" w:rsidRPr="00F22491" w:rsidRDefault="00A2570C" w:rsidP="00F22491">
      <w:pPr>
        <w:pStyle w:val="Caption"/>
        <w:spacing w:after="0"/>
        <w:rPr>
          <w:rFonts w:cs="Arial"/>
          <w:b w:val="0"/>
        </w:rPr>
      </w:pPr>
      <w:r w:rsidRPr="00F22491">
        <w:rPr>
          <w:rFonts w:cs="Arial"/>
          <w:b w:val="0"/>
        </w:rPr>
        <w:t>Šaltinis: Statistiko</w:t>
      </w:r>
      <w:r w:rsidR="007F0777" w:rsidRPr="00F22491">
        <w:rPr>
          <w:rFonts w:cs="Arial"/>
          <w:b w:val="0"/>
        </w:rPr>
        <w:t>s</w:t>
      </w:r>
      <w:r w:rsidRPr="00F22491">
        <w:rPr>
          <w:rFonts w:cs="Arial"/>
          <w:b w:val="0"/>
        </w:rPr>
        <w:t xml:space="preserve"> departamentas</w:t>
      </w:r>
    </w:p>
    <w:p w:rsidR="00F22491" w:rsidRPr="00F22491" w:rsidRDefault="00F22491" w:rsidP="00F22491">
      <w:pPr>
        <w:spacing w:after="120"/>
        <w:rPr>
          <w:rFonts w:ascii="Arial" w:hAnsi="Arial" w:cs="Arial"/>
          <w:sz w:val="18"/>
          <w:szCs w:val="18"/>
        </w:rPr>
      </w:pPr>
      <w:r w:rsidRPr="00F22491">
        <w:rPr>
          <w:rFonts w:ascii="Arial" w:hAnsi="Arial" w:cs="Arial"/>
          <w:sz w:val="18"/>
          <w:szCs w:val="18"/>
        </w:rPr>
        <w:t>* - visi rodikliai, išskyrus „Išleista išvalytų iki normos nuotekų, tūkst. m</w:t>
      </w:r>
      <w:r w:rsidRPr="00F22491">
        <w:rPr>
          <w:rFonts w:ascii="Arial" w:hAnsi="Arial" w:cs="Arial"/>
          <w:sz w:val="18"/>
          <w:szCs w:val="18"/>
          <w:vertAlign w:val="superscript"/>
        </w:rPr>
        <w:t>3</w:t>
      </w:r>
      <w:r w:rsidRPr="00F22491">
        <w:rPr>
          <w:rFonts w:ascii="Arial" w:hAnsi="Arial" w:cs="Arial"/>
          <w:sz w:val="18"/>
          <w:szCs w:val="18"/>
        </w:rPr>
        <w:t>“ yra matuojami tonomis.</w:t>
      </w:r>
    </w:p>
    <w:p w:rsidR="00E41B59" w:rsidRDefault="00B76AF6" w:rsidP="00F22491">
      <w:pPr>
        <w:spacing w:after="80"/>
        <w:jc w:val="both"/>
        <w:rPr>
          <w:rFonts w:ascii="Arial" w:eastAsia="MS PGothic" w:hAnsi="Arial" w:cs="Times New Roman"/>
          <w:sz w:val="20"/>
          <w:szCs w:val="24"/>
        </w:rPr>
      </w:pPr>
      <w:r w:rsidRPr="00CF2C00">
        <w:rPr>
          <w:rFonts w:ascii="Arial" w:eastAsia="MS PGothic" w:hAnsi="Arial" w:cs="Times New Roman"/>
          <w:sz w:val="20"/>
          <w:szCs w:val="24"/>
        </w:rPr>
        <w:t>Vertinant demografinius rodiklius</w:t>
      </w:r>
      <w:r w:rsidR="00594D44" w:rsidRPr="00CF2C00">
        <w:rPr>
          <w:rFonts w:ascii="Arial" w:eastAsia="MS PGothic" w:hAnsi="Arial" w:cs="Times New Roman"/>
          <w:sz w:val="20"/>
          <w:szCs w:val="24"/>
        </w:rPr>
        <w:t>, 2007 - 2013 m. stebimos tendencijos atitinka nacion</w:t>
      </w:r>
      <w:r w:rsidR="002427B5" w:rsidRPr="00CF2C00">
        <w:rPr>
          <w:rFonts w:ascii="Arial" w:eastAsia="MS PGothic" w:hAnsi="Arial" w:cs="Times New Roman"/>
          <w:sz w:val="20"/>
          <w:szCs w:val="24"/>
        </w:rPr>
        <w:t>aliniu mastu vykusius pokyčius. Daugumos rodiklių tar</w:t>
      </w:r>
      <w:r w:rsidR="002502B8">
        <w:rPr>
          <w:rFonts w:ascii="Arial" w:eastAsia="MS PGothic" w:hAnsi="Arial" w:cs="Times New Roman"/>
          <w:sz w:val="20"/>
          <w:szCs w:val="24"/>
        </w:rPr>
        <w:t xml:space="preserve">pe vyrauja neigiama tendencija. </w:t>
      </w:r>
      <w:r w:rsidR="00CB5B9A">
        <w:rPr>
          <w:rFonts w:ascii="Arial" w:eastAsia="MS PGothic" w:hAnsi="Arial" w:cs="Times New Roman"/>
          <w:sz w:val="20"/>
          <w:szCs w:val="24"/>
        </w:rPr>
        <w:t>N</w:t>
      </w:r>
      <w:r w:rsidR="00CB5B9A" w:rsidRPr="00F272C8">
        <w:rPr>
          <w:rFonts w:ascii="Arial" w:eastAsia="MS PGothic" w:hAnsi="Arial" w:cs="Times New Roman"/>
          <w:sz w:val="20"/>
          <w:szCs w:val="24"/>
        </w:rPr>
        <w:t>uolatinis gyventojų skaičius tendencingai mažėja</w:t>
      </w:r>
      <w:r w:rsidR="00CB5B9A">
        <w:rPr>
          <w:rFonts w:ascii="Arial" w:eastAsia="MS PGothic" w:hAnsi="Arial" w:cs="Times New Roman"/>
          <w:sz w:val="20"/>
          <w:szCs w:val="24"/>
        </w:rPr>
        <w:t>: iki 201</w:t>
      </w:r>
      <w:r w:rsidR="00CB5B9A">
        <w:rPr>
          <w:rFonts w:ascii="Arial" w:eastAsia="MS PGothic" w:hAnsi="Arial" w:cs="Times New Roman"/>
          <w:sz w:val="20"/>
          <w:szCs w:val="24"/>
          <w:lang w:val="en-US"/>
        </w:rPr>
        <w:t>3</w:t>
      </w:r>
      <w:r w:rsidR="00CB5B9A" w:rsidRPr="00F272C8">
        <w:rPr>
          <w:rFonts w:ascii="Arial" w:eastAsia="MS PGothic" w:hAnsi="Arial" w:cs="Times New Roman"/>
          <w:sz w:val="20"/>
          <w:szCs w:val="24"/>
        </w:rPr>
        <w:t xml:space="preserve"> m</w:t>
      </w:r>
      <w:r w:rsidR="00CB5B9A">
        <w:rPr>
          <w:rFonts w:ascii="Arial" w:eastAsia="MS PGothic" w:hAnsi="Arial" w:cs="Times New Roman"/>
          <w:sz w:val="20"/>
          <w:szCs w:val="24"/>
        </w:rPr>
        <w:t>.</w:t>
      </w:r>
      <w:r w:rsidR="00CB5B9A" w:rsidRPr="00F272C8">
        <w:rPr>
          <w:rFonts w:ascii="Arial" w:eastAsia="MS PGothic" w:hAnsi="Arial" w:cs="Times New Roman"/>
          <w:sz w:val="20"/>
          <w:szCs w:val="24"/>
        </w:rPr>
        <w:t xml:space="preserve"> iš Skuodo savivaldybės išvyko </w:t>
      </w:r>
      <w:r w:rsidR="00CB5B9A">
        <w:rPr>
          <w:rFonts w:ascii="Arial" w:eastAsia="MS PGothic" w:hAnsi="Arial" w:cs="Times New Roman"/>
          <w:sz w:val="20"/>
          <w:szCs w:val="24"/>
        </w:rPr>
        <w:t>14.6 proc.</w:t>
      </w:r>
      <w:r w:rsidR="00CB5B9A" w:rsidRPr="00F272C8">
        <w:rPr>
          <w:rFonts w:ascii="Arial" w:eastAsia="MS PGothic" w:hAnsi="Arial" w:cs="Times New Roman"/>
          <w:sz w:val="20"/>
          <w:szCs w:val="24"/>
        </w:rPr>
        <w:t xml:space="preserve"> gyventojų. Per tą patį laikotarpį darbingo amžiaus žmonių skaičius kito </w:t>
      </w:r>
      <w:r w:rsidR="00CB5B9A">
        <w:rPr>
          <w:rFonts w:ascii="Arial" w:eastAsia="MS PGothic" w:hAnsi="Arial" w:cs="Times New Roman"/>
          <w:sz w:val="20"/>
          <w:szCs w:val="24"/>
        </w:rPr>
        <w:t>šiek tiek mažesniu tempu – 1</w:t>
      </w:r>
      <w:r w:rsidR="00CB5B9A">
        <w:rPr>
          <w:rFonts w:ascii="Arial" w:eastAsia="MS PGothic" w:hAnsi="Arial" w:cs="Times New Roman"/>
          <w:sz w:val="20"/>
          <w:szCs w:val="24"/>
          <w:lang w:val="en-US"/>
        </w:rPr>
        <w:t>2</w:t>
      </w:r>
      <w:r w:rsidR="00CB5B9A">
        <w:rPr>
          <w:rFonts w:ascii="Arial" w:eastAsia="MS PGothic" w:hAnsi="Arial" w:cs="Times New Roman"/>
          <w:sz w:val="20"/>
          <w:szCs w:val="24"/>
        </w:rPr>
        <w:t>.27</w:t>
      </w:r>
      <w:r w:rsidR="00CB5B9A" w:rsidRPr="00F272C8">
        <w:rPr>
          <w:rFonts w:ascii="Arial" w:eastAsia="MS PGothic" w:hAnsi="Arial" w:cs="Times New Roman"/>
          <w:sz w:val="20"/>
          <w:szCs w:val="24"/>
        </w:rPr>
        <w:t xml:space="preserve">%. </w:t>
      </w:r>
      <w:r w:rsidR="00CB5B9A">
        <w:rPr>
          <w:rFonts w:ascii="Arial" w:eastAsia="MS PGothic" w:hAnsi="Arial" w:cs="Times New Roman"/>
          <w:sz w:val="20"/>
          <w:szCs w:val="24"/>
        </w:rPr>
        <w:t>Nagrinėjant nedarbo ir užimtumo rodiklius,</w:t>
      </w:r>
      <w:r w:rsidR="00CB5B9A" w:rsidRPr="00F272C8">
        <w:rPr>
          <w:rFonts w:ascii="Arial" w:eastAsia="MS PGothic" w:hAnsi="Arial" w:cs="Times New Roman"/>
          <w:sz w:val="20"/>
          <w:szCs w:val="24"/>
        </w:rPr>
        <w:t xml:space="preserve"> </w:t>
      </w:r>
      <w:r w:rsidR="00CB5B9A">
        <w:rPr>
          <w:rFonts w:ascii="Arial" w:eastAsia="MS PGothic" w:hAnsi="Arial" w:cs="Times New Roman"/>
          <w:sz w:val="20"/>
          <w:szCs w:val="24"/>
        </w:rPr>
        <w:t>galima pastebėti</w:t>
      </w:r>
      <w:r w:rsidR="00CB5B9A" w:rsidRPr="00F272C8">
        <w:rPr>
          <w:rFonts w:ascii="Arial" w:eastAsia="MS PGothic" w:hAnsi="Arial" w:cs="Times New Roman"/>
          <w:sz w:val="20"/>
          <w:szCs w:val="24"/>
        </w:rPr>
        <w:t xml:space="preserve">, kad per visą laikotarpį nepavyko išspręsti </w:t>
      </w:r>
      <w:r w:rsidR="00CB5B9A">
        <w:rPr>
          <w:rFonts w:ascii="Arial" w:eastAsia="MS PGothic" w:hAnsi="Arial" w:cs="Times New Roman"/>
          <w:sz w:val="20"/>
          <w:szCs w:val="24"/>
        </w:rPr>
        <w:t xml:space="preserve">šių socio-ekonominių problemų, kurias </w:t>
      </w:r>
      <w:r w:rsidR="00CB5B9A">
        <w:rPr>
          <w:rFonts w:ascii="Arial" w:eastAsia="MS PGothic" w:hAnsi="Arial" w:cs="Times New Roman"/>
          <w:sz w:val="20"/>
          <w:szCs w:val="24"/>
          <w:lang w:val="en-US"/>
        </w:rPr>
        <w:t>2010 m.</w:t>
      </w:r>
      <w:r w:rsidR="00CB5B9A">
        <w:rPr>
          <w:rFonts w:ascii="Arial" w:eastAsia="MS PGothic" w:hAnsi="Arial" w:cs="Times New Roman"/>
          <w:sz w:val="20"/>
          <w:szCs w:val="24"/>
        </w:rPr>
        <w:t xml:space="preserve"> (kaip ir visos šalies mastu) dar stipriau aktualizavo pasaulinė finansų krizė</w:t>
      </w:r>
      <w:r w:rsidR="00CB5B9A" w:rsidRPr="00F272C8">
        <w:rPr>
          <w:rFonts w:ascii="Arial" w:eastAsia="MS PGothic" w:hAnsi="Arial" w:cs="Times New Roman"/>
          <w:sz w:val="20"/>
          <w:szCs w:val="24"/>
        </w:rPr>
        <w:t xml:space="preserve">. </w:t>
      </w:r>
      <w:r w:rsidR="00F22491">
        <w:rPr>
          <w:rFonts w:ascii="Arial" w:eastAsia="MS PGothic" w:hAnsi="Arial" w:cs="Times New Roman"/>
          <w:sz w:val="20"/>
          <w:szCs w:val="24"/>
        </w:rPr>
        <w:t>Vidutinis m</w:t>
      </w:r>
      <w:r w:rsidR="00CB5B9A" w:rsidRPr="00CB5B9A">
        <w:rPr>
          <w:rFonts w:ascii="Arial" w:eastAsia="MS PGothic" w:hAnsi="Arial" w:cs="Times New Roman"/>
          <w:sz w:val="20"/>
          <w:szCs w:val="24"/>
        </w:rPr>
        <w:t xml:space="preserve">ėnesinis (bruto) darbo užmokestis, </w:t>
      </w:r>
      <w:r w:rsidR="00CB5B9A">
        <w:rPr>
          <w:rFonts w:ascii="Arial" w:eastAsia="MS PGothic" w:hAnsi="Arial" w:cs="Times New Roman"/>
          <w:sz w:val="20"/>
          <w:szCs w:val="24"/>
        </w:rPr>
        <w:t>nagrinėjamu</w:t>
      </w:r>
      <w:r w:rsidR="00CB5B9A" w:rsidRPr="00CB5B9A">
        <w:rPr>
          <w:rFonts w:ascii="Arial" w:eastAsia="MS PGothic" w:hAnsi="Arial" w:cs="Times New Roman"/>
          <w:sz w:val="20"/>
          <w:szCs w:val="24"/>
        </w:rPr>
        <w:t xml:space="preserve"> laikotarpiu išaugo 54.91%, nuo </w:t>
      </w:r>
      <w:r w:rsidR="00CB5B9A">
        <w:rPr>
          <w:rFonts w:ascii="Arial" w:eastAsia="MS PGothic" w:hAnsi="Arial" w:cs="Times New Roman"/>
          <w:sz w:val="20"/>
          <w:szCs w:val="24"/>
        </w:rPr>
        <w:t>330.20 EUR</w:t>
      </w:r>
      <w:r w:rsidR="00CB5B9A" w:rsidRPr="00CB5B9A">
        <w:rPr>
          <w:rFonts w:ascii="Arial" w:eastAsia="MS PGothic" w:hAnsi="Arial" w:cs="Times New Roman"/>
          <w:sz w:val="20"/>
          <w:szCs w:val="24"/>
        </w:rPr>
        <w:t xml:space="preserve"> iki 511.50 EUR. Lyginant su Lietuvos Respublikos vidurkiu</w:t>
      </w:r>
      <w:r w:rsidR="00CB5B9A">
        <w:rPr>
          <w:rFonts w:ascii="Arial" w:eastAsia="MS PGothic" w:hAnsi="Arial" w:cs="Times New Roman"/>
          <w:sz w:val="20"/>
          <w:szCs w:val="24"/>
        </w:rPr>
        <w:t>,</w:t>
      </w:r>
      <w:r w:rsidR="00CB5B9A" w:rsidRPr="00CB5B9A">
        <w:rPr>
          <w:rFonts w:ascii="Arial" w:eastAsia="MS PGothic" w:hAnsi="Arial" w:cs="Times New Roman"/>
          <w:sz w:val="20"/>
          <w:szCs w:val="24"/>
        </w:rPr>
        <w:t xml:space="preserve"> 2014 m</w:t>
      </w:r>
      <w:r w:rsidR="00CB5B9A">
        <w:rPr>
          <w:rFonts w:ascii="Arial" w:eastAsia="MS PGothic" w:hAnsi="Arial" w:cs="Times New Roman"/>
          <w:sz w:val="20"/>
          <w:szCs w:val="24"/>
        </w:rPr>
        <w:t>.</w:t>
      </w:r>
      <w:r w:rsidR="00CB5B9A" w:rsidRPr="00CB5B9A">
        <w:rPr>
          <w:rFonts w:ascii="Arial" w:eastAsia="MS PGothic" w:hAnsi="Arial" w:cs="Times New Roman"/>
          <w:sz w:val="20"/>
          <w:szCs w:val="24"/>
        </w:rPr>
        <w:t xml:space="preserve"> duomenimis vidutinis mėnesinis atlyginimas buvo 165.90 EUR mažesnis. </w:t>
      </w:r>
      <w:r w:rsidR="00CB5B9A">
        <w:rPr>
          <w:rFonts w:ascii="Arial" w:eastAsia="MS PGothic" w:hAnsi="Arial" w:cs="Times New Roman"/>
          <w:sz w:val="20"/>
          <w:szCs w:val="24"/>
        </w:rPr>
        <w:t>Laikotarpio pradžioje</w:t>
      </w:r>
      <w:r w:rsidR="00CB5B9A" w:rsidRPr="00CB5B9A">
        <w:rPr>
          <w:rFonts w:ascii="Arial" w:eastAsia="MS PGothic" w:hAnsi="Arial" w:cs="Times New Roman"/>
          <w:sz w:val="20"/>
          <w:szCs w:val="24"/>
        </w:rPr>
        <w:t xml:space="preserve"> šis skirtumas</w:t>
      </w:r>
      <w:r w:rsidR="00CB5B9A" w:rsidRPr="00F272C8">
        <w:rPr>
          <w:rFonts w:ascii="Arial" w:eastAsia="MS PGothic" w:hAnsi="Arial" w:cs="Times New Roman"/>
          <w:sz w:val="20"/>
          <w:szCs w:val="24"/>
        </w:rPr>
        <w:t xml:space="preserve"> siekė 103.00 EUR. </w:t>
      </w:r>
      <w:r w:rsidR="00CB5B9A">
        <w:rPr>
          <w:rFonts w:ascii="Arial" w:eastAsia="MS PGothic" w:hAnsi="Arial" w:cs="Times New Roman"/>
          <w:sz w:val="20"/>
          <w:szCs w:val="24"/>
        </w:rPr>
        <w:t xml:space="preserve">Šių rodiklių tarpusavio pokyčiai rodo, kad regioninė atskirtis Lietuvoje auga. </w:t>
      </w:r>
      <w:r w:rsidR="00A027E9" w:rsidRPr="00CF2C00">
        <w:rPr>
          <w:rFonts w:ascii="Arial" w:eastAsia="MS PGothic" w:hAnsi="Arial" w:cs="Times New Roman"/>
          <w:sz w:val="20"/>
          <w:szCs w:val="24"/>
        </w:rPr>
        <w:t>Apibendrinant, demografiniai rodikliai nagrinėjamu laikotarpiu buvo veikiami pasaulinės finansų krizės, augančių migracijos mastų ir mažėjančio gyventojų skaičiaus; visu laikotarpiu buvo stebimos bendros neigiamos plėtros tendencijos.</w:t>
      </w:r>
    </w:p>
    <w:p w:rsidR="00F22491" w:rsidRDefault="00F22491" w:rsidP="00F22491">
      <w:pPr>
        <w:spacing w:after="80"/>
        <w:jc w:val="both"/>
        <w:rPr>
          <w:rFonts w:ascii="Arial" w:eastAsia="MS PGothic" w:hAnsi="Arial" w:cs="Times New Roman"/>
          <w:sz w:val="20"/>
          <w:szCs w:val="24"/>
        </w:rPr>
      </w:pPr>
    </w:p>
    <w:p w:rsidR="00F22491" w:rsidRDefault="00F22491" w:rsidP="00F22491">
      <w:pPr>
        <w:spacing w:after="80"/>
        <w:jc w:val="both"/>
        <w:rPr>
          <w:rFonts w:ascii="Arial" w:eastAsia="MS PGothic" w:hAnsi="Arial" w:cs="Times New Roman"/>
          <w:sz w:val="20"/>
          <w:szCs w:val="24"/>
        </w:rPr>
      </w:pPr>
    </w:p>
    <w:p w:rsidR="00F22491" w:rsidRDefault="00F22491" w:rsidP="00F22491">
      <w:pPr>
        <w:spacing w:after="80"/>
        <w:jc w:val="both"/>
        <w:rPr>
          <w:rFonts w:ascii="Arial" w:eastAsia="MS PGothic" w:hAnsi="Arial" w:cs="Times New Roman"/>
          <w:sz w:val="20"/>
          <w:szCs w:val="24"/>
        </w:rPr>
      </w:pPr>
    </w:p>
    <w:p w:rsidR="00F22491" w:rsidRDefault="00F22491" w:rsidP="00F22491">
      <w:pPr>
        <w:spacing w:after="80"/>
        <w:jc w:val="both"/>
        <w:rPr>
          <w:rFonts w:ascii="Arial" w:eastAsia="MS PGothic" w:hAnsi="Arial" w:cs="Times New Roman"/>
          <w:sz w:val="20"/>
          <w:szCs w:val="24"/>
        </w:rPr>
      </w:pPr>
    </w:p>
    <w:p w:rsidR="00F22491" w:rsidRDefault="00F22491" w:rsidP="00F22491">
      <w:pPr>
        <w:spacing w:after="80"/>
        <w:jc w:val="both"/>
        <w:rPr>
          <w:rFonts w:ascii="Arial" w:eastAsia="MS PGothic" w:hAnsi="Arial" w:cs="Times New Roman"/>
          <w:sz w:val="20"/>
          <w:szCs w:val="24"/>
        </w:rPr>
      </w:pPr>
    </w:p>
    <w:p w:rsidR="00F22491" w:rsidRDefault="00F22491" w:rsidP="00F22491">
      <w:pPr>
        <w:spacing w:after="80"/>
        <w:jc w:val="both"/>
        <w:rPr>
          <w:rFonts w:ascii="Arial" w:eastAsia="MS PGothic" w:hAnsi="Arial" w:cs="Times New Roman"/>
          <w:sz w:val="20"/>
          <w:szCs w:val="24"/>
        </w:rPr>
      </w:pPr>
    </w:p>
    <w:p w:rsidR="00F22491" w:rsidRDefault="00F22491" w:rsidP="00F22491">
      <w:pPr>
        <w:spacing w:after="80"/>
        <w:jc w:val="both"/>
        <w:rPr>
          <w:rFonts w:ascii="Arial" w:eastAsia="MS PGothic" w:hAnsi="Arial" w:cs="Times New Roman"/>
          <w:sz w:val="20"/>
          <w:szCs w:val="24"/>
        </w:rPr>
      </w:pPr>
    </w:p>
    <w:p w:rsidR="00F22491" w:rsidRDefault="00F22491" w:rsidP="00F22491">
      <w:pPr>
        <w:spacing w:after="80"/>
        <w:jc w:val="both"/>
        <w:rPr>
          <w:rFonts w:ascii="Arial" w:eastAsia="MS PGothic" w:hAnsi="Arial" w:cs="Times New Roman"/>
          <w:sz w:val="20"/>
          <w:szCs w:val="24"/>
        </w:rPr>
      </w:pPr>
    </w:p>
    <w:p w:rsidR="00F22491" w:rsidRDefault="00F22491" w:rsidP="00F22491">
      <w:pPr>
        <w:spacing w:after="80"/>
        <w:jc w:val="both"/>
        <w:rPr>
          <w:rFonts w:ascii="Arial" w:eastAsia="MS PGothic" w:hAnsi="Arial" w:cs="Times New Roman"/>
          <w:sz w:val="20"/>
          <w:szCs w:val="24"/>
        </w:rPr>
      </w:pPr>
    </w:p>
    <w:p w:rsidR="00F22491" w:rsidRDefault="00F22491" w:rsidP="00F22491">
      <w:pPr>
        <w:spacing w:after="80"/>
        <w:jc w:val="both"/>
        <w:rPr>
          <w:rFonts w:ascii="Arial" w:eastAsia="MS PGothic" w:hAnsi="Arial" w:cs="Times New Roman"/>
          <w:sz w:val="20"/>
          <w:szCs w:val="24"/>
        </w:rPr>
      </w:pPr>
    </w:p>
    <w:p w:rsidR="00F22491" w:rsidRDefault="00F22491" w:rsidP="00F22491">
      <w:pPr>
        <w:spacing w:after="80"/>
        <w:jc w:val="both"/>
        <w:rPr>
          <w:rFonts w:ascii="Arial" w:eastAsia="MS PGothic" w:hAnsi="Arial" w:cs="Times New Roman"/>
          <w:sz w:val="20"/>
          <w:szCs w:val="24"/>
        </w:rPr>
      </w:pPr>
    </w:p>
    <w:p w:rsidR="00F22491" w:rsidRDefault="00F22491" w:rsidP="00F22491">
      <w:pPr>
        <w:spacing w:after="80"/>
        <w:jc w:val="both"/>
        <w:rPr>
          <w:rFonts w:ascii="Arial" w:eastAsia="MS PGothic" w:hAnsi="Arial" w:cs="Times New Roman"/>
          <w:sz w:val="20"/>
          <w:szCs w:val="24"/>
        </w:rPr>
      </w:pPr>
    </w:p>
    <w:p w:rsidR="00020455" w:rsidRPr="00CF2C00" w:rsidRDefault="00F22491" w:rsidP="00020455">
      <w:pPr>
        <w:pStyle w:val="Caption"/>
        <w:keepNext/>
      </w:pPr>
      <w:r>
        <w:rPr>
          <w:noProof/>
          <w:lang w:val="en-US"/>
        </w:rPr>
        <w:drawing>
          <wp:anchor distT="0" distB="0" distL="114300" distR="114300" simplePos="0" relativeHeight="251676672" behindDoc="0" locked="0" layoutInCell="1" allowOverlap="1" wp14:anchorId="0EF8B947" wp14:editId="76E8921C">
            <wp:simplePos x="0" y="0"/>
            <wp:positionH relativeFrom="margin">
              <wp:posOffset>89535</wp:posOffset>
            </wp:positionH>
            <wp:positionV relativeFrom="paragraph">
              <wp:posOffset>276860</wp:posOffset>
            </wp:positionV>
            <wp:extent cx="4373880" cy="2224405"/>
            <wp:effectExtent l="0" t="0" r="26670" b="23495"/>
            <wp:wrapSquare wrapText="bothSides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70C" w:rsidRPr="00CF2C00">
        <w:fldChar w:fldCharType="begin"/>
      </w:r>
      <w:r w:rsidR="00A2570C" w:rsidRPr="00CF2C00">
        <w:instrText xml:space="preserve"> SEQ paveikslas \* ARABIC </w:instrText>
      </w:r>
      <w:r w:rsidR="00A2570C" w:rsidRPr="00CF2C00">
        <w:fldChar w:fldCharType="separate"/>
      </w:r>
      <w:r w:rsidR="008A1509" w:rsidRPr="00CF2C00">
        <w:t>5</w:t>
      </w:r>
      <w:r w:rsidR="00A2570C" w:rsidRPr="00CF2C00">
        <w:fldChar w:fldCharType="end"/>
      </w:r>
      <w:r w:rsidR="00A2570C" w:rsidRPr="00CF2C00">
        <w:t xml:space="preserve"> paveikslas. Demografiniai rodikliai</w:t>
      </w:r>
    </w:p>
    <w:p w:rsidR="00B76AF6" w:rsidRPr="00CF2C00" w:rsidRDefault="00B76AF6" w:rsidP="00594D44">
      <w:pPr>
        <w:pStyle w:val="Caption"/>
        <w:keepNext/>
      </w:pPr>
    </w:p>
    <w:p w:rsidR="002427B5" w:rsidRPr="00CF2C00" w:rsidRDefault="00B76AF6" w:rsidP="008A1509">
      <w:pPr>
        <w:pStyle w:val="Caption"/>
        <w:spacing w:before="240"/>
        <w:rPr>
          <w:b w:val="0"/>
        </w:rPr>
      </w:pPr>
      <w:r w:rsidRPr="00CF2C00">
        <w:rPr>
          <w:b w:val="0"/>
        </w:rPr>
        <w:br/>
      </w:r>
    </w:p>
    <w:p w:rsidR="002427B5" w:rsidRPr="00CF2C00" w:rsidRDefault="002427B5" w:rsidP="008A1509">
      <w:pPr>
        <w:pStyle w:val="Caption"/>
        <w:spacing w:before="240"/>
        <w:rPr>
          <w:b w:val="0"/>
        </w:rPr>
      </w:pPr>
    </w:p>
    <w:p w:rsidR="002427B5" w:rsidRPr="00CF2C00" w:rsidRDefault="002427B5" w:rsidP="008A1509">
      <w:pPr>
        <w:pStyle w:val="Caption"/>
        <w:spacing w:before="240"/>
        <w:rPr>
          <w:b w:val="0"/>
        </w:rPr>
      </w:pPr>
    </w:p>
    <w:p w:rsidR="002427B5" w:rsidRPr="00CF2C00" w:rsidRDefault="002427B5" w:rsidP="008A1509">
      <w:pPr>
        <w:pStyle w:val="Caption"/>
        <w:spacing w:before="240"/>
        <w:rPr>
          <w:b w:val="0"/>
        </w:rPr>
      </w:pPr>
    </w:p>
    <w:p w:rsidR="002427B5" w:rsidRPr="00CF2C00" w:rsidRDefault="002427B5" w:rsidP="008A1509">
      <w:pPr>
        <w:pStyle w:val="Caption"/>
        <w:spacing w:before="240"/>
        <w:rPr>
          <w:b w:val="0"/>
        </w:rPr>
      </w:pPr>
    </w:p>
    <w:p w:rsidR="00F22491" w:rsidRDefault="00F22491" w:rsidP="00CB5B9A">
      <w:pPr>
        <w:pStyle w:val="Caption"/>
        <w:rPr>
          <w:b w:val="0"/>
        </w:rPr>
      </w:pPr>
    </w:p>
    <w:p w:rsidR="00F22491" w:rsidRDefault="00F22491" w:rsidP="00CB5B9A">
      <w:pPr>
        <w:pStyle w:val="Caption"/>
        <w:rPr>
          <w:b w:val="0"/>
        </w:rPr>
      </w:pPr>
    </w:p>
    <w:p w:rsidR="008A1509" w:rsidRPr="00CF2C00" w:rsidRDefault="008A1509" w:rsidP="00CB5B9A">
      <w:pPr>
        <w:pStyle w:val="Caption"/>
        <w:rPr>
          <w:b w:val="0"/>
        </w:rPr>
      </w:pPr>
      <w:r w:rsidRPr="00CF2C00">
        <w:rPr>
          <w:b w:val="0"/>
        </w:rPr>
        <w:t>Šaltinis: Statistiko</w:t>
      </w:r>
      <w:r w:rsidR="00594D44" w:rsidRPr="00CF2C00">
        <w:rPr>
          <w:b w:val="0"/>
        </w:rPr>
        <w:t>s</w:t>
      </w:r>
      <w:r w:rsidRPr="00CF2C00">
        <w:rPr>
          <w:b w:val="0"/>
        </w:rPr>
        <w:t xml:space="preserve"> departamentas</w:t>
      </w:r>
    </w:p>
    <w:p w:rsidR="00B76AF6" w:rsidRPr="00CF2C00" w:rsidRDefault="00B76AF6" w:rsidP="00B76AF6">
      <w:pPr>
        <w:jc w:val="both"/>
        <w:rPr>
          <w:rFonts w:ascii="Arial" w:eastAsia="MS PGothic" w:hAnsi="Arial" w:cs="Times New Roman"/>
          <w:sz w:val="20"/>
          <w:szCs w:val="24"/>
        </w:rPr>
      </w:pPr>
      <w:r w:rsidRPr="00CF2C00">
        <w:rPr>
          <w:rFonts w:ascii="Arial" w:eastAsia="MS PGothic" w:hAnsi="Arial" w:cs="Times New Roman"/>
          <w:sz w:val="20"/>
          <w:szCs w:val="24"/>
        </w:rPr>
        <w:t>Vertinant ūkio ir finansini</w:t>
      </w:r>
      <w:r w:rsidR="004E0E71" w:rsidRPr="00CF2C00">
        <w:rPr>
          <w:rFonts w:ascii="Arial" w:eastAsia="MS PGothic" w:hAnsi="Arial" w:cs="Times New Roman"/>
          <w:sz w:val="20"/>
          <w:szCs w:val="24"/>
        </w:rPr>
        <w:t xml:space="preserve">us </w:t>
      </w:r>
      <w:r w:rsidR="004E0E71" w:rsidRPr="000B2A0A">
        <w:rPr>
          <w:rFonts w:ascii="Arial" w:eastAsia="MS PGothic" w:hAnsi="Arial" w:cs="Arial"/>
          <w:sz w:val="20"/>
          <w:szCs w:val="24"/>
        </w:rPr>
        <w:t xml:space="preserve">rodiklius </w:t>
      </w:r>
      <w:r w:rsidRPr="000B2A0A">
        <w:rPr>
          <w:rFonts w:ascii="Arial" w:eastAsia="MS PGothic" w:hAnsi="Arial" w:cs="Arial"/>
          <w:sz w:val="20"/>
          <w:szCs w:val="24"/>
        </w:rPr>
        <w:t>pastebima,</w:t>
      </w:r>
      <w:r w:rsidR="00424FB7" w:rsidRPr="000B2A0A">
        <w:rPr>
          <w:rFonts w:ascii="Arial" w:eastAsia="MS PGothic" w:hAnsi="Arial" w:cs="Arial"/>
          <w:sz w:val="20"/>
          <w:szCs w:val="24"/>
        </w:rPr>
        <w:t xml:space="preserve"> kad</w:t>
      </w:r>
      <w:r w:rsidR="0062159A" w:rsidRPr="000B2A0A">
        <w:rPr>
          <w:rFonts w:ascii="Arial" w:eastAsia="MS PGothic" w:hAnsi="Arial" w:cs="Arial"/>
          <w:sz w:val="20"/>
          <w:szCs w:val="24"/>
        </w:rPr>
        <w:t xml:space="preserve"> 2007 – 2013</w:t>
      </w:r>
      <w:r w:rsidR="00BC4ECE" w:rsidRPr="000B2A0A">
        <w:rPr>
          <w:rFonts w:ascii="Arial" w:eastAsia="MS PGothic" w:hAnsi="Arial" w:cs="Arial"/>
          <w:sz w:val="20"/>
          <w:szCs w:val="24"/>
        </w:rPr>
        <w:t xml:space="preserve"> m. </w:t>
      </w:r>
      <w:r w:rsidR="0062159A" w:rsidRPr="000B2A0A">
        <w:rPr>
          <w:rFonts w:ascii="Arial" w:eastAsia="MS PGothic" w:hAnsi="Arial" w:cs="Arial"/>
          <w:sz w:val="20"/>
          <w:szCs w:val="24"/>
        </w:rPr>
        <w:t>pridėtinė</w:t>
      </w:r>
      <w:r w:rsidR="00BC4ECE" w:rsidRPr="000B2A0A">
        <w:rPr>
          <w:rFonts w:ascii="Arial" w:eastAsia="MS PGothic" w:hAnsi="Arial" w:cs="Arial"/>
          <w:sz w:val="20"/>
          <w:szCs w:val="24"/>
        </w:rPr>
        <w:t>s</w:t>
      </w:r>
      <w:r w:rsidR="0062159A" w:rsidRPr="000B2A0A">
        <w:rPr>
          <w:rFonts w:ascii="Arial" w:eastAsia="MS PGothic" w:hAnsi="Arial" w:cs="Arial"/>
          <w:sz w:val="20"/>
          <w:szCs w:val="24"/>
        </w:rPr>
        <w:t xml:space="preserve"> vertė</w:t>
      </w:r>
      <w:r w:rsidR="00BC4ECE" w:rsidRPr="000B2A0A">
        <w:rPr>
          <w:rFonts w:ascii="Arial" w:eastAsia="MS PGothic" w:hAnsi="Arial" w:cs="Arial"/>
          <w:sz w:val="20"/>
          <w:szCs w:val="24"/>
        </w:rPr>
        <w:t>s gamybos kainomis ir m</w:t>
      </w:r>
      <w:r w:rsidR="0062159A" w:rsidRPr="000B2A0A">
        <w:rPr>
          <w:rFonts w:ascii="Arial" w:eastAsia="MS PGothic" w:hAnsi="Arial" w:cs="Arial"/>
          <w:sz w:val="20"/>
          <w:szCs w:val="24"/>
        </w:rPr>
        <w:t>aterialin</w:t>
      </w:r>
      <w:r w:rsidR="00BC4ECE" w:rsidRPr="000B2A0A">
        <w:rPr>
          <w:rFonts w:ascii="Arial" w:eastAsia="MS PGothic" w:hAnsi="Arial" w:cs="Arial"/>
          <w:sz w:val="20"/>
          <w:szCs w:val="24"/>
        </w:rPr>
        <w:t xml:space="preserve">ių investicijų rodikliai </w:t>
      </w:r>
      <w:r w:rsidR="000B2A0A" w:rsidRPr="000B2A0A">
        <w:rPr>
          <w:rFonts w:ascii="Arial" w:eastAsia="MS PGothic" w:hAnsi="Arial" w:cs="Arial"/>
          <w:sz w:val="20"/>
          <w:szCs w:val="24"/>
        </w:rPr>
        <w:t>buvo stipriai veikiami ekonomikos ciklo svyravimų</w:t>
      </w:r>
      <w:r w:rsidR="00BC4ECE" w:rsidRPr="000B2A0A">
        <w:rPr>
          <w:rFonts w:ascii="Arial" w:eastAsia="MS PGothic" w:hAnsi="Arial" w:cs="Arial"/>
          <w:sz w:val="20"/>
          <w:szCs w:val="24"/>
        </w:rPr>
        <w:t>. Dėl finansų krizės kuriama pridėtinė</w:t>
      </w:r>
      <w:r w:rsidR="00156F09" w:rsidRPr="000B2A0A">
        <w:rPr>
          <w:rFonts w:ascii="Arial" w:eastAsia="MS PGothic" w:hAnsi="Arial" w:cs="Arial"/>
          <w:sz w:val="20"/>
          <w:szCs w:val="24"/>
        </w:rPr>
        <w:t xml:space="preserve"> ve</w:t>
      </w:r>
      <w:r w:rsidR="00A027E9" w:rsidRPr="000B2A0A">
        <w:rPr>
          <w:rFonts w:ascii="Arial" w:eastAsia="MS PGothic" w:hAnsi="Arial" w:cs="Arial"/>
          <w:sz w:val="20"/>
          <w:szCs w:val="24"/>
        </w:rPr>
        <w:t>rtė nuo 2009</w:t>
      </w:r>
      <w:r w:rsidR="00156F09" w:rsidRPr="000B2A0A">
        <w:rPr>
          <w:rFonts w:ascii="Arial" w:eastAsia="MS PGothic" w:hAnsi="Arial" w:cs="Arial"/>
          <w:sz w:val="20"/>
          <w:szCs w:val="24"/>
        </w:rPr>
        <w:t xml:space="preserve"> m. </w:t>
      </w:r>
      <w:r w:rsidR="00156F09" w:rsidRPr="000B2A0A">
        <w:rPr>
          <w:rFonts w:ascii="Arial" w:eastAsia="MS PGothic" w:hAnsi="Arial" w:cs="Arial"/>
          <w:sz w:val="20"/>
          <w:szCs w:val="20"/>
        </w:rPr>
        <w:t>mažėjo</w:t>
      </w:r>
      <w:r w:rsidR="00BC4ECE" w:rsidRPr="000B2A0A">
        <w:rPr>
          <w:rFonts w:ascii="Arial" w:eastAsia="MS PGothic" w:hAnsi="Arial" w:cs="Arial"/>
          <w:sz w:val="20"/>
          <w:szCs w:val="20"/>
        </w:rPr>
        <w:t>.</w:t>
      </w:r>
      <w:r w:rsidR="000B2A0A" w:rsidRPr="000B2A0A">
        <w:rPr>
          <w:rFonts w:ascii="Arial" w:hAnsi="Arial" w:cs="Arial"/>
          <w:sz w:val="20"/>
          <w:szCs w:val="20"/>
        </w:rPr>
        <w:t xml:space="preserve"> Nuo</w:t>
      </w:r>
      <w:r w:rsidR="000B2A0A">
        <w:rPr>
          <w:rFonts w:ascii="Arial" w:hAnsi="Arial" w:cs="Arial"/>
          <w:sz w:val="20"/>
          <w:szCs w:val="20"/>
        </w:rPr>
        <w:t xml:space="preserve"> 2010 m. stebimas </w:t>
      </w:r>
      <w:r w:rsidR="00CB5B9A">
        <w:rPr>
          <w:rFonts w:ascii="Arial" w:hAnsi="Arial" w:cs="Arial"/>
          <w:sz w:val="20"/>
          <w:szCs w:val="20"/>
        </w:rPr>
        <w:t>nuoseklus</w:t>
      </w:r>
      <w:r w:rsidR="000B2A0A">
        <w:rPr>
          <w:rFonts w:ascii="Arial" w:hAnsi="Arial" w:cs="Arial"/>
          <w:sz w:val="20"/>
          <w:szCs w:val="20"/>
        </w:rPr>
        <w:t xml:space="preserve"> ekonomikos atsigavimas leidžia daryti prielaidą</w:t>
      </w:r>
      <w:r w:rsidR="000B2A0A" w:rsidRPr="000B2A0A">
        <w:rPr>
          <w:rFonts w:ascii="Arial" w:eastAsia="MS PGothic" w:hAnsi="Arial" w:cs="Arial"/>
          <w:sz w:val="20"/>
          <w:szCs w:val="24"/>
        </w:rPr>
        <w:t xml:space="preserve">, kad </w:t>
      </w:r>
      <w:r w:rsidR="000B2A0A">
        <w:rPr>
          <w:rFonts w:ascii="Arial" w:eastAsia="MS PGothic" w:hAnsi="Arial" w:cs="Arial"/>
          <w:sz w:val="20"/>
          <w:szCs w:val="24"/>
        </w:rPr>
        <w:t xml:space="preserve">savivaldybė, nepaisant </w:t>
      </w:r>
      <w:r w:rsidR="00CB5B9A">
        <w:rPr>
          <w:rFonts w:ascii="Arial" w:eastAsia="MS PGothic" w:hAnsi="Arial" w:cs="Arial"/>
          <w:sz w:val="20"/>
          <w:szCs w:val="24"/>
        </w:rPr>
        <w:t>mažiausios gautos</w:t>
      </w:r>
      <w:r w:rsidR="000B2A0A">
        <w:rPr>
          <w:rFonts w:ascii="Arial" w:eastAsia="MS PGothic" w:hAnsi="Arial" w:cs="Arial"/>
          <w:sz w:val="20"/>
          <w:szCs w:val="24"/>
        </w:rPr>
        <w:t xml:space="preserve"> ES SF investicijų apimties, sugebėjo suvaldyti finansų krizės pasekmes.</w:t>
      </w:r>
      <w:r w:rsidR="004B3A55">
        <w:rPr>
          <w:rFonts w:ascii="Arial" w:eastAsia="MS PGothic" w:hAnsi="Arial" w:cs="Arial"/>
          <w:sz w:val="20"/>
          <w:szCs w:val="24"/>
        </w:rPr>
        <w:t xml:space="preserve"> </w:t>
      </w:r>
      <w:r w:rsidR="00BC4ECE" w:rsidRPr="00CF2C00">
        <w:rPr>
          <w:rFonts w:ascii="Arial" w:eastAsia="MS PGothic" w:hAnsi="Arial" w:cs="Times New Roman"/>
          <w:sz w:val="20"/>
          <w:szCs w:val="24"/>
        </w:rPr>
        <w:t>Analogiškos tendencijos stebimos ir materialinių investicijų rodiklio atveju</w:t>
      </w:r>
      <w:r w:rsidR="00156F09" w:rsidRPr="00CF2C00">
        <w:rPr>
          <w:rFonts w:ascii="Arial" w:eastAsia="MS PGothic" w:hAnsi="Arial" w:cs="Times New Roman"/>
          <w:sz w:val="20"/>
          <w:szCs w:val="24"/>
        </w:rPr>
        <w:t xml:space="preserve">, </w:t>
      </w:r>
      <w:r w:rsidR="00A8696E" w:rsidRPr="00CF2C00">
        <w:rPr>
          <w:rFonts w:ascii="Arial" w:eastAsia="MS PGothic" w:hAnsi="Arial" w:cs="Times New Roman"/>
          <w:sz w:val="20"/>
          <w:szCs w:val="24"/>
        </w:rPr>
        <w:t>kurios nagrin</w:t>
      </w:r>
      <w:r w:rsidR="00CF2C00" w:rsidRPr="00CF2C00">
        <w:rPr>
          <w:rFonts w:ascii="Arial" w:eastAsia="MS PGothic" w:hAnsi="Arial" w:cs="Times New Roman"/>
          <w:sz w:val="20"/>
          <w:szCs w:val="24"/>
        </w:rPr>
        <w:t xml:space="preserve">ėjamo laikotarpio pabaigoje </w:t>
      </w:r>
      <w:r w:rsidR="000B2A0A">
        <w:rPr>
          <w:rFonts w:ascii="Arial" w:eastAsia="MS PGothic" w:hAnsi="Arial" w:cs="Times New Roman"/>
          <w:sz w:val="20"/>
          <w:szCs w:val="24"/>
        </w:rPr>
        <w:t>viršijo pradinę</w:t>
      </w:r>
      <w:r w:rsidR="00CF2C00" w:rsidRPr="00CF2C00">
        <w:rPr>
          <w:rFonts w:ascii="Arial" w:eastAsia="MS PGothic" w:hAnsi="Arial" w:cs="Times New Roman"/>
          <w:sz w:val="20"/>
          <w:szCs w:val="24"/>
        </w:rPr>
        <w:t xml:space="preserve"> 2007 m. fiksuot</w:t>
      </w:r>
      <w:r w:rsidR="000B2A0A">
        <w:rPr>
          <w:rFonts w:ascii="Arial" w:eastAsia="MS PGothic" w:hAnsi="Arial" w:cs="Times New Roman"/>
          <w:sz w:val="20"/>
          <w:szCs w:val="24"/>
        </w:rPr>
        <w:t>ą rodiklio reikšmę</w:t>
      </w:r>
      <w:r w:rsidR="00CF2C00" w:rsidRPr="00CF2C00">
        <w:rPr>
          <w:rFonts w:ascii="Arial" w:eastAsia="MS PGothic" w:hAnsi="Arial" w:cs="Times New Roman"/>
          <w:sz w:val="20"/>
          <w:szCs w:val="24"/>
        </w:rPr>
        <w:t xml:space="preserve">. </w:t>
      </w:r>
      <w:r w:rsidR="004B3A55">
        <w:rPr>
          <w:rFonts w:ascii="Arial" w:eastAsia="MS PGothic" w:hAnsi="Arial" w:cs="Times New Roman"/>
          <w:sz w:val="20"/>
          <w:szCs w:val="24"/>
        </w:rPr>
        <w:t xml:space="preserve">Tiesioginės užsienio investicijos mažėjo visu nagrinėjamu laikotarpiu, tačiau tai nepadarė neigiamos įtakos verslo kuriamos pridėtinės vertės rodikliams. </w:t>
      </w:r>
      <w:r w:rsidR="00CF2C00" w:rsidRPr="00CF2C00">
        <w:rPr>
          <w:rFonts w:ascii="Arial" w:eastAsia="MS PGothic" w:hAnsi="Arial" w:cs="Times New Roman"/>
          <w:sz w:val="20"/>
          <w:szCs w:val="24"/>
        </w:rPr>
        <w:t xml:space="preserve">Apibendrinant, ekonominės veiklos rodikliai </w:t>
      </w:r>
      <w:r w:rsidR="00CB5B9A">
        <w:rPr>
          <w:rFonts w:ascii="Arial" w:eastAsia="MS PGothic" w:hAnsi="Arial" w:cs="Times New Roman"/>
          <w:sz w:val="20"/>
          <w:szCs w:val="24"/>
        </w:rPr>
        <w:t>Skuodo rajono</w:t>
      </w:r>
      <w:r w:rsidR="00CF2C00" w:rsidRPr="00CF2C00">
        <w:rPr>
          <w:rFonts w:ascii="Arial" w:eastAsia="MS PGothic" w:hAnsi="Arial" w:cs="Times New Roman"/>
          <w:sz w:val="20"/>
          <w:szCs w:val="24"/>
        </w:rPr>
        <w:t xml:space="preserve"> savivaldybėje </w:t>
      </w:r>
      <w:r w:rsidR="00CF2C00">
        <w:rPr>
          <w:rFonts w:ascii="Arial" w:eastAsia="MS PGothic" w:hAnsi="Arial" w:cs="Times New Roman"/>
          <w:sz w:val="20"/>
          <w:szCs w:val="24"/>
        </w:rPr>
        <w:t xml:space="preserve">pasižymėjo bendra </w:t>
      </w:r>
      <w:r w:rsidR="004B3A55">
        <w:rPr>
          <w:rFonts w:ascii="Arial" w:eastAsia="MS PGothic" w:hAnsi="Arial" w:cs="Times New Roman"/>
          <w:sz w:val="20"/>
          <w:szCs w:val="24"/>
        </w:rPr>
        <w:t>teigiama</w:t>
      </w:r>
      <w:r w:rsidR="00CF2C00">
        <w:rPr>
          <w:rFonts w:ascii="Arial" w:eastAsia="MS PGothic" w:hAnsi="Arial" w:cs="Times New Roman"/>
          <w:sz w:val="20"/>
          <w:szCs w:val="24"/>
        </w:rPr>
        <w:t xml:space="preserve"> kitimo tendencija.</w:t>
      </w:r>
    </w:p>
    <w:p w:rsidR="008A1509" w:rsidRPr="00CF2C00" w:rsidRDefault="00EF549B" w:rsidP="008A1509">
      <w:pPr>
        <w:pStyle w:val="Caption"/>
        <w:keepNext/>
      </w:pPr>
      <w:r>
        <w:rPr>
          <w:noProof/>
          <w:lang w:val="en-US"/>
        </w:rPr>
        <w:drawing>
          <wp:anchor distT="0" distB="0" distL="114300" distR="114300" simplePos="0" relativeHeight="251678720" behindDoc="0" locked="0" layoutInCell="1" allowOverlap="1" wp14:anchorId="644DF10A" wp14:editId="1D250C17">
            <wp:simplePos x="0" y="0"/>
            <wp:positionH relativeFrom="margin">
              <wp:posOffset>211455</wp:posOffset>
            </wp:positionH>
            <wp:positionV relativeFrom="paragraph">
              <wp:posOffset>290830</wp:posOffset>
            </wp:positionV>
            <wp:extent cx="4572635" cy="2706370"/>
            <wp:effectExtent l="0" t="0" r="18415" b="17780"/>
            <wp:wrapSquare wrapText="bothSides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1509" w:rsidRPr="00CF2C00">
        <w:fldChar w:fldCharType="begin"/>
      </w:r>
      <w:r w:rsidR="008A1509" w:rsidRPr="00CF2C00">
        <w:instrText xml:space="preserve"> SEQ paveikslas \* ARABIC </w:instrText>
      </w:r>
      <w:r w:rsidR="008A1509" w:rsidRPr="00CF2C00">
        <w:fldChar w:fldCharType="separate"/>
      </w:r>
      <w:r w:rsidR="008A1509" w:rsidRPr="00CF2C00">
        <w:t>6</w:t>
      </w:r>
      <w:r w:rsidR="008A1509" w:rsidRPr="00CF2C00">
        <w:fldChar w:fldCharType="end"/>
      </w:r>
      <w:r w:rsidR="008A1509" w:rsidRPr="00CF2C00">
        <w:t xml:space="preserve"> paveikslas. Ekonominės veiklos rodikliai</w:t>
      </w:r>
    </w:p>
    <w:p w:rsidR="004E0E71" w:rsidRPr="00CF2C00" w:rsidRDefault="004E0E71" w:rsidP="00805F6F">
      <w:pPr>
        <w:pStyle w:val="Caption"/>
        <w:spacing w:before="240" w:after="240"/>
        <w:rPr>
          <w:b w:val="0"/>
        </w:rPr>
      </w:pPr>
      <w:r w:rsidRPr="00CF2C00">
        <w:rPr>
          <w:b w:val="0"/>
        </w:rPr>
        <w:t>Šaltinis: Statistiko</w:t>
      </w:r>
      <w:r w:rsidR="0062159A" w:rsidRPr="00CF2C00">
        <w:rPr>
          <w:b w:val="0"/>
        </w:rPr>
        <w:t>s</w:t>
      </w:r>
      <w:r w:rsidRPr="00CF2C00">
        <w:rPr>
          <w:b w:val="0"/>
        </w:rPr>
        <w:t xml:space="preserve"> departamentas</w:t>
      </w:r>
    </w:p>
    <w:p w:rsidR="00942138" w:rsidRPr="00CF2C00" w:rsidRDefault="006C4D28" w:rsidP="00F22491">
      <w:pPr>
        <w:pStyle w:val="Heading1"/>
        <w:numPr>
          <w:ilvl w:val="1"/>
          <w:numId w:val="1"/>
        </w:numPr>
        <w:spacing w:before="960" w:after="240"/>
        <w:rPr>
          <w:rFonts w:ascii="Arial" w:hAnsi="Arial" w:cs="Arial"/>
          <w:b w:val="0"/>
          <w:sz w:val="28"/>
        </w:rPr>
      </w:pPr>
      <w:r w:rsidRPr="00CF2C00">
        <w:rPr>
          <w:rFonts w:ascii="Arial" w:hAnsi="Arial" w:cs="Arial"/>
          <w:b w:val="0"/>
          <w:sz w:val="28"/>
        </w:rPr>
        <w:t>ES struktūrinės paramos poveikis</w:t>
      </w:r>
    </w:p>
    <w:p w:rsidR="00CF2C00" w:rsidRDefault="006C4D28" w:rsidP="00CF2C00">
      <w:pPr>
        <w:jc w:val="both"/>
        <w:rPr>
          <w:rFonts w:ascii="Arial" w:eastAsia="MS PGothic" w:hAnsi="Arial" w:cs="Times New Roman"/>
          <w:sz w:val="20"/>
          <w:szCs w:val="24"/>
        </w:rPr>
      </w:pPr>
      <w:r w:rsidRPr="00CF2C00">
        <w:rPr>
          <w:rFonts w:ascii="Arial" w:eastAsia="MS PGothic" w:hAnsi="Arial" w:cs="Times New Roman"/>
          <w:sz w:val="20"/>
          <w:szCs w:val="24"/>
        </w:rPr>
        <w:t xml:space="preserve">Investicijos probleminėms teritorijoms priskirtoms savivaldybėms buvo skiriamos pagal LRV nutarimu patvirtintas probleminių </w:t>
      </w:r>
      <w:r w:rsidR="002D1DCE" w:rsidRPr="00CF2C00">
        <w:rPr>
          <w:rFonts w:ascii="Arial" w:eastAsia="MS PGothic" w:hAnsi="Arial" w:cs="Times New Roman"/>
          <w:sz w:val="20"/>
          <w:szCs w:val="24"/>
        </w:rPr>
        <w:t xml:space="preserve">teritorijų gaivinimo programas. </w:t>
      </w:r>
      <w:r w:rsidR="00BF63D3" w:rsidRPr="00CF2C00">
        <w:rPr>
          <w:rFonts w:ascii="Arial" w:eastAsia="MS PGothic" w:hAnsi="Arial" w:cs="Times New Roman"/>
          <w:sz w:val="20"/>
          <w:szCs w:val="24"/>
        </w:rPr>
        <w:t xml:space="preserve">Pagrindiniai </w:t>
      </w:r>
      <w:r w:rsidR="00CB5B9A">
        <w:rPr>
          <w:rFonts w:ascii="Arial" w:eastAsia="MS PGothic" w:hAnsi="Arial" w:cs="Times New Roman"/>
          <w:sz w:val="20"/>
          <w:szCs w:val="24"/>
        </w:rPr>
        <w:t xml:space="preserve">Skuodo </w:t>
      </w:r>
      <w:r w:rsidR="00C446C3" w:rsidRPr="00CF2C00">
        <w:rPr>
          <w:rFonts w:ascii="Arial" w:eastAsia="MS PGothic" w:hAnsi="Arial" w:cs="Times New Roman"/>
          <w:sz w:val="20"/>
          <w:szCs w:val="24"/>
        </w:rPr>
        <w:t>rajono</w:t>
      </w:r>
      <w:r w:rsidR="00BF63D3" w:rsidRPr="00CF2C00">
        <w:rPr>
          <w:rFonts w:ascii="Arial" w:eastAsia="MS PGothic" w:hAnsi="Arial" w:cs="Times New Roman"/>
          <w:sz w:val="20"/>
          <w:szCs w:val="24"/>
        </w:rPr>
        <w:t xml:space="preserve"> savivaldybės programos tikslai buvo mažinti nedarbo rodiklius ir socialinės pašalpos gavėjų skaičių. Tuo tarpu uždaviniai ir veiklos telkėsi į infrastruktūros tobulinimą, daugiabučių atnaujinimą ir </w:t>
      </w:r>
      <w:r w:rsidR="00CF2C00">
        <w:rPr>
          <w:rFonts w:ascii="Arial" w:eastAsia="MS PGothic" w:hAnsi="Arial" w:cs="Times New Roman"/>
          <w:sz w:val="20"/>
          <w:szCs w:val="24"/>
        </w:rPr>
        <w:t>kompleksinį</w:t>
      </w:r>
      <w:r w:rsidR="00D4179A">
        <w:rPr>
          <w:rFonts w:ascii="Arial" w:eastAsia="MS PGothic" w:hAnsi="Arial" w:cs="Times New Roman"/>
          <w:sz w:val="20"/>
          <w:szCs w:val="24"/>
        </w:rPr>
        <w:t xml:space="preserve"> gyvenamosios aplinkos ir </w:t>
      </w:r>
      <w:r w:rsidR="005E7012">
        <w:rPr>
          <w:rFonts w:ascii="Arial" w:eastAsia="MS PGothic" w:hAnsi="Arial" w:cs="Times New Roman"/>
          <w:sz w:val="20"/>
          <w:szCs w:val="24"/>
        </w:rPr>
        <w:t xml:space="preserve">urbanistinės </w:t>
      </w:r>
      <w:r w:rsidR="00BF63D3" w:rsidRPr="00CF2C00">
        <w:rPr>
          <w:rFonts w:ascii="Arial" w:eastAsia="MS PGothic" w:hAnsi="Arial" w:cs="Times New Roman"/>
          <w:sz w:val="20"/>
          <w:szCs w:val="24"/>
        </w:rPr>
        <w:t xml:space="preserve"> </w:t>
      </w:r>
      <w:r w:rsidR="005E7012">
        <w:rPr>
          <w:rFonts w:ascii="Arial" w:eastAsia="MS PGothic" w:hAnsi="Arial" w:cs="Times New Roman"/>
          <w:sz w:val="20"/>
          <w:szCs w:val="24"/>
        </w:rPr>
        <w:t xml:space="preserve">infrastruktūros </w:t>
      </w:r>
      <w:r w:rsidR="00BF63D3" w:rsidRPr="00CF2C00">
        <w:rPr>
          <w:rFonts w:ascii="Arial" w:eastAsia="MS PGothic" w:hAnsi="Arial" w:cs="Times New Roman"/>
          <w:sz w:val="20"/>
          <w:szCs w:val="24"/>
        </w:rPr>
        <w:t>tobulinimą.</w:t>
      </w:r>
      <w:r w:rsidR="00D66F8E" w:rsidRPr="00CF2C00">
        <w:rPr>
          <w:rStyle w:val="FootnoteReference"/>
          <w:rFonts w:ascii="Arial" w:eastAsia="MS PGothic" w:hAnsi="Arial" w:cs="Times New Roman"/>
          <w:sz w:val="20"/>
          <w:szCs w:val="24"/>
        </w:rPr>
        <w:footnoteReference w:id="1"/>
      </w:r>
      <w:r w:rsidR="002D1DCE" w:rsidRPr="00CF2C00">
        <w:rPr>
          <w:rFonts w:ascii="Arial" w:eastAsia="MS PGothic" w:hAnsi="Arial" w:cs="Times New Roman"/>
          <w:sz w:val="20"/>
          <w:szCs w:val="24"/>
        </w:rPr>
        <w:t xml:space="preserve"> Taigi ir ES SF lėšos daugiausia buvo investuotos</w:t>
      </w:r>
      <w:r w:rsidR="00D66F8E" w:rsidRPr="00CF2C00">
        <w:rPr>
          <w:rFonts w:ascii="Arial" w:eastAsia="MS PGothic" w:hAnsi="Arial" w:cs="Times New Roman"/>
          <w:sz w:val="20"/>
          <w:szCs w:val="24"/>
        </w:rPr>
        <w:t xml:space="preserve"> į fizinės aplinkos gerinimą, </w:t>
      </w:r>
      <w:r w:rsidR="005E7012">
        <w:rPr>
          <w:rFonts w:ascii="Arial" w:eastAsia="MS PGothic" w:hAnsi="Arial" w:cs="Times New Roman"/>
          <w:sz w:val="20"/>
          <w:szCs w:val="24"/>
        </w:rPr>
        <w:t>viešosios paskirties pastatų ir daugiabučių</w:t>
      </w:r>
      <w:r w:rsidR="00CF2C00">
        <w:rPr>
          <w:rFonts w:ascii="Arial" w:eastAsia="MS PGothic" w:hAnsi="Arial" w:cs="Times New Roman"/>
          <w:sz w:val="20"/>
          <w:szCs w:val="24"/>
        </w:rPr>
        <w:t xml:space="preserve"> renovavimą. </w:t>
      </w:r>
      <w:r w:rsidR="00CF2C00" w:rsidRPr="00DF7AAE">
        <w:rPr>
          <w:rFonts w:ascii="Arial" w:eastAsia="MS PGothic" w:hAnsi="Arial" w:cs="Times New Roman"/>
          <w:sz w:val="20"/>
          <w:szCs w:val="24"/>
        </w:rPr>
        <w:t>Probleminių ter</w:t>
      </w:r>
      <w:r w:rsidR="00CF2C00">
        <w:rPr>
          <w:rFonts w:ascii="Arial" w:eastAsia="MS PGothic" w:hAnsi="Arial" w:cs="Times New Roman"/>
          <w:sz w:val="20"/>
          <w:szCs w:val="24"/>
        </w:rPr>
        <w:t>itorijų programa buvo viena pagrindinių priemonių, skirtų socialinės atskirties mažinimui tarp regionų</w:t>
      </w:r>
      <w:r w:rsidR="00CF2C00" w:rsidRPr="00DF7AAE">
        <w:rPr>
          <w:rFonts w:ascii="Arial" w:eastAsia="MS PGothic" w:hAnsi="Arial" w:cs="Times New Roman"/>
          <w:sz w:val="20"/>
          <w:szCs w:val="24"/>
        </w:rPr>
        <w:t xml:space="preserve">. </w:t>
      </w:r>
      <w:r w:rsidR="00CF2C00">
        <w:rPr>
          <w:rFonts w:ascii="Arial" w:eastAsia="MS PGothic" w:hAnsi="Arial" w:cs="Times New Roman"/>
          <w:sz w:val="20"/>
          <w:szCs w:val="24"/>
        </w:rPr>
        <w:t>Vis dėlto skirtos lėšos buvo nepakankamos numatytų tikslų pasiekimui.</w:t>
      </w:r>
      <w:r w:rsidR="00CF2C00" w:rsidRPr="00DF7AAE">
        <w:rPr>
          <w:rFonts w:ascii="Arial" w:eastAsia="MS PGothic" w:hAnsi="Arial" w:cs="Times New Roman"/>
          <w:sz w:val="20"/>
          <w:szCs w:val="24"/>
        </w:rPr>
        <w:t xml:space="preserve"> </w:t>
      </w:r>
    </w:p>
    <w:p w:rsidR="005E7012" w:rsidRDefault="00EC3E73" w:rsidP="002D1DCE">
      <w:pPr>
        <w:jc w:val="both"/>
        <w:rPr>
          <w:rFonts w:ascii="Arial" w:eastAsia="MS PGothic" w:hAnsi="Arial" w:cs="Times New Roman"/>
          <w:sz w:val="20"/>
          <w:szCs w:val="24"/>
        </w:rPr>
      </w:pPr>
      <w:r w:rsidRPr="00EC3E73">
        <w:rPr>
          <w:rFonts w:ascii="Arial" w:eastAsia="MS PGothic" w:hAnsi="Arial" w:cs="Times New Roman"/>
          <w:noProof/>
          <w:sz w:val="20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3B4BFFA6" wp14:editId="6D9B60E3">
                <wp:simplePos x="0" y="0"/>
                <wp:positionH relativeFrom="column">
                  <wp:posOffset>-5715</wp:posOffset>
                </wp:positionH>
                <wp:positionV relativeFrom="paragraph">
                  <wp:posOffset>1357630</wp:posOffset>
                </wp:positionV>
                <wp:extent cx="5069840" cy="1403985"/>
                <wp:effectExtent l="0" t="0" r="16510" b="26670"/>
                <wp:wrapTight wrapText="bothSides">
                  <wp:wrapPolygon edited="0">
                    <wp:start x="0" y="0"/>
                    <wp:lineTo x="0" y="21680"/>
                    <wp:lineTo x="21589" y="21680"/>
                    <wp:lineTo x="21589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9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E73" w:rsidRDefault="00EC3E73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EC3E7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Šilumos tiekimo sistemos modernizavimas ir plėtra Skuodo mieste, VP2-4.2-ŪM-02-K-03-006</w:t>
                            </w:r>
                          </w:p>
                          <w:p w:rsidR="00EC3E73" w:rsidRPr="00EC3E73" w:rsidRDefault="00EC3E73" w:rsidP="00EC3E73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C3E7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UAB „Skuodo šiluma“ eksploatuoja 11,01 km centralizuoto šilumos tiekimo vamzdynų Skuodo rajone. Eksploatuojamų šiluminių trasų eksploatacijos laikas viršija 25 metus.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Modernizuotų</w:t>
                            </w:r>
                            <w:r w:rsidRPr="00EC3E7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trasų naudojimo laikas 24,81 m. skaičiuojant pagal svertinį amžiaus vidurkį. Dauge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lyje vietų tinklų izoliacija buvo</w:t>
                            </w:r>
                            <w:r w:rsidRPr="00EC3E7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susidėvėjusi, sukritusi ir neužtikrina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nti</w:t>
                            </w:r>
                            <w:r w:rsidRPr="00EC3E7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keliamų šilumos laidumo reikalavimų. Tokios būklės vamzdynuose susidaro dideli šilumos nuostoliai. Projekto įgyvendinimo metu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buvo</w:t>
                            </w:r>
                            <w:r w:rsidRPr="00EC3E7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moderniz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uoti seniausios ir blogiausios būklės vamzdynai</w:t>
                            </w:r>
                            <w:r w:rsidRPr="00EC3E7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per kuriuos patiriami didžiausi šilumos nuostoliai, juos pakeiči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ant naujais vamzdynais. Projektas buvo vykdomas</w:t>
                            </w:r>
                            <w:r w:rsidRPr="00EC3E7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dviem etapais 2014 ir 2015 m. 2014 metais Skuodo miesto CŠT sistemoje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buvo</w:t>
                            </w:r>
                            <w:r w:rsidRPr="00EC3E7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rekonstruo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ti 898,02 m., o 2015 m. – 1127,71 m.</w:t>
                            </w:r>
                            <w:r w:rsidRPr="00EC3E7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senų šiluminių trasų. Numatoma, kad modernizavus 2025,73 m senų vamzdynų bus padidintas šilumos tiekimo patikimumas ir kokybė Skuodo miesto šilumos vartotojams. Rekonstruojant šilumos tinklus,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buvo </w:t>
                            </w:r>
                            <w:r w:rsidRPr="00EC3E7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siekiama pagerinti klientams tiekiamos šilumos kokybinius parametrus, padidinti tinklų darbo patikimumą. Tinklai bu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vo</w:t>
                            </w:r>
                            <w:r w:rsidRPr="00EC3E7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klojami naudojant modernias technologijas (moderni izoliacija, paklojimo būdas ir t.t.).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Planuojama, kad š</w:t>
                            </w:r>
                            <w:r w:rsidRPr="00EC3E7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ilumos energijos nuostolių šilumos tinklų atkarpoje įgyvendinus </w:t>
                            </w:r>
                            <w:r w:rsidRPr="00EC3E7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projektą sumažės 63,60 proc.</w:t>
                            </w:r>
                            <w:r w:rsidR="00F2249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Projektas prie darnuas vystymosi principo prisidės tiek socialiniu, tiek aplinkosauginiu požiūriu.</w:t>
                            </w:r>
                            <w:bookmarkStart w:id="0" w:name="_GoBack"/>
                            <w:bookmarkEnd w:id="0"/>
                            <w:r w:rsidR="00F2249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0;text-align:left;margin-left:-.45pt;margin-top:106.9pt;width:399.2pt;height:110.55pt;z-index:-2516357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">
                <v:textbox style="mso-fit-shape-to-text:t">
                  <w:txbxContent>
                    <w:p w:rsidR="00EC3E73" w:rsidRDefault="00EC3E7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EC3E7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Šilumos tiekimo sistemos modernizavimas ir plėtra Skuodo mieste, VP2-4.2-ŪM-02-K-03-006</w:t>
                      </w:r>
                    </w:p>
                    <w:p w:rsidR="00EC3E73" w:rsidRPr="00EC3E73" w:rsidRDefault="00EC3E73" w:rsidP="00EC3E73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C3E73">
                        <w:rPr>
                          <w:rFonts w:ascii="Arial" w:hAnsi="Arial" w:cs="Arial"/>
                          <w:sz w:val="16"/>
                          <w:szCs w:val="16"/>
                        </w:rPr>
                        <w:t>UAB „Skuodo šiluma“ eksploatuoja 11,01 km centralizuoto šilumos tiekimo vamzdynų Skuodo rajone. Eksploatuojamų šiluminių trasų eksploatacijos laikas viršija 25 metus.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Modernizuotų</w:t>
                      </w:r>
                      <w:r w:rsidRPr="00EC3E7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trasų naudojimo laikas 24,81 m. skaičiuojant pagal svertinį amžiaus vidurkį. Dauge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lyje vietų tinklų izoliacija buvo</w:t>
                      </w:r>
                      <w:r w:rsidRPr="00EC3E7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susidėvėjusi, sukritusi ir neužtikrina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nti</w:t>
                      </w:r>
                      <w:r w:rsidRPr="00EC3E7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keliamų šilumos laidumo reikalavimų. Tokios būklės vamzdynuose susidaro dideli šilumos nuostoliai. Projekto įgyvendinimo metu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buvo</w:t>
                      </w:r>
                      <w:r w:rsidRPr="00EC3E7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moderniz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uoti seniausios ir blogiausios būklės vamzdynai</w:t>
                      </w:r>
                      <w:r w:rsidRPr="00EC3E73">
                        <w:rPr>
                          <w:rFonts w:ascii="Arial" w:hAnsi="Arial" w:cs="Arial"/>
                          <w:sz w:val="16"/>
                          <w:szCs w:val="16"/>
                        </w:rPr>
                        <w:t>, per kuriuos patiriami didžiausi šilumos nuostoliai, juos pakeiči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ant naujais vamzdynais. Projektas buvo vykdomas</w:t>
                      </w:r>
                      <w:r w:rsidRPr="00EC3E7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dviem etapais 2014 ir 2015 m. 2014 metais Skuodo miesto CŠT sistemoje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buvo</w:t>
                      </w:r>
                      <w:r w:rsidRPr="00EC3E7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rekonstruo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ti 898,02 m., o 2015 m. – 1127,71 m.</w:t>
                      </w:r>
                      <w:r w:rsidRPr="00EC3E7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senų šiluminių trasų. Numatoma, kad modernizavus 2025,73 m senų vamzdynų bus padidintas šilumos tiekimo patikimumas ir kokybė Skuodo miesto šilumos vartotojams. Rekonstruojant šilumos tinklus,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buvo </w:t>
                      </w:r>
                      <w:r w:rsidRPr="00EC3E73">
                        <w:rPr>
                          <w:rFonts w:ascii="Arial" w:hAnsi="Arial" w:cs="Arial"/>
                          <w:sz w:val="16"/>
                          <w:szCs w:val="16"/>
                        </w:rPr>
                        <w:t>siekiama pagerinti klientams tiekiamos šilumos kokybinius parametrus, padidinti tinklų darbo patikimumą. Tinklai bu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vo</w:t>
                      </w:r>
                      <w:r w:rsidRPr="00EC3E7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klojami naudojant modernias technologijas (moderni izoliacija, paklojimo būdas ir t.t.).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Planuojama, kad š</w:t>
                      </w:r>
                      <w:r w:rsidRPr="00EC3E7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ilumos energijos nuostolių šilumos tinklų atkarpoje įgyvendinus </w:t>
                      </w:r>
                      <w:r w:rsidRPr="00EC3E73">
                        <w:rPr>
                          <w:rFonts w:ascii="Arial" w:hAnsi="Arial" w:cs="Arial"/>
                          <w:sz w:val="16"/>
                          <w:szCs w:val="16"/>
                        </w:rPr>
                        <w:t>projektą sumažės 63,60 proc.</w:t>
                      </w:r>
                      <w:r w:rsidR="00F2249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Projektas prie darnuas vystymosi principo prisidės tiek socialiniu, tiek aplinkosauginiu požiūriu.</w:t>
                      </w:r>
                      <w:bookmarkStart w:id="1" w:name="_GoBack"/>
                      <w:bookmarkEnd w:id="1"/>
                      <w:r w:rsidR="00F2249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F2C00" w:rsidRPr="00DF7AAE">
        <w:rPr>
          <w:rFonts w:ascii="Arial" w:eastAsia="MS PGothic" w:hAnsi="Arial" w:cs="Times New Roman"/>
          <w:sz w:val="20"/>
          <w:szCs w:val="24"/>
        </w:rPr>
        <w:t xml:space="preserve">ES SF programavimo laikotarpiu </w:t>
      </w:r>
      <w:r w:rsidR="00CB5B9A">
        <w:rPr>
          <w:rFonts w:ascii="Arial" w:eastAsia="MS PGothic" w:hAnsi="Arial" w:cs="Times New Roman"/>
          <w:sz w:val="20"/>
          <w:szCs w:val="24"/>
        </w:rPr>
        <w:t>Skuodo</w:t>
      </w:r>
      <w:r w:rsidR="00CF2C00">
        <w:rPr>
          <w:rFonts w:ascii="Arial" w:eastAsia="MS PGothic" w:hAnsi="Arial" w:cs="Times New Roman"/>
          <w:sz w:val="20"/>
          <w:szCs w:val="24"/>
        </w:rPr>
        <w:t xml:space="preserve"> savivaldybėje </w:t>
      </w:r>
      <w:r w:rsidR="00CF2C00" w:rsidRPr="00DF7AAE">
        <w:rPr>
          <w:rFonts w:ascii="Arial" w:eastAsia="MS PGothic" w:hAnsi="Arial" w:cs="Times New Roman"/>
          <w:sz w:val="20"/>
          <w:szCs w:val="24"/>
        </w:rPr>
        <w:t xml:space="preserve">buvo </w:t>
      </w:r>
      <w:r w:rsidR="00CF2C00">
        <w:rPr>
          <w:rFonts w:ascii="Arial" w:eastAsia="MS PGothic" w:hAnsi="Arial" w:cs="Times New Roman"/>
          <w:sz w:val="20"/>
          <w:szCs w:val="24"/>
        </w:rPr>
        <w:t>investuojama į miestų plėtrą, kompleksinį gyvenamosios aplinkos gerinimą.</w:t>
      </w:r>
      <w:r w:rsidR="00CF2C00" w:rsidRPr="00DF7AAE">
        <w:rPr>
          <w:rFonts w:ascii="Arial" w:eastAsia="MS PGothic" w:hAnsi="Arial" w:cs="Times New Roman"/>
          <w:sz w:val="20"/>
          <w:szCs w:val="24"/>
        </w:rPr>
        <w:t xml:space="preserve"> </w:t>
      </w:r>
      <w:r w:rsidR="005E7012" w:rsidRPr="001D4F9B">
        <w:rPr>
          <w:rFonts w:ascii="Arial" w:eastAsia="MS PGothic" w:hAnsi="Arial" w:cs="Times New Roman"/>
          <w:sz w:val="20"/>
          <w:szCs w:val="24"/>
        </w:rPr>
        <w:t xml:space="preserve">Išsiskiriantys </w:t>
      </w:r>
      <w:r w:rsidR="00CB5B9A">
        <w:rPr>
          <w:rFonts w:ascii="Arial" w:eastAsia="MS PGothic" w:hAnsi="Arial" w:cs="Times New Roman"/>
          <w:sz w:val="20"/>
          <w:szCs w:val="24"/>
        </w:rPr>
        <w:t>Skuodo</w:t>
      </w:r>
      <w:r w:rsidR="005E7012" w:rsidRPr="001D4F9B">
        <w:rPr>
          <w:rFonts w:ascii="Arial" w:eastAsia="MS PGothic" w:hAnsi="Arial" w:cs="Times New Roman"/>
          <w:sz w:val="20"/>
          <w:szCs w:val="24"/>
        </w:rPr>
        <w:t xml:space="preserve"> savivaldybėje įgyvendinti projektai – kompleksinė</w:t>
      </w:r>
      <w:r w:rsidR="00CB5B9A">
        <w:rPr>
          <w:rFonts w:ascii="Arial" w:eastAsia="MS PGothic" w:hAnsi="Arial" w:cs="Times New Roman"/>
          <w:sz w:val="20"/>
          <w:szCs w:val="24"/>
        </w:rPr>
        <w:t xml:space="preserve"> urbanistinių ir bendruomeninių erdvių</w:t>
      </w:r>
      <w:r w:rsidR="005E7012" w:rsidRPr="001D4F9B">
        <w:rPr>
          <w:rFonts w:ascii="Arial" w:eastAsia="MS PGothic" w:hAnsi="Arial" w:cs="Times New Roman"/>
          <w:sz w:val="20"/>
          <w:szCs w:val="24"/>
        </w:rPr>
        <w:t xml:space="preserve"> plėtra bei daugiabučių namų </w:t>
      </w:r>
      <w:r w:rsidR="005E7012">
        <w:rPr>
          <w:rFonts w:ascii="Arial" w:eastAsia="MS PGothic" w:hAnsi="Arial" w:cs="Times New Roman"/>
          <w:sz w:val="20"/>
          <w:szCs w:val="24"/>
        </w:rPr>
        <w:t>renovacija</w:t>
      </w:r>
      <w:r w:rsidR="005E7012" w:rsidRPr="001D4F9B">
        <w:rPr>
          <w:rFonts w:ascii="Arial" w:eastAsia="MS PGothic" w:hAnsi="Arial" w:cs="Times New Roman"/>
          <w:sz w:val="20"/>
          <w:szCs w:val="24"/>
        </w:rPr>
        <w:t xml:space="preserve">. </w:t>
      </w:r>
      <w:r w:rsidR="00C446C3" w:rsidRPr="00CF2C00">
        <w:rPr>
          <w:rFonts w:ascii="Arial" w:eastAsia="MS PGothic" w:hAnsi="Arial" w:cs="Times New Roman"/>
          <w:sz w:val="20"/>
          <w:szCs w:val="24"/>
        </w:rPr>
        <w:t xml:space="preserve">2007 – 2013 m. įgyvendinti projektai labiausiai prisidėjo prie </w:t>
      </w:r>
      <w:r w:rsidR="005E7012">
        <w:rPr>
          <w:rFonts w:ascii="Arial" w:eastAsia="MS PGothic" w:hAnsi="Arial" w:cs="Times New Roman"/>
          <w:sz w:val="20"/>
          <w:szCs w:val="24"/>
        </w:rPr>
        <w:t>socialinės ir švietimo infrastruktūros plėtojimo. Lyginant savivaldybei tekusių lėšų kiekį ir pasiektus rezultatus, galima daryti išvadą, kad lėšos buvo panaudotos itin kryptingai ir efektyviai, daugiausiai dėmesio skiriant „kietosioms“ investicijų sritims</w:t>
      </w:r>
      <w:r w:rsidR="00F22491">
        <w:rPr>
          <w:rFonts w:ascii="Arial" w:eastAsia="MS PGothic" w:hAnsi="Arial" w:cs="Times New Roman"/>
          <w:sz w:val="20"/>
          <w:szCs w:val="24"/>
        </w:rPr>
        <w:t>, pvz. šilumos tinklų plėtrai ir modernizavimui</w:t>
      </w:r>
      <w:r w:rsidR="005E7012">
        <w:rPr>
          <w:rFonts w:ascii="Arial" w:eastAsia="MS PGothic" w:hAnsi="Arial" w:cs="Times New Roman"/>
          <w:sz w:val="20"/>
          <w:szCs w:val="24"/>
        </w:rPr>
        <w:t>.</w:t>
      </w:r>
    </w:p>
    <w:p w:rsidR="002D1DCE" w:rsidRPr="00CF2C00" w:rsidRDefault="002D1DCE" w:rsidP="002D1DCE">
      <w:pPr>
        <w:jc w:val="both"/>
        <w:rPr>
          <w:rFonts w:ascii="Arial" w:eastAsia="MS PGothic" w:hAnsi="Arial" w:cs="Times New Roman"/>
          <w:sz w:val="20"/>
          <w:szCs w:val="24"/>
        </w:rPr>
      </w:pPr>
      <w:r w:rsidRPr="00CF2C00">
        <w:rPr>
          <w:rFonts w:ascii="Arial" w:eastAsia="MS PGothic" w:hAnsi="Arial" w:cs="Times New Roman"/>
          <w:sz w:val="20"/>
          <w:szCs w:val="24"/>
        </w:rPr>
        <w:t xml:space="preserve">Apibendrinant, ES struktūrinių fondų lėšos didžiausią įtaką darė </w:t>
      </w:r>
      <w:r w:rsidR="005E7012">
        <w:rPr>
          <w:rFonts w:ascii="Arial" w:eastAsia="MS PGothic" w:hAnsi="Arial" w:cs="Times New Roman"/>
          <w:sz w:val="20"/>
          <w:szCs w:val="24"/>
        </w:rPr>
        <w:t>miestų ir gyvenamosios aplinkos tvarkymo srityse</w:t>
      </w:r>
      <w:r w:rsidRPr="00CF2C00">
        <w:rPr>
          <w:rFonts w:ascii="Arial" w:eastAsia="MS PGothic" w:hAnsi="Arial" w:cs="Times New Roman"/>
          <w:sz w:val="20"/>
          <w:szCs w:val="24"/>
        </w:rPr>
        <w:t>.</w:t>
      </w:r>
      <w:r w:rsidR="001824B7">
        <w:rPr>
          <w:rFonts w:ascii="Arial" w:eastAsia="MS PGothic" w:hAnsi="Arial" w:cs="Times New Roman"/>
          <w:sz w:val="20"/>
          <w:szCs w:val="24"/>
        </w:rPr>
        <w:t xml:space="preserve"> Vis dėlto savivaldybės situaciją apibrėžiantiems rodikliams didžiausią įtaką darė išorės veiksniai, o skirtas ES SF finansavimas nebuvo pakankamas</w:t>
      </w:r>
      <w:r w:rsidR="00CB5B9A">
        <w:rPr>
          <w:rFonts w:ascii="Arial" w:eastAsia="MS PGothic" w:hAnsi="Arial" w:cs="Times New Roman"/>
          <w:sz w:val="20"/>
          <w:szCs w:val="24"/>
        </w:rPr>
        <w:t xml:space="preserve"> reikšmingam socio-ekonominės situacijos pokyčiui pasiekti</w:t>
      </w:r>
      <w:r w:rsidR="001824B7">
        <w:rPr>
          <w:rFonts w:ascii="Arial" w:eastAsia="MS PGothic" w:hAnsi="Arial" w:cs="Times New Roman"/>
          <w:sz w:val="20"/>
          <w:szCs w:val="24"/>
        </w:rPr>
        <w:t>.</w:t>
      </w:r>
      <w:r w:rsidR="0020507E" w:rsidRPr="00CF2C00">
        <w:rPr>
          <w:rFonts w:ascii="Arial" w:eastAsia="MS PGothic" w:hAnsi="Arial" w:cs="Times New Roman"/>
          <w:sz w:val="20"/>
          <w:szCs w:val="24"/>
        </w:rPr>
        <w:t xml:space="preserve"> </w:t>
      </w:r>
      <w:r w:rsidRPr="00CF2C00">
        <w:rPr>
          <w:rFonts w:ascii="Arial" w:eastAsia="MS PGothic" w:hAnsi="Arial" w:cs="Times New Roman"/>
          <w:sz w:val="20"/>
          <w:szCs w:val="24"/>
        </w:rPr>
        <w:t xml:space="preserve">Įvertinus ES struktūrinių fondų investavimo kryptis ir stebimus socio-ekonominius bei aplinkos taršos rodiklių pokyčius, galima teigti, kad </w:t>
      </w:r>
      <w:r w:rsidR="00CB5B9A">
        <w:rPr>
          <w:rFonts w:ascii="Arial" w:eastAsia="MS PGothic" w:hAnsi="Arial" w:cs="Times New Roman"/>
          <w:sz w:val="20"/>
          <w:szCs w:val="24"/>
        </w:rPr>
        <w:t>Skuodo</w:t>
      </w:r>
      <w:r w:rsidR="005E7012">
        <w:rPr>
          <w:rFonts w:ascii="Arial" w:eastAsia="MS PGothic" w:hAnsi="Arial" w:cs="Times New Roman"/>
          <w:sz w:val="20"/>
          <w:szCs w:val="24"/>
        </w:rPr>
        <w:t xml:space="preserve"> rajono savivaldybėje ES SF lėšų apimtis buvo per maža tam, kad būtų padarytas reikšmingas poveikis darniai plėtrai.</w:t>
      </w:r>
    </w:p>
    <w:p w:rsidR="00745B48" w:rsidRPr="00CF2C00" w:rsidRDefault="00745B48" w:rsidP="00A2570C">
      <w:pPr>
        <w:jc w:val="both"/>
        <w:rPr>
          <w:rFonts w:ascii="Arial" w:eastAsia="MS PGothic" w:hAnsi="Arial" w:cs="Times New Roman"/>
          <w:sz w:val="20"/>
          <w:szCs w:val="24"/>
        </w:rPr>
      </w:pPr>
    </w:p>
    <w:p w:rsidR="00897144" w:rsidRPr="00CF2C00" w:rsidRDefault="00897144">
      <w:pPr>
        <w:jc w:val="both"/>
        <w:rPr>
          <w:rFonts w:ascii="Arial" w:eastAsia="MS PGothic" w:hAnsi="Arial" w:cs="Times New Roman"/>
          <w:sz w:val="20"/>
          <w:szCs w:val="24"/>
        </w:rPr>
      </w:pPr>
    </w:p>
    <w:sectPr w:rsidR="00897144" w:rsidRPr="00CF2C00" w:rsidSect="00252B4A">
      <w:footerReference w:type="default" r:id="rId19"/>
      <w:footerReference w:type="first" r:id="rId20"/>
      <w:pgSz w:w="11901" w:h="16840"/>
      <w:pgMar w:top="1418" w:right="1134" w:bottom="1701" w:left="2835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27F" w:rsidRDefault="004B127F">
      <w:pPr>
        <w:spacing w:after="0" w:line="240" w:lineRule="auto"/>
      </w:pPr>
      <w:r>
        <w:separator/>
      </w:r>
    </w:p>
  </w:endnote>
  <w:endnote w:type="continuationSeparator" w:id="0">
    <w:p w:rsidR="004B127F" w:rsidRDefault="004B1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imes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3195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7F6C" w:rsidRDefault="00DC7F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249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F6941" w:rsidRDefault="008F69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2416536"/>
      <w:docPartObj>
        <w:docPartGallery w:val="Page Numbers (Bottom of Page)"/>
        <w:docPartUnique/>
      </w:docPartObj>
    </w:sdtPr>
    <w:sdtEndPr>
      <w:rPr>
        <w:noProof/>
        <w:szCs w:val="17"/>
      </w:rPr>
    </w:sdtEndPr>
    <w:sdtContent>
      <w:p w:rsidR="008F6941" w:rsidRPr="00DC7F6C" w:rsidRDefault="008F6941">
        <w:pPr>
          <w:pStyle w:val="Footer"/>
          <w:jc w:val="right"/>
          <w:rPr>
            <w:szCs w:val="17"/>
          </w:rPr>
        </w:pPr>
        <w:r w:rsidRPr="00DC7F6C">
          <w:rPr>
            <w:szCs w:val="17"/>
          </w:rPr>
          <w:fldChar w:fldCharType="begin"/>
        </w:r>
        <w:r w:rsidRPr="00DC7F6C">
          <w:rPr>
            <w:szCs w:val="17"/>
          </w:rPr>
          <w:instrText xml:space="preserve"> PAGE   \* MERGEFORMAT </w:instrText>
        </w:r>
        <w:r w:rsidRPr="00DC7F6C">
          <w:rPr>
            <w:szCs w:val="17"/>
          </w:rPr>
          <w:fldChar w:fldCharType="separate"/>
        </w:r>
        <w:r w:rsidR="00F22491">
          <w:rPr>
            <w:noProof/>
            <w:szCs w:val="17"/>
          </w:rPr>
          <w:t>1</w:t>
        </w:r>
        <w:r w:rsidRPr="00DC7F6C">
          <w:rPr>
            <w:noProof/>
            <w:szCs w:val="17"/>
          </w:rPr>
          <w:fldChar w:fldCharType="end"/>
        </w:r>
      </w:p>
    </w:sdtContent>
  </w:sdt>
  <w:p w:rsidR="00C45115" w:rsidRPr="00BE0549" w:rsidRDefault="00F22491" w:rsidP="00BE05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27F" w:rsidRDefault="004B127F">
      <w:pPr>
        <w:spacing w:after="0" w:line="240" w:lineRule="auto"/>
      </w:pPr>
      <w:r>
        <w:separator/>
      </w:r>
    </w:p>
  </w:footnote>
  <w:footnote w:type="continuationSeparator" w:id="0">
    <w:p w:rsidR="004B127F" w:rsidRDefault="004B127F">
      <w:pPr>
        <w:spacing w:after="0" w:line="240" w:lineRule="auto"/>
      </w:pPr>
      <w:r>
        <w:continuationSeparator/>
      </w:r>
    </w:p>
  </w:footnote>
  <w:footnote w:id="1">
    <w:p w:rsidR="00D66F8E" w:rsidRPr="00FC1F97" w:rsidRDefault="00D66F8E">
      <w:pPr>
        <w:pStyle w:val="FootnoteText"/>
        <w:rPr>
          <w:rFonts w:ascii="Arial" w:hAnsi="Arial" w:cs="Arial"/>
          <w:sz w:val="18"/>
          <w:lang w:val="en-US"/>
        </w:rPr>
      </w:pPr>
      <w:r w:rsidRPr="00FC1F97">
        <w:rPr>
          <w:rStyle w:val="FootnoteReference"/>
          <w:rFonts w:ascii="Arial" w:hAnsi="Arial" w:cs="Arial"/>
          <w:sz w:val="18"/>
        </w:rPr>
        <w:footnoteRef/>
      </w:r>
      <w:r w:rsidRPr="00FC1F97">
        <w:rPr>
          <w:rFonts w:ascii="Arial" w:hAnsi="Arial" w:cs="Arial"/>
          <w:sz w:val="18"/>
        </w:rPr>
        <w:t xml:space="preserve"> 2011 m. gegužės 18 d. </w:t>
      </w:r>
      <w:proofErr w:type="spellStart"/>
      <w:r w:rsidRPr="00FC1F97">
        <w:rPr>
          <w:rFonts w:ascii="Arial" w:hAnsi="Arial" w:cs="Arial"/>
          <w:sz w:val="18"/>
          <w:lang w:val="en-US"/>
        </w:rPr>
        <w:t>Lietuvos</w:t>
      </w:r>
      <w:proofErr w:type="spellEnd"/>
      <w:r w:rsidRPr="00FC1F97">
        <w:rPr>
          <w:rFonts w:ascii="Arial" w:hAnsi="Arial" w:cs="Arial"/>
          <w:sz w:val="18"/>
          <w:lang w:val="en-US"/>
        </w:rPr>
        <w:t xml:space="preserve"> </w:t>
      </w:r>
      <w:proofErr w:type="spellStart"/>
      <w:r w:rsidRPr="00FC1F97">
        <w:rPr>
          <w:rFonts w:ascii="Arial" w:hAnsi="Arial" w:cs="Arial"/>
          <w:sz w:val="18"/>
          <w:lang w:val="en-US"/>
        </w:rPr>
        <w:t>Respublikos</w:t>
      </w:r>
      <w:proofErr w:type="spellEnd"/>
      <w:r w:rsidRPr="00FC1F97">
        <w:rPr>
          <w:rFonts w:ascii="Arial" w:hAnsi="Arial" w:cs="Arial"/>
          <w:sz w:val="18"/>
          <w:lang w:val="en-US"/>
        </w:rPr>
        <w:t xml:space="preserve"> </w:t>
      </w:r>
      <w:proofErr w:type="spellStart"/>
      <w:r w:rsidRPr="00FC1F97">
        <w:rPr>
          <w:rFonts w:ascii="Arial" w:hAnsi="Arial" w:cs="Arial"/>
          <w:sz w:val="18"/>
          <w:lang w:val="en-US"/>
        </w:rPr>
        <w:t>Vyriausyb</w:t>
      </w:r>
      <w:proofErr w:type="spellEnd"/>
      <w:r w:rsidRPr="00FC1F97">
        <w:rPr>
          <w:rFonts w:ascii="Arial" w:hAnsi="Arial" w:cs="Arial"/>
          <w:sz w:val="18"/>
        </w:rPr>
        <w:t xml:space="preserve">ės nutarimas Nr. 588 „Dėl probleminių teritorijų plėtros programų patvirtinimo“ &lt; </w:t>
      </w:r>
      <w:hyperlink r:id="rId1" w:history="1">
        <w:r w:rsidRPr="00FC1F97">
          <w:rPr>
            <w:rStyle w:val="Hyperlink"/>
            <w:rFonts w:ascii="Arial" w:hAnsi="Arial" w:cs="Arial"/>
            <w:sz w:val="18"/>
          </w:rPr>
          <w:t>https://e-tar.lt/portal/lt/legalAct/TAR.FA6D2B23F867</w:t>
        </w:r>
      </w:hyperlink>
      <w:r w:rsidRPr="00FC1F97">
        <w:rPr>
          <w:rFonts w:ascii="Arial" w:hAnsi="Arial" w:cs="Arial"/>
          <w:sz w:val="18"/>
        </w:rPr>
        <w:t xml:space="preserve"> &gt;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174A"/>
    <w:multiLevelType w:val="multilevel"/>
    <w:tmpl w:val="E03E5E5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">
    <w:nsid w:val="08D503ED"/>
    <w:multiLevelType w:val="multilevel"/>
    <w:tmpl w:val="3EF0123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">
    <w:nsid w:val="1AB36E7E"/>
    <w:multiLevelType w:val="multilevel"/>
    <w:tmpl w:val="3EF0123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">
    <w:nsid w:val="58922398"/>
    <w:multiLevelType w:val="hybridMultilevel"/>
    <w:tmpl w:val="69242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86592C"/>
    <w:multiLevelType w:val="multilevel"/>
    <w:tmpl w:val="3EF0123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7BB"/>
    <w:rsid w:val="0001054F"/>
    <w:rsid w:val="0001131C"/>
    <w:rsid w:val="00020455"/>
    <w:rsid w:val="000534F9"/>
    <w:rsid w:val="0005398B"/>
    <w:rsid w:val="0005613F"/>
    <w:rsid w:val="0006433C"/>
    <w:rsid w:val="00065540"/>
    <w:rsid w:val="000B2A0A"/>
    <w:rsid w:val="000C024B"/>
    <w:rsid w:val="000C341E"/>
    <w:rsid w:val="000D5BA5"/>
    <w:rsid w:val="000D77A0"/>
    <w:rsid w:val="000F56AE"/>
    <w:rsid w:val="00101E5E"/>
    <w:rsid w:val="00123257"/>
    <w:rsid w:val="001253F5"/>
    <w:rsid w:val="00136152"/>
    <w:rsid w:val="00156492"/>
    <w:rsid w:val="00156F09"/>
    <w:rsid w:val="001824B7"/>
    <w:rsid w:val="001A1350"/>
    <w:rsid w:val="001A72A7"/>
    <w:rsid w:val="001B09C3"/>
    <w:rsid w:val="001E095D"/>
    <w:rsid w:val="001F2140"/>
    <w:rsid w:val="0020507E"/>
    <w:rsid w:val="0020781B"/>
    <w:rsid w:val="00223773"/>
    <w:rsid w:val="00231F9C"/>
    <w:rsid w:val="0023534D"/>
    <w:rsid w:val="002427B5"/>
    <w:rsid w:val="00242947"/>
    <w:rsid w:val="00245A8A"/>
    <w:rsid w:val="002502B8"/>
    <w:rsid w:val="00253066"/>
    <w:rsid w:val="00264515"/>
    <w:rsid w:val="002677E8"/>
    <w:rsid w:val="00284741"/>
    <w:rsid w:val="00295323"/>
    <w:rsid w:val="002A3F19"/>
    <w:rsid w:val="002B025C"/>
    <w:rsid w:val="002B4036"/>
    <w:rsid w:val="002D1DCE"/>
    <w:rsid w:val="002E30F9"/>
    <w:rsid w:val="002F53F5"/>
    <w:rsid w:val="00316283"/>
    <w:rsid w:val="00326A1B"/>
    <w:rsid w:val="00332F7B"/>
    <w:rsid w:val="00353193"/>
    <w:rsid w:val="00356065"/>
    <w:rsid w:val="0035623C"/>
    <w:rsid w:val="0037112C"/>
    <w:rsid w:val="003801C0"/>
    <w:rsid w:val="003851F2"/>
    <w:rsid w:val="00397FF3"/>
    <w:rsid w:val="003A4332"/>
    <w:rsid w:val="003B6A83"/>
    <w:rsid w:val="003B6A9C"/>
    <w:rsid w:val="003D195A"/>
    <w:rsid w:val="003E5F95"/>
    <w:rsid w:val="00412185"/>
    <w:rsid w:val="00424FB7"/>
    <w:rsid w:val="0044118D"/>
    <w:rsid w:val="00462CCD"/>
    <w:rsid w:val="004722C7"/>
    <w:rsid w:val="004743DF"/>
    <w:rsid w:val="004A5F6F"/>
    <w:rsid w:val="004B127F"/>
    <w:rsid w:val="004B3A55"/>
    <w:rsid w:val="004B45DE"/>
    <w:rsid w:val="004C6B41"/>
    <w:rsid w:val="004E0E71"/>
    <w:rsid w:val="00500B34"/>
    <w:rsid w:val="00501B52"/>
    <w:rsid w:val="00540ADA"/>
    <w:rsid w:val="005411B7"/>
    <w:rsid w:val="00554B62"/>
    <w:rsid w:val="005577BB"/>
    <w:rsid w:val="00560E0D"/>
    <w:rsid w:val="00591462"/>
    <w:rsid w:val="00594D44"/>
    <w:rsid w:val="005966F9"/>
    <w:rsid w:val="005D7C5E"/>
    <w:rsid w:val="005E7012"/>
    <w:rsid w:val="0061421F"/>
    <w:rsid w:val="0062033D"/>
    <w:rsid w:val="0062159A"/>
    <w:rsid w:val="00621899"/>
    <w:rsid w:val="00631113"/>
    <w:rsid w:val="00645918"/>
    <w:rsid w:val="00660951"/>
    <w:rsid w:val="00687A46"/>
    <w:rsid w:val="00692255"/>
    <w:rsid w:val="006B7576"/>
    <w:rsid w:val="006C16C9"/>
    <w:rsid w:val="006C4D28"/>
    <w:rsid w:val="0070178B"/>
    <w:rsid w:val="0070345E"/>
    <w:rsid w:val="00706426"/>
    <w:rsid w:val="00742C97"/>
    <w:rsid w:val="00745B48"/>
    <w:rsid w:val="00761250"/>
    <w:rsid w:val="007B57EE"/>
    <w:rsid w:val="007D0C4A"/>
    <w:rsid w:val="007F0777"/>
    <w:rsid w:val="00800911"/>
    <w:rsid w:val="0080175F"/>
    <w:rsid w:val="00805F6F"/>
    <w:rsid w:val="00847350"/>
    <w:rsid w:val="008856B5"/>
    <w:rsid w:val="00897144"/>
    <w:rsid w:val="008A1509"/>
    <w:rsid w:val="008B1202"/>
    <w:rsid w:val="008F1A11"/>
    <w:rsid w:val="008F6941"/>
    <w:rsid w:val="00917C1E"/>
    <w:rsid w:val="00923DC7"/>
    <w:rsid w:val="00942138"/>
    <w:rsid w:val="00955E14"/>
    <w:rsid w:val="009A35E9"/>
    <w:rsid w:val="009A43BA"/>
    <w:rsid w:val="009C0862"/>
    <w:rsid w:val="009D1D9B"/>
    <w:rsid w:val="009D7299"/>
    <w:rsid w:val="009F1A90"/>
    <w:rsid w:val="00A027E9"/>
    <w:rsid w:val="00A2570C"/>
    <w:rsid w:val="00A46722"/>
    <w:rsid w:val="00A552B8"/>
    <w:rsid w:val="00A70602"/>
    <w:rsid w:val="00A82AF0"/>
    <w:rsid w:val="00A8696E"/>
    <w:rsid w:val="00A90A5D"/>
    <w:rsid w:val="00AA3395"/>
    <w:rsid w:val="00AE6D59"/>
    <w:rsid w:val="00AF0119"/>
    <w:rsid w:val="00B06A2E"/>
    <w:rsid w:val="00B13875"/>
    <w:rsid w:val="00B25A1E"/>
    <w:rsid w:val="00B320FB"/>
    <w:rsid w:val="00B35CC8"/>
    <w:rsid w:val="00B47E2E"/>
    <w:rsid w:val="00B70EC1"/>
    <w:rsid w:val="00B72614"/>
    <w:rsid w:val="00B76AF6"/>
    <w:rsid w:val="00B843CC"/>
    <w:rsid w:val="00BA0105"/>
    <w:rsid w:val="00BA41A7"/>
    <w:rsid w:val="00BC4ECE"/>
    <w:rsid w:val="00BF63D3"/>
    <w:rsid w:val="00C01E16"/>
    <w:rsid w:val="00C144CE"/>
    <w:rsid w:val="00C23DA0"/>
    <w:rsid w:val="00C24D75"/>
    <w:rsid w:val="00C266D6"/>
    <w:rsid w:val="00C335FC"/>
    <w:rsid w:val="00C363C5"/>
    <w:rsid w:val="00C369A0"/>
    <w:rsid w:val="00C446C3"/>
    <w:rsid w:val="00C63A96"/>
    <w:rsid w:val="00C6756A"/>
    <w:rsid w:val="00C77B11"/>
    <w:rsid w:val="00C83C6E"/>
    <w:rsid w:val="00C849C4"/>
    <w:rsid w:val="00C979EF"/>
    <w:rsid w:val="00C97DE2"/>
    <w:rsid w:val="00CB5B9A"/>
    <w:rsid w:val="00CB7E91"/>
    <w:rsid w:val="00CD0222"/>
    <w:rsid w:val="00CF2C00"/>
    <w:rsid w:val="00CF323C"/>
    <w:rsid w:val="00CF47D0"/>
    <w:rsid w:val="00D01CEF"/>
    <w:rsid w:val="00D3587C"/>
    <w:rsid w:val="00D4179A"/>
    <w:rsid w:val="00D41C73"/>
    <w:rsid w:val="00D45CFF"/>
    <w:rsid w:val="00D62EB8"/>
    <w:rsid w:val="00D65C3C"/>
    <w:rsid w:val="00D66F8E"/>
    <w:rsid w:val="00D81B36"/>
    <w:rsid w:val="00DA55EF"/>
    <w:rsid w:val="00DC3E9D"/>
    <w:rsid w:val="00DC7F6C"/>
    <w:rsid w:val="00DF75BE"/>
    <w:rsid w:val="00E12034"/>
    <w:rsid w:val="00E41636"/>
    <w:rsid w:val="00E41B59"/>
    <w:rsid w:val="00E5283B"/>
    <w:rsid w:val="00E55606"/>
    <w:rsid w:val="00E56004"/>
    <w:rsid w:val="00E561C3"/>
    <w:rsid w:val="00E805EC"/>
    <w:rsid w:val="00EC1E09"/>
    <w:rsid w:val="00EC3E73"/>
    <w:rsid w:val="00ED2FB0"/>
    <w:rsid w:val="00ED3673"/>
    <w:rsid w:val="00EF549B"/>
    <w:rsid w:val="00F02104"/>
    <w:rsid w:val="00F22491"/>
    <w:rsid w:val="00F43E9F"/>
    <w:rsid w:val="00F47E08"/>
    <w:rsid w:val="00F543B3"/>
    <w:rsid w:val="00F606F0"/>
    <w:rsid w:val="00F607CD"/>
    <w:rsid w:val="00F63FF4"/>
    <w:rsid w:val="00F73ED6"/>
    <w:rsid w:val="00F86DB2"/>
    <w:rsid w:val="00FA6284"/>
    <w:rsid w:val="00FB52BA"/>
    <w:rsid w:val="00FC1F97"/>
    <w:rsid w:val="00FC34DA"/>
    <w:rsid w:val="00FF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qFormat/>
    <w:rsid w:val="005577BB"/>
    <w:pPr>
      <w:keepNext/>
      <w:keepLines/>
      <w:spacing w:before="480" w:after="113" w:line="240" w:lineRule="exact"/>
      <w:outlineLvl w:val="0"/>
    </w:pPr>
    <w:rPr>
      <w:rFonts w:ascii="Calibri" w:eastAsia="MS PGothic" w:hAnsi="Calibri" w:cs="Times New Roman"/>
      <w:b/>
      <w:bCs/>
      <w:color w:val="6796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1-lineSectionheading">
    <w:name w:val="00. 1-line Section heading"/>
    <w:basedOn w:val="Normal"/>
    <w:qFormat/>
    <w:rsid w:val="005577BB"/>
    <w:pPr>
      <w:shd w:val="clear" w:color="auto" w:fill="FFFFFF"/>
      <w:spacing w:after="1440" w:line="720" w:lineRule="exact"/>
    </w:pPr>
    <w:rPr>
      <w:rFonts w:ascii="Times New Roman" w:eastAsia="Times" w:hAnsi="Times New Roman" w:cs="Times New Roman"/>
      <w:noProof/>
      <w:color w:val="002776"/>
      <w:kern w:val="28"/>
      <w:sz w:val="64"/>
      <w:szCs w:val="70"/>
    </w:rPr>
  </w:style>
  <w:style w:type="character" w:customStyle="1" w:styleId="Heading1Char">
    <w:name w:val="Heading 1 Char"/>
    <w:basedOn w:val="DefaultParagraphFont"/>
    <w:link w:val="Heading1"/>
    <w:rsid w:val="005577BB"/>
    <w:rPr>
      <w:rFonts w:ascii="Calibri" w:eastAsia="MS PGothic" w:hAnsi="Calibri" w:cs="Times New Roman"/>
      <w:b/>
      <w:bCs/>
      <w:color w:val="679600"/>
      <w:sz w:val="32"/>
      <w:szCs w:val="32"/>
      <w:lang w:val="lt-LT"/>
    </w:rPr>
  </w:style>
  <w:style w:type="paragraph" w:styleId="Footer">
    <w:name w:val="footer"/>
    <w:basedOn w:val="Normal"/>
    <w:link w:val="FooterChar"/>
    <w:uiPriority w:val="99"/>
    <w:rsid w:val="005577BB"/>
    <w:pPr>
      <w:tabs>
        <w:tab w:val="center" w:pos="4320"/>
        <w:tab w:val="right" w:pos="8640"/>
      </w:tabs>
      <w:spacing w:after="0" w:line="240" w:lineRule="auto"/>
    </w:pPr>
    <w:rPr>
      <w:rFonts w:ascii="Arial" w:eastAsia="MS PGothic" w:hAnsi="Arial" w:cs="Times New Roman"/>
      <w:sz w:val="17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577BB"/>
    <w:rPr>
      <w:rFonts w:ascii="Arial" w:eastAsia="MS PGothic" w:hAnsi="Arial" w:cs="Times New Roman"/>
      <w:sz w:val="17"/>
      <w:szCs w:val="24"/>
      <w:lang w:val="lt-LT"/>
    </w:rPr>
  </w:style>
  <w:style w:type="paragraph" w:styleId="Caption">
    <w:name w:val="caption"/>
    <w:basedOn w:val="Normal"/>
    <w:next w:val="Normal"/>
    <w:qFormat/>
    <w:rsid w:val="005577BB"/>
    <w:pPr>
      <w:spacing w:after="200" w:line="240" w:lineRule="auto"/>
    </w:pPr>
    <w:rPr>
      <w:rFonts w:ascii="Arial" w:eastAsia="Times" w:hAnsi="Arial" w:cs="Times New Roman"/>
      <w:b/>
      <w:bCs/>
      <w:sz w:val="18"/>
      <w:szCs w:val="18"/>
    </w:rPr>
  </w:style>
  <w:style w:type="paragraph" w:customStyle="1" w:styleId="Deloittebodytext">
    <w:name w:val="Deloitte body text"/>
    <w:qFormat/>
    <w:rsid w:val="005577BB"/>
    <w:pPr>
      <w:spacing w:after="240" w:line="280" w:lineRule="exact"/>
    </w:pPr>
    <w:rPr>
      <w:rFonts w:ascii="Arial" w:eastAsia="Times New Roman" w:hAnsi="Arial" w:cs="Times New Roman"/>
      <w:color w:val="000000"/>
      <w:sz w:val="20"/>
      <w:szCs w:val="48"/>
      <w:lang w:val="cs-CZ"/>
    </w:rPr>
  </w:style>
  <w:style w:type="paragraph" w:styleId="NormalWeb">
    <w:name w:val="Normal (Web)"/>
    <w:basedOn w:val="Normal"/>
    <w:uiPriority w:val="99"/>
    <w:semiHidden/>
    <w:unhideWhenUsed/>
    <w:rsid w:val="00F73ED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C1E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3C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729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694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941"/>
    <w:rPr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6F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6F8E"/>
    <w:rPr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D66F8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qFormat/>
    <w:rsid w:val="005577BB"/>
    <w:pPr>
      <w:keepNext/>
      <w:keepLines/>
      <w:spacing w:before="480" w:after="113" w:line="240" w:lineRule="exact"/>
      <w:outlineLvl w:val="0"/>
    </w:pPr>
    <w:rPr>
      <w:rFonts w:ascii="Calibri" w:eastAsia="MS PGothic" w:hAnsi="Calibri" w:cs="Times New Roman"/>
      <w:b/>
      <w:bCs/>
      <w:color w:val="6796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1-lineSectionheading">
    <w:name w:val="00. 1-line Section heading"/>
    <w:basedOn w:val="Normal"/>
    <w:qFormat/>
    <w:rsid w:val="005577BB"/>
    <w:pPr>
      <w:shd w:val="clear" w:color="auto" w:fill="FFFFFF"/>
      <w:spacing w:after="1440" w:line="720" w:lineRule="exact"/>
    </w:pPr>
    <w:rPr>
      <w:rFonts w:ascii="Times New Roman" w:eastAsia="Times" w:hAnsi="Times New Roman" w:cs="Times New Roman"/>
      <w:noProof/>
      <w:color w:val="002776"/>
      <w:kern w:val="28"/>
      <w:sz w:val="64"/>
      <w:szCs w:val="70"/>
    </w:rPr>
  </w:style>
  <w:style w:type="character" w:customStyle="1" w:styleId="Heading1Char">
    <w:name w:val="Heading 1 Char"/>
    <w:basedOn w:val="DefaultParagraphFont"/>
    <w:link w:val="Heading1"/>
    <w:rsid w:val="005577BB"/>
    <w:rPr>
      <w:rFonts w:ascii="Calibri" w:eastAsia="MS PGothic" w:hAnsi="Calibri" w:cs="Times New Roman"/>
      <w:b/>
      <w:bCs/>
      <w:color w:val="679600"/>
      <w:sz w:val="32"/>
      <w:szCs w:val="32"/>
      <w:lang w:val="lt-LT"/>
    </w:rPr>
  </w:style>
  <w:style w:type="paragraph" w:styleId="Footer">
    <w:name w:val="footer"/>
    <w:basedOn w:val="Normal"/>
    <w:link w:val="FooterChar"/>
    <w:uiPriority w:val="99"/>
    <w:rsid w:val="005577BB"/>
    <w:pPr>
      <w:tabs>
        <w:tab w:val="center" w:pos="4320"/>
        <w:tab w:val="right" w:pos="8640"/>
      </w:tabs>
      <w:spacing w:after="0" w:line="240" w:lineRule="auto"/>
    </w:pPr>
    <w:rPr>
      <w:rFonts w:ascii="Arial" w:eastAsia="MS PGothic" w:hAnsi="Arial" w:cs="Times New Roman"/>
      <w:sz w:val="17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577BB"/>
    <w:rPr>
      <w:rFonts w:ascii="Arial" w:eastAsia="MS PGothic" w:hAnsi="Arial" w:cs="Times New Roman"/>
      <w:sz w:val="17"/>
      <w:szCs w:val="24"/>
      <w:lang w:val="lt-LT"/>
    </w:rPr>
  </w:style>
  <w:style w:type="paragraph" w:styleId="Caption">
    <w:name w:val="caption"/>
    <w:basedOn w:val="Normal"/>
    <w:next w:val="Normal"/>
    <w:qFormat/>
    <w:rsid w:val="005577BB"/>
    <w:pPr>
      <w:spacing w:after="200" w:line="240" w:lineRule="auto"/>
    </w:pPr>
    <w:rPr>
      <w:rFonts w:ascii="Arial" w:eastAsia="Times" w:hAnsi="Arial" w:cs="Times New Roman"/>
      <w:b/>
      <w:bCs/>
      <w:sz w:val="18"/>
      <w:szCs w:val="18"/>
    </w:rPr>
  </w:style>
  <w:style w:type="paragraph" w:customStyle="1" w:styleId="Deloittebodytext">
    <w:name w:val="Deloitte body text"/>
    <w:qFormat/>
    <w:rsid w:val="005577BB"/>
    <w:pPr>
      <w:spacing w:after="240" w:line="280" w:lineRule="exact"/>
    </w:pPr>
    <w:rPr>
      <w:rFonts w:ascii="Arial" w:eastAsia="Times New Roman" w:hAnsi="Arial" w:cs="Times New Roman"/>
      <w:color w:val="000000"/>
      <w:sz w:val="20"/>
      <w:szCs w:val="48"/>
      <w:lang w:val="cs-CZ"/>
    </w:rPr>
  </w:style>
  <w:style w:type="paragraph" w:styleId="NormalWeb">
    <w:name w:val="Normal (Web)"/>
    <w:basedOn w:val="Normal"/>
    <w:uiPriority w:val="99"/>
    <w:semiHidden/>
    <w:unhideWhenUsed/>
    <w:rsid w:val="00F73ED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C1E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3C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729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694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941"/>
    <w:rPr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6F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6F8E"/>
    <w:rPr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D66F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1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sparama.lt" TargetMode="External"/><Relationship Id="rId18" Type="http://schemas.openxmlformats.org/officeDocument/2006/relationships/chart" Target="charts/chart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chart" Target="charts/chart4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Microsoft_Excel_Chart1.xls"/><Relationship Id="rId5" Type="http://schemas.openxmlformats.org/officeDocument/2006/relationships/settings" Target="settings.xml"/><Relationship Id="rId15" Type="http://schemas.openxmlformats.org/officeDocument/2006/relationships/hyperlink" Target="http://www.esparama.lt" TargetMode="Externa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3.xm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-tar.lt/portal/lt/legalAct/TAR.FA6D2B23F867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2007_Workbook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sgrigaliuniene\Desktop\Copy%20of%20Probleminiu%20statistika.xlsx" TargetMode="External"/><Relationship Id="rId1" Type="http://schemas.openxmlformats.org/officeDocument/2006/relationships/themeOverride" Target="../theme/themeOverride2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sgrigaliuniene\Desktop\Copy%20of%20Probleminiu%20statistika.xlsx" TargetMode="External"/><Relationship Id="rId1" Type="http://schemas.openxmlformats.org/officeDocument/2006/relationships/themeOverride" Target="../theme/themeOverride3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sgrigaliuniene\Desktop\Copy%20of%20Probleminiu%20statistika.xlsx" TargetMode="External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spPr>
            <a:pattFill prst="wdUpDiag">
              <a:fgClr>
                <a:schemeClr val="accent1"/>
              </a:fgClr>
              <a:bgClr>
                <a:schemeClr val="bg1"/>
              </a:bgClr>
            </a:pattFill>
            <a:ln>
              <a:noFill/>
            </a:ln>
          </c:spPr>
          <c:dPt>
            <c:idx val="0"/>
            <c:bubble3D val="0"/>
            <c:spPr>
              <a:pattFill prst="wdUpDiag">
                <a:fgClr>
                  <a:srgbClr val="FFFFFF"/>
                </a:fgClr>
                <a:bgClr>
                  <a:srgbClr val="00A1DE"/>
                </a:bgClr>
              </a:pattFill>
              <a:ln w="50800">
                <a:noFill/>
              </a:ln>
            </c:spPr>
          </c:dPt>
          <c:dPt>
            <c:idx val="1"/>
            <c:bubble3D val="0"/>
            <c:spPr>
              <a:solidFill>
                <a:srgbClr val="00A1DE"/>
              </a:solidFill>
              <a:ln w="50800">
                <a:noFill/>
              </a:ln>
            </c:spPr>
          </c:dPt>
          <c:dPt>
            <c:idx val="2"/>
            <c:bubble3D val="0"/>
            <c:spPr>
              <a:solidFill>
                <a:schemeClr val="accent3"/>
              </a:solidFill>
              <a:ln w="50800">
                <a:noFill/>
              </a:ln>
            </c:spPr>
          </c:dPt>
          <c:dPt>
            <c:idx val="3"/>
            <c:bubble3D val="0"/>
            <c:spPr>
              <a:solidFill>
                <a:schemeClr val="bg1">
                  <a:lumMod val="85000"/>
                </a:schemeClr>
              </a:solidFill>
              <a:ln w="50800">
                <a:noFill/>
              </a:ln>
            </c:spPr>
          </c:dPt>
          <c:cat>
            <c:numRef>
              <c:f>Sheet1!$A$2:$A$3</c:f>
              <c:numCache>
                <c:formatCode>General</c:formatCode>
                <c:ptCount val="2"/>
              </c:numCache>
            </c:numRef>
          </c:cat>
          <c:val>
            <c:numRef>
              <c:f>Sheet1!$B$2:$B$3</c:f>
              <c:numCache>
                <c:formatCode>General</c:formatCode>
                <c:ptCount val="2"/>
                <c:pt idx="0">
                  <c:v>11</c:v>
                </c:pt>
                <c:pt idx="1">
                  <c:v>89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800"/>
      </a:pPr>
      <a:endParaRPr lang="en-U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Skirtas finansavimas</c:v>
                </c:pt>
              </c:strCache>
            </c:strRef>
          </c:tx>
          <c:spPr>
            <a:solidFill>
              <a:srgbClr val="002776"/>
            </a:solidFill>
          </c:spPr>
          <c:dPt>
            <c:idx val="0"/>
            <c:bubble3D val="0"/>
            <c:spPr>
              <a:solidFill>
                <a:srgbClr val="00277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00A1DE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rgbClr val="81BC00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Sheet1!$A$2:$A$4</c:f>
              <c:strCache>
                <c:ptCount val="3"/>
                <c:pt idx="0">
                  <c:v>ŽIPVP</c:v>
                </c:pt>
                <c:pt idx="1">
                  <c:v>EAVP</c:v>
                </c:pt>
                <c:pt idx="2">
                  <c:v>SSVP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7</c:v>
                </c:pt>
                <c:pt idx="1">
                  <c:v>10</c:v>
                </c:pt>
                <c:pt idx="2">
                  <c:v>83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9441113130089513"/>
          <c:y val="0.10148031496062994"/>
          <c:w val="0.17461572111178408"/>
          <c:h val="0.6711120443277923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1 prioritetas</c:v>
                </c:pt>
              </c:strCache>
            </c:strRef>
          </c:tx>
          <c:spPr>
            <a:solidFill>
              <a:srgbClr val="002776"/>
            </a:solidFill>
            <a:ln>
              <a:noFill/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ŽIPVP</c:v>
                </c:pt>
                <c:pt idx="1">
                  <c:v>EAVP</c:v>
                </c:pt>
                <c:pt idx="2">
                  <c:v>SSVP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0.6</c:v>
                </c:pt>
                <c:pt idx="1">
                  <c:v>0</c:v>
                </c:pt>
                <c:pt idx="2">
                  <c:v>0.36694625223915955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 prioritetas</c:v>
                </c:pt>
              </c:strCache>
            </c:strRef>
          </c:tx>
          <c:spPr>
            <a:solidFill>
              <a:srgbClr val="81BC00"/>
            </a:solidFill>
            <a:ln>
              <a:noFill/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ŽIPVP</c:v>
                </c:pt>
                <c:pt idx="1">
                  <c:v>EAVP</c:v>
                </c:pt>
                <c:pt idx="2">
                  <c:v>SSVP</c:v>
                </c:pt>
              </c:strCache>
            </c:strRef>
          </c:cat>
          <c:val>
            <c:numRef>
              <c:f>Sheet1!$C$2:$C$4</c:f>
              <c:numCache>
                <c:formatCode>0%</c:formatCode>
                <c:ptCount val="3"/>
                <c:pt idx="0">
                  <c:v>0</c:v>
                </c:pt>
                <c:pt idx="1">
                  <c:v>3.3812734204726712E-2</c:v>
                </c:pt>
                <c:pt idx="2">
                  <c:v>0.20452732244901073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3 prioritetas</c:v>
                </c:pt>
              </c:strCache>
            </c:strRef>
          </c:tx>
          <c:spPr>
            <a:solidFill>
              <a:srgbClr val="00A1DE"/>
            </a:solidFill>
            <a:ln>
              <a:noFill/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ŽIPVP</c:v>
                </c:pt>
                <c:pt idx="1">
                  <c:v>EAVP</c:v>
                </c:pt>
                <c:pt idx="2">
                  <c:v>SSVP</c:v>
                </c:pt>
              </c:strCache>
            </c:strRef>
          </c:cat>
          <c:val>
            <c:numRef>
              <c:f>Sheet1!$D$2:$D$4</c:f>
              <c:numCache>
                <c:formatCode>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0.42852642531182972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4 prioritetas</c:v>
                </c:pt>
              </c:strCache>
            </c:strRef>
          </c:tx>
          <c:spPr>
            <a:solidFill>
              <a:srgbClr val="8C8C8C"/>
            </a:solidFill>
            <a:ln>
              <a:noFill/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ŽIPVP</c:v>
                </c:pt>
                <c:pt idx="1">
                  <c:v>EAVP</c:v>
                </c:pt>
                <c:pt idx="2">
                  <c:v>SSVP</c:v>
                </c:pt>
              </c:strCache>
            </c:strRef>
          </c:cat>
          <c:val>
            <c:numRef>
              <c:f>Sheet1!$E$2:$E$4</c:f>
              <c:numCache>
                <c:formatCode>0%</c:formatCode>
                <c:ptCount val="3"/>
                <c:pt idx="0">
                  <c:v>0.39660069408740478</c:v>
                </c:pt>
                <c:pt idx="1">
                  <c:v>0.96618726579527336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65197184"/>
        <c:axId val="65198720"/>
      </c:barChart>
      <c:catAx>
        <c:axId val="651971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198720"/>
        <c:crosses val="autoZero"/>
        <c:auto val="1"/>
        <c:lblAlgn val="ctr"/>
        <c:lblOffset val="100"/>
        <c:noMultiLvlLbl val="0"/>
      </c:catAx>
      <c:valAx>
        <c:axId val="651987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1971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1105955887543396E-2"/>
          <c:y val="6.1693774537296693E-2"/>
          <c:w val="0.8695239011993916"/>
          <c:h val="0.6934570152931668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Skuodo!$L$7</c:f>
              <c:strCache>
                <c:ptCount val="1"/>
                <c:pt idx="0">
                  <c:v>Kietosios medžiagos</c:v>
                </c:pt>
              </c:strCache>
            </c:strRef>
          </c:tx>
          <c:spPr>
            <a:solidFill>
              <a:srgbClr val="8C8C8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5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Skuodo!$M$6:$U$6</c:f>
              <c:numCache>
                <c:formatCode>General</c:formatCode>
                <c:ptCount val="7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</c:numCache>
            </c:numRef>
          </c:cat>
          <c:val>
            <c:numRef>
              <c:f>Skuodo!$M$7:$U$7</c:f>
              <c:numCache>
                <c:formatCode>General</c:formatCode>
                <c:ptCount val="7"/>
                <c:pt idx="0">
                  <c:v>2</c:v>
                </c:pt>
                <c:pt idx="1">
                  <c:v>2.2999999999999998</c:v>
                </c:pt>
                <c:pt idx="2">
                  <c:v>0.5</c:v>
                </c:pt>
                <c:pt idx="3">
                  <c:v>1.5</c:v>
                </c:pt>
                <c:pt idx="4">
                  <c:v>2.6</c:v>
                </c:pt>
                <c:pt idx="5">
                  <c:v>1.5</c:v>
                </c:pt>
                <c:pt idx="6">
                  <c:v>16.2</c:v>
                </c:pt>
              </c:numCache>
            </c:numRef>
          </c:val>
        </c:ser>
        <c:ser>
          <c:idx val="1"/>
          <c:order val="1"/>
          <c:tx>
            <c:strRef>
              <c:f>Skuodo!$L$8</c:f>
              <c:strCache>
                <c:ptCount val="1"/>
                <c:pt idx="0">
                  <c:v>Sieros dioksidas, tonos</c:v>
                </c:pt>
              </c:strCache>
            </c:strRef>
          </c:tx>
          <c:spPr>
            <a:solidFill>
              <a:srgbClr val="81BC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5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Skuodo!$M$6:$U$6</c:f>
              <c:numCache>
                <c:formatCode>General</c:formatCode>
                <c:ptCount val="7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</c:numCache>
            </c:numRef>
          </c:cat>
          <c:val>
            <c:numRef>
              <c:f>Skuodo!$M$8:$U$8</c:f>
              <c:numCache>
                <c:formatCode>General</c:formatCode>
                <c:ptCount val="7"/>
                <c:pt idx="0">
                  <c:v>31.7</c:v>
                </c:pt>
                <c:pt idx="1">
                  <c:v>26.5</c:v>
                </c:pt>
                <c:pt idx="2">
                  <c:v>5.9</c:v>
                </c:pt>
                <c:pt idx="3">
                  <c:v>7.8</c:v>
                </c:pt>
                <c:pt idx="4">
                  <c:v>4.5</c:v>
                </c:pt>
                <c:pt idx="5">
                  <c:v>3.4</c:v>
                </c:pt>
                <c:pt idx="6">
                  <c:v>1.9</c:v>
                </c:pt>
              </c:numCache>
            </c:numRef>
          </c:val>
        </c:ser>
        <c:ser>
          <c:idx val="2"/>
          <c:order val="2"/>
          <c:tx>
            <c:strRef>
              <c:f>Skuodo!$L$9</c:f>
              <c:strCache>
                <c:ptCount val="1"/>
                <c:pt idx="0">
                  <c:v>Azoto oksidai, tonos</c:v>
                </c:pt>
              </c:strCache>
            </c:strRef>
          </c:tx>
          <c:spPr>
            <a:solidFill>
              <a:srgbClr val="B4B4B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5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Skuodo!$M$6:$U$6</c:f>
              <c:numCache>
                <c:formatCode>General</c:formatCode>
                <c:ptCount val="7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</c:numCache>
            </c:numRef>
          </c:cat>
          <c:val>
            <c:numRef>
              <c:f>Skuodo!$M$9:$U$9</c:f>
              <c:numCache>
                <c:formatCode>General</c:formatCode>
                <c:ptCount val="7"/>
                <c:pt idx="0">
                  <c:v>5.0999999999999996</c:v>
                </c:pt>
                <c:pt idx="1">
                  <c:v>5.7</c:v>
                </c:pt>
                <c:pt idx="2">
                  <c:v>4.5999999999999996</c:v>
                </c:pt>
                <c:pt idx="3">
                  <c:v>5.0999999999999996</c:v>
                </c:pt>
                <c:pt idx="4">
                  <c:v>6.8</c:v>
                </c:pt>
                <c:pt idx="5">
                  <c:v>7.4</c:v>
                </c:pt>
                <c:pt idx="6">
                  <c:v>5.6</c:v>
                </c:pt>
              </c:numCache>
            </c:numRef>
          </c:val>
        </c:ser>
        <c:ser>
          <c:idx val="3"/>
          <c:order val="3"/>
          <c:tx>
            <c:strRef>
              <c:f>Skuodo!$L$10</c:f>
              <c:strCache>
                <c:ptCount val="1"/>
                <c:pt idx="0">
                  <c:v>Anglies monoksidas, tonos</c:v>
                </c:pt>
              </c:strCache>
            </c:strRef>
          </c:tx>
          <c:spPr>
            <a:solidFill>
              <a:srgbClr val="BDD20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5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Skuodo!$M$6:$U$6</c:f>
              <c:numCache>
                <c:formatCode>General</c:formatCode>
                <c:ptCount val="7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</c:numCache>
            </c:numRef>
          </c:cat>
          <c:val>
            <c:numRef>
              <c:f>Skuodo!$M$10:$U$10</c:f>
              <c:numCache>
                <c:formatCode>General</c:formatCode>
                <c:ptCount val="7"/>
                <c:pt idx="0">
                  <c:v>26</c:v>
                </c:pt>
                <c:pt idx="1">
                  <c:v>28.2</c:v>
                </c:pt>
                <c:pt idx="2">
                  <c:v>23</c:v>
                </c:pt>
                <c:pt idx="3">
                  <c:v>23</c:v>
                </c:pt>
                <c:pt idx="4">
                  <c:v>22.8</c:v>
                </c:pt>
                <c:pt idx="5">
                  <c:v>23.5</c:v>
                </c:pt>
                <c:pt idx="6">
                  <c:v>21.2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03482880"/>
        <c:axId val="103489920"/>
      </c:barChart>
      <c:lineChart>
        <c:grouping val="standard"/>
        <c:varyColors val="0"/>
        <c:ser>
          <c:idx val="4"/>
          <c:order val="4"/>
          <c:tx>
            <c:strRef>
              <c:f>Skuodo!$L$11</c:f>
              <c:strCache>
                <c:ptCount val="1"/>
                <c:pt idx="0">
                  <c:v>Visi teršalai</c:v>
                </c:pt>
              </c:strCache>
            </c:strRef>
          </c:tx>
          <c:spPr>
            <a:ln w="28575" cap="rnd">
              <a:solidFill>
                <a:srgbClr val="3C8A2E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numRef>
              <c:f>Skuodo!$M$6:$U$6</c:f>
              <c:numCache>
                <c:formatCode>General</c:formatCode>
                <c:ptCount val="7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</c:numCache>
            </c:numRef>
          </c:cat>
          <c:val>
            <c:numRef>
              <c:f>Skuodo!$M$11:$U$11</c:f>
              <c:numCache>
                <c:formatCode>General</c:formatCode>
                <c:ptCount val="7"/>
                <c:pt idx="0">
                  <c:v>64.8</c:v>
                </c:pt>
                <c:pt idx="1">
                  <c:v>62.8</c:v>
                </c:pt>
                <c:pt idx="2">
                  <c:v>34</c:v>
                </c:pt>
                <c:pt idx="3">
                  <c:v>37.5</c:v>
                </c:pt>
                <c:pt idx="4">
                  <c:v>36.700000000000003</c:v>
                </c:pt>
                <c:pt idx="5">
                  <c:v>35.799999999999997</c:v>
                </c:pt>
                <c:pt idx="6">
                  <c:v>54.6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03482880"/>
        <c:axId val="103489920"/>
      </c:lineChart>
      <c:lineChart>
        <c:grouping val="standard"/>
        <c:varyColors val="0"/>
        <c:ser>
          <c:idx val="5"/>
          <c:order val="5"/>
          <c:tx>
            <c:strRef>
              <c:f>Skuodo!$L$12</c:f>
              <c:strCache>
                <c:ptCount val="1"/>
                <c:pt idx="0">
                  <c:v>Išleista išvalytų iki normos nuotekų, tūkst. M³</c:v>
                </c:pt>
              </c:strCache>
            </c:strRef>
          </c:tx>
          <c:spPr>
            <a:ln w="28575" cap="rnd">
              <a:solidFill>
                <a:srgbClr val="00A1DE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2.9882838708310986E-17"/>
                  <c:y val="-2.17420873428398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3.27281720183182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6.5199674001630587E-3"/>
                  <c:y val="1.07555794568432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9765677416621972E-17"/>
                  <c:y val="-2.19726109670951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1953135483324394E-16"/>
                  <c:y val="-2.19726109670951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"/>
                  <c:y val="-3.83366969762543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1.9559902200488997E-2"/>
                  <c:y val="-2.68891603661131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987646715309738E-2"/>
                      <c:h val="4.8964987201283887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5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Skuodo!$M$6:$U$6</c:f>
              <c:numCache>
                <c:formatCode>General</c:formatCode>
                <c:ptCount val="7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</c:numCache>
            </c:numRef>
          </c:cat>
          <c:val>
            <c:numRef>
              <c:f>Skuodo!$M$12:$U$12</c:f>
              <c:numCache>
                <c:formatCode>General</c:formatCode>
                <c:ptCount val="7"/>
                <c:pt idx="0">
                  <c:v>365</c:v>
                </c:pt>
                <c:pt idx="1">
                  <c:v>426</c:v>
                </c:pt>
                <c:pt idx="2">
                  <c:v>396</c:v>
                </c:pt>
                <c:pt idx="3">
                  <c:v>482</c:v>
                </c:pt>
                <c:pt idx="4">
                  <c:v>480</c:v>
                </c:pt>
                <c:pt idx="5">
                  <c:v>443</c:v>
                </c:pt>
                <c:pt idx="6">
                  <c:v>494.7</c:v>
                </c:pt>
              </c:numCache>
            </c:numRef>
          </c:val>
          <c:smooth val="0"/>
          <c:extLst>
            <c:ext xmlns:c15="http://schemas.microsoft.com/office/drawing/2012/chart" uri="{02D57815-91ED-43cb-92C2-25804820EDAC}">
              <c15:categoryFilterExceptions>
                <c15:categoryFilterException>
                  <c15:sqref/>
                  <c15:dLbl>
                    <c:idx val="-1"/>
                    <c:layout>
                      <c:manualLayout>
                        <c:x val="-5.2159739201303991E-2"/>
                        <c:y val="-5.6085249579360626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>
                      <c:ext uri="{CE6537A1-D6FC-4f65-9D91-7224C49458BB}"/>
                    </c:extLst>
                  </c15:dLbl>
                </c15:categoryFilterException>
              </c15:categoryFilterExceptions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03498112"/>
        <c:axId val="103491840"/>
      </c:lineChart>
      <c:catAx>
        <c:axId val="103482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03489920"/>
        <c:crosses val="autoZero"/>
        <c:auto val="1"/>
        <c:lblAlgn val="ctr"/>
        <c:lblOffset val="100"/>
        <c:noMultiLvlLbl val="0"/>
      </c:catAx>
      <c:valAx>
        <c:axId val="103489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5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lt-LT"/>
                  <a:t>Tonos</a:t>
                </a:r>
                <a:endParaRPr lang="en-US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03482880"/>
        <c:crosses val="autoZero"/>
        <c:crossBetween val="between"/>
      </c:valAx>
      <c:valAx>
        <c:axId val="103491840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5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lt-LT"/>
                  <a:t>Tūkst. m</a:t>
                </a:r>
                <a:r>
                  <a:rPr lang="en-US"/>
                  <a:t>3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03498112"/>
        <c:crosses val="max"/>
        <c:crossBetween val="between"/>
      </c:valAx>
      <c:catAx>
        <c:axId val="10349811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0349184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2338154042620207E-2"/>
          <c:y val="0.80398337568975442"/>
          <c:w val="0.92975197171258228"/>
          <c:h val="0.1929462030475553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500"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61509186351706E-2"/>
          <c:y val="5.0925925925925923E-2"/>
          <c:w val="0.88882349081364831"/>
          <c:h val="0.680018226888305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Skuodo!$L$20</c:f>
              <c:strCache>
                <c:ptCount val="1"/>
                <c:pt idx="0">
                  <c:v>Nuolatinių gyventojų skaičius metų pradžioje</c:v>
                </c:pt>
              </c:strCache>
            </c:strRef>
          </c:tx>
          <c:spPr>
            <a:solidFill>
              <a:srgbClr val="81BC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5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Skuodo!$M$19:$U$19</c:f>
              <c:numCache>
                <c:formatCode>General</c:formatCode>
                <c:ptCount val="7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</c:numCache>
            </c:numRef>
          </c:cat>
          <c:val>
            <c:numRef>
              <c:f>Skuodo!$M$20:$U$20</c:f>
              <c:numCache>
                <c:formatCode>General</c:formatCode>
                <c:ptCount val="7"/>
                <c:pt idx="0">
                  <c:v>22849</c:v>
                </c:pt>
                <c:pt idx="1">
                  <c:v>22348</c:v>
                </c:pt>
                <c:pt idx="2">
                  <c:v>21807</c:v>
                </c:pt>
                <c:pt idx="3">
                  <c:v>21394</c:v>
                </c:pt>
                <c:pt idx="4">
                  <c:v>20694</c:v>
                </c:pt>
                <c:pt idx="5">
                  <c:v>20124</c:v>
                </c:pt>
                <c:pt idx="6">
                  <c:v>19513</c:v>
                </c:pt>
              </c:numCache>
            </c:numRef>
          </c:val>
        </c:ser>
        <c:ser>
          <c:idx val="1"/>
          <c:order val="1"/>
          <c:tx>
            <c:strRef>
              <c:f>Skuodo!$L$21</c:f>
              <c:strCache>
                <c:ptCount val="1"/>
                <c:pt idx="0">
                  <c:v>Darbingo amžiaus gyventojai</c:v>
                </c:pt>
              </c:strCache>
            </c:strRef>
          </c:tx>
          <c:spPr>
            <a:solidFill>
              <a:srgbClr val="B4B4B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5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Skuodo!$M$19:$U$19</c:f>
              <c:numCache>
                <c:formatCode>General</c:formatCode>
                <c:ptCount val="7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</c:numCache>
            </c:numRef>
          </c:cat>
          <c:val>
            <c:numRef>
              <c:f>Skuodo!$M$21:$U$21</c:f>
              <c:numCache>
                <c:formatCode>General</c:formatCode>
                <c:ptCount val="7"/>
                <c:pt idx="0">
                  <c:v>13140</c:v>
                </c:pt>
                <c:pt idx="1">
                  <c:v>13023</c:v>
                </c:pt>
                <c:pt idx="2">
                  <c:v>12856</c:v>
                </c:pt>
                <c:pt idx="3">
                  <c:v>12647</c:v>
                </c:pt>
                <c:pt idx="4">
                  <c:v>12226</c:v>
                </c:pt>
                <c:pt idx="5">
                  <c:v>11871</c:v>
                </c:pt>
                <c:pt idx="6">
                  <c:v>11528</c:v>
                </c:pt>
              </c:numCache>
            </c:numRef>
          </c:val>
        </c:ser>
        <c:ser>
          <c:idx val="2"/>
          <c:order val="2"/>
          <c:tx>
            <c:strRef>
              <c:f>Skuodo!$L$22</c:f>
              <c:strCache>
                <c:ptCount val="1"/>
                <c:pt idx="0">
                  <c:v>Pensinio amžiaus gyventojai</c:v>
                </c:pt>
              </c:strCache>
            </c:strRef>
          </c:tx>
          <c:spPr>
            <a:solidFill>
              <a:srgbClr val="BDD20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5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Skuodo!$M$19:$U$19</c:f>
              <c:numCache>
                <c:formatCode>General</c:formatCode>
                <c:ptCount val="7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</c:numCache>
            </c:numRef>
          </c:cat>
          <c:val>
            <c:numRef>
              <c:f>Skuodo!$M$22:$U$22</c:f>
              <c:numCache>
                <c:formatCode>General</c:formatCode>
                <c:ptCount val="7"/>
                <c:pt idx="0">
                  <c:v>5077</c:v>
                </c:pt>
                <c:pt idx="1">
                  <c:v>5028</c:v>
                </c:pt>
                <c:pt idx="2">
                  <c:v>4959</c:v>
                </c:pt>
                <c:pt idx="3">
                  <c:v>4936</c:v>
                </c:pt>
                <c:pt idx="4">
                  <c:v>5043</c:v>
                </c:pt>
                <c:pt idx="5">
                  <c:v>5038</c:v>
                </c:pt>
                <c:pt idx="6">
                  <c:v>4971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3872768"/>
        <c:axId val="103940096"/>
      </c:barChart>
      <c:lineChart>
        <c:grouping val="standard"/>
        <c:varyColors val="0"/>
        <c:ser>
          <c:idx val="3"/>
          <c:order val="3"/>
          <c:tx>
            <c:strRef>
              <c:f>Skuodo!$L$23</c:f>
              <c:strCache>
                <c:ptCount val="1"/>
                <c:pt idx="0">
                  <c:v>Registruotų bedarbių ir darbingo amžiaus gyventojų santykis | proc.</c:v>
                </c:pt>
              </c:strCache>
            </c:strRef>
          </c:tx>
          <c:spPr>
            <a:ln w="28575" cap="rnd">
              <a:solidFill>
                <a:srgbClr val="00A1DE"/>
              </a:solidFill>
              <a:round/>
            </a:ln>
            <a:effectLst/>
          </c:spPr>
          <c:marker>
            <c:symbol val="none"/>
          </c:marker>
          <c:cat>
            <c:numRef>
              <c:f>Skuodo!$M$19:$U$19</c:f>
              <c:numCache>
                <c:formatCode>General</c:formatCode>
                <c:ptCount val="7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</c:numCache>
            </c:numRef>
          </c:cat>
          <c:val>
            <c:numRef>
              <c:f>Skuodo!$M$23:$U$23</c:f>
              <c:numCache>
                <c:formatCode>General</c:formatCode>
                <c:ptCount val="7"/>
                <c:pt idx="0">
                  <c:v>5.3</c:v>
                </c:pt>
                <c:pt idx="1">
                  <c:v>4.7</c:v>
                </c:pt>
                <c:pt idx="2">
                  <c:v>10.199999999999999</c:v>
                </c:pt>
                <c:pt idx="3">
                  <c:v>16.600000000000001</c:v>
                </c:pt>
                <c:pt idx="4">
                  <c:v>15.5</c:v>
                </c:pt>
                <c:pt idx="5">
                  <c:v>14.4</c:v>
                </c:pt>
                <c:pt idx="6">
                  <c:v>15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3943168"/>
        <c:axId val="103941632"/>
      </c:lineChart>
      <c:catAx>
        <c:axId val="103872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03940096"/>
        <c:crosses val="autoZero"/>
        <c:auto val="1"/>
        <c:lblAlgn val="ctr"/>
        <c:lblOffset val="100"/>
        <c:noMultiLvlLbl val="0"/>
      </c:catAx>
      <c:valAx>
        <c:axId val="103940096"/>
        <c:scaling>
          <c:orientation val="minMax"/>
          <c:max val="26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03872768"/>
        <c:crosses val="autoZero"/>
        <c:crossBetween val="between"/>
      </c:valAx>
      <c:valAx>
        <c:axId val="103941632"/>
        <c:scaling>
          <c:orientation val="minMax"/>
        </c:scaling>
        <c:delete val="0"/>
        <c:axPos val="r"/>
        <c:numFmt formatCode="General\ \%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03943168"/>
        <c:crosses val="max"/>
        <c:crossBetween val="between"/>
      </c:valAx>
      <c:catAx>
        <c:axId val="10394316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0394163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3523622047244113E-3"/>
          <c:y val="0.78547317002041395"/>
          <c:w val="0.97973972003499565"/>
          <c:h val="0.186749052201808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500"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61509186351706E-2"/>
          <c:y val="5.0925925925925923E-2"/>
          <c:w val="0.88882349081364831"/>
          <c:h val="0.6800182268883056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Skuodo!$L$44</c:f>
              <c:strCache>
                <c:ptCount val="1"/>
                <c:pt idx="0">
                  <c:v>Pridėtinė vertė gamybos kainomis pagal veiklos vykdymo vietą | tūkst. EUR</c:v>
                </c:pt>
              </c:strCache>
            </c:strRef>
          </c:tx>
          <c:spPr>
            <a:solidFill>
              <a:srgbClr val="81BC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5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Skuodo!$M$42:$U$42</c:f>
              <c:numCache>
                <c:formatCode>General</c:formatCode>
                <c:ptCount val="7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</c:numCache>
            </c:numRef>
          </c:cat>
          <c:val>
            <c:numRef>
              <c:f>Skuodo!$M$44:$U$44</c:f>
              <c:numCache>
                <c:formatCode>General</c:formatCode>
                <c:ptCount val="7"/>
                <c:pt idx="0">
                  <c:v>17848</c:v>
                </c:pt>
                <c:pt idx="1">
                  <c:v>18943</c:v>
                </c:pt>
                <c:pt idx="2">
                  <c:v>12538</c:v>
                </c:pt>
                <c:pt idx="3">
                  <c:v>13394</c:v>
                </c:pt>
                <c:pt idx="4">
                  <c:v>16797</c:v>
                </c:pt>
                <c:pt idx="5">
                  <c:v>17738</c:v>
                </c:pt>
                <c:pt idx="6">
                  <c:v>19613</c:v>
                </c:pt>
              </c:numCache>
            </c:numRef>
          </c:val>
        </c:ser>
        <c:ser>
          <c:idx val="2"/>
          <c:order val="2"/>
          <c:tx>
            <c:strRef>
              <c:f>Skuodo!$L$45</c:f>
              <c:strCache>
                <c:ptCount val="1"/>
                <c:pt idx="0">
                  <c:v>Materialinės investicijos to meto kainomis | tūkst. EUR</c:v>
                </c:pt>
              </c:strCache>
            </c:strRef>
          </c:tx>
          <c:spPr>
            <a:solidFill>
              <a:srgbClr val="B4B4B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5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Skuodo!$M$42:$U$42</c:f>
              <c:numCache>
                <c:formatCode>General</c:formatCode>
                <c:ptCount val="7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</c:numCache>
            </c:numRef>
          </c:cat>
          <c:val>
            <c:numRef>
              <c:f>Skuodo!$M$45:$U$45</c:f>
              <c:numCache>
                <c:formatCode>General</c:formatCode>
                <c:ptCount val="7"/>
                <c:pt idx="0">
                  <c:v>10931</c:v>
                </c:pt>
                <c:pt idx="1">
                  <c:v>9134</c:v>
                </c:pt>
                <c:pt idx="2">
                  <c:v>10574</c:v>
                </c:pt>
                <c:pt idx="3">
                  <c:v>9521</c:v>
                </c:pt>
                <c:pt idx="4">
                  <c:v>9978</c:v>
                </c:pt>
                <c:pt idx="5">
                  <c:v>12152</c:v>
                </c:pt>
                <c:pt idx="6">
                  <c:v>17606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3544832"/>
        <c:axId val="73546368"/>
      </c:barChart>
      <c:lineChart>
        <c:grouping val="standard"/>
        <c:varyColors val="0"/>
        <c:ser>
          <c:idx val="0"/>
          <c:order val="0"/>
          <c:tx>
            <c:strRef>
              <c:f>Skuodo!$L$43</c:f>
              <c:strCache>
                <c:ptCount val="1"/>
                <c:pt idx="0">
                  <c:v>Tiesioginės užsienio investicijos, tenkančios vienam gyventojui, metų pabaigoje | EUR</c:v>
                </c:pt>
              </c:strCache>
            </c:strRef>
          </c:tx>
          <c:spPr>
            <a:ln w="28575" cap="rnd">
              <a:solidFill>
                <a:srgbClr val="00A1DE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5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Skuodo!$M$42:$U$42</c:f>
              <c:numCache>
                <c:formatCode>General</c:formatCode>
                <c:ptCount val="7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</c:numCache>
            </c:numRef>
          </c:cat>
          <c:val>
            <c:numRef>
              <c:f>Skuodo!$M$43:$U$43</c:f>
              <c:numCache>
                <c:formatCode>General</c:formatCode>
                <c:ptCount val="7"/>
                <c:pt idx="0">
                  <c:v>104</c:v>
                </c:pt>
                <c:pt idx="1">
                  <c:v>125</c:v>
                </c:pt>
                <c:pt idx="2">
                  <c:v>72</c:v>
                </c:pt>
                <c:pt idx="3">
                  <c:v>74</c:v>
                </c:pt>
                <c:pt idx="4">
                  <c:v>76</c:v>
                </c:pt>
                <c:pt idx="5">
                  <c:v>65</c:v>
                </c:pt>
                <c:pt idx="6">
                  <c:v>105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3558656"/>
        <c:axId val="73556736"/>
      </c:lineChart>
      <c:catAx>
        <c:axId val="73544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3546368"/>
        <c:crosses val="autoZero"/>
        <c:auto val="1"/>
        <c:lblAlgn val="ctr"/>
        <c:lblOffset val="100"/>
        <c:noMultiLvlLbl val="0"/>
      </c:catAx>
      <c:valAx>
        <c:axId val="73546368"/>
        <c:scaling>
          <c:orientation val="minMax"/>
          <c:max val="25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5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lt-LT"/>
                  <a:t>Tūkst. EUR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2.7773920288848772E-3"/>
              <c:y val="0.66268507262495524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3544832"/>
        <c:crosses val="autoZero"/>
        <c:crossBetween val="between"/>
      </c:valAx>
      <c:valAx>
        <c:axId val="73556736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5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lt-LT"/>
                  <a:t>EUR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0.97471173623086027"/>
              <c:y val="0.72368929599426557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3558656"/>
        <c:crosses val="max"/>
        <c:crossBetween val="between"/>
      </c:valAx>
      <c:catAx>
        <c:axId val="7355865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7355673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5684610733198687E-2"/>
          <c:y val="0.79955105916781521"/>
          <c:w val="0.97973972003499565"/>
          <c:h val="0.186749052201808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500"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Custom 1">
    <a:dk1>
      <a:srgbClr val="002776"/>
    </a:dk1>
    <a:lt1>
      <a:srgbClr val="FFFFFF"/>
    </a:lt1>
    <a:dk2>
      <a:srgbClr val="002776"/>
    </a:dk2>
    <a:lt2>
      <a:srgbClr val="FFFFFF"/>
    </a:lt2>
    <a:accent1>
      <a:srgbClr val="00A1DE"/>
    </a:accent1>
    <a:accent2>
      <a:srgbClr val="92D400"/>
    </a:accent2>
    <a:accent3>
      <a:srgbClr val="72C7E7"/>
    </a:accent3>
    <a:accent4>
      <a:srgbClr val="3C8A2E"/>
    </a:accent4>
    <a:accent5>
      <a:srgbClr val="002776"/>
    </a:accent5>
    <a:accent6>
      <a:srgbClr val="C9DD03"/>
    </a:accent6>
    <a:hlink>
      <a:srgbClr val="00A1DE"/>
    </a:hlink>
    <a:folHlink>
      <a:srgbClr val="72C7E7"/>
    </a:folHlink>
  </a:clrScheme>
  <a:fontScheme name="Custom 1">
    <a:majorFont>
      <a:latin typeface="Arial"/>
      <a:ea typeface=""/>
      <a:cs typeface=""/>
    </a:majorFont>
    <a:minorFont>
      <a:latin typeface="Arial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BF2A4-64A9-4227-8BBA-1F5F09F04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1348</TotalTime>
  <Pages>5</Pages>
  <Words>1547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 Touche Tohmatsu Services, Inc.</Company>
  <LinksUpToDate>false</LinksUpToDate>
  <CharactersWithSpaces>10345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Gytis Jakstonis</dc:creator>
  <cp:keywords/>
  <dc:description/>
  <cp:lastModifiedBy>Sabina</cp:lastModifiedBy>
  <cp:revision>90</cp:revision>
  <cp:lastPrinted>2016-03-02T08:05:00Z</cp:lastPrinted>
  <dcterms:created xsi:type="dcterms:W3CDTF">2016-03-01T20:52:00Z</dcterms:created>
  <dcterms:modified xsi:type="dcterms:W3CDTF">2016-06-02T21:01:00Z</dcterms:modified>
</cp:coreProperties>
</file>