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BB" w:rsidRPr="002A64F8" w:rsidRDefault="004F29D8" w:rsidP="0080175F">
      <w:pPr>
        <w:pStyle w:val="001-lineSectionheading"/>
        <w:spacing w:after="240"/>
        <w:outlineLvl w:val="0"/>
        <w:rPr>
          <w:noProof w:val="0"/>
          <w:sz w:val="48"/>
        </w:rPr>
      </w:pPr>
      <w:r w:rsidRPr="002A64F8">
        <w:rPr>
          <w:noProof w:val="0"/>
          <w:sz w:val="48"/>
        </w:rPr>
        <w:t>Šalčininkų</w:t>
      </w:r>
      <w:r w:rsidR="00F02104" w:rsidRPr="002A64F8">
        <w:rPr>
          <w:noProof w:val="0"/>
          <w:sz w:val="48"/>
        </w:rPr>
        <w:t xml:space="preserve"> rajono</w:t>
      </w:r>
      <w:r w:rsidR="005577BB" w:rsidRPr="002A64F8">
        <w:rPr>
          <w:noProof w:val="0"/>
          <w:sz w:val="48"/>
        </w:rPr>
        <w:t xml:space="preserve"> savivaldybės analizė</w:t>
      </w:r>
    </w:p>
    <w:p w:rsidR="00C849C4" w:rsidRPr="002A64F8" w:rsidRDefault="00C849C4" w:rsidP="002B4036">
      <w:pPr>
        <w:pStyle w:val="Deloittebodytext"/>
        <w:spacing w:line="240" w:lineRule="auto"/>
        <w:jc w:val="both"/>
        <w:rPr>
          <w:lang w:val="lt-LT"/>
        </w:rPr>
      </w:pPr>
      <w:r w:rsidRPr="002A64F8">
        <w:rPr>
          <w:lang w:val="lt-LT"/>
        </w:rPr>
        <w:t>Toliau pateikiama vien</w:t>
      </w:r>
      <w:r w:rsidR="00955E14" w:rsidRPr="002A64F8">
        <w:rPr>
          <w:lang w:val="lt-LT"/>
        </w:rPr>
        <w:t xml:space="preserve">os iš </w:t>
      </w:r>
      <w:r w:rsidR="00E12034" w:rsidRPr="002A64F8">
        <w:rPr>
          <w:lang w:val="lt-LT"/>
        </w:rPr>
        <w:t>p</w:t>
      </w:r>
      <w:r w:rsidR="004F29D8" w:rsidRPr="002A64F8">
        <w:rPr>
          <w:lang w:val="lt-LT"/>
        </w:rPr>
        <w:t>robleminių teritorijų – Šalčininkų</w:t>
      </w:r>
      <w:r w:rsidRPr="002A64F8">
        <w:rPr>
          <w:lang w:val="lt-LT"/>
        </w:rPr>
        <w:t xml:space="preserve"> rajono savivaldybės – atvejo stud</w:t>
      </w:r>
      <w:r w:rsidR="001F2140" w:rsidRPr="002A64F8">
        <w:rPr>
          <w:lang w:val="lt-LT"/>
        </w:rPr>
        <w:t>ija. Pirma, yra pristatoma ES struktūrinių fondų</w:t>
      </w:r>
      <w:r w:rsidRPr="002A64F8">
        <w:rPr>
          <w:lang w:val="lt-LT"/>
        </w:rPr>
        <w:t xml:space="preserve"> finansavimo apžvalga, aptariamos pagrindinės i</w:t>
      </w:r>
      <w:r w:rsidR="002E30F9" w:rsidRPr="002A64F8">
        <w:rPr>
          <w:lang w:val="lt-LT"/>
        </w:rPr>
        <w:t xml:space="preserve">nvesticinės kryptys. Vėliau </w:t>
      </w:r>
      <w:r w:rsidR="002B4036" w:rsidRPr="002A64F8">
        <w:rPr>
          <w:lang w:val="lt-LT"/>
        </w:rPr>
        <w:t>pristatoma socio-ekonominių ir aplinkos rodiklių kaita</w:t>
      </w:r>
      <w:r w:rsidR="00BC4ECE" w:rsidRPr="002A64F8">
        <w:rPr>
          <w:lang w:val="lt-LT"/>
        </w:rPr>
        <w:t xml:space="preserve"> 2007 – 2013 m. laikotarpiu</w:t>
      </w:r>
      <w:r w:rsidR="002B4036" w:rsidRPr="002A64F8">
        <w:rPr>
          <w:lang w:val="lt-LT"/>
        </w:rPr>
        <w:t xml:space="preserve">. Atvejo </w:t>
      </w:r>
      <w:r w:rsidR="002E30F9" w:rsidRPr="002A64F8">
        <w:rPr>
          <w:lang w:val="lt-LT"/>
        </w:rPr>
        <w:t xml:space="preserve">studiją apibendrina </w:t>
      </w:r>
      <w:r w:rsidR="0005231C">
        <w:rPr>
          <w:lang w:val="lt-LT"/>
        </w:rPr>
        <w:t xml:space="preserve">2007 – 2013 m. </w:t>
      </w:r>
      <w:r w:rsidR="002E30F9" w:rsidRPr="002A64F8">
        <w:rPr>
          <w:lang w:val="lt-LT"/>
        </w:rPr>
        <w:t xml:space="preserve">ES </w:t>
      </w:r>
      <w:r w:rsidR="0005231C">
        <w:rPr>
          <w:lang w:val="lt-LT"/>
        </w:rPr>
        <w:t xml:space="preserve">struktūrinės </w:t>
      </w:r>
      <w:r w:rsidR="002E30F9" w:rsidRPr="002A64F8">
        <w:rPr>
          <w:lang w:val="lt-LT"/>
        </w:rPr>
        <w:t>paramos poveikio darniam vystymuisi vertinimas</w:t>
      </w:r>
      <w:r w:rsidR="002B4036" w:rsidRPr="002A64F8">
        <w:rPr>
          <w:lang w:val="lt-LT"/>
        </w:rPr>
        <w:t>.</w:t>
      </w:r>
      <w:r w:rsidRPr="002A64F8">
        <w:rPr>
          <w:lang w:val="lt-LT"/>
        </w:rPr>
        <w:t xml:space="preserve"> </w:t>
      </w:r>
    </w:p>
    <w:p w:rsidR="005577BB" w:rsidRPr="002A64F8" w:rsidRDefault="0080175F" w:rsidP="0080175F">
      <w:pPr>
        <w:pStyle w:val="Heading1"/>
        <w:numPr>
          <w:ilvl w:val="1"/>
          <w:numId w:val="1"/>
        </w:numPr>
        <w:spacing w:before="360"/>
        <w:ind w:left="630" w:hanging="630"/>
        <w:rPr>
          <w:rFonts w:ascii="Arial" w:hAnsi="Arial" w:cs="Arial"/>
          <w:b w:val="0"/>
          <w:sz w:val="28"/>
          <w:szCs w:val="28"/>
        </w:rPr>
      </w:pPr>
      <w:r w:rsidRPr="002A64F8">
        <w:rPr>
          <w:rFonts w:ascii="Arial" w:hAnsi="Arial" w:cs="Arial"/>
          <w:b w:val="0"/>
          <w:noProof/>
          <w:sz w:val="28"/>
          <w:szCs w:val="28"/>
          <w:lang w:val="en-US"/>
        </w:rPr>
        <mc:AlternateContent>
          <mc:Choice Requires="wpg">
            <w:drawing>
              <wp:anchor distT="0" distB="0" distL="114300" distR="114300" simplePos="0" relativeHeight="251670528" behindDoc="0" locked="0" layoutInCell="1" allowOverlap="1" wp14:anchorId="4BB10F47" wp14:editId="62A404F0">
                <wp:simplePos x="0" y="0"/>
                <wp:positionH relativeFrom="margin">
                  <wp:posOffset>3761105</wp:posOffset>
                </wp:positionH>
                <wp:positionV relativeFrom="paragraph">
                  <wp:posOffset>222885</wp:posOffset>
                </wp:positionV>
                <wp:extent cx="1371600" cy="1290320"/>
                <wp:effectExtent l="0" t="0" r="0" b="5080"/>
                <wp:wrapSquare wrapText="bothSides"/>
                <wp:docPr id="14" name="Group 14"/>
                <wp:cNvGraphicFramePr/>
                <a:graphic xmlns:a="http://schemas.openxmlformats.org/drawingml/2006/main">
                  <a:graphicData uri="http://schemas.microsoft.com/office/word/2010/wordprocessingGroup">
                    <wpg:wgp>
                      <wpg:cNvGrpSpPr/>
                      <wpg:grpSpPr>
                        <a:xfrm>
                          <a:off x="0" y="0"/>
                          <a:ext cx="1371600" cy="1290320"/>
                          <a:chOff x="0" y="47361"/>
                          <a:chExt cx="923925" cy="995045"/>
                        </a:xfrm>
                      </wpg:grpSpPr>
                      <wpg:graphicFrame>
                        <wpg:cNvPr id="8" name="Chart 8"/>
                        <wpg:cNvFrPr/>
                        <wpg:xfrm>
                          <a:off x="0" y="47361"/>
                          <a:ext cx="923925" cy="995045"/>
                        </wpg:xfrm>
                        <a:graphic>
                          <a:graphicData uri="http://schemas.openxmlformats.org/drawingml/2006/chart">
                            <c:chart xmlns:c="http://schemas.openxmlformats.org/drawingml/2006/chart" xmlns:r="http://schemas.openxmlformats.org/officeDocument/2006/relationships" r:id="rId9"/>
                          </a:graphicData>
                        </a:graphic>
                      </wpg:graphicFrame>
                      <wps:wsp>
                        <wps:cNvPr id="30" name="TextBox 29"/>
                        <wps:cNvSpPr txBox="1"/>
                        <wps:spPr>
                          <a:xfrm>
                            <a:off x="95657" y="526457"/>
                            <a:ext cx="795020" cy="344170"/>
                          </a:xfrm>
                          <a:prstGeom prst="rect">
                            <a:avLst/>
                          </a:prstGeom>
                          <a:noFill/>
                        </wps:spPr>
                        <wps:txbx>
                          <w:txbxContent>
                            <w:p w:rsidR="00F73ED6" w:rsidRPr="0005231C" w:rsidRDefault="00294B32" w:rsidP="00F73ED6">
                              <w:pPr>
                                <w:pStyle w:val="NormalWeb"/>
                                <w:spacing w:before="0" w:beforeAutospacing="0" w:after="0" w:afterAutospacing="0"/>
                                <w:jc w:val="center"/>
                                <w:rPr>
                                  <w:rFonts w:ascii="Arial" w:hAnsi="Arial" w:cs="Arial"/>
                                  <w:sz w:val="6"/>
                                </w:rPr>
                              </w:pPr>
                              <w:r w:rsidRPr="0005231C">
                                <w:rPr>
                                  <w:rFonts w:ascii="Arial" w:hAnsi="Arial" w:cs="Arial"/>
                                  <w:color w:val="FFFFFF"/>
                                  <w:kern w:val="24"/>
                                  <w:sz w:val="32"/>
                                  <w:szCs w:val="144"/>
                                  <w:lang w:val="nl-NL"/>
                                </w:rPr>
                                <w:t>4.48</w:t>
                              </w:r>
                              <w:r w:rsidR="0080175F" w:rsidRPr="0005231C">
                                <w:rPr>
                                  <w:rFonts w:ascii="Arial" w:hAnsi="Arial" w:cs="Arial"/>
                                  <w:color w:val="FFFFFF"/>
                                  <w:kern w:val="24"/>
                                  <w:sz w:val="32"/>
                                  <w:szCs w:val="144"/>
                                  <w:lang w:val="nl-NL"/>
                                </w:rPr>
                                <w:t xml:space="preserve"> %</w:t>
                              </w:r>
                            </w:p>
                          </w:txbxContent>
                        </wps:txbx>
                        <wps:bodyPr wrap="square" lIns="35999" tIns="35999" rIns="35999" bIns="35999"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296.15pt;margin-top:17.55pt;width:108pt;height:101.6pt;z-index:251670528;mso-position-horizontal-relative:margin;mso-width-relative:margin;mso-height-relative:margin" coordorigin=",473" coordsize="9239,9950"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top:473;width:9239;height:9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">
                  <v:imagedata r:id="rId10" o:title=""/>
                  <o:lock v:ext="edit" aspectratio="f"/>
                </v:shape>
                <v:shapetype id="_x0000_t202" coordsize="21600,21600" o:spt="202" path="m,l,21600r21600,l21600,xe">
                  <v:stroke joinstyle="miter"/>
                  <v:path gradientshapeok="t" o:connecttype="rect"/>
                </v:shapetype>
                <v:shape id="TextBox 29" o:spid="_x0000_s1028" type="#_x0000_t202" style="position:absolute;left:956;top:5264;width:795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MEA&#10;AADbAAAADwAAAGRycy9kb3ducmV2LnhtbERPXWvCMBR9H/gfwhV8m4kKY3TG0gmiCG7MCfp4ae7a&#10;YnNTkqjVX788DPZ4ON/zvLetuJIPjWMNk7ECQVw603Cl4fC9en4FESKywdYxabhTgHwxeJpjZtyN&#10;v+i6j5VIIRwy1FDH2GVShrImi2HsOuLE/ThvMSboK2k83lK4beVUqRdpseHUUGNHy5rK8/5iNZw+&#10;du/OF+qw/rxztTXHhzpvHlqPhn3xBiJSH//Ff+6N0TBL69OX9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rwjBAAAA2wAAAA8AAAAAAAAAAAAAAAAAmAIAAGRycy9kb3du&#10;cmV2LnhtbFBLBQYAAAAABAAEAPUAAACGAwAAAAA=&#10;" filled="f" stroked="f">
                  <v:textbox inset=".99997mm,.99997mm,.99997mm,.99997mm">
                    <w:txbxContent>
                      <w:p w:rsidR="00F73ED6" w:rsidRPr="0005231C" w:rsidRDefault="00294B32" w:rsidP="00F73ED6">
                        <w:pPr>
                          <w:pStyle w:val="NormalWeb"/>
                          <w:spacing w:before="0" w:beforeAutospacing="0" w:after="0" w:afterAutospacing="0"/>
                          <w:jc w:val="center"/>
                          <w:rPr>
                            <w:rFonts w:ascii="Arial" w:hAnsi="Arial" w:cs="Arial"/>
                            <w:sz w:val="6"/>
                          </w:rPr>
                        </w:pPr>
                        <w:r w:rsidRPr="0005231C">
                          <w:rPr>
                            <w:rFonts w:ascii="Arial" w:hAnsi="Arial" w:cs="Arial"/>
                            <w:color w:val="FFFFFF"/>
                            <w:kern w:val="24"/>
                            <w:sz w:val="32"/>
                            <w:szCs w:val="144"/>
                            <w:lang w:val="nl-NL"/>
                          </w:rPr>
                          <w:t>4.48</w:t>
                        </w:r>
                        <w:r w:rsidR="0080175F" w:rsidRPr="0005231C">
                          <w:rPr>
                            <w:rFonts w:ascii="Arial" w:hAnsi="Arial" w:cs="Arial"/>
                            <w:color w:val="FFFFFF"/>
                            <w:kern w:val="24"/>
                            <w:sz w:val="32"/>
                            <w:szCs w:val="144"/>
                            <w:lang w:val="nl-NL"/>
                          </w:rPr>
                          <w:t xml:space="preserve"> %</w:t>
                        </w:r>
                      </w:p>
                    </w:txbxContent>
                  </v:textbox>
                </v:shape>
                <w10:wrap type="square" anchorx="margin"/>
              </v:group>
              <o:OLEObject Type="Embed" ProgID="Excel.Chart.8" ShapeID="Chart 8" DrawAspect="Content" ObjectID="_1524604151" r:id="rId11">
                <o:FieldCodes>\s</o:FieldCodes>
              </o:OLEObject>
            </w:pict>
          </mc:Fallback>
        </mc:AlternateContent>
      </w:r>
      <w:r w:rsidR="005577BB" w:rsidRPr="002A64F8">
        <w:rPr>
          <w:rFonts w:ascii="Arial" w:hAnsi="Arial" w:cs="Arial"/>
          <w:b w:val="0"/>
          <w:sz w:val="28"/>
          <w:szCs w:val="28"/>
        </w:rPr>
        <w:t>Finansavimo apžvalga</w:t>
      </w:r>
    </w:p>
    <w:p w:rsidR="005577BB" w:rsidRPr="002A64F8" w:rsidRDefault="00F73ED6" w:rsidP="00F73ED6">
      <w:pPr>
        <w:jc w:val="both"/>
        <w:rPr>
          <w:rFonts w:ascii="Arial" w:eastAsia="MS PGothic" w:hAnsi="Arial" w:cs="Times New Roman"/>
          <w:color w:val="000000"/>
          <w:sz w:val="20"/>
          <w:szCs w:val="48"/>
        </w:rPr>
      </w:pPr>
      <w:r w:rsidRPr="002A64F8">
        <w:rPr>
          <w:rFonts w:ascii="Arial" w:eastAsia="MS PGothic" w:hAnsi="Arial" w:cs="Times New Roman"/>
          <w:color w:val="000000"/>
          <w:sz w:val="20"/>
          <w:szCs w:val="48"/>
        </w:rPr>
        <w:t xml:space="preserve">2007 – 2013 </w:t>
      </w:r>
      <w:r w:rsidR="009A35E9" w:rsidRPr="002A64F8">
        <w:rPr>
          <w:rFonts w:ascii="Arial" w:eastAsia="MS PGothic" w:hAnsi="Arial" w:cs="Times New Roman"/>
          <w:color w:val="000000"/>
          <w:sz w:val="20"/>
          <w:szCs w:val="48"/>
        </w:rPr>
        <w:t>m</w:t>
      </w:r>
      <w:r w:rsidR="0080175F" w:rsidRPr="002A64F8">
        <w:rPr>
          <w:rFonts w:ascii="Arial" w:eastAsia="MS PGothic" w:hAnsi="Arial" w:cs="Times New Roman"/>
          <w:color w:val="000000"/>
          <w:sz w:val="20"/>
          <w:szCs w:val="48"/>
        </w:rPr>
        <w:t>. ES struktūrinių fondų</w:t>
      </w:r>
      <w:r w:rsidR="001F2140" w:rsidRPr="002A64F8">
        <w:rPr>
          <w:rFonts w:ascii="Arial" w:eastAsia="MS PGothic" w:hAnsi="Arial" w:cs="Times New Roman"/>
          <w:color w:val="000000"/>
          <w:sz w:val="20"/>
          <w:szCs w:val="48"/>
        </w:rPr>
        <w:t xml:space="preserve"> (ES SF)</w:t>
      </w:r>
      <w:r w:rsidR="0080175F" w:rsidRPr="002A64F8">
        <w:rPr>
          <w:rFonts w:ascii="Arial" w:eastAsia="MS PGothic" w:hAnsi="Arial" w:cs="Times New Roman"/>
          <w:color w:val="000000"/>
          <w:sz w:val="20"/>
          <w:szCs w:val="48"/>
        </w:rPr>
        <w:t xml:space="preserve"> programavimo</w:t>
      </w:r>
      <w:r w:rsidR="00294B32" w:rsidRPr="002A64F8">
        <w:rPr>
          <w:rFonts w:ascii="Arial" w:eastAsia="MS PGothic" w:hAnsi="Arial" w:cs="Times New Roman"/>
          <w:color w:val="000000"/>
          <w:sz w:val="20"/>
          <w:szCs w:val="48"/>
        </w:rPr>
        <w:t xml:space="preserve"> laikotarpiu, Šalčininkų</w:t>
      </w:r>
      <w:r w:rsidR="00955E14" w:rsidRPr="002A64F8">
        <w:rPr>
          <w:rFonts w:ascii="Arial" w:eastAsia="MS PGothic" w:hAnsi="Arial" w:cs="Times New Roman"/>
          <w:color w:val="000000"/>
          <w:sz w:val="20"/>
          <w:szCs w:val="48"/>
        </w:rPr>
        <w:t xml:space="preserve"> rajono</w:t>
      </w:r>
      <w:r w:rsidR="009A35E9" w:rsidRPr="002A64F8">
        <w:rPr>
          <w:rFonts w:ascii="Arial" w:eastAsia="MS PGothic" w:hAnsi="Arial" w:cs="Times New Roman"/>
          <w:color w:val="000000"/>
          <w:sz w:val="20"/>
          <w:szCs w:val="48"/>
        </w:rPr>
        <w:t xml:space="preserve"> savivaldybėje, </w:t>
      </w:r>
      <w:r w:rsidR="00CF47D0" w:rsidRPr="002A64F8">
        <w:rPr>
          <w:rFonts w:ascii="Arial" w:eastAsia="MS PGothic" w:hAnsi="Arial" w:cs="Times New Roman"/>
          <w:color w:val="000000"/>
          <w:sz w:val="20"/>
          <w:szCs w:val="48"/>
        </w:rPr>
        <w:t xml:space="preserve">buvo finansuoti </w:t>
      </w:r>
      <w:r w:rsidR="00294B32" w:rsidRPr="002A64F8">
        <w:rPr>
          <w:rFonts w:ascii="Arial" w:eastAsia="MS PGothic" w:hAnsi="Arial" w:cs="Times New Roman"/>
          <w:color w:val="000000"/>
          <w:sz w:val="20"/>
          <w:szCs w:val="48"/>
        </w:rPr>
        <w:t>64</w:t>
      </w:r>
      <w:r w:rsidR="00ED3673" w:rsidRPr="002A64F8">
        <w:rPr>
          <w:rFonts w:ascii="Arial" w:eastAsia="MS PGothic" w:hAnsi="Arial" w:cs="Times New Roman"/>
          <w:color w:val="000000"/>
          <w:sz w:val="20"/>
          <w:szCs w:val="48"/>
        </w:rPr>
        <w:t xml:space="preserve"> </w:t>
      </w:r>
      <w:r w:rsidRPr="002A64F8">
        <w:rPr>
          <w:rFonts w:ascii="Arial" w:eastAsia="MS PGothic" w:hAnsi="Arial" w:cs="Times New Roman"/>
          <w:color w:val="000000"/>
          <w:sz w:val="20"/>
          <w:szCs w:val="48"/>
        </w:rPr>
        <w:t xml:space="preserve">projektai. </w:t>
      </w:r>
      <w:r w:rsidR="009A35E9" w:rsidRPr="002A64F8">
        <w:rPr>
          <w:rFonts w:ascii="Arial" w:eastAsia="MS PGothic" w:hAnsi="Arial" w:cs="Times New Roman"/>
          <w:color w:val="000000"/>
          <w:sz w:val="20"/>
          <w:szCs w:val="48"/>
        </w:rPr>
        <w:t xml:space="preserve">Bendra </w:t>
      </w:r>
      <w:r w:rsidR="0080175F" w:rsidRPr="002A64F8">
        <w:rPr>
          <w:rFonts w:ascii="Arial" w:eastAsia="MS PGothic" w:hAnsi="Arial" w:cs="Times New Roman"/>
          <w:color w:val="000000"/>
          <w:sz w:val="20"/>
          <w:szCs w:val="48"/>
        </w:rPr>
        <w:t>projektų vertė</w:t>
      </w:r>
      <w:r w:rsidR="009A35E9" w:rsidRPr="002A64F8">
        <w:rPr>
          <w:rFonts w:ascii="Arial" w:eastAsia="MS PGothic" w:hAnsi="Arial" w:cs="Times New Roman"/>
          <w:color w:val="000000"/>
          <w:sz w:val="20"/>
          <w:szCs w:val="48"/>
        </w:rPr>
        <w:t xml:space="preserve"> siekė</w:t>
      </w:r>
      <w:r w:rsidR="00955E14" w:rsidRPr="002A64F8">
        <w:rPr>
          <w:rFonts w:ascii="Arial" w:eastAsia="MS PGothic" w:hAnsi="Arial" w:cs="Times New Roman"/>
          <w:color w:val="000000"/>
          <w:sz w:val="20"/>
          <w:szCs w:val="48"/>
        </w:rPr>
        <w:t xml:space="preserve"> </w:t>
      </w:r>
      <w:r w:rsidR="00294B32" w:rsidRPr="002A64F8">
        <w:rPr>
          <w:rFonts w:ascii="Arial" w:eastAsia="MS PGothic" w:hAnsi="Arial" w:cs="Times New Roman"/>
          <w:color w:val="000000"/>
          <w:sz w:val="20"/>
          <w:szCs w:val="48"/>
        </w:rPr>
        <w:t>38</w:t>
      </w:r>
      <w:r w:rsidR="0005231C">
        <w:rPr>
          <w:rFonts w:ascii="Arial" w:eastAsia="MS PGothic" w:hAnsi="Arial" w:cs="Times New Roman"/>
          <w:color w:val="000000"/>
          <w:sz w:val="20"/>
          <w:szCs w:val="48"/>
        </w:rPr>
        <w:t>.505 mln.</w:t>
      </w:r>
      <w:r w:rsidR="00294B32" w:rsidRPr="002A64F8">
        <w:rPr>
          <w:rFonts w:ascii="Arial" w:eastAsia="MS PGothic" w:hAnsi="Arial" w:cs="Times New Roman"/>
          <w:color w:val="000000"/>
          <w:sz w:val="20"/>
          <w:szCs w:val="48"/>
        </w:rPr>
        <w:t xml:space="preserve"> EUR; tai sudarė 4.48</w:t>
      </w:r>
      <w:r w:rsidR="0080175F" w:rsidRPr="002A64F8">
        <w:rPr>
          <w:rFonts w:ascii="Arial" w:eastAsia="MS PGothic" w:hAnsi="Arial" w:cs="Times New Roman"/>
          <w:color w:val="000000"/>
          <w:sz w:val="20"/>
          <w:szCs w:val="48"/>
        </w:rPr>
        <w:t xml:space="preserve"> proc. visų probleminėse teritorijose įgyvendintų</w:t>
      </w:r>
      <w:r w:rsidR="001F2140" w:rsidRPr="002A64F8">
        <w:rPr>
          <w:rFonts w:ascii="Arial" w:eastAsia="MS PGothic" w:hAnsi="Arial" w:cs="Times New Roman"/>
          <w:color w:val="000000"/>
          <w:sz w:val="20"/>
          <w:szCs w:val="48"/>
        </w:rPr>
        <w:t xml:space="preserve"> ES SF</w:t>
      </w:r>
      <w:r w:rsidR="0080175F" w:rsidRPr="002A64F8">
        <w:rPr>
          <w:rFonts w:ascii="Arial" w:eastAsia="MS PGothic" w:hAnsi="Arial" w:cs="Times New Roman"/>
          <w:color w:val="000000"/>
          <w:sz w:val="20"/>
          <w:szCs w:val="48"/>
        </w:rPr>
        <w:t xml:space="preserve"> projektų vertės.</w:t>
      </w:r>
      <w:r w:rsidR="00CF323C" w:rsidRPr="002A64F8">
        <w:rPr>
          <w:rFonts w:ascii="Arial" w:eastAsia="MS PGothic" w:hAnsi="Arial" w:cs="Times New Roman"/>
          <w:color w:val="000000"/>
          <w:sz w:val="20"/>
          <w:szCs w:val="48"/>
        </w:rPr>
        <w:t xml:space="preserve"> </w:t>
      </w:r>
    </w:p>
    <w:p w:rsidR="000D5BA5" w:rsidRPr="002A64F8" w:rsidRDefault="0080175F" w:rsidP="00F73ED6">
      <w:pPr>
        <w:jc w:val="both"/>
        <w:rPr>
          <w:rFonts w:ascii="Arial" w:eastAsia="MS PGothic" w:hAnsi="Arial" w:cs="Times New Roman"/>
          <w:color w:val="000000"/>
          <w:sz w:val="20"/>
          <w:szCs w:val="48"/>
        </w:rPr>
      </w:pPr>
      <w:r w:rsidRPr="002A64F8">
        <w:rPr>
          <w:rFonts w:ascii="Arial" w:eastAsia="MS PGothic" w:hAnsi="Arial" w:cs="Times New Roman"/>
          <w:color w:val="000000"/>
          <w:sz w:val="20"/>
          <w:szCs w:val="48"/>
        </w:rPr>
        <w:t>Sangl</w:t>
      </w:r>
      <w:r w:rsidR="00955E14" w:rsidRPr="002A64F8">
        <w:rPr>
          <w:rFonts w:ascii="Arial" w:eastAsia="MS PGothic" w:hAnsi="Arial" w:cs="Times New Roman"/>
          <w:color w:val="000000"/>
          <w:sz w:val="20"/>
          <w:szCs w:val="48"/>
        </w:rPr>
        <w:t>audos skatinimo veiksmų programos</w:t>
      </w:r>
      <w:r w:rsidRPr="002A64F8">
        <w:rPr>
          <w:rFonts w:ascii="Arial" w:eastAsia="MS PGothic" w:hAnsi="Arial" w:cs="Times New Roman"/>
          <w:color w:val="000000"/>
          <w:sz w:val="20"/>
          <w:szCs w:val="48"/>
        </w:rPr>
        <w:t xml:space="preserve"> (SSVP)</w:t>
      </w:r>
      <w:r w:rsidR="00C144CE" w:rsidRPr="002A64F8">
        <w:rPr>
          <w:rFonts w:ascii="Arial" w:eastAsia="MS PGothic" w:hAnsi="Arial" w:cs="Times New Roman"/>
          <w:color w:val="000000"/>
          <w:sz w:val="20"/>
          <w:szCs w:val="48"/>
        </w:rPr>
        <w:t xml:space="preserve"> apimtyje įgyvendintų projektų vertė </w:t>
      </w:r>
      <w:r w:rsidR="00CF323C" w:rsidRPr="002A64F8">
        <w:rPr>
          <w:rFonts w:ascii="Arial" w:eastAsia="MS PGothic" w:hAnsi="Arial" w:cs="Times New Roman"/>
          <w:color w:val="000000"/>
          <w:sz w:val="20"/>
          <w:szCs w:val="48"/>
        </w:rPr>
        <w:t xml:space="preserve">sudaro </w:t>
      </w:r>
      <w:r w:rsidR="00CA47B0" w:rsidRPr="002A64F8">
        <w:rPr>
          <w:rFonts w:ascii="Arial" w:eastAsia="MS PGothic" w:hAnsi="Arial" w:cs="Times New Roman"/>
          <w:color w:val="000000"/>
          <w:sz w:val="20"/>
          <w:szCs w:val="48"/>
        </w:rPr>
        <w:t>lygiai pusę</w:t>
      </w:r>
      <w:r w:rsidR="00C144CE" w:rsidRPr="002A64F8">
        <w:rPr>
          <w:rFonts w:ascii="Arial" w:eastAsia="MS PGothic" w:hAnsi="Arial" w:cs="Times New Roman"/>
          <w:color w:val="000000"/>
          <w:sz w:val="20"/>
          <w:szCs w:val="48"/>
        </w:rPr>
        <w:t xml:space="preserve"> savivaldybės teritorijoje ES SF lėšomi</w:t>
      </w:r>
      <w:r w:rsidR="00294B32" w:rsidRPr="002A64F8">
        <w:rPr>
          <w:rFonts w:ascii="Arial" w:eastAsia="MS PGothic" w:hAnsi="Arial" w:cs="Times New Roman"/>
          <w:color w:val="000000"/>
          <w:sz w:val="20"/>
          <w:szCs w:val="48"/>
        </w:rPr>
        <w:t>s finansuotų projektų vertės (50</w:t>
      </w:r>
      <w:r w:rsidR="00C144CE" w:rsidRPr="002A64F8">
        <w:rPr>
          <w:rFonts w:ascii="Arial" w:eastAsia="MS PGothic" w:hAnsi="Arial" w:cs="Times New Roman"/>
          <w:color w:val="000000"/>
          <w:sz w:val="20"/>
          <w:szCs w:val="48"/>
        </w:rPr>
        <w:t xml:space="preserve"> proc.). </w:t>
      </w:r>
      <w:r w:rsidR="00955E14" w:rsidRPr="002A64F8">
        <w:rPr>
          <w:rFonts w:ascii="Arial" w:eastAsia="MS PGothic" w:hAnsi="Arial" w:cs="Times New Roman"/>
          <w:color w:val="000000"/>
          <w:sz w:val="20"/>
          <w:szCs w:val="48"/>
        </w:rPr>
        <w:t xml:space="preserve"> Ekonomikos augimo veiksmų programos (EAVP) lėšos sudarė beveik </w:t>
      </w:r>
      <w:r w:rsidR="00294B32" w:rsidRPr="002A64F8">
        <w:rPr>
          <w:rFonts w:ascii="Arial" w:eastAsia="MS PGothic" w:hAnsi="Arial" w:cs="Times New Roman"/>
          <w:color w:val="000000"/>
          <w:sz w:val="20"/>
          <w:szCs w:val="48"/>
        </w:rPr>
        <w:t>45</w:t>
      </w:r>
      <w:r w:rsidR="00955E14" w:rsidRPr="002A64F8">
        <w:rPr>
          <w:rFonts w:ascii="Arial" w:eastAsia="MS PGothic" w:hAnsi="Arial" w:cs="Times New Roman"/>
          <w:color w:val="000000"/>
          <w:sz w:val="20"/>
          <w:szCs w:val="48"/>
        </w:rPr>
        <w:t xml:space="preserve"> proc.</w:t>
      </w:r>
      <w:r w:rsidR="00C144CE" w:rsidRPr="002A64F8">
        <w:rPr>
          <w:rFonts w:ascii="Arial" w:eastAsia="MS PGothic" w:hAnsi="Arial" w:cs="Times New Roman"/>
          <w:color w:val="000000"/>
          <w:sz w:val="20"/>
          <w:szCs w:val="48"/>
        </w:rPr>
        <w:t xml:space="preserve"> viso skirto ES SF finansavimo, t</w:t>
      </w:r>
      <w:r w:rsidR="00D65C3C" w:rsidRPr="002A64F8">
        <w:rPr>
          <w:rFonts w:ascii="Arial" w:eastAsia="MS PGothic" w:hAnsi="Arial" w:cs="Times New Roman"/>
          <w:color w:val="000000"/>
          <w:sz w:val="20"/>
          <w:szCs w:val="48"/>
        </w:rPr>
        <w:t>uo tarpu Žmogiškųjų išt</w:t>
      </w:r>
      <w:r w:rsidR="000D5BA5" w:rsidRPr="002A64F8">
        <w:rPr>
          <w:rFonts w:ascii="Arial" w:eastAsia="MS PGothic" w:hAnsi="Arial" w:cs="Times New Roman"/>
          <w:color w:val="000000"/>
          <w:sz w:val="20"/>
          <w:szCs w:val="48"/>
        </w:rPr>
        <w:t>eklių veiksmų programos</w:t>
      </w:r>
      <w:r w:rsidR="00D65C3C" w:rsidRPr="002A64F8">
        <w:rPr>
          <w:rFonts w:ascii="Arial" w:eastAsia="MS PGothic" w:hAnsi="Arial" w:cs="Times New Roman"/>
          <w:color w:val="000000"/>
          <w:sz w:val="20"/>
          <w:szCs w:val="48"/>
        </w:rPr>
        <w:t xml:space="preserve"> (ŽIPVP) </w:t>
      </w:r>
      <w:r w:rsidR="000D5BA5" w:rsidRPr="002A64F8">
        <w:rPr>
          <w:rFonts w:ascii="Arial" w:eastAsia="MS PGothic" w:hAnsi="Arial" w:cs="Times New Roman"/>
          <w:color w:val="000000"/>
          <w:sz w:val="20"/>
          <w:szCs w:val="48"/>
        </w:rPr>
        <w:t>lėšos</w:t>
      </w:r>
      <w:r w:rsidR="00D65C3C" w:rsidRPr="002A64F8">
        <w:rPr>
          <w:rFonts w:ascii="Arial" w:eastAsia="MS PGothic" w:hAnsi="Arial" w:cs="Times New Roman"/>
          <w:color w:val="000000"/>
          <w:sz w:val="20"/>
          <w:szCs w:val="48"/>
        </w:rPr>
        <w:t xml:space="preserve"> </w:t>
      </w:r>
      <w:r w:rsidR="000D5BA5" w:rsidRPr="002A64F8">
        <w:rPr>
          <w:rFonts w:ascii="Arial" w:eastAsia="MS PGothic" w:hAnsi="Arial" w:cs="Times New Roman"/>
          <w:color w:val="000000"/>
          <w:sz w:val="20"/>
          <w:szCs w:val="48"/>
        </w:rPr>
        <w:t xml:space="preserve">sudarė </w:t>
      </w:r>
      <w:r w:rsidR="00CA47B0" w:rsidRPr="002A64F8">
        <w:rPr>
          <w:rFonts w:ascii="Arial" w:eastAsia="MS PGothic" w:hAnsi="Arial" w:cs="Times New Roman"/>
          <w:color w:val="000000"/>
          <w:sz w:val="20"/>
          <w:szCs w:val="48"/>
        </w:rPr>
        <w:t>vos</w:t>
      </w:r>
      <w:r w:rsidR="00294B32" w:rsidRPr="002A64F8">
        <w:rPr>
          <w:rFonts w:ascii="Arial" w:eastAsia="MS PGothic" w:hAnsi="Arial" w:cs="Times New Roman"/>
          <w:color w:val="000000"/>
          <w:sz w:val="20"/>
          <w:szCs w:val="48"/>
        </w:rPr>
        <w:t xml:space="preserve"> 5</w:t>
      </w:r>
      <w:r w:rsidR="000D5BA5" w:rsidRPr="002A64F8">
        <w:rPr>
          <w:rFonts w:ascii="Arial" w:eastAsia="MS PGothic" w:hAnsi="Arial" w:cs="Times New Roman"/>
          <w:color w:val="000000"/>
          <w:sz w:val="20"/>
          <w:szCs w:val="48"/>
        </w:rPr>
        <w:t xml:space="preserve"> proc. </w:t>
      </w:r>
      <w:r w:rsidR="00C144CE" w:rsidRPr="002A64F8">
        <w:rPr>
          <w:rFonts w:ascii="Arial" w:eastAsia="MS PGothic" w:hAnsi="Arial" w:cs="Times New Roman"/>
          <w:color w:val="000000"/>
          <w:sz w:val="20"/>
          <w:szCs w:val="48"/>
        </w:rPr>
        <w:t>Nagrinėjant projektų skaičių, matoma, kad ŽIPVP ap</w:t>
      </w:r>
      <w:r w:rsidR="00294B32" w:rsidRPr="002A64F8">
        <w:rPr>
          <w:rFonts w:ascii="Arial" w:eastAsia="MS PGothic" w:hAnsi="Arial" w:cs="Times New Roman"/>
          <w:color w:val="000000"/>
          <w:sz w:val="20"/>
          <w:szCs w:val="48"/>
        </w:rPr>
        <w:t>imtyje buvo įgyvendinta 14</w:t>
      </w:r>
      <w:r w:rsidR="00264515" w:rsidRPr="002A64F8">
        <w:rPr>
          <w:rFonts w:ascii="Arial" w:eastAsia="MS PGothic" w:hAnsi="Arial" w:cs="Times New Roman"/>
          <w:color w:val="000000"/>
          <w:sz w:val="20"/>
          <w:szCs w:val="48"/>
        </w:rPr>
        <w:t xml:space="preserve"> projektų</w:t>
      </w:r>
      <w:r w:rsidR="00CA47B0" w:rsidRPr="002A64F8">
        <w:rPr>
          <w:rFonts w:ascii="Arial" w:eastAsia="MS PGothic" w:hAnsi="Arial" w:cs="Times New Roman"/>
          <w:color w:val="000000"/>
          <w:sz w:val="20"/>
          <w:szCs w:val="48"/>
        </w:rPr>
        <w:t>,</w:t>
      </w:r>
      <w:r w:rsidR="00294B32" w:rsidRPr="002A64F8">
        <w:rPr>
          <w:rFonts w:ascii="Arial" w:eastAsia="MS PGothic" w:hAnsi="Arial" w:cs="Times New Roman"/>
          <w:color w:val="000000"/>
          <w:sz w:val="20"/>
          <w:szCs w:val="48"/>
        </w:rPr>
        <w:t xml:space="preserve"> EAVP –</w:t>
      </w:r>
      <w:r w:rsidR="00CA47B0" w:rsidRPr="002A64F8">
        <w:rPr>
          <w:rFonts w:ascii="Arial" w:eastAsia="MS PGothic" w:hAnsi="Arial" w:cs="Times New Roman"/>
          <w:color w:val="000000"/>
          <w:sz w:val="20"/>
          <w:szCs w:val="48"/>
        </w:rPr>
        <w:t xml:space="preserve"> </w:t>
      </w:r>
      <w:r w:rsidR="00294B32" w:rsidRPr="002A64F8">
        <w:rPr>
          <w:rFonts w:ascii="Arial" w:eastAsia="MS PGothic" w:hAnsi="Arial" w:cs="Times New Roman"/>
          <w:color w:val="000000"/>
          <w:sz w:val="20"/>
          <w:szCs w:val="48"/>
        </w:rPr>
        <w:t>17</w:t>
      </w:r>
      <w:r w:rsidR="00CA47B0" w:rsidRPr="002A64F8">
        <w:rPr>
          <w:rFonts w:ascii="Arial" w:eastAsia="MS PGothic" w:hAnsi="Arial" w:cs="Times New Roman"/>
          <w:color w:val="000000"/>
          <w:sz w:val="20"/>
          <w:szCs w:val="48"/>
        </w:rPr>
        <w:t>, o</w:t>
      </w:r>
      <w:r w:rsidR="00C144CE" w:rsidRPr="002A64F8">
        <w:rPr>
          <w:rFonts w:ascii="Arial" w:eastAsia="MS PGothic" w:hAnsi="Arial" w:cs="Times New Roman"/>
          <w:color w:val="000000"/>
          <w:sz w:val="20"/>
          <w:szCs w:val="48"/>
        </w:rPr>
        <w:t xml:space="preserve"> SSVP </w:t>
      </w:r>
      <w:r w:rsidR="00294B32" w:rsidRPr="002A64F8">
        <w:rPr>
          <w:rFonts w:ascii="Arial" w:eastAsia="MS PGothic" w:hAnsi="Arial" w:cs="Times New Roman"/>
          <w:color w:val="000000"/>
          <w:sz w:val="20"/>
          <w:szCs w:val="48"/>
        </w:rPr>
        <w:t>– 33</w:t>
      </w:r>
      <w:r w:rsidR="00C144CE" w:rsidRPr="002A64F8">
        <w:rPr>
          <w:rFonts w:ascii="Arial" w:eastAsia="MS PGothic" w:hAnsi="Arial" w:cs="Times New Roman"/>
          <w:color w:val="000000"/>
          <w:sz w:val="20"/>
          <w:szCs w:val="48"/>
        </w:rPr>
        <w:t xml:space="preserve"> projektai.</w:t>
      </w:r>
    </w:p>
    <w:p w:rsidR="0020781B" w:rsidRPr="002A64F8" w:rsidRDefault="00D65C3C" w:rsidP="0020781B">
      <w:pPr>
        <w:pStyle w:val="Caption"/>
        <w:keepNext/>
      </w:pPr>
      <w:r w:rsidRPr="002A64F8">
        <w:rPr>
          <w:noProof/>
          <w:lang w:val="en-US"/>
        </w:rPr>
        <w:drawing>
          <wp:anchor distT="0" distB="0" distL="114300" distR="114300" simplePos="0" relativeHeight="251671552" behindDoc="0" locked="0" layoutInCell="1" allowOverlap="1" wp14:anchorId="4C163F33" wp14:editId="0C835CCD">
            <wp:simplePos x="0" y="0"/>
            <wp:positionH relativeFrom="margin">
              <wp:posOffset>33655</wp:posOffset>
            </wp:positionH>
            <wp:positionV relativeFrom="paragraph">
              <wp:posOffset>351790</wp:posOffset>
            </wp:positionV>
            <wp:extent cx="2971800" cy="21431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0781B" w:rsidRPr="002A64F8">
        <w:fldChar w:fldCharType="begin"/>
      </w:r>
      <w:r w:rsidR="0020781B" w:rsidRPr="002A64F8">
        <w:instrText xml:space="preserve"> SEQ paveikslas \* ARABIC </w:instrText>
      </w:r>
      <w:r w:rsidR="0020781B" w:rsidRPr="002A64F8">
        <w:fldChar w:fldCharType="separate"/>
      </w:r>
      <w:r w:rsidR="008A1509" w:rsidRPr="002A64F8">
        <w:t>1</w:t>
      </w:r>
      <w:r w:rsidR="0020781B" w:rsidRPr="002A64F8">
        <w:fldChar w:fldCharType="end"/>
      </w:r>
      <w:r w:rsidR="0020781B" w:rsidRPr="002A64F8">
        <w:t xml:space="preserve"> paveikslas. Veiksmų</w:t>
      </w:r>
      <w:r w:rsidR="000D5BA5" w:rsidRPr="002A64F8">
        <w:t xml:space="preserve"> programų finansavimas (dalis bendros projektų vertės</w:t>
      </w:r>
      <w:r w:rsidR="00326A1B" w:rsidRPr="002A64F8">
        <w:t>)</w:t>
      </w:r>
      <w:r w:rsidR="0020781B" w:rsidRPr="002A64F8">
        <w:t xml:space="preserve"> </w:t>
      </w:r>
    </w:p>
    <w:p w:rsidR="00D65C3C" w:rsidRPr="002A64F8" w:rsidRDefault="00D65C3C" w:rsidP="00A552B8">
      <w:pPr>
        <w:pStyle w:val="Caption"/>
        <w:spacing w:before="240"/>
        <w:rPr>
          <w:b w:val="0"/>
        </w:rPr>
      </w:pPr>
    </w:p>
    <w:p w:rsidR="00D65C3C" w:rsidRPr="002A64F8" w:rsidRDefault="00D65C3C" w:rsidP="00A552B8">
      <w:pPr>
        <w:pStyle w:val="Caption"/>
        <w:spacing w:before="240"/>
        <w:rPr>
          <w:b w:val="0"/>
        </w:rPr>
      </w:pPr>
    </w:p>
    <w:p w:rsidR="00D65C3C" w:rsidRPr="002A64F8" w:rsidRDefault="00D65C3C" w:rsidP="00A552B8">
      <w:pPr>
        <w:pStyle w:val="Caption"/>
        <w:spacing w:before="240"/>
        <w:rPr>
          <w:b w:val="0"/>
        </w:rPr>
      </w:pPr>
    </w:p>
    <w:p w:rsidR="00D65C3C" w:rsidRPr="002A64F8" w:rsidRDefault="00D65C3C" w:rsidP="00A552B8">
      <w:pPr>
        <w:pStyle w:val="Caption"/>
        <w:spacing w:before="240"/>
        <w:rPr>
          <w:b w:val="0"/>
        </w:rPr>
      </w:pPr>
    </w:p>
    <w:p w:rsidR="00D65C3C" w:rsidRPr="002A64F8" w:rsidRDefault="00D65C3C" w:rsidP="00A552B8">
      <w:pPr>
        <w:pStyle w:val="Caption"/>
        <w:spacing w:before="240"/>
        <w:rPr>
          <w:b w:val="0"/>
        </w:rPr>
      </w:pPr>
    </w:p>
    <w:p w:rsidR="00D65C3C" w:rsidRPr="002A64F8" w:rsidRDefault="00D65C3C" w:rsidP="00A552B8">
      <w:pPr>
        <w:pStyle w:val="Caption"/>
        <w:spacing w:before="240"/>
        <w:rPr>
          <w:b w:val="0"/>
        </w:rPr>
      </w:pPr>
    </w:p>
    <w:p w:rsidR="00D65C3C" w:rsidRPr="002A64F8" w:rsidRDefault="00D65C3C" w:rsidP="00A552B8">
      <w:pPr>
        <w:pStyle w:val="Caption"/>
        <w:spacing w:before="240"/>
        <w:rPr>
          <w:b w:val="0"/>
        </w:rPr>
      </w:pPr>
    </w:p>
    <w:p w:rsidR="00D65C3C" w:rsidRPr="002A64F8" w:rsidRDefault="00D65C3C" w:rsidP="00D65C3C">
      <w:pPr>
        <w:pStyle w:val="Caption"/>
        <w:spacing w:after="0"/>
        <w:rPr>
          <w:b w:val="0"/>
        </w:rPr>
      </w:pPr>
    </w:p>
    <w:p w:rsidR="0005231C" w:rsidRDefault="0005231C" w:rsidP="00D65C3C">
      <w:pPr>
        <w:pStyle w:val="Caption"/>
        <w:spacing w:before="120"/>
        <w:rPr>
          <w:b w:val="0"/>
        </w:rPr>
      </w:pPr>
    </w:p>
    <w:p w:rsidR="005577BB" w:rsidRPr="002A64F8" w:rsidRDefault="005577BB" w:rsidP="00D65C3C">
      <w:pPr>
        <w:pStyle w:val="Caption"/>
        <w:spacing w:before="120"/>
        <w:rPr>
          <w:b w:val="0"/>
        </w:rPr>
      </w:pPr>
      <w:r w:rsidRPr="002A64F8">
        <w:rPr>
          <w:b w:val="0"/>
        </w:rPr>
        <w:t xml:space="preserve">Šaltinis: </w:t>
      </w:r>
      <w:hyperlink r:id="rId13" w:history="1">
        <w:r w:rsidR="009D7299" w:rsidRPr="002A64F8">
          <w:rPr>
            <w:rStyle w:val="Hyperlink"/>
            <w:b w:val="0"/>
          </w:rPr>
          <w:t>www.esparama.lt</w:t>
        </w:r>
      </w:hyperlink>
    </w:p>
    <w:p w:rsidR="00C83C6E" w:rsidRPr="002A64F8" w:rsidRDefault="002677E8" w:rsidP="000C024B">
      <w:pPr>
        <w:jc w:val="both"/>
        <w:rPr>
          <w:rFonts w:ascii="Arial" w:hAnsi="Arial" w:cs="Arial"/>
          <w:sz w:val="20"/>
        </w:rPr>
      </w:pPr>
      <w:r w:rsidRPr="002A64F8">
        <w:rPr>
          <w:rFonts w:ascii="Arial" w:hAnsi="Arial" w:cs="Arial"/>
          <w:sz w:val="20"/>
        </w:rPr>
        <w:t xml:space="preserve">Analizuojant veiksmų </w:t>
      </w:r>
      <w:r w:rsidR="000534F9" w:rsidRPr="002A64F8">
        <w:rPr>
          <w:rFonts w:ascii="Arial" w:hAnsi="Arial" w:cs="Arial"/>
          <w:sz w:val="20"/>
        </w:rPr>
        <w:t>programų prioritetų</w:t>
      </w:r>
      <w:r w:rsidRPr="002A64F8">
        <w:rPr>
          <w:rFonts w:ascii="Arial" w:hAnsi="Arial" w:cs="Arial"/>
          <w:sz w:val="20"/>
        </w:rPr>
        <w:t xml:space="preserve"> finansavimą</w:t>
      </w:r>
      <w:r w:rsidR="003D195A" w:rsidRPr="002A64F8">
        <w:rPr>
          <w:rFonts w:ascii="Arial" w:hAnsi="Arial" w:cs="Arial"/>
          <w:sz w:val="20"/>
        </w:rPr>
        <w:t>,</w:t>
      </w:r>
      <w:r w:rsidR="0005231C">
        <w:rPr>
          <w:rFonts w:ascii="Arial" w:hAnsi="Arial" w:cs="Arial"/>
          <w:sz w:val="20"/>
        </w:rPr>
        <w:t xml:space="preserve"> ŽIPVP apimtyje ES finansavias </w:t>
      </w:r>
      <w:r w:rsidR="00C83C6E" w:rsidRPr="002A64F8">
        <w:rPr>
          <w:rFonts w:ascii="Arial" w:hAnsi="Arial" w:cs="Arial"/>
          <w:sz w:val="20"/>
        </w:rPr>
        <w:t xml:space="preserve"> </w:t>
      </w:r>
      <w:r w:rsidR="003B6A83" w:rsidRPr="002A64F8">
        <w:rPr>
          <w:rFonts w:ascii="Arial" w:hAnsi="Arial" w:cs="Arial"/>
          <w:sz w:val="20"/>
        </w:rPr>
        <w:t>buvo skirta</w:t>
      </w:r>
      <w:r w:rsidR="0005231C">
        <w:rPr>
          <w:rFonts w:ascii="Arial" w:hAnsi="Arial" w:cs="Arial"/>
          <w:sz w:val="20"/>
        </w:rPr>
        <w:t>s</w:t>
      </w:r>
      <w:r w:rsidR="00C83C6E" w:rsidRPr="002A64F8">
        <w:rPr>
          <w:rFonts w:ascii="Arial" w:hAnsi="Arial" w:cs="Arial"/>
          <w:sz w:val="20"/>
        </w:rPr>
        <w:t xml:space="preserve"> prioritetų „1 Prioritetas. Kokybiškas užimtumas ir socialinė aprėptis</w:t>
      </w:r>
      <w:r w:rsidR="003B6A83" w:rsidRPr="002A64F8">
        <w:rPr>
          <w:rFonts w:ascii="Arial" w:hAnsi="Arial" w:cs="Arial"/>
          <w:sz w:val="20"/>
        </w:rPr>
        <w:t>“</w:t>
      </w:r>
      <w:r w:rsidR="00CA47B0" w:rsidRPr="002A64F8">
        <w:rPr>
          <w:rFonts w:ascii="Arial" w:hAnsi="Arial" w:cs="Arial"/>
          <w:sz w:val="20"/>
        </w:rPr>
        <w:t>, „2 Prioritetas. Mokymasis visa gyvenimą”</w:t>
      </w:r>
      <w:r w:rsidR="003B6A83" w:rsidRPr="002A64F8">
        <w:rPr>
          <w:rFonts w:ascii="Arial" w:hAnsi="Arial" w:cs="Arial"/>
          <w:sz w:val="20"/>
        </w:rPr>
        <w:t xml:space="preserve"> </w:t>
      </w:r>
      <w:r w:rsidR="00C83C6E" w:rsidRPr="002A64F8">
        <w:rPr>
          <w:rFonts w:ascii="Arial" w:hAnsi="Arial" w:cs="Arial"/>
          <w:sz w:val="20"/>
        </w:rPr>
        <w:t>ir „4 Prioritetas. Administracinių gebėjimų stiprinimas ir viešojo administravimo efektyvumo didinima</w:t>
      </w:r>
      <w:r w:rsidR="0005613F" w:rsidRPr="002A64F8">
        <w:rPr>
          <w:rFonts w:ascii="Arial" w:hAnsi="Arial" w:cs="Arial"/>
          <w:sz w:val="20"/>
        </w:rPr>
        <w:t>s“ projekta</w:t>
      </w:r>
      <w:r w:rsidR="0005231C">
        <w:rPr>
          <w:rFonts w:ascii="Arial" w:hAnsi="Arial" w:cs="Arial"/>
          <w:sz w:val="20"/>
        </w:rPr>
        <w:t>ms</w:t>
      </w:r>
      <w:r w:rsidR="0005613F" w:rsidRPr="002A64F8">
        <w:rPr>
          <w:rFonts w:ascii="Arial" w:hAnsi="Arial" w:cs="Arial"/>
          <w:sz w:val="20"/>
        </w:rPr>
        <w:t>. EAVP apimtyje –</w:t>
      </w:r>
      <w:r w:rsidR="00955E14" w:rsidRPr="002A64F8">
        <w:rPr>
          <w:rFonts w:ascii="Arial" w:hAnsi="Arial" w:cs="Arial"/>
          <w:sz w:val="20"/>
        </w:rPr>
        <w:t xml:space="preserve"> </w:t>
      </w:r>
      <w:r w:rsidR="003B6A83" w:rsidRPr="002A64F8">
        <w:rPr>
          <w:rFonts w:ascii="Arial" w:hAnsi="Arial" w:cs="Arial"/>
          <w:sz w:val="20"/>
        </w:rPr>
        <w:t xml:space="preserve"> </w:t>
      </w:r>
      <w:r w:rsidR="00CA47B0" w:rsidRPr="002A64F8">
        <w:rPr>
          <w:rFonts w:ascii="Arial" w:hAnsi="Arial" w:cs="Arial"/>
          <w:sz w:val="20"/>
        </w:rPr>
        <w:t>visų penki</w:t>
      </w:r>
      <w:r w:rsidR="0005231C">
        <w:rPr>
          <w:rFonts w:ascii="Arial" w:hAnsi="Arial" w:cs="Arial"/>
          <w:sz w:val="20"/>
        </w:rPr>
        <w:t>ų prioritetų projektams</w:t>
      </w:r>
      <w:r w:rsidR="00C83C6E" w:rsidRPr="002A64F8">
        <w:rPr>
          <w:rFonts w:ascii="Arial" w:hAnsi="Arial" w:cs="Arial"/>
          <w:sz w:val="20"/>
        </w:rPr>
        <w:t>. SSVP apimtyje – „1 Prioriteto. Vietinė ir urbanistinė plėtra, kultūros paveldo ir gamtos išsaugojimas bei pritaikymas turizmo plėtrai“, „2 Prioriteto. Viešųjų paslaugų kokybė ir prieinamumas: sveikatos, švietimo ir socialinė infrastruktūra“ ir „3 Prioriteto. Aplinka ir darnus vystymasis“ projekta</w:t>
      </w:r>
      <w:r w:rsidR="0005231C">
        <w:rPr>
          <w:rFonts w:ascii="Arial" w:hAnsi="Arial" w:cs="Arial"/>
          <w:sz w:val="20"/>
        </w:rPr>
        <w:t>ms</w:t>
      </w:r>
      <w:r w:rsidR="00C83C6E" w:rsidRPr="002A64F8">
        <w:rPr>
          <w:rFonts w:ascii="Arial" w:hAnsi="Arial" w:cs="Arial"/>
          <w:sz w:val="20"/>
        </w:rPr>
        <w:t>. Taigi investuojama buvo į užimtumo didinimą,</w:t>
      </w:r>
      <w:r w:rsidR="001B05E3" w:rsidRPr="002A64F8">
        <w:rPr>
          <w:rFonts w:ascii="Arial" w:hAnsi="Arial" w:cs="Arial"/>
          <w:sz w:val="20"/>
        </w:rPr>
        <w:t xml:space="preserve"> švietimą,</w:t>
      </w:r>
      <w:r w:rsidR="003B6A83" w:rsidRPr="002A64F8">
        <w:rPr>
          <w:rFonts w:ascii="Arial" w:hAnsi="Arial" w:cs="Arial"/>
          <w:sz w:val="20"/>
        </w:rPr>
        <w:t xml:space="preserve"> </w:t>
      </w:r>
      <w:r w:rsidR="00C83C6E" w:rsidRPr="002A64F8">
        <w:rPr>
          <w:rFonts w:ascii="Arial" w:hAnsi="Arial" w:cs="Arial"/>
          <w:sz w:val="20"/>
        </w:rPr>
        <w:t>viešojo valdymo tobulinimą,</w:t>
      </w:r>
      <w:r w:rsidR="00E805EC" w:rsidRPr="002A64F8">
        <w:rPr>
          <w:rFonts w:ascii="Arial" w:hAnsi="Arial" w:cs="Arial"/>
          <w:sz w:val="20"/>
        </w:rPr>
        <w:t xml:space="preserve"> </w:t>
      </w:r>
      <w:r w:rsidR="001B05E3" w:rsidRPr="002A64F8">
        <w:rPr>
          <w:rFonts w:ascii="Arial" w:hAnsi="Arial" w:cs="Arial"/>
          <w:sz w:val="20"/>
        </w:rPr>
        <w:t xml:space="preserve">ekonomikos augimą ir plėtrą (tiek per investicijas į verslo subjektų konkurencingumo </w:t>
      </w:r>
      <w:r w:rsidR="001B05E3" w:rsidRPr="002A64F8">
        <w:rPr>
          <w:rFonts w:ascii="Arial" w:hAnsi="Arial" w:cs="Arial"/>
          <w:sz w:val="20"/>
        </w:rPr>
        <w:lastRenderedPageBreak/>
        <w:t>didinimą, tiek per transporto ir energetikos infrastruktūros plėtrą)</w:t>
      </w:r>
      <w:r w:rsidR="003B6A83" w:rsidRPr="002A64F8">
        <w:rPr>
          <w:rFonts w:ascii="Arial" w:hAnsi="Arial" w:cs="Arial"/>
          <w:sz w:val="20"/>
        </w:rPr>
        <w:t xml:space="preserve">, </w:t>
      </w:r>
      <w:r w:rsidR="00C83C6E" w:rsidRPr="002A64F8">
        <w:rPr>
          <w:rFonts w:ascii="Arial" w:hAnsi="Arial" w:cs="Arial"/>
          <w:sz w:val="20"/>
        </w:rPr>
        <w:t xml:space="preserve">miestų plėtrą ir paveldo išsaugojimo, viešųjų paslaugų kokybę ir aplinkosaugą. Daugiausiai buvo investuojama į gamybinį kapitalą; didžioji dalis investicijų įgyvendintos pasitelkiant vertikaliai darnaus vystymosi horizontalų prioritetą integruojančias priemones. </w:t>
      </w:r>
    </w:p>
    <w:p w:rsidR="003B6A9C" w:rsidRPr="002A64F8" w:rsidRDefault="003B6A9C" w:rsidP="003B6A9C">
      <w:pPr>
        <w:pStyle w:val="Caption"/>
        <w:keepNext/>
      </w:pPr>
      <w:r w:rsidRPr="002A64F8">
        <w:fldChar w:fldCharType="begin"/>
      </w:r>
      <w:r w:rsidRPr="002A64F8">
        <w:instrText xml:space="preserve"> SEQ paveikslas \* ARABIC </w:instrText>
      </w:r>
      <w:r w:rsidRPr="002A64F8">
        <w:fldChar w:fldCharType="separate"/>
      </w:r>
      <w:r w:rsidR="00E41636" w:rsidRPr="002A64F8">
        <w:t>2</w:t>
      </w:r>
      <w:r w:rsidRPr="002A64F8">
        <w:fldChar w:fldCharType="end"/>
      </w:r>
      <w:r w:rsidRPr="002A64F8">
        <w:t xml:space="preserve"> paveikslas. Veiksmų programų prioritetų finansavimas (</w:t>
      </w:r>
      <w:r w:rsidR="00C849C4" w:rsidRPr="002A64F8">
        <w:t>dalis nuo visos VP)</w:t>
      </w:r>
    </w:p>
    <w:p w:rsidR="009D7299" w:rsidRPr="002A64F8" w:rsidRDefault="003B6A9C" w:rsidP="000C024B">
      <w:pPr>
        <w:jc w:val="both"/>
        <w:rPr>
          <w:rFonts w:ascii="Arial" w:hAnsi="Arial" w:cs="Arial"/>
          <w:sz w:val="20"/>
        </w:rPr>
      </w:pPr>
      <w:r w:rsidRPr="002A64F8">
        <w:rPr>
          <w:rFonts w:ascii="Arial" w:hAnsi="Arial" w:cs="Arial"/>
          <w:noProof/>
          <w:sz w:val="20"/>
          <w:lang w:val="en-US"/>
        </w:rPr>
        <w:drawing>
          <wp:anchor distT="0" distB="0" distL="114300" distR="114300" simplePos="0" relativeHeight="251672576" behindDoc="0" locked="0" layoutInCell="1" allowOverlap="1">
            <wp:simplePos x="0" y="0"/>
            <wp:positionH relativeFrom="margin">
              <wp:align>left</wp:align>
            </wp:positionH>
            <wp:positionV relativeFrom="paragraph">
              <wp:posOffset>0</wp:posOffset>
            </wp:positionV>
            <wp:extent cx="4676775" cy="17240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2677E8" w:rsidRPr="002A64F8" w:rsidRDefault="002677E8" w:rsidP="00A552B8">
      <w:pPr>
        <w:pStyle w:val="Caption"/>
        <w:spacing w:before="240"/>
        <w:rPr>
          <w:b w:val="0"/>
        </w:rPr>
      </w:pPr>
    </w:p>
    <w:p w:rsidR="0005231C" w:rsidRDefault="0005231C" w:rsidP="00FF20FA">
      <w:pPr>
        <w:pStyle w:val="Caption"/>
        <w:spacing w:before="240"/>
        <w:rPr>
          <w:b w:val="0"/>
        </w:rPr>
      </w:pPr>
    </w:p>
    <w:p w:rsidR="0005231C" w:rsidRDefault="0005231C" w:rsidP="00FF20FA">
      <w:pPr>
        <w:pStyle w:val="Caption"/>
        <w:spacing w:before="240"/>
        <w:rPr>
          <w:b w:val="0"/>
        </w:rPr>
      </w:pPr>
    </w:p>
    <w:p w:rsidR="0005231C" w:rsidRDefault="0005231C" w:rsidP="00FF20FA">
      <w:pPr>
        <w:pStyle w:val="Caption"/>
        <w:spacing w:before="240"/>
        <w:rPr>
          <w:b w:val="0"/>
        </w:rPr>
      </w:pPr>
    </w:p>
    <w:p w:rsidR="0005231C" w:rsidRDefault="0005231C" w:rsidP="00FF20FA">
      <w:pPr>
        <w:pStyle w:val="Caption"/>
        <w:spacing w:before="240"/>
        <w:rPr>
          <w:b w:val="0"/>
        </w:rPr>
      </w:pPr>
    </w:p>
    <w:p w:rsidR="0005231C" w:rsidRDefault="0005231C" w:rsidP="00FF20FA">
      <w:pPr>
        <w:pStyle w:val="Caption"/>
        <w:spacing w:before="240"/>
        <w:rPr>
          <w:b w:val="0"/>
        </w:rPr>
      </w:pPr>
    </w:p>
    <w:p w:rsidR="00A2570C" w:rsidRPr="002A64F8" w:rsidRDefault="00761250" w:rsidP="00FF20FA">
      <w:pPr>
        <w:pStyle w:val="Caption"/>
        <w:spacing w:before="240"/>
        <w:rPr>
          <w:b w:val="0"/>
        </w:rPr>
      </w:pPr>
      <w:r w:rsidRPr="002A64F8">
        <w:rPr>
          <w:b w:val="0"/>
        </w:rPr>
        <w:t xml:space="preserve">Šaltinis: </w:t>
      </w:r>
      <w:hyperlink r:id="rId15" w:history="1">
        <w:r w:rsidR="00FF20FA" w:rsidRPr="002A64F8">
          <w:rPr>
            <w:rStyle w:val="Hyperlink"/>
            <w:b w:val="0"/>
          </w:rPr>
          <w:t>www.esparama.lt</w:t>
        </w:r>
      </w:hyperlink>
    </w:p>
    <w:p w:rsidR="00FF20FA" w:rsidRPr="002A64F8" w:rsidRDefault="00FF20FA" w:rsidP="00FF20FA">
      <w:pPr>
        <w:jc w:val="both"/>
        <w:rPr>
          <w:rFonts w:ascii="Arial" w:eastAsia="MS PGothic" w:hAnsi="Arial" w:cs="Times New Roman"/>
          <w:sz w:val="20"/>
          <w:szCs w:val="24"/>
        </w:rPr>
      </w:pPr>
      <w:r w:rsidRPr="002A64F8">
        <w:rPr>
          <w:rFonts w:ascii="Arial" w:eastAsia="MS PGothic" w:hAnsi="Arial" w:cs="Times New Roman"/>
          <w:sz w:val="20"/>
          <w:szCs w:val="24"/>
        </w:rPr>
        <w:t>Atlikus įgyvendintų projektų analizę, nustatyta, kad ŽIPVP 1</w:t>
      </w:r>
      <w:r w:rsidR="00F3052F" w:rsidRPr="002A64F8">
        <w:rPr>
          <w:rFonts w:ascii="Arial" w:eastAsia="MS PGothic" w:hAnsi="Arial" w:cs="Times New Roman"/>
          <w:sz w:val="20"/>
          <w:szCs w:val="24"/>
        </w:rPr>
        <w:t xml:space="preserve"> ir 2 prioritetų</w:t>
      </w:r>
      <w:r w:rsidRPr="002A64F8">
        <w:rPr>
          <w:rFonts w:ascii="Arial" w:eastAsia="MS PGothic" w:hAnsi="Arial" w:cs="Times New Roman"/>
          <w:sz w:val="20"/>
          <w:szCs w:val="24"/>
        </w:rPr>
        <w:t xml:space="preserve"> apimtyje </w:t>
      </w:r>
      <w:r w:rsidR="003B6A83" w:rsidRPr="002A64F8">
        <w:rPr>
          <w:rFonts w:ascii="Arial" w:eastAsia="MS PGothic" w:hAnsi="Arial" w:cs="Times New Roman"/>
          <w:sz w:val="20"/>
          <w:szCs w:val="24"/>
        </w:rPr>
        <w:t xml:space="preserve">finansuoti </w:t>
      </w:r>
      <w:r w:rsidR="00F3052F" w:rsidRPr="002A64F8">
        <w:rPr>
          <w:rFonts w:ascii="Arial" w:eastAsia="MS PGothic" w:hAnsi="Arial" w:cs="Times New Roman"/>
          <w:sz w:val="20"/>
          <w:szCs w:val="24"/>
        </w:rPr>
        <w:t>vos keli projektai; dauguma jų susijusių su švietimo plėtra ir asmenų, sergančių priklausomybių ligomis integracija</w:t>
      </w:r>
      <w:r w:rsidR="003B6A83" w:rsidRPr="002A64F8">
        <w:rPr>
          <w:rFonts w:ascii="Arial" w:eastAsia="MS PGothic" w:hAnsi="Arial" w:cs="Times New Roman"/>
          <w:sz w:val="20"/>
          <w:szCs w:val="24"/>
        </w:rPr>
        <w:t>. Tuo tarpu</w:t>
      </w:r>
      <w:r w:rsidRPr="002A64F8">
        <w:rPr>
          <w:rFonts w:ascii="Arial" w:eastAsia="MS PGothic" w:hAnsi="Arial" w:cs="Times New Roman"/>
          <w:sz w:val="20"/>
          <w:szCs w:val="24"/>
        </w:rPr>
        <w:t xml:space="preserve"> aktyvioms užimtumo skatinimo/ nedarbo</w:t>
      </w:r>
      <w:r w:rsidR="00F3052F" w:rsidRPr="002A64F8">
        <w:rPr>
          <w:rFonts w:ascii="Arial" w:eastAsia="MS PGothic" w:hAnsi="Arial" w:cs="Times New Roman"/>
          <w:sz w:val="20"/>
          <w:szCs w:val="24"/>
        </w:rPr>
        <w:t xml:space="preserve"> mažinimo</w:t>
      </w:r>
      <w:r w:rsidRPr="002A64F8">
        <w:rPr>
          <w:rFonts w:ascii="Arial" w:eastAsia="MS PGothic" w:hAnsi="Arial" w:cs="Times New Roman"/>
          <w:sz w:val="20"/>
          <w:szCs w:val="24"/>
        </w:rPr>
        <w:t xml:space="preserve"> priemonėms skirtas dėmesys buvo ribotas.</w:t>
      </w:r>
      <w:r w:rsidR="00332F7B" w:rsidRPr="002A64F8">
        <w:rPr>
          <w:rFonts w:ascii="Arial" w:eastAsia="MS PGothic" w:hAnsi="Arial" w:cs="Times New Roman"/>
          <w:sz w:val="20"/>
          <w:szCs w:val="24"/>
        </w:rPr>
        <w:t xml:space="preserve"> Reikšmingam poveikiui finansavimas buvo nepakankamas.</w:t>
      </w:r>
      <w:r w:rsidRPr="002A64F8">
        <w:rPr>
          <w:rFonts w:ascii="Arial" w:eastAsia="MS PGothic" w:hAnsi="Arial" w:cs="Times New Roman"/>
          <w:sz w:val="20"/>
          <w:szCs w:val="24"/>
        </w:rPr>
        <w:t xml:space="preserve"> </w:t>
      </w:r>
      <w:r w:rsidR="00D62EB8" w:rsidRPr="002A64F8">
        <w:rPr>
          <w:rFonts w:ascii="Arial" w:eastAsia="MS PGothic" w:hAnsi="Arial" w:cs="Times New Roman"/>
          <w:sz w:val="20"/>
          <w:szCs w:val="24"/>
        </w:rPr>
        <w:t>ŽIPVP 4 prioriteto projektai iš esmės atitiko ir kitose probleminėse teritorijose įgyvendintas viešojo valdymo tobulinimo priemones: viešojo administravimo įstaigų darbuotojų kvalifikacijos kėlimas, strateginio ir teritorijų planavimo dokumentų rengimas</w:t>
      </w:r>
      <w:r w:rsidR="00332F7B" w:rsidRPr="002A64F8">
        <w:rPr>
          <w:rFonts w:ascii="Arial" w:eastAsia="MS PGothic" w:hAnsi="Arial" w:cs="Times New Roman"/>
          <w:sz w:val="20"/>
          <w:szCs w:val="24"/>
        </w:rPr>
        <w:t xml:space="preserve"> ir </w:t>
      </w:r>
      <w:r w:rsidR="00F3052F" w:rsidRPr="002A64F8">
        <w:rPr>
          <w:rFonts w:ascii="Arial" w:eastAsia="MS PGothic" w:hAnsi="Arial" w:cs="Times New Roman"/>
          <w:sz w:val="20"/>
          <w:szCs w:val="24"/>
        </w:rPr>
        <w:t>klientų aptarnavimo tobulinimas</w:t>
      </w:r>
      <w:r w:rsidR="00C6756A" w:rsidRPr="002A64F8">
        <w:rPr>
          <w:rFonts w:ascii="Arial" w:eastAsia="MS PGothic" w:hAnsi="Arial" w:cs="Times New Roman"/>
          <w:sz w:val="20"/>
          <w:szCs w:val="24"/>
        </w:rPr>
        <w:t xml:space="preserve">. EAVP </w:t>
      </w:r>
      <w:r w:rsidR="003B6A83" w:rsidRPr="002A64F8">
        <w:rPr>
          <w:rFonts w:ascii="Arial" w:eastAsia="MS PGothic" w:hAnsi="Arial" w:cs="Times New Roman"/>
          <w:sz w:val="20"/>
          <w:szCs w:val="24"/>
        </w:rPr>
        <w:t xml:space="preserve">projektų </w:t>
      </w:r>
      <w:r w:rsidR="00F3052F" w:rsidRPr="002A64F8">
        <w:rPr>
          <w:rFonts w:ascii="Arial" w:eastAsia="MS PGothic" w:hAnsi="Arial" w:cs="Times New Roman"/>
          <w:sz w:val="20"/>
          <w:szCs w:val="24"/>
        </w:rPr>
        <w:t>įvairovė buvo itin didelė: investicijos buvo įgyvendinamos tiek atskirų ūkio subjektų konkurencingumo, produktyvumo tobulinimo srityse, tiek esminės transporto infrastruktūros, tiek miesto aplinkos tobulinimo srityse</w:t>
      </w:r>
      <w:r w:rsidR="00D62EB8" w:rsidRPr="002A64F8">
        <w:rPr>
          <w:rFonts w:ascii="Arial" w:eastAsia="MS PGothic" w:hAnsi="Arial" w:cs="Times New Roman"/>
          <w:sz w:val="20"/>
          <w:szCs w:val="24"/>
        </w:rPr>
        <w:t>. SSVP</w:t>
      </w:r>
      <w:r w:rsidR="00242947" w:rsidRPr="002A64F8">
        <w:rPr>
          <w:rFonts w:ascii="Arial" w:eastAsia="MS PGothic" w:hAnsi="Arial" w:cs="Times New Roman"/>
          <w:sz w:val="20"/>
          <w:szCs w:val="24"/>
        </w:rPr>
        <w:t xml:space="preserve"> 1 prioriteto</w:t>
      </w:r>
      <w:r w:rsidR="00D62EB8" w:rsidRPr="002A64F8">
        <w:rPr>
          <w:rFonts w:ascii="Arial" w:eastAsia="MS PGothic" w:hAnsi="Arial" w:cs="Times New Roman"/>
          <w:sz w:val="20"/>
          <w:szCs w:val="24"/>
        </w:rPr>
        <w:t xml:space="preserve"> priemonių apimtyje įgyvendinti kompleksinio </w:t>
      </w:r>
      <w:r w:rsidR="00847350" w:rsidRPr="002A64F8">
        <w:rPr>
          <w:rFonts w:ascii="Arial" w:eastAsia="MS PGothic" w:hAnsi="Arial" w:cs="Times New Roman"/>
          <w:sz w:val="20"/>
          <w:szCs w:val="24"/>
        </w:rPr>
        <w:t>urbanistinės infrastruktūros bei</w:t>
      </w:r>
      <w:r w:rsidR="003B6A83" w:rsidRPr="002A64F8">
        <w:rPr>
          <w:rFonts w:ascii="Arial" w:eastAsia="MS PGothic" w:hAnsi="Arial" w:cs="Times New Roman"/>
          <w:sz w:val="20"/>
          <w:szCs w:val="24"/>
        </w:rPr>
        <w:t xml:space="preserve"> gyvenamosios aplinkos</w:t>
      </w:r>
      <w:r w:rsidR="00D62EB8" w:rsidRPr="002A64F8">
        <w:rPr>
          <w:rFonts w:ascii="Arial" w:eastAsia="MS PGothic" w:hAnsi="Arial" w:cs="Times New Roman"/>
          <w:sz w:val="20"/>
          <w:szCs w:val="24"/>
        </w:rPr>
        <w:t xml:space="preserve"> </w:t>
      </w:r>
      <w:r w:rsidR="00F6018C" w:rsidRPr="002A64F8">
        <w:rPr>
          <w:rFonts w:ascii="Arial" w:eastAsia="MS PGothic" w:hAnsi="Arial" w:cs="Times New Roman"/>
          <w:sz w:val="20"/>
          <w:szCs w:val="24"/>
        </w:rPr>
        <w:t xml:space="preserve">gerinimo </w:t>
      </w:r>
      <w:r w:rsidR="00847350" w:rsidRPr="002A64F8">
        <w:rPr>
          <w:rFonts w:ascii="Arial" w:eastAsia="MS PGothic" w:hAnsi="Arial" w:cs="Times New Roman"/>
          <w:sz w:val="20"/>
          <w:szCs w:val="24"/>
        </w:rPr>
        <w:t>projektai, užterštų teritorijų tvarkymo</w:t>
      </w:r>
      <w:r w:rsidR="00F3052F" w:rsidRPr="002A64F8">
        <w:rPr>
          <w:rFonts w:ascii="Arial" w:eastAsia="MS PGothic" w:hAnsi="Arial" w:cs="Times New Roman"/>
          <w:sz w:val="20"/>
          <w:szCs w:val="24"/>
        </w:rPr>
        <w:t xml:space="preserve"> ir turizmo infrastruktūrose plėtros</w:t>
      </w:r>
      <w:r w:rsidR="00847350" w:rsidRPr="002A64F8">
        <w:rPr>
          <w:rFonts w:ascii="Arial" w:eastAsia="MS PGothic" w:hAnsi="Arial" w:cs="Times New Roman"/>
          <w:sz w:val="20"/>
          <w:szCs w:val="24"/>
        </w:rPr>
        <w:t xml:space="preserve"> </w:t>
      </w:r>
      <w:r w:rsidR="00D62EB8" w:rsidRPr="002A64F8">
        <w:rPr>
          <w:rFonts w:ascii="Arial" w:eastAsia="MS PGothic" w:hAnsi="Arial" w:cs="Times New Roman"/>
          <w:sz w:val="20"/>
          <w:szCs w:val="24"/>
        </w:rPr>
        <w:t xml:space="preserve">projektai. </w:t>
      </w:r>
      <w:r w:rsidR="00242947" w:rsidRPr="002A64F8">
        <w:rPr>
          <w:rFonts w:ascii="Arial" w:eastAsia="MS PGothic" w:hAnsi="Arial" w:cs="Times New Roman"/>
          <w:sz w:val="20"/>
          <w:szCs w:val="24"/>
        </w:rPr>
        <w:t>2 prioriteto projektai orientuoti į socialinių</w:t>
      </w:r>
      <w:r w:rsidR="00F3052F" w:rsidRPr="002A64F8">
        <w:rPr>
          <w:rFonts w:ascii="Arial" w:eastAsia="MS PGothic" w:hAnsi="Arial" w:cs="Times New Roman"/>
          <w:sz w:val="20"/>
          <w:szCs w:val="24"/>
        </w:rPr>
        <w:t xml:space="preserve"> ir švietimo</w:t>
      </w:r>
      <w:r w:rsidR="00242947" w:rsidRPr="002A64F8">
        <w:rPr>
          <w:rFonts w:ascii="Arial" w:eastAsia="MS PGothic" w:hAnsi="Arial" w:cs="Times New Roman"/>
          <w:sz w:val="20"/>
          <w:szCs w:val="24"/>
        </w:rPr>
        <w:t xml:space="preserve"> paslaugų infrastruktūros tobulinimą</w:t>
      </w:r>
      <w:r w:rsidR="00847350" w:rsidRPr="002A64F8">
        <w:rPr>
          <w:rFonts w:ascii="Arial" w:eastAsia="MS PGothic" w:hAnsi="Arial" w:cs="Times New Roman"/>
          <w:sz w:val="20"/>
          <w:szCs w:val="24"/>
        </w:rPr>
        <w:t>,</w:t>
      </w:r>
      <w:r w:rsidR="00C6756A" w:rsidRPr="002A64F8">
        <w:rPr>
          <w:rFonts w:ascii="Arial" w:eastAsia="MS PGothic" w:hAnsi="Arial" w:cs="Times New Roman"/>
          <w:sz w:val="20"/>
          <w:szCs w:val="24"/>
        </w:rPr>
        <w:t xml:space="preserve"> </w:t>
      </w:r>
      <w:r w:rsidR="00242947" w:rsidRPr="002A64F8">
        <w:rPr>
          <w:rFonts w:ascii="Arial" w:eastAsia="MS PGothic" w:hAnsi="Arial" w:cs="Times New Roman"/>
          <w:sz w:val="20"/>
          <w:szCs w:val="24"/>
        </w:rPr>
        <w:t xml:space="preserve">tuo tarpu 3 prioriteto apimtyje įgyvendinti </w:t>
      </w:r>
      <w:r w:rsidR="00847350" w:rsidRPr="002A64F8">
        <w:rPr>
          <w:rFonts w:ascii="Arial" w:eastAsia="MS PGothic" w:hAnsi="Arial" w:cs="Times New Roman"/>
          <w:sz w:val="20"/>
          <w:szCs w:val="24"/>
        </w:rPr>
        <w:t>švietimo sektoriaus</w:t>
      </w:r>
      <w:r w:rsidR="00F3052F" w:rsidRPr="002A64F8">
        <w:rPr>
          <w:rFonts w:ascii="Arial" w:eastAsia="MS PGothic" w:hAnsi="Arial" w:cs="Times New Roman"/>
          <w:sz w:val="20"/>
          <w:szCs w:val="24"/>
        </w:rPr>
        <w:t xml:space="preserve"> infrastruktūros atnaujinimo, </w:t>
      </w:r>
      <w:r w:rsidR="00847350" w:rsidRPr="002A64F8">
        <w:rPr>
          <w:rFonts w:ascii="Arial" w:eastAsia="MS PGothic" w:hAnsi="Arial" w:cs="Times New Roman"/>
          <w:sz w:val="20"/>
          <w:szCs w:val="24"/>
        </w:rPr>
        <w:t>vandens</w:t>
      </w:r>
      <w:r w:rsidR="00F3052F" w:rsidRPr="002A64F8">
        <w:rPr>
          <w:rFonts w:ascii="Arial" w:eastAsia="MS PGothic" w:hAnsi="Arial" w:cs="Times New Roman"/>
          <w:sz w:val="20"/>
          <w:szCs w:val="24"/>
        </w:rPr>
        <w:t xml:space="preserve"> tiekimo</w:t>
      </w:r>
      <w:r w:rsidR="00847350" w:rsidRPr="002A64F8">
        <w:rPr>
          <w:rFonts w:ascii="Arial" w:eastAsia="MS PGothic" w:hAnsi="Arial" w:cs="Times New Roman"/>
          <w:sz w:val="20"/>
          <w:szCs w:val="24"/>
        </w:rPr>
        <w:t xml:space="preserve"> bei nuotekų tvarkymo</w:t>
      </w:r>
      <w:r w:rsidR="00C335FC" w:rsidRPr="002A64F8">
        <w:rPr>
          <w:rFonts w:ascii="Arial" w:eastAsia="MS PGothic" w:hAnsi="Arial" w:cs="Times New Roman"/>
          <w:sz w:val="20"/>
          <w:szCs w:val="24"/>
        </w:rPr>
        <w:t xml:space="preserve"> projektai</w:t>
      </w:r>
      <w:r w:rsidR="00242947" w:rsidRPr="002A64F8">
        <w:rPr>
          <w:rFonts w:ascii="Arial" w:eastAsia="MS PGothic" w:hAnsi="Arial" w:cs="Times New Roman"/>
          <w:sz w:val="20"/>
          <w:szCs w:val="24"/>
        </w:rPr>
        <w:t xml:space="preserve">. </w:t>
      </w:r>
      <w:r w:rsidR="00C849C4" w:rsidRPr="002A64F8">
        <w:rPr>
          <w:rFonts w:ascii="Arial" w:eastAsia="MS PGothic" w:hAnsi="Arial" w:cs="Times New Roman"/>
          <w:sz w:val="20"/>
          <w:szCs w:val="24"/>
        </w:rPr>
        <w:t>Pastebėtina tendencija, kad daugiausiai investuota srityse, kur vyravo region</w:t>
      </w:r>
      <w:r w:rsidR="00847350" w:rsidRPr="002A64F8">
        <w:rPr>
          <w:rFonts w:ascii="Arial" w:eastAsia="MS PGothic" w:hAnsi="Arial" w:cs="Times New Roman"/>
          <w:sz w:val="20"/>
          <w:szCs w:val="24"/>
        </w:rPr>
        <w:t>ų</w:t>
      </w:r>
      <w:r w:rsidR="00C849C4" w:rsidRPr="002A64F8">
        <w:rPr>
          <w:rFonts w:ascii="Arial" w:eastAsia="MS PGothic" w:hAnsi="Arial" w:cs="Times New Roman"/>
          <w:sz w:val="20"/>
          <w:szCs w:val="24"/>
        </w:rPr>
        <w:t xml:space="preserve"> </w:t>
      </w:r>
      <w:r w:rsidR="00847350" w:rsidRPr="002A64F8">
        <w:rPr>
          <w:rFonts w:ascii="Arial" w:eastAsia="MS PGothic" w:hAnsi="Arial" w:cs="Times New Roman"/>
          <w:sz w:val="20"/>
          <w:szCs w:val="24"/>
        </w:rPr>
        <w:t xml:space="preserve">ir valstybės projektų </w:t>
      </w:r>
      <w:r w:rsidR="00C849C4" w:rsidRPr="002A64F8">
        <w:rPr>
          <w:rFonts w:ascii="Arial" w:eastAsia="MS PGothic" w:hAnsi="Arial" w:cs="Times New Roman"/>
          <w:sz w:val="20"/>
          <w:szCs w:val="24"/>
        </w:rPr>
        <w:t>planavimo priemonės.</w:t>
      </w:r>
    </w:p>
    <w:p w:rsidR="00A2570C" w:rsidRPr="002A64F8" w:rsidRDefault="00A2570C" w:rsidP="00C849C4">
      <w:pPr>
        <w:pStyle w:val="Heading1"/>
        <w:numPr>
          <w:ilvl w:val="1"/>
          <w:numId w:val="1"/>
        </w:numPr>
        <w:spacing w:before="360"/>
        <w:rPr>
          <w:rFonts w:ascii="Arial" w:hAnsi="Arial" w:cs="Arial"/>
          <w:b w:val="0"/>
          <w:sz w:val="28"/>
          <w:szCs w:val="28"/>
        </w:rPr>
      </w:pPr>
      <w:r w:rsidRPr="002A64F8">
        <w:rPr>
          <w:rFonts w:ascii="Arial" w:hAnsi="Arial" w:cs="Arial"/>
          <w:b w:val="0"/>
          <w:sz w:val="28"/>
          <w:szCs w:val="28"/>
        </w:rPr>
        <w:t>Rodiklių analizė</w:t>
      </w:r>
    </w:p>
    <w:p w:rsidR="002B4036" w:rsidRPr="002A64F8" w:rsidRDefault="002B4036" w:rsidP="002B4036">
      <w:pPr>
        <w:jc w:val="both"/>
        <w:rPr>
          <w:rFonts w:ascii="Arial" w:eastAsia="MS PGothic" w:hAnsi="Arial" w:cs="Times New Roman"/>
          <w:sz w:val="20"/>
          <w:szCs w:val="24"/>
        </w:rPr>
      </w:pPr>
      <w:r w:rsidRPr="002A64F8">
        <w:rPr>
          <w:rFonts w:ascii="Arial" w:eastAsia="MS PGothic" w:hAnsi="Arial" w:cs="Times New Roman"/>
          <w:sz w:val="20"/>
          <w:szCs w:val="24"/>
        </w:rPr>
        <w:t>Atliekant atvejo studiją buvo vertinti trijų rūšių – aplinkos taršos, demografiniai ir ekonominės veiklos – rodikliai. Aplinkos taršos rodikliai apėmė išvalytų iki normos nuotekų kiekius, išmetamų teršalų kiekius, sieros dioksido (SO</w:t>
      </w:r>
      <w:r w:rsidRPr="002A64F8">
        <w:rPr>
          <w:rFonts w:ascii="Arial" w:eastAsia="MS PGothic" w:hAnsi="Arial" w:cs="Times New Roman"/>
          <w:sz w:val="20"/>
          <w:szCs w:val="24"/>
          <w:vertAlign w:val="subscript"/>
        </w:rPr>
        <w:t>2</w:t>
      </w:r>
      <w:r w:rsidRPr="002A64F8">
        <w:rPr>
          <w:rFonts w:ascii="Arial" w:eastAsia="MS PGothic" w:hAnsi="Arial" w:cs="Times New Roman"/>
          <w:sz w:val="20"/>
          <w:szCs w:val="24"/>
        </w:rPr>
        <w:t>)</w:t>
      </w:r>
      <w:r w:rsidRPr="002A64F8">
        <w:rPr>
          <w:rFonts w:ascii="Arial" w:eastAsia="MS PGothic" w:hAnsi="Arial" w:cs="Times New Roman"/>
          <w:sz w:val="20"/>
          <w:szCs w:val="24"/>
          <w:vertAlign w:val="subscript"/>
        </w:rPr>
        <w:t>,</w:t>
      </w:r>
      <w:r w:rsidRPr="002A64F8">
        <w:rPr>
          <w:rFonts w:ascii="Arial" w:eastAsia="MS PGothic" w:hAnsi="Arial" w:cs="Times New Roman"/>
          <w:sz w:val="20"/>
          <w:szCs w:val="24"/>
        </w:rPr>
        <w:t xml:space="preserve"> anglies monoksido (CO) rodiklius. Demografiniai rodikliai apėmė nuolatinių gyventojų skaičių, pensinio amžiaus ir darbingo amžiaus gyventojų dalį, bei </w:t>
      </w:r>
      <w:r w:rsidR="00594D44" w:rsidRPr="002A64F8">
        <w:rPr>
          <w:rFonts w:ascii="Arial" w:eastAsia="MS PGothic" w:hAnsi="Arial" w:cs="Times New Roman"/>
          <w:sz w:val="20"/>
          <w:szCs w:val="24"/>
        </w:rPr>
        <w:t xml:space="preserve">darbingo amžiaus </w:t>
      </w:r>
      <w:r w:rsidRPr="002A64F8">
        <w:rPr>
          <w:rFonts w:ascii="Arial" w:eastAsia="MS PGothic" w:hAnsi="Arial" w:cs="Times New Roman"/>
          <w:sz w:val="20"/>
          <w:szCs w:val="24"/>
        </w:rPr>
        <w:t xml:space="preserve">gyventojų skaičiaus ir registruotų bedarbių santykį. Ekonominės veiklos rodikliai </w:t>
      </w:r>
      <w:r w:rsidR="007F0777" w:rsidRPr="002A64F8">
        <w:rPr>
          <w:rFonts w:ascii="Arial" w:eastAsia="MS PGothic" w:hAnsi="Arial" w:cs="Times New Roman"/>
          <w:sz w:val="20"/>
          <w:szCs w:val="24"/>
        </w:rPr>
        <w:t>– pridėtinė vertė gamybos kainomis, materialinės investicijos to meto kainomis ir tiesioginės užsienio investicijos.</w:t>
      </w:r>
    </w:p>
    <w:p w:rsidR="00F6018C" w:rsidRPr="002A64F8" w:rsidRDefault="00F6018C" w:rsidP="00F6018C">
      <w:pPr>
        <w:jc w:val="both"/>
        <w:rPr>
          <w:rFonts w:ascii="Arial" w:eastAsia="MS PGothic" w:hAnsi="Arial" w:cs="Times New Roman"/>
          <w:sz w:val="20"/>
          <w:szCs w:val="24"/>
        </w:rPr>
      </w:pPr>
      <w:r w:rsidRPr="002A64F8">
        <w:rPr>
          <w:rFonts w:ascii="Arial" w:eastAsia="MS PGothic" w:hAnsi="Arial" w:cs="Times New Roman"/>
          <w:sz w:val="20"/>
          <w:szCs w:val="24"/>
        </w:rPr>
        <w:t xml:space="preserve">Vertinant oro užterštumą fiksuojama aiški mažėjimo tendencija, kurią dalinai iškreipė 2011 m teršalų kiekis. Pastebima, kad šį trumpą pokytį nulėmė, kitų kenksmingų medžiagų padidėjimas. Nagrinėjamu laikotarpiu savivaldybei labiausiai pavyko susidoroti su anglies monoksido kiekio išmetimu į orą. Metinis vidutinis pokytis siekia 18.39%, o lyginant laikotarpio pradžios ir pabaigos rezultatus – anglies monoksido kiekis sumažėjo beveik 80 %. Greičiausiai pavyko sumažinti kietųjų dalelių kiekį, kuris nuo 22 t per ketverius metus nukrito iki 6.3 t, o per likusius metus pratęsė mažėjimo tendenciją. </w:t>
      </w:r>
      <w:r w:rsidRPr="002A64F8">
        <w:rPr>
          <w:rFonts w:ascii="Arial" w:eastAsia="MS PGothic" w:hAnsi="Arial" w:cs="Times New Roman"/>
          <w:sz w:val="20"/>
          <w:szCs w:val="24"/>
        </w:rPr>
        <w:lastRenderedPageBreak/>
        <w:t xml:space="preserve">Savivaldybėje itin staigiai krito iki normos išvalytų nuotekų skaičius, </w:t>
      </w:r>
      <w:r w:rsidR="00460B43" w:rsidRPr="002A64F8">
        <w:rPr>
          <w:rFonts w:ascii="Arial" w:eastAsia="MS PGothic" w:hAnsi="Arial" w:cs="Times New Roman"/>
          <w:sz w:val="20"/>
          <w:szCs w:val="24"/>
        </w:rPr>
        <w:t>tačiau tai buvo nulemta vandentvarkos ir vandenvalos įmonių reformos (Šalčininkų savivaldybei vandenį tiekia ir nuotekas tvarkos UAB „Vilniaus vandenys“).</w:t>
      </w:r>
    </w:p>
    <w:p w:rsidR="00B76AF6" w:rsidRPr="002A64F8" w:rsidRDefault="00A2570C" w:rsidP="009C0862">
      <w:pPr>
        <w:pStyle w:val="Caption"/>
        <w:keepNext/>
        <w:jc w:val="both"/>
      </w:pPr>
      <w:r w:rsidRPr="002A64F8">
        <w:fldChar w:fldCharType="begin"/>
      </w:r>
      <w:r w:rsidRPr="002A64F8">
        <w:instrText xml:space="preserve"> SEQ paveikslas \* ARABIC </w:instrText>
      </w:r>
      <w:r w:rsidRPr="002A64F8">
        <w:fldChar w:fldCharType="separate"/>
      </w:r>
      <w:r w:rsidR="00594D44" w:rsidRPr="002A64F8">
        <w:t>3</w:t>
      </w:r>
      <w:r w:rsidRPr="002A64F8">
        <w:fldChar w:fldCharType="end"/>
      </w:r>
      <w:r w:rsidRPr="002A64F8">
        <w:t xml:space="preserve"> paveikslas. Aplinkos taršos rodikliai</w:t>
      </w:r>
      <w:r w:rsidR="007B5DD3">
        <w:t>*</w:t>
      </w:r>
    </w:p>
    <w:p w:rsidR="00CF7B36" w:rsidRPr="002A64F8" w:rsidRDefault="0005231C" w:rsidP="00CF7B36">
      <w:r w:rsidRPr="002A64F8">
        <w:rPr>
          <w:noProof/>
          <w:lang w:val="en-US"/>
        </w:rPr>
        <w:drawing>
          <wp:anchor distT="0" distB="0" distL="114300" distR="114300" simplePos="0" relativeHeight="251699200" behindDoc="0" locked="0" layoutInCell="1" allowOverlap="1" wp14:anchorId="091B0639" wp14:editId="6CCA6669">
            <wp:simplePos x="0" y="0"/>
            <wp:positionH relativeFrom="margin">
              <wp:posOffset>-14605</wp:posOffset>
            </wp:positionH>
            <wp:positionV relativeFrom="paragraph">
              <wp:posOffset>39370</wp:posOffset>
            </wp:positionV>
            <wp:extent cx="4560570" cy="2773680"/>
            <wp:effectExtent l="0" t="0" r="11430" b="2667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B72614" w:rsidRPr="002A64F8" w:rsidRDefault="00B72614" w:rsidP="00A2570C">
      <w:pPr>
        <w:pStyle w:val="Caption"/>
        <w:spacing w:before="240"/>
        <w:rPr>
          <w:b w:val="0"/>
        </w:rPr>
      </w:pPr>
    </w:p>
    <w:p w:rsidR="00B72614" w:rsidRPr="002A64F8" w:rsidRDefault="00B72614" w:rsidP="00A2570C">
      <w:pPr>
        <w:pStyle w:val="Caption"/>
        <w:spacing w:before="240"/>
        <w:rPr>
          <w:b w:val="0"/>
        </w:rPr>
      </w:pPr>
    </w:p>
    <w:p w:rsidR="00B72614" w:rsidRPr="002A64F8" w:rsidRDefault="00B72614" w:rsidP="00A2570C">
      <w:pPr>
        <w:pStyle w:val="Caption"/>
        <w:spacing w:before="240"/>
        <w:rPr>
          <w:b w:val="0"/>
        </w:rPr>
      </w:pPr>
    </w:p>
    <w:p w:rsidR="00B72614" w:rsidRPr="002A64F8" w:rsidRDefault="00B72614" w:rsidP="00A2570C">
      <w:pPr>
        <w:pStyle w:val="Caption"/>
        <w:spacing w:before="240"/>
        <w:rPr>
          <w:b w:val="0"/>
        </w:rPr>
      </w:pPr>
    </w:p>
    <w:p w:rsidR="00B72614" w:rsidRPr="002A64F8" w:rsidRDefault="00B72614" w:rsidP="00A2570C">
      <w:pPr>
        <w:pStyle w:val="Caption"/>
        <w:spacing w:before="240"/>
        <w:rPr>
          <w:b w:val="0"/>
        </w:rPr>
      </w:pPr>
    </w:p>
    <w:p w:rsidR="00B72614" w:rsidRPr="002A64F8" w:rsidRDefault="00B72614" w:rsidP="00A2570C">
      <w:pPr>
        <w:pStyle w:val="Caption"/>
        <w:spacing w:before="240"/>
        <w:rPr>
          <w:b w:val="0"/>
        </w:rPr>
      </w:pPr>
    </w:p>
    <w:p w:rsidR="00B72614" w:rsidRPr="002A64F8" w:rsidRDefault="00B72614" w:rsidP="00B72614">
      <w:pPr>
        <w:pStyle w:val="Caption"/>
        <w:spacing w:after="0"/>
        <w:rPr>
          <w:b w:val="0"/>
        </w:rPr>
      </w:pPr>
    </w:p>
    <w:p w:rsidR="00805F6F" w:rsidRPr="002A64F8" w:rsidRDefault="00805F6F" w:rsidP="00B72614">
      <w:pPr>
        <w:pStyle w:val="Caption"/>
        <w:spacing w:after="120"/>
        <w:rPr>
          <w:b w:val="0"/>
        </w:rPr>
      </w:pPr>
    </w:p>
    <w:p w:rsidR="00805F6F" w:rsidRPr="002A64F8" w:rsidRDefault="00805F6F" w:rsidP="00B72614">
      <w:pPr>
        <w:pStyle w:val="Caption"/>
        <w:spacing w:after="120"/>
        <w:rPr>
          <w:b w:val="0"/>
        </w:rPr>
      </w:pPr>
    </w:p>
    <w:p w:rsidR="00C23DA0" w:rsidRPr="002A64F8" w:rsidRDefault="00C23DA0" w:rsidP="00B72614">
      <w:pPr>
        <w:pStyle w:val="Caption"/>
        <w:spacing w:after="120"/>
        <w:rPr>
          <w:b w:val="0"/>
        </w:rPr>
      </w:pPr>
    </w:p>
    <w:p w:rsidR="0005231C" w:rsidRDefault="0005231C" w:rsidP="00B72614">
      <w:pPr>
        <w:pStyle w:val="Caption"/>
        <w:spacing w:after="120"/>
        <w:rPr>
          <w:b w:val="0"/>
        </w:rPr>
      </w:pPr>
    </w:p>
    <w:p w:rsidR="00A2570C" w:rsidRPr="007B5DD3" w:rsidRDefault="00A2570C" w:rsidP="007B5DD3">
      <w:pPr>
        <w:pStyle w:val="Caption"/>
        <w:spacing w:after="0"/>
        <w:rPr>
          <w:rFonts w:cs="Arial"/>
          <w:b w:val="0"/>
        </w:rPr>
      </w:pPr>
      <w:r w:rsidRPr="007B5DD3">
        <w:rPr>
          <w:rFonts w:cs="Arial"/>
          <w:b w:val="0"/>
        </w:rPr>
        <w:t>Šaltinis: Statistiko</w:t>
      </w:r>
      <w:r w:rsidR="007F0777" w:rsidRPr="007B5DD3">
        <w:rPr>
          <w:rFonts w:cs="Arial"/>
          <w:b w:val="0"/>
        </w:rPr>
        <w:t>s</w:t>
      </w:r>
      <w:r w:rsidRPr="007B5DD3">
        <w:rPr>
          <w:rFonts w:cs="Arial"/>
          <w:b w:val="0"/>
        </w:rPr>
        <w:t xml:space="preserve"> departamentas</w:t>
      </w:r>
    </w:p>
    <w:p w:rsidR="007B5DD3" w:rsidRPr="007B5DD3" w:rsidRDefault="007B5DD3" w:rsidP="007B5DD3">
      <w:pPr>
        <w:spacing w:after="120"/>
        <w:rPr>
          <w:rFonts w:ascii="Arial" w:hAnsi="Arial" w:cs="Arial"/>
          <w:sz w:val="18"/>
          <w:szCs w:val="18"/>
        </w:rPr>
      </w:pPr>
      <w:r w:rsidRPr="007B5DD3">
        <w:rPr>
          <w:rFonts w:ascii="Arial" w:hAnsi="Arial" w:cs="Arial"/>
          <w:sz w:val="18"/>
          <w:szCs w:val="18"/>
        </w:rPr>
        <w:t>* - visi rodikliai, išskyrus „Išleista išvalytų iki normos nuotekų, tūkst. m</w:t>
      </w:r>
      <w:r w:rsidRPr="007B5DD3">
        <w:rPr>
          <w:rFonts w:ascii="Arial" w:hAnsi="Arial" w:cs="Arial"/>
          <w:sz w:val="18"/>
          <w:szCs w:val="18"/>
          <w:vertAlign w:val="superscript"/>
        </w:rPr>
        <w:t>3</w:t>
      </w:r>
      <w:r w:rsidRPr="007B5DD3">
        <w:rPr>
          <w:rFonts w:ascii="Arial" w:hAnsi="Arial" w:cs="Arial"/>
          <w:sz w:val="18"/>
          <w:szCs w:val="18"/>
        </w:rPr>
        <w:t>“ yra matuojami tonomis.</w:t>
      </w:r>
    </w:p>
    <w:p w:rsidR="007B5DD3" w:rsidRDefault="00B76AF6" w:rsidP="00E41B59">
      <w:pPr>
        <w:jc w:val="both"/>
        <w:rPr>
          <w:rFonts w:ascii="Arial" w:eastAsia="MS PGothic" w:hAnsi="Arial" w:cs="Times New Roman"/>
          <w:sz w:val="20"/>
          <w:szCs w:val="24"/>
        </w:rPr>
      </w:pPr>
      <w:r w:rsidRPr="002A64F8">
        <w:rPr>
          <w:rFonts w:ascii="Arial" w:eastAsia="MS PGothic" w:hAnsi="Arial" w:cs="Times New Roman"/>
          <w:sz w:val="20"/>
          <w:szCs w:val="24"/>
        </w:rPr>
        <w:t>Vertinant demografinius rodiklius</w:t>
      </w:r>
      <w:r w:rsidR="00594D44" w:rsidRPr="002A64F8">
        <w:rPr>
          <w:rFonts w:ascii="Arial" w:eastAsia="MS PGothic" w:hAnsi="Arial" w:cs="Times New Roman"/>
          <w:sz w:val="20"/>
          <w:szCs w:val="24"/>
        </w:rPr>
        <w:t>, 2007 - 2013 m. stebimos tendencijos atitinka nacion</w:t>
      </w:r>
      <w:r w:rsidR="002427B5" w:rsidRPr="002A64F8">
        <w:rPr>
          <w:rFonts w:ascii="Arial" w:eastAsia="MS PGothic" w:hAnsi="Arial" w:cs="Times New Roman"/>
          <w:sz w:val="20"/>
          <w:szCs w:val="24"/>
        </w:rPr>
        <w:t xml:space="preserve">aliniu mastu vykusius pokyčius. </w:t>
      </w:r>
      <w:r w:rsidR="00460B43" w:rsidRPr="002A64F8">
        <w:rPr>
          <w:rFonts w:ascii="Arial" w:eastAsia="MS PGothic" w:hAnsi="Arial" w:cs="Times New Roman"/>
          <w:sz w:val="20"/>
          <w:szCs w:val="24"/>
        </w:rPr>
        <w:t>Nors d</w:t>
      </w:r>
      <w:r w:rsidR="002427B5" w:rsidRPr="002A64F8">
        <w:rPr>
          <w:rFonts w:ascii="Arial" w:eastAsia="MS PGothic" w:hAnsi="Arial" w:cs="Times New Roman"/>
          <w:sz w:val="20"/>
          <w:szCs w:val="24"/>
        </w:rPr>
        <w:t>augumos rodiklių tar</w:t>
      </w:r>
      <w:r w:rsidR="00460B43" w:rsidRPr="002A64F8">
        <w:rPr>
          <w:rFonts w:ascii="Arial" w:eastAsia="MS PGothic" w:hAnsi="Arial" w:cs="Times New Roman"/>
          <w:sz w:val="20"/>
          <w:szCs w:val="24"/>
        </w:rPr>
        <w:t>pe vyrauja neigiama tendencija, tačiau kitų probleminių teritorijų tarpe Šalčininkų rajono savivaldybė išsiskiria mažiausiai neigiamomis demografinėmis tendencijomis.</w:t>
      </w:r>
      <w:r w:rsidR="002502B8" w:rsidRPr="002A64F8">
        <w:rPr>
          <w:rFonts w:ascii="Arial" w:eastAsia="MS PGothic" w:hAnsi="Arial" w:cs="Times New Roman"/>
          <w:sz w:val="20"/>
          <w:szCs w:val="24"/>
        </w:rPr>
        <w:t xml:space="preserve"> </w:t>
      </w:r>
      <w:r w:rsidR="00460B43" w:rsidRPr="002A64F8">
        <w:rPr>
          <w:rFonts w:ascii="Arial" w:eastAsia="MS PGothic" w:hAnsi="Arial" w:cs="Times New Roman"/>
          <w:sz w:val="20"/>
          <w:szCs w:val="24"/>
        </w:rPr>
        <w:t>Nagrinėjamu laikotarpiu gyventojų skaičius sumažėjo tik 7 proc., tuo tarpu darbingų gyventojų skaičius – vos 4.7 proc. Bedarbių ir darbingo gyventojų skaičiaus santykis kito taip pat kaip ir kitose probleminėse teritorijose – 2010 m.</w:t>
      </w:r>
      <w:r w:rsidR="00256058" w:rsidRPr="002A64F8">
        <w:rPr>
          <w:rFonts w:ascii="Arial" w:eastAsia="MS PGothic" w:hAnsi="Arial" w:cs="Times New Roman"/>
          <w:sz w:val="20"/>
          <w:szCs w:val="24"/>
        </w:rPr>
        <w:t xml:space="preserve"> rodiklis pasiekė aukščiausią savo įvertį ir nuo šių metų tik mažėjo. </w:t>
      </w:r>
      <w:r w:rsidR="007B5DD3">
        <w:rPr>
          <w:rFonts w:ascii="Arial" w:eastAsia="MS PGothic" w:hAnsi="Arial" w:cs="Times New Roman"/>
          <w:sz w:val="20"/>
          <w:szCs w:val="24"/>
        </w:rPr>
        <w:t>Vidutinis mėnesinis darbo užmokestis Šalčininkų savivaldybėje nagrinėjamo laikotarpio pabaigoje (2013 m.) nuo Lietuvos vidurkio atsiliko beveik 30 proc.</w:t>
      </w:r>
    </w:p>
    <w:p w:rsidR="00E41B59" w:rsidRPr="002A64F8" w:rsidRDefault="00256058" w:rsidP="00E41B59">
      <w:pPr>
        <w:jc w:val="both"/>
        <w:rPr>
          <w:rFonts w:ascii="Arial" w:eastAsia="MS PGothic" w:hAnsi="Arial" w:cs="Times New Roman"/>
          <w:sz w:val="20"/>
          <w:szCs w:val="24"/>
        </w:rPr>
      </w:pPr>
      <w:r w:rsidRPr="002A64F8">
        <w:rPr>
          <w:rFonts w:ascii="Arial" w:eastAsia="MS PGothic" w:hAnsi="Arial" w:cs="Times New Roman"/>
          <w:sz w:val="20"/>
          <w:szCs w:val="24"/>
        </w:rPr>
        <w:t>Tokie palyginti vidutiniški demografiniai pokyčiai galėjo būti nulemti ne tiek aktyvių ES SF lėšomis remiamų viešosios politikos priemonių, kiek savivaldybės geografinio artimumo Lietuvos Respublikos sostinei. Kitas svarbus aspektas – savivaldybės gyventojų daugumą sudaranti tautinė lenkų mažuma; tikėtina, kad glaudūs bendruomenės ryšiai sąlygo</w:t>
      </w:r>
      <w:r w:rsidR="00960EE7">
        <w:rPr>
          <w:rFonts w:ascii="Arial" w:eastAsia="MS PGothic" w:hAnsi="Arial" w:cs="Times New Roman"/>
          <w:sz w:val="20"/>
          <w:szCs w:val="24"/>
        </w:rPr>
        <w:t xml:space="preserve">ja mažesnius migracijos mastus. </w:t>
      </w:r>
      <w:r w:rsidR="00A027E9" w:rsidRPr="002A64F8">
        <w:rPr>
          <w:rFonts w:ascii="Arial" w:eastAsia="MS PGothic" w:hAnsi="Arial" w:cs="Times New Roman"/>
          <w:sz w:val="20"/>
          <w:szCs w:val="24"/>
        </w:rPr>
        <w:t>Apibendrinant, demografiniai rodikliai nagrinėjamu laikotarpiu buvo veikiami pasaulinės finansų krizės, augančių migracijos mastų ir mažėjančio gyventojų skaičiaus; visu laikotarpiu buvo stebimos bendro</w:t>
      </w:r>
      <w:r w:rsidRPr="002A64F8">
        <w:rPr>
          <w:rFonts w:ascii="Arial" w:eastAsia="MS PGothic" w:hAnsi="Arial" w:cs="Times New Roman"/>
          <w:sz w:val="20"/>
          <w:szCs w:val="24"/>
        </w:rPr>
        <w:t>s neigiamos plėtros tendencijos, tačiau sąlyginai nedidelis atstumas iki Respublikos sostinės sumažino migracijos iš savivaldybės mastus.</w:t>
      </w:r>
    </w:p>
    <w:p w:rsidR="0005231C" w:rsidRDefault="0005231C" w:rsidP="00020455">
      <w:pPr>
        <w:pStyle w:val="Caption"/>
        <w:keepNext/>
      </w:pPr>
    </w:p>
    <w:p w:rsidR="0005231C" w:rsidRDefault="0005231C" w:rsidP="00020455">
      <w:pPr>
        <w:pStyle w:val="Caption"/>
        <w:keepNext/>
      </w:pPr>
    </w:p>
    <w:p w:rsidR="0005231C" w:rsidRDefault="0005231C" w:rsidP="0005231C"/>
    <w:p w:rsidR="0005231C" w:rsidRDefault="0005231C" w:rsidP="0005231C"/>
    <w:p w:rsidR="0005231C" w:rsidRDefault="0005231C" w:rsidP="0005231C"/>
    <w:p w:rsidR="00020455" w:rsidRPr="002A64F8" w:rsidRDefault="00A2570C" w:rsidP="00020455">
      <w:pPr>
        <w:pStyle w:val="Caption"/>
        <w:keepNext/>
      </w:pPr>
      <w:r w:rsidRPr="002A64F8">
        <w:fldChar w:fldCharType="begin"/>
      </w:r>
      <w:r w:rsidRPr="002A64F8">
        <w:instrText xml:space="preserve"> SEQ paveikslas \* ARABIC </w:instrText>
      </w:r>
      <w:r w:rsidRPr="002A64F8">
        <w:fldChar w:fldCharType="separate"/>
      </w:r>
      <w:r w:rsidR="008A1509" w:rsidRPr="002A64F8">
        <w:t>5</w:t>
      </w:r>
      <w:r w:rsidRPr="002A64F8">
        <w:fldChar w:fldCharType="end"/>
      </w:r>
      <w:r w:rsidRPr="002A64F8">
        <w:t xml:space="preserve"> paveikslas. Demografiniai rodikliai</w:t>
      </w:r>
    </w:p>
    <w:p w:rsidR="008A1509" w:rsidRPr="002A64F8" w:rsidRDefault="0005231C" w:rsidP="008A1509">
      <w:pPr>
        <w:pStyle w:val="Caption"/>
        <w:spacing w:before="240"/>
        <w:rPr>
          <w:b w:val="0"/>
        </w:rPr>
      </w:pPr>
      <w:r w:rsidRPr="002A64F8">
        <w:rPr>
          <w:noProof/>
          <w:lang w:val="en-US"/>
        </w:rPr>
        <w:drawing>
          <wp:inline distT="0" distB="0" distL="0" distR="0">
            <wp:extent cx="4680585" cy="2701925"/>
            <wp:effectExtent l="0" t="0" r="24765" b="222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B76AF6" w:rsidRPr="002A64F8">
        <w:rPr>
          <w:b w:val="0"/>
        </w:rPr>
        <w:br/>
      </w:r>
      <w:r w:rsidR="008A1509" w:rsidRPr="002A64F8">
        <w:rPr>
          <w:b w:val="0"/>
        </w:rPr>
        <w:t>Šaltinis: Statistiko</w:t>
      </w:r>
      <w:r w:rsidR="00594D44" w:rsidRPr="002A64F8">
        <w:rPr>
          <w:b w:val="0"/>
        </w:rPr>
        <w:t>s</w:t>
      </w:r>
      <w:r w:rsidR="008A1509" w:rsidRPr="002A64F8">
        <w:rPr>
          <w:b w:val="0"/>
        </w:rPr>
        <w:t xml:space="preserve"> departamentas</w:t>
      </w:r>
    </w:p>
    <w:p w:rsidR="00256058" w:rsidRDefault="00B76AF6" w:rsidP="00256058">
      <w:pPr>
        <w:jc w:val="both"/>
        <w:rPr>
          <w:rFonts w:ascii="Arial" w:eastAsia="MS PGothic" w:hAnsi="Arial" w:cs="Times New Roman"/>
          <w:sz w:val="20"/>
          <w:szCs w:val="24"/>
        </w:rPr>
      </w:pPr>
      <w:r w:rsidRPr="002A64F8">
        <w:rPr>
          <w:rFonts w:ascii="Arial" w:eastAsia="MS PGothic" w:hAnsi="Arial" w:cs="Times New Roman"/>
          <w:sz w:val="20"/>
          <w:szCs w:val="24"/>
        </w:rPr>
        <w:t>Vertinant ūkio ir finansini</w:t>
      </w:r>
      <w:r w:rsidR="004E0E71" w:rsidRPr="002A64F8">
        <w:rPr>
          <w:rFonts w:ascii="Arial" w:eastAsia="MS PGothic" w:hAnsi="Arial" w:cs="Times New Roman"/>
          <w:sz w:val="20"/>
          <w:szCs w:val="24"/>
        </w:rPr>
        <w:t xml:space="preserve">us </w:t>
      </w:r>
      <w:r w:rsidR="004E0E71" w:rsidRPr="002A64F8">
        <w:rPr>
          <w:rFonts w:ascii="Arial" w:eastAsia="MS PGothic" w:hAnsi="Arial" w:cs="Arial"/>
          <w:sz w:val="20"/>
          <w:szCs w:val="24"/>
        </w:rPr>
        <w:t xml:space="preserve">rodiklius </w:t>
      </w:r>
      <w:r w:rsidRPr="002A64F8">
        <w:rPr>
          <w:rFonts w:ascii="Arial" w:eastAsia="MS PGothic" w:hAnsi="Arial" w:cs="Arial"/>
          <w:sz w:val="20"/>
          <w:szCs w:val="24"/>
        </w:rPr>
        <w:t>pastebima,</w:t>
      </w:r>
      <w:r w:rsidR="00424FB7" w:rsidRPr="002A64F8">
        <w:rPr>
          <w:rFonts w:ascii="Arial" w:eastAsia="MS PGothic" w:hAnsi="Arial" w:cs="Arial"/>
          <w:sz w:val="20"/>
          <w:szCs w:val="24"/>
        </w:rPr>
        <w:t xml:space="preserve"> kad</w:t>
      </w:r>
      <w:r w:rsidR="0062159A" w:rsidRPr="002A64F8">
        <w:rPr>
          <w:rFonts w:ascii="Arial" w:eastAsia="MS PGothic" w:hAnsi="Arial" w:cs="Arial"/>
          <w:sz w:val="20"/>
          <w:szCs w:val="24"/>
        </w:rPr>
        <w:t xml:space="preserve"> 2007 – 2013</w:t>
      </w:r>
      <w:r w:rsidR="00BC4ECE" w:rsidRPr="002A64F8">
        <w:rPr>
          <w:rFonts w:ascii="Arial" w:eastAsia="MS PGothic" w:hAnsi="Arial" w:cs="Arial"/>
          <w:sz w:val="20"/>
          <w:szCs w:val="24"/>
        </w:rPr>
        <w:t xml:space="preserve"> m. </w:t>
      </w:r>
      <w:r w:rsidR="0062159A" w:rsidRPr="002A64F8">
        <w:rPr>
          <w:rFonts w:ascii="Arial" w:eastAsia="MS PGothic" w:hAnsi="Arial" w:cs="Arial"/>
          <w:sz w:val="20"/>
          <w:szCs w:val="24"/>
        </w:rPr>
        <w:t>pridėtinė</w:t>
      </w:r>
      <w:r w:rsidR="00BC4ECE" w:rsidRPr="002A64F8">
        <w:rPr>
          <w:rFonts w:ascii="Arial" w:eastAsia="MS PGothic" w:hAnsi="Arial" w:cs="Arial"/>
          <w:sz w:val="20"/>
          <w:szCs w:val="24"/>
        </w:rPr>
        <w:t>s</w:t>
      </w:r>
      <w:r w:rsidR="0062159A" w:rsidRPr="002A64F8">
        <w:rPr>
          <w:rFonts w:ascii="Arial" w:eastAsia="MS PGothic" w:hAnsi="Arial" w:cs="Arial"/>
          <w:sz w:val="20"/>
          <w:szCs w:val="24"/>
        </w:rPr>
        <w:t xml:space="preserve"> vertė</w:t>
      </w:r>
      <w:r w:rsidR="00BC4ECE" w:rsidRPr="002A64F8">
        <w:rPr>
          <w:rFonts w:ascii="Arial" w:eastAsia="MS PGothic" w:hAnsi="Arial" w:cs="Arial"/>
          <w:sz w:val="20"/>
          <w:szCs w:val="24"/>
        </w:rPr>
        <w:t>s gamybos kainomis ir m</w:t>
      </w:r>
      <w:r w:rsidR="0062159A" w:rsidRPr="002A64F8">
        <w:rPr>
          <w:rFonts w:ascii="Arial" w:eastAsia="MS PGothic" w:hAnsi="Arial" w:cs="Arial"/>
          <w:sz w:val="20"/>
          <w:szCs w:val="24"/>
        </w:rPr>
        <w:t>aterialin</w:t>
      </w:r>
      <w:r w:rsidR="00BC4ECE" w:rsidRPr="002A64F8">
        <w:rPr>
          <w:rFonts w:ascii="Arial" w:eastAsia="MS PGothic" w:hAnsi="Arial" w:cs="Arial"/>
          <w:sz w:val="20"/>
          <w:szCs w:val="24"/>
        </w:rPr>
        <w:t xml:space="preserve">ių investicijų rodikliai </w:t>
      </w:r>
      <w:r w:rsidR="000B2A0A" w:rsidRPr="002A64F8">
        <w:rPr>
          <w:rFonts w:ascii="Arial" w:eastAsia="MS PGothic" w:hAnsi="Arial" w:cs="Arial"/>
          <w:sz w:val="20"/>
          <w:szCs w:val="24"/>
        </w:rPr>
        <w:t>buvo stipriai veikiami ekonomikos ciklo svyravimų</w:t>
      </w:r>
      <w:r w:rsidR="00BC4ECE" w:rsidRPr="002A64F8">
        <w:rPr>
          <w:rFonts w:ascii="Arial" w:eastAsia="MS PGothic" w:hAnsi="Arial" w:cs="Arial"/>
          <w:sz w:val="20"/>
          <w:szCs w:val="24"/>
        </w:rPr>
        <w:t>.</w:t>
      </w:r>
      <w:r w:rsidR="00256058" w:rsidRPr="002A64F8">
        <w:rPr>
          <w:rFonts w:ascii="Arial" w:eastAsia="MS PGothic" w:hAnsi="Arial" w:cs="Arial"/>
          <w:sz w:val="20"/>
          <w:szCs w:val="24"/>
        </w:rPr>
        <w:t xml:space="preserve"> Pridėtinės vertės gamybos kainomis ir materialinių investicijų rodikliai kito ta pačia tendencija:</w:t>
      </w:r>
      <w:r w:rsidR="00256058" w:rsidRPr="002A64F8">
        <w:rPr>
          <w:rFonts w:ascii="Arial" w:eastAsia="MS PGothic" w:hAnsi="Arial" w:cs="Times New Roman"/>
          <w:sz w:val="20"/>
          <w:szCs w:val="24"/>
        </w:rPr>
        <w:t xml:space="preserve"> kylant verslo įmonių sukuriamai pridėtinei vertei, atitinkamai kilo ir materialinės investicijos. Vertinant rodiklių pasiekimus pastebima, kad visų trijų rodiklių reikšmės laikotarpio pabaigoje buvo mažesnės nei 2007 m. Materialinės investicijos  nagrinėjamu laikotarpiu sumažėjo beveik 18 proc., tuo tarpu pridėtinė vertė gamybos kainomis mažėjo šiek tiek daugiau nei 10 proc. Itin stiprią neigiamą tendenciją įgavo tiesioginių užsienio investicijų rodiklis:</w:t>
      </w:r>
      <w:r w:rsidR="002A64F8">
        <w:rPr>
          <w:rFonts w:ascii="Arial" w:eastAsia="MS PGothic" w:hAnsi="Arial" w:cs="Times New Roman"/>
          <w:sz w:val="20"/>
          <w:szCs w:val="24"/>
        </w:rPr>
        <w:t xml:space="preserve"> jo pokytis siekė </w:t>
      </w:r>
      <w:r w:rsidR="002A64F8">
        <w:rPr>
          <w:rFonts w:ascii="Arial" w:eastAsia="MS PGothic" w:hAnsi="Arial" w:cs="Times New Roman"/>
          <w:sz w:val="20"/>
          <w:szCs w:val="24"/>
          <w:lang w:val="en-US"/>
        </w:rPr>
        <w:t>-100 proc. P</w:t>
      </w:r>
      <w:r w:rsidR="00256058" w:rsidRPr="002A64F8">
        <w:rPr>
          <w:rFonts w:ascii="Arial" w:eastAsia="MS PGothic" w:hAnsi="Arial" w:cs="Times New Roman"/>
          <w:sz w:val="20"/>
          <w:szCs w:val="24"/>
        </w:rPr>
        <w:t xml:space="preserve">agal šį rodiklį lyginant </w:t>
      </w:r>
      <w:r w:rsidR="002A64F8">
        <w:rPr>
          <w:rFonts w:ascii="Arial" w:eastAsia="MS PGothic" w:hAnsi="Arial" w:cs="Times New Roman"/>
          <w:sz w:val="20"/>
          <w:szCs w:val="24"/>
        </w:rPr>
        <w:t xml:space="preserve">Šalčininkų savivaldybę </w:t>
      </w:r>
      <w:r w:rsidR="00256058" w:rsidRPr="002A64F8">
        <w:rPr>
          <w:rFonts w:ascii="Arial" w:eastAsia="MS PGothic" w:hAnsi="Arial" w:cs="Times New Roman"/>
          <w:sz w:val="20"/>
          <w:szCs w:val="24"/>
        </w:rPr>
        <w:t xml:space="preserve">su kitomis probleminėmis teritorijomis, </w:t>
      </w:r>
      <w:r w:rsidR="002A64F8">
        <w:rPr>
          <w:rFonts w:ascii="Arial" w:eastAsia="MS PGothic" w:hAnsi="Arial" w:cs="Times New Roman"/>
          <w:sz w:val="20"/>
          <w:szCs w:val="24"/>
        </w:rPr>
        <w:t>nagrinėjama teritorija buvo ir išliko</w:t>
      </w:r>
      <w:r w:rsidR="00256058" w:rsidRPr="002A64F8">
        <w:rPr>
          <w:rFonts w:ascii="Arial" w:eastAsia="MS PGothic" w:hAnsi="Arial" w:cs="Times New Roman"/>
          <w:sz w:val="20"/>
          <w:szCs w:val="24"/>
        </w:rPr>
        <w:t xml:space="preserve"> viena mažiausiai užsienio investicijų pritraukiančių </w:t>
      </w:r>
      <w:r w:rsidR="002A64F8">
        <w:rPr>
          <w:rFonts w:ascii="Arial" w:eastAsia="MS PGothic" w:hAnsi="Arial" w:cs="Times New Roman"/>
          <w:sz w:val="20"/>
          <w:szCs w:val="24"/>
        </w:rPr>
        <w:t>savivaldybių</w:t>
      </w:r>
      <w:r w:rsidR="00256058" w:rsidRPr="002A64F8">
        <w:rPr>
          <w:rFonts w:ascii="Arial" w:eastAsia="MS PGothic" w:hAnsi="Arial" w:cs="Times New Roman"/>
          <w:sz w:val="20"/>
          <w:szCs w:val="24"/>
        </w:rPr>
        <w:t xml:space="preserve">, taip dar labiau padidindama atsilikimą nuo Lietuvos vidurkio. Apibendrinant ekonominius rodiklių pasiekimus, pastebima, kad situacija Šalčininkų savivaldybėje praktiškai nepakito. O finansavimas skirtas antros veiksmų programos ketvirtam prioritetui nesuteikė papildomos paskatos ūkio sektoriaus augimui. </w:t>
      </w:r>
    </w:p>
    <w:p w:rsidR="0005231C" w:rsidRDefault="0005231C" w:rsidP="00256058">
      <w:pPr>
        <w:jc w:val="both"/>
        <w:rPr>
          <w:rFonts w:ascii="Arial" w:eastAsia="MS PGothic" w:hAnsi="Arial" w:cs="Times New Roman"/>
          <w:sz w:val="20"/>
          <w:szCs w:val="24"/>
        </w:rPr>
      </w:pPr>
    </w:p>
    <w:p w:rsidR="0005231C" w:rsidRDefault="0005231C" w:rsidP="00256058">
      <w:pPr>
        <w:jc w:val="both"/>
        <w:rPr>
          <w:rFonts w:ascii="Arial" w:eastAsia="MS PGothic" w:hAnsi="Arial" w:cs="Times New Roman"/>
          <w:sz w:val="20"/>
          <w:szCs w:val="24"/>
        </w:rPr>
      </w:pPr>
    </w:p>
    <w:p w:rsidR="0005231C" w:rsidRDefault="0005231C" w:rsidP="00256058">
      <w:pPr>
        <w:jc w:val="both"/>
        <w:rPr>
          <w:rFonts w:ascii="Arial" w:eastAsia="MS PGothic" w:hAnsi="Arial" w:cs="Times New Roman"/>
          <w:sz w:val="20"/>
          <w:szCs w:val="24"/>
        </w:rPr>
      </w:pPr>
    </w:p>
    <w:p w:rsidR="0005231C" w:rsidRDefault="0005231C" w:rsidP="00256058">
      <w:pPr>
        <w:jc w:val="both"/>
        <w:rPr>
          <w:rFonts w:ascii="Arial" w:eastAsia="MS PGothic" w:hAnsi="Arial" w:cs="Times New Roman"/>
          <w:sz w:val="20"/>
          <w:szCs w:val="24"/>
        </w:rPr>
      </w:pPr>
    </w:p>
    <w:p w:rsidR="0005231C" w:rsidRDefault="0005231C" w:rsidP="00256058">
      <w:pPr>
        <w:jc w:val="both"/>
        <w:rPr>
          <w:rFonts w:ascii="Arial" w:eastAsia="MS PGothic" w:hAnsi="Arial" w:cs="Times New Roman"/>
          <w:sz w:val="20"/>
          <w:szCs w:val="24"/>
        </w:rPr>
      </w:pPr>
    </w:p>
    <w:p w:rsidR="0005231C" w:rsidRPr="002A64F8" w:rsidRDefault="0005231C" w:rsidP="00256058">
      <w:pPr>
        <w:jc w:val="both"/>
        <w:rPr>
          <w:rFonts w:ascii="Arial" w:eastAsia="MS PGothic" w:hAnsi="Arial" w:cs="Times New Roman"/>
          <w:sz w:val="20"/>
          <w:szCs w:val="24"/>
        </w:rPr>
      </w:pPr>
    </w:p>
    <w:p w:rsidR="008A1509" w:rsidRPr="002A64F8" w:rsidRDefault="008A1509" w:rsidP="008A1509">
      <w:pPr>
        <w:pStyle w:val="Caption"/>
        <w:keepNext/>
      </w:pPr>
      <w:r w:rsidRPr="002A64F8">
        <w:fldChar w:fldCharType="begin"/>
      </w:r>
      <w:r w:rsidRPr="002A64F8">
        <w:instrText xml:space="preserve"> SEQ paveikslas \* ARABIC </w:instrText>
      </w:r>
      <w:r w:rsidRPr="002A64F8">
        <w:fldChar w:fldCharType="separate"/>
      </w:r>
      <w:r w:rsidRPr="002A64F8">
        <w:t>6</w:t>
      </w:r>
      <w:r w:rsidRPr="002A64F8">
        <w:fldChar w:fldCharType="end"/>
      </w:r>
      <w:r w:rsidRPr="002A64F8">
        <w:t xml:space="preserve"> paveikslas. Ekonominės veiklos rodikliai</w:t>
      </w:r>
    </w:p>
    <w:p w:rsidR="00A027E9" w:rsidRPr="002A64F8" w:rsidRDefault="00CA47B0" w:rsidP="00A027E9">
      <w:r w:rsidRPr="002A64F8">
        <w:rPr>
          <w:noProof/>
          <w:lang w:val="en-US"/>
        </w:rPr>
        <w:drawing>
          <wp:inline distT="0" distB="0" distL="0" distR="0">
            <wp:extent cx="4387215" cy="2490470"/>
            <wp:effectExtent l="0" t="0" r="13335" b="241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0E71" w:rsidRPr="002A64F8" w:rsidRDefault="004E0E71" w:rsidP="00805F6F">
      <w:pPr>
        <w:pStyle w:val="Caption"/>
        <w:spacing w:before="240" w:after="240"/>
        <w:rPr>
          <w:b w:val="0"/>
        </w:rPr>
      </w:pPr>
      <w:r w:rsidRPr="002A64F8">
        <w:rPr>
          <w:b w:val="0"/>
        </w:rPr>
        <w:t>Šaltinis: Statistiko</w:t>
      </w:r>
      <w:r w:rsidR="0062159A" w:rsidRPr="002A64F8">
        <w:rPr>
          <w:b w:val="0"/>
        </w:rPr>
        <w:t>s</w:t>
      </w:r>
      <w:r w:rsidRPr="002A64F8">
        <w:rPr>
          <w:b w:val="0"/>
        </w:rPr>
        <w:t xml:space="preserve"> departamentas</w:t>
      </w:r>
    </w:p>
    <w:p w:rsidR="00942138" w:rsidRPr="002A64F8" w:rsidRDefault="006C4D28" w:rsidP="0005231C">
      <w:pPr>
        <w:pStyle w:val="Heading1"/>
        <w:numPr>
          <w:ilvl w:val="1"/>
          <w:numId w:val="1"/>
        </w:numPr>
        <w:spacing w:after="240"/>
        <w:rPr>
          <w:rFonts w:ascii="Arial" w:hAnsi="Arial" w:cs="Arial"/>
          <w:b w:val="0"/>
          <w:sz w:val="28"/>
        </w:rPr>
      </w:pPr>
      <w:r w:rsidRPr="002A64F8">
        <w:rPr>
          <w:rFonts w:ascii="Arial" w:hAnsi="Arial" w:cs="Arial"/>
          <w:b w:val="0"/>
          <w:sz w:val="28"/>
        </w:rPr>
        <w:t>ES struktūrinės paramos poveikis</w:t>
      </w:r>
    </w:p>
    <w:p w:rsidR="00960EE7" w:rsidRDefault="006C4D28" w:rsidP="00CF2C00">
      <w:pPr>
        <w:jc w:val="both"/>
        <w:rPr>
          <w:rFonts w:ascii="Arial" w:eastAsia="MS PGothic" w:hAnsi="Arial" w:cs="Times New Roman"/>
          <w:sz w:val="20"/>
          <w:szCs w:val="24"/>
        </w:rPr>
      </w:pPr>
      <w:r w:rsidRPr="002A64F8">
        <w:rPr>
          <w:rFonts w:ascii="Arial" w:eastAsia="MS PGothic" w:hAnsi="Arial" w:cs="Times New Roman"/>
          <w:sz w:val="20"/>
          <w:szCs w:val="24"/>
        </w:rPr>
        <w:t xml:space="preserve">Investicijos probleminėms teritorijoms priskirtoms savivaldybėms buvo skiriamos pagal LRV nutarimu patvirtintas probleminių </w:t>
      </w:r>
      <w:r w:rsidR="002D1DCE" w:rsidRPr="002A64F8">
        <w:rPr>
          <w:rFonts w:ascii="Arial" w:eastAsia="MS PGothic" w:hAnsi="Arial" w:cs="Times New Roman"/>
          <w:sz w:val="20"/>
          <w:szCs w:val="24"/>
        </w:rPr>
        <w:t xml:space="preserve">teritorijų gaivinimo programas. </w:t>
      </w:r>
      <w:r w:rsidR="00BF63D3" w:rsidRPr="002A64F8">
        <w:rPr>
          <w:rFonts w:ascii="Arial" w:eastAsia="MS PGothic" w:hAnsi="Arial" w:cs="Times New Roman"/>
          <w:sz w:val="20"/>
          <w:szCs w:val="24"/>
        </w:rPr>
        <w:t xml:space="preserve">Pagrindiniai </w:t>
      </w:r>
      <w:r w:rsidR="00844FEE">
        <w:rPr>
          <w:rFonts w:ascii="Arial" w:eastAsia="MS PGothic" w:hAnsi="Arial" w:cs="Times New Roman"/>
          <w:sz w:val="20"/>
          <w:szCs w:val="24"/>
        </w:rPr>
        <w:t xml:space="preserve">Šalčininkų </w:t>
      </w:r>
      <w:r w:rsidR="00C446C3" w:rsidRPr="002A64F8">
        <w:rPr>
          <w:rFonts w:ascii="Arial" w:eastAsia="MS PGothic" w:hAnsi="Arial" w:cs="Times New Roman"/>
          <w:sz w:val="20"/>
          <w:szCs w:val="24"/>
        </w:rPr>
        <w:t>rajono</w:t>
      </w:r>
      <w:r w:rsidR="00BF63D3" w:rsidRPr="002A64F8">
        <w:rPr>
          <w:rFonts w:ascii="Arial" w:eastAsia="MS PGothic" w:hAnsi="Arial" w:cs="Times New Roman"/>
          <w:sz w:val="20"/>
          <w:szCs w:val="24"/>
        </w:rPr>
        <w:t xml:space="preserve"> savivaldybės programos tikslai buvo mažinti nedarbo rodiklius ir socialinės pašalpos gavėjų skaičių. Tuo tarpu uždaviniai ir veiklos telkėsi į infrastruktūros tobulinimą, daugiabučių atnaujinimą ir </w:t>
      </w:r>
      <w:r w:rsidR="00CF2C00" w:rsidRPr="002A64F8">
        <w:rPr>
          <w:rFonts w:ascii="Arial" w:eastAsia="MS PGothic" w:hAnsi="Arial" w:cs="Times New Roman"/>
          <w:sz w:val="20"/>
          <w:szCs w:val="24"/>
        </w:rPr>
        <w:t>kompleksinį</w:t>
      </w:r>
      <w:r w:rsidR="00D4179A" w:rsidRPr="002A64F8">
        <w:rPr>
          <w:rFonts w:ascii="Arial" w:eastAsia="MS PGothic" w:hAnsi="Arial" w:cs="Times New Roman"/>
          <w:sz w:val="20"/>
          <w:szCs w:val="24"/>
        </w:rPr>
        <w:t xml:space="preserve"> gyvenamosios aplinkos ir </w:t>
      </w:r>
      <w:r w:rsidR="005E7012" w:rsidRPr="002A64F8">
        <w:rPr>
          <w:rFonts w:ascii="Arial" w:eastAsia="MS PGothic" w:hAnsi="Arial" w:cs="Times New Roman"/>
          <w:sz w:val="20"/>
          <w:szCs w:val="24"/>
        </w:rPr>
        <w:t xml:space="preserve">urbanistinės </w:t>
      </w:r>
      <w:r w:rsidR="00BF63D3" w:rsidRPr="002A64F8">
        <w:rPr>
          <w:rFonts w:ascii="Arial" w:eastAsia="MS PGothic" w:hAnsi="Arial" w:cs="Times New Roman"/>
          <w:sz w:val="20"/>
          <w:szCs w:val="24"/>
        </w:rPr>
        <w:t xml:space="preserve"> </w:t>
      </w:r>
      <w:r w:rsidR="005E7012" w:rsidRPr="002A64F8">
        <w:rPr>
          <w:rFonts w:ascii="Arial" w:eastAsia="MS PGothic" w:hAnsi="Arial" w:cs="Times New Roman"/>
          <w:sz w:val="20"/>
          <w:szCs w:val="24"/>
        </w:rPr>
        <w:t xml:space="preserve">infrastruktūros </w:t>
      </w:r>
      <w:r w:rsidR="00BF63D3" w:rsidRPr="002A64F8">
        <w:rPr>
          <w:rFonts w:ascii="Arial" w:eastAsia="MS PGothic" w:hAnsi="Arial" w:cs="Times New Roman"/>
          <w:sz w:val="20"/>
          <w:szCs w:val="24"/>
        </w:rPr>
        <w:t>tobulinimą.</w:t>
      </w:r>
      <w:r w:rsidR="00D66F8E" w:rsidRPr="002A64F8">
        <w:rPr>
          <w:rStyle w:val="FootnoteReference"/>
          <w:rFonts w:ascii="Arial" w:eastAsia="MS PGothic" w:hAnsi="Arial" w:cs="Times New Roman"/>
          <w:sz w:val="20"/>
          <w:szCs w:val="24"/>
        </w:rPr>
        <w:footnoteReference w:id="1"/>
      </w:r>
      <w:r w:rsidR="002D1DCE" w:rsidRPr="002A64F8">
        <w:rPr>
          <w:rFonts w:ascii="Arial" w:eastAsia="MS PGothic" w:hAnsi="Arial" w:cs="Times New Roman"/>
          <w:sz w:val="20"/>
          <w:szCs w:val="24"/>
        </w:rPr>
        <w:t xml:space="preserve"> Taigi ir ES SF lėšos daugiausia buvo investuotos</w:t>
      </w:r>
      <w:r w:rsidR="00D66F8E" w:rsidRPr="002A64F8">
        <w:rPr>
          <w:rFonts w:ascii="Arial" w:eastAsia="MS PGothic" w:hAnsi="Arial" w:cs="Times New Roman"/>
          <w:sz w:val="20"/>
          <w:szCs w:val="24"/>
        </w:rPr>
        <w:t xml:space="preserve"> į fizinės aplinkos gerinimą, </w:t>
      </w:r>
      <w:r w:rsidR="005E7012" w:rsidRPr="002A64F8">
        <w:rPr>
          <w:rFonts w:ascii="Arial" w:eastAsia="MS PGothic" w:hAnsi="Arial" w:cs="Times New Roman"/>
          <w:sz w:val="20"/>
          <w:szCs w:val="24"/>
        </w:rPr>
        <w:t xml:space="preserve">viešosios paskirties pastatų ir </w:t>
      </w:r>
      <w:r w:rsidR="00844FEE">
        <w:rPr>
          <w:rFonts w:ascii="Arial" w:eastAsia="MS PGothic" w:hAnsi="Arial" w:cs="Times New Roman"/>
          <w:sz w:val="20"/>
          <w:szCs w:val="24"/>
        </w:rPr>
        <w:t>kitos infrastruktūros</w:t>
      </w:r>
      <w:r w:rsidR="00CF2C00" w:rsidRPr="002A64F8">
        <w:rPr>
          <w:rFonts w:ascii="Arial" w:eastAsia="MS PGothic" w:hAnsi="Arial" w:cs="Times New Roman"/>
          <w:sz w:val="20"/>
          <w:szCs w:val="24"/>
        </w:rPr>
        <w:t xml:space="preserve"> renovavimą. </w:t>
      </w:r>
    </w:p>
    <w:p w:rsidR="00960EE7" w:rsidRDefault="00960EE7" w:rsidP="00CF2C00">
      <w:pPr>
        <w:jc w:val="both"/>
        <w:rPr>
          <w:rFonts w:ascii="Arial" w:eastAsia="MS PGothic" w:hAnsi="Arial" w:cs="Times New Roman"/>
          <w:sz w:val="20"/>
          <w:szCs w:val="24"/>
        </w:rPr>
      </w:pPr>
      <w:r w:rsidRPr="0005231C">
        <w:rPr>
          <w:rFonts w:ascii="Arial" w:eastAsia="MS PGothic" w:hAnsi="Arial" w:cs="Times New Roman"/>
          <w:noProof/>
          <w:sz w:val="20"/>
          <w:szCs w:val="24"/>
          <w:lang w:val="en-US"/>
        </w:rPr>
        <mc:AlternateContent>
          <mc:Choice Requires="wps">
            <w:drawing>
              <wp:anchor distT="0" distB="0" distL="114300" distR="114300" simplePos="0" relativeHeight="251701248" behindDoc="0" locked="0" layoutInCell="1" allowOverlap="1" wp14:anchorId="5C5707BF" wp14:editId="11D123C6">
                <wp:simplePos x="0" y="0"/>
                <wp:positionH relativeFrom="column">
                  <wp:align>center</wp:align>
                </wp:positionH>
                <wp:positionV relativeFrom="paragraph">
                  <wp:posOffset>0</wp:posOffset>
                </wp:positionV>
                <wp:extent cx="4986020" cy="1221105"/>
                <wp:effectExtent l="0" t="0" r="2413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020" cy="1221474"/>
                        </a:xfrm>
                        <a:prstGeom prst="rect">
                          <a:avLst/>
                        </a:prstGeom>
                        <a:solidFill>
                          <a:srgbClr val="FFFFFF"/>
                        </a:solidFill>
                        <a:ln w="9525">
                          <a:solidFill>
                            <a:srgbClr val="000000"/>
                          </a:solidFill>
                          <a:miter lim="800000"/>
                          <a:headEnd/>
                          <a:tailEnd/>
                        </a:ln>
                      </wps:spPr>
                      <wps:txbx>
                        <w:txbxContent>
                          <w:p w:rsidR="0005231C" w:rsidRDefault="0005231C" w:rsidP="0005231C">
                            <w:pPr>
                              <w:jc w:val="both"/>
                              <w:rPr>
                                <w:rFonts w:ascii="Arial" w:hAnsi="Arial" w:cs="Arial"/>
                                <w:b/>
                                <w:sz w:val="16"/>
                                <w:szCs w:val="16"/>
                              </w:rPr>
                            </w:pPr>
                            <w:r w:rsidRPr="0005231C">
                              <w:rPr>
                                <w:rFonts w:ascii="Arial" w:hAnsi="Arial" w:cs="Arial"/>
                                <w:b/>
                                <w:sz w:val="16"/>
                                <w:szCs w:val="16"/>
                              </w:rPr>
                              <w:t>Šalčininkų miesto urbanistinės infrastruktūros tvarkymas ir kraštovaizdžio formavimas, VP3-1.1-VRM-02-R-02-002</w:t>
                            </w:r>
                          </w:p>
                          <w:p w:rsidR="0005231C" w:rsidRPr="0005231C" w:rsidRDefault="0005231C" w:rsidP="0005231C">
                            <w:pPr>
                              <w:jc w:val="both"/>
                              <w:rPr>
                                <w:rFonts w:ascii="Arial" w:hAnsi="Arial" w:cs="Arial"/>
                                <w:sz w:val="16"/>
                                <w:szCs w:val="16"/>
                              </w:rPr>
                            </w:pPr>
                            <w:r w:rsidRPr="0005231C">
                              <w:rPr>
                                <w:rFonts w:ascii="Arial" w:hAnsi="Arial" w:cs="Arial"/>
                                <w:sz w:val="16"/>
                                <w:szCs w:val="16"/>
                              </w:rPr>
                              <w:t>Projekto įgyvendinimo metu buvo kompleksiškai sutvarkyta Šalčininkų miesto urbanistinė infrastruktūra: miesto centrinėje aikštėje bus pakeista danga, sutvarkyti žalieji plotai ir aplinka, atnaujinta zona tarp Mokyklos ir Melioratorių gatvių (nutiesti dviračių ir pėsčiųjų takai, šaligatviai, įrengtas lauko apšvietimas, dvi automobilių bei autobusų stovėjimo aikštelės, vaikų žaidimo aikštelė), taip pat atnaujintas stadionas (įrengtas sporto aikštynas, čiuožykla, vaikų žaidimo aikštelė). Projekto tikslinė grupė - gyvenvietės gyventojai ir svečiai.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0;margin-top:0;width:392.6pt;height:96.15pt;z-index:251701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">
                <v:textbox>
                  <w:txbxContent>
                    <w:p w:rsidR="0005231C" w:rsidRDefault="0005231C" w:rsidP="0005231C">
                      <w:pPr>
                        <w:jc w:val="both"/>
                        <w:rPr>
                          <w:rFonts w:ascii="Arial" w:hAnsi="Arial" w:cs="Arial"/>
                          <w:b/>
                          <w:sz w:val="16"/>
                          <w:szCs w:val="16"/>
                        </w:rPr>
                      </w:pPr>
                      <w:r w:rsidRPr="0005231C">
                        <w:rPr>
                          <w:rFonts w:ascii="Arial" w:hAnsi="Arial" w:cs="Arial"/>
                          <w:b/>
                          <w:sz w:val="16"/>
                          <w:szCs w:val="16"/>
                        </w:rPr>
                        <w:t>Šalčininkų miesto urbanistinės infrastruktūros tvarkymas ir kraštovaizdžio formavimas, VP3-1.1-VRM-02-R-02-002</w:t>
                      </w:r>
                    </w:p>
                    <w:p w:rsidR="0005231C" w:rsidRPr="0005231C" w:rsidRDefault="0005231C" w:rsidP="0005231C">
                      <w:pPr>
                        <w:jc w:val="both"/>
                        <w:rPr>
                          <w:rFonts w:ascii="Arial" w:hAnsi="Arial" w:cs="Arial"/>
                          <w:sz w:val="16"/>
                          <w:szCs w:val="16"/>
                        </w:rPr>
                      </w:pPr>
                      <w:r w:rsidRPr="0005231C">
                        <w:rPr>
                          <w:rFonts w:ascii="Arial" w:hAnsi="Arial" w:cs="Arial"/>
                          <w:sz w:val="16"/>
                          <w:szCs w:val="16"/>
                        </w:rPr>
                        <w:t>Projekto įgyvendinimo metu buvo kompleksiškai sutvarkyta Šalčininkų miesto urbanistinė infrastruktūra: miesto centrinėje aikštėje bus pakeista danga, sutvarkyti žalieji plotai ir aplinka, atnaujinta zona tarp Mokyklos ir Melioratorių gatvių (nutiesti dviračių ir pėsčiųjų takai, šaligatviai, įrengtas lauko apšvietimas, dvi automobilių bei autobusų stovėjimo aikštelės, vaikų žaidimo aikštelė), taip pat atnaujintas stadionas (įrengtas sporto aikštynas, čiuožykla, vaikų žaidimo aikštelė). Projekto tikslinė grupė - gyvenvietės gyventojai ir svečiai.</w:t>
                      </w:r>
                    </w:p>
                  </w:txbxContent>
                </v:textbox>
              </v:shape>
            </w:pict>
          </mc:Fallback>
        </mc:AlternateContent>
      </w:r>
    </w:p>
    <w:p w:rsidR="00960EE7" w:rsidRDefault="00960EE7" w:rsidP="00CF2C00">
      <w:pPr>
        <w:jc w:val="both"/>
        <w:rPr>
          <w:rFonts w:ascii="Arial" w:eastAsia="MS PGothic" w:hAnsi="Arial" w:cs="Times New Roman"/>
          <w:sz w:val="20"/>
          <w:szCs w:val="24"/>
        </w:rPr>
      </w:pPr>
    </w:p>
    <w:p w:rsidR="00960EE7" w:rsidRDefault="00960EE7" w:rsidP="00CF2C00">
      <w:pPr>
        <w:jc w:val="both"/>
        <w:rPr>
          <w:rFonts w:ascii="Arial" w:eastAsia="MS PGothic" w:hAnsi="Arial" w:cs="Times New Roman"/>
          <w:sz w:val="20"/>
          <w:szCs w:val="24"/>
        </w:rPr>
      </w:pPr>
    </w:p>
    <w:p w:rsidR="00960EE7" w:rsidRDefault="00960EE7" w:rsidP="00CF2C00">
      <w:pPr>
        <w:jc w:val="both"/>
        <w:rPr>
          <w:rFonts w:ascii="Arial" w:eastAsia="MS PGothic" w:hAnsi="Arial" w:cs="Times New Roman"/>
          <w:sz w:val="20"/>
          <w:szCs w:val="24"/>
        </w:rPr>
      </w:pPr>
    </w:p>
    <w:p w:rsidR="00960EE7" w:rsidRDefault="00960EE7" w:rsidP="00CF2C00">
      <w:pPr>
        <w:jc w:val="both"/>
        <w:rPr>
          <w:rFonts w:ascii="Arial" w:eastAsia="MS PGothic" w:hAnsi="Arial" w:cs="Times New Roman"/>
          <w:sz w:val="20"/>
          <w:szCs w:val="24"/>
        </w:rPr>
      </w:pPr>
    </w:p>
    <w:p w:rsidR="00897144" w:rsidRPr="002A64F8" w:rsidRDefault="00CF2C00">
      <w:pPr>
        <w:jc w:val="both"/>
        <w:rPr>
          <w:rFonts w:ascii="Arial" w:eastAsia="MS PGothic" w:hAnsi="Arial" w:cs="Times New Roman"/>
          <w:sz w:val="20"/>
          <w:szCs w:val="24"/>
        </w:rPr>
      </w:pPr>
      <w:r w:rsidRPr="002A64F8">
        <w:rPr>
          <w:rFonts w:ascii="Arial" w:eastAsia="MS PGothic" w:hAnsi="Arial" w:cs="Times New Roman"/>
          <w:sz w:val="20"/>
          <w:szCs w:val="24"/>
        </w:rPr>
        <w:t xml:space="preserve">Probleminių teritorijų programa buvo viena pagrindinių priemonių, skirtų socialinės atskirties mažinimui tarp regionų. Vis dėlto skirtos lėšos buvo nepakankamos numatytų tikslų pasiekimui. </w:t>
      </w:r>
      <w:bookmarkStart w:id="0" w:name="_GoBack"/>
      <w:bookmarkEnd w:id="0"/>
      <w:r w:rsidR="00844FEE">
        <w:rPr>
          <w:rFonts w:ascii="Arial" w:eastAsia="MS PGothic" w:hAnsi="Arial" w:cs="Times New Roman"/>
          <w:sz w:val="20"/>
          <w:szCs w:val="24"/>
        </w:rPr>
        <w:t xml:space="preserve">Šalčininkų savivaldybėje stebimos itin stiprios neigiamos tendencijos ekonominės veiklos srityje, tuo tarpu demografiniai rodikliai didele dalimi buvo teigiamai veikiami geografinio šalies sostinės artumo ir socialinių savivaldybės gyventojų daugumą sudarančios tautinės lenkų mažumos ryšių. Aplinkos taršos rodikliai savivaldybėje kito tolygiai, tačiau lėtėjant ekonominei veiklai ir veikiant tokiems išorės veiksniams kaip teisinis reguliavimas, ES SF poveikis rodiklių kaitai nebuvo esminis. </w:t>
      </w:r>
      <w:r w:rsidR="002D1DCE" w:rsidRPr="002A64F8">
        <w:rPr>
          <w:rFonts w:ascii="Arial" w:eastAsia="MS PGothic" w:hAnsi="Arial" w:cs="Times New Roman"/>
          <w:sz w:val="20"/>
          <w:szCs w:val="24"/>
        </w:rPr>
        <w:t xml:space="preserve">Apibendrinant, ES struktūrinių fondų lėšos didžiausią įtaką darė </w:t>
      </w:r>
      <w:r w:rsidR="00844FEE">
        <w:rPr>
          <w:rFonts w:ascii="Arial" w:eastAsia="MS PGothic" w:hAnsi="Arial" w:cs="Times New Roman"/>
          <w:sz w:val="20"/>
          <w:szCs w:val="24"/>
        </w:rPr>
        <w:t>miesto</w:t>
      </w:r>
      <w:r w:rsidR="005E7012" w:rsidRPr="002A64F8">
        <w:rPr>
          <w:rFonts w:ascii="Arial" w:eastAsia="MS PGothic" w:hAnsi="Arial" w:cs="Times New Roman"/>
          <w:sz w:val="20"/>
          <w:szCs w:val="24"/>
        </w:rPr>
        <w:t xml:space="preserve"> ir gyvenamosios aplinkos tvarkymo srityse</w:t>
      </w:r>
      <w:r w:rsidR="002D1DCE" w:rsidRPr="002A64F8">
        <w:rPr>
          <w:rFonts w:ascii="Arial" w:eastAsia="MS PGothic" w:hAnsi="Arial" w:cs="Times New Roman"/>
          <w:sz w:val="20"/>
          <w:szCs w:val="24"/>
        </w:rPr>
        <w:t>.</w:t>
      </w:r>
      <w:r w:rsidR="001824B7" w:rsidRPr="002A64F8">
        <w:rPr>
          <w:rFonts w:ascii="Arial" w:eastAsia="MS PGothic" w:hAnsi="Arial" w:cs="Times New Roman"/>
          <w:sz w:val="20"/>
          <w:szCs w:val="24"/>
        </w:rPr>
        <w:t xml:space="preserve"> </w:t>
      </w:r>
      <w:r w:rsidR="00844FEE">
        <w:rPr>
          <w:rFonts w:ascii="Arial" w:eastAsia="MS PGothic" w:hAnsi="Arial" w:cs="Times New Roman"/>
          <w:sz w:val="20"/>
          <w:szCs w:val="24"/>
        </w:rPr>
        <w:t>S</w:t>
      </w:r>
      <w:r w:rsidR="001824B7" w:rsidRPr="002A64F8">
        <w:rPr>
          <w:rFonts w:ascii="Arial" w:eastAsia="MS PGothic" w:hAnsi="Arial" w:cs="Times New Roman"/>
          <w:sz w:val="20"/>
          <w:szCs w:val="24"/>
        </w:rPr>
        <w:t>avivaldybės situaciją apibrėžiantiems rodikliams didžiausią įtaką darė išorės veiksniai, o skirtas ES SF finansavimas nebuvo pakankamas</w:t>
      </w:r>
      <w:r w:rsidR="00844FEE">
        <w:rPr>
          <w:rFonts w:ascii="Arial" w:eastAsia="MS PGothic" w:hAnsi="Arial" w:cs="Times New Roman"/>
          <w:sz w:val="20"/>
          <w:szCs w:val="24"/>
        </w:rPr>
        <w:t xml:space="preserve"> tam, kad būtų pasiektas socio-ekonominės situacijos pokytis</w:t>
      </w:r>
      <w:r w:rsidR="001824B7" w:rsidRPr="002A64F8">
        <w:rPr>
          <w:rFonts w:ascii="Arial" w:eastAsia="MS PGothic" w:hAnsi="Arial" w:cs="Times New Roman"/>
          <w:sz w:val="20"/>
          <w:szCs w:val="24"/>
        </w:rPr>
        <w:t>.</w:t>
      </w:r>
    </w:p>
    <w:sectPr w:rsidR="00897144" w:rsidRPr="002A64F8" w:rsidSect="00252B4A">
      <w:footerReference w:type="default" r:id="rId19"/>
      <w:footerReference w:type="first" r:id="rId20"/>
      <w:pgSz w:w="11901" w:h="16840"/>
      <w:pgMar w:top="1418" w:right="1134" w:bottom="1701" w:left="283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3B" w:rsidRDefault="00C51A3B">
      <w:pPr>
        <w:spacing w:after="0" w:line="240" w:lineRule="auto"/>
      </w:pPr>
      <w:r>
        <w:separator/>
      </w:r>
    </w:p>
  </w:endnote>
  <w:endnote w:type="continuationSeparator" w:id="0">
    <w:p w:rsidR="00C51A3B" w:rsidRDefault="00C5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BA"/>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19519"/>
      <w:docPartObj>
        <w:docPartGallery w:val="Page Numbers (Bottom of Page)"/>
        <w:docPartUnique/>
      </w:docPartObj>
    </w:sdtPr>
    <w:sdtEndPr>
      <w:rPr>
        <w:noProof/>
      </w:rPr>
    </w:sdtEndPr>
    <w:sdtContent>
      <w:p w:rsidR="00DC7F6C" w:rsidRDefault="00DC7F6C">
        <w:pPr>
          <w:pStyle w:val="Footer"/>
          <w:jc w:val="right"/>
        </w:pPr>
        <w:r>
          <w:fldChar w:fldCharType="begin"/>
        </w:r>
        <w:r>
          <w:instrText xml:space="preserve"> PAGE   \* MERGEFORMAT </w:instrText>
        </w:r>
        <w:r>
          <w:fldChar w:fldCharType="separate"/>
        </w:r>
        <w:r w:rsidR="00960EE7">
          <w:rPr>
            <w:noProof/>
          </w:rPr>
          <w:t>5</w:t>
        </w:r>
        <w:r>
          <w:rPr>
            <w:noProof/>
          </w:rPr>
          <w:fldChar w:fldCharType="end"/>
        </w:r>
      </w:p>
    </w:sdtContent>
  </w:sdt>
  <w:p w:rsidR="008F6941" w:rsidRDefault="008F6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6536"/>
      <w:docPartObj>
        <w:docPartGallery w:val="Page Numbers (Bottom of Page)"/>
        <w:docPartUnique/>
      </w:docPartObj>
    </w:sdtPr>
    <w:sdtEndPr>
      <w:rPr>
        <w:noProof/>
        <w:szCs w:val="17"/>
      </w:rPr>
    </w:sdtEndPr>
    <w:sdtContent>
      <w:p w:rsidR="008F6941" w:rsidRPr="00DC7F6C" w:rsidRDefault="008F6941">
        <w:pPr>
          <w:pStyle w:val="Footer"/>
          <w:jc w:val="right"/>
          <w:rPr>
            <w:szCs w:val="17"/>
          </w:rPr>
        </w:pPr>
        <w:r w:rsidRPr="00DC7F6C">
          <w:rPr>
            <w:szCs w:val="17"/>
          </w:rPr>
          <w:fldChar w:fldCharType="begin"/>
        </w:r>
        <w:r w:rsidRPr="00DC7F6C">
          <w:rPr>
            <w:szCs w:val="17"/>
          </w:rPr>
          <w:instrText xml:space="preserve"> PAGE   \* MERGEFORMAT </w:instrText>
        </w:r>
        <w:r w:rsidRPr="00DC7F6C">
          <w:rPr>
            <w:szCs w:val="17"/>
          </w:rPr>
          <w:fldChar w:fldCharType="separate"/>
        </w:r>
        <w:r w:rsidR="007B5DD3">
          <w:rPr>
            <w:noProof/>
            <w:szCs w:val="17"/>
          </w:rPr>
          <w:t>1</w:t>
        </w:r>
        <w:r w:rsidRPr="00DC7F6C">
          <w:rPr>
            <w:noProof/>
            <w:szCs w:val="17"/>
          </w:rPr>
          <w:fldChar w:fldCharType="end"/>
        </w:r>
      </w:p>
    </w:sdtContent>
  </w:sdt>
  <w:p w:rsidR="00C45115" w:rsidRPr="00BE0549" w:rsidRDefault="00960EE7" w:rsidP="00BE0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3B" w:rsidRDefault="00C51A3B">
      <w:pPr>
        <w:spacing w:after="0" w:line="240" w:lineRule="auto"/>
      </w:pPr>
      <w:r>
        <w:separator/>
      </w:r>
    </w:p>
  </w:footnote>
  <w:footnote w:type="continuationSeparator" w:id="0">
    <w:p w:rsidR="00C51A3B" w:rsidRDefault="00C51A3B">
      <w:pPr>
        <w:spacing w:after="0" w:line="240" w:lineRule="auto"/>
      </w:pPr>
      <w:r>
        <w:continuationSeparator/>
      </w:r>
    </w:p>
  </w:footnote>
  <w:footnote w:id="1">
    <w:p w:rsidR="00D66F8E" w:rsidRPr="00FC1F97" w:rsidRDefault="00D66F8E">
      <w:pPr>
        <w:pStyle w:val="FootnoteText"/>
        <w:rPr>
          <w:rFonts w:ascii="Arial" w:hAnsi="Arial" w:cs="Arial"/>
          <w:sz w:val="18"/>
          <w:lang w:val="en-US"/>
        </w:rPr>
      </w:pPr>
      <w:r w:rsidRPr="00FC1F97">
        <w:rPr>
          <w:rStyle w:val="FootnoteReference"/>
          <w:rFonts w:ascii="Arial" w:hAnsi="Arial" w:cs="Arial"/>
          <w:sz w:val="18"/>
        </w:rPr>
        <w:footnoteRef/>
      </w:r>
      <w:r w:rsidRPr="00FC1F97">
        <w:rPr>
          <w:rFonts w:ascii="Arial" w:hAnsi="Arial" w:cs="Arial"/>
          <w:sz w:val="18"/>
        </w:rPr>
        <w:t xml:space="preserve"> 2011 m. gegužės 18 d. </w:t>
      </w:r>
      <w:proofErr w:type="spellStart"/>
      <w:r w:rsidRPr="00FC1F97">
        <w:rPr>
          <w:rFonts w:ascii="Arial" w:hAnsi="Arial" w:cs="Arial"/>
          <w:sz w:val="18"/>
          <w:lang w:val="en-US"/>
        </w:rPr>
        <w:t>Lietuvos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Respublikos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Vyriausyb</w:t>
      </w:r>
      <w:proofErr w:type="spellEnd"/>
      <w:r w:rsidRPr="00FC1F97">
        <w:rPr>
          <w:rFonts w:ascii="Arial" w:hAnsi="Arial" w:cs="Arial"/>
          <w:sz w:val="18"/>
        </w:rPr>
        <w:t xml:space="preserve">ės nutarimas Nr. 588 „Dėl probleminių teritorijų plėtros programų patvirtinimo“ &lt; </w:t>
      </w:r>
      <w:hyperlink r:id="rId1" w:history="1">
        <w:r w:rsidRPr="00FC1F97">
          <w:rPr>
            <w:rStyle w:val="Hyperlink"/>
            <w:rFonts w:ascii="Arial" w:hAnsi="Arial" w:cs="Arial"/>
            <w:sz w:val="18"/>
          </w:rPr>
          <w:t>https://e-tar.lt/portal/lt/legalAct/TAR.FA6D2B23F867</w:t>
        </w:r>
      </w:hyperlink>
      <w:r w:rsidRPr="00FC1F97">
        <w:rPr>
          <w:rFonts w:ascii="Arial" w:hAnsi="Arial" w:cs="Arial"/>
          <w:sz w:val="18"/>
        </w:rPr>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4A"/>
    <w:multiLevelType w:val="multilevel"/>
    <w:tmpl w:val="E03E5E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val="0"/>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8D503ED"/>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AB36E7E"/>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58922398"/>
    <w:multiLevelType w:val="hybridMultilevel"/>
    <w:tmpl w:val="692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6592C"/>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BB"/>
    <w:rsid w:val="0001054F"/>
    <w:rsid w:val="0001131C"/>
    <w:rsid w:val="00020455"/>
    <w:rsid w:val="0005231C"/>
    <w:rsid w:val="000534F9"/>
    <w:rsid w:val="0005613F"/>
    <w:rsid w:val="0006433C"/>
    <w:rsid w:val="000B2A0A"/>
    <w:rsid w:val="000C024B"/>
    <w:rsid w:val="000C341E"/>
    <w:rsid w:val="000D5BA5"/>
    <w:rsid w:val="000D77A0"/>
    <w:rsid w:val="000F56AE"/>
    <w:rsid w:val="00101E5E"/>
    <w:rsid w:val="00123257"/>
    <w:rsid w:val="001253F5"/>
    <w:rsid w:val="00136152"/>
    <w:rsid w:val="00156492"/>
    <w:rsid w:val="00156F09"/>
    <w:rsid w:val="001824B7"/>
    <w:rsid w:val="001A1350"/>
    <w:rsid w:val="001A72A7"/>
    <w:rsid w:val="001B05E3"/>
    <w:rsid w:val="001B09C3"/>
    <w:rsid w:val="001E095D"/>
    <w:rsid w:val="001F2140"/>
    <w:rsid w:val="0020507E"/>
    <w:rsid w:val="0020781B"/>
    <w:rsid w:val="00223773"/>
    <w:rsid w:val="00231F9C"/>
    <w:rsid w:val="0023534D"/>
    <w:rsid w:val="002427B5"/>
    <w:rsid w:val="00242947"/>
    <w:rsid w:val="00245A8A"/>
    <w:rsid w:val="002502B8"/>
    <w:rsid w:val="00253066"/>
    <w:rsid w:val="00256058"/>
    <w:rsid w:val="00264515"/>
    <w:rsid w:val="002677E8"/>
    <w:rsid w:val="00284741"/>
    <w:rsid w:val="00294B32"/>
    <w:rsid w:val="00295323"/>
    <w:rsid w:val="002A3F19"/>
    <w:rsid w:val="002A64F8"/>
    <w:rsid w:val="002B025C"/>
    <w:rsid w:val="002B4036"/>
    <w:rsid w:val="002D1DCE"/>
    <w:rsid w:val="002E30F9"/>
    <w:rsid w:val="002F53F5"/>
    <w:rsid w:val="00316283"/>
    <w:rsid w:val="00326A1B"/>
    <w:rsid w:val="00332F7B"/>
    <w:rsid w:val="00353193"/>
    <w:rsid w:val="00356065"/>
    <w:rsid w:val="0035623C"/>
    <w:rsid w:val="0037112C"/>
    <w:rsid w:val="003851F2"/>
    <w:rsid w:val="00397FF3"/>
    <w:rsid w:val="003B6A83"/>
    <w:rsid w:val="003B6A9C"/>
    <w:rsid w:val="003D195A"/>
    <w:rsid w:val="003E5F95"/>
    <w:rsid w:val="00412185"/>
    <w:rsid w:val="00424FB7"/>
    <w:rsid w:val="00435C61"/>
    <w:rsid w:val="0044118D"/>
    <w:rsid w:val="00460B43"/>
    <w:rsid w:val="00462CCD"/>
    <w:rsid w:val="004722C7"/>
    <w:rsid w:val="004743DF"/>
    <w:rsid w:val="004A5F6F"/>
    <w:rsid w:val="004B3A55"/>
    <w:rsid w:val="004B45DE"/>
    <w:rsid w:val="004C6B41"/>
    <w:rsid w:val="004E0E71"/>
    <w:rsid w:val="004F29D8"/>
    <w:rsid w:val="00501B52"/>
    <w:rsid w:val="00540ADA"/>
    <w:rsid w:val="005411B7"/>
    <w:rsid w:val="00554B62"/>
    <w:rsid w:val="005577BB"/>
    <w:rsid w:val="00560E0D"/>
    <w:rsid w:val="00591462"/>
    <w:rsid w:val="00594D44"/>
    <w:rsid w:val="005966F9"/>
    <w:rsid w:val="005D7C5E"/>
    <w:rsid w:val="005E7012"/>
    <w:rsid w:val="0061421F"/>
    <w:rsid w:val="0062033D"/>
    <w:rsid w:val="0062159A"/>
    <w:rsid w:val="00621899"/>
    <w:rsid w:val="00631113"/>
    <w:rsid w:val="00645918"/>
    <w:rsid w:val="00660951"/>
    <w:rsid w:val="00687A46"/>
    <w:rsid w:val="00692255"/>
    <w:rsid w:val="006B7576"/>
    <w:rsid w:val="006C16C9"/>
    <w:rsid w:val="006C4D28"/>
    <w:rsid w:val="0070178B"/>
    <w:rsid w:val="0070345E"/>
    <w:rsid w:val="00706426"/>
    <w:rsid w:val="00742C97"/>
    <w:rsid w:val="00745B48"/>
    <w:rsid w:val="00761250"/>
    <w:rsid w:val="007B2DD4"/>
    <w:rsid w:val="007B57EE"/>
    <w:rsid w:val="007B5DD3"/>
    <w:rsid w:val="007D0C4A"/>
    <w:rsid w:val="007F0777"/>
    <w:rsid w:val="00800911"/>
    <w:rsid w:val="0080175F"/>
    <w:rsid w:val="00805F6F"/>
    <w:rsid w:val="00844FEE"/>
    <w:rsid w:val="00847350"/>
    <w:rsid w:val="008856B5"/>
    <w:rsid w:val="00897144"/>
    <w:rsid w:val="008A1509"/>
    <w:rsid w:val="008B1202"/>
    <w:rsid w:val="008F1A11"/>
    <w:rsid w:val="008F6941"/>
    <w:rsid w:val="00917C1E"/>
    <w:rsid w:val="00923DC7"/>
    <w:rsid w:val="00942138"/>
    <w:rsid w:val="00955E14"/>
    <w:rsid w:val="00960EE7"/>
    <w:rsid w:val="009A35E9"/>
    <w:rsid w:val="009A43BA"/>
    <w:rsid w:val="009C0862"/>
    <w:rsid w:val="009D1D9B"/>
    <w:rsid w:val="009D7299"/>
    <w:rsid w:val="009F1A90"/>
    <w:rsid w:val="00A027E9"/>
    <w:rsid w:val="00A2570C"/>
    <w:rsid w:val="00A46722"/>
    <w:rsid w:val="00A552B8"/>
    <w:rsid w:val="00A70602"/>
    <w:rsid w:val="00A82AF0"/>
    <w:rsid w:val="00A8696E"/>
    <w:rsid w:val="00A90A5D"/>
    <w:rsid w:val="00AA3395"/>
    <w:rsid w:val="00AE6D59"/>
    <w:rsid w:val="00AF0119"/>
    <w:rsid w:val="00B06A2E"/>
    <w:rsid w:val="00B13875"/>
    <w:rsid w:val="00B25A1E"/>
    <w:rsid w:val="00B320FB"/>
    <w:rsid w:val="00B35CC8"/>
    <w:rsid w:val="00B47E2E"/>
    <w:rsid w:val="00B70EC1"/>
    <w:rsid w:val="00B72614"/>
    <w:rsid w:val="00B76AF6"/>
    <w:rsid w:val="00BA0105"/>
    <w:rsid w:val="00BC4ECE"/>
    <w:rsid w:val="00BF63D3"/>
    <w:rsid w:val="00C01E16"/>
    <w:rsid w:val="00C144CE"/>
    <w:rsid w:val="00C23DA0"/>
    <w:rsid w:val="00C24D75"/>
    <w:rsid w:val="00C266D6"/>
    <w:rsid w:val="00C335FC"/>
    <w:rsid w:val="00C363C5"/>
    <w:rsid w:val="00C369A0"/>
    <w:rsid w:val="00C446C3"/>
    <w:rsid w:val="00C51A3B"/>
    <w:rsid w:val="00C6756A"/>
    <w:rsid w:val="00C77B11"/>
    <w:rsid w:val="00C83C6E"/>
    <w:rsid w:val="00C849C4"/>
    <w:rsid w:val="00C979EF"/>
    <w:rsid w:val="00C97DE2"/>
    <w:rsid w:val="00CA47B0"/>
    <w:rsid w:val="00CB7E91"/>
    <w:rsid w:val="00CD0222"/>
    <w:rsid w:val="00CF2C00"/>
    <w:rsid w:val="00CF323C"/>
    <w:rsid w:val="00CF47D0"/>
    <w:rsid w:val="00CF7B36"/>
    <w:rsid w:val="00D01CEF"/>
    <w:rsid w:val="00D3587C"/>
    <w:rsid w:val="00D4179A"/>
    <w:rsid w:val="00D41C73"/>
    <w:rsid w:val="00D45CFF"/>
    <w:rsid w:val="00D62EB8"/>
    <w:rsid w:val="00D65C3C"/>
    <w:rsid w:val="00D66F8E"/>
    <w:rsid w:val="00D81B36"/>
    <w:rsid w:val="00DA55EF"/>
    <w:rsid w:val="00DC3E9D"/>
    <w:rsid w:val="00DC7F6C"/>
    <w:rsid w:val="00DF75BE"/>
    <w:rsid w:val="00E12034"/>
    <w:rsid w:val="00E41636"/>
    <w:rsid w:val="00E41B59"/>
    <w:rsid w:val="00E5283B"/>
    <w:rsid w:val="00E55606"/>
    <w:rsid w:val="00E56004"/>
    <w:rsid w:val="00E561C3"/>
    <w:rsid w:val="00E67DD1"/>
    <w:rsid w:val="00E805EC"/>
    <w:rsid w:val="00EC1E09"/>
    <w:rsid w:val="00ED2FB0"/>
    <w:rsid w:val="00ED3673"/>
    <w:rsid w:val="00F02104"/>
    <w:rsid w:val="00F3052F"/>
    <w:rsid w:val="00F43E9F"/>
    <w:rsid w:val="00F47E08"/>
    <w:rsid w:val="00F543B3"/>
    <w:rsid w:val="00F6018C"/>
    <w:rsid w:val="00F606F0"/>
    <w:rsid w:val="00F607CD"/>
    <w:rsid w:val="00F63FF4"/>
    <w:rsid w:val="00F73ED6"/>
    <w:rsid w:val="00F86DB2"/>
    <w:rsid w:val="00FA6284"/>
    <w:rsid w:val="00FB52BA"/>
    <w:rsid w:val="00FC1F97"/>
    <w:rsid w:val="00FC34DA"/>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393">
      <w:bodyDiv w:val="1"/>
      <w:marLeft w:val="0"/>
      <w:marRight w:val="0"/>
      <w:marTop w:val="0"/>
      <w:marBottom w:val="0"/>
      <w:divBdr>
        <w:top w:val="none" w:sz="0" w:space="0" w:color="auto"/>
        <w:left w:val="none" w:sz="0" w:space="0" w:color="auto"/>
        <w:bottom w:val="none" w:sz="0" w:space="0" w:color="auto"/>
        <w:right w:val="none" w:sz="0" w:space="0" w:color="auto"/>
      </w:divBdr>
    </w:div>
    <w:div w:id="1623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parama.lt"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5" Type="http://schemas.openxmlformats.org/officeDocument/2006/relationships/settings" Target="settings.xml"/><Relationship Id="rId15" Type="http://schemas.openxmlformats.org/officeDocument/2006/relationships/hyperlink" Target="http://www.esparama.lt"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TAR.FA6D2B23F8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sgrigaliuniene\Desktop\Copy%20of%20Probleminiu%20statistika.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pattFill prst="wdUpDiag">
              <a:fgClr>
                <a:schemeClr val="accent1"/>
              </a:fgClr>
              <a:bgClr>
                <a:schemeClr val="bg1"/>
              </a:bgClr>
            </a:pattFill>
            <a:ln>
              <a:noFill/>
            </a:ln>
          </c:spPr>
          <c:dPt>
            <c:idx val="0"/>
            <c:bubble3D val="0"/>
            <c:spPr>
              <a:pattFill prst="wdUpDiag">
                <a:fgClr>
                  <a:srgbClr val="FFFFFF"/>
                </a:fgClr>
                <a:bgClr>
                  <a:srgbClr val="00A1DE"/>
                </a:bgClr>
              </a:pattFill>
              <a:ln w="50800">
                <a:noFill/>
              </a:ln>
            </c:spPr>
          </c:dPt>
          <c:dPt>
            <c:idx val="1"/>
            <c:bubble3D val="0"/>
            <c:spPr>
              <a:solidFill>
                <a:srgbClr val="00A1DE"/>
              </a:solidFill>
              <a:ln w="50800">
                <a:noFill/>
              </a:ln>
            </c:spPr>
          </c:dPt>
          <c:dPt>
            <c:idx val="2"/>
            <c:bubble3D val="0"/>
            <c:spPr>
              <a:solidFill>
                <a:schemeClr val="accent3"/>
              </a:solidFill>
              <a:ln w="50800">
                <a:noFill/>
              </a:ln>
            </c:spPr>
          </c:dPt>
          <c:dPt>
            <c:idx val="3"/>
            <c:bubble3D val="0"/>
            <c:spPr>
              <a:solidFill>
                <a:schemeClr val="bg1">
                  <a:lumMod val="85000"/>
                </a:schemeClr>
              </a:solidFill>
              <a:ln w="50800">
                <a:noFill/>
              </a:ln>
            </c:spPr>
          </c:dPt>
          <c:cat>
            <c:numRef>
              <c:f>Sheet1!$A$2:$A$3</c:f>
              <c:numCache>
                <c:formatCode>General</c:formatCode>
                <c:ptCount val="2"/>
              </c:numCache>
            </c:numRef>
          </c:cat>
          <c:val>
            <c:numRef>
              <c:f>Sheet1!$B$2:$B$3</c:f>
              <c:numCache>
                <c:formatCode>General</c:formatCode>
                <c:ptCount val="2"/>
                <c:pt idx="0">
                  <c:v>11</c:v>
                </c:pt>
                <c:pt idx="1">
                  <c:v>89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Skirtas finansavimas</c:v>
                </c:pt>
              </c:strCache>
            </c:strRef>
          </c:tx>
          <c:spPr>
            <a:solidFill>
              <a:srgbClr val="002776"/>
            </a:solidFill>
          </c:spPr>
          <c:dPt>
            <c:idx val="0"/>
            <c:bubble3D val="0"/>
            <c:spPr>
              <a:solidFill>
                <a:srgbClr val="002776"/>
              </a:solidFill>
              <a:ln w="19050">
                <a:solidFill>
                  <a:schemeClr val="lt1"/>
                </a:solidFill>
              </a:ln>
              <a:effectLst/>
            </c:spPr>
          </c:dPt>
          <c:dPt>
            <c:idx val="1"/>
            <c:bubble3D val="0"/>
            <c:spPr>
              <a:solidFill>
                <a:srgbClr val="00A1DE"/>
              </a:solidFill>
              <a:ln w="19050">
                <a:solidFill>
                  <a:schemeClr val="lt1"/>
                </a:solidFill>
              </a:ln>
              <a:effectLst/>
            </c:spPr>
          </c:dPt>
          <c:dPt>
            <c:idx val="2"/>
            <c:bubble3D val="0"/>
            <c:spPr>
              <a:solidFill>
                <a:srgbClr val="81BC00"/>
              </a:solidFill>
              <a:ln w="19050">
                <a:solidFill>
                  <a:schemeClr val="lt1"/>
                </a:solidFill>
              </a:ln>
              <a:effectLst/>
            </c:spPr>
          </c:dPt>
          <c:cat>
            <c:strRef>
              <c:f>Sheet1!$A$2:$A$4</c:f>
              <c:strCache>
                <c:ptCount val="3"/>
                <c:pt idx="0">
                  <c:v>ŽIPVP</c:v>
                </c:pt>
                <c:pt idx="1">
                  <c:v>EAVP</c:v>
                </c:pt>
                <c:pt idx="2">
                  <c:v>SSVP</c:v>
                </c:pt>
              </c:strCache>
            </c:strRef>
          </c:cat>
          <c:val>
            <c:numRef>
              <c:f>Sheet1!$B$2:$B$4</c:f>
              <c:numCache>
                <c:formatCode>General</c:formatCode>
                <c:ptCount val="3"/>
                <c:pt idx="0">
                  <c:v>5</c:v>
                </c:pt>
                <c:pt idx="1">
                  <c:v>45</c:v>
                </c:pt>
                <c:pt idx="2">
                  <c:v>50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9441113130089513"/>
          <c:y val="0.10148031496062994"/>
          <c:w val="0.17461572111178408"/>
          <c:h val="0.67111204432779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 prioritetas</c:v>
                </c:pt>
              </c:strCache>
            </c:strRef>
          </c:tx>
          <c:spPr>
            <a:solidFill>
              <a:srgbClr val="002776"/>
            </a:solidFill>
            <a:ln>
              <a:noFill/>
            </a:ln>
            <a:effectLst/>
          </c:spPr>
          <c:invertIfNegative val="0"/>
          <c:cat>
            <c:strRef>
              <c:f>Sheet1!$A$2:$A$4</c:f>
              <c:strCache>
                <c:ptCount val="3"/>
                <c:pt idx="0">
                  <c:v>ŽIPVP</c:v>
                </c:pt>
                <c:pt idx="1">
                  <c:v>EAVP</c:v>
                </c:pt>
                <c:pt idx="2">
                  <c:v>SSVP</c:v>
                </c:pt>
              </c:strCache>
            </c:strRef>
          </c:cat>
          <c:val>
            <c:numRef>
              <c:f>Sheet1!$B$2:$B$4</c:f>
              <c:numCache>
                <c:formatCode>0%</c:formatCode>
                <c:ptCount val="3"/>
                <c:pt idx="0">
                  <c:v>0.1051045094790326</c:v>
                </c:pt>
                <c:pt idx="1">
                  <c:v>2.3646169654397538E-2</c:v>
                </c:pt>
                <c:pt idx="2">
                  <c:v>0.45387992861164422</c:v>
                </c:pt>
              </c:numCache>
            </c:numRef>
          </c:val>
        </c:ser>
        <c:ser>
          <c:idx val="1"/>
          <c:order val="1"/>
          <c:tx>
            <c:strRef>
              <c:f>Sheet1!$C$1</c:f>
              <c:strCache>
                <c:ptCount val="1"/>
                <c:pt idx="0">
                  <c:v>2 prioritetas</c:v>
                </c:pt>
              </c:strCache>
            </c:strRef>
          </c:tx>
          <c:spPr>
            <a:solidFill>
              <a:srgbClr val="81BC00"/>
            </a:solidFill>
            <a:ln>
              <a:noFill/>
            </a:ln>
            <a:effectLst/>
          </c:spPr>
          <c:invertIfNegative val="0"/>
          <c:cat>
            <c:strRef>
              <c:f>Sheet1!$A$2:$A$4</c:f>
              <c:strCache>
                <c:ptCount val="3"/>
                <c:pt idx="0">
                  <c:v>ŽIPVP</c:v>
                </c:pt>
                <c:pt idx="1">
                  <c:v>EAVP</c:v>
                </c:pt>
                <c:pt idx="2">
                  <c:v>SSVP</c:v>
                </c:pt>
              </c:strCache>
            </c:strRef>
          </c:cat>
          <c:val>
            <c:numRef>
              <c:f>Sheet1!$C$2:$C$4</c:f>
              <c:numCache>
                <c:formatCode>0%</c:formatCode>
                <c:ptCount val="3"/>
                <c:pt idx="0">
                  <c:v>8.9216953321039738E-2</c:v>
                </c:pt>
                <c:pt idx="1">
                  <c:v>0.29077190148720045</c:v>
                </c:pt>
                <c:pt idx="2">
                  <c:v>0.1955327340719627</c:v>
                </c:pt>
              </c:numCache>
            </c:numRef>
          </c:val>
        </c:ser>
        <c:ser>
          <c:idx val="2"/>
          <c:order val="2"/>
          <c:tx>
            <c:strRef>
              <c:f>Sheet1!$D$1</c:f>
              <c:strCache>
                <c:ptCount val="1"/>
                <c:pt idx="0">
                  <c:v>3 prioritetas</c:v>
                </c:pt>
              </c:strCache>
            </c:strRef>
          </c:tx>
          <c:spPr>
            <a:solidFill>
              <a:srgbClr val="00A1DE"/>
            </a:solidFill>
            <a:ln>
              <a:noFill/>
            </a:ln>
            <a:effectLst/>
          </c:spPr>
          <c:invertIfNegative val="0"/>
          <c:cat>
            <c:strRef>
              <c:f>Sheet1!$A$2:$A$4</c:f>
              <c:strCache>
                <c:ptCount val="3"/>
                <c:pt idx="0">
                  <c:v>ŽIPVP</c:v>
                </c:pt>
                <c:pt idx="1">
                  <c:v>EAVP</c:v>
                </c:pt>
                <c:pt idx="2">
                  <c:v>SSVP</c:v>
                </c:pt>
              </c:strCache>
            </c:strRef>
          </c:cat>
          <c:val>
            <c:numRef>
              <c:f>Sheet1!$D$2:$D$4</c:f>
              <c:numCache>
                <c:formatCode>0%</c:formatCode>
                <c:ptCount val="3"/>
                <c:pt idx="0">
                  <c:v>0</c:v>
                </c:pt>
                <c:pt idx="1">
                  <c:v>6.7666856224642621E-3</c:v>
                </c:pt>
                <c:pt idx="2">
                  <c:v>0.35058733731639297</c:v>
                </c:pt>
              </c:numCache>
            </c:numRef>
          </c:val>
        </c:ser>
        <c:ser>
          <c:idx val="3"/>
          <c:order val="3"/>
          <c:tx>
            <c:strRef>
              <c:f>Sheet1!$E$1</c:f>
              <c:strCache>
                <c:ptCount val="1"/>
                <c:pt idx="0">
                  <c:v>4 prioritetas</c:v>
                </c:pt>
              </c:strCache>
            </c:strRef>
          </c:tx>
          <c:spPr>
            <a:solidFill>
              <a:srgbClr val="8C8C8C"/>
            </a:solidFill>
            <a:ln>
              <a:noFill/>
            </a:ln>
            <a:effectLst/>
          </c:spPr>
          <c:invertIfNegative val="0"/>
          <c:cat>
            <c:strRef>
              <c:f>Sheet1!$A$2:$A$4</c:f>
              <c:strCache>
                <c:ptCount val="3"/>
                <c:pt idx="0">
                  <c:v>ŽIPVP</c:v>
                </c:pt>
                <c:pt idx="1">
                  <c:v>EAVP</c:v>
                </c:pt>
                <c:pt idx="2">
                  <c:v>SSVP</c:v>
                </c:pt>
              </c:strCache>
            </c:strRef>
          </c:cat>
          <c:val>
            <c:numRef>
              <c:f>Sheet1!$E$2:$E$4</c:f>
              <c:numCache>
                <c:formatCode>0%</c:formatCode>
                <c:ptCount val="3"/>
                <c:pt idx="0">
                  <c:v>0.81</c:v>
                </c:pt>
                <c:pt idx="1">
                  <c:v>0.13868250421237641</c:v>
                </c:pt>
                <c:pt idx="2">
                  <c:v>0</c:v>
                </c:pt>
              </c:numCache>
            </c:numRef>
          </c:val>
        </c:ser>
        <c:ser>
          <c:idx val="4"/>
          <c:order val="4"/>
          <c:tx>
            <c:strRef>
              <c:f>Sheet1!$F$1</c:f>
              <c:strCache>
                <c:ptCount val="1"/>
                <c:pt idx="0">
                  <c:v>5 prioritetas</c:v>
                </c:pt>
              </c:strCache>
            </c:strRef>
          </c:tx>
          <c:spPr>
            <a:solidFill>
              <a:srgbClr val="3C8A2E"/>
            </a:solidFill>
            <a:ln>
              <a:noFill/>
            </a:ln>
            <a:effectLst/>
          </c:spPr>
          <c:invertIfNegative val="0"/>
          <c:cat>
            <c:strRef>
              <c:f>Sheet1!$A$2:$A$4</c:f>
              <c:strCache>
                <c:ptCount val="3"/>
                <c:pt idx="0">
                  <c:v>ŽIPVP</c:v>
                </c:pt>
                <c:pt idx="1">
                  <c:v>EAVP</c:v>
                </c:pt>
                <c:pt idx="2">
                  <c:v>SSVP</c:v>
                </c:pt>
              </c:strCache>
            </c:strRef>
          </c:cat>
          <c:val>
            <c:numRef>
              <c:f>Sheet1!$F$2:$F$4</c:f>
              <c:numCache>
                <c:formatCode>0%</c:formatCode>
                <c:ptCount val="3"/>
                <c:pt idx="0">
                  <c:v>0</c:v>
                </c:pt>
                <c:pt idx="1">
                  <c:v>0.54013273902356129</c:v>
                </c:pt>
                <c:pt idx="2">
                  <c:v>0</c:v>
                </c:pt>
              </c:numCache>
            </c:numRef>
          </c:val>
        </c:ser>
        <c:dLbls>
          <c:showLegendKey val="0"/>
          <c:showVal val="0"/>
          <c:showCatName val="0"/>
          <c:showSerName val="0"/>
          <c:showPercent val="0"/>
          <c:showBubbleSize val="0"/>
        </c:dLbls>
        <c:gapWidth val="150"/>
        <c:overlap val="100"/>
        <c:axId val="73271168"/>
        <c:axId val="73272704"/>
      </c:barChart>
      <c:catAx>
        <c:axId val="73271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72704"/>
        <c:crosses val="autoZero"/>
        <c:auto val="1"/>
        <c:lblAlgn val="ctr"/>
        <c:lblOffset val="100"/>
        <c:noMultiLvlLbl val="0"/>
      </c:catAx>
      <c:valAx>
        <c:axId val="73272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711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105955887543396E-2"/>
          <c:y val="6.1693774537296693E-2"/>
          <c:w val="0.8695239011993916"/>
          <c:h val="0.69345701529316683"/>
        </c:manualLayout>
      </c:layout>
      <c:barChart>
        <c:barDir val="col"/>
        <c:grouping val="clustered"/>
        <c:varyColors val="0"/>
        <c:ser>
          <c:idx val="0"/>
          <c:order val="0"/>
          <c:tx>
            <c:strRef>
              <c:f>Šalčininkų!$L$5</c:f>
              <c:strCache>
                <c:ptCount val="1"/>
                <c:pt idx="0">
                  <c:v>Kietosios medžiagos</c:v>
                </c:pt>
              </c:strCache>
            </c:strRef>
          </c:tx>
          <c:spPr>
            <a:solidFill>
              <a:srgbClr val="8C8C8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Šalčininkų!$M$4:$U$4</c:f>
              <c:numCache>
                <c:formatCode>General</c:formatCode>
                <c:ptCount val="7"/>
                <c:pt idx="0">
                  <c:v>2007</c:v>
                </c:pt>
                <c:pt idx="1">
                  <c:v>2008</c:v>
                </c:pt>
                <c:pt idx="2">
                  <c:v>2009</c:v>
                </c:pt>
                <c:pt idx="3">
                  <c:v>2010</c:v>
                </c:pt>
                <c:pt idx="4">
                  <c:v>2011</c:v>
                </c:pt>
                <c:pt idx="5">
                  <c:v>2012</c:v>
                </c:pt>
                <c:pt idx="6">
                  <c:v>2013</c:v>
                </c:pt>
              </c:numCache>
            </c:numRef>
          </c:cat>
          <c:val>
            <c:numRef>
              <c:f>Šalčininkų!$M$5:$U$5</c:f>
              <c:numCache>
                <c:formatCode>General</c:formatCode>
                <c:ptCount val="7"/>
                <c:pt idx="0">
                  <c:v>22</c:v>
                </c:pt>
                <c:pt idx="1">
                  <c:v>10.3</c:v>
                </c:pt>
                <c:pt idx="2">
                  <c:v>2.7</c:v>
                </c:pt>
                <c:pt idx="3">
                  <c:v>6.3</c:v>
                </c:pt>
                <c:pt idx="4">
                  <c:v>6.1</c:v>
                </c:pt>
                <c:pt idx="5">
                  <c:v>4.5</c:v>
                </c:pt>
                <c:pt idx="6">
                  <c:v>2.9</c:v>
                </c:pt>
              </c:numCache>
            </c:numRef>
          </c:val>
        </c:ser>
        <c:ser>
          <c:idx val="1"/>
          <c:order val="1"/>
          <c:tx>
            <c:strRef>
              <c:f>Šalčininkų!$L$6</c:f>
              <c:strCache>
                <c:ptCount val="1"/>
                <c:pt idx="0">
                  <c:v>Sieros dioksidas, tonos</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Šalčininkų!$M$4:$U$4</c:f>
              <c:numCache>
                <c:formatCode>General</c:formatCode>
                <c:ptCount val="7"/>
                <c:pt idx="0">
                  <c:v>2007</c:v>
                </c:pt>
                <c:pt idx="1">
                  <c:v>2008</c:v>
                </c:pt>
                <c:pt idx="2">
                  <c:v>2009</c:v>
                </c:pt>
                <c:pt idx="3">
                  <c:v>2010</c:v>
                </c:pt>
                <c:pt idx="4">
                  <c:v>2011</c:v>
                </c:pt>
                <c:pt idx="5">
                  <c:v>2012</c:v>
                </c:pt>
                <c:pt idx="6">
                  <c:v>2013</c:v>
                </c:pt>
              </c:numCache>
            </c:numRef>
          </c:cat>
          <c:val>
            <c:numRef>
              <c:f>Šalčininkų!$M$6:$U$6</c:f>
              <c:numCache>
                <c:formatCode>General</c:formatCode>
                <c:ptCount val="7"/>
                <c:pt idx="0">
                  <c:v>3.9</c:v>
                </c:pt>
                <c:pt idx="1">
                  <c:v>5.5</c:v>
                </c:pt>
                <c:pt idx="2">
                  <c:v>4.2</c:v>
                </c:pt>
                <c:pt idx="3">
                  <c:v>3.3</c:v>
                </c:pt>
                <c:pt idx="4">
                  <c:v>2.8</c:v>
                </c:pt>
                <c:pt idx="5">
                  <c:v>2.8</c:v>
                </c:pt>
              </c:numCache>
            </c:numRef>
          </c:val>
        </c:ser>
        <c:ser>
          <c:idx val="2"/>
          <c:order val="2"/>
          <c:tx>
            <c:strRef>
              <c:f>Šalčininkų!$L$7</c:f>
              <c:strCache>
                <c:ptCount val="1"/>
                <c:pt idx="0">
                  <c:v>Azoto oksidai, tonos</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Šalčininkų!$M$4:$U$4</c:f>
              <c:numCache>
                <c:formatCode>General</c:formatCode>
                <c:ptCount val="7"/>
                <c:pt idx="0">
                  <c:v>2007</c:v>
                </c:pt>
                <c:pt idx="1">
                  <c:v>2008</c:v>
                </c:pt>
                <c:pt idx="2">
                  <c:v>2009</c:v>
                </c:pt>
                <c:pt idx="3">
                  <c:v>2010</c:v>
                </c:pt>
                <c:pt idx="4">
                  <c:v>2011</c:v>
                </c:pt>
                <c:pt idx="5">
                  <c:v>2012</c:v>
                </c:pt>
                <c:pt idx="6">
                  <c:v>2013</c:v>
                </c:pt>
              </c:numCache>
            </c:numRef>
          </c:cat>
          <c:val>
            <c:numRef>
              <c:f>Šalčininkų!$M$7:$U$7</c:f>
              <c:numCache>
                <c:formatCode>General</c:formatCode>
                <c:ptCount val="7"/>
                <c:pt idx="0">
                  <c:v>23.9</c:v>
                </c:pt>
                <c:pt idx="1">
                  <c:v>21.5</c:v>
                </c:pt>
                <c:pt idx="2">
                  <c:v>17.600000000000001</c:v>
                </c:pt>
                <c:pt idx="3">
                  <c:v>19.100000000000001</c:v>
                </c:pt>
                <c:pt idx="4">
                  <c:v>19.100000000000001</c:v>
                </c:pt>
                <c:pt idx="5">
                  <c:v>18.7</c:v>
                </c:pt>
                <c:pt idx="6">
                  <c:v>10.4</c:v>
                </c:pt>
              </c:numCache>
            </c:numRef>
          </c:val>
        </c:ser>
        <c:ser>
          <c:idx val="3"/>
          <c:order val="3"/>
          <c:tx>
            <c:strRef>
              <c:f>Šalčininkų!$L$8</c:f>
              <c:strCache>
                <c:ptCount val="1"/>
                <c:pt idx="0">
                  <c:v>Anglies monoksidas, tonos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Šalčininkų!$M$4:$U$4</c:f>
              <c:numCache>
                <c:formatCode>General</c:formatCode>
                <c:ptCount val="7"/>
                <c:pt idx="0">
                  <c:v>2007</c:v>
                </c:pt>
                <c:pt idx="1">
                  <c:v>2008</c:v>
                </c:pt>
                <c:pt idx="2">
                  <c:v>2009</c:v>
                </c:pt>
                <c:pt idx="3">
                  <c:v>2010</c:v>
                </c:pt>
                <c:pt idx="4">
                  <c:v>2011</c:v>
                </c:pt>
                <c:pt idx="5">
                  <c:v>2012</c:v>
                </c:pt>
                <c:pt idx="6">
                  <c:v>2013</c:v>
                </c:pt>
              </c:numCache>
            </c:numRef>
          </c:cat>
          <c:val>
            <c:numRef>
              <c:f>Šalčininkų!$M$8:$U$8</c:f>
              <c:numCache>
                <c:formatCode>General</c:formatCode>
                <c:ptCount val="7"/>
                <c:pt idx="0">
                  <c:v>115.1</c:v>
                </c:pt>
                <c:pt idx="1">
                  <c:v>108</c:v>
                </c:pt>
                <c:pt idx="2">
                  <c:v>75.8</c:v>
                </c:pt>
                <c:pt idx="3">
                  <c:v>71.7</c:v>
                </c:pt>
                <c:pt idx="4">
                  <c:v>74.900000000000006</c:v>
                </c:pt>
                <c:pt idx="5">
                  <c:v>72.2</c:v>
                </c:pt>
                <c:pt idx="6">
                  <c:v>23.9</c:v>
                </c:pt>
              </c:numCache>
            </c:numRef>
          </c:val>
        </c:ser>
        <c:dLbls>
          <c:showLegendKey val="0"/>
          <c:showVal val="1"/>
          <c:showCatName val="0"/>
          <c:showSerName val="0"/>
          <c:showPercent val="0"/>
          <c:showBubbleSize val="0"/>
        </c:dLbls>
        <c:gapWidth val="75"/>
        <c:axId val="73402240"/>
        <c:axId val="73425664"/>
      </c:barChart>
      <c:lineChart>
        <c:grouping val="standard"/>
        <c:varyColors val="0"/>
        <c:ser>
          <c:idx val="4"/>
          <c:order val="4"/>
          <c:tx>
            <c:strRef>
              <c:f>Šalčininkų!$L$9</c:f>
              <c:strCache>
                <c:ptCount val="1"/>
                <c:pt idx="0">
                  <c:v>Visi teršalai</c:v>
                </c:pt>
              </c:strCache>
            </c:strRef>
          </c:tx>
          <c:spPr>
            <a:ln w="28575" cap="rnd">
              <a:solidFill>
                <a:srgbClr val="3C8A2E"/>
              </a:solidFill>
              <a:round/>
            </a:ln>
            <a:effectLst/>
          </c:spPr>
          <c:marker>
            <c:symbol val="none"/>
          </c:marker>
          <c:dLbls>
            <c:delete val="1"/>
          </c:dLbls>
          <c:cat>
            <c:numRef>
              <c:f>Šalčininkų!$M$4:$U$4</c:f>
              <c:numCache>
                <c:formatCode>General</c:formatCode>
                <c:ptCount val="7"/>
                <c:pt idx="0">
                  <c:v>2007</c:v>
                </c:pt>
                <c:pt idx="1">
                  <c:v>2008</c:v>
                </c:pt>
                <c:pt idx="2">
                  <c:v>2009</c:v>
                </c:pt>
                <c:pt idx="3">
                  <c:v>2010</c:v>
                </c:pt>
                <c:pt idx="4">
                  <c:v>2011</c:v>
                </c:pt>
                <c:pt idx="5">
                  <c:v>2012</c:v>
                </c:pt>
                <c:pt idx="6">
                  <c:v>2013</c:v>
                </c:pt>
              </c:numCache>
            </c:numRef>
          </c:cat>
          <c:val>
            <c:numRef>
              <c:f>Šalčininkų!$M$9:$U$9</c:f>
              <c:numCache>
                <c:formatCode>General</c:formatCode>
                <c:ptCount val="7"/>
                <c:pt idx="0">
                  <c:v>165.8</c:v>
                </c:pt>
                <c:pt idx="1">
                  <c:v>150.30000000000001</c:v>
                </c:pt>
                <c:pt idx="2">
                  <c:v>105</c:v>
                </c:pt>
                <c:pt idx="3">
                  <c:v>133.69999999999999</c:v>
                </c:pt>
                <c:pt idx="4">
                  <c:v>202.2</c:v>
                </c:pt>
                <c:pt idx="5">
                  <c:v>143</c:v>
                </c:pt>
                <c:pt idx="6">
                  <c:v>83.4</c:v>
                </c:pt>
              </c:numCache>
            </c:numRef>
          </c:val>
          <c:smooth val="0"/>
        </c:ser>
        <c:dLbls>
          <c:showLegendKey val="0"/>
          <c:showVal val="1"/>
          <c:showCatName val="0"/>
          <c:showSerName val="0"/>
          <c:showPercent val="0"/>
          <c:showBubbleSize val="0"/>
        </c:dLbls>
        <c:marker val="1"/>
        <c:smooth val="0"/>
        <c:axId val="73402240"/>
        <c:axId val="73425664"/>
      </c:lineChart>
      <c:lineChart>
        <c:grouping val="standard"/>
        <c:varyColors val="0"/>
        <c:ser>
          <c:idx val="5"/>
          <c:order val="5"/>
          <c:tx>
            <c:strRef>
              <c:f>Šalčininkų!$L$10</c:f>
              <c:strCache>
                <c:ptCount val="1"/>
                <c:pt idx="0">
                  <c:v>Išleista išvalytų iki normos nuotekų, tūkst. M³</c:v>
                </c:pt>
              </c:strCache>
            </c:strRef>
          </c:tx>
          <c:spPr>
            <a:ln w="28575" cap="rnd">
              <a:solidFill>
                <a:srgbClr val="00A1DE"/>
              </a:solidFill>
              <a:round/>
            </a:ln>
            <a:effectLst/>
          </c:spPr>
          <c:marker>
            <c:symbol val="none"/>
          </c:marker>
          <c:dLbls>
            <c:dLbl>
              <c:idx val="0"/>
              <c:layout>
                <c:manualLayout>
                  <c:x val="-2.9882838708310986E-17"/>
                  <c:y val="-2.174208734283987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272817201831826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5199674001630587E-3"/>
                  <c:y val="1.075557945684323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9765677416621972E-17"/>
                  <c:y val="-2.19726109670951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953135483324394E-16"/>
                  <c:y val="-2.197261096709516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833669697625430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9559902200488997E-2"/>
                  <c:y val="-2.6889160366113149E-2"/>
                </c:manualLayout>
              </c:layout>
              <c:showLegendKey val="0"/>
              <c:showVal val="1"/>
              <c:showCatName val="0"/>
              <c:showSerName val="0"/>
              <c:showPercent val="0"/>
              <c:showBubbleSize val="0"/>
              <c:extLst>
                <c:ext xmlns:c15="http://schemas.microsoft.com/office/drawing/2012/chart" uri="{CE6537A1-D6FC-4f65-9D91-7224C49458BB}">
                  <c15:layout>
                    <c:manualLayout>
                      <c:w val="6.4987646715309738E-2"/>
                      <c:h val="4.896498720128388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Šalčininkų!$M$4:$U$4</c:f>
              <c:numCache>
                <c:formatCode>General</c:formatCode>
                <c:ptCount val="7"/>
                <c:pt idx="0">
                  <c:v>2007</c:v>
                </c:pt>
                <c:pt idx="1">
                  <c:v>2008</c:v>
                </c:pt>
                <c:pt idx="2">
                  <c:v>2009</c:v>
                </c:pt>
                <c:pt idx="3">
                  <c:v>2010</c:v>
                </c:pt>
                <c:pt idx="4">
                  <c:v>2011</c:v>
                </c:pt>
                <c:pt idx="5">
                  <c:v>2012</c:v>
                </c:pt>
                <c:pt idx="6">
                  <c:v>2013</c:v>
                </c:pt>
              </c:numCache>
            </c:numRef>
          </c:cat>
          <c:val>
            <c:numRef>
              <c:f>Šalčininkų!$M$10:$U$10</c:f>
              <c:numCache>
                <c:formatCode>General</c:formatCode>
                <c:ptCount val="7"/>
                <c:pt idx="0">
                  <c:v>190.5</c:v>
                </c:pt>
                <c:pt idx="1">
                  <c:v>124</c:v>
                </c:pt>
                <c:pt idx="2">
                  <c:v>162.4</c:v>
                </c:pt>
                <c:pt idx="3">
                  <c:v>1236.4000000000001</c:v>
                </c:pt>
                <c:pt idx="4">
                  <c:v>356.6</c:v>
                </c:pt>
                <c:pt idx="5">
                  <c:v>364.9</c:v>
                </c:pt>
                <c:pt idx="6">
                  <c:v>29.1</c:v>
                </c:pt>
              </c:numCache>
            </c:numRef>
          </c:val>
          <c:smooth val="0"/>
          <c:extLst/>
        </c:ser>
        <c:dLbls>
          <c:showLegendKey val="0"/>
          <c:showVal val="1"/>
          <c:showCatName val="0"/>
          <c:showSerName val="0"/>
          <c:showPercent val="0"/>
          <c:showBubbleSize val="0"/>
        </c:dLbls>
        <c:marker val="1"/>
        <c:smooth val="0"/>
        <c:axId val="73433856"/>
        <c:axId val="73427584"/>
      </c:lineChart>
      <c:catAx>
        <c:axId val="7340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425664"/>
        <c:crosses val="autoZero"/>
        <c:auto val="1"/>
        <c:lblAlgn val="ctr"/>
        <c:lblOffset val="100"/>
        <c:noMultiLvlLbl val="0"/>
      </c:catAx>
      <c:valAx>
        <c:axId val="734256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Tonos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402240"/>
        <c:crosses val="autoZero"/>
        <c:crossBetween val="between"/>
      </c:valAx>
      <c:valAx>
        <c:axId val="73427584"/>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a:t>
                </a:r>
                <a:r>
                  <a:rPr lang="en-US"/>
                  <a:t>m3</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433856"/>
        <c:crosses val="max"/>
        <c:crossBetween val="between"/>
      </c:valAx>
      <c:catAx>
        <c:axId val="73433856"/>
        <c:scaling>
          <c:orientation val="minMax"/>
        </c:scaling>
        <c:delete val="1"/>
        <c:axPos val="b"/>
        <c:numFmt formatCode="General" sourceLinked="1"/>
        <c:majorTickMark val="out"/>
        <c:minorTickMark val="none"/>
        <c:tickLblPos val="nextTo"/>
        <c:crossAx val="73427584"/>
        <c:crosses val="autoZero"/>
        <c:auto val="1"/>
        <c:lblAlgn val="ctr"/>
        <c:lblOffset val="100"/>
        <c:noMultiLvlLbl val="0"/>
      </c:catAx>
      <c:spPr>
        <a:noFill/>
        <a:ln>
          <a:noFill/>
        </a:ln>
        <a:effectLst/>
      </c:spPr>
    </c:plotArea>
    <c:legend>
      <c:legendPos val="b"/>
      <c:layout>
        <c:manualLayout>
          <c:xMode val="edge"/>
          <c:yMode val="edge"/>
          <c:x val="5.4428028705945604E-2"/>
          <c:y val="0.80398357199221493"/>
          <c:w val="0.92975197171258228"/>
          <c:h val="0.1929462030475553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Šalčininkų!$M$33</c:f>
              <c:strCache>
                <c:ptCount val="1"/>
                <c:pt idx="0">
                  <c:v>Nuolatinių gyventojų skaičius metų pradžioje | asmenys</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Šalčininkų!$N$32:$T$32</c:f>
              <c:numCache>
                <c:formatCode>General</c:formatCode>
                <c:ptCount val="7"/>
                <c:pt idx="0">
                  <c:v>2007</c:v>
                </c:pt>
                <c:pt idx="1">
                  <c:v>2008</c:v>
                </c:pt>
                <c:pt idx="2">
                  <c:v>2009</c:v>
                </c:pt>
                <c:pt idx="3">
                  <c:v>2010</c:v>
                </c:pt>
                <c:pt idx="4">
                  <c:v>2011</c:v>
                </c:pt>
                <c:pt idx="5">
                  <c:v>2012</c:v>
                </c:pt>
                <c:pt idx="6">
                  <c:v>2013</c:v>
                </c:pt>
              </c:numCache>
            </c:numRef>
          </c:cat>
          <c:val>
            <c:numRef>
              <c:f>Šalčininkų!$N$33:$T$33</c:f>
              <c:numCache>
                <c:formatCode>General</c:formatCode>
                <c:ptCount val="7"/>
                <c:pt idx="0">
                  <c:v>36566</c:v>
                </c:pt>
                <c:pt idx="1">
                  <c:v>36145</c:v>
                </c:pt>
                <c:pt idx="2">
                  <c:v>35802</c:v>
                </c:pt>
                <c:pt idx="3">
                  <c:v>35357</c:v>
                </c:pt>
                <c:pt idx="4">
                  <c:v>34671</c:v>
                </c:pt>
                <c:pt idx="5">
                  <c:v>34175</c:v>
                </c:pt>
                <c:pt idx="6">
                  <c:v>33710</c:v>
                </c:pt>
              </c:numCache>
            </c:numRef>
          </c:val>
        </c:ser>
        <c:ser>
          <c:idx val="1"/>
          <c:order val="1"/>
          <c:tx>
            <c:strRef>
              <c:f>Šalčininkų!$M$34</c:f>
              <c:strCache>
                <c:ptCount val="1"/>
                <c:pt idx="0">
                  <c:v>Darbingo amžiaus gyventojai</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Šalčininkų!$N$32:$T$32</c:f>
              <c:numCache>
                <c:formatCode>General</c:formatCode>
                <c:ptCount val="7"/>
                <c:pt idx="0">
                  <c:v>2007</c:v>
                </c:pt>
                <c:pt idx="1">
                  <c:v>2008</c:v>
                </c:pt>
                <c:pt idx="2">
                  <c:v>2009</c:v>
                </c:pt>
                <c:pt idx="3">
                  <c:v>2010</c:v>
                </c:pt>
                <c:pt idx="4">
                  <c:v>2011</c:v>
                </c:pt>
                <c:pt idx="5">
                  <c:v>2012</c:v>
                </c:pt>
                <c:pt idx="6">
                  <c:v>2013</c:v>
                </c:pt>
              </c:numCache>
            </c:numRef>
          </c:cat>
          <c:val>
            <c:numRef>
              <c:f>Šalčininkų!$N$34:$T$34</c:f>
              <c:numCache>
                <c:formatCode>General</c:formatCode>
                <c:ptCount val="7"/>
                <c:pt idx="0">
                  <c:v>22239</c:v>
                </c:pt>
                <c:pt idx="1">
                  <c:v>22164</c:v>
                </c:pt>
                <c:pt idx="2">
                  <c:v>22132</c:v>
                </c:pt>
                <c:pt idx="3">
                  <c:v>21936</c:v>
                </c:pt>
                <c:pt idx="4">
                  <c:v>21844</c:v>
                </c:pt>
                <c:pt idx="5">
                  <c:v>21465</c:v>
                </c:pt>
                <c:pt idx="6">
                  <c:v>21180</c:v>
                </c:pt>
              </c:numCache>
            </c:numRef>
          </c:val>
        </c:ser>
        <c:ser>
          <c:idx val="2"/>
          <c:order val="2"/>
          <c:tx>
            <c:strRef>
              <c:f>Šalčininkų!$M$35</c:f>
              <c:strCache>
                <c:ptCount val="1"/>
                <c:pt idx="0">
                  <c:v>Pensinio amžiaus gyventojai</c:v>
                </c:pt>
              </c:strCache>
            </c:strRef>
          </c:tx>
          <c:spPr>
            <a:solidFill>
              <a:srgbClr val="3C8A2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Šalčininkų!$N$32:$T$32</c:f>
              <c:numCache>
                <c:formatCode>General</c:formatCode>
                <c:ptCount val="7"/>
                <c:pt idx="0">
                  <c:v>2007</c:v>
                </c:pt>
                <c:pt idx="1">
                  <c:v>2008</c:v>
                </c:pt>
                <c:pt idx="2">
                  <c:v>2009</c:v>
                </c:pt>
                <c:pt idx="3">
                  <c:v>2010</c:v>
                </c:pt>
                <c:pt idx="4">
                  <c:v>2011</c:v>
                </c:pt>
                <c:pt idx="5">
                  <c:v>2012</c:v>
                </c:pt>
                <c:pt idx="6">
                  <c:v>2013</c:v>
                </c:pt>
              </c:numCache>
            </c:numRef>
          </c:cat>
          <c:val>
            <c:numRef>
              <c:f>Šalčininkų!$N$35:$T$35</c:f>
              <c:numCache>
                <c:formatCode>General</c:formatCode>
                <c:ptCount val="7"/>
                <c:pt idx="0">
                  <c:v>7350</c:v>
                </c:pt>
                <c:pt idx="1">
                  <c:v>7175</c:v>
                </c:pt>
                <c:pt idx="2">
                  <c:v>7082</c:v>
                </c:pt>
                <c:pt idx="3">
                  <c:v>6994</c:v>
                </c:pt>
                <c:pt idx="4">
                  <c:v>6854</c:v>
                </c:pt>
                <c:pt idx="5">
                  <c:v>6811</c:v>
                </c:pt>
                <c:pt idx="6">
                  <c:v>6748</c:v>
                </c:pt>
              </c:numCache>
            </c:numRef>
          </c:val>
        </c:ser>
        <c:dLbls>
          <c:showLegendKey val="0"/>
          <c:showVal val="0"/>
          <c:showCatName val="0"/>
          <c:showSerName val="0"/>
          <c:showPercent val="0"/>
          <c:showBubbleSize val="0"/>
        </c:dLbls>
        <c:gapWidth val="150"/>
        <c:axId val="73471488"/>
        <c:axId val="73473024"/>
      </c:barChart>
      <c:lineChart>
        <c:grouping val="standard"/>
        <c:varyColors val="0"/>
        <c:ser>
          <c:idx val="3"/>
          <c:order val="3"/>
          <c:tx>
            <c:strRef>
              <c:f>Šalčininkų!$M$36</c:f>
              <c:strCache>
                <c:ptCount val="1"/>
                <c:pt idx="0">
                  <c:v>Registruotų bedarbių ir darbingo amžiaus gyventojų santykis | proc.</c:v>
                </c:pt>
              </c:strCache>
            </c:strRef>
          </c:tx>
          <c:spPr>
            <a:ln w="28575" cap="rnd">
              <a:solidFill>
                <a:srgbClr val="00B5DE"/>
              </a:solidFill>
              <a:round/>
            </a:ln>
            <a:effectLst/>
          </c:spPr>
          <c:marker>
            <c:symbol val="none"/>
          </c:marker>
          <c:cat>
            <c:numRef>
              <c:f>Šalčininkų!$N$32:$T$32</c:f>
              <c:numCache>
                <c:formatCode>General</c:formatCode>
                <c:ptCount val="7"/>
                <c:pt idx="0">
                  <c:v>2007</c:v>
                </c:pt>
                <c:pt idx="1">
                  <c:v>2008</c:v>
                </c:pt>
                <c:pt idx="2">
                  <c:v>2009</c:v>
                </c:pt>
                <c:pt idx="3">
                  <c:v>2010</c:v>
                </c:pt>
                <c:pt idx="4">
                  <c:v>2011</c:v>
                </c:pt>
                <c:pt idx="5">
                  <c:v>2012</c:v>
                </c:pt>
                <c:pt idx="6">
                  <c:v>2013</c:v>
                </c:pt>
              </c:numCache>
            </c:numRef>
          </c:cat>
          <c:val>
            <c:numRef>
              <c:f>Šalčininkų!$N$36:$T$36</c:f>
              <c:numCache>
                <c:formatCode>General</c:formatCode>
                <c:ptCount val="7"/>
                <c:pt idx="0">
                  <c:v>5.4</c:v>
                </c:pt>
                <c:pt idx="1">
                  <c:v>5.4</c:v>
                </c:pt>
                <c:pt idx="2">
                  <c:v>13.4</c:v>
                </c:pt>
                <c:pt idx="3">
                  <c:v>21</c:v>
                </c:pt>
                <c:pt idx="4">
                  <c:v>16</c:v>
                </c:pt>
                <c:pt idx="5">
                  <c:v>14.4</c:v>
                </c:pt>
                <c:pt idx="6">
                  <c:v>13.4</c:v>
                </c:pt>
              </c:numCache>
            </c:numRef>
          </c:val>
          <c:smooth val="0"/>
        </c:ser>
        <c:dLbls>
          <c:showLegendKey val="0"/>
          <c:showVal val="0"/>
          <c:showCatName val="0"/>
          <c:showSerName val="0"/>
          <c:showPercent val="0"/>
          <c:showBubbleSize val="0"/>
        </c:dLbls>
        <c:marker val="1"/>
        <c:smooth val="0"/>
        <c:axId val="73484544"/>
        <c:axId val="73483008"/>
      </c:lineChart>
      <c:catAx>
        <c:axId val="7347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473024"/>
        <c:crosses val="autoZero"/>
        <c:auto val="1"/>
        <c:lblAlgn val="ctr"/>
        <c:lblOffset val="100"/>
        <c:noMultiLvlLbl val="0"/>
      </c:catAx>
      <c:valAx>
        <c:axId val="73473024"/>
        <c:scaling>
          <c:orientation val="minMax"/>
        </c:scaling>
        <c:delete val="0"/>
        <c:axPos val="l"/>
        <c:majorGridlines>
          <c:spPr>
            <a:ln w="9525" cap="flat" cmpd="sng" algn="ctr">
              <a:solidFill>
                <a:schemeClr val="tx1">
                  <a:lumMod val="15000"/>
                  <a:lumOff val="85000"/>
                </a:schemeClr>
              </a:solidFill>
              <a:round/>
            </a:ln>
            <a:effectLst/>
          </c:spPr>
        </c:majorGridlines>
        <c:numFmt formatCode="00\ 00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471488"/>
        <c:crosses val="autoZero"/>
        <c:crossBetween val="between"/>
      </c:valAx>
      <c:valAx>
        <c:axId val="73483008"/>
        <c:scaling>
          <c:orientation val="minMax"/>
        </c:scaling>
        <c:delete val="0"/>
        <c:axPos val="r"/>
        <c:numFmt formatCode="General\ \%"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484544"/>
        <c:crosses val="max"/>
        <c:crossBetween val="between"/>
      </c:valAx>
      <c:catAx>
        <c:axId val="73484544"/>
        <c:scaling>
          <c:orientation val="minMax"/>
        </c:scaling>
        <c:delete val="1"/>
        <c:axPos val="b"/>
        <c:numFmt formatCode="General" sourceLinked="1"/>
        <c:majorTickMark val="out"/>
        <c:minorTickMark val="none"/>
        <c:tickLblPos val="nextTo"/>
        <c:crossAx val="73483008"/>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1"/>
          <c:order val="1"/>
          <c:tx>
            <c:strRef>
              <c:f>Šalčininkų!$M$43</c:f>
              <c:strCache>
                <c:ptCount val="1"/>
                <c:pt idx="0">
                  <c:v>Pridėtinė vertė gamybos kainomis pagal veiklos vykdymo vietą | tūkst. EUR</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Šalčininkų!$N$41:$V$41</c:f>
              <c:numCache>
                <c:formatCode>General</c:formatCode>
                <c:ptCount val="7"/>
                <c:pt idx="0">
                  <c:v>2007</c:v>
                </c:pt>
                <c:pt idx="1">
                  <c:v>2008</c:v>
                </c:pt>
                <c:pt idx="2">
                  <c:v>2009</c:v>
                </c:pt>
                <c:pt idx="3">
                  <c:v>2010</c:v>
                </c:pt>
                <c:pt idx="4">
                  <c:v>2011</c:v>
                </c:pt>
                <c:pt idx="5">
                  <c:v>2012</c:v>
                </c:pt>
                <c:pt idx="6">
                  <c:v>2013</c:v>
                </c:pt>
              </c:numCache>
            </c:numRef>
          </c:cat>
          <c:val>
            <c:numRef>
              <c:f>Šalčininkų!$N$43:$V$43</c:f>
              <c:numCache>
                <c:formatCode>General</c:formatCode>
                <c:ptCount val="7"/>
                <c:pt idx="0">
                  <c:v>35739</c:v>
                </c:pt>
                <c:pt idx="1">
                  <c:v>33159</c:v>
                </c:pt>
                <c:pt idx="2">
                  <c:v>18933</c:v>
                </c:pt>
                <c:pt idx="3">
                  <c:v>23265</c:v>
                </c:pt>
                <c:pt idx="4">
                  <c:v>19828</c:v>
                </c:pt>
                <c:pt idx="5">
                  <c:v>27854</c:v>
                </c:pt>
                <c:pt idx="6">
                  <c:v>31999</c:v>
                </c:pt>
              </c:numCache>
            </c:numRef>
          </c:val>
        </c:ser>
        <c:ser>
          <c:idx val="2"/>
          <c:order val="2"/>
          <c:tx>
            <c:strRef>
              <c:f>Šalčininkų!$M$44</c:f>
              <c:strCache>
                <c:ptCount val="1"/>
                <c:pt idx="0">
                  <c:v>Materialinės investicijos to meto kainomis | tūkst. EUR</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Šalčininkų!$N$41:$V$41</c:f>
              <c:numCache>
                <c:formatCode>General</c:formatCode>
                <c:ptCount val="7"/>
                <c:pt idx="0">
                  <c:v>2007</c:v>
                </c:pt>
                <c:pt idx="1">
                  <c:v>2008</c:v>
                </c:pt>
                <c:pt idx="2">
                  <c:v>2009</c:v>
                </c:pt>
                <c:pt idx="3">
                  <c:v>2010</c:v>
                </c:pt>
                <c:pt idx="4">
                  <c:v>2011</c:v>
                </c:pt>
                <c:pt idx="5">
                  <c:v>2012</c:v>
                </c:pt>
                <c:pt idx="6">
                  <c:v>2013</c:v>
                </c:pt>
              </c:numCache>
            </c:numRef>
          </c:cat>
          <c:val>
            <c:numRef>
              <c:f>Šalčininkų!$N$44:$V$44</c:f>
              <c:numCache>
                <c:formatCode>General</c:formatCode>
                <c:ptCount val="7"/>
                <c:pt idx="0">
                  <c:v>27422</c:v>
                </c:pt>
                <c:pt idx="1">
                  <c:v>23775</c:v>
                </c:pt>
                <c:pt idx="2">
                  <c:v>15827</c:v>
                </c:pt>
                <c:pt idx="3">
                  <c:v>17028</c:v>
                </c:pt>
                <c:pt idx="4">
                  <c:v>13221</c:v>
                </c:pt>
                <c:pt idx="5">
                  <c:v>20355</c:v>
                </c:pt>
                <c:pt idx="6">
                  <c:v>20260</c:v>
                </c:pt>
              </c:numCache>
            </c:numRef>
          </c:val>
        </c:ser>
        <c:dLbls>
          <c:showLegendKey val="0"/>
          <c:showVal val="0"/>
          <c:showCatName val="0"/>
          <c:showSerName val="0"/>
          <c:showPercent val="0"/>
          <c:showBubbleSize val="0"/>
        </c:dLbls>
        <c:gapWidth val="219"/>
        <c:overlap val="-27"/>
        <c:axId val="73553792"/>
        <c:axId val="73555328"/>
      </c:barChart>
      <c:lineChart>
        <c:grouping val="standard"/>
        <c:varyColors val="0"/>
        <c:ser>
          <c:idx val="0"/>
          <c:order val="0"/>
          <c:tx>
            <c:strRef>
              <c:f>Šalčininkų!$M$42</c:f>
              <c:strCache>
                <c:ptCount val="1"/>
                <c:pt idx="0">
                  <c:v>Tiesioginės užsienio investicijos, tenkančios vienam gyventojui, metų pabaigoje | EUR</c:v>
                </c:pt>
              </c:strCache>
            </c:strRef>
          </c:tx>
          <c:spPr>
            <a:ln w="28575" cap="rnd">
              <a:solidFill>
                <a:srgbClr val="00A1DE"/>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Šalčininkų!$N$41:$V$41</c:f>
              <c:numCache>
                <c:formatCode>General</c:formatCode>
                <c:ptCount val="7"/>
                <c:pt idx="0">
                  <c:v>2007</c:v>
                </c:pt>
                <c:pt idx="1">
                  <c:v>2008</c:v>
                </c:pt>
                <c:pt idx="2">
                  <c:v>2009</c:v>
                </c:pt>
                <c:pt idx="3">
                  <c:v>2010</c:v>
                </c:pt>
                <c:pt idx="4">
                  <c:v>2011</c:v>
                </c:pt>
                <c:pt idx="5">
                  <c:v>2012</c:v>
                </c:pt>
                <c:pt idx="6">
                  <c:v>2013</c:v>
                </c:pt>
              </c:numCache>
            </c:numRef>
          </c:cat>
          <c:val>
            <c:numRef>
              <c:f>Šalčininkų!$N$42:$V$42</c:f>
              <c:numCache>
                <c:formatCode>General</c:formatCode>
                <c:ptCount val="7"/>
                <c:pt idx="0">
                  <c:v>9</c:v>
                </c:pt>
                <c:pt idx="1">
                  <c:v>22</c:v>
                </c:pt>
                <c:pt idx="2">
                  <c:v>10</c:v>
                </c:pt>
                <c:pt idx="3">
                  <c:v>13</c:v>
                </c:pt>
                <c:pt idx="4">
                  <c:v>33</c:v>
                </c:pt>
                <c:pt idx="5">
                  <c:v>10</c:v>
                </c:pt>
                <c:pt idx="6">
                  <c:v>0</c:v>
                </c:pt>
              </c:numCache>
            </c:numRef>
          </c:val>
          <c:smooth val="0"/>
        </c:ser>
        <c:dLbls>
          <c:showLegendKey val="0"/>
          <c:showVal val="0"/>
          <c:showCatName val="0"/>
          <c:showSerName val="0"/>
          <c:showPercent val="0"/>
          <c:showBubbleSize val="0"/>
        </c:dLbls>
        <c:marker val="1"/>
        <c:smooth val="0"/>
        <c:axId val="73567616"/>
        <c:axId val="73565696"/>
      </c:lineChart>
      <c:catAx>
        <c:axId val="7355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555328"/>
        <c:crosses val="autoZero"/>
        <c:auto val="1"/>
        <c:lblAlgn val="ctr"/>
        <c:lblOffset val="100"/>
        <c:noMultiLvlLbl val="0"/>
      </c:catAx>
      <c:valAx>
        <c:axId val="73555328"/>
        <c:scaling>
          <c:orientation val="minMax"/>
          <c:max val="91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EUR</a:t>
                </a:r>
                <a:endParaRPr lang="en-US"/>
              </a:p>
            </c:rich>
          </c:tx>
          <c:layout>
            <c:manualLayout>
              <c:xMode val="edge"/>
              <c:yMode val="edge"/>
              <c:x val="1.1147300828125957E-2"/>
              <c:y val="0.6845635131664152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553792"/>
        <c:crosses val="autoZero"/>
        <c:crossBetween val="between"/>
      </c:valAx>
      <c:valAx>
        <c:axId val="73565696"/>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EUR</a:t>
                </a:r>
                <a:endParaRPr lang="en-US"/>
              </a:p>
            </c:rich>
          </c:tx>
          <c:layout>
            <c:manualLayout>
              <c:xMode val="edge"/>
              <c:yMode val="edge"/>
              <c:x val="0.97462584677245045"/>
              <c:y val="0.71672436808803885"/>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567616"/>
        <c:crosses val="max"/>
        <c:crossBetween val="between"/>
      </c:valAx>
      <c:catAx>
        <c:axId val="73567616"/>
        <c:scaling>
          <c:orientation val="minMax"/>
        </c:scaling>
        <c:delete val="1"/>
        <c:axPos val="b"/>
        <c:numFmt formatCode="General" sourceLinked="1"/>
        <c:majorTickMark val="out"/>
        <c:minorTickMark val="none"/>
        <c:tickLblPos val="nextTo"/>
        <c:crossAx val="73565696"/>
        <c:crosses val="autoZero"/>
        <c:auto val="1"/>
        <c:lblAlgn val="ctr"/>
        <c:lblOffset val="100"/>
        <c:noMultiLvlLbl val="0"/>
      </c:catAx>
      <c:spPr>
        <a:noFill/>
        <a:ln>
          <a:noFill/>
        </a:ln>
        <a:effectLst/>
      </c:spPr>
    </c:plotArea>
    <c:legend>
      <c:legendPos val="b"/>
      <c:layout>
        <c:manualLayout>
          <c:xMode val="edge"/>
          <c:yMode val="edge"/>
          <c:x val="1.5712866596432819E-2"/>
          <c:y val="0.79925657416351026"/>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02776"/>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FBE80-9DD0-421A-9D21-6F6ED4F6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5</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Jakstonis</dc:creator>
  <cp:keywords/>
  <dc:description/>
  <cp:lastModifiedBy>Sabina</cp:lastModifiedBy>
  <cp:revision>94</cp:revision>
  <cp:lastPrinted>2016-03-02T08:05:00Z</cp:lastPrinted>
  <dcterms:created xsi:type="dcterms:W3CDTF">2016-03-01T20:52:00Z</dcterms:created>
  <dcterms:modified xsi:type="dcterms:W3CDTF">2016-06-02T21:09:00Z</dcterms:modified>
</cp:coreProperties>
</file>