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2D836" w14:textId="77777777" w:rsidR="00A9243F" w:rsidRPr="001A1452" w:rsidRDefault="00A9243F" w:rsidP="00A9243F">
      <w:pPr>
        <w:ind w:firstLine="0"/>
        <w:jc w:val="left"/>
      </w:pPr>
      <w:bookmarkStart w:id="0" w:name="_GoBack"/>
      <w:bookmarkEnd w:id="0"/>
    </w:p>
    <w:p w14:paraId="386D8D0C" w14:textId="77777777" w:rsidR="00A9243F" w:rsidRPr="007C0FA3" w:rsidRDefault="00A9243F" w:rsidP="00A9243F">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A9243F" w:rsidRPr="00A51856" w14:paraId="7E8EF48A" w14:textId="77777777" w:rsidTr="00AD2DF6">
        <w:trPr>
          <w:jc w:val="center"/>
        </w:trPr>
        <w:tc>
          <w:tcPr>
            <w:tcW w:w="9003" w:type="dxa"/>
          </w:tcPr>
          <w:p w14:paraId="5DC8E1E5" w14:textId="77777777" w:rsidR="00A9243F" w:rsidRPr="00A51856" w:rsidRDefault="00A9243F" w:rsidP="00EC6FB8">
            <w:pPr>
              <w:spacing w:line="320" w:lineRule="atLeast"/>
              <w:ind w:firstLine="0"/>
              <w:jc w:val="center"/>
              <w:rPr>
                <w:b/>
                <w:kern w:val="16"/>
              </w:rPr>
            </w:pPr>
            <w:r w:rsidRPr="00A51856">
              <w:rPr>
                <w:b/>
                <w:kern w:val="16"/>
              </w:rPr>
              <w:t>2014–2020 METŲ EUROPOS SĄJUNGOS FONDŲ INVESTICIJŲ VEIKSMŲ PROGRAMOS</w:t>
            </w:r>
            <w:r w:rsidR="00EC6FB8" w:rsidRPr="00A51856">
              <w:rPr>
                <w:b/>
                <w:kern w:val="16"/>
              </w:rPr>
              <w:t xml:space="preserve"> 1</w:t>
            </w:r>
            <w:r w:rsidRPr="00A51856">
              <w:rPr>
                <w:b/>
                <w:kern w:val="16"/>
              </w:rPr>
              <w:t xml:space="preserve"> PRIORITETO „</w:t>
            </w:r>
            <w:r w:rsidR="00EC6FB8" w:rsidRPr="00A51856">
              <w:rPr>
                <w:b/>
                <w:kern w:val="16"/>
              </w:rPr>
              <w:t>MOKSLINIŲ TYRIMŲ, EKSPERIMENTINĖS PLĖTROS IR INOVACIJŲ SKATINIMAS“ 01.2.2-LMT-K-718</w:t>
            </w:r>
            <w:r w:rsidRPr="00A51856">
              <w:rPr>
                <w:b/>
                <w:kern w:val="16"/>
              </w:rPr>
              <w:t xml:space="preserve"> PRIEMONĖS „</w:t>
            </w:r>
            <w:r w:rsidR="00EC6FB8" w:rsidRPr="00A51856">
              <w:rPr>
                <w:b/>
                <w:kern w:val="16"/>
              </w:rPr>
              <w:t>TIKSLINIAI MOKSLINIAI TYRIMAI SUMANIOS SPECIALIZACIJOS SRITYJE</w:t>
            </w:r>
            <w:r w:rsidRPr="00A51856">
              <w:rPr>
                <w:b/>
                <w:kern w:val="16"/>
              </w:rPr>
              <w:t>“</w:t>
            </w:r>
            <w:r w:rsidR="000D2CAE" w:rsidRPr="00A51856">
              <w:rPr>
                <w:b/>
                <w:kern w:val="16"/>
              </w:rPr>
              <w:t xml:space="preserve"> FINANSUOJAMOS VEIKLOS „AUKŠTO LYGIO TYRĖJŲ GRUPIŲ VYKDOMI MOKSLINIAI TYRIMAI“</w:t>
            </w:r>
          </w:p>
        </w:tc>
      </w:tr>
      <w:tr w:rsidR="00A9243F" w:rsidRPr="00A51856" w14:paraId="6B3DB6F8" w14:textId="77777777" w:rsidTr="00AD2DF6">
        <w:trPr>
          <w:jc w:val="center"/>
        </w:trPr>
        <w:tc>
          <w:tcPr>
            <w:tcW w:w="9003" w:type="dxa"/>
          </w:tcPr>
          <w:p w14:paraId="4D4856FB" w14:textId="77777777" w:rsidR="00A9243F" w:rsidRPr="00A51856" w:rsidRDefault="00A9243F" w:rsidP="00AD2DF6">
            <w:pPr>
              <w:spacing w:line="320" w:lineRule="atLeast"/>
              <w:ind w:firstLine="0"/>
              <w:jc w:val="center"/>
            </w:pPr>
            <w:r w:rsidRPr="00A51856">
              <w:rPr>
                <w:b/>
              </w:rPr>
              <w:t xml:space="preserve">PROJEKTŲ FINANSAVIMO SĄLYGŲ APRAŠAS </w:t>
            </w:r>
          </w:p>
        </w:tc>
      </w:tr>
    </w:tbl>
    <w:p w14:paraId="39A1357D" w14:textId="77777777" w:rsidR="00A9243F" w:rsidRPr="00A51856" w:rsidRDefault="00A9243F" w:rsidP="00A9243F">
      <w:pPr>
        <w:ind w:firstLine="0"/>
      </w:pPr>
    </w:p>
    <w:p w14:paraId="788DDDBD" w14:textId="77777777" w:rsidR="0081711E" w:rsidRPr="00A51856" w:rsidRDefault="0081711E" w:rsidP="00A9243F">
      <w:pPr>
        <w:ind w:firstLine="0"/>
      </w:pPr>
    </w:p>
    <w:p w14:paraId="758099FC" w14:textId="77777777" w:rsidR="00A9243F" w:rsidRPr="00A51856" w:rsidRDefault="00A9243F" w:rsidP="00A9243F">
      <w:pPr>
        <w:pStyle w:val="Antrat1"/>
      </w:pPr>
      <w:r w:rsidRPr="00A51856">
        <w:t>I SKYRIUS</w:t>
      </w:r>
    </w:p>
    <w:p w14:paraId="61A06257" w14:textId="77777777" w:rsidR="00A9243F" w:rsidRPr="00A51856" w:rsidRDefault="00A9243F" w:rsidP="00A9243F">
      <w:pPr>
        <w:pStyle w:val="Antrat1"/>
      </w:pPr>
      <w:r w:rsidRPr="00A51856">
        <w:t>BENDROSIOS NUOSTATOS</w:t>
      </w:r>
    </w:p>
    <w:p w14:paraId="60E97EF1" w14:textId="77777777" w:rsidR="00A9243F" w:rsidRPr="00A51856" w:rsidRDefault="00A9243F" w:rsidP="00A9243F">
      <w:pPr>
        <w:ind w:firstLine="0"/>
      </w:pPr>
    </w:p>
    <w:p w14:paraId="78B7CD7F" w14:textId="77777777" w:rsidR="0081711E" w:rsidRPr="00A51856" w:rsidRDefault="0081711E" w:rsidP="00A9243F">
      <w:pPr>
        <w:ind w:firstLine="0"/>
      </w:pPr>
    </w:p>
    <w:p w14:paraId="3E537B32" w14:textId="77777777" w:rsidR="00A9243F" w:rsidRPr="00A51856" w:rsidRDefault="00A9243F" w:rsidP="00A9243F">
      <w:r w:rsidRPr="00A51856">
        <w:t xml:space="preserve">1. 2014–2020 metų Europos Sąjungos fondų investicijų veiksmų programos </w:t>
      </w:r>
      <w:r w:rsidR="000D2CAE" w:rsidRPr="00A51856">
        <w:t>1</w:t>
      </w:r>
      <w:r w:rsidRPr="00A51856">
        <w:t xml:space="preserve"> prioriteto „</w:t>
      </w:r>
      <w:r w:rsidR="007C76E2" w:rsidRPr="00A51856">
        <w:t>Mokslinių tyr</w:t>
      </w:r>
      <w:r w:rsidR="000D2CAE" w:rsidRPr="00A51856">
        <w:t>imų, eksperimentinės plėtros ir inovacijų skatinimas</w:t>
      </w:r>
      <w:r w:rsidRPr="00A51856">
        <w:t xml:space="preserve">“ </w:t>
      </w:r>
      <w:r w:rsidR="000D2CAE" w:rsidRPr="00A51856">
        <w:rPr>
          <w:kern w:val="16"/>
        </w:rPr>
        <w:t>01.2.2-LMT-K-718</w:t>
      </w:r>
      <w:r w:rsidRPr="00A51856">
        <w:t xml:space="preserve"> priemonės „</w:t>
      </w:r>
      <w:r w:rsidR="000D2CAE" w:rsidRPr="00A51856">
        <w:rPr>
          <w:rFonts w:eastAsia="MS Mincho"/>
          <w:lang w:eastAsia="lt-LT"/>
        </w:rPr>
        <w:t>Tiksliniai moksliniai tyrimai sumanios specializacijos srityje</w:t>
      </w:r>
      <w:r w:rsidRPr="00A51856">
        <w:t xml:space="preserve">“ projektų finansavimo sąlygų aprašas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w:t>
      </w:r>
      <w:r w:rsidR="000D2CAE" w:rsidRPr="00A51856">
        <w:t>1</w:t>
      </w:r>
      <w:r w:rsidRPr="00A51856">
        <w:t xml:space="preserve">  prioriteto „</w:t>
      </w:r>
      <w:r w:rsidR="007C76E2" w:rsidRPr="00A51856">
        <w:t>Mokslinių tyr</w:t>
      </w:r>
      <w:r w:rsidR="000D2CAE" w:rsidRPr="00A51856">
        <w:t>imų, eksperimentinės plėtros ir inovacijų skatinimas</w:t>
      </w:r>
      <w:r w:rsidRPr="00A51856">
        <w:t xml:space="preserve">“ </w:t>
      </w:r>
      <w:r w:rsidR="000D2CAE" w:rsidRPr="00A51856">
        <w:rPr>
          <w:kern w:val="16"/>
        </w:rPr>
        <w:t>01.2.2-LMT-K-718</w:t>
      </w:r>
      <w:r w:rsidRPr="00A51856">
        <w:t xml:space="preserve"> priemonės „</w:t>
      </w:r>
      <w:r w:rsidR="000D2CAE" w:rsidRPr="00A51856">
        <w:rPr>
          <w:rFonts w:eastAsia="MS Mincho"/>
          <w:lang w:eastAsia="lt-LT"/>
        </w:rPr>
        <w:t>Tiksliniai moksliniai tyri</w:t>
      </w:r>
      <w:r w:rsidR="007C76E2" w:rsidRPr="00A51856">
        <w:rPr>
          <w:rFonts w:eastAsia="MS Mincho"/>
          <w:lang w:eastAsia="lt-LT"/>
        </w:rPr>
        <w:t>mai sumanios specializacijos sri</w:t>
      </w:r>
      <w:r w:rsidR="000D2CAE" w:rsidRPr="00A51856">
        <w:rPr>
          <w:rFonts w:eastAsia="MS Mincho"/>
          <w:lang w:eastAsia="lt-LT"/>
        </w:rPr>
        <w:t>tyje</w:t>
      </w:r>
      <w:r w:rsidRPr="00A51856">
        <w:rPr>
          <w:rFonts w:eastAsia="MS Mincho"/>
          <w:lang w:eastAsia="lt-LT"/>
        </w:rPr>
        <w:t>“</w:t>
      </w:r>
      <w:r w:rsidRPr="00A51856">
        <w:t xml:space="preserve"> (toliau – Priemonė) finansuojamą veiklą „</w:t>
      </w:r>
      <w:r w:rsidR="000D2CAE" w:rsidRPr="00A51856">
        <w:t>Aukšto lygio tyrėjų grupių vykdomi moksliniai tyrimai</w:t>
      </w:r>
      <w:r w:rsidRPr="00A51856">
        <w:t>“, projektų vykdytojai, įgyvendindami pagal Aprašą iš Europos Sąjungos struktūrinių fondų lėšų bendrai finansuojamus projektus (toliau – projektas), taip pat institucijos, atliekančios paraiškų vertinimą, atranką ir projektų įgyvendinimo priežiūrą.</w:t>
      </w:r>
    </w:p>
    <w:p w14:paraId="23AA02F6" w14:textId="77777777" w:rsidR="00A9243F" w:rsidRPr="00A51856" w:rsidRDefault="00A9243F" w:rsidP="00A9243F">
      <w:r w:rsidRPr="00A51856">
        <w:t>2. Aprašas yra parengtas atsižvelgiant į:</w:t>
      </w:r>
    </w:p>
    <w:p w14:paraId="4C404A05" w14:textId="77777777" w:rsidR="00A9243F" w:rsidRPr="00A51856" w:rsidRDefault="00A9243F" w:rsidP="00A9243F">
      <w:pPr>
        <w:pStyle w:val="Betarp"/>
        <w:ind w:firstLine="851"/>
        <w:jc w:val="both"/>
        <w:rPr>
          <w:rFonts w:ascii="Times New Roman" w:hAnsi="Times New Roman" w:cs="Times New Roman"/>
          <w:sz w:val="24"/>
          <w:szCs w:val="24"/>
        </w:rPr>
      </w:pPr>
      <w:r w:rsidRPr="00A51856">
        <w:rPr>
          <w:rFonts w:ascii="Times New Roman" w:eastAsia="Times New Roman" w:hAnsi="Times New Roman" w:cs="Times New Roman"/>
          <w:color w:val="000000"/>
          <w:sz w:val="24"/>
          <w:szCs w:val="24"/>
        </w:rPr>
        <w:t xml:space="preserve">2.1. </w:t>
      </w:r>
      <w:r w:rsidRPr="00A51856">
        <w:rPr>
          <w:rFonts w:ascii="Times New Roman" w:hAnsi="Times New Roman" w:cs="Times New Roman"/>
          <w:sz w:val="24"/>
          <w:szCs w:val="24"/>
        </w:rPr>
        <w:t xml:space="preserve">2014–2020 m. Europos Sąjungos fondų investicijų veiksmų programos prioriteto įgyvendinimo priemonių įgyvendinimo planą, patvirtintą Lietuvos Respublikos švietimo ir mokslo ministro 2015 m. balandžio 23 d. įsakymu Nr. V- 380 „Dėl 2014-2020 metų Europos Sąjungos fondų investicijų veiksmų programos prioriteto įgyvendinimo priemonių įgyvendinimo plano ir nacionalinio stebėsenos rodiklių skaičiavimo aprašo patvirtinimo“ (toliau – Priemonių įgyvendinimo planas); </w:t>
      </w:r>
    </w:p>
    <w:p w14:paraId="59647390" w14:textId="77777777" w:rsidR="00A9243F" w:rsidRPr="00A51856" w:rsidRDefault="00A9243F" w:rsidP="00A9243F">
      <w:r w:rsidRPr="00A51856">
        <w:t>2.2. Projektų administravimo ir finansavimo taisykles, patvirtintas Lietuvos Respublikos finansų ministro 2014 m. spalio 8 d. įsakymu Nr. 1K-316 „Dėl Projektų administravimo ir finansavimo taisyklių patvirtinimo“ (toliau – Projektų taisyklės);</w:t>
      </w:r>
    </w:p>
    <w:p w14:paraId="7DB23BAB" w14:textId="77777777" w:rsidR="00A9243F" w:rsidRPr="00A51856" w:rsidRDefault="00A9243F" w:rsidP="00A9243F">
      <w:r w:rsidRPr="00A51856">
        <w:rPr>
          <w:rFonts w:eastAsia="Times New Roman"/>
          <w:color w:val="000000"/>
          <w:spacing w:val="-2"/>
        </w:rPr>
        <w:t xml:space="preserve">2.3. </w:t>
      </w:r>
      <w:r w:rsidRPr="00A51856">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39A7FF97" w14:textId="77777777" w:rsidR="00C115CD" w:rsidRPr="00A51856" w:rsidRDefault="00750A3D" w:rsidP="004620DF">
      <w:pPr>
        <w:pStyle w:val="Betarp"/>
        <w:ind w:firstLine="851"/>
        <w:jc w:val="both"/>
        <w:rPr>
          <w:rFonts w:ascii="Times New Roman" w:hAnsi="Times New Roman"/>
          <w:sz w:val="24"/>
          <w:szCs w:val="24"/>
        </w:rPr>
      </w:pPr>
      <w:r w:rsidRPr="00A51856">
        <w:rPr>
          <w:rFonts w:ascii="Times New Roman" w:hAnsi="Times New Roman"/>
          <w:sz w:val="24"/>
          <w:szCs w:val="24"/>
        </w:rPr>
        <w:t>2.</w:t>
      </w:r>
      <w:r w:rsidR="004620DF" w:rsidRPr="00A51856">
        <w:rPr>
          <w:rFonts w:ascii="Times New Roman" w:hAnsi="Times New Roman"/>
          <w:sz w:val="24"/>
          <w:szCs w:val="24"/>
        </w:rPr>
        <w:t>4</w:t>
      </w:r>
      <w:r w:rsidRPr="00A51856">
        <w:rPr>
          <w:rFonts w:ascii="Times New Roman" w:hAnsi="Times New Roman"/>
          <w:sz w:val="24"/>
          <w:szCs w:val="24"/>
        </w:rPr>
        <w:t>.</w:t>
      </w:r>
      <w:r w:rsidR="00B87A82" w:rsidRPr="00A51856">
        <w:rPr>
          <w:rFonts w:ascii="Times New Roman" w:hAnsi="Times New Roman"/>
          <w:sz w:val="24"/>
          <w:szCs w:val="24"/>
        </w:rPr>
        <w:t xml:space="preserve"> Prioritetinių mokslinių tyrimų ir eksperimentinės (socialinės, kultūrinės) plėtros ir inovacijų raidos (sumanios specializacijos) krypčių ir jų</w:t>
      </w:r>
      <w:r w:rsidR="005F74BA" w:rsidRPr="00A51856">
        <w:rPr>
          <w:rFonts w:ascii="Times New Roman" w:hAnsi="Times New Roman"/>
          <w:sz w:val="24"/>
          <w:szCs w:val="24"/>
        </w:rPr>
        <w:t xml:space="preserve"> prior</w:t>
      </w:r>
      <w:r w:rsidR="00A51856">
        <w:rPr>
          <w:rFonts w:ascii="Times New Roman" w:hAnsi="Times New Roman"/>
          <w:sz w:val="24"/>
          <w:szCs w:val="24"/>
        </w:rPr>
        <w:t>i</w:t>
      </w:r>
      <w:r w:rsidR="005F74BA" w:rsidRPr="00A51856">
        <w:rPr>
          <w:rFonts w:ascii="Times New Roman" w:hAnsi="Times New Roman"/>
          <w:sz w:val="24"/>
          <w:szCs w:val="24"/>
        </w:rPr>
        <w:t>tetų įgyvendinimo programą, patvirtintą</w:t>
      </w:r>
      <w:r w:rsidR="00B87A82" w:rsidRPr="00A51856">
        <w:rPr>
          <w:rFonts w:ascii="Times New Roman" w:hAnsi="Times New Roman"/>
          <w:sz w:val="24"/>
          <w:szCs w:val="24"/>
        </w:rPr>
        <w:t xml:space="preserve"> Lietuvos Respublikos Vyriausybės 2014 m. balandžio 30 d. nutarimu Nr. 411 „Dėl Prioritetinių mokslinių tyrimų ir eksperimentinės (socialinės, kultūrinės) </w:t>
      </w:r>
      <w:r w:rsidR="00B87A82" w:rsidRPr="00A51856">
        <w:rPr>
          <w:rFonts w:ascii="Times New Roman" w:hAnsi="Times New Roman"/>
          <w:sz w:val="24"/>
          <w:szCs w:val="24"/>
        </w:rPr>
        <w:lastRenderedPageBreak/>
        <w:t xml:space="preserve">plėtros ir inovacijų raidos (sumanios specializacijos) krypčių ir jų priortetų įgyvendinimo programos patvirtinimo“ (toliau – </w:t>
      </w:r>
      <w:r w:rsidR="003B169D" w:rsidRPr="00A51856">
        <w:rPr>
          <w:rFonts w:ascii="Times New Roman" w:hAnsi="Times New Roman"/>
          <w:sz w:val="24"/>
          <w:szCs w:val="24"/>
        </w:rPr>
        <w:t>Sumanios specializacijos programa</w:t>
      </w:r>
      <w:r w:rsidR="00B87A82" w:rsidRPr="00A51856">
        <w:rPr>
          <w:rFonts w:ascii="Times New Roman" w:hAnsi="Times New Roman"/>
          <w:sz w:val="24"/>
          <w:szCs w:val="24"/>
        </w:rPr>
        <w:t>);</w:t>
      </w:r>
    </w:p>
    <w:p w14:paraId="7D05100E" w14:textId="77777777" w:rsidR="00A9243F" w:rsidRPr="00A51856" w:rsidRDefault="00A9243F" w:rsidP="004620DF">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2.</w:t>
      </w:r>
      <w:r w:rsidR="004620DF" w:rsidRPr="00A51856">
        <w:rPr>
          <w:rFonts w:ascii="Times New Roman" w:hAnsi="Times New Roman" w:cs="Times New Roman"/>
          <w:sz w:val="24"/>
          <w:szCs w:val="24"/>
        </w:rPr>
        <w:t>5</w:t>
      </w:r>
      <w:r w:rsidRPr="00A51856">
        <w:rPr>
          <w:rFonts w:ascii="Times New Roman" w:hAnsi="Times New Roman" w:cs="Times New Roman"/>
          <w:sz w:val="24"/>
          <w:szCs w:val="24"/>
        </w:rPr>
        <w:t>. Lietuvos Respublikos mokslo ir studijų įstatymą;</w:t>
      </w:r>
    </w:p>
    <w:p w14:paraId="4645DEE0" w14:textId="77777777" w:rsidR="00A9243F" w:rsidRPr="00A51856" w:rsidRDefault="005C368F" w:rsidP="00A9243F">
      <w:pPr>
        <w:pStyle w:val="Betarp"/>
        <w:ind w:firstLine="851"/>
        <w:jc w:val="both"/>
        <w:rPr>
          <w:rFonts w:ascii="Times New Roman" w:hAnsi="Times New Roman" w:cs="Times New Roman"/>
          <w:color w:val="000000" w:themeColor="text1"/>
          <w:sz w:val="24"/>
          <w:szCs w:val="24"/>
        </w:rPr>
      </w:pPr>
      <w:r w:rsidRPr="00A51856">
        <w:rPr>
          <w:rFonts w:ascii="Times New Roman" w:eastAsia="Times New Roman" w:hAnsi="Times New Roman" w:cs="Times New Roman"/>
          <w:color w:val="000000"/>
          <w:sz w:val="24"/>
          <w:szCs w:val="24"/>
        </w:rPr>
        <w:t>2.</w:t>
      </w:r>
      <w:r w:rsidR="004620DF" w:rsidRPr="00A51856">
        <w:rPr>
          <w:rFonts w:ascii="Times New Roman" w:eastAsia="Times New Roman" w:hAnsi="Times New Roman" w:cs="Times New Roman"/>
          <w:color w:val="000000"/>
          <w:sz w:val="24"/>
          <w:szCs w:val="24"/>
        </w:rPr>
        <w:t>6</w:t>
      </w:r>
      <w:r w:rsidR="00A9243F" w:rsidRPr="00A51856">
        <w:rPr>
          <w:rFonts w:ascii="Times New Roman" w:eastAsia="Times New Roman" w:hAnsi="Times New Roman" w:cs="Times New Roman"/>
          <w:color w:val="000000" w:themeColor="text1"/>
          <w:sz w:val="24"/>
          <w:szCs w:val="24"/>
        </w:rPr>
        <w:t xml:space="preserve">. </w:t>
      </w:r>
      <w:r w:rsidR="00A9243F" w:rsidRPr="00A51856">
        <w:rPr>
          <w:rFonts w:ascii="Times New Roman" w:hAnsi="Times New Roman" w:cs="Times New Roman"/>
          <w:color w:val="000000" w:themeColor="text1"/>
          <w:sz w:val="24"/>
          <w:szCs w:val="24"/>
        </w:rPr>
        <w:t xml:space="preserve">2016 m. </w:t>
      </w:r>
      <w:r w:rsidR="00DC41A2" w:rsidRPr="00A51856">
        <w:rPr>
          <w:rFonts w:ascii="Times New Roman" w:hAnsi="Times New Roman" w:cs="Times New Roman"/>
          <w:color w:val="000000" w:themeColor="text1"/>
          <w:sz w:val="24"/>
          <w:szCs w:val="24"/>
        </w:rPr>
        <w:t>birželio 16</w:t>
      </w:r>
      <w:r w:rsidR="0032503C" w:rsidRPr="00A51856">
        <w:rPr>
          <w:rFonts w:ascii="Times New Roman" w:hAnsi="Times New Roman" w:cs="Times New Roman"/>
          <w:color w:val="000000" w:themeColor="text1"/>
          <w:sz w:val="24"/>
          <w:szCs w:val="24"/>
        </w:rPr>
        <w:t xml:space="preserve"> </w:t>
      </w:r>
      <w:r w:rsidR="00A9243F" w:rsidRPr="00A51856">
        <w:rPr>
          <w:rFonts w:ascii="Times New Roman" w:hAnsi="Times New Roman" w:cs="Times New Roman"/>
          <w:color w:val="000000" w:themeColor="text1"/>
          <w:sz w:val="24"/>
          <w:szCs w:val="24"/>
        </w:rPr>
        <w:t xml:space="preserve">d. Stebėsenos komiteto posėdžio protokolu </w:t>
      </w:r>
      <w:r w:rsidR="00DC41A2" w:rsidRPr="00A51856">
        <w:rPr>
          <w:rFonts w:ascii="Times New Roman" w:hAnsi="Times New Roman" w:cs="Times New Roman"/>
          <w:color w:val="000000" w:themeColor="text1"/>
          <w:sz w:val="24"/>
          <w:szCs w:val="24"/>
        </w:rPr>
        <w:t>Nr. 44P-16.1(18)</w:t>
      </w:r>
      <w:r w:rsidR="00A9243F" w:rsidRPr="00A51856">
        <w:rPr>
          <w:rFonts w:ascii="Times New Roman" w:hAnsi="Times New Roman" w:cs="Times New Roman"/>
          <w:color w:val="000000" w:themeColor="text1"/>
          <w:sz w:val="24"/>
          <w:szCs w:val="24"/>
        </w:rPr>
        <w:t xml:space="preserve"> </w:t>
      </w:r>
      <w:r w:rsidR="004D3D45" w:rsidRPr="00A51856">
        <w:rPr>
          <w:rFonts w:ascii="Times New Roman" w:hAnsi="Times New Roman" w:cs="Times New Roman"/>
          <w:color w:val="000000" w:themeColor="text1"/>
          <w:sz w:val="24"/>
          <w:szCs w:val="24"/>
        </w:rPr>
        <w:t>patvirtintus P</w:t>
      </w:r>
      <w:r w:rsidR="00A9243F" w:rsidRPr="00A51856">
        <w:rPr>
          <w:rFonts w:ascii="Times New Roman" w:hAnsi="Times New Roman" w:cs="Times New Roman"/>
          <w:color w:val="000000" w:themeColor="text1"/>
          <w:sz w:val="24"/>
          <w:szCs w:val="24"/>
        </w:rPr>
        <w:t>riemonės</w:t>
      </w:r>
      <w:r w:rsidR="004D3D45" w:rsidRPr="00A51856">
        <w:rPr>
          <w:rFonts w:ascii="Times New Roman" w:eastAsia="Times New Roman" w:hAnsi="Times New Roman" w:cs="Times New Roman"/>
          <w:color w:val="000000" w:themeColor="text1"/>
          <w:sz w:val="24"/>
          <w:szCs w:val="24"/>
        </w:rPr>
        <w:t xml:space="preserve"> </w:t>
      </w:r>
      <w:r w:rsidR="004D3D45" w:rsidRPr="00A51856">
        <w:rPr>
          <w:rFonts w:ascii="Times New Roman" w:hAnsi="Times New Roman" w:cs="Times New Roman"/>
          <w:color w:val="000000" w:themeColor="text1"/>
          <w:sz w:val="24"/>
          <w:szCs w:val="24"/>
        </w:rPr>
        <w:t>projektų</w:t>
      </w:r>
      <w:r w:rsidR="00A9243F" w:rsidRPr="00A51856">
        <w:rPr>
          <w:rFonts w:ascii="Times New Roman" w:hAnsi="Times New Roman" w:cs="Times New Roman"/>
          <w:color w:val="000000" w:themeColor="text1"/>
          <w:sz w:val="24"/>
          <w:szCs w:val="24"/>
        </w:rPr>
        <w:t xml:space="preserve"> atrankos kriterijus;</w:t>
      </w:r>
    </w:p>
    <w:p w14:paraId="0183FF89" w14:textId="77777777" w:rsidR="00A9243F" w:rsidRPr="00A51856" w:rsidRDefault="00A9243F" w:rsidP="00A9243F">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2.</w:t>
      </w:r>
      <w:r w:rsidR="004620DF" w:rsidRPr="00A51856">
        <w:rPr>
          <w:rFonts w:ascii="Times New Roman" w:hAnsi="Times New Roman" w:cs="Times New Roman"/>
          <w:sz w:val="24"/>
          <w:szCs w:val="24"/>
        </w:rPr>
        <w:t>7</w:t>
      </w:r>
      <w:r w:rsidRPr="00A51856">
        <w:rPr>
          <w:rFonts w:ascii="Times New Roman" w:hAnsi="Times New Roman" w:cs="Times New Roman"/>
          <w:sz w:val="24"/>
          <w:szCs w:val="24"/>
        </w:rPr>
        <w:t xml:space="preserve">.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komiteto 2014 m. liepos 4 d. protokolu Nr. 34 ir paskelbtas ES struktūrinių fondų svetainėje </w:t>
      </w:r>
      <w:hyperlink r:id="rId8" w:history="1">
        <w:r w:rsidRPr="00A51856">
          <w:rPr>
            <w:rStyle w:val="Hipersaitas"/>
            <w:rFonts w:ascii="Times New Roman" w:hAnsi="Times New Roman" w:cs="Times New Roman"/>
            <w:sz w:val="24"/>
            <w:szCs w:val="24"/>
          </w:rPr>
          <w:t>www.esinvesticijos.lt</w:t>
        </w:r>
      </w:hyperlink>
      <w:r w:rsidRPr="00A51856">
        <w:rPr>
          <w:rFonts w:ascii="Times New Roman" w:hAnsi="Times New Roman" w:cs="Times New Roman"/>
          <w:sz w:val="24"/>
          <w:szCs w:val="24"/>
        </w:rPr>
        <w:t xml:space="preserve"> (toliau – </w:t>
      </w:r>
      <w:r w:rsidRPr="00A51856">
        <w:rPr>
          <w:rFonts w:ascii="Times New Roman" w:hAnsi="Times New Roman" w:cs="Times New Roman"/>
          <w:sz w:val="24"/>
          <w:szCs w:val="24"/>
          <w:lang w:eastAsia="lt-LT"/>
        </w:rPr>
        <w:t>Rekomendacijos dėl projektų išlaidų atitikties Europos Sąjungos struktūrinių fondų reikalavimams);</w:t>
      </w:r>
    </w:p>
    <w:p w14:paraId="3FEEDB2C" w14:textId="77777777" w:rsidR="00A9243F" w:rsidRPr="00A51856" w:rsidRDefault="004620DF" w:rsidP="00A9243F">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2.8</w:t>
      </w:r>
      <w:r w:rsidR="00A9243F" w:rsidRPr="00A51856">
        <w:rPr>
          <w:rFonts w:ascii="Times New Roman" w:hAnsi="Times New Roman" w:cs="Times New Roman"/>
          <w:sz w:val="24"/>
          <w:szCs w:val="24"/>
        </w:rPr>
        <w:t>.</w:t>
      </w:r>
      <w:r w:rsidR="00A9243F" w:rsidRPr="00A51856">
        <w:t xml:space="preserve"> </w:t>
      </w:r>
      <w:r w:rsidR="00A9243F" w:rsidRPr="00A51856">
        <w:rPr>
          <w:rFonts w:ascii="Times New Roman" w:hAnsi="Times New Roman" w:cs="Times New Roman"/>
          <w:sz w:val="24"/>
          <w:szCs w:val="24"/>
        </w:rPr>
        <w:t>Pavyzdinius mokslo ir sklaidos projektų galimos mokslinės ir (ar) technologinės produkcijos sąrašus, patvirtintus 2014 m. spalio 31 d. Lietuvos mokslo tarybos pirmininko įsakymu Nr. V-217 „Dėl pavyzdinių mokslo ir sklaidos projektų galimos mokslinės ir (ar) technologinės produkcijos sąrašų patvirtinimo“ (toliau – Pavyzdiniai mokslo ir sklaidos projektų galimos mokslinės ir (ar) technologinės produkcijos sąrašai)</w:t>
      </w:r>
      <w:r w:rsidR="00BC69C2" w:rsidRPr="00A51856">
        <w:rPr>
          <w:rFonts w:ascii="Times New Roman" w:hAnsi="Times New Roman" w:cs="Times New Roman"/>
          <w:sz w:val="24"/>
          <w:szCs w:val="24"/>
        </w:rPr>
        <w:t>;</w:t>
      </w:r>
    </w:p>
    <w:p w14:paraId="495B0DDD" w14:textId="77777777" w:rsidR="007C76E2" w:rsidRPr="00A51856" w:rsidRDefault="004620DF" w:rsidP="007C76E2">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2.9</w:t>
      </w:r>
      <w:r w:rsidR="007C76E2" w:rsidRPr="00A51856">
        <w:rPr>
          <w:rFonts w:ascii="Times New Roman" w:hAnsi="Times New Roman" w:cs="Times New Roman"/>
          <w:sz w:val="24"/>
          <w:szCs w:val="24"/>
        </w:rPr>
        <w:t xml:space="preserve">. Lietuvos mokslo tarybos </w:t>
      </w:r>
      <w:r w:rsidR="007C76E2" w:rsidRPr="00A51856">
        <w:rPr>
          <w:rFonts w:ascii="Times New Roman" w:hAnsi="Times New Roman" w:cs="Times New Roman"/>
          <w:color w:val="000000"/>
          <w:sz w:val="24"/>
          <w:szCs w:val="24"/>
        </w:rPr>
        <w:t>2014 m. gegužės 26 d. nutarimą Nr. VIII-21 ,,</w:t>
      </w:r>
      <w:r w:rsidR="007C76E2" w:rsidRPr="00A51856">
        <w:rPr>
          <w:rFonts w:ascii="Times New Roman" w:hAnsi="Times New Roman" w:cs="Times New Roman"/>
          <w:bCs/>
          <w:color w:val="000000"/>
          <w:sz w:val="24"/>
          <w:szCs w:val="24"/>
        </w:rPr>
        <w:t>Dėl Lietuvos mokslo tarybos ekspertų skyrimo ir veiklos bendrųjų taisyklių patvirtinimo“</w:t>
      </w:r>
      <w:r w:rsidR="007C76E2" w:rsidRPr="00A51856">
        <w:rPr>
          <w:rFonts w:ascii="Times New Roman" w:hAnsi="Times New Roman" w:cs="Times New Roman"/>
          <w:sz w:val="24"/>
          <w:szCs w:val="24"/>
        </w:rPr>
        <w:t xml:space="preserve"> (toliau – Ekspertų skyrimo taisyklės); </w:t>
      </w:r>
    </w:p>
    <w:p w14:paraId="452FA549" w14:textId="77777777" w:rsidR="00A64C38" w:rsidRPr="00A51856" w:rsidRDefault="004620DF" w:rsidP="007C76E2">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2.10</w:t>
      </w:r>
      <w:r w:rsidR="00A64C38" w:rsidRPr="00A51856">
        <w:rPr>
          <w:rFonts w:ascii="Times New Roman" w:hAnsi="Times New Roman" w:cs="Times New Roman"/>
          <w:sz w:val="24"/>
          <w:szCs w:val="24"/>
        </w:rPr>
        <w:t>. Lietuvos mokslo tarybos 2012 m. gegužės 7 d. nutarimą Nr. VII-102 „Dėl Lietuvos mokslo tarybos mokslinės veiklos etikos principų patvirtinimo“.</w:t>
      </w:r>
    </w:p>
    <w:p w14:paraId="4FE4BEBB" w14:textId="77777777" w:rsidR="00A9243F" w:rsidRPr="00A51856" w:rsidRDefault="00A9243F" w:rsidP="00A9243F">
      <w:r w:rsidRPr="00A51856">
        <w:t>3. Apraše vartojamos sąvokos suprantamos taip, kaip jos apibrėžtos Aprašo 2 punkte nurodytuose teisės aktuose, Atsakomybės ir funkcijų paskirstymo tarp institucijų, įgyvendinant 2014–2020 metų Europos Sąjungos fondų veiksmų programą, taisyklėse, patvirtintose Lietuvos Respublikos Vyriausybės 2014 m. birželio 4 d. nutarimu Nr. 528 „Dėl atsakomybės ir funkcijų paskirstymo tarp institucijų, įgyvendinant 2014–2020 metų Europos Sąjungos fondų investicijų veiksmų programą“, ir 2014-2020 m. Europos Sąjungos fondų investicijų veiksmų programos administravimo taisyklėse, patvirtintose Lietuvos Respublikos Vyriausybės 2014 m. spalio 3 d. nutarimu Nr. 1090 „Dėl 2014-2020 m. Europos Sąjungos fondų investicijų veiksmų programos administravimo taisyklių patvirtinimo“.</w:t>
      </w:r>
    </w:p>
    <w:p w14:paraId="1575E447" w14:textId="77777777" w:rsidR="00A9243F" w:rsidRPr="00A51856" w:rsidRDefault="00A9243F" w:rsidP="00A9243F">
      <w:r w:rsidRPr="00A51856">
        <w:t>4. Apraše vartojamos kitos sąvokos:</w:t>
      </w:r>
    </w:p>
    <w:p w14:paraId="6942DD85" w14:textId="07063A18" w:rsidR="005F2F51" w:rsidRPr="00A51856" w:rsidRDefault="004620DF" w:rsidP="005F2F51">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4.</w:t>
      </w:r>
      <w:r w:rsidR="00A51856">
        <w:rPr>
          <w:rFonts w:ascii="Times New Roman" w:hAnsi="Times New Roman" w:cs="Times New Roman"/>
          <w:sz w:val="24"/>
          <w:szCs w:val="24"/>
        </w:rPr>
        <w:t>1</w:t>
      </w:r>
      <w:r w:rsidR="008B3F1B" w:rsidRPr="00A51856">
        <w:rPr>
          <w:rFonts w:ascii="Times New Roman" w:hAnsi="Times New Roman" w:cs="Times New Roman"/>
          <w:sz w:val="24"/>
          <w:szCs w:val="24"/>
        </w:rPr>
        <w:t>.</w:t>
      </w:r>
      <w:r w:rsidR="008B3F1B" w:rsidRPr="00A51856">
        <w:rPr>
          <w:rFonts w:ascii="Times New Roman" w:hAnsi="Times New Roman" w:cs="Times New Roman"/>
          <w:b/>
          <w:sz w:val="24"/>
          <w:szCs w:val="24"/>
        </w:rPr>
        <w:t xml:space="preserve"> </w:t>
      </w:r>
      <w:r w:rsidR="005F2F51" w:rsidRPr="00A51856">
        <w:rPr>
          <w:rFonts w:ascii="Times New Roman" w:hAnsi="Times New Roman" w:cs="Times New Roman"/>
          <w:b/>
          <w:sz w:val="24"/>
          <w:szCs w:val="24"/>
        </w:rPr>
        <w:t>Mokslinio tyrimo grupė</w:t>
      </w:r>
      <w:r w:rsidR="005F2F51" w:rsidRPr="00A51856">
        <w:rPr>
          <w:rFonts w:ascii="Times New Roman" w:hAnsi="Times New Roman" w:cs="Times New Roman"/>
          <w:sz w:val="24"/>
          <w:szCs w:val="24"/>
        </w:rPr>
        <w:t xml:space="preserve"> – projekto mokslinį tyrimą vykdantys</w:t>
      </w:r>
      <w:r w:rsidR="008B3F1B" w:rsidRPr="00A51856">
        <w:rPr>
          <w:rFonts w:ascii="Times New Roman" w:hAnsi="Times New Roman" w:cs="Times New Roman"/>
          <w:sz w:val="24"/>
          <w:szCs w:val="24"/>
        </w:rPr>
        <w:t xml:space="preserve"> mokslininkai: </w:t>
      </w:r>
      <w:r w:rsidR="005F2F51" w:rsidRPr="00A51856">
        <w:rPr>
          <w:rFonts w:ascii="Times New Roman" w:hAnsi="Times New Roman" w:cs="Times New Roman"/>
          <w:sz w:val="24"/>
          <w:szCs w:val="24"/>
        </w:rPr>
        <w:t>mokslinio tyrimo vadovas, pagrindiniai ir nepagrindiniai</w:t>
      </w:r>
      <w:r w:rsidR="00DA4F33" w:rsidRPr="00A51856">
        <w:rPr>
          <w:rFonts w:ascii="Times New Roman" w:hAnsi="Times New Roman" w:cs="Times New Roman"/>
          <w:sz w:val="24"/>
          <w:szCs w:val="24"/>
        </w:rPr>
        <w:t xml:space="preserve"> mokslinio tyrimo grupės nariai;</w:t>
      </w:r>
    </w:p>
    <w:p w14:paraId="45392469" w14:textId="14EF67F0" w:rsidR="002A4E0D" w:rsidRPr="00A51856" w:rsidRDefault="004620DF" w:rsidP="002A4E0D">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4.</w:t>
      </w:r>
      <w:r w:rsidR="00A51856">
        <w:rPr>
          <w:rFonts w:ascii="Times New Roman" w:hAnsi="Times New Roman" w:cs="Times New Roman"/>
          <w:sz w:val="24"/>
          <w:szCs w:val="24"/>
        </w:rPr>
        <w:t>2</w:t>
      </w:r>
      <w:r w:rsidR="00B132B3" w:rsidRPr="00A51856">
        <w:rPr>
          <w:rFonts w:ascii="Times New Roman" w:hAnsi="Times New Roman" w:cs="Times New Roman"/>
          <w:sz w:val="24"/>
          <w:szCs w:val="24"/>
        </w:rPr>
        <w:t>.</w:t>
      </w:r>
      <w:r w:rsidR="00B132B3" w:rsidRPr="00A51856">
        <w:rPr>
          <w:rFonts w:ascii="Times New Roman" w:hAnsi="Times New Roman" w:cs="Times New Roman"/>
          <w:b/>
          <w:sz w:val="24"/>
          <w:szCs w:val="24"/>
        </w:rPr>
        <w:t xml:space="preserve"> </w:t>
      </w:r>
      <w:r w:rsidR="00A9243F" w:rsidRPr="00A51856">
        <w:rPr>
          <w:rFonts w:ascii="Times New Roman" w:hAnsi="Times New Roman" w:cs="Times New Roman"/>
          <w:b/>
          <w:sz w:val="24"/>
          <w:szCs w:val="24"/>
        </w:rPr>
        <w:t>Mokslinio tyrimo vadovas</w:t>
      </w:r>
      <w:r w:rsidR="00A9243F" w:rsidRPr="00A51856">
        <w:rPr>
          <w:rFonts w:ascii="Times New Roman" w:hAnsi="Times New Roman" w:cs="Times New Roman"/>
          <w:sz w:val="24"/>
          <w:szCs w:val="24"/>
        </w:rPr>
        <w:t xml:space="preserve"> – mokslininkas, inicijuojantis paraiškos </w:t>
      </w:r>
      <w:r w:rsidR="005F2F51" w:rsidRPr="00A51856">
        <w:rPr>
          <w:rFonts w:ascii="Times New Roman" w:hAnsi="Times New Roman" w:cs="Times New Roman"/>
          <w:sz w:val="24"/>
          <w:szCs w:val="24"/>
        </w:rPr>
        <w:t xml:space="preserve">mokslinio tyrimo </w:t>
      </w:r>
      <w:r w:rsidR="00A9243F" w:rsidRPr="00A51856">
        <w:rPr>
          <w:rFonts w:ascii="Times New Roman" w:hAnsi="Times New Roman" w:cs="Times New Roman"/>
          <w:sz w:val="24"/>
          <w:szCs w:val="24"/>
        </w:rPr>
        <w:t xml:space="preserve">projektui finansuoti teikimą </w:t>
      </w:r>
      <w:r w:rsidR="005F2F51" w:rsidRPr="00A51856">
        <w:rPr>
          <w:rFonts w:ascii="Times New Roman" w:hAnsi="Times New Roman" w:cs="Times New Roman"/>
          <w:sz w:val="24"/>
          <w:szCs w:val="24"/>
        </w:rPr>
        <w:t>į</w:t>
      </w:r>
      <w:r w:rsidR="00A9243F" w:rsidRPr="00A51856">
        <w:rPr>
          <w:rFonts w:ascii="Times New Roman" w:hAnsi="Times New Roman" w:cs="Times New Roman"/>
          <w:sz w:val="24"/>
          <w:szCs w:val="24"/>
        </w:rPr>
        <w:t>gyvendinančiajai institucijai, kartu su mokslinio tyrimo grupės nariais įgyvendinantis projektą ir vadovaujantis jo įgyvendinimui</w:t>
      </w:r>
      <w:r w:rsidR="00DA4F33" w:rsidRPr="00A51856">
        <w:rPr>
          <w:rFonts w:ascii="Times New Roman" w:hAnsi="Times New Roman" w:cs="Times New Roman"/>
          <w:sz w:val="24"/>
          <w:szCs w:val="24"/>
        </w:rPr>
        <w:t>;</w:t>
      </w:r>
    </w:p>
    <w:p w14:paraId="3C36BBF8" w14:textId="3F732506" w:rsidR="00A9243F" w:rsidRPr="00A51856" w:rsidRDefault="004620DF" w:rsidP="002A4E0D">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4.</w:t>
      </w:r>
      <w:r w:rsidR="00A51856">
        <w:rPr>
          <w:rFonts w:ascii="Times New Roman" w:hAnsi="Times New Roman" w:cs="Times New Roman"/>
          <w:sz w:val="24"/>
          <w:szCs w:val="24"/>
        </w:rPr>
        <w:t>3</w:t>
      </w:r>
      <w:r w:rsidR="00B132B3" w:rsidRPr="00A51856">
        <w:rPr>
          <w:rFonts w:ascii="Times New Roman" w:hAnsi="Times New Roman" w:cs="Times New Roman"/>
          <w:sz w:val="24"/>
          <w:szCs w:val="24"/>
        </w:rPr>
        <w:t>.</w:t>
      </w:r>
      <w:r w:rsidR="00B132B3" w:rsidRPr="00A51856">
        <w:rPr>
          <w:rFonts w:ascii="Times New Roman" w:hAnsi="Times New Roman" w:cs="Times New Roman"/>
          <w:b/>
          <w:sz w:val="24"/>
          <w:szCs w:val="24"/>
        </w:rPr>
        <w:t xml:space="preserve"> </w:t>
      </w:r>
      <w:r w:rsidR="00A9243F" w:rsidRPr="00A51856">
        <w:rPr>
          <w:rFonts w:ascii="Times New Roman" w:hAnsi="Times New Roman" w:cs="Times New Roman"/>
          <w:b/>
          <w:sz w:val="24"/>
          <w:szCs w:val="24"/>
        </w:rPr>
        <w:t>Nepagrindinis mokslinio tyrimo grupės narys</w:t>
      </w:r>
      <w:r w:rsidR="00A9243F" w:rsidRPr="00A51856">
        <w:rPr>
          <w:rFonts w:ascii="Times New Roman" w:hAnsi="Times New Roman" w:cs="Times New Roman"/>
          <w:sz w:val="24"/>
          <w:szCs w:val="24"/>
        </w:rPr>
        <w:t xml:space="preserve"> – asmuo, kuris atlieka jam paskirtą darbą mokslinio tyrimo tikslams pasiekti ir taip prisideda prie projekto įgyvendinimo;</w:t>
      </w:r>
    </w:p>
    <w:p w14:paraId="1AD5DB2F" w14:textId="3F6031EB" w:rsidR="00A51856" w:rsidRDefault="004620DF" w:rsidP="00A9243F">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4.</w:t>
      </w:r>
      <w:r w:rsidR="00A51856">
        <w:rPr>
          <w:rFonts w:ascii="Times New Roman" w:hAnsi="Times New Roman" w:cs="Times New Roman"/>
          <w:sz w:val="24"/>
          <w:szCs w:val="24"/>
        </w:rPr>
        <w:t>4</w:t>
      </w:r>
      <w:r w:rsidR="00B132B3" w:rsidRPr="00A51856">
        <w:rPr>
          <w:rFonts w:ascii="Times New Roman" w:hAnsi="Times New Roman" w:cs="Times New Roman"/>
          <w:sz w:val="24"/>
          <w:szCs w:val="24"/>
        </w:rPr>
        <w:t>.</w:t>
      </w:r>
      <w:r w:rsidR="00B132B3" w:rsidRPr="00A51856">
        <w:rPr>
          <w:rFonts w:ascii="Times New Roman" w:hAnsi="Times New Roman" w:cs="Times New Roman"/>
          <w:b/>
          <w:sz w:val="24"/>
          <w:szCs w:val="24"/>
        </w:rPr>
        <w:t xml:space="preserve"> </w:t>
      </w:r>
      <w:r w:rsidR="00A9243F" w:rsidRPr="00A51856">
        <w:rPr>
          <w:rFonts w:ascii="Times New Roman" w:hAnsi="Times New Roman" w:cs="Times New Roman"/>
          <w:b/>
          <w:sz w:val="24"/>
          <w:szCs w:val="24"/>
        </w:rPr>
        <w:t>Pagrindinis mokslinio tyrimo grupės narys</w:t>
      </w:r>
      <w:r w:rsidR="00A9243F" w:rsidRPr="00A51856">
        <w:rPr>
          <w:rFonts w:ascii="Times New Roman" w:hAnsi="Times New Roman" w:cs="Times New Roman"/>
          <w:sz w:val="24"/>
          <w:szCs w:val="24"/>
        </w:rPr>
        <w:t xml:space="preserve"> – asmuo, kuris atlieka esminius mokslinio tyrimo darbus, paprastai trunkančius visą projekto įgyvendinimo laikotarpį, ir kurio mokslinė kompete</w:t>
      </w:r>
      <w:r w:rsidR="00DA4F33" w:rsidRPr="00A51856">
        <w:rPr>
          <w:rFonts w:ascii="Times New Roman" w:hAnsi="Times New Roman" w:cs="Times New Roman"/>
          <w:sz w:val="24"/>
          <w:szCs w:val="24"/>
        </w:rPr>
        <w:t>ncija svarbi vertinant paraišką</w:t>
      </w:r>
      <w:r w:rsidR="00A51856">
        <w:rPr>
          <w:rFonts w:ascii="Times New Roman" w:hAnsi="Times New Roman" w:cs="Times New Roman"/>
          <w:sz w:val="24"/>
          <w:szCs w:val="24"/>
        </w:rPr>
        <w:t>;</w:t>
      </w:r>
    </w:p>
    <w:p w14:paraId="7DE5AA66" w14:textId="67119AD5" w:rsidR="00726C79" w:rsidRDefault="00A51856" w:rsidP="00726C79">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4.5. </w:t>
      </w:r>
      <w:r w:rsidRPr="00C937BF">
        <w:rPr>
          <w:rFonts w:ascii="Times New Roman" w:hAnsi="Times New Roman" w:cs="Times New Roman"/>
          <w:b/>
          <w:sz w:val="24"/>
          <w:szCs w:val="24"/>
        </w:rPr>
        <w:t>Tiksliniai moksliniai tyrimai</w:t>
      </w:r>
      <w:r>
        <w:rPr>
          <w:rFonts w:ascii="Times New Roman" w:hAnsi="Times New Roman" w:cs="Times New Roman"/>
          <w:sz w:val="24"/>
          <w:szCs w:val="24"/>
        </w:rPr>
        <w:t xml:space="preserve"> </w:t>
      </w:r>
      <w:r w:rsidR="00333FC3" w:rsidRPr="00333FC3">
        <w:rPr>
          <w:rFonts w:ascii="Times New Roman" w:hAnsi="Times New Roman" w:cs="Times New Roman"/>
          <w:sz w:val="24"/>
          <w:szCs w:val="24"/>
        </w:rPr>
        <w:t>–</w:t>
      </w:r>
      <w:r>
        <w:rPr>
          <w:rFonts w:ascii="Times New Roman" w:hAnsi="Times New Roman" w:cs="Times New Roman"/>
          <w:sz w:val="24"/>
          <w:szCs w:val="24"/>
        </w:rPr>
        <w:t xml:space="preserve"> </w:t>
      </w:r>
      <w:r w:rsidR="00263108">
        <w:rPr>
          <w:rFonts w:ascii="Times New Roman" w:hAnsi="Times New Roman" w:cs="Times New Roman"/>
          <w:sz w:val="24"/>
          <w:szCs w:val="24"/>
        </w:rPr>
        <w:t>moksliniai tyrimai, galintys</w:t>
      </w:r>
      <w:r w:rsidR="00263108" w:rsidRPr="00263108">
        <w:rPr>
          <w:rFonts w:ascii="Times New Roman" w:hAnsi="Times New Roman" w:cs="Times New Roman"/>
          <w:sz w:val="24"/>
          <w:szCs w:val="24"/>
        </w:rPr>
        <w:t xml:space="preserve"> prisidėti prie sumanios specializacijos prioritetų įgyvendinimo</w:t>
      </w:r>
      <w:r w:rsidR="00263108">
        <w:t xml:space="preserve">, </w:t>
      </w:r>
      <w:r w:rsidR="00726C79">
        <w:rPr>
          <w:rFonts w:ascii="Times New Roman" w:hAnsi="Times New Roman" w:cs="Times New Roman"/>
          <w:sz w:val="24"/>
          <w:szCs w:val="24"/>
        </w:rPr>
        <w:t>kuriant</w:t>
      </w:r>
      <w:r w:rsidR="00726C79" w:rsidRPr="00263108">
        <w:rPr>
          <w:rFonts w:ascii="Times New Roman" w:hAnsi="Times New Roman" w:cs="Times New Roman"/>
          <w:sz w:val="24"/>
          <w:szCs w:val="24"/>
        </w:rPr>
        <w:t xml:space="preserve"> originalias, praktiškai pritaikomas žinias</w:t>
      </w:r>
      <w:r w:rsidR="00726C79">
        <w:rPr>
          <w:rFonts w:ascii="Times New Roman" w:hAnsi="Times New Roman" w:cs="Times New Roman"/>
          <w:sz w:val="24"/>
          <w:szCs w:val="24"/>
        </w:rPr>
        <w:t>, nukreiptas</w:t>
      </w:r>
      <w:r w:rsidR="00726C79" w:rsidRPr="00726C79">
        <w:rPr>
          <w:rFonts w:ascii="Times New Roman" w:hAnsi="Times New Roman" w:cs="Times New Roman"/>
          <w:sz w:val="24"/>
          <w:szCs w:val="24"/>
        </w:rPr>
        <w:t xml:space="preserve"> link konkrečių visuomen</w:t>
      </w:r>
      <w:r w:rsidR="00726C79">
        <w:rPr>
          <w:rFonts w:ascii="Times New Roman" w:hAnsi="Times New Roman" w:cs="Times New Roman"/>
          <w:sz w:val="24"/>
          <w:szCs w:val="24"/>
        </w:rPr>
        <w:t>ės</w:t>
      </w:r>
      <w:r w:rsidR="00C937BF">
        <w:rPr>
          <w:rFonts w:ascii="Times New Roman" w:hAnsi="Times New Roman" w:cs="Times New Roman"/>
          <w:sz w:val="24"/>
          <w:szCs w:val="24"/>
        </w:rPr>
        <w:t xml:space="preserve"> iššūkių sprendimo, bei</w:t>
      </w:r>
      <w:r w:rsidR="00726C79" w:rsidRPr="00726C79">
        <w:rPr>
          <w:rFonts w:ascii="Times New Roman" w:hAnsi="Times New Roman" w:cs="Times New Roman"/>
          <w:sz w:val="24"/>
          <w:szCs w:val="24"/>
        </w:rPr>
        <w:t xml:space="preserve"> ūkio sektoriams aktualias MTEP veiklų tematikas atitinkančius rezultatus, kurie vėliau galėtų būti komercinami</w:t>
      </w:r>
      <w:r w:rsidR="00C937BF">
        <w:rPr>
          <w:rFonts w:ascii="Times New Roman" w:hAnsi="Times New Roman" w:cs="Times New Roman"/>
          <w:sz w:val="24"/>
          <w:szCs w:val="24"/>
        </w:rPr>
        <w:t>.</w:t>
      </w:r>
    </w:p>
    <w:p w14:paraId="3A4A9E30" w14:textId="77777777" w:rsidR="00A9243F" w:rsidRPr="00A51856" w:rsidRDefault="00A9243F" w:rsidP="00764CC4">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lastRenderedPageBreak/>
        <w:t>5. Priemonės įgyve</w:t>
      </w:r>
      <w:r w:rsidR="0036086D" w:rsidRPr="00A51856">
        <w:rPr>
          <w:rFonts w:ascii="Times New Roman" w:hAnsi="Times New Roman" w:cs="Times New Roman"/>
          <w:sz w:val="24"/>
          <w:szCs w:val="24"/>
        </w:rPr>
        <w:t xml:space="preserve">ndinimą administruoja </w:t>
      </w:r>
      <w:r w:rsidRPr="00A51856">
        <w:rPr>
          <w:rFonts w:ascii="Times New Roman" w:hAnsi="Times New Roman" w:cs="Times New Roman"/>
          <w:sz w:val="24"/>
          <w:szCs w:val="24"/>
        </w:rPr>
        <w:t>Lietuvos Respublikos švietimo ir mokslo ministerija (toliau – Ministerija) ir Lietuvos mokslo taryba (toliau – įgyvendinančioji institucija).</w:t>
      </w:r>
    </w:p>
    <w:p w14:paraId="5BA361FD" w14:textId="77777777" w:rsidR="00A9243F" w:rsidRPr="00A51856" w:rsidRDefault="00A9243F" w:rsidP="00A9243F">
      <w:pPr>
        <w:pStyle w:val="Betarp"/>
        <w:ind w:firstLine="851"/>
        <w:jc w:val="both"/>
        <w:rPr>
          <w:rFonts w:ascii="Times New Roman" w:hAnsi="Times New Roman" w:cs="Times New Roman"/>
          <w:i/>
          <w:sz w:val="24"/>
          <w:szCs w:val="24"/>
        </w:rPr>
      </w:pPr>
      <w:r w:rsidRPr="00A51856">
        <w:rPr>
          <w:rFonts w:ascii="Times New Roman" w:hAnsi="Times New Roman" w:cs="Times New Roman"/>
          <w:sz w:val="24"/>
          <w:szCs w:val="24"/>
        </w:rPr>
        <w:t>6. Pagal Priemonę teikiamo finansavimo forma – negrąžinamoji subsidija.</w:t>
      </w:r>
    </w:p>
    <w:p w14:paraId="25F31CD9" w14:textId="77777777" w:rsidR="00A9243F" w:rsidRPr="00A51856" w:rsidRDefault="00A9243F" w:rsidP="00A9243F">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 xml:space="preserve">7. </w:t>
      </w:r>
      <w:r w:rsidR="00665560" w:rsidRPr="00A51856">
        <w:rPr>
          <w:rFonts w:ascii="Times New Roman" w:hAnsi="Times New Roman" w:cs="Times New Roman"/>
          <w:sz w:val="24"/>
          <w:szCs w:val="24"/>
        </w:rPr>
        <w:t>Projektų atranka pagal Priemonės veiklą bus atliekama projektų konkurso vienu etapu būdu.</w:t>
      </w:r>
    </w:p>
    <w:p w14:paraId="7AA686EC" w14:textId="6ADCD2EF" w:rsidR="00A9243F" w:rsidRPr="00A51856" w:rsidRDefault="00A9243F" w:rsidP="00A9243F">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8. Pagal Aprašą projektams įgyvendinti numatoma skirti iki</w:t>
      </w:r>
      <w:r w:rsidR="0036086D" w:rsidRPr="00A51856">
        <w:rPr>
          <w:rFonts w:ascii="Times New Roman" w:hAnsi="Times New Roman" w:cs="Times New Roman"/>
          <w:sz w:val="24"/>
          <w:szCs w:val="24"/>
        </w:rPr>
        <w:t xml:space="preserve"> </w:t>
      </w:r>
      <w:r w:rsidR="00620EB4">
        <w:rPr>
          <w:rFonts w:ascii="Times New Roman" w:hAnsi="Times New Roman" w:cs="Times New Roman"/>
          <w:sz w:val="24"/>
          <w:szCs w:val="24"/>
        </w:rPr>
        <w:t>64 879 522</w:t>
      </w:r>
      <w:r w:rsidRPr="00A51856">
        <w:rPr>
          <w:rFonts w:ascii="Times New Roman" w:hAnsi="Times New Roman" w:cs="Times New Roman"/>
          <w:sz w:val="24"/>
          <w:szCs w:val="24"/>
        </w:rPr>
        <w:t xml:space="preserve"> eurų (</w:t>
      </w:r>
      <w:r w:rsidR="00620EB4">
        <w:rPr>
          <w:rFonts w:ascii="Times New Roman" w:hAnsi="Times New Roman" w:cs="Times New Roman"/>
          <w:sz w:val="24"/>
          <w:szCs w:val="24"/>
        </w:rPr>
        <w:t>šešiasdešimt keturių milijonų aštuonių šimtų septyniasdešimt devynių tūkstančių penkių šimtų dvidešimt dviejų eurų</w:t>
      </w:r>
      <w:r w:rsidRPr="00A51856">
        <w:rPr>
          <w:rFonts w:ascii="Times New Roman" w:hAnsi="Times New Roman" w:cs="Times New Roman"/>
          <w:sz w:val="24"/>
          <w:szCs w:val="24"/>
        </w:rPr>
        <w:t xml:space="preserve">), Europos Sąjungos (toliau – ES) struktūrinių fondų (Europos </w:t>
      </w:r>
      <w:r w:rsidR="009A1A8C" w:rsidRPr="00A51856">
        <w:rPr>
          <w:rFonts w:ascii="Times New Roman" w:hAnsi="Times New Roman" w:cs="Times New Roman"/>
          <w:sz w:val="24"/>
          <w:szCs w:val="24"/>
        </w:rPr>
        <w:t xml:space="preserve">regioninės plėtros </w:t>
      </w:r>
      <w:r w:rsidRPr="00A51856">
        <w:rPr>
          <w:rFonts w:ascii="Times New Roman" w:hAnsi="Times New Roman" w:cs="Times New Roman"/>
          <w:sz w:val="24"/>
          <w:szCs w:val="24"/>
        </w:rPr>
        <w:t xml:space="preserve">fondo lėšų). </w:t>
      </w:r>
    </w:p>
    <w:p w14:paraId="6193009F" w14:textId="19B78FF8" w:rsidR="00A9243F" w:rsidRPr="00A51856" w:rsidRDefault="00A9243F" w:rsidP="00A9243F">
      <w:pPr>
        <w:tabs>
          <w:tab w:val="left" w:pos="2340"/>
        </w:tabs>
      </w:pPr>
      <w:r w:rsidRPr="00A51856">
        <w:rPr>
          <w:color w:val="000000"/>
        </w:rPr>
        <w:t xml:space="preserve">9. </w:t>
      </w:r>
      <w:r w:rsidRPr="00A51856">
        <w:t xml:space="preserve">Pagal Aprašą numatoma skelbti 2 kvietimus teikti paraiškas: pagal pirmąjį kvietimą teikti paraiškas numatoma skirti iki </w:t>
      </w:r>
      <w:r w:rsidR="006D008E">
        <w:t>43 253 015 eurų</w:t>
      </w:r>
      <w:r w:rsidR="00DA4F33" w:rsidRPr="00A51856">
        <w:t xml:space="preserve"> (</w:t>
      </w:r>
      <w:r w:rsidR="006D008E">
        <w:t>keturiasdešimt trijų milijonų dviejų šimtų penkiasdešimt trijų tūkstančių penkiolikos eurų</w:t>
      </w:r>
      <w:r w:rsidR="00DA4F33" w:rsidRPr="00A51856">
        <w:t>)</w:t>
      </w:r>
      <w:r w:rsidRPr="00A51856">
        <w:t xml:space="preserve">, pagal antrąjį kvietimą teikti paraiškas numatoma skirti iki </w:t>
      </w:r>
      <w:r w:rsidR="00E3550E">
        <w:t>21 626 507</w:t>
      </w:r>
      <w:r w:rsidR="00DA4F33" w:rsidRPr="00A51856">
        <w:t xml:space="preserve"> </w:t>
      </w:r>
      <w:r w:rsidR="00E3550E">
        <w:t xml:space="preserve">eurų </w:t>
      </w:r>
      <w:r w:rsidR="00DA4F33" w:rsidRPr="00A51856">
        <w:t>(</w:t>
      </w:r>
      <w:r w:rsidR="00E3550E">
        <w:t>dvidešimt vieno milijono šešių šimtų dvidešimt šešių tūkstančių penkių šimtų septynių eurų</w:t>
      </w:r>
      <w:r w:rsidR="00DA4F33" w:rsidRPr="00A51856">
        <w:t>)</w:t>
      </w:r>
      <w:r w:rsidR="006A26D1" w:rsidRPr="00A51856">
        <w:t xml:space="preserve"> </w:t>
      </w:r>
      <w:r w:rsidRPr="00A51856">
        <w:t xml:space="preserve">ES struktūrinių fondų lėšų. </w:t>
      </w:r>
      <w:r w:rsidRPr="00A51856">
        <w:rPr>
          <w:rFonts w:eastAsia="Times New Roman"/>
          <w:color w:val="000000"/>
        </w:rPr>
        <w:t>Priimdama sprendimą dėl projektų finansavimo, įgyvendinančioji institucija turi teisę šiame punkte nurodytas sumas padidinti, neviršydama Priemonių įgyvendinimo plane nurodytos Priemonei skirtos lėšų sumos ir nepažeisdama teisėtų pareiškėjų lūkesčių. Jeigu paskelbto pirmojo kvietimo metu pagal priimtus sprendimus dėl projektų finansavimo ir pateiktas paraiškas paskirstyta ir prašoma skirti suma yra mažesnė negu kvietimui skirta lėšų suma, nepanaudota lėšų suma perkeliama antrajam kvietimui.</w:t>
      </w:r>
    </w:p>
    <w:p w14:paraId="5F8BBB63" w14:textId="0A6EA366" w:rsidR="00C60354" w:rsidRPr="00A51856" w:rsidRDefault="00A9243F" w:rsidP="00A9243F">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 xml:space="preserve">10. Priemonės tikslas – </w:t>
      </w:r>
      <w:r w:rsidR="003D5BDA">
        <w:rPr>
          <w:rFonts w:ascii="Times New Roman" w:hAnsi="Times New Roman" w:cs="Times New Roman"/>
          <w:sz w:val="24"/>
          <w:szCs w:val="24"/>
        </w:rPr>
        <w:t>užtikrinti aukščiausio lygio bei visuomenei ir valstybei strategiškai svarbių problemų sprendimui ir ūkio plėtrai aktualių MTEP veiklų finansavimą</w:t>
      </w:r>
      <w:r w:rsidR="00C60354" w:rsidRPr="00A51856">
        <w:rPr>
          <w:rFonts w:ascii="Times New Roman" w:hAnsi="Times New Roman" w:cs="Times New Roman"/>
          <w:sz w:val="24"/>
          <w:szCs w:val="24"/>
        </w:rPr>
        <w:t>.</w:t>
      </w:r>
    </w:p>
    <w:p w14:paraId="0EA0A6D3" w14:textId="77777777" w:rsidR="00A9243F" w:rsidRPr="00A51856" w:rsidRDefault="00A9243F" w:rsidP="00A9243F">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11.</w:t>
      </w:r>
      <w:r w:rsidR="000F643D" w:rsidRPr="00A51856">
        <w:rPr>
          <w:rFonts w:ascii="Times New Roman" w:hAnsi="Times New Roman" w:cs="Times New Roman"/>
          <w:sz w:val="24"/>
          <w:szCs w:val="24"/>
        </w:rPr>
        <w:t xml:space="preserve"> Pagal Aprašą remiama veikla – </w:t>
      </w:r>
      <w:r w:rsidR="00C60354" w:rsidRPr="00A51856">
        <w:rPr>
          <w:rFonts w:ascii="Times New Roman" w:hAnsi="Times New Roman" w:cs="Times New Roman"/>
          <w:sz w:val="24"/>
          <w:szCs w:val="24"/>
        </w:rPr>
        <w:t>a</w:t>
      </w:r>
      <w:r w:rsidR="000F643D" w:rsidRPr="00A51856">
        <w:rPr>
          <w:rFonts w:ascii="Times New Roman" w:hAnsi="Times New Roman" w:cs="Times New Roman"/>
          <w:sz w:val="24"/>
          <w:szCs w:val="24"/>
        </w:rPr>
        <w:t>ukšto lygio tyrėjų grupių vykdomi moksliniai tyrimai</w:t>
      </w:r>
      <w:r w:rsidRPr="00A51856">
        <w:rPr>
          <w:rFonts w:ascii="Times New Roman" w:hAnsi="Times New Roman" w:cs="Times New Roman"/>
          <w:sz w:val="24"/>
          <w:szCs w:val="24"/>
        </w:rPr>
        <w:t xml:space="preserve">. </w:t>
      </w:r>
    </w:p>
    <w:p w14:paraId="442CA8AC" w14:textId="6276BF24" w:rsidR="00A9243F" w:rsidRPr="00A51856" w:rsidRDefault="00A9243F" w:rsidP="00A9243F">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12. Aprašo 11 punkte nurodytos veiklos tikslas –</w:t>
      </w:r>
      <w:r w:rsidR="00BA173C" w:rsidRPr="00BA173C">
        <w:t xml:space="preserve"> </w:t>
      </w:r>
      <w:r w:rsidR="00BA173C">
        <w:rPr>
          <w:rFonts w:ascii="Times New Roman" w:hAnsi="Times New Roman" w:cs="Times New Roman"/>
          <w:sz w:val="24"/>
          <w:szCs w:val="24"/>
        </w:rPr>
        <w:t>p</w:t>
      </w:r>
      <w:r w:rsidR="00BA173C" w:rsidRPr="00BA173C">
        <w:rPr>
          <w:rFonts w:ascii="Times New Roman" w:hAnsi="Times New Roman" w:cs="Times New Roman"/>
          <w:sz w:val="24"/>
          <w:szCs w:val="24"/>
        </w:rPr>
        <w:t xml:space="preserve">lėtoti </w:t>
      </w:r>
      <w:r w:rsidR="00BA173C" w:rsidRPr="003D5BDA">
        <w:rPr>
          <w:rFonts w:ascii="Times New Roman" w:hAnsi="Times New Roman" w:cs="Times New Roman"/>
          <w:sz w:val="24"/>
          <w:szCs w:val="24"/>
        </w:rPr>
        <w:t>fundamentines</w:t>
      </w:r>
      <w:r w:rsidR="00BA173C" w:rsidRPr="00BA173C">
        <w:rPr>
          <w:rFonts w:ascii="Times New Roman" w:hAnsi="Times New Roman" w:cs="Times New Roman"/>
          <w:sz w:val="24"/>
          <w:szCs w:val="24"/>
        </w:rPr>
        <w:t xml:space="preserve"> ir taikomąsias žinias, prisidedančias įgyvendinant MTEPI prioritetus</w:t>
      </w:r>
      <w:r w:rsidR="00BA173C">
        <w:rPr>
          <w:rFonts w:ascii="Times New Roman" w:hAnsi="Times New Roman" w:cs="Times New Roman"/>
          <w:sz w:val="24"/>
          <w:szCs w:val="24"/>
        </w:rPr>
        <w:t>, ir s</w:t>
      </w:r>
      <w:r w:rsidR="00BA173C" w:rsidRPr="00BA173C">
        <w:rPr>
          <w:rFonts w:ascii="Times New Roman" w:hAnsi="Times New Roman" w:cs="Times New Roman"/>
          <w:sz w:val="24"/>
          <w:szCs w:val="24"/>
        </w:rPr>
        <w:t>katinti mokslo ir studijų institucijas vykdyti MTEP veiklas, turinčias komercinį potencialą</w:t>
      </w:r>
      <w:r w:rsidRPr="00A51856">
        <w:rPr>
          <w:rFonts w:ascii="Times New Roman" w:hAnsi="Times New Roman" w:cs="Times New Roman"/>
          <w:sz w:val="24"/>
          <w:szCs w:val="24"/>
        </w:rPr>
        <w:t xml:space="preserve">. </w:t>
      </w:r>
    </w:p>
    <w:p w14:paraId="004F94EC" w14:textId="77777777" w:rsidR="00A9243F" w:rsidRPr="00A51856" w:rsidRDefault="00A9243F" w:rsidP="00A9243F">
      <w:pPr>
        <w:pStyle w:val="Betarp"/>
        <w:ind w:firstLine="851"/>
        <w:jc w:val="both"/>
        <w:rPr>
          <w:rStyle w:val="Hipersaitas"/>
          <w:rFonts w:ascii="Times New Roman" w:hAnsi="Times New Roman" w:cs="Times New Roman"/>
          <w:sz w:val="24"/>
          <w:szCs w:val="24"/>
        </w:rPr>
      </w:pPr>
      <w:r w:rsidRPr="00A51856">
        <w:rPr>
          <w:rFonts w:ascii="Times New Roman" w:hAnsi="Times New Roman" w:cs="Times New Roman"/>
          <w:sz w:val="24"/>
          <w:szCs w:val="24"/>
        </w:rPr>
        <w:t>13. Pagal Apraše nurodytą remiamą veiklą pirmąjį kvietimą teikti paraiškas numatoma pa</w:t>
      </w:r>
      <w:r w:rsidR="00C60354" w:rsidRPr="00A51856">
        <w:rPr>
          <w:rFonts w:ascii="Times New Roman" w:eastAsia="Times New Roman" w:hAnsi="Times New Roman" w:cs="Times New Roman"/>
          <w:color w:val="000000"/>
          <w:sz w:val="24"/>
          <w:szCs w:val="24"/>
        </w:rPr>
        <w:t>skelbti 201</w:t>
      </w:r>
      <w:r w:rsidR="000F5984" w:rsidRPr="00A51856">
        <w:rPr>
          <w:rFonts w:ascii="Times New Roman" w:eastAsia="Times New Roman" w:hAnsi="Times New Roman" w:cs="Times New Roman"/>
          <w:color w:val="000000"/>
          <w:sz w:val="24"/>
          <w:szCs w:val="24"/>
        </w:rPr>
        <w:t>6</w:t>
      </w:r>
      <w:r w:rsidRPr="00A51856">
        <w:rPr>
          <w:rFonts w:ascii="Times New Roman" w:eastAsia="Times New Roman" w:hAnsi="Times New Roman" w:cs="Times New Roman"/>
          <w:color w:val="000000"/>
          <w:sz w:val="24"/>
          <w:szCs w:val="24"/>
        </w:rPr>
        <w:t xml:space="preserve"> metų </w:t>
      </w:r>
      <w:r w:rsidR="00B971C6" w:rsidRPr="00A51856">
        <w:rPr>
          <w:rFonts w:ascii="Times New Roman" w:eastAsia="Times New Roman" w:hAnsi="Times New Roman" w:cs="Times New Roman"/>
          <w:color w:val="000000"/>
          <w:sz w:val="24"/>
          <w:szCs w:val="24"/>
        </w:rPr>
        <w:t>I</w:t>
      </w:r>
      <w:r w:rsidR="000F5984" w:rsidRPr="00A51856">
        <w:rPr>
          <w:rFonts w:ascii="Times New Roman" w:eastAsia="Times New Roman" w:hAnsi="Times New Roman" w:cs="Times New Roman"/>
          <w:color w:val="000000"/>
          <w:sz w:val="24"/>
          <w:szCs w:val="24"/>
        </w:rPr>
        <w:t>V</w:t>
      </w:r>
      <w:r w:rsidRPr="00A51856">
        <w:rPr>
          <w:rFonts w:ascii="Times New Roman" w:eastAsia="Times New Roman" w:hAnsi="Times New Roman" w:cs="Times New Roman"/>
          <w:color w:val="000000"/>
          <w:sz w:val="24"/>
          <w:szCs w:val="24"/>
        </w:rPr>
        <w:t xml:space="preserve"> ketvirtį, antrąjį kvietimą teikti paraiškas numatoma paskelbti 2018 metų I</w:t>
      </w:r>
      <w:r w:rsidR="000F5984" w:rsidRPr="00A51856">
        <w:rPr>
          <w:rFonts w:ascii="Times New Roman" w:eastAsia="Times New Roman" w:hAnsi="Times New Roman" w:cs="Times New Roman"/>
          <w:color w:val="000000"/>
          <w:sz w:val="24"/>
          <w:szCs w:val="24"/>
        </w:rPr>
        <w:t>V</w:t>
      </w:r>
      <w:r w:rsidRPr="00A51856">
        <w:rPr>
          <w:rFonts w:ascii="Times New Roman" w:eastAsia="Times New Roman" w:hAnsi="Times New Roman" w:cs="Times New Roman"/>
          <w:color w:val="000000"/>
          <w:sz w:val="24"/>
          <w:szCs w:val="24"/>
        </w:rPr>
        <w:t xml:space="preserve"> ketvirtį. </w:t>
      </w:r>
      <w:r w:rsidRPr="00A51856">
        <w:rPr>
          <w:rFonts w:ascii="Times New Roman" w:hAnsi="Times New Roman" w:cs="Times New Roman"/>
          <w:sz w:val="24"/>
          <w:szCs w:val="24"/>
        </w:rPr>
        <w:t xml:space="preserve">Informacija apie planuojamus skelbti kvietimus taip pat pateikiama </w:t>
      </w:r>
      <w:r w:rsidRPr="00A51856">
        <w:rPr>
          <w:rFonts w:ascii="Times New Roman" w:hAnsi="Times New Roman" w:cs="Times New Roman"/>
          <w:bCs/>
          <w:sz w:val="24"/>
          <w:szCs w:val="24"/>
        </w:rPr>
        <w:t>kvietimų teikti paraiškas skelbimo, projektų sąrašų ir finansavimo sutarčių plane, kuris skelbiamas</w:t>
      </w:r>
      <w:r w:rsidRPr="00A51856">
        <w:rPr>
          <w:rFonts w:ascii="Times New Roman" w:hAnsi="Times New Roman" w:cs="Times New Roman"/>
          <w:sz w:val="24"/>
          <w:szCs w:val="24"/>
        </w:rPr>
        <w:t xml:space="preserve"> ES struktūrinių fondų svetainėje </w:t>
      </w:r>
      <w:hyperlink r:id="rId9" w:history="1">
        <w:r w:rsidRPr="00A51856">
          <w:rPr>
            <w:rStyle w:val="Hipersaitas"/>
            <w:rFonts w:ascii="Times New Roman" w:hAnsi="Times New Roman" w:cs="Times New Roman"/>
            <w:sz w:val="24"/>
            <w:szCs w:val="24"/>
          </w:rPr>
          <w:t>www.esinvesticijos.lt</w:t>
        </w:r>
      </w:hyperlink>
      <w:r w:rsidRPr="00A51856">
        <w:rPr>
          <w:rStyle w:val="Hipersaitas"/>
          <w:rFonts w:ascii="Times New Roman" w:hAnsi="Times New Roman" w:cs="Times New Roman"/>
          <w:sz w:val="24"/>
          <w:szCs w:val="24"/>
          <w:u w:val="none"/>
        </w:rPr>
        <w:t xml:space="preserve"> </w:t>
      </w:r>
      <w:r w:rsidRPr="00A51856">
        <w:rPr>
          <w:rStyle w:val="Hipersaitas"/>
          <w:rFonts w:ascii="Times New Roman" w:hAnsi="Times New Roman" w:cs="Times New Roman"/>
          <w:color w:val="auto"/>
          <w:sz w:val="24"/>
          <w:szCs w:val="24"/>
          <w:u w:val="none"/>
        </w:rPr>
        <w:t xml:space="preserve">ir </w:t>
      </w:r>
      <w:r w:rsidRPr="00A51856">
        <w:rPr>
          <w:rFonts w:ascii="Times New Roman" w:eastAsia="Times New Roman" w:hAnsi="Times New Roman" w:cs="Times New Roman"/>
          <w:color w:val="000000"/>
          <w:sz w:val="24"/>
          <w:szCs w:val="24"/>
        </w:rPr>
        <w:t xml:space="preserve">įgyvendinančiosios institucijos tinklalapyje </w:t>
      </w:r>
      <w:hyperlink r:id="rId10" w:history="1">
        <w:r w:rsidRPr="00A51856">
          <w:rPr>
            <w:rStyle w:val="Hipersaitas"/>
            <w:rFonts w:ascii="Times New Roman" w:eastAsia="Times New Roman" w:hAnsi="Times New Roman" w:cs="Times New Roman"/>
            <w:sz w:val="24"/>
            <w:szCs w:val="24"/>
          </w:rPr>
          <w:t>www.lmt.lt</w:t>
        </w:r>
      </w:hyperlink>
      <w:r w:rsidRPr="00A51856">
        <w:rPr>
          <w:rStyle w:val="Hipersaitas"/>
          <w:rFonts w:ascii="Times New Roman" w:hAnsi="Times New Roman" w:cs="Times New Roman"/>
          <w:color w:val="auto"/>
          <w:sz w:val="24"/>
          <w:szCs w:val="24"/>
          <w:u w:val="none"/>
        </w:rPr>
        <w:t>.</w:t>
      </w:r>
    </w:p>
    <w:p w14:paraId="0754DB5E" w14:textId="77777777" w:rsidR="0081711E" w:rsidRPr="00A51856" w:rsidRDefault="0081711E" w:rsidP="00A9243F">
      <w:pPr>
        <w:pStyle w:val="Betarp"/>
        <w:rPr>
          <w:rFonts w:ascii="Times New Roman" w:hAnsi="Times New Roman" w:cs="Times New Roman"/>
          <w:sz w:val="24"/>
          <w:szCs w:val="24"/>
        </w:rPr>
      </w:pPr>
    </w:p>
    <w:p w14:paraId="5D704715" w14:textId="77777777" w:rsidR="00A9243F" w:rsidRPr="00A51856" w:rsidRDefault="00A9243F" w:rsidP="00A9243F">
      <w:pPr>
        <w:pStyle w:val="Antrat1"/>
      </w:pPr>
      <w:r w:rsidRPr="00A51856">
        <w:t>II SKYRIUS</w:t>
      </w:r>
    </w:p>
    <w:p w14:paraId="3763C613" w14:textId="77777777" w:rsidR="00A9243F" w:rsidRPr="00A51856" w:rsidRDefault="00A9243F" w:rsidP="00A9243F">
      <w:pPr>
        <w:pStyle w:val="Antrat1"/>
      </w:pPr>
      <w:r w:rsidRPr="00A51856">
        <w:t xml:space="preserve">REIKALAVIMAI PAREIŠKĖJAMS </w:t>
      </w:r>
      <w:r w:rsidR="007A7BC5" w:rsidRPr="00A51856">
        <w:t>IR PARTNERIAMS</w:t>
      </w:r>
    </w:p>
    <w:p w14:paraId="2651793D" w14:textId="77777777" w:rsidR="0081711E" w:rsidRPr="00A51856" w:rsidRDefault="0081711E" w:rsidP="00333FC3">
      <w:pPr>
        <w:ind w:firstLine="0"/>
      </w:pPr>
    </w:p>
    <w:p w14:paraId="1EA4DF4C" w14:textId="6D4F9990" w:rsidR="002E66E2" w:rsidRPr="00A51856" w:rsidRDefault="00A9243F" w:rsidP="00876FDD">
      <w:pPr>
        <w:rPr>
          <w:rFonts w:eastAsia="Times New Roman"/>
          <w:color w:val="000000"/>
        </w:rPr>
      </w:pPr>
      <w:r w:rsidRPr="00A51856">
        <w:t>14</w:t>
      </w:r>
      <w:r w:rsidR="00F00F40" w:rsidRPr="00A51856">
        <w:t>.</w:t>
      </w:r>
      <w:r w:rsidR="002D6E02" w:rsidRPr="00A51856">
        <w:t xml:space="preserve"> </w:t>
      </w:r>
      <w:r w:rsidRPr="00A51856">
        <w:t>Pagal Aprašą galimi pareiškėjai yra</w:t>
      </w:r>
      <w:r w:rsidR="00A93094">
        <w:t xml:space="preserve"> </w:t>
      </w:r>
      <w:r w:rsidR="00A93094" w:rsidRPr="00A93094">
        <w:t>viešieji juridiniai asmenys, veikiantys mokslo ir studijų srityje</w:t>
      </w:r>
      <w:r w:rsidR="00246F38">
        <w:t xml:space="preserve"> (</w:t>
      </w:r>
      <w:r w:rsidR="00246F38" w:rsidRPr="00A51856">
        <w:t xml:space="preserve">universitetai ir mokslinių tyrimų institutai, įtraukti į </w:t>
      </w:r>
      <w:r w:rsidR="00246F38" w:rsidRPr="00A51856">
        <w:rPr>
          <w:shd w:val="clear" w:color="auto" w:fill="FFFFFF"/>
        </w:rPr>
        <w:t xml:space="preserve">atvirą informavimo, konsultavimo ir orientavimo sistemą </w:t>
      </w:r>
      <w:hyperlink r:id="rId11" w:history="1">
        <w:r w:rsidR="00246F38" w:rsidRPr="001367F8">
          <w:rPr>
            <w:rStyle w:val="Hipersaitas"/>
            <w:shd w:val="clear" w:color="auto" w:fill="FFFFFF"/>
          </w:rPr>
          <w:t>www.aikos.smm.lt</w:t>
        </w:r>
      </w:hyperlink>
      <w:r w:rsidR="00246F38" w:rsidRPr="001367F8">
        <w:rPr>
          <w:rStyle w:val="Hipersaitas"/>
          <w:u w:val="none"/>
          <w:shd w:val="clear" w:color="auto" w:fill="FFFFFF"/>
        </w:rPr>
        <w:t xml:space="preserve"> </w:t>
      </w:r>
      <w:r w:rsidR="00246F38" w:rsidRPr="001367F8">
        <w:rPr>
          <w:shd w:val="clear" w:color="auto" w:fill="FFFFFF"/>
        </w:rPr>
        <w:t>(toliau – AIKOS)</w:t>
      </w:r>
      <w:r w:rsidR="00C46277" w:rsidRPr="001367F8">
        <w:rPr>
          <w:shd w:val="clear" w:color="auto" w:fill="FFFFFF"/>
        </w:rPr>
        <w:t>),</w:t>
      </w:r>
      <w:r w:rsidR="00246F38" w:rsidRPr="001367F8" w:rsidDel="00246F38">
        <w:t xml:space="preserve"> </w:t>
      </w:r>
      <w:r w:rsidR="00A93094" w:rsidRPr="001367F8">
        <w:t>galimi partneriai yra juridiniai asmenys, veikiantys mokslo ir (ar) studijų srityje</w:t>
      </w:r>
      <w:r w:rsidR="00246F38" w:rsidRPr="001367F8">
        <w:t xml:space="preserve"> </w:t>
      </w:r>
      <w:r w:rsidR="005865CE" w:rsidRPr="001367F8">
        <w:rPr>
          <w:rFonts w:eastAsia="Times New Roman"/>
        </w:rPr>
        <w:t>(</w:t>
      </w:r>
      <w:r w:rsidR="009E472A" w:rsidRPr="001367F8">
        <w:rPr>
          <w:rFonts w:eastAsia="Times New Roman"/>
        </w:rPr>
        <w:t xml:space="preserve">kurių pagrindinė veikla yra </w:t>
      </w:r>
      <w:r w:rsidR="00C46277" w:rsidRPr="001367F8">
        <w:rPr>
          <w:rFonts w:eastAsia="Times New Roman"/>
        </w:rPr>
        <w:t>mokslinių tyrimų, eksperimentinės veiklos ir inovacijų vykdymas</w:t>
      </w:r>
      <w:r w:rsidR="006612DB">
        <w:rPr>
          <w:rFonts w:eastAsia="Times New Roman"/>
        </w:rPr>
        <w:t xml:space="preserve"> ir kurie kartu su paraiška patekia anketą dėl per paskutinius 5 metus (arba per laikotarpį nuo partnerio (ių) įregistravimo dienos, jeigu partneris (-iai) veiklą vykdo trumpiau nei 5 metus) įgyvendintų MTEPI veiklų)</w:t>
      </w:r>
      <w:r w:rsidR="00C46277" w:rsidRPr="001367F8">
        <w:rPr>
          <w:rFonts w:eastAsia="Times New Roman"/>
        </w:rPr>
        <w:t>)</w:t>
      </w:r>
      <w:r w:rsidR="00382A2E" w:rsidRPr="001367F8">
        <w:rPr>
          <w:rFonts w:eastAsia="Times New Roman"/>
        </w:rPr>
        <w:t>.</w:t>
      </w:r>
      <w:r w:rsidR="00382A2E" w:rsidRPr="00A51856">
        <w:rPr>
          <w:rFonts w:eastAsia="Times New Roman"/>
        </w:rPr>
        <w:t xml:space="preserve"> </w:t>
      </w:r>
    </w:p>
    <w:p w14:paraId="2F678EA1" w14:textId="3352CC9D" w:rsidR="00B25683" w:rsidRPr="00A51856" w:rsidRDefault="00112E5B" w:rsidP="00112E5B">
      <w:r w:rsidRPr="00A51856">
        <w:rPr>
          <w:rFonts w:eastAsia="Times New Roman"/>
          <w:color w:val="000000"/>
        </w:rPr>
        <w:t>1</w:t>
      </w:r>
      <w:r w:rsidR="001367F8">
        <w:rPr>
          <w:rFonts w:eastAsia="Times New Roman"/>
          <w:color w:val="000000"/>
        </w:rPr>
        <w:t>5</w:t>
      </w:r>
      <w:r w:rsidR="005D5859" w:rsidRPr="00A51856">
        <w:rPr>
          <w:rFonts w:eastAsia="Times New Roman"/>
          <w:color w:val="000000"/>
        </w:rPr>
        <w:t>.</w:t>
      </w:r>
      <w:r w:rsidR="00382A2E" w:rsidRPr="00A51856">
        <w:rPr>
          <w:rFonts w:eastAsia="Times New Roman"/>
          <w:color w:val="000000"/>
        </w:rPr>
        <w:t xml:space="preserve"> </w:t>
      </w:r>
      <w:r w:rsidR="00B25683" w:rsidRPr="00A51856">
        <w:t xml:space="preserve">Kai paraiška teikiama kartu su partneriu (-iais), prie paraiškos turi būti pridedama galiojančios </w:t>
      </w:r>
      <w:r w:rsidR="003F4F39" w:rsidRPr="00A51856">
        <w:t xml:space="preserve">pareiškėjo ir visų partnerių pasirašytos  </w:t>
      </w:r>
      <w:r w:rsidRPr="00A51856">
        <w:t xml:space="preserve">bendradarbiavimo </w:t>
      </w:r>
      <w:r w:rsidR="003F4F39" w:rsidRPr="00A51856">
        <w:t xml:space="preserve">(partnerystės) </w:t>
      </w:r>
      <w:r w:rsidR="00B25683" w:rsidRPr="00A51856">
        <w:t>sut</w:t>
      </w:r>
      <w:r w:rsidRPr="00A51856">
        <w:t>arties kopija.</w:t>
      </w:r>
      <w:r w:rsidR="00B25683" w:rsidRPr="00A51856">
        <w:t xml:space="preserve"> </w:t>
      </w:r>
    </w:p>
    <w:p w14:paraId="32D79546" w14:textId="0A808066" w:rsidR="00B25683" w:rsidRPr="00A51856" w:rsidRDefault="00B25683" w:rsidP="00876FDD">
      <w:r w:rsidRPr="00A51856">
        <w:lastRenderedPageBreak/>
        <w:t>1</w:t>
      </w:r>
      <w:r w:rsidR="00333FC3">
        <w:t>6</w:t>
      </w:r>
      <w:r w:rsidR="00112E5B" w:rsidRPr="00A51856">
        <w:t xml:space="preserve">. Bendradarbiavimo </w:t>
      </w:r>
      <w:r w:rsidRPr="00A51856">
        <w:t>(partnerystės) sutartyje turi būti aiškiai išdėstyti šalių įsipareigojimai ir teisės</w:t>
      </w:r>
      <w:r w:rsidR="006D6D6B" w:rsidRPr="00A51856">
        <w:t xml:space="preserve"> vykdant projektą</w:t>
      </w:r>
      <w:r w:rsidRPr="00A51856">
        <w:t xml:space="preserve"> (nurodytas kiekvienos šalies finansinis ir dalykinis indėlis į projektą, kokias veiklas vykdys kiekviena šalis, teisės į bendrai sukurtą ar įgytą turtą</w:t>
      </w:r>
      <w:r w:rsidR="006D6D6B" w:rsidRPr="00A51856">
        <w:t xml:space="preserve"> ir</w:t>
      </w:r>
      <w:r w:rsidRPr="00A51856">
        <w:t xml:space="preserve"> projekto rezultat</w:t>
      </w:r>
      <w:r w:rsidR="006D6D6B" w:rsidRPr="00A51856">
        <w:t>us,</w:t>
      </w:r>
      <w:r w:rsidRPr="00A51856">
        <w:t xml:space="preserve"> ir kita) ir šalių atsakomybė, taip pat įsipareigojimai laikytis pagrindinių geros partnerystės praktikos taisyklių: </w:t>
      </w:r>
    </w:p>
    <w:p w14:paraId="13866FA8" w14:textId="7ECA88F7" w:rsidR="00B25683" w:rsidRPr="00A51856" w:rsidRDefault="00B25683" w:rsidP="00876FDD">
      <w:r w:rsidRPr="00A51856">
        <w:t>1</w:t>
      </w:r>
      <w:r w:rsidR="00333FC3">
        <w:t>6</w:t>
      </w:r>
      <w:r w:rsidRPr="00A51856">
        <w:t xml:space="preserve">.1. visi partneriai turi būti perskaitę paraišką ir susipažinę su savo teisėmis ir pareigomis įgyvendinant projektą; </w:t>
      </w:r>
    </w:p>
    <w:p w14:paraId="27762F9D" w14:textId="3AF5699C" w:rsidR="00B25683" w:rsidRPr="00A51856" w:rsidRDefault="00B25683" w:rsidP="00876FDD">
      <w:r w:rsidRPr="00A51856">
        <w:t>1</w:t>
      </w:r>
      <w:r w:rsidR="00333FC3">
        <w:t>6</w:t>
      </w:r>
      <w:r w:rsidRPr="00A51856">
        <w:t xml:space="preserve">.2. projekto įgyvendinimo metu projekto vykdytojas privalo reguliariai konsultuotis su partneriais ir nuolat juos informuoti apie projekto įgyvendinimo eigą; </w:t>
      </w:r>
    </w:p>
    <w:p w14:paraId="7D0EB1E7" w14:textId="73E16581" w:rsidR="001367F8" w:rsidRPr="00A51856" w:rsidRDefault="00B25683" w:rsidP="00876FDD">
      <w:r w:rsidRPr="00A51856">
        <w:t>1</w:t>
      </w:r>
      <w:r w:rsidR="00333FC3">
        <w:t>6</w:t>
      </w:r>
      <w:r w:rsidRPr="00A51856">
        <w:t>.3. visi projekto pakeitimai, turintys įtakos partnerių įsipareigojimams ir teisėms, prieš kreipiantis į įgyvendinančiąją instituciją pirmiausia turi būti suderinti su partneriais.</w:t>
      </w:r>
    </w:p>
    <w:p w14:paraId="545F82AB" w14:textId="110A4120" w:rsidR="00A9243F" w:rsidRPr="00A51856" w:rsidRDefault="00742C0C" w:rsidP="00A9243F">
      <w:pPr>
        <w:pStyle w:val="Betarp"/>
        <w:ind w:firstLine="851"/>
        <w:jc w:val="both"/>
        <w:rPr>
          <w:rFonts w:ascii="Times New Roman" w:eastAsia="Times New Roman" w:hAnsi="Times New Roman" w:cs="Times New Roman"/>
          <w:color w:val="000000"/>
          <w:sz w:val="24"/>
          <w:szCs w:val="24"/>
        </w:rPr>
      </w:pPr>
      <w:r w:rsidRPr="00A51856">
        <w:rPr>
          <w:rFonts w:ascii="Times New Roman" w:eastAsia="Times New Roman" w:hAnsi="Times New Roman" w:cs="Times New Roman"/>
          <w:color w:val="000000"/>
          <w:sz w:val="24"/>
          <w:szCs w:val="24"/>
        </w:rPr>
        <w:t>1</w:t>
      </w:r>
      <w:r w:rsidR="00333FC3">
        <w:rPr>
          <w:rFonts w:ascii="Times New Roman" w:eastAsia="Times New Roman" w:hAnsi="Times New Roman" w:cs="Times New Roman"/>
          <w:color w:val="000000"/>
          <w:sz w:val="24"/>
          <w:szCs w:val="24"/>
        </w:rPr>
        <w:t>7</w:t>
      </w:r>
      <w:r w:rsidR="00A9243F" w:rsidRPr="00A51856">
        <w:rPr>
          <w:rFonts w:ascii="Times New Roman" w:eastAsia="Times New Roman" w:hAnsi="Times New Roman" w:cs="Times New Roman"/>
          <w:color w:val="000000"/>
          <w:sz w:val="24"/>
          <w:szCs w:val="24"/>
        </w:rPr>
        <w:t xml:space="preserve">. </w:t>
      </w:r>
      <w:r w:rsidR="00A9243F" w:rsidRPr="00A51856">
        <w:rPr>
          <w:rFonts w:ascii="Times New Roman" w:hAnsi="Times New Roman" w:cs="Times New Roman"/>
          <w:sz w:val="24"/>
          <w:szCs w:val="24"/>
        </w:rPr>
        <w:t xml:space="preserve">Pareiškėjas  </w:t>
      </w:r>
      <w:r w:rsidR="00A9243F" w:rsidRPr="00A51856">
        <w:rPr>
          <w:rFonts w:ascii="Times New Roman" w:eastAsia="Times New Roman" w:hAnsi="Times New Roman" w:cs="Times New Roman"/>
          <w:color w:val="000000"/>
          <w:sz w:val="24"/>
          <w:szCs w:val="24"/>
        </w:rPr>
        <w:t>turi atitikti šiuos reikalavimus:</w:t>
      </w:r>
    </w:p>
    <w:p w14:paraId="6F24CA83" w14:textId="21C319BF" w:rsidR="00A9243F" w:rsidRPr="00A51856" w:rsidRDefault="00742C0C" w:rsidP="00A9243F">
      <w:pPr>
        <w:pStyle w:val="Betarp"/>
        <w:ind w:firstLine="851"/>
        <w:jc w:val="both"/>
        <w:rPr>
          <w:rFonts w:ascii="Times New Roman" w:eastAsia="Times New Roman" w:hAnsi="Times New Roman" w:cs="Times New Roman"/>
          <w:color w:val="000000"/>
          <w:sz w:val="24"/>
          <w:szCs w:val="24"/>
        </w:rPr>
      </w:pPr>
      <w:r w:rsidRPr="00A51856">
        <w:rPr>
          <w:rFonts w:ascii="Times New Roman" w:eastAsia="Times New Roman" w:hAnsi="Times New Roman" w:cs="Times New Roman"/>
          <w:color w:val="000000"/>
          <w:sz w:val="24"/>
          <w:szCs w:val="24"/>
        </w:rPr>
        <w:t>1</w:t>
      </w:r>
      <w:r w:rsidR="00333FC3">
        <w:rPr>
          <w:rFonts w:ascii="Times New Roman" w:eastAsia="Times New Roman" w:hAnsi="Times New Roman" w:cs="Times New Roman"/>
          <w:color w:val="000000"/>
          <w:sz w:val="24"/>
          <w:szCs w:val="24"/>
        </w:rPr>
        <w:t>7</w:t>
      </w:r>
      <w:r w:rsidR="00A9243F" w:rsidRPr="00A51856">
        <w:rPr>
          <w:rFonts w:ascii="Times New Roman" w:eastAsia="Times New Roman" w:hAnsi="Times New Roman" w:cs="Times New Roman"/>
          <w:color w:val="000000"/>
          <w:sz w:val="24"/>
          <w:szCs w:val="24"/>
        </w:rPr>
        <w:t>.1. turėti pajėgumų ir infrastruktūrą moksliniams tyrimams vykdyti;</w:t>
      </w:r>
    </w:p>
    <w:p w14:paraId="7179EF1C" w14:textId="54BF69F6" w:rsidR="00A9243F" w:rsidRPr="00A51856" w:rsidRDefault="00742C0C" w:rsidP="00A9243F">
      <w:pPr>
        <w:pStyle w:val="Betarp"/>
        <w:ind w:firstLine="851"/>
        <w:jc w:val="both"/>
        <w:rPr>
          <w:rFonts w:ascii="Times New Roman" w:eastAsia="Times New Roman" w:hAnsi="Times New Roman" w:cs="Times New Roman"/>
          <w:color w:val="000000"/>
          <w:sz w:val="24"/>
          <w:szCs w:val="24"/>
        </w:rPr>
      </w:pPr>
      <w:r w:rsidRPr="00A51856">
        <w:rPr>
          <w:rFonts w:ascii="Times New Roman" w:eastAsia="Times New Roman" w:hAnsi="Times New Roman" w:cs="Times New Roman"/>
          <w:color w:val="000000"/>
          <w:sz w:val="24"/>
          <w:szCs w:val="24"/>
        </w:rPr>
        <w:t>1</w:t>
      </w:r>
      <w:r w:rsidR="00333FC3">
        <w:rPr>
          <w:rFonts w:ascii="Times New Roman" w:eastAsia="Times New Roman" w:hAnsi="Times New Roman" w:cs="Times New Roman"/>
          <w:color w:val="000000"/>
          <w:sz w:val="24"/>
          <w:szCs w:val="24"/>
        </w:rPr>
        <w:t>7</w:t>
      </w:r>
      <w:r w:rsidR="00A9243F" w:rsidRPr="00A51856">
        <w:rPr>
          <w:rFonts w:ascii="Times New Roman" w:eastAsia="Times New Roman" w:hAnsi="Times New Roman" w:cs="Times New Roman"/>
          <w:color w:val="000000"/>
          <w:sz w:val="24"/>
          <w:szCs w:val="24"/>
        </w:rPr>
        <w:t>.2. turėti žmogiškųjų išteklių projektui administruoti.</w:t>
      </w:r>
    </w:p>
    <w:p w14:paraId="6DD6F82F" w14:textId="7BC2DDF1" w:rsidR="00A9243F" w:rsidRPr="00A51856" w:rsidRDefault="00333FC3" w:rsidP="00A9243F">
      <w:pPr>
        <w:pStyle w:val="Betarp"/>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A9243F" w:rsidRPr="00A51856">
        <w:rPr>
          <w:rFonts w:ascii="Times New Roman" w:eastAsia="Times New Roman" w:hAnsi="Times New Roman" w:cs="Times New Roman"/>
          <w:color w:val="000000"/>
          <w:sz w:val="24"/>
          <w:szCs w:val="24"/>
        </w:rPr>
        <w:t xml:space="preserve">. </w:t>
      </w:r>
      <w:r w:rsidR="00A9243F" w:rsidRPr="00A51856">
        <w:rPr>
          <w:rFonts w:ascii="Times New Roman" w:hAnsi="Times New Roman" w:cs="Times New Roman"/>
          <w:sz w:val="24"/>
          <w:szCs w:val="24"/>
        </w:rPr>
        <w:t xml:space="preserve">Projekto vykdytojas </w:t>
      </w:r>
      <w:r w:rsidR="00A9243F" w:rsidRPr="00A51856">
        <w:rPr>
          <w:rFonts w:ascii="Times New Roman" w:eastAsia="Times New Roman" w:hAnsi="Times New Roman" w:cs="Times New Roman"/>
          <w:color w:val="000000"/>
          <w:sz w:val="24"/>
          <w:szCs w:val="24"/>
        </w:rPr>
        <w:t>vienu metu gali vykdyti daugiau nei vieną projektą, jei užtikrina, kad projektams kokybiškai įgyvendinti turi pakankamai pajėgumų ir infrastruktūrą bei administracinius ir finansinius išteklius.</w:t>
      </w:r>
    </w:p>
    <w:p w14:paraId="64D9B870" w14:textId="792BF2D1" w:rsidR="00A9243F" w:rsidRPr="00A51856" w:rsidRDefault="00333FC3" w:rsidP="00A9243F">
      <w:pPr>
        <w:pStyle w:val="Betarp"/>
        <w:ind w:firstLine="851"/>
        <w:jc w:val="both"/>
        <w:rPr>
          <w:rFonts w:ascii="Times New Roman" w:hAnsi="Times New Roman" w:cs="Times New Roman"/>
          <w:sz w:val="24"/>
          <w:szCs w:val="24"/>
        </w:rPr>
      </w:pPr>
      <w:r>
        <w:rPr>
          <w:rFonts w:ascii="Times New Roman" w:hAnsi="Times New Roman" w:cs="Times New Roman"/>
          <w:sz w:val="24"/>
          <w:szCs w:val="24"/>
          <w:shd w:val="clear" w:color="auto" w:fill="FFFFFF"/>
        </w:rPr>
        <w:t>19</w:t>
      </w:r>
      <w:r w:rsidR="001367F8">
        <w:rPr>
          <w:rFonts w:ascii="Times New Roman" w:hAnsi="Times New Roman" w:cs="Times New Roman"/>
          <w:sz w:val="24"/>
          <w:szCs w:val="24"/>
          <w:shd w:val="clear" w:color="auto" w:fill="FFFFFF"/>
        </w:rPr>
        <w:t>.</w:t>
      </w:r>
      <w:r w:rsidR="00A9243F" w:rsidRPr="00A51856">
        <w:rPr>
          <w:rFonts w:ascii="Times New Roman" w:hAnsi="Times New Roman" w:cs="Times New Roman"/>
          <w:sz w:val="24"/>
          <w:szCs w:val="24"/>
          <w:shd w:val="clear" w:color="auto" w:fill="FFFFFF"/>
        </w:rPr>
        <w:t xml:space="preserve"> </w:t>
      </w:r>
      <w:r w:rsidR="00A9243F" w:rsidRPr="00A51856">
        <w:rPr>
          <w:rFonts w:ascii="Times New Roman" w:hAnsi="Times New Roman" w:cs="Times New Roman"/>
          <w:sz w:val="24"/>
          <w:szCs w:val="24"/>
        </w:rPr>
        <w:t>Socialinių mokslų srities</w:t>
      </w:r>
      <w:r w:rsidR="00A207F0" w:rsidRPr="00A51856">
        <w:rPr>
          <w:rFonts w:ascii="Times New Roman" w:hAnsi="Times New Roman" w:cs="Times New Roman"/>
          <w:sz w:val="24"/>
          <w:szCs w:val="24"/>
        </w:rPr>
        <w:t xml:space="preserve"> </w:t>
      </w:r>
      <w:r w:rsidR="00A9243F" w:rsidRPr="00A51856">
        <w:rPr>
          <w:rFonts w:ascii="Times New Roman" w:hAnsi="Times New Roman" w:cs="Times New Roman"/>
          <w:sz w:val="24"/>
          <w:szCs w:val="24"/>
        </w:rPr>
        <w:t>mokslinio tyrimo vadovas turi tenkinti bent vieną iš šių reikalavimų:</w:t>
      </w:r>
    </w:p>
    <w:p w14:paraId="0F857CA1" w14:textId="35FDF911" w:rsidR="00384192" w:rsidRPr="00A51856" w:rsidRDefault="00333FC3" w:rsidP="00384192">
      <w:pPr>
        <w:pStyle w:val="Betarp"/>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rPr>
        <w:t>19</w:t>
      </w:r>
      <w:r w:rsidR="00FC289A">
        <w:rPr>
          <w:rFonts w:ascii="Times New Roman" w:hAnsi="Times New Roman" w:cs="Times New Roman"/>
          <w:sz w:val="24"/>
          <w:szCs w:val="24"/>
        </w:rPr>
        <w:t>.1.</w:t>
      </w:r>
      <w:r w:rsidR="00384192" w:rsidRPr="00A51856">
        <w:rPr>
          <w:rFonts w:ascii="Times New Roman" w:hAnsi="Times New Roman" w:cs="Times New Roman"/>
          <w:sz w:val="24"/>
          <w:szCs w:val="24"/>
        </w:rPr>
        <w:t xml:space="preserve"> </w:t>
      </w:r>
      <w:r w:rsidR="00384192" w:rsidRPr="00A51856">
        <w:rPr>
          <w:rFonts w:ascii="Times New Roman" w:eastAsia="Calibri" w:hAnsi="Times New Roman" w:cs="Times New Roman"/>
          <w:sz w:val="24"/>
          <w:szCs w:val="24"/>
        </w:rPr>
        <w:t>per pastaruosius dešimt metų iki</w:t>
      </w:r>
      <w:r w:rsidR="000A3DF9" w:rsidRPr="00A51856">
        <w:rPr>
          <w:rFonts w:ascii="Times New Roman" w:hAnsi="Times New Roman" w:cs="Times New Roman"/>
          <w:sz w:val="24"/>
          <w:szCs w:val="24"/>
        </w:rPr>
        <w:t xml:space="preserve"> kvietim</w:t>
      </w:r>
      <w:r w:rsidR="00FC289A">
        <w:rPr>
          <w:rFonts w:ascii="Times New Roman" w:hAnsi="Times New Roman" w:cs="Times New Roman"/>
          <w:sz w:val="24"/>
          <w:szCs w:val="24"/>
        </w:rPr>
        <w:t>o skelbime</w:t>
      </w:r>
      <w:r w:rsidR="000A3DF9" w:rsidRPr="00A51856">
        <w:rPr>
          <w:rFonts w:ascii="Times New Roman" w:hAnsi="Times New Roman" w:cs="Times New Roman"/>
          <w:sz w:val="24"/>
          <w:szCs w:val="24"/>
        </w:rPr>
        <w:t xml:space="preserve"> nustatyto paraiškų pateikimo termino paskutinės dienos</w:t>
      </w:r>
      <w:r w:rsidR="00384192" w:rsidRPr="00A51856">
        <w:rPr>
          <w:rFonts w:ascii="Times New Roman" w:eastAsia="Calibri" w:hAnsi="Times New Roman" w:cs="Times New Roman"/>
          <w:sz w:val="24"/>
          <w:szCs w:val="24"/>
        </w:rPr>
        <w:t xml:space="preserve"> </w:t>
      </w:r>
      <w:r w:rsidR="00CC0CAB" w:rsidRPr="00A51856">
        <w:rPr>
          <w:rFonts w:ascii="Times New Roman" w:eastAsia="Calibri" w:hAnsi="Times New Roman" w:cs="Times New Roman"/>
          <w:sz w:val="24"/>
          <w:szCs w:val="24"/>
        </w:rPr>
        <w:t xml:space="preserve">turi būti </w:t>
      </w:r>
      <w:r w:rsidR="00384192" w:rsidRPr="00A51856">
        <w:rPr>
          <w:rFonts w:ascii="Times New Roman" w:eastAsia="Calibri" w:hAnsi="Times New Roman" w:cs="Times New Roman"/>
          <w:sz w:val="24"/>
          <w:szCs w:val="24"/>
        </w:rPr>
        <w:t xml:space="preserve">paskelbęs ne mažiau kaip dvidešimt </w:t>
      </w:r>
      <w:r w:rsidR="00384192" w:rsidRPr="00A51856">
        <w:rPr>
          <w:rFonts w:ascii="Times New Roman" w:hAnsi="Times New Roman" w:cs="Times New Roman"/>
          <w:sz w:val="24"/>
          <w:szCs w:val="24"/>
          <w:shd w:val="clear" w:color="auto" w:fill="FFFFFF"/>
        </w:rPr>
        <w:t xml:space="preserve">mokslo straipsnių recenzuojamuose mokslo leidiniuose, iš jų ne mažiau kaip dešimt </w:t>
      </w:r>
      <w:r w:rsidR="00384192" w:rsidRPr="00A51856">
        <w:rPr>
          <w:rFonts w:eastAsia="Calibri"/>
        </w:rPr>
        <w:t>–</w:t>
      </w:r>
      <w:r w:rsidR="00384192" w:rsidRPr="00A51856">
        <w:rPr>
          <w:rFonts w:ascii="Times New Roman" w:hAnsi="Times New Roman" w:cs="Times New Roman"/>
          <w:sz w:val="24"/>
          <w:szCs w:val="24"/>
          <w:shd w:val="clear" w:color="auto" w:fill="FFFFFF"/>
        </w:rPr>
        <w:t xml:space="preserve"> tarptautiniuose recenzuojamuose periodiniuose ar tęstiniuose mokslo leidiniuose, iš kurių bent penki yra paskelbti </w:t>
      </w:r>
      <w:r w:rsidR="00384192" w:rsidRPr="00A51856">
        <w:rPr>
          <w:rFonts w:ascii="Times New Roman" w:hAnsi="Times New Roman" w:cs="Times New Roman"/>
          <w:i/>
          <w:sz w:val="24"/>
          <w:szCs w:val="24"/>
          <w:shd w:val="clear" w:color="auto" w:fill="FFFFFF"/>
        </w:rPr>
        <w:t xml:space="preserve">Thomson Reuters WEB of Knowledge </w:t>
      </w:r>
      <w:r w:rsidR="00384192" w:rsidRPr="00A51856">
        <w:rPr>
          <w:rFonts w:ascii="Times New Roman" w:hAnsi="Times New Roman" w:cs="Times New Roman"/>
          <w:sz w:val="24"/>
          <w:szCs w:val="24"/>
          <w:shd w:val="clear" w:color="auto" w:fill="FFFFFF"/>
        </w:rPr>
        <w:t>duomenų bazė</w:t>
      </w:r>
      <w:r w:rsidR="00FC289A">
        <w:rPr>
          <w:rFonts w:ascii="Times New Roman" w:hAnsi="Times New Roman" w:cs="Times New Roman"/>
          <w:sz w:val="24"/>
          <w:szCs w:val="24"/>
          <w:shd w:val="clear" w:color="auto" w:fill="FFFFFF"/>
        </w:rPr>
        <w:t>j</w:t>
      </w:r>
      <w:r w:rsidR="00384192" w:rsidRPr="00A51856">
        <w:rPr>
          <w:rFonts w:ascii="Times New Roman" w:hAnsi="Times New Roman" w:cs="Times New Roman"/>
          <w:sz w:val="24"/>
          <w:szCs w:val="24"/>
          <w:shd w:val="clear" w:color="auto" w:fill="FFFFFF"/>
        </w:rPr>
        <w:t>e referuojamuose užsienio recenzuojamuose periodiniuose ar tęstiniuose mokslo leidiniuos</w:t>
      </w:r>
      <w:r w:rsidR="003B6F99" w:rsidRPr="00A51856">
        <w:rPr>
          <w:rFonts w:ascii="Times New Roman" w:hAnsi="Times New Roman" w:cs="Times New Roman"/>
          <w:sz w:val="24"/>
          <w:szCs w:val="24"/>
          <w:shd w:val="clear" w:color="auto" w:fill="FFFFFF"/>
        </w:rPr>
        <w:t>e, turinčiuose citavimo indeksą;</w:t>
      </w:r>
      <w:r w:rsidR="00384192" w:rsidRPr="00A51856">
        <w:rPr>
          <w:rFonts w:ascii="Times New Roman" w:hAnsi="Times New Roman" w:cs="Times New Roman"/>
          <w:sz w:val="24"/>
          <w:szCs w:val="24"/>
          <w:shd w:val="clear" w:color="auto" w:fill="FFFFFF"/>
        </w:rPr>
        <w:t xml:space="preserve"> </w:t>
      </w:r>
    </w:p>
    <w:p w14:paraId="0F0ADB19" w14:textId="6312D0A0" w:rsidR="00384192" w:rsidRPr="00A51856" w:rsidRDefault="00333FC3" w:rsidP="00384192">
      <w:pPr>
        <w:pStyle w:val="Betarp"/>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19</w:t>
      </w:r>
      <w:r w:rsidR="00FC289A">
        <w:rPr>
          <w:rFonts w:ascii="Times New Roman" w:hAnsi="Times New Roman" w:cs="Times New Roman"/>
          <w:sz w:val="24"/>
          <w:szCs w:val="24"/>
          <w:shd w:val="clear" w:color="auto" w:fill="FFFFFF"/>
        </w:rPr>
        <w:t>.2</w:t>
      </w:r>
      <w:r w:rsidR="00384192" w:rsidRPr="00A51856">
        <w:rPr>
          <w:rFonts w:ascii="Times New Roman" w:hAnsi="Times New Roman" w:cs="Times New Roman"/>
          <w:sz w:val="24"/>
          <w:szCs w:val="24"/>
          <w:shd w:val="clear" w:color="auto" w:fill="FFFFFF"/>
        </w:rPr>
        <w:t xml:space="preserve">. </w:t>
      </w:r>
      <w:r w:rsidR="00384192" w:rsidRPr="00A51856">
        <w:rPr>
          <w:rFonts w:ascii="Times New Roman" w:eastAsia="Calibri" w:hAnsi="Times New Roman" w:cs="Times New Roman"/>
          <w:sz w:val="24"/>
          <w:szCs w:val="24"/>
        </w:rPr>
        <w:t xml:space="preserve">per pastaruosius dešimt metų iki </w:t>
      </w:r>
      <w:r w:rsidR="000A3DF9" w:rsidRPr="00A51856">
        <w:rPr>
          <w:rFonts w:ascii="Times New Roman" w:hAnsi="Times New Roman" w:cs="Times New Roman"/>
          <w:sz w:val="24"/>
          <w:szCs w:val="24"/>
        </w:rPr>
        <w:t>kvietim</w:t>
      </w:r>
      <w:r w:rsidR="00FC289A">
        <w:rPr>
          <w:rFonts w:ascii="Times New Roman" w:hAnsi="Times New Roman" w:cs="Times New Roman"/>
          <w:sz w:val="24"/>
          <w:szCs w:val="24"/>
        </w:rPr>
        <w:t>o skelbime</w:t>
      </w:r>
      <w:r w:rsidR="000A3DF9" w:rsidRPr="00A51856">
        <w:rPr>
          <w:rFonts w:ascii="Times New Roman" w:hAnsi="Times New Roman" w:cs="Times New Roman"/>
          <w:sz w:val="24"/>
          <w:szCs w:val="24"/>
        </w:rPr>
        <w:t xml:space="preserve"> nustatyto paraiškų pateikimo termino paskutinės dienos turi </w:t>
      </w:r>
      <w:r w:rsidR="000A3DF9" w:rsidRPr="00A51856">
        <w:rPr>
          <w:rStyle w:val="apple-converted-space"/>
          <w:rFonts w:ascii="Times New Roman" w:hAnsi="Times New Roman" w:cs="Times New Roman"/>
          <w:color w:val="000000"/>
          <w:sz w:val="24"/>
          <w:szCs w:val="24"/>
          <w:shd w:val="clear" w:color="auto" w:fill="FFFFFF"/>
        </w:rPr>
        <w:t>būti</w:t>
      </w:r>
      <w:r w:rsidR="000A3DF9" w:rsidRPr="00A51856" w:rsidDel="000A3DF9">
        <w:rPr>
          <w:rFonts w:ascii="Times New Roman" w:eastAsia="Calibri" w:hAnsi="Times New Roman" w:cs="Times New Roman"/>
          <w:sz w:val="24"/>
          <w:szCs w:val="24"/>
        </w:rPr>
        <w:t xml:space="preserve"> </w:t>
      </w:r>
      <w:r w:rsidR="00384192" w:rsidRPr="00A51856">
        <w:rPr>
          <w:rFonts w:ascii="Times New Roman" w:eastAsia="Calibri" w:hAnsi="Times New Roman" w:cs="Times New Roman"/>
          <w:sz w:val="24"/>
          <w:szCs w:val="24"/>
        </w:rPr>
        <w:t xml:space="preserve">paskelbęs bent vieną ne disertacijos pagrindu parengtą mokslo monografiją be bendraautorių ir ne mažiau kaip dešimt mokslo straipsnių tarptautiniuose recenzuojamuose periodiniuose ar tęstiniuose mokslo leidiniuose, iš kurių bent penki yra paskelbti </w:t>
      </w:r>
      <w:r w:rsidR="00384192" w:rsidRPr="00A51856">
        <w:rPr>
          <w:rFonts w:ascii="Times New Roman" w:hAnsi="Times New Roman" w:cs="Times New Roman"/>
          <w:i/>
          <w:sz w:val="24"/>
          <w:szCs w:val="24"/>
          <w:shd w:val="clear" w:color="auto" w:fill="FFFFFF"/>
        </w:rPr>
        <w:t xml:space="preserve">Thomson Reuters WEB of Knowledge </w:t>
      </w:r>
      <w:r w:rsidR="00384192" w:rsidRPr="00A51856">
        <w:rPr>
          <w:rFonts w:ascii="Times New Roman" w:hAnsi="Times New Roman" w:cs="Times New Roman"/>
          <w:sz w:val="24"/>
          <w:szCs w:val="24"/>
          <w:shd w:val="clear" w:color="auto" w:fill="FFFFFF"/>
        </w:rPr>
        <w:t>duomenų bazė</w:t>
      </w:r>
      <w:r w:rsidR="00FC289A">
        <w:rPr>
          <w:rFonts w:ascii="Times New Roman" w:hAnsi="Times New Roman" w:cs="Times New Roman"/>
          <w:sz w:val="24"/>
          <w:szCs w:val="24"/>
          <w:shd w:val="clear" w:color="auto" w:fill="FFFFFF"/>
        </w:rPr>
        <w:t>j</w:t>
      </w:r>
      <w:r w:rsidR="00384192" w:rsidRPr="00A51856">
        <w:rPr>
          <w:rFonts w:ascii="Times New Roman" w:hAnsi="Times New Roman" w:cs="Times New Roman"/>
          <w:sz w:val="24"/>
          <w:szCs w:val="24"/>
          <w:shd w:val="clear" w:color="auto" w:fill="FFFFFF"/>
        </w:rPr>
        <w:t>e referuojamuose užsienio</w:t>
      </w:r>
      <w:r w:rsidR="00384192" w:rsidRPr="00A51856">
        <w:rPr>
          <w:rFonts w:ascii="Times New Roman" w:eastAsia="Calibri" w:hAnsi="Times New Roman" w:cs="Times New Roman"/>
          <w:sz w:val="24"/>
          <w:szCs w:val="24"/>
        </w:rPr>
        <w:t xml:space="preserve"> recenzuojamuose periodiniuose ar tęstiniuose</w:t>
      </w:r>
      <w:r w:rsidR="00384192" w:rsidRPr="00A51856">
        <w:rPr>
          <w:rFonts w:ascii="Times New Roman" w:hAnsi="Times New Roman" w:cs="Times New Roman"/>
          <w:sz w:val="24"/>
          <w:szCs w:val="24"/>
          <w:shd w:val="clear" w:color="auto" w:fill="FFFFFF"/>
        </w:rPr>
        <w:t xml:space="preserve"> mokslo leidiniuose, turinčiuose citavimo indeksą</w:t>
      </w:r>
      <w:r w:rsidR="00384192" w:rsidRPr="00A51856">
        <w:rPr>
          <w:rFonts w:ascii="Times New Roman" w:eastAsia="Calibri" w:hAnsi="Times New Roman" w:cs="Times New Roman"/>
          <w:sz w:val="24"/>
          <w:szCs w:val="24"/>
        </w:rPr>
        <w:t>.</w:t>
      </w:r>
      <w:r w:rsidR="00384192" w:rsidRPr="00A51856">
        <w:rPr>
          <w:rFonts w:ascii="Times New Roman" w:hAnsi="Times New Roman" w:cs="Times New Roman"/>
          <w:sz w:val="24"/>
          <w:szCs w:val="24"/>
          <w:shd w:val="clear" w:color="auto" w:fill="FFFFFF"/>
        </w:rPr>
        <w:t xml:space="preserve"> </w:t>
      </w:r>
    </w:p>
    <w:p w14:paraId="2E8400CF" w14:textId="0AF8784E" w:rsidR="00E91D87" w:rsidRPr="00A51856" w:rsidRDefault="00384192" w:rsidP="00BD5C67">
      <w:pPr>
        <w:rPr>
          <w:color w:val="000000"/>
        </w:rPr>
      </w:pPr>
      <w:r w:rsidRPr="00A51856">
        <w:t>2</w:t>
      </w:r>
      <w:r w:rsidR="00333FC3">
        <w:t>0</w:t>
      </w:r>
      <w:r w:rsidRPr="00A51856">
        <w:t>.</w:t>
      </w:r>
      <w:r w:rsidRPr="00A51856">
        <w:rPr>
          <w:color w:val="000000"/>
        </w:rPr>
        <w:t xml:space="preserve"> Teikiant informaciją dėl mokslinio tyrimo vadovo atitikimo </w:t>
      </w:r>
      <w:r w:rsidRPr="00A51856">
        <w:rPr>
          <w:color w:val="000000"/>
          <w:highlight w:val="lightGray"/>
        </w:rPr>
        <w:t xml:space="preserve">Aprašo </w:t>
      </w:r>
      <w:r w:rsidR="00333FC3">
        <w:rPr>
          <w:color w:val="000000"/>
          <w:highlight w:val="lightGray"/>
        </w:rPr>
        <w:t>19.1</w:t>
      </w:r>
      <w:r w:rsidR="00A64C38" w:rsidRPr="00A51856">
        <w:rPr>
          <w:color w:val="000000"/>
          <w:highlight w:val="lightGray"/>
        </w:rPr>
        <w:t xml:space="preserve"> p</w:t>
      </w:r>
      <w:r w:rsidR="006A06B3">
        <w:rPr>
          <w:color w:val="000000"/>
          <w:highlight w:val="lightGray"/>
        </w:rPr>
        <w:t>apunkyje</w:t>
      </w:r>
      <w:r w:rsidRPr="00A51856">
        <w:rPr>
          <w:color w:val="000000"/>
        </w:rPr>
        <w:t xml:space="preserve"> nustatytiems reikalavimams, vienam mokslo straipsniui prilyginama ne mažesnė kaip 4 autorinių lankų monografijos sudedamoji dalis. Lietuvoje leistos monografijos dalis prilyginama Lietuvos tarptautiniame recenzuojamame periodiniame ar tęstiniame mokslo leidinyje publikuotam mokslo straipsniui, užsienyje leistos monografijos dalis – užsienio recenzuojamame periodiniame ar tęstiniame mokslo leidinyje publikuotam mokslo straipsniui.</w:t>
      </w:r>
    </w:p>
    <w:p w14:paraId="191FDDEB" w14:textId="31743075" w:rsidR="00BD5C67" w:rsidRPr="00A51856" w:rsidRDefault="00A9243F" w:rsidP="00BD5C67">
      <w:r w:rsidRPr="00A51856">
        <w:t>2</w:t>
      </w:r>
      <w:r w:rsidR="00333FC3">
        <w:t>1</w:t>
      </w:r>
      <w:r w:rsidRPr="00A51856">
        <w:t xml:space="preserve">. </w:t>
      </w:r>
      <w:r w:rsidR="00BD5C67" w:rsidRPr="00A51856">
        <w:t>Fizinių, biomedicinos, technologijos ir žemės ūkio mokslo mokslinio tyrimo vadovas per pastaruosius dešimt</w:t>
      </w:r>
      <w:r w:rsidR="003276B7">
        <w:t xml:space="preserve"> metų iki</w:t>
      </w:r>
      <w:r w:rsidR="00CC0CAB" w:rsidRPr="00A51856">
        <w:t xml:space="preserve"> kvietim</w:t>
      </w:r>
      <w:r w:rsidR="003276B7">
        <w:t>o skelbime</w:t>
      </w:r>
      <w:r w:rsidR="00CC0CAB" w:rsidRPr="00A51856">
        <w:t xml:space="preserve"> nustatyto paraiškų pateikimo termino paskutinės dienos</w:t>
      </w:r>
      <w:r w:rsidR="00BD5C67" w:rsidRPr="00A51856">
        <w:t xml:space="preserve"> turi būti paskelbęs ne mažiau kaip dvidešimt mokslo straipsnių, paskelbtų </w:t>
      </w:r>
      <w:r w:rsidR="00BD5C67" w:rsidRPr="00A51856">
        <w:rPr>
          <w:i/>
        </w:rPr>
        <w:t>Thomson Reuters Web of Knowledge</w:t>
      </w:r>
      <w:r w:rsidR="00BD5C67" w:rsidRPr="00A51856">
        <w:t xml:space="preserve"> duomenų bazėje referuojamuose užsienio periodiniuose mokslo leidiniuose, turinčiuose citavimo indeksą. </w:t>
      </w:r>
    </w:p>
    <w:p w14:paraId="7691363E" w14:textId="660A1833" w:rsidR="00BD5C67" w:rsidRPr="00A51856" w:rsidRDefault="00BD5C67" w:rsidP="00BD5C67">
      <w:pPr>
        <w:rPr>
          <w:rFonts w:eastAsia="Calibri"/>
        </w:rPr>
      </w:pPr>
      <w:r w:rsidRPr="00A51856">
        <w:rPr>
          <w:rFonts w:eastAsia="Calibri"/>
        </w:rPr>
        <w:t>2</w:t>
      </w:r>
      <w:r w:rsidR="00333FC3">
        <w:rPr>
          <w:rFonts w:eastAsia="Calibri"/>
        </w:rPr>
        <w:t>2</w:t>
      </w:r>
      <w:r w:rsidRPr="00A51856">
        <w:rPr>
          <w:rFonts w:eastAsia="Calibri"/>
        </w:rPr>
        <w:t xml:space="preserve">. </w:t>
      </w:r>
      <w:r w:rsidRPr="00A51856">
        <w:rPr>
          <w:color w:val="000000"/>
        </w:rPr>
        <w:t xml:space="preserve">Teikiant informaciją dėl mokslinio tyrimo vadovo atitikimo </w:t>
      </w:r>
      <w:r w:rsidR="00742C0C" w:rsidRPr="00A51856">
        <w:rPr>
          <w:color w:val="000000"/>
          <w:highlight w:val="lightGray"/>
        </w:rPr>
        <w:t xml:space="preserve">Aprašo </w:t>
      </w:r>
      <w:r w:rsidR="003276B7" w:rsidRPr="00A51856">
        <w:rPr>
          <w:color w:val="000000"/>
          <w:highlight w:val="lightGray"/>
        </w:rPr>
        <w:t>2</w:t>
      </w:r>
      <w:r w:rsidR="006A06B3">
        <w:rPr>
          <w:color w:val="000000"/>
          <w:highlight w:val="lightGray"/>
        </w:rPr>
        <w:t>1</w:t>
      </w:r>
      <w:r w:rsidR="003276B7" w:rsidRPr="00A51856">
        <w:rPr>
          <w:color w:val="000000"/>
          <w:highlight w:val="lightGray"/>
        </w:rPr>
        <w:t xml:space="preserve"> </w:t>
      </w:r>
      <w:r w:rsidR="00A64C38" w:rsidRPr="00A51856">
        <w:rPr>
          <w:color w:val="000000"/>
          <w:highlight w:val="lightGray"/>
        </w:rPr>
        <w:t>punkte</w:t>
      </w:r>
      <w:r w:rsidRPr="00A51856">
        <w:rPr>
          <w:color w:val="000000"/>
        </w:rPr>
        <w:t xml:space="preserve"> nustatytiems reikalavimams, </w:t>
      </w:r>
      <w:r w:rsidRPr="00A51856">
        <w:rPr>
          <w:rFonts w:eastAsia="Calibri"/>
        </w:rPr>
        <w:t>užsienyje išleistos mokslo monografijos sudedamoji dalis</w:t>
      </w:r>
      <w:r w:rsidRPr="00A51856">
        <w:rPr>
          <w:color w:val="000000"/>
        </w:rPr>
        <w:t xml:space="preserve"> prilyginama</w:t>
      </w:r>
      <w:r w:rsidRPr="00A51856">
        <w:rPr>
          <w:rFonts w:eastAsia="Calibri"/>
        </w:rPr>
        <w:t xml:space="preserve"> </w:t>
      </w:r>
      <w:r w:rsidRPr="00A51856">
        <w:rPr>
          <w:color w:val="000000"/>
        </w:rPr>
        <w:t xml:space="preserve">vienam mokslo straipsniui, užregistruotas </w:t>
      </w:r>
      <w:r w:rsidRPr="00A51856">
        <w:rPr>
          <w:rFonts w:eastAsia="Calibri"/>
        </w:rPr>
        <w:t xml:space="preserve">patentas Europos patentų tarnyboje, Jungtinių Amerikos Valstijų patentų ir prekių ženklų tarnyboje arba Japonijos patentų </w:t>
      </w:r>
      <w:r w:rsidRPr="00A51856">
        <w:rPr>
          <w:rFonts w:eastAsia="Calibri"/>
        </w:rPr>
        <w:lastRenderedPageBreak/>
        <w:t xml:space="preserve">tarnyboje prilyginamas </w:t>
      </w:r>
      <w:r w:rsidRPr="00A51856">
        <w:rPr>
          <w:color w:val="000000"/>
        </w:rPr>
        <w:t xml:space="preserve">trims mokslo straipsniams, Lietuvoje </w:t>
      </w:r>
      <w:r w:rsidRPr="00A51856">
        <w:rPr>
          <w:rFonts w:eastAsia="Calibri"/>
        </w:rPr>
        <w:t xml:space="preserve">užregistruota augalų ar gyvūnų veislė arba ląstelių linija, arba mikroorganizmų kamienas prilyginami </w:t>
      </w:r>
      <w:r w:rsidRPr="00A51856">
        <w:rPr>
          <w:color w:val="000000"/>
        </w:rPr>
        <w:t>keturiems mokslo straipsniams.</w:t>
      </w:r>
    </w:p>
    <w:p w14:paraId="3BDAD95E" w14:textId="76B47C81" w:rsidR="00A9243F" w:rsidRPr="00A51856" w:rsidRDefault="00A9243F" w:rsidP="00A9243F">
      <w:pPr>
        <w:pStyle w:val="BodyText1"/>
        <w:spacing w:line="240" w:lineRule="auto"/>
        <w:ind w:firstLine="851"/>
        <w:rPr>
          <w:sz w:val="24"/>
          <w:szCs w:val="24"/>
        </w:rPr>
      </w:pPr>
      <w:r w:rsidRPr="00A51856">
        <w:rPr>
          <w:sz w:val="24"/>
          <w:szCs w:val="24"/>
        </w:rPr>
        <w:t>2</w:t>
      </w:r>
      <w:r w:rsidR="00333FC3">
        <w:rPr>
          <w:sz w:val="24"/>
          <w:szCs w:val="24"/>
        </w:rPr>
        <w:t>3</w:t>
      </w:r>
      <w:r w:rsidRPr="00A51856">
        <w:rPr>
          <w:sz w:val="24"/>
          <w:szCs w:val="24"/>
        </w:rPr>
        <w:t xml:space="preserve">. Paraiškoje nurodyti mokslinio tyrimo vadovo moksliniai straipsniai </w:t>
      </w:r>
      <w:r w:rsidR="007A44F4" w:rsidRPr="00A51856">
        <w:rPr>
          <w:sz w:val="24"/>
          <w:szCs w:val="24"/>
        </w:rPr>
        <w:t xml:space="preserve">gali sutapti ne daugiau kaip 20 </w:t>
      </w:r>
      <w:r w:rsidRPr="00A51856">
        <w:rPr>
          <w:sz w:val="24"/>
          <w:szCs w:val="24"/>
        </w:rPr>
        <w:t>procentų su visų kitų pagal Aprašą paskelbtą kvietimą pateikusių paraiškas ar ankstesnių pagal Aprašą paskelbtų kvietimų finansuojamų projektų mokslinių tyrimų vadovų nurodytais straipsniais sudėjus kartu. Paraiškos, kurių projektų mokslinių tyrimų vadovai neatitinka šio reikalavimo, yra atmetamos.</w:t>
      </w:r>
      <w:r w:rsidR="001C2767" w:rsidRPr="00A51856">
        <w:rPr>
          <w:sz w:val="24"/>
          <w:szCs w:val="24"/>
        </w:rPr>
        <w:t xml:space="preserve"> Mokslinių tyrimų vadovų atitikties šiam reikalavimui vertinimo tvarka nustatyta </w:t>
      </w:r>
      <w:r w:rsidR="001C2767" w:rsidRPr="00A51856">
        <w:rPr>
          <w:sz w:val="24"/>
          <w:szCs w:val="24"/>
          <w:highlight w:val="lightGray"/>
        </w:rPr>
        <w:t xml:space="preserve">Aprašo </w:t>
      </w:r>
      <w:r w:rsidR="00A02BDD" w:rsidRPr="00A51856">
        <w:rPr>
          <w:sz w:val="24"/>
          <w:szCs w:val="24"/>
          <w:highlight w:val="lightGray"/>
        </w:rPr>
        <w:t>7</w:t>
      </w:r>
      <w:r w:rsidR="006A06B3">
        <w:rPr>
          <w:sz w:val="24"/>
          <w:szCs w:val="24"/>
          <w:highlight w:val="lightGray"/>
        </w:rPr>
        <w:t>3</w:t>
      </w:r>
      <w:r w:rsidR="00A02BDD" w:rsidRPr="00A51856">
        <w:rPr>
          <w:sz w:val="24"/>
          <w:szCs w:val="24"/>
          <w:highlight w:val="lightGray"/>
        </w:rPr>
        <w:t>.1</w:t>
      </w:r>
      <w:r w:rsidR="001C2767" w:rsidRPr="00A51856">
        <w:rPr>
          <w:sz w:val="24"/>
          <w:szCs w:val="24"/>
          <w:highlight w:val="lightGray"/>
        </w:rPr>
        <w:t xml:space="preserve"> punkte</w:t>
      </w:r>
      <w:r w:rsidR="001C2767" w:rsidRPr="00A51856">
        <w:rPr>
          <w:sz w:val="24"/>
          <w:szCs w:val="24"/>
        </w:rPr>
        <w:t>.</w:t>
      </w:r>
    </w:p>
    <w:p w14:paraId="55D1B3E7" w14:textId="63DA7E0A" w:rsidR="00A9243F" w:rsidRPr="00A51856" w:rsidRDefault="00A9243F" w:rsidP="00A9243F">
      <w:pPr>
        <w:pStyle w:val="BodyText1"/>
        <w:spacing w:line="240" w:lineRule="auto"/>
        <w:ind w:firstLine="851"/>
        <w:rPr>
          <w:sz w:val="24"/>
          <w:szCs w:val="24"/>
        </w:rPr>
      </w:pPr>
      <w:r w:rsidRPr="00A51856">
        <w:rPr>
          <w:sz w:val="24"/>
          <w:szCs w:val="24"/>
        </w:rPr>
        <w:t>2</w:t>
      </w:r>
      <w:r w:rsidR="00333FC3">
        <w:rPr>
          <w:sz w:val="24"/>
          <w:szCs w:val="24"/>
        </w:rPr>
        <w:t>4</w:t>
      </w:r>
      <w:r w:rsidRPr="00A51856">
        <w:rPr>
          <w:sz w:val="24"/>
          <w:szCs w:val="24"/>
        </w:rPr>
        <w:t>. Pagal Aprašą mokslinio tyrimo vadovo vykdomų ir (ar) vadovaujamų kitų įgyvendinančiosios institucijos finansuojamų projektų skaičius neribojamas.</w:t>
      </w:r>
    </w:p>
    <w:p w14:paraId="68EF8D11" w14:textId="3B234A1C" w:rsidR="00BD5C67" w:rsidRPr="00A51856" w:rsidRDefault="00A9243F" w:rsidP="00BD5C67">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2</w:t>
      </w:r>
      <w:r w:rsidR="00333FC3">
        <w:rPr>
          <w:rFonts w:ascii="Times New Roman" w:hAnsi="Times New Roman" w:cs="Times New Roman"/>
          <w:sz w:val="24"/>
          <w:szCs w:val="24"/>
        </w:rPr>
        <w:t>5</w:t>
      </w:r>
      <w:r w:rsidRPr="00A51856">
        <w:rPr>
          <w:rFonts w:ascii="Times New Roman" w:hAnsi="Times New Roman" w:cs="Times New Roman"/>
          <w:sz w:val="24"/>
          <w:szCs w:val="24"/>
        </w:rPr>
        <w:t xml:space="preserve">. </w:t>
      </w:r>
      <w:r w:rsidR="00BD5C67" w:rsidRPr="00A51856">
        <w:rPr>
          <w:rFonts w:ascii="Times New Roman" w:hAnsi="Times New Roman" w:cs="Times New Roman"/>
          <w:sz w:val="24"/>
          <w:szCs w:val="24"/>
        </w:rPr>
        <w:t>Mokslinio tyrimo grupės vadovo ar kito pagrindinio mokslinio tyrimo grupės nario, kuris pažeidė akademinę etiką ar įgyvendinančiosios institucijos patvirtintus mokslinės veiklos etikos principus ir kuriam neleidžiama dalyvauti įgyvendinančiosios institucijos skelbiamuose konkursuose dėl sutartinių įsipareigojimų neįvykdymo, pagal Aprašą pateiktos paraiškos atmetamos.</w:t>
      </w:r>
    </w:p>
    <w:p w14:paraId="2DBB4E50" w14:textId="53DEF5E1" w:rsidR="00080465" w:rsidRPr="00A51856" w:rsidRDefault="00742C0C" w:rsidP="00F84602">
      <w:pPr>
        <w:pStyle w:val="Betarp"/>
        <w:ind w:firstLine="851"/>
        <w:jc w:val="both"/>
        <w:rPr>
          <w:rFonts w:ascii="Times New Roman" w:hAnsi="Times New Roman" w:cs="Times New Roman"/>
          <w:sz w:val="24"/>
          <w:szCs w:val="24"/>
        </w:rPr>
      </w:pPr>
      <w:r w:rsidRPr="00A51856">
        <w:rPr>
          <w:rFonts w:ascii="Times New Roman" w:hAnsi="Times New Roman" w:cs="Times New Roman"/>
          <w:sz w:val="24"/>
          <w:szCs w:val="24"/>
        </w:rPr>
        <w:t>2</w:t>
      </w:r>
      <w:r w:rsidR="00333FC3">
        <w:rPr>
          <w:rFonts w:ascii="Times New Roman" w:hAnsi="Times New Roman" w:cs="Times New Roman"/>
          <w:sz w:val="24"/>
          <w:szCs w:val="24"/>
        </w:rPr>
        <w:t>6</w:t>
      </w:r>
      <w:r w:rsidR="00A9243F" w:rsidRPr="00A51856">
        <w:rPr>
          <w:rFonts w:ascii="Times New Roman" w:hAnsi="Times New Roman" w:cs="Times New Roman"/>
          <w:sz w:val="24"/>
          <w:szCs w:val="24"/>
        </w:rPr>
        <w:t>. Aprašo I ir II skyriuose nustatytus reikalavimus pareiškėjas, mokslinio tyrimo vadovas</w:t>
      </w:r>
      <w:r w:rsidR="00A51BCA" w:rsidRPr="00A51856">
        <w:rPr>
          <w:rFonts w:ascii="Times New Roman" w:hAnsi="Times New Roman" w:cs="Times New Roman"/>
          <w:sz w:val="24"/>
          <w:szCs w:val="24"/>
        </w:rPr>
        <w:t xml:space="preserve"> ir partneris</w:t>
      </w:r>
      <w:r w:rsidR="00A9243F" w:rsidRPr="00A51856">
        <w:rPr>
          <w:rFonts w:ascii="Times New Roman" w:hAnsi="Times New Roman" w:cs="Times New Roman"/>
          <w:sz w:val="24"/>
          <w:szCs w:val="24"/>
        </w:rPr>
        <w:t xml:space="preserve"> turi atitikti</w:t>
      </w:r>
      <w:r w:rsidR="00FA7616" w:rsidRPr="00A51856">
        <w:rPr>
          <w:rFonts w:ascii="Times New Roman" w:eastAsia="Calibri" w:hAnsi="Times New Roman" w:cs="Times New Roman"/>
          <w:sz w:val="24"/>
          <w:szCs w:val="24"/>
        </w:rPr>
        <w:t xml:space="preserve"> iki</w:t>
      </w:r>
      <w:r w:rsidR="00FA7616" w:rsidRPr="00A51856">
        <w:rPr>
          <w:rFonts w:ascii="Times New Roman" w:hAnsi="Times New Roman" w:cs="Times New Roman"/>
          <w:sz w:val="24"/>
          <w:szCs w:val="24"/>
        </w:rPr>
        <w:t xml:space="preserve"> kvietim</w:t>
      </w:r>
      <w:r w:rsidR="0069674B">
        <w:rPr>
          <w:rFonts w:ascii="Times New Roman" w:hAnsi="Times New Roman" w:cs="Times New Roman"/>
          <w:sz w:val="24"/>
          <w:szCs w:val="24"/>
        </w:rPr>
        <w:t>o skelbime</w:t>
      </w:r>
      <w:r w:rsidR="00FA7616" w:rsidRPr="00A51856">
        <w:rPr>
          <w:rFonts w:ascii="Times New Roman" w:hAnsi="Times New Roman" w:cs="Times New Roman"/>
          <w:sz w:val="24"/>
          <w:szCs w:val="24"/>
        </w:rPr>
        <w:t xml:space="preserve"> nustatyto paraiškų pateikimo termino paskutinės dienos</w:t>
      </w:r>
      <w:r w:rsidR="00A9243F" w:rsidRPr="00A51856">
        <w:rPr>
          <w:rFonts w:ascii="Times New Roman" w:hAnsi="Times New Roman" w:cs="Times New Roman"/>
          <w:sz w:val="24"/>
          <w:szCs w:val="24"/>
        </w:rPr>
        <w:t>.</w:t>
      </w:r>
    </w:p>
    <w:p w14:paraId="05B81C1F" w14:textId="77777777" w:rsidR="00A9243F" w:rsidRPr="00A51856" w:rsidRDefault="00A9243F" w:rsidP="00A9243F">
      <w:pPr>
        <w:pStyle w:val="Antrat1"/>
        <w:jc w:val="both"/>
      </w:pPr>
    </w:p>
    <w:p w14:paraId="031B8890" w14:textId="77777777" w:rsidR="00A9243F" w:rsidRPr="00A51856" w:rsidRDefault="00A9243F" w:rsidP="00A9243F">
      <w:pPr>
        <w:pStyle w:val="Antrat1"/>
      </w:pPr>
      <w:r w:rsidRPr="00A51856">
        <w:t>III SKYRIUS</w:t>
      </w:r>
    </w:p>
    <w:p w14:paraId="5252B1BC" w14:textId="77777777" w:rsidR="00A9243F" w:rsidRPr="00A51856" w:rsidRDefault="00A9243F" w:rsidP="00A9243F">
      <w:pPr>
        <w:pStyle w:val="Antrat1"/>
      </w:pPr>
      <w:r w:rsidRPr="00A51856">
        <w:t>PROJEKTAMS TAIKOMI REIKALAVIMAI</w:t>
      </w:r>
    </w:p>
    <w:p w14:paraId="51658CA3" w14:textId="77777777" w:rsidR="0081711E" w:rsidRPr="00A51856" w:rsidRDefault="0081711E" w:rsidP="00E328AF">
      <w:pPr>
        <w:ind w:firstLine="0"/>
      </w:pPr>
    </w:p>
    <w:p w14:paraId="3FD1181D" w14:textId="2B8B8D2F" w:rsidR="00A9243F" w:rsidRPr="00A51856" w:rsidRDefault="00333FC3" w:rsidP="00A9243F">
      <w:pPr>
        <w:rPr>
          <w:i/>
        </w:rPr>
      </w:pPr>
      <w:r>
        <w:t>27</w:t>
      </w:r>
      <w:r w:rsidR="00A9243F" w:rsidRPr="00A51856">
        <w:t>.</w:t>
      </w:r>
      <w:r w:rsidR="00A9243F" w:rsidRPr="00A51856">
        <w:tab/>
        <w:t xml:space="preserve">Projektas turi atitikti Projektų taisyklių 10 skirsnyje nustatytus bendruosius reikalavimus. </w:t>
      </w:r>
    </w:p>
    <w:p w14:paraId="5396F4A3" w14:textId="23B412C0" w:rsidR="00E26E1A" w:rsidRPr="00A51856" w:rsidRDefault="00333FC3" w:rsidP="00E26E1A">
      <w:r>
        <w:t>28</w:t>
      </w:r>
      <w:r w:rsidR="00A9243F" w:rsidRPr="00A51856">
        <w:t>.</w:t>
      </w:r>
      <w:r w:rsidR="00A9243F" w:rsidRPr="00A51856">
        <w:tab/>
      </w:r>
      <w:r w:rsidR="00464B3A" w:rsidRPr="00A51856">
        <w:t xml:space="preserve">Projektas turi atitikti šiuos specialiuosius projektų atrankos kriterijus, </w:t>
      </w:r>
      <w:r w:rsidR="00E26E1A" w:rsidRPr="00A51856">
        <w:t xml:space="preserve">patvirtintus Veiksmų programos stebėsenos komiteto 2016 m. </w:t>
      </w:r>
      <w:r w:rsidR="00B12F73" w:rsidRPr="00A51856">
        <w:t>birželio 1</w:t>
      </w:r>
      <w:r w:rsidR="00C673C8" w:rsidRPr="00A51856">
        <w:t>6</w:t>
      </w:r>
      <w:r w:rsidR="00E26E1A" w:rsidRPr="00A51856">
        <w:t xml:space="preserve"> d. posėdžio nutarimu Nr. </w:t>
      </w:r>
      <w:r w:rsidR="00961809" w:rsidRPr="00A51856">
        <w:t>44P-16.1(18):</w:t>
      </w:r>
    </w:p>
    <w:p w14:paraId="613404D4" w14:textId="4E401EF3" w:rsidR="004620DF" w:rsidRPr="00A51856" w:rsidRDefault="00333FC3" w:rsidP="004620DF">
      <w:pPr>
        <w:rPr>
          <w:lang w:eastAsia="lt-LT"/>
        </w:rPr>
      </w:pPr>
      <w:r>
        <w:t>28</w:t>
      </w:r>
      <w:r w:rsidR="00464B3A" w:rsidRPr="00A51856">
        <w:t>.1.</w:t>
      </w:r>
      <w:r w:rsidR="005C0E6F">
        <w:t xml:space="preserve"> </w:t>
      </w:r>
      <w:r w:rsidR="005C0E6F" w:rsidRPr="005C0E6F">
        <w:t xml:space="preserve">Projektas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Sumanios specializacijos programa) bent vieno šioje programoje nustatyto prioriteto veiksmų planą, kurie patvirtinti: Lietuvos Respublikos švietimo ir mokslo ministro ir Lietuvos Respublikos ūkio ministro 2015 m. sausio 29 d. įsakymu Nr. V-59/4-48 „Dėl Prioritetinės mokslinių tyrimų ir eksperimentinės (socialinės, kultūrinės) plėtros ir inovacijų raidos (sumanios specializacijos) krypties „Agroinovacijos ir maisto technologijos“ prioritetų veiksmų planų patvirtinimo“;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  Lietuvos Respublikos švietimo ir mokslo ministro ir Lietuvos Respublikos ūkio ministro 2015 m. kovo 31 d. įsakymu Nr. V-291/4-176 „Dėl Prioritetinės mokslinių tyrimų ir eksperimentinės (socialinės, kultūrinės) plėtros ir </w:t>
      </w:r>
      <w:r w:rsidR="005C0E6F" w:rsidRPr="005C0E6F">
        <w:lastRenderedPageBreak/>
        <w:t>inovacijų raidos (sumanios specializacijos) krypties „Energetika ir tvari aplinka“ prioritetų veiksmų planų patvirtinimo“;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r w:rsidR="005C0E6F">
        <w:t xml:space="preserve"> </w:t>
      </w:r>
      <w:r w:rsidR="005C0E6F" w:rsidRPr="005C0E6F">
        <w:t>(toliau kartu – veiksmų planai)</w:t>
      </w:r>
      <w:r w:rsidR="005C0E6F">
        <w:t xml:space="preserve"> (vertinama, ar </w:t>
      </w:r>
      <w:r w:rsidR="005C0E6F" w:rsidRPr="005C0E6F">
        <w:t>projektas prisideda prie Sumanios specializacijos programos krypčių ir jų prioritetų įgyvendinimo, plėtojant mokslinių tyrimų ir eksperimentinės plėtros (toliau – MTEP) sritis, kurios atitinka bent vieną prioriteto veiksmų plan</w:t>
      </w:r>
      <w:r w:rsidR="005C0E6F">
        <w:t>e nustatytą teminį specifiškumą)</w:t>
      </w:r>
      <w:r w:rsidR="004620DF" w:rsidRPr="00A51856">
        <w:t>;</w:t>
      </w:r>
    </w:p>
    <w:p w14:paraId="23AA1D46" w14:textId="0CF029E5" w:rsidR="00E26E1A" w:rsidRPr="00A51856" w:rsidRDefault="00333FC3" w:rsidP="00E26E1A">
      <w:pPr>
        <w:autoSpaceDE w:val="0"/>
        <w:autoSpaceDN w:val="0"/>
        <w:adjustRightInd w:val="0"/>
        <w:rPr>
          <w:color w:val="000000"/>
        </w:rPr>
      </w:pPr>
      <w:r>
        <w:rPr>
          <w:iCs/>
        </w:rPr>
        <w:t>28</w:t>
      </w:r>
      <w:r w:rsidR="00464B3A" w:rsidRPr="00A51856">
        <w:rPr>
          <w:iCs/>
        </w:rPr>
        <w:t xml:space="preserve">.2. </w:t>
      </w:r>
      <w:r w:rsidR="00E26E1A" w:rsidRPr="00A51856">
        <w:rPr>
          <w:iCs/>
        </w:rPr>
        <w:t>Pareiškėjas turi turėti veikiančią teisių, atsirandančių iš intelektinės veiklos rezultatų, valdymo tvarką</w:t>
      </w:r>
      <w:r w:rsidR="005C0E6F">
        <w:rPr>
          <w:iCs/>
        </w:rPr>
        <w:t xml:space="preserve"> (vertinama, ar pareiškėjas yra</w:t>
      </w:r>
      <w:r w:rsidR="00E26E1A" w:rsidRPr="00A51856">
        <w:rPr>
          <w:rFonts w:eastAsia="Times New Roman"/>
        </w:rPr>
        <w:t xml:space="preserve"> įgyvendinęs </w:t>
      </w:r>
      <w:r w:rsidR="00E26E1A" w:rsidRPr="00A51856">
        <w:t xml:space="preserve">Rekomendacijų Lietuvos mokslo ir studijų institucijoms dėl teisių, atsirandančių iš intelektinės veiklos rezultatų, patvirtintų 2009 m. gruodžio 1 d. Lietuvos Respublikos švietimo ir mokslo ministro įsakymu Nr. ISAK-2462, 10, 12, 16 ir 17 punktuose nustatytus reikalavimus </w:t>
      </w:r>
      <w:r w:rsidR="00E26E1A" w:rsidRPr="00A51856">
        <w:rPr>
          <w:color w:val="000000"/>
        </w:rPr>
        <w:t xml:space="preserve">ir pateikęs </w:t>
      </w:r>
      <w:r w:rsidR="006610DC" w:rsidRPr="00A51856">
        <w:rPr>
          <w:color w:val="000000"/>
        </w:rPr>
        <w:t>į</w:t>
      </w:r>
      <w:r w:rsidR="00A51BCA" w:rsidRPr="00A51856">
        <w:rPr>
          <w:color w:val="000000"/>
        </w:rPr>
        <w:t>gyvendina</w:t>
      </w:r>
      <w:r w:rsidR="00A43011" w:rsidRPr="00A51856">
        <w:rPr>
          <w:color w:val="000000"/>
        </w:rPr>
        <w:t>n</w:t>
      </w:r>
      <w:r w:rsidR="00A51BCA" w:rsidRPr="00A51856">
        <w:rPr>
          <w:color w:val="000000"/>
        </w:rPr>
        <w:t xml:space="preserve">čiajai institucijai </w:t>
      </w:r>
      <w:r w:rsidR="00E26E1A" w:rsidRPr="00A51856">
        <w:rPr>
          <w:color w:val="000000"/>
        </w:rPr>
        <w:t>tai patvirtinančius dokumentus arba nuorodas į viešai paskelbtus dokumentus</w:t>
      </w:r>
      <w:r w:rsidR="005C0E6F">
        <w:rPr>
          <w:color w:val="000000"/>
        </w:rPr>
        <w:t>)</w:t>
      </w:r>
      <w:r w:rsidR="00E26E1A" w:rsidRPr="00A51856">
        <w:rPr>
          <w:color w:val="000000"/>
        </w:rPr>
        <w:t>.</w:t>
      </w:r>
    </w:p>
    <w:p w14:paraId="5031BB41" w14:textId="6BCF9445" w:rsidR="00A9243F" w:rsidRPr="00A51856" w:rsidRDefault="00333FC3" w:rsidP="00A9243F">
      <w:r>
        <w:t>29</w:t>
      </w:r>
      <w:r w:rsidR="00A9243F" w:rsidRPr="00A51856">
        <w:t xml:space="preserve">. Projektų atranka vykdoma vadovaujantis prioritetiniais projektų atrankos kriterijais, nurodytais </w:t>
      </w:r>
      <w:r w:rsidR="00AD5790" w:rsidRPr="00A51856">
        <w:rPr>
          <w:highlight w:val="lightGray"/>
        </w:rPr>
        <w:t>Aprašo 3</w:t>
      </w:r>
      <w:r w:rsidR="00A9243F" w:rsidRPr="00A51856">
        <w:rPr>
          <w:highlight w:val="lightGray"/>
        </w:rPr>
        <w:t xml:space="preserve"> priede.</w:t>
      </w:r>
      <w:r w:rsidR="00A9243F" w:rsidRPr="00A51856">
        <w:t xml:space="preserve"> Už atitiktį šiems prioritetiniams projektų atrankos kriterijams projektams skiriami balai, maksimalus galimas balų skaičius pagal kiekvieną </w:t>
      </w:r>
      <w:r w:rsidR="00AD5790" w:rsidRPr="00A51856">
        <w:t>kriterijų nurodytas Aprašo 3</w:t>
      </w:r>
      <w:r w:rsidR="00A9243F" w:rsidRPr="00A51856">
        <w:t xml:space="preserve"> priede. Pagal Aprašą privaloma surinkti minimali balų suma yra </w:t>
      </w:r>
      <w:r w:rsidR="00F55B3F">
        <w:t>45</w:t>
      </w:r>
      <w:r w:rsidR="00A9243F" w:rsidRPr="00A51856">
        <w:t xml:space="preserve">, iš jų ne mažiau </w:t>
      </w:r>
      <w:r w:rsidR="00A9243F" w:rsidRPr="00F55B3F">
        <w:t xml:space="preserve">kaip </w:t>
      </w:r>
      <w:r w:rsidR="00F55B3F" w:rsidRPr="00F55B3F">
        <w:t>15</w:t>
      </w:r>
      <w:r w:rsidR="00F55B3F" w:rsidRPr="00A51856">
        <w:t xml:space="preserve"> </w:t>
      </w:r>
      <w:r w:rsidR="00AD5790" w:rsidRPr="00A51856">
        <w:t>bal</w:t>
      </w:r>
      <w:r w:rsidR="00F55B3F">
        <w:t>ų</w:t>
      </w:r>
      <w:r w:rsidR="00AD5790" w:rsidRPr="00A51856">
        <w:t xml:space="preserve"> pagal Aprašo 3</w:t>
      </w:r>
      <w:r w:rsidR="00A9243F" w:rsidRPr="00A51856">
        <w:t xml:space="preserve"> priedo 1 punkte nurodytą projektų atrankos kriterijų, ne mažiau kaip </w:t>
      </w:r>
      <w:r w:rsidR="00290E75" w:rsidRPr="00F55B3F">
        <w:t>20</w:t>
      </w:r>
      <w:r w:rsidR="00290E75" w:rsidRPr="00A51856">
        <w:t xml:space="preserve"> balų</w:t>
      </w:r>
      <w:r w:rsidR="00AD5790" w:rsidRPr="00A51856">
        <w:t xml:space="preserve"> pagal Aprašo 3</w:t>
      </w:r>
      <w:r w:rsidR="00A9243F" w:rsidRPr="00A51856">
        <w:t xml:space="preserve"> priedo 2 punkte nurodytą projektų atrankos kriterijų ir</w:t>
      </w:r>
      <w:r w:rsidR="00290E75" w:rsidRPr="00A51856">
        <w:t xml:space="preserve"> ne mažiau kaip</w:t>
      </w:r>
      <w:r w:rsidR="00A9243F" w:rsidRPr="00A51856">
        <w:t xml:space="preserve"> </w:t>
      </w:r>
      <w:r w:rsidR="00F55B3F">
        <w:t>10</w:t>
      </w:r>
      <w:r w:rsidR="00F55B3F" w:rsidRPr="00A51856">
        <w:t xml:space="preserve"> bal</w:t>
      </w:r>
      <w:r w:rsidR="00F55B3F">
        <w:t>ų</w:t>
      </w:r>
      <w:r w:rsidR="00F55B3F" w:rsidRPr="00A51856">
        <w:t xml:space="preserve"> </w:t>
      </w:r>
      <w:r w:rsidR="00AD5790" w:rsidRPr="00A51856">
        <w:t>pagal Aprašo 3</w:t>
      </w:r>
      <w:r w:rsidR="00A9243F" w:rsidRPr="00A51856">
        <w:t xml:space="preserve"> priedo 3 </w:t>
      </w:r>
      <w:r w:rsidR="00290E75" w:rsidRPr="00A51856">
        <w:t>punkte</w:t>
      </w:r>
      <w:r w:rsidR="00A9243F" w:rsidRPr="00A51856">
        <w:t xml:space="preserve"> nurodytus projektų atrankos kriterijus. </w:t>
      </w:r>
      <w:r w:rsidR="005C0E6F">
        <w:t xml:space="preserve">Minimalus privalomas balų skaičius pagal kiekvieną kriterijų nurodytas Aprašo </w:t>
      </w:r>
      <w:r w:rsidR="00E328AF">
        <w:t xml:space="preserve">3 </w:t>
      </w:r>
      <w:r w:rsidR="00F55B3F">
        <w:t>priede</w:t>
      </w:r>
      <w:r w:rsidR="005C0E6F">
        <w:t>.</w:t>
      </w:r>
    </w:p>
    <w:p w14:paraId="1EE988A1" w14:textId="4C9A8DBA" w:rsidR="00A9243F" w:rsidRDefault="00742C0C" w:rsidP="00A9243F">
      <w:r w:rsidRPr="00A51856">
        <w:t>3</w:t>
      </w:r>
      <w:r w:rsidR="00333FC3">
        <w:t>0</w:t>
      </w:r>
      <w:r w:rsidR="00A9243F" w:rsidRPr="00A51856">
        <w:t xml:space="preserve">. Jei projekto naudos ir kokybės vertinimo metu projektui suteikiama mažiau kaip </w:t>
      </w:r>
      <w:r w:rsidR="00290E75" w:rsidRPr="00A51856">
        <w:t>52</w:t>
      </w:r>
      <w:r w:rsidR="0085082A" w:rsidRPr="00A51856">
        <w:t xml:space="preserve"> </w:t>
      </w:r>
      <w:r w:rsidR="00A9243F" w:rsidRPr="00A51856">
        <w:t xml:space="preserve">balai arba projektas nesurenka </w:t>
      </w:r>
      <w:r w:rsidR="00A9243F" w:rsidRPr="00A51856">
        <w:rPr>
          <w:highlight w:val="lightGray"/>
        </w:rPr>
        <w:t xml:space="preserve">Aprašo </w:t>
      </w:r>
      <w:r w:rsidR="00333FC3">
        <w:rPr>
          <w:highlight w:val="lightGray"/>
        </w:rPr>
        <w:t>29</w:t>
      </w:r>
      <w:r w:rsidR="00A9243F" w:rsidRPr="00A51856">
        <w:rPr>
          <w:highlight w:val="lightGray"/>
        </w:rPr>
        <w:t xml:space="preserve"> punkte</w:t>
      </w:r>
      <w:r w:rsidR="00A9243F" w:rsidRPr="00A51856">
        <w:t xml:space="preserve"> nurodytos minimalios balų sumos pagal kiekvieną prioritetinį projektų atrankos kriterijų, paraiška atmetama.</w:t>
      </w:r>
    </w:p>
    <w:p w14:paraId="173854CD" w14:textId="706FE51D" w:rsidR="00E1620B" w:rsidRPr="00A51856" w:rsidRDefault="00506492" w:rsidP="00A9243F">
      <w:r>
        <w:t>3</w:t>
      </w:r>
      <w:r w:rsidR="00333FC3">
        <w:t>1</w:t>
      </w:r>
      <w:r w:rsidR="00E1620B">
        <w:t>. Pagal Aprašą nefinansuojami didelės apimties projektai.</w:t>
      </w:r>
    </w:p>
    <w:p w14:paraId="002B3E11" w14:textId="481B56C2" w:rsidR="00A9243F" w:rsidRPr="00A51856" w:rsidRDefault="00742C0C" w:rsidP="00A9243F">
      <w:r w:rsidRPr="00A51856">
        <w:t>3</w:t>
      </w:r>
      <w:r w:rsidR="00333FC3">
        <w:t>2</w:t>
      </w:r>
      <w:r w:rsidR="00A9243F" w:rsidRPr="00A51856">
        <w:t xml:space="preserve">. Teikiamų pagal Aprašą projektų trukmė turi būti ne ilgesnė kaip </w:t>
      </w:r>
      <w:r w:rsidR="00643428" w:rsidRPr="00A51856">
        <w:t>48</w:t>
      </w:r>
      <w:r w:rsidR="00A9243F" w:rsidRPr="00A51856">
        <w:t xml:space="preserve"> mėnesiai nuo dotacijos sutarties pasirašymo dienos.</w:t>
      </w:r>
    </w:p>
    <w:p w14:paraId="7ACC3377" w14:textId="29F266EA" w:rsidR="00A9243F" w:rsidRPr="00A51856" w:rsidRDefault="00742C0C" w:rsidP="00624616">
      <w:r w:rsidRPr="00A51856">
        <w:t>3</w:t>
      </w:r>
      <w:r w:rsidR="00333FC3">
        <w:t>3</w:t>
      </w:r>
      <w:r w:rsidR="00A9243F" w:rsidRPr="00A51856">
        <w:t xml:space="preserve">. Tam tikrais atvejais dėl objektyvių priežasčių, kurių projekto vykdytojas negalėjo numatyti paraiškos pateikimo ir vertinimo metu, projektų </w:t>
      </w:r>
      <w:r w:rsidR="00E1620B">
        <w:t>veiklų įgyvendinimo laikotarpis</w:t>
      </w:r>
      <w:r w:rsidR="00A9243F" w:rsidRPr="00A51856">
        <w:t xml:space="preserve"> gali būti pratęsta</w:t>
      </w:r>
      <w:r w:rsidR="00E1620B">
        <w:t>s</w:t>
      </w:r>
      <w:r w:rsidR="00A9243F" w:rsidRPr="00A51856">
        <w:t xml:space="preserve"> Projektų taisyklių nustatyta tvarka</w:t>
      </w:r>
      <w:r w:rsidR="003608BE">
        <w:rPr>
          <w:iCs/>
        </w:rPr>
        <w:t>, bet ne ilgiau kaip 6 mėn.</w:t>
      </w:r>
      <w:r w:rsidR="003608BE" w:rsidRPr="003608BE">
        <w:rPr>
          <w:iCs/>
        </w:rPr>
        <w:t xml:space="preserve"> </w:t>
      </w:r>
      <w:r w:rsidR="00E1620B">
        <w:rPr>
          <w:iCs/>
        </w:rPr>
        <w:t xml:space="preserve">ir </w:t>
      </w:r>
      <w:r w:rsidR="00A9243F" w:rsidRPr="00A51856">
        <w:rPr>
          <w:iCs/>
        </w:rPr>
        <w:t>nepažeidžiant Projektų taisyklių 213.1 ir 213.5 papunkčiuose nustatytų terminų.</w:t>
      </w:r>
    </w:p>
    <w:p w14:paraId="06DF61E4" w14:textId="25BAC3DD" w:rsidR="00A9243F" w:rsidRPr="00A51856" w:rsidRDefault="00A9243F" w:rsidP="00A9243F">
      <w:pPr>
        <w:rPr>
          <w:rFonts w:eastAsia="Calibri"/>
          <w:highlight w:val="yellow"/>
        </w:rPr>
      </w:pPr>
      <w:r w:rsidRPr="00A51856">
        <w:t>3</w:t>
      </w:r>
      <w:r w:rsidR="00170A02">
        <w:t>4</w:t>
      </w:r>
      <w:r w:rsidRPr="00A51856">
        <w:t xml:space="preserve">. Projekto veiklos turi būti vykdomos Lietuvos Respublikoje. Projekto veiklos gali būti vykdomos kitose ES valstybėse narėse, jeigu </w:t>
      </w:r>
      <w:r w:rsidRPr="00A51856">
        <w:rPr>
          <w:rFonts w:eastAsia="Calibri"/>
        </w:rPr>
        <w:t xml:space="preserve">jas vykdant sukurti produktai, rezultatai ir nauda (ar jų dalis, proporcinga Lietuvos Respublikos finansiniam įnašui) atitenka Lietuvos Respublikai. Projekto veiklų vykdymo vieta yra laikoma vieta, kurioje projekto veiklą vykdo projektą vykdantis personalas, kaip jis apibrėžtas </w:t>
      </w:r>
      <w:r w:rsidRPr="00A51856">
        <w:rPr>
          <w:lang w:eastAsia="lt-LT"/>
        </w:rPr>
        <w:t>Rekomendacijų dėl projektų išlaidų atitikties Europos Sąjungos struktūrinių fondų reikalavimams</w:t>
      </w:r>
      <w:r w:rsidRPr="00A51856">
        <w:rPr>
          <w:rFonts w:eastAsia="Calibri"/>
        </w:rPr>
        <w:t xml:space="preserve"> reikalavimuose.</w:t>
      </w:r>
    </w:p>
    <w:p w14:paraId="30C0D710" w14:textId="4BA7E7C8" w:rsidR="00E1620B" w:rsidRPr="00A51856" w:rsidRDefault="00170A02" w:rsidP="00A9243F">
      <w:pPr>
        <w:rPr>
          <w:rFonts w:eastAsia="Calibri"/>
        </w:rPr>
      </w:pPr>
      <w:r>
        <w:rPr>
          <w:rFonts w:eastAsia="Calibri"/>
        </w:rPr>
        <w:t>35</w:t>
      </w:r>
      <w:r w:rsidR="00E1620B">
        <w:rPr>
          <w:rFonts w:eastAsia="Calibri"/>
        </w:rPr>
        <w:t xml:space="preserve">. </w:t>
      </w:r>
      <w:r w:rsidR="00E1620B" w:rsidRPr="00E1620B">
        <w:rPr>
          <w:rFonts w:eastAsia="Calibri"/>
        </w:rPr>
        <w:t>Pareiškėjas paraiškos p</w:t>
      </w:r>
      <w:r w:rsidR="00E1620B">
        <w:rPr>
          <w:rFonts w:eastAsia="Calibri"/>
        </w:rPr>
        <w:t xml:space="preserve">riede </w:t>
      </w:r>
      <w:r w:rsidR="00E1620B" w:rsidRPr="00E1620B">
        <w:rPr>
          <w:rFonts w:eastAsia="Calibri"/>
        </w:rPr>
        <w:t xml:space="preserve">nurodo, kuriai iš sumanios specializacijos krypčių ir šių krypčių prioritetų, nurodytų Prioritetinių mokslinių tyrimų ir eksperimentinės (socialinės, kultūrinės) plėtros ir inovacijų raidos (sumaniosios specializacijos) krypčių ir </w:t>
      </w:r>
      <w:r w:rsidR="00E1620B" w:rsidRPr="00E1620B">
        <w:rPr>
          <w:rFonts w:eastAsia="Calibri"/>
        </w:rPr>
        <w:lastRenderedPageBreak/>
        <w:t>jų prioritetų įgyvendinimo programoje, patvirtintoje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priskiriamas projektas, taip pat nurodo, kurį prioriteto teminį specifiškumą atitinka projektas. Galutinį priskyrimą arba nepriskyrimą konkrečiai sumanios specializacijos krypčiai ir jos prioritetui nustato įgyvendinančioji institucija vertinimo metu. Tuo atveju, jeigu įgyvendinančioji institucija nustato, kad projektas priskiriamas kitai sumanios specializacijos krypčiai ir (ar) šios krypties prioritetui nei pareiškėjas nurodė paraiškoje, pareiškėjui pasiūloma patikslinti paraiškoje nurodytą informaciją, kuriai iš sumanios specializacijos krypčių ir šių krypčių prioritetų priskiriamas projektas.</w:t>
      </w:r>
    </w:p>
    <w:p w14:paraId="1E38DAD7" w14:textId="46D96DBA" w:rsidR="00A9243F" w:rsidRPr="00A51856" w:rsidRDefault="00170A02" w:rsidP="00A9243F">
      <w:r>
        <w:t>36</w:t>
      </w:r>
      <w:r w:rsidR="00A9243F" w:rsidRPr="00A51856">
        <w:t>. Projektu turi būti siekiama visų toliau išvardytų priemonės įgyvendinimo stebėsenos rodiklių:</w:t>
      </w:r>
    </w:p>
    <w:p w14:paraId="0630236E" w14:textId="1E5352F0" w:rsidR="00751C35" w:rsidRPr="00A51856" w:rsidRDefault="00170A02" w:rsidP="00A9243F">
      <w:r>
        <w:t>36</w:t>
      </w:r>
      <w:r w:rsidR="00751C35" w:rsidRPr="00A51856">
        <w:t>.1. produkto rodiklis „Investicijas gavusių mokslo ir studijų institucijų pateiktos patentų paraiškos“</w:t>
      </w:r>
      <w:r w:rsidR="00EE0C59" w:rsidRPr="00A51856">
        <w:t xml:space="preserve"> (rodiklio</w:t>
      </w:r>
      <w:r w:rsidR="00751C35" w:rsidRPr="00A51856">
        <w:t xml:space="preserve"> kodas P.S.305</w:t>
      </w:r>
      <w:r w:rsidR="00EE0C59" w:rsidRPr="00A51856">
        <w:t>)</w:t>
      </w:r>
      <w:r w:rsidR="00751C35" w:rsidRPr="00A51856">
        <w:t>;</w:t>
      </w:r>
    </w:p>
    <w:p w14:paraId="7FCBE4B6" w14:textId="7DA176E8" w:rsidR="00A9243F" w:rsidRPr="00A51856" w:rsidRDefault="00170A02" w:rsidP="00A9243F">
      <w:r>
        <w:t>36</w:t>
      </w:r>
      <w:r w:rsidR="00751C35" w:rsidRPr="00A51856">
        <w:t>.2</w:t>
      </w:r>
      <w:r w:rsidR="00A9243F" w:rsidRPr="00A51856">
        <w:t>. produkto rodiklis „Įgyvendinti MTEP projektai“</w:t>
      </w:r>
      <w:r w:rsidR="00EE0C59" w:rsidRPr="00A51856">
        <w:t xml:space="preserve"> (rodiklio</w:t>
      </w:r>
      <w:r w:rsidR="00A9243F" w:rsidRPr="00A51856">
        <w:t xml:space="preserve"> kodas P.S.396</w:t>
      </w:r>
      <w:r w:rsidR="00EE0C59" w:rsidRPr="00A51856">
        <w:t>)</w:t>
      </w:r>
      <w:r w:rsidR="00A9243F" w:rsidRPr="00A51856">
        <w:t>;</w:t>
      </w:r>
    </w:p>
    <w:p w14:paraId="6B49A766" w14:textId="75D11111" w:rsidR="00A9243F" w:rsidRPr="00A51856" w:rsidRDefault="00170A02" w:rsidP="00A9243F">
      <w:r>
        <w:t>37</w:t>
      </w:r>
      <w:r w:rsidR="00A9243F" w:rsidRPr="00A51856">
        <w:t xml:space="preserve">. </w:t>
      </w:r>
      <w:r w:rsidR="00A9243F" w:rsidRPr="00A51856">
        <w:rPr>
          <w:highlight w:val="lightGray"/>
        </w:rPr>
        <w:t xml:space="preserve">Aprašo </w:t>
      </w:r>
      <w:r>
        <w:rPr>
          <w:highlight w:val="lightGray"/>
        </w:rPr>
        <w:t>36</w:t>
      </w:r>
      <w:r w:rsidR="006624B2" w:rsidRPr="00A51856">
        <w:rPr>
          <w:highlight w:val="lightGray"/>
        </w:rPr>
        <w:t xml:space="preserve"> punkte</w:t>
      </w:r>
      <w:r w:rsidR="006624B2" w:rsidRPr="00A51856">
        <w:t xml:space="preserve"> nurodytų</w:t>
      </w:r>
      <w:r w:rsidR="00A9243F" w:rsidRPr="00A51856">
        <w:t xml:space="preserve"> priemonės įgyvendinimo stebėsenos rodikl</w:t>
      </w:r>
      <w:r w:rsidR="006624B2" w:rsidRPr="00A51856">
        <w:t>ių</w:t>
      </w:r>
      <w:r w:rsidR="00A9243F" w:rsidRPr="00A51856">
        <w:t xml:space="preserve"> skaičiavimo aprašas nustatytas Veiksmų programos stebėsenos rodiklių skaičiavimo apraše.</w:t>
      </w:r>
      <w:r w:rsidR="00A9243F" w:rsidRPr="00A51856">
        <w:rPr>
          <w:lang w:eastAsia="lt-LT"/>
        </w:rPr>
        <w:t xml:space="preserve"> </w:t>
      </w:r>
      <w:r w:rsidR="00A9243F" w:rsidRPr="00A51856">
        <w:t xml:space="preserve">Visų Priemonės įgyvendinimo stebėsenos rodiklių skaičiavimo aprašai skelbiami ES struktūrinių fondų svetainėje </w:t>
      </w:r>
      <w:hyperlink r:id="rId12" w:history="1">
        <w:r w:rsidR="00A9243F" w:rsidRPr="00A51856">
          <w:rPr>
            <w:rStyle w:val="Hipersaitas"/>
          </w:rPr>
          <w:t>www.esinvesticijos.lt</w:t>
        </w:r>
      </w:hyperlink>
      <w:r w:rsidR="00A9243F" w:rsidRPr="00A51856">
        <w:t>.</w:t>
      </w:r>
    </w:p>
    <w:p w14:paraId="5B1BACA5" w14:textId="7088B900" w:rsidR="00EE694E" w:rsidRDefault="00C43271" w:rsidP="00A9243F">
      <w:r>
        <w:t>38</w:t>
      </w:r>
      <w:r w:rsidR="00A9243F" w:rsidRPr="00A51856">
        <w:t>.</w:t>
      </w:r>
      <w:r w:rsidR="005458D6" w:rsidRPr="00A51856">
        <w:t xml:space="preserve"> </w:t>
      </w:r>
      <w:r w:rsidR="00EE694E" w:rsidRPr="00EE694E">
        <w:t>Projekto parengtumui taikomas šis reikalavimas –  iki paraiškos pateikimo pareiškėjas turi turėti veikiančią teisių, atsirandančių iš intelektinės veiklos rezultatų, valdymo tvarką, atitinkančią 2009 m. gruodžio 1 d. Lietuvos Respublikos švietimo ir mokslo ministro įsakymu Nr. ISAK-2462 patvirtintų „Rekomendacijų Lietuvos mokslo ir studijų institucijoms dėl teisių, atsirandančių iš intelektinės veiklos rezultatų“ 7, 10, 12, 16 ir 17 punktuose nustatytus reikalavimus ir tai patvirtinančius dokumentus.</w:t>
      </w:r>
    </w:p>
    <w:p w14:paraId="5B5590B0" w14:textId="5BDC2DFC" w:rsidR="00A9243F" w:rsidRPr="00A51856" w:rsidRDefault="00C43271" w:rsidP="00A9243F">
      <w:pPr>
        <w:rPr>
          <w:i/>
        </w:rPr>
      </w:pPr>
      <w:r>
        <w:t>39</w:t>
      </w:r>
      <w:r w:rsidR="00A9243F" w:rsidRPr="00A51856">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7C9C97C9" w14:textId="2F0F6566" w:rsidR="00A9243F" w:rsidRPr="00A51856" w:rsidRDefault="00C43271" w:rsidP="00A9243F">
      <w:pPr>
        <w:rPr>
          <w:i/>
        </w:rPr>
      </w:pPr>
      <w:r>
        <w:t>40</w:t>
      </w:r>
      <w:r w:rsidR="00A9243F" w:rsidRPr="00A51856">
        <w:t xml:space="preserve">. Neturi būti numatyti projekto veiksmai, kurie turėtų neigiamą poveikį darnaus vystymosi principo įgyvendinimui. </w:t>
      </w:r>
    </w:p>
    <w:p w14:paraId="02B55D42" w14:textId="58F43EBB" w:rsidR="00EE694E" w:rsidRDefault="00C43271" w:rsidP="00EE694E">
      <w:r>
        <w:t>41</w:t>
      </w:r>
      <w:r w:rsidR="00EE694E">
        <w:t xml:space="preserve">. </w:t>
      </w:r>
      <w:r w:rsidR="004B5E4D" w:rsidRPr="004B5E4D">
        <w:t>Tuo atveju, kai projekto pareiškėjas vykdo projektą kartu su partneriu privačiuoju juridiniu asmeniu</w:t>
      </w:r>
      <w:r w:rsidR="004B5E4D">
        <w:t>,</w:t>
      </w:r>
      <w:r w:rsidR="004B5E4D" w:rsidRPr="004B5E4D">
        <w:t xml:space="preserve"> </w:t>
      </w:r>
      <w:r w:rsidR="004B5E4D">
        <w:t>p</w:t>
      </w:r>
      <w:r w:rsidR="00EE694E">
        <w:t>agal šį Aprašą gali būti teikiama valstybės pagalba, kaip ji apibrėžta Sutarties dėl Europos Sąjungos veikimo (OL 2010 C 83, p. 47) 107 straipsnyje. Finansavimas, skiriamas kaip valstybės pagalba projektams, yra investicinė pagalba, teikiama pagal Reglam</w:t>
      </w:r>
      <w:r w:rsidR="004B5E4D">
        <w:t>ento (ES) Nr. 651/2014 25 straipsnį</w:t>
      </w:r>
      <w:r w:rsidR="00EE694E">
        <w:t>, atsižvelgiant į I skyriaus nuostatas bei 1 straipsnio 2-5 dalyse nustatytus apribojimus. Aprašas nustato valstybės pagalbos mokslinių tyrimų plėtrai ir infrastruktūrai teikimo sąlygas, kurios atitinka Reglamento (ES) Nr. 651/2014 nuostatas ir yra suderinamos su vidaus rinka. Projektų valstybės pagalbos atitikties Regla</w:t>
      </w:r>
      <w:r w:rsidR="004B5E4D">
        <w:t>mento (ES) Nr. 651/2014 25</w:t>
      </w:r>
      <w:r w:rsidR="00EE694E">
        <w:t xml:space="preserve"> straipsnio nuostatoms vertinimą atlieka įgyvendinančioji institucija pagal Aprašo 2 priede nurodytus vertinimo kriterijus. </w:t>
      </w:r>
    </w:p>
    <w:p w14:paraId="02C76BB2" w14:textId="748E7B46" w:rsidR="00EE694E" w:rsidRDefault="00C43271" w:rsidP="00EE694E">
      <w:r>
        <w:t>42</w:t>
      </w:r>
      <w:r w:rsidR="00EE694E">
        <w:t xml:space="preserve">. Valstybės pagalbos reikalavimai, nustatyti šiame Apraše, nėra taikomi mokslinių tyrimų plėtros projektams, jeigu jiems  skiriamas finansavimas neatitinka bent vieno Sutarties dėl Europos Sąjungos veikimo 107 straipsnio 1 dalyje nustatyto valstybės pagalbos kriterijaus, t. y.:  </w:t>
      </w:r>
    </w:p>
    <w:p w14:paraId="377B406B" w14:textId="662034AB" w:rsidR="00EE694E" w:rsidRDefault="00C43271" w:rsidP="00EE694E">
      <w:r>
        <w:t>42</w:t>
      </w:r>
      <w:r w:rsidR="00EE694E">
        <w:t xml:space="preserve">.1. finansavimą tiesiogiai ar netiesiogiai numatoma teikti ūkio subjektams (-ui) ūkinei veiklai vykdyti; </w:t>
      </w:r>
    </w:p>
    <w:p w14:paraId="0E630E8E" w14:textId="7477625E" w:rsidR="00EE694E" w:rsidRDefault="00C43271" w:rsidP="00EE694E">
      <w:r>
        <w:lastRenderedPageBreak/>
        <w:t>42</w:t>
      </w:r>
      <w:r w:rsidR="00EE694E">
        <w:t>.2. finansavimas iš valstybės išteklių ūkio subjektams (-ui) suteiktų/suteikia išskirtinę ekonominę naudą, kurios jie/jis negautų rinkos sąlygomis;</w:t>
      </w:r>
    </w:p>
    <w:p w14:paraId="09320693" w14:textId="28E72580" w:rsidR="00EE694E" w:rsidRDefault="00C43271" w:rsidP="00EE694E">
      <w:r>
        <w:t>42</w:t>
      </w:r>
      <w:r w:rsidR="00EE694E">
        <w:t xml:space="preserve">.3. finansavimą numatoma teikti/teikiamas tam tikroms pasirinktoms prekėms gaminti ar paslaugoms teikti, arba tam tikriems pasirinktiems ūkio subjektams (-ui), t. y. ar finansavimo priemonė yra selektyvaus pobūdžio; </w:t>
      </w:r>
    </w:p>
    <w:p w14:paraId="306FB373" w14:textId="137DCA04" w:rsidR="00CD13FD" w:rsidRDefault="00C43271" w:rsidP="00A9243F">
      <w:r>
        <w:t>42</w:t>
      </w:r>
      <w:r w:rsidR="00EE694E">
        <w:t>.4. finansavimas gali iškraipyti konkurenciją ir veikti prekybą tarp ES šalių.</w:t>
      </w:r>
    </w:p>
    <w:p w14:paraId="73508183" w14:textId="4C4C39F3" w:rsidR="00CD13FD" w:rsidRDefault="00C43271" w:rsidP="00A9243F">
      <w:r>
        <w:t>43</w:t>
      </w:r>
      <w:r w:rsidR="00CD13FD">
        <w:t xml:space="preserve">. </w:t>
      </w:r>
      <w:r w:rsidR="00CD13FD" w:rsidRPr="00CD13FD">
        <w:t>Duomenys apie suteiktą valstybės pagalbą teikiami Suteiktos valstybės pagalbos ir nereikšmingos (de minimis) pagalbos registrui Suteiktos valstybės pagalbos ir nereikšmingos (de minimis) pagalbos registro nuostatuose, patvirtintuose Lietuvos Respublikos Vyriausybės 2005 m. sausio 19 d. nutarimu Nr. 35(Lietuvos Respublikos Vyriausybės 2015 m. birželio 9 d. nutarimo Nr. 592 redakcija), nustatyta tvarka.</w:t>
      </w:r>
    </w:p>
    <w:p w14:paraId="7A5CFEBF" w14:textId="10CF5B36" w:rsidR="00A9243F" w:rsidRPr="00A51856" w:rsidRDefault="00722036" w:rsidP="00A9243F">
      <w:r w:rsidRPr="00A51856">
        <w:t>4</w:t>
      </w:r>
      <w:r w:rsidR="00C43271">
        <w:t>4</w:t>
      </w:r>
      <w:r w:rsidR="00A9243F" w:rsidRPr="00A51856">
        <w:t>.</w:t>
      </w:r>
      <w:r w:rsidR="00A9243F" w:rsidRPr="00A51856">
        <w:rPr>
          <w:rFonts w:eastAsia="Times New Roman"/>
          <w:lang w:eastAsia="lt-LT"/>
        </w:rPr>
        <w:t xml:space="preserve"> P</w:t>
      </w:r>
      <w:r w:rsidR="00A9243F" w:rsidRPr="00A51856">
        <w:t>rojektas negali būti finansuotas ar finansuojamas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5CA5DA46" w14:textId="3969921A" w:rsidR="00A9243F" w:rsidRPr="00A51856" w:rsidRDefault="00742C0C" w:rsidP="002D5A42">
      <w:r w:rsidRPr="00A51856">
        <w:t>4</w:t>
      </w:r>
      <w:r w:rsidR="00C43271">
        <w:t>5</w:t>
      </w:r>
      <w:r w:rsidR="00357F31">
        <w:t xml:space="preserve">. </w:t>
      </w:r>
      <w:r w:rsidR="00B10BA9">
        <w:t xml:space="preserve">Projekte suplanuoti fiziniai veiklos įgyvendinimo rodikliai turi atitikti </w:t>
      </w:r>
      <w:r w:rsidR="002D5A42">
        <w:t xml:space="preserve">2014-2020 m. Europos Sąjungos fondų investicijų veiksmų programos prioriteto įgyvendinimo priemonių įgyvendinimo plano I skyriaus VI skirsnyje nurodytus rodiklius, </w:t>
      </w:r>
      <w:r w:rsidR="002D5A42" w:rsidRPr="00D42DDF">
        <w:rPr>
          <w:highlight w:val="lightGray"/>
        </w:rPr>
        <w:t xml:space="preserve">Aprašo </w:t>
      </w:r>
      <w:r w:rsidR="006A06B3">
        <w:rPr>
          <w:highlight w:val="lightGray"/>
        </w:rPr>
        <w:t>28</w:t>
      </w:r>
      <w:r w:rsidR="002D5A42" w:rsidRPr="00D42DDF">
        <w:rPr>
          <w:highlight w:val="lightGray"/>
        </w:rPr>
        <w:t>.1.</w:t>
      </w:r>
      <w:r w:rsidR="002D5A42">
        <w:t xml:space="preserve"> punkte nurodytų veiksmų planų </w:t>
      </w:r>
      <w:r w:rsidR="00292E1F">
        <w:t>įgyvendinimo kriterijus</w:t>
      </w:r>
      <w:r w:rsidR="002D5A42">
        <w:t xml:space="preserve"> ir</w:t>
      </w:r>
      <w:r w:rsidR="000F1161">
        <w:t xml:space="preserve"> </w:t>
      </w:r>
      <w:r w:rsidR="002D5A42">
        <w:t xml:space="preserve">galimą mokslinę produkciją, nurodytą </w:t>
      </w:r>
      <w:r w:rsidR="002D5A42" w:rsidRPr="00A51856">
        <w:t>Pavyzdiniuose mokslo ir sklaidos projektų galimos mokslinės ir (ar) technologinės produkcijos sąrašuose</w:t>
      </w:r>
      <w:r w:rsidR="00170A02">
        <w:t>.</w:t>
      </w:r>
    </w:p>
    <w:p w14:paraId="58F6F5FE" w14:textId="2216C40B" w:rsidR="0082234C" w:rsidRPr="00A51856" w:rsidRDefault="00742C0C" w:rsidP="00375225">
      <w:r w:rsidRPr="00A51856">
        <w:t>4</w:t>
      </w:r>
      <w:r w:rsidR="00C43271">
        <w:t>6</w:t>
      </w:r>
      <w:r w:rsidR="00A9243F" w:rsidRPr="00A51856">
        <w:t>. Projektui netaikomi investicijų tęstinumo ir ataskaitų po projekto finansavimo pabaigos teikimo reikalavimai.</w:t>
      </w:r>
    </w:p>
    <w:p w14:paraId="41B6D5F1" w14:textId="1AD87591" w:rsidR="00A9243F" w:rsidRPr="00A51856" w:rsidRDefault="00C43271" w:rsidP="0082234C">
      <w:pPr>
        <w:rPr>
          <w:lang w:eastAsia="lt-LT"/>
        </w:rPr>
      </w:pPr>
      <w:r>
        <w:rPr>
          <w:lang w:eastAsia="lt-LT"/>
        </w:rPr>
        <w:t>47</w:t>
      </w:r>
      <w:r w:rsidR="0082234C">
        <w:rPr>
          <w:lang w:eastAsia="lt-LT"/>
        </w:rPr>
        <w:t xml:space="preserve">. </w:t>
      </w:r>
      <w:r w:rsidR="0082234C" w:rsidRPr="0082234C">
        <w:rPr>
          <w:lang w:eastAsia="lt-LT"/>
        </w:rPr>
        <w:t>Je</w:t>
      </w:r>
      <w:r w:rsidR="0082234C">
        <w:rPr>
          <w:lang w:eastAsia="lt-LT"/>
        </w:rPr>
        <w:t xml:space="preserve">i pareiškėjas (mokslo ir studijų institucija) nesiekia </w:t>
      </w:r>
      <w:r w:rsidR="0082234C" w:rsidRPr="00D42DDF">
        <w:rPr>
          <w:highlight w:val="lightGray"/>
          <w:lang w:eastAsia="lt-LT"/>
        </w:rPr>
        <w:t xml:space="preserve">Aprašo </w:t>
      </w:r>
      <w:r w:rsidR="006A06B3" w:rsidRPr="00D42DDF">
        <w:rPr>
          <w:highlight w:val="lightGray"/>
          <w:lang w:eastAsia="lt-LT"/>
        </w:rPr>
        <w:t>3</w:t>
      </w:r>
      <w:r w:rsidR="006A06B3">
        <w:rPr>
          <w:highlight w:val="lightGray"/>
          <w:lang w:eastAsia="lt-LT"/>
        </w:rPr>
        <w:t>6</w:t>
      </w:r>
      <w:r w:rsidR="0082234C" w:rsidRPr="00D42DDF">
        <w:rPr>
          <w:highlight w:val="lightGray"/>
          <w:lang w:eastAsia="lt-LT"/>
        </w:rPr>
        <w:t>.1 punkte</w:t>
      </w:r>
      <w:r w:rsidR="0082234C" w:rsidRPr="0082234C">
        <w:rPr>
          <w:lang w:eastAsia="lt-LT"/>
        </w:rPr>
        <w:t xml:space="preserve"> nurodyto produkto rodiklio, projekto įgyvendinimo metu arba per 6 mėn. po projekto įgyvendinimo pabaigos jis turi sudaryti bent vieną autorinę, autorinę licencinę arba licencinę sutartį su privačiais juridiniais asmenimis dėl autorių teisių objektų arba pramoninės nuosavybės objektų, išskyrus išradimų patentus, ir (arba) patentų biuro nustatyta tvarka pateikti patentų biurui bent vieną paraišką (prašymą) dėl kitų pramoninės nuosavybės objektų registravimo, išskyrus išradimo patentus.</w:t>
      </w:r>
    </w:p>
    <w:p w14:paraId="1E3A60EF" w14:textId="77777777" w:rsidR="0081711E" w:rsidRPr="00A51856" w:rsidRDefault="0081711E" w:rsidP="00A9243F">
      <w:pPr>
        <w:ind w:firstLine="0"/>
        <w:rPr>
          <w:lang w:eastAsia="lt-LT"/>
        </w:rPr>
      </w:pPr>
    </w:p>
    <w:p w14:paraId="40A57742" w14:textId="77777777" w:rsidR="00A9243F" w:rsidRPr="00A51856" w:rsidRDefault="00A9243F" w:rsidP="00A9243F">
      <w:pPr>
        <w:pStyle w:val="Antrat1"/>
        <w:keepNext/>
        <w:rPr>
          <w:lang w:eastAsia="lt-LT"/>
        </w:rPr>
      </w:pPr>
      <w:r w:rsidRPr="00A51856">
        <w:rPr>
          <w:lang w:eastAsia="lt-LT"/>
        </w:rPr>
        <w:t>IV SKYRIUS</w:t>
      </w:r>
    </w:p>
    <w:p w14:paraId="26DCEEED" w14:textId="77777777" w:rsidR="00A9243F" w:rsidRPr="00A51856" w:rsidRDefault="00A9243F" w:rsidP="00A9243F">
      <w:pPr>
        <w:pStyle w:val="Antrat1"/>
        <w:keepNext/>
        <w:rPr>
          <w:lang w:eastAsia="lt-LT"/>
        </w:rPr>
      </w:pPr>
      <w:r w:rsidRPr="00A51856">
        <w:rPr>
          <w:lang w:eastAsia="lt-LT"/>
        </w:rPr>
        <w:t xml:space="preserve"> TINKAMŲ FINANSUOTI PROJEKTO IŠLAIDŲ IR FINANSAVIMO REIKALAVIMAI</w:t>
      </w:r>
    </w:p>
    <w:p w14:paraId="59A69C67" w14:textId="77777777" w:rsidR="0081711E" w:rsidRPr="00A51856" w:rsidRDefault="0081711E" w:rsidP="00D42DDF">
      <w:pPr>
        <w:keepNext/>
        <w:ind w:firstLine="0"/>
        <w:rPr>
          <w:lang w:eastAsia="lt-LT"/>
        </w:rPr>
      </w:pPr>
    </w:p>
    <w:p w14:paraId="67CB04EA" w14:textId="4613404B" w:rsidR="00A9243F" w:rsidRDefault="00742C0C" w:rsidP="00A9243F">
      <w:pPr>
        <w:rPr>
          <w:lang w:eastAsia="lt-LT"/>
        </w:rPr>
      </w:pPr>
      <w:r w:rsidRPr="00A51856">
        <w:rPr>
          <w:lang w:eastAsia="lt-LT"/>
        </w:rPr>
        <w:t>4</w:t>
      </w:r>
      <w:r w:rsidR="00C43271">
        <w:rPr>
          <w:lang w:eastAsia="lt-LT"/>
        </w:rPr>
        <w:t>8</w:t>
      </w:r>
      <w:r w:rsidR="00A9243F" w:rsidRPr="00A51856">
        <w:rPr>
          <w:lang w:eastAsia="lt-LT"/>
        </w:rPr>
        <w:t>. Projekto išlaidos turi atitikti Projektų taisyklių VI skyriuje ir Rekomendacijose dėl projektų išlaidų atitikties Europos Sąjungos struktūrinių fondų reikalavimams išdėstytus projekto išlaidoms taikomus reikalavimus.</w:t>
      </w:r>
    </w:p>
    <w:p w14:paraId="1CC350F1" w14:textId="6B9647F3" w:rsidR="00317C01" w:rsidRDefault="00C43271" w:rsidP="00624616">
      <w:pPr>
        <w:rPr>
          <w:lang w:eastAsia="lt-LT"/>
        </w:rPr>
      </w:pPr>
      <w:r>
        <w:rPr>
          <w:lang w:eastAsia="lt-LT"/>
        </w:rPr>
        <w:t>49</w:t>
      </w:r>
      <w:r w:rsidR="00317C01" w:rsidRPr="00A51856">
        <w:rPr>
          <w:lang w:eastAsia="lt-LT"/>
        </w:rPr>
        <w:t xml:space="preserve">. Didžiausia projektui galima skirti finansavimo lėšų suma yra </w:t>
      </w:r>
      <w:r w:rsidR="00317C01" w:rsidRPr="00A51856">
        <w:t xml:space="preserve">700 000 </w:t>
      </w:r>
      <w:r w:rsidR="00317C01" w:rsidRPr="00A51856">
        <w:rPr>
          <w:lang w:eastAsia="lt-LT"/>
        </w:rPr>
        <w:t>Eur (septyni šimtai tūkstančių eurų).</w:t>
      </w:r>
    </w:p>
    <w:p w14:paraId="64A3D4EB" w14:textId="7F9E1A65" w:rsidR="004B5E4D" w:rsidRDefault="00C43271" w:rsidP="009F1549">
      <w:pPr>
        <w:rPr>
          <w:rFonts w:eastAsia="Times New Roman"/>
          <w:lang w:eastAsia="lt-LT"/>
        </w:rPr>
      </w:pPr>
      <w:r>
        <w:rPr>
          <w:lang w:eastAsia="lt-LT"/>
        </w:rPr>
        <w:t>50</w:t>
      </w:r>
      <w:r w:rsidR="00C93769" w:rsidRPr="00A51856">
        <w:rPr>
          <w:lang w:eastAsia="lt-LT"/>
        </w:rPr>
        <w:t>. Didžiausia galima projekto finansuojamoji dalis sudaro 100 procentų visų tinkamų finansuoti projekto išlaidų</w:t>
      </w:r>
      <w:r w:rsidR="00C93769" w:rsidRPr="00A51856">
        <w:rPr>
          <w:i/>
          <w:lang w:eastAsia="lt-LT"/>
        </w:rPr>
        <w:t>.</w:t>
      </w:r>
      <w:r w:rsidR="00170A02">
        <w:rPr>
          <w:lang w:eastAsia="lt-LT"/>
        </w:rPr>
        <w:t xml:space="preserve"> </w:t>
      </w:r>
      <w:r w:rsidR="00C93769" w:rsidRPr="00A51856">
        <w:rPr>
          <w:rFonts w:eastAsia="Times New Roman"/>
          <w:lang w:eastAsia="lt-LT"/>
        </w:rPr>
        <w:t>Pareiškėjas ir (arba) partneris savo iniciatyva ir savo ir (arba) kitų šaltinių lėšomis gali prisidėti prie projekto įgyvendinimo.</w:t>
      </w:r>
    </w:p>
    <w:p w14:paraId="5516A1A5" w14:textId="28DD10C3" w:rsidR="004B5E4D" w:rsidRDefault="00C43271" w:rsidP="004B5E4D">
      <w:pPr>
        <w:rPr>
          <w:lang w:eastAsia="lt-LT"/>
        </w:rPr>
      </w:pPr>
      <w:r>
        <w:rPr>
          <w:lang w:eastAsia="lt-LT"/>
        </w:rPr>
        <w:t>51</w:t>
      </w:r>
      <w:r w:rsidR="004B5E4D">
        <w:rPr>
          <w:lang w:eastAsia="lt-LT"/>
        </w:rPr>
        <w:t>. Jeigu projektas yra</w:t>
      </w:r>
      <w:r w:rsidR="004B5E4D" w:rsidRPr="008448A4">
        <w:rPr>
          <w:lang w:eastAsia="lt-LT"/>
        </w:rPr>
        <w:t xml:space="preserve"> vykdomas kartu su partneriu privačiuoju juridiniu asmeniu</w:t>
      </w:r>
      <w:r w:rsidR="004B5E4D">
        <w:rPr>
          <w:lang w:eastAsia="lt-LT"/>
        </w:rPr>
        <w:t>, d</w:t>
      </w:r>
      <w:r w:rsidR="004B5E4D" w:rsidRPr="009F3415">
        <w:rPr>
          <w:lang w:eastAsia="lt-LT"/>
        </w:rPr>
        <w:t>idžiausia galima projekto finansuojamoji dalis nurodyta Aprašo 1 lentelėje</w:t>
      </w:r>
      <w:r w:rsidR="004B5E4D">
        <w:rPr>
          <w:lang w:eastAsia="lt-LT"/>
        </w:rPr>
        <w:t>.</w:t>
      </w:r>
    </w:p>
    <w:p w14:paraId="604410EE" w14:textId="77777777" w:rsidR="004B5E4D" w:rsidRDefault="004B5E4D" w:rsidP="004B5E4D">
      <w:pPr>
        <w:rPr>
          <w:lang w:eastAsia="lt-LT"/>
        </w:rPr>
      </w:pPr>
    </w:p>
    <w:p w14:paraId="6F67811C" w14:textId="77777777" w:rsidR="009F1549" w:rsidRDefault="009F1549" w:rsidP="004B5E4D">
      <w:pPr>
        <w:rPr>
          <w:lang w:eastAsia="lt-LT"/>
        </w:rPr>
      </w:pPr>
    </w:p>
    <w:p w14:paraId="2E4A5A12" w14:textId="77777777" w:rsidR="004B5E4D" w:rsidRDefault="004B5E4D" w:rsidP="004B5E4D">
      <w:pPr>
        <w:rPr>
          <w:lang w:eastAsia="lt-LT"/>
        </w:rPr>
      </w:pPr>
      <w:r w:rsidRPr="009F3415">
        <w:rPr>
          <w:lang w:eastAsia="lt-LT"/>
        </w:rPr>
        <w:t>1 lentelė. Projekto finansuojamoji dalis.</w:t>
      </w:r>
    </w:p>
    <w:tbl>
      <w:tblPr>
        <w:tblStyle w:val="Lentelstinklelis1"/>
        <w:tblW w:w="9747" w:type="dxa"/>
        <w:tblInd w:w="-949" w:type="dxa"/>
        <w:tblLayout w:type="fixed"/>
        <w:tblLook w:val="04A0" w:firstRow="1" w:lastRow="0" w:firstColumn="1" w:lastColumn="0" w:noHBand="0" w:noVBand="1"/>
      </w:tblPr>
      <w:tblGrid>
        <w:gridCol w:w="675"/>
        <w:gridCol w:w="1134"/>
        <w:gridCol w:w="993"/>
        <w:gridCol w:w="1134"/>
        <w:gridCol w:w="1275"/>
        <w:gridCol w:w="1418"/>
        <w:gridCol w:w="992"/>
        <w:gridCol w:w="1134"/>
        <w:gridCol w:w="992"/>
      </w:tblGrid>
      <w:tr w:rsidR="004B5E4D" w:rsidRPr="00F1170B" w14:paraId="496B4010" w14:textId="77777777" w:rsidTr="004B5E4D">
        <w:trPr>
          <w:trHeight w:val="412"/>
        </w:trPr>
        <w:tc>
          <w:tcPr>
            <w:tcW w:w="675" w:type="dxa"/>
            <w:vMerge w:val="restart"/>
            <w:tcBorders>
              <w:top w:val="single" w:sz="4" w:space="0" w:color="auto"/>
              <w:left w:val="single" w:sz="4" w:space="0" w:color="auto"/>
              <w:right w:val="single" w:sz="4" w:space="0" w:color="auto"/>
            </w:tcBorders>
            <w:shd w:val="clear" w:color="auto" w:fill="E7E6E6"/>
            <w:vAlign w:val="center"/>
          </w:tcPr>
          <w:p w14:paraId="756E35AF" w14:textId="77777777" w:rsidR="004B5E4D" w:rsidRPr="00F1170B" w:rsidRDefault="004B5E4D" w:rsidP="00880626">
            <w:pPr>
              <w:tabs>
                <w:tab w:val="left" w:pos="318"/>
              </w:tabs>
              <w:ind w:firstLine="0"/>
              <w:jc w:val="left"/>
              <w:rPr>
                <w:i/>
              </w:rPr>
            </w:pPr>
            <w:r w:rsidRPr="00F1170B">
              <w:rPr>
                <w:i/>
              </w:rPr>
              <w:lastRenderedPageBreak/>
              <w:t>Eil.Nr.</w:t>
            </w:r>
          </w:p>
        </w:tc>
        <w:tc>
          <w:tcPr>
            <w:tcW w:w="1134" w:type="dxa"/>
            <w:vMerge w:val="restart"/>
            <w:tcBorders>
              <w:top w:val="single" w:sz="4" w:space="0" w:color="auto"/>
              <w:left w:val="single" w:sz="4" w:space="0" w:color="auto"/>
              <w:right w:val="single" w:sz="4" w:space="0" w:color="auto"/>
            </w:tcBorders>
            <w:shd w:val="clear" w:color="auto" w:fill="E7E6E6"/>
          </w:tcPr>
          <w:p w14:paraId="200E6FEA" w14:textId="77777777" w:rsidR="004B5E4D" w:rsidRPr="00F1170B" w:rsidRDefault="004B5E4D" w:rsidP="00880626">
            <w:pPr>
              <w:tabs>
                <w:tab w:val="left" w:pos="426"/>
              </w:tabs>
              <w:ind w:firstLine="0"/>
              <w:rPr>
                <w:i/>
              </w:rPr>
            </w:pPr>
          </w:p>
        </w:tc>
        <w:tc>
          <w:tcPr>
            <w:tcW w:w="993" w:type="dxa"/>
            <w:tcBorders>
              <w:top w:val="single" w:sz="4" w:space="0" w:color="auto"/>
              <w:left w:val="single" w:sz="4" w:space="0" w:color="auto"/>
              <w:right w:val="single" w:sz="4" w:space="0" w:color="auto"/>
            </w:tcBorders>
            <w:shd w:val="clear" w:color="auto" w:fill="E7E6E6"/>
          </w:tcPr>
          <w:p w14:paraId="64E828DD" w14:textId="77777777" w:rsidR="004B5E4D" w:rsidRPr="00F1170B" w:rsidRDefault="004B5E4D" w:rsidP="00880626">
            <w:pPr>
              <w:tabs>
                <w:tab w:val="left" w:pos="426"/>
              </w:tabs>
              <w:ind w:firstLine="0"/>
              <w:rPr>
                <w:i/>
              </w:rPr>
            </w:pPr>
          </w:p>
        </w:tc>
        <w:tc>
          <w:tcPr>
            <w:tcW w:w="3827" w:type="dxa"/>
            <w:gridSpan w:val="3"/>
            <w:tcBorders>
              <w:top w:val="single" w:sz="4" w:space="0" w:color="auto"/>
              <w:left w:val="single" w:sz="4" w:space="0" w:color="auto"/>
              <w:right w:val="single" w:sz="4" w:space="0" w:color="auto"/>
            </w:tcBorders>
            <w:shd w:val="clear" w:color="auto" w:fill="E7E6E6"/>
          </w:tcPr>
          <w:p w14:paraId="3974A3B7" w14:textId="77777777" w:rsidR="004B5E4D" w:rsidRPr="00F1170B" w:rsidRDefault="004B5E4D" w:rsidP="00880626">
            <w:pPr>
              <w:tabs>
                <w:tab w:val="left" w:pos="426"/>
              </w:tabs>
              <w:ind w:firstLine="0"/>
              <w:jc w:val="center"/>
              <w:rPr>
                <w:i/>
              </w:rPr>
            </w:pPr>
            <w:r w:rsidRPr="00F1170B">
              <w:rPr>
                <w:i/>
              </w:rPr>
              <w:t>Galimas bazinės finansuojamosios dalies padidinimas, bet ne daugiau nei iki 80 procentų tinkamų finansuoti išlaidų</w:t>
            </w:r>
          </w:p>
        </w:tc>
        <w:tc>
          <w:tcPr>
            <w:tcW w:w="3118" w:type="dxa"/>
            <w:gridSpan w:val="3"/>
            <w:tcBorders>
              <w:top w:val="single" w:sz="4" w:space="0" w:color="auto"/>
              <w:left w:val="single" w:sz="4" w:space="0" w:color="auto"/>
              <w:right w:val="single" w:sz="4" w:space="0" w:color="auto"/>
            </w:tcBorders>
            <w:shd w:val="clear" w:color="auto" w:fill="E7E6E6"/>
            <w:vAlign w:val="center"/>
          </w:tcPr>
          <w:p w14:paraId="4AB97FDE" w14:textId="77777777" w:rsidR="004B5E4D" w:rsidRPr="00F1170B" w:rsidRDefault="004B5E4D" w:rsidP="00880626">
            <w:pPr>
              <w:tabs>
                <w:tab w:val="left" w:pos="426"/>
              </w:tabs>
              <w:ind w:firstLine="0"/>
              <w:jc w:val="center"/>
              <w:rPr>
                <w:i/>
              </w:rPr>
            </w:pPr>
            <w:r w:rsidRPr="00F1170B">
              <w:rPr>
                <w:i/>
              </w:rPr>
              <w:t xml:space="preserve">Didžiausia galima finansuojamoji dalis atsižvelgiant į valstybės pagalbos gavėjo statusą </w:t>
            </w:r>
          </w:p>
        </w:tc>
      </w:tr>
      <w:tr w:rsidR="004B5E4D" w:rsidRPr="00F1170B" w14:paraId="12123D4A" w14:textId="77777777" w:rsidTr="004B5E4D">
        <w:trPr>
          <w:trHeight w:val="270"/>
        </w:trPr>
        <w:tc>
          <w:tcPr>
            <w:tcW w:w="675" w:type="dxa"/>
            <w:vMerge/>
            <w:tcBorders>
              <w:left w:val="single" w:sz="4" w:space="0" w:color="auto"/>
              <w:bottom w:val="single" w:sz="4" w:space="0" w:color="auto"/>
              <w:right w:val="single" w:sz="4" w:space="0" w:color="auto"/>
            </w:tcBorders>
            <w:shd w:val="clear" w:color="auto" w:fill="E7E6E6"/>
          </w:tcPr>
          <w:p w14:paraId="32858C8A" w14:textId="77777777" w:rsidR="004B5E4D" w:rsidRPr="00F1170B" w:rsidRDefault="004B5E4D" w:rsidP="00880626">
            <w:pPr>
              <w:ind w:firstLine="0"/>
              <w:jc w:val="left"/>
              <w:rPr>
                <w:i/>
              </w:rPr>
            </w:pPr>
          </w:p>
        </w:tc>
        <w:tc>
          <w:tcPr>
            <w:tcW w:w="1134" w:type="dxa"/>
            <w:vMerge/>
            <w:tcBorders>
              <w:left w:val="single" w:sz="4" w:space="0" w:color="auto"/>
              <w:bottom w:val="single" w:sz="4" w:space="0" w:color="auto"/>
              <w:right w:val="single" w:sz="4" w:space="0" w:color="auto"/>
            </w:tcBorders>
            <w:shd w:val="clear" w:color="auto" w:fill="E7E6E6"/>
            <w:vAlign w:val="center"/>
            <w:hideMark/>
          </w:tcPr>
          <w:p w14:paraId="486D6518" w14:textId="77777777" w:rsidR="004B5E4D" w:rsidRPr="00F1170B" w:rsidRDefault="004B5E4D" w:rsidP="00880626">
            <w:pPr>
              <w:ind w:firstLine="0"/>
              <w:jc w:val="left"/>
              <w:rPr>
                <w:i/>
              </w:rPr>
            </w:pPr>
          </w:p>
        </w:tc>
        <w:tc>
          <w:tcPr>
            <w:tcW w:w="99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7CC3731" w14:textId="77777777" w:rsidR="004B5E4D" w:rsidRPr="00F1170B" w:rsidRDefault="004B5E4D" w:rsidP="00880626">
            <w:pPr>
              <w:ind w:firstLine="0"/>
              <w:jc w:val="left"/>
              <w:rPr>
                <w:i/>
              </w:rPr>
            </w:pPr>
            <w:r w:rsidRPr="00F1170B">
              <w:rPr>
                <w:i/>
              </w:rPr>
              <w:t>Bazinė finan-suoja-moji dalis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606E14BC" w14:textId="77777777" w:rsidR="004B5E4D" w:rsidRPr="00F1170B" w:rsidRDefault="004B5E4D" w:rsidP="00880626">
            <w:pPr>
              <w:tabs>
                <w:tab w:val="left" w:pos="426"/>
              </w:tabs>
              <w:ind w:firstLine="0"/>
              <w:rPr>
                <w:i/>
              </w:rPr>
            </w:pPr>
            <w:r w:rsidRPr="00F1170B">
              <w:rPr>
                <w:i/>
              </w:rPr>
              <w:t xml:space="preserve">Padidi-nama vidutinėms įmonėms </w:t>
            </w:r>
          </w:p>
        </w:tc>
        <w:tc>
          <w:tcPr>
            <w:tcW w:w="1275" w:type="dxa"/>
            <w:tcBorders>
              <w:top w:val="single" w:sz="4" w:space="0" w:color="auto"/>
              <w:left w:val="single" w:sz="4" w:space="0" w:color="auto"/>
              <w:bottom w:val="single" w:sz="4" w:space="0" w:color="auto"/>
              <w:right w:val="single" w:sz="4" w:space="0" w:color="auto"/>
            </w:tcBorders>
            <w:shd w:val="clear" w:color="auto" w:fill="E7E6E6"/>
            <w:hideMark/>
          </w:tcPr>
          <w:p w14:paraId="7A1E6A80" w14:textId="77777777" w:rsidR="004B5E4D" w:rsidRPr="00F1170B" w:rsidRDefault="004B5E4D" w:rsidP="00880626">
            <w:pPr>
              <w:tabs>
                <w:tab w:val="left" w:pos="426"/>
              </w:tabs>
              <w:ind w:firstLine="0"/>
              <w:jc w:val="left"/>
              <w:rPr>
                <w:i/>
              </w:rPr>
            </w:pPr>
            <w:r w:rsidRPr="00F1170B">
              <w:rPr>
                <w:i/>
              </w:rPr>
              <w:t xml:space="preserve">Padidina-ma labai mažoms ir mažoms įmonėms </w:t>
            </w:r>
          </w:p>
        </w:tc>
        <w:tc>
          <w:tcPr>
            <w:tcW w:w="1418" w:type="dxa"/>
            <w:tcBorders>
              <w:top w:val="single" w:sz="4" w:space="0" w:color="auto"/>
              <w:left w:val="single" w:sz="4" w:space="0" w:color="auto"/>
              <w:bottom w:val="single" w:sz="4" w:space="0" w:color="auto"/>
              <w:right w:val="single" w:sz="4" w:space="0" w:color="auto"/>
            </w:tcBorders>
            <w:shd w:val="clear" w:color="auto" w:fill="E7E6E6"/>
            <w:hideMark/>
          </w:tcPr>
          <w:p w14:paraId="7BE8BA84" w14:textId="77777777" w:rsidR="004B5E4D" w:rsidRPr="00F1170B" w:rsidRDefault="004B5E4D" w:rsidP="00880626">
            <w:pPr>
              <w:tabs>
                <w:tab w:val="left" w:pos="426"/>
              </w:tabs>
              <w:ind w:firstLine="0"/>
              <w:jc w:val="left"/>
              <w:rPr>
                <w:i/>
              </w:rPr>
            </w:pPr>
            <w:r w:rsidRPr="00F1170B">
              <w:rPr>
                <w:i/>
              </w:rPr>
              <w:t xml:space="preserve">Padidinama už veiksmin-gą bendradar-biavimą, jei tenkinamos Bendrojo bendrosios išimties reglamento 25 straipsnio 6 punkto b papunktyje nurodytos sąlygos. </w:t>
            </w:r>
          </w:p>
        </w:tc>
        <w:tc>
          <w:tcPr>
            <w:tcW w:w="992" w:type="dxa"/>
            <w:tcBorders>
              <w:top w:val="single" w:sz="4" w:space="0" w:color="auto"/>
              <w:left w:val="single" w:sz="4" w:space="0" w:color="auto"/>
              <w:bottom w:val="single" w:sz="4" w:space="0" w:color="auto"/>
              <w:right w:val="single" w:sz="4" w:space="0" w:color="auto"/>
            </w:tcBorders>
            <w:shd w:val="clear" w:color="auto" w:fill="E7E6E6"/>
            <w:hideMark/>
          </w:tcPr>
          <w:p w14:paraId="2A484A46" w14:textId="77777777" w:rsidR="004B5E4D" w:rsidRPr="00F1170B" w:rsidRDefault="004B5E4D" w:rsidP="00880626">
            <w:pPr>
              <w:tabs>
                <w:tab w:val="left" w:pos="426"/>
              </w:tabs>
              <w:ind w:firstLine="0"/>
              <w:jc w:val="left"/>
              <w:rPr>
                <w:i/>
              </w:rPr>
            </w:pPr>
            <w:r w:rsidRPr="00F1170B">
              <w:rPr>
                <w:i/>
              </w:rPr>
              <w:t xml:space="preserve">Didelė įmonė </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32561DB2" w14:textId="77777777" w:rsidR="004B5E4D" w:rsidRPr="00F1170B" w:rsidRDefault="004B5E4D" w:rsidP="00880626">
            <w:pPr>
              <w:tabs>
                <w:tab w:val="left" w:pos="426"/>
              </w:tabs>
              <w:ind w:firstLine="0"/>
              <w:jc w:val="left"/>
              <w:rPr>
                <w:i/>
              </w:rPr>
            </w:pPr>
            <w:r w:rsidRPr="00F1170B">
              <w:rPr>
                <w:i/>
              </w:rPr>
              <w:t xml:space="preserve">Vidutinė įmonė </w:t>
            </w:r>
          </w:p>
        </w:tc>
        <w:tc>
          <w:tcPr>
            <w:tcW w:w="992" w:type="dxa"/>
            <w:tcBorders>
              <w:top w:val="single" w:sz="4" w:space="0" w:color="auto"/>
              <w:left w:val="single" w:sz="4" w:space="0" w:color="auto"/>
              <w:bottom w:val="single" w:sz="4" w:space="0" w:color="auto"/>
              <w:right w:val="single" w:sz="4" w:space="0" w:color="auto"/>
            </w:tcBorders>
            <w:shd w:val="clear" w:color="auto" w:fill="E7E6E6"/>
            <w:hideMark/>
          </w:tcPr>
          <w:p w14:paraId="2CBE0D55" w14:textId="77777777" w:rsidR="004B5E4D" w:rsidRPr="00F1170B" w:rsidRDefault="004B5E4D" w:rsidP="00880626">
            <w:pPr>
              <w:tabs>
                <w:tab w:val="left" w:pos="426"/>
              </w:tabs>
              <w:ind w:firstLine="0"/>
              <w:jc w:val="left"/>
              <w:rPr>
                <w:i/>
              </w:rPr>
            </w:pPr>
            <w:r w:rsidRPr="00F1170B">
              <w:rPr>
                <w:i/>
              </w:rPr>
              <w:t xml:space="preserve">Labai maža ir maža įmonė </w:t>
            </w:r>
          </w:p>
        </w:tc>
      </w:tr>
      <w:tr w:rsidR="004B5E4D" w:rsidRPr="00F1170B" w14:paraId="59BA1DCB" w14:textId="77777777" w:rsidTr="004B5E4D">
        <w:tc>
          <w:tcPr>
            <w:tcW w:w="675" w:type="dxa"/>
            <w:tcBorders>
              <w:top w:val="single" w:sz="4" w:space="0" w:color="auto"/>
              <w:left w:val="single" w:sz="4" w:space="0" w:color="auto"/>
              <w:bottom w:val="single" w:sz="4" w:space="0" w:color="auto"/>
              <w:right w:val="single" w:sz="4" w:space="0" w:color="auto"/>
            </w:tcBorders>
            <w:shd w:val="clear" w:color="auto" w:fill="E7E6E6"/>
          </w:tcPr>
          <w:p w14:paraId="60C5F754" w14:textId="77777777" w:rsidR="004B5E4D" w:rsidRPr="00F1170B" w:rsidRDefault="004B5E4D" w:rsidP="00880626">
            <w:pPr>
              <w:tabs>
                <w:tab w:val="left" w:pos="426"/>
              </w:tabs>
              <w:ind w:firstLine="0"/>
              <w:rPr>
                <w:i/>
              </w:rPr>
            </w:pPr>
            <w:r w:rsidRPr="00F1170B">
              <w:rPr>
                <w:i/>
              </w:rPr>
              <w:t>1.</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25AE3B3E" w14:textId="77777777" w:rsidR="004B5E4D" w:rsidRPr="00F1170B" w:rsidRDefault="004B5E4D" w:rsidP="00880626">
            <w:pPr>
              <w:tabs>
                <w:tab w:val="left" w:pos="426"/>
              </w:tabs>
              <w:ind w:firstLine="0"/>
              <w:rPr>
                <w:i/>
              </w:rPr>
            </w:pPr>
            <w:r w:rsidRPr="00F1170B">
              <w:rPr>
                <w:i/>
              </w:rPr>
              <w:t>Moksli-niai tyrimai</w:t>
            </w:r>
          </w:p>
        </w:tc>
        <w:tc>
          <w:tcPr>
            <w:tcW w:w="993" w:type="dxa"/>
            <w:tcBorders>
              <w:top w:val="single" w:sz="4" w:space="0" w:color="auto"/>
              <w:left w:val="single" w:sz="4" w:space="0" w:color="auto"/>
              <w:bottom w:val="single" w:sz="4" w:space="0" w:color="auto"/>
              <w:right w:val="single" w:sz="4" w:space="0" w:color="auto"/>
            </w:tcBorders>
            <w:hideMark/>
          </w:tcPr>
          <w:p w14:paraId="28237851" w14:textId="77777777" w:rsidR="004B5E4D" w:rsidRPr="00F1170B" w:rsidRDefault="004B5E4D" w:rsidP="00880626">
            <w:pPr>
              <w:tabs>
                <w:tab w:val="left" w:pos="426"/>
              </w:tabs>
              <w:ind w:firstLine="0"/>
            </w:pPr>
            <w:r w:rsidRPr="00F1170B">
              <w:t>50 proc.</w:t>
            </w:r>
          </w:p>
        </w:tc>
        <w:tc>
          <w:tcPr>
            <w:tcW w:w="1134" w:type="dxa"/>
            <w:tcBorders>
              <w:top w:val="single" w:sz="4" w:space="0" w:color="auto"/>
              <w:left w:val="single" w:sz="4" w:space="0" w:color="auto"/>
              <w:bottom w:val="single" w:sz="4" w:space="0" w:color="auto"/>
              <w:right w:val="single" w:sz="4" w:space="0" w:color="auto"/>
            </w:tcBorders>
            <w:hideMark/>
          </w:tcPr>
          <w:p w14:paraId="73CB7724" w14:textId="77777777" w:rsidR="004B5E4D" w:rsidRPr="00F1170B" w:rsidRDefault="004B5E4D" w:rsidP="00880626">
            <w:pPr>
              <w:ind w:firstLine="0"/>
              <w:jc w:val="left"/>
              <w:rPr>
                <w:i/>
              </w:rPr>
            </w:pPr>
            <w:r w:rsidRPr="00F1170B">
              <w:t xml:space="preserve">+10 procenti-nių punktų </w:t>
            </w:r>
          </w:p>
        </w:tc>
        <w:tc>
          <w:tcPr>
            <w:tcW w:w="1275" w:type="dxa"/>
            <w:tcBorders>
              <w:top w:val="single" w:sz="4" w:space="0" w:color="auto"/>
              <w:left w:val="single" w:sz="4" w:space="0" w:color="auto"/>
              <w:bottom w:val="single" w:sz="4" w:space="0" w:color="auto"/>
              <w:right w:val="single" w:sz="4" w:space="0" w:color="auto"/>
            </w:tcBorders>
            <w:hideMark/>
          </w:tcPr>
          <w:p w14:paraId="5FA6975D" w14:textId="77777777" w:rsidR="004B5E4D" w:rsidRPr="00F1170B" w:rsidRDefault="004B5E4D" w:rsidP="00880626">
            <w:pPr>
              <w:ind w:firstLine="0"/>
              <w:jc w:val="left"/>
              <w:rPr>
                <w:i/>
              </w:rPr>
            </w:pPr>
            <w:r w:rsidRPr="00F1170B">
              <w:t xml:space="preserve">+20 procenti-nių </w:t>
            </w:r>
          </w:p>
        </w:tc>
        <w:tc>
          <w:tcPr>
            <w:tcW w:w="1418" w:type="dxa"/>
            <w:tcBorders>
              <w:top w:val="single" w:sz="4" w:space="0" w:color="auto"/>
              <w:left w:val="single" w:sz="4" w:space="0" w:color="auto"/>
              <w:bottom w:val="single" w:sz="4" w:space="0" w:color="auto"/>
              <w:right w:val="single" w:sz="4" w:space="0" w:color="auto"/>
            </w:tcBorders>
            <w:hideMark/>
          </w:tcPr>
          <w:p w14:paraId="1509AB39" w14:textId="77777777" w:rsidR="004B5E4D" w:rsidRPr="00F1170B" w:rsidRDefault="004B5E4D" w:rsidP="00880626">
            <w:pPr>
              <w:ind w:firstLine="0"/>
              <w:jc w:val="left"/>
              <w:rPr>
                <w:i/>
              </w:rPr>
            </w:pPr>
            <w:r w:rsidRPr="00F1170B">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14:paraId="2EFA546B" w14:textId="77777777" w:rsidR="004B5E4D" w:rsidRPr="00F1170B" w:rsidRDefault="004B5E4D" w:rsidP="00880626">
            <w:pPr>
              <w:tabs>
                <w:tab w:val="left" w:pos="426"/>
              </w:tabs>
              <w:ind w:firstLine="0"/>
            </w:pPr>
            <w:r w:rsidRPr="00F1170B">
              <w:t>65 proc.</w:t>
            </w:r>
          </w:p>
        </w:tc>
        <w:tc>
          <w:tcPr>
            <w:tcW w:w="1134" w:type="dxa"/>
            <w:tcBorders>
              <w:top w:val="single" w:sz="4" w:space="0" w:color="auto"/>
              <w:left w:val="single" w:sz="4" w:space="0" w:color="auto"/>
              <w:bottom w:val="single" w:sz="4" w:space="0" w:color="auto"/>
              <w:right w:val="single" w:sz="4" w:space="0" w:color="auto"/>
            </w:tcBorders>
            <w:hideMark/>
          </w:tcPr>
          <w:p w14:paraId="548554E0" w14:textId="77777777" w:rsidR="004B5E4D" w:rsidRPr="00F1170B" w:rsidRDefault="004B5E4D" w:rsidP="00880626">
            <w:pPr>
              <w:tabs>
                <w:tab w:val="left" w:pos="426"/>
              </w:tabs>
              <w:ind w:firstLine="0"/>
            </w:pPr>
            <w:r w:rsidRPr="00F1170B">
              <w:t>75 proc.</w:t>
            </w:r>
          </w:p>
        </w:tc>
        <w:tc>
          <w:tcPr>
            <w:tcW w:w="992" w:type="dxa"/>
            <w:tcBorders>
              <w:top w:val="single" w:sz="4" w:space="0" w:color="auto"/>
              <w:left w:val="single" w:sz="4" w:space="0" w:color="auto"/>
              <w:bottom w:val="single" w:sz="4" w:space="0" w:color="auto"/>
              <w:right w:val="single" w:sz="4" w:space="0" w:color="auto"/>
            </w:tcBorders>
            <w:hideMark/>
          </w:tcPr>
          <w:p w14:paraId="1A160492" w14:textId="77777777" w:rsidR="004B5E4D" w:rsidRPr="00F1170B" w:rsidRDefault="004B5E4D" w:rsidP="00880626">
            <w:pPr>
              <w:tabs>
                <w:tab w:val="left" w:pos="426"/>
              </w:tabs>
              <w:ind w:firstLine="0"/>
            </w:pPr>
            <w:r w:rsidRPr="00F1170B">
              <w:t>80 proc.</w:t>
            </w:r>
          </w:p>
        </w:tc>
      </w:tr>
      <w:tr w:rsidR="004B5E4D" w:rsidRPr="00F1170B" w14:paraId="275CD2B9" w14:textId="77777777" w:rsidTr="004B5E4D">
        <w:tc>
          <w:tcPr>
            <w:tcW w:w="675" w:type="dxa"/>
            <w:tcBorders>
              <w:top w:val="single" w:sz="4" w:space="0" w:color="auto"/>
              <w:left w:val="single" w:sz="4" w:space="0" w:color="auto"/>
              <w:bottom w:val="single" w:sz="4" w:space="0" w:color="auto"/>
              <w:right w:val="single" w:sz="4" w:space="0" w:color="auto"/>
            </w:tcBorders>
            <w:shd w:val="clear" w:color="auto" w:fill="E7E6E6"/>
          </w:tcPr>
          <w:p w14:paraId="5415DCE5" w14:textId="77777777" w:rsidR="004B5E4D" w:rsidRPr="00F1170B" w:rsidRDefault="004B5E4D" w:rsidP="00880626">
            <w:pPr>
              <w:tabs>
                <w:tab w:val="left" w:pos="426"/>
              </w:tabs>
              <w:ind w:firstLine="0"/>
              <w:rPr>
                <w:i/>
              </w:rPr>
            </w:pPr>
            <w:r w:rsidRPr="00F1170B">
              <w:rPr>
                <w:i/>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65C82976" w14:textId="77777777" w:rsidR="004B5E4D" w:rsidRPr="00F1170B" w:rsidRDefault="004B5E4D" w:rsidP="00880626">
            <w:pPr>
              <w:tabs>
                <w:tab w:val="left" w:pos="426"/>
              </w:tabs>
              <w:ind w:firstLine="0"/>
              <w:rPr>
                <w:i/>
              </w:rPr>
            </w:pPr>
            <w:r w:rsidRPr="00F1170B">
              <w:rPr>
                <w:i/>
              </w:rPr>
              <w:t xml:space="preserve">Eksperi-mentinė plėtra </w:t>
            </w:r>
          </w:p>
        </w:tc>
        <w:tc>
          <w:tcPr>
            <w:tcW w:w="993" w:type="dxa"/>
            <w:tcBorders>
              <w:top w:val="single" w:sz="4" w:space="0" w:color="auto"/>
              <w:left w:val="single" w:sz="4" w:space="0" w:color="auto"/>
              <w:bottom w:val="single" w:sz="4" w:space="0" w:color="auto"/>
              <w:right w:val="single" w:sz="4" w:space="0" w:color="auto"/>
            </w:tcBorders>
            <w:hideMark/>
          </w:tcPr>
          <w:p w14:paraId="4AEB7FC3" w14:textId="77777777" w:rsidR="004B5E4D" w:rsidRPr="00F1170B" w:rsidRDefault="004B5E4D" w:rsidP="00880626">
            <w:pPr>
              <w:tabs>
                <w:tab w:val="left" w:pos="426"/>
              </w:tabs>
              <w:ind w:firstLine="0"/>
            </w:pPr>
            <w:r w:rsidRPr="00F1170B">
              <w:t>25 proc.</w:t>
            </w:r>
          </w:p>
        </w:tc>
        <w:tc>
          <w:tcPr>
            <w:tcW w:w="1134" w:type="dxa"/>
            <w:tcBorders>
              <w:top w:val="single" w:sz="4" w:space="0" w:color="auto"/>
              <w:left w:val="single" w:sz="4" w:space="0" w:color="auto"/>
              <w:bottom w:val="single" w:sz="4" w:space="0" w:color="auto"/>
              <w:right w:val="single" w:sz="4" w:space="0" w:color="auto"/>
            </w:tcBorders>
            <w:hideMark/>
          </w:tcPr>
          <w:p w14:paraId="47914B42" w14:textId="77777777" w:rsidR="004B5E4D" w:rsidRPr="00F1170B" w:rsidRDefault="004B5E4D" w:rsidP="00880626">
            <w:pPr>
              <w:tabs>
                <w:tab w:val="left" w:pos="426"/>
              </w:tabs>
              <w:ind w:firstLine="0"/>
            </w:pPr>
            <w:r w:rsidRPr="00F1170B">
              <w:t xml:space="preserve">+10 procenti-nių punktų </w:t>
            </w:r>
          </w:p>
        </w:tc>
        <w:tc>
          <w:tcPr>
            <w:tcW w:w="1275" w:type="dxa"/>
            <w:tcBorders>
              <w:top w:val="single" w:sz="4" w:space="0" w:color="auto"/>
              <w:left w:val="single" w:sz="4" w:space="0" w:color="auto"/>
              <w:bottom w:val="single" w:sz="4" w:space="0" w:color="auto"/>
              <w:right w:val="single" w:sz="4" w:space="0" w:color="auto"/>
            </w:tcBorders>
            <w:hideMark/>
          </w:tcPr>
          <w:p w14:paraId="2C0100A3" w14:textId="77777777" w:rsidR="004B5E4D" w:rsidRPr="00F1170B" w:rsidRDefault="004B5E4D" w:rsidP="00880626">
            <w:pPr>
              <w:tabs>
                <w:tab w:val="left" w:pos="426"/>
              </w:tabs>
              <w:ind w:firstLine="0"/>
            </w:pPr>
            <w:r w:rsidRPr="00F1170B">
              <w:t xml:space="preserve">+20 procenti-nių punktų </w:t>
            </w:r>
          </w:p>
        </w:tc>
        <w:tc>
          <w:tcPr>
            <w:tcW w:w="1418" w:type="dxa"/>
            <w:tcBorders>
              <w:top w:val="single" w:sz="4" w:space="0" w:color="auto"/>
              <w:left w:val="single" w:sz="4" w:space="0" w:color="auto"/>
              <w:bottom w:val="single" w:sz="4" w:space="0" w:color="auto"/>
              <w:right w:val="single" w:sz="4" w:space="0" w:color="auto"/>
            </w:tcBorders>
            <w:hideMark/>
          </w:tcPr>
          <w:p w14:paraId="3D824901" w14:textId="77777777" w:rsidR="004B5E4D" w:rsidRPr="00F1170B" w:rsidRDefault="004B5E4D" w:rsidP="00880626">
            <w:pPr>
              <w:tabs>
                <w:tab w:val="left" w:pos="426"/>
              </w:tabs>
              <w:ind w:firstLine="0"/>
            </w:pPr>
            <w:r w:rsidRPr="00F1170B">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14:paraId="4A377265" w14:textId="77777777" w:rsidR="004B5E4D" w:rsidRPr="00F1170B" w:rsidRDefault="004B5E4D" w:rsidP="00880626">
            <w:pPr>
              <w:tabs>
                <w:tab w:val="left" w:pos="426"/>
              </w:tabs>
              <w:ind w:firstLine="0"/>
            </w:pPr>
            <w:r w:rsidRPr="00F1170B">
              <w:t>40 proc.</w:t>
            </w:r>
          </w:p>
        </w:tc>
        <w:tc>
          <w:tcPr>
            <w:tcW w:w="1134" w:type="dxa"/>
            <w:tcBorders>
              <w:top w:val="single" w:sz="4" w:space="0" w:color="auto"/>
              <w:left w:val="single" w:sz="4" w:space="0" w:color="auto"/>
              <w:bottom w:val="single" w:sz="4" w:space="0" w:color="auto"/>
              <w:right w:val="single" w:sz="4" w:space="0" w:color="auto"/>
            </w:tcBorders>
            <w:hideMark/>
          </w:tcPr>
          <w:p w14:paraId="4C2C6E06" w14:textId="77777777" w:rsidR="004B5E4D" w:rsidRPr="00F1170B" w:rsidRDefault="004B5E4D" w:rsidP="00880626">
            <w:pPr>
              <w:tabs>
                <w:tab w:val="left" w:pos="426"/>
              </w:tabs>
              <w:ind w:firstLine="0"/>
            </w:pPr>
            <w:r w:rsidRPr="00F1170B">
              <w:t>50 proc.</w:t>
            </w:r>
          </w:p>
        </w:tc>
        <w:tc>
          <w:tcPr>
            <w:tcW w:w="992" w:type="dxa"/>
            <w:tcBorders>
              <w:top w:val="single" w:sz="4" w:space="0" w:color="auto"/>
              <w:left w:val="single" w:sz="4" w:space="0" w:color="auto"/>
              <w:bottom w:val="single" w:sz="4" w:space="0" w:color="auto"/>
              <w:right w:val="single" w:sz="4" w:space="0" w:color="auto"/>
            </w:tcBorders>
            <w:hideMark/>
          </w:tcPr>
          <w:p w14:paraId="5F85B425" w14:textId="77777777" w:rsidR="004B5E4D" w:rsidRPr="00F1170B" w:rsidRDefault="004B5E4D" w:rsidP="00880626">
            <w:pPr>
              <w:tabs>
                <w:tab w:val="left" w:pos="426"/>
              </w:tabs>
              <w:ind w:firstLine="0"/>
            </w:pPr>
            <w:r w:rsidRPr="00F1170B">
              <w:t>60 proc.</w:t>
            </w:r>
          </w:p>
        </w:tc>
      </w:tr>
    </w:tbl>
    <w:p w14:paraId="4F5AE5A0" w14:textId="7C2C294A" w:rsidR="00C93769" w:rsidRPr="00A51856" w:rsidRDefault="00C93769" w:rsidP="00C93769">
      <w:pPr>
        <w:rPr>
          <w:rFonts w:eastAsia="Times New Roman"/>
          <w:lang w:eastAsia="lt-LT"/>
        </w:rPr>
      </w:pPr>
    </w:p>
    <w:p w14:paraId="5DB2C524" w14:textId="1C1D8CCC" w:rsidR="00C93769" w:rsidRPr="00A51856" w:rsidRDefault="00C43271" w:rsidP="00624616">
      <w:pPr>
        <w:rPr>
          <w:lang w:eastAsia="lt-LT"/>
        </w:rPr>
      </w:pPr>
      <w:r>
        <w:rPr>
          <w:lang w:eastAsia="lt-LT"/>
        </w:rPr>
        <w:t>52</w:t>
      </w:r>
      <w:r w:rsidR="00C93769" w:rsidRPr="00A51856">
        <w:rPr>
          <w:lang w:eastAsia="lt-LT"/>
        </w:rPr>
        <w:t xml:space="preserve">. Projekto tinkamų finansuoti išlaidų dalis, kurios nepadengia projektui skiriamo finansavimo lėšos, turi būti finansuojama iš projekto vykdytojo ir (ar) partnerio lėšų. </w:t>
      </w:r>
    </w:p>
    <w:p w14:paraId="72887B9E" w14:textId="34AF3E82" w:rsidR="00A9243F" w:rsidRPr="00A51856" w:rsidRDefault="00742C0C" w:rsidP="00A9243F">
      <w:r w:rsidRPr="00A51856">
        <w:rPr>
          <w:lang w:eastAsia="lt-LT"/>
        </w:rPr>
        <w:t>5</w:t>
      </w:r>
      <w:r w:rsidR="00C43271">
        <w:rPr>
          <w:lang w:eastAsia="lt-LT"/>
        </w:rPr>
        <w:t>3</w:t>
      </w:r>
      <w:r w:rsidR="00A9243F" w:rsidRPr="00A51856">
        <w:rPr>
          <w:lang w:eastAsia="lt-LT"/>
        </w:rPr>
        <w:t xml:space="preserve">. Tinkamos finansuoti projekto išlaidos yra tos, kurios patirtos ir apmokėtos nuo projekto veiklų įgyvendinimo pradžios, iki projekto veiklų įgyvendinimo pabaigos, bet ne vėliau kaip Projektų taisyklių 213.1 ir 213.5 papunkčiuose nustatytais terminais. </w:t>
      </w:r>
      <w:r w:rsidR="00A9243F" w:rsidRPr="00A51856">
        <w:rPr>
          <w:rFonts w:eastAsia="Times New Roman"/>
          <w:color w:val="000000"/>
        </w:rPr>
        <w:t xml:space="preserve">Jei projekto veiklos pradedamos įgyvendinti iki dotacijos sutarties įsigaliojimo dienos, tokios projekto išlaidos </w:t>
      </w:r>
      <w:r w:rsidR="00A9243F" w:rsidRPr="00A51856">
        <w:t>yra netinkamos finansuoti.</w:t>
      </w:r>
    </w:p>
    <w:p w14:paraId="78FB4AD7" w14:textId="2616D098" w:rsidR="00A9243F" w:rsidRPr="00A51856" w:rsidRDefault="00742C0C" w:rsidP="00A9243F">
      <w:r w:rsidRPr="00A51856">
        <w:rPr>
          <w:rFonts w:ascii="Tms Rmn" w:hAnsi="Tms Rmn"/>
        </w:rPr>
        <w:t>5</w:t>
      </w:r>
      <w:r w:rsidR="00C43271">
        <w:rPr>
          <w:rFonts w:ascii="Tms Rmn" w:hAnsi="Tms Rmn"/>
        </w:rPr>
        <w:t>4</w:t>
      </w:r>
      <w:r w:rsidR="00A9243F" w:rsidRPr="00A51856">
        <w:rPr>
          <w:rFonts w:ascii="Tms Rmn" w:hAnsi="Tms Rmn"/>
        </w:rPr>
        <w:t>. Tinkamos finansuoti projekto išlaidos apmokamos taikant fiksuotuosius įkainius ir fiksuotąją normą.</w:t>
      </w:r>
      <w:r w:rsidR="00A9243F" w:rsidRPr="00A51856">
        <w:rPr>
          <w:lang w:eastAsia="lt-LT"/>
        </w:rPr>
        <w:t xml:space="preserve"> Projekto tinkamų finansuoti išlaidų suma nustatoma kiekvienam projektui individualiai tinkamumo finansuoti vertinimo metu atsižvelgiant į projekto išlaidų pagrįstumą, tačiau neviršijant </w:t>
      </w:r>
      <w:r w:rsidRPr="00A51856">
        <w:rPr>
          <w:highlight w:val="lightGray"/>
          <w:lang w:eastAsia="lt-LT"/>
        </w:rPr>
        <w:t xml:space="preserve">Aprašo </w:t>
      </w:r>
      <w:r w:rsidR="00170A02">
        <w:rPr>
          <w:highlight w:val="lightGray"/>
          <w:lang w:eastAsia="lt-LT"/>
        </w:rPr>
        <w:t>4</w:t>
      </w:r>
      <w:r w:rsidR="006A06B3">
        <w:rPr>
          <w:highlight w:val="lightGray"/>
          <w:lang w:eastAsia="lt-LT"/>
        </w:rPr>
        <w:t>9</w:t>
      </w:r>
      <w:r w:rsidR="008A263B" w:rsidRPr="00A51856">
        <w:rPr>
          <w:highlight w:val="lightGray"/>
          <w:lang w:eastAsia="lt-LT"/>
        </w:rPr>
        <w:t xml:space="preserve"> </w:t>
      </w:r>
      <w:r w:rsidR="00A9243F" w:rsidRPr="00A51856">
        <w:rPr>
          <w:highlight w:val="lightGray"/>
          <w:lang w:eastAsia="lt-LT"/>
        </w:rPr>
        <w:t>punkte</w:t>
      </w:r>
      <w:r w:rsidR="00A9243F" w:rsidRPr="00A51856">
        <w:rPr>
          <w:lang w:eastAsia="lt-LT"/>
        </w:rPr>
        <w:t xml:space="preserve"> nustatytos didžiausios projektui skiriamos finansavimo lėšų sumos.</w:t>
      </w:r>
    </w:p>
    <w:p w14:paraId="3E33CE2F" w14:textId="43D8D81D" w:rsidR="00804EDC" w:rsidRDefault="00742C0C" w:rsidP="0081664E">
      <w:pPr>
        <w:rPr>
          <w:lang w:eastAsia="lt-LT"/>
        </w:rPr>
      </w:pPr>
      <w:r w:rsidRPr="00A51856">
        <w:rPr>
          <w:lang w:eastAsia="lt-LT"/>
        </w:rPr>
        <w:t>5</w:t>
      </w:r>
      <w:r w:rsidR="00C43271">
        <w:rPr>
          <w:lang w:eastAsia="lt-LT"/>
        </w:rPr>
        <w:t>5</w:t>
      </w:r>
      <w:r w:rsidR="00A9243F" w:rsidRPr="00A51856">
        <w:rPr>
          <w:lang w:eastAsia="lt-LT"/>
        </w:rPr>
        <w:t xml:space="preserve">. </w:t>
      </w:r>
      <w:r w:rsidR="00A9243F" w:rsidRPr="00A51856">
        <w:rPr>
          <w:rFonts w:eastAsia="Times New Roman"/>
          <w:color w:val="000000"/>
        </w:rPr>
        <w:t xml:space="preserve">Projekto vykdytojui gali būti išmokamas avansas. Maksimalus projektui skiriamo avanso dydis yra 30 procentų projektui įgyvendinti skirtos projekto finansavimo sumos, jei dotacijos sutartyje nenustatyta mažesnė maksimali avanso suma. Maksimalus avanso dydis ir avanso išmokėjimo tvarka nustatomi </w:t>
      </w:r>
      <w:r w:rsidR="00A9243F" w:rsidRPr="00A51856">
        <w:rPr>
          <w:rFonts w:eastAsia="Times New Roman"/>
        </w:rPr>
        <w:t>dotacijos</w:t>
      </w:r>
      <w:r w:rsidR="00A9243F" w:rsidRPr="00A51856">
        <w:rPr>
          <w:rFonts w:eastAsia="Times New Roman"/>
          <w:color w:val="FF0000"/>
        </w:rPr>
        <w:t xml:space="preserve"> </w:t>
      </w:r>
      <w:r w:rsidR="00A9243F" w:rsidRPr="00A51856">
        <w:rPr>
          <w:rFonts w:eastAsia="Times New Roman"/>
          <w:color w:val="000000"/>
        </w:rPr>
        <w:t>sutartyje.</w:t>
      </w:r>
      <w:r w:rsidRPr="00A51856">
        <w:rPr>
          <w:lang w:eastAsia="lt-LT"/>
        </w:rPr>
        <w:t>58</w:t>
      </w:r>
      <w:r w:rsidR="00A9243F" w:rsidRPr="00A51856">
        <w:rPr>
          <w:lang w:eastAsia="lt-LT"/>
        </w:rPr>
        <w:t xml:space="preserve">. </w:t>
      </w:r>
      <w:r w:rsidR="00804EDC">
        <w:rPr>
          <w:lang w:eastAsia="lt-LT"/>
        </w:rPr>
        <w:t>Pagal Aprašą tinkamos finansuoti projekto išlaidos yra:</w:t>
      </w:r>
    </w:p>
    <w:p w14:paraId="4B3273FD" w14:textId="2C6EEB84" w:rsidR="0081664E" w:rsidRPr="00A51856" w:rsidRDefault="00804EDC" w:rsidP="0081664E">
      <w:pPr>
        <w:rPr>
          <w:lang w:eastAsia="lt-LT"/>
        </w:rPr>
      </w:pPr>
      <w:r>
        <w:rPr>
          <w:lang w:eastAsia="lt-LT"/>
        </w:rPr>
        <w:t>5</w:t>
      </w:r>
      <w:r w:rsidR="00C43271">
        <w:rPr>
          <w:lang w:eastAsia="lt-LT"/>
        </w:rPr>
        <w:t>5</w:t>
      </w:r>
      <w:r>
        <w:rPr>
          <w:lang w:eastAsia="lt-LT"/>
        </w:rPr>
        <w:t>.1. Projekto vykdymo išlaidos:</w:t>
      </w:r>
    </w:p>
    <w:p w14:paraId="1DFE5D97" w14:textId="364DF508" w:rsidR="00346C9F" w:rsidRPr="00A51856" w:rsidRDefault="00CF4199" w:rsidP="007E2C5A">
      <w:pPr>
        <w:rPr>
          <w:lang w:eastAsia="lt-LT"/>
        </w:rPr>
      </w:pPr>
      <w:r w:rsidRPr="00A51856">
        <w:rPr>
          <w:lang w:eastAsia="lt-LT"/>
        </w:rPr>
        <w:t>5</w:t>
      </w:r>
      <w:r w:rsidR="00C43271">
        <w:rPr>
          <w:lang w:eastAsia="lt-LT"/>
        </w:rPr>
        <w:t>5</w:t>
      </w:r>
      <w:r w:rsidRPr="00A51856">
        <w:rPr>
          <w:lang w:eastAsia="lt-LT"/>
        </w:rPr>
        <w:t>.1.</w:t>
      </w:r>
      <w:r w:rsidR="00E64429">
        <w:rPr>
          <w:lang w:eastAsia="lt-LT"/>
        </w:rPr>
        <w:t>1.</w:t>
      </w:r>
      <w:r w:rsidRPr="00A51856">
        <w:rPr>
          <w:lang w:eastAsia="lt-LT"/>
        </w:rPr>
        <w:t xml:space="preserve"> </w:t>
      </w:r>
      <w:r w:rsidR="00804EDC" w:rsidRPr="00A51856">
        <w:rPr>
          <w:lang w:eastAsia="lt-LT"/>
        </w:rPr>
        <w:t>projektą vykdančio personalo darbo užmokesčio ir susijusių darbdavio įsipareigojimų vykdymo išlaidos</w:t>
      </w:r>
      <w:r w:rsidR="00392A0D">
        <w:rPr>
          <w:lang w:eastAsia="lt-LT"/>
        </w:rPr>
        <w:t xml:space="preserve"> (kompensuojamos taikant fiksuotuosius įkainius. </w:t>
      </w:r>
      <w:r w:rsidR="00BE0AD4">
        <w:rPr>
          <w:lang w:eastAsia="lt-LT"/>
        </w:rPr>
        <w:lastRenderedPageBreak/>
        <w:t>Fiksuot</w:t>
      </w:r>
      <w:r w:rsidR="000B31E4">
        <w:rPr>
          <w:lang w:eastAsia="lt-LT"/>
        </w:rPr>
        <w:t>iej</w:t>
      </w:r>
      <w:r w:rsidR="00BE0AD4">
        <w:rPr>
          <w:lang w:eastAsia="lt-LT"/>
        </w:rPr>
        <w:t>i į</w:t>
      </w:r>
      <w:r w:rsidR="00386E7E" w:rsidRPr="00A51856">
        <w:rPr>
          <w:lang w:eastAsia="lt-LT"/>
        </w:rPr>
        <w:t xml:space="preserve">kainiai nustatomi vadovaujantis Lietuvos mokslo tarybos pirmininko įsakymu patvirtinta Darbo užmokesčio fiksuotųjų įkainių dydžių mokslinių tyrimų projektuose nustatymo tyrimo ataskaita, skelbiama </w:t>
      </w:r>
      <w:hyperlink r:id="rId13" w:history="1">
        <w:r w:rsidR="00E64429" w:rsidRPr="00E64429">
          <w:rPr>
            <w:rStyle w:val="Hipersaitas"/>
            <w:lang w:eastAsia="lt-LT"/>
          </w:rPr>
          <w:t>http://www.esinvesticijos.lt/lt/dokumentai/supaprastinto-islaidu-apmokejimo-tyrimai</w:t>
        </w:r>
      </w:hyperlink>
      <w:r w:rsidR="00E64429">
        <w:rPr>
          <w:lang w:eastAsia="lt-LT"/>
        </w:rPr>
        <w:t>)</w:t>
      </w:r>
      <w:r w:rsidR="00346C9F" w:rsidRPr="00A51856">
        <w:rPr>
          <w:lang w:eastAsia="lt-LT"/>
        </w:rPr>
        <w:t>;</w:t>
      </w:r>
    </w:p>
    <w:p w14:paraId="425923B3" w14:textId="67BDF1B8" w:rsidR="00386E7E" w:rsidRPr="00A51856" w:rsidRDefault="00BF665B" w:rsidP="00346C9F">
      <w:pPr>
        <w:rPr>
          <w:lang w:eastAsia="lt-LT"/>
        </w:rPr>
      </w:pPr>
      <w:r w:rsidRPr="00A51856">
        <w:rPr>
          <w:lang w:eastAsia="lt-LT"/>
        </w:rPr>
        <w:t>5</w:t>
      </w:r>
      <w:r w:rsidR="00C43271">
        <w:rPr>
          <w:lang w:eastAsia="lt-LT"/>
        </w:rPr>
        <w:t>5</w:t>
      </w:r>
      <w:r w:rsidR="00386E7E" w:rsidRPr="00A51856">
        <w:rPr>
          <w:lang w:eastAsia="lt-LT"/>
        </w:rPr>
        <w:t>.</w:t>
      </w:r>
      <w:r w:rsidR="00E64429">
        <w:rPr>
          <w:lang w:eastAsia="lt-LT"/>
        </w:rPr>
        <w:t>1.</w:t>
      </w:r>
      <w:r w:rsidR="00386E7E" w:rsidRPr="00A51856">
        <w:rPr>
          <w:lang w:eastAsia="lt-LT"/>
        </w:rPr>
        <w:t xml:space="preserve">2. </w:t>
      </w:r>
      <w:r w:rsidR="00392A0D" w:rsidRPr="00A51856">
        <w:rPr>
          <w:lang w:eastAsia="lt-LT"/>
        </w:rPr>
        <w:t>projektą vykdančio personalo komandiruočių, kelionių ar stažuočių išlaidos</w:t>
      </w:r>
      <w:r w:rsidR="00392A0D">
        <w:rPr>
          <w:lang w:eastAsia="lt-LT"/>
        </w:rPr>
        <w:t xml:space="preserve"> (kompensuojamos taikant fiksuotuosius įkainius</w:t>
      </w:r>
      <w:r w:rsidR="00386E7E" w:rsidRPr="00A51856">
        <w:rPr>
          <w:lang w:eastAsia="lt-LT"/>
        </w:rPr>
        <w:t xml:space="preserve">. </w:t>
      </w:r>
      <w:r w:rsidR="000B31E4">
        <w:rPr>
          <w:lang w:eastAsia="lt-LT"/>
        </w:rPr>
        <w:t>F</w:t>
      </w:r>
      <w:r w:rsidR="00386E7E" w:rsidRPr="00A51856">
        <w:rPr>
          <w:lang w:eastAsia="lt-LT"/>
        </w:rPr>
        <w:t>iksuo</w:t>
      </w:r>
      <w:r w:rsidR="000B31E4">
        <w:rPr>
          <w:lang w:eastAsia="lt-LT"/>
        </w:rPr>
        <w:t>tieji</w:t>
      </w:r>
      <w:r w:rsidR="00386E7E" w:rsidRPr="00A51856">
        <w:rPr>
          <w:lang w:eastAsia="lt-LT"/>
        </w:rPr>
        <w:t xml:space="preserve"> įkaini</w:t>
      </w:r>
      <w:r w:rsidR="000B31E4">
        <w:rPr>
          <w:lang w:eastAsia="lt-LT"/>
        </w:rPr>
        <w:t>ai</w:t>
      </w:r>
      <w:r w:rsidR="00386E7E" w:rsidRPr="00A51856">
        <w:rPr>
          <w:lang w:eastAsia="lt-LT"/>
        </w:rPr>
        <w:t xml:space="preserve"> nustatomi vadovaujantis Lietuvos mokslo tarybos pirmininko įsakymu patvirtinta </w:t>
      </w:r>
      <w:r w:rsidR="00386E7E" w:rsidRPr="00A51856">
        <w:t xml:space="preserve">Mokslinių išvykų išlaidų fiksuotųjų įkainių apskaičiavimo </w:t>
      </w:r>
      <w:r w:rsidR="00386E7E" w:rsidRPr="00A51856">
        <w:rPr>
          <w:bCs/>
        </w:rPr>
        <w:t>tyrimo ataskaita</w:t>
      </w:r>
      <w:r w:rsidR="00386E7E" w:rsidRPr="00A51856">
        <w:rPr>
          <w:lang w:eastAsia="lt-LT"/>
        </w:rPr>
        <w:t xml:space="preserve">, skelbiama </w:t>
      </w:r>
      <w:hyperlink r:id="rId14" w:history="1">
        <w:r w:rsidR="00386E7E" w:rsidRPr="00A51856">
          <w:rPr>
            <w:rStyle w:val="Hipersaitas"/>
            <w:lang w:eastAsia="lt-LT"/>
          </w:rPr>
          <w:t>http://www.esinvesticijos.lt/lt/dokumentai/supaprastinto-islaidu-apmokejimo-tyrimai</w:t>
        </w:r>
      </w:hyperlink>
      <w:r w:rsidR="00392A0D">
        <w:rPr>
          <w:rStyle w:val="Hipersaitas"/>
          <w:lang w:eastAsia="lt-LT"/>
        </w:rPr>
        <w:t>)</w:t>
      </w:r>
      <w:r w:rsidR="00386E7E" w:rsidRPr="00A51856">
        <w:rPr>
          <w:lang w:eastAsia="lt-LT"/>
        </w:rPr>
        <w:t>;</w:t>
      </w:r>
    </w:p>
    <w:p w14:paraId="4410E9C4" w14:textId="7CEF1A6C" w:rsidR="00E64429" w:rsidRDefault="00BF665B" w:rsidP="00386E7E">
      <w:pPr>
        <w:rPr>
          <w:lang w:eastAsia="lt-LT"/>
        </w:rPr>
      </w:pPr>
      <w:r w:rsidRPr="00A51856">
        <w:rPr>
          <w:color w:val="000000"/>
        </w:rPr>
        <w:t>5</w:t>
      </w:r>
      <w:r w:rsidR="00C43271">
        <w:rPr>
          <w:color w:val="000000"/>
        </w:rPr>
        <w:t>5</w:t>
      </w:r>
      <w:r w:rsidR="00386E7E" w:rsidRPr="00A51856">
        <w:rPr>
          <w:color w:val="000000"/>
        </w:rPr>
        <w:t>.</w:t>
      </w:r>
      <w:r w:rsidR="00E64429">
        <w:rPr>
          <w:color w:val="000000"/>
        </w:rPr>
        <w:t>2</w:t>
      </w:r>
      <w:r w:rsidR="00386E7E" w:rsidRPr="00A51856">
        <w:rPr>
          <w:color w:val="000000"/>
        </w:rPr>
        <w:t xml:space="preserve">. </w:t>
      </w:r>
      <w:r w:rsidR="00E64429" w:rsidRPr="00A51856">
        <w:rPr>
          <w:lang w:eastAsia="lt-LT"/>
        </w:rPr>
        <w:t>Netiesioginės išlaidos ir kitos išlaidos pagal fiksuotąją projekto išlaidų normą</w:t>
      </w:r>
      <w:r w:rsidR="00E64429">
        <w:rPr>
          <w:lang w:eastAsia="lt-LT"/>
        </w:rPr>
        <w:t>:</w:t>
      </w:r>
    </w:p>
    <w:p w14:paraId="00AAD4E3" w14:textId="70E7B11D" w:rsidR="007E2C5A" w:rsidRDefault="00D45D4D" w:rsidP="007E2C5A">
      <w:pPr>
        <w:rPr>
          <w:color w:val="000000" w:themeColor="text1"/>
        </w:rPr>
      </w:pPr>
      <w:r>
        <w:rPr>
          <w:color w:val="000000"/>
        </w:rPr>
        <w:t>5</w:t>
      </w:r>
      <w:r w:rsidR="00C43271">
        <w:rPr>
          <w:color w:val="000000"/>
        </w:rPr>
        <w:t>5</w:t>
      </w:r>
      <w:r>
        <w:rPr>
          <w:color w:val="000000"/>
        </w:rPr>
        <w:t>.2.1.</w:t>
      </w:r>
      <w:r w:rsidRPr="00A51856">
        <w:rPr>
          <w:lang w:eastAsia="lt-LT"/>
        </w:rPr>
        <w:t>tiesioginės projekto išlaidos pagal fiksuotąją normą</w:t>
      </w:r>
      <w:r w:rsidR="007E2C5A">
        <w:rPr>
          <w:lang w:eastAsia="lt-LT"/>
        </w:rPr>
        <w:t xml:space="preserve">, </w:t>
      </w:r>
      <w:r w:rsidR="007E2C5A" w:rsidRPr="00A51856">
        <w:rPr>
          <w:color w:val="000000" w:themeColor="text1"/>
        </w:rPr>
        <w:t xml:space="preserve">kuri sudaro iki </w:t>
      </w:r>
      <w:r w:rsidR="007E2C5A" w:rsidRPr="00A51856">
        <w:t>18,73 proc</w:t>
      </w:r>
      <w:r w:rsidR="007E2C5A" w:rsidRPr="00A51856">
        <w:rPr>
          <w:color w:val="000000" w:themeColor="text1"/>
        </w:rPr>
        <w:t xml:space="preserve">. (Socialinių ir humanitarinių mokslų srities projektuose) ir iki </w:t>
      </w:r>
      <w:r w:rsidR="007E2C5A" w:rsidRPr="00A51856">
        <w:t>34,73 proc</w:t>
      </w:r>
      <w:r w:rsidR="007E2C5A" w:rsidRPr="00A51856">
        <w:rPr>
          <w:color w:val="000000" w:themeColor="text1"/>
        </w:rPr>
        <w:t>. (</w:t>
      </w:r>
      <w:r w:rsidR="007E2C5A" w:rsidRPr="00A51856">
        <w:t>Fizinių, biomedicinos, technologijos ir žemės ūkio mokslo sričių projektuose)</w:t>
      </w:r>
      <w:r w:rsidR="007E2C5A" w:rsidRPr="00A51856">
        <w:rPr>
          <w:color w:val="000000" w:themeColor="text1"/>
        </w:rPr>
        <w:t xml:space="preserve"> nuo darbo </w:t>
      </w:r>
      <w:r w:rsidR="007E2C5A" w:rsidRPr="00A51856">
        <w:t>užmokesčio ir susijusių darbdavio įsipareigojimų išlaidų</w:t>
      </w:r>
      <w:r w:rsidRPr="00A51856">
        <w:rPr>
          <w:color w:val="000000" w:themeColor="text1"/>
        </w:rPr>
        <w:t xml:space="preserve"> </w:t>
      </w:r>
      <w:r>
        <w:rPr>
          <w:color w:val="000000" w:themeColor="text1"/>
        </w:rPr>
        <w:t>(</w:t>
      </w:r>
      <w:r w:rsidR="00386E7E" w:rsidRPr="00A51856">
        <w:rPr>
          <w:color w:val="000000" w:themeColor="text1"/>
        </w:rPr>
        <w:t>fiksuot</w:t>
      </w:r>
      <w:r>
        <w:rPr>
          <w:color w:val="000000" w:themeColor="text1"/>
        </w:rPr>
        <w:t xml:space="preserve">oji norma nustatoma vadovaujantis Lietuvos mokslo tarybos pirmininko įsakymu patvirtinta </w:t>
      </w:r>
      <w:r w:rsidR="007E2C5A">
        <w:rPr>
          <w:color w:val="000000" w:themeColor="text1"/>
        </w:rPr>
        <w:t xml:space="preserve">Mokslinių tyrimų ir eksperimentinės plėtros projektų vykdymo išlaidų fiksuotųjų normų nustatymo tyrimo ataskaita, skelbiama </w:t>
      </w:r>
      <w:hyperlink r:id="rId15" w:history="1">
        <w:r w:rsidR="007E2C5A" w:rsidRPr="00A51856">
          <w:rPr>
            <w:rStyle w:val="Hipersaitas"/>
            <w:lang w:eastAsia="lt-LT"/>
          </w:rPr>
          <w:t>http://www.esinvesticijos.lt/lt/dokumentai/supaprastinto-islaidu-apmokejimo-tyrimai</w:t>
        </w:r>
      </w:hyperlink>
      <w:r w:rsidR="007E2C5A">
        <w:rPr>
          <w:rStyle w:val="Hipersaitas"/>
          <w:lang w:eastAsia="lt-LT"/>
        </w:rPr>
        <w:t>);</w:t>
      </w:r>
    </w:p>
    <w:p w14:paraId="61407E51" w14:textId="7A1C7D94" w:rsidR="00665560" w:rsidRPr="007B408C" w:rsidRDefault="007E2C5A" w:rsidP="007E2C5A">
      <w:pPr>
        <w:rPr>
          <w:color w:val="000000" w:themeColor="text1"/>
        </w:rPr>
      </w:pPr>
      <w:r>
        <w:t>5</w:t>
      </w:r>
      <w:r w:rsidR="00C43271">
        <w:t>5</w:t>
      </w:r>
      <w:r>
        <w:t>.2.2</w:t>
      </w:r>
      <w:r w:rsidR="00B11598" w:rsidRPr="00A51856">
        <w:t xml:space="preserve">. </w:t>
      </w:r>
      <w:r w:rsidR="00546E91">
        <w:t>N</w:t>
      </w:r>
      <w:r w:rsidR="00B11598" w:rsidRPr="00A51856">
        <w:t>etiesioginės projekto išlaidos</w:t>
      </w:r>
      <w:r w:rsidR="00546E91">
        <w:t xml:space="preserve"> apmokamos</w:t>
      </w:r>
      <w:r w:rsidR="00B11598" w:rsidRPr="00A51856">
        <w:t xml:space="preserve"> taikant netiesioginių išlaidų fiksuotąsias normas pagal Projekto taisyklių 433.1 </w:t>
      </w:r>
      <w:r w:rsidR="006610DC" w:rsidRPr="00A51856">
        <w:t xml:space="preserve">papunktį </w:t>
      </w:r>
      <w:r w:rsidR="00B11598" w:rsidRPr="00A51856">
        <w:rPr>
          <w:color w:val="000000" w:themeColor="text1"/>
        </w:rPr>
        <w:t xml:space="preserve">nuo </w:t>
      </w:r>
      <w:r w:rsidR="007B408C">
        <w:rPr>
          <w:color w:val="000000" w:themeColor="text1"/>
        </w:rPr>
        <w:t>tiesioginių projekto</w:t>
      </w:r>
      <w:r w:rsidR="00B11598" w:rsidRPr="00A51856">
        <w:t xml:space="preserve"> išlaidų.</w:t>
      </w:r>
    </w:p>
    <w:p w14:paraId="023AD7A6" w14:textId="0777F02A" w:rsidR="00A9243F" w:rsidRPr="00A51856" w:rsidRDefault="00BF665B" w:rsidP="00665560">
      <w:pPr>
        <w:rPr>
          <w:lang w:eastAsia="lt-LT"/>
        </w:rPr>
      </w:pPr>
      <w:r w:rsidRPr="00A51856">
        <w:rPr>
          <w:lang w:eastAsia="lt-LT"/>
        </w:rPr>
        <w:t>5</w:t>
      </w:r>
      <w:r w:rsidR="00C43271">
        <w:rPr>
          <w:lang w:eastAsia="lt-LT"/>
        </w:rPr>
        <w:t>6</w:t>
      </w:r>
      <w:r w:rsidR="00A9243F" w:rsidRPr="00A51856">
        <w:rPr>
          <w:lang w:eastAsia="lt-LT"/>
        </w:rPr>
        <w:t xml:space="preserve">. Išlaidos, apmokamos taikant </w:t>
      </w:r>
      <w:r w:rsidR="00A9243F" w:rsidRPr="00A51856">
        <w:rPr>
          <w:highlight w:val="lightGray"/>
          <w:lang w:eastAsia="lt-LT"/>
        </w:rPr>
        <w:t xml:space="preserve">Aprašo </w:t>
      </w:r>
      <w:r w:rsidR="006A06B3">
        <w:rPr>
          <w:highlight w:val="lightGray"/>
          <w:lang w:eastAsia="lt-LT"/>
        </w:rPr>
        <w:t>55</w:t>
      </w:r>
      <w:r w:rsidR="00A9243F" w:rsidRPr="00A51856">
        <w:rPr>
          <w:highlight w:val="lightGray"/>
          <w:lang w:eastAsia="lt-LT"/>
        </w:rPr>
        <w:t xml:space="preserve"> punkt</w:t>
      </w:r>
      <w:r w:rsidR="00170A02">
        <w:rPr>
          <w:highlight w:val="lightGray"/>
          <w:lang w:eastAsia="lt-LT"/>
        </w:rPr>
        <w:t>e</w:t>
      </w:r>
      <w:r w:rsidR="00A9243F" w:rsidRPr="00A51856">
        <w:rPr>
          <w:lang w:eastAsia="lt-LT"/>
        </w:rPr>
        <w:t xml:space="preserve"> nurodytus fiksuotuosius įkainius ir fiksuotąją normą, turi atitikti šias nuostatas:</w:t>
      </w:r>
    </w:p>
    <w:p w14:paraId="266FB633" w14:textId="1F452A64" w:rsidR="00A9243F" w:rsidRPr="00A51856" w:rsidRDefault="00BF665B" w:rsidP="00A9243F">
      <w:pPr>
        <w:rPr>
          <w:lang w:eastAsia="lt-LT"/>
        </w:rPr>
      </w:pPr>
      <w:r w:rsidRPr="00A51856">
        <w:rPr>
          <w:lang w:eastAsia="lt-LT"/>
        </w:rPr>
        <w:t>5</w:t>
      </w:r>
      <w:r w:rsidR="00C43271">
        <w:rPr>
          <w:lang w:eastAsia="lt-LT"/>
        </w:rPr>
        <w:t>6</w:t>
      </w:r>
      <w:r w:rsidR="00A9243F" w:rsidRPr="00A51856">
        <w:rPr>
          <w:lang w:eastAsia="lt-LT"/>
        </w:rPr>
        <w:t xml:space="preserve">.1. pagal fiksuotuosius įkainius ir fiksuotąją normą apmokamos išlaidos turi atitikti Projektų taisyklių 35 skirsnį; </w:t>
      </w:r>
    </w:p>
    <w:p w14:paraId="26AD9387" w14:textId="3B77FB78" w:rsidR="00A9243F" w:rsidRPr="00A51856" w:rsidRDefault="00BF665B" w:rsidP="00A9243F">
      <w:pPr>
        <w:rPr>
          <w:shd w:val="clear" w:color="auto" w:fill="FFFFFF"/>
        </w:rPr>
      </w:pPr>
      <w:r w:rsidRPr="00A51856">
        <w:rPr>
          <w:lang w:eastAsia="lt-LT"/>
        </w:rPr>
        <w:t>5</w:t>
      </w:r>
      <w:r w:rsidR="00C43271">
        <w:rPr>
          <w:lang w:eastAsia="lt-LT"/>
        </w:rPr>
        <w:t>6</w:t>
      </w:r>
      <w:r w:rsidR="00A9243F" w:rsidRPr="00A51856">
        <w:rPr>
          <w:shd w:val="clear" w:color="auto" w:fill="FFFFFF"/>
        </w:rPr>
        <w:t>.2. pareiškėjas turi teisę paraiškoje numatyti mažesnius fiksuotųjų įkainių ir</w:t>
      </w:r>
      <w:r w:rsidR="00C93769">
        <w:rPr>
          <w:shd w:val="clear" w:color="auto" w:fill="FFFFFF"/>
        </w:rPr>
        <w:t xml:space="preserve"> </w:t>
      </w:r>
      <w:r w:rsidR="00A9243F" w:rsidRPr="00A51856">
        <w:rPr>
          <w:shd w:val="clear" w:color="auto" w:fill="FFFFFF"/>
        </w:rPr>
        <w:t>fiksuotosios normos dydžius, nei Apraše nustatyti maksimalūs dydžiai;</w:t>
      </w:r>
    </w:p>
    <w:p w14:paraId="6C017A15" w14:textId="04F70CD4" w:rsidR="00AC6EAF" w:rsidRPr="00A51856" w:rsidRDefault="00BF665B" w:rsidP="00AC6EAF">
      <w:pPr>
        <w:rPr>
          <w:lang w:eastAsia="lt-LT"/>
        </w:rPr>
      </w:pPr>
      <w:r w:rsidRPr="00A51856">
        <w:rPr>
          <w:lang w:eastAsia="lt-LT"/>
        </w:rPr>
        <w:t>5</w:t>
      </w:r>
      <w:r w:rsidR="00C43271">
        <w:rPr>
          <w:lang w:eastAsia="lt-LT"/>
        </w:rPr>
        <w:t>6</w:t>
      </w:r>
      <w:r w:rsidR="00A9243F" w:rsidRPr="00A51856">
        <w:rPr>
          <w:shd w:val="clear" w:color="auto" w:fill="FFFFFF"/>
        </w:rPr>
        <w:t xml:space="preserve">.3. </w:t>
      </w:r>
      <w:r w:rsidR="00AC6EAF" w:rsidRPr="00A51856">
        <w:rPr>
          <w:lang w:eastAsia="lt-LT"/>
        </w:rPr>
        <w:t>projektų išlaidos, kurias numatyta apmokėti taikant fiksuotuosius įkainius, apmokamos atsižvelgiant į dotacijos sutartyje nustatytus fiksuotuosius įkainius ir projekto vykdytojo pateiktus dokumentus, kuriais įrodomas pasiektas rezultatas. Dokumentai, kuriuos reikia pateikti, įrodant pagal fiksuotuosius įkainius apmokamų rezultatų pasiekimą, bus nurodyti dotacijos sutarties priede.</w:t>
      </w:r>
    </w:p>
    <w:p w14:paraId="0FB561E1" w14:textId="14B3D984" w:rsidR="00AC6EAF" w:rsidRPr="00A51856" w:rsidRDefault="00C43271" w:rsidP="00AC6EAF">
      <w:pPr>
        <w:rPr>
          <w:shd w:val="clear" w:color="auto" w:fill="FFFFFF"/>
        </w:rPr>
      </w:pPr>
      <w:r>
        <w:rPr>
          <w:shd w:val="clear" w:color="auto" w:fill="FFFFFF"/>
        </w:rPr>
        <w:t>57</w:t>
      </w:r>
      <w:r w:rsidR="00AC6EAF" w:rsidRPr="00A51856">
        <w:rPr>
          <w:shd w:val="clear" w:color="auto" w:fill="FFFFFF"/>
        </w:rPr>
        <w:t>. Projektui taikoma fiksuotoji norma nustatoma dotacijos sutartyje ir projekto įgyvendinimo metu negali būti keičiama, išskyrus atvejus, kai projektui skiriamas papildomas finansavimas arba pasikeitus fiksuotosios normos taikymą reglamentuojantiems teisės aktams. Tokiu atveju fiksuotoji norma nustatoma iš naujo ir pagal ją apmokamos projekto išlaidos perskaičiuojamos, atsižvelgiant į per visą projekto sutarties laikotarpį skirtą finansavimą.</w:t>
      </w:r>
    </w:p>
    <w:p w14:paraId="3C78BE18" w14:textId="3757207B" w:rsidR="00AC6EAF" w:rsidRPr="00A51856" w:rsidRDefault="00170A02" w:rsidP="00AC6EAF">
      <w:pPr>
        <w:rPr>
          <w:shd w:val="clear" w:color="auto" w:fill="FFFFFF"/>
        </w:rPr>
      </w:pPr>
      <w:r>
        <w:rPr>
          <w:shd w:val="clear" w:color="auto" w:fill="FFFFFF"/>
        </w:rPr>
        <w:t>5</w:t>
      </w:r>
      <w:r w:rsidR="00C43271">
        <w:rPr>
          <w:shd w:val="clear" w:color="auto" w:fill="FFFFFF"/>
        </w:rPr>
        <w:t>8</w:t>
      </w:r>
      <w:r w:rsidR="00AC6EAF" w:rsidRPr="00A51856">
        <w:rPr>
          <w:shd w:val="clear" w:color="auto" w:fill="FFFFFF"/>
        </w:rPr>
        <w:t>. Netinkamos finansuoti yra išlaidos, nurodytos Projektų taisyklių 34 skirsnyje.</w:t>
      </w:r>
    </w:p>
    <w:p w14:paraId="7F2171E3" w14:textId="3C7BD94A" w:rsidR="00AC6EAF" w:rsidRPr="00A51856" w:rsidRDefault="00C43271" w:rsidP="00526AEC">
      <w:pPr>
        <w:rPr>
          <w:lang w:eastAsia="lt-LT"/>
        </w:rPr>
      </w:pPr>
      <w:r>
        <w:t>59</w:t>
      </w:r>
      <w:r w:rsidR="00AC6EAF" w:rsidRPr="00A51856">
        <w:t xml:space="preserve">. </w:t>
      </w:r>
      <w:r w:rsidR="00526AEC" w:rsidRPr="00A51856">
        <w:t>Kryžminio finansavimo išlaidos nėra tinkamos finansuoti</w:t>
      </w:r>
      <w:r w:rsidR="00526AEC" w:rsidRPr="00A51856">
        <w:rPr>
          <w:shd w:val="clear" w:color="auto" w:fill="FFFFFF"/>
        </w:rPr>
        <w:t xml:space="preserve">. </w:t>
      </w:r>
    </w:p>
    <w:p w14:paraId="411B0322" w14:textId="51ED72E6" w:rsidR="00AC6EAF" w:rsidRPr="00A51856" w:rsidRDefault="00C43271" w:rsidP="00AC6EAF">
      <w:pPr>
        <w:rPr>
          <w:lang w:eastAsia="lt-LT"/>
        </w:rPr>
      </w:pPr>
      <w:r>
        <w:rPr>
          <w:lang w:eastAsia="lt-LT"/>
        </w:rPr>
        <w:t>60</w:t>
      </w:r>
      <w:r w:rsidR="00AC6EAF" w:rsidRPr="00A51856">
        <w:rPr>
          <w:lang w:eastAsia="lt-LT"/>
        </w:rPr>
        <w:t>. Projektinio pasiūlymo ir paraiškos parengimo išlaidos yra netinkamos finansuoti.</w:t>
      </w:r>
    </w:p>
    <w:p w14:paraId="4453F7F5" w14:textId="1D5DBF98" w:rsidR="00AC6EAF" w:rsidRPr="00A51856" w:rsidRDefault="00526AEC" w:rsidP="00AC6EAF">
      <w:r w:rsidRPr="00A51856">
        <w:t>6</w:t>
      </w:r>
      <w:r w:rsidR="00C43271">
        <w:t>1</w:t>
      </w:r>
      <w:r w:rsidR="00AC6EAF" w:rsidRPr="00A51856">
        <w:t>. Projekto vykdytojo patirtos išlaidos apmokamos išlaidų kompensavimo būdu.</w:t>
      </w:r>
    </w:p>
    <w:p w14:paraId="43E4CE7E" w14:textId="0382AAE9" w:rsidR="00AC6EAF" w:rsidRPr="00A51856" w:rsidRDefault="00AC6EAF" w:rsidP="00170A02">
      <w:pPr>
        <w:rPr>
          <w:lang w:eastAsia="lt-LT"/>
        </w:rPr>
      </w:pPr>
      <w:r w:rsidRPr="00A51856">
        <w:rPr>
          <w:lang w:eastAsia="lt-LT"/>
        </w:rPr>
        <w:t>6</w:t>
      </w:r>
      <w:r w:rsidR="00C43271">
        <w:rPr>
          <w:lang w:eastAsia="lt-LT"/>
        </w:rPr>
        <w:t>2</w:t>
      </w:r>
      <w:r w:rsidRPr="00A51856">
        <w:rPr>
          <w:lang w:eastAsia="lt-LT"/>
        </w:rPr>
        <w:t>. Jei projekto įgyvendinimo metu buvo gautos pajamos, jos įvertinamos ir susigrąžinamos ne vėliau kaip su galutiniu mokėjimo prašymu Projektų taisyklių 447 ir 448 punktuose nustatyta tvarka.</w:t>
      </w:r>
    </w:p>
    <w:p w14:paraId="3BD2A2EC" w14:textId="77777777" w:rsidR="00AC6EAF" w:rsidRPr="00A51856" w:rsidRDefault="00AC6EAF" w:rsidP="00526AEC">
      <w:pPr>
        <w:ind w:firstLine="0"/>
        <w:rPr>
          <w:lang w:eastAsia="lt-LT"/>
        </w:rPr>
      </w:pPr>
    </w:p>
    <w:p w14:paraId="1AC107D6" w14:textId="77777777" w:rsidR="00A9243F" w:rsidRPr="00A51856" w:rsidRDefault="00A9243F" w:rsidP="00A9243F">
      <w:pPr>
        <w:pStyle w:val="Antrat1"/>
        <w:rPr>
          <w:lang w:eastAsia="lt-LT"/>
        </w:rPr>
      </w:pPr>
      <w:r w:rsidRPr="00A51856">
        <w:rPr>
          <w:lang w:eastAsia="lt-LT"/>
        </w:rPr>
        <w:t>V SKYRIUS</w:t>
      </w:r>
    </w:p>
    <w:p w14:paraId="7A5656E2" w14:textId="77777777" w:rsidR="00A9243F" w:rsidRPr="00A51856" w:rsidRDefault="00A9243F" w:rsidP="00A9243F">
      <w:pPr>
        <w:pStyle w:val="Antrat1"/>
        <w:rPr>
          <w:lang w:eastAsia="lt-LT"/>
        </w:rPr>
      </w:pPr>
      <w:r w:rsidRPr="00A51856">
        <w:rPr>
          <w:lang w:eastAsia="lt-LT"/>
        </w:rPr>
        <w:lastRenderedPageBreak/>
        <w:t>PARAIŠKŲ RENGIMAS, PAREIŠKĖJŲ INFORMAVIMAS, KONSULTAVIMAS, PARAIŠKŲ TEIKIMAS IR VERTINIMAS</w:t>
      </w:r>
    </w:p>
    <w:p w14:paraId="5D501A81" w14:textId="77777777" w:rsidR="00A9243F" w:rsidRPr="00A51856" w:rsidRDefault="00A9243F" w:rsidP="00A9243F">
      <w:pPr>
        <w:rPr>
          <w:lang w:eastAsia="lt-LT"/>
        </w:rPr>
      </w:pPr>
    </w:p>
    <w:p w14:paraId="6515B12F" w14:textId="77777777" w:rsidR="00A9243F" w:rsidRPr="00A51856" w:rsidRDefault="00A9243F" w:rsidP="00A9243F">
      <w:pPr>
        <w:ind w:firstLine="0"/>
        <w:rPr>
          <w:lang w:eastAsia="lt-LT"/>
        </w:rPr>
      </w:pPr>
    </w:p>
    <w:p w14:paraId="0C3B4E9D" w14:textId="00886A0E" w:rsidR="003D1E4C" w:rsidRPr="00A51856" w:rsidRDefault="00BF665B" w:rsidP="003D1E4C">
      <w:r w:rsidRPr="00A51856">
        <w:t>6</w:t>
      </w:r>
      <w:r w:rsidR="00BB6DC9">
        <w:t>3</w:t>
      </w:r>
      <w:r w:rsidR="003D1E4C" w:rsidRPr="00A51856">
        <w:t xml:space="preserve">. </w:t>
      </w:r>
      <w:r w:rsidR="003D1E4C" w:rsidRPr="00A51856">
        <w:rPr>
          <w:rFonts w:eastAsia="Times New Roman"/>
          <w:lang w:eastAsia="lt-LT"/>
        </w:rPr>
        <w:t>Siekdamas gauti finansavimą</w:t>
      </w:r>
      <w:r w:rsidR="00523495" w:rsidRPr="00A51856">
        <w:rPr>
          <w:rFonts w:eastAsia="Times New Roman"/>
          <w:lang w:eastAsia="lt-LT"/>
        </w:rPr>
        <w:t>,</w:t>
      </w:r>
      <w:r w:rsidR="003D1E4C" w:rsidRPr="00A51856">
        <w:rPr>
          <w:rFonts w:eastAsia="Times New Roman"/>
          <w:lang w:eastAsia="lt-LT"/>
        </w:rPr>
        <w:t xml:space="preserve"> pareiškėjas turi užpildyti paraišką, kurios iš dalies užpildyta forma PDF formatu</w:t>
      </w:r>
      <w:r w:rsidR="003D1E4C" w:rsidRPr="00A51856" w:rsidDel="00775916">
        <w:rPr>
          <w:rFonts w:eastAsia="Times New Roman"/>
          <w:lang w:eastAsia="lt-LT"/>
        </w:rPr>
        <w:t xml:space="preserve"> </w:t>
      </w:r>
      <w:r w:rsidR="003D1E4C" w:rsidRPr="00A51856">
        <w:t xml:space="preserve">skelbiama </w:t>
      </w:r>
      <w:r w:rsidR="003D1E4C" w:rsidRPr="00A51856">
        <w:rPr>
          <w:rFonts w:eastAsia="Times New Roman"/>
          <w:lang w:eastAsia="lt-LT"/>
        </w:rPr>
        <w:t xml:space="preserve">ES struktūrinių fondų </w:t>
      </w:r>
      <w:r w:rsidR="003D1E4C" w:rsidRPr="00A51856">
        <w:t xml:space="preserve">svetainės </w:t>
      </w:r>
      <w:hyperlink r:id="rId16" w:history="1">
        <w:r w:rsidR="003D1E4C" w:rsidRPr="00A51856">
          <w:rPr>
            <w:color w:val="0000FF" w:themeColor="hyperlink"/>
            <w:u w:val="single"/>
          </w:rPr>
          <w:t>www.esinvesticijos.lt</w:t>
        </w:r>
      </w:hyperlink>
      <w:r w:rsidR="003D1E4C" w:rsidRPr="00A51856">
        <w:t xml:space="preserve"> skiltyje „Finansavimas“ prie paskelbto kvietimo teikti paraiškas „Susijusių dokumentų“.</w:t>
      </w:r>
    </w:p>
    <w:p w14:paraId="5A439E26" w14:textId="77F8A9DE" w:rsidR="003D1E4C" w:rsidRPr="00A51856" w:rsidRDefault="00BF665B" w:rsidP="003D1E4C">
      <w:pPr>
        <w:rPr>
          <w:lang w:eastAsia="lt-LT"/>
        </w:rPr>
      </w:pPr>
      <w:r w:rsidRPr="00A51856">
        <w:rPr>
          <w:lang w:eastAsia="lt-LT"/>
        </w:rPr>
        <w:t>6</w:t>
      </w:r>
      <w:r w:rsidR="00BB6DC9">
        <w:rPr>
          <w:lang w:eastAsia="lt-LT"/>
        </w:rPr>
        <w:t>4</w:t>
      </w:r>
      <w:r w:rsidR="003D1E4C" w:rsidRPr="00A51856">
        <w:rPr>
          <w:lang w:eastAsia="lt-LT"/>
        </w:rPr>
        <w:t xml:space="preserve">. Pareiškėjas pildo paraišką ir kartu </w:t>
      </w:r>
      <w:r w:rsidR="003D1E4C" w:rsidRPr="00A51856">
        <w:rPr>
          <w:color w:val="000000" w:themeColor="text1"/>
          <w:lang w:eastAsia="lt-LT"/>
        </w:rPr>
        <w:t xml:space="preserve">su </w:t>
      </w:r>
      <w:r w:rsidR="003D1E4C" w:rsidRPr="00A51856">
        <w:rPr>
          <w:color w:val="000000" w:themeColor="text1"/>
          <w:highlight w:val="lightGray"/>
          <w:lang w:eastAsia="lt-LT"/>
        </w:rPr>
        <w:t xml:space="preserve">Aprašo </w:t>
      </w:r>
      <w:r w:rsidR="006A06B3">
        <w:rPr>
          <w:color w:val="000000" w:themeColor="text1"/>
          <w:highlight w:val="lightGray"/>
          <w:lang w:eastAsia="lt-LT"/>
        </w:rPr>
        <w:t>69</w:t>
      </w:r>
      <w:r w:rsidR="003D1E4C" w:rsidRPr="00A51856">
        <w:rPr>
          <w:color w:val="000000" w:themeColor="text1"/>
          <w:highlight w:val="lightGray"/>
          <w:lang w:eastAsia="lt-LT"/>
        </w:rPr>
        <w:t xml:space="preserve"> punkte</w:t>
      </w:r>
      <w:r w:rsidR="003D1E4C" w:rsidRPr="00A51856">
        <w:rPr>
          <w:color w:val="000000" w:themeColor="text1"/>
          <w:lang w:eastAsia="lt-LT"/>
        </w:rPr>
        <w:t xml:space="preserve"> </w:t>
      </w:r>
      <w:r w:rsidR="003D1E4C" w:rsidRPr="00A51856">
        <w:rPr>
          <w:lang w:eastAsia="lt-LT"/>
        </w:rPr>
        <w:t xml:space="preserve">nurodytais priedais iki kvietimo teikti paraiškas skelbime nustatyto termino paskutinės dienos teikia ją per iš Europos Sąjungos struktūrinių fondų lėšų bendrai finansuojamų projektų duomenų mainų svetainę (toliau – DMS), </w:t>
      </w:r>
      <w:r w:rsidR="003D1E4C" w:rsidRPr="00A51856">
        <w:rPr>
          <w:rFonts w:eastAsia="Times New Roman"/>
          <w:lang w:eastAsia="lt-LT"/>
        </w:rPr>
        <w:t xml:space="preserve">o jei nėra įdiegtos DMS funkcinės galimybės – įgyvendinančiajai institucijai </w:t>
      </w:r>
      <w:r w:rsidR="003D1E4C" w:rsidRPr="00A51856">
        <w:rPr>
          <w:lang w:eastAsia="lt-LT"/>
        </w:rPr>
        <w:t xml:space="preserve">raštu Projektų taisyklių 12 skirsnyje nustatyta tvarka. </w:t>
      </w:r>
    </w:p>
    <w:p w14:paraId="6F16EBB9" w14:textId="199999AB" w:rsidR="003D1E4C" w:rsidRPr="00A51856" w:rsidRDefault="00BF665B" w:rsidP="003D1E4C">
      <w:pPr>
        <w:rPr>
          <w:lang w:eastAsia="lt-LT"/>
        </w:rPr>
      </w:pPr>
      <w:r w:rsidRPr="00A51856">
        <w:rPr>
          <w:lang w:eastAsia="lt-LT"/>
        </w:rPr>
        <w:t>6</w:t>
      </w:r>
      <w:r w:rsidR="00BB6DC9">
        <w:rPr>
          <w:lang w:eastAsia="lt-LT"/>
        </w:rPr>
        <w:t>5</w:t>
      </w:r>
      <w:r w:rsidR="003D1E4C" w:rsidRPr="00A51856">
        <w:rPr>
          <w:lang w:eastAsia="lt-LT"/>
        </w:rPr>
        <w:t xml:space="preserve">. Jeigu vadovaujantis </w:t>
      </w:r>
      <w:r w:rsidRPr="00A51856">
        <w:rPr>
          <w:highlight w:val="lightGray"/>
          <w:lang w:eastAsia="lt-LT"/>
        </w:rPr>
        <w:t>Aprašo 6</w:t>
      </w:r>
      <w:r w:rsidR="00170A02">
        <w:rPr>
          <w:highlight w:val="lightGray"/>
          <w:lang w:eastAsia="lt-LT"/>
        </w:rPr>
        <w:t>3</w:t>
      </w:r>
      <w:r w:rsidR="003D1E4C" w:rsidRPr="00A51856">
        <w:rPr>
          <w:highlight w:val="lightGray"/>
          <w:lang w:eastAsia="lt-LT"/>
        </w:rPr>
        <w:t xml:space="preserve"> punktu</w:t>
      </w:r>
      <w:r w:rsidR="003D1E4C" w:rsidRPr="00A51856">
        <w:rPr>
          <w:lang w:eastAsia="lt-LT"/>
        </w:rPr>
        <w:t xml:space="preserve"> paraiška teikiama raštu, ji gali būti teikiama vienu iš šių būdų:</w:t>
      </w:r>
    </w:p>
    <w:p w14:paraId="5D5E02D4" w14:textId="3CC54BC5" w:rsidR="003D1E4C" w:rsidRPr="00A51856" w:rsidRDefault="00BF665B" w:rsidP="003D1E4C">
      <w:pPr>
        <w:rPr>
          <w:lang w:eastAsia="lt-LT"/>
        </w:rPr>
      </w:pPr>
      <w:r w:rsidRPr="00A51856">
        <w:rPr>
          <w:lang w:eastAsia="lt-LT"/>
        </w:rPr>
        <w:t>6</w:t>
      </w:r>
      <w:r w:rsidR="00BB6DC9">
        <w:rPr>
          <w:lang w:eastAsia="lt-LT"/>
        </w:rPr>
        <w:t>5</w:t>
      </w:r>
      <w:r w:rsidR="003D1E4C" w:rsidRPr="00A51856">
        <w:rPr>
          <w:lang w:eastAsia="lt-LT"/>
        </w:rPr>
        <w:t>.1. įgyvendinančiajai institucijai teikiamas pasirašytas popierinis paraiškos ir jos priedų dokumentas (kartu pateikiant į elektroninę laikmeną įrašytą paraišką ir priedus).</w:t>
      </w:r>
      <w:r w:rsidR="003D1E4C" w:rsidRPr="00A51856">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7A9F6B22" w14:textId="34A8FDE1" w:rsidR="003D1E4C" w:rsidRPr="00A51856" w:rsidRDefault="00BF665B" w:rsidP="003D1E4C">
      <w:pPr>
        <w:rPr>
          <w:lang w:eastAsia="lt-LT"/>
        </w:rPr>
      </w:pPr>
      <w:r w:rsidRPr="00A51856">
        <w:t>6</w:t>
      </w:r>
      <w:r w:rsidR="00BB6DC9">
        <w:t>5</w:t>
      </w:r>
      <w:r w:rsidR="003D1E4C" w:rsidRPr="00A51856">
        <w:t xml:space="preserve">.2. </w:t>
      </w:r>
      <w:r w:rsidR="003D1E4C" w:rsidRPr="00A51856">
        <w:rPr>
          <w:lang w:eastAsia="lt-LT"/>
        </w:rPr>
        <w:t xml:space="preserve">įgyvendinančiajai institucijai </w:t>
      </w:r>
      <w:r w:rsidR="003D1E4C" w:rsidRPr="00A51856">
        <w:t xml:space="preserve">kvietime nurodytu elektroninio pašto adresu </w:t>
      </w:r>
      <w:r w:rsidR="003D1E4C" w:rsidRPr="00A51856">
        <w:rPr>
          <w:lang w:eastAsia="lt-LT"/>
        </w:rPr>
        <w:t>siunčiamas elektroninis dokumentas, pasirašytas saugiu elektroniniu parašu. Kai paraiška teikiama pastaruoju būdu, kartu teikiami dokumentai ir (ar) skaitmeninės pridedamų dokumentų kopijos elektroniniu parašu gali būti netvirtinami.</w:t>
      </w:r>
    </w:p>
    <w:p w14:paraId="50DDFBAD" w14:textId="46E36C69" w:rsidR="003D1E4C" w:rsidRPr="00A51856" w:rsidRDefault="00BF665B" w:rsidP="005D3D75">
      <w:pPr>
        <w:rPr>
          <w:lang w:eastAsia="lt-LT"/>
        </w:rPr>
      </w:pPr>
      <w:r w:rsidRPr="00A51856">
        <w:rPr>
          <w:lang w:eastAsia="lt-LT"/>
        </w:rPr>
        <w:t>6</w:t>
      </w:r>
      <w:r w:rsidR="00BB6DC9">
        <w:rPr>
          <w:lang w:eastAsia="lt-LT"/>
        </w:rPr>
        <w:t>6</w:t>
      </w:r>
      <w:r w:rsidR="003D1E4C" w:rsidRPr="00A51856">
        <w:rPr>
          <w:lang w:eastAsia="lt-LT"/>
        </w:rPr>
        <w:t>. Jei paraiškos teikiamos per DMS, pareiškėjas prie DMS jungiasi naudodamasis Valstybės informacinių išteklių sąveikumo platforma ir užsiregistravęs tampa DMS naudotoju.</w:t>
      </w:r>
    </w:p>
    <w:p w14:paraId="6F0CED4B" w14:textId="3F709AF4" w:rsidR="003D1E4C" w:rsidRPr="00A51856" w:rsidRDefault="00BB6DC9" w:rsidP="004829E2">
      <w:pPr>
        <w:pStyle w:val="Komentarotekstas"/>
        <w:ind w:firstLine="851"/>
        <w:rPr>
          <w:sz w:val="24"/>
          <w:szCs w:val="24"/>
        </w:rPr>
      </w:pPr>
      <w:r>
        <w:rPr>
          <w:sz w:val="24"/>
          <w:szCs w:val="24"/>
        </w:rPr>
        <w:t>67</w:t>
      </w:r>
      <w:r w:rsidR="003D1E4C" w:rsidRPr="00A51856">
        <w:rPr>
          <w:sz w:val="24"/>
          <w:szCs w:val="24"/>
        </w:rPr>
        <w:t>.</w:t>
      </w:r>
      <w:r w:rsidR="00750E8F" w:rsidRPr="00A51856">
        <w:rPr>
          <w:sz w:val="24"/>
          <w:szCs w:val="24"/>
        </w:rPr>
        <w:t xml:space="preserve"> Gavęs įgyvendinančiosios institucijos pranešimą apie paraiškos užregistravimą ir jai suteiktą kodą, per pranešime nusta</w:t>
      </w:r>
      <w:r w:rsidR="000A3DA6" w:rsidRPr="00A51856">
        <w:rPr>
          <w:sz w:val="24"/>
          <w:szCs w:val="24"/>
        </w:rPr>
        <w:t>t</w:t>
      </w:r>
      <w:r w:rsidR="00750E8F" w:rsidRPr="00A51856">
        <w:rPr>
          <w:sz w:val="24"/>
          <w:szCs w:val="24"/>
        </w:rPr>
        <w:t>ytą terminą</w:t>
      </w:r>
      <w:r w:rsidR="000A3DA6" w:rsidRPr="00A51856">
        <w:rPr>
          <w:sz w:val="24"/>
          <w:szCs w:val="24"/>
        </w:rPr>
        <w:t xml:space="preserve"> pareiškėjas turi </w:t>
      </w:r>
      <w:r w:rsidR="00956396" w:rsidRPr="00A51856">
        <w:rPr>
          <w:sz w:val="24"/>
          <w:szCs w:val="24"/>
        </w:rPr>
        <w:t>įkelti paraišką PDF formatu</w:t>
      </w:r>
      <w:r w:rsidR="000D084B" w:rsidRPr="00A51856">
        <w:rPr>
          <w:sz w:val="24"/>
          <w:szCs w:val="24"/>
        </w:rPr>
        <w:t xml:space="preserve"> į Lietuvos mokslo tarybos Paraiškų ir ataskaitų teikimo informacinę sistemą ir joje </w:t>
      </w:r>
      <w:r w:rsidR="000A3DA6" w:rsidRPr="00A51856">
        <w:rPr>
          <w:sz w:val="24"/>
          <w:szCs w:val="24"/>
        </w:rPr>
        <w:t xml:space="preserve">užpildyti </w:t>
      </w:r>
      <w:r w:rsidR="00956396" w:rsidRPr="00A51856">
        <w:rPr>
          <w:sz w:val="24"/>
          <w:szCs w:val="24"/>
        </w:rPr>
        <w:t xml:space="preserve">paraiškos </w:t>
      </w:r>
      <w:r w:rsidR="000D084B" w:rsidRPr="00A51856">
        <w:rPr>
          <w:sz w:val="24"/>
          <w:szCs w:val="24"/>
        </w:rPr>
        <w:t xml:space="preserve">5 skyrių bei kitą prašomą informaciją anglų kalba. </w:t>
      </w:r>
      <w:r w:rsidR="000A3DA6" w:rsidRPr="00A51856">
        <w:rPr>
          <w:sz w:val="24"/>
          <w:szCs w:val="24"/>
        </w:rPr>
        <w:t>Pareiškėjas prie sistemos jungiasi per tinklalapį junkis.lmt.lt ir užsiregistravęs tampa jos naudotoju, arba jungiasi ankstesniais sukurtais naudotojo duomenimis, jei jis šia sistema jau buvo naudojęsis.</w:t>
      </w:r>
      <w:r w:rsidR="003D1E4C" w:rsidRPr="00A51856">
        <w:t xml:space="preserve"> </w:t>
      </w:r>
    </w:p>
    <w:p w14:paraId="5DF84118" w14:textId="5DF5482C" w:rsidR="003D1E4C" w:rsidRPr="00A51856" w:rsidRDefault="00BB6DC9" w:rsidP="003D1E4C">
      <w:pPr>
        <w:rPr>
          <w:color w:val="FF0000"/>
          <w:lang w:eastAsia="lt-LT"/>
        </w:rPr>
      </w:pPr>
      <w:r>
        <w:rPr>
          <w:lang w:eastAsia="lt-LT"/>
        </w:rPr>
        <w:t>68</w:t>
      </w:r>
      <w:r w:rsidR="003D1E4C" w:rsidRPr="00A51856">
        <w:rPr>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taip paskelbia Projektų taisyklių 82 punkte nustatyta tvarka</w:t>
      </w:r>
      <w:r w:rsidR="003D1E4C" w:rsidRPr="00A51856">
        <w:rPr>
          <w:i/>
          <w:lang w:eastAsia="lt-LT"/>
        </w:rPr>
        <w:t>.</w:t>
      </w:r>
    </w:p>
    <w:p w14:paraId="17E61076" w14:textId="44CEFA9D" w:rsidR="003D1E4C" w:rsidRPr="00A51856" w:rsidRDefault="00BB6DC9" w:rsidP="003D1E4C">
      <w:pPr>
        <w:rPr>
          <w:lang w:eastAsia="lt-LT"/>
        </w:rPr>
      </w:pPr>
      <w:r w:rsidRPr="00AD5204">
        <w:rPr>
          <w:lang w:eastAsia="lt-LT"/>
        </w:rPr>
        <w:t>69</w:t>
      </w:r>
      <w:r w:rsidR="003D1E4C" w:rsidRPr="00AD5204">
        <w:rPr>
          <w:lang w:eastAsia="lt-LT"/>
        </w:rPr>
        <w:t>. Kartu su paraiška pareiškėjas turi pateikti šiuos priedus:</w:t>
      </w:r>
    </w:p>
    <w:p w14:paraId="70123111" w14:textId="1DC2C1BA" w:rsidR="003D1E4C" w:rsidRPr="00A51856" w:rsidRDefault="00BB6DC9" w:rsidP="004D138E">
      <w:pPr>
        <w:pStyle w:val="Betarp"/>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69</w:t>
      </w:r>
      <w:r w:rsidR="003D1E4C" w:rsidRPr="00A51856">
        <w:rPr>
          <w:rFonts w:ascii="Times New Roman" w:hAnsi="Times New Roman" w:cs="Times New Roman"/>
          <w:sz w:val="24"/>
          <w:szCs w:val="24"/>
          <w:lang w:eastAsia="lt-LT"/>
        </w:rPr>
        <w:t>.1</w:t>
      </w:r>
      <w:r w:rsidR="004D138E" w:rsidRPr="00A51856">
        <w:rPr>
          <w:rFonts w:ascii="Times New Roman" w:hAnsi="Times New Roman" w:cs="Times New Roman"/>
          <w:sz w:val="24"/>
          <w:szCs w:val="24"/>
          <w:lang w:eastAsia="lt-LT"/>
        </w:rPr>
        <w:t xml:space="preserve">. </w:t>
      </w:r>
      <w:r w:rsidR="003D1E4C" w:rsidRPr="00A51856">
        <w:rPr>
          <w:rFonts w:ascii="Times New Roman" w:hAnsi="Times New Roman" w:cs="Times New Roman"/>
          <w:sz w:val="24"/>
          <w:szCs w:val="24"/>
          <w:lang w:eastAsia="lt-LT"/>
        </w:rPr>
        <w:t>pareiškėjo institucijos vadovo ar jo įgalioto asmens pasirašytą raštą dėl pareiškėjo institucijos pajėgumų įgyvendinti projektą ir projekto vykdymo užtikrinimo</w:t>
      </w:r>
      <w:r w:rsidR="001E2B12" w:rsidRPr="00A51856">
        <w:rPr>
          <w:rFonts w:ascii="Times New Roman" w:hAnsi="Times New Roman" w:cs="Times New Roman"/>
          <w:i/>
          <w:sz w:val="24"/>
          <w:szCs w:val="24"/>
          <w:lang w:eastAsia="lt-LT"/>
        </w:rPr>
        <w:t xml:space="preserve">. </w:t>
      </w:r>
      <w:r w:rsidR="002F4283" w:rsidRPr="00A51856">
        <w:rPr>
          <w:rFonts w:ascii="Times New Roman" w:eastAsia="Times New Roman" w:hAnsi="Times New Roman" w:cs="Times New Roman"/>
          <w:sz w:val="24"/>
          <w:szCs w:val="24"/>
        </w:rPr>
        <w:t xml:space="preserve">Šiame rašte taip pat turi būti </w:t>
      </w:r>
      <w:r w:rsidR="002F4283" w:rsidRPr="00A51856">
        <w:rPr>
          <w:rFonts w:ascii="Times New Roman" w:eastAsia="Times New Roman" w:hAnsi="Times New Roman" w:cs="Times New Roman"/>
          <w:color w:val="000000"/>
          <w:sz w:val="24"/>
          <w:szCs w:val="24"/>
        </w:rPr>
        <w:t>susitarim</w:t>
      </w:r>
      <w:r w:rsidR="00C1715D" w:rsidRPr="00A51856">
        <w:rPr>
          <w:rFonts w:ascii="Times New Roman" w:eastAsia="Times New Roman" w:hAnsi="Times New Roman" w:cs="Times New Roman"/>
          <w:color w:val="000000"/>
          <w:sz w:val="24"/>
          <w:szCs w:val="24"/>
        </w:rPr>
        <w:t>a</w:t>
      </w:r>
      <w:r w:rsidR="002F4283" w:rsidRPr="00A51856">
        <w:rPr>
          <w:rFonts w:ascii="Times New Roman" w:eastAsia="Times New Roman" w:hAnsi="Times New Roman" w:cs="Times New Roman"/>
          <w:color w:val="000000"/>
          <w:sz w:val="24"/>
          <w:szCs w:val="24"/>
        </w:rPr>
        <w:t xml:space="preserve">s su mokslinio tyrimo vadovu dėl abipusių įsipareigojimų, </w:t>
      </w:r>
      <w:r w:rsidR="002F4283" w:rsidRPr="00A51856">
        <w:rPr>
          <w:rFonts w:ascii="Times New Roman" w:eastAsia="Times New Roman" w:hAnsi="Times New Roman" w:cs="Times New Roman"/>
          <w:sz w:val="24"/>
          <w:szCs w:val="24"/>
        </w:rPr>
        <w:t xml:space="preserve">jei paraiškos projektas būtų finansuojamas ir </w:t>
      </w:r>
      <w:r w:rsidR="002F4283" w:rsidRPr="00A51856">
        <w:rPr>
          <w:rFonts w:ascii="Times New Roman" w:eastAsia="Times New Roman" w:hAnsi="Times New Roman" w:cs="Times New Roman"/>
          <w:sz w:val="24"/>
          <w:szCs w:val="24"/>
          <w:lang w:eastAsia="lt-LT"/>
        </w:rPr>
        <w:t xml:space="preserve">institucijos vadovo arba jo įgalioto asmens sutikimas priimti (įdarbinti pagal darbo sutartį) projektą vykdysiantį mokslinio tyrimo vadovą ir mokslinio tyrimo grupės narius </w:t>
      </w:r>
      <w:r w:rsidR="002F4283" w:rsidRPr="00A51856">
        <w:rPr>
          <w:rFonts w:ascii="Times New Roman" w:hAnsi="Times New Roman" w:cs="Times New Roman"/>
          <w:i/>
          <w:sz w:val="24"/>
          <w:szCs w:val="24"/>
          <w:lang w:eastAsia="lt-LT"/>
        </w:rPr>
        <w:t>(</w:t>
      </w:r>
      <w:r w:rsidR="002F4283" w:rsidRPr="00A51856">
        <w:rPr>
          <w:rFonts w:ascii="Times New Roman" w:eastAsia="Calibri" w:hAnsi="Times New Roman" w:cs="Times New Roman"/>
          <w:i/>
          <w:sz w:val="24"/>
          <w:szCs w:val="24"/>
        </w:rPr>
        <w:t>rašto pavyzdinė forma skelbiama Lietuvos mokslo tarybos svetainėje</w:t>
      </w:r>
      <w:r w:rsidR="002F4283" w:rsidRPr="00A51856">
        <w:rPr>
          <w:rFonts w:ascii="Times New Roman" w:hAnsi="Times New Roman" w:cs="Times New Roman"/>
          <w:i/>
          <w:sz w:val="24"/>
          <w:szCs w:val="24"/>
          <w:lang w:eastAsia="lt-LT"/>
        </w:rPr>
        <w:t xml:space="preserve"> </w:t>
      </w:r>
      <w:hyperlink r:id="rId17" w:history="1">
        <w:r w:rsidR="002F4283" w:rsidRPr="00A51856">
          <w:rPr>
            <w:rStyle w:val="Hipersaitas"/>
            <w:rFonts w:ascii="Times New Roman" w:hAnsi="Times New Roman" w:cs="Times New Roman"/>
            <w:i/>
            <w:sz w:val="24"/>
            <w:szCs w:val="24"/>
            <w:lang w:eastAsia="lt-LT"/>
          </w:rPr>
          <w:t>www.lmt.lt</w:t>
        </w:r>
      </w:hyperlink>
      <w:r w:rsidR="002F4283" w:rsidRPr="00A51856">
        <w:rPr>
          <w:rStyle w:val="Hipersaitas"/>
          <w:rFonts w:ascii="Times New Roman" w:hAnsi="Times New Roman" w:cs="Times New Roman"/>
          <w:i/>
          <w:sz w:val="24"/>
          <w:szCs w:val="24"/>
          <w:lang w:eastAsia="lt-LT"/>
        </w:rPr>
        <w:t>)</w:t>
      </w:r>
      <w:r w:rsidR="003D1E4C" w:rsidRPr="00A51856">
        <w:rPr>
          <w:rFonts w:ascii="Times New Roman" w:hAnsi="Times New Roman" w:cs="Times New Roman"/>
          <w:i/>
          <w:sz w:val="24"/>
          <w:szCs w:val="24"/>
          <w:lang w:eastAsia="lt-LT"/>
        </w:rPr>
        <w:t>;</w:t>
      </w:r>
    </w:p>
    <w:p w14:paraId="04F14DD8" w14:textId="221CD1FB" w:rsidR="003D1E4C" w:rsidRPr="00A51856" w:rsidRDefault="00BB6DC9" w:rsidP="003D1E4C">
      <w:pPr>
        <w:rPr>
          <w:rFonts w:eastAsia="Calibri"/>
        </w:rPr>
      </w:pPr>
      <w:r>
        <w:rPr>
          <w:rFonts w:eastAsia="Times New Roman"/>
          <w:lang w:eastAsia="lt-LT"/>
        </w:rPr>
        <w:t>69</w:t>
      </w:r>
      <w:r w:rsidR="003D1E4C" w:rsidRPr="00A51856">
        <w:rPr>
          <w:rFonts w:eastAsia="Times New Roman"/>
          <w:lang w:eastAsia="lt-LT"/>
        </w:rPr>
        <w:t xml:space="preserve">.2. </w:t>
      </w:r>
      <w:r w:rsidR="003D1E4C" w:rsidRPr="00A51856">
        <w:rPr>
          <w:rFonts w:eastAsia="Calibri"/>
        </w:rPr>
        <w:t>mokslinio tyrimo vadovo mokslo laipsnį patvirtinančių dokumentų kopijas;</w:t>
      </w:r>
    </w:p>
    <w:p w14:paraId="384403E7" w14:textId="46B05171" w:rsidR="003D1E4C" w:rsidRPr="00A51856" w:rsidRDefault="00BB6DC9" w:rsidP="003D1E4C">
      <w:pPr>
        <w:rPr>
          <w:rFonts w:eastAsia="Calibri"/>
        </w:rPr>
      </w:pPr>
      <w:r>
        <w:rPr>
          <w:rFonts w:eastAsia="Calibri"/>
        </w:rPr>
        <w:t>69</w:t>
      </w:r>
      <w:r w:rsidR="003D1E4C" w:rsidRPr="00A51856">
        <w:rPr>
          <w:rFonts w:eastAsia="Calibri"/>
        </w:rPr>
        <w:t xml:space="preserve">.3. mokslinio tyrimo vadovo gyvenimo aprašymą (lietuvių ir anglų kalbomis); </w:t>
      </w:r>
    </w:p>
    <w:p w14:paraId="245683BF" w14:textId="2626B576" w:rsidR="003D1E4C" w:rsidRPr="00A51856" w:rsidRDefault="00BB6DC9" w:rsidP="003D1E4C">
      <w:pPr>
        <w:rPr>
          <w:rFonts w:eastAsia="Calibri"/>
        </w:rPr>
      </w:pPr>
      <w:r>
        <w:rPr>
          <w:rFonts w:eastAsia="Calibri"/>
        </w:rPr>
        <w:lastRenderedPageBreak/>
        <w:t>69</w:t>
      </w:r>
      <w:r w:rsidR="003D1E4C" w:rsidRPr="00A51856">
        <w:rPr>
          <w:rFonts w:eastAsia="Calibri"/>
        </w:rPr>
        <w:t xml:space="preserve">.4. mokslinio tyrimo vadovo </w:t>
      </w:r>
      <w:r w:rsidR="008B7F10" w:rsidRPr="00A51856">
        <w:rPr>
          <w:rFonts w:eastAsia="Calibri"/>
        </w:rPr>
        <w:t xml:space="preserve">svarbiausių </w:t>
      </w:r>
      <w:r w:rsidR="003D1E4C" w:rsidRPr="00A51856">
        <w:rPr>
          <w:rFonts w:eastAsia="Calibri"/>
        </w:rPr>
        <w:t xml:space="preserve">mokslo publikacijų ir kitos mokslinės produkcijos sąrašą, kuris patvirtina vadovo atitikimą </w:t>
      </w:r>
      <w:r w:rsidR="00631613" w:rsidRPr="00A51856">
        <w:rPr>
          <w:rFonts w:eastAsia="Calibri"/>
          <w:highlight w:val="lightGray"/>
        </w:rPr>
        <w:t xml:space="preserve">Aprašo </w:t>
      </w:r>
      <w:r w:rsidR="006A06B3">
        <w:rPr>
          <w:rFonts w:eastAsia="Calibri"/>
          <w:highlight w:val="lightGray"/>
        </w:rPr>
        <w:t>19-20</w:t>
      </w:r>
      <w:r w:rsidR="001D6B0C" w:rsidRPr="00A51856">
        <w:rPr>
          <w:rFonts w:eastAsia="Calibri"/>
          <w:highlight w:val="lightGray"/>
        </w:rPr>
        <w:t xml:space="preserve"> ar </w:t>
      </w:r>
      <w:r w:rsidR="006A06B3">
        <w:rPr>
          <w:rFonts w:eastAsia="Calibri"/>
          <w:highlight w:val="lightGray"/>
        </w:rPr>
        <w:t>21-22</w:t>
      </w:r>
      <w:r w:rsidR="003D1E4C" w:rsidRPr="00A51856">
        <w:rPr>
          <w:rFonts w:eastAsia="Calibri"/>
          <w:highlight w:val="lightGray"/>
        </w:rPr>
        <w:t xml:space="preserve"> punktuose</w:t>
      </w:r>
      <w:r w:rsidR="003D1E4C" w:rsidRPr="00A51856">
        <w:rPr>
          <w:rFonts w:eastAsia="Calibri"/>
        </w:rPr>
        <w:t xml:space="preserve"> nustatytus reikalavimus (su išsamia bibliografine informacija, nuorodomis į </w:t>
      </w:r>
      <w:r w:rsidR="003D1E4C" w:rsidRPr="00A51856">
        <w:rPr>
          <w:rFonts w:eastAsia="Calibri"/>
          <w:i/>
          <w:iCs/>
        </w:rPr>
        <w:t>Thomson Reuters Web of Knowledge</w:t>
      </w:r>
      <w:r w:rsidR="003D1E4C" w:rsidRPr="00A51856">
        <w:rPr>
          <w:rFonts w:eastAsia="Times New Roman"/>
          <w:lang w:eastAsia="lt-LT"/>
        </w:rPr>
        <w:t xml:space="preserve"> </w:t>
      </w:r>
      <w:r w:rsidR="003D1E4C" w:rsidRPr="00A51856">
        <w:rPr>
          <w:rFonts w:eastAsia="Calibri"/>
        </w:rPr>
        <w:t xml:space="preserve">ar viešai prieinamą šaltinį, kuris leistų patikrinti pateikiamą informaciją, informaciją apie </w:t>
      </w:r>
      <w:r w:rsidR="003D1E4C" w:rsidRPr="00A51856">
        <w:t>patentų, augalų ar gyvūnų veislių,</w:t>
      </w:r>
      <w:r w:rsidR="003D1E4C" w:rsidRPr="00A51856">
        <w:rPr>
          <w:rFonts w:eastAsia="Calibri"/>
        </w:rPr>
        <w:t xml:space="preserve"> ląstelių linijų, mikroorganizmų kamienų</w:t>
      </w:r>
      <w:r w:rsidR="003D1E4C" w:rsidRPr="00A51856">
        <w:t xml:space="preserve"> registravimo faktą</w:t>
      </w:r>
      <w:r w:rsidR="003D1E4C" w:rsidRPr="00A51856">
        <w:rPr>
          <w:rFonts w:eastAsia="Calibri"/>
        </w:rPr>
        <w:t>) (lietuvių ir anglų kalbomis)</w:t>
      </w:r>
      <w:r w:rsidR="002E439C" w:rsidRPr="00A51856">
        <w:rPr>
          <w:rFonts w:eastAsia="Calibri"/>
        </w:rPr>
        <w:t xml:space="preserve">. </w:t>
      </w:r>
      <w:r w:rsidR="00FD29B0" w:rsidRPr="00A51856">
        <w:rPr>
          <w:rFonts w:eastAsia="Calibri"/>
        </w:rPr>
        <w:t xml:space="preserve">Sąraše turi būti nurodytas ne didesnis, nei </w:t>
      </w:r>
      <w:r w:rsidR="00FD29B0" w:rsidRPr="0032241D">
        <w:rPr>
          <w:rFonts w:eastAsia="Calibri"/>
          <w:highlight w:val="lightGray"/>
        </w:rPr>
        <w:t xml:space="preserve">Aprašo </w:t>
      </w:r>
      <w:r w:rsidR="006A06B3">
        <w:rPr>
          <w:rFonts w:eastAsia="Calibri"/>
          <w:highlight w:val="lightGray"/>
        </w:rPr>
        <w:t>19-20</w:t>
      </w:r>
      <w:r w:rsidR="00FD29B0" w:rsidRPr="0032241D">
        <w:rPr>
          <w:rFonts w:eastAsia="Calibri"/>
          <w:highlight w:val="lightGray"/>
        </w:rPr>
        <w:t xml:space="preserve"> ir </w:t>
      </w:r>
      <w:r w:rsidR="006A06B3">
        <w:rPr>
          <w:rFonts w:eastAsia="Calibri"/>
          <w:highlight w:val="lightGray"/>
        </w:rPr>
        <w:t>21-22</w:t>
      </w:r>
      <w:r w:rsidR="00FD29B0" w:rsidRPr="00A51856">
        <w:rPr>
          <w:rFonts w:eastAsia="Calibri"/>
        </w:rPr>
        <w:t xml:space="preserve"> punktuose nurodytas mokslo straipsnių skaičius skaičius</w:t>
      </w:r>
      <w:r w:rsidR="003D1E4C" w:rsidRPr="00A51856">
        <w:rPr>
          <w:rFonts w:eastAsia="Calibri"/>
        </w:rPr>
        <w:t xml:space="preserve">; </w:t>
      </w:r>
    </w:p>
    <w:p w14:paraId="2608ED29" w14:textId="6196B4E9" w:rsidR="003D1E4C" w:rsidRPr="00A51856" w:rsidRDefault="00BB6DC9" w:rsidP="003D1E4C">
      <w:pPr>
        <w:rPr>
          <w:rFonts w:eastAsia="Calibri"/>
        </w:rPr>
      </w:pPr>
      <w:r>
        <w:rPr>
          <w:rFonts w:eastAsia="Calibri"/>
        </w:rPr>
        <w:t>69</w:t>
      </w:r>
      <w:r w:rsidR="003D1E4C" w:rsidRPr="00A51856">
        <w:rPr>
          <w:rFonts w:eastAsia="Calibri"/>
        </w:rPr>
        <w:t xml:space="preserve">.5. pagrindinių mokslinio tyrimo grupės narių gyvenimo aprašymus (lietuvių ir anglų kalbomis); </w:t>
      </w:r>
    </w:p>
    <w:p w14:paraId="3F7F0F44" w14:textId="411A6E11" w:rsidR="003D1E4C" w:rsidRPr="00A51856" w:rsidRDefault="00BB6DC9" w:rsidP="003D1E4C">
      <w:pPr>
        <w:pStyle w:val="Betarp"/>
        <w:ind w:firstLine="851"/>
        <w:jc w:val="both"/>
        <w:rPr>
          <w:rFonts w:ascii="Times New Roman" w:eastAsia="Calibri" w:hAnsi="Times New Roman" w:cs="Times New Roman"/>
          <w:sz w:val="24"/>
          <w:szCs w:val="24"/>
        </w:rPr>
      </w:pPr>
      <w:r>
        <w:rPr>
          <w:rFonts w:ascii="Times New Roman" w:hAnsi="Times New Roman" w:cs="Times New Roman"/>
          <w:sz w:val="24"/>
          <w:szCs w:val="24"/>
        </w:rPr>
        <w:t>69</w:t>
      </w:r>
      <w:r w:rsidR="003D1E4C" w:rsidRPr="00A51856">
        <w:rPr>
          <w:rFonts w:ascii="Times New Roman" w:hAnsi="Times New Roman" w:cs="Times New Roman"/>
          <w:sz w:val="24"/>
          <w:szCs w:val="24"/>
        </w:rPr>
        <w:t xml:space="preserve">.6. </w:t>
      </w:r>
      <w:r w:rsidR="003D1E4C" w:rsidRPr="00A51856">
        <w:rPr>
          <w:rFonts w:ascii="Times New Roman" w:eastAsia="Calibri" w:hAnsi="Times New Roman" w:cs="Times New Roman"/>
          <w:sz w:val="24"/>
          <w:szCs w:val="24"/>
        </w:rPr>
        <w:t>pagrindinių mokslinio tyrimo grupės narių</w:t>
      </w:r>
      <w:r w:rsidR="008C4782" w:rsidRPr="00A51856">
        <w:rPr>
          <w:rFonts w:ascii="Times New Roman" w:eastAsia="Calibri" w:hAnsi="Times New Roman" w:cs="Times New Roman"/>
          <w:sz w:val="24"/>
          <w:szCs w:val="24"/>
        </w:rPr>
        <w:t xml:space="preserve"> </w:t>
      </w:r>
      <w:r w:rsidR="003D1E4C" w:rsidRPr="00A51856">
        <w:rPr>
          <w:rFonts w:ascii="Times New Roman" w:eastAsia="Calibri" w:hAnsi="Times New Roman" w:cs="Times New Roman"/>
          <w:sz w:val="24"/>
          <w:szCs w:val="24"/>
        </w:rPr>
        <w:t xml:space="preserve"> svarbiausių mokslo publikacijų </w:t>
      </w:r>
      <w:r w:rsidR="008C4782" w:rsidRPr="00A51856">
        <w:rPr>
          <w:rFonts w:ascii="Times New Roman" w:eastAsia="Calibri" w:hAnsi="Times New Roman" w:cs="Times New Roman"/>
          <w:sz w:val="24"/>
          <w:szCs w:val="24"/>
        </w:rPr>
        <w:t xml:space="preserve">(ne daugiau kaip 10) </w:t>
      </w:r>
      <w:r w:rsidR="003D1E4C" w:rsidRPr="00A51856">
        <w:rPr>
          <w:rFonts w:ascii="Times New Roman" w:eastAsia="Calibri" w:hAnsi="Times New Roman" w:cs="Times New Roman"/>
          <w:sz w:val="24"/>
          <w:szCs w:val="24"/>
        </w:rPr>
        <w:t>ir kitos mokslinės produkcijos</w:t>
      </w:r>
      <w:r w:rsidR="008C4782" w:rsidRPr="00A51856">
        <w:rPr>
          <w:rFonts w:ascii="Times New Roman" w:eastAsia="Calibri" w:hAnsi="Times New Roman" w:cs="Times New Roman"/>
          <w:sz w:val="24"/>
          <w:szCs w:val="24"/>
        </w:rPr>
        <w:t xml:space="preserve"> (ne daugiau kaip 5)</w:t>
      </w:r>
      <w:r w:rsidR="003D1E4C" w:rsidRPr="00A51856">
        <w:rPr>
          <w:rFonts w:ascii="Times New Roman" w:eastAsia="Calibri" w:hAnsi="Times New Roman" w:cs="Times New Roman"/>
          <w:sz w:val="24"/>
          <w:szCs w:val="24"/>
        </w:rPr>
        <w:t xml:space="preserve"> sąrašus (su išsamia bibliografine informacija, nuorodomis į </w:t>
      </w:r>
      <w:r w:rsidR="003D1E4C" w:rsidRPr="00A51856">
        <w:rPr>
          <w:rFonts w:ascii="Times New Roman" w:eastAsia="Calibri" w:hAnsi="Times New Roman" w:cs="Times New Roman"/>
          <w:i/>
          <w:iCs/>
          <w:sz w:val="24"/>
          <w:szCs w:val="24"/>
        </w:rPr>
        <w:t>Thomson Reuters Web of Knowledge</w:t>
      </w:r>
      <w:r w:rsidR="003D1E4C" w:rsidRPr="00A51856">
        <w:rPr>
          <w:rFonts w:ascii="Times New Roman" w:eastAsia="Times New Roman" w:hAnsi="Times New Roman" w:cs="Times New Roman"/>
          <w:sz w:val="24"/>
          <w:szCs w:val="24"/>
          <w:lang w:eastAsia="lt-LT"/>
        </w:rPr>
        <w:t xml:space="preserve"> ar </w:t>
      </w:r>
      <w:r w:rsidR="003D1E4C" w:rsidRPr="00A51856">
        <w:rPr>
          <w:rFonts w:ascii="Times New Roman" w:eastAsia="Calibri" w:hAnsi="Times New Roman" w:cs="Times New Roman"/>
          <w:sz w:val="24"/>
          <w:szCs w:val="24"/>
        </w:rPr>
        <w:t>viešai prieinamą šaltinį, kuris leistų patikrinti pateikiamą informaciją) (lietuvių ir anglų kalbomis);</w:t>
      </w:r>
    </w:p>
    <w:p w14:paraId="39533DD7" w14:textId="43E80AC4" w:rsidR="003D1E4C" w:rsidRPr="00A51856" w:rsidRDefault="00BB6DC9" w:rsidP="003D1E4C">
      <w:pPr>
        <w:rPr>
          <w:rFonts w:eastAsia="Times New Roman"/>
          <w:lang w:eastAsia="lt-LT"/>
        </w:rPr>
      </w:pPr>
      <w:r>
        <w:rPr>
          <w:lang w:eastAsia="lt-LT"/>
        </w:rPr>
        <w:t>69</w:t>
      </w:r>
      <w:r w:rsidR="003D1E4C" w:rsidRPr="00A51856">
        <w:rPr>
          <w:lang w:eastAsia="lt-LT"/>
        </w:rPr>
        <w:t xml:space="preserve">.8. </w:t>
      </w:r>
      <w:r w:rsidR="009D7781" w:rsidRPr="00A51856">
        <w:rPr>
          <w:lang w:eastAsia="lt-LT"/>
        </w:rPr>
        <w:t>klausimyną</w:t>
      </w:r>
      <w:r w:rsidR="003D1E4C" w:rsidRPr="00A51856">
        <w:rPr>
          <w:lang w:eastAsia="lt-LT"/>
        </w:rPr>
        <w:t xml:space="preserve"> apie </w:t>
      </w:r>
      <w:r w:rsidR="003D1E4C" w:rsidRPr="00A51856">
        <w:rPr>
          <w:rFonts w:eastAsia="Calibri"/>
        </w:rPr>
        <w:t>pirkimo ir (arba) importo pridėtinės vertės mokesčio tinkamumo finansuoti Europos Sąjungos fondų ir (arba) Lietuvos Respublikos biudžeto lėšų (</w:t>
      </w:r>
      <w:r w:rsidR="003D1E4C" w:rsidRPr="00A51856">
        <w:rPr>
          <w:rFonts w:eastAsia="Calibri"/>
          <w:i/>
        </w:rPr>
        <w:t xml:space="preserve">forma </w:t>
      </w:r>
      <w:r w:rsidR="003D1E4C" w:rsidRPr="00A51856">
        <w:rPr>
          <w:i/>
          <w:lang w:eastAsia="lt-LT"/>
        </w:rPr>
        <w:t xml:space="preserve">skelbiama ES struktūrinių fondų svetainės </w:t>
      </w:r>
      <w:hyperlink r:id="rId18" w:history="1">
        <w:r w:rsidR="003D1E4C" w:rsidRPr="00A51856">
          <w:rPr>
            <w:rStyle w:val="Hipersaitas"/>
            <w:rFonts w:eastAsia="Times New Roman"/>
            <w:i/>
            <w:lang w:eastAsia="lt-LT"/>
          </w:rPr>
          <w:t>www.esinvesticijos.lt</w:t>
        </w:r>
      </w:hyperlink>
      <w:r w:rsidR="003D1E4C" w:rsidRPr="00A51856">
        <w:rPr>
          <w:i/>
        </w:rPr>
        <w:t xml:space="preserve"> </w:t>
      </w:r>
      <w:r w:rsidR="003D1E4C" w:rsidRPr="00A51856">
        <w:rPr>
          <w:rStyle w:val="Hipersaitas"/>
          <w:rFonts w:eastAsia="Times New Roman"/>
          <w:i/>
          <w:color w:val="auto"/>
          <w:u w:val="none"/>
          <w:lang w:eastAsia="lt-LT"/>
        </w:rPr>
        <w:t>skiltyje „Dokumentai“, dokumento tipas „</w:t>
      </w:r>
      <w:r w:rsidR="003D1E4C" w:rsidRPr="00A51856">
        <w:rPr>
          <w:rFonts w:cs="Arial"/>
          <w:i/>
        </w:rPr>
        <w:t>paraiškų priedų formos“</w:t>
      </w:r>
      <w:r w:rsidR="004D138E" w:rsidRPr="00A51856">
        <w:rPr>
          <w:rFonts w:eastAsia="Calibri"/>
        </w:rPr>
        <w:t>);</w:t>
      </w:r>
    </w:p>
    <w:p w14:paraId="49782B5C" w14:textId="37F1DFD7" w:rsidR="003D1E4C" w:rsidRPr="00A51856" w:rsidRDefault="00BB6DC9" w:rsidP="003D1E4C">
      <w:pPr>
        <w:rPr>
          <w:lang w:eastAsia="lt-LT"/>
        </w:rPr>
      </w:pPr>
      <w:r>
        <w:rPr>
          <w:lang w:eastAsia="lt-LT"/>
        </w:rPr>
        <w:t>69</w:t>
      </w:r>
      <w:r w:rsidR="003D1E4C" w:rsidRPr="00A51856">
        <w:rPr>
          <w:lang w:eastAsia="lt-LT"/>
        </w:rPr>
        <w:t>.9. visų įgaliojimų pasirašyti atitinkamus dokumentus (jei juos pasirašo n</w:t>
      </w:r>
      <w:r w:rsidR="004D138E" w:rsidRPr="00A51856">
        <w:rPr>
          <w:lang w:eastAsia="lt-LT"/>
        </w:rPr>
        <w:t>e institucijos vadovas) kopijos;</w:t>
      </w:r>
    </w:p>
    <w:p w14:paraId="2224427D" w14:textId="01517665" w:rsidR="004D138E" w:rsidRPr="00A51856" w:rsidRDefault="00BB6DC9" w:rsidP="004D138E">
      <w:r>
        <w:rPr>
          <w:lang w:eastAsia="lt-LT"/>
        </w:rPr>
        <w:t>69</w:t>
      </w:r>
      <w:r w:rsidR="004D138E" w:rsidRPr="00A51856">
        <w:rPr>
          <w:lang w:eastAsia="lt-LT"/>
        </w:rPr>
        <w:t xml:space="preserve">.10. </w:t>
      </w:r>
      <w:r w:rsidR="004D138E" w:rsidRPr="00A51856">
        <w:t>partnerio (-ių) deklaraciją (-as), jei projektą numatyta įgyvendinti kartu su partneriais (</w:t>
      </w:r>
      <w:r w:rsidR="00266192">
        <w:t>p</w:t>
      </w:r>
      <w:r w:rsidR="004D138E" w:rsidRPr="00A51856">
        <w:t>artnerio deklaracijos forma integruota į pildomą paraiškos formą);</w:t>
      </w:r>
    </w:p>
    <w:p w14:paraId="6417759F" w14:textId="07402084" w:rsidR="00FF7A45" w:rsidRPr="00A51856" w:rsidRDefault="00BB6DC9" w:rsidP="004D138E">
      <w:r>
        <w:t>69</w:t>
      </w:r>
      <w:r w:rsidR="00FF7A45" w:rsidRPr="00A51856">
        <w:t>.11. Partnerio (-ių)</w:t>
      </w:r>
      <w:r w:rsidR="00042AA7" w:rsidRPr="00A51856">
        <w:t xml:space="preserve"> </w:t>
      </w:r>
      <w:r w:rsidR="0032241D">
        <w:t>anketą</w:t>
      </w:r>
      <w:r w:rsidR="0032241D" w:rsidRPr="00A51856">
        <w:t xml:space="preserve"> </w:t>
      </w:r>
      <w:r w:rsidR="00042AA7" w:rsidRPr="00A51856">
        <w:t>(-as) dėl per paskutiniu</w:t>
      </w:r>
      <w:r w:rsidR="00A26DE7" w:rsidRPr="00A51856">
        <w:t xml:space="preserve">s </w:t>
      </w:r>
      <w:r w:rsidR="00266192">
        <w:t>5</w:t>
      </w:r>
      <w:r w:rsidR="00A26DE7" w:rsidRPr="00A51856">
        <w:t xml:space="preserve"> metus</w:t>
      </w:r>
      <w:r w:rsidR="0032241D">
        <w:t xml:space="preserve"> (</w:t>
      </w:r>
      <w:r w:rsidR="00935A56">
        <w:t xml:space="preserve">arba per laikotarpį nuo partnerio (ių) įregistravimo dienos, jeigu partneris (iai) veiklą vykdo trumpiau nei 5 metus) įgyvendintų MTEPI veiklų </w:t>
      </w:r>
      <w:r w:rsidR="002C5545" w:rsidRPr="00A51856">
        <w:t>(</w:t>
      </w:r>
      <w:r w:rsidR="00266192" w:rsidRPr="00FE5942">
        <w:t xml:space="preserve">anketos </w:t>
      </w:r>
      <w:r w:rsidR="002C5545" w:rsidRPr="00FE5942">
        <w:t>forma</w:t>
      </w:r>
      <w:r w:rsidR="002C5545" w:rsidRPr="00A51856">
        <w:t xml:space="preserve"> skelbiama įgyvendinančiosios institucijos svetainėje www.lmt.lt)</w:t>
      </w:r>
      <w:r w:rsidR="00A26DE7" w:rsidRPr="00A51856">
        <w:t>;</w:t>
      </w:r>
    </w:p>
    <w:p w14:paraId="73084826" w14:textId="67248F8D" w:rsidR="00DB6AC4" w:rsidRPr="00A51856" w:rsidRDefault="00BB6DC9" w:rsidP="00DB6AC4">
      <w:r>
        <w:t>69</w:t>
      </w:r>
      <w:r w:rsidR="00DB6AC4" w:rsidRPr="00A51856">
        <w:t>.1</w:t>
      </w:r>
      <w:r w:rsidR="00A26DE7" w:rsidRPr="00A51856">
        <w:t>2</w:t>
      </w:r>
      <w:r w:rsidR="00DB6AC4" w:rsidRPr="00A51856">
        <w:t>.</w:t>
      </w:r>
      <w:r w:rsidR="00DB6AC4" w:rsidRPr="00A51856">
        <w:rPr>
          <w:b/>
          <w:color w:val="FF0000"/>
        </w:rPr>
        <w:t xml:space="preserve"> </w:t>
      </w:r>
      <w:r w:rsidR="00DB6AC4" w:rsidRPr="00A51856">
        <w:t>partnerio (-ių) institucijos vadovo nustatyta tvarka patvirtintų įstaigos (organizacijos) statuto (įstatų), registracijos pažymėjimų kopijos;</w:t>
      </w:r>
    </w:p>
    <w:p w14:paraId="1FC4CF85" w14:textId="00A4031F" w:rsidR="00FF7A45" w:rsidRPr="00A51856" w:rsidRDefault="00BB6DC9" w:rsidP="00FF7A45">
      <w:r>
        <w:t>69</w:t>
      </w:r>
      <w:r w:rsidR="00A26DE7" w:rsidRPr="00A51856">
        <w:t>.13</w:t>
      </w:r>
      <w:r w:rsidR="00B25683" w:rsidRPr="00A51856">
        <w:t xml:space="preserve">. </w:t>
      </w:r>
      <w:r w:rsidR="005458D6" w:rsidRPr="00A51856">
        <w:t xml:space="preserve">bendradarbiavimo </w:t>
      </w:r>
      <w:r w:rsidR="00B25683" w:rsidRPr="00A51856">
        <w:t xml:space="preserve"> (partnerystės) sutarties kopiją, jeigu projektas įgyvendinamas su partneriu (-iais);</w:t>
      </w:r>
    </w:p>
    <w:p w14:paraId="5C59E294" w14:textId="2F186925" w:rsidR="005458D6" w:rsidRPr="00A51856" w:rsidRDefault="00BB6DC9" w:rsidP="005458D6">
      <w:pPr>
        <w:rPr>
          <w:rFonts w:eastAsia="Times New Roman"/>
          <w:lang w:eastAsia="lt-LT"/>
        </w:rPr>
      </w:pPr>
      <w:r>
        <w:t>69</w:t>
      </w:r>
      <w:r w:rsidR="00A26DE7" w:rsidRPr="00A51856">
        <w:t>.14</w:t>
      </w:r>
      <w:r w:rsidR="005458D6" w:rsidRPr="00A51856">
        <w:t>. pareiškėjo ir (ar) partnerio (-ių) nuosavo įnašo finansavimo šaltinius (pareiškėjo / partnerio įnašą) pagrindžiančius dokumentus;</w:t>
      </w:r>
      <w:r w:rsidR="005458D6" w:rsidRPr="00A51856">
        <w:rPr>
          <w:rFonts w:eastAsia="Times New Roman"/>
          <w:lang w:eastAsia="lt-LT"/>
        </w:rPr>
        <w:t xml:space="preserve"> </w:t>
      </w:r>
    </w:p>
    <w:p w14:paraId="121A9788" w14:textId="568682B6" w:rsidR="00546E91" w:rsidRDefault="00BB6DC9" w:rsidP="004D138E">
      <w:r>
        <w:t>69</w:t>
      </w:r>
      <w:r w:rsidR="00DB6AC4" w:rsidRPr="00A51856">
        <w:t>.1</w:t>
      </w:r>
      <w:r w:rsidR="00A26DE7" w:rsidRPr="00A51856">
        <w:t>5</w:t>
      </w:r>
      <w:r w:rsidR="004D138E" w:rsidRPr="00A51856">
        <w:t xml:space="preserve">. </w:t>
      </w:r>
      <w:r w:rsidR="004D138E" w:rsidRPr="00A51856">
        <w:rPr>
          <w:rFonts w:eastAsia="Times New Roman"/>
        </w:rPr>
        <w:t xml:space="preserve">dokumentus, patvirtinančius, kad pareiškėjas yra įgyvendinęs </w:t>
      </w:r>
      <w:r w:rsidR="004D138E" w:rsidRPr="00A51856">
        <w:t>Rekomendacijų Lietuvos mokslo ir studijų institucijoms dėl teisių, atsirandančių iš intelektinės veiklos rezultatų, patvirtintų 2009 m. gruodžio 1 d. Lietuvos Respublikos švietimo ir mokslo ministro įsakymu Nr. ISAK-2462, 10, 12, 16 ir 17 punktuose nustatytus reikalavimus arba nuorodas į viešai paskelbtus dokumentus</w:t>
      </w:r>
      <w:r w:rsidR="00546E91">
        <w:t>;</w:t>
      </w:r>
    </w:p>
    <w:p w14:paraId="7F56299E" w14:textId="360C3986" w:rsidR="004D138E" w:rsidRDefault="00BB6DC9" w:rsidP="00286151">
      <w:r>
        <w:t>69</w:t>
      </w:r>
      <w:r w:rsidR="00546E91">
        <w:t xml:space="preserve">.16. </w:t>
      </w:r>
      <w:r w:rsidR="003935DA">
        <w:t>d</w:t>
      </w:r>
      <w:r w:rsidR="00546E91" w:rsidRPr="00546E91">
        <w:t>okumentus arba nuorodas į viešai paskelbtus dokumentus, pagrindžiančius, kad pareiškėjas turi veikiančią teisių, atsirandančių iš intelektinės veiklos rezultatų, valdymo tvarką, t. y. yra įgyvendinęs 2009 m. gruodžio 1 d. Lietuvos Respublikos švietimo ir mokslo ministro įsakymu Nr. ISAK-2462 patvirtintų „Rekomendacijų Lietuvos mokslo ir studijų institucijoms dėl teisių, atsirandančių iš intelektinės veiklos rezultatų“ (toliau – Rekomendacijos) 10, 12, 16 ir 17 punktuose nustatytus reikalavimus</w:t>
      </w:r>
      <w:r w:rsidR="00286151">
        <w:t>;</w:t>
      </w:r>
    </w:p>
    <w:p w14:paraId="4A27AA5B" w14:textId="6EBF5440" w:rsidR="00AC7F97" w:rsidRPr="001B4F77" w:rsidRDefault="00AC7F97" w:rsidP="00286151">
      <w:r>
        <w:t>69.17. užpildytą informacijos, reikalingos projekto atitikčiai projektų atrankos kriterijams įvertinti, formą (</w:t>
      </w:r>
      <w:r w:rsidRPr="00AC7F97">
        <w:rPr>
          <w:highlight w:val="lightGray"/>
        </w:rPr>
        <w:t>paraiškos 2 priedą</w:t>
      </w:r>
      <w:r>
        <w:t>);</w:t>
      </w:r>
    </w:p>
    <w:p w14:paraId="27879B25" w14:textId="2D37BCA3" w:rsidR="003D1E4C" w:rsidRPr="00A51856" w:rsidRDefault="00BB6DC9" w:rsidP="003D1E4C">
      <w:pPr>
        <w:rPr>
          <w:shd w:val="clear" w:color="auto" w:fill="FFFFFF"/>
        </w:rPr>
      </w:pPr>
      <w:r>
        <w:rPr>
          <w:shd w:val="clear" w:color="auto" w:fill="FFFFFF"/>
        </w:rPr>
        <w:t>70</w:t>
      </w:r>
      <w:r w:rsidR="003D1E4C" w:rsidRPr="00A51856">
        <w:rPr>
          <w:shd w:val="clear" w:color="auto" w:fill="FFFFFF"/>
        </w:rPr>
        <w:t xml:space="preserve">. Paraiškų pateikimo paskutinė diena nustatoma kvietime teikti paraiškas, kuris skelbiamas ES struktūrinės paramos svetainėje </w:t>
      </w:r>
      <w:hyperlink r:id="rId19" w:history="1">
        <w:r w:rsidR="003D1E4C" w:rsidRPr="00A51856">
          <w:rPr>
            <w:rStyle w:val="Hipersaitas"/>
            <w:shd w:val="clear" w:color="auto" w:fill="FFFFFF"/>
          </w:rPr>
          <w:t>www.esinvesticijos.lt</w:t>
        </w:r>
      </w:hyperlink>
      <w:r w:rsidR="003D1E4C" w:rsidRPr="00A51856">
        <w:rPr>
          <w:shd w:val="clear" w:color="auto" w:fill="FFFFFF"/>
        </w:rPr>
        <w:t>.</w:t>
      </w:r>
    </w:p>
    <w:p w14:paraId="1857A0F4" w14:textId="4E4C78AE" w:rsidR="003D1E4C" w:rsidRPr="00A51856" w:rsidRDefault="00BB6DC9" w:rsidP="003D1E4C">
      <w:pPr>
        <w:rPr>
          <w:lang w:eastAsia="lt-LT"/>
        </w:rPr>
      </w:pPr>
      <w:r>
        <w:rPr>
          <w:lang w:eastAsia="lt-LT"/>
        </w:rPr>
        <w:lastRenderedPageBreak/>
        <w:t>71</w:t>
      </w:r>
      <w:r w:rsidR="003D1E4C" w:rsidRPr="00A51856">
        <w:rPr>
          <w:lang w:eastAsia="lt-LT"/>
        </w:rPr>
        <w:t xml:space="preserve">. 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t>
      </w:r>
      <w:hyperlink r:id="rId20" w:history="1">
        <w:r w:rsidR="003D1E4C" w:rsidRPr="00A51856">
          <w:rPr>
            <w:rStyle w:val="Hipersaitas"/>
            <w:lang w:eastAsia="lt-LT"/>
          </w:rPr>
          <w:t>www.esinvesticijos.lt</w:t>
        </w:r>
      </w:hyperlink>
      <w:r w:rsidR="003D1E4C" w:rsidRPr="00A51856">
        <w:rPr>
          <w:rStyle w:val="Hipersaitas"/>
          <w:rFonts w:eastAsia="Times New Roman"/>
          <w:lang w:eastAsia="lt-LT"/>
        </w:rPr>
        <w:t>.</w:t>
      </w:r>
    </w:p>
    <w:p w14:paraId="74C66131" w14:textId="0E07925D" w:rsidR="003D1E4C" w:rsidRPr="00A51856" w:rsidRDefault="00BF665B" w:rsidP="003D1E4C">
      <w:pPr>
        <w:rPr>
          <w:shd w:val="clear" w:color="auto" w:fill="FFFFFF"/>
        </w:rPr>
      </w:pPr>
      <w:r w:rsidRPr="00A51856">
        <w:rPr>
          <w:shd w:val="clear" w:color="auto" w:fill="FFFFFF"/>
        </w:rPr>
        <w:t>7</w:t>
      </w:r>
      <w:r w:rsidR="00BB6DC9">
        <w:rPr>
          <w:shd w:val="clear" w:color="auto" w:fill="FFFFFF"/>
        </w:rPr>
        <w:t>2</w:t>
      </w:r>
      <w:r w:rsidR="003D1E4C" w:rsidRPr="00A51856">
        <w:rPr>
          <w:shd w:val="clear" w:color="auto" w:fill="FFFFFF"/>
        </w:rPr>
        <w:t xml:space="preserve">. Įgyvendinančioji institucija atlieka projekto tinkamumo finansuoti vertinimą Projektų taisyklių 14 ir 15 skirsniuose nustatyta tvarka pagal Aprašo 1 priede </w:t>
      </w:r>
      <w:r w:rsidR="005C2DAE" w:rsidRPr="00A51856">
        <w:rPr>
          <w:shd w:val="clear" w:color="auto" w:fill="FFFFFF"/>
        </w:rPr>
        <w:t>„</w:t>
      </w:r>
      <w:r w:rsidR="005C2DAE" w:rsidRPr="00A51856">
        <w:rPr>
          <w:lang w:eastAsia="lt-LT"/>
        </w:rPr>
        <w:t>Projekto administracinės atitikties vertinimo lentelė“ ir 2 priede</w:t>
      </w:r>
      <w:r w:rsidR="005C2DAE" w:rsidRPr="00A51856">
        <w:rPr>
          <w:shd w:val="clear" w:color="auto" w:fill="FFFFFF"/>
        </w:rPr>
        <w:t xml:space="preserve"> </w:t>
      </w:r>
      <w:r w:rsidR="003D1E4C" w:rsidRPr="00A51856">
        <w:rPr>
          <w:shd w:val="clear" w:color="auto" w:fill="FFFFFF"/>
        </w:rPr>
        <w:t xml:space="preserve">„Projekto tinkamumo finansuoti vertinimo lentelė“ nustatytus reikalavimus, taip pat projekto naudos ir kokybės vertinimą Projektų taisyklių 14 ir 16 skirsniuose nustatyta tvarka pagal Aprašo </w:t>
      </w:r>
      <w:r w:rsidR="005C2DAE" w:rsidRPr="00A51856">
        <w:rPr>
          <w:shd w:val="clear" w:color="auto" w:fill="FFFFFF"/>
        </w:rPr>
        <w:t>3</w:t>
      </w:r>
      <w:r w:rsidR="003D1E4C" w:rsidRPr="00A51856">
        <w:rPr>
          <w:shd w:val="clear" w:color="auto" w:fill="FFFFFF"/>
        </w:rPr>
        <w:t xml:space="preserve"> priede „Projekto naudos ir kokybės vertinimo lentelė“ nustatytus reikalavimus.</w:t>
      </w:r>
    </w:p>
    <w:p w14:paraId="798B899C" w14:textId="5386B49A" w:rsidR="003D1E4C" w:rsidRPr="00A51856" w:rsidRDefault="00BF665B" w:rsidP="003D1E4C">
      <w:pPr>
        <w:rPr>
          <w:shd w:val="clear" w:color="auto" w:fill="FFFFFF"/>
        </w:rPr>
      </w:pPr>
      <w:r w:rsidRPr="00A51856">
        <w:rPr>
          <w:shd w:val="clear" w:color="auto" w:fill="FFFFFF"/>
        </w:rPr>
        <w:t>7</w:t>
      </w:r>
      <w:r w:rsidR="00BB6DC9">
        <w:rPr>
          <w:shd w:val="clear" w:color="auto" w:fill="FFFFFF"/>
        </w:rPr>
        <w:t>3</w:t>
      </w:r>
      <w:r w:rsidR="003D1E4C" w:rsidRPr="00A51856">
        <w:rPr>
          <w:shd w:val="clear" w:color="auto" w:fill="FFFFFF"/>
        </w:rPr>
        <w:t>. Projektų konkursas vykdomas tokia tvarka:</w:t>
      </w:r>
    </w:p>
    <w:p w14:paraId="792B2CC4" w14:textId="42F15CF0" w:rsidR="00BB7DD6" w:rsidRPr="00A51856" w:rsidRDefault="00BF665B" w:rsidP="003D1E4C">
      <w:pPr>
        <w:rPr>
          <w:rFonts w:eastAsia="Times New Roman"/>
          <w:lang w:eastAsia="lt-LT"/>
        </w:rPr>
      </w:pPr>
      <w:r w:rsidRPr="00A51856">
        <w:rPr>
          <w:shd w:val="clear" w:color="auto" w:fill="FFFFFF"/>
        </w:rPr>
        <w:t>7</w:t>
      </w:r>
      <w:r w:rsidR="00BB6DC9">
        <w:rPr>
          <w:shd w:val="clear" w:color="auto" w:fill="FFFFFF"/>
        </w:rPr>
        <w:t>3</w:t>
      </w:r>
      <w:r w:rsidR="00A34AC6" w:rsidRPr="00A51856">
        <w:rPr>
          <w:shd w:val="clear" w:color="auto" w:fill="FFFFFF"/>
        </w:rPr>
        <w:t xml:space="preserve">.1. pirmiausiai atliekamas </w:t>
      </w:r>
      <w:r w:rsidR="00416A2A" w:rsidRPr="00A51856">
        <w:rPr>
          <w:shd w:val="clear" w:color="auto" w:fill="FFFFFF"/>
        </w:rPr>
        <w:t xml:space="preserve">projekto </w:t>
      </w:r>
      <w:r w:rsidR="00A34AC6" w:rsidRPr="00A51856">
        <w:rPr>
          <w:shd w:val="clear" w:color="auto" w:fill="FFFFFF"/>
        </w:rPr>
        <w:t>tinkamumo finansuoti vertinimas</w:t>
      </w:r>
      <w:r w:rsidR="00A31CED" w:rsidRPr="00A51856">
        <w:rPr>
          <w:shd w:val="clear" w:color="auto" w:fill="FFFFFF"/>
        </w:rPr>
        <w:t xml:space="preserve">, </w:t>
      </w:r>
      <w:r w:rsidR="00A31CED" w:rsidRPr="00A51856">
        <w:rPr>
          <w:rFonts w:eastAsia="Times New Roman"/>
          <w:lang w:eastAsia="lt-LT"/>
        </w:rPr>
        <w:t xml:space="preserve">kurio metu įvertinama projekto atitiktis Apraše nustatytiems reikalavimams, nurodytiems Aprašo 1 priede </w:t>
      </w:r>
      <w:r w:rsidR="00BB7DD6" w:rsidRPr="00A51856">
        <w:rPr>
          <w:rFonts w:eastAsia="Times New Roman"/>
          <w:lang w:eastAsia="lt-LT"/>
        </w:rPr>
        <w:t>(</w:t>
      </w:r>
      <w:r w:rsidR="007123BD" w:rsidRPr="00A51856">
        <w:rPr>
          <w:rFonts w:eastAsia="Times New Roman"/>
          <w:lang w:eastAsia="lt-LT"/>
        </w:rPr>
        <w:t>t. y., įvertinama, ar su paraiška pateikti visi paraiškos dokumentai ir informacija</w:t>
      </w:r>
      <w:r w:rsidR="00BB7DD6" w:rsidRPr="00A51856">
        <w:rPr>
          <w:rFonts w:eastAsia="Times New Roman"/>
          <w:lang w:eastAsia="lt-LT"/>
        </w:rPr>
        <w:t xml:space="preserve">). </w:t>
      </w:r>
      <w:r w:rsidR="0005416D" w:rsidRPr="00A51856">
        <w:rPr>
          <w:rFonts w:eastAsia="Times New Roman"/>
          <w:lang w:eastAsia="lt-LT"/>
        </w:rPr>
        <w:t>ir bendriesiems reikalavimams</w:t>
      </w:r>
      <w:r w:rsidR="0005416D" w:rsidRPr="00A51856">
        <w:t xml:space="preserve">, </w:t>
      </w:r>
      <w:r w:rsidR="0005416D" w:rsidRPr="00A51856">
        <w:rPr>
          <w:rFonts w:eastAsia="Times New Roman"/>
          <w:lang w:eastAsia="lt-LT"/>
        </w:rPr>
        <w:t xml:space="preserve">nurodytiems Aprašo 2 priede. </w:t>
      </w:r>
      <w:r w:rsidR="00BB7DD6" w:rsidRPr="00A51856">
        <w:rPr>
          <w:rFonts w:eastAsia="Times New Roman"/>
          <w:lang w:eastAsia="lt-LT"/>
        </w:rPr>
        <w:t xml:space="preserve">Projekto atitiktis </w:t>
      </w:r>
      <w:r w:rsidR="00BB7DD6" w:rsidRPr="00671369">
        <w:rPr>
          <w:rFonts w:eastAsia="Times New Roman"/>
          <w:highlight w:val="lightGray"/>
          <w:lang w:eastAsia="lt-LT"/>
        </w:rPr>
        <w:t>Aprašo 2</w:t>
      </w:r>
      <w:r w:rsidR="00FD7C35">
        <w:rPr>
          <w:rFonts w:eastAsia="Times New Roman"/>
          <w:highlight w:val="lightGray"/>
          <w:lang w:eastAsia="lt-LT"/>
        </w:rPr>
        <w:t>3</w:t>
      </w:r>
      <w:r w:rsidR="00BB7DD6" w:rsidRPr="00671369">
        <w:rPr>
          <w:rFonts w:eastAsia="Times New Roman"/>
          <w:highlight w:val="lightGray"/>
          <w:lang w:eastAsia="lt-LT"/>
        </w:rPr>
        <w:t xml:space="preserve"> punkt</w:t>
      </w:r>
      <w:r w:rsidR="00C112AB" w:rsidRPr="00671369">
        <w:rPr>
          <w:rFonts w:eastAsia="Times New Roman"/>
          <w:highlight w:val="lightGray"/>
          <w:lang w:eastAsia="lt-LT"/>
        </w:rPr>
        <w:t>ui</w:t>
      </w:r>
      <w:r w:rsidR="00C112AB" w:rsidRPr="00A51856">
        <w:rPr>
          <w:rFonts w:eastAsia="Times New Roman"/>
          <w:lang w:eastAsia="lt-LT"/>
        </w:rPr>
        <w:t xml:space="preserve"> vertinama tokia</w:t>
      </w:r>
      <w:r w:rsidR="00BB7DD6" w:rsidRPr="00A51856">
        <w:rPr>
          <w:rFonts w:eastAsia="Times New Roman"/>
          <w:lang w:eastAsia="lt-LT"/>
        </w:rPr>
        <w:t xml:space="preserve"> tvarka:</w:t>
      </w:r>
    </w:p>
    <w:p w14:paraId="0861483A" w14:textId="7AB9BF6B" w:rsidR="0005416D" w:rsidRPr="00A51856" w:rsidRDefault="00BB7DD6" w:rsidP="0005416D">
      <w:pPr>
        <w:suppressAutoHyphens/>
        <w:autoSpaceDE w:val="0"/>
        <w:autoSpaceDN w:val="0"/>
        <w:adjustRightInd w:val="0"/>
        <w:textAlignment w:val="center"/>
        <w:rPr>
          <w:rFonts w:eastAsia="Times New Roman"/>
          <w:color w:val="000000"/>
        </w:rPr>
      </w:pPr>
      <w:r w:rsidRPr="00A51856">
        <w:rPr>
          <w:rFonts w:eastAsia="Times New Roman"/>
          <w:lang w:eastAsia="lt-LT"/>
        </w:rPr>
        <w:t>7</w:t>
      </w:r>
      <w:r w:rsidR="00BB6DC9">
        <w:rPr>
          <w:rFonts w:eastAsia="Times New Roman"/>
          <w:lang w:eastAsia="lt-LT"/>
        </w:rPr>
        <w:t>3</w:t>
      </w:r>
      <w:r w:rsidRPr="00A51856">
        <w:rPr>
          <w:rFonts w:eastAsia="Times New Roman"/>
          <w:lang w:eastAsia="lt-LT"/>
        </w:rPr>
        <w:t xml:space="preserve">.1.1. </w:t>
      </w:r>
      <w:r w:rsidR="0005416D" w:rsidRPr="00A51856">
        <w:rPr>
          <w:rFonts w:eastAsia="Times New Roman"/>
        </w:rPr>
        <w:t>iki kvietimo paskel</w:t>
      </w:r>
      <w:r w:rsidR="0005416D" w:rsidRPr="00A51856">
        <w:rPr>
          <w:rFonts w:eastAsia="Times New Roman"/>
          <w:color w:val="000000"/>
        </w:rPr>
        <w:t>bimo įgyvendinančiosios institucijos svetainėje skelbiami ankstesnių kvietimų pagal Aprašą finansuojamų projektų mokslinių tyrimų vadovų nurodytų straipsnių sąrašai;</w:t>
      </w:r>
    </w:p>
    <w:p w14:paraId="171C97A3" w14:textId="0D0B50E8" w:rsidR="0005416D" w:rsidRPr="00A51856" w:rsidRDefault="0005416D" w:rsidP="0005416D">
      <w:pPr>
        <w:suppressAutoHyphens/>
        <w:autoSpaceDE w:val="0"/>
        <w:autoSpaceDN w:val="0"/>
        <w:adjustRightInd w:val="0"/>
        <w:textAlignment w:val="center"/>
        <w:rPr>
          <w:rFonts w:eastAsia="Times New Roman"/>
          <w:color w:val="000000"/>
        </w:rPr>
      </w:pPr>
      <w:r w:rsidRPr="00A51856">
        <w:rPr>
          <w:rFonts w:eastAsia="Times New Roman"/>
          <w:color w:val="000000"/>
        </w:rPr>
        <w:t>7</w:t>
      </w:r>
      <w:r w:rsidR="00BB6DC9">
        <w:rPr>
          <w:rFonts w:eastAsia="Times New Roman"/>
          <w:color w:val="000000"/>
        </w:rPr>
        <w:t>3</w:t>
      </w:r>
      <w:r w:rsidRPr="00A51856">
        <w:rPr>
          <w:rFonts w:eastAsia="Times New Roman"/>
          <w:color w:val="000000"/>
        </w:rPr>
        <w:t xml:space="preserve">.1.2. mokslinio tyrimo vadovo atitiktis </w:t>
      </w:r>
      <w:r w:rsidRPr="00671369">
        <w:rPr>
          <w:rFonts w:eastAsia="Times New Roman"/>
          <w:color w:val="000000"/>
          <w:highlight w:val="lightGray"/>
        </w:rPr>
        <w:t>Aprašo 2</w:t>
      </w:r>
      <w:r w:rsidR="00FD7C35">
        <w:rPr>
          <w:rFonts w:eastAsia="Times New Roman"/>
          <w:color w:val="000000"/>
          <w:highlight w:val="lightGray"/>
        </w:rPr>
        <w:t>3</w:t>
      </w:r>
      <w:r w:rsidRPr="00671369">
        <w:rPr>
          <w:rFonts w:eastAsia="Times New Roman"/>
          <w:color w:val="000000"/>
          <w:highlight w:val="lightGray"/>
        </w:rPr>
        <w:t> punkto</w:t>
      </w:r>
      <w:r w:rsidRPr="00A51856">
        <w:rPr>
          <w:rFonts w:eastAsia="Times New Roman"/>
          <w:color w:val="000000"/>
        </w:rPr>
        <w:t xml:space="preserve"> reikalavimui vertinama dviem etapais:</w:t>
      </w:r>
    </w:p>
    <w:p w14:paraId="3EF21564" w14:textId="511BA9CE" w:rsidR="0005416D" w:rsidRPr="00A51856" w:rsidRDefault="0005416D" w:rsidP="0005416D">
      <w:pPr>
        <w:suppressAutoHyphens/>
        <w:autoSpaceDE w:val="0"/>
        <w:autoSpaceDN w:val="0"/>
        <w:adjustRightInd w:val="0"/>
        <w:textAlignment w:val="center"/>
        <w:rPr>
          <w:rFonts w:eastAsia="Times New Roman"/>
          <w:color w:val="000000"/>
        </w:rPr>
      </w:pPr>
      <w:r w:rsidRPr="00A51856">
        <w:rPr>
          <w:rFonts w:eastAsia="Times New Roman"/>
          <w:color w:val="000000"/>
        </w:rPr>
        <w:t>7</w:t>
      </w:r>
      <w:r w:rsidR="00BB6DC9">
        <w:rPr>
          <w:rFonts w:eastAsia="Times New Roman"/>
          <w:color w:val="000000"/>
        </w:rPr>
        <w:t>3</w:t>
      </w:r>
      <w:r w:rsidRPr="00A51856">
        <w:rPr>
          <w:rFonts w:eastAsia="Times New Roman"/>
          <w:color w:val="000000"/>
        </w:rPr>
        <w:t xml:space="preserve">.1.2.1. pirmajame etape visi paskelbto kvietimo projektai vertinami kartu ir parengiama suvestinė dėl projektų mokslinių tyrimų vadovų atitikties Aprašo 26 punkto reikalavimui. Per penkias darbo dienas nuo suvestinės patvirtinimo dienos, įgyvendinančiosios institucijos svetainėje paskelbiami šio kvietimo paraiškose, kurių projektų mokslinių tyrimų vadovai atitiko </w:t>
      </w:r>
      <w:r w:rsidRPr="00671369">
        <w:rPr>
          <w:rFonts w:eastAsia="Times New Roman"/>
          <w:color w:val="000000"/>
          <w:highlight w:val="lightGray"/>
        </w:rPr>
        <w:t>Aprašo 2</w:t>
      </w:r>
      <w:r w:rsidR="00FD7C35">
        <w:rPr>
          <w:rFonts w:eastAsia="Times New Roman"/>
          <w:color w:val="000000"/>
          <w:highlight w:val="lightGray"/>
        </w:rPr>
        <w:t>3</w:t>
      </w:r>
      <w:r w:rsidRPr="00671369">
        <w:rPr>
          <w:rFonts w:eastAsia="Times New Roman"/>
          <w:color w:val="000000"/>
          <w:highlight w:val="lightGray"/>
        </w:rPr>
        <w:t> punkte</w:t>
      </w:r>
      <w:r w:rsidRPr="00A51856">
        <w:rPr>
          <w:rFonts w:eastAsia="Times New Roman"/>
          <w:color w:val="000000"/>
        </w:rPr>
        <w:t xml:space="preserve"> nurodytą reikalavimą, nurodytų mokslinių tyrimų vadovų mokslo straipsnių sąrašai. Pareiškėjų, kurių paraiškos neatitiko </w:t>
      </w:r>
      <w:r w:rsidRPr="00671369">
        <w:rPr>
          <w:rFonts w:eastAsia="Times New Roman"/>
          <w:color w:val="000000"/>
          <w:highlight w:val="lightGray"/>
        </w:rPr>
        <w:t>Aprašo 2</w:t>
      </w:r>
      <w:r w:rsidR="00FD7C35">
        <w:rPr>
          <w:rFonts w:eastAsia="Times New Roman"/>
          <w:color w:val="000000"/>
          <w:highlight w:val="lightGray"/>
        </w:rPr>
        <w:t>3</w:t>
      </w:r>
      <w:r w:rsidRPr="00671369">
        <w:rPr>
          <w:rFonts w:eastAsia="Times New Roman"/>
          <w:color w:val="000000"/>
          <w:highlight w:val="lightGray"/>
        </w:rPr>
        <w:t xml:space="preserve"> punkte</w:t>
      </w:r>
      <w:r w:rsidRPr="00A51856">
        <w:rPr>
          <w:rFonts w:eastAsia="Times New Roman"/>
          <w:color w:val="000000"/>
        </w:rPr>
        <w:t xml:space="preserve"> nustatyto reikalavimo, įgyvendinančioji institucija prašo per nustatytą terminą patikslinti ir (arba) papildyti mokslinių tyrimų vadovų mokslo straipsnių sąrašus.</w:t>
      </w:r>
    </w:p>
    <w:p w14:paraId="682B7A9D" w14:textId="70DE38DD" w:rsidR="0005416D" w:rsidRPr="00A51856" w:rsidRDefault="0005416D" w:rsidP="0005416D">
      <w:pPr>
        <w:suppressAutoHyphens/>
        <w:autoSpaceDE w:val="0"/>
        <w:autoSpaceDN w:val="0"/>
        <w:adjustRightInd w:val="0"/>
        <w:textAlignment w:val="center"/>
        <w:rPr>
          <w:rFonts w:eastAsia="Times New Roman"/>
          <w:color w:val="000000"/>
        </w:rPr>
      </w:pPr>
      <w:r w:rsidRPr="00A51856">
        <w:rPr>
          <w:rFonts w:eastAsia="Times New Roman"/>
          <w:color w:val="000000"/>
        </w:rPr>
        <w:t>7</w:t>
      </w:r>
      <w:r w:rsidR="00BB6DC9">
        <w:rPr>
          <w:rFonts w:eastAsia="Times New Roman"/>
          <w:color w:val="000000"/>
        </w:rPr>
        <w:t>3</w:t>
      </w:r>
      <w:r w:rsidRPr="00A51856">
        <w:rPr>
          <w:rFonts w:eastAsia="Times New Roman"/>
          <w:color w:val="000000"/>
        </w:rPr>
        <w:t xml:space="preserve">.1.2.2. antrajame etape vertinami projektai, kurių mokslinių tyrimų vadovų nurodyti straipsnių sąrašai buvo patikslinti ir (arba) papildyti (pagal </w:t>
      </w:r>
      <w:r w:rsidRPr="00671369">
        <w:rPr>
          <w:rFonts w:eastAsia="Times New Roman"/>
          <w:color w:val="000000"/>
          <w:highlight w:val="lightGray"/>
        </w:rPr>
        <w:t>Aprašo 7</w:t>
      </w:r>
      <w:r w:rsidR="00FD7C35">
        <w:rPr>
          <w:rFonts w:eastAsia="Times New Roman"/>
          <w:color w:val="000000"/>
          <w:highlight w:val="lightGray"/>
        </w:rPr>
        <w:t>3</w:t>
      </w:r>
      <w:r w:rsidRPr="00671369">
        <w:rPr>
          <w:rFonts w:eastAsia="Times New Roman"/>
          <w:color w:val="000000"/>
          <w:highlight w:val="lightGray"/>
        </w:rPr>
        <w:t>.1.2.1. punktą</w:t>
      </w:r>
      <w:r w:rsidRPr="00A51856">
        <w:rPr>
          <w:rFonts w:eastAsia="Times New Roman"/>
          <w:color w:val="000000"/>
        </w:rPr>
        <w:t xml:space="preserve">). Įgyvendinančiosios institucijos paprašyta ir pareiškėjo (jei reikia – kartu su mokslinio tyrimo vadovu) pateikta patikslinta ir (arba) trūkstama informacija negali įtakoti kitų projektų mokslinių tyrimų vadovų atitikties </w:t>
      </w:r>
      <w:r w:rsidRPr="00671369">
        <w:rPr>
          <w:rFonts w:eastAsia="Times New Roman"/>
          <w:color w:val="000000"/>
          <w:highlight w:val="lightGray"/>
        </w:rPr>
        <w:t>Aprašo 2</w:t>
      </w:r>
      <w:r w:rsidR="00FD7C35">
        <w:rPr>
          <w:rFonts w:eastAsia="Times New Roman"/>
          <w:color w:val="000000"/>
          <w:highlight w:val="lightGray"/>
        </w:rPr>
        <w:t>3</w:t>
      </w:r>
      <w:r w:rsidRPr="00671369">
        <w:rPr>
          <w:rFonts w:eastAsia="Times New Roman"/>
          <w:color w:val="000000"/>
          <w:highlight w:val="lightGray"/>
        </w:rPr>
        <w:t> punkto</w:t>
      </w:r>
      <w:r w:rsidRPr="00A51856">
        <w:rPr>
          <w:rFonts w:eastAsia="Times New Roman"/>
          <w:color w:val="000000"/>
        </w:rPr>
        <w:t xml:space="preserve"> reikalavimui, jei, vertinant pagal </w:t>
      </w:r>
      <w:r w:rsidRPr="00671369">
        <w:rPr>
          <w:rFonts w:eastAsia="Times New Roman"/>
          <w:color w:val="000000"/>
          <w:highlight w:val="lightGray"/>
        </w:rPr>
        <w:t>Aprašo 7</w:t>
      </w:r>
      <w:r w:rsidR="00FD7C35">
        <w:rPr>
          <w:rFonts w:eastAsia="Times New Roman"/>
          <w:color w:val="000000"/>
          <w:highlight w:val="lightGray"/>
        </w:rPr>
        <w:t>3</w:t>
      </w:r>
      <w:r w:rsidRPr="00671369">
        <w:rPr>
          <w:rFonts w:eastAsia="Times New Roman"/>
          <w:color w:val="000000"/>
          <w:highlight w:val="lightGray"/>
        </w:rPr>
        <w:t>.1.2.1. punktą</w:t>
      </w:r>
      <w:r w:rsidRPr="00A51856">
        <w:rPr>
          <w:rFonts w:eastAsia="Times New Roman"/>
          <w:color w:val="000000"/>
        </w:rPr>
        <w:t>, jie buvo pripažinti atitikę šį reikalavimą;</w:t>
      </w:r>
    </w:p>
    <w:p w14:paraId="670BB858" w14:textId="18385A04" w:rsidR="00C421AF" w:rsidRPr="00A51856" w:rsidRDefault="0005416D" w:rsidP="00E54284">
      <w:pPr>
        <w:rPr>
          <w:rFonts w:eastAsia="Calibri"/>
        </w:rPr>
      </w:pPr>
      <w:r w:rsidRPr="00A51856">
        <w:rPr>
          <w:rFonts w:eastAsia="Calibri"/>
        </w:rPr>
        <w:t>7</w:t>
      </w:r>
      <w:r w:rsidR="00BB6DC9">
        <w:rPr>
          <w:rFonts w:eastAsia="Calibri"/>
        </w:rPr>
        <w:t>3</w:t>
      </w:r>
      <w:r w:rsidRPr="00A51856">
        <w:rPr>
          <w:rFonts w:eastAsia="Calibri"/>
        </w:rPr>
        <w:t>.1.3</w:t>
      </w:r>
      <w:r w:rsidR="00E54284" w:rsidRPr="00A51856">
        <w:rPr>
          <w:rFonts w:eastAsia="Calibri"/>
        </w:rPr>
        <w:t>. t</w:t>
      </w:r>
      <w:r w:rsidRPr="00A51856">
        <w:rPr>
          <w:rFonts w:eastAsia="Calibri"/>
        </w:rPr>
        <w:t>ikslindamas paskelbto kvietimo projekto mokslinio tyrimo vadovo nurodytų straipsnių sąrašą, pareiškėjas turi teisę sąrašą papildyti naujais straipsniais ir (arba) išbraukti sąraše esančius straipsnius</w:t>
      </w:r>
      <w:r w:rsidR="00C421AF" w:rsidRPr="00A51856">
        <w:rPr>
          <w:rFonts w:eastAsia="Calibri"/>
        </w:rPr>
        <w:t>.</w:t>
      </w:r>
    </w:p>
    <w:p w14:paraId="47ABE39B" w14:textId="44E21C4D" w:rsidR="003D1E4C" w:rsidRPr="00A51856" w:rsidRDefault="00BF665B" w:rsidP="003D1E4C">
      <w:pPr>
        <w:rPr>
          <w:rFonts w:eastAsia="Times New Roman"/>
          <w:lang w:eastAsia="lt-LT"/>
        </w:rPr>
      </w:pPr>
      <w:r w:rsidRPr="00A51856">
        <w:rPr>
          <w:rFonts w:eastAsia="Times New Roman"/>
          <w:lang w:eastAsia="lt-LT"/>
        </w:rPr>
        <w:t>7</w:t>
      </w:r>
      <w:r w:rsidR="00BB6DC9">
        <w:rPr>
          <w:rFonts w:eastAsia="Times New Roman"/>
          <w:lang w:eastAsia="lt-LT"/>
        </w:rPr>
        <w:t>3</w:t>
      </w:r>
      <w:r w:rsidR="003D1E4C" w:rsidRPr="00A51856">
        <w:rPr>
          <w:rFonts w:eastAsia="Times New Roman"/>
          <w:lang w:eastAsia="lt-LT"/>
        </w:rPr>
        <w:t>.2. paraiškos, atitikusios tinkamumo finansuoti vertinimo reikalavimus, perduodamos naudos ir kokybės vertinimui</w:t>
      </w:r>
      <w:r w:rsidR="00150EF1" w:rsidRPr="00A51856">
        <w:rPr>
          <w:rFonts w:eastAsia="Times New Roman"/>
          <w:lang w:eastAsia="lt-LT"/>
        </w:rPr>
        <w:t>.</w:t>
      </w:r>
    </w:p>
    <w:p w14:paraId="284790C5" w14:textId="31648F70" w:rsidR="00853400" w:rsidRPr="00A51856" w:rsidRDefault="00BF665B" w:rsidP="00BF665B">
      <w:pPr>
        <w:rPr>
          <w:lang w:eastAsia="lt-LT"/>
        </w:rPr>
      </w:pPr>
      <w:r w:rsidRPr="00A51856">
        <w:rPr>
          <w:shd w:val="clear" w:color="auto" w:fill="FFFFFF"/>
        </w:rPr>
        <w:t>7</w:t>
      </w:r>
      <w:r w:rsidR="00BB6DC9">
        <w:rPr>
          <w:shd w:val="clear" w:color="auto" w:fill="FFFFFF"/>
        </w:rPr>
        <w:t>4</w:t>
      </w:r>
      <w:r w:rsidR="003D1E4C" w:rsidRPr="00A51856">
        <w:rPr>
          <w:shd w:val="clear" w:color="auto" w:fill="FFFFFF"/>
        </w:rPr>
        <w:t xml:space="preserve">. </w:t>
      </w:r>
      <w:r w:rsidR="003D0B03" w:rsidRPr="00A51856">
        <w:rPr>
          <w:shd w:val="clear" w:color="auto" w:fill="FFFFFF"/>
        </w:rPr>
        <w:t>Projektų naudos ir kokybės vertinimui perduotos paraiškos suskirstomos į dalis, atsižvelgiant į jose nurodytas Sumanios specializacijos prioritetines kryptis.</w:t>
      </w:r>
      <w:r w:rsidR="00853400" w:rsidRPr="00A51856">
        <w:t xml:space="preserve"> Paraiškų skaičius grupėse neturėtų būti mažesnis kaip penkiolika (išskyrus atvejus, kai </w:t>
      </w:r>
      <w:r w:rsidR="0080522F" w:rsidRPr="00A51856">
        <w:t xml:space="preserve"> pateiktų </w:t>
      </w:r>
      <w:r w:rsidR="00853400" w:rsidRPr="00A51856">
        <w:t xml:space="preserve">paraiškų skaičius </w:t>
      </w:r>
      <w:r w:rsidR="0080522F" w:rsidRPr="00A51856">
        <w:t xml:space="preserve">toje grupėje </w:t>
      </w:r>
      <w:r w:rsidR="00853400" w:rsidRPr="00A51856">
        <w:t>yra mažesnis nei penkiolika) ir didesnis kaip trisdešimt. Įgyvendinančiosios institucijos Humanitarinių ir socialinių mokslų bei Gamtos ir technikos mokslų komitetų (toliau – Komiteta</w:t>
      </w:r>
      <w:r w:rsidR="00647933" w:rsidRPr="00A51856">
        <w:t>i</w:t>
      </w:r>
      <w:r w:rsidR="00853400" w:rsidRPr="00A51856">
        <w:t>) pirmininkų sudarytos paraiškų grupės tvirtinamos įgyvendinančiosios institucijos pirmininko įsakymu ir per penkias darbo dienas paskelbiamos įgyvendinančiosios institucijos svetainėje, nurodant paraiškų grupės sąlyginį pavadinimą ir paraiškos kodą.</w:t>
      </w:r>
    </w:p>
    <w:p w14:paraId="5C8998C7" w14:textId="10C5F5BC" w:rsidR="00DD65FA" w:rsidRPr="00A51856" w:rsidRDefault="00A00D35" w:rsidP="00D74769">
      <w:pPr>
        <w:rPr>
          <w:rFonts w:eastAsia="Times New Roman"/>
          <w:color w:val="000000"/>
        </w:rPr>
      </w:pPr>
      <w:r w:rsidRPr="00A51856">
        <w:lastRenderedPageBreak/>
        <w:t>7</w:t>
      </w:r>
      <w:r w:rsidR="00BB6DC9">
        <w:t>5</w:t>
      </w:r>
      <w:r w:rsidR="00DD65FA" w:rsidRPr="00A51856">
        <w:t xml:space="preserve">. </w:t>
      </w:r>
      <w:r w:rsidR="00DD65FA" w:rsidRPr="00A51856">
        <w:rPr>
          <w:rFonts w:eastAsia="Times New Roman"/>
          <w:color w:val="000000"/>
        </w:rPr>
        <w:t xml:space="preserve">Lėšos, numatytos kvietimu skirti Priemonės projektų finansavimui, padalinamos į tiek dalių, kiek paraiškų grupių buvo sudaryta </w:t>
      </w:r>
      <w:r w:rsidR="00DD65FA" w:rsidRPr="00A51856">
        <w:rPr>
          <w:rFonts w:eastAsia="Times New Roman"/>
          <w:highlight w:val="lightGray"/>
        </w:rPr>
        <w:t>Apraš</w:t>
      </w:r>
      <w:r w:rsidR="00186358" w:rsidRPr="00A51856">
        <w:rPr>
          <w:rFonts w:eastAsia="Times New Roman"/>
          <w:highlight w:val="lightGray"/>
        </w:rPr>
        <w:t xml:space="preserve">o </w:t>
      </w:r>
      <w:r w:rsidRPr="00A51856">
        <w:rPr>
          <w:rFonts w:eastAsia="Times New Roman"/>
          <w:highlight w:val="lightGray"/>
        </w:rPr>
        <w:t>7</w:t>
      </w:r>
      <w:r w:rsidR="00FD7C35">
        <w:rPr>
          <w:rFonts w:eastAsia="Times New Roman"/>
          <w:highlight w:val="lightGray"/>
        </w:rPr>
        <w:t>4</w:t>
      </w:r>
      <w:r w:rsidR="00DD65FA" w:rsidRPr="00A51856">
        <w:rPr>
          <w:rFonts w:eastAsia="Times New Roman"/>
          <w:highlight w:val="lightGray"/>
        </w:rPr>
        <w:t xml:space="preserve"> punkte nustatyta</w:t>
      </w:r>
      <w:r w:rsidR="00DD65FA" w:rsidRPr="00A51856">
        <w:rPr>
          <w:rFonts w:eastAsia="Times New Roman"/>
        </w:rPr>
        <w:t xml:space="preserve"> </w:t>
      </w:r>
      <w:r w:rsidR="00DD65FA" w:rsidRPr="00A51856">
        <w:rPr>
          <w:rFonts w:eastAsia="Times New Roman"/>
          <w:color w:val="000000"/>
        </w:rPr>
        <w:t xml:space="preserve">tvarka. Šios lėšos paskirstomos proporcingai pagal paraiškų grupių projektų, </w:t>
      </w:r>
      <w:r w:rsidR="00E54284" w:rsidRPr="00A51856">
        <w:rPr>
          <w:rFonts w:eastAsia="Times New Roman"/>
          <w:color w:val="000000"/>
        </w:rPr>
        <w:t>kurie atitiko projektų tinkamumo finansuoti reikalavimus pagal Aprašo 1 ir 2 priedus</w:t>
      </w:r>
      <w:r w:rsidR="00DD65FA" w:rsidRPr="00A51856">
        <w:rPr>
          <w:rFonts w:eastAsia="Times New Roman"/>
          <w:color w:val="000000"/>
        </w:rPr>
        <w:t>, prašomas lėšas.</w:t>
      </w:r>
    </w:p>
    <w:p w14:paraId="25B6E183" w14:textId="1570F9A7" w:rsidR="00853400" w:rsidRPr="00A51856" w:rsidRDefault="00A00D35" w:rsidP="00853400">
      <w:pPr>
        <w:pStyle w:val="Default"/>
        <w:ind w:firstLine="851"/>
        <w:jc w:val="both"/>
        <w:rPr>
          <w:color w:val="auto"/>
          <w:shd w:val="clear" w:color="auto" w:fill="FFFFFF"/>
        </w:rPr>
      </w:pPr>
      <w:r w:rsidRPr="00A51856">
        <w:rPr>
          <w:color w:val="auto"/>
        </w:rPr>
        <w:t>7</w:t>
      </w:r>
      <w:r w:rsidR="00BB6DC9">
        <w:rPr>
          <w:color w:val="auto"/>
        </w:rPr>
        <w:t>6</w:t>
      </w:r>
      <w:r w:rsidR="003D1E4C" w:rsidRPr="00A51856">
        <w:rPr>
          <w:color w:val="auto"/>
          <w:shd w:val="clear" w:color="auto" w:fill="FFFFFF"/>
        </w:rPr>
        <w:t xml:space="preserve">. </w:t>
      </w:r>
      <w:r w:rsidR="00853400" w:rsidRPr="00A51856">
        <w:rPr>
          <w:rFonts w:eastAsia="Times New Roman"/>
          <w:color w:val="auto"/>
        </w:rPr>
        <w:t xml:space="preserve">Projektų naudos ir </w:t>
      </w:r>
      <w:r w:rsidR="006065E5" w:rsidRPr="00A51856">
        <w:rPr>
          <w:rFonts w:eastAsia="Times New Roman"/>
          <w:color w:val="auto"/>
        </w:rPr>
        <w:t>kokybės vertinimą pagal Aprašo 3</w:t>
      </w:r>
      <w:r w:rsidR="00853400" w:rsidRPr="00A51856">
        <w:rPr>
          <w:rFonts w:eastAsia="Times New Roman"/>
          <w:color w:val="auto"/>
        </w:rPr>
        <w:t xml:space="preserve"> priedo 1, 2, 3 punktu</w:t>
      </w:r>
      <w:r w:rsidR="003C39F7" w:rsidRPr="00A51856">
        <w:rPr>
          <w:rFonts w:eastAsia="Times New Roman"/>
          <w:color w:val="auto"/>
        </w:rPr>
        <w:t>ose nustatytus kriterijus</w:t>
      </w:r>
      <w:r w:rsidR="00853400" w:rsidRPr="00A51856">
        <w:rPr>
          <w:rFonts w:eastAsia="Times New Roman"/>
          <w:color w:val="auto"/>
        </w:rPr>
        <w:t xml:space="preserve"> atlieka ekspertai, skiriami vadovaujantis įgyvendinančiosios institucijos patvirtintomis ekspertų skyrimo taisyklėmis</w:t>
      </w:r>
      <w:r w:rsidR="003C39F7" w:rsidRPr="00A51856">
        <w:rPr>
          <w:rFonts w:eastAsia="Times New Roman"/>
          <w:color w:val="auto"/>
        </w:rPr>
        <w:t>,</w:t>
      </w:r>
      <w:r w:rsidR="00853400" w:rsidRPr="00A51856">
        <w:rPr>
          <w:rFonts w:eastAsia="Times New Roman"/>
          <w:color w:val="auto"/>
        </w:rPr>
        <w:t xml:space="preserve"> </w:t>
      </w:r>
      <w:r w:rsidR="00AD5790" w:rsidRPr="00A51856">
        <w:rPr>
          <w:rFonts w:eastAsia="Times New Roman"/>
          <w:color w:val="auto"/>
        </w:rPr>
        <w:t>o pagal Aprašo 3</w:t>
      </w:r>
      <w:r w:rsidR="003C39F7" w:rsidRPr="00A51856">
        <w:rPr>
          <w:rFonts w:eastAsia="Times New Roman"/>
          <w:color w:val="auto"/>
        </w:rPr>
        <w:t xml:space="preserve"> priedo 4, 5 punktuose nustatytus kriterijus – </w:t>
      </w:r>
      <w:r w:rsidR="00182ADB" w:rsidRPr="00A51856">
        <w:rPr>
          <w:rFonts w:eastAsia="Times New Roman"/>
          <w:color w:val="auto"/>
        </w:rPr>
        <w:t>į</w:t>
      </w:r>
      <w:r w:rsidR="003C39F7" w:rsidRPr="00A51856">
        <w:rPr>
          <w:rFonts w:eastAsia="Times New Roman"/>
          <w:color w:val="auto"/>
        </w:rPr>
        <w:t>gyvendinančiosios institucijos darbuotojai</w:t>
      </w:r>
      <w:r w:rsidR="00853400" w:rsidRPr="00A51856">
        <w:rPr>
          <w:rFonts w:eastAsia="Times New Roman"/>
          <w:color w:val="auto"/>
        </w:rPr>
        <w:t>.</w:t>
      </w:r>
    </w:p>
    <w:p w14:paraId="73F6228C" w14:textId="16728A0A" w:rsidR="003D1E4C" w:rsidRPr="00A51856" w:rsidRDefault="00BB6DC9" w:rsidP="003D1E4C">
      <w:pPr>
        <w:rPr>
          <w:lang w:eastAsia="lt-LT"/>
        </w:rPr>
      </w:pPr>
      <w:r>
        <w:rPr>
          <w:lang w:eastAsia="lt-LT"/>
        </w:rPr>
        <w:t>77</w:t>
      </w:r>
      <w:r w:rsidR="003D1E4C" w:rsidRPr="00A51856">
        <w:rPr>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44984B65" w14:textId="71CB6856" w:rsidR="003D1E4C" w:rsidRPr="00A51856" w:rsidRDefault="00BB6DC9" w:rsidP="003D1E4C">
      <w:pPr>
        <w:rPr>
          <w:shd w:val="clear" w:color="auto" w:fill="FFFFFF"/>
        </w:rPr>
      </w:pPr>
      <w:r>
        <w:rPr>
          <w:shd w:val="clear" w:color="auto" w:fill="FFFFFF"/>
        </w:rPr>
        <w:t>78</w:t>
      </w:r>
      <w:r w:rsidR="003D1E4C" w:rsidRPr="00A51856">
        <w:rPr>
          <w:shd w:val="clear" w:color="auto" w:fill="FFFFFF"/>
        </w:rPr>
        <w:t>. Paraiškos vertinamos ne ilgiau kaip 90 dienų nuo kvietimo teikti paraiškas skelbime nurodytos parai</w:t>
      </w:r>
      <w:r w:rsidR="00E1318E" w:rsidRPr="00A51856">
        <w:rPr>
          <w:shd w:val="clear" w:color="auto" w:fill="FFFFFF"/>
        </w:rPr>
        <w:t>škų pateikimo paskutinės dienos. Paraiškų vertinimo etapų trukmės skirstomos tokia tvarka:</w:t>
      </w:r>
    </w:p>
    <w:p w14:paraId="21914952" w14:textId="28410EDD" w:rsidR="00E1318E" w:rsidRPr="00A51856" w:rsidRDefault="00BB6DC9" w:rsidP="00E1318E">
      <w:r>
        <w:rPr>
          <w:shd w:val="clear" w:color="auto" w:fill="FFFFFF"/>
        </w:rPr>
        <w:t>78</w:t>
      </w:r>
      <w:r w:rsidR="00E1318E" w:rsidRPr="00A51856">
        <w:rPr>
          <w:shd w:val="clear" w:color="auto" w:fill="FFFFFF"/>
        </w:rPr>
        <w:t>.1.</w:t>
      </w:r>
      <w:r w:rsidR="00E1318E" w:rsidRPr="00A51856">
        <w:t xml:space="preserve"> projektų</w:t>
      </w:r>
      <w:r w:rsidR="00A00D35" w:rsidRPr="00A51856">
        <w:t xml:space="preserve"> </w:t>
      </w:r>
      <w:r w:rsidR="00E1318E" w:rsidRPr="00A51856">
        <w:t>tinkamumo finansuoti vertinimas trunka ne ilgiau kaip 40 dienų nuo kvietimo teikti paraiškas skelbime nurodytos paraiškų pateikimo paskutinės dienos;</w:t>
      </w:r>
    </w:p>
    <w:p w14:paraId="5DB68A48" w14:textId="5EFF35D3" w:rsidR="00E1318E" w:rsidRPr="00A51856" w:rsidRDefault="00BB6DC9" w:rsidP="00FE1383">
      <w:r>
        <w:rPr>
          <w:shd w:val="clear" w:color="auto" w:fill="FFFFFF"/>
        </w:rPr>
        <w:t>78</w:t>
      </w:r>
      <w:r w:rsidR="00E1318E" w:rsidRPr="00A51856">
        <w:rPr>
          <w:shd w:val="clear" w:color="auto" w:fill="FFFFFF"/>
        </w:rPr>
        <w:t>.2. p</w:t>
      </w:r>
      <w:r w:rsidR="00E1318E" w:rsidRPr="00A51856">
        <w:t>rojektų naudos ir kokybės vertinimas, atranka ir sprendimo dėl projektų finansavimo priėmimas trunka ne ilgiau kaip 50 dienų nuo tinkamumo finansuoti vertinimo ataskaitos patvirtinimo dienos.</w:t>
      </w:r>
    </w:p>
    <w:p w14:paraId="3EE3CE8A" w14:textId="2372DC17" w:rsidR="003D1E4C" w:rsidRPr="00A51856" w:rsidRDefault="00BB6DC9" w:rsidP="003D1E4C">
      <w:pPr>
        <w:rPr>
          <w:rFonts w:eastAsia="Times New Roman"/>
          <w:i/>
          <w:lang w:eastAsia="lt-LT"/>
        </w:rPr>
      </w:pPr>
      <w:r>
        <w:rPr>
          <w:lang w:eastAsia="lt-LT"/>
        </w:rPr>
        <w:t>79</w:t>
      </w:r>
      <w:r w:rsidR="003D1E4C" w:rsidRPr="00A51856">
        <w:rPr>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w:t>
      </w:r>
      <w:r w:rsidR="003D1E4C" w:rsidRPr="00A51856">
        <w:rPr>
          <w:rFonts w:eastAsia="Times New Roman"/>
          <w:lang w:eastAsia="lt-LT"/>
        </w:rPr>
        <w:t>o jeigu nėra įdiegtos DMS funkcinės galimybės – raštu, taip pat informuoja Ministeriją ir vadovaujančiąją instituciją per Europos Sąjungos struktūrinės paramos kompiuterinės informacinės valdymo ir priežiūros sistemos</w:t>
      </w:r>
      <w:r w:rsidR="003D1E4C" w:rsidRPr="00A51856">
        <w:rPr>
          <w:rFonts w:eastAsia="Times New Roman"/>
          <w:iCs/>
          <w:lang w:eastAsia="lt-LT"/>
        </w:rPr>
        <w:t xml:space="preserve"> 2014–2020 metų Europos Sąjungos struktūrinių fondų posistemį</w:t>
      </w:r>
      <w:r w:rsidR="003D1E4C" w:rsidRPr="00A51856">
        <w:rPr>
          <w:rFonts w:eastAsia="Times New Roman"/>
          <w:lang w:eastAsia="lt-LT"/>
        </w:rPr>
        <w:t xml:space="preserve"> SFMIS</w:t>
      </w:r>
      <w:r w:rsidR="003D1E4C" w:rsidRPr="00A51856">
        <w:t xml:space="preserve">2014, o jeigu nėra įdiegtos funkcinės galimybės – </w:t>
      </w:r>
      <w:r w:rsidR="003D1E4C" w:rsidRPr="00A51856">
        <w:rPr>
          <w:rFonts w:eastAsia="Times New Roman"/>
          <w:lang w:eastAsia="lt-LT"/>
        </w:rPr>
        <w:t>raštu, nurodydama termino pratęsimo priežastis</w:t>
      </w:r>
      <w:r w:rsidR="003D1E4C" w:rsidRPr="00A51856">
        <w:rPr>
          <w:rFonts w:eastAsia="Times New Roman"/>
          <w:i/>
          <w:lang w:eastAsia="lt-LT"/>
        </w:rPr>
        <w:t>.</w:t>
      </w:r>
    </w:p>
    <w:p w14:paraId="44774A91" w14:textId="40F42BC4" w:rsidR="003F4B1B" w:rsidRPr="00A51856" w:rsidRDefault="00BB6DC9" w:rsidP="0081711E">
      <w:pPr>
        <w:rPr>
          <w:lang w:eastAsia="lt-LT"/>
        </w:rPr>
      </w:pPr>
      <w:r>
        <w:rPr>
          <w:lang w:eastAsia="lt-LT"/>
        </w:rPr>
        <w:t>80</w:t>
      </w:r>
      <w:r w:rsidR="003D1E4C" w:rsidRPr="00A51856">
        <w:rPr>
          <w:lang w:eastAsia="lt-LT"/>
        </w:rPr>
        <w:t>. Paraiška atmetama dėl priežasčių, nustatytų</w:t>
      </w:r>
      <w:r w:rsidR="003D1E4C" w:rsidRPr="00A51856">
        <w:rPr>
          <w:highlight w:val="lightGray"/>
          <w:lang w:eastAsia="lt-LT"/>
        </w:rPr>
        <w:t xml:space="preserve"> Aprašo </w:t>
      </w:r>
      <w:r w:rsidR="00A00D35" w:rsidRPr="00A51856">
        <w:rPr>
          <w:highlight w:val="lightGray"/>
          <w:lang w:eastAsia="lt-LT"/>
        </w:rPr>
        <w:t>2</w:t>
      </w:r>
      <w:r w:rsidR="00C43271">
        <w:rPr>
          <w:highlight w:val="lightGray"/>
          <w:lang w:eastAsia="lt-LT"/>
        </w:rPr>
        <w:t>3</w:t>
      </w:r>
      <w:r w:rsidR="009C51B3" w:rsidRPr="00A51856">
        <w:rPr>
          <w:highlight w:val="lightGray"/>
          <w:lang w:eastAsia="lt-LT"/>
        </w:rPr>
        <w:t xml:space="preserve"> ir</w:t>
      </w:r>
      <w:r w:rsidR="00E762C8" w:rsidRPr="00A51856">
        <w:rPr>
          <w:highlight w:val="lightGray"/>
          <w:lang w:eastAsia="lt-LT"/>
        </w:rPr>
        <w:t xml:space="preserve"> </w:t>
      </w:r>
      <w:r w:rsidR="00A00D35" w:rsidRPr="00A51856">
        <w:rPr>
          <w:highlight w:val="lightGray"/>
          <w:lang w:eastAsia="lt-LT"/>
        </w:rPr>
        <w:t>2</w:t>
      </w:r>
      <w:r w:rsidR="00C43271">
        <w:rPr>
          <w:highlight w:val="lightGray"/>
          <w:lang w:eastAsia="lt-LT"/>
        </w:rPr>
        <w:t>5</w:t>
      </w:r>
      <w:r w:rsidR="003D1E4C" w:rsidRPr="00A51856">
        <w:rPr>
          <w:highlight w:val="lightGray"/>
          <w:lang w:eastAsia="lt-LT"/>
        </w:rPr>
        <w:t xml:space="preserve"> punktuose</w:t>
      </w:r>
      <w:r w:rsidR="003D1E4C" w:rsidRPr="00A51856">
        <w:rPr>
          <w:lang w:eastAsia="lt-LT"/>
        </w:rPr>
        <w:t xml:space="preserve"> arba Projektų taisyklių 14–16 skirsniuose, </w:t>
      </w:r>
      <w:r w:rsidR="009C51B3" w:rsidRPr="00A51856">
        <w:rPr>
          <w:lang w:eastAsia="lt-LT"/>
        </w:rPr>
        <w:t xml:space="preserve">Projektų taisyklėse </w:t>
      </w:r>
      <w:r w:rsidR="003D1E4C" w:rsidRPr="00A51856">
        <w:rPr>
          <w:rFonts w:eastAsia="Times New Roman"/>
          <w:lang w:eastAsia="lt-LT"/>
        </w:rPr>
        <w:t xml:space="preserve">nustatyta tvarka. Apie paraiškos atmetimą pareiškėjas informuojamas </w:t>
      </w:r>
      <w:r w:rsidR="003D1E4C" w:rsidRPr="00A51856">
        <w:rPr>
          <w:lang w:eastAsia="lt-LT"/>
        </w:rPr>
        <w:t xml:space="preserve">per DMS, </w:t>
      </w:r>
      <w:r w:rsidR="003D1E4C" w:rsidRPr="00A51856">
        <w:rPr>
          <w:rFonts w:eastAsia="Times New Roman"/>
          <w:lang w:eastAsia="lt-LT"/>
        </w:rPr>
        <w:t>o jeigu nėra įdiegtos DMS funkcinės galimybės – raštu, per 3 darbo dienas nuo sprendimo dėl paraiškos atmetimo priėmimo dienos</w:t>
      </w:r>
      <w:r w:rsidR="003D1E4C" w:rsidRPr="00A51856">
        <w:rPr>
          <w:lang w:eastAsia="lt-LT"/>
        </w:rPr>
        <w:t>.</w:t>
      </w:r>
    </w:p>
    <w:p w14:paraId="2F746CA0" w14:textId="3857345F" w:rsidR="00852808" w:rsidRPr="00A51856" w:rsidRDefault="00852808" w:rsidP="000148DC">
      <w:r w:rsidRPr="00A51856">
        <w:rPr>
          <w:lang w:eastAsia="lt-LT"/>
        </w:rPr>
        <w:t>8</w:t>
      </w:r>
      <w:r w:rsidR="00BB6DC9">
        <w:rPr>
          <w:lang w:eastAsia="lt-LT"/>
        </w:rPr>
        <w:t>1</w:t>
      </w:r>
      <w:r w:rsidRPr="00A51856">
        <w:rPr>
          <w:lang w:eastAsia="lt-LT"/>
        </w:rPr>
        <w:t xml:space="preserve">. </w:t>
      </w:r>
      <w:r w:rsidRPr="00A51856">
        <w:t xml:space="preserve">Projektų naudos ir kokybės vertinimą atlieka ekspertai, kurių darbą sudaro individualus </w:t>
      </w:r>
      <w:r w:rsidR="00A451CD" w:rsidRPr="00A51856">
        <w:t xml:space="preserve">vertinimas </w:t>
      </w:r>
      <w:r w:rsidRPr="00A51856">
        <w:t>ir vertinimas ekspertų grupėje. Individualų vertinimą ekspertas atlieka vienas, nesitardamas su kitais grupės nariais dėl konkrečios paraiškos vertinimo. Vertinimo ekspertų grupėje metu ekspertai aptaria individualaus vertinimo rezultatus ir siekia bendros nuomonės dėl kiekvienos paraiškos įvertinimo.</w:t>
      </w:r>
    </w:p>
    <w:p w14:paraId="207808B3" w14:textId="236E96C4" w:rsidR="00A451CD" w:rsidRPr="00A51856" w:rsidRDefault="00A451CD" w:rsidP="00A451CD">
      <w:r w:rsidRPr="00A51856">
        <w:t>8</w:t>
      </w:r>
      <w:r w:rsidR="00BB6DC9">
        <w:t>2</w:t>
      </w:r>
      <w:r w:rsidRPr="00A51856">
        <w:t xml:space="preserve">. Vertinimo ekspertų grupėse metu, remiantis projektams suteiktais balais, sudaromi </w:t>
      </w:r>
      <w:r w:rsidRPr="00A51856">
        <w:rPr>
          <w:u w:val="single"/>
        </w:rPr>
        <w:t>finansuotinų projektų sąrašai</w:t>
      </w:r>
      <w:r w:rsidRPr="00A51856">
        <w:t xml:space="preserve"> pagal </w:t>
      </w:r>
      <w:r w:rsidRPr="00A51856">
        <w:rPr>
          <w:highlight w:val="lightGray"/>
        </w:rPr>
        <w:t>Aprašo 7</w:t>
      </w:r>
      <w:r w:rsidR="00FD7C35">
        <w:rPr>
          <w:highlight w:val="lightGray"/>
        </w:rPr>
        <w:t>4</w:t>
      </w:r>
      <w:r w:rsidRPr="00A51856">
        <w:t xml:space="preserve"> punkte suskirstytas paraiškų grupes.</w:t>
      </w:r>
    </w:p>
    <w:p w14:paraId="37F274F3" w14:textId="4D2275F7" w:rsidR="003D1E4C" w:rsidRPr="00A51856" w:rsidRDefault="00B279F3" w:rsidP="003D1E4C">
      <w:r w:rsidRPr="00A51856">
        <w:rPr>
          <w:rFonts w:eastAsia="Times New Roman"/>
        </w:rPr>
        <w:t>8</w:t>
      </w:r>
      <w:r w:rsidR="00BB6DC9">
        <w:rPr>
          <w:rFonts w:eastAsia="Times New Roman"/>
        </w:rPr>
        <w:t>3</w:t>
      </w:r>
      <w:r w:rsidR="003D1E4C" w:rsidRPr="00A51856">
        <w:rPr>
          <w:rFonts w:eastAsia="Times New Roman"/>
        </w:rPr>
        <w:t xml:space="preserve">. </w:t>
      </w:r>
      <w:r w:rsidR="003D1E4C" w:rsidRPr="00A51856">
        <w:t xml:space="preserve">Remiantis </w:t>
      </w:r>
      <w:r w:rsidR="00A451CD" w:rsidRPr="00A51856">
        <w:rPr>
          <w:highlight w:val="lightGray"/>
        </w:rPr>
        <w:t>Aprašo 8</w:t>
      </w:r>
      <w:r w:rsidR="00FD7C35">
        <w:rPr>
          <w:highlight w:val="lightGray"/>
        </w:rPr>
        <w:t>2</w:t>
      </w:r>
      <w:r w:rsidR="00A451CD" w:rsidRPr="00A51856">
        <w:t xml:space="preserve"> punkte nurodytais sąrašais</w:t>
      </w:r>
      <w:r w:rsidR="0071508C" w:rsidRPr="00A51856">
        <w:t xml:space="preserve"> </w:t>
      </w:r>
      <w:r w:rsidR="003D1E4C" w:rsidRPr="00A51856">
        <w:t xml:space="preserve">ir atsižvelgiant į paraiškų grupėms </w:t>
      </w:r>
      <w:r w:rsidR="003D1E4C" w:rsidRPr="00A51856">
        <w:rPr>
          <w:highlight w:val="lightGray"/>
        </w:rPr>
        <w:t xml:space="preserve">Aprašo </w:t>
      </w:r>
      <w:r w:rsidR="00A00D35" w:rsidRPr="00A51856">
        <w:rPr>
          <w:highlight w:val="lightGray"/>
        </w:rPr>
        <w:t>7</w:t>
      </w:r>
      <w:r w:rsidR="00FD7C35">
        <w:rPr>
          <w:highlight w:val="lightGray"/>
        </w:rPr>
        <w:t>5</w:t>
      </w:r>
      <w:r w:rsidR="003350D9" w:rsidRPr="00A51856">
        <w:rPr>
          <w:highlight w:val="lightGray"/>
        </w:rPr>
        <w:t xml:space="preserve"> </w:t>
      </w:r>
      <w:r w:rsidR="003D1E4C" w:rsidRPr="00A51856">
        <w:rPr>
          <w:highlight w:val="lightGray"/>
        </w:rPr>
        <w:t>punkte</w:t>
      </w:r>
      <w:r w:rsidR="003D1E4C" w:rsidRPr="00A51856">
        <w:t xml:space="preserve"> nurodytu būdu paskirtas lėšas, sudaromi </w:t>
      </w:r>
      <w:r w:rsidR="003D1E4C" w:rsidRPr="00A51856">
        <w:rPr>
          <w:u w:val="single"/>
        </w:rPr>
        <w:t>galimų finansuoti projektų sąrašai</w:t>
      </w:r>
      <w:r w:rsidR="003D1E4C" w:rsidRPr="00A51856">
        <w:t xml:space="preserve"> pagal paraiškų grupes. Į galimų finansuoti projektų sąrašą, laikantis </w:t>
      </w:r>
      <w:r w:rsidR="00A451CD" w:rsidRPr="00A51856">
        <w:t>finansuotinų projektų sąrašuose</w:t>
      </w:r>
      <w:r w:rsidR="003D1E4C" w:rsidRPr="00A51856">
        <w:t xml:space="preserve"> nustatytos pirmumo eilės, įtraukiami projektai</w:t>
      </w:r>
      <w:r w:rsidR="00E54284" w:rsidRPr="00A51856">
        <w:t xml:space="preserve">, kurie </w:t>
      </w:r>
      <w:r w:rsidR="00AD5790" w:rsidRPr="00A51856">
        <w:t xml:space="preserve">surinko </w:t>
      </w:r>
      <w:r w:rsidR="00AD5790" w:rsidRPr="00671369">
        <w:rPr>
          <w:highlight w:val="lightGray"/>
        </w:rPr>
        <w:t xml:space="preserve">Aprašo </w:t>
      </w:r>
      <w:r w:rsidR="00C43271">
        <w:rPr>
          <w:highlight w:val="lightGray"/>
        </w:rPr>
        <w:t>29</w:t>
      </w:r>
      <w:r w:rsidR="00AD5790" w:rsidRPr="00A51856">
        <w:t xml:space="preserve"> punkte nustatytą minimalią balų sumą ir</w:t>
      </w:r>
      <w:r w:rsidR="003D1E4C" w:rsidRPr="00A51856">
        <w:t xml:space="preserve"> kuriems užtenka tai paraiškų grupei numatytų lėšų.</w:t>
      </w:r>
    </w:p>
    <w:p w14:paraId="6B7D5169" w14:textId="3E145F3F" w:rsidR="0081711E" w:rsidRPr="00A51856" w:rsidRDefault="000B34CE" w:rsidP="0081711E">
      <w:r w:rsidRPr="00A51856">
        <w:t>8</w:t>
      </w:r>
      <w:r w:rsidR="00BB6DC9">
        <w:t>4</w:t>
      </w:r>
      <w:r w:rsidR="003D1E4C" w:rsidRPr="00A51856">
        <w:t xml:space="preserve">. Jei keliose tam pačiam konkursui pateiktose projektų paraiškose numatyti moksliniai tyrimai (veiklos) iš esmės sutampa, galimu finansuoti gali būti pripažintas </w:t>
      </w:r>
      <w:r w:rsidR="003D1E4C" w:rsidRPr="00A51856">
        <w:lastRenderedPageBreak/>
        <w:t>daugiausia balų įvertintas projektas. Jei konkursui pateiktose projektų paraiškose numatyti moksliniai tyrimai (veiklos) iš esmės sutampa su projektų, dėl kurių finansavimo ar įgyvendinimo jau yra priimtas sprendimas, moksliniais tyrimais (veiklomis), tokie projektai nėra finansuojami.</w:t>
      </w:r>
    </w:p>
    <w:p w14:paraId="41A91FC2" w14:textId="2E96B78C" w:rsidR="000B1B7E" w:rsidRPr="00A51856" w:rsidRDefault="000B1B7E" w:rsidP="00671369">
      <w:r w:rsidRPr="00A51856">
        <w:t>8</w:t>
      </w:r>
      <w:r w:rsidR="00BB6DC9">
        <w:t>5</w:t>
      </w:r>
      <w:r w:rsidRPr="00A51856">
        <w:t xml:space="preserve">. </w:t>
      </w:r>
      <w:r w:rsidRPr="00A51856">
        <w:rPr>
          <w:shd w:val="clear" w:color="auto" w:fill="FFFFFF"/>
        </w:rPr>
        <w:t xml:space="preserve">Pasibaigus projektų naudos ir kokybės vertinimui, parengiama projektų naudos ir kokybės vertinimo ataskaita. Šioje ataskaitoje </w:t>
      </w:r>
      <w:r w:rsidR="002C1E24" w:rsidRPr="00A51856">
        <w:t>pateikiamas įvertintų paraiškų sąrašas, išdėstytas pagal naudos ir kokybės vertinimo metu paraiškoms suteiktų balų skaičių (nuo didžiausio iki mažiausio), nurodant pagal kiekvieną prioritetinį projektų atrankos kriterijų paraiškai suteiktą balų skaičių.</w:t>
      </w:r>
      <w:r w:rsidR="00671369" w:rsidRPr="00671369">
        <w:t xml:space="preserve"> </w:t>
      </w:r>
      <w:r w:rsidR="00671369" w:rsidRPr="00A51856">
        <w:t>Jeigu projektai surenka vienodą balų skaičių, projektai išdėstomi Projektų taisyklių 151 punkte nustatyta tvarka</w:t>
      </w:r>
      <w:r w:rsidR="00671369">
        <w:t>.</w:t>
      </w:r>
    </w:p>
    <w:p w14:paraId="10341DA3" w14:textId="670C5085" w:rsidR="0081711E" w:rsidRPr="00A51856" w:rsidRDefault="000B34CE" w:rsidP="0081711E">
      <w:r w:rsidRPr="00A51856">
        <w:t>8</w:t>
      </w:r>
      <w:r w:rsidR="00BB6DC9">
        <w:t>6</w:t>
      </w:r>
      <w:r w:rsidR="001055DC" w:rsidRPr="00A51856">
        <w:t>. Jei sudarius galimų finansuoti projektų sąrašus pagal paraiškų grupes, jose lieka nepaskirtų lėšų, tai:</w:t>
      </w:r>
    </w:p>
    <w:p w14:paraId="3A61A69F" w14:textId="5E79F646" w:rsidR="0081711E" w:rsidRPr="00A51856" w:rsidRDefault="000B34CE" w:rsidP="0081711E">
      <w:r w:rsidRPr="00A51856">
        <w:t>8</w:t>
      </w:r>
      <w:r w:rsidR="00BB6DC9">
        <w:t>6</w:t>
      </w:r>
      <w:r w:rsidR="001055DC" w:rsidRPr="00A51856">
        <w:t>.1. apskaičiuojama, kiek kiekvienoje tokioje paraiškų grupėje trūksta lėšų</w:t>
      </w:r>
      <w:r w:rsidR="0036653E" w:rsidRPr="00A51856">
        <w:t xml:space="preserve"> finansuotinų</w:t>
      </w:r>
      <w:r w:rsidR="001055DC" w:rsidRPr="00A51856">
        <w:t xml:space="preserve"> projektų sąraše esančiam pirmam eilėje projektui, kuris jau nebuvo pripažintas galimu finansuoti;</w:t>
      </w:r>
    </w:p>
    <w:p w14:paraId="4F41E246" w14:textId="07E9D438" w:rsidR="0081711E" w:rsidRPr="00A51856" w:rsidRDefault="000B34CE" w:rsidP="0081711E">
      <w:r w:rsidRPr="00A51856">
        <w:t>8</w:t>
      </w:r>
      <w:r w:rsidR="00BB6DC9">
        <w:t>6</w:t>
      </w:r>
      <w:r w:rsidR="001055DC" w:rsidRPr="00A51856">
        <w:t>.2. sudaromas finansuotinų projektų papildomas sąrašas, kuriame projektai išdėstomi eilėje pirmumo tvarka pagal trūkstamų lėšų dydį (sumą) – kuo mažiau lėšų trūksta, tuo projektas eilėje yra aukščiau;</w:t>
      </w:r>
    </w:p>
    <w:p w14:paraId="2D928055" w14:textId="307F1454" w:rsidR="0081711E" w:rsidRPr="00A51856" w:rsidRDefault="000B34CE" w:rsidP="0081711E">
      <w:r w:rsidRPr="00A51856">
        <w:t>8</w:t>
      </w:r>
      <w:r w:rsidR="00BB6DC9">
        <w:t>6</w:t>
      </w:r>
      <w:r w:rsidR="001055DC" w:rsidRPr="00A51856">
        <w:t>.3. nepaskirstytos lėšos sumuojamos ir paskirstomos papildomo sąrašo finansuotiniems projektams; šie projektai įtraukiami į galimų finansuoti projektų sąrašą.</w:t>
      </w:r>
    </w:p>
    <w:p w14:paraId="6851FBBE" w14:textId="163BA5E5" w:rsidR="0081711E" w:rsidRPr="00A51856" w:rsidRDefault="00BB6DC9" w:rsidP="0081711E">
      <w:r>
        <w:t>87</w:t>
      </w:r>
      <w:r w:rsidR="0081711E" w:rsidRPr="00A51856">
        <w:t>. Jei</w:t>
      </w:r>
      <w:r w:rsidR="001055DC" w:rsidRPr="00A51856">
        <w:t xml:space="preserve"> sudarius galimų finansuoti projektų sąrašus lieka nepaskirtų lėšų, tai:</w:t>
      </w:r>
    </w:p>
    <w:p w14:paraId="2C339113" w14:textId="095811B2" w:rsidR="0081711E" w:rsidRPr="00A51856" w:rsidRDefault="00BB6DC9" w:rsidP="0081711E">
      <w:r>
        <w:t>87</w:t>
      </w:r>
      <w:r w:rsidR="001055DC" w:rsidRPr="00A51856">
        <w:t>.1. apskaičiuojama, kiek trūksta lėšų kiekvieno komiteto sudaryto papildomo finansuotinų projektų sąrašo pirmam eilėje esančiam projektui, kuris jau nebuvo pripažintas galimu finansuoti;</w:t>
      </w:r>
    </w:p>
    <w:p w14:paraId="515152B4" w14:textId="12AB826E" w:rsidR="0081711E" w:rsidRPr="00A51856" w:rsidRDefault="00BB6DC9" w:rsidP="0081711E">
      <w:r>
        <w:t>87</w:t>
      </w:r>
      <w:r w:rsidR="001055DC" w:rsidRPr="00A51856">
        <w:t>.2. sudaromas jungtinis finansuotinų projektų sąrašas iš dviejų projektų ir jie išdėstomi eilėje pirmumo tvarka pagal trūkstamų lėšų dydį (sumą) – kuo mažiau lėšų trūksta, tuo projektas eilėje yra aukščiau;</w:t>
      </w:r>
    </w:p>
    <w:p w14:paraId="37DEA433" w14:textId="58B7623E" w:rsidR="001055DC" w:rsidRPr="00A51856" w:rsidRDefault="00BB6DC9" w:rsidP="0081711E">
      <w:r>
        <w:t>87</w:t>
      </w:r>
      <w:r w:rsidR="001055DC" w:rsidRPr="00A51856">
        <w:t>.3. nepaskirstytos lėšos sumuojamos ir, jei jų pakanka, skiriamos jungtinio finansuotinų projektų sąrašo projektams eilės tvarka.</w:t>
      </w:r>
    </w:p>
    <w:p w14:paraId="734E0613" w14:textId="245DBAAD" w:rsidR="00BF2845" w:rsidRPr="00A51856" w:rsidRDefault="00BB6DC9" w:rsidP="002C1E24">
      <w:r>
        <w:t>88</w:t>
      </w:r>
      <w:r w:rsidR="003D1E4C" w:rsidRPr="00A51856">
        <w:t xml:space="preserve">. Neviršijant </w:t>
      </w:r>
      <w:r w:rsidR="00E762C8" w:rsidRPr="00A51856">
        <w:rPr>
          <w:highlight w:val="lightGray"/>
        </w:rPr>
        <w:t xml:space="preserve">Aprašo </w:t>
      </w:r>
      <w:r w:rsidR="00FD7C35">
        <w:rPr>
          <w:highlight w:val="lightGray"/>
        </w:rPr>
        <w:t>49</w:t>
      </w:r>
      <w:r w:rsidR="003D1E4C" w:rsidRPr="00A51856">
        <w:rPr>
          <w:highlight w:val="lightGray"/>
        </w:rPr>
        <w:t xml:space="preserve"> punkte</w:t>
      </w:r>
      <w:r w:rsidR="003D1E4C" w:rsidRPr="00A51856">
        <w:t xml:space="preserve"> nustatytų lėšų sumos, </w:t>
      </w:r>
      <w:r w:rsidR="00E762C8" w:rsidRPr="00A51856">
        <w:rPr>
          <w:highlight w:val="lightGray"/>
        </w:rPr>
        <w:t xml:space="preserve">Aprašo </w:t>
      </w:r>
      <w:r w:rsidR="00A00D35" w:rsidRPr="00A51856">
        <w:rPr>
          <w:highlight w:val="lightGray"/>
        </w:rPr>
        <w:t>7</w:t>
      </w:r>
      <w:r w:rsidR="00FD7C35">
        <w:rPr>
          <w:highlight w:val="lightGray"/>
        </w:rPr>
        <w:t>5</w:t>
      </w:r>
      <w:r w:rsidR="009E6A56" w:rsidRPr="00A51856">
        <w:rPr>
          <w:highlight w:val="lightGray"/>
        </w:rPr>
        <w:t xml:space="preserve"> </w:t>
      </w:r>
      <w:r w:rsidR="003D1E4C" w:rsidRPr="00A51856">
        <w:rPr>
          <w:highlight w:val="lightGray"/>
        </w:rPr>
        <w:t>punkte</w:t>
      </w:r>
      <w:r w:rsidR="003D1E4C" w:rsidRPr="00A51856">
        <w:t xml:space="preserve"> nustatyta tvarka perskaičiuojamos paraiškų grupėms skirtos lėšos, </w:t>
      </w:r>
      <w:r w:rsidR="003D1E4C" w:rsidRPr="00A51856">
        <w:rPr>
          <w:highlight w:val="lightGray"/>
        </w:rPr>
        <w:t xml:space="preserve">Aprašo </w:t>
      </w:r>
      <w:r w:rsidR="000A7985" w:rsidRPr="00A51856">
        <w:rPr>
          <w:highlight w:val="lightGray"/>
        </w:rPr>
        <w:t>8</w:t>
      </w:r>
      <w:r w:rsidR="00FD7C35">
        <w:rPr>
          <w:highlight w:val="lightGray"/>
        </w:rPr>
        <w:t>4</w:t>
      </w:r>
      <w:r w:rsidR="00E762C8" w:rsidRPr="00A51856">
        <w:rPr>
          <w:highlight w:val="lightGray"/>
        </w:rPr>
        <w:t>-</w:t>
      </w:r>
      <w:r w:rsidR="00FD7C35">
        <w:rPr>
          <w:highlight w:val="lightGray"/>
        </w:rPr>
        <w:t>87</w:t>
      </w:r>
      <w:r w:rsidR="003D1E4C" w:rsidRPr="00A51856">
        <w:rPr>
          <w:highlight w:val="lightGray"/>
        </w:rPr>
        <w:t xml:space="preserve"> punktuose</w:t>
      </w:r>
      <w:r w:rsidR="003D1E4C" w:rsidRPr="00A51856">
        <w:t xml:space="preserve"> nustatyta tvarka iš paraiškų grupių projektų, ekspertų pripažintų finansuotinais</w:t>
      </w:r>
      <w:r w:rsidR="007D29E3" w:rsidRPr="00A51856">
        <w:t>,</w:t>
      </w:r>
      <w:r w:rsidR="003D1E4C" w:rsidRPr="00A51856">
        <w:t xml:space="preserve"> sudaromas papildytas galimų finansuoti projektų sąrašas.</w:t>
      </w:r>
    </w:p>
    <w:p w14:paraId="134C0708" w14:textId="3ACF455B" w:rsidR="0081711E" w:rsidRPr="00A51856" w:rsidRDefault="00BB6DC9" w:rsidP="0081711E">
      <w:pPr>
        <w:rPr>
          <w:lang w:eastAsia="lt-LT"/>
        </w:rPr>
      </w:pPr>
      <w:r>
        <w:rPr>
          <w:lang w:eastAsia="lt-LT"/>
        </w:rPr>
        <w:t>89</w:t>
      </w:r>
      <w:r w:rsidR="0081711E" w:rsidRPr="00A51856">
        <w:rPr>
          <w:lang w:eastAsia="lt-LT"/>
        </w:rPr>
        <w:t>. Paraiškų baigiamąjį vertinimo aptarimą organizuoja ir Paraiškų baigiamojo vertinimo aptarimo grupės sudėtį tvirtina įgyvendinančioji institucija Projektų taisyklių 146 punkte nustatyta tvarka. Paraiškų vertinimo aptarimo grupės veiklos principai nustatomi įsakyme, kuriuo tvirtinama grupės sudėtis, arba šios grupės darbo reglamente.</w:t>
      </w:r>
    </w:p>
    <w:p w14:paraId="66B688C2" w14:textId="7FAAA2B8" w:rsidR="0081711E" w:rsidRPr="00A51856" w:rsidRDefault="00BF2845" w:rsidP="0081711E">
      <w:r w:rsidRPr="00A51856">
        <w:t>9</w:t>
      </w:r>
      <w:r w:rsidR="00BB6DC9">
        <w:t>0</w:t>
      </w:r>
      <w:r w:rsidR="0081711E" w:rsidRPr="00A51856">
        <w:t xml:space="preserve">. </w:t>
      </w:r>
      <w:r w:rsidR="0081711E" w:rsidRPr="00A51856">
        <w:rPr>
          <w:rFonts w:eastAsia="Times New Roman"/>
          <w:lang w:eastAsia="lt-LT"/>
        </w:rPr>
        <w:t>Įgyvendinančioji institucija</w:t>
      </w:r>
      <w:r w:rsidR="0081711E" w:rsidRPr="00A51856">
        <w:t xml:space="preserve">, suderinusi su Ministerija, gali neorganizuoti baigiamojo paraiškų vertinimo rezultatų aptarimo, numatyto </w:t>
      </w:r>
      <w:r w:rsidR="0081711E" w:rsidRPr="00A51856">
        <w:rPr>
          <w:highlight w:val="lightGray"/>
        </w:rPr>
        <w:t xml:space="preserve">Aprašo </w:t>
      </w:r>
      <w:r w:rsidR="00FD7C35">
        <w:rPr>
          <w:highlight w:val="lightGray"/>
        </w:rPr>
        <w:t>89</w:t>
      </w:r>
      <w:r w:rsidR="0081711E" w:rsidRPr="00A51856">
        <w:rPr>
          <w:highlight w:val="lightGray"/>
        </w:rPr>
        <w:t xml:space="preserve"> punkte</w:t>
      </w:r>
      <w:r w:rsidR="0081711E" w:rsidRPr="00A51856">
        <w:t xml:space="preserve">, jei visoms pagal vieną kvietimą teikti paraiškas siūlomoms finansuoti paraiškoms finansuoti užtenka kvietimui teikti paraiškas skirtos lėšų sumos. </w:t>
      </w:r>
    </w:p>
    <w:p w14:paraId="03A965EE" w14:textId="5031792F" w:rsidR="003D1E4C" w:rsidRPr="00A51856" w:rsidRDefault="00BF2845" w:rsidP="003D1E4C">
      <w:pPr>
        <w:rPr>
          <w:lang w:eastAsia="lt-LT"/>
        </w:rPr>
      </w:pPr>
      <w:r w:rsidRPr="00A51856">
        <w:rPr>
          <w:lang w:eastAsia="lt-LT"/>
        </w:rPr>
        <w:t>9</w:t>
      </w:r>
      <w:r w:rsidR="00BB6DC9">
        <w:rPr>
          <w:lang w:eastAsia="lt-LT"/>
        </w:rPr>
        <w:t>1</w:t>
      </w:r>
      <w:r w:rsidR="003D1E4C" w:rsidRPr="00A51856">
        <w:rPr>
          <w:lang w:eastAsia="lt-LT"/>
        </w:rPr>
        <w:t xml:space="preserve">. Baigusi paraiškų vertinimą, įgyvendinančioji institucija sudaro dotacijų sutartis su atrinktais pareiškėjais. </w:t>
      </w:r>
    </w:p>
    <w:p w14:paraId="14B7FAB6" w14:textId="1502E229" w:rsidR="003D1E4C" w:rsidRPr="00A51856" w:rsidRDefault="002C1E24" w:rsidP="003D1E4C">
      <w:pPr>
        <w:rPr>
          <w:rFonts w:eastAsia="Times New Roman"/>
          <w:lang w:eastAsia="lt-LT"/>
        </w:rPr>
      </w:pPr>
      <w:r w:rsidRPr="00A51856">
        <w:rPr>
          <w:lang w:eastAsia="lt-LT"/>
        </w:rPr>
        <w:t>9</w:t>
      </w:r>
      <w:r w:rsidR="00BB6DC9">
        <w:rPr>
          <w:lang w:eastAsia="lt-LT"/>
        </w:rPr>
        <w:t>2</w:t>
      </w:r>
      <w:r w:rsidR="003D1E4C" w:rsidRPr="00A51856">
        <w:rPr>
          <w:lang w:eastAsia="lt-LT"/>
        </w:rPr>
        <w:t xml:space="preserve">. Per 14 dienų nuo paraiškų vertinimo pabaigos įgyvendinančioji institucija svetainėje </w:t>
      </w:r>
      <w:hyperlink r:id="rId21" w:history="1">
        <w:r w:rsidR="003D1E4C" w:rsidRPr="00A51856">
          <w:rPr>
            <w:rStyle w:val="Hipersaitas"/>
            <w:rFonts w:eastAsia="Times New Roman"/>
            <w:lang w:eastAsia="lt-LT"/>
          </w:rPr>
          <w:t>www.esinvesticijos.lt</w:t>
        </w:r>
      </w:hyperlink>
      <w:r w:rsidR="003D1E4C" w:rsidRPr="00A51856">
        <w:rPr>
          <w:rStyle w:val="Hipersaitas"/>
          <w:rFonts w:eastAsia="Times New Roman"/>
          <w:lang w:eastAsia="lt-LT"/>
        </w:rPr>
        <w:t xml:space="preserve"> </w:t>
      </w:r>
      <w:r w:rsidR="003D1E4C" w:rsidRPr="00A51856">
        <w:rPr>
          <w:lang w:eastAsia="lt-LT"/>
        </w:rPr>
        <w:t xml:space="preserve">paskelbia sąrašą pareiškėjų, kurių projektai nebuvo atrinkti finansuoti, ir apie tai pareiškėjai </w:t>
      </w:r>
      <w:r w:rsidR="003D1E4C" w:rsidRPr="00A51856">
        <w:rPr>
          <w:rFonts w:eastAsia="Times New Roman"/>
          <w:lang w:eastAsia="lt-LT"/>
        </w:rPr>
        <w:t xml:space="preserve">informuojami </w:t>
      </w:r>
      <w:r w:rsidR="003D1E4C" w:rsidRPr="00A51856">
        <w:rPr>
          <w:lang w:eastAsia="lt-LT"/>
        </w:rPr>
        <w:t xml:space="preserve">per DMS, </w:t>
      </w:r>
      <w:r w:rsidR="003D1E4C" w:rsidRPr="00A51856">
        <w:rPr>
          <w:rFonts w:eastAsia="Times New Roman"/>
          <w:lang w:eastAsia="lt-LT"/>
        </w:rPr>
        <w:t>o jeigu nėra įdiegtos DMS funkcinės galimybės – raštu.</w:t>
      </w:r>
    </w:p>
    <w:p w14:paraId="7119C1C6" w14:textId="2AAAE975" w:rsidR="00D742D2" w:rsidRPr="00A51856" w:rsidRDefault="002C1E24" w:rsidP="00D742D2">
      <w:pPr>
        <w:rPr>
          <w:shd w:val="clear" w:color="auto" w:fill="FFFFFF"/>
        </w:rPr>
      </w:pPr>
      <w:r w:rsidRPr="00A51856">
        <w:rPr>
          <w:lang w:eastAsia="lt-LT"/>
        </w:rPr>
        <w:t>9</w:t>
      </w:r>
      <w:r w:rsidR="00BB6DC9">
        <w:rPr>
          <w:lang w:eastAsia="lt-LT"/>
        </w:rPr>
        <w:t>3</w:t>
      </w:r>
      <w:r w:rsidR="00D742D2" w:rsidRPr="00A51856">
        <w:rPr>
          <w:lang w:eastAsia="lt-LT"/>
        </w:rPr>
        <w:t xml:space="preserve">. </w:t>
      </w:r>
      <w:r w:rsidR="00D742D2" w:rsidRPr="00A51856">
        <w:t xml:space="preserve">Pareiškėjas per 5 darbo dienas nuo informacijos apie priimtą sprendimą dėl paraiškos įvertinimo gavimo dienos turi teisę pateikti apeliaciją dėl paraiškos naudos ir </w:t>
      </w:r>
      <w:r w:rsidR="00D742D2" w:rsidRPr="00A51856">
        <w:lastRenderedPageBreak/>
        <w:t>kokybės vertinimo įgyvendinančiajai institucijai Apeliacijų dėl mokslo (sklaidos) projektų ar ataskaitų įvertinimo teikimo ir nagrinėjimo tvarkos apraše nustatytais atvejais ir tvarka.</w:t>
      </w:r>
    </w:p>
    <w:p w14:paraId="042BC8D6" w14:textId="79CAE792" w:rsidR="00D742D2" w:rsidRPr="00A51856" w:rsidRDefault="002C1E24" w:rsidP="00D742D2">
      <w:pPr>
        <w:rPr>
          <w:rFonts w:eastAsia="Times New Roman"/>
          <w:lang w:eastAsia="lt-LT"/>
        </w:rPr>
      </w:pPr>
      <w:r w:rsidRPr="00A51856">
        <w:rPr>
          <w:lang w:eastAsia="lt-LT"/>
        </w:rPr>
        <w:t>9</w:t>
      </w:r>
      <w:r w:rsidR="00BB6DC9">
        <w:rPr>
          <w:lang w:eastAsia="lt-LT"/>
        </w:rPr>
        <w:t>4</w:t>
      </w:r>
      <w:r w:rsidR="00D742D2" w:rsidRPr="00A51856">
        <w:rPr>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1EC46F9E" w14:textId="7822C379" w:rsidR="003D1E4C" w:rsidRPr="00A51856" w:rsidRDefault="00E762C8" w:rsidP="003D1E4C">
      <w:pPr>
        <w:rPr>
          <w:lang w:eastAsia="lt-LT"/>
        </w:rPr>
      </w:pPr>
      <w:r w:rsidRPr="00A51856">
        <w:rPr>
          <w:lang w:eastAsia="lt-LT"/>
        </w:rPr>
        <w:t>9</w:t>
      </w:r>
      <w:r w:rsidR="00BB6DC9">
        <w:rPr>
          <w:lang w:eastAsia="lt-LT"/>
        </w:rPr>
        <w:t>5</w:t>
      </w:r>
      <w:r w:rsidR="003D1E4C" w:rsidRPr="00A51856">
        <w:rPr>
          <w:lang w:eastAsia="lt-LT"/>
        </w:rPr>
        <w:t xml:space="preserve">. Įgyvendinančioji institucija, priėmusi sprendimą dėl projekto finansavimo, Projektų taisyklių 18 skirsnyje nustatyta tvarka pagal </w:t>
      </w:r>
      <w:r w:rsidR="002C1E24" w:rsidRPr="00A51856">
        <w:rPr>
          <w:highlight w:val="lightGray"/>
          <w:lang w:eastAsia="lt-LT"/>
        </w:rPr>
        <w:t>Aprašo 5</w:t>
      </w:r>
      <w:r w:rsidR="003D1E4C" w:rsidRPr="00A51856">
        <w:rPr>
          <w:lang w:eastAsia="lt-LT"/>
        </w:rPr>
        <w:t xml:space="preserve"> priede nustatytą formą parengia ir pateikia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 </w:t>
      </w:r>
    </w:p>
    <w:p w14:paraId="70FACAE0" w14:textId="68B1E779" w:rsidR="003D1E4C" w:rsidRPr="00A51856" w:rsidRDefault="00E762C8" w:rsidP="003D1E4C">
      <w:pPr>
        <w:rPr>
          <w:lang w:eastAsia="lt-LT"/>
        </w:rPr>
      </w:pPr>
      <w:r w:rsidRPr="00A51856">
        <w:rPr>
          <w:lang w:eastAsia="lt-LT"/>
        </w:rPr>
        <w:t>9</w:t>
      </w:r>
      <w:r w:rsidR="00BB6DC9">
        <w:rPr>
          <w:lang w:eastAsia="lt-LT"/>
        </w:rPr>
        <w:t>6</w:t>
      </w:r>
      <w:r w:rsidR="003D1E4C" w:rsidRPr="00A51856">
        <w:rPr>
          <w:lang w:eastAsia="lt-LT"/>
        </w:rPr>
        <w:t xml:space="preserve">. Dotacijos sutarties originalas gali būti rengiamas ir teikiamas: </w:t>
      </w:r>
    </w:p>
    <w:p w14:paraId="6045E258" w14:textId="0C0A0A2A" w:rsidR="003D1E4C" w:rsidRPr="00A51856" w:rsidRDefault="00E762C8" w:rsidP="003D1E4C">
      <w:pPr>
        <w:rPr>
          <w:lang w:eastAsia="lt-LT"/>
        </w:rPr>
      </w:pPr>
      <w:r w:rsidRPr="00A51856">
        <w:rPr>
          <w:lang w:eastAsia="lt-LT"/>
        </w:rPr>
        <w:t>9</w:t>
      </w:r>
      <w:r w:rsidR="00BB6DC9">
        <w:rPr>
          <w:lang w:eastAsia="lt-LT"/>
        </w:rPr>
        <w:t>6</w:t>
      </w:r>
      <w:r w:rsidR="003D1E4C" w:rsidRPr="00A51856">
        <w:rPr>
          <w:lang w:eastAsia="lt-LT"/>
        </w:rPr>
        <w:t>.1. kaip pasirašytas popierinis dokumentas arba</w:t>
      </w:r>
    </w:p>
    <w:p w14:paraId="74092441" w14:textId="7834B4BC" w:rsidR="003D1E4C" w:rsidRPr="00A51856" w:rsidRDefault="00E762C8" w:rsidP="003D1E4C">
      <w:pPr>
        <w:rPr>
          <w:lang w:eastAsia="lt-LT"/>
        </w:rPr>
      </w:pPr>
      <w:r w:rsidRPr="00A51856">
        <w:rPr>
          <w:lang w:eastAsia="lt-LT"/>
        </w:rPr>
        <w:t>9</w:t>
      </w:r>
      <w:r w:rsidR="00BB6DC9">
        <w:rPr>
          <w:lang w:eastAsia="lt-LT"/>
        </w:rPr>
        <w:t>6</w:t>
      </w:r>
      <w:r w:rsidR="003D1E4C" w:rsidRPr="00A51856">
        <w:rPr>
          <w:lang w:eastAsia="lt-LT"/>
        </w:rPr>
        <w:t xml:space="preserve">.2. kaip elektroninis dokumentas, pasirašytas elektroniniu parašu, priklausomai nuo to, kokią šio dokumento formą pasirenka projekto vykdytojas.  </w:t>
      </w:r>
    </w:p>
    <w:p w14:paraId="1DC0CD19" w14:textId="77777777" w:rsidR="00A9243F" w:rsidRPr="00A51856" w:rsidRDefault="00A9243F" w:rsidP="00A9243F">
      <w:pPr>
        <w:ind w:firstLine="0"/>
        <w:rPr>
          <w:lang w:eastAsia="lt-LT"/>
        </w:rPr>
      </w:pPr>
    </w:p>
    <w:p w14:paraId="0888F8C0" w14:textId="77777777" w:rsidR="00A9243F" w:rsidRPr="00A51856" w:rsidRDefault="00A9243F" w:rsidP="00A9243F">
      <w:pPr>
        <w:pStyle w:val="Antrat1"/>
        <w:rPr>
          <w:lang w:eastAsia="lt-LT"/>
        </w:rPr>
      </w:pPr>
      <w:r w:rsidRPr="00A51856">
        <w:rPr>
          <w:lang w:eastAsia="lt-LT"/>
        </w:rPr>
        <w:t>VI SKYRIUS</w:t>
      </w:r>
    </w:p>
    <w:p w14:paraId="09BB87DD" w14:textId="77777777" w:rsidR="00A9243F" w:rsidRPr="00A51856" w:rsidRDefault="00A9243F" w:rsidP="00A9243F">
      <w:pPr>
        <w:pStyle w:val="Antrat1"/>
        <w:rPr>
          <w:lang w:eastAsia="lt-LT"/>
        </w:rPr>
      </w:pPr>
      <w:r w:rsidRPr="00A51856">
        <w:rPr>
          <w:lang w:eastAsia="lt-LT"/>
        </w:rPr>
        <w:t>PROJEKTŲ ĮGYVENDINIMO REIKALAVIMAI</w:t>
      </w:r>
    </w:p>
    <w:p w14:paraId="7A57DFE8" w14:textId="77777777" w:rsidR="00E302BF" w:rsidRPr="00A51856" w:rsidRDefault="00E302BF" w:rsidP="00DC7B17">
      <w:pPr>
        <w:rPr>
          <w:lang w:eastAsia="lt-LT"/>
        </w:rPr>
      </w:pPr>
    </w:p>
    <w:p w14:paraId="1835B115" w14:textId="19069B71" w:rsidR="00E302BF" w:rsidRDefault="00B63F70" w:rsidP="00E302BF">
      <w:pPr>
        <w:rPr>
          <w:lang w:eastAsia="lt-LT"/>
        </w:rPr>
      </w:pPr>
      <w:r w:rsidRPr="00A51856">
        <w:rPr>
          <w:lang w:eastAsia="lt-LT"/>
        </w:rPr>
        <w:t>9</w:t>
      </w:r>
      <w:r w:rsidR="00BB6DC9">
        <w:rPr>
          <w:lang w:eastAsia="lt-LT"/>
        </w:rPr>
        <w:t>7</w:t>
      </w:r>
      <w:r w:rsidR="00E302BF" w:rsidRPr="00A51856">
        <w:rPr>
          <w:lang w:eastAsia="lt-LT"/>
        </w:rPr>
        <w:t xml:space="preserve">. Projektas įgyvendinamas pagal dotacijos sutartyje, Apraše ir Projektų taisyklėse nustatytus reikalavimus. </w:t>
      </w:r>
    </w:p>
    <w:p w14:paraId="17F12A38" w14:textId="0855C549" w:rsidR="00506492" w:rsidRPr="00A51856" w:rsidRDefault="00B20885" w:rsidP="00506492">
      <w:r>
        <w:rPr>
          <w:iCs/>
        </w:rPr>
        <w:t>9</w:t>
      </w:r>
      <w:r w:rsidR="00BB6DC9">
        <w:rPr>
          <w:iCs/>
        </w:rPr>
        <w:t>8</w:t>
      </w:r>
      <w:r w:rsidR="00506492" w:rsidRPr="00A51856">
        <w:rPr>
          <w:iCs/>
        </w:rPr>
        <w:t xml:space="preserve">. </w:t>
      </w:r>
      <w:r w:rsidR="00506492" w:rsidRPr="00A51856">
        <w:t xml:space="preserve">Projekto veiklos turi būti pradėtos įgyvendinti </w:t>
      </w:r>
      <w:r w:rsidR="00506492" w:rsidRPr="00A51856">
        <w:rPr>
          <w:rFonts w:eastAsia="Times New Roman"/>
          <w:color w:val="000000"/>
        </w:rPr>
        <w:t>nuo dotacijos sutarties įsigaliojimo dienos, bet ne vėliau kaip per vieną mėnesį</w:t>
      </w:r>
      <w:r w:rsidR="00506492" w:rsidRPr="00A51856">
        <w:rPr>
          <w:color w:val="FF0000"/>
        </w:rPr>
        <w:t xml:space="preserve"> </w:t>
      </w:r>
      <w:r w:rsidR="00506492" w:rsidRPr="00A51856">
        <w:rPr>
          <w:rFonts w:eastAsia="Times New Roman"/>
          <w:color w:val="000000"/>
        </w:rPr>
        <w:t xml:space="preserve">ir turi būti baigtos ne vėliau kaip iki Projektų taisyklių </w:t>
      </w:r>
      <w:r w:rsidR="00506492" w:rsidRPr="00A51856">
        <w:rPr>
          <w:iCs/>
        </w:rPr>
        <w:t>213.1 ir 213.5 papunkčiuose nustatytų terminų</w:t>
      </w:r>
      <w:r w:rsidR="00506492" w:rsidRPr="00A51856">
        <w:rPr>
          <w:rFonts w:eastAsia="Times New Roman"/>
          <w:color w:val="000000"/>
        </w:rPr>
        <w:t>.</w:t>
      </w:r>
      <w:r w:rsidR="00506492" w:rsidRPr="00A51856">
        <w:t xml:space="preserve"> </w:t>
      </w:r>
      <w:r w:rsidR="00506492" w:rsidRPr="00A51856">
        <w:rPr>
          <w:iCs/>
        </w:rPr>
        <w:t>Projekto veiklų įgyvendinimo pradžia laikoma projekto mokslinio tyrimo vadovo darbo projekte pradžia.</w:t>
      </w:r>
    </w:p>
    <w:p w14:paraId="0F3FF288" w14:textId="649AA9DA" w:rsidR="00506492" w:rsidRDefault="00A02BDD" w:rsidP="00671369">
      <w:pPr>
        <w:rPr>
          <w:rFonts w:eastAsia="Times New Roman"/>
          <w:lang w:eastAsia="lt-LT"/>
        </w:rPr>
      </w:pPr>
      <w:r w:rsidRPr="00A51856">
        <w:t>99</w:t>
      </w:r>
      <w:r w:rsidR="00E302BF" w:rsidRPr="00A51856">
        <w:t xml:space="preserve">. </w:t>
      </w:r>
      <w:r w:rsidR="00E302BF" w:rsidRPr="00A51856">
        <w:rPr>
          <w:rFonts w:eastAsia="Times New Roman"/>
          <w:lang w:eastAsia="lt-LT"/>
        </w:rPr>
        <w:t>Jei projekto veikla nepradėta įgyvendinti per 1 mėnesį nuo dotacijos sutarties įsigaliojimo dienos, įgyvendinančioji institucija turi teisę vienašališkai nutraukti dotacijos sutartį Projekto taisyklių 192 punkte nustatyta tvarka.</w:t>
      </w:r>
      <w:r w:rsidR="00B20885">
        <w:t>100</w:t>
      </w:r>
      <w:r w:rsidR="00506492" w:rsidRPr="00A51856">
        <w:t>. Mokslinio tyrimo vadovas turi pradėti dirbti projekte ne vėliau kaip per mėnesį nuo dotacijos sutarties įsigaliojimo dienos ir dirbti projekte visą projekto įgyvendinimo laikotarpį, darbo apimtis projekte turi būti ne mažesnė kaip 850 valandų per metus. Mokslinio tyrimo vadovas negali dirbti projekte pagal nuotolinio darbo sutartį</w:t>
      </w:r>
      <w:r w:rsidR="00FD7C35">
        <w:t>.</w:t>
      </w:r>
    </w:p>
    <w:p w14:paraId="335212FA" w14:textId="739C1D5A" w:rsidR="003608BE" w:rsidRDefault="00BB6DC9" w:rsidP="003608BE">
      <w:pPr>
        <w:rPr>
          <w:iCs/>
        </w:rPr>
      </w:pPr>
      <w:r>
        <w:rPr>
          <w:rFonts w:eastAsia="Times New Roman"/>
          <w:lang w:eastAsia="lt-LT"/>
        </w:rPr>
        <w:t>101</w:t>
      </w:r>
      <w:r w:rsidR="003608BE">
        <w:rPr>
          <w:lang w:eastAsia="lt-LT"/>
        </w:rPr>
        <w:t xml:space="preserve">. </w:t>
      </w:r>
      <w:r w:rsidR="003608BE">
        <w:rPr>
          <w:iCs/>
        </w:rPr>
        <w:t xml:space="preserve">Projekto sutartyje nustatomas privalomas finansinis projekto lėšų įsisavinimo spartos rodiklis t. y. nurodoma privaloma įsisavinti procentinė lėšų dalis nuo visų projektui įgyvendinti skirtų projekto finansavimo lėšų per 6, 12, 24 mėnesius nuo projekto sutarties pasirašymo dienos. </w:t>
      </w:r>
    </w:p>
    <w:p w14:paraId="6EAECDB2" w14:textId="0BE47DB9" w:rsidR="003608BE" w:rsidRDefault="00BB6DC9" w:rsidP="003608BE">
      <w:pPr>
        <w:rPr>
          <w:iCs/>
        </w:rPr>
      </w:pPr>
      <w:r>
        <w:rPr>
          <w:iCs/>
        </w:rPr>
        <w:t>102</w:t>
      </w:r>
      <w:r w:rsidR="003608BE">
        <w:rPr>
          <w:iCs/>
        </w:rPr>
        <w:t xml:space="preserve">. </w:t>
      </w:r>
      <w:r w:rsidR="003608BE" w:rsidRPr="00603EFF">
        <w:rPr>
          <w:iCs/>
        </w:rPr>
        <w:t>Projektui gali būti skiriamas papildomas finansavimas ir (arba) leidžiama panaudoti sutaupytas lėšas Projektų taisyklių 20 skirsnyje nustatyta tvarka</w:t>
      </w:r>
      <w:r w:rsidR="003608BE">
        <w:rPr>
          <w:iCs/>
        </w:rPr>
        <w:t>. Taip pat svarstant galimybę skirti projektui papildomą finansavimą ir (arba)</w:t>
      </w:r>
      <w:r w:rsidR="003608BE" w:rsidRPr="00603EFF">
        <w:rPr>
          <w:iCs/>
        </w:rPr>
        <w:t xml:space="preserve"> </w:t>
      </w:r>
      <w:r w:rsidR="003608BE">
        <w:rPr>
          <w:iCs/>
        </w:rPr>
        <w:t>leisti panaudoti sutaupytas lėšas įvertinama</w:t>
      </w:r>
      <w:r w:rsidR="003608BE" w:rsidRPr="00603EFF">
        <w:rPr>
          <w:iCs/>
        </w:rPr>
        <w:t xml:space="preserve">, </w:t>
      </w:r>
      <w:r w:rsidR="003608BE">
        <w:rPr>
          <w:iCs/>
        </w:rPr>
        <w:t>kaip</w:t>
      </w:r>
      <w:r w:rsidR="003608BE" w:rsidRPr="00603EFF">
        <w:rPr>
          <w:iCs/>
        </w:rPr>
        <w:t xml:space="preserve"> projekto vykdytojas vykdo projekto sutartyje nustatytus įsipareigojimus:</w:t>
      </w:r>
    </w:p>
    <w:p w14:paraId="43160D71" w14:textId="41E9939E" w:rsidR="003608BE" w:rsidRDefault="00BB6DC9" w:rsidP="003608BE">
      <w:pPr>
        <w:rPr>
          <w:iCs/>
        </w:rPr>
      </w:pPr>
      <w:r>
        <w:rPr>
          <w:iCs/>
        </w:rPr>
        <w:t>102</w:t>
      </w:r>
      <w:r w:rsidR="003608BE">
        <w:rPr>
          <w:iCs/>
        </w:rPr>
        <w:t>.1 ar projekto įgyvendinimas vykdomas pagal projekto sutartyje nustatytą projekto veiklų įgyvendinimo grafiką;</w:t>
      </w:r>
    </w:p>
    <w:p w14:paraId="400E718E" w14:textId="42F44476" w:rsidR="003608BE" w:rsidRDefault="00BB6DC9" w:rsidP="003608BE">
      <w:pPr>
        <w:rPr>
          <w:iCs/>
        </w:rPr>
      </w:pPr>
      <w:r>
        <w:rPr>
          <w:iCs/>
        </w:rPr>
        <w:t>102</w:t>
      </w:r>
      <w:r w:rsidR="003608BE">
        <w:rPr>
          <w:iCs/>
        </w:rPr>
        <w:t>.2 ar pasiektas projekto sutartyje nustatytas finansinis projekto lėšų įsisavinimo spartos rodiklis;</w:t>
      </w:r>
    </w:p>
    <w:p w14:paraId="42D9A9C0" w14:textId="20A6665A" w:rsidR="003608BE" w:rsidRPr="003608BE" w:rsidRDefault="00BB6DC9" w:rsidP="003608BE">
      <w:pPr>
        <w:rPr>
          <w:lang w:eastAsia="lt-LT"/>
        </w:rPr>
      </w:pPr>
      <w:r>
        <w:rPr>
          <w:iCs/>
        </w:rPr>
        <w:t>102</w:t>
      </w:r>
      <w:r w:rsidR="003608BE">
        <w:rPr>
          <w:iCs/>
        </w:rPr>
        <w:t xml:space="preserve">.3 ar pasiekti </w:t>
      </w:r>
      <w:r w:rsidR="003608BE">
        <w:t xml:space="preserve">stebėsenos rodikliai </w:t>
      </w:r>
      <w:r w:rsidR="003608BE">
        <w:rPr>
          <w:iCs/>
        </w:rPr>
        <w:t xml:space="preserve">projekto sutartyje nustatytais terminais. </w:t>
      </w:r>
    </w:p>
    <w:p w14:paraId="34255465" w14:textId="6280BB36" w:rsidR="00E302BF" w:rsidRPr="00A51856" w:rsidRDefault="005046B3" w:rsidP="00E302BF">
      <w:r w:rsidRPr="00A51856">
        <w:lastRenderedPageBreak/>
        <w:t>10</w:t>
      </w:r>
      <w:r w:rsidR="00985DC7">
        <w:t>3</w:t>
      </w:r>
      <w:r w:rsidR="00E302BF" w:rsidRPr="00A51856">
        <w:t xml:space="preserve">. Projekto vykdytojas per DMS, </w:t>
      </w:r>
      <w:r w:rsidR="00E302BF" w:rsidRPr="00A51856">
        <w:rPr>
          <w:rFonts w:eastAsia="Times New Roman"/>
          <w:lang w:eastAsia="lt-LT"/>
        </w:rPr>
        <w:t>o jeigu nėra įdiegtos DMS funkcinės galimybės – raštu,</w:t>
      </w:r>
      <w:r w:rsidR="00E302BF" w:rsidRPr="00A51856">
        <w:t xml:space="preserve"> teikia įgyvendinančiajai institucijai informaciją apie kiekvieną mokslinį tyrimą vykdantį tyrėją, pirmą jo dalyvavimo tiesioginėse projekto veiklose dieną vieną kartą per projekto įgyvendinimo laikotarpį pagal svetainėje </w:t>
      </w:r>
      <w:hyperlink r:id="rId22" w:history="1">
        <w:r w:rsidR="00E302BF" w:rsidRPr="00A51856">
          <w:rPr>
            <w:rStyle w:val="Hipersaitas"/>
          </w:rPr>
          <w:t>www.esinvesticijos.lt</w:t>
        </w:r>
      </w:hyperlink>
      <w:r w:rsidR="00E302BF" w:rsidRPr="00A51856">
        <w:t xml:space="preserve"> paskelbtą iš Europos socialinio fondo lėšų bendrai finansuojamo projekto dalyvio anketos formą (SFMIS formą).</w:t>
      </w:r>
    </w:p>
    <w:p w14:paraId="1723839B" w14:textId="7F9AFE33" w:rsidR="00E302BF" w:rsidRPr="00A51856" w:rsidRDefault="005046B3" w:rsidP="00E302BF">
      <w:r w:rsidRPr="00A51856">
        <w:t>10</w:t>
      </w:r>
      <w:r w:rsidR="00985DC7">
        <w:t>4</w:t>
      </w:r>
      <w:r w:rsidR="00E302BF" w:rsidRPr="00A51856">
        <w:t>. Tyrėjui atsisakius užpildyti dalyvio anketos formą ir (ar) projekto vykdytojui negalint pateikti duomenų apie dalyvį, šio tyrėjo dalyvavimo projekto veiklose išlaidos yra pripažįstamos netinkamomis finansuoti. Jei tyrėjas dėl negalios negali užpildyti dalyvio anketos formos ir (arba) projekto vykdytojas turi prieigą prie viešuose registruose arba valstybės ar savivaldybių informacinėse sistemose esančios informacijos apie mokslinį tyrimą vykdančius tyrėjus arba turi informaciją apie tyrėjus (ir gali pagrįsti jos teisingumą patikros vietoje metu), tokiu atveju dalyvio anketoje nustatytą informaciją apie projekto dalyvius įgyvendinančiajai institucijai pateikia projekto vykdytojas, o iš tyrėjo nereikalaujama užpildyti dalyvio anketos formos.</w:t>
      </w:r>
    </w:p>
    <w:p w14:paraId="487C9947" w14:textId="7816E6D5" w:rsidR="00E302BF" w:rsidRPr="00A51856" w:rsidRDefault="005046B3" w:rsidP="00E302BF">
      <w:pPr>
        <w:pStyle w:val="Paprastasistekstas"/>
        <w:ind w:firstLine="851"/>
        <w:jc w:val="both"/>
        <w:rPr>
          <w:rFonts w:ascii="Times New Roman" w:hAnsi="Times New Roman" w:cs="Times New Roman"/>
          <w:sz w:val="24"/>
          <w:szCs w:val="24"/>
          <w:lang w:val="lt-LT"/>
        </w:rPr>
      </w:pPr>
      <w:r w:rsidRPr="00A51856">
        <w:rPr>
          <w:rFonts w:ascii="Times New Roman" w:eastAsia="Times New Roman" w:hAnsi="Times New Roman" w:cs="Times New Roman"/>
          <w:sz w:val="24"/>
          <w:szCs w:val="24"/>
          <w:lang w:val="lt-LT" w:eastAsia="lt-LT"/>
        </w:rPr>
        <w:t>10</w:t>
      </w:r>
      <w:r w:rsidR="00985DC7">
        <w:rPr>
          <w:rFonts w:ascii="Times New Roman" w:eastAsia="Times New Roman" w:hAnsi="Times New Roman" w:cs="Times New Roman"/>
          <w:sz w:val="24"/>
          <w:szCs w:val="24"/>
          <w:lang w:val="lt-LT" w:eastAsia="lt-LT"/>
        </w:rPr>
        <w:t>5</w:t>
      </w:r>
      <w:r w:rsidR="00E302BF" w:rsidRPr="00A51856">
        <w:rPr>
          <w:rFonts w:ascii="Times New Roman" w:eastAsia="Times New Roman" w:hAnsi="Times New Roman" w:cs="Times New Roman"/>
          <w:sz w:val="24"/>
          <w:szCs w:val="24"/>
          <w:lang w:val="lt-LT" w:eastAsia="lt-LT"/>
        </w:rPr>
        <w:t xml:space="preserve">. </w:t>
      </w:r>
      <w:r w:rsidR="00E302BF" w:rsidRPr="00A51856">
        <w:rPr>
          <w:rFonts w:ascii="Times New Roman" w:hAnsi="Times New Roman" w:cs="Times New Roman"/>
          <w:sz w:val="24"/>
          <w:szCs w:val="24"/>
          <w:lang w:val="lt-LT"/>
        </w:rPr>
        <w:t>Įgyvendinančioji institucija, vykdydama projekto įgyvendinimo priežiūrą, turi teisę atlikti projekto patikrą įgyvendinimo vietoje.</w:t>
      </w:r>
    </w:p>
    <w:p w14:paraId="6F111151" w14:textId="21A26068" w:rsidR="00E302BF" w:rsidRPr="00A51856" w:rsidRDefault="005046B3" w:rsidP="00E302BF">
      <w:pPr>
        <w:pStyle w:val="Paprastasistekstas"/>
        <w:ind w:firstLine="851"/>
        <w:jc w:val="both"/>
        <w:rPr>
          <w:rFonts w:ascii="Times New Roman" w:hAnsi="Times New Roman" w:cs="Times New Roman"/>
          <w:sz w:val="24"/>
          <w:szCs w:val="24"/>
          <w:lang w:val="lt-LT"/>
        </w:rPr>
      </w:pPr>
      <w:r w:rsidRPr="00A51856">
        <w:rPr>
          <w:rFonts w:ascii="Times New Roman" w:hAnsi="Times New Roman" w:cs="Times New Roman"/>
          <w:sz w:val="24"/>
          <w:szCs w:val="24"/>
          <w:lang w:val="lt-LT"/>
        </w:rPr>
        <w:t>10</w:t>
      </w:r>
      <w:r w:rsidR="00985DC7">
        <w:rPr>
          <w:rFonts w:ascii="Times New Roman" w:hAnsi="Times New Roman" w:cs="Times New Roman"/>
          <w:sz w:val="24"/>
          <w:szCs w:val="24"/>
          <w:lang w:val="lt-LT"/>
        </w:rPr>
        <w:t>6</w:t>
      </w:r>
      <w:r w:rsidR="00E302BF" w:rsidRPr="00A51856">
        <w:rPr>
          <w:rFonts w:ascii="Times New Roman" w:hAnsi="Times New Roman" w:cs="Times New Roman"/>
          <w:sz w:val="24"/>
          <w:szCs w:val="24"/>
          <w:lang w:val="lt-LT"/>
        </w:rPr>
        <w:t xml:space="preserve">. Projekto vykdytojas, įgyvendindamas projektą, privalo suderinti su įgyvendinančiąja institucija visus nukrypimus nuo planuoto projekto įgyvendinimo, keičiančius jo apimtį, išlaidas, pratęsiančius projekto įgyvendinimo laikotarpį ar kitaip keičiančius projektą ar dotacijos sutartyje nustatytus projekto vykdytojo įsipareigojimus. Projekto įgyvendinimo ar dotacijos sutarties pakeitimai derinami su įgyvendinančiąja institucija dotacijos sutartyje nustatyta tvarka. </w:t>
      </w:r>
    </w:p>
    <w:p w14:paraId="7CD254BF" w14:textId="6D594654" w:rsidR="00E302BF" w:rsidRPr="00A51856" w:rsidRDefault="005046B3" w:rsidP="00E302BF">
      <w:pPr>
        <w:rPr>
          <w:rFonts w:eastAsia="Times New Roman"/>
          <w:lang w:eastAsia="lt-LT"/>
        </w:rPr>
      </w:pPr>
      <w:r w:rsidRPr="00A51856">
        <w:rPr>
          <w:lang w:eastAsia="lt-LT"/>
        </w:rPr>
        <w:t>10</w:t>
      </w:r>
      <w:r w:rsidR="00985DC7">
        <w:rPr>
          <w:lang w:eastAsia="lt-LT"/>
        </w:rPr>
        <w:t>7</w:t>
      </w:r>
      <w:r w:rsidR="00E302BF" w:rsidRPr="00A51856">
        <w:rPr>
          <w:lang w:eastAsia="lt-LT"/>
        </w:rPr>
        <w:t xml:space="preserve">. </w:t>
      </w:r>
      <w:r w:rsidR="00E302BF" w:rsidRPr="00A51856">
        <w:rPr>
          <w:rFonts w:eastAsia="Times New Roman"/>
          <w:lang w:eastAsia="lt-LT"/>
        </w:rPr>
        <w:t xml:space="preserve">Projekto vykdytojas privalo informuoti apie įgyvendinamą ar įgyvendintą projektą Projektų taisyklių 37 skirsnyje nustatyta tvarka pasirinkdamas projekto veiklos apimčiai proporcingus informavimo apie projektą veiksmus, numatytus Projektų taisyklių 450.1, 450.2 papunkčiuose ir kitas informavimo apie projektą veiklas. </w:t>
      </w:r>
    </w:p>
    <w:p w14:paraId="2C0A1B33" w14:textId="14EBE879" w:rsidR="00E302BF" w:rsidRPr="00A51856" w:rsidRDefault="008618A2" w:rsidP="00E302BF">
      <w:pPr>
        <w:rPr>
          <w:color w:val="000000"/>
        </w:rPr>
      </w:pPr>
      <w:r w:rsidRPr="00A51856">
        <w:rPr>
          <w:rFonts w:eastAsia="Times New Roman"/>
          <w:lang w:eastAsia="lt-LT"/>
        </w:rPr>
        <w:t>1</w:t>
      </w:r>
      <w:r w:rsidR="00E302BF" w:rsidRPr="00A51856">
        <w:rPr>
          <w:rFonts w:eastAsia="Times New Roman"/>
          <w:lang w:eastAsia="lt-LT"/>
        </w:rPr>
        <w:t>0</w:t>
      </w:r>
      <w:r w:rsidR="00985DC7">
        <w:rPr>
          <w:rFonts w:eastAsia="Times New Roman"/>
          <w:lang w:eastAsia="lt-LT"/>
        </w:rPr>
        <w:t>8</w:t>
      </w:r>
      <w:r w:rsidR="00E302BF" w:rsidRPr="00A51856">
        <w:rPr>
          <w:rFonts w:eastAsia="Times New Roman"/>
          <w:lang w:eastAsia="lt-LT"/>
        </w:rPr>
        <w:t xml:space="preserve">. </w:t>
      </w:r>
      <w:r w:rsidR="00E302BF" w:rsidRPr="00A51856">
        <w:rPr>
          <w:color w:val="000000"/>
        </w:rPr>
        <w:t>Projekto vykdytojas turi sudaryti galimybę Europos Komisijos, Europos Audito Rūmų, audito institucijos ir kitų institucijų atsakingiems pareigūnams susipažinti su visais dokumentais projektų įgyvendinimo metu ir 2 metus nuo tų metų, kuriais priimtas sprendimas dėl sąskaitų Europos Komisijai, į kurias įtraukiamos baigtų finansuoti projektų išlaidos, ir (arba) kai projektų finansavimo pabaigos data sutampa su ataskaitiniais metais, už kuriuos teikiamos sąskaitos EK, patvirtinimo, gruodžio 31 dienos ir saugoti dokumentus numatytus Projektų taisyklių 488 punkte 42 skirsnyje nustatyta tvarka, išskyrus dokumentus, kurie rengiami, teikiami ir gaunami per DMS.</w:t>
      </w:r>
    </w:p>
    <w:p w14:paraId="27EE858D" w14:textId="3A3BE84E" w:rsidR="00E302BF" w:rsidRPr="00A51856" w:rsidRDefault="005046B3" w:rsidP="00671369">
      <w:pPr>
        <w:rPr>
          <w:lang w:eastAsia="lt-LT"/>
        </w:rPr>
      </w:pPr>
      <w:r w:rsidRPr="00A51856">
        <w:rPr>
          <w:color w:val="000000"/>
        </w:rPr>
        <w:t>1</w:t>
      </w:r>
      <w:r w:rsidR="00985DC7">
        <w:rPr>
          <w:color w:val="000000"/>
        </w:rPr>
        <w:t>09</w:t>
      </w:r>
      <w:r w:rsidR="00E302BF" w:rsidRPr="00A51856">
        <w:rPr>
          <w:color w:val="000000"/>
        </w:rPr>
        <w:t>. J</w:t>
      </w:r>
      <w:r w:rsidR="00E302BF" w:rsidRPr="00A51856">
        <w:rPr>
          <w:rFonts w:eastAsia="Times New Roman"/>
        </w:rPr>
        <w:t>ei projekto vykdytojas, įgyvendindamas projektą, nesilaiko dotacijos sutarties sąlygų ir (arba) pažeidė Lietuvos Respublikos ir (arba) Europos Sąjungos teisės aktus, taip pat jei projekto vykdytojo pateikta mokslinio tyrimo vykdymo ataskaita įvertinta neigiamai, įgyvendinančioji institucija turi teisę vienašaliu sprendimu sumažinti, sustabdyti arba nutraukti projekto finansavimą ir (arba) nutraukti dotacijos sutartį ir (arba) pareikalauti grąžinti sumokėtas projekto finansavimo lėšas ar jų dalį vadovaudamasi įgyvendinančiosios institucijos sprendime nurodytais reikalavimais. Sutarties pažeidimai tiriami ir sprendimai dėl nustatytų pažeidimų priimami Projektų taisyklėse nustatyta tvarka.</w:t>
      </w:r>
    </w:p>
    <w:p w14:paraId="048638BC" w14:textId="77777777" w:rsidR="00E302BF" w:rsidRPr="00A51856" w:rsidRDefault="00E302BF" w:rsidP="00E302BF">
      <w:pPr>
        <w:rPr>
          <w:lang w:eastAsia="lt-LT"/>
        </w:rPr>
      </w:pPr>
    </w:p>
    <w:p w14:paraId="2C3B34DA" w14:textId="77777777" w:rsidR="00E302BF" w:rsidRPr="00A51856" w:rsidRDefault="00E302BF" w:rsidP="00E302BF">
      <w:pPr>
        <w:pStyle w:val="Antrat1"/>
        <w:rPr>
          <w:lang w:eastAsia="lt-LT"/>
        </w:rPr>
      </w:pPr>
      <w:r w:rsidRPr="00A51856">
        <w:rPr>
          <w:lang w:eastAsia="lt-LT"/>
        </w:rPr>
        <w:t>VII SKYRIUS</w:t>
      </w:r>
    </w:p>
    <w:p w14:paraId="76675DA4" w14:textId="77777777" w:rsidR="00E302BF" w:rsidRPr="00A51856" w:rsidRDefault="00E302BF" w:rsidP="00E302BF">
      <w:pPr>
        <w:pStyle w:val="Antrat1"/>
        <w:rPr>
          <w:lang w:eastAsia="lt-LT"/>
        </w:rPr>
      </w:pPr>
      <w:r w:rsidRPr="00A51856">
        <w:rPr>
          <w:lang w:eastAsia="lt-LT"/>
        </w:rPr>
        <w:t xml:space="preserve"> APRAŠO KEITIMO TVARKA</w:t>
      </w:r>
    </w:p>
    <w:p w14:paraId="3679CAB6" w14:textId="77777777" w:rsidR="009F0913" w:rsidRPr="00A51856" w:rsidRDefault="009F0913" w:rsidP="00655A6F">
      <w:pPr>
        <w:ind w:firstLine="0"/>
        <w:rPr>
          <w:lang w:eastAsia="lt-LT"/>
        </w:rPr>
      </w:pPr>
    </w:p>
    <w:p w14:paraId="796271C5" w14:textId="7AF30A15" w:rsidR="00E302BF" w:rsidRPr="00A51856" w:rsidRDefault="005046B3" w:rsidP="00E302BF">
      <w:pPr>
        <w:rPr>
          <w:lang w:eastAsia="lt-LT"/>
        </w:rPr>
      </w:pPr>
      <w:r w:rsidRPr="00A51856">
        <w:rPr>
          <w:lang w:eastAsia="lt-LT"/>
        </w:rPr>
        <w:t>1</w:t>
      </w:r>
      <w:r w:rsidR="00671369">
        <w:rPr>
          <w:lang w:eastAsia="lt-LT"/>
        </w:rPr>
        <w:t>10</w:t>
      </w:r>
      <w:r w:rsidR="00E302BF" w:rsidRPr="00A51856">
        <w:rPr>
          <w:lang w:eastAsia="lt-LT"/>
        </w:rPr>
        <w:t xml:space="preserve">. Aprašo keitimo tvarka nustatyta Projektų taisyklių 11 skirsnyje. </w:t>
      </w:r>
    </w:p>
    <w:p w14:paraId="50B3819C" w14:textId="380DEE15" w:rsidR="00E302BF" w:rsidRPr="00A51856" w:rsidRDefault="00671369" w:rsidP="00E302BF">
      <w:pPr>
        <w:rPr>
          <w:lang w:eastAsia="lt-LT"/>
        </w:rPr>
      </w:pPr>
      <w:r>
        <w:rPr>
          <w:lang w:eastAsia="lt-LT"/>
        </w:rPr>
        <w:lastRenderedPageBreak/>
        <w:t>111</w:t>
      </w:r>
      <w:r w:rsidR="00E302BF" w:rsidRPr="00A51856">
        <w:rPr>
          <w:lang w:eastAsia="lt-LT"/>
        </w:rPr>
        <w:t xml:space="preserve">. Jei Aprašas keičiamas jau atrinkus projektus, šie pakeitimai, nepažeidžiant lygiateisiškumo principo, taikomi ir įgyvendinamiems projektams Projektų taisyklių 91 punkte nustatytais atvejais. </w:t>
      </w:r>
    </w:p>
    <w:p w14:paraId="11801F02" w14:textId="77777777" w:rsidR="00E302BF" w:rsidRPr="00A51856" w:rsidRDefault="00E302BF" w:rsidP="00E302BF">
      <w:pPr>
        <w:rPr>
          <w:lang w:eastAsia="lt-LT"/>
        </w:rPr>
      </w:pPr>
    </w:p>
    <w:p w14:paraId="7B324153" w14:textId="77777777" w:rsidR="00E302BF" w:rsidRPr="00A51856" w:rsidRDefault="00E302BF" w:rsidP="00E302BF">
      <w:pPr>
        <w:rPr>
          <w:lang w:eastAsia="lt-LT"/>
        </w:rPr>
      </w:pPr>
    </w:p>
    <w:p w14:paraId="520116CB" w14:textId="77777777" w:rsidR="00E302BF" w:rsidRPr="00A51856" w:rsidRDefault="00E302BF" w:rsidP="00E302BF">
      <w:r w:rsidRPr="00A51856">
        <w:rPr>
          <w:b/>
        </w:rPr>
        <w:t>PRIEDAI</w:t>
      </w:r>
      <w:r w:rsidRPr="00A51856">
        <w:t>:</w:t>
      </w:r>
    </w:p>
    <w:p w14:paraId="0ED45D83" w14:textId="1A89C2B2" w:rsidR="00E22A3C" w:rsidRPr="00A51856" w:rsidRDefault="00E302BF" w:rsidP="00E302BF">
      <w:r w:rsidRPr="00A51856">
        <w:t xml:space="preserve">1. </w:t>
      </w:r>
      <w:r w:rsidR="00E22A3C" w:rsidRPr="00A51856">
        <w:rPr>
          <w:lang w:eastAsia="lt-LT"/>
        </w:rPr>
        <w:t xml:space="preserve">Projekto </w:t>
      </w:r>
      <w:r w:rsidR="00A02BDD" w:rsidRPr="00A51856">
        <w:rPr>
          <w:lang w:eastAsia="lt-LT"/>
        </w:rPr>
        <w:t xml:space="preserve">atitikties Aprašo </w:t>
      </w:r>
      <w:r w:rsidR="00671369">
        <w:rPr>
          <w:lang w:eastAsia="lt-LT"/>
        </w:rPr>
        <w:t>19, 20, 21, 22, 23, 25</w:t>
      </w:r>
      <w:r w:rsidR="00822CA0">
        <w:rPr>
          <w:lang w:eastAsia="lt-LT"/>
        </w:rPr>
        <w:t>, 64, 65</w:t>
      </w:r>
      <w:r w:rsidR="00671369">
        <w:rPr>
          <w:lang w:eastAsia="lt-LT"/>
        </w:rPr>
        <w:t xml:space="preserve"> ir 69</w:t>
      </w:r>
      <w:r w:rsidR="00671369" w:rsidRPr="00A51856">
        <w:rPr>
          <w:lang w:eastAsia="lt-LT"/>
        </w:rPr>
        <w:t xml:space="preserve"> </w:t>
      </w:r>
      <w:r w:rsidR="00A02BDD" w:rsidRPr="00A51856">
        <w:rPr>
          <w:lang w:eastAsia="lt-LT"/>
        </w:rPr>
        <w:t>punktams patikros lapas</w:t>
      </w:r>
      <w:r w:rsidR="00E22A3C" w:rsidRPr="00A51856">
        <w:rPr>
          <w:lang w:eastAsia="lt-LT"/>
        </w:rPr>
        <w:t>;</w:t>
      </w:r>
    </w:p>
    <w:p w14:paraId="0414366C" w14:textId="77777777" w:rsidR="00406468" w:rsidRPr="00A51856" w:rsidRDefault="00E22A3C" w:rsidP="00092B62">
      <w:pPr>
        <w:rPr>
          <w:lang w:eastAsia="lt-LT"/>
        </w:rPr>
      </w:pPr>
      <w:r w:rsidRPr="00A51856">
        <w:rPr>
          <w:lang w:eastAsia="lt-LT"/>
        </w:rPr>
        <w:t xml:space="preserve">2. </w:t>
      </w:r>
      <w:r w:rsidR="00E302BF" w:rsidRPr="00A51856">
        <w:rPr>
          <w:lang w:eastAsia="lt-LT"/>
        </w:rPr>
        <w:t>Projekto tinkamumo finansuoti vertinimo lentelė;</w:t>
      </w:r>
    </w:p>
    <w:p w14:paraId="167879D2" w14:textId="77777777" w:rsidR="00E302BF" w:rsidRPr="00A51856" w:rsidRDefault="005C2DAE" w:rsidP="00E302BF">
      <w:pPr>
        <w:rPr>
          <w:lang w:eastAsia="lt-LT"/>
        </w:rPr>
      </w:pPr>
      <w:r w:rsidRPr="00A51856">
        <w:rPr>
          <w:lang w:eastAsia="lt-LT"/>
        </w:rPr>
        <w:t>3</w:t>
      </w:r>
      <w:r w:rsidR="00E302BF" w:rsidRPr="00A51856">
        <w:rPr>
          <w:lang w:eastAsia="lt-LT"/>
        </w:rPr>
        <w:t xml:space="preserve">. Projekto naudos ir kokybės vertinimo lentelė; </w:t>
      </w:r>
    </w:p>
    <w:p w14:paraId="26E623B0" w14:textId="77777777" w:rsidR="00E302BF" w:rsidRPr="00A51856" w:rsidRDefault="005C2DAE" w:rsidP="00E302BF">
      <w:pPr>
        <w:rPr>
          <w:lang w:eastAsia="lt-LT"/>
        </w:rPr>
      </w:pPr>
      <w:r w:rsidRPr="00A51856">
        <w:rPr>
          <w:lang w:eastAsia="lt-LT"/>
        </w:rPr>
        <w:t>4</w:t>
      </w:r>
      <w:r w:rsidR="00E302BF" w:rsidRPr="00A51856">
        <w:rPr>
          <w:lang w:eastAsia="lt-LT"/>
        </w:rPr>
        <w:t>. Paraiškos forma;</w:t>
      </w:r>
    </w:p>
    <w:p w14:paraId="5E6EA383" w14:textId="77777777" w:rsidR="00583119" w:rsidRDefault="005C2DAE" w:rsidP="00E302BF">
      <w:pPr>
        <w:rPr>
          <w:lang w:eastAsia="lt-LT"/>
        </w:rPr>
      </w:pPr>
      <w:r w:rsidRPr="00A51856">
        <w:rPr>
          <w:lang w:eastAsia="lt-LT"/>
        </w:rPr>
        <w:t>5</w:t>
      </w:r>
      <w:r w:rsidR="00E302BF" w:rsidRPr="00A51856">
        <w:rPr>
          <w:lang w:eastAsia="lt-LT"/>
        </w:rPr>
        <w:t>. Dotacijos sutarties forma</w:t>
      </w:r>
      <w:r w:rsidR="00583119">
        <w:rPr>
          <w:lang w:eastAsia="lt-LT"/>
        </w:rPr>
        <w:t>;</w:t>
      </w:r>
    </w:p>
    <w:p w14:paraId="65F3EBD4" w14:textId="295440D8" w:rsidR="00E302BF" w:rsidRPr="00A51856" w:rsidRDefault="00583119" w:rsidP="00E302BF">
      <w:pPr>
        <w:rPr>
          <w:lang w:eastAsia="lt-LT"/>
        </w:rPr>
      </w:pPr>
      <w:r>
        <w:rPr>
          <w:lang w:eastAsia="lt-LT"/>
        </w:rPr>
        <w:t>6.Atitikties valstybės pagalbos taisyklėms patikros lapas</w:t>
      </w:r>
    </w:p>
    <w:p w14:paraId="59AB1C80" w14:textId="77777777" w:rsidR="00A9243F" w:rsidRPr="00A51856" w:rsidRDefault="00A9243F" w:rsidP="00A9243F">
      <w:pPr>
        <w:rPr>
          <w:lang w:eastAsia="lt-LT"/>
        </w:rPr>
      </w:pPr>
    </w:p>
    <w:p w14:paraId="14713757" w14:textId="77777777" w:rsidR="00E25888" w:rsidRPr="00A51856" w:rsidRDefault="00E25888"/>
    <w:sectPr w:rsidR="00E25888" w:rsidRPr="00A51856" w:rsidSect="003A0AB8">
      <w:headerReference w:type="default" r:id="rId23"/>
      <w:pgSz w:w="11906" w:h="16838"/>
      <w:pgMar w:top="1701" w:right="567" w:bottom="1134" w:left="2552"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ECA57" w14:textId="77777777" w:rsidR="00C568E6" w:rsidRDefault="00C568E6" w:rsidP="00A9243F">
      <w:r>
        <w:separator/>
      </w:r>
    </w:p>
  </w:endnote>
  <w:endnote w:type="continuationSeparator" w:id="0">
    <w:p w14:paraId="2FECC124" w14:textId="77777777" w:rsidR="00C568E6" w:rsidRDefault="00C568E6" w:rsidP="00A9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FB235" w14:textId="77777777" w:rsidR="00C568E6" w:rsidRDefault="00C568E6" w:rsidP="00A9243F">
      <w:r>
        <w:separator/>
      </w:r>
    </w:p>
  </w:footnote>
  <w:footnote w:type="continuationSeparator" w:id="0">
    <w:p w14:paraId="1B14B982" w14:textId="77777777" w:rsidR="00C568E6" w:rsidRDefault="00C568E6" w:rsidP="00A92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25799"/>
      <w:docPartObj>
        <w:docPartGallery w:val="Page Numbers (Top of Page)"/>
        <w:docPartUnique/>
      </w:docPartObj>
    </w:sdtPr>
    <w:sdtEndPr/>
    <w:sdtContent>
      <w:p w14:paraId="50C6150C" w14:textId="696FD2C1" w:rsidR="00655A6F" w:rsidRDefault="00655A6F" w:rsidP="00AD2DF6">
        <w:pPr>
          <w:pStyle w:val="Antrats"/>
          <w:tabs>
            <w:tab w:val="clear" w:pos="4819"/>
          </w:tabs>
          <w:ind w:firstLine="0"/>
          <w:jc w:val="center"/>
        </w:pPr>
        <w:r>
          <w:fldChar w:fldCharType="begin"/>
        </w:r>
        <w:r>
          <w:instrText>PAGE   \* MERGEFORMAT</w:instrText>
        </w:r>
        <w:r>
          <w:fldChar w:fldCharType="separate"/>
        </w:r>
        <w:r w:rsidR="00685D53">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5268C6"/>
    <w:multiLevelType w:val="hybridMultilevel"/>
    <w:tmpl w:val="080E5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2969"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03F5A3F"/>
    <w:multiLevelType w:val="multilevel"/>
    <w:tmpl w:val="0427001F"/>
    <w:lvl w:ilvl="0">
      <w:start w:val="1"/>
      <w:numFmt w:val="decimal"/>
      <w:lvlText w:val="%1."/>
      <w:lvlJc w:val="left"/>
      <w:pPr>
        <w:ind w:left="1211"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9C6634"/>
    <w:multiLevelType w:val="hybridMultilevel"/>
    <w:tmpl w:val="61A45F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1B7A28"/>
    <w:multiLevelType w:val="multilevel"/>
    <w:tmpl w:val="1A42AE7A"/>
    <w:lvl w:ilvl="0">
      <w:start w:val="1"/>
      <w:numFmt w:val="decimal"/>
      <w:lvlText w:val="%1."/>
      <w:lvlJc w:val="left"/>
      <w:pPr>
        <w:ind w:left="107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8A39B6"/>
    <w:multiLevelType w:val="hybridMultilevel"/>
    <w:tmpl w:val="61A45F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102D77"/>
    <w:multiLevelType w:val="hybridMultilevel"/>
    <w:tmpl w:val="D5C45838"/>
    <w:lvl w:ilvl="0" w:tplc="B866AB8E">
      <w:start w:val="13"/>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15:restartNumberingAfterBreak="0">
    <w:nsid w:val="2E955407"/>
    <w:multiLevelType w:val="multilevel"/>
    <w:tmpl w:val="9CE8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D63F0"/>
    <w:multiLevelType w:val="multilevel"/>
    <w:tmpl w:val="72A0E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94778"/>
    <w:multiLevelType w:val="hybridMultilevel"/>
    <w:tmpl w:val="97423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9"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60BC68F2"/>
    <w:multiLevelType w:val="hybridMultilevel"/>
    <w:tmpl w:val="98EE5E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74106C6E"/>
    <w:multiLevelType w:val="multilevel"/>
    <w:tmpl w:val="1F7648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81108C9"/>
    <w:multiLevelType w:val="multilevel"/>
    <w:tmpl w:val="6FE4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21"/>
  </w:num>
  <w:num w:numId="4">
    <w:abstractNumId w:val="0"/>
  </w:num>
  <w:num w:numId="5">
    <w:abstractNumId w:val="18"/>
  </w:num>
  <w:num w:numId="6">
    <w:abstractNumId w:val="19"/>
  </w:num>
  <w:num w:numId="7">
    <w:abstractNumId w:val="3"/>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0"/>
  </w:num>
  <w:num w:numId="12">
    <w:abstractNumId w:val="11"/>
  </w:num>
  <w:num w:numId="13">
    <w:abstractNumId w:val="2"/>
  </w:num>
  <w:num w:numId="14">
    <w:abstractNumId w:val="12"/>
  </w:num>
  <w:num w:numId="15">
    <w:abstractNumId w:val="23"/>
  </w:num>
  <w:num w:numId="16">
    <w:abstractNumId w:val="15"/>
  </w:num>
  <w:num w:numId="17">
    <w:abstractNumId w:val="14"/>
  </w:num>
  <w:num w:numId="18">
    <w:abstractNumId w:val="10"/>
  </w:num>
  <w:num w:numId="19">
    <w:abstractNumId w:val="16"/>
  </w:num>
  <w:num w:numId="20">
    <w:abstractNumId w:val="7"/>
  </w:num>
  <w:num w:numId="21">
    <w:abstractNumId w:val="6"/>
  </w:num>
  <w:num w:numId="22">
    <w:abstractNumId w:val="5"/>
  </w:num>
  <w:num w:numId="23">
    <w:abstractNumId w:val="2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43F"/>
    <w:rsid w:val="00003F33"/>
    <w:rsid w:val="0000713A"/>
    <w:rsid w:val="00011E41"/>
    <w:rsid w:val="00013656"/>
    <w:rsid w:val="000148DC"/>
    <w:rsid w:val="00023F95"/>
    <w:rsid w:val="0003715F"/>
    <w:rsid w:val="00037E3E"/>
    <w:rsid w:val="0004185A"/>
    <w:rsid w:val="00042AA7"/>
    <w:rsid w:val="00044F3F"/>
    <w:rsid w:val="00046119"/>
    <w:rsid w:val="00052D4C"/>
    <w:rsid w:val="00053910"/>
    <w:rsid w:val="0005416D"/>
    <w:rsid w:val="00055B79"/>
    <w:rsid w:val="0005737D"/>
    <w:rsid w:val="00061F02"/>
    <w:rsid w:val="00071FA8"/>
    <w:rsid w:val="0007289E"/>
    <w:rsid w:val="00080465"/>
    <w:rsid w:val="00092106"/>
    <w:rsid w:val="00092B62"/>
    <w:rsid w:val="0009797C"/>
    <w:rsid w:val="000A3DA6"/>
    <w:rsid w:val="000A3DF9"/>
    <w:rsid w:val="000A7985"/>
    <w:rsid w:val="000B0F27"/>
    <w:rsid w:val="000B1B7E"/>
    <w:rsid w:val="000B31E4"/>
    <w:rsid w:val="000B34CE"/>
    <w:rsid w:val="000D051E"/>
    <w:rsid w:val="000D084B"/>
    <w:rsid w:val="000D297E"/>
    <w:rsid w:val="000D2CAE"/>
    <w:rsid w:val="000F1161"/>
    <w:rsid w:val="000F5984"/>
    <w:rsid w:val="000F643D"/>
    <w:rsid w:val="00100686"/>
    <w:rsid w:val="001018BB"/>
    <w:rsid w:val="00103E31"/>
    <w:rsid w:val="001055DC"/>
    <w:rsid w:val="00105C52"/>
    <w:rsid w:val="00106BCA"/>
    <w:rsid w:val="00106FA1"/>
    <w:rsid w:val="0010763A"/>
    <w:rsid w:val="00112E5B"/>
    <w:rsid w:val="00114EEC"/>
    <w:rsid w:val="00115888"/>
    <w:rsid w:val="00117829"/>
    <w:rsid w:val="00117FE9"/>
    <w:rsid w:val="0012213D"/>
    <w:rsid w:val="00125504"/>
    <w:rsid w:val="001276EA"/>
    <w:rsid w:val="00127AEB"/>
    <w:rsid w:val="00131B10"/>
    <w:rsid w:val="00134AF8"/>
    <w:rsid w:val="00135072"/>
    <w:rsid w:val="001367F8"/>
    <w:rsid w:val="0014232A"/>
    <w:rsid w:val="001437C3"/>
    <w:rsid w:val="00146579"/>
    <w:rsid w:val="00150EF1"/>
    <w:rsid w:val="00161BBC"/>
    <w:rsid w:val="00170A02"/>
    <w:rsid w:val="00173A15"/>
    <w:rsid w:val="00182ADB"/>
    <w:rsid w:val="00184AB8"/>
    <w:rsid w:val="00186358"/>
    <w:rsid w:val="0018652E"/>
    <w:rsid w:val="00191B3A"/>
    <w:rsid w:val="001939D5"/>
    <w:rsid w:val="001A1452"/>
    <w:rsid w:val="001A782C"/>
    <w:rsid w:val="001B4F77"/>
    <w:rsid w:val="001B5079"/>
    <w:rsid w:val="001B7F2E"/>
    <w:rsid w:val="001C0945"/>
    <w:rsid w:val="001C2767"/>
    <w:rsid w:val="001C2BF7"/>
    <w:rsid w:val="001C5438"/>
    <w:rsid w:val="001C6770"/>
    <w:rsid w:val="001D6B0C"/>
    <w:rsid w:val="001E0CC5"/>
    <w:rsid w:val="001E22B7"/>
    <w:rsid w:val="001E25BF"/>
    <w:rsid w:val="001E2B12"/>
    <w:rsid w:val="001E4291"/>
    <w:rsid w:val="001E5AA9"/>
    <w:rsid w:val="001E5D57"/>
    <w:rsid w:val="001F3B46"/>
    <w:rsid w:val="001F79B8"/>
    <w:rsid w:val="00200BFD"/>
    <w:rsid w:val="0020157F"/>
    <w:rsid w:val="0020190A"/>
    <w:rsid w:val="00204397"/>
    <w:rsid w:val="0021497C"/>
    <w:rsid w:val="00214FED"/>
    <w:rsid w:val="0021586D"/>
    <w:rsid w:val="0021792C"/>
    <w:rsid w:val="00223CC9"/>
    <w:rsid w:val="00224381"/>
    <w:rsid w:val="00246F38"/>
    <w:rsid w:val="00263108"/>
    <w:rsid w:val="00266192"/>
    <w:rsid w:val="002705BA"/>
    <w:rsid w:val="002712E8"/>
    <w:rsid w:val="0028086A"/>
    <w:rsid w:val="0028572F"/>
    <w:rsid w:val="00285789"/>
    <w:rsid w:val="00286151"/>
    <w:rsid w:val="00287A8D"/>
    <w:rsid w:val="00290E75"/>
    <w:rsid w:val="00292E1F"/>
    <w:rsid w:val="00293661"/>
    <w:rsid w:val="002A1A97"/>
    <w:rsid w:val="002A4E0D"/>
    <w:rsid w:val="002B2B7C"/>
    <w:rsid w:val="002B5809"/>
    <w:rsid w:val="002B59D8"/>
    <w:rsid w:val="002B6C2C"/>
    <w:rsid w:val="002B6D97"/>
    <w:rsid w:val="002C1E24"/>
    <w:rsid w:val="002C5545"/>
    <w:rsid w:val="002D3BAF"/>
    <w:rsid w:val="002D5A42"/>
    <w:rsid w:val="002D6E02"/>
    <w:rsid w:val="002E1C98"/>
    <w:rsid w:val="002E439C"/>
    <w:rsid w:val="002E663B"/>
    <w:rsid w:val="002E66E2"/>
    <w:rsid w:val="002F1C2D"/>
    <w:rsid w:val="002F4283"/>
    <w:rsid w:val="002F4695"/>
    <w:rsid w:val="003009B5"/>
    <w:rsid w:val="003125B2"/>
    <w:rsid w:val="003143A9"/>
    <w:rsid w:val="00316161"/>
    <w:rsid w:val="00317C01"/>
    <w:rsid w:val="0032241D"/>
    <w:rsid w:val="003224AA"/>
    <w:rsid w:val="0032503C"/>
    <w:rsid w:val="003276B7"/>
    <w:rsid w:val="00330158"/>
    <w:rsid w:val="00333FC3"/>
    <w:rsid w:val="00334C7E"/>
    <w:rsid w:val="003350D9"/>
    <w:rsid w:val="00335882"/>
    <w:rsid w:val="00345859"/>
    <w:rsid w:val="00346A7B"/>
    <w:rsid w:val="00346C9F"/>
    <w:rsid w:val="00352703"/>
    <w:rsid w:val="00357F31"/>
    <w:rsid w:val="0036086D"/>
    <w:rsid w:val="003608BE"/>
    <w:rsid w:val="00362D50"/>
    <w:rsid w:val="0036651A"/>
    <w:rsid w:val="0036653E"/>
    <w:rsid w:val="003743F1"/>
    <w:rsid w:val="0037456D"/>
    <w:rsid w:val="00375225"/>
    <w:rsid w:val="00375AEC"/>
    <w:rsid w:val="00376FA4"/>
    <w:rsid w:val="00382A2E"/>
    <w:rsid w:val="00384192"/>
    <w:rsid w:val="00386E7E"/>
    <w:rsid w:val="00392A0D"/>
    <w:rsid w:val="003935DA"/>
    <w:rsid w:val="00394A53"/>
    <w:rsid w:val="003952A1"/>
    <w:rsid w:val="00397136"/>
    <w:rsid w:val="003A0AB8"/>
    <w:rsid w:val="003B169D"/>
    <w:rsid w:val="003B4735"/>
    <w:rsid w:val="003B510C"/>
    <w:rsid w:val="003B6F99"/>
    <w:rsid w:val="003C39F7"/>
    <w:rsid w:val="003D097F"/>
    <w:rsid w:val="003D0B03"/>
    <w:rsid w:val="003D1E4C"/>
    <w:rsid w:val="003D31CE"/>
    <w:rsid w:val="003D5BDA"/>
    <w:rsid w:val="003F18AC"/>
    <w:rsid w:val="003F4B1B"/>
    <w:rsid w:val="003F4F39"/>
    <w:rsid w:val="003F6CE9"/>
    <w:rsid w:val="00406468"/>
    <w:rsid w:val="0041193A"/>
    <w:rsid w:val="00416A2A"/>
    <w:rsid w:val="00416D62"/>
    <w:rsid w:val="004225A3"/>
    <w:rsid w:val="00426AB8"/>
    <w:rsid w:val="0043263E"/>
    <w:rsid w:val="004360F3"/>
    <w:rsid w:val="00436D82"/>
    <w:rsid w:val="0043793B"/>
    <w:rsid w:val="00444262"/>
    <w:rsid w:val="004443C0"/>
    <w:rsid w:val="004620DF"/>
    <w:rsid w:val="00464B3A"/>
    <w:rsid w:val="00471006"/>
    <w:rsid w:val="00474714"/>
    <w:rsid w:val="00475930"/>
    <w:rsid w:val="004763DE"/>
    <w:rsid w:val="0047758A"/>
    <w:rsid w:val="0048086C"/>
    <w:rsid w:val="004829E2"/>
    <w:rsid w:val="004865AF"/>
    <w:rsid w:val="004A7463"/>
    <w:rsid w:val="004B5E4D"/>
    <w:rsid w:val="004B6E7B"/>
    <w:rsid w:val="004B705E"/>
    <w:rsid w:val="004D138E"/>
    <w:rsid w:val="004D3222"/>
    <w:rsid w:val="004D3D45"/>
    <w:rsid w:val="004E2696"/>
    <w:rsid w:val="004F1E91"/>
    <w:rsid w:val="004F4392"/>
    <w:rsid w:val="00500048"/>
    <w:rsid w:val="00500836"/>
    <w:rsid w:val="00501349"/>
    <w:rsid w:val="00502756"/>
    <w:rsid w:val="005046B3"/>
    <w:rsid w:val="00506492"/>
    <w:rsid w:val="00521AE2"/>
    <w:rsid w:val="005226B3"/>
    <w:rsid w:val="00522AD8"/>
    <w:rsid w:val="00523495"/>
    <w:rsid w:val="00525400"/>
    <w:rsid w:val="00526AEC"/>
    <w:rsid w:val="00526B91"/>
    <w:rsid w:val="0053303A"/>
    <w:rsid w:val="00537371"/>
    <w:rsid w:val="005458D6"/>
    <w:rsid w:val="00546E91"/>
    <w:rsid w:val="0056161E"/>
    <w:rsid w:val="00561A23"/>
    <w:rsid w:val="00580399"/>
    <w:rsid w:val="00580C3F"/>
    <w:rsid w:val="00583119"/>
    <w:rsid w:val="005865CE"/>
    <w:rsid w:val="00590158"/>
    <w:rsid w:val="00595442"/>
    <w:rsid w:val="00595A9E"/>
    <w:rsid w:val="005A2725"/>
    <w:rsid w:val="005A6F6B"/>
    <w:rsid w:val="005B6400"/>
    <w:rsid w:val="005C0E6F"/>
    <w:rsid w:val="005C2DAE"/>
    <w:rsid w:val="005C309E"/>
    <w:rsid w:val="005C368F"/>
    <w:rsid w:val="005C5CE5"/>
    <w:rsid w:val="005C7462"/>
    <w:rsid w:val="005C7D47"/>
    <w:rsid w:val="005D1721"/>
    <w:rsid w:val="005D1C15"/>
    <w:rsid w:val="005D2468"/>
    <w:rsid w:val="005D28FE"/>
    <w:rsid w:val="005D3D75"/>
    <w:rsid w:val="005D5803"/>
    <w:rsid w:val="005D5859"/>
    <w:rsid w:val="005E5DD2"/>
    <w:rsid w:val="005F2F51"/>
    <w:rsid w:val="005F74BA"/>
    <w:rsid w:val="006065E5"/>
    <w:rsid w:val="00616D6B"/>
    <w:rsid w:val="00617238"/>
    <w:rsid w:val="00620EB4"/>
    <w:rsid w:val="006239CE"/>
    <w:rsid w:val="00624616"/>
    <w:rsid w:val="006312DB"/>
    <w:rsid w:val="00631613"/>
    <w:rsid w:val="00643428"/>
    <w:rsid w:val="00644A9A"/>
    <w:rsid w:val="00645438"/>
    <w:rsid w:val="00645CFC"/>
    <w:rsid w:val="00647933"/>
    <w:rsid w:val="006479C7"/>
    <w:rsid w:val="00655A6F"/>
    <w:rsid w:val="006610DC"/>
    <w:rsid w:val="006612DB"/>
    <w:rsid w:val="006624B2"/>
    <w:rsid w:val="00665560"/>
    <w:rsid w:val="00667C9D"/>
    <w:rsid w:val="00671369"/>
    <w:rsid w:val="006725D2"/>
    <w:rsid w:val="00673A29"/>
    <w:rsid w:val="00683754"/>
    <w:rsid w:val="00684979"/>
    <w:rsid w:val="00685D53"/>
    <w:rsid w:val="0069674B"/>
    <w:rsid w:val="00696C3C"/>
    <w:rsid w:val="006A06B3"/>
    <w:rsid w:val="006A26D1"/>
    <w:rsid w:val="006B6DEF"/>
    <w:rsid w:val="006C2522"/>
    <w:rsid w:val="006C2A1E"/>
    <w:rsid w:val="006C7BD4"/>
    <w:rsid w:val="006C7F3E"/>
    <w:rsid w:val="006D008E"/>
    <w:rsid w:val="006D18C9"/>
    <w:rsid w:val="006D4470"/>
    <w:rsid w:val="006D6D6B"/>
    <w:rsid w:val="0070047C"/>
    <w:rsid w:val="0070699E"/>
    <w:rsid w:val="007123BD"/>
    <w:rsid w:val="0071508C"/>
    <w:rsid w:val="00722036"/>
    <w:rsid w:val="0072600B"/>
    <w:rsid w:val="00726C79"/>
    <w:rsid w:val="007274BB"/>
    <w:rsid w:val="007340F0"/>
    <w:rsid w:val="0073531B"/>
    <w:rsid w:val="00742C0C"/>
    <w:rsid w:val="007435A7"/>
    <w:rsid w:val="00750A3D"/>
    <w:rsid w:val="00750E8F"/>
    <w:rsid w:val="007514EA"/>
    <w:rsid w:val="00751AB7"/>
    <w:rsid w:val="00751C35"/>
    <w:rsid w:val="00761C96"/>
    <w:rsid w:val="00764CC4"/>
    <w:rsid w:val="0076543A"/>
    <w:rsid w:val="00767883"/>
    <w:rsid w:val="00770708"/>
    <w:rsid w:val="007774F7"/>
    <w:rsid w:val="00783A5A"/>
    <w:rsid w:val="007903AB"/>
    <w:rsid w:val="00791B3F"/>
    <w:rsid w:val="00793A3E"/>
    <w:rsid w:val="007A44F4"/>
    <w:rsid w:val="007A5C51"/>
    <w:rsid w:val="007A7BC5"/>
    <w:rsid w:val="007B0A02"/>
    <w:rsid w:val="007B408C"/>
    <w:rsid w:val="007B4719"/>
    <w:rsid w:val="007B631C"/>
    <w:rsid w:val="007B67D4"/>
    <w:rsid w:val="007C76E2"/>
    <w:rsid w:val="007D29E3"/>
    <w:rsid w:val="007D4121"/>
    <w:rsid w:val="007D4A69"/>
    <w:rsid w:val="007D7682"/>
    <w:rsid w:val="007E2C5A"/>
    <w:rsid w:val="007E2C7F"/>
    <w:rsid w:val="007E7B0F"/>
    <w:rsid w:val="007F0554"/>
    <w:rsid w:val="007F29A6"/>
    <w:rsid w:val="007F2FE5"/>
    <w:rsid w:val="00803549"/>
    <w:rsid w:val="00804EDC"/>
    <w:rsid w:val="0080522F"/>
    <w:rsid w:val="00805F79"/>
    <w:rsid w:val="00806850"/>
    <w:rsid w:val="00806F1E"/>
    <w:rsid w:val="00810CEA"/>
    <w:rsid w:val="0081377D"/>
    <w:rsid w:val="008151E7"/>
    <w:rsid w:val="0081664E"/>
    <w:rsid w:val="0081711E"/>
    <w:rsid w:val="0082234C"/>
    <w:rsid w:val="00822CA0"/>
    <w:rsid w:val="00823E5F"/>
    <w:rsid w:val="00850779"/>
    <w:rsid w:val="0085082A"/>
    <w:rsid w:val="00850ED7"/>
    <w:rsid w:val="00852808"/>
    <w:rsid w:val="00853400"/>
    <w:rsid w:val="008614D8"/>
    <w:rsid w:val="008618A2"/>
    <w:rsid w:val="00864EBA"/>
    <w:rsid w:val="00867A41"/>
    <w:rsid w:val="00872752"/>
    <w:rsid w:val="00873157"/>
    <w:rsid w:val="00876FDD"/>
    <w:rsid w:val="008804CD"/>
    <w:rsid w:val="00880626"/>
    <w:rsid w:val="008812D7"/>
    <w:rsid w:val="00882E06"/>
    <w:rsid w:val="00887ACE"/>
    <w:rsid w:val="00892917"/>
    <w:rsid w:val="008A1C93"/>
    <w:rsid w:val="008A263B"/>
    <w:rsid w:val="008A736A"/>
    <w:rsid w:val="008B3F1B"/>
    <w:rsid w:val="008B7F10"/>
    <w:rsid w:val="008B7F2B"/>
    <w:rsid w:val="008C4782"/>
    <w:rsid w:val="008D597D"/>
    <w:rsid w:val="008E003D"/>
    <w:rsid w:val="008E4015"/>
    <w:rsid w:val="008E63F6"/>
    <w:rsid w:val="008F1AA2"/>
    <w:rsid w:val="00900D4F"/>
    <w:rsid w:val="009056FC"/>
    <w:rsid w:val="009059A2"/>
    <w:rsid w:val="00905F3C"/>
    <w:rsid w:val="0091424B"/>
    <w:rsid w:val="00920794"/>
    <w:rsid w:val="009274D5"/>
    <w:rsid w:val="0092785B"/>
    <w:rsid w:val="0093226B"/>
    <w:rsid w:val="009347A7"/>
    <w:rsid w:val="00934C6A"/>
    <w:rsid w:val="00935A56"/>
    <w:rsid w:val="00936459"/>
    <w:rsid w:val="0094789D"/>
    <w:rsid w:val="00956396"/>
    <w:rsid w:val="009612B0"/>
    <w:rsid w:val="00961809"/>
    <w:rsid w:val="00965AC2"/>
    <w:rsid w:val="00973918"/>
    <w:rsid w:val="009743CC"/>
    <w:rsid w:val="00975A77"/>
    <w:rsid w:val="00983289"/>
    <w:rsid w:val="00983D95"/>
    <w:rsid w:val="00985DC7"/>
    <w:rsid w:val="009A1A8C"/>
    <w:rsid w:val="009A1C71"/>
    <w:rsid w:val="009A434F"/>
    <w:rsid w:val="009A5E81"/>
    <w:rsid w:val="009B085B"/>
    <w:rsid w:val="009B66C6"/>
    <w:rsid w:val="009C51B3"/>
    <w:rsid w:val="009C62D7"/>
    <w:rsid w:val="009D18E1"/>
    <w:rsid w:val="009D7781"/>
    <w:rsid w:val="009E01DF"/>
    <w:rsid w:val="009E472A"/>
    <w:rsid w:val="009E6A56"/>
    <w:rsid w:val="009F0913"/>
    <w:rsid w:val="009F1549"/>
    <w:rsid w:val="009F2D7F"/>
    <w:rsid w:val="009F7413"/>
    <w:rsid w:val="009F79CD"/>
    <w:rsid w:val="00A00D35"/>
    <w:rsid w:val="00A02BDD"/>
    <w:rsid w:val="00A0332D"/>
    <w:rsid w:val="00A0454E"/>
    <w:rsid w:val="00A10894"/>
    <w:rsid w:val="00A109F5"/>
    <w:rsid w:val="00A15EEE"/>
    <w:rsid w:val="00A17E2D"/>
    <w:rsid w:val="00A207F0"/>
    <w:rsid w:val="00A2268B"/>
    <w:rsid w:val="00A23F65"/>
    <w:rsid w:val="00A25BE0"/>
    <w:rsid w:val="00A26DE7"/>
    <w:rsid w:val="00A31CED"/>
    <w:rsid w:val="00A34AC6"/>
    <w:rsid w:val="00A36580"/>
    <w:rsid w:val="00A43011"/>
    <w:rsid w:val="00A44780"/>
    <w:rsid w:val="00A451CD"/>
    <w:rsid w:val="00A475B9"/>
    <w:rsid w:val="00A47A74"/>
    <w:rsid w:val="00A47FD4"/>
    <w:rsid w:val="00A503B4"/>
    <w:rsid w:val="00A509CD"/>
    <w:rsid w:val="00A51856"/>
    <w:rsid w:val="00A51BCA"/>
    <w:rsid w:val="00A51C52"/>
    <w:rsid w:val="00A623E3"/>
    <w:rsid w:val="00A62CC6"/>
    <w:rsid w:val="00A64C38"/>
    <w:rsid w:val="00A658E4"/>
    <w:rsid w:val="00A72955"/>
    <w:rsid w:val="00A73D44"/>
    <w:rsid w:val="00A73DD7"/>
    <w:rsid w:val="00A76A95"/>
    <w:rsid w:val="00A80A71"/>
    <w:rsid w:val="00A91BBE"/>
    <w:rsid w:val="00A9243F"/>
    <w:rsid w:val="00A93094"/>
    <w:rsid w:val="00A972F3"/>
    <w:rsid w:val="00AB3318"/>
    <w:rsid w:val="00AB349F"/>
    <w:rsid w:val="00AB4196"/>
    <w:rsid w:val="00AB5FF3"/>
    <w:rsid w:val="00AC3D0C"/>
    <w:rsid w:val="00AC6EAF"/>
    <w:rsid w:val="00AC7F97"/>
    <w:rsid w:val="00AD12FE"/>
    <w:rsid w:val="00AD2DF6"/>
    <w:rsid w:val="00AD2F97"/>
    <w:rsid w:val="00AD5204"/>
    <w:rsid w:val="00AD5790"/>
    <w:rsid w:val="00AF08C6"/>
    <w:rsid w:val="00B009AE"/>
    <w:rsid w:val="00B1073B"/>
    <w:rsid w:val="00B10BA9"/>
    <w:rsid w:val="00B11598"/>
    <w:rsid w:val="00B12F73"/>
    <w:rsid w:val="00B132B3"/>
    <w:rsid w:val="00B17693"/>
    <w:rsid w:val="00B20885"/>
    <w:rsid w:val="00B22AF3"/>
    <w:rsid w:val="00B231A0"/>
    <w:rsid w:val="00B23B23"/>
    <w:rsid w:val="00B23CDC"/>
    <w:rsid w:val="00B25683"/>
    <w:rsid w:val="00B279F3"/>
    <w:rsid w:val="00B3404C"/>
    <w:rsid w:val="00B36454"/>
    <w:rsid w:val="00B42D83"/>
    <w:rsid w:val="00B63F70"/>
    <w:rsid w:val="00B70B6C"/>
    <w:rsid w:val="00B71109"/>
    <w:rsid w:val="00B87A82"/>
    <w:rsid w:val="00B9061C"/>
    <w:rsid w:val="00B971C6"/>
    <w:rsid w:val="00BA173C"/>
    <w:rsid w:val="00BA2EC3"/>
    <w:rsid w:val="00BA5646"/>
    <w:rsid w:val="00BB53B0"/>
    <w:rsid w:val="00BB6DC9"/>
    <w:rsid w:val="00BB7DD6"/>
    <w:rsid w:val="00BC2FE8"/>
    <w:rsid w:val="00BC69C2"/>
    <w:rsid w:val="00BC6B91"/>
    <w:rsid w:val="00BD031A"/>
    <w:rsid w:val="00BD1043"/>
    <w:rsid w:val="00BD3123"/>
    <w:rsid w:val="00BD5C67"/>
    <w:rsid w:val="00BE0A44"/>
    <w:rsid w:val="00BE0AD4"/>
    <w:rsid w:val="00BF1768"/>
    <w:rsid w:val="00BF2845"/>
    <w:rsid w:val="00BF665B"/>
    <w:rsid w:val="00C10E1B"/>
    <w:rsid w:val="00C10F4A"/>
    <w:rsid w:val="00C112AB"/>
    <w:rsid w:val="00C115CD"/>
    <w:rsid w:val="00C1715D"/>
    <w:rsid w:val="00C27473"/>
    <w:rsid w:val="00C27655"/>
    <w:rsid w:val="00C421AF"/>
    <w:rsid w:val="00C43271"/>
    <w:rsid w:val="00C43F71"/>
    <w:rsid w:val="00C46277"/>
    <w:rsid w:val="00C51277"/>
    <w:rsid w:val="00C56666"/>
    <w:rsid w:val="00C568E6"/>
    <w:rsid w:val="00C60354"/>
    <w:rsid w:val="00C673C8"/>
    <w:rsid w:val="00C77A8D"/>
    <w:rsid w:val="00C91225"/>
    <w:rsid w:val="00C92910"/>
    <w:rsid w:val="00C93769"/>
    <w:rsid w:val="00C937BF"/>
    <w:rsid w:val="00C97152"/>
    <w:rsid w:val="00CA4256"/>
    <w:rsid w:val="00CB7E30"/>
    <w:rsid w:val="00CC07F4"/>
    <w:rsid w:val="00CC0CAB"/>
    <w:rsid w:val="00CC4649"/>
    <w:rsid w:val="00CC7FB8"/>
    <w:rsid w:val="00CD13FD"/>
    <w:rsid w:val="00CD5A0A"/>
    <w:rsid w:val="00CE64DC"/>
    <w:rsid w:val="00CE7389"/>
    <w:rsid w:val="00CF07E7"/>
    <w:rsid w:val="00CF4199"/>
    <w:rsid w:val="00CF55ED"/>
    <w:rsid w:val="00CF714C"/>
    <w:rsid w:val="00D05E6A"/>
    <w:rsid w:val="00D07386"/>
    <w:rsid w:val="00D12136"/>
    <w:rsid w:val="00D27F99"/>
    <w:rsid w:val="00D42DDF"/>
    <w:rsid w:val="00D44F54"/>
    <w:rsid w:val="00D45D4D"/>
    <w:rsid w:val="00D52F62"/>
    <w:rsid w:val="00D610CC"/>
    <w:rsid w:val="00D61B0A"/>
    <w:rsid w:val="00D6227B"/>
    <w:rsid w:val="00D62DDA"/>
    <w:rsid w:val="00D6778A"/>
    <w:rsid w:val="00D71DC8"/>
    <w:rsid w:val="00D742D2"/>
    <w:rsid w:val="00D74769"/>
    <w:rsid w:val="00D917D0"/>
    <w:rsid w:val="00DA1CBC"/>
    <w:rsid w:val="00DA2D86"/>
    <w:rsid w:val="00DA3A1B"/>
    <w:rsid w:val="00DA4487"/>
    <w:rsid w:val="00DA4F33"/>
    <w:rsid w:val="00DB4678"/>
    <w:rsid w:val="00DB6AC4"/>
    <w:rsid w:val="00DB6D4A"/>
    <w:rsid w:val="00DC2D25"/>
    <w:rsid w:val="00DC41A2"/>
    <w:rsid w:val="00DC7B17"/>
    <w:rsid w:val="00DD017C"/>
    <w:rsid w:val="00DD0CA5"/>
    <w:rsid w:val="00DD5933"/>
    <w:rsid w:val="00DD65FA"/>
    <w:rsid w:val="00DE1943"/>
    <w:rsid w:val="00DE23ED"/>
    <w:rsid w:val="00E04510"/>
    <w:rsid w:val="00E05A4B"/>
    <w:rsid w:val="00E1318E"/>
    <w:rsid w:val="00E1620B"/>
    <w:rsid w:val="00E22A3C"/>
    <w:rsid w:val="00E25888"/>
    <w:rsid w:val="00E26E1A"/>
    <w:rsid w:val="00E302BF"/>
    <w:rsid w:val="00E328AF"/>
    <w:rsid w:val="00E3550E"/>
    <w:rsid w:val="00E357A0"/>
    <w:rsid w:val="00E43886"/>
    <w:rsid w:val="00E44D30"/>
    <w:rsid w:val="00E461F1"/>
    <w:rsid w:val="00E5165B"/>
    <w:rsid w:val="00E54284"/>
    <w:rsid w:val="00E5534C"/>
    <w:rsid w:val="00E63055"/>
    <w:rsid w:val="00E64429"/>
    <w:rsid w:val="00E74BF9"/>
    <w:rsid w:val="00E762C8"/>
    <w:rsid w:val="00E85704"/>
    <w:rsid w:val="00E91D87"/>
    <w:rsid w:val="00E948BD"/>
    <w:rsid w:val="00EA2169"/>
    <w:rsid w:val="00EA64C2"/>
    <w:rsid w:val="00EB61BB"/>
    <w:rsid w:val="00EC4568"/>
    <w:rsid w:val="00EC6926"/>
    <w:rsid w:val="00EC6FB8"/>
    <w:rsid w:val="00ED3A8D"/>
    <w:rsid w:val="00EE0C59"/>
    <w:rsid w:val="00EE262E"/>
    <w:rsid w:val="00EE694E"/>
    <w:rsid w:val="00EF669A"/>
    <w:rsid w:val="00F00F40"/>
    <w:rsid w:val="00F10D2B"/>
    <w:rsid w:val="00F177B6"/>
    <w:rsid w:val="00F223E0"/>
    <w:rsid w:val="00F23D3D"/>
    <w:rsid w:val="00F25E8B"/>
    <w:rsid w:val="00F33F7C"/>
    <w:rsid w:val="00F350BE"/>
    <w:rsid w:val="00F40C0A"/>
    <w:rsid w:val="00F52BCA"/>
    <w:rsid w:val="00F55B3F"/>
    <w:rsid w:val="00F64C7F"/>
    <w:rsid w:val="00F704F4"/>
    <w:rsid w:val="00F83685"/>
    <w:rsid w:val="00F84602"/>
    <w:rsid w:val="00FA2C51"/>
    <w:rsid w:val="00FA2D3D"/>
    <w:rsid w:val="00FA5577"/>
    <w:rsid w:val="00FA7616"/>
    <w:rsid w:val="00FC289A"/>
    <w:rsid w:val="00FC392C"/>
    <w:rsid w:val="00FD29B0"/>
    <w:rsid w:val="00FD5DC0"/>
    <w:rsid w:val="00FD7C35"/>
    <w:rsid w:val="00FE1383"/>
    <w:rsid w:val="00FE5942"/>
    <w:rsid w:val="00FE5955"/>
    <w:rsid w:val="00FF1DB8"/>
    <w:rsid w:val="00FF4ABD"/>
    <w:rsid w:val="00FF7A45"/>
    <w:rsid w:val="00FF7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8B1FF"/>
  <w15:docId w15:val="{501EE8BE-7EC3-49AD-80E2-F4E1BC36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243F"/>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9243F"/>
    <w:pPr>
      <w:ind w:firstLine="0"/>
      <w:jc w:val="center"/>
      <w:outlineLvl w:val="0"/>
    </w:pPr>
    <w:rPr>
      <w:b/>
    </w:rPr>
  </w:style>
  <w:style w:type="paragraph" w:styleId="Antrat2">
    <w:name w:val="heading 2"/>
    <w:basedOn w:val="prastasis"/>
    <w:next w:val="prastasis"/>
    <w:link w:val="Antrat2Diagrama"/>
    <w:uiPriority w:val="9"/>
    <w:semiHidden/>
    <w:unhideWhenUsed/>
    <w:qFormat/>
    <w:rsid w:val="00A924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243F"/>
    <w:rPr>
      <w:rFonts w:ascii="Times New Roman" w:hAnsi="Times New Roman" w:cs="Times New Roman"/>
      <w:b/>
      <w:sz w:val="24"/>
      <w:szCs w:val="24"/>
    </w:rPr>
  </w:style>
  <w:style w:type="character" w:customStyle="1" w:styleId="Antrat2Diagrama">
    <w:name w:val="Antraštė 2 Diagrama"/>
    <w:basedOn w:val="Numatytasispastraiposriftas"/>
    <w:link w:val="Antrat2"/>
    <w:uiPriority w:val="9"/>
    <w:semiHidden/>
    <w:rsid w:val="00A9243F"/>
    <w:rPr>
      <w:rFonts w:asciiTheme="majorHAnsi" w:eastAsiaTheme="majorEastAsia" w:hAnsiTheme="majorHAnsi" w:cstheme="majorBidi"/>
      <w:b/>
      <w:bCs/>
      <w:color w:val="4F81BD" w:themeColor="accent1"/>
      <w:sz w:val="26"/>
      <w:szCs w:val="26"/>
    </w:rPr>
  </w:style>
  <w:style w:type="table" w:styleId="Lentelstinklelis">
    <w:name w:val="Table Grid"/>
    <w:basedOn w:val="prastojilentel"/>
    <w:uiPriority w:val="59"/>
    <w:rsid w:val="00A92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A9243F"/>
    <w:rPr>
      <w:rFonts w:cs="Times New Roman"/>
      <w:sz w:val="16"/>
    </w:rPr>
  </w:style>
  <w:style w:type="paragraph" w:styleId="Komentarotekstas">
    <w:name w:val="annotation text"/>
    <w:basedOn w:val="prastasis"/>
    <w:link w:val="KomentarotekstasDiagrama"/>
    <w:uiPriority w:val="99"/>
    <w:rsid w:val="00A9243F"/>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A9243F"/>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A9243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9243F"/>
    <w:rPr>
      <w:rFonts w:ascii="Tahoma" w:hAnsi="Tahoma" w:cs="Tahoma"/>
      <w:sz w:val="16"/>
      <w:szCs w:val="16"/>
    </w:rPr>
  </w:style>
  <w:style w:type="character" w:styleId="Hipersaitas">
    <w:name w:val="Hyperlink"/>
    <w:basedOn w:val="Numatytasispastraiposriftas"/>
    <w:uiPriority w:val="99"/>
    <w:unhideWhenUsed/>
    <w:rsid w:val="00A9243F"/>
    <w:rPr>
      <w:color w:val="0000FF" w:themeColor="hyperlink"/>
      <w:u w:val="single"/>
    </w:rPr>
  </w:style>
  <w:style w:type="character" w:customStyle="1" w:styleId="KomentarotemaDiagrama">
    <w:name w:val="Komentaro tema Diagrama"/>
    <w:basedOn w:val="KomentarotekstasDiagrama"/>
    <w:link w:val="Komentarotema"/>
    <w:uiPriority w:val="99"/>
    <w:semiHidden/>
    <w:rsid w:val="00A9243F"/>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uiPriority w:val="99"/>
    <w:semiHidden/>
    <w:unhideWhenUsed/>
    <w:rsid w:val="00A9243F"/>
    <w:pPr>
      <w:spacing w:after="200"/>
      <w:ind w:firstLine="0"/>
      <w:jc w:val="left"/>
    </w:pPr>
    <w:rPr>
      <w:rFonts w:asciiTheme="minorHAnsi" w:eastAsiaTheme="minorHAnsi" w:hAnsiTheme="minorHAnsi" w:cstheme="minorBidi"/>
      <w:b/>
      <w:bCs/>
      <w:lang w:eastAsia="en-US"/>
    </w:rPr>
  </w:style>
  <w:style w:type="paragraph" w:styleId="Sraopastraipa">
    <w:name w:val="List Paragraph"/>
    <w:basedOn w:val="prastasis"/>
    <w:uiPriority w:val="34"/>
    <w:qFormat/>
    <w:rsid w:val="00A9243F"/>
    <w:pPr>
      <w:ind w:left="720"/>
      <w:contextualSpacing/>
    </w:pPr>
  </w:style>
  <w:style w:type="paragraph" w:styleId="Antrats">
    <w:name w:val="header"/>
    <w:basedOn w:val="prastasis"/>
    <w:link w:val="AntratsDiagrama"/>
    <w:uiPriority w:val="99"/>
    <w:unhideWhenUsed/>
    <w:rsid w:val="00A9243F"/>
    <w:pPr>
      <w:tabs>
        <w:tab w:val="center" w:pos="4819"/>
        <w:tab w:val="right" w:pos="9638"/>
      </w:tabs>
    </w:pPr>
  </w:style>
  <w:style w:type="character" w:customStyle="1" w:styleId="AntratsDiagrama">
    <w:name w:val="Antraštės Diagrama"/>
    <w:basedOn w:val="Numatytasispastraiposriftas"/>
    <w:link w:val="Antrats"/>
    <w:uiPriority w:val="99"/>
    <w:rsid w:val="00A9243F"/>
    <w:rPr>
      <w:rFonts w:ascii="Times New Roman" w:hAnsi="Times New Roman" w:cs="Times New Roman"/>
      <w:sz w:val="24"/>
      <w:szCs w:val="24"/>
    </w:rPr>
  </w:style>
  <w:style w:type="paragraph" w:styleId="Porat">
    <w:name w:val="footer"/>
    <w:basedOn w:val="prastasis"/>
    <w:link w:val="PoratDiagrama"/>
    <w:uiPriority w:val="99"/>
    <w:unhideWhenUsed/>
    <w:rsid w:val="00A9243F"/>
    <w:pPr>
      <w:tabs>
        <w:tab w:val="center" w:pos="4819"/>
        <w:tab w:val="right" w:pos="9638"/>
      </w:tabs>
    </w:pPr>
  </w:style>
  <w:style w:type="character" w:customStyle="1" w:styleId="PoratDiagrama">
    <w:name w:val="Poraštė Diagrama"/>
    <w:basedOn w:val="Numatytasispastraiposriftas"/>
    <w:link w:val="Porat"/>
    <w:uiPriority w:val="99"/>
    <w:rsid w:val="00A9243F"/>
    <w:rPr>
      <w:rFonts w:ascii="Times New Roman" w:hAnsi="Times New Roman" w:cs="Times New Roman"/>
      <w:sz w:val="24"/>
      <w:szCs w:val="24"/>
    </w:rPr>
  </w:style>
  <w:style w:type="paragraph" w:customStyle="1" w:styleId="doc-ti">
    <w:name w:val="doc-ti"/>
    <w:basedOn w:val="prastasis"/>
    <w:rsid w:val="00A9243F"/>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A9243F"/>
    <w:rPr>
      <w:sz w:val="20"/>
      <w:szCs w:val="20"/>
    </w:rPr>
  </w:style>
  <w:style w:type="character" w:customStyle="1" w:styleId="PuslapioinaostekstasDiagrama">
    <w:name w:val="Puslapio išnašos tekstas Diagrama"/>
    <w:basedOn w:val="Numatytasispastraiposriftas"/>
    <w:link w:val="Puslapioinaostekstas"/>
    <w:uiPriority w:val="99"/>
    <w:rsid w:val="00A9243F"/>
    <w:rPr>
      <w:rFonts w:ascii="Times New Roman" w:hAnsi="Times New Roman" w:cs="Times New Roman"/>
      <w:sz w:val="20"/>
      <w:szCs w:val="20"/>
    </w:rPr>
  </w:style>
  <w:style w:type="character" w:styleId="Puslapioinaosnuoroda">
    <w:name w:val="footnote reference"/>
    <w:basedOn w:val="Numatytasispastraiposriftas"/>
    <w:uiPriority w:val="99"/>
    <w:semiHidden/>
    <w:unhideWhenUsed/>
    <w:rsid w:val="00A9243F"/>
    <w:rPr>
      <w:vertAlign w:val="superscript"/>
    </w:rPr>
  </w:style>
  <w:style w:type="paragraph" w:styleId="Betarp">
    <w:name w:val="No Spacing"/>
    <w:uiPriority w:val="1"/>
    <w:qFormat/>
    <w:rsid w:val="00A9243F"/>
    <w:pPr>
      <w:spacing w:after="0" w:line="240" w:lineRule="auto"/>
    </w:pPr>
  </w:style>
  <w:style w:type="character" w:customStyle="1" w:styleId="normal-h">
    <w:name w:val="normal-h"/>
    <w:basedOn w:val="Numatytasispastraiposriftas"/>
    <w:rsid w:val="00A9243F"/>
  </w:style>
  <w:style w:type="character" w:customStyle="1" w:styleId="bodytext2-h">
    <w:name w:val="bodytext2-h"/>
    <w:basedOn w:val="Numatytasispastraiposriftas"/>
    <w:rsid w:val="00A9243F"/>
  </w:style>
  <w:style w:type="paragraph" w:styleId="Paantrat">
    <w:name w:val="Subtitle"/>
    <w:basedOn w:val="prastasis"/>
    <w:next w:val="prastasis"/>
    <w:link w:val="PaantratDiagrama"/>
    <w:autoRedefine/>
    <w:qFormat/>
    <w:rsid w:val="00A9243F"/>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A9243F"/>
    <w:rPr>
      <w:rFonts w:ascii="Times New Roman" w:eastAsiaTheme="majorEastAsia" w:hAnsi="Times New Roman" w:cstheme="majorBidi"/>
      <w:b/>
      <w:iCs/>
      <w:sz w:val="24"/>
      <w:szCs w:val="24"/>
      <w:lang w:eastAsia="lt-LT"/>
    </w:rPr>
  </w:style>
  <w:style w:type="paragraph" w:styleId="HTMLiankstoformatuotas">
    <w:name w:val="HTML Preformatted"/>
    <w:basedOn w:val="prastasis"/>
    <w:link w:val="HTMLiankstoformatuotasDiagrama"/>
    <w:uiPriority w:val="99"/>
    <w:unhideWhenUsed/>
    <w:rsid w:val="00A9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A9243F"/>
    <w:rPr>
      <w:rFonts w:ascii="Courier New" w:eastAsia="Times New Roman" w:hAnsi="Courier New" w:cs="Courier New"/>
      <w:sz w:val="20"/>
      <w:szCs w:val="20"/>
      <w:lang w:eastAsia="lt-LT"/>
    </w:rPr>
  </w:style>
  <w:style w:type="character" w:styleId="Grietas">
    <w:name w:val="Strong"/>
    <w:basedOn w:val="Numatytasispastraiposriftas"/>
    <w:uiPriority w:val="22"/>
    <w:qFormat/>
    <w:rsid w:val="00A9243F"/>
    <w:rPr>
      <w:b/>
      <w:bCs/>
    </w:rPr>
  </w:style>
  <w:style w:type="character" w:customStyle="1" w:styleId="apple-converted-space">
    <w:name w:val="apple-converted-space"/>
    <w:basedOn w:val="Numatytasispastraiposriftas"/>
    <w:rsid w:val="00A9243F"/>
  </w:style>
  <w:style w:type="paragraph" w:styleId="Pavadinimas">
    <w:name w:val="Title"/>
    <w:basedOn w:val="prastasis"/>
    <w:next w:val="prastasis"/>
    <w:link w:val="PavadinimasDiagrama"/>
    <w:uiPriority w:val="99"/>
    <w:qFormat/>
    <w:rsid w:val="00A9243F"/>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PavadinimasDiagrama">
    <w:name w:val="Pavadinimas Diagrama"/>
    <w:basedOn w:val="Numatytasispastraiposriftas"/>
    <w:link w:val="Pavadinimas"/>
    <w:uiPriority w:val="99"/>
    <w:rsid w:val="00A9243F"/>
    <w:rPr>
      <w:rFonts w:ascii="Cambria" w:eastAsia="Times New Roman" w:hAnsi="Cambria" w:cs="Cambria"/>
      <w:color w:val="17365D"/>
      <w:spacing w:val="5"/>
      <w:kern w:val="28"/>
      <w:sz w:val="52"/>
      <w:szCs w:val="52"/>
    </w:rPr>
  </w:style>
  <w:style w:type="paragraph" w:customStyle="1" w:styleId="BodyText1">
    <w:name w:val="Body Text1"/>
    <w:basedOn w:val="prastasis"/>
    <w:rsid w:val="00A9243F"/>
    <w:pPr>
      <w:suppressAutoHyphens/>
      <w:autoSpaceDE w:val="0"/>
      <w:autoSpaceDN w:val="0"/>
      <w:adjustRightInd w:val="0"/>
      <w:spacing w:line="297" w:lineRule="auto"/>
      <w:ind w:firstLine="312"/>
    </w:pPr>
    <w:rPr>
      <w:rFonts w:eastAsia="Times New Roman"/>
      <w:color w:val="000000"/>
      <w:sz w:val="20"/>
      <w:szCs w:val="20"/>
    </w:rPr>
  </w:style>
  <w:style w:type="paragraph" w:customStyle="1" w:styleId="Hyperlink1">
    <w:name w:val="Hyperlink1"/>
    <w:rsid w:val="00A9243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2">
    <w:name w:val="Body Text2"/>
    <w:basedOn w:val="prastasis"/>
    <w:rsid w:val="00A9243F"/>
    <w:pPr>
      <w:suppressAutoHyphens/>
      <w:autoSpaceDE w:val="0"/>
      <w:autoSpaceDN w:val="0"/>
      <w:adjustRightInd w:val="0"/>
      <w:spacing w:line="298" w:lineRule="auto"/>
      <w:ind w:firstLine="312"/>
      <w:textAlignment w:val="center"/>
    </w:pPr>
    <w:rPr>
      <w:rFonts w:eastAsia="Times New Roman"/>
      <w:color w:val="000000"/>
      <w:sz w:val="20"/>
      <w:szCs w:val="20"/>
    </w:rPr>
  </w:style>
  <w:style w:type="character" w:styleId="Emfaz">
    <w:name w:val="Emphasis"/>
    <w:basedOn w:val="Numatytasispastraiposriftas"/>
    <w:uiPriority w:val="20"/>
    <w:qFormat/>
    <w:rsid w:val="00A9243F"/>
    <w:rPr>
      <w:i/>
      <w:iCs/>
    </w:rPr>
  </w:style>
  <w:style w:type="paragraph" w:customStyle="1" w:styleId="BodyText3">
    <w:name w:val="Body Text3"/>
    <w:basedOn w:val="prastasis"/>
    <w:rsid w:val="00A9243F"/>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BodyText4">
    <w:name w:val="Body Text4"/>
    <w:basedOn w:val="prastasis"/>
    <w:rsid w:val="00A9243F"/>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BodyText5">
    <w:name w:val="Body Text5"/>
    <w:basedOn w:val="prastasis"/>
    <w:rsid w:val="00A9243F"/>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styleId="Paprastasistekstas">
    <w:name w:val="Plain Text"/>
    <w:basedOn w:val="prastasis"/>
    <w:link w:val="PaprastasistekstasDiagrama"/>
    <w:uiPriority w:val="99"/>
    <w:unhideWhenUsed/>
    <w:rsid w:val="00A9243F"/>
    <w:pPr>
      <w:ind w:firstLine="0"/>
      <w:jc w:val="left"/>
    </w:pPr>
    <w:rPr>
      <w:rFonts w:ascii="Calibri" w:hAnsi="Calibri" w:cstheme="minorBidi"/>
      <w:sz w:val="22"/>
      <w:szCs w:val="21"/>
      <w:lang w:val="en-US"/>
    </w:rPr>
  </w:style>
  <w:style w:type="character" w:customStyle="1" w:styleId="PaprastasistekstasDiagrama">
    <w:name w:val="Paprastasis tekstas Diagrama"/>
    <w:basedOn w:val="Numatytasispastraiposriftas"/>
    <w:link w:val="Paprastasistekstas"/>
    <w:uiPriority w:val="99"/>
    <w:rsid w:val="00A9243F"/>
    <w:rPr>
      <w:rFonts w:ascii="Calibri" w:hAnsi="Calibri"/>
      <w:szCs w:val="21"/>
      <w:lang w:val="en-US"/>
    </w:rPr>
  </w:style>
  <w:style w:type="paragraph" w:customStyle="1" w:styleId="BodyText6">
    <w:name w:val="Body Text6"/>
    <w:basedOn w:val="prastasis"/>
    <w:rsid w:val="00A9243F"/>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BodyText7">
    <w:name w:val="Body Text7"/>
    <w:basedOn w:val="prastasis"/>
    <w:rsid w:val="00A9243F"/>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BodyText8">
    <w:name w:val="Body Text8"/>
    <w:basedOn w:val="prastasis"/>
    <w:rsid w:val="00A9243F"/>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Default">
    <w:name w:val="Default"/>
    <w:rsid w:val="003D1E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9">
    <w:name w:val="Body Text9"/>
    <w:basedOn w:val="prastasis"/>
    <w:rsid w:val="00806F1E"/>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styleId="prastasiniatinklio">
    <w:name w:val="Normal (Web)"/>
    <w:basedOn w:val="prastasis"/>
    <w:uiPriority w:val="99"/>
    <w:unhideWhenUsed/>
    <w:rsid w:val="003F4F39"/>
    <w:pPr>
      <w:spacing w:before="100" w:beforeAutospacing="1" w:after="100" w:afterAutospacing="1"/>
      <w:ind w:firstLine="0"/>
      <w:jc w:val="left"/>
    </w:pPr>
    <w:rPr>
      <w:lang w:val="en-US"/>
    </w:rPr>
  </w:style>
  <w:style w:type="paragraph" w:customStyle="1" w:styleId="BodyText10">
    <w:name w:val="Body Text10"/>
    <w:basedOn w:val="prastasis"/>
    <w:rsid w:val="001055DC"/>
    <w:pPr>
      <w:suppressAutoHyphens/>
      <w:autoSpaceDE w:val="0"/>
      <w:autoSpaceDN w:val="0"/>
      <w:adjustRightInd w:val="0"/>
      <w:spacing w:line="298" w:lineRule="auto"/>
      <w:ind w:firstLine="312"/>
      <w:textAlignment w:val="center"/>
    </w:pPr>
    <w:rPr>
      <w:rFonts w:eastAsia="Times New Roman"/>
      <w:color w:val="000000"/>
      <w:sz w:val="20"/>
      <w:szCs w:val="20"/>
    </w:rPr>
  </w:style>
  <w:style w:type="character" w:styleId="Perirtashipersaitas">
    <w:name w:val="FollowedHyperlink"/>
    <w:basedOn w:val="Numatytasispastraiposriftas"/>
    <w:uiPriority w:val="99"/>
    <w:semiHidden/>
    <w:unhideWhenUsed/>
    <w:rsid w:val="001E2B12"/>
    <w:rPr>
      <w:color w:val="800080" w:themeColor="followedHyperlink"/>
      <w:u w:val="single"/>
    </w:rPr>
  </w:style>
  <w:style w:type="table" w:customStyle="1" w:styleId="Lentelstinklelis1">
    <w:name w:val="Lentelės tinklelis1"/>
    <w:basedOn w:val="prastojilentel"/>
    <w:next w:val="Lentelstinklelis"/>
    <w:uiPriority w:val="59"/>
    <w:rsid w:val="004B5E4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37454">
      <w:bodyDiv w:val="1"/>
      <w:marLeft w:val="0"/>
      <w:marRight w:val="0"/>
      <w:marTop w:val="0"/>
      <w:marBottom w:val="0"/>
      <w:divBdr>
        <w:top w:val="none" w:sz="0" w:space="0" w:color="auto"/>
        <w:left w:val="none" w:sz="0" w:space="0" w:color="auto"/>
        <w:bottom w:val="none" w:sz="0" w:space="0" w:color="auto"/>
        <w:right w:val="none" w:sz="0" w:space="0" w:color="auto"/>
      </w:divBdr>
    </w:div>
    <w:div w:id="911547930">
      <w:bodyDiv w:val="1"/>
      <w:marLeft w:val="0"/>
      <w:marRight w:val="0"/>
      <w:marTop w:val="0"/>
      <w:marBottom w:val="0"/>
      <w:divBdr>
        <w:top w:val="none" w:sz="0" w:space="0" w:color="auto"/>
        <w:left w:val="none" w:sz="0" w:space="0" w:color="auto"/>
        <w:bottom w:val="none" w:sz="0" w:space="0" w:color="auto"/>
        <w:right w:val="none" w:sz="0" w:space="0" w:color="auto"/>
      </w:divBdr>
    </w:div>
    <w:div w:id="1012489805">
      <w:bodyDiv w:val="1"/>
      <w:marLeft w:val="0"/>
      <w:marRight w:val="0"/>
      <w:marTop w:val="0"/>
      <w:marBottom w:val="0"/>
      <w:divBdr>
        <w:top w:val="none" w:sz="0" w:space="0" w:color="auto"/>
        <w:left w:val="none" w:sz="0" w:space="0" w:color="auto"/>
        <w:bottom w:val="none" w:sz="0" w:space="0" w:color="auto"/>
        <w:right w:val="none" w:sz="0" w:space="0" w:color="auto"/>
      </w:divBdr>
    </w:div>
    <w:div w:id="162040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lt/dokumentai/supaprastinto-islaidu-apmokejimo-tyrimai"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yperlink" Target="http://www.esinvesticijos.lt" TargetMode="Externa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yperlink" Target="http://www.lmt.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kos.smm.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sinvesticijos.lt/lt/dokumentai/supaprastinto-islaidu-apmokejimo-tyrimai" TargetMode="External"/><Relationship Id="rId23" Type="http://schemas.openxmlformats.org/officeDocument/2006/relationships/header" Target="header1.xml"/><Relationship Id="rId10" Type="http://schemas.openxmlformats.org/officeDocument/2006/relationships/hyperlink" Target="http://www.lmt.lt" TargetMode="External"/><Relationship Id="rId19"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lt/dokumentai/supaprastinto-islaidu-apmokejimo-tyrimai" TargetMode="External"/><Relationship Id="rId22"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7AC2B-3F9D-4FA8-8A99-E0FAC9D8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38796</Words>
  <Characters>22115</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Miltakiene</dc:creator>
  <cp:lastModifiedBy>Banuškevičiūtė Giedrė</cp:lastModifiedBy>
  <cp:revision>2</cp:revision>
  <cp:lastPrinted>2016-08-05T12:22:00Z</cp:lastPrinted>
  <dcterms:created xsi:type="dcterms:W3CDTF">2016-08-09T09:24:00Z</dcterms:created>
  <dcterms:modified xsi:type="dcterms:W3CDTF">2016-08-09T09:24:00Z</dcterms:modified>
</cp:coreProperties>
</file>