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B24B7" w:rsidRDefault="00A10AFB">
      <w:pPr>
        <w:pStyle w:val="prastasis1"/>
        <w:jc w:val="center"/>
      </w:pPr>
      <w:r>
        <w:rPr>
          <w:rFonts w:ascii="Times New Roman" w:eastAsia="Times New Roman" w:hAnsi="Times New Roman" w:cs="Times New Roman"/>
          <w:b/>
          <w:sz w:val="24"/>
        </w:rPr>
        <w:t xml:space="preserve">2014–2020 METŲ EUROPOS SĄJUNGOS FONDŲ INVESTICIJŲ VEIKSMŲ PROGRAMOS PRIORITETŲ ĮGYVENDINIMO </w:t>
      </w:r>
    </w:p>
    <w:p w:rsidR="004B24B7" w:rsidRDefault="005F4AE6">
      <w:pPr>
        <w:pStyle w:val="prastasis1"/>
        <w:jc w:val="center"/>
      </w:pPr>
      <w:r>
        <w:rPr>
          <w:rFonts w:ascii="Times New Roman" w:eastAsia="Times New Roman" w:hAnsi="Times New Roman" w:cs="Times New Roman"/>
          <w:b/>
          <w:sz w:val="24"/>
        </w:rPr>
        <w:t>PRIEMONĖS NR. 12.0.1-CPVA-K-204</w:t>
      </w:r>
      <w:r w:rsidR="00A10AFB">
        <w:rPr>
          <w:rFonts w:ascii="Times New Roman" w:eastAsia="Times New Roman" w:hAnsi="Times New Roman" w:cs="Times New Roman"/>
          <w:b/>
          <w:sz w:val="24"/>
        </w:rPr>
        <w:t xml:space="preserve"> </w:t>
      </w:r>
      <w:r w:rsidR="00A10AFB">
        <w:rPr>
          <w:rFonts w:ascii="Times New Roman" w:eastAsia="Times New Roman" w:hAnsi="Times New Roman" w:cs="Times New Roman"/>
          <w:b/>
          <w:i/>
          <w:sz w:val="24"/>
        </w:rPr>
        <w:t>„</w:t>
      </w:r>
      <w:r w:rsidR="008A14FD">
        <w:rPr>
          <w:rFonts w:ascii="Times New Roman" w:eastAsia="Times New Roman" w:hAnsi="Times New Roman" w:cs="Times New Roman"/>
          <w:b/>
          <w:sz w:val="24"/>
        </w:rPr>
        <w:t>ES</w:t>
      </w:r>
      <w:r w:rsidR="00AE3DB8">
        <w:rPr>
          <w:rFonts w:ascii="Times New Roman" w:eastAsia="Times New Roman" w:hAnsi="Times New Roman" w:cs="Times New Roman"/>
          <w:b/>
          <w:sz w:val="24"/>
        </w:rPr>
        <w:t xml:space="preserve"> FONDŲ</w:t>
      </w:r>
      <w:r w:rsidR="008A14FD">
        <w:rPr>
          <w:rFonts w:ascii="Times New Roman" w:eastAsia="Times New Roman" w:hAnsi="Times New Roman" w:cs="Times New Roman"/>
          <w:b/>
          <w:sz w:val="24"/>
        </w:rPr>
        <w:t xml:space="preserve"> INVESTICIJŲ KOMUNIKACIJA</w:t>
      </w:r>
      <w:r w:rsidR="00A10AFB">
        <w:rPr>
          <w:rFonts w:ascii="Times New Roman" w:eastAsia="Times New Roman" w:hAnsi="Times New Roman" w:cs="Times New Roman"/>
          <w:b/>
          <w:sz w:val="24"/>
        </w:rPr>
        <w:t>“ PAGRINDIMAS</w:t>
      </w:r>
    </w:p>
    <w:tbl>
      <w:tblPr>
        <w:tblStyle w:val="a0"/>
        <w:tblW w:w="10355"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7"/>
        <w:gridCol w:w="2546"/>
        <w:gridCol w:w="6"/>
        <w:gridCol w:w="6946"/>
      </w:tblGrid>
      <w:tr w:rsidR="004B24B7" w:rsidTr="000F27BC">
        <w:tc>
          <w:tcPr>
            <w:tcW w:w="857" w:type="dxa"/>
            <w:shd w:val="clear" w:color="auto" w:fill="F2F2F2"/>
          </w:tcPr>
          <w:p w:rsidR="004B24B7" w:rsidRDefault="00A10AFB">
            <w:pPr>
              <w:pStyle w:val="prastasis1"/>
              <w:tabs>
                <w:tab w:val="left" w:pos="567"/>
              </w:tabs>
            </w:pPr>
            <w:r>
              <w:rPr>
                <w:rFonts w:ascii="Times New Roman" w:eastAsia="Times New Roman" w:hAnsi="Times New Roman" w:cs="Times New Roman"/>
                <w:b/>
                <w:sz w:val="24"/>
              </w:rPr>
              <w:t xml:space="preserve">Nr. </w:t>
            </w:r>
          </w:p>
        </w:tc>
        <w:tc>
          <w:tcPr>
            <w:tcW w:w="2546" w:type="dxa"/>
            <w:shd w:val="clear" w:color="auto" w:fill="F2F2F2"/>
          </w:tcPr>
          <w:p w:rsidR="004B24B7" w:rsidRDefault="00A10AFB">
            <w:pPr>
              <w:pStyle w:val="prastasis1"/>
              <w:tabs>
                <w:tab w:val="left" w:pos="567"/>
              </w:tabs>
              <w:jc w:val="center"/>
            </w:pPr>
            <w:r>
              <w:rPr>
                <w:rFonts w:ascii="Times New Roman" w:eastAsia="Times New Roman" w:hAnsi="Times New Roman" w:cs="Times New Roman"/>
                <w:b/>
                <w:sz w:val="24"/>
              </w:rPr>
              <w:t>Klausimas</w:t>
            </w:r>
          </w:p>
        </w:tc>
        <w:tc>
          <w:tcPr>
            <w:tcW w:w="6952" w:type="dxa"/>
            <w:gridSpan w:val="2"/>
            <w:shd w:val="clear" w:color="auto" w:fill="F2F2F2"/>
          </w:tcPr>
          <w:p w:rsidR="004B24B7" w:rsidRDefault="00A10AFB">
            <w:pPr>
              <w:pStyle w:val="prastasis1"/>
              <w:tabs>
                <w:tab w:val="left" w:pos="567"/>
              </w:tabs>
              <w:jc w:val="center"/>
            </w:pPr>
            <w:r>
              <w:rPr>
                <w:rFonts w:ascii="Times New Roman" w:eastAsia="Times New Roman" w:hAnsi="Times New Roman" w:cs="Times New Roman"/>
                <w:b/>
                <w:sz w:val="24"/>
              </w:rPr>
              <w:t>Ministerijos pateikta informacija</w:t>
            </w:r>
          </w:p>
        </w:tc>
      </w:tr>
      <w:tr w:rsidR="00DE6F21" w:rsidTr="000F27BC">
        <w:trPr>
          <w:trHeight w:val="589"/>
        </w:trPr>
        <w:tc>
          <w:tcPr>
            <w:tcW w:w="10355" w:type="dxa"/>
            <w:gridSpan w:val="4"/>
            <w:shd w:val="clear" w:color="auto" w:fill="F2F2F2"/>
          </w:tcPr>
          <w:p w:rsidR="00DE6F21" w:rsidRDefault="00DE6F21" w:rsidP="00DE6F21">
            <w:pPr>
              <w:pStyle w:val="prastasis1"/>
              <w:widowControl w:val="0"/>
              <w:numPr>
                <w:ilvl w:val="0"/>
                <w:numId w:val="6"/>
              </w:numPr>
              <w:spacing w:line="480" w:lineRule="auto"/>
              <w:jc w:val="center"/>
            </w:pPr>
            <w:r>
              <w:rPr>
                <w:rFonts w:ascii="Times New Roman" w:eastAsia="Times New Roman" w:hAnsi="Times New Roman" w:cs="Times New Roman"/>
                <w:b/>
                <w:sz w:val="24"/>
              </w:rPr>
              <w:t>Priemonės aprašymas</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Priemonės atitiktis 2014–2020 metų Europos Sąjungos (toliau – ES) fondų investicijų veiksmų programos (toliau – veiksmų programa) nuostatoms</w:t>
            </w:r>
          </w:p>
        </w:tc>
        <w:tc>
          <w:tcPr>
            <w:tcW w:w="6952" w:type="dxa"/>
            <w:gridSpan w:val="2"/>
          </w:tcPr>
          <w:p w:rsidR="004B24B7" w:rsidRDefault="005F4AE6" w:rsidP="00577C72">
            <w:pPr>
              <w:pStyle w:val="prastasis1"/>
              <w:tabs>
                <w:tab w:val="left" w:pos="567"/>
              </w:tabs>
              <w:jc w:val="both"/>
            </w:pPr>
            <w:r>
              <w:rPr>
                <w:rFonts w:ascii="Times New Roman" w:eastAsia="Times New Roman" w:hAnsi="Times New Roman" w:cs="Times New Roman"/>
                <w:sz w:val="24"/>
              </w:rPr>
              <w:t>Priemonė Nr. 12.0.1-CPVA-K</w:t>
            </w:r>
            <w:r w:rsidR="00A10AFB">
              <w:rPr>
                <w:rFonts w:ascii="Times New Roman" w:eastAsia="Times New Roman" w:hAnsi="Times New Roman" w:cs="Times New Roman"/>
                <w:sz w:val="24"/>
              </w:rPr>
              <w:t>-20</w:t>
            </w:r>
            <w:r>
              <w:rPr>
                <w:rFonts w:ascii="Times New Roman" w:eastAsia="Times New Roman" w:hAnsi="Times New Roman" w:cs="Times New Roman"/>
                <w:sz w:val="24"/>
              </w:rPr>
              <w:t>4</w:t>
            </w:r>
            <w:r w:rsidR="00A10AFB">
              <w:rPr>
                <w:rFonts w:ascii="Times New Roman" w:eastAsia="Times New Roman" w:hAnsi="Times New Roman" w:cs="Times New Roman"/>
                <w:sz w:val="24"/>
              </w:rPr>
              <w:t xml:space="preserve"> „</w:t>
            </w:r>
            <w:r w:rsidR="008A14FD">
              <w:rPr>
                <w:rFonts w:ascii="Times New Roman" w:eastAsia="Times New Roman" w:hAnsi="Times New Roman" w:cs="Times New Roman"/>
                <w:sz w:val="24"/>
              </w:rPr>
              <w:t>ES</w:t>
            </w:r>
            <w:r w:rsidR="00AE3DB8">
              <w:rPr>
                <w:rFonts w:ascii="Times New Roman" w:eastAsia="Times New Roman" w:hAnsi="Times New Roman" w:cs="Times New Roman"/>
                <w:sz w:val="24"/>
              </w:rPr>
              <w:t xml:space="preserve"> fondų</w:t>
            </w:r>
            <w:r w:rsidR="008A14FD">
              <w:rPr>
                <w:rFonts w:ascii="Times New Roman" w:eastAsia="Times New Roman" w:hAnsi="Times New Roman" w:cs="Times New Roman"/>
                <w:sz w:val="24"/>
              </w:rPr>
              <w:t xml:space="preserve"> investicijų komunikacija</w:t>
            </w:r>
            <w:r w:rsidR="00DE6F21">
              <w:rPr>
                <w:rFonts w:ascii="Times New Roman" w:eastAsia="Times New Roman" w:hAnsi="Times New Roman" w:cs="Times New Roman"/>
                <w:sz w:val="24"/>
              </w:rPr>
              <w:t xml:space="preserve">“ </w:t>
            </w:r>
            <w:r w:rsidR="00A10AFB">
              <w:rPr>
                <w:rFonts w:ascii="Times New Roman" w:eastAsia="Times New Roman" w:hAnsi="Times New Roman" w:cs="Times New Roman"/>
                <w:sz w:val="24"/>
              </w:rPr>
              <w:t>(toliau</w:t>
            </w:r>
            <w:r w:rsidR="00DE6F21">
              <w:rPr>
                <w:rFonts w:ascii="Times New Roman" w:eastAsia="Times New Roman" w:hAnsi="Times New Roman" w:cs="Times New Roman"/>
                <w:sz w:val="24"/>
              </w:rPr>
              <w:t xml:space="preserve"> </w:t>
            </w:r>
            <w:r w:rsidR="00A10AFB">
              <w:rPr>
                <w:rFonts w:ascii="Times New Roman" w:eastAsia="Times New Roman" w:hAnsi="Times New Roman" w:cs="Times New Roman"/>
                <w:sz w:val="24"/>
              </w:rPr>
              <w:t>–</w:t>
            </w:r>
            <w:r w:rsidR="00DE6F21">
              <w:rPr>
                <w:rFonts w:ascii="Times New Roman" w:eastAsia="Times New Roman" w:hAnsi="Times New Roman" w:cs="Times New Roman"/>
                <w:sz w:val="24"/>
              </w:rPr>
              <w:t xml:space="preserve"> </w:t>
            </w:r>
            <w:r w:rsidR="00A10AFB">
              <w:rPr>
                <w:rFonts w:ascii="Times New Roman" w:eastAsia="Times New Roman" w:hAnsi="Times New Roman" w:cs="Times New Roman"/>
                <w:sz w:val="24"/>
              </w:rPr>
              <w:t>Priemonė) užtikrins veiksmų programos 12 prioriteto „Techninė parama, skirta informuoti apie veiksmų programą ir jai vertinti“ (toliau</w:t>
            </w:r>
            <w:r w:rsidR="00DE6F21">
              <w:rPr>
                <w:rFonts w:ascii="Times New Roman" w:eastAsia="Times New Roman" w:hAnsi="Times New Roman" w:cs="Times New Roman"/>
                <w:sz w:val="24"/>
              </w:rPr>
              <w:t xml:space="preserve"> </w:t>
            </w:r>
            <w:r w:rsidR="00A10AFB">
              <w:rPr>
                <w:rFonts w:ascii="Times New Roman" w:eastAsia="Times New Roman" w:hAnsi="Times New Roman" w:cs="Times New Roman"/>
                <w:sz w:val="24"/>
              </w:rPr>
              <w:t>–</w:t>
            </w:r>
            <w:r w:rsidR="00DE6F21">
              <w:rPr>
                <w:rFonts w:ascii="Times New Roman" w:eastAsia="Times New Roman" w:hAnsi="Times New Roman" w:cs="Times New Roman"/>
                <w:sz w:val="24"/>
              </w:rPr>
              <w:t xml:space="preserve"> 12 </w:t>
            </w:r>
            <w:r w:rsidR="00A10AFB">
              <w:rPr>
                <w:rFonts w:ascii="Times New Roman" w:eastAsia="Times New Roman" w:hAnsi="Times New Roman" w:cs="Times New Roman"/>
                <w:sz w:val="24"/>
              </w:rPr>
              <w:t>prioritetas) 12.1</w:t>
            </w:r>
            <w:r w:rsidR="0071235D">
              <w:rPr>
                <w:rFonts w:ascii="Times New Roman" w:eastAsia="Times New Roman" w:hAnsi="Times New Roman" w:cs="Times New Roman"/>
                <w:sz w:val="24"/>
              </w:rPr>
              <w:t xml:space="preserve"> konkretaus</w:t>
            </w:r>
            <w:r w:rsidR="00A10AFB">
              <w:rPr>
                <w:rFonts w:ascii="Times New Roman" w:eastAsia="Times New Roman" w:hAnsi="Times New Roman" w:cs="Times New Roman"/>
                <w:sz w:val="24"/>
              </w:rPr>
              <w:t xml:space="preserve"> uždavinio „Užtikrinti informavimą apie ES fondų investicijas“ </w:t>
            </w:r>
            <w:r w:rsidR="00DE6F21">
              <w:rPr>
                <w:rFonts w:ascii="Times New Roman" w:eastAsia="Times New Roman" w:hAnsi="Times New Roman" w:cs="Times New Roman"/>
                <w:sz w:val="24"/>
              </w:rPr>
              <w:t>(toliau – 12.1 uždavinys)</w:t>
            </w:r>
            <w:r w:rsidR="0006384D">
              <w:rPr>
                <w:rFonts w:ascii="Times New Roman" w:eastAsia="Times New Roman" w:hAnsi="Times New Roman" w:cs="Times New Roman"/>
                <w:sz w:val="24"/>
              </w:rPr>
              <w:t xml:space="preserve"> veiklų</w:t>
            </w:r>
            <w:r w:rsidR="00DE6F21">
              <w:rPr>
                <w:rFonts w:ascii="Times New Roman" w:eastAsia="Times New Roman" w:hAnsi="Times New Roman" w:cs="Times New Roman"/>
                <w:sz w:val="24"/>
              </w:rPr>
              <w:t xml:space="preserve"> </w:t>
            </w:r>
            <w:r w:rsidR="00A10AFB">
              <w:rPr>
                <w:rFonts w:ascii="Times New Roman" w:eastAsia="Times New Roman" w:hAnsi="Times New Roman" w:cs="Times New Roman"/>
                <w:sz w:val="24"/>
              </w:rPr>
              <w:t>įgyvendinimą</w:t>
            </w:r>
            <w:r w:rsidR="00344866">
              <w:rPr>
                <w:rFonts w:ascii="Times New Roman" w:eastAsia="Times New Roman" w:hAnsi="Times New Roman" w:cs="Times New Roman"/>
                <w:sz w:val="24"/>
              </w:rPr>
              <w:t>.</w:t>
            </w:r>
            <w:r w:rsidR="00A10AFB">
              <w:rPr>
                <w:rFonts w:ascii="Times New Roman" w:eastAsia="Times New Roman" w:hAnsi="Times New Roman" w:cs="Times New Roman"/>
                <w:sz w:val="24"/>
              </w:rPr>
              <w:t xml:space="preserve"> Priemonė skirta</w:t>
            </w:r>
            <w:r w:rsidR="009C3CB6">
              <w:rPr>
                <w:rFonts w:ascii="Times New Roman" w:eastAsia="Times New Roman" w:hAnsi="Times New Roman" w:cs="Times New Roman"/>
                <w:sz w:val="24"/>
              </w:rPr>
              <w:t xml:space="preserve">  nevyriausybin</w:t>
            </w:r>
            <w:r w:rsidR="00CE7347">
              <w:rPr>
                <w:rFonts w:ascii="Times New Roman" w:eastAsia="Times New Roman" w:hAnsi="Times New Roman" w:cs="Times New Roman"/>
                <w:sz w:val="24"/>
              </w:rPr>
              <w:t>ių organizacijų, „</w:t>
            </w:r>
            <w:proofErr w:type="spellStart"/>
            <w:r w:rsidR="00CE7347">
              <w:rPr>
                <w:rFonts w:ascii="Times New Roman" w:eastAsia="Times New Roman" w:hAnsi="Times New Roman" w:cs="Times New Roman"/>
                <w:sz w:val="24"/>
              </w:rPr>
              <w:t>Europe</w:t>
            </w:r>
            <w:proofErr w:type="spellEnd"/>
            <w:r w:rsidR="00CE7347">
              <w:rPr>
                <w:rFonts w:ascii="Times New Roman" w:eastAsia="Times New Roman" w:hAnsi="Times New Roman" w:cs="Times New Roman"/>
                <w:sz w:val="24"/>
              </w:rPr>
              <w:t xml:space="preserve"> </w:t>
            </w:r>
            <w:proofErr w:type="spellStart"/>
            <w:r w:rsidR="00CE7347">
              <w:rPr>
                <w:rFonts w:ascii="Times New Roman" w:eastAsia="Times New Roman" w:hAnsi="Times New Roman" w:cs="Times New Roman"/>
                <w:sz w:val="24"/>
              </w:rPr>
              <w:t>Direct</w:t>
            </w:r>
            <w:proofErr w:type="spellEnd"/>
            <w:r w:rsidR="00CE7347">
              <w:rPr>
                <w:rFonts w:ascii="Times New Roman" w:eastAsia="Times New Roman" w:hAnsi="Times New Roman" w:cs="Times New Roman"/>
                <w:sz w:val="24"/>
              </w:rPr>
              <w:t>“ informacijos</w:t>
            </w:r>
            <w:r w:rsidR="000677E2">
              <w:rPr>
                <w:rFonts w:ascii="Times New Roman" w:eastAsia="Times New Roman" w:hAnsi="Times New Roman" w:cs="Times New Roman"/>
                <w:sz w:val="24"/>
              </w:rPr>
              <w:t xml:space="preserve"> centrus priimančių institucijų</w:t>
            </w:r>
            <w:bookmarkStart w:id="0" w:name="_GoBack"/>
            <w:bookmarkEnd w:id="0"/>
            <w:r w:rsidR="00CE7347">
              <w:rPr>
                <w:rFonts w:ascii="Times New Roman" w:eastAsia="Times New Roman" w:hAnsi="Times New Roman" w:cs="Times New Roman"/>
                <w:sz w:val="24"/>
              </w:rPr>
              <w:t xml:space="preserve"> ir </w:t>
            </w:r>
            <w:r w:rsidR="00577C72">
              <w:rPr>
                <w:rFonts w:ascii="Times New Roman" w:eastAsia="Times New Roman" w:hAnsi="Times New Roman" w:cs="Times New Roman"/>
                <w:sz w:val="24"/>
              </w:rPr>
              <w:t>asociacijų</w:t>
            </w:r>
            <w:r w:rsidR="00CE7347">
              <w:rPr>
                <w:rFonts w:ascii="Times New Roman" w:eastAsia="Times New Roman" w:hAnsi="Times New Roman" w:cs="Times New Roman"/>
                <w:sz w:val="24"/>
              </w:rPr>
              <w:t xml:space="preserve"> (toliau – partneriai)</w:t>
            </w:r>
            <w:r w:rsidR="006C519C">
              <w:rPr>
                <w:rFonts w:ascii="Times New Roman" w:eastAsia="Times New Roman" w:hAnsi="Times New Roman" w:cs="Times New Roman"/>
                <w:sz w:val="24"/>
              </w:rPr>
              <w:t xml:space="preserve"> įtraukimui į ES</w:t>
            </w:r>
            <w:r w:rsidR="0033204A">
              <w:rPr>
                <w:rFonts w:ascii="Times New Roman" w:eastAsia="Times New Roman" w:hAnsi="Times New Roman" w:cs="Times New Roman"/>
                <w:sz w:val="24"/>
              </w:rPr>
              <w:t xml:space="preserve"> struktūrinių</w:t>
            </w:r>
            <w:r w:rsidR="006C519C">
              <w:rPr>
                <w:rFonts w:ascii="Times New Roman" w:eastAsia="Times New Roman" w:hAnsi="Times New Roman" w:cs="Times New Roman"/>
                <w:sz w:val="24"/>
              </w:rPr>
              <w:t xml:space="preserve"> fondų komunikacijos procesą</w:t>
            </w:r>
            <w:r w:rsidR="0006384D">
              <w:rPr>
                <w:rFonts w:ascii="Times New Roman" w:eastAsia="Times New Roman" w:hAnsi="Times New Roman" w:cs="Times New Roman"/>
                <w:sz w:val="24"/>
              </w:rPr>
              <w:t xml:space="preserve"> ir</w:t>
            </w:r>
            <w:r w:rsidR="00A10AFB">
              <w:rPr>
                <w:rFonts w:ascii="Times New Roman" w:eastAsia="Times New Roman" w:hAnsi="Times New Roman" w:cs="Times New Roman"/>
                <w:sz w:val="24"/>
              </w:rPr>
              <w:t xml:space="preserve"> </w:t>
            </w:r>
            <w:r w:rsidR="005B365F">
              <w:rPr>
                <w:rFonts w:ascii="Times New Roman" w:eastAsia="Times New Roman" w:hAnsi="Times New Roman" w:cs="Times New Roman"/>
                <w:sz w:val="24"/>
              </w:rPr>
              <w:t xml:space="preserve">12.1 </w:t>
            </w:r>
            <w:r w:rsidR="00A10AFB">
              <w:rPr>
                <w:rFonts w:ascii="Times New Roman" w:eastAsia="Times New Roman" w:hAnsi="Times New Roman" w:cs="Times New Roman"/>
                <w:sz w:val="24"/>
              </w:rPr>
              <w:t>uždavinio veikl</w:t>
            </w:r>
            <w:r w:rsidR="0006384D">
              <w:rPr>
                <w:rFonts w:ascii="Times New Roman" w:eastAsia="Times New Roman" w:hAnsi="Times New Roman" w:cs="Times New Roman"/>
                <w:sz w:val="24"/>
              </w:rPr>
              <w:t>ų vykdymą</w:t>
            </w:r>
            <w:r w:rsidR="00344866">
              <w:rPr>
                <w:rFonts w:ascii="Times New Roman" w:eastAsia="Times New Roman" w:hAnsi="Times New Roman" w:cs="Times New Roman"/>
                <w:sz w:val="24"/>
              </w:rPr>
              <w:t>, siekiant skatinti didesnį pasitikėjimą ES</w:t>
            </w:r>
            <w:r w:rsidR="0033204A">
              <w:rPr>
                <w:rFonts w:ascii="Times New Roman" w:eastAsia="Times New Roman" w:hAnsi="Times New Roman" w:cs="Times New Roman"/>
                <w:sz w:val="24"/>
              </w:rPr>
              <w:t xml:space="preserve"> struktūrinių</w:t>
            </w:r>
            <w:r w:rsidR="00344866">
              <w:rPr>
                <w:rFonts w:ascii="Times New Roman" w:eastAsia="Times New Roman" w:hAnsi="Times New Roman" w:cs="Times New Roman"/>
                <w:sz w:val="24"/>
              </w:rPr>
              <w:t xml:space="preserve"> fondų sistemos efektyvumu ir skaidrumu. Įgyvendinus Priemonę, tikimasi </w:t>
            </w:r>
            <w:r w:rsidR="00344866" w:rsidRPr="00DE1488">
              <w:rPr>
                <w:rFonts w:ascii="Times New Roman" w:eastAsia="Times New Roman" w:hAnsi="Times New Roman" w:cs="Times New Roman"/>
                <w:sz w:val="24"/>
                <w:szCs w:val="24"/>
              </w:rPr>
              <w:t>pasiekti gilesnį visuomenės supratimą apie ES investicijas Lietuvoje, kad gyventojai galėtų suprasti ir įvertinti, kaip ES investicijos padeda siekti svarbių teigiamų socialinių ir ekonominių pokyčių šalyje ir prisideda prie europietiškos gyventojų gyvenimo kokybės užtikrinimo</w:t>
            </w:r>
            <w:r w:rsidR="000F27BC">
              <w:rPr>
                <w:rFonts w:ascii="Times New Roman" w:eastAsia="Times New Roman" w:hAnsi="Times New Roman" w:cs="Times New Roman"/>
                <w:sz w:val="24"/>
                <w:szCs w:val="24"/>
              </w:rPr>
              <w:t>.</w:t>
            </w:r>
            <w:r w:rsidR="00344866">
              <w:rPr>
                <w:rFonts w:ascii="Times New Roman" w:eastAsia="Times New Roman" w:hAnsi="Times New Roman" w:cs="Times New Roman"/>
                <w:sz w:val="24"/>
              </w:rPr>
              <w:t xml:space="preserve"> </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Priemonės atitiktis strateginio planavimo dokumentų nuostatoms</w:t>
            </w:r>
          </w:p>
        </w:tc>
        <w:tc>
          <w:tcPr>
            <w:tcW w:w="6952" w:type="dxa"/>
            <w:gridSpan w:val="2"/>
          </w:tcPr>
          <w:p w:rsidR="004B24B7" w:rsidRPr="00F2090B" w:rsidRDefault="00191E48" w:rsidP="00B007DA">
            <w:pPr>
              <w:pStyle w:val="prastasis1"/>
              <w:tabs>
                <w:tab w:val="left" w:pos="567"/>
              </w:tabs>
              <w:spacing w:after="200"/>
              <w:jc w:val="both"/>
              <w:rPr>
                <w:rFonts w:ascii="Times New Roman" w:eastAsia="Times New Roman" w:hAnsi="Times New Roman" w:cs="Times New Roman"/>
                <w:sz w:val="24"/>
              </w:rPr>
            </w:pPr>
            <w:r>
              <w:rPr>
                <w:rFonts w:ascii="Times New Roman" w:eastAsia="Times New Roman" w:hAnsi="Times New Roman" w:cs="Times New Roman"/>
                <w:sz w:val="24"/>
              </w:rPr>
              <w:t xml:space="preserve">Priemonė atitinka </w:t>
            </w:r>
            <w:r w:rsidR="006C519C">
              <w:rPr>
                <w:rFonts w:ascii="Times New Roman" w:eastAsia="Times New Roman" w:hAnsi="Times New Roman" w:cs="Times New Roman"/>
                <w:sz w:val="24"/>
              </w:rPr>
              <w:t>2014</w:t>
            </w:r>
            <w:r>
              <w:rPr>
                <w:rFonts w:ascii="Times New Roman" w:eastAsia="Times New Roman" w:hAnsi="Times New Roman" w:cs="Times New Roman"/>
                <w:sz w:val="24"/>
              </w:rPr>
              <w:t>–</w:t>
            </w:r>
            <w:r w:rsidR="006C519C">
              <w:rPr>
                <w:rFonts w:ascii="Times New Roman" w:eastAsia="Times New Roman" w:hAnsi="Times New Roman" w:cs="Times New Roman"/>
                <w:sz w:val="24"/>
              </w:rPr>
              <w:t>2020 m. ES fondų investicijų k</w:t>
            </w:r>
            <w:r w:rsidR="00A10AFB">
              <w:rPr>
                <w:rFonts w:ascii="Times New Roman" w:eastAsia="Times New Roman" w:hAnsi="Times New Roman" w:cs="Times New Roman"/>
                <w:sz w:val="24"/>
              </w:rPr>
              <w:t>omunikacijos strategijos</w:t>
            </w:r>
            <w:r w:rsidR="0033204A">
              <w:rPr>
                <w:rFonts w:ascii="Times New Roman" w:eastAsia="Times New Roman" w:hAnsi="Times New Roman" w:cs="Times New Roman"/>
                <w:sz w:val="24"/>
              </w:rPr>
              <w:t>, kuri patvirti</w:t>
            </w:r>
            <w:r w:rsidR="006310DE">
              <w:rPr>
                <w:rFonts w:ascii="Times New Roman" w:eastAsia="Times New Roman" w:hAnsi="Times New Roman" w:cs="Times New Roman"/>
                <w:sz w:val="24"/>
              </w:rPr>
              <w:t xml:space="preserve">nta </w:t>
            </w:r>
            <w:r w:rsidR="00517D90">
              <w:rPr>
                <w:rFonts w:ascii="Times New Roman" w:eastAsia="Times New Roman" w:hAnsi="Times New Roman" w:cs="Times New Roman"/>
                <w:sz w:val="24"/>
              </w:rPr>
              <w:t>2014–</w:t>
            </w:r>
            <w:r w:rsidR="00B007DA">
              <w:rPr>
                <w:rFonts w:ascii="Times New Roman" w:eastAsia="Times New Roman" w:hAnsi="Times New Roman" w:cs="Times New Roman"/>
                <w:sz w:val="24"/>
              </w:rPr>
              <w:t>2020 metų ES</w:t>
            </w:r>
            <w:r w:rsidR="00517D90">
              <w:rPr>
                <w:rFonts w:ascii="Times New Roman" w:eastAsia="Times New Roman" w:hAnsi="Times New Roman" w:cs="Times New Roman"/>
                <w:sz w:val="24"/>
              </w:rPr>
              <w:t xml:space="preserve"> fondų investicijų veiksmų programos </w:t>
            </w:r>
            <w:proofErr w:type="spellStart"/>
            <w:r w:rsidR="00517D90">
              <w:rPr>
                <w:rFonts w:ascii="Times New Roman" w:eastAsia="Times New Roman" w:hAnsi="Times New Roman" w:cs="Times New Roman"/>
                <w:sz w:val="24"/>
              </w:rPr>
              <w:t>stebėsenos</w:t>
            </w:r>
            <w:proofErr w:type="spellEnd"/>
            <w:r w:rsidR="00517D90">
              <w:rPr>
                <w:rFonts w:ascii="Times New Roman" w:eastAsia="Times New Roman" w:hAnsi="Times New Roman" w:cs="Times New Roman"/>
                <w:sz w:val="24"/>
              </w:rPr>
              <w:t xml:space="preserve"> komiteto </w:t>
            </w:r>
            <w:r w:rsidR="006310DE">
              <w:rPr>
                <w:rFonts w:ascii="Times New Roman" w:eastAsia="Times New Roman" w:hAnsi="Times New Roman" w:cs="Times New Roman"/>
                <w:sz w:val="24"/>
              </w:rPr>
              <w:t xml:space="preserve">2014 m. gruodžio 11 d. </w:t>
            </w:r>
            <w:r w:rsidR="00517D90">
              <w:rPr>
                <w:rFonts w:ascii="Times New Roman" w:eastAsia="Times New Roman" w:hAnsi="Times New Roman" w:cs="Times New Roman"/>
                <w:sz w:val="24"/>
              </w:rPr>
              <w:t>posėdžio nutarimu Nr. 44P-2.1 (2)</w:t>
            </w:r>
            <w:r w:rsidR="00846236">
              <w:rPr>
                <w:rFonts w:ascii="Times New Roman" w:eastAsia="Times New Roman" w:hAnsi="Times New Roman" w:cs="Times New Roman"/>
                <w:sz w:val="24"/>
              </w:rPr>
              <w:t xml:space="preserve"> (toliau – komunikacijos strategija)</w:t>
            </w:r>
            <w:r>
              <w:rPr>
                <w:rFonts w:ascii="Times New Roman" w:eastAsia="Times New Roman" w:hAnsi="Times New Roman" w:cs="Times New Roman"/>
                <w:sz w:val="24"/>
              </w:rPr>
              <w:t>, nuostatas ir jas įgyvendina. Komunikacijos strategijoje</w:t>
            </w:r>
            <w:r w:rsidR="009C3CB6">
              <w:rPr>
                <w:rFonts w:ascii="Times New Roman" w:eastAsia="Times New Roman" w:hAnsi="Times New Roman" w:cs="Times New Roman"/>
                <w:sz w:val="24"/>
              </w:rPr>
              <w:t xml:space="preserve"> numatyta</w:t>
            </w:r>
            <w:r w:rsidR="006C519C">
              <w:rPr>
                <w:rFonts w:ascii="Times New Roman" w:eastAsia="Times New Roman" w:hAnsi="Times New Roman" w:cs="Times New Roman"/>
                <w:sz w:val="24"/>
              </w:rPr>
              <w:t xml:space="preserve"> </w:t>
            </w:r>
            <w:r w:rsidR="009C3CB6">
              <w:rPr>
                <w:rFonts w:ascii="Times New Roman" w:eastAsia="Times New Roman" w:hAnsi="Times New Roman" w:cs="Times New Roman"/>
                <w:sz w:val="24"/>
              </w:rPr>
              <w:t>ko</w:t>
            </w:r>
            <w:r w:rsidR="006C519C">
              <w:rPr>
                <w:rFonts w:ascii="Times New Roman" w:eastAsia="Times New Roman" w:hAnsi="Times New Roman" w:cs="Times New Roman"/>
                <w:sz w:val="24"/>
              </w:rPr>
              <w:t xml:space="preserve">munikacijos įgyvendinimo etape </w:t>
            </w:r>
            <w:r w:rsidR="00484DF8">
              <w:rPr>
                <w:rFonts w:ascii="Times New Roman" w:eastAsia="Times New Roman" w:hAnsi="Times New Roman" w:cs="Times New Roman"/>
                <w:sz w:val="24"/>
              </w:rPr>
              <w:t>–</w:t>
            </w:r>
            <w:r w:rsidR="006C519C">
              <w:rPr>
                <w:rFonts w:ascii="Times New Roman" w:eastAsia="Times New Roman" w:hAnsi="Times New Roman" w:cs="Times New Roman"/>
                <w:sz w:val="24"/>
              </w:rPr>
              <w:t xml:space="preserve"> </w:t>
            </w:r>
            <w:r w:rsidR="009C3CB6">
              <w:rPr>
                <w:rFonts w:ascii="Times New Roman" w:eastAsia="Times New Roman" w:hAnsi="Times New Roman" w:cs="Times New Roman"/>
                <w:sz w:val="24"/>
              </w:rPr>
              <w:t xml:space="preserve"> partnerių įtraukimas į </w:t>
            </w:r>
            <w:r w:rsidR="00517D90">
              <w:rPr>
                <w:rFonts w:ascii="Times New Roman" w:eastAsia="Times New Roman" w:hAnsi="Times New Roman" w:cs="Times New Roman"/>
                <w:sz w:val="24"/>
              </w:rPr>
              <w:t xml:space="preserve"> i</w:t>
            </w:r>
            <w:r w:rsidR="00B007DA">
              <w:rPr>
                <w:rFonts w:ascii="Times New Roman" w:eastAsia="Times New Roman" w:hAnsi="Times New Roman" w:cs="Times New Roman"/>
                <w:sz w:val="24"/>
              </w:rPr>
              <w:t>š ES</w:t>
            </w:r>
            <w:r w:rsidR="00517D90" w:rsidRPr="00517D90">
              <w:rPr>
                <w:rFonts w:ascii="Times New Roman" w:eastAsia="Times New Roman" w:hAnsi="Times New Roman" w:cs="Times New Roman"/>
                <w:sz w:val="24"/>
              </w:rPr>
              <w:t xml:space="preserve"> struktūrinių </w:t>
            </w:r>
            <w:r w:rsidR="00517D90">
              <w:rPr>
                <w:rFonts w:ascii="Times New Roman" w:eastAsia="Times New Roman" w:hAnsi="Times New Roman" w:cs="Times New Roman"/>
                <w:sz w:val="24"/>
              </w:rPr>
              <w:t>fondų lėšų bendrai finansuojamų</w:t>
            </w:r>
            <w:r w:rsidR="00517D90" w:rsidRPr="00517D90">
              <w:rPr>
                <w:rFonts w:ascii="Times New Roman" w:eastAsia="Times New Roman" w:hAnsi="Times New Roman" w:cs="Times New Roman"/>
                <w:sz w:val="24"/>
              </w:rPr>
              <w:t xml:space="preserve"> </w:t>
            </w:r>
            <w:r w:rsidR="00717278">
              <w:rPr>
                <w:rFonts w:ascii="Times New Roman" w:eastAsia="Times New Roman" w:hAnsi="Times New Roman" w:cs="Times New Roman"/>
                <w:sz w:val="24"/>
              </w:rPr>
              <w:t xml:space="preserve">komunikacijos </w:t>
            </w:r>
            <w:r w:rsidR="009C3CB6">
              <w:rPr>
                <w:rFonts w:ascii="Times New Roman" w:eastAsia="Times New Roman" w:hAnsi="Times New Roman" w:cs="Times New Roman"/>
                <w:sz w:val="24"/>
              </w:rPr>
              <w:t>projektų įgyvendinimą</w:t>
            </w:r>
            <w:r w:rsidR="006C519C">
              <w:rPr>
                <w:rFonts w:ascii="Times New Roman" w:eastAsia="Times New Roman" w:hAnsi="Times New Roman" w:cs="Times New Roman"/>
                <w:sz w:val="24"/>
              </w:rPr>
              <w:t>.</w:t>
            </w:r>
            <w:r w:rsidR="000F27BC">
              <w:rPr>
                <w:rFonts w:ascii="Times New Roman" w:eastAsia="Times New Roman" w:hAnsi="Times New Roman" w:cs="Times New Roman"/>
                <w:sz w:val="24"/>
              </w:rPr>
              <w:t xml:space="preserve"> Priemonė priside</w:t>
            </w:r>
            <w:r w:rsidR="00846236">
              <w:rPr>
                <w:rFonts w:ascii="Times New Roman" w:eastAsia="Times New Roman" w:hAnsi="Times New Roman" w:cs="Times New Roman"/>
                <w:sz w:val="24"/>
              </w:rPr>
              <w:t xml:space="preserve">da prie pagrindinio </w:t>
            </w:r>
            <w:r w:rsidR="00AE3DB8">
              <w:rPr>
                <w:rFonts w:ascii="Times New Roman" w:eastAsia="Times New Roman" w:hAnsi="Times New Roman" w:cs="Times New Roman"/>
                <w:sz w:val="24"/>
              </w:rPr>
              <w:t>k</w:t>
            </w:r>
            <w:r w:rsidR="00846236">
              <w:rPr>
                <w:rFonts w:ascii="Times New Roman" w:eastAsia="Times New Roman" w:hAnsi="Times New Roman" w:cs="Times New Roman"/>
                <w:sz w:val="24"/>
              </w:rPr>
              <w:t>omunikacijos strategijoje numatyto komunikacijos tikslo įgyvendinimo, t.</w:t>
            </w:r>
            <w:r w:rsidR="00517D90">
              <w:rPr>
                <w:rFonts w:ascii="Times New Roman" w:eastAsia="Times New Roman" w:hAnsi="Times New Roman" w:cs="Times New Roman"/>
                <w:sz w:val="24"/>
              </w:rPr>
              <w:t xml:space="preserve"> </w:t>
            </w:r>
            <w:r w:rsidR="00846236">
              <w:rPr>
                <w:rFonts w:ascii="Times New Roman" w:eastAsia="Times New Roman" w:hAnsi="Times New Roman" w:cs="Times New Roman"/>
                <w:sz w:val="24"/>
              </w:rPr>
              <w:t>y. prisid</w:t>
            </w:r>
            <w:r>
              <w:rPr>
                <w:rFonts w:ascii="Times New Roman" w:eastAsia="Times New Roman" w:hAnsi="Times New Roman" w:cs="Times New Roman"/>
                <w:sz w:val="24"/>
              </w:rPr>
              <w:t>eda</w:t>
            </w:r>
            <w:r w:rsidR="00846236">
              <w:rPr>
                <w:rFonts w:ascii="Times New Roman" w:eastAsia="Times New Roman" w:hAnsi="Times New Roman" w:cs="Times New Roman"/>
                <w:sz w:val="24"/>
              </w:rPr>
              <w:t xml:space="preserve"> prie 2014</w:t>
            </w:r>
            <w:r w:rsidR="00717278">
              <w:rPr>
                <w:rFonts w:ascii="Times New Roman" w:eastAsia="Times New Roman" w:hAnsi="Times New Roman" w:cs="Times New Roman"/>
                <w:sz w:val="24"/>
              </w:rPr>
              <w:t>–</w:t>
            </w:r>
            <w:r w:rsidR="00846236">
              <w:rPr>
                <w:rFonts w:ascii="Times New Roman" w:eastAsia="Times New Roman" w:hAnsi="Times New Roman" w:cs="Times New Roman"/>
                <w:sz w:val="24"/>
              </w:rPr>
              <w:t>2020 m. ES</w:t>
            </w:r>
            <w:r w:rsidR="00717278">
              <w:rPr>
                <w:rFonts w:ascii="Times New Roman" w:eastAsia="Times New Roman" w:hAnsi="Times New Roman" w:cs="Times New Roman"/>
                <w:sz w:val="24"/>
              </w:rPr>
              <w:t xml:space="preserve"> fondų</w:t>
            </w:r>
            <w:r w:rsidR="00846236">
              <w:rPr>
                <w:rFonts w:ascii="Times New Roman" w:eastAsia="Times New Roman" w:hAnsi="Times New Roman" w:cs="Times New Roman"/>
                <w:sz w:val="24"/>
              </w:rPr>
              <w:t xml:space="preserve"> investicijų veiksmų programoje</w:t>
            </w:r>
            <w:r w:rsidR="00717278">
              <w:rPr>
                <w:rFonts w:ascii="Times New Roman" w:eastAsia="Times New Roman" w:hAnsi="Times New Roman" w:cs="Times New Roman"/>
                <w:sz w:val="24"/>
              </w:rPr>
              <w:t xml:space="preserve"> (toliau – veiksmų programa)</w:t>
            </w:r>
            <w:r w:rsidR="00846236">
              <w:rPr>
                <w:rFonts w:ascii="Times New Roman" w:eastAsia="Times New Roman" w:hAnsi="Times New Roman" w:cs="Times New Roman"/>
                <w:sz w:val="24"/>
              </w:rPr>
              <w:t xml:space="preserve"> numatytų socialinių ir ekonominių pokyčių įgyvendinimo.</w:t>
            </w:r>
            <w:r w:rsidR="00A10AFB">
              <w:rPr>
                <w:rFonts w:ascii="Times New Roman" w:eastAsia="Times New Roman" w:hAnsi="Times New Roman" w:cs="Times New Roman"/>
                <w:sz w:val="24"/>
              </w:rPr>
              <w:t xml:space="preserve"> </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Išankstinių (</w:t>
            </w:r>
            <w:proofErr w:type="spellStart"/>
            <w:r>
              <w:rPr>
                <w:rFonts w:ascii="Times New Roman" w:eastAsia="Times New Roman" w:hAnsi="Times New Roman" w:cs="Times New Roman"/>
                <w:i/>
                <w:sz w:val="24"/>
              </w:rPr>
              <w:t>ex</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ante</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sąlygų įvykdymas</w:t>
            </w:r>
          </w:p>
          <w:p w:rsidR="004B24B7" w:rsidRDefault="00A10AFB">
            <w:pPr>
              <w:pStyle w:val="prastasis1"/>
              <w:tabs>
                <w:tab w:val="left" w:pos="567"/>
              </w:tabs>
            </w:pPr>
            <w:r>
              <w:rPr>
                <w:rFonts w:ascii="Times New Roman" w:eastAsia="Times New Roman" w:hAnsi="Times New Roman" w:cs="Times New Roman"/>
                <w:sz w:val="24"/>
              </w:rPr>
              <w:t>(jei taikoma)</w:t>
            </w:r>
          </w:p>
        </w:tc>
        <w:tc>
          <w:tcPr>
            <w:tcW w:w="6952" w:type="dxa"/>
            <w:gridSpan w:val="2"/>
          </w:tcPr>
          <w:p w:rsidR="004B24B7" w:rsidRDefault="00A10AFB">
            <w:pPr>
              <w:pStyle w:val="prastasis1"/>
              <w:tabs>
                <w:tab w:val="left" w:pos="567"/>
              </w:tabs>
              <w:jc w:val="both"/>
            </w:pPr>
            <w:r>
              <w:rPr>
                <w:rFonts w:ascii="Times New Roman" w:eastAsia="Times New Roman" w:hAnsi="Times New Roman" w:cs="Times New Roman"/>
                <w:sz w:val="24"/>
              </w:rPr>
              <w:t>Netaikoma.</w:t>
            </w:r>
          </w:p>
        </w:tc>
      </w:tr>
      <w:tr w:rsidR="004B24B7" w:rsidTr="00C02C24">
        <w:trPr>
          <w:trHeight w:val="416"/>
        </w:trPr>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 xml:space="preserve">Priemonės tikslingumas, tinkamumas ir tęstinumas, atsižvelgiant į vertinimų  išvadas </w:t>
            </w:r>
          </w:p>
        </w:tc>
        <w:tc>
          <w:tcPr>
            <w:tcW w:w="6952" w:type="dxa"/>
            <w:gridSpan w:val="2"/>
          </w:tcPr>
          <w:p w:rsidR="004B24B7" w:rsidRDefault="00A10AFB">
            <w:pPr>
              <w:pStyle w:val="prastasis1"/>
              <w:spacing w:after="200"/>
              <w:jc w:val="both"/>
              <w:rPr>
                <w:rFonts w:ascii="Times New Roman" w:eastAsia="Times New Roman" w:hAnsi="Times New Roman" w:cs="Times New Roman"/>
                <w:sz w:val="24"/>
                <w:szCs w:val="24"/>
              </w:rPr>
            </w:pPr>
            <w:r w:rsidRPr="00DE6F21">
              <w:rPr>
                <w:rFonts w:ascii="Times New Roman" w:eastAsia="Times New Roman" w:hAnsi="Times New Roman" w:cs="Times New Roman"/>
                <w:sz w:val="24"/>
                <w:szCs w:val="24"/>
              </w:rPr>
              <w:t xml:space="preserve">Galimybė iš techninės paramos lėšų finansuoti informavimo ir komunikacijos veiksmus numatyta 2013 m. gruodžio 17 d. Europos Parlamento ir Tarybos reglamento (ES) Nr. 1303/2013, kuriuo nustatomos Europos regioninės plėtros fondui, Europos socialinio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w:t>
            </w:r>
            <w:r w:rsidR="006D2DEC">
              <w:rPr>
                <w:rFonts w:ascii="Times New Roman" w:eastAsia="Times New Roman" w:hAnsi="Times New Roman" w:cs="Times New Roman"/>
                <w:sz w:val="24"/>
                <w:szCs w:val="24"/>
              </w:rPr>
              <w:t xml:space="preserve"> </w:t>
            </w:r>
            <w:r w:rsidRPr="00DE6F21">
              <w:rPr>
                <w:rFonts w:ascii="Times New Roman" w:eastAsia="Times New Roman" w:hAnsi="Times New Roman" w:cs="Times New Roman"/>
                <w:sz w:val="24"/>
                <w:szCs w:val="24"/>
              </w:rPr>
              <w:t xml:space="preserve">(toliau – Reglamentas Nr. 1303/2013) 59 straipsnio „Techninė parama valstybių narių </w:t>
            </w:r>
            <w:r w:rsidRPr="00DE6F21">
              <w:rPr>
                <w:rFonts w:ascii="Times New Roman" w:eastAsia="Times New Roman" w:hAnsi="Times New Roman" w:cs="Times New Roman"/>
                <w:sz w:val="24"/>
                <w:szCs w:val="24"/>
              </w:rPr>
              <w:lastRenderedPageBreak/>
              <w:t xml:space="preserve">iniciatyva“ 1 dalyje. </w:t>
            </w:r>
          </w:p>
          <w:p w:rsidR="006C519C" w:rsidRPr="00DE6F21" w:rsidRDefault="006C519C">
            <w:pPr>
              <w:pStyle w:val="prastasis1"/>
              <w:spacing w:after="200"/>
              <w:jc w:val="both"/>
              <w:rPr>
                <w:rFonts w:ascii="Times New Roman" w:hAnsi="Times New Roman" w:cs="Times New Roman"/>
                <w:sz w:val="24"/>
                <w:szCs w:val="24"/>
              </w:rPr>
            </w:pPr>
            <w:r>
              <w:rPr>
                <w:rFonts w:ascii="Times New Roman" w:eastAsia="Times New Roman" w:hAnsi="Times New Roman" w:cs="Times New Roman"/>
                <w:sz w:val="24"/>
                <w:szCs w:val="24"/>
              </w:rPr>
              <w:t>Reglamento Nr. 1303/2013</w:t>
            </w:r>
            <w:r w:rsidR="00BA61CF">
              <w:rPr>
                <w:rFonts w:ascii="Times New Roman" w:eastAsia="Times New Roman" w:hAnsi="Times New Roman" w:cs="Times New Roman"/>
                <w:sz w:val="24"/>
                <w:szCs w:val="24"/>
              </w:rPr>
              <w:t xml:space="preserve"> XII priedo </w:t>
            </w:r>
            <w:r w:rsidR="00BA61CF">
              <w:rPr>
                <w:rFonts w:ascii="Times New Roman" w:hAnsi="Times New Roman" w:cs="Times New Roman"/>
                <w:sz w:val="24"/>
                <w:szCs w:val="24"/>
              </w:rPr>
              <w:t>2 dalies 3 punkte n</w:t>
            </w:r>
            <w:r w:rsidR="00853864">
              <w:rPr>
                <w:rFonts w:ascii="Times New Roman" w:hAnsi="Times New Roman" w:cs="Times New Roman"/>
                <w:sz w:val="24"/>
                <w:szCs w:val="24"/>
              </w:rPr>
              <w:t>umatyta</w:t>
            </w:r>
            <w:r w:rsidR="00BA61CF">
              <w:rPr>
                <w:rFonts w:ascii="Times New Roman" w:hAnsi="Times New Roman" w:cs="Times New Roman"/>
                <w:sz w:val="24"/>
                <w:szCs w:val="24"/>
              </w:rPr>
              <w:t>, kad į informavimo ir komunikacijos priemonių įgyvendinimo veiklą vadovaujančioji institucija atitinkamais atvejais pagal nacionalinius įstatymus ir praktiką įtraukia šiuos subjektus</w:t>
            </w:r>
            <w:r w:rsidR="00853864">
              <w:rPr>
                <w:rFonts w:ascii="Times New Roman" w:hAnsi="Times New Roman" w:cs="Times New Roman"/>
                <w:sz w:val="24"/>
                <w:szCs w:val="24"/>
              </w:rPr>
              <w:t>: kompetentingas miesto ir kitos valdžios institucijas;</w:t>
            </w:r>
            <w:r w:rsidR="00110589">
              <w:rPr>
                <w:rFonts w:ascii="Times New Roman" w:hAnsi="Times New Roman" w:cs="Times New Roman"/>
                <w:sz w:val="24"/>
                <w:szCs w:val="24"/>
              </w:rPr>
              <w:t xml:space="preserve"> ekonominius ir socialinius partnerius</w:t>
            </w:r>
            <w:r w:rsidR="00853864">
              <w:rPr>
                <w:rFonts w:ascii="Times New Roman" w:hAnsi="Times New Roman" w:cs="Times New Roman"/>
                <w:sz w:val="24"/>
                <w:szCs w:val="24"/>
              </w:rPr>
              <w:t>;</w:t>
            </w:r>
            <w:r w:rsidR="00110589">
              <w:rPr>
                <w:rFonts w:ascii="Times New Roman" w:hAnsi="Times New Roman" w:cs="Times New Roman"/>
                <w:sz w:val="24"/>
                <w:szCs w:val="24"/>
              </w:rPr>
              <w:t xml:space="preserve"> atitinkamus subjektus, atstovaujančius</w:t>
            </w:r>
            <w:r w:rsidR="00853864">
              <w:rPr>
                <w:rFonts w:ascii="Times New Roman" w:hAnsi="Times New Roman" w:cs="Times New Roman"/>
                <w:sz w:val="24"/>
                <w:szCs w:val="24"/>
              </w:rPr>
              <w:t xml:space="preserve"> pilietinei visuomenei, įskaitant aplinkosaugos partnerius, nevyriausybines organizacijas ir subjektus, atsakingus už socialinės įtrauktiems, lyčių lygybės ir nediskriminavimo skatini</w:t>
            </w:r>
            <w:r w:rsidR="00110589">
              <w:rPr>
                <w:rFonts w:ascii="Times New Roman" w:hAnsi="Times New Roman" w:cs="Times New Roman"/>
                <w:sz w:val="24"/>
                <w:szCs w:val="24"/>
              </w:rPr>
              <w:t>mą; Europos informacijos centrus</w:t>
            </w:r>
            <w:r w:rsidR="00853864">
              <w:rPr>
                <w:rFonts w:ascii="Times New Roman" w:hAnsi="Times New Roman" w:cs="Times New Roman"/>
                <w:sz w:val="24"/>
                <w:szCs w:val="24"/>
              </w:rPr>
              <w:t>, ta</w:t>
            </w:r>
            <w:r w:rsidR="00110589">
              <w:rPr>
                <w:rFonts w:ascii="Times New Roman" w:hAnsi="Times New Roman" w:cs="Times New Roman"/>
                <w:sz w:val="24"/>
                <w:szCs w:val="24"/>
              </w:rPr>
              <w:t>ip pat Komisijos atstovybes ir Europos Parlamento biurus</w:t>
            </w:r>
            <w:r w:rsidR="00853864">
              <w:rPr>
                <w:rFonts w:ascii="Times New Roman" w:hAnsi="Times New Roman" w:cs="Times New Roman"/>
                <w:sz w:val="24"/>
                <w:szCs w:val="24"/>
              </w:rPr>
              <w:t xml:space="preserve">; švietimo ir </w:t>
            </w:r>
            <w:r w:rsidR="00110589">
              <w:rPr>
                <w:rFonts w:ascii="Times New Roman" w:hAnsi="Times New Roman" w:cs="Times New Roman"/>
                <w:sz w:val="24"/>
                <w:szCs w:val="24"/>
              </w:rPr>
              <w:t>mokslinių tyrimų institucija</w:t>
            </w:r>
            <w:r w:rsidR="00853864">
              <w:rPr>
                <w:rFonts w:ascii="Times New Roman" w:hAnsi="Times New Roman" w:cs="Times New Roman"/>
                <w:sz w:val="24"/>
                <w:szCs w:val="24"/>
              </w:rPr>
              <w:t>s</w:t>
            </w:r>
            <w:r w:rsidR="00110589">
              <w:rPr>
                <w:rFonts w:ascii="Times New Roman" w:hAnsi="Times New Roman" w:cs="Times New Roman"/>
                <w:sz w:val="24"/>
                <w:szCs w:val="24"/>
              </w:rPr>
              <w:t>.</w:t>
            </w:r>
          </w:p>
          <w:p w:rsidR="001B7E76" w:rsidRDefault="00A10AFB">
            <w:pPr>
              <w:pStyle w:val="prastasis1"/>
              <w:spacing w:after="200"/>
              <w:jc w:val="both"/>
              <w:rPr>
                <w:rFonts w:ascii="Times New Roman" w:eastAsia="Times New Roman" w:hAnsi="Times New Roman" w:cs="Times New Roman"/>
                <w:sz w:val="24"/>
                <w:szCs w:val="24"/>
              </w:rPr>
            </w:pPr>
            <w:r w:rsidRPr="00DE6F21">
              <w:rPr>
                <w:rFonts w:ascii="Times New Roman" w:eastAsia="Times New Roman" w:hAnsi="Times New Roman" w:cs="Times New Roman"/>
                <w:sz w:val="24"/>
                <w:szCs w:val="24"/>
              </w:rPr>
              <w:t xml:space="preserve">Priemonę tikslinga įgyvendinti, nes jos įgyvendinimas </w:t>
            </w:r>
            <w:r w:rsidR="00110589">
              <w:rPr>
                <w:rFonts w:ascii="Times New Roman" w:eastAsia="Times New Roman" w:hAnsi="Times New Roman" w:cs="Times New Roman"/>
                <w:sz w:val="24"/>
                <w:szCs w:val="24"/>
              </w:rPr>
              <w:t>prisideda prie</w:t>
            </w:r>
            <w:r w:rsidRPr="00DE6F21">
              <w:rPr>
                <w:rFonts w:ascii="Times New Roman" w:eastAsia="Times New Roman" w:hAnsi="Times New Roman" w:cs="Times New Roman"/>
                <w:sz w:val="24"/>
                <w:szCs w:val="24"/>
              </w:rPr>
              <w:t xml:space="preserve"> veiksmų programos 12.1 uždavinio tikslo pasiekim</w:t>
            </w:r>
            <w:r w:rsidR="00110589">
              <w:rPr>
                <w:rFonts w:ascii="Times New Roman" w:eastAsia="Times New Roman" w:hAnsi="Times New Roman" w:cs="Times New Roman"/>
                <w:sz w:val="24"/>
                <w:szCs w:val="24"/>
              </w:rPr>
              <w:t>o</w:t>
            </w:r>
            <w:r w:rsidR="0081005D">
              <w:rPr>
                <w:rFonts w:ascii="Times New Roman" w:eastAsia="Times New Roman" w:hAnsi="Times New Roman" w:cs="Times New Roman"/>
                <w:sz w:val="24"/>
                <w:szCs w:val="24"/>
              </w:rPr>
              <w:t xml:space="preserve"> – gilesnio visuomenės supratimo apie ES investicijas Lietuvoje</w:t>
            </w:r>
            <w:r w:rsidR="0071235D">
              <w:rPr>
                <w:rFonts w:ascii="Times New Roman" w:eastAsia="Times New Roman" w:hAnsi="Times New Roman" w:cs="Times New Roman"/>
                <w:sz w:val="24"/>
                <w:szCs w:val="24"/>
              </w:rPr>
              <w:t>, t.</w:t>
            </w:r>
            <w:r w:rsidR="00523931">
              <w:rPr>
                <w:rFonts w:ascii="Times New Roman" w:eastAsia="Times New Roman" w:hAnsi="Times New Roman" w:cs="Times New Roman"/>
                <w:sz w:val="24"/>
                <w:szCs w:val="24"/>
              </w:rPr>
              <w:t xml:space="preserve"> </w:t>
            </w:r>
            <w:r w:rsidR="0071235D">
              <w:rPr>
                <w:rFonts w:ascii="Times New Roman" w:eastAsia="Times New Roman" w:hAnsi="Times New Roman" w:cs="Times New Roman"/>
                <w:sz w:val="24"/>
                <w:szCs w:val="24"/>
              </w:rPr>
              <w:t>y.</w:t>
            </w:r>
            <w:r w:rsidR="00F237D8">
              <w:rPr>
                <w:rFonts w:ascii="Times New Roman" w:eastAsia="Times New Roman" w:hAnsi="Times New Roman" w:cs="Times New Roman"/>
                <w:sz w:val="24"/>
                <w:szCs w:val="24"/>
              </w:rPr>
              <w:t>,</w:t>
            </w:r>
            <w:r w:rsidR="0071235D">
              <w:rPr>
                <w:rFonts w:ascii="Times New Roman" w:eastAsia="Times New Roman" w:hAnsi="Times New Roman" w:cs="Times New Roman"/>
                <w:sz w:val="24"/>
                <w:szCs w:val="24"/>
              </w:rPr>
              <w:t xml:space="preserve"> kad</w:t>
            </w:r>
            <w:r w:rsidR="0081005D">
              <w:rPr>
                <w:rFonts w:ascii="Times New Roman" w:eastAsia="Times New Roman" w:hAnsi="Times New Roman" w:cs="Times New Roman"/>
                <w:sz w:val="24"/>
                <w:szCs w:val="24"/>
              </w:rPr>
              <w:t xml:space="preserve"> gyventojai galėtų suprasti ir įvertinti, kaip ES investicijos padeda siekti svarbių teigiamų socialinių ir ekonominių pokyčių šalyje ir prisideda prie europietiškos gyventojų kokybės užtikrinimo.</w:t>
            </w:r>
            <w:r w:rsidR="00F2090B">
              <w:rPr>
                <w:rFonts w:ascii="Times New Roman" w:eastAsia="Times New Roman" w:hAnsi="Times New Roman" w:cs="Times New Roman"/>
                <w:sz w:val="24"/>
                <w:szCs w:val="24"/>
              </w:rPr>
              <w:t xml:space="preserve"> </w:t>
            </w:r>
            <w:r w:rsidR="0071235D">
              <w:rPr>
                <w:rFonts w:ascii="Times New Roman" w:eastAsia="Times New Roman" w:hAnsi="Times New Roman" w:cs="Times New Roman"/>
                <w:sz w:val="24"/>
                <w:szCs w:val="24"/>
              </w:rPr>
              <w:t>2014</w:t>
            </w:r>
            <w:r w:rsidR="00523931">
              <w:rPr>
                <w:rFonts w:ascii="Times New Roman" w:eastAsia="Times New Roman" w:hAnsi="Times New Roman" w:cs="Times New Roman"/>
                <w:sz w:val="24"/>
                <w:szCs w:val="24"/>
              </w:rPr>
              <w:t xml:space="preserve"> –</w:t>
            </w:r>
            <w:r w:rsidR="0071235D">
              <w:rPr>
                <w:rFonts w:ascii="Times New Roman" w:eastAsia="Times New Roman" w:hAnsi="Times New Roman" w:cs="Times New Roman"/>
                <w:sz w:val="24"/>
                <w:szCs w:val="24"/>
              </w:rPr>
              <w:t>2020 m. programavim</w:t>
            </w:r>
            <w:r w:rsidR="00E73608">
              <w:rPr>
                <w:rFonts w:ascii="Times New Roman" w:eastAsia="Times New Roman" w:hAnsi="Times New Roman" w:cs="Times New Roman"/>
                <w:sz w:val="24"/>
                <w:szCs w:val="24"/>
              </w:rPr>
              <w:t xml:space="preserve">o laikotarpiu didelis dėmesys </w:t>
            </w:r>
            <w:r w:rsidR="0071235D">
              <w:rPr>
                <w:rFonts w:ascii="Times New Roman" w:eastAsia="Times New Roman" w:hAnsi="Times New Roman" w:cs="Times New Roman"/>
                <w:sz w:val="24"/>
                <w:szCs w:val="24"/>
              </w:rPr>
              <w:t xml:space="preserve"> skiriamas  </w:t>
            </w:r>
            <w:r w:rsidR="00F409B8">
              <w:rPr>
                <w:rFonts w:ascii="Times New Roman" w:eastAsia="Times New Roman" w:hAnsi="Times New Roman" w:cs="Times New Roman"/>
                <w:sz w:val="24"/>
                <w:szCs w:val="24"/>
              </w:rPr>
              <w:t>partnerių, nurodytų</w:t>
            </w:r>
            <w:r w:rsidR="009F6911">
              <w:t xml:space="preserve"> </w:t>
            </w:r>
            <w:r w:rsidR="009F6911" w:rsidRPr="009F6911">
              <w:rPr>
                <w:rFonts w:ascii="Times New Roman" w:eastAsia="Times New Roman" w:hAnsi="Times New Roman" w:cs="Times New Roman"/>
                <w:sz w:val="24"/>
                <w:szCs w:val="24"/>
              </w:rPr>
              <w:t xml:space="preserve">Reglamento Nr. 1303/2013 </w:t>
            </w:r>
            <w:r w:rsidR="009F6911">
              <w:rPr>
                <w:rFonts w:ascii="Times New Roman" w:eastAsia="Times New Roman" w:hAnsi="Times New Roman" w:cs="Times New Roman"/>
                <w:sz w:val="24"/>
                <w:szCs w:val="24"/>
              </w:rPr>
              <w:t>5 straipsnio 1 dalyje</w:t>
            </w:r>
            <w:r w:rsidR="0071235D">
              <w:rPr>
                <w:rFonts w:ascii="Times New Roman" w:eastAsia="Times New Roman" w:hAnsi="Times New Roman" w:cs="Times New Roman"/>
                <w:sz w:val="24"/>
                <w:szCs w:val="24"/>
              </w:rPr>
              <w:t xml:space="preserve">  įtraukimui į ES</w:t>
            </w:r>
            <w:r w:rsidR="00523931">
              <w:rPr>
                <w:rFonts w:ascii="Times New Roman" w:eastAsia="Times New Roman" w:hAnsi="Times New Roman" w:cs="Times New Roman"/>
                <w:sz w:val="24"/>
                <w:szCs w:val="24"/>
              </w:rPr>
              <w:t xml:space="preserve"> struktūrinių</w:t>
            </w:r>
            <w:r w:rsidR="0071235D">
              <w:rPr>
                <w:rFonts w:ascii="Times New Roman" w:eastAsia="Times New Roman" w:hAnsi="Times New Roman" w:cs="Times New Roman"/>
                <w:sz w:val="24"/>
                <w:szCs w:val="24"/>
              </w:rPr>
              <w:t xml:space="preserve"> fondų komunikacijos procesą</w:t>
            </w:r>
            <w:r w:rsidR="00F2090B">
              <w:rPr>
                <w:rFonts w:ascii="Times New Roman" w:eastAsia="Times New Roman" w:hAnsi="Times New Roman" w:cs="Times New Roman"/>
                <w:sz w:val="24"/>
                <w:szCs w:val="24"/>
              </w:rPr>
              <w:t>.</w:t>
            </w:r>
            <w:r w:rsidR="009F6911">
              <w:rPr>
                <w:rFonts w:ascii="Times New Roman" w:eastAsia="Times New Roman" w:hAnsi="Times New Roman" w:cs="Times New Roman"/>
                <w:sz w:val="24"/>
                <w:szCs w:val="24"/>
              </w:rPr>
              <w:t xml:space="preserve"> </w:t>
            </w:r>
            <w:r w:rsidR="00F2090B">
              <w:rPr>
                <w:rFonts w:ascii="Times New Roman" w:eastAsia="Times New Roman" w:hAnsi="Times New Roman" w:cs="Times New Roman"/>
                <w:sz w:val="24"/>
                <w:szCs w:val="24"/>
              </w:rPr>
              <w:t>N</w:t>
            </w:r>
            <w:r w:rsidR="00F409B8">
              <w:rPr>
                <w:rFonts w:ascii="Times New Roman" w:eastAsia="Times New Roman" w:hAnsi="Times New Roman" w:cs="Times New Roman"/>
                <w:sz w:val="24"/>
                <w:szCs w:val="24"/>
              </w:rPr>
              <w:t xml:space="preserve">evyriausybinės organizacijos savo veikla siekia pokyčių tam tikrose aiškiai apibrėžtose viešosios politikos srityse, tokiose, kaip pavyzdžiui aplinkosauga, sveikatos apsauga, žmogaus teisės ir </w:t>
            </w:r>
            <w:proofErr w:type="spellStart"/>
            <w:r w:rsidR="00F409B8">
              <w:rPr>
                <w:rFonts w:ascii="Times New Roman" w:eastAsia="Times New Roman" w:hAnsi="Times New Roman" w:cs="Times New Roman"/>
                <w:sz w:val="24"/>
                <w:szCs w:val="24"/>
              </w:rPr>
              <w:t>pan</w:t>
            </w:r>
            <w:proofErr w:type="spellEnd"/>
            <w:r w:rsidR="00F409B8">
              <w:rPr>
                <w:rFonts w:ascii="Times New Roman" w:eastAsia="Times New Roman" w:hAnsi="Times New Roman" w:cs="Times New Roman"/>
                <w:sz w:val="24"/>
                <w:szCs w:val="24"/>
              </w:rPr>
              <w:t>, kuriose pokyčio siekiama ir ES investicijomis. Kai kurios nevyriausybinės organizacijos siekia bendro viešosios politikos įgyvendinimo tobulinimo, pavyzdžiui korupcijos prevencijos, skaidrumo ir pan. Šios kompetencijos galėtų padėti gyventojams aiškinti ES investicijų tikslus ir naudą. Be to, dalis gyventojų labiau pasitiki nevyriausybinėmis organizacijomis nei viešojo sektoriaus institucijomis, todėl ES investicijų logikos ir naudos viešinimas</w:t>
            </w:r>
            <w:r w:rsidR="00C310C1">
              <w:rPr>
                <w:rFonts w:ascii="Times New Roman" w:eastAsia="Times New Roman" w:hAnsi="Times New Roman" w:cs="Times New Roman"/>
                <w:sz w:val="24"/>
                <w:szCs w:val="24"/>
              </w:rPr>
              <w:t xml:space="preserve"> iš įvairių šaltinių</w:t>
            </w:r>
            <w:r w:rsidR="00C1423B">
              <w:rPr>
                <w:rFonts w:ascii="Times New Roman" w:eastAsia="Times New Roman" w:hAnsi="Times New Roman" w:cs="Times New Roman"/>
                <w:sz w:val="24"/>
                <w:szCs w:val="24"/>
              </w:rPr>
              <w:t xml:space="preserve"> kokybiškai</w:t>
            </w:r>
            <w:r w:rsidR="00C310C1">
              <w:rPr>
                <w:rFonts w:ascii="Times New Roman" w:eastAsia="Times New Roman" w:hAnsi="Times New Roman" w:cs="Times New Roman"/>
                <w:sz w:val="24"/>
                <w:szCs w:val="24"/>
              </w:rPr>
              <w:t xml:space="preserve"> prisidėtų prie gilesnio visuomenės supratimo apie ES investicijas ir taip skatintų pasitikėjimą</w:t>
            </w:r>
            <w:r w:rsidR="00C310C1">
              <w:t xml:space="preserve"> </w:t>
            </w:r>
            <w:r w:rsidR="00C310C1" w:rsidRPr="00C310C1">
              <w:rPr>
                <w:rFonts w:ascii="Times New Roman" w:eastAsia="Times New Roman" w:hAnsi="Times New Roman" w:cs="Times New Roman"/>
                <w:sz w:val="24"/>
                <w:szCs w:val="24"/>
              </w:rPr>
              <w:t>ES struktūrinių fondų sistemos efektyvumu ir skaidrumu</w:t>
            </w:r>
            <w:r w:rsidR="00C310C1">
              <w:rPr>
                <w:rFonts w:ascii="Times New Roman" w:eastAsia="Times New Roman" w:hAnsi="Times New Roman" w:cs="Times New Roman"/>
                <w:sz w:val="24"/>
                <w:szCs w:val="24"/>
              </w:rPr>
              <w:t>.</w:t>
            </w:r>
            <w:r w:rsidR="00F409B8">
              <w:rPr>
                <w:rFonts w:ascii="Times New Roman" w:eastAsia="Times New Roman" w:hAnsi="Times New Roman" w:cs="Times New Roman"/>
                <w:sz w:val="24"/>
                <w:szCs w:val="24"/>
              </w:rPr>
              <w:t xml:space="preserve"> </w:t>
            </w:r>
            <w:r w:rsidRPr="00DE6F21">
              <w:rPr>
                <w:rFonts w:ascii="Times New Roman" w:eastAsia="Times New Roman" w:hAnsi="Times New Roman" w:cs="Times New Roman"/>
                <w:sz w:val="24"/>
                <w:szCs w:val="24"/>
              </w:rPr>
              <w:t xml:space="preserve"> </w:t>
            </w:r>
          </w:p>
          <w:p w:rsidR="00655B48" w:rsidRDefault="00A10AFB" w:rsidP="00655B48">
            <w:pPr>
              <w:pStyle w:val="prastasis1"/>
              <w:jc w:val="both"/>
              <w:rPr>
                <w:rFonts w:ascii="Times New Roman" w:eastAsia="Times New Roman" w:hAnsi="Times New Roman" w:cs="Times New Roman"/>
                <w:color w:val="auto"/>
                <w:sz w:val="24"/>
                <w:szCs w:val="24"/>
              </w:rPr>
            </w:pPr>
            <w:proofErr w:type="spellStart"/>
            <w:r w:rsidRPr="00DE6F21">
              <w:rPr>
                <w:rFonts w:ascii="Times New Roman" w:eastAsia="Times New Roman" w:hAnsi="Times New Roman" w:cs="Times New Roman"/>
                <w:sz w:val="24"/>
                <w:szCs w:val="24"/>
              </w:rPr>
              <w:t>VšĮ</w:t>
            </w:r>
            <w:proofErr w:type="spellEnd"/>
            <w:r w:rsidRPr="00DE6F21">
              <w:rPr>
                <w:rFonts w:ascii="Times New Roman" w:eastAsia="Times New Roman" w:hAnsi="Times New Roman" w:cs="Times New Roman"/>
                <w:sz w:val="24"/>
                <w:szCs w:val="24"/>
              </w:rPr>
              <w:t xml:space="preserve"> Viešosios politikos ir vadybos instituto atlikto Lietuvos 2014–2020 m. ES struktūrinių fondų veiksmų programos išankstinio vertinimo galutinėje ataskaitoje (</w:t>
            </w:r>
            <w:hyperlink r:id="rId7" w:history="1">
              <w:r w:rsidRPr="00DE6F21">
                <w:rPr>
                  <w:rFonts w:ascii="Times New Roman" w:eastAsia="Times New Roman" w:hAnsi="Times New Roman" w:cs="Times New Roman"/>
                  <w:i/>
                  <w:color w:val="0000FF"/>
                  <w:sz w:val="24"/>
                  <w:szCs w:val="24"/>
                  <w:u w:val="single"/>
                </w:rPr>
                <w:t>http://www.esinvesticijos.lt/docview/?url=/uploads/documents/docs/7_396b74d8ed9bd368f9554f22e1c1a94b.doc</w:t>
              </w:r>
            </w:hyperlink>
            <w:r w:rsidRPr="00DE6F21">
              <w:rPr>
                <w:rFonts w:ascii="Times New Roman" w:eastAsia="Times New Roman" w:hAnsi="Times New Roman" w:cs="Times New Roman"/>
                <w:sz w:val="24"/>
                <w:szCs w:val="24"/>
              </w:rPr>
              <w:t>) pabrėžiama, kad 12.1 uždavin</w:t>
            </w:r>
            <w:r w:rsidR="00DE6F21">
              <w:rPr>
                <w:rFonts w:ascii="Times New Roman" w:eastAsia="Times New Roman" w:hAnsi="Times New Roman" w:cs="Times New Roman"/>
                <w:sz w:val="24"/>
                <w:szCs w:val="24"/>
              </w:rPr>
              <w:t>i</w:t>
            </w:r>
            <w:r w:rsidRPr="00DE6F21">
              <w:rPr>
                <w:rFonts w:ascii="Times New Roman" w:eastAsia="Times New Roman" w:hAnsi="Times New Roman" w:cs="Times New Roman"/>
                <w:sz w:val="24"/>
                <w:szCs w:val="24"/>
              </w:rPr>
              <w:t>o formuluotė atspindi siekiamus pokyčius ir priežastiniai ryšiai tarp uždavinių ir jų r</w:t>
            </w:r>
            <w:r w:rsidR="00ED7007">
              <w:rPr>
                <w:rFonts w:ascii="Times New Roman" w:eastAsia="Times New Roman" w:hAnsi="Times New Roman" w:cs="Times New Roman"/>
                <w:sz w:val="24"/>
                <w:szCs w:val="24"/>
              </w:rPr>
              <w:t>emiamų veiklų yra pagrįsti 2007–</w:t>
            </w:r>
            <w:r w:rsidRPr="00DE6F21">
              <w:rPr>
                <w:rFonts w:ascii="Times New Roman" w:eastAsia="Times New Roman" w:hAnsi="Times New Roman" w:cs="Times New Roman"/>
                <w:sz w:val="24"/>
                <w:szCs w:val="24"/>
              </w:rPr>
              <w:t>2013 m. ES struktūrinės paramos programavimo laikotarpiu sukaupta patirtimi, atliktomis gyventojų apklausomis, 2013 m. atliktais ES struktūrinės paramos vertinimų kokybės ir vertinimų rezultatų panaudojimo vertinimais ir kitais įrodymais</w:t>
            </w:r>
            <w:r w:rsidRPr="00397FC0">
              <w:rPr>
                <w:rFonts w:ascii="Times New Roman" w:eastAsia="Times New Roman" w:hAnsi="Times New Roman" w:cs="Times New Roman"/>
                <w:color w:val="auto"/>
                <w:sz w:val="24"/>
                <w:szCs w:val="24"/>
              </w:rPr>
              <w:t>.</w:t>
            </w:r>
            <w:r w:rsidR="00655B48" w:rsidRPr="00397FC0">
              <w:rPr>
                <w:color w:val="auto"/>
              </w:rPr>
              <w:t xml:space="preserve"> </w:t>
            </w:r>
            <w:r w:rsidR="00655B48" w:rsidRPr="00397FC0">
              <w:rPr>
                <w:rFonts w:ascii="Times New Roman" w:eastAsia="Times New Roman" w:hAnsi="Times New Roman" w:cs="Times New Roman"/>
                <w:color w:val="auto"/>
                <w:sz w:val="24"/>
                <w:szCs w:val="24"/>
              </w:rPr>
              <w:t>V</w:t>
            </w:r>
            <w:r w:rsidR="00655B48" w:rsidRPr="007B1CDD">
              <w:rPr>
                <w:rFonts w:ascii="Times New Roman" w:eastAsia="Times New Roman" w:hAnsi="Times New Roman" w:cs="Times New Roman"/>
                <w:color w:val="auto"/>
                <w:sz w:val="24"/>
                <w:szCs w:val="24"/>
              </w:rPr>
              <w:t>eiksmų programoje yra pateikiamas platus,</w:t>
            </w:r>
            <w:r w:rsidR="00655B48" w:rsidRPr="00671D5F">
              <w:rPr>
                <w:rFonts w:ascii="Times New Roman" w:eastAsia="Times New Roman" w:hAnsi="Times New Roman" w:cs="Times New Roman"/>
                <w:color w:val="auto"/>
                <w:sz w:val="24"/>
                <w:szCs w:val="24"/>
              </w:rPr>
              <w:t xml:space="preserve"> </w:t>
            </w:r>
            <w:r w:rsidR="00655B48" w:rsidRPr="00ED5791">
              <w:rPr>
                <w:rFonts w:ascii="Times New Roman" w:eastAsia="Times New Roman" w:hAnsi="Times New Roman" w:cs="Times New Roman"/>
                <w:color w:val="auto"/>
                <w:sz w:val="24"/>
                <w:szCs w:val="24"/>
              </w:rPr>
              <w:t>įrodymais paremtas, esamos situacijos ap</w:t>
            </w:r>
            <w:r w:rsidR="00655B48" w:rsidRPr="00071F05">
              <w:rPr>
                <w:rFonts w:ascii="Times New Roman" w:eastAsia="Times New Roman" w:hAnsi="Times New Roman" w:cs="Times New Roman"/>
                <w:color w:val="auto"/>
                <w:sz w:val="24"/>
                <w:szCs w:val="24"/>
              </w:rPr>
              <w:t xml:space="preserve">rašymas, </w:t>
            </w:r>
            <w:r w:rsidR="00655B48" w:rsidRPr="005D75E6">
              <w:rPr>
                <w:rFonts w:ascii="Times New Roman" w:eastAsia="Times New Roman" w:hAnsi="Times New Roman" w:cs="Times New Roman"/>
                <w:color w:val="auto"/>
                <w:sz w:val="24"/>
                <w:szCs w:val="24"/>
              </w:rPr>
              <w:t>kuriame išskiriami ir pagrindiniai iššūkiai (pvz., menkas socialinių-ekonominių, regioninių ir kt. partnerių įtraukimas į viešinimo veiklas, informacijos apie ES struktūrinę paramą kokybės trūkumas).</w:t>
            </w:r>
          </w:p>
          <w:p w:rsidR="00C310C1" w:rsidRPr="00397FC0" w:rsidRDefault="00C310C1" w:rsidP="00655B48">
            <w:pPr>
              <w:pStyle w:val="prastasis1"/>
              <w:jc w:val="both"/>
              <w:rPr>
                <w:rFonts w:ascii="Times New Roman" w:eastAsia="Times New Roman" w:hAnsi="Times New Roman" w:cs="Times New Roman"/>
                <w:color w:val="auto"/>
                <w:sz w:val="24"/>
                <w:szCs w:val="24"/>
              </w:rPr>
            </w:pPr>
            <w:r w:rsidRPr="00C310C1">
              <w:rPr>
                <w:rFonts w:ascii="Times New Roman" w:eastAsia="Times New Roman" w:hAnsi="Times New Roman" w:cs="Times New Roman"/>
                <w:color w:val="auto"/>
                <w:sz w:val="24"/>
                <w:szCs w:val="24"/>
              </w:rPr>
              <w:t xml:space="preserve">Priemonės pagrindinė veikla yra informavimas apie ES </w:t>
            </w:r>
            <w:r w:rsidR="00C1423B">
              <w:rPr>
                <w:rFonts w:ascii="Times New Roman" w:eastAsia="Times New Roman" w:hAnsi="Times New Roman" w:cs="Times New Roman"/>
                <w:color w:val="auto"/>
                <w:sz w:val="24"/>
                <w:szCs w:val="24"/>
              </w:rPr>
              <w:t>struktūrinių fondų investicijas,</w:t>
            </w:r>
            <w:r w:rsidR="000A0106">
              <w:rPr>
                <w:rFonts w:ascii="Times New Roman" w:eastAsia="Times New Roman" w:hAnsi="Times New Roman" w:cs="Times New Roman"/>
                <w:color w:val="auto"/>
                <w:sz w:val="24"/>
                <w:szCs w:val="24"/>
              </w:rPr>
              <w:t xml:space="preserve"> aiškinant visuomenei problemas, kurias siekiama </w:t>
            </w:r>
            <w:r w:rsidR="000A0106">
              <w:rPr>
                <w:rFonts w:ascii="Times New Roman" w:eastAsia="Times New Roman" w:hAnsi="Times New Roman" w:cs="Times New Roman"/>
                <w:color w:val="auto"/>
                <w:sz w:val="24"/>
                <w:szCs w:val="24"/>
              </w:rPr>
              <w:lastRenderedPageBreak/>
              <w:t xml:space="preserve">spręsti ES investicijų pagalba, kokio pokyčio siekiama ES investicijų projektais, taip pat </w:t>
            </w:r>
            <w:r w:rsidR="00577C72">
              <w:rPr>
                <w:rFonts w:ascii="Times New Roman" w:eastAsia="Times New Roman" w:hAnsi="Times New Roman" w:cs="Times New Roman"/>
                <w:color w:val="auto"/>
                <w:sz w:val="24"/>
                <w:szCs w:val="24"/>
              </w:rPr>
              <w:t>parodyti</w:t>
            </w:r>
            <w:r w:rsidR="000A0106">
              <w:rPr>
                <w:rFonts w:ascii="Times New Roman" w:eastAsia="Times New Roman" w:hAnsi="Times New Roman" w:cs="Times New Roman"/>
                <w:color w:val="auto"/>
                <w:sz w:val="24"/>
                <w:szCs w:val="24"/>
              </w:rPr>
              <w:t xml:space="preserve"> įgyvendintų projektų naudą</w:t>
            </w:r>
            <w:r w:rsidR="00C1423B">
              <w:rPr>
                <w:rFonts w:ascii="Times New Roman" w:eastAsia="Times New Roman" w:hAnsi="Times New Roman" w:cs="Times New Roman"/>
                <w:color w:val="auto"/>
                <w:sz w:val="24"/>
                <w:szCs w:val="24"/>
              </w:rPr>
              <w:t xml:space="preserve"> atskleidžiant</w:t>
            </w:r>
            <w:r w:rsidR="000A0106">
              <w:rPr>
                <w:rFonts w:ascii="Times New Roman" w:eastAsia="Times New Roman" w:hAnsi="Times New Roman" w:cs="Times New Roman"/>
                <w:color w:val="auto"/>
                <w:sz w:val="24"/>
                <w:szCs w:val="24"/>
              </w:rPr>
              <w:t xml:space="preserve"> tai per sėkmės istorijas ar pan., įgyvendinamų (-tų) projektų sukuriamus teigiamus socialinius ir ekonominius pokyčius bei poveikį gyventojų gyvenimo kokybei.</w:t>
            </w:r>
            <w:r w:rsidRPr="00C310C1">
              <w:rPr>
                <w:rFonts w:ascii="Times New Roman" w:eastAsia="Times New Roman" w:hAnsi="Times New Roman" w:cs="Times New Roman"/>
                <w:color w:val="auto"/>
                <w:sz w:val="24"/>
                <w:szCs w:val="24"/>
              </w:rPr>
              <w:t xml:space="preserve"> Ankstesniųjų, 2004–2006 ir 2007–2013 metų, programavimo periodų metu visuomenėje pasiektas aukštas bendras žinomumas apie ES struktūrinius  fondus Lietuvai. Tai sudaro prielaidą tęsti sėkmingas komunikacines veiklas, jas praturtinant detalesnėmis žinutėmis ir kartu sukuriant naują priemonę, kurios pagalba tikimasi į komunikacijos procesą įtraukti partnerius, kurie prisidėtų prie komunikacijos strategijoje užsibrėžtų tikslų įgyvendinimo.</w:t>
            </w:r>
          </w:p>
          <w:p w:rsidR="004B24B7" w:rsidRPr="00DE6F21" w:rsidRDefault="004B24B7" w:rsidP="00655B48">
            <w:pPr>
              <w:pStyle w:val="prastasis1"/>
              <w:spacing w:after="200"/>
              <w:jc w:val="both"/>
              <w:rPr>
                <w:rFonts w:ascii="Times New Roman" w:hAnsi="Times New Roman" w:cs="Times New Roman"/>
                <w:sz w:val="24"/>
                <w:szCs w:val="24"/>
              </w:rPr>
            </w:pPr>
          </w:p>
        </w:tc>
      </w:tr>
      <w:tr w:rsidR="004B24B7" w:rsidTr="006D66D4">
        <w:trPr>
          <w:trHeight w:val="2762"/>
        </w:trPr>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Pr="00221C74" w:rsidRDefault="00A10AFB">
            <w:pPr>
              <w:pStyle w:val="prastasis1"/>
              <w:tabs>
                <w:tab w:val="left" w:pos="567"/>
              </w:tabs>
            </w:pPr>
            <w:r w:rsidRPr="00221C74">
              <w:rPr>
                <w:rFonts w:ascii="Times New Roman" w:eastAsia="Times New Roman" w:hAnsi="Times New Roman" w:cs="Times New Roman"/>
                <w:sz w:val="24"/>
              </w:rPr>
              <w:t>Priemonės suderinamumas su kitomis priemonėmis</w:t>
            </w:r>
          </w:p>
        </w:tc>
        <w:tc>
          <w:tcPr>
            <w:tcW w:w="6952" w:type="dxa"/>
            <w:gridSpan w:val="2"/>
          </w:tcPr>
          <w:p w:rsidR="004B24B7" w:rsidRPr="00BF1230" w:rsidRDefault="00F84CAF">
            <w:pPr>
              <w:pStyle w:val="Sraopastraipa"/>
              <w:tabs>
                <w:tab w:val="left" w:pos="-765"/>
                <w:tab w:val="left" w:pos="282"/>
              </w:tabs>
              <w:autoSpaceDE w:val="0"/>
              <w:autoSpaceDN w:val="0"/>
              <w:adjustRightInd w:val="0"/>
              <w:ind w:left="0" w:hanging="24"/>
              <w:jc w:val="both"/>
              <w:rPr>
                <w:bCs/>
              </w:rPr>
            </w:pPr>
            <w:r>
              <w:rPr>
                <w:rFonts w:eastAsiaTheme="minorHAnsi"/>
                <w:color w:val="000000"/>
              </w:rPr>
              <w:t>Priemonė bus lygiagrečiai įgyvendinama su</w:t>
            </w:r>
            <w:r w:rsidRPr="00B33F2F">
              <w:t xml:space="preserve"> </w:t>
            </w:r>
            <w:r>
              <w:t>priemone</w:t>
            </w:r>
            <w:r w:rsidRPr="00B33F2F">
              <w:t xml:space="preserve"> Nr. 12.0.1-CPVA-V-202 „Informavimas apie veiksmų programą“</w:t>
            </w:r>
            <w:r>
              <w:t>. Abi priemonės papildys viena kitą</w:t>
            </w:r>
            <w:r w:rsidR="00735AF1">
              <w:t xml:space="preserve">, </w:t>
            </w:r>
            <w:r w:rsidR="00735AF1">
              <w:rPr>
                <w:rFonts w:eastAsiaTheme="minorHAnsi"/>
                <w:color w:val="000000"/>
              </w:rPr>
              <w:t xml:space="preserve">bus planuojami ir koordinuojami </w:t>
            </w:r>
            <w:r w:rsidR="00312445">
              <w:rPr>
                <w:rFonts w:eastAsiaTheme="minorHAnsi"/>
                <w:color w:val="000000"/>
              </w:rPr>
              <w:t xml:space="preserve"> veiksmai</w:t>
            </w:r>
            <w:r w:rsidR="00735AF1">
              <w:rPr>
                <w:rFonts w:eastAsiaTheme="minorHAnsi"/>
                <w:color w:val="000000"/>
              </w:rPr>
              <w:t xml:space="preserve"> sudarant </w:t>
            </w:r>
            <w:r w:rsidR="00312445">
              <w:rPr>
                <w:rFonts w:eastAsiaTheme="minorHAnsi"/>
                <w:color w:val="000000"/>
              </w:rPr>
              <w:t>metinius ko</w:t>
            </w:r>
            <w:r w:rsidR="00735AF1">
              <w:rPr>
                <w:rFonts w:eastAsiaTheme="minorHAnsi"/>
                <w:color w:val="000000"/>
              </w:rPr>
              <w:t xml:space="preserve">munikacijos planus, </w:t>
            </w:r>
            <w:r w:rsidR="00312445">
              <w:rPr>
                <w:rFonts w:eastAsiaTheme="minorHAnsi"/>
                <w:color w:val="000000"/>
              </w:rPr>
              <w:t>stebint ir vertinant rodiklius.</w:t>
            </w:r>
            <w:r w:rsidR="00221C74">
              <w:rPr>
                <w:rFonts w:eastAsiaTheme="minorHAnsi"/>
                <w:color w:val="000000"/>
              </w:rPr>
              <w:t xml:space="preserve">  Priemonė bus įgyvendinama visą 2014</w:t>
            </w:r>
            <w:r w:rsidR="00C02C24">
              <w:rPr>
                <w:rFonts w:eastAsiaTheme="minorHAnsi"/>
                <w:color w:val="000000"/>
              </w:rPr>
              <w:t>–</w:t>
            </w:r>
            <w:r w:rsidR="00221C74">
              <w:rPr>
                <w:rFonts w:eastAsiaTheme="minorHAnsi"/>
                <w:color w:val="000000"/>
              </w:rPr>
              <w:t>2020 m.</w:t>
            </w:r>
            <w:r w:rsidR="00523931">
              <w:rPr>
                <w:rFonts w:eastAsiaTheme="minorHAnsi"/>
                <w:color w:val="000000"/>
              </w:rPr>
              <w:t xml:space="preserve"> finansavimo</w:t>
            </w:r>
            <w:r w:rsidR="00221C74">
              <w:rPr>
                <w:rFonts w:eastAsiaTheme="minorHAnsi"/>
                <w:color w:val="000000"/>
              </w:rPr>
              <w:t xml:space="preserve"> laikotarpį, nes </w:t>
            </w:r>
            <w:r w:rsidR="00C02C24">
              <w:rPr>
                <w:rFonts w:eastAsiaTheme="minorHAnsi"/>
                <w:color w:val="000000"/>
              </w:rPr>
              <w:t xml:space="preserve">ji aktuali </w:t>
            </w:r>
            <w:r w:rsidR="00C02C24">
              <w:t xml:space="preserve">12.1  uždavinio  įgyvendinimui tiek vykdant veiksmų programą, tiek pristatant pasiektus rezultatus. </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Nagrinėtų priemonės veiklų įgyvendinimo alternatyvų aprašymas ir siūlomos alternatyvos pasirinkimo pagrindimas (jei taikoma)</w:t>
            </w:r>
          </w:p>
        </w:tc>
        <w:tc>
          <w:tcPr>
            <w:tcW w:w="6952" w:type="dxa"/>
            <w:gridSpan w:val="2"/>
          </w:tcPr>
          <w:p w:rsidR="004B24B7" w:rsidRDefault="00A10AFB" w:rsidP="009A4B57">
            <w:pPr>
              <w:pStyle w:val="prastasis1"/>
              <w:spacing w:after="200"/>
              <w:jc w:val="both"/>
            </w:pPr>
            <w:r>
              <w:rPr>
                <w:rFonts w:ascii="Times New Roman" w:eastAsia="Times New Roman" w:hAnsi="Times New Roman" w:cs="Times New Roman"/>
                <w:sz w:val="24"/>
              </w:rPr>
              <w:t>Priemonės veiklų įgyvendinimo alternatyvo</w:t>
            </w:r>
            <w:r w:rsidR="009A4B57">
              <w:rPr>
                <w:rFonts w:ascii="Times New Roman" w:eastAsia="Times New Roman" w:hAnsi="Times New Roman" w:cs="Times New Roman"/>
                <w:sz w:val="24"/>
              </w:rPr>
              <w:t xml:space="preserve">s nenagrinėjamos, nes atitinka </w:t>
            </w:r>
            <w:r>
              <w:rPr>
                <w:rFonts w:ascii="Times New Roman" w:eastAsia="Times New Roman" w:hAnsi="Times New Roman" w:cs="Times New Roman"/>
                <w:sz w:val="24"/>
              </w:rPr>
              <w:t>veiksmų programos 12 prioriteto 12.1 uždavinio įgyvendinimo veiklas.</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Galimų pareiškėjų arba galutinių naudos gavėjų pasirinkimo pagrindimas</w:t>
            </w:r>
          </w:p>
        </w:tc>
        <w:tc>
          <w:tcPr>
            <w:tcW w:w="6952" w:type="dxa"/>
            <w:gridSpan w:val="2"/>
          </w:tcPr>
          <w:p w:rsidR="00C04742" w:rsidRDefault="00EC7993" w:rsidP="00C04742">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Galimi pareiškėjai pasirenkami atsižvelgiant į Reglamento Nr. 1303/2013 XII priedo </w:t>
            </w:r>
            <w:r>
              <w:rPr>
                <w:rFonts w:ascii="Times New Roman" w:hAnsi="Times New Roman" w:cs="Times New Roman"/>
                <w:sz w:val="24"/>
                <w:szCs w:val="24"/>
              </w:rPr>
              <w:t>2 dalies 3 punkto nuostatas</w:t>
            </w:r>
            <w:r w:rsidR="00C04742">
              <w:rPr>
                <w:rFonts w:ascii="Times New Roman" w:hAnsi="Times New Roman" w:cs="Times New Roman"/>
                <w:sz w:val="24"/>
                <w:szCs w:val="24"/>
              </w:rPr>
              <w:t>.</w:t>
            </w:r>
            <w:r w:rsidR="00E44886">
              <w:rPr>
                <w:rFonts w:ascii="Times New Roman" w:hAnsi="Times New Roman" w:cs="Times New Roman"/>
                <w:sz w:val="24"/>
                <w:szCs w:val="24"/>
              </w:rPr>
              <w:t xml:space="preserve"> </w:t>
            </w:r>
            <w:r w:rsidR="00A10AFB" w:rsidRPr="00E92035">
              <w:rPr>
                <w:rFonts w:ascii="Times New Roman" w:eastAsia="Times New Roman" w:hAnsi="Times New Roman" w:cs="Times New Roman"/>
                <w:sz w:val="24"/>
                <w:szCs w:val="24"/>
              </w:rPr>
              <w:t>Techninės paramos administravimo taisyklių, patvirtintų Lietuvos Respublikos finansų ministro</w:t>
            </w:r>
            <w:r w:rsidR="007A0467">
              <w:rPr>
                <w:rFonts w:ascii="Times New Roman" w:eastAsia="Times New Roman" w:hAnsi="Times New Roman" w:cs="Times New Roman"/>
                <w:sz w:val="24"/>
                <w:szCs w:val="24"/>
              </w:rPr>
              <w:t xml:space="preserve"> </w:t>
            </w:r>
            <w:r w:rsidR="007A0467" w:rsidRPr="00E92035">
              <w:rPr>
                <w:rFonts w:ascii="Times New Roman" w:eastAsia="Times New Roman" w:hAnsi="Times New Roman" w:cs="Times New Roman"/>
                <w:sz w:val="24"/>
                <w:szCs w:val="24"/>
              </w:rPr>
              <w:t xml:space="preserve">2014 m. spalio 28 d. </w:t>
            </w:r>
            <w:r w:rsidR="00A10AFB" w:rsidRPr="00E92035">
              <w:rPr>
                <w:rFonts w:ascii="Times New Roman" w:eastAsia="Times New Roman" w:hAnsi="Times New Roman" w:cs="Times New Roman"/>
                <w:sz w:val="24"/>
                <w:szCs w:val="24"/>
              </w:rPr>
              <w:t xml:space="preserve"> įsakymu Nr. 1K-337 „Dėl techninės paramos administravimo taisyklių patvirtinimo</w:t>
            </w:r>
            <w:r w:rsidR="00577C72" w:rsidRPr="009F3E21">
              <w:rPr>
                <w:rFonts w:ascii="Times New Roman" w:eastAsia="Times New Roman" w:hAnsi="Times New Roman" w:cs="Times New Roman"/>
                <w:color w:val="auto"/>
                <w:sz w:val="24"/>
                <w:szCs w:val="24"/>
                <w:shd w:val="clear" w:color="auto" w:fill="FFFFFF"/>
              </w:rPr>
              <w:t>“</w:t>
            </w:r>
            <w:r w:rsidR="00577C72" w:rsidRPr="00E92035">
              <w:rPr>
                <w:rFonts w:ascii="Times New Roman" w:eastAsia="Times New Roman" w:hAnsi="Times New Roman" w:cs="Times New Roman"/>
                <w:sz w:val="24"/>
                <w:szCs w:val="24"/>
              </w:rPr>
              <w:t xml:space="preserve"> </w:t>
            </w:r>
            <w:r w:rsidR="00A10AFB" w:rsidRPr="00E92035">
              <w:rPr>
                <w:rFonts w:ascii="Times New Roman" w:eastAsia="Times New Roman" w:hAnsi="Times New Roman" w:cs="Times New Roman"/>
                <w:sz w:val="24"/>
                <w:szCs w:val="24"/>
              </w:rPr>
              <w:t xml:space="preserve">(toliau – Techninės paramos administravimo taisyklės), </w:t>
            </w:r>
            <w:r w:rsidR="000E3BE4" w:rsidRPr="00E92035">
              <w:rPr>
                <w:rFonts w:ascii="Times New Roman" w:hAnsi="Times New Roman" w:cs="Times New Roman"/>
                <w:sz w:val="24"/>
                <w:szCs w:val="24"/>
              </w:rPr>
              <w:t>1</w:t>
            </w:r>
            <w:r w:rsidR="00C04742">
              <w:rPr>
                <w:rFonts w:ascii="Times New Roman" w:hAnsi="Times New Roman" w:cs="Times New Roman"/>
                <w:sz w:val="24"/>
                <w:szCs w:val="24"/>
              </w:rPr>
              <w:t>3</w:t>
            </w:r>
            <w:r w:rsidR="000E3BE4" w:rsidRPr="00E92035">
              <w:rPr>
                <w:rFonts w:ascii="Times New Roman" w:hAnsi="Times New Roman" w:cs="Times New Roman"/>
                <w:sz w:val="24"/>
                <w:szCs w:val="24"/>
              </w:rPr>
              <w:t xml:space="preserve"> punkte yra nustatyt</w:t>
            </w:r>
            <w:r w:rsidR="00E92035">
              <w:rPr>
                <w:rFonts w:ascii="Times New Roman" w:hAnsi="Times New Roman" w:cs="Times New Roman"/>
                <w:sz w:val="24"/>
                <w:szCs w:val="24"/>
              </w:rPr>
              <w:t>a</w:t>
            </w:r>
            <w:r w:rsidR="000E3BE4" w:rsidRPr="00E92035">
              <w:rPr>
                <w:rFonts w:ascii="Times New Roman" w:hAnsi="Times New Roman" w:cs="Times New Roman"/>
                <w:sz w:val="24"/>
                <w:szCs w:val="24"/>
              </w:rPr>
              <w:t xml:space="preserve">, kad </w:t>
            </w:r>
            <w:r w:rsidR="00D51D57">
              <w:rPr>
                <w:rFonts w:ascii="Times New Roman" w:hAnsi="Times New Roman" w:cs="Times New Roman"/>
                <w:sz w:val="24"/>
                <w:szCs w:val="24"/>
              </w:rPr>
              <w:t>v</w:t>
            </w:r>
            <w:r w:rsidR="000E3BE4" w:rsidRPr="00E92035">
              <w:rPr>
                <w:rFonts w:ascii="Times New Roman" w:hAnsi="Times New Roman" w:cs="Times New Roman"/>
                <w:sz w:val="24"/>
                <w:szCs w:val="24"/>
              </w:rPr>
              <w:t xml:space="preserve">adovaujančioji institucija informavimo apie veiksmų programą veiklai ir komunikacijos strategijai įgyvendinti esant poreikiui gali pasitelkti </w:t>
            </w:r>
            <w:r w:rsidR="007A0467">
              <w:rPr>
                <w:rFonts w:ascii="Times New Roman" w:hAnsi="Times New Roman" w:cs="Times New Roman"/>
                <w:sz w:val="24"/>
                <w:szCs w:val="24"/>
              </w:rPr>
              <w:t>R</w:t>
            </w:r>
            <w:r w:rsidR="000E3BE4" w:rsidRPr="00E92035">
              <w:rPr>
                <w:rFonts w:ascii="Times New Roman" w:hAnsi="Times New Roman" w:cs="Times New Roman"/>
                <w:sz w:val="24"/>
                <w:szCs w:val="24"/>
              </w:rPr>
              <w:t>eglamento (ES) Nr. 1303/2013 XII priedo 2 dalies 3 punkte nurodytus subjektus, patvirtindama visuotinės dotacijos priemonę.</w:t>
            </w:r>
          </w:p>
          <w:p w:rsidR="004B24B7" w:rsidRPr="009F3E21" w:rsidRDefault="000E3BE4" w:rsidP="00C04742">
            <w:pPr>
              <w:jc w:val="both"/>
              <w:rPr>
                <w:rFonts w:ascii="Times New Roman" w:hAnsi="Times New Roman" w:cs="Times New Roman"/>
                <w:sz w:val="24"/>
                <w:szCs w:val="24"/>
              </w:rPr>
            </w:pPr>
            <w:r w:rsidRPr="00E92035">
              <w:rPr>
                <w:rFonts w:ascii="Times New Roman" w:hAnsi="Times New Roman" w:cs="Times New Roman"/>
                <w:sz w:val="24"/>
                <w:szCs w:val="24"/>
              </w:rPr>
              <w:t xml:space="preserve"> </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Pr="009F3E21" w:rsidRDefault="00A10AFB">
            <w:pPr>
              <w:pStyle w:val="prastasis1"/>
              <w:tabs>
                <w:tab w:val="left" w:pos="567"/>
              </w:tabs>
              <w:rPr>
                <w:highlight w:val="yellow"/>
              </w:rPr>
            </w:pPr>
            <w:r w:rsidRPr="00221C74">
              <w:rPr>
                <w:rFonts w:ascii="Times New Roman" w:eastAsia="Times New Roman" w:hAnsi="Times New Roman" w:cs="Times New Roman"/>
                <w:sz w:val="24"/>
              </w:rPr>
              <w:t xml:space="preserve">Supaprastintas išlaidų apmokėjimas </w:t>
            </w:r>
          </w:p>
        </w:tc>
        <w:tc>
          <w:tcPr>
            <w:tcW w:w="6952" w:type="dxa"/>
            <w:gridSpan w:val="2"/>
          </w:tcPr>
          <w:p w:rsidR="0041579A" w:rsidRPr="009F3E21" w:rsidRDefault="00A10AFB" w:rsidP="00C02C24">
            <w:pPr>
              <w:jc w:val="both"/>
              <w:rPr>
                <w:rFonts w:ascii="Times New Roman" w:eastAsia="Times New Roman" w:hAnsi="Times New Roman" w:cs="Times New Roman"/>
                <w:color w:val="auto"/>
                <w:sz w:val="24"/>
                <w:szCs w:val="24"/>
                <w:shd w:val="clear" w:color="auto" w:fill="FFFFFF"/>
              </w:rPr>
            </w:pPr>
            <w:r w:rsidRPr="00D41D1D">
              <w:rPr>
                <w:rFonts w:ascii="Times New Roman" w:eastAsia="Times New Roman" w:hAnsi="Times New Roman" w:cs="Times New Roman"/>
                <w:sz w:val="24"/>
              </w:rPr>
              <w:t>Vadovaujantis Projektų finansavimo ir administravimo taisyklių, patvirtintų Lietuvos Respublikos finansų ministro</w:t>
            </w:r>
            <w:r w:rsidR="00D51D57">
              <w:rPr>
                <w:rFonts w:ascii="Times New Roman" w:eastAsia="Times New Roman" w:hAnsi="Times New Roman" w:cs="Times New Roman"/>
                <w:sz w:val="24"/>
              </w:rPr>
              <w:t xml:space="preserve"> </w:t>
            </w:r>
            <w:r w:rsidR="00D51D57" w:rsidRPr="00D41D1D">
              <w:rPr>
                <w:rFonts w:ascii="Times New Roman" w:eastAsia="Times New Roman" w:hAnsi="Times New Roman" w:cs="Times New Roman"/>
                <w:sz w:val="24"/>
              </w:rPr>
              <w:t>2014 m. spalio 8 d.</w:t>
            </w:r>
            <w:r w:rsidRPr="00D41D1D">
              <w:rPr>
                <w:rFonts w:ascii="Times New Roman" w:eastAsia="Times New Roman" w:hAnsi="Times New Roman" w:cs="Times New Roman"/>
                <w:sz w:val="24"/>
              </w:rPr>
              <w:t xml:space="preserve"> įsakymu Nr. 1K-316 „Dėl projektų administravimo ir finansavimo taisyklių patvirtinimo“ (toliau – Projektų finansavimo ir administravimo taisyklės), </w:t>
            </w:r>
            <w:r w:rsidR="0041579A" w:rsidRPr="00D41D1D">
              <w:rPr>
                <w:rFonts w:ascii="Times New Roman" w:eastAsia="Times New Roman" w:hAnsi="Times New Roman" w:cs="Times New Roman"/>
                <w:color w:val="auto"/>
                <w:sz w:val="24"/>
                <w:szCs w:val="24"/>
              </w:rPr>
              <w:t>347 punktu „</w:t>
            </w:r>
            <w:r w:rsidR="0041579A" w:rsidRPr="00D41D1D">
              <w:rPr>
                <w:rFonts w:ascii="Times New Roman" w:eastAsia="Times New Roman" w:hAnsi="Times New Roman" w:cs="Times New Roman"/>
                <w:color w:val="auto"/>
                <w:sz w:val="24"/>
                <w:szCs w:val="24"/>
                <w:shd w:val="clear" w:color="auto" w:fill="FFFFFF"/>
              </w:rPr>
              <w:t xml:space="preserve">Veiksmų programos priemonė įgyvendinama visuotinės dotacijos būdu, kai numatoma finansuoti vienarūšes veiklas ir projektų išlaidas apmokėti taikant tik supaprastintą išlaidų apmokėjimą ar </w:t>
            </w:r>
            <w:r w:rsidR="0041579A" w:rsidRPr="009F3E21">
              <w:rPr>
                <w:rFonts w:ascii="Times New Roman" w:eastAsia="Times New Roman" w:hAnsi="Times New Roman" w:cs="Times New Roman"/>
                <w:color w:val="auto"/>
                <w:sz w:val="24"/>
                <w:szCs w:val="24"/>
              </w:rPr>
              <w:t>apdovanojim</w:t>
            </w:r>
            <w:r w:rsidR="0041579A" w:rsidRPr="009F3E21">
              <w:rPr>
                <w:rFonts w:ascii="Times New Roman" w:eastAsia="Times New Roman" w:hAnsi="Times New Roman" w:cs="Times New Roman"/>
                <w:color w:val="auto"/>
                <w:sz w:val="24"/>
                <w:szCs w:val="24"/>
                <w:shd w:val="clear" w:color="auto" w:fill="FFFFFF"/>
              </w:rPr>
              <w:t xml:space="preserve">us ar išmokėti </w:t>
            </w:r>
            <w:r w:rsidR="0041579A" w:rsidRPr="009F3E21">
              <w:rPr>
                <w:rFonts w:ascii="Times New Roman" w:eastAsia="Times New Roman" w:hAnsi="Times New Roman" w:cs="Times New Roman"/>
                <w:color w:val="auto"/>
                <w:sz w:val="24"/>
                <w:szCs w:val="24"/>
              </w:rPr>
              <w:t>palūkanų subsidijas</w:t>
            </w:r>
            <w:r w:rsidR="0041579A" w:rsidRPr="009F3E21">
              <w:rPr>
                <w:rFonts w:ascii="Times New Roman" w:eastAsia="Times New Roman" w:hAnsi="Times New Roman" w:cs="Times New Roman"/>
                <w:color w:val="auto"/>
                <w:sz w:val="24"/>
                <w:szCs w:val="24"/>
                <w:shd w:val="clear" w:color="auto" w:fill="FFFFFF"/>
              </w:rPr>
              <w:t xml:space="preserve">“, </w:t>
            </w:r>
            <w:r w:rsidR="00624A7E" w:rsidRPr="009F3E21">
              <w:rPr>
                <w:rFonts w:ascii="Times New Roman" w:eastAsia="Times New Roman" w:hAnsi="Times New Roman" w:cs="Times New Roman"/>
                <w:color w:val="auto"/>
                <w:sz w:val="24"/>
                <w:szCs w:val="24"/>
                <w:shd w:val="clear" w:color="auto" w:fill="FFFFFF"/>
              </w:rPr>
              <w:t>planuojamas</w:t>
            </w:r>
            <w:r w:rsidR="0041579A" w:rsidRPr="009F3E21">
              <w:rPr>
                <w:rFonts w:ascii="Times New Roman" w:eastAsia="Times New Roman" w:hAnsi="Times New Roman" w:cs="Times New Roman"/>
                <w:color w:val="auto"/>
                <w:sz w:val="24"/>
                <w:szCs w:val="24"/>
                <w:shd w:val="clear" w:color="auto" w:fill="FFFFFF"/>
              </w:rPr>
              <w:t xml:space="preserve"> taik</w:t>
            </w:r>
            <w:r w:rsidR="00624A7E" w:rsidRPr="009F3E21">
              <w:rPr>
                <w:rFonts w:ascii="Times New Roman" w:eastAsia="Times New Roman" w:hAnsi="Times New Roman" w:cs="Times New Roman"/>
                <w:color w:val="auto"/>
                <w:sz w:val="24"/>
                <w:szCs w:val="24"/>
                <w:shd w:val="clear" w:color="auto" w:fill="FFFFFF"/>
              </w:rPr>
              <w:t>yti</w:t>
            </w:r>
            <w:r w:rsidR="0041579A" w:rsidRPr="009F3E21">
              <w:rPr>
                <w:rFonts w:ascii="Times New Roman" w:eastAsia="Times New Roman" w:hAnsi="Times New Roman" w:cs="Times New Roman"/>
                <w:color w:val="auto"/>
                <w:sz w:val="24"/>
                <w:szCs w:val="24"/>
                <w:shd w:val="clear" w:color="auto" w:fill="FFFFFF"/>
              </w:rPr>
              <w:t xml:space="preserve"> supaprastintas išlaidų apmokėjimas</w:t>
            </w:r>
            <w:r w:rsidR="00D51D57">
              <w:rPr>
                <w:rFonts w:ascii="Times New Roman" w:eastAsia="Times New Roman" w:hAnsi="Times New Roman" w:cs="Times New Roman"/>
                <w:color w:val="auto"/>
                <w:sz w:val="24"/>
                <w:szCs w:val="24"/>
                <w:shd w:val="clear" w:color="auto" w:fill="FFFFFF"/>
              </w:rPr>
              <w:t>.</w:t>
            </w:r>
          </w:p>
          <w:p w:rsidR="004B24B7" w:rsidRPr="009F3E21" w:rsidRDefault="005602FD" w:rsidP="00411C01">
            <w:pPr>
              <w:tabs>
                <w:tab w:val="left" w:pos="1134"/>
              </w:tabs>
              <w:jc w:val="both"/>
              <w:rPr>
                <w:highlight w:val="yellow"/>
              </w:rPr>
            </w:pPr>
            <w:r w:rsidRPr="006D66D4">
              <w:rPr>
                <w:rFonts w:ascii="Times New Roman" w:eastAsia="Times New Roman" w:hAnsi="Times New Roman"/>
                <w:sz w:val="24"/>
                <w:szCs w:val="24"/>
              </w:rPr>
              <w:lastRenderedPageBreak/>
              <w:t>Š</w:t>
            </w:r>
            <w:r w:rsidRPr="006D66D4">
              <w:rPr>
                <w:rFonts w:ascii="Times New Roman" w:hAnsi="Times New Roman"/>
                <w:sz w:val="24"/>
                <w:szCs w:val="24"/>
              </w:rPr>
              <w:t xml:space="preserve">iuo metu analizuojamos tinkamiausio supaprastinto būdo – fiksuotosios sumos bei fiksuotojo įkainio – pasirinkimo bei supaprastintai apmokamų išlaidų dydžio nustatymo alternatyvos, </w:t>
            </w:r>
            <w:r w:rsidRPr="006D66D4">
              <w:rPr>
                <w:rFonts w:ascii="Times New Roman" w:eastAsia="Times New Roman" w:hAnsi="Times New Roman"/>
                <w:sz w:val="24"/>
                <w:szCs w:val="24"/>
              </w:rPr>
              <w:t>kaip numatyta Projektų administravimo ir finansavimo taisyklių 35 skirsnyje.</w:t>
            </w:r>
            <w:r w:rsidR="009A38A6" w:rsidRPr="006D66D4">
              <w:rPr>
                <w:rFonts w:ascii="Times New Roman" w:eastAsia="Times New Roman" w:hAnsi="Times New Roman"/>
                <w:sz w:val="24"/>
                <w:szCs w:val="24"/>
              </w:rPr>
              <w:t xml:space="preserve"> </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Galimybė taikyti viešojo ir privataus sektorių partnerystės būdą (jei taikoma)</w:t>
            </w:r>
          </w:p>
        </w:tc>
        <w:tc>
          <w:tcPr>
            <w:tcW w:w="6952" w:type="dxa"/>
            <w:gridSpan w:val="2"/>
          </w:tcPr>
          <w:p w:rsidR="004B24B7" w:rsidRDefault="00A10AFB">
            <w:pPr>
              <w:pStyle w:val="prastasis1"/>
              <w:tabs>
                <w:tab w:val="left" w:pos="567"/>
              </w:tabs>
              <w:jc w:val="both"/>
            </w:pPr>
            <w:r>
              <w:rPr>
                <w:rFonts w:ascii="Times New Roman" w:eastAsia="Times New Roman" w:hAnsi="Times New Roman" w:cs="Times New Roman"/>
                <w:sz w:val="24"/>
              </w:rPr>
              <w:t>Įgyvendinant priemonę neketinama finansuoti viešosios infrastruktūros, todėl atitinkamai neplanuojama taikyti viešojo ir privataus sektorių partnerystės.</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Galimybė taikyti visuotinę dotaciją (jei taikoma)</w:t>
            </w:r>
          </w:p>
        </w:tc>
        <w:tc>
          <w:tcPr>
            <w:tcW w:w="6952" w:type="dxa"/>
            <w:gridSpan w:val="2"/>
          </w:tcPr>
          <w:p w:rsidR="00010E4C" w:rsidRPr="00221C74" w:rsidRDefault="007256BB" w:rsidP="00411C01">
            <w:pPr>
              <w:pStyle w:val="prastasis1"/>
              <w:tabs>
                <w:tab w:val="left" w:pos="567"/>
              </w:tabs>
              <w:jc w:val="both"/>
              <w:rPr>
                <w:rFonts w:ascii="Times New Roman" w:hAnsi="Times New Roman" w:cs="Times New Roman"/>
                <w:sz w:val="24"/>
                <w:szCs w:val="24"/>
              </w:rPr>
            </w:pPr>
            <w:r w:rsidRPr="00221C74">
              <w:rPr>
                <w:rFonts w:ascii="Times New Roman" w:eastAsia="Times New Roman" w:hAnsi="Times New Roman" w:cs="Times New Roman"/>
                <w:sz w:val="24"/>
              </w:rPr>
              <w:t>Techninės paramos administravimo taisyklių 1</w:t>
            </w:r>
            <w:r w:rsidR="00411C01">
              <w:rPr>
                <w:rFonts w:ascii="Times New Roman" w:eastAsia="Times New Roman" w:hAnsi="Times New Roman" w:cs="Times New Roman"/>
                <w:sz w:val="24"/>
              </w:rPr>
              <w:t>3</w:t>
            </w:r>
            <w:r w:rsidRPr="00221C74">
              <w:rPr>
                <w:rFonts w:ascii="Times New Roman" w:eastAsia="Times New Roman" w:hAnsi="Times New Roman" w:cs="Times New Roman"/>
                <w:sz w:val="24"/>
              </w:rPr>
              <w:t xml:space="preserve"> punkte</w:t>
            </w:r>
            <w:r w:rsidR="00CD5F3A" w:rsidRPr="00221C74">
              <w:rPr>
                <w:rFonts w:ascii="Times New Roman" w:eastAsia="Times New Roman" w:hAnsi="Times New Roman" w:cs="Times New Roman"/>
                <w:sz w:val="24"/>
              </w:rPr>
              <w:t xml:space="preserve"> numatyta, </w:t>
            </w:r>
            <w:r w:rsidR="00CD5F3A" w:rsidRPr="00221C74">
              <w:rPr>
                <w:rFonts w:ascii="Times New Roman" w:hAnsi="Times New Roman" w:cs="Times New Roman"/>
                <w:sz w:val="24"/>
                <w:szCs w:val="24"/>
              </w:rPr>
              <w:t xml:space="preserve">kad </w:t>
            </w:r>
            <w:r w:rsidR="00D51D57">
              <w:rPr>
                <w:rFonts w:ascii="Times New Roman" w:hAnsi="Times New Roman" w:cs="Times New Roman"/>
                <w:sz w:val="24"/>
                <w:szCs w:val="24"/>
              </w:rPr>
              <w:t>v</w:t>
            </w:r>
            <w:r w:rsidR="00CD5F3A" w:rsidRPr="00221C74">
              <w:rPr>
                <w:rFonts w:ascii="Times New Roman" w:hAnsi="Times New Roman" w:cs="Times New Roman"/>
                <w:sz w:val="24"/>
                <w:szCs w:val="24"/>
              </w:rPr>
              <w:t xml:space="preserve">adovaujančioji institucija informavimo apie veiksmų programą veiklai ir komunikacijos strategijai įgyvendinti esant poreikiui gali pasitelkti </w:t>
            </w:r>
            <w:r w:rsidR="00D51D57">
              <w:rPr>
                <w:rFonts w:ascii="Times New Roman" w:hAnsi="Times New Roman" w:cs="Times New Roman"/>
                <w:sz w:val="24"/>
                <w:szCs w:val="24"/>
              </w:rPr>
              <w:t>R</w:t>
            </w:r>
            <w:r w:rsidR="00CD5F3A" w:rsidRPr="00221C74">
              <w:rPr>
                <w:rFonts w:ascii="Times New Roman" w:hAnsi="Times New Roman" w:cs="Times New Roman"/>
                <w:sz w:val="24"/>
                <w:szCs w:val="24"/>
              </w:rPr>
              <w:t xml:space="preserve">eglamento (ES) Nr. 1303/2013 XII priedo 2 dalies 3 punkte nurodytus subjektus, patvirtindama visuotinės dotacijos priemonę. </w:t>
            </w:r>
            <w:r w:rsidR="00EA3E91" w:rsidRPr="00221C74">
              <w:rPr>
                <w:rFonts w:ascii="Times New Roman" w:hAnsi="Times New Roman" w:cs="Times New Roman"/>
                <w:sz w:val="24"/>
                <w:szCs w:val="24"/>
              </w:rPr>
              <w:t xml:space="preserve">Dotacijų gavėjų – projektų, finansuojamų pagal visuotinės dotacijos priemonę, vykdytojų atranka </w:t>
            </w:r>
            <w:r w:rsidR="002778FF" w:rsidRPr="00221C74">
              <w:rPr>
                <w:rFonts w:ascii="Times New Roman" w:hAnsi="Times New Roman" w:cs="Times New Roman"/>
                <w:sz w:val="24"/>
                <w:szCs w:val="24"/>
              </w:rPr>
              <w:t>planuojama vykdyti</w:t>
            </w:r>
            <w:r w:rsidR="00EA3E91" w:rsidRPr="00221C74">
              <w:rPr>
                <w:rFonts w:ascii="Times New Roman" w:hAnsi="Times New Roman" w:cs="Times New Roman"/>
                <w:sz w:val="24"/>
                <w:szCs w:val="24"/>
              </w:rPr>
              <w:t xml:space="preserve"> projektų konkurso būdu</w:t>
            </w:r>
            <w:r w:rsidR="005A19D1" w:rsidRPr="00221C74">
              <w:rPr>
                <w:rFonts w:ascii="Times New Roman" w:hAnsi="Times New Roman" w:cs="Times New Roman"/>
                <w:sz w:val="24"/>
                <w:szCs w:val="24"/>
              </w:rPr>
              <w:t>.</w:t>
            </w:r>
            <w:r w:rsidR="000F27BC" w:rsidRPr="00221C74">
              <w:rPr>
                <w:rFonts w:ascii="Times New Roman" w:hAnsi="Times New Roman" w:cs="Times New Roman"/>
                <w:sz w:val="24"/>
                <w:szCs w:val="24"/>
              </w:rPr>
              <w:t xml:space="preserve"> </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Jungtinės priemonės tikslingumo pagrindimas (jei taikoma)</w:t>
            </w:r>
          </w:p>
        </w:tc>
        <w:tc>
          <w:tcPr>
            <w:tcW w:w="6952" w:type="dxa"/>
            <w:gridSpan w:val="2"/>
          </w:tcPr>
          <w:p w:rsidR="004B24B7" w:rsidRDefault="00A10AFB">
            <w:pPr>
              <w:pStyle w:val="prastasis1"/>
              <w:tabs>
                <w:tab w:val="left" w:pos="567"/>
              </w:tabs>
              <w:jc w:val="both"/>
            </w:pPr>
            <w:r>
              <w:rPr>
                <w:rFonts w:ascii="Times New Roman" w:eastAsia="Times New Roman" w:hAnsi="Times New Roman" w:cs="Times New Roman"/>
                <w:sz w:val="24"/>
              </w:rPr>
              <w:t xml:space="preserve">Netaikoma. </w:t>
            </w:r>
          </w:p>
          <w:p w:rsidR="004B24B7" w:rsidRDefault="004B24B7">
            <w:pPr>
              <w:pStyle w:val="prastasis1"/>
              <w:tabs>
                <w:tab w:val="left" w:pos="567"/>
              </w:tabs>
              <w:jc w:val="both"/>
            </w:pP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 xml:space="preserve">Galimų </w:t>
            </w:r>
            <w:proofErr w:type="spellStart"/>
            <w:r>
              <w:rPr>
                <w:rFonts w:ascii="Times New Roman" w:eastAsia="Times New Roman" w:hAnsi="Times New Roman" w:cs="Times New Roman"/>
                <w:sz w:val="24"/>
              </w:rPr>
              <w:t>rizikų</w:t>
            </w:r>
            <w:proofErr w:type="spellEnd"/>
            <w:r>
              <w:rPr>
                <w:rFonts w:ascii="Times New Roman" w:eastAsia="Times New Roman" w:hAnsi="Times New Roman" w:cs="Times New Roman"/>
                <w:sz w:val="24"/>
              </w:rPr>
              <w:t xml:space="preserve"> vertinimas</w:t>
            </w:r>
          </w:p>
        </w:tc>
        <w:tc>
          <w:tcPr>
            <w:tcW w:w="6952" w:type="dxa"/>
            <w:gridSpan w:val="2"/>
          </w:tcPr>
          <w:p w:rsidR="00671D5F" w:rsidRPr="0018277F" w:rsidRDefault="00EC0526" w:rsidP="006753C3">
            <w:pPr>
              <w:tabs>
                <w:tab w:val="left" w:pos="567"/>
              </w:tabs>
              <w:jc w:val="both"/>
              <w:rPr>
                <w:rFonts w:ascii="Times New Roman" w:eastAsiaTheme="minorHAnsi" w:hAnsi="Times New Roman"/>
                <w:sz w:val="24"/>
                <w:szCs w:val="24"/>
              </w:rPr>
            </w:pPr>
            <w:r w:rsidRPr="00221C74">
              <w:rPr>
                <w:rFonts w:ascii="Times New Roman" w:eastAsia="Times New Roman" w:hAnsi="Times New Roman" w:cs="Times New Roman"/>
                <w:sz w:val="24"/>
              </w:rPr>
              <w:t>Atsižvelgiant į tai, kad</w:t>
            </w:r>
            <w:r w:rsidR="00D41D1D" w:rsidRPr="00221C74">
              <w:rPr>
                <w:rFonts w:ascii="Times New Roman" w:eastAsia="Times New Roman" w:hAnsi="Times New Roman" w:cs="Times New Roman"/>
                <w:sz w:val="24"/>
              </w:rPr>
              <w:t xml:space="preserve"> ankstesniais finansavimo laikotarpiais</w:t>
            </w:r>
            <w:r w:rsidR="006D2D7D" w:rsidRPr="00221C74">
              <w:rPr>
                <w:rFonts w:ascii="Times New Roman" w:eastAsia="Times New Roman" w:hAnsi="Times New Roman" w:cs="Times New Roman"/>
                <w:sz w:val="24"/>
              </w:rPr>
              <w:t xml:space="preserve"> iš </w:t>
            </w:r>
            <w:r w:rsidR="00804891" w:rsidRPr="00221C74">
              <w:rPr>
                <w:rFonts w:ascii="Times New Roman" w:eastAsia="Times New Roman" w:hAnsi="Times New Roman" w:cs="Times New Roman"/>
                <w:sz w:val="24"/>
              </w:rPr>
              <w:t xml:space="preserve"> </w:t>
            </w:r>
            <w:r w:rsidR="00804891" w:rsidRPr="0018277F">
              <w:rPr>
                <w:rFonts w:ascii="Times New Roman" w:eastAsia="Times New Roman" w:hAnsi="Times New Roman" w:cs="Times New Roman"/>
                <w:sz w:val="24"/>
              </w:rPr>
              <w:t>techninės paramos lėšų</w:t>
            </w:r>
            <w:r w:rsidR="00D41D1D" w:rsidRPr="0018277F">
              <w:rPr>
                <w:rFonts w:ascii="Times New Roman" w:eastAsia="Times New Roman" w:hAnsi="Times New Roman" w:cs="Times New Roman"/>
                <w:sz w:val="24"/>
              </w:rPr>
              <w:t xml:space="preserve"> panašių priemonių nebuvo įgyvendinta</w:t>
            </w:r>
            <w:r w:rsidR="006D2D7D" w:rsidRPr="0018277F">
              <w:rPr>
                <w:rFonts w:ascii="Times New Roman" w:eastAsia="Times New Roman" w:hAnsi="Times New Roman" w:cs="Times New Roman"/>
                <w:sz w:val="24"/>
              </w:rPr>
              <w:t xml:space="preserve"> ir</w:t>
            </w:r>
            <w:r w:rsidR="00D41D1D" w:rsidRPr="0018277F">
              <w:rPr>
                <w:rFonts w:ascii="Times New Roman" w:eastAsia="Times New Roman" w:hAnsi="Times New Roman" w:cs="Times New Roman"/>
                <w:sz w:val="24"/>
              </w:rPr>
              <w:t xml:space="preserve"> p</w:t>
            </w:r>
            <w:r w:rsidR="00671D5F" w:rsidRPr="0018277F">
              <w:rPr>
                <w:rFonts w:ascii="Times New Roman" w:hAnsi="Times New Roman"/>
                <w:sz w:val="24"/>
                <w:szCs w:val="24"/>
              </w:rPr>
              <w:t>riemonė</w:t>
            </w:r>
            <w:r w:rsidRPr="0018277F">
              <w:rPr>
                <w:rFonts w:ascii="Times New Roman" w:hAnsi="Times New Roman"/>
                <w:sz w:val="24"/>
                <w:szCs w:val="24"/>
              </w:rPr>
              <w:t xml:space="preserve"> yra  nauja</w:t>
            </w:r>
            <w:r w:rsidR="00574752">
              <w:rPr>
                <w:rFonts w:ascii="Times New Roman" w:hAnsi="Times New Roman"/>
                <w:sz w:val="24"/>
                <w:szCs w:val="24"/>
              </w:rPr>
              <w:t xml:space="preserve">, </w:t>
            </w:r>
            <w:r w:rsidR="00065DDB" w:rsidRPr="0018277F">
              <w:rPr>
                <w:rFonts w:ascii="Times New Roman" w:hAnsi="Times New Roman"/>
                <w:sz w:val="24"/>
                <w:szCs w:val="24"/>
              </w:rPr>
              <w:t>P</w:t>
            </w:r>
            <w:r w:rsidR="00F237D8" w:rsidRPr="0018277F">
              <w:rPr>
                <w:rFonts w:ascii="Times New Roman" w:hAnsi="Times New Roman"/>
                <w:sz w:val="24"/>
                <w:szCs w:val="24"/>
              </w:rPr>
              <w:t>riemonės įgyvendinimo metu</w:t>
            </w:r>
            <w:r w:rsidR="00574752">
              <w:rPr>
                <w:rFonts w:ascii="Times New Roman" w:hAnsi="Times New Roman"/>
                <w:sz w:val="24"/>
                <w:szCs w:val="24"/>
              </w:rPr>
              <w:t xml:space="preserve"> yra</w:t>
            </w:r>
            <w:r w:rsidR="00082B73" w:rsidRPr="0018277F">
              <w:rPr>
                <w:rFonts w:ascii="Times New Roman" w:hAnsi="Times New Roman"/>
                <w:sz w:val="24"/>
                <w:szCs w:val="24"/>
              </w:rPr>
              <w:t xml:space="preserve"> n</w:t>
            </w:r>
            <w:r w:rsidR="003814D5" w:rsidRPr="0018277F">
              <w:rPr>
                <w:rFonts w:ascii="Times New Roman" w:hAnsi="Times New Roman"/>
                <w:sz w:val="24"/>
                <w:szCs w:val="24"/>
              </w:rPr>
              <w:t>eaiškus</w:t>
            </w:r>
            <w:r w:rsidR="00ED5791" w:rsidRPr="0018277F">
              <w:rPr>
                <w:rFonts w:ascii="Times New Roman" w:hAnsi="Times New Roman"/>
                <w:sz w:val="24"/>
                <w:szCs w:val="24"/>
              </w:rPr>
              <w:t xml:space="preserve"> pareiškėjų</w:t>
            </w:r>
            <w:r w:rsidR="003814D5" w:rsidRPr="0018277F">
              <w:rPr>
                <w:rFonts w:ascii="Times New Roman" w:hAnsi="Times New Roman"/>
                <w:sz w:val="24"/>
                <w:szCs w:val="24"/>
              </w:rPr>
              <w:t xml:space="preserve"> susidomėjimas</w:t>
            </w:r>
            <w:r w:rsidR="00ED5791" w:rsidRPr="0018277F">
              <w:rPr>
                <w:rFonts w:ascii="Times New Roman" w:hAnsi="Times New Roman"/>
                <w:sz w:val="24"/>
                <w:szCs w:val="24"/>
              </w:rPr>
              <w:t xml:space="preserve"> priemone</w:t>
            </w:r>
            <w:r w:rsidR="00C1423B">
              <w:rPr>
                <w:rFonts w:ascii="Times New Roman" w:hAnsi="Times New Roman"/>
                <w:sz w:val="24"/>
                <w:szCs w:val="24"/>
              </w:rPr>
              <w:t>, taip pat siūlomų projektų kokybė</w:t>
            </w:r>
            <w:r w:rsidR="00E44886">
              <w:rPr>
                <w:rFonts w:ascii="Times New Roman" w:hAnsi="Times New Roman"/>
                <w:sz w:val="24"/>
                <w:szCs w:val="24"/>
              </w:rPr>
              <w:t>.</w:t>
            </w:r>
            <w:r w:rsidR="00082B73" w:rsidRPr="0018277F">
              <w:rPr>
                <w:rFonts w:ascii="Times New Roman" w:hAnsi="Times New Roman"/>
                <w:sz w:val="24"/>
                <w:szCs w:val="24"/>
              </w:rPr>
              <w:t xml:space="preserve"> </w:t>
            </w:r>
          </w:p>
          <w:p w:rsidR="00EC0526" w:rsidRPr="0018277F" w:rsidRDefault="006753C3" w:rsidP="00EC0526">
            <w:pPr>
              <w:jc w:val="both"/>
              <w:rPr>
                <w:rFonts w:ascii="Times New Roman" w:hAnsi="Times New Roman"/>
                <w:sz w:val="24"/>
                <w:szCs w:val="24"/>
              </w:rPr>
            </w:pPr>
            <w:proofErr w:type="spellStart"/>
            <w:r w:rsidRPr="0018277F">
              <w:rPr>
                <w:rFonts w:ascii="Times New Roman" w:eastAsia="Times New Roman" w:hAnsi="Times New Roman"/>
                <w:bCs/>
                <w:sz w:val="24"/>
                <w:szCs w:val="24"/>
                <w:lang w:val="en-US"/>
              </w:rPr>
              <w:t>Ši</w:t>
            </w:r>
            <w:r w:rsidR="00574752">
              <w:rPr>
                <w:rFonts w:ascii="Times New Roman" w:eastAsia="Times New Roman" w:hAnsi="Times New Roman"/>
                <w:bCs/>
                <w:sz w:val="24"/>
                <w:szCs w:val="24"/>
                <w:lang w:val="en-US"/>
              </w:rPr>
              <w:t>os</w:t>
            </w:r>
            <w:proofErr w:type="spellEnd"/>
            <w:r w:rsidR="00574752">
              <w:rPr>
                <w:rFonts w:ascii="Times New Roman" w:eastAsia="Times New Roman" w:hAnsi="Times New Roman"/>
                <w:bCs/>
                <w:sz w:val="24"/>
                <w:szCs w:val="24"/>
                <w:lang w:val="en-US"/>
              </w:rPr>
              <w:t xml:space="preserve"> </w:t>
            </w:r>
            <w:proofErr w:type="spellStart"/>
            <w:r w:rsidR="00574752">
              <w:rPr>
                <w:rFonts w:ascii="Times New Roman" w:eastAsia="Times New Roman" w:hAnsi="Times New Roman"/>
                <w:bCs/>
                <w:sz w:val="24"/>
                <w:szCs w:val="24"/>
                <w:lang w:val="en-US"/>
              </w:rPr>
              <w:t>rizikos</w:t>
            </w:r>
            <w:proofErr w:type="spellEnd"/>
            <w:r w:rsidR="00574752">
              <w:rPr>
                <w:rFonts w:ascii="Times New Roman" w:eastAsia="Times New Roman" w:hAnsi="Times New Roman"/>
                <w:bCs/>
                <w:sz w:val="24"/>
                <w:szCs w:val="24"/>
                <w:lang w:val="en-US"/>
              </w:rPr>
              <w:t xml:space="preserve"> </w:t>
            </w:r>
            <w:r w:rsidR="00EC0526" w:rsidRPr="0018277F">
              <w:rPr>
                <w:rFonts w:ascii="Times New Roman" w:eastAsia="Times New Roman" w:hAnsi="Times New Roman"/>
                <w:bCs/>
                <w:sz w:val="24"/>
                <w:szCs w:val="24"/>
              </w:rPr>
              <w:t>pasireiškimo</w:t>
            </w:r>
            <w:r w:rsidR="00EC0526" w:rsidRPr="0018277F">
              <w:rPr>
                <w:rFonts w:ascii="Times New Roman" w:hAnsi="Times New Roman"/>
                <w:sz w:val="24"/>
                <w:szCs w:val="24"/>
              </w:rPr>
              <w:t xml:space="preserve"> tikimybė galėtų būti vertinama kaip vidutinė.</w:t>
            </w:r>
          </w:p>
          <w:p w:rsidR="004B24B7" w:rsidRPr="00221C74" w:rsidRDefault="00082B73" w:rsidP="00D51D57">
            <w:pPr>
              <w:jc w:val="both"/>
            </w:pPr>
            <w:r w:rsidRPr="0018277F">
              <w:rPr>
                <w:rFonts w:ascii="Times New Roman" w:eastAsiaTheme="minorHAnsi" w:hAnsi="Times New Roman"/>
                <w:sz w:val="24"/>
                <w:szCs w:val="24"/>
              </w:rPr>
              <w:t>Siekiant valdyti nurodyt</w:t>
            </w:r>
            <w:r w:rsidR="00574752">
              <w:rPr>
                <w:rFonts w:ascii="Times New Roman" w:eastAsiaTheme="minorHAnsi" w:hAnsi="Times New Roman"/>
                <w:sz w:val="24"/>
                <w:szCs w:val="24"/>
              </w:rPr>
              <w:t>ą</w:t>
            </w:r>
            <w:r w:rsidRPr="0018277F">
              <w:rPr>
                <w:rFonts w:ascii="Times New Roman" w:eastAsiaTheme="minorHAnsi" w:hAnsi="Times New Roman"/>
                <w:sz w:val="24"/>
                <w:szCs w:val="24"/>
              </w:rPr>
              <w:t xml:space="preserve"> rizik</w:t>
            </w:r>
            <w:r w:rsidR="00574752">
              <w:rPr>
                <w:rFonts w:ascii="Times New Roman" w:eastAsiaTheme="minorHAnsi" w:hAnsi="Times New Roman"/>
                <w:sz w:val="24"/>
                <w:szCs w:val="24"/>
              </w:rPr>
              <w:t>ą</w:t>
            </w:r>
            <w:r w:rsidR="006753C3" w:rsidRPr="0018277F">
              <w:rPr>
                <w:rFonts w:ascii="Times New Roman" w:eastAsiaTheme="minorHAnsi" w:hAnsi="Times New Roman"/>
                <w:sz w:val="24"/>
                <w:szCs w:val="24"/>
              </w:rPr>
              <w:t xml:space="preserve"> ir</w:t>
            </w:r>
            <w:r w:rsidR="006753C3" w:rsidRPr="0018277F">
              <w:rPr>
                <w:rFonts w:ascii="Times New Roman" w:hAnsi="Times New Roman"/>
                <w:sz w:val="24"/>
                <w:szCs w:val="24"/>
              </w:rPr>
              <w:t xml:space="preserve"> sėkmingai įgyvendinti priemonę, </w:t>
            </w:r>
            <w:r w:rsidR="00935784" w:rsidRPr="0018277F">
              <w:rPr>
                <w:rFonts w:ascii="Times New Roman" w:eastAsiaTheme="minorHAnsi" w:hAnsi="Times New Roman"/>
                <w:sz w:val="24"/>
                <w:szCs w:val="24"/>
              </w:rPr>
              <w:t>numatoma</w:t>
            </w:r>
            <w:r w:rsidR="004C2EA9" w:rsidRPr="0018277F">
              <w:rPr>
                <w:rFonts w:ascii="Times New Roman" w:eastAsiaTheme="minorHAnsi" w:hAnsi="Times New Roman"/>
                <w:sz w:val="24"/>
                <w:szCs w:val="24"/>
              </w:rPr>
              <w:t>, kad</w:t>
            </w:r>
            <w:r w:rsidR="00935784" w:rsidRPr="0018277F">
              <w:rPr>
                <w:rFonts w:ascii="Times New Roman" w:eastAsiaTheme="minorHAnsi" w:hAnsi="Times New Roman"/>
                <w:sz w:val="24"/>
                <w:szCs w:val="24"/>
              </w:rPr>
              <w:t xml:space="preserve"> </w:t>
            </w:r>
            <w:r w:rsidR="0018277F" w:rsidRPr="0018277F">
              <w:rPr>
                <w:rFonts w:ascii="Times New Roman" w:eastAsiaTheme="minorHAnsi" w:hAnsi="Times New Roman"/>
                <w:sz w:val="24"/>
                <w:szCs w:val="24"/>
              </w:rPr>
              <w:t xml:space="preserve">Finansų ministerija (toliau – </w:t>
            </w:r>
            <w:r w:rsidR="00935784" w:rsidRPr="0018277F">
              <w:rPr>
                <w:rFonts w:ascii="Times New Roman" w:eastAsiaTheme="minorHAnsi" w:hAnsi="Times New Roman"/>
                <w:sz w:val="24"/>
                <w:szCs w:val="24"/>
              </w:rPr>
              <w:t>FM</w:t>
            </w:r>
            <w:r w:rsidR="0018277F" w:rsidRPr="0018277F">
              <w:rPr>
                <w:rFonts w:ascii="Times New Roman" w:eastAsiaTheme="minorHAnsi" w:hAnsi="Times New Roman"/>
                <w:sz w:val="24"/>
                <w:szCs w:val="24"/>
              </w:rPr>
              <w:t>)</w:t>
            </w:r>
            <w:r w:rsidR="00935784" w:rsidRPr="0018277F">
              <w:rPr>
                <w:rFonts w:ascii="Times New Roman" w:eastAsiaTheme="minorHAnsi" w:hAnsi="Times New Roman"/>
                <w:sz w:val="24"/>
                <w:szCs w:val="24"/>
              </w:rPr>
              <w:t xml:space="preserve"> </w:t>
            </w:r>
            <w:r w:rsidR="0018277F" w:rsidRPr="0018277F">
              <w:rPr>
                <w:rFonts w:ascii="Times New Roman" w:eastAsiaTheme="minorHAnsi" w:hAnsi="Times New Roman"/>
                <w:sz w:val="24"/>
                <w:szCs w:val="24"/>
              </w:rPr>
              <w:t xml:space="preserve">organizuos </w:t>
            </w:r>
            <w:r w:rsidR="00D51D57">
              <w:rPr>
                <w:rFonts w:ascii="Times New Roman" w:eastAsiaTheme="minorHAnsi" w:hAnsi="Times New Roman"/>
                <w:sz w:val="24"/>
                <w:szCs w:val="24"/>
              </w:rPr>
              <w:t>P</w:t>
            </w:r>
            <w:r w:rsidR="0018277F" w:rsidRPr="0018277F">
              <w:rPr>
                <w:rFonts w:ascii="Times New Roman" w:eastAsiaTheme="minorHAnsi" w:hAnsi="Times New Roman"/>
                <w:sz w:val="24"/>
                <w:szCs w:val="24"/>
              </w:rPr>
              <w:t xml:space="preserve">riemonės </w:t>
            </w:r>
            <w:r w:rsidR="00C1423B">
              <w:rPr>
                <w:rFonts w:ascii="Times New Roman" w:eastAsiaTheme="minorHAnsi" w:hAnsi="Times New Roman"/>
                <w:sz w:val="24"/>
                <w:szCs w:val="24"/>
              </w:rPr>
              <w:t>derinimą/</w:t>
            </w:r>
            <w:r w:rsidR="0018277F" w:rsidRPr="0018277F">
              <w:rPr>
                <w:rFonts w:ascii="Times New Roman" w:eastAsiaTheme="minorHAnsi" w:hAnsi="Times New Roman"/>
                <w:sz w:val="24"/>
                <w:szCs w:val="24"/>
              </w:rPr>
              <w:t xml:space="preserve">aptarimą su partneriais, </w:t>
            </w:r>
            <w:r w:rsidR="00935784" w:rsidRPr="0018277F">
              <w:rPr>
                <w:rFonts w:ascii="Times New Roman" w:eastAsiaTheme="minorHAnsi" w:hAnsi="Times New Roman"/>
                <w:sz w:val="24"/>
                <w:szCs w:val="24"/>
              </w:rPr>
              <w:t>kad būtų parengtas aiškus ir</w:t>
            </w:r>
            <w:r w:rsidR="004C2EA9" w:rsidRPr="0018277F">
              <w:rPr>
                <w:rFonts w:ascii="Times New Roman" w:eastAsiaTheme="minorHAnsi" w:hAnsi="Times New Roman"/>
                <w:sz w:val="24"/>
                <w:szCs w:val="24"/>
              </w:rPr>
              <w:t xml:space="preserve"> konkretus projektų finansavimo sąlygų aprašas</w:t>
            </w:r>
            <w:r w:rsidR="00645647" w:rsidRPr="0018277F">
              <w:rPr>
                <w:rFonts w:ascii="Times New Roman" w:eastAsiaTheme="minorHAnsi" w:hAnsi="Times New Roman"/>
                <w:sz w:val="24"/>
                <w:szCs w:val="24"/>
              </w:rPr>
              <w:t xml:space="preserve"> (-ai)</w:t>
            </w:r>
            <w:r w:rsidR="004C2EA9" w:rsidRPr="0018277F">
              <w:rPr>
                <w:rFonts w:ascii="Times New Roman" w:eastAsiaTheme="minorHAnsi" w:hAnsi="Times New Roman"/>
                <w:sz w:val="24"/>
                <w:szCs w:val="24"/>
              </w:rPr>
              <w:t>, kad Priemonė būtų patraukli pareiškėjams ir tuo pačiu pareiškėjai</w:t>
            </w:r>
            <w:r w:rsidR="004C2EA9" w:rsidRPr="00221C74">
              <w:rPr>
                <w:rFonts w:ascii="Times New Roman" w:eastAsiaTheme="minorHAnsi" w:hAnsi="Times New Roman"/>
                <w:sz w:val="24"/>
                <w:szCs w:val="24"/>
              </w:rPr>
              <w:t xml:space="preserve"> būtų įtraukti į komunikacijos procesą, taip pat galėtų kuo</w:t>
            </w:r>
            <w:r w:rsidR="00935784" w:rsidRPr="00221C74">
              <w:rPr>
                <w:rFonts w:ascii="Times New Roman" w:hAnsi="Times New Roman"/>
                <w:sz w:val="24"/>
                <w:szCs w:val="24"/>
              </w:rPr>
              <w:t xml:space="preserve"> geriau prisidėti prie veiksmų programos 12 prioriteto </w:t>
            </w:r>
            <w:r w:rsidR="00935784" w:rsidRPr="00221C74">
              <w:rPr>
                <w:rFonts w:ascii="Times New Roman" w:eastAsia="Times New Roman" w:hAnsi="Times New Roman" w:cs="Times New Roman"/>
                <w:sz w:val="24"/>
              </w:rPr>
              <w:t>12.1 uždavinio</w:t>
            </w:r>
            <w:r w:rsidR="00065DDB" w:rsidRPr="00221C74">
              <w:rPr>
                <w:rFonts w:ascii="Times New Roman" w:eastAsia="Times New Roman" w:hAnsi="Times New Roman" w:cs="Times New Roman"/>
                <w:sz w:val="24"/>
              </w:rPr>
              <w:t xml:space="preserve"> ir </w:t>
            </w:r>
            <w:r w:rsidR="00FE6907">
              <w:rPr>
                <w:rFonts w:ascii="Times New Roman" w:eastAsia="Times New Roman" w:hAnsi="Times New Roman" w:cs="Times New Roman"/>
                <w:sz w:val="24"/>
              </w:rPr>
              <w:t>k</w:t>
            </w:r>
            <w:r w:rsidR="00065DDB" w:rsidRPr="00221C74">
              <w:rPr>
                <w:rFonts w:ascii="Times New Roman" w:eastAsia="Times New Roman" w:hAnsi="Times New Roman" w:cs="Times New Roman"/>
                <w:sz w:val="24"/>
              </w:rPr>
              <w:t>omunikacijos strategijoje numatytų tikslų</w:t>
            </w:r>
            <w:r w:rsidR="00935784" w:rsidRPr="00221C74">
              <w:rPr>
                <w:rFonts w:ascii="Times New Roman" w:eastAsia="Times New Roman" w:hAnsi="Times New Roman" w:cs="Times New Roman"/>
                <w:sz w:val="24"/>
              </w:rPr>
              <w:t xml:space="preserve"> įgyvendinimo</w:t>
            </w:r>
            <w:r w:rsidR="004C2EA9" w:rsidRPr="00221C74">
              <w:rPr>
                <w:rFonts w:ascii="Times New Roman" w:eastAsia="Times New Roman" w:hAnsi="Times New Roman" w:cs="Times New Roman"/>
                <w:sz w:val="24"/>
              </w:rPr>
              <w:t xml:space="preserve"> ir tuo pačiu būtų užtikrintas efektyvus lėšų panaudojimas</w:t>
            </w:r>
            <w:r w:rsidR="00935784" w:rsidRPr="00221C74">
              <w:rPr>
                <w:rFonts w:ascii="Times New Roman" w:hAnsi="Times New Roman"/>
                <w:sz w:val="24"/>
                <w:szCs w:val="24"/>
              </w:rPr>
              <w:t>.</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0" w:firstLine="0"/>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Horizontaliųjų principų įgyvendinimas</w:t>
            </w:r>
          </w:p>
        </w:tc>
        <w:tc>
          <w:tcPr>
            <w:tcW w:w="6952" w:type="dxa"/>
            <w:gridSpan w:val="2"/>
          </w:tcPr>
          <w:p w:rsidR="004B24B7" w:rsidRDefault="00A10AFB" w:rsidP="00411C01">
            <w:pPr>
              <w:pStyle w:val="prastasis1"/>
              <w:tabs>
                <w:tab w:val="left" w:pos="567"/>
              </w:tabs>
              <w:jc w:val="both"/>
            </w:pPr>
            <w:r w:rsidRPr="00B33F2F">
              <w:rPr>
                <w:rFonts w:ascii="Times New Roman" w:eastAsia="Times New Roman" w:hAnsi="Times New Roman" w:cs="Times New Roman"/>
                <w:sz w:val="24"/>
              </w:rPr>
              <w:t>Pagal Priemonę nenumatoma apribojimų, kurie turėtų neigiamą poveikį lyčių lygybės ir nediskriminavimo, darnaus vystymosi ir jaunimo principų įgyvendinimui</w:t>
            </w:r>
            <w:r w:rsidR="00E957B4" w:rsidRPr="00B33F2F">
              <w:rPr>
                <w:rFonts w:ascii="Times New Roman" w:eastAsia="Times New Roman" w:hAnsi="Times New Roman" w:cs="Times New Roman"/>
                <w:sz w:val="24"/>
              </w:rPr>
              <w:t>.</w:t>
            </w:r>
            <w:r w:rsidR="0047225A" w:rsidRPr="00B33F2F">
              <w:rPr>
                <w:rFonts w:ascii="Times New Roman" w:hAnsi="Times New Roman"/>
                <w:sz w:val="24"/>
                <w:szCs w:val="24"/>
              </w:rPr>
              <w:t xml:space="preserve"> Visiems pareiškėjams ir naudos gavėjams nepriklausomai nuo lyties, rasės, tautybės, kalbos, kilmės, socialinės padėties, tikėjimo, įsitikinimų ar pažiūrų, amžiaus, negalios, lytinės orientacijos, etninės priklausomybės, religijos principų bus suteikiamos teisės dalyvauti projektų veiklose ir naudotis jų rezultatais</w:t>
            </w:r>
            <w:r w:rsidR="00411C01">
              <w:rPr>
                <w:rFonts w:ascii="Times New Roman" w:hAnsi="Times New Roman"/>
                <w:sz w:val="24"/>
                <w:szCs w:val="24"/>
              </w:rPr>
              <w:t>.</w:t>
            </w:r>
            <w:r w:rsidR="00820330" w:rsidRPr="000F27BC">
              <w:rPr>
                <w:rFonts w:ascii="Times New Roman" w:hAnsi="Times New Roman"/>
                <w:sz w:val="24"/>
                <w:szCs w:val="24"/>
              </w:rPr>
              <w:t xml:space="preserve"> </w:t>
            </w:r>
          </w:p>
        </w:tc>
      </w:tr>
      <w:tr w:rsidR="00E957B4" w:rsidTr="000F27BC">
        <w:tc>
          <w:tcPr>
            <w:tcW w:w="10355" w:type="dxa"/>
            <w:gridSpan w:val="4"/>
            <w:shd w:val="clear" w:color="auto" w:fill="F2F2F2"/>
          </w:tcPr>
          <w:p w:rsidR="00E957B4" w:rsidRDefault="00E957B4" w:rsidP="00E957B4">
            <w:pPr>
              <w:pStyle w:val="prastasis1"/>
              <w:widowControl w:val="0"/>
              <w:spacing w:line="276" w:lineRule="auto"/>
              <w:jc w:val="center"/>
            </w:pPr>
            <w:r>
              <w:rPr>
                <w:rFonts w:ascii="Times New Roman" w:eastAsia="Times New Roman" w:hAnsi="Times New Roman" w:cs="Times New Roman"/>
                <w:b/>
                <w:sz w:val="24"/>
              </w:rPr>
              <w:t>II. Finansavimo forma</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79"/>
              <w:contextualSpacing/>
              <w:rPr>
                <w:rFonts w:ascii="Times New Roman" w:eastAsia="Times New Roman" w:hAnsi="Times New Roman" w:cs="Times New Roman"/>
                <w:sz w:val="24"/>
              </w:rPr>
            </w:pPr>
          </w:p>
        </w:tc>
        <w:tc>
          <w:tcPr>
            <w:tcW w:w="2552" w:type="dxa"/>
            <w:gridSpan w:val="2"/>
          </w:tcPr>
          <w:p w:rsidR="004B24B7" w:rsidRDefault="00A10AFB">
            <w:pPr>
              <w:pStyle w:val="prastasis1"/>
              <w:tabs>
                <w:tab w:val="left" w:pos="567"/>
              </w:tabs>
            </w:pPr>
            <w:r>
              <w:rPr>
                <w:rFonts w:ascii="Times New Roman" w:eastAsia="Times New Roman" w:hAnsi="Times New Roman" w:cs="Times New Roman"/>
                <w:sz w:val="24"/>
              </w:rPr>
              <w:t>Priemonės finansavimo formos pasirinkimo pagrindimas</w:t>
            </w:r>
          </w:p>
        </w:tc>
        <w:tc>
          <w:tcPr>
            <w:tcW w:w="6946" w:type="dxa"/>
          </w:tcPr>
          <w:p w:rsidR="004B24B7" w:rsidRPr="00F2090B" w:rsidRDefault="00EC7993" w:rsidP="00F2090B">
            <w:pPr>
              <w:pStyle w:val="prastasis1"/>
              <w:tabs>
                <w:tab w:val="left" w:pos="175"/>
              </w:tabs>
              <w:spacing w:after="200"/>
              <w:ind w:left="33"/>
              <w:jc w:val="both"/>
              <w:rPr>
                <w:rFonts w:ascii="Times New Roman" w:hAnsi="Times New Roman" w:cs="Times New Roman"/>
                <w:sz w:val="24"/>
                <w:szCs w:val="24"/>
              </w:rPr>
            </w:pPr>
            <w:r w:rsidRPr="006B608B">
              <w:rPr>
                <w:rFonts w:ascii="Times New Roman" w:hAnsi="Times New Roman" w:cs="Times New Roman"/>
                <w:sz w:val="24"/>
                <w:szCs w:val="24"/>
              </w:rPr>
              <w:t xml:space="preserve">Atsižvelgiant į </w:t>
            </w:r>
            <w:r w:rsidR="00820330" w:rsidRPr="006B608B">
              <w:rPr>
                <w:rFonts w:ascii="Times New Roman" w:eastAsia="Times New Roman" w:hAnsi="Times New Roman" w:cs="Times New Roman"/>
                <w:sz w:val="24"/>
                <w:szCs w:val="24"/>
              </w:rPr>
              <w:t>2014</w:t>
            </w:r>
            <w:r w:rsidR="00820330" w:rsidRPr="006B608B">
              <w:rPr>
                <w:rFonts w:ascii="Times New Roman" w:eastAsia="Times New Roman" w:hAnsi="Times New Roman" w:cs="Times New Roman"/>
                <w:b/>
                <w:sz w:val="24"/>
                <w:szCs w:val="24"/>
              </w:rPr>
              <w:t>–</w:t>
            </w:r>
            <w:r w:rsidR="00820330" w:rsidRPr="006B608B">
              <w:rPr>
                <w:rFonts w:ascii="Times New Roman" w:eastAsia="Times New Roman" w:hAnsi="Times New Roman" w:cs="Times New Roman"/>
                <w:sz w:val="24"/>
                <w:szCs w:val="24"/>
              </w:rPr>
              <w:t xml:space="preserve">2020 metų ES fondų investicijų veiksmų programos administravimo taisyklių, patvirtintų Lietuvos Respublikos </w:t>
            </w:r>
            <w:r w:rsidR="00820330" w:rsidRPr="00DE1488">
              <w:rPr>
                <w:rFonts w:ascii="Times New Roman" w:eastAsia="Times New Roman" w:hAnsi="Times New Roman" w:cs="Times New Roman"/>
                <w:sz w:val="24"/>
                <w:szCs w:val="24"/>
              </w:rPr>
              <w:t>Vyriausybės 2014 m. spalio 3 d. nutarimu Nr. 1090 „Dėl 2014</w:t>
            </w:r>
            <w:r w:rsidR="00820330" w:rsidRPr="000F27BC">
              <w:rPr>
                <w:rFonts w:ascii="Times New Roman" w:eastAsia="Times New Roman" w:hAnsi="Times New Roman" w:cs="Times New Roman"/>
                <w:b/>
                <w:sz w:val="24"/>
                <w:szCs w:val="24"/>
              </w:rPr>
              <w:t>–</w:t>
            </w:r>
            <w:r w:rsidR="00820330" w:rsidRPr="000F27BC">
              <w:rPr>
                <w:rFonts w:ascii="Times New Roman" w:eastAsia="Times New Roman" w:hAnsi="Times New Roman" w:cs="Times New Roman"/>
                <w:sz w:val="24"/>
                <w:szCs w:val="24"/>
              </w:rPr>
              <w:t>2020 metų ES fondų investicijų veiksmų programos administravimo taisyklių patvirtinimo</w:t>
            </w:r>
            <w:r w:rsidR="00820330" w:rsidRPr="000F27BC">
              <w:rPr>
                <w:rFonts w:ascii="Times New Roman" w:hAnsi="Times New Roman" w:cs="Times New Roman"/>
                <w:sz w:val="24"/>
                <w:szCs w:val="24"/>
              </w:rPr>
              <w:t>“</w:t>
            </w:r>
            <w:r w:rsidR="006310DE">
              <w:rPr>
                <w:rFonts w:ascii="Times New Roman" w:hAnsi="Times New Roman" w:cs="Times New Roman"/>
                <w:sz w:val="24"/>
                <w:szCs w:val="24"/>
              </w:rPr>
              <w:t xml:space="preserve"> (toliau – Veiksmų programos administravimo taisyklės)</w:t>
            </w:r>
            <w:r w:rsidR="00D51D57">
              <w:rPr>
                <w:rFonts w:ascii="Times New Roman" w:hAnsi="Times New Roman" w:cs="Times New Roman"/>
                <w:sz w:val="24"/>
                <w:szCs w:val="24"/>
              </w:rPr>
              <w:t>,</w:t>
            </w:r>
            <w:r w:rsidRPr="000F27BC">
              <w:rPr>
                <w:rFonts w:ascii="Times New Roman" w:hAnsi="Times New Roman" w:cs="Times New Roman"/>
                <w:sz w:val="24"/>
                <w:szCs w:val="24"/>
              </w:rPr>
              <w:t xml:space="preserve"> 129.6 p</w:t>
            </w:r>
            <w:r w:rsidR="004414B1">
              <w:rPr>
                <w:rFonts w:ascii="Times New Roman" w:hAnsi="Times New Roman" w:cs="Times New Roman"/>
                <w:sz w:val="24"/>
                <w:szCs w:val="24"/>
              </w:rPr>
              <w:t>apunktį</w:t>
            </w:r>
            <w:r w:rsidR="00820330" w:rsidRPr="000F27BC">
              <w:rPr>
                <w:rFonts w:ascii="Times New Roman" w:hAnsi="Times New Roman" w:cs="Times New Roman"/>
                <w:sz w:val="24"/>
                <w:szCs w:val="24"/>
              </w:rPr>
              <w:t>,</w:t>
            </w:r>
            <w:r w:rsidR="006B608B" w:rsidRPr="000F27BC">
              <w:rPr>
                <w:rFonts w:ascii="Times New Roman" w:hAnsi="Times New Roman" w:cs="Times New Roman"/>
                <w:sz w:val="24"/>
                <w:szCs w:val="24"/>
              </w:rPr>
              <w:t xml:space="preserve"> kur</w:t>
            </w:r>
            <w:r w:rsidR="004414B1">
              <w:rPr>
                <w:rFonts w:ascii="Times New Roman" w:hAnsi="Times New Roman" w:cs="Times New Roman"/>
                <w:sz w:val="24"/>
                <w:szCs w:val="24"/>
              </w:rPr>
              <w:t>iame</w:t>
            </w:r>
            <w:r w:rsidR="006B608B" w:rsidRPr="000F27BC">
              <w:rPr>
                <w:rFonts w:ascii="Times New Roman" w:hAnsi="Times New Roman" w:cs="Times New Roman"/>
                <w:sz w:val="24"/>
                <w:szCs w:val="24"/>
              </w:rPr>
              <w:t xml:space="preserve"> nurodyta,</w:t>
            </w:r>
            <w:r w:rsidR="001F2A4E" w:rsidRPr="000F27BC">
              <w:rPr>
                <w:rFonts w:ascii="Times New Roman" w:hAnsi="Times New Roman" w:cs="Times New Roman"/>
                <w:sz w:val="24"/>
                <w:szCs w:val="24"/>
              </w:rPr>
              <w:t xml:space="preserve"> kad</w:t>
            </w:r>
            <w:r w:rsidRPr="000F27BC">
              <w:rPr>
                <w:rFonts w:ascii="Times New Roman" w:hAnsi="Times New Roman" w:cs="Times New Roman"/>
                <w:sz w:val="24"/>
                <w:szCs w:val="24"/>
              </w:rPr>
              <w:t xml:space="preserve"> </w:t>
            </w:r>
            <w:r w:rsidR="001F2A4E" w:rsidRPr="000F27BC">
              <w:rPr>
                <w:rFonts w:ascii="Times New Roman" w:hAnsi="Times New Roman" w:cs="Times New Roman"/>
                <w:sz w:val="24"/>
                <w:szCs w:val="24"/>
              </w:rPr>
              <w:lastRenderedPageBreak/>
              <w:t>atskirai priemonei gali būti taikoma tik viena finansavimo forma, išskyrus apdovanojimus, kurie gali būti teikiami ir tais atvejais, kai priemonė finansuojama taikant negrąžinamąją arba grąžinamąją subsidiją, taip pat atsižvelgiant į tai, kad p</w:t>
            </w:r>
            <w:r w:rsidR="001F2A4E" w:rsidRPr="006B608B">
              <w:rPr>
                <w:rFonts w:ascii="Times New Roman" w:eastAsia="Times New Roman" w:hAnsi="Times New Roman" w:cs="Times New Roman"/>
                <w:sz w:val="24"/>
                <w:szCs w:val="24"/>
              </w:rPr>
              <w:t>lanuojamos finansuoti veiklos nėra susijusios su ekonomine nauda ir negeneruoja grynųjų pajamų</w:t>
            </w:r>
            <w:r w:rsidR="001F2A4E" w:rsidRPr="00DE1488">
              <w:rPr>
                <w:rFonts w:ascii="Times New Roman" w:eastAsia="Times New Roman" w:hAnsi="Times New Roman" w:cs="Times New Roman"/>
                <w:sz w:val="24"/>
                <w:szCs w:val="24"/>
              </w:rPr>
              <w:t>, todėl Priemonės finansavimo forma</w:t>
            </w:r>
            <w:r w:rsidR="006B608B" w:rsidRPr="00DE1488">
              <w:rPr>
                <w:rFonts w:ascii="Times New Roman" w:eastAsia="Times New Roman" w:hAnsi="Times New Roman" w:cs="Times New Roman"/>
                <w:sz w:val="24"/>
                <w:szCs w:val="24"/>
              </w:rPr>
              <w:t xml:space="preserve"> </w:t>
            </w:r>
            <w:r w:rsidR="006B608B" w:rsidRPr="000F27BC">
              <w:rPr>
                <w:rFonts w:ascii="Times New Roman" w:eastAsia="Times New Roman" w:hAnsi="Times New Roman" w:cs="Times New Roman"/>
                <w:sz w:val="24"/>
                <w:szCs w:val="24"/>
              </w:rPr>
              <w:t xml:space="preserve">pasirinkta </w:t>
            </w:r>
            <w:r w:rsidR="001F2A4E" w:rsidRPr="000F27BC">
              <w:rPr>
                <w:rFonts w:ascii="Times New Roman" w:eastAsia="Times New Roman" w:hAnsi="Times New Roman" w:cs="Times New Roman"/>
                <w:sz w:val="24"/>
                <w:szCs w:val="24"/>
              </w:rPr>
              <w:t>- negrąžinamoji subsidija</w:t>
            </w:r>
            <w:r w:rsidR="00C9186A">
              <w:rPr>
                <w:rFonts w:ascii="Times New Roman" w:eastAsia="Times New Roman" w:hAnsi="Times New Roman" w:cs="Times New Roman"/>
                <w:sz w:val="24"/>
                <w:szCs w:val="24"/>
              </w:rPr>
              <w:t>.</w:t>
            </w:r>
            <w:r w:rsidR="001F2A4E" w:rsidRPr="000F27BC">
              <w:rPr>
                <w:rFonts w:ascii="Times New Roman" w:hAnsi="Times New Roman" w:cs="Times New Roman"/>
                <w:sz w:val="24"/>
                <w:szCs w:val="24"/>
              </w:rPr>
              <w:t xml:space="preserve"> </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34" w:firstLine="0"/>
              <w:contextualSpacing/>
              <w:rPr>
                <w:rFonts w:ascii="Times New Roman" w:eastAsia="Times New Roman" w:hAnsi="Times New Roman" w:cs="Times New Roman"/>
                <w:sz w:val="24"/>
              </w:rPr>
            </w:pPr>
          </w:p>
        </w:tc>
        <w:tc>
          <w:tcPr>
            <w:tcW w:w="2552" w:type="dxa"/>
            <w:gridSpan w:val="2"/>
          </w:tcPr>
          <w:p w:rsidR="004B24B7" w:rsidRDefault="00A10AFB">
            <w:pPr>
              <w:pStyle w:val="prastasis1"/>
              <w:tabs>
                <w:tab w:val="left" w:pos="567"/>
              </w:tabs>
            </w:pPr>
            <w:r>
              <w:rPr>
                <w:rFonts w:ascii="Times New Roman" w:eastAsia="Times New Roman" w:hAnsi="Times New Roman" w:cs="Times New Roman"/>
                <w:sz w:val="24"/>
              </w:rPr>
              <w:t>Galimybė taikyti finansines  priemones (jei taikoma)</w:t>
            </w:r>
          </w:p>
        </w:tc>
        <w:tc>
          <w:tcPr>
            <w:tcW w:w="6946" w:type="dxa"/>
          </w:tcPr>
          <w:p w:rsidR="004B24B7" w:rsidRDefault="00A10AFB">
            <w:pPr>
              <w:pStyle w:val="prastasis1"/>
              <w:tabs>
                <w:tab w:val="left" w:pos="567"/>
              </w:tabs>
              <w:jc w:val="both"/>
            </w:pPr>
            <w:r>
              <w:rPr>
                <w:rFonts w:ascii="Times New Roman" w:eastAsia="Times New Roman" w:hAnsi="Times New Roman" w:cs="Times New Roman"/>
                <w:sz w:val="24"/>
              </w:rPr>
              <w:t>Netaikoma.</w:t>
            </w:r>
          </w:p>
        </w:tc>
      </w:tr>
      <w:tr w:rsidR="004B24B7" w:rsidTr="000F27BC">
        <w:tc>
          <w:tcPr>
            <w:tcW w:w="857" w:type="dxa"/>
          </w:tcPr>
          <w:p w:rsidR="004B24B7" w:rsidRDefault="004B24B7">
            <w:pPr>
              <w:pStyle w:val="prastasis1"/>
              <w:numPr>
                <w:ilvl w:val="0"/>
                <w:numId w:val="2"/>
              </w:numPr>
              <w:tabs>
                <w:tab w:val="left" w:pos="567"/>
              </w:tabs>
              <w:spacing w:after="200" w:line="276" w:lineRule="auto"/>
              <w:ind w:left="34" w:firstLine="0"/>
              <w:contextualSpacing/>
              <w:rPr>
                <w:rFonts w:ascii="Times New Roman" w:eastAsia="Times New Roman" w:hAnsi="Times New Roman" w:cs="Times New Roman"/>
                <w:sz w:val="24"/>
              </w:rPr>
            </w:pPr>
          </w:p>
        </w:tc>
        <w:tc>
          <w:tcPr>
            <w:tcW w:w="2552" w:type="dxa"/>
            <w:gridSpan w:val="2"/>
          </w:tcPr>
          <w:p w:rsidR="004B24B7" w:rsidRDefault="00A10AFB">
            <w:pPr>
              <w:pStyle w:val="prastasis1"/>
              <w:tabs>
                <w:tab w:val="left" w:pos="567"/>
              </w:tabs>
            </w:pPr>
            <w:r>
              <w:rPr>
                <w:rFonts w:ascii="Times New Roman" w:eastAsia="Times New Roman" w:hAnsi="Times New Roman" w:cs="Times New Roman"/>
                <w:sz w:val="24"/>
              </w:rPr>
              <w:t xml:space="preserve">Galimybė taikyti grąžinamąją subsidiją </w:t>
            </w:r>
          </w:p>
        </w:tc>
        <w:tc>
          <w:tcPr>
            <w:tcW w:w="6946" w:type="dxa"/>
          </w:tcPr>
          <w:p w:rsidR="004B24B7" w:rsidRPr="00B33F2F" w:rsidRDefault="00DA6D9A" w:rsidP="00411C01">
            <w:pPr>
              <w:pStyle w:val="prastasis1"/>
              <w:tabs>
                <w:tab w:val="left" w:pos="175"/>
              </w:tabs>
              <w:jc w:val="both"/>
            </w:pPr>
            <w:r w:rsidRPr="000F27BC">
              <w:rPr>
                <w:rFonts w:ascii="Times New Roman" w:eastAsia="Times New Roman" w:hAnsi="Times New Roman" w:cs="Times New Roman"/>
                <w:sz w:val="24"/>
              </w:rPr>
              <w:t xml:space="preserve">Dėl </w:t>
            </w:r>
            <w:r w:rsidR="00C9186A">
              <w:rPr>
                <w:rFonts w:ascii="Times New Roman" w:eastAsia="Times New Roman" w:hAnsi="Times New Roman" w:cs="Times New Roman"/>
                <w:sz w:val="24"/>
              </w:rPr>
              <w:t>P</w:t>
            </w:r>
            <w:r w:rsidRPr="000F27BC">
              <w:rPr>
                <w:rFonts w:ascii="Times New Roman" w:eastAsia="Times New Roman" w:hAnsi="Times New Roman" w:cs="Times New Roman"/>
                <w:sz w:val="24"/>
              </w:rPr>
              <w:t>riemonės veiklų pobū</w:t>
            </w:r>
            <w:r w:rsidR="0018277F">
              <w:rPr>
                <w:rFonts w:ascii="Times New Roman" w:eastAsia="Times New Roman" w:hAnsi="Times New Roman" w:cs="Times New Roman"/>
                <w:sz w:val="24"/>
              </w:rPr>
              <w:t>d</w:t>
            </w:r>
            <w:r w:rsidRPr="000F27BC">
              <w:rPr>
                <w:rFonts w:ascii="Times New Roman" w:eastAsia="Times New Roman" w:hAnsi="Times New Roman" w:cs="Times New Roman"/>
                <w:sz w:val="24"/>
              </w:rPr>
              <w:t>žio (informacinės, šviečiamosios</w:t>
            </w:r>
            <w:r w:rsidR="00680240" w:rsidRPr="000F27BC">
              <w:rPr>
                <w:rFonts w:ascii="Times New Roman" w:eastAsia="Times New Roman" w:hAnsi="Times New Roman" w:cs="Times New Roman"/>
                <w:sz w:val="24"/>
              </w:rPr>
              <w:t xml:space="preserve"> veiklos</w:t>
            </w:r>
            <w:r w:rsidRPr="000F27BC">
              <w:rPr>
                <w:rFonts w:ascii="Times New Roman" w:eastAsia="Times New Roman" w:hAnsi="Times New Roman" w:cs="Times New Roman"/>
                <w:sz w:val="24"/>
              </w:rPr>
              <w:t>), g</w:t>
            </w:r>
            <w:r w:rsidR="009A38A6" w:rsidRPr="000F27BC">
              <w:rPr>
                <w:rFonts w:ascii="Times New Roman" w:eastAsia="Times New Roman" w:hAnsi="Times New Roman" w:cs="Times New Roman"/>
                <w:sz w:val="24"/>
              </w:rPr>
              <w:t>alimybė taikyti grąžinamą</w:t>
            </w:r>
            <w:r w:rsidR="003D1BEA" w:rsidRPr="000F27BC">
              <w:rPr>
                <w:rFonts w:ascii="Times New Roman" w:eastAsia="Times New Roman" w:hAnsi="Times New Roman" w:cs="Times New Roman"/>
                <w:sz w:val="24"/>
              </w:rPr>
              <w:t>ją subsidiją nenumatyta, nes</w:t>
            </w:r>
            <w:r w:rsidR="009A38A6" w:rsidRPr="000F27BC">
              <w:rPr>
                <w:rFonts w:ascii="Times New Roman" w:eastAsia="Times New Roman" w:hAnsi="Times New Roman" w:cs="Times New Roman"/>
                <w:sz w:val="24"/>
              </w:rPr>
              <w:t xml:space="preserve"> planuojamos finansuoti veiklos negeneruoja grynųjų pajamų.</w:t>
            </w:r>
          </w:p>
        </w:tc>
      </w:tr>
      <w:tr w:rsidR="00712C1C" w:rsidTr="000F27BC">
        <w:tc>
          <w:tcPr>
            <w:tcW w:w="10355" w:type="dxa"/>
            <w:gridSpan w:val="4"/>
            <w:shd w:val="clear" w:color="auto" w:fill="F2F2F2"/>
          </w:tcPr>
          <w:p w:rsidR="00712C1C" w:rsidRDefault="00712C1C" w:rsidP="00712C1C">
            <w:pPr>
              <w:pStyle w:val="prastasis1"/>
              <w:widowControl w:val="0"/>
              <w:spacing w:line="276" w:lineRule="auto"/>
              <w:jc w:val="center"/>
            </w:pPr>
            <w:r>
              <w:rPr>
                <w:rFonts w:ascii="Times New Roman" w:eastAsia="Times New Roman" w:hAnsi="Times New Roman" w:cs="Times New Roman"/>
                <w:b/>
                <w:sz w:val="24"/>
              </w:rPr>
              <w:t>III. Atrankos būdas</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 xml:space="preserve">Projektų atrankos būdo pagrįstumas </w:t>
            </w:r>
          </w:p>
        </w:tc>
        <w:tc>
          <w:tcPr>
            <w:tcW w:w="6952" w:type="dxa"/>
            <w:gridSpan w:val="2"/>
          </w:tcPr>
          <w:p w:rsidR="00EA094E" w:rsidRDefault="00EA094E" w:rsidP="00CB18D4">
            <w:pPr>
              <w:jc w:val="both"/>
              <w:rPr>
                <w:rFonts w:ascii="Times New Roman" w:eastAsiaTheme="minorHAnsi" w:hAnsi="Times New Roman"/>
                <w:sz w:val="24"/>
                <w:szCs w:val="24"/>
              </w:rPr>
            </w:pPr>
            <w:r>
              <w:rPr>
                <w:rFonts w:ascii="Times New Roman" w:hAnsi="Times New Roman"/>
                <w:sz w:val="24"/>
                <w:szCs w:val="24"/>
              </w:rPr>
              <w:t xml:space="preserve">Pagal </w:t>
            </w:r>
            <w:r w:rsidR="00C9186A">
              <w:rPr>
                <w:rFonts w:ascii="Times New Roman" w:hAnsi="Times New Roman"/>
                <w:sz w:val="24"/>
                <w:szCs w:val="24"/>
              </w:rPr>
              <w:t>P</w:t>
            </w:r>
            <w:r>
              <w:rPr>
                <w:rFonts w:ascii="Times New Roman" w:hAnsi="Times New Roman"/>
                <w:sz w:val="24"/>
                <w:szCs w:val="24"/>
              </w:rPr>
              <w:t xml:space="preserve">riemonę projektus planuojama atrinkti projektų konkurso būdu. Projektų konkursas pasirenkamas todėl, kad siekiama atrinkti tuos pareiškėjus, kurie </w:t>
            </w:r>
            <w:r w:rsidR="00CA004F">
              <w:rPr>
                <w:rFonts w:ascii="Times New Roman" w:hAnsi="Times New Roman"/>
                <w:sz w:val="24"/>
                <w:szCs w:val="24"/>
              </w:rPr>
              <w:t xml:space="preserve">galės geriau prisidėti prie veiksmų programos 12 prioriteto </w:t>
            </w:r>
            <w:r w:rsidR="00CA004F">
              <w:rPr>
                <w:rFonts w:ascii="Times New Roman" w:eastAsia="Times New Roman" w:hAnsi="Times New Roman" w:cs="Times New Roman"/>
                <w:sz w:val="24"/>
              </w:rPr>
              <w:t>12.1 uždavinio</w:t>
            </w:r>
            <w:r w:rsidR="002778FF">
              <w:rPr>
                <w:rFonts w:ascii="Times New Roman" w:eastAsia="Times New Roman" w:hAnsi="Times New Roman" w:cs="Times New Roman"/>
                <w:sz w:val="24"/>
              </w:rPr>
              <w:t xml:space="preserve"> ir </w:t>
            </w:r>
            <w:r w:rsidR="00C9186A">
              <w:rPr>
                <w:rFonts w:ascii="Times New Roman" w:eastAsia="Times New Roman" w:hAnsi="Times New Roman" w:cs="Times New Roman"/>
                <w:sz w:val="24"/>
              </w:rPr>
              <w:t>k</w:t>
            </w:r>
            <w:r w:rsidR="002778FF">
              <w:rPr>
                <w:rFonts w:ascii="Times New Roman" w:eastAsia="Times New Roman" w:hAnsi="Times New Roman" w:cs="Times New Roman"/>
                <w:sz w:val="24"/>
              </w:rPr>
              <w:t xml:space="preserve">omunikacijos </w:t>
            </w:r>
            <w:r w:rsidR="006B608B">
              <w:rPr>
                <w:rFonts w:ascii="Times New Roman" w:eastAsia="Times New Roman" w:hAnsi="Times New Roman" w:cs="Times New Roman"/>
                <w:sz w:val="24"/>
              </w:rPr>
              <w:t>strategijoje numatytų komunikacijos tikslų</w:t>
            </w:r>
            <w:r w:rsidR="00CA004F">
              <w:rPr>
                <w:rFonts w:ascii="Times New Roman" w:eastAsia="Times New Roman" w:hAnsi="Times New Roman" w:cs="Times New Roman"/>
                <w:sz w:val="24"/>
              </w:rPr>
              <w:t xml:space="preserve"> įgyvendinimo. Be to, projektų konkursas </w:t>
            </w:r>
            <w:r>
              <w:rPr>
                <w:rFonts w:ascii="Times New Roman" w:hAnsi="Times New Roman"/>
                <w:sz w:val="24"/>
                <w:szCs w:val="24"/>
              </w:rPr>
              <w:t xml:space="preserve"> sudaro vienodas sąlygas visiems tinkamiems pareiškėjams įgyti teis</w:t>
            </w:r>
            <w:r w:rsidR="00CA004F">
              <w:rPr>
                <w:rFonts w:ascii="Times New Roman" w:hAnsi="Times New Roman"/>
                <w:sz w:val="24"/>
                <w:szCs w:val="24"/>
              </w:rPr>
              <w:t>ę pasinaudoti ES</w:t>
            </w:r>
            <w:r w:rsidR="004414B1">
              <w:rPr>
                <w:rFonts w:ascii="Times New Roman" w:hAnsi="Times New Roman"/>
                <w:sz w:val="24"/>
                <w:szCs w:val="24"/>
              </w:rPr>
              <w:t xml:space="preserve"> struktūrinių</w:t>
            </w:r>
            <w:r w:rsidR="00CA004F">
              <w:rPr>
                <w:rFonts w:ascii="Times New Roman" w:hAnsi="Times New Roman"/>
                <w:sz w:val="24"/>
                <w:szCs w:val="24"/>
              </w:rPr>
              <w:t xml:space="preserve"> fondų lėšomis ir </w:t>
            </w:r>
            <w:r>
              <w:rPr>
                <w:rFonts w:ascii="Times New Roman" w:hAnsi="Times New Roman"/>
                <w:sz w:val="24"/>
                <w:szCs w:val="24"/>
              </w:rPr>
              <w:t>užtikrina lėšų panaudojimo efektyvumą</w:t>
            </w:r>
            <w:r w:rsidR="00CA004F">
              <w:rPr>
                <w:rFonts w:ascii="Times New Roman" w:hAnsi="Times New Roman"/>
                <w:sz w:val="24"/>
                <w:szCs w:val="24"/>
              </w:rPr>
              <w:t>.</w:t>
            </w:r>
          </w:p>
          <w:p w:rsidR="004B24B7" w:rsidRDefault="004B24B7">
            <w:pPr>
              <w:pStyle w:val="prastasis1"/>
              <w:tabs>
                <w:tab w:val="left" w:pos="178"/>
              </w:tabs>
              <w:jc w:val="both"/>
            </w:pPr>
          </w:p>
        </w:tc>
      </w:tr>
      <w:tr w:rsidR="00712C1C" w:rsidTr="000F27BC">
        <w:tc>
          <w:tcPr>
            <w:tcW w:w="10355" w:type="dxa"/>
            <w:gridSpan w:val="4"/>
            <w:shd w:val="clear" w:color="auto" w:fill="F2F2F2"/>
          </w:tcPr>
          <w:p w:rsidR="00712C1C" w:rsidRDefault="00712C1C" w:rsidP="00712C1C">
            <w:pPr>
              <w:pStyle w:val="prastasis1"/>
              <w:widowControl w:val="0"/>
              <w:spacing w:line="276" w:lineRule="auto"/>
              <w:jc w:val="center"/>
            </w:pPr>
            <w:r>
              <w:rPr>
                <w:rFonts w:ascii="Times New Roman" w:eastAsia="Times New Roman" w:hAnsi="Times New Roman" w:cs="Times New Roman"/>
                <w:b/>
                <w:sz w:val="24"/>
              </w:rPr>
              <w:t>IV. Įgyvendinančioji institucija</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Įgyvendinančiosios  institucijos pasirinkimas (jei taikoma)</w:t>
            </w:r>
          </w:p>
        </w:tc>
        <w:tc>
          <w:tcPr>
            <w:tcW w:w="6952" w:type="dxa"/>
            <w:gridSpan w:val="2"/>
          </w:tcPr>
          <w:p w:rsidR="004B24B7" w:rsidRDefault="00A10AFB">
            <w:pPr>
              <w:pStyle w:val="prastasis1"/>
              <w:tabs>
                <w:tab w:val="left" w:pos="178"/>
              </w:tabs>
              <w:jc w:val="both"/>
            </w:pPr>
            <w:r>
              <w:rPr>
                <w:rFonts w:ascii="Times New Roman" w:eastAsia="Times New Roman" w:hAnsi="Times New Roman" w:cs="Times New Roman"/>
                <w:sz w:val="24"/>
              </w:rPr>
              <w:t xml:space="preserve">Atsakomybės ir funkcijų taisyklių priede įgyvendinančios institucijos funkcijas, įgyvendinant </w:t>
            </w:r>
            <w:r w:rsidR="00712C1C">
              <w:rPr>
                <w:rFonts w:ascii="Times New Roman" w:eastAsia="Times New Roman" w:hAnsi="Times New Roman" w:cs="Times New Roman"/>
                <w:sz w:val="24"/>
              </w:rPr>
              <w:t xml:space="preserve">veiksmų programos 12 prioritetą </w:t>
            </w:r>
            <w:r>
              <w:rPr>
                <w:rFonts w:ascii="Times New Roman" w:eastAsia="Times New Roman" w:hAnsi="Times New Roman" w:cs="Times New Roman"/>
                <w:sz w:val="24"/>
              </w:rPr>
              <w:t xml:space="preserve">pavesta atlikti CPVA. </w:t>
            </w:r>
          </w:p>
        </w:tc>
      </w:tr>
      <w:tr w:rsidR="00712C1C" w:rsidTr="000F27BC">
        <w:tc>
          <w:tcPr>
            <w:tcW w:w="10355" w:type="dxa"/>
            <w:gridSpan w:val="4"/>
            <w:shd w:val="clear" w:color="auto" w:fill="F2F2F2"/>
          </w:tcPr>
          <w:p w:rsidR="00712C1C" w:rsidRDefault="00712C1C" w:rsidP="00712C1C">
            <w:pPr>
              <w:pStyle w:val="prastasis1"/>
              <w:widowControl w:val="0"/>
              <w:spacing w:line="276" w:lineRule="auto"/>
              <w:jc w:val="center"/>
            </w:pPr>
            <w:r>
              <w:rPr>
                <w:rFonts w:ascii="Times New Roman" w:eastAsia="Times New Roman" w:hAnsi="Times New Roman" w:cs="Times New Roman"/>
                <w:b/>
                <w:sz w:val="24"/>
              </w:rPr>
              <w:t>V. Reikalavimai, susiję su paramos pagal kitas iš ES finansuojamas programas ir kitą tarptautinę paramą atskyrimu</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 xml:space="preserve">Priemonės sankirtų su kitomis veiksmų programos priemonėmis įvertinimas ir nustatymas </w:t>
            </w:r>
          </w:p>
        </w:tc>
        <w:tc>
          <w:tcPr>
            <w:tcW w:w="6952" w:type="dxa"/>
            <w:gridSpan w:val="2"/>
          </w:tcPr>
          <w:p w:rsidR="004B24B7" w:rsidRPr="00B33F2F" w:rsidRDefault="00A10AFB" w:rsidP="008E4F7E">
            <w:pPr>
              <w:pStyle w:val="prastasis1"/>
              <w:tabs>
                <w:tab w:val="left" w:pos="567"/>
              </w:tabs>
              <w:jc w:val="both"/>
              <w:rPr>
                <w:rFonts w:ascii="Times New Roman" w:hAnsi="Times New Roman" w:cs="Times New Roman"/>
                <w:sz w:val="24"/>
                <w:szCs w:val="24"/>
              </w:rPr>
            </w:pPr>
            <w:r w:rsidRPr="00B33F2F">
              <w:rPr>
                <w:rFonts w:ascii="Times New Roman" w:eastAsia="Times New Roman" w:hAnsi="Times New Roman" w:cs="Times New Roman"/>
                <w:sz w:val="24"/>
                <w:szCs w:val="24"/>
              </w:rPr>
              <w:t xml:space="preserve">Remiantis  priemonių aprašymais, </w:t>
            </w:r>
            <w:r w:rsidR="0047225A" w:rsidRPr="00B33F2F">
              <w:rPr>
                <w:rFonts w:ascii="Times New Roman" w:eastAsia="Times New Roman" w:hAnsi="Times New Roman" w:cs="Times New Roman"/>
                <w:sz w:val="24"/>
                <w:szCs w:val="24"/>
              </w:rPr>
              <w:t xml:space="preserve">nagrinėtos </w:t>
            </w:r>
            <w:r w:rsidRPr="00B33F2F">
              <w:rPr>
                <w:rFonts w:ascii="Times New Roman" w:eastAsia="Times New Roman" w:hAnsi="Times New Roman" w:cs="Times New Roman"/>
                <w:sz w:val="24"/>
                <w:szCs w:val="24"/>
              </w:rPr>
              <w:t xml:space="preserve">šios </w:t>
            </w:r>
            <w:r w:rsidR="008675B9">
              <w:rPr>
                <w:rFonts w:ascii="Times New Roman" w:eastAsia="Times New Roman" w:hAnsi="Times New Roman" w:cs="Times New Roman"/>
                <w:sz w:val="24"/>
                <w:szCs w:val="24"/>
              </w:rPr>
              <w:t>P</w:t>
            </w:r>
            <w:r w:rsidRPr="00B33F2F">
              <w:rPr>
                <w:rFonts w:ascii="Times New Roman" w:eastAsia="Times New Roman" w:hAnsi="Times New Roman" w:cs="Times New Roman"/>
                <w:sz w:val="24"/>
                <w:szCs w:val="24"/>
              </w:rPr>
              <w:t>riemonės sankirtos su:</w:t>
            </w:r>
          </w:p>
          <w:p w:rsidR="00270FCF" w:rsidRPr="008A14FD" w:rsidRDefault="00746C8D" w:rsidP="00B33F2F">
            <w:pPr>
              <w:tabs>
                <w:tab w:val="left" w:pos="567"/>
              </w:tabs>
              <w:jc w:val="both"/>
              <w:rPr>
                <w:rFonts w:ascii="Times New Roman" w:eastAsia="Times New Roman" w:hAnsi="Times New Roman" w:cs="Times New Roman"/>
                <w:sz w:val="24"/>
                <w:szCs w:val="24"/>
              </w:rPr>
            </w:pPr>
            <w:r w:rsidRPr="008A14FD">
              <w:rPr>
                <w:rFonts w:ascii="Times New Roman" w:eastAsia="Times New Roman" w:hAnsi="Times New Roman" w:cs="Times New Roman"/>
                <w:sz w:val="24"/>
                <w:szCs w:val="24"/>
              </w:rPr>
              <w:t>Veiksmų programos prioriteto  „Techninė parama, skirta informuoti apie veiksmų programą ir jai vertinti“ įgyvendinimo priemonės Nr. 12.0.1-CPVA-V-202 „Informavimas apie veiksmų programą“ veiklomis</w:t>
            </w:r>
            <w:r w:rsidR="00AF45A1" w:rsidRPr="008A14FD">
              <w:rPr>
                <w:rFonts w:ascii="Times New Roman" w:eastAsia="Times New Roman" w:hAnsi="Times New Roman" w:cs="Times New Roman"/>
                <w:sz w:val="24"/>
                <w:szCs w:val="24"/>
              </w:rPr>
              <w:t xml:space="preserve"> (</w:t>
            </w:r>
            <w:r w:rsidR="00F56F8E" w:rsidRPr="008A14FD">
              <w:rPr>
                <w:rFonts w:ascii="Times New Roman" w:eastAsia="Times New Roman" w:hAnsi="Times New Roman" w:cs="Times New Roman"/>
                <w:sz w:val="24"/>
                <w:szCs w:val="24"/>
              </w:rPr>
              <w:t>sutampa</w:t>
            </w:r>
            <w:r w:rsidR="00680240" w:rsidRPr="008A14FD">
              <w:rPr>
                <w:rFonts w:ascii="Times New Roman" w:eastAsia="Times New Roman" w:hAnsi="Times New Roman" w:cs="Times New Roman"/>
                <w:sz w:val="24"/>
                <w:szCs w:val="24"/>
              </w:rPr>
              <w:t xml:space="preserve"> kai kurios</w:t>
            </w:r>
            <w:r w:rsidR="00F56F8E" w:rsidRPr="008A14FD">
              <w:rPr>
                <w:rFonts w:ascii="Times New Roman" w:eastAsia="Times New Roman" w:hAnsi="Times New Roman" w:cs="Times New Roman"/>
                <w:sz w:val="24"/>
                <w:szCs w:val="24"/>
              </w:rPr>
              <w:t xml:space="preserve"> </w:t>
            </w:r>
            <w:r w:rsidR="00680240" w:rsidRPr="008A14FD">
              <w:rPr>
                <w:rFonts w:ascii="Times New Roman" w:eastAsia="Times New Roman" w:hAnsi="Times New Roman" w:cs="Times New Roman"/>
                <w:sz w:val="24"/>
                <w:szCs w:val="24"/>
              </w:rPr>
              <w:t xml:space="preserve">priemonių remiamos veiklos, </w:t>
            </w:r>
            <w:r w:rsidR="00F56F8E" w:rsidRPr="008A14FD">
              <w:rPr>
                <w:rFonts w:ascii="Times New Roman" w:eastAsia="Times New Roman" w:hAnsi="Times New Roman" w:cs="Times New Roman"/>
                <w:sz w:val="24"/>
                <w:szCs w:val="24"/>
              </w:rPr>
              <w:t>tačiau</w:t>
            </w:r>
            <w:r w:rsidR="00E156FC" w:rsidRPr="008A14FD">
              <w:rPr>
                <w:rFonts w:ascii="Times New Roman" w:eastAsia="Times New Roman" w:hAnsi="Times New Roman" w:cs="Times New Roman"/>
                <w:sz w:val="24"/>
                <w:szCs w:val="24"/>
              </w:rPr>
              <w:t xml:space="preserve"> galimi pareiškėjai yra skirtingi</w:t>
            </w:r>
            <w:r w:rsidR="00F56F8E" w:rsidRPr="008A14FD">
              <w:rPr>
                <w:rFonts w:ascii="Times New Roman" w:eastAsia="Times New Roman" w:hAnsi="Times New Roman" w:cs="Times New Roman"/>
                <w:sz w:val="24"/>
                <w:szCs w:val="24"/>
              </w:rPr>
              <w:t>)</w:t>
            </w:r>
            <w:r w:rsidR="00E156FC" w:rsidRPr="008A14FD">
              <w:rPr>
                <w:rFonts w:ascii="Times New Roman" w:eastAsia="Times New Roman" w:hAnsi="Times New Roman" w:cs="Times New Roman"/>
                <w:sz w:val="24"/>
                <w:szCs w:val="24"/>
              </w:rPr>
              <w:t>. Už šių</w:t>
            </w:r>
            <w:r w:rsidR="00680240" w:rsidRPr="008A14FD">
              <w:rPr>
                <w:rFonts w:ascii="Times New Roman" w:eastAsia="Times New Roman" w:hAnsi="Times New Roman" w:cs="Times New Roman"/>
                <w:sz w:val="24"/>
                <w:szCs w:val="24"/>
              </w:rPr>
              <w:t xml:space="preserve"> abiejų</w:t>
            </w:r>
            <w:r w:rsidR="00E156FC" w:rsidRPr="008A14FD">
              <w:rPr>
                <w:rFonts w:ascii="Times New Roman" w:eastAsia="Times New Roman" w:hAnsi="Times New Roman" w:cs="Times New Roman"/>
                <w:sz w:val="24"/>
                <w:szCs w:val="24"/>
              </w:rPr>
              <w:t xml:space="preserve"> priemonių įgyvendinimą yra atsaking</w:t>
            </w:r>
            <w:r w:rsidR="00645647" w:rsidRPr="008A14FD">
              <w:rPr>
                <w:rFonts w:ascii="Times New Roman" w:eastAsia="Times New Roman" w:hAnsi="Times New Roman" w:cs="Times New Roman"/>
                <w:sz w:val="24"/>
                <w:szCs w:val="24"/>
              </w:rPr>
              <w:t>os</w:t>
            </w:r>
            <w:r w:rsidR="00E156FC" w:rsidRPr="008A14FD">
              <w:rPr>
                <w:rFonts w:ascii="Times New Roman" w:eastAsia="Times New Roman" w:hAnsi="Times New Roman" w:cs="Times New Roman"/>
                <w:sz w:val="24"/>
                <w:szCs w:val="24"/>
              </w:rPr>
              <w:t xml:space="preserve"> </w:t>
            </w:r>
            <w:r w:rsidR="00645647" w:rsidRPr="008A14FD">
              <w:rPr>
                <w:rFonts w:ascii="Times New Roman" w:eastAsia="Times New Roman" w:hAnsi="Times New Roman" w:cs="Times New Roman"/>
                <w:sz w:val="24"/>
                <w:szCs w:val="24"/>
              </w:rPr>
              <w:t>FM ir CPVA</w:t>
            </w:r>
            <w:r w:rsidR="00E156FC" w:rsidRPr="008A14FD">
              <w:rPr>
                <w:rFonts w:ascii="Times New Roman" w:eastAsia="Times New Roman" w:hAnsi="Times New Roman" w:cs="Times New Roman"/>
                <w:sz w:val="24"/>
                <w:szCs w:val="24"/>
              </w:rPr>
              <w:t>, todėl įgyvendinant priemones</w:t>
            </w:r>
            <w:r w:rsidR="00D22288" w:rsidRPr="008A14FD">
              <w:rPr>
                <w:rFonts w:ascii="Times New Roman" w:eastAsia="Times New Roman" w:hAnsi="Times New Roman" w:cs="Times New Roman"/>
                <w:sz w:val="24"/>
                <w:szCs w:val="24"/>
              </w:rPr>
              <w:t xml:space="preserve"> </w:t>
            </w:r>
            <w:r w:rsidR="005D75E6" w:rsidRPr="008A14FD">
              <w:rPr>
                <w:rFonts w:ascii="Times New Roman" w:eastAsiaTheme="minorHAnsi" w:hAnsi="Times New Roman" w:cs="Times New Roman"/>
                <w:sz w:val="24"/>
                <w:szCs w:val="24"/>
              </w:rPr>
              <w:t>bus planuojami ir koordinuojami  veiksmai atsižvelgiant į metinius komunikacijos planus,</w:t>
            </w:r>
            <w:r w:rsidR="007113CA">
              <w:rPr>
                <w:rFonts w:ascii="Times New Roman" w:eastAsiaTheme="minorHAnsi" w:hAnsi="Times New Roman" w:cs="Times New Roman"/>
                <w:sz w:val="24"/>
                <w:szCs w:val="24"/>
              </w:rPr>
              <w:t xml:space="preserve"> nustatant</w:t>
            </w:r>
            <w:r w:rsidR="00C735E3">
              <w:rPr>
                <w:rFonts w:ascii="Times New Roman" w:eastAsiaTheme="minorHAnsi" w:hAnsi="Times New Roman" w:cs="Times New Roman"/>
                <w:sz w:val="24"/>
                <w:szCs w:val="24"/>
              </w:rPr>
              <w:t xml:space="preserve"> aktualių temų</w:t>
            </w:r>
            <w:r w:rsidR="007113CA">
              <w:rPr>
                <w:rFonts w:ascii="Times New Roman" w:eastAsiaTheme="minorHAnsi" w:hAnsi="Times New Roman" w:cs="Times New Roman"/>
                <w:sz w:val="24"/>
                <w:szCs w:val="24"/>
              </w:rPr>
              <w:t xml:space="preserve"> tikslus, tikslines grupes,</w:t>
            </w:r>
            <w:r w:rsidR="005D75E6" w:rsidRPr="008A14FD">
              <w:rPr>
                <w:rFonts w:ascii="Times New Roman" w:eastAsiaTheme="minorHAnsi" w:hAnsi="Times New Roman" w:cs="Times New Roman"/>
                <w:sz w:val="24"/>
                <w:szCs w:val="24"/>
              </w:rPr>
              <w:t xml:space="preserve"> stebint ir vertinant</w:t>
            </w:r>
            <w:r w:rsidR="00C735E3">
              <w:rPr>
                <w:rFonts w:ascii="Times New Roman" w:eastAsiaTheme="minorHAnsi" w:hAnsi="Times New Roman" w:cs="Times New Roman"/>
                <w:sz w:val="24"/>
                <w:szCs w:val="24"/>
              </w:rPr>
              <w:t xml:space="preserve"> komunikacijos kampanijų</w:t>
            </w:r>
            <w:r w:rsidR="005D75E6" w:rsidRPr="008A14FD">
              <w:rPr>
                <w:rFonts w:ascii="Times New Roman" w:eastAsiaTheme="minorHAnsi" w:hAnsi="Times New Roman" w:cs="Times New Roman"/>
                <w:sz w:val="24"/>
                <w:szCs w:val="24"/>
              </w:rPr>
              <w:t xml:space="preserve"> rodiklius</w:t>
            </w:r>
            <w:r w:rsidR="000B3D74" w:rsidRPr="008A14FD">
              <w:rPr>
                <w:rFonts w:ascii="Times New Roman" w:eastAsia="Times New Roman" w:hAnsi="Times New Roman" w:cs="Times New Roman"/>
                <w:sz w:val="24"/>
                <w:szCs w:val="24"/>
              </w:rPr>
              <w:t>.</w:t>
            </w:r>
          </w:p>
          <w:p w:rsidR="00EC5566" w:rsidRPr="00FF675C" w:rsidRDefault="00680240" w:rsidP="007113CA">
            <w:pPr>
              <w:pStyle w:val="prastasis1"/>
              <w:tabs>
                <w:tab w:val="left" w:pos="567"/>
              </w:tabs>
              <w:jc w:val="both"/>
              <w:rPr>
                <w:rFonts w:ascii="Times New Roman" w:eastAsia="Times New Roman" w:hAnsi="Times New Roman" w:cs="Times New Roman"/>
                <w:bCs/>
                <w:sz w:val="24"/>
                <w:szCs w:val="24"/>
              </w:rPr>
            </w:pPr>
            <w:r w:rsidRPr="00C9186A">
              <w:rPr>
                <w:rFonts w:ascii="Times New Roman" w:hAnsi="Times New Roman" w:cs="Times New Roman"/>
                <w:sz w:val="24"/>
                <w:szCs w:val="24"/>
              </w:rPr>
              <w:t>Sankirtų su kitomis veiksmų programos priemonėmis nenustatyta,</w:t>
            </w:r>
            <w:r w:rsidR="00645647" w:rsidRPr="00C9186A">
              <w:rPr>
                <w:rFonts w:ascii="Times New Roman" w:hAnsi="Times New Roman" w:cs="Times New Roman"/>
                <w:sz w:val="24"/>
                <w:szCs w:val="24"/>
              </w:rPr>
              <w:t xml:space="preserve"> nes</w:t>
            </w:r>
            <w:r w:rsidRPr="00C9186A">
              <w:rPr>
                <w:rFonts w:ascii="Times New Roman" w:hAnsi="Times New Roman" w:cs="Times New Roman"/>
                <w:sz w:val="24"/>
                <w:szCs w:val="24"/>
              </w:rPr>
              <w:t xml:space="preserve"> </w:t>
            </w:r>
            <w:r w:rsidR="00645647" w:rsidRPr="008A14FD">
              <w:rPr>
                <w:rFonts w:ascii="Times New Roman" w:eastAsia="Times New Roman" w:hAnsi="Times New Roman" w:cs="Times New Roman"/>
                <w:sz w:val="24"/>
                <w:szCs w:val="24"/>
              </w:rPr>
              <w:t>t</w:t>
            </w:r>
            <w:r w:rsidRPr="008A14FD">
              <w:rPr>
                <w:rFonts w:ascii="Times New Roman" w:eastAsia="Times New Roman" w:hAnsi="Times New Roman" w:cs="Times New Roman"/>
                <w:sz w:val="24"/>
                <w:szCs w:val="24"/>
              </w:rPr>
              <w:t>ais</w:t>
            </w:r>
            <w:r w:rsidRPr="00C9186A">
              <w:rPr>
                <w:rFonts w:ascii="Times New Roman" w:hAnsi="Times New Roman" w:cs="Times New Roman"/>
                <w:sz w:val="24"/>
                <w:szCs w:val="24"/>
              </w:rPr>
              <w:t xml:space="preserve"> atvejais, kai vykdomos visuomenės švietimo/informavimo priemonės, siekiant keisti vyraujančius stereotipus, įsitikinimus ar pan., sankirtos problema nėra aktuali</w:t>
            </w:r>
            <w:r w:rsidRPr="00B33F2F">
              <w:rPr>
                <w:rFonts w:ascii="Times New Roman" w:hAnsi="Times New Roman"/>
                <w:sz w:val="24"/>
                <w:szCs w:val="24"/>
              </w:rPr>
              <w:t>. Pavyzdžiui, jeigu vienu metu vykdomos dvi informacinės kampanijos, skirtos toms pačioms visuomenės grupėms siekiant pakeisti nuostatas</w:t>
            </w:r>
            <w:r w:rsidR="007113CA">
              <w:rPr>
                <w:rFonts w:ascii="Times New Roman" w:hAnsi="Times New Roman"/>
                <w:sz w:val="24"/>
                <w:szCs w:val="24"/>
              </w:rPr>
              <w:t>,</w:t>
            </w:r>
            <w:r w:rsidRPr="00B33F2F">
              <w:rPr>
                <w:rFonts w:ascii="Times New Roman" w:hAnsi="Times New Roman"/>
                <w:sz w:val="24"/>
                <w:szCs w:val="24"/>
              </w:rPr>
              <w:t xml:space="preserve"> finansuojamos iš dviejų skirtingų šaltinių,</w:t>
            </w:r>
            <w:r w:rsidR="007113CA">
              <w:rPr>
                <w:rFonts w:ascii="Times New Roman" w:hAnsi="Times New Roman"/>
                <w:sz w:val="24"/>
                <w:szCs w:val="24"/>
              </w:rPr>
              <w:t xml:space="preserve"> tai į jas turėtų būti žiūrima, kaip į papildančias viena kitą</w:t>
            </w:r>
            <w:r w:rsidRPr="00B33F2F">
              <w:rPr>
                <w:rFonts w:ascii="Times New Roman" w:hAnsi="Times New Roman"/>
                <w:sz w:val="24"/>
                <w:szCs w:val="24"/>
              </w:rPr>
              <w:t xml:space="preserve">, nes visuomenės nuomonės ar stereotipų keitimas yra ilgas nuolatinio ir intensyvaus darbo reikalaujantis </w:t>
            </w:r>
            <w:r w:rsidRPr="00B33F2F">
              <w:rPr>
                <w:rFonts w:ascii="Times New Roman" w:hAnsi="Times New Roman"/>
                <w:sz w:val="24"/>
                <w:szCs w:val="24"/>
              </w:rPr>
              <w:lastRenderedPageBreak/>
              <w:t>procesas.</w:t>
            </w:r>
            <w:r w:rsidR="00645647">
              <w:rPr>
                <w:rFonts w:ascii="Times New Roman" w:hAnsi="Times New Roman"/>
                <w:sz w:val="24"/>
                <w:szCs w:val="24"/>
              </w:rPr>
              <w:t xml:space="preserve"> </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 xml:space="preserve">Priemonės sankirtų su kitų ES struktūrinių fondų, kitos ES finansinės paramos ar kitos tarptautinės paramos priemonėmis įvertinimas ir nustatymas </w:t>
            </w:r>
          </w:p>
        </w:tc>
        <w:tc>
          <w:tcPr>
            <w:tcW w:w="6952" w:type="dxa"/>
            <w:gridSpan w:val="2"/>
          </w:tcPr>
          <w:p w:rsidR="004B24B7" w:rsidRPr="00712C1C" w:rsidRDefault="00A10AFB">
            <w:pPr>
              <w:pStyle w:val="prastasis1"/>
              <w:tabs>
                <w:tab w:val="left" w:pos="567"/>
              </w:tabs>
              <w:jc w:val="both"/>
              <w:rPr>
                <w:rFonts w:ascii="Times New Roman" w:hAnsi="Times New Roman" w:cs="Times New Roman"/>
                <w:sz w:val="24"/>
                <w:szCs w:val="24"/>
              </w:rPr>
            </w:pPr>
            <w:r w:rsidRPr="00712C1C">
              <w:rPr>
                <w:rFonts w:ascii="Times New Roman" w:eastAsia="Times New Roman" w:hAnsi="Times New Roman" w:cs="Times New Roman"/>
                <w:sz w:val="24"/>
                <w:szCs w:val="24"/>
              </w:rPr>
              <w:t xml:space="preserve">Siekiant nustatyti </w:t>
            </w:r>
            <w:r w:rsidR="00FE6907">
              <w:rPr>
                <w:rFonts w:ascii="Times New Roman" w:eastAsia="Times New Roman" w:hAnsi="Times New Roman" w:cs="Times New Roman"/>
                <w:sz w:val="24"/>
                <w:szCs w:val="24"/>
              </w:rPr>
              <w:t>P</w:t>
            </w:r>
            <w:r w:rsidRPr="00712C1C">
              <w:rPr>
                <w:rFonts w:ascii="Times New Roman" w:eastAsia="Times New Roman" w:hAnsi="Times New Roman" w:cs="Times New Roman"/>
                <w:sz w:val="24"/>
                <w:szCs w:val="24"/>
              </w:rPr>
              <w:t>riemonės sankirtas su kitų ES struktūrinių fondų, kitos ES finansinės paramos ar kitos tarptautinės paramos priemonėmis, peržiūrėti 2013 m. gegužės 3 d</w:t>
            </w:r>
            <w:r w:rsidRPr="0017299B">
              <w:rPr>
                <w:rFonts w:ascii="Times New Roman" w:eastAsia="Times New Roman" w:hAnsi="Times New Roman" w:cs="Times New Roman"/>
                <w:sz w:val="24"/>
                <w:szCs w:val="24"/>
              </w:rPr>
              <w:t xml:space="preserve">. </w:t>
            </w:r>
            <w:proofErr w:type="spellStart"/>
            <w:r w:rsidR="0017299B" w:rsidRPr="00F2090B">
              <w:rPr>
                <w:rFonts w:ascii="Times New Roman" w:hAnsi="Times New Roman" w:cs="Times New Roman"/>
                <w:sz w:val="24"/>
                <w:szCs w:val="24"/>
              </w:rPr>
              <w:t>VšĮ</w:t>
            </w:r>
            <w:proofErr w:type="spellEnd"/>
            <w:r w:rsidR="0017299B" w:rsidRPr="00F2090B">
              <w:rPr>
                <w:rFonts w:ascii="Times New Roman" w:hAnsi="Times New Roman" w:cs="Times New Roman"/>
                <w:sz w:val="24"/>
                <w:szCs w:val="24"/>
              </w:rPr>
              <w:t xml:space="preserve"> Europos socialiniai, teisiniai ir ekonominiai projektai</w:t>
            </w:r>
            <w:r w:rsidR="0017299B">
              <w:t xml:space="preserve"> (</w:t>
            </w:r>
            <w:r w:rsidRPr="00712C1C">
              <w:rPr>
                <w:rFonts w:ascii="Times New Roman" w:eastAsia="Times New Roman" w:hAnsi="Times New Roman" w:cs="Times New Roman"/>
                <w:sz w:val="24"/>
                <w:szCs w:val="24"/>
              </w:rPr>
              <w:t>ESTEP</w:t>
            </w:r>
            <w:r w:rsidR="0017299B">
              <w:rPr>
                <w:rFonts w:ascii="Times New Roman" w:eastAsia="Times New Roman" w:hAnsi="Times New Roman" w:cs="Times New Roman"/>
                <w:sz w:val="24"/>
                <w:szCs w:val="24"/>
              </w:rPr>
              <w:t>)</w:t>
            </w:r>
            <w:r w:rsidRPr="00712C1C">
              <w:rPr>
                <w:rFonts w:ascii="Times New Roman" w:eastAsia="Times New Roman" w:hAnsi="Times New Roman" w:cs="Times New Roman"/>
                <w:sz w:val="24"/>
                <w:szCs w:val="24"/>
              </w:rPr>
              <w:t xml:space="preserve"> „Pasiūlymai dėl Bendrosios strateginės programos fondų koordinavimą su ES lygmens, EIB ir kitais tarptautiniais  finansavimo instrumentais nacionaliniu ir regioniniu lygmenimis užtikrinančių procedūrų“. Priemonės sankirtų su kitų ES struktūrinių fondų, kitos ES finansinės paramos ar kitos tarptautinės paramos priemonėmis šiuose pasiūlymuose nenustatyta. </w:t>
            </w:r>
          </w:p>
          <w:p w:rsidR="004B24B7" w:rsidRPr="00712C1C" w:rsidRDefault="004B24B7" w:rsidP="007E1FFF">
            <w:pPr>
              <w:pStyle w:val="prastasis1"/>
              <w:tabs>
                <w:tab w:val="left" w:pos="567"/>
              </w:tabs>
              <w:jc w:val="both"/>
              <w:rPr>
                <w:rFonts w:ascii="Times New Roman" w:hAnsi="Times New Roman" w:cs="Times New Roman"/>
                <w:sz w:val="24"/>
                <w:szCs w:val="24"/>
              </w:rPr>
            </w:pP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Priemonės sankirtos su iš valstybės biudžeto programų finansuojamomis veiklomis</w:t>
            </w:r>
          </w:p>
        </w:tc>
        <w:tc>
          <w:tcPr>
            <w:tcW w:w="6952" w:type="dxa"/>
            <w:gridSpan w:val="2"/>
          </w:tcPr>
          <w:p w:rsidR="004B24B7" w:rsidRDefault="00A10AFB" w:rsidP="00C9186A">
            <w:pPr>
              <w:pStyle w:val="prastasis1"/>
              <w:tabs>
                <w:tab w:val="left" w:pos="567"/>
              </w:tabs>
              <w:jc w:val="both"/>
            </w:pPr>
            <w:r>
              <w:rPr>
                <w:rFonts w:ascii="Times New Roman" w:eastAsia="Times New Roman" w:hAnsi="Times New Roman" w:cs="Times New Roman"/>
                <w:sz w:val="24"/>
              </w:rPr>
              <w:t>Priemonės veiklos nedubliuoja iš kitų valstybės biudžeto programų finansuojamų veiklų. Informavimo ir komunikacijos veiklos, susijusios su</w:t>
            </w:r>
            <w:r w:rsidR="00F622EF">
              <w:rPr>
                <w:rFonts w:ascii="Times New Roman" w:eastAsia="Times New Roman" w:hAnsi="Times New Roman" w:cs="Times New Roman"/>
                <w:sz w:val="24"/>
              </w:rPr>
              <w:t xml:space="preserve"> </w:t>
            </w:r>
            <w:r w:rsidR="007A513F">
              <w:rPr>
                <w:rFonts w:ascii="Times New Roman" w:eastAsia="Times New Roman" w:hAnsi="Times New Roman" w:cs="Times New Roman"/>
                <w:sz w:val="24"/>
              </w:rPr>
              <w:t>k</w:t>
            </w:r>
            <w:r w:rsidR="007603EA">
              <w:rPr>
                <w:rFonts w:ascii="Times New Roman" w:eastAsia="Times New Roman" w:hAnsi="Times New Roman" w:cs="Times New Roman"/>
                <w:sz w:val="24"/>
              </w:rPr>
              <w:t>omunika</w:t>
            </w:r>
            <w:r w:rsidR="007A513F">
              <w:rPr>
                <w:rFonts w:ascii="Times New Roman" w:eastAsia="Times New Roman" w:hAnsi="Times New Roman" w:cs="Times New Roman"/>
                <w:sz w:val="24"/>
              </w:rPr>
              <w:t xml:space="preserve">cijos strategijos įgyvendinimu ir </w:t>
            </w:r>
            <w:r>
              <w:rPr>
                <w:rFonts w:ascii="Times New Roman" w:eastAsia="Times New Roman" w:hAnsi="Times New Roman" w:cs="Times New Roman"/>
                <w:sz w:val="24"/>
              </w:rPr>
              <w:t xml:space="preserve"> ES struktūrinių fondų komunikacija,</w:t>
            </w:r>
            <w:r w:rsidR="007A513F">
              <w:rPr>
                <w:rFonts w:ascii="Times New Roman" w:eastAsia="Times New Roman" w:hAnsi="Times New Roman" w:cs="Times New Roman"/>
                <w:sz w:val="24"/>
              </w:rPr>
              <w:t xml:space="preserve"> kuri skatintų didesnį pasitikėjimą ES</w:t>
            </w:r>
            <w:r w:rsidR="001F2A4E">
              <w:rPr>
                <w:rFonts w:ascii="Times New Roman" w:eastAsia="Times New Roman" w:hAnsi="Times New Roman" w:cs="Times New Roman"/>
                <w:sz w:val="24"/>
              </w:rPr>
              <w:t xml:space="preserve"> struktūrinių</w:t>
            </w:r>
            <w:r w:rsidR="007A513F">
              <w:rPr>
                <w:rFonts w:ascii="Times New Roman" w:eastAsia="Times New Roman" w:hAnsi="Times New Roman" w:cs="Times New Roman"/>
                <w:sz w:val="24"/>
              </w:rPr>
              <w:t xml:space="preserve"> fondų sistemos efektyvumu ir skaidrumu,</w:t>
            </w:r>
            <w:r>
              <w:rPr>
                <w:rFonts w:ascii="Times New Roman" w:eastAsia="Times New Roman" w:hAnsi="Times New Roman" w:cs="Times New Roman"/>
                <w:sz w:val="24"/>
              </w:rPr>
              <w:t xml:space="preserve"> nėra finansuojamos iš valstybės biudžeto programų.</w:t>
            </w:r>
          </w:p>
        </w:tc>
      </w:tr>
      <w:tr w:rsidR="008E4F7E" w:rsidTr="000F27BC">
        <w:tc>
          <w:tcPr>
            <w:tcW w:w="10355" w:type="dxa"/>
            <w:gridSpan w:val="4"/>
            <w:shd w:val="clear" w:color="auto" w:fill="F2F2F2"/>
          </w:tcPr>
          <w:p w:rsidR="008E4F7E" w:rsidRDefault="008E4F7E" w:rsidP="008E4F7E">
            <w:pPr>
              <w:pStyle w:val="prastasis1"/>
              <w:widowControl w:val="0"/>
              <w:spacing w:line="276" w:lineRule="auto"/>
              <w:jc w:val="center"/>
            </w:pPr>
            <w:r>
              <w:rPr>
                <w:rFonts w:ascii="Times New Roman" w:eastAsia="Times New Roman" w:hAnsi="Times New Roman" w:cs="Times New Roman"/>
                <w:b/>
                <w:sz w:val="24"/>
              </w:rPr>
              <w:t>VI. Priemonės įgyvendinimo stebėsenos rodikliai</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Nacionalinių stebėsenos rodiklių nustatymo poreikis</w:t>
            </w:r>
          </w:p>
        </w:tc>
        <w:tc>
          <w:tcPr>
            <w:tcW w:w="6952" w:type="dxa"/>
            <w:gridSpan w:val="2"/>
          </w:tcPr>
          <w:p w:rsidR="004B24B7" w:rsidRDefault="00E63090" w:rsidP="0064693E">
            <w:pPr>
              <w:pStyle w:val="prastasis1"/>
              <w:tabs>
                <w:tab w:val="left" w:pos="567"/>
              </w:tabs>
              <w:jc w:val="both"/>
            </w:pPr>
            <w:r w:rsidRPr="00F2090B">
              <w:rPr>
                <w:rFonts w:ascii="Times New Roman" w:eastAsia="Times New Roman" w:hAnsi="Times New Roman" w:cs="Times New Roman"/>
                <w:sz w:val="24"/>
              </w:rPr>
              <w:t>Nustatomi n</w:t>
            </w:r>
            <w:r w:rsidR="00A10AFB" w:rsidRPr="00F2090B">
              <w:rPr>
                <w:rFonts w:ascii="Times New Roman" w:eastAsia="Times New Roman" w:hAnsi="Times New Roman" w:cs="Times New Roman"/>
                <w:sz w:val="24"/>
              </w:rPr>
              <w:t xml:space="preserve">acionaliniai stebėsenos rodikliai, kadangi veiksmų programoje nustatytų stebėsenos rodiklių </w:t>
            </w:r>
            <w:r w:rsidRPr="00F2090B">
              <w:rPr>
                <w:rFonts w:ascii="Times New Roman" w:eastAsia="Times New Roman" w:hAnsi="Times New Roman" w:cs="Times New Roman"/>
                <w:sz w:val="24"/>
              </w:rPr>
              <w:t>ne</w:t>
            </w:r>
            <w:r w:rsidR="00A10AFB" w:rsidRPr="00F2090B">
              <w:rPr>
                <w:rFonts w:ascii="Times New Roman" w:eastAsia="Times New Roman" w:hAnsi="Times New Roman" w:cs="Times New Roman"/>
                <w:sz w:val="24"/>
              </w:rPr>
              <w:t xml:space="preserve">pakanka užtikrinti tinkamą ir kokybišką priemonės įgyvendinimo </w:t>
            </w:r>
            <w:proofErr w:type="spellStart"/>
            <w:r w:rsidR="00A10AFB" w:rsidRPr="00F2090B">
              <w:rPr>
                <w:rFonts w:ascii="Times New Roman" w:eastAsia="Times New Roman" w:hAnsi="Times New Roman" w:cs="Times New Roman"/>
                <w:sz w:val="24"/>
              </w:rPr>
              <w:t>stebėseną</w:t>
            </w:r>
            <w:proofErr w:type="spellEnd"/>
            <w:r w:rsidR="0064693E" w:rsidRPr="00F2090B">
              <w:rPr>
                <w:rFonts w:ascii="Times New Roman" w:eastAsia="Times New Roman" w:hAnsi="Times New Roman" w:cs="Times New Roman"/>
                <w:sz w:val="24"/>
              </w:rPr>
              <w:t>.</w:t>
            </w:r>
          </w:p>
        </w:tc>
      </w:tr>
      <w:tr w:rsidR="008E4F7E" w:rsidTr="000F27BC">
        <w:tc>
          <w:tcPr>
            <w:tcW w:w="10355" w:type="dxa"/>
            <w:gridSpan w:val="4"/>
            <w:shd w:val="clear" w:color="auto" w:fill="F2F2F2"/>
          </w:tcPr>
          <w:p w:rsidR="008E4F7E" w:rsidRDefault="008E4F7E" w:rsidP="008E4F7E">
            <w:pPr>
              <w:pStyle w:val="prastasis1"/>
              <w:widowControl w:val="0"/>
              <w:spacing w:line="276" w:lineRule="auto"/>
              <w:jc w:val="center"/>
            </w:pPr>
            <w:r>
              <w:rPr>
                <w:rFonts w:ascii="Times New Roman" w:eastAsia="Times New Roman" w:hAnsi="Times New Roman" w:cs="Times New Roman"/>
                <w:b/>
                <w:sz w:val="24"/>
              </w:rPr>
              <w:t>VII. Priemonės finansavimo šaltiniai</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Priemonei skiriamo finansavimo sumos pagrindimas</w:t>
            </w:r>
          </w:p>
        </w:tc>
        <w:tc>
          <w:tcPr>
            <w:tcW w:w="6952" w:type="dxa"/>
            <w:gridSpan w:val="2"/>
          </w:tcPr>
          <w:p w:rsidR="004B24B7" w:rsidRDefault="00A10AFB" w:rsidP="00C9186A">
            <w:pPr>
              <w:pStyle w:val="prastasis1"/>
              <w:tabs>
                <w:tab w:val="left" w:pos="567"/>
              </w:tabs>
              <w:jc w:val="both"/>
            </w:pPr>
            <w:r>
              <w:rPr>
                <w:rFonts w:ascii="Times New Roman" w:eastAsia="Times New Roman" w:hAnsi="Times New Roman" w:cs="Times New Roman"/>
                <w:sz w:val="24"/>
              </w:rPr>
              <w:t xml:space="preserve">Veiksmų programoje nurodytas 12.1 uždaviniui  skirtas finansavimas. Remiantis </w:t>
            </w:r>
            <w:r w:rsidR="00C9186A">
              <w:rPr>
                <w:rFonts w:ascii="Times New Roman" w:eastAsia="Times New Roman" w:hAnsi="Times New Roman" w:cs="Times New Roman"/>
                <w:sz w:val="24"/>
              </w:rPr>
              <w:t>k</w:t>
            </w:r>
            <w:r>
              <w:rPr>
                <w:rFonts w:ascii="Times New Roman" w:eastAsia="Times New Roman" w:hAnsi="Times New Roman" w:cs="Times New Roman"/>
                <w:sz w:val="24"/>
              </w:rPr>
              <w:t>omunikacijos strategija</w:t>
            </w:r>
            <w:r w:rsidR="001F1618">
              <w:rPr>
                <w:rFonts w:ascii="Times New Roman" w:eastAsia="Times New Roman" w:hAnsi="Times New Roman" w:cs="Times New Roman"/>
                <w:sz w:val="24"/>
              </w:rPr>
              <w:t xml:space="preserve">, </w:t>
            </w:r>
            <w:r w:rsidR="00F622EF">
              <w:rPr>
                <w:rFonts w:ascii="Times New Roman" w:eastAsia="Times New Roman" w:hAnsi="Times New Roman" w:cs="Times New Roman"/>
                <w:sz w:val="24"/>
              </w:rPr>
              <w:t>partnerių įtraukimui į strategijos įgyvendinimą</w:t>
            </w:r>
            <w:r>
              <w:rPr>
                <w:rFonts w:ascii="Times New Roman" w:eastAsia="Times New Roman" w:hAnsi="Times New Roman" w:cs="Times New Roman"/>
                <w:sz w:val="24"/>
              </w:rPr>
              <w:t xml:space="preserve">  skiriama 5 procentai 12.1 uždaviniui  įgyvendinti skirto finansavimo</w:t>
            </w:r>
            <w:r w:rsidR="0069370A">
              <w:rPr>
                <w:rFonts w:ascii="Times New Roman" w:eastAsia="Times New Roman" w:hAnsi="Times New Roman" w:cs="Times New Roman"/>
                <w:sz w:val="24"/>
              </w:rPr>
              <w:t xml:space="preserve">, t.y. 1,18 mln. </w:t>
            </w:r>
            <w:proofErr w:type="spellStart"/>
            <w:r w:rsidR="0069370A">
              <w:rPr>
                <w:rFonts w:ascii="Times New Roman" w:eastAsia="Times New Roman" w:hAnsi="Times New Roman" w:cs="Times New Roman"/>
                <w:sz w:val="24"/>
              </w:rPr>
              <w:t>Eur</w:t>
            </w:r>
            <w:proofErr w:type="spellEnd"/>
            <w:r w:rsidR="0069370A">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Priemonei skiriamų ES struktūrinių fondų lėšų pagrindimas</w:t>
            </w:r>
          </w:p>
        </w:tc>
        <w:tc>
          <w:tcPr>
            <w:tcW w:w="6952" w:type="dxa"/>
            <w:gridSpan w:val="2"/>
          </w:tcPr>
          <w:p w:rsidR="004B24B7" w:rsidRPr="00B33F2F" w:rsidRDefault="00A10AFB" w:rsidP="0081005D">
            <w:pPr>
              <w:pStyle w:val="prastasis1"/>
              <w:tabs>
                <w:tab w:val="left" w:pos="567"/>
              </w:tabs>
              <w:jc w:val="both"/>
            </w:pPr>
            <w:r w:rsidRPr="00B33F2F">
              <w:rPr>
                <w:rFonts w:ascii="Times New Roman" w:eastAsia="Times New Roman" w:hAnsi="Times New Roman" w:cs="Times New Roman"/>
                <w:sz w:val="24"/>
              </w:rPr>
              <w:t xml:space="preserve">Techninės paramos administravimo taisyklių </w:t>
            </w:r>
            <w:r w:rsidR="004B5E32">
              <w:rPr>
                <w:rFonts w:ascii="Times New Roman" w:eastAsia="Times New Roman" w:hAnsi="Times New Roman" w:cs="Times New Roman"/>
                <w:sz w:val="24"/>
              </w:rPr>
              <w:t>16</w:t>
            </w:r>
            <w:r w:rsidR="004B5E32" w:rsidRPr="00B33F2F">
              <w:rPr>
                <w:rFonts w:ascii="Times New Roman" w:eastAsia="Times New Roman" w:hAnsi="Times New Roman" w:cs="Times New Roman"/>
                <w:sz w:val="24"/>
              </w:rPr>
              <w:t xml:space="preserve"> </w:t>
            </w:r>
            <w:r w:rsidRPr="00B33F2F">
              <w:rPr>
                <w:rFonts w:ascii="Times New Roman" w:eastAsia="Times New Roman" w:hAnsi="Times New Roman" w:cs="Times New Roman"/>
                <w:sz w:val="24"/>
              </w:rPr>
              <w:t>punkte nustatyta, kad techninė parama skiriama išlaikant 85 procentų ES struktūrinių fondų lėšų ir 15 procentų Lietuvos Respublikos valstybės biudžeto lėšų</w:t>
            </w:r>
            <w:r w:rsidR="00FE6907">
              <w:rPr>
                <w:rFonts w:ascii="Times New Roman" w:eastAsia="Times New Roman" w:hAnsi="Times New Roman" w:cs="Times New Roman"/>
                <w:sz w:val="24"/>
              </w:rPr>
              <w:t xml:space="preserve"> santykį</w:t>
            </w:r>
            <w:r w:rsidRPr="00B33F2F">
              <w:rPr>
                <w:rFonts w:ascii="Times New Roman" w:eastAsia="Times New Roman" w:hAnsi="Times New Roman" w:cs="Times New Roman"/>
                <w:sz w:val="24"/>
              </w:rPr>
              <w:t>.</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Priemonės finansavimo iš Lietuvos Respublikos valstybės biudžeto poreikio pagrindimas (jei taikoma)</w:t>
            </w:r>
          </w:p>
        </w:tc>
        <w:tc>
          <w:tcPr>
            <w:tcW w:w="6952" w:type="dxa"/>
            <w:gridSpan w:val="2"/>
          </w:tcPr>
          <w:p w:rsidR="004B24B7" w:rsidRPr="00B33F2F" w:rsidRDefault="00A10AFB" w:rsidP="0081005D">
            <w:pPr>
              <w:pStyle w:val="prastasis1"/>
              <w:tabs>
                <w:tab w:val="left" w:pos="567"/>
              </w:tabs>
              <w:jc w:val="both"/>
              <w:rPr>
                <w:highlight w:val="yellow"/>
              </w:rPr>
            </w:pPr>
            <w:r w:rsidRPr="00B33F2F">
              <w:rPr>
                <w:rFonts w:ascii="Times New Roman" w:eastAsia="Times New Roman" w:hAnsi="Times New Roman" w:cs="Times New Roman"/>
                <w:sz w:val="24"/>
              </w:rPr>
              <w:t xml:space="preserve">Techninės paramos administravimo taisyklių </w:t>
            </w:r>
            <w:r w:rsidR="004B5E32">
              <w:rPr>
                <w:rFonts w:ascii="Times New Roman" w:eastAsia="Times New Roman" w:hAnsi="Times New Roman" w:cs="Times New Roman"/>
                <w:sz w:val="24"/>
              </w:rPr>
              <w:t>16</w:t>
            </w:r>
            <w:r w:rsidR="004B5E32" w:rsidRPr="00B33F2F">
              <w:rPr>
                <w:rFonts w:ascii="Times New Roman" w:eastAsia="Times New Roman" w:hAnsi="Times New Roman" w:cs="Times New Roman"/>
                <w:sz w:val="24"/>
              </w:rPr>
              <w:t xml:space="preserve"> </w:t>
            </w:r>
            <w:r w:rsidRPr="00B33F2F">
              <w:rPr>
                <w:rFonts w:ascii="Times New Roman" w:eastAsia="Times New Roman" w:hAnsi="Times New Roman" w:cs="Times New Roman"/>
                <w:sz w:val="24"/>
              </w:rPr>
              <w:t>punkte nustatyta, kad techninė parama skiriama  išlaikant 85 procentų ES struktūrinių fondų lėšų ir 15 procentų Lietuvos Respublikos valstybės biudžeto lėšų</w:t>
            </w:r>
            <w:r w:rsidR="00FE6907">
              <w:rPr>
                <w:rFonts w:ascii="Times New Roman" w:eastAsia="Times New Roman" w:hAnsi="Times New Roman" w:cs="Times New Roman"/>
                <w:sz w:val="24"/>
              </w:rPr>
              <w:t xml:space="preserve"> santykį</w:t>
            </w:r>
            <w:r w:rsidRPr="00B33F2F">
              <w:rPr>
                <w:rFonts w:ascii="Times New Roman" w:eastAsia="Times New Roman" w:hAnsi="Times New Roman" w:cs="Times New Roman"/>
                <w:sz w:val="24"/>
              </w:rPr>
              <w:t>.</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Priemonės finansavimo iš savivaldybių biudžetų poreikio pagrindimas (jei taikoma)</w:t>
            </w:r>
          </w:p>
        </w:tc>
        <w:tc>
          <w:tcPr>
            <w:tcW w:w="6952" w:type="dxa"/>
            <w:gridSpan w:val="2"/>
          </w:tcPr>
          <w:p w:rsidR="004B24B7" w:rsidRDefault="00A10AFB">
            <w:pPr>
              <w:pStyle w:val="prastasis1"/>
              <w:tabs>
                <w:tab w:val="left" w:pos="567"/>
              </w:tabs>
              <w:jc w:val="both"/>
            </w:pPr>
            <w:r>
              <w:rPr>
                <w:rFonts w:ascii="Times New Roman" w:eastAsia="Times New Roman" w:hAnsi="Times New Roman" w:cs="Times New Roman"/>
                <w:sz w:val="24"/>
              </w:rPr>
              <w:t>Netaikoma.</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Pr="00DE1488" w:rsidRDefault="00A10AFB">
            <w:pPr>
              <w:pStyle w:val="prastasis1"/>
              <w:tabs>
                <w:tab w:val="left" w:pos="567"/>
              </w:tabs>
            </w:pPr>
            <w:r w:rsidRPr="00B33F2F">
              <w:rPr>
                <w:rFonts w:ascii="Times New Roman" w:eastAsia="Times New Roman" w:hAnsi="Times New Roman" w:cs="Times New Roman"/>
                <w:sz w:val="24"/>
              </w:rPr>
              <w:t>Priemonės finansavimo iš projektų vykdytojų ir (arba) partnerių lėšų, finansuojamų iš valstybės biudžeto arba viešųjų lėšų, poreikio pagrindimas (jei taikoma)</w:t>
            </w:r>
          </w:p>
        </w:tc>
        <w:tc>
          <w:tcPr>
            <w:tcW w:w="6952" w:type="dxa"/>
            <w:gridSpan w:val="2"/>
          </w:tcPr>
          <w:p w:rsidR="004B24B7" w:rsidRPr="000F27BC" w:rsidRDefault="00A10AFB">
            <w:pPr>
              <w:pStyle w:val="prastasis1"/>
              <w:tabs>
                <w:tab w:val="left" w:pos="567"/>
              </w:tabs>
              <w:jc w:val="both"/>
            </w:pPr>
            <w:r w:rsidRPr="000F27BC">
              <w:rPr>
                <w:rFonts w:ascii="Times New Roman" w:eastAsia="Times New Roman" w:hAnsi="Times New Roman" w:cs="Times New Roman"/>
                <w:sz w:val="24"/>
              </w:rPr>
              <w:t>Netaikoma.</w:t>
            </w:r>
          </w:p>
        </w:tc>
      </w:tr>
      <w:tr w:rsidR="008E4F7E" w:rsidTr="000F27BC">
        <w:tc>
          <w:tcPr>
            <w:tcW w:w="10355" w:type="dxa"/>
            <w:gridSpan w:val="4"/>
            <w:shd w:val="clear" w:color="auto" w:fill="F2F2F2"/>
          </w:tcPr>
          <w:p w:rsidR="008E4F7E" w:rsidRDefault="008E4F7E" w:rsidP="008E4F7E">
            <w:pPr>
              <w:pStyle w:val="prastasis1"/>
              <w:widowControl w:val="0"/>
              <w:spacing w:line="276" w:lineRule="auto"/>
              <w:jc w:val="center"/>
            </w:pPr>
            <w:r>
              <w:rPr>
                <w:rFonts w:ascii="Times New Roman" w:eastAsia="Times New Roman" w:hAnsi="Times New Roman" w:cs="Times New Roman"/>
                <w:b/>
                <w:sz w:val="24"/>
              </w:rPr>
              <w:t>Papildoma informacija</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 xml:space="preserve">Priemonės suderinimas su kitomis </w:t>
            </w:r>
            <w:r>
              <w:rPr>
                <w:rFonts w:ascii="Times New Roman" w:eastAsia="Times New Roman" w:hAnsi="Times New Roman" w:cs="Times New Roman"/>
                <w:sz w:val="24"/>
              </w:rPr>
              <w:lastRenderedPageBreak/>
              <w:t>institucijomis</w:t>
            </w:r>
          </w:p>
        </w:tc>
        <w:tc>
          <w:tcPr>
            <w:tcW w:w="6952" w:type="dxa"/>
            <w:gridSpan w:val="2"/>
          </w:tcPr>
          <w:p w:rsidR="004B24B7" w:rsidRDefault="006310DE" w:rsidP="006310DE">
            <w:pPr>
              <w:pStyle w:val="prastasis1"/>
              <w:jc w:val="both"/>
            </w:pPr>
            <w:r>
              <w:rPr>
                <w:rFonts w:ascii="Times New Roman" w:eastAsia="Times New Roman" w:hAnsi="Times New Roman" w:cs="Times New Roman"/>
                <w:sz w:val="24"/>
              </w:rPr>
              <w:lastRenderedPageBreak/>
              <w:t>V</w:t>
            </w:r>
            <w:r w:rsidR="00A10AFB" w:rsidRPr="00B33F2F">
              <w:rPr>
                <w:rFonts w:ascii="Times New Roman" w:eastAsia="Times New Roman" w:hAnsi="Times New Roman" w:cs="Times New Roman"/>
                <w:sz w:val="24"/>
              </w:rPr>
              <w:t>eiksmų programos administravimo taisyklių</w:t>
            </w:r>
            <w:r w:rsidR="00A10AFB" w:rsidRPr="007603EA">
              <w:rPr>
                <w:rFonts w:ascii="Times New Roman" w:eastAsia="Times New Roman" w:hAnsi="Times New Roman" w:cs="Times New Roman"/>
                <w:sz w:val="24"/>
              </w:rPr>
              <w:t xml:space="preserve"> 124 punkte nurodyta, kad, kai įgyvendinami veiksmų programos techninės paramos </w:t>
            </w:r>
            <w:r w:rsidR="00A10AFB" w:rsidRPr="007603EA">
              <w:rPr>
                <w:rFonts w:ascii="Times New Roman" w:eastAsia="Times New Roman" w:hAnsi="Times New Roman" w:cs="Times New Roman"/>
                <w:sz w:val="24"/>
              </w:rPr>
              <w:lastRenderedPageBreak/>
              <w:t xml:space="preserve">prioritetai, vadovaujančioji </w:t>
            </w:r>
            <w:r w:rsidR="00A10AFB" w:rsidRPr="00DE1488">
              <w:rPr>
                <w:rFonts w:ascii="Times New Roman" w:eastAsia="Times New Roman" w:hAnsi="Times New Roman" w:cs="Times New Roman"/>
                <w:sz w:val="24"/>
              </w:rPr>
              <w:t xml:space="preserve">institucija priemonių įgyvendinimo planą derina su atitinkamų </w:t>
            </w:r>
            <w:r w:rsidR="00A10AFB" w:rsidRPr="00B33F2F">
              <w:rPr>
                <w:rFonts w:ascii="Times New Roman" w:eastAsia="Times New Roman" w:hAnsi="Times New Roman" w:cs="Times New Roman"/>
                <w:sz w:val="24"/>
              </w:rPr>
              <w:t>priemonių įgyvendinančiąja institucija ir ministerijomis, jeigu pagal priemones finansuojamos veiklos gali sutapti su ministerijų finansuojamomis veiklomis ir yra jų dubliavimosi rizika.</w:t>
            </w:r>
            <w:r w:rsidR="00BE220D" w:rsidRPr="000F27BC">
              <w:rPr>
                <w:rFonts w:ascii="Times New Roman" w:eastAsia="Times New Roman" w:hAnsi="Times New Roman" w:cs="Times New Roman"/>
                <w:sz w:val="24"/>
              </w:rPr>
              <w:t xml:space="preserve"> Atsižvelgiant į tai, kad nėra nustatyta </w:t>
            </w:r>
            <w:r w:rsidR="00D33CFD" w:rsidRPr="000F27BC">
              <w:rPr>
                <w:rFonts w:ascii="Times New Roman" w:eastAsia="Times New Roman" w:hAnsi="Times New Roman" w:cs="Times New Roman"/>
                <w:sz w:val="24"/>
              </w:rPr>
              <w:t xml:space="preserve">veiklų dubliavimosi rizikos su ministerijų finansuojamomis veiklomis, </w:t>
            </w:r>
            <w:r w:rsidR="00C92564">
              <w:rPr>
                <w:rFonts w:ascii="Times New Roman" w:eastAsia="Times New Roman" w:hAnsi="Times New Roman" w:cs="Times New Roman"/>
                <w:sz w:val="24"/>
              </w:rPr>
              <w:t>P</w:t>
            </w:r>
            <w:r w:rsidR="00A10AFB" w:rsidRPr="00B33F2F">
              <w:rPr>
                <w:rFonts w:ascii="Times New Roman" w:eastAsia="Times New Roman" w:hAnsi="Times New Roman" w:cs="Times New Roman"/>
                <w:sz w:val="24"/>
              </w:rPr>
              <w:t>riemonės aprašymas ir pagrindimas derinamas su  CPVA.</w:t>
            </w:r>
          </w:p>
        </w:tc>
      </w:tr>
      <w:tr w:rsidR="004B24B7" w:rsidTr="000F27BC">
        <w:tc>
          <w:tcPr>
            <w:tcW w:w="857" w:type="dxa"/>
          </w:tcPr>
          <w:p w:rsidR="004B24B7" w:rsidRDefault="004B24B7">
            <w:pPr>
              <w:pStyle w:val="prastasis1"/>
              <w:numPr>
                <w:ilvl w:val="0"/>
                <w:numId w:val="2"/>
              </w:numPr>
              <w:tabs>
                <w:tab w:val="left" w:pos="567"/>
              </w:tabs>
              <w:spacing w:after="200" w:line="276" w:lineRule="auto"/>
              <w:ind w:hanging="1045"/>
              <w:contextualSpacing/>
              <w:rPr>
                <w:rFonts w:ascii="Times New Roman" w:eastAsia="Times New Roman" w:hAnsi="Times New Roman" w:cs="Times New Roman"/>
                <w:sz w:val="24"/>
              </w:rPr>
            </w:pPr>
          </w:p>
        </w:tc>
        <w:tc>
          <w:tcPr>
            <w:tcW w:w="2546" w:type="dxa"/>
          </w:tcPr>
          <w:p w:rsidR="004B24B7" w:rsidRDefault="00A10AFB">
            <w:pPr>
              <w:pStyle w:val="prastasis1"/>
              <w:tabs>
                <w:tab w:val="left" w:pos="567"/>
              </w:tabs>
            </w:pPr>
            <w:r>
              <w:rPr>
                <w:rFonts w:ascii="Times New Roman" w:eastAsia="Times New Roman" w:hAnsi="Times New Roman" w:cs="Times New Roman"/>
                <w:sz w:val="24"/>
              </w:rPr>
              <w:t>Kita</w:t>
            </w:r>
          </w:p>
        </w:tc>
        <w:tc>
          <w:tcPr>
            <w:tcW w:w="6952" w:type="dxa"/>
            <w:gridSpan w:val="2"/>
          </w:tcPr>
          <w:p w:rsidR="004B24B7" w:rsidRDefault="00A10AFB">
            <w:pPr>
              <w:pStyle w:val="prastasis1"/>
              <w:tabs>
                <w:tab w:val="left" w:pos="567"/>
              </w:tabs>
              <w:jc w:val="both"/>
            </w:pPr>
            <w:r>
              <w:rPr>
                <w:rFonts w:ascii="Times New Roman" w:eastAsia="Times New Roman" w:hAnsi="Times New Roman" w:cs="Times New Roman"/>
                <w:color w:val="0070C0"/>
                <w:sz w:val="24"/>
              </w:rPr>
              <w:t>-</w:t>
            </w:r>
          </w:p>
        </w:tc>
      </w:tr>
    </w:tbl>
    <w:p w:rsidR="004B24B7" w:rsidRDefault="004B24B7">
      <w:pPr>
        <w:pStyle w:val="prastasis1"/>
      </w:pPr>
    </w:p>
    <w:sectPr w:rsidR="004B24B7" w:rsidSect="004B24B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68EF"/>
    <w:multiLevelType w:val="hybridMultilevel"/>
    <w:tmpl w:val="98383FAA"/>
    <w:lvl w:ilvl="0" w:tplc="B776CD40">
      <w:start w:val="1"/>
      <w:numFmt w:val="upperRoman"/>
      <w:lvlText w:val="%1."/>
      <w:lvlJc w:val="left"/>
      <w:pPr>
        <w:ind w:left="1485" w:hanging="720"/>
      </w:pPr>
      <w:rPr>
        <w:rFonts w:ascii="Times New Roman" w:eastAsia="Times New Roman" w:hAnsi="Times New Roman" w:cs="Times New Roman" w:hint="default"/>
        <w:b/>
        <w:sz w:val="24"/>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1">
    <w:nsid w:val="08F006A5"/>
    <w:multiLevelType w:val="multilevel"/>
    <w:tmpl w:val="5B66DC50"/>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AFE2EDA"/>
    <w:multiLevelType w:val="hybridMultilevel"/>
    <w:tmpl w:val="3C1A24FE"/>
    <w:lvl w:ilvl="0" w:tplc="749E5988">
      <w:start w:val="1"/>
      <w:numFmt w:val="decimal"/>
      <w:lvlText w:val="%1."/>
      <w:lvlJc w:val="left"/>
      <w:pPr>
        <w:tabs>
          <w:tab w:val="num" w:pos="720"/>
        </w:tabs>
        <w:ind w:left="720" w:hanging="360"/>
      </w:pPr>
    </w:lvl>
    <w:lvl w:ilvl="1" w:tplc="27E62B32" w:tentative="1">
      <w:start w:val="1"/>
      <w:numFmt w:val="decimal"/>
      <w:lvlText w:val="%2."/>
      <w:lvlJc w:val="left"/>
      <w:pPr>
        <w:tabs>
          <w:tab w:val="num" w:pos="1440"/>
        </w:tabs>
        <w:ind w:left="1440" w:hanging="360"/>
      </w:pPr>
    </w:lvl>
    <w:lvl w:ilvl="2" w:tplc="A8C63A7C" w:tentative="1">
      <w:start w:val="1"/>
      <w:numFmt w:val="decimal"/>
      <w:lvlText w:val="%3."/>
      <w:lvlJc w:val="left"/>
      <w:pPr>
        <w:tabs>
          <w:tab w:val="num" w:pos="2160"/>
        </w:tabs>
        <w:ind w:left="2160" w:hanging="360"/>
      </w:pPr>
    </w:lvl>
    <w:lvl w:ilvl="3" w:tplc="22E653E8" w:tentative="1">
      <w:start w:val="1"/>
      <w:numFmt w:val="decimal"/>
      <w:lvlText w:val="%4."/>
      <w:lvlJc w:val="left"/>
      <w:pPr>
        <w:tabs>
          <w:tab w:val="num" w:pos="2880"/>
        </w:tabs>
        <w:ind w:left="2880" w:hanging="360"/>
      </w:pPr>
    </w:lvl>
    <w:lvl w:ilvl="4" w:tplc="74B83B7E" w:tentative="1">
      <w:start w:val="1"/>
      <w:numFmt w:val="decimal"/>
      <w:lvlText w:val="%5."/>
      <w:lvlJc w:val="left"/>
      <w:pPr>
        <w:tabs>
          <w:tab w:val="num" w:pos="3600"/>
        </w:tabs>
        <w:ind w:left="3600" w:hanging="360"/>
      </w:pPr>
    </w:lvl>
    <w:lvl w:ilvl="5" w:tplc="9C444A66" w:tentative="1">
      <w:start w:val="1"/>
      <w:numFmt w:val="decimal"/>
      <w:lvlText w:val="%6."/>
      <w:lvlJc w:val="left"/>
      <w:pPr>
        <w:tabs>
          <w:tab w:val="num" w:pos="4320"/>
        </w:tabs>
        <w:ind w:left="4320" w:hanging="360"/>
      </w:pPr>
    </w:lvl>
    <w:lvl w:ilvl="6" w:tplc="AAF4EA2A" w:tentative="1">
      <w:start w:val="1"/>
      <w:numFmt w:val="decimal"/>
      <w:lvlText w:val="%7."/>
      <w:lvlJc w:val="left"/>
      <w:pPr>
        <w:tabs>
          <w:tab w:val="num" w:pos="5040"/>
        </w:tabs>
        <w:ind w:left="5040" w:hanging="360"/>
      </w:pPr>
    </w:lvl>
    <w:lvl w:ilvl="7" w:tplc="0D0603A6" w:tentative="1">
      <w:start w:val="1"/>
      <w:numFmt w:val="decimal"/>
      <w:lvlText w:val="%8."/>
      <w:lvlJc w:val="left"/>
      <w:pPr>
        <w:tabs>
          <w:tab w:val="num" w:pos="5760"/>
        </w:tabs>
        <w:ind w:left="5760" w:hanging="360"/>
      </w:pPr>
    </w:lvl>
    <w:lvl w:ilvl="8" w:tplc="61AC6BD2" w:tentative="1">
      <w:start w:val="1"/>
      <w:numFmt w:val="decimal"/>
      <w:lvlText w:val="%9."/>
      <w:lvlJc w:val="left"/>
      <w:pPr>
        <w:tabs>
          <w:tab w:val="num" w:pos="6480"/>
        </w:tabs>
        <w:ind w:left="6480" w:hanging="360"/>
      </w:pPr>
    </w:lvl>
  </w:abstractNum>
  <w:abstractNum w:abstractNumId="3">
    <w:nsid w:val="3ACA0D76"/>
    <w:multiLevelType w:val="hybridMultilevel"/>
    <w:tmpl w:val="1BD64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CA057E3"/>
    <w:multiLevelType w:val="multilevel"/>
    <w:tmpl w:val="DDF8008C"/>
    <w:lvl w:ilvl="0">
      <w:start w:val="1"/>
      <w:numFmt w:val="decimal"/>
      <w:lvlText w:val="%1."/>
      <w:lvlJc w:val="left"/>
      <w:pPr>
        <w:ind w:left="1004" w:firstLine="284"/>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5ABA54B5"/>
    <w:multiLevelType w:val="hybridMultilevel"/>
    <w:tmpl w:val="B44C3D5A"/>
    <w:lvl w:ilvl="0" w:tplc="936863A2">
      <w:start w:val="1"/>
      <w:numFmt w:val="upperRoman"/>
      <w:lvlText w:val="%1."/>
      <w:lvlJc w:val="left"/>
      <w:pPr>
        <w:ind w:left="2205" w:hanging="720"/>
      </w:pPr>
      <w:rPr>
        <w:rFonts w:ascii="Times New Roman" w:eastAsia="Times New Roman" w:hAnsi="Times New Roman" w:cs="Times New Roman" w:hint="default"/>
        <w:b/>
        <w:sz w:val="24"/>
      </w:rPr>
    </w:lvl>
    <w:lvl w:ilvl="1" w:tplc="04270019" w:tentative="1">
      <w:start w:val="1"/>
      <w:numFmt w:val="lowerLetter"/>
      <w:lvlText w:val="%2."/>
      <w:lvlJc w:val="left"/>
      <w:pPr>
        <w:ind w:left="2565" w:hanging="360"/>
      </w:pPr>
    </w:lvl>
    <w:lvl w:ilvl="2" w:tplc="0427001B" w:tentative="1">
      <w:start w:val="1"/>
      <w:numFmt w:val="lowerRoman"/>
      <w:lvlText w:val="%3."/>
      <w:lvlJc w:val="right"/>
      <w:pPr>
        <w:ind w:left="3285" w:hanging="180"/>
      </w:pPr>
    </w:lvl>
    <w:lvl w:ilvl="3" w:tplc="0427000F" w:tentative="1">
      <w:start w:val="1"/>
      <w:numFmt w:val="decimal"/>
      <w:lvlText w:val="%4."/>
      <w:lvlJc w:val="left"/>
      <w:pPr>
        <w:ind w:left="4005" w:hanging="360"/>
      </w:pPr>
    </w:lvl>
    <w:lvl w:ilvl="4" w:tplc="04270019" w:tentative="1">
      <w:start w:val="1"/>
      <w:numFmt w:val="lowerLetter"/>
      <w:lvlText w:val="%5."/>
      <w:lvlJc w:val="left"/>
      <w:pPr>
        <w:ind w:left="4725" w:hanging="360"/>
      </w:pPr>
    </w:lvl>
    <w:lvl w:ilvl="5" w:tplc="0427001B" w:tentative="1">
      <w:start w:val="1"/>
      <w:numFmt w:val="lowerRoman"/>
      <w:lvlText w:val="%6."/>
      <w:lvlJc w:val="right"/>
      <w:pPr>
        <w:ind w:left="5445" w:hanging="180"/>
      </w:pPr>
    </w:lvl>
    <w:lvl w:ilvl="6" w:tplc="0427000F" w:tentative="1">
      <w:start w:val="1"/>
      <w:numFmt w:val="decimal"/>
      <w:lvlText w:val="%7."/>
      <w:lvlJc w:val="left"/>
      <w:pPr>
        <w:ind w:left="6165" w:hanging="360"/>
      </w:pPr>
    </w:lvl>
    <w:lvl w:ilvl="7" w:tplc="04270019" w:tentative="1">
      <w:start w:val="1"/>
      <w:numFmt w:val="lowerLetter"/>
      <w:lvlText w:val="%8."/>
      <w:lvlJc w:val="left"/>
      <w:pPr>
        <w:ind w:left="6885" w:hanging="360"/>
      </w:pPr>
    </w:lvl>
    <w:lvl w:ilvl="8" w:tplc="0427001B" w:tentative="1">
      <w:start w:val="1"/>
      <w:numFmt w:val="lowerRoman"/>
      <w:lvlText w:val="%9."/>
      <w:lvlJc w:val="right"/>
      <w:pPr>
        <w:ind w:left="7605" w:hanging="180"/>
      </w:pPr>
    </w:lvl>
  </w:abstractNum>
  <w:abstractNum w:abstractNumId="6">
    <w:nsid w:val="67654CFA"/>
    <w:multiLevelType w:val="hybridMultilevel"/>
    <w:tmpl w:val="9B7C7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61A193A"/>
    <w:multiLevelType w:val="hybridMultilevel"/>
    <w:tmpl w:val="0A04845A"/>
    <w:lvl w:ilvl="0" w:tplc="EC6A22DE">
      <w:start w:val="1"/>
      <w:numFmt w:val="upperRoman"/>
      <w:lvlText w:val="%1."/>
      <w:lvlJc w:val="left"/>
      <w:pPr>
        <w:ind w:left="765" w:hanging="720"/>
      </w:pPr>
      <w:rPr>
        <w:rFonts w:ascii="Times New Roman" w:eastAsia="Times New Roman" w:hAnsi="Times New Roman" w:cs="Times New Roman" w:hint="default"/>
        <w:b/>
        <w:sz w:val="24"/>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8">
    <w:nsid w:val="767F2EAD"/>
    <w:multiLevelType w:val="hybridMultilevel"/>
    <w:tmpl w:val="24A8B156"/>
    <w:lvl w:ilvl="0" w:tplc="621414D2">
      <w:start w:val="1"/>
      <w:numFmt w:val="upperRoman"/>
      <w:lvlText w:val="%1."/>
      <w:lvlJc w:val="left"/>
      <w:pPr>
        <w:ind w:left="2925" w:hanging="720"/>
      </w:pPr>
      <w:rPr>
        <w:rFonts w:ascii="Times New Roman" w:eastAsia="Times New Roman" w:hAnsi="Times New Roman" w:cs="Times New Roman" w:hint="default"/>
        <w:b/>
        <w:sz w:val="24"/>
      </w:rPr>
    </w:lvl>
    <w:lvl w:ilvl="1" w:tplc="04270019" w:tentative="1">
      <w:start w:val="1"/>
      <w:numFmt w:val="lowerLetter"/>
      <w:lvlText w:val="%2."/>
      <w:lvlJc w:val="left"/>
      <w:pPr>
        <w:ind w:left="3285" w:hanging="360"/>
      </w:pPr>
    </w:lvl>
    <w:lvl w:ilvl="2" w:tplc="0427001B" w:tentative="1">
      <w:start w:val="1"/>
      <w:numFmt w:val="lowerRoman"/>
      <w:lvlText w:val="%3."/>
      <w:lvlJc w:val="right"/>
      <w:pPr>
        <w:ind w:left="4005" w:hanging="180"/>
      </w:pPr>
    </w:lvl>
    <w:lvl w:ilvl="3" w:tplc="0427000F" w:tentative="1">
      <w:start w:val="1"/>
      <w:numFmt w:val="decimal"/>
      <w:lvlText w:val="%4."/>
      <w:lvlJc w:val="left"/>
      <w:pPr>
        <w:ind w:left="4725" w:hanging="360"/>
      </w:pPr>
    </w:lvl>
    <w:lvl w:ilvl="4" w:tplc="04270019" w:tentative="1">
      <w:start w:val="1"/>
      <w:numFmt w:val="lowerLetter"/>
      <w:lvlText w:val="%5."/>
      <w:lvlJc w:val="left"/>
      <w:pPr>
        <w:ind w:left="5445" w:hanging="360"/>
      </w:pPr>
    </w:lvl>
    <w:lvl w:ilvl="5" w:tplc="0427001B" w:tentative="1">
      <w:start w:val="1"/>
      <w:numFmt w:val="lowerRoman"/>
      <w:lvlText w:val="%6."/>
      <w:lvlJc w:val="right"/>
      <w:pPr>
        <w:ind w:left="6165" w:hanging="180"/>
      </w:pPr>
    </w:lvl>
    <w:lvl w:ilvl="6" w:tplc="0427000F" w:tentative="1">
      <w:start w:val="1"/>
      <w:numFmt w:val="decimal"/>
      <w:lvlText w:val="%7."/>
      <w:lvlJc w:val="left"/>
      <w:pPr>
        <w:ind w:left="6885" w:hanging="360"/>
      </w:pPr>
    </w:lvl>
    <w:lvl w:ilvl="7" w:tplc="04270019" w:tentative="1">
      <w:start w:val="1"/>
      <w:numFmt w:val="lowerLetter"/>
      <w:lvlText w:val="%8."/>
      <w:lvlJc w:val="left"/>
      <w:pPr>
        <w:ind w:left="7605" w:hanging="360"/>
      </w:pPr>
    </w:lvl>
    <w:lvl w:ilvl="8" w:tplc="0427001B" w:tentative="1">
      <w:start w:val="1"/>
      <w:numFmt w:val="lowerRoman"/>
      <w:lvlText w:val="%9."/>
      <w:lvlJc w:val="right"/>
      <w:pPr>
        <w:ind w:left="8325" w:hanging="180"/>
      </w:pPr>
    </w:lvl>
  </w:abstractNum>
  <w:num w:numId="1">
    <w:abstractNumId w:val="1"/>
  </w:num>
  <w:num w:numId="2">
    <w:abstractNumId w:val="4"/>
  </w:num>
  <w:num w:numId="3">
    <w:abstractNumId w:val="7"/>
  </w:num>
  <w:num w:numId="4">
    <w:abstractNumId w:val="0"/>
  </w:num>
  <w:num w:numId="5">
    <w:abstractNumId w:val="5"/>
  </w:num>
  <w:num w:numId="6">
    <w:abstractNumId w:val="8"/>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B7"/>
    <w:rsid w:val="00006948"/>
    <w:rsid w:val="00010E4C"/>
    <w:rsid w:val="00020EB7"/>
    <w:rsid w:val="0004547B"/>
    <w:rsid w:val="0006384D"/>
    <w:rsid w:val="00065DDB"/>
    <w:rsid w:val="000677E2"/>
    <w:rsid w:val="00071F05"/>
    <w:rsid w:val="00082B73"/>
    <w:rsid w:val="000A0106"/>
    <w:rsid w:val="000A47C8"/>
    <w:rsid w:val="000B3D74"/>
    <w:rsid w:val="000E3BE4"/>
    <w:rsid w:val="000F27BC"/>
    <w:rsid w:val="00110589"/>
    <w:rsid w:val="00151921"/>
    <w:rsid w:val="0017299B"/>
    <w:rsid w:val="0018277F"/>
    <w:rsid w:val="00191E48"/>
    <w:rsid w:val="001B7E76"/>
    <w:rsid w:val="001E5D64"/>
    <w:rsid w:val="001F1618"/>
    <w:rsid w:val="001F2A4E"/>
    <w:rsid w:val="002076C5"/>
    <w:rsid w:val="00221C74"/>
    <w:rsid w:val="00270FCF"/>
    <w:rsid w:val="002778FF"/>
    <w:rsid w:val="002F232C"/>
    <w:rsid w:val="00312445"/>
    <w:rsid w:val="0033204A"/>
    <w:rsid w:val="00344866"/>
    <w:rsid w:val="003814D5"/>
    <w:rsid w:val="00397FC0"/>
    <w:rsid w:val="003A2EAC"/>
    <w:rsid w:val="003A339A"/>
    <w:rsid w:val="003A676B"/>
    <w:rsid w:val="003D0881"/>
    <w:rsid w:val="003D1BEA"/>
    <w:rsid w:val="00403FA8"/>
    <w:rsid w:val="00411C01"/>
    <w:rsid w:val="0041579A"/>
    <w:rsid w:val="0043687C"/>
    <w:rsid w:val="004414B1"/>
    <w:rsid w:val="0047225A"/>
    <w:rsid w:val="00484DF8"/>
    <w:rsid w:val="004975EE"/>
    <w:rsid w:val="004B24B7"/>
    <w:rsid w:val="004B5E32"/>
    <w:rsid w:val="004C2EA9"/>
    <w:rsid w:val="004F5150"/>
    <w:rsid w:val="0051360F"/>
    <w:rsid w:val="00517D90"/>
    <w:rsid w:val="00523931"/>
    <w:rsid w:val="005244F3"/>
    <w:rsid w:val="00533A3C"/>
    <w:rsid w:val="005602FD"/>
    <w:rsid w:val="00566955"/>
    <w:rsid w:val="00574752"/>
    <w:rsid w:val="00577C72"/>
    <w:rsid w:val="005A19D1"/>
    <w:rsid w:val="005B365F"/>
    <w:rsid w:val="005C2553"/>
    <w:rsid w:val="005D75E6"/>
    <w:rsid w:val="005F4AE6"/>
    <w:rsid w:val="006079F8"/>
    <w:rsid w:val="00613752"/>
    <w:rsid w:val="00624A7E"/>
    <w:rsid w:val="006310DE"/>
    <w:rsid w:val="00645647"/>
    <w:rsid w:val="0064693E"/>
    <w:rsid w:val="00651D78"/>
    <w:rsid w:val="00655B48"/>
    <w:rsid w:val="00664919"/>
    <w:rsid w:val="00666E2F"/>
    <w:rsid w:val="00671D5F"/>
    <w:rsid w:val="006753C3"/>
    <w:rsid w:val="00680240"/>
    <w:rsid w:val="0069370A"/>
    <w:rsid w:val="006B608B"/>
    <w:rsid w:val="006C07D8"/>
    <w:rsid w:val="006C519C"/>
    <w:rsid w:val="006D2D7D"/>
    <w:rsid w:val="006D2DEC"/>
    <w:rsid w:val="006D66D4"/>
    <w:rsid w:val="007113CA"/>
    <w:rsid w:val="0071235D"/>
    <w:rsid w:val="00712C1C"/>
    <w:rsid w:val="00717278"/>
    <w:rsid w:val="007256BB"/>
    <w:rsid w:val="007260B8"/>
    <w:rsid w:val="00730A23"/>
    <w:rsid w:val="00735AF1"/>
    <w:rsid w:val="00746C8D"/>
    <w:rsid w:val="00754439"/>
    <w:rsid w:val="007603EA"/>
    <w:rsid w:val="007A0467"/>
    <w:rsid w:val="007A513F"/>
    <w:rsid w:val="007B1CDD"/>
    <w:rsid w:val="007C1954"/>
    <w:rsid w:val="007E1FFF"/>
    <w:rsid w:val="007F5F78"/>
    <w:rsid w:val="008023BF"/>
    <w:rsid w:val="00804891"/>
    <w:rsid w:val="0081005D"/>
    <w:rsid w:val="00820330"/>
    <w:rsid w:val="008204E4"/>
    <w:rsid w:val="00846236"/>
    <w:rsid w:val="00853864"/>
    <w:rsid w:val="008675B9"/>
    <w:rsid w:val="0088387B"/>
    <w:rsid w:val="008A14FD"/>
    <w:rsid w:val="008A26B6"/>
    <w:rsid w:val="008C70E2"/>
    <w:rsid w:val="008E4F7E"/>
    <w:rsid w:val="00922146"/>
    <w:rsid w:val="00935784"/>
    <w:rsid w:val="009A38A6"/>
    <w:rsid w:val="009A4B57"/>
    <w:rsid w:val="009C3CB6"/>
    <w:rsid w:val="009D24EC"/>
    <w:rsid w:val="009F3E21"/>
    <w:rsid w:val="009F6911"/>
    <w:rsid w:val="00A10AFB"/>
    <w:rsid w:val="00A1296B"/>
    <w:rsid w:val="00A332D2"/>
    <w:rsid w:val="00AB344C"/>
    <w:rsid w:val="00AC650C"/>
    <w:rsid w:val="00AD51E5"/>
    <w:rsid w:val="00AE3DB8"/>
    <w:rsid w:val="00AF266A"/>
    <w:rsid w:val="00AF45A1"/>
    <w:rsid w:val="00B007DA"/>
    <w:rsid w:val="00B33F2F"/>
    <w:rsid w:val="00B8527A"/>
    <w:rsid w:val="00BA61CF"/>
    <w:rsid w:val="00BB72F2"/>
    <w:rsid w:val="00BE220D"/>
    <w:rsid w:val="00BF1230"/>
    <w:rsid w:val="00C02C24"/>
    <w:rsid w:val="00C04742"/>
    <w:rsid w:val="00C106A6"/>
    <w:rsid w:val="00C1423B"/>
    <w:rsid w:val="00C310C1"/>
    <w:rsid w:val="00C735E3"/>
    <w:rsid w:val="00C820CE"/>
    <w:rsid w:val="00C9186A"/>
    <w:rsid w:val="00C92564"/>
    <w:rsid w:val="00CA004F"/>
    <w:rsid w:val="00CB18D4"/>
    <w:rsid w:val="00CD5F3A"/>
    <w:rsid w:val="00CE3B95"/>
    <w:rsid w:val="00CE7347"/>
    <w:rsid w:val="00D007B3"/>
    <w:rsid w:val="00D04664"/>
    <w:rsid w:val="00D057A2"/>
    <w:rsid w:val="00D22288"/>
    <w:rsid w:val="00D233D1"/>
    <w:rsid w:val="00D33CFD"/>
    <w:rsid w:val="00D41D1D"/>
    <w:rsid w:val="00D51D57"/>
    <w:rsid w:val="00DA6D9A"/>
    <w:rsid w:val="00DB3398"/>
    <w:rsid w:val="00DE1488"/>
    <w:rsid w:val="00DE6F21"/>
    <w:rsid w:val="00E156FC"/>
    <w:rsid w:val="00E1793D"/>
    <w:rsid w:val="00E44886"/>
    <w:rsid w:val="00E63090"/>
    <w:rsid w:val="00E73608"/>
    <w:rsid w:val="00E92035"/>
    <w:rsid w:val="00E957B4"/>
    <w:rsid w:val="00EA094E"/>
    <w:rsid w:val="00EA3E91"/>
    <w:rsid w:val="00EC0526"/>
    <w:rsid w:val="00EC5566"/>
    <w:rsid w:val="00EC7993"/>
    <w:rsid w:val="00ED5791"/>
    <w:rsid w:val="00ED7007"/>
    <w:rsid w:val="00F04E3A"/>
    <w:rsid w:val="00F2090B"/>
    <w:rsid w:val="00F237D8"/>
    <w:rsid w:val="00F409B8"/>
    <w:rsid w:val="00F413A3"/>
    <w:rsid w:val="00F4358F"/>
    <w:rsid w:val="00F56F8E"/>
    <w:rsid w:val="00F622EF"/>
    <w:rsid w:val="00F84CAF"/>
    <w:rsid w:val="00F967FF"/>
    <w:rsid w:val="00F97122"/>
    <w:rsid w:val="00FD36C1"/>
    <w:rsid w:val="00FE02F7"/>
    <w:rsid w:val="00FE6907"/>
    <w:rsid w:val="00FF6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1"/>
    <w:next w:val="prastasis1"/>
    <w:rsid w:val="004B24B7"/>
    <w:pPr>
      <w:keepNext/>
      <w:keepLines/>
      <w:spacing w:before="480" w:after="120"/>
      <w:contextualSpacing/>
      <w:outlineLvl w:val="0"/>
    </w:pPr>
    <w:rPr>
      <w:b/>
      <w:sz w:val="48"/>
    </w:rPr>
  </w:style>
  <w:style w:type="paragraph" w:styleId="Antrat2">
    <w:name w:val="heading 2"/>
    <w:basedOn w:val="prastasis1"/>
    <w:next w:val="prastasis1"/>
    <w:rsid w:val="004B24B7"/>
    <w:pPr>
      <w:keepNext/>
      <w:keepLines/>
      <w:spacing w:before="360" w:after="80"/>
      <w:contextualSpacing/>
      <w:outlineLvl w:val="1"/>
    </w:pPr>
    <w:rPr>
      <w:b/>
      <w:sz w:val="36"/>
    </w:rPr>
  </w:style>
  <w:style w:type="paragraph" w:styleId="Antrat3">
    <w:name w:val="heading 3"/>
    <w:basedOn w:val="prastasis1"/>
    <w:next w:val="prastasis1"/>
    <w:rsid w:val="004B24B7"/>
    <w:pPr>
      <w:keepNext/>
      <w:keepLines/>
      <w:spacing w:before="280" w:after="80"/>
      <w:contextualSpacing/>
      <w:outlineLvl w:val="2"/>
    </w:pPr>
    <w:rPr>
      <w:b/>
      <w:sz w:val="28"/>
    </w:rPr>
  </w:style>
  <w:style w:type="paragraph" w:styleId="Antrat4">
    <w:name w:val="heading 4"/>
    <w:basedOn w:val="prastasis1"/>
    <w:next w:val="prastasis1"/>
    <w:rsid w:val="004B24B7"/>
    <w:pPr>
      <w:keepNext/>
      <w:keepLines/>
      <w:spacing w:before="240" w:after="40"/>
      <w:contextualSpacing/>
      <w:outlineLvl w:val="3"/>
    </w:pPr>
    <w:rPr>
      <w:b/>
      <w:sz w:val="24"/>
    </w:rPr>
  </w:style>
  <w:style w:type="paragraph" w:styleId="Antrat5">
    <w:name w:val="heading 5"/>
    <w:basedOn w:val="prastasis1"/>
    <w:next w:val="prastasis1"/>
    <w:rsid w:val="004B24B7"/>
    <w:pPr>
      <w:keepNext/>
      <w:keepLines/>
      <w:spacing w:before="220" w:after="40"/>
      <w:contextualSpacing/>
      <w:outlineLvl w:val="4"/>
    </w:pPr>
    <w:rPr>
      <w:b/>
    </w:rPr>
  </w:style>
  <w:style w:type="paragraph" w:styleId="Antrat6">
    <w:name w:val="heading 6"/>
    <w:basedOn w:val="prastasis1"/>
    <w:next w:val="prastasis1"/>
    <w:rsid w:val="004B24B7"/>
    <w:pPr>
      <w:keepNext/>
      <w:keepLines/>
      <w:spacing w:before="200" w:after="40"/>
      <w:contextualSpacing/>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4B24B7"/>
  </w:style>
  <w:style w:type="table" w:customStyle="1" w:styleId="TableNormal">
    <w:name w:val="Table Normal"/>
    <w:rsid w:val="004B24B7"/>
    <w:tblPr>
      <w:tblCellMar>
        <w:top w:w="0" w:type="dxa"/>
        <w:left w:w="0" w:type="dxa"/>
        <w:bottom w:w="0" w:type="dxa"/>
        <w:right w:w="0" w:type="dxa"/>
      </w:tblCellMar>
    </w:tblPr>
  </w:style>
  <w:style w:type="paragraph" w:styleId="Pavadinimas">
    <w:name w:val="Title"/>
    <w:basedOn w:val="prastasis1"/>
    <w:next w:val="prastasis1"/>
    <w:rsid w:val="004B24B7"/>
    <w:pPr>
      <w:keepNext/>
      <w:keepLines/>
      <w:spacing w:before="480" w:after="120"/>
      <w:contextualSpacing/>
    </w:pPr>
    <w:rPr>
      <w:b/>
      <w:sz w:val="72"/>
    </w:rPr>
  </w:style>
  <w:style w:type="paragraph" w:styleId="Antrinispavadinimas">
    <w:name w:val="Subtitle"/>
    <w:basedOn w:val="prastasis1"/>
    <w:next w:val="prastasis1"/>
    <w:rsid w:val="004B24B7"/>
    <w:pPr>
      <w:keepNext/>
      <w:keepLines/>
      <w:spacing w:before="360" w:after="80"/>
      <w:contextualSpacing/>
    </w:pPr>
    <w:rPr>
      <w:rFonts w:ascii="Georgia" w:eastAsia="Georgia" w:hAnsi="Georgia" w:cs="Georgia"/>
      <w:i/>
      <w:color w:val="666666"/>
      <w:sz w:val="48"/>
    </w:rPr>
  </w:style>
  <w:style w:type="table" w:customStyle="1" w:styleId="a">
    <w:basedOn w:val="TableNormal"/>
    <w:rsid w:val="004B24B7"/>
    <w:tblPr>
      <w:tblStyleRowBandSize w:val="1"/>
      <w:tblStyleColBandSize w:val="1"/>
      <w:tblCellMar>
        <w:left w:w="115" w:type="dxa"/>
        <w:right w:w="115" w:type="dxa"/>
      </w:tblCellMar>
    </w:tblPr>
  </w:style>
  <w:style w:type="table" w:customStyle="1" w:styleId="a0">
    <w:basedOn w:val="TableNormal"/>
    <w:rsid w:val="004B24B7"/>
    <w:pPr>
      <w:spacing w:after="0" w:line="240" w:lineRule="auto"/>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sid w:val="004B24B7"/>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4B24B7"/>
    <w:rPr>
      <w:sz w:val="20"/>
    </w:rPr>
  </w:style>
  <w:style w:type="character" w:styleId="Komentaronuoroda">
    <w:name w:val="annotation reference"/>
    <w:basedOn w:val="Numatytasispastraiposriftas"/>
    <w:uiPriority w:val="99"/>
    <w:semiHidden/>
    <w:unhideWhenUsed/>
    <w:rsid w:val="004B24B7"/>
    <w:rPr>
      <w:sz w:val="16"/>
      <w:szCs w:val="16"/>
    </w:rPr>
  </w:style>
  <w:style w:type="paragraph" w:styleId="Debesliotekstas">
    <w:name w:val="Balloon Text"/>
    <w:basedOn w:val="prastasis"/>
    <w:link w:val="DebesliotekstasDiagrama"/>
    <w:uiPriority w:val="99"/>
    <w:semiHidden/>
    <w:unhideWhenUsed/>
    <w:rsid w:val="00DE6F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6F21"/>
    <w:rPr>
      <w:rFonts w:ascii="Tahoma" w:hAnsi="Tahoma" w:cs="Tahoma"/>
      <w:sz w:val="16"/>
      <w:szCs w:val="16"/>
    </w:rPr>
  </w:style>
  <w:style w:type="paragraph" w:styleId="Pataisymai">
    <w:name w:val="Revision"/>
    <w:hidden/>
    <w:uiPriority w:val="99"/>
    <w:semiHidden/>
    <w:rsid w:val="00DE6F21"/>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622EF"/>
    <w:rPr>
      <w:b/>
      <w:bCs/>
    </w:rPr>
  </w:style>
  <w:style w:type="character" w:customStyle="1" w:styleId="KomentarotemaDiagrama">
    <w:name w:val="Komentaro tema Diagrama"/>
    <w:basedOn w:val="KomentarotekstasDiagrama"/>
    <w:link w:val="Komentarotema"/>
    <w:uiPriority w:val="99"/>
    <w:semiHidden/>
    <w:rsid w:val="00F622EF"/>
    <w:rPr>
      <w:b/>
      <w:bCs/>
      <w:sz w:val="20"/>
    </w:rPr>
  </w:style>
  <w:style w:type="paragraph" w:styleId="Sraopastraipa">
    <w:name w:val="List Paragraph"/>
    <w:basedOn w:val="prastasis"/>
    <w:uiPriority w:val="34"/>
    <w:qFormat/>
    <w:rsid w:val="00DE1488"/>
    <w:pPr>
      <w:spacing w:after="0" w:line="240" w:lineRule="auto"/>
      <w:ind w:left="720"/>
      <w:contextualSpacing/>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1"/>
    <w:next w:val="prastasis1"/>
    <w:rsid w:val="004B24B7"/>
    <w:pPr>
      <w:keepNext/>
      <w:keepLines/>
      <w:spacing w:before="480" w:after="120"/>
      <w:contextualSpacing/>
      <w:outlineLvl w:val="0"/>
    </w:pPr>
    <w:rPr>
      <w:b/>
      <w:sz w:val="48"/>
    </w:rPr>
  </w:style>
  <w:style w:type="paragraph" w:styleId="Antrat2">
    <w:name w:val="heading 2"/>
    <w:basedOn w:val="prastasis1"/>
    <w:next w:val="prastasis1"/>
    <w:rsid w:val="004B24B7"/>
    <w:pPr>
      <w:keepNext/>
      <w:keepLines/>
      <w:spacing w:before="360" w:after="80"/>
      <w:contextualSpacing/>
      <w:outlineLvl w:val="1"/>
    </w:pPr>
    <w:rPr>
      <w:b/>
      <w:sz w:val="36"/>
    </w:rPr>
  </w:style>
  <w:style w:type="paragraph" w:styleId="Antrat3">
    <w:name w:val="heading 3"/>
    <w:basedOn w:val="prastasis1"/>
    <w:next w:val="prastasis1"/>
    <w:rsid w:val="004B24B7"/>
    <w:pPr>
      <w:keepNext/>
      <w:keepLines/>
      <w:spacing w:before="280" w:after="80"/>
      <w:contextualSpacing/>
      <w:outlineLvl w:val="2"/>
    </w:pPr>
    <w:rPr>
      <w:b/>
      <w:sz w:val="28"/>
    </w:rPr>
  </w:style>
  <w:style w:type="paragraph" w:styleId="Antrat4">
    <w:name w:val="heading 4"/>
    <w:basedOn w:val="prastasis1"/>
    <w:next w:val="prastasis1"/>
    <w:rsid w:val="004B24B7"/>
    <w:pPr>
      <w:keepNext/>
      <w:keepLines/>
      <w:spacing w:before="240" w:after="40"/>
      <w:contextualSpacing/>
      <w:outlineLvl w:val="3"/>
    </w:pPr>
    <w:rPr>
      <w:b/>
      <w:sz w:val="24"/>
    </w:rPr>
  </w:style>
  <w:style w:type="paragraph" w:styleId="Antrat5">
    <w:name w:val="heading 5"/>
    <w:basedOn w:val="prastasis1"/>
    <w:next w:val="prastasis1"/>
    <w:rsid w:val="004B24B7"/>
    <w:pPr>
      <w:keepNext/>
      <w:keepLines/>
      <w:spacing w:before="220" w:after="40"/>
      <w:contextualSpacing/>
      <w:outlineLvl w:val="4"/>
    </w:pPr>
    <w:rPr>
      <w:b/>
    </w:rPr>
  </w:style>
  <w:style w:type="paragraph" w:styleId="Antrat6">
    <w:name w:val="heading 6"/>
    <w:basedOn w:val="prastasis1"/>
    <w:next w:val="prastasis1"/>
    <w:rsid w:val="004B24B7"/>
    <w:pPr>
      <w:keepNext/>
      <w:keepLines/>
      <w:spacing w:before="200" w:after="40"/>
      <w:contextualSpacing/>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4B24B7"/>
  </w:style>
  <w:style w:type="table" w:customStyle="1" w:styleId="TableNormal">
    <w:name w:val="Table Normal"/>
    <w:rsid w:val="004B24B7"/>
    <w:tblPr>
      <w:tblCellMar>
        <w:top w:w="0" w:type="dxa"/>
        <w:left w:w="0" w:type="dxa"/>
        <w:bottom w:w="0" w:type="dxa"/>
        <w:right w:w="0" w:type="dxa"/>
      </w:tblCellMar>
    </w:tblPr>
  </w:style>
  <w:style w:type="paragraph" w:styleId="Pavadinimas">
    <w:name w:val="Title"/>
    <w:basedOn w:val="prastasis1"/>
    <w:next w:val="prastasis1"/>
    <w:rsid w:val="004B24B7"/>
    <w:pPr>
      <w:keepNext/>
      <w:keepLines/>
      <w:spacing w:before="480" w:after="120"/>
      <w:contextualSpacing/>
    </w:pPr>
    <w:rPr>
      <w:b/>
      <w:sz w:val="72"/>
    </w:rPr>
  </w:style>
  <w:style w:type="paragraph" w:styleId="Antrinispavadinimas">
    <w:name w:val="Subtitle"/>
    <w:basedOn w:val="prastasis1"/>
    <w:next w:val="prastasis1"/>
    <w:rsid w:val="004B24B7"/>
    <w:pPr>
      <w:keepNext/>
      <w:keepLines/>
      <w:spacing w:before="360" w:after="80"/>
      <w:contextualSpacing/>
    </w:pPr>
    <w:rPr>
      <w:rFonts w:ascii="Georgia" w:eastAsia="Georgia" w:hAnsi="Georgia" w:cs="Georgia"/>
      <w:i/>
      <w:color w:val="666666"/>
      <w:sz w:val="48"/>
    </w:rPr>
  </w:style>
  <w:style w:type="table" w:customStyle="1" w:styleId="a">
    <w:basedOn w:val="TableNormal"/>
    <w:rsid w:val="004B24B7"/>
    <w:tblPr>
      <w:tblStyleRowBandSize w:val="1"/>
      <w:tblStyleColBandSize w:val="1"/>
      <w:tblCellMar>
        <w:left w:w="115" w:type="dxa"/>
        <w:right w:w="115" w:type="dxa"/>
      </w:tblCellMar>
    </w:tblPr>
  </w:style>
  <w:style w:type="table" w:customStyle="1" w:styleId="a0">
    <w:basedOn w:val="TableNormal"/>
    <w:rsid w:val="004B24B7"/>
    <w:pPr>
      <w:spacing w:after="0" w:line="240" w:lineRule="auto"/>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sid w:val="004B24B7"/>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4B24B7"/>
    <w:rPr>
      <w:sz w:val="20"/>
    </w:rPr>
  </w:style>
  <w:style w:type="character" w:styleId="Komentaronuoroda">
    <w:name w:val="annotation reference"/>
    <w:basedOn w:val="Numatytasispastraiposriftas"/>
    <w:uiPriority w:val="99"/>
    <w:semiHidden/>
    <w:unhideWhenUsed/>
    <w:rsid w:val="004B24B7"/>
    <w:rPr>
      <w:sz w:val="16"/>
      <w:szCs w:val="16"/>
    </w:rPr>
  </w:style>
  <w:style w:type="paragraph" w:styleId="Debesliotekstas">
    <w:name w:val="Balloon Text"/>
    <w:basedOn w:val="prastasis"/>
    <w:link w:val="DebesliotekstasDiagrama"/>
    <w:uiPriority w:val="99"/>
    <w:semiHidden/>
    <w:unhideWhenUsed/>
    <w:rsid w:val="00DE6F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6F21"/>
    <w:rPr>
      <w:rFonts w:ascii="Tahoma" w:hAnsi="Tahoma" w:cs="Tahoma"/>
      <w:sz w:val="16"/>
      <w:szCs w:val="16"/>
    </w:rPr>
  </w:style>
  <w:style w:type="paragraph" w:styleId="Pataisymai">
    <w:name w:val="Revision"/>
    <w:hidden/>
    <w:uiPriority w:val="99"/>
    <w:semiHidden/>
    <w:rsid w:val="00DE6F21"/>
    <w:pPr>
      <w:spacing w:after="0" w:line="240" w:lineRule="auto"/>
    </w:pPr>
  </w:style>
  <w:style w:type="paragraph" w:styleId="Komentarotema">
    <w:name w:val="annotation subject"/>
    <w:basedOn w:val="Komentarotekstas"/>
    <w:next w:val="Komentarotekstas"/>
    <w:link w:val="KomentarotemaDiagrama"/>
    <w:uiPriority w:val="99"/>
    <w:semiHidden/>
    <w:unhideWhenUsed/>
    <w:rsid w:val="00F622EF"/>
    <w:rPr>
      <w:b/>
      <w:bCs/>
    </w:rPr>
  </w:style>
  <w:style w:type="character" w:customStyle="1" w:styleId="KomentarotemaDiagrama">
    <w:name w:val="Komentaro tema Diagrama"/>
    <w:basedOn w:val="KomentarotekstasDiagrama"/>
    <w:link w:val="Komentarotema"/>
    <w:uiPriority w:val="99"/>
    <w:semiHidden/>
    <w:rsid w:val="00F622EF"/>
    <w:rPr>
      <w:b/>
      <w:bCs/>
      <w:sz w:val="20"/>
    </w:rPr>
  </w:style>
  <w:style w:type="paragraph" w:styleId="Sraopastraipa">
    <w:name w:val="List Paragraph"/>
    <w:basedOn w:val="prastasis"/>
    <w:uiPriority w:val="34"/>
    <w:qFormat/>
    <w:rsid w:val="00DE1488"/>
    <w:pPr>
      <w:spacing w:after="0" w:line="240" w:lineRule="auto"/>
      <w:ind w:left="720"/>
      <w:contextualSpacing/>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21696">
      <w:bodyDiv w:val="1"/>
      <w:marLeft w:val="225"/>
      <w:marRight w:val="225"/>
      <w:marTop w:val="0"/>
      <w:marBottom w:val="0"/>
      <w:divBdr>
        <w:top w:val="none" w:sz="0" w:space="0" w:color="auto"/>
        <w:left w:val="none" w:sz="0" w:space="0" w:color="auto"/>
        <w:bottom w:val="none" w:sz="0" w:space="0" w:color="auto"/>
        <w:right w:val="none" w:sz="0" w:space="0" w:color="auto"/>
      </w:divBdr>
      <w:divsChild>
        <w:div w:id="1587686426">
          <w:marLeft w:val="0"/>
          <w:marRight w:val="0"/>
          <w:marTop w:val="0"/>
          <w:marBottom w:val="0"/>
          <w:divBdr>
            <w:top w:val="none" w:sz="0" w:space="0" w:color="auto"/>
            <w:left w:val="none" w:sz="0" w:space="0" w:color="auto"/>
            <w:bottom w:val="none" w:sz="0" w:space="0" w:color="auto"/>
            <w:right w:val="none" w:sz="0" w:space="0" w:color="auto"/>
          </w:divBdr>
        </w:div>
      </w:divsChild>
    </w:div>
    <w:div w:id="497308493">
      <w:bodyDiv w:val="1"/>
      <w:marLeft w:val="0"/>
      <w:marRight w:val="0"/>
      <w:marTop w:val="0"/>
      <w:marBottom w:val="0"/>
      <w:divBdr>
        <w:top w:val="none" w:sz="0" w:space="0" w:color="auto"/>
        <w:left w:val="none" w:sz="0" w:space="0" w:color="auto"/>
        <w:bottom w:val="none" w:sz="0" w:space="0" w:color="auto"/>
        <w:right w:val="none" w:sz="0" w:space="0" w:color="auto"/>
      </w:divBdr>
    </w:div>
    <w:div w:id="581066029">
      <w:bodyDiv w:val="1"/>
      <w:marLeft w:val="0"/>
      <w:marRight w:val="0"/>
      <w:marTop w:val="0"/>
      <w:marBottom w:val="0"/>
      <w:divBdr>
        <w:top w:val="none" w:sz="0" w:space="0" w:color="auto"/>
        <w:left w:val="none" w:sz="0" w:space="0" w:color="auto"/>
        <w:bottom w:val="none" w:sz="0" w:space="0" w:color="auto"/>
        <w:right w:val="none" w:sz="0" w:space="0" w:color="auto"/>
      </w:divBdr>
    </w:div>
    <w:div w:id="587812606">
      <w:bodyDiv w:val="1"/>
      <w:marLeft w:val="0"/>
      <w:marRight w:val="0"/>
      <w:marTop w:val="0"/>
      <w:marBottom w:val="0"/>
      <w:divBdr>
        <w:top w:val="none" w:sz="0" w:space="0" w:color="auto"/>
        <w:left w:val="none" w:sz="0" w:space="0" w:color="auto"/>
        <w:bottom w:val="none" w:sz="0" w:space="0" w:color="auto"/>
        <w:right w:val="none" w:sz="0" w:space="0" w:color="auto"/>
      </w:divBdr>
      <w:divsChild>
        <w:div w:id="1041785236">
          <w:marLeft w:val="806"/>
          <w:marRight w:val="0"/>
          <w:marTop w:val="106"/>
          <w:marBottom w:val="0"/>
          <w:divBdr>
            <w:top w:val="none" w:sz="0" w:space="0" w:color="auto"/>
            <w:left w:val="none" w:sz="0" w:space="0" w:color="auto"/>
            <w:bottom w:val="none" w:sz="0" w:space="0" w:color="auto"/>
            <w:right w:val="none" w:sz="0" w:space="0" w:color="auto"/>
          </w:divBdr>
        </w:div>
      </w:divsChild>
    </w:div>
    <w:div w:id="648364836">
      <w:bodyDiv w:val="1"/>
      <w:marLeft w:val="0"/>
      <w:marRight w:val="0"/>
      <w:marTop w:val="0"/>
      <w:marBottom w:val="0"/>
      <w:divBdr>
        <w:top w:val="none" w:sz="0" w:space="0" w:color="auto"/>
        <w:left w:val="none" w:sz="0" w:space="0" w:color="auto"/>
        <w:bottom w:val="none" w:sz="0" w:space="0" w:color="auto"/>
        <w:right w:val="none" w:sz="0" w:space="0" w:color="auto"/>
      </w:divBdr>
    </w:div>
    <w:div w:id="760029442">
      <w:bodyDiv w:val="1"/>
      <w:marLeft w:val="225"/>
      <w:marRight w:val="225"/>
      <w:marTop w:val="0"/>
      <w:marBottom w:val="0"/>
      <w:divBdr>
        <w:top w:val="none" w:sz="0" w:space="0" w:color="auto"/>
        <w:left w:val="none" w:sz="0" w:space="0" w:color="auto"/>
        <w:bottom w:val="none" w:sz="0" w:space="0" w:color="auto"/>
        <w:right w:val="none" w:sz="0" w:space="0" w:color="auto"/>
      </w:divBdr>
      <w:divsChild>
        <w:div w:id="985547962">
          <w:marLeft w:val="0"/>
          <w:marRight w:val="0"/>
          <w:marTop w:val="0"/>
          <w:marBottom w:val="0"/>
          <w:divBdr>
            <w:top w:val="none" w:sz="0" w:space="0" w:color="auto"/>
            <w:left w:val="none" w:sz="0" w:space="0" w:color="auto"/>
            <w:bottom w:val="none" w:sz="0" w:space="0" w:color="auto"/>
            <w:right w:val="none" w:sz="0" w:space="0" w:color="auto"/>
          </w:divBdr>
        </w:div>
      </w:divsChild>
    </w:div>
    <w:div w:id="777019620">
      <w:bodyDiv w:val="1"/>
      <w:marLeft w:val="0"/>
      <w:marRight w:val="0"/>
      <w:marTop w:val="0"/>
      <w:marBottom w:val="0"/>
      <w:divBdr>
        <w:top w:val="none" w:sz="0" w:space="0" w:color="auto"/>
        <w:left w:val="none" w:sz="0" w:space="0" w:color="auto"/>
        <w:bottom w:val="none" w:sz="0" w:space="0" w:color="auto"/>
        <w:right w:val="none" w:sz="0" w:space="0" w:color="auto"/>
      </w:divBdr>
    </w:div>
    <w:div w:id="810288300">
      <w:bodyDiv w:val="1"/>
      <w:marLeft w:val="0"/>
      <w:marRight w:val="0"/>
      <w:marTop w:val="0"/>
      <w:marBottom w:val="0"/>
      <w:divBdr>
        <w:top w:val="none" w:sz="0" w:space="0" w:color="auto"/>
        <w:left w:val="none" w:sz="0" w:space="0" w:color="auto"/>
        <w:bottom w:val="none" w:sz="0" w:space="0" w:color="auto"/>
        <w:right w:val="none" w:sz="0" w:space="0" w:color="auto"/>
      </w:divBdr>
    </w:div>
    <w:div w:id="1448742077">
      <w:bodyDiv w:val="1"/>
      <w:marLeft w:val="0"/>
      <w:marRight w:val="0"/>
      <w:marTop w:val="0"/>
      <w:marBottom w:val="0"/>
      <w:divBdr>
        <w:top w:val="none" w:sz="0" w:space="0" w:color="auto"/>
        <w:left w:val="none" w:sz="0" w:space="0" w:color="auto"/>
        <w:bottom w:val="none" w:sz="0" w:space="0" w:color="auto"/>
        <w:right w:val="none" w:sz="0" w:space="0" w:color="auto"/>
      </w:divBdr>
    </w:div>
    <w:div w:id="1492602717">
      <w:bodyDiv w:val="1"/>
      <w:marLeft w:val="0"/>
      <w:marRight w:val="0"/>
      <w:marTop w:val="0"/>
      <w:marBottom w:val="0"/>
      <w:divBdr>
        <w:top w:val="none" w:sz="0" w:space="0" w:color="auto"/>
        <w:left w:val="none" w:sz="0" w:space="0" w:color="auto"/>
        <w:bottom w:val="none" w:sz="0" w:space="0" w:color="auto"/>
        <w:right w:val="none" w:sz="0" w:space="0" w:color="auto"/>
      </w:divBdr>
    </w:div>
    <w:div w:id="1767799925">
      <w:bodyDiv w:val="1"/>
      <w:marLeft w:val="225"/>
      <w:marRight w:val="225"/>
      <w:marTop w:val="0"/>
      <w:marBottom w:val="0"/>
      <w:divBdr>
        <w:top w:val="none" w:sz="0" w:space="0" w:color="auto"/>
        <w:left w:val="none" w:sz="0" w:space="0" w:color="auto"/>
        <w:bottom w:val="none" w:sz="0" w:space="0" w:color="auto"/>
        <w:right w:val="none" w:sz="0" w:space="0" w:color="auto"/>
      </w:divBdr>
      <w:divsChild>
        <w:div w:id="18169473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sinvesticijos.lt/docview/?url=/uploads/documents/docs/7_396b74d8ed9bd368f9554f22e1c1a94b.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A0B8A-60E5-43B6-8015-84A837BC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11773</Words>
  <Characters>6712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Viešinimo priemonės pagrindimas_1125.docx.docx</vt:lpstr>
    </vt:vector>
  </TitlesOfParts>
  <Company>FM</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Viešinimo priemonės pagrindimas_1125.docx.docx</dc:title>
  <dc:creator>Neringa Liudavičienė</dc:creator>
  <cp:lastModifiedBy>Neringa Liudavičienė</cp:lastModifiedBy>
  <cp:revision>9</cp:revision>
  <cp:lastPrinted>2016-08-31T11:40:00Z</cp:lastPrinted>
  <dcterms:created xsi:type="dcterms:W3CDTF">2016-06-14T06:15:00Z</dcterms:created>
  <dcterms:modified xsi:type="dcterms:W3CDTF">2016-08-31T11:42:00Z</dcterms:modified>
</cp:coreProperties>
</file>