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A8" w:rsidRP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D504A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2014–2020 M. EUROPOS SĄJUNGOS FONDŲ INVESTICIJŲ VEIKSMŲ PROGRAMOS PRIORITETO ĮGYVENDINIMO PRIEMONIŲ ĮGYVENDINIMO PLANAS</w:t>
      </w:r>
    </w:p>
    <w:p w:rsidR="00D504A8" w:rsidRP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D504A8" w:rsidRP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D504A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I SKYRIUS </w:t>
      </w:r>
    </w:p>
    <w:p w:rsidR="00D504A8" w:rsidRP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D504A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2014–2020 M. EUROPOS SĄJUNGOS FONDŲ INVESTICIJŲ VEIKSMŲ PROGRAMOS (TOLIAU – VEIKSMŲ PROGRAMA) PRIORITETO „SOCIALINĖS ĮTRAUKTIES DIDINIMAS IR KOVA SU SKURDU“ ĮGYVENDINIMO PRIEMONĖS (TOLIAU – PRIEMONĖ)</w:t>
      </w:r>
    </w:p>
    <w:p w:rsidR="00D504A8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:rsidR="00D504A8" w:rsidRPr="00FC53BA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„DVIDEŠIMT ANTRASIS SKIRSNIS</w:t>
      </w:r>
    </w:p>
    <w:p w:rsidR="00D504A8" w:rsidRPr="00FC53BA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VEIKSMŲ PROGRAMOS PRIORITETO ĮGYVENDINIMO PRIEMONĖ</w:t>
      </w:r>
    </w:p>
    <w:p w:rsidR="00D504A8" w:rsidRPr="00FC53BA" w:rsidRDefault="00D504A8" w:rsidP="00D504A8">
      <w:pPr>
        <w:pStyle w:val="Betarp"/>
        <w:tabs>
          <w:tab w:val="left" w:pos="709"/>
          <w:tab w:val="left" w:pos="1134"/>
          <w:tab w:val="left" w:pos="1276"/>
        </w:tabs>
        <w:ind w:left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FC53B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NR. 08.1.3-CPVA-V-610 „KRAUJOTAKOS SISTEMOS LIGŲ GYDYMO IR DIAGNOSTIKOS PASLAUGŲ INFRASTRUKTŪROS GERINIMAS“</w:t>
      </w:r>
    </w:p>
    <w:p w:rsidR="00D504A8" w:rsidRPr="00FC53BA" w:rsidRDefault="00D504A8" w:rsidP="00D504A8">
      <w:pPr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567"/>
        </w:tabs>
        <w:ind w:firstLine="851"/>
        <w:rPr>
          <w:color w:val="000000"/>
          <w:lang w:eastAsia="lt-LT"/>
        </w:rPr>
      </w:pPr>
      <w:r w:rsidRPr="00FC53BA">
        <w:rPr>
          <w:color w:val="000000"/>
          <w:lang w:eastAsia="lt-LT"/>
        </w:rPr>
        <w:t>1.  Priemonės aprašymas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504A8" w:rsidRPr="00CA0EF1" w:rsidTr="00D504A8">
        <w:tc>
          <w:tcPr>
            <w:tcW w:w="9526" w:type="dxa"/>
            <w:shd w:val="clear" w:color="auto" w:fill="auto"/>
            <w:hideMark/>
          </w:tcPr>
          <w:p w:rsidR="00D504A8" w:rsidRPr="00E0455E" w:rsidRDefault="00D504A8" w:rsidP="001970A4">
            <w:pPr>
              <w:numPr>
                <w:ilvl w:val="1"/>
                <w:numId w:val="1"/>
              </w:numPr>
              <w:tabs>
                <w:tab w:val="left" w:pos="34"/>
                <w:tab w:val="left" w:pos="1026"/>
                <w:tab w:val="left" w:pos="1420"/>
              </w:tabs>
              <w:ind w:left="108" w:firstLine="777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E0455E">
              <w:rPr>
                <w:color w:val="000000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D504A8" w:rsidRPr="00CA0EF1" w:rsidTr="00D504A8">
        <w:trPr>
          <w:trHeight w:val="2366"/>
        </w:trPr>
        <w:tc>
          <w:tcPr>
            <w:tcW w:w="9526" w:type="dxa"/>
            <w:shd w:val="clear" w:color="auto" w:fill="auto"/>
            <w:hideMark/>
          </w:tcPr>
          <w:p w:rsidR="00D504A8" w:rsidRPr="00E0455E" w:rsidRDefault="00D504A8" w:rsidP="001970A4">
            <w:pPr>
              <w:numPr>
                <w:ilvl w:val="1"/>
                <w:numId w:val="1"/>
              </w:numPr>
              <w:tabs>
                <w:tab w:val="left" w:pos="34"/>
                <w:tab w:val="left" w:pos="1026"/>
                <w:tab w:val="left" w:pos="1420"/>
              </w:tabs>
              <w:ind w:left="108" w:firstLine="777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E0455E">
              <w:rPr>
                <w:color w:val="000000"/>
                <w:szCs w:val="24"/>
                <w:lang w:eastAsia="lt-LT"/>
              </w:rPr>
              <w:t>Įgyvendinant priemonę prisidedama prie uždavinio „Pagerinti sveikatos priežiūros kokybę ir prieinamumą tikslinėms gyventojų grupėms bei sumažinti sveikatos netolygumus</w:t>
            </w:r>
            <w:r w:rsidRPr="00E0455E">
              <w:rPr>
                <w:color w:val="000000"/>
                <w:szCs w:val="24"/>
              </w:rPr>
              <w:t>“</w:t>
            </w:r>
            <w:r w:rsidRPr="00E0455E">
              <w:rPr>
                <w:b/>
                <w:color w:val="000000"/>
                <w:szCs w:val="24"/>
              </w:rPr>
              <w:t xml:space="preserve"> </w:t>
            </w:r>
            <w:r w:rsidRPr="00E0455E">
              <w:rPr>
                <w:color w:val="000000"/>
                <w:szCs w:val="24"/>
                <w:lang w:eastAsia="lt-LT"/>
              </w:rPr>
              <w:t>įgyvendinimo</w:t>
            </w:r>
            <w:r w:rsidRPr="00E0455E">
              <w:rPr>
                <w:i/>
                <w:color w:val="000000"/>
                <w:szCs w:val="24"/>
                <w:lang w:eastAsia="lt-LT"/>
              </w:rPr>
              <w:t>.</w:t>
            </w:r>
          </w:p>
          <w:p w:rsidR="00D504A8" w:rsidRPr="00E0455E" w:rsidRDefault="00D504A8" w:rsidP="001970A4">
            <w:pPr>
              <w:numPr>
                <w:ilvl w:val="1"/>
                <w:numId w:val="1"/>
              </w:numPr>
              <w:tabs>
                <w:tab w:val="left" w:pos="34"/>
                <w:tab w:val="left" w:pos="1026"/>
                <w:tab w:val="left" w:pos="1420"/>
                <w:tab w:val="left" w:pos="1452"/>
              </w:tabs>
              <w:ind w:left="108" w:firstLine="777"/>
              <w:contextualSpacing/>
              <w:jc w:val="both"/>
              <w:rPr>
                <w:color w:val="000000"/>
                <w:szCs w:val="24"/>
              </w:rPr>
            </w:pPr>
            <w:r w:rsidRPr="00E0455E">
              <w:rPr>
                <w:color w:val="000000"/>
                <w:szCs w:val="24"/>
              </w:rPr>
              <w:t>Remiamos veiklos:</w:t>
            </w:r>
          </w:p>
          <w:p w:rsidR="00D504A8" w:rsidRPr="00E0455E" w:rsidRDefault="00D504A8" w:rsidP="001970A4">
            <w:pPr>
              <w:pStyle w:val="Sraopastraipa"/>
              <w:numPr>
                <w:ilvl w:val="2"/>
                <w:numId w:val="1"/>
              </w:numPr>
              <w:tabs>
                <w:tab w:val="left" w:pos="34"/>
                <w:tab w:val="left" w:pos="176"/>
                <w:tab w:val="left" w:pos="601"/>
                <w:tab w:val="left" w:pos="1026"/>
                <w:tab w:val="left" w:pos="1593"/>
              </w:tabs>
              <w:ind w:left="108" w:firstLine="777"/>
              <w:jc w:val="both"/>
              <w:rPr>
                <w:color w:val="000000"/>
              </w:rPr>
            </w:pPr>
            <w:r w:rsidRPr="00E0455E">
              <w:rPr>
                <w:color w:val="000000"/>
              </w:rPr>
              <w:t>efektyvaus integruotos sveikatos priežiūros modelio, sudarančio prielaidas gerinti kraujotakos ligų profilaktikos, diagnostikos, gydymo paslaugų prieinamumą ir kokybę tikslinių teritorijų gyventojams plėtojimas ir tobulinimas, apimant:</w:t>
            </w:r>
          </w:p>
          <w:p w:rsidR="00D504A8" w:rsidRPr="00A3001F" w:rsidRDefault="00D504A8" w:rsidP="00D504A8">
            <w:pPr>
              <w:pStyle w:val="Sraopastraipa"/>
              <w:numPr>
                <w:ilvl w:val="3"/>
                <w:numId w:val="1"/>
              </w:numPr>
              <w:tabs>
                <w:tab w:val="left" w:pos="34"/>
                <w:tab w:val="left" w:pos="176"/>
                <w:tab w:val="left" w:pos="601"/>
                <w:tab w:val="left" w:pos="1026"/>
                <w:tab w:val="left" w:pos="1420"/>
                <w:tab w:val="left" w:pos="1452"/>
                <w:tab w:val="left" w:pos="1735"/>
              </w:tabs>
              <w:ind w:left="108" w:firstLine="777"/>
              <w:jc w:val="both"/>
              <w:rPr>
                <w:rFonts w:eastAsia="Calibri-Bold"/>
                <w:bCs/>
                <w:color w:val="000000"/>
                <w:lang w:eastAsia="lt-LT"/>
              </w:rPr>
            </w:pPr>
            <w:r w:rsidRPr="00E0455E">
              <w:rPr>
                <w:rFonts w:eastAsia="Calibri-Bold"/>
                <w:bCs/>
                <w:color w:val="000000"/>
                <w:lang w:eastAsia="lt-LT"/>
              </w:rPr>
              <w:t xml:space="preserve">antrines ir </w:t>
            </w:r>
            <w:r w:rsidR="00A637B8">
              <w:rPr>
                <w:rFonts w:eastAsia="Calibri-Bold"/>
                <w:bCs/>
                <w:color w:val="000000"/>
                <w:lang w:eastAsia="lt-LT"/>
              </w:rPr>
              <w:t xml:space="preserve">(ar) </w:t>
            </w:r>
            <w:proofErr w:type="spellStart"/>
            <w:r w:rsidRPr="00E0455E">
              <w:rPr>
                <w:rFonts w:eastAsia="Calibri-Bold"/>
                <w:bCs/>
                <w:color w:val="000000"/>
                <w:lang w:eastAsia="lt-LT"/>
              </w:rPr>
              <w:t>tretines</w:t>
            </w:r>
            <w:proofErr w:type="spellEnd"/>
            <w:r w:rsidRPr="00E0455E">
              <w:rPr>
                <w:rFonts w:eastAsia="Calibri-Bold"/>
                <w:bCs/>
                <w:color w:val="000000"/>
                <w:lang w:eastAsia="lt-LT"/>
              </w:rPr>
              <w:t xml:space="preserve"> </w:t>
            </w:r>
            <w:r w:rsidR="008247B9" w:rsidRPr="00E0455E">
              <w:rPr>
                <w:rFonts w:eastAsia="Calibri-Bold"/>
                <w:bCs/>
                <w:color w:val="000000"/>
                <w:lang w:eastAsia="lt-LT"/>
              </w:rPr>
              <w:t xml:space="preserve">ambulatorines </w:t>
            </w:r>
            <w:r w:rsidR="001C1F10" w:rsidRPr="00E0455E">
              <w:rPr>
                <w:rFonts w:eastAsia="Calibri-Bold"/>
                <w:bCs/>
                <w:color w:val="000000"/>
                <w:lang w:eastAsia="lt-LT"/>
              </w:rPr>
              <w:t xml:space="preserve">ir </w:t>
            </w:r>
            <w:r w:rsidR="005C3357">
              <w:rPr>
                <w:rFonts w:eastAsia="Calibri-Bold"/>
                <w:bCs/>
                <w:color w:val="000000"/>
                <w:lang w:eastAsia="lt-LT"/>
              </w:rPr>
              <w:t xml:space="preserve">(ar) </w:t>
            </w:r>
            <w:r w:rsidR="008247B9" w:rsidRPr="00E0455E">
              <w:rPr>
                <w:rFonts w:eastAsia="Calibri-Bold"/>
                <w:bCs/>
                <w:color w:val="000000"/>
                <w:lang w:eastAsia="lt-LT"/>
              </w:rPr>
              <w:t xml:space="preserve">stacionarines </w:t>
            </w:r>
            <w:r w:rsidRPr="00E0455E">
              <w:rPr>
                <w:rFonts w:eastAsia="Calibri-Bold"/>
                <w:bCs/>
                <w:color w:val="000000"/>
                <w:lang w:eastAsia="lt-LT"/>
              </w:rPr>
              <w:t>paslaugas kardiologijos srityje teikiančių asmens sveikatos priežiūros įstaigų infrastruktūros atnaujinimą.</w:t>
            </w:r>
          </w:p>
        </w:tc>
      </w:tr>
      <w:tr w:rsidR="00D504A8" w:rsidRPr="00CA0EF1" w:rsidTr="00D504A8">
        <w:tc>
          <w:tcPr>
            <w:tcW w:w="9526" w:type="dxa"/>
            <w:shd w:val="clear" w:color="auto" w:fill="auto"/>
          </w:tcPr>
          <w:p w:rsidR="00D504A8" w:rsidRPr="00E0455E" w:rsidRDefault="00D504A8" w:rsidP="001970A4">
            <w:pPr>
              <w:pStyle w:val="Sraopastraipa"/>
              <w:numPr>
                <w:ilvl w:val="1"/>
                <w:numId w:val="1"/>
              </w:numPr>
              <w:tabs>
                <w:tab w:val="left" w:pos="34"/>
                <w:tab w:val="left" w:pos="176"/>
                <w:tab w:val="left" w:pos="1026"/>
                <w:tab w:val="left" w:pos="1420"/>
              </w:tabs>
              <w:ind w:left="108" w:firstLine="777"/>
              <w:jc w:val="both"/>
              <w:rPr>
                <w:color w:val="000000"/>
              </w:rPr>
            </w:pPr>
            <w:r w:rsidRPr="00E0455E">
              <w:rPr>
                <w:color w:val="000000"/>
              </w:rPr>
              <w:t>Galimi pareiškėjai:</w:t>
            </w:r>
          </w:p>
          <w:p w:rsidR="0034386E" w:rsidRPr="00E0455E" w:rsidRDefault="00B10371" w:rsidP="00A3001F">
            <w:pPr>
              <w:pStyle w:val="Sraopastraipa"/>
              <w:numPr>
                <w:ilvl w:val="2"/>
                <w:numId w:val="1"/>
              </w:numPr>
              <w:tabs>
                <w:tab w:val="left" w:pos="34"/>
                <w:tab w:val="left" w:pos="176"/>
                <w:tab w:val="left" w:pos="1026"/>
                <w:tab w:val="left" w:pos="1617"/>
              </w:tabs>
              <w:ind w:left="58" w:firstLine="8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viešosios </w:t>
            </w:r>
            <w:r w:rsidR="0034386E" w:rsidRPr="00E0455E">
              <w:rPr>
                <w:color w:val="000000"/>
              </w:rPr>
              <w:t xml:space="preserve">asmens sveikatos priežiūros įstaigos, </w:t>
            </w:r>
            <w:r w:rsidR="001C1F10" w:rsidRPr="00E0455E">
              <w:rPr>
                <w:color w:val="000000"/>
              </w:rPr>
              <w:t xml:space="preserve">teikiančios antrines ir </w:t>
            </w:r>
            <w:r w:rsidR="00A637B8">
              <w:rPr>
                <w:color w:val="000000"/>
              </w:rPr>
              <w:t xml:space="preserve">(ar) </w:t>
            </w:r>
            <w:proofErr w:type="spellStart"/>
            <w:r w:rsidR="001C1F10" w:rsidRPr="00E0455E">
              <w:rPr>
                <w:color w:val="000000"/>
              </w:rPr>
              <w:t>tretines</w:t>
            </w:r>
            <w:proofErr w:type="spellEnd"/>
            <w:r w:rsidR="001C1F10" w:rsidRPr="00E0455E">
              <w:rPr>
                <w:color w:val="000000"/>
              </w:rPr>
              <w:t xml:space="preserve"> </w:t>
            </w:r>
            <w:r w:rsidR="00A63BCF" w:rsidRPr="00E0455E">
              <w:rPr>
                <w:color w:val="000000"/>
              </w:rPr>
              <w:t xml:space="preserve">ambulatorines </w:t>
            </w:r>
            <w:r w:rsidR="001C1F10" w:rsidRPr="00E0455E">
              <w:rPr>
                <w:color w:val="000000"/>
              </w:rPr>
              <w:t xml:space="preserve">ir </w:t>
            </w:r>
            <w:r w:rsidR="00A3001F">
              <w:rPr>
                <w:color w:val="000000"/>
              </w:rPr>
              <w:t xml:space="preserve">(ar) </w:t>
            </w:r>
            <w:r w:rsidR="00A63BCF" w:rsidRPr="00E0455E">
              <w:rPr>
                <w:color w:val="000000"/>
              </w:rPr>
              <w:t xml:space="preserve">stacionarines </w:t>
            </w:r>
            <w:r w:rsidR="001C1F10" w:rsidRPr="00E0455E">
              <w:rPr>
                <w:color w:val="000000"/>
              </w:rPr>
              <w:t>kardiologijos paslaugas</w:t>
            </w:r>
            <w:r w:rsidR="005545FD">
              <w:rPr>
                <w:color w:val="000000"/>
              </w:rPr>
              <w:t>.</w:t>
            </w:r>
          </w:p>
          <w:p w:rsidR="00D504A8" w:rsidRPr="00E0455E" w:rsidRDefault="00D504A8" w:rsidP="001970A4">
            <w:pPr>
              <w:pStyle w:val="Sraopastraipa"/>
              <w:numPr>
                <w:ilvl w:val="1"/>
                <w:numId w:val="1"/>
              </w:numPr>
              <w:tabs>
                <w:tab w:val="left" w:pos="34"/>
                <w:tab w:val="left" w:pos="176"/>
                <w:tab w:val="left" w:pos="1026"/>
                <w:tab w:val="left" w:pos="1420"/>
              </w:tabs>
              <w:ind w:left="108" w:firstLine="777"/>
              <w:jc w:val="both"/>
              <w:rPr>
                <w:color w:val="000000"/>
              </w:rPr>
            </w:pPr>
            <w:r w:rsidRPr="00E0455E">
              <w:rPr>
                <w:color w:val="000000"/>
              </w:rPr>
              <w:t>Galimi partneriai:</w:t>
            </w:r>
          </w:p>
          <w:p w:rsidR="00D504A8" w:rsidRPr="005545FD" w:rsidRDefault="00805BCB" w:rsidP="00805BCB">
            <w:pPr>
              <w:pStyle w:val="Sraopastraipa"/>
              <w:numPr>
                <w:ilvl w:val="2"/>
                <w:numId w:val="1"/>
              </w:numPr>
              <w:tabs>
                <w:tab w:val="left" w:pos="1476"/>
              </w:tabs>
              <w:ind w:left="66" w:firstLine="85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10371">
              <w:rPr>
                <w:color w:val="000000"/>
              </w:rPr>
              <w:t xml:space="preserve">viešosios </w:t>
            </w:r>
            <w:r w:rsidR="003B57C0" w:rsidRPr="00E0455E">
              <w:rPr>
                <w:color w:val="000000"/>
              </w:rPr>
              <w:t xml:space="preserve">asmens sveikatos priežiūros įstaigos, teikiančios antrines ir </w:t>
            </w:r>
            <w:r w:rsidR="00A637B8">
              <w:rPr>
                <w:color w:val="000000"/>
              </w:rPr>
              <w:t xml:space="preserve">(ar) </w:t>
            </w:r>
            <w:proofErr w:type="spellStart"/>
            <w:r w:rsidR="003B57C0" w:rsidRPr="00E0455E">
              <w:rPr>
                <w:color w:val="000000"/>
              </w:rPr>
              <w:t>tretines</w:t>
            </w:r>
            <w:proofErr w:type="spellEnd"/>
            <w:r w:rsidR="003B57C0" w:rsidRPr="00E0455E">
              <w:rPr>
                <w:color w:val="000000"/>
              </w:rPr>
              <w:t xml:space="preserve"> </w:t>
            </w:r>
            <w:r w:rsidR="00A63BCF" w:rsidRPr="00E0455E">
              <w:rPr>
                <w:color w:val="000000"/>
              </w:rPr>
              <w:t xml:space="preserve">ambulatorines </w:t>
            </w:r>
            <w:r w:rsidR="003B57C0" w:rsidRPr="00E0455E">
              <w:rPr>
                <w:color w:val="000000"/>
              </w:rPr>
              <w:t xml:space="preserve">ir </w:t>
            </w:r>
            <w:r w:rsidR="00A3001F">
              <w:rPr>
                <w:color w:val="000000"/>
              </w:rPr>
              <w:t xml:space="preserve">(ar) </w:t>
            </w:r>
            <w:r w:rsidR="00A63BCF" w:rsidRPr="00E0455E">
              <w:rPr>
                <w:color w:val="000000"/>
              </w:rPr>
              <w:t xml:space="preserve">stacionarines </w:t>
            </w:r>
            <w:r w:rsidR="000B2F40">
              <w:rPr>
                <w:color w:val="000000"/>
              </w:rPr>
              <w:t>kardiologijos paslaugas.</w:t>
            </w:r>
          </w:p>
        </w:tc>
      </w:tr>
      <w:tr w:rsidR="00D504A8" w:rsidRPr="00CA0EF1" w:rsidTr="00D504A8">
        <w:tc>
          <w:tcPr>
            <w:tcW w:w="9526" w:type="dxa"/>
            <w:shd w:val="clear" w:color="auto" w:fill="auto"/>
          </w:tcPr>
          <w:p w:rsidR="00D504A8" w:rsidRPr="00A73250" w:rsidRDefault="00A73250" w:rsidP="005E017E">
            <w:pPr>
              <w:pStyle w:val="Sraopastraipa"/>
              <w:numPr>
                <w:ilvl w:val="1"/>
                <w:numId w:val="1"/>
              </w:numPr>
              <w:tabs>
                <w:tab w:val="left" w:pos="34"/>
                <w:tab w:val="left" w:pos="176"/>
                <w:tab w:val="left" w:pos="1026"/>
                <w:tab w:val="left" w:pos="1420"/>
              </w:tabs>
              <w:ind w:left="108" w:firstLine="777"/>
              <w:jc w:val="both"/>
              <w:rPr>
                <w:color w:val="000000"/>
                <w:sz w:val="22"/>
                <w:szCs w:val="22"/>
              </w:rPr>
            </w:pPr>
            <w:r>
              <w:t>Netaikoma</w:t>
            </w:r>
            <w:r w:rsidR="00D504A8" w:rsidRPr="00753191">
              <w:t>.</w:t>
            </w:r>
          </w:p>
          <w:p w:rsidR="00A73250" w:rsidRPr="005E017E" w:rsidRDefault="00A73250" w:rsidP="005E017E">
            <w:pPr>
              <w:pStyle w:val="Sraopastraipa"/>
              <w:numPr>
                <w:ilvl w:val="1"/>
                <w:numId w:val="1"/>
              </w:numPr>
              <w:tabs>
                <w:tab w:val="left" w:pos="34"/>
                <w:tab w:val="left" w:pos="176"/>
                <w:tab w:val="left" w:pos="1026"/>
                <w:tab w:val="left" w:pos="1420"/>
              </w:tabs>
              <w:ind w:left="108" w:firstLine="777"/>
              <w:jc w:val="both"/>
              <w:rPr>
                <w:color w:val="000000"/>
                <w:sz w:val="22"/>
                <w:szCs w:val="22"/>
              </w:rPr>
            </w:pPr>
            <w:r>
              <w:t>Netaikoma.</w:t>
            </w:r>
          </w:p>
        </w:tc>
      </w:tr>
      <w:tr w:rsidR="00D504A8" w:rsidRPr="00CA0EF1" w:rsidTr="00D504A8">
        <w:trPr>
          <w:trHeight w:val="80"/>
        </w:trPr>
        <w:tc>
          <w:tcPr>
            <w:tcW w:w="9526" w:type="dxa"/>
            <w:tcBorders>
              <w:bottom w:val="single" w:sz="4" w:space="0" w:color="auto"/>
            </w:tcBorders>
            <w:shd w:val="clear" w:color="auto" w:fill="auto"/>
          </w:tcPr>
          <w:p w:rsidR="00D504A8" w:rsidRPr="00FC53BA" w:rsidRDefault="00D504A8" w:rsidP="001970A4">
            <w:pPr>
              <w:tabs>
                <w:tab w:val="left" w:pos="176"/>
                <w:tab w:val="left" w:pos="1026"/>
              </w:tabs>
              <w:ind w:firstLine="601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504A8" w:rsidRPr="00FC53BA" w:rsidRDefault="00D504A8" w:rsidP="00D504A8">
      <w:pPr>
        <w:tabs>
          <w:tab w:val="left" w:pos="0"/>
          <w:tab w:val="left" w:pos="567"/>
        </w:tabs>
        <w:ind w:left="644"/>
        <w:jc w:val="both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</w:tabs>
        <w:ind w:firstLine="851"/>
        <w:jc w:val="both"/>
        <w:rPr>
          <w:color w:val="000000"/>
          <w:lang w:eastAsia="lt-LT"/>
        </w:rPr>
      </w:pPr>
      <w:r w:rsidRPr="00FC53BA">
        <w:rPr>
          <w:color w:val="000000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504A8" w:rsidRPr="00CA0EF1" w:rsidTr="001970A4">
        <w:tc>
          <w:tcPr>
            <w:tcW w:w="14175" w:type="dxa"/>
            <w:shd w:val="clear" w:color="auto" w:fill="auto"/>
          </w:tcPr>
          <w:p w:rsidR="00D504A8" w:rsidRPr="00FC53BA" w:rsidRDefault="00D504A8" w:rsidP="001970A4">
            <w:pPr>
              <w:tabs>
                <w:tab w:val="left" w:pos="0"/>
                <w:tab w:val="left" w:pos="567"/>
              </w:tabs>
              <w:jc w:val="both"/>
              <w:rPr>
                <w:color w:val="000000"/>
              </w:rPr>
            </w:pPr>
            <w:r w:rsidRPr="00FC53BA">
              <w:rPr>
                <w:color w:val="000000"/>
              </w:rPr>
              <w:t xml:space="preserve">         2.1. N</w:t>
            </w:r>
            <w:r w:rsidRPr="00FC53BA">
              <w:rPr>
                <w:color w:val="000000"/>
                <w:lang w:eastAsia="lt-LT"/>
              </w:rPr>
              <w:t>egrąžinamoji subsidija</w:t>
            </w:r>
            <w:r w:rsidRPr="00FC53BA">
              <w:rPr>
                <w:color w:val="000000"/>
              </w:rPr>
              <w:t>.</w:t>
            </w:r>
          </w:p>
        </w:tc>
      </w:tr>
    </w:tbl>
    <w:p w:rsidR="00D504A8" w:rsidRPr="00FC53BA" w:rsidRDefault="00D504A8" w:rsidP="00D504A8">
      <w:pPr>
        <w:tabs>
          <w:tab w:val="left" w:pos="0"/>
          <w:tab w:val="left" w:pos="567"/>
        </w:tabs>
        <w:ind w:left="1004"/>
        <w:jc w:val="both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567"/>
        </w:tabs>
        <w:ind w:firstLine="851"/>
        <w:jc w:val="both"/>
        <w:rPr>
          <w:color w:val="000000"/>
          <w:lang w:eastAsia="lt-LT"/>
        </w:rPr>
      </w:pPr>
      <w:r w:rsidRPr="00FC53BA">
        <w:rPr>
          <w:color w:val="000000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504A8" w:rsidRPr="00CA0EF1" w:rsidTr="001970A4">
        <w:tc>
          <w:tcPr>
            <w:tcW w:w="14175" w:type="dxa"/>
            <w:shd w:val="clear" w:color="auto" w:fill="auto"/>
          </w:tcPr>
          <w:p w:rsidR="00D504A8" w:rsidRPr="00FC53BA" w:rsidRDefault="00D504A8" w:rsidP="001970A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</w:rPr>
            </w:pPr>
            <w:r w:rsidRPr="00FC53BA">
              <w:rPr>
                <w:color w:val="000000"/>
              </w:rPr>
              <w:t>Valstybės projektų planavimas.</w:t>
            </w:r>
          </w:p>
        </w:tc>
      </w:tr>
    </w:tbl>
    <w:p w:rsidR="00D504A8" w:rsidRPr="00FC53BA" w:rsidRDefault="00D504A8" w:rsidP="00D504A8">
      <w:pPr>
        <w:tabs>
          <w:tab w:val="left" w:pos="0"/>
          <w:tab w:val="left" w:pos="567"/>
        </w:tabs>
        <w:ind w:left="1004"/>
        <w:jc w:val="both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567"/>
        </w:tabs>
        <w:ind w:firstLine="851"/>
        <w:jc w:val="both"/>
        <w:rPr>
          <w:color w:val="000000"/>
          <w:lang w:eastAsia="lt-LT"/>
        </w:rPr>
      </w:pPr>
      <w:r w:rsidRPr="00FC53BA">
        <w:rPr>
          <w:color w:val="000000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504A8" w:rsidRPr="00CA0EF1" w:rsidTr="001970A4">
        <w:tc>
          <w:tcPr>
            <w:tcW w:w="14175" w:type="dxa"/>
            <w:shd w:val="clear" w:color="auto" w:fill="auto"/>
          </w:tcPr>
          <w:p w:rsidR="00D504A8" w:rsidRPr="00FC53BA" w:rsidRDefault="00D504A8" w:rsidP="001970A4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</w:rPr>
            </w:pPr>
            <w:r w:rsidRPr="00FC53BA">
              <w:rPr>
                <w:color w:val="000000"/>
              </w:rPr>
              <w:t>Viešoji įstaiga Centrinė projektų valdymo agentūra.</w:t>
            </w:r>
          </w:p>
        </w:tc>
      </w:tr>
    </w:tbl>
    <w:p w:rsidR="00D504A8" w:rsidRPr="00FC53BA" w:rsidRDefault="00D504A8" w:rsidP="00D504A8">
      <w:pPr>
        <w:ind w:firstLine="709"/>
        <w:jc w:val="both"/>
        <w:rPr>
          <w:color w:val="000000"/>
        </w:rPr>
      </w:pPr>
    </w:p>
    <w:p w:rsidR="00D504A8" w:rsidRPr="00FC53BA" w:rsidRDefault="00D504A8" w:rsidP="00D504A8">
      <w:pPr>
        <w:ind w:firstLine="709"/>
        <w:jc w:val="both"/>
        <w:rPr>
          <w:color w:val="000000"/>
        </w:rPr>
      </w:pPr>
    </w:p>
    <w:p w:rsidR="00D504A8" w:rsidRPr="00FC53BA" w:rsidRDefault="00D504A8" w:rsidP="00D504A8">
      <w:pPr>
        <w:ind w:firstLine="851"/>
        <w:jc w:val="both"/>
        <w:rPr>
          <w:color w:val="000000"/>
        </w:rPr>
      </w:pPr>
      <w:r w:rsidRPr="00FC53BA">
        <w:rPr>
          <w:color w:val="000000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504A8" w:rsidRPr="00CA0EF1" w:rsidTr="001970A4">
        <w:tc>
          <w:tcPr>
            <w:tcW w:w="14601" w:type="dxa"/>
            <w:shd w:val="clear" w:color="auto" w:fill="auto"/>
          </w:tcPr>
          <w:p w:rsidR="00D504A8" w:rsidRPr="00FC53BA" w:rsidRDefault="00D504A8" w:rsidP="00BF23B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</w:rPr>
            </w:pPr>
            <w:r w:rsidRPr="00FC53BA">
              <w:rPr>
                <w:color w:val="000000"/>
              </w:rPr>
              <w:lastRenderedPageBreak/>
              <w:t xml:space="preserve">Pagal priemonę nebus finansuojama įranga, skirta antrinio ir (ar) tretinio lygio sveikatos priežiūros paslaugoms teikti galvos smegenų kraujagyslių ligų prevencijos, diagnostikos, gydymo srityje, jei tokios įrangos </w:t>
            </w:r>
            <w:r w:rsidR="00BF23BC">
              <w:rPr>
                <w:color w:val="000000"/>
              </w:rPr>
              <w:t xml:space="preserve">išlaidos, jei jos bus finansuojamos </w:t>
            </w:r>
            <w:r w:rsidRPr="00FC53BA">
              <w:rPr>
                <w:color w:val="000000"/>
              </w:rPr>
              <w:t xml:space="preserve">pagal Sveikatos apsaugos ministerijos administruojamo 8.1.3 uždavinio „Pagerinti sveikatos priežiūros kokybę ir prieinamumą tikslinėms gyventojų grupėms bei sumažinti sveikatos netolygumus“ priemonę Nr. </w:t>
            </w:r>
            <w:r w:rsidRPr="00FC53BA">
              <w:rPr>
                <w:color w:val="000000"/>
                <w:lang w:eastAsia="lt-LT"/>
              </w:rPr>
              <w:t xml:space="preserve">08.1.3-CPVA-V-603 </w:t>
            </w:r>
            <w:r w:rsidRPr="00FC53BA">
              <w:rPr>
                <w:rFonts w:eastAsia="Calibri"/>
                <w:color w:val="000000"/>
                <w:lang w:eastAsia="lt-LT"/>
              </w:rPr>
              <w:t xml:space="preserve">„Galvos smegenų kraujotakos ligų profilaktikos, diagnostikos ir gydymo paslaugų kokybės ir prieinamumo gerinimas“. </w:t>
            </w:r>
            <w:r w:rsidR="00BF23BC">
              <w:rPr>
                <w:rFonts w:eastAsia="Calibri"/>
                <w:color w:val="000000"/>
                <w:lang w:eastAsia="lt-LT"/>
              </w:rPr>
              <w:t>Taip pat nebus finansuojamos tų veiklų išlaid</w:t>
            </w:r>
            <w:r w:rsidRPr="00FC53BA">
              <w:rPr>
                <w:rFonts w:eastAsia="Calibri"/>
                <w:color w:val="000000"/>
                <w:lang w:eastAsia="lt-LT"/>
              </w:rPr>
              <w:t>os, kurios buvo finansuotos Energetikos ministerijos</w:t>
            </w:r>
            <w:r w:rsidR="00483A4D">
              <w:rPr>
                <w:rFonts w:eastAsia="Calibri"/>
                <w:color w:val="000000"/>
                <w:lang w:eastAsia="lt-LT"/>
              </w:rPr>
              <w:t xml:space="preserve"> ir (ar) Aplinkos ministerijos </w:t>
            </w:r>
            <w:r w:rsidRPr="00FC53BA">
              <w:rPr>
                <w:rFonts w:eastAsia="Calibri"/>
                <w:color w:val="000000"/>
                <w:lang w:eastAsia="lt-LT"/>
              </w:rPr>
              <w:t>administruojamomis Europos Sąjungos struktūrinių fondų lėšomis.</w:t>
            </w:r>
          </w:p>
        </w:tc>
      </w:tr>
    </w:tbl>
    <w:p w:rsidR="00D504A8" w:rsidRPr="00FC53BA" w:rsidRDefault="00D504A8" w:rsidP="00D504A8">
      <w:pPr>
        <w:pStyle w:val="Sraopastraipa"/>
        <w:ind w:left="1004"/>
        <w:rPr>
          <w:color w:val="000000"/>
          <w:lang w:eastAsia="lt-LT"/>
        </w:rPr>
      </w:pPr>
    </w:p>
    <w:p w:rsidR="00D504A8" w:rsidRPr="00FC53BA" w:rsidRDefault="00D504A8" w:rsidP="00D504A8">
      <w:pPr>
        <w:pStyle w:val="Sraopastraipa"/>
        <w:ind w:left="0" w:firstLine="851"/>
        <w:rPr>
          <w:bCs/>
          <w:color w:val="000000"/>
          <w:lang w:eastAsia="lt-LT"/>
        </w:rPr>
      </w:pPr>
      <w:r w:rsidRPr="00FC53BA">
        <w:rPr>
          <w:color w:val="000000"/>
          <w:lang w:eastAsia="lt-LT"/>
        </w:rPr>
        <w:t>6. P</w:t>
      </w:r>
      <w:r w:rsidRPr="00FC53BA">
        <w:rPr>
          <w:bCs/>
          <w:color w:val="000000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289"/>
        <w:gridCol w:w="1872"/>
        <w:gridCol w:w="1388"/>
        <w:gridCol w:w="1418"/>
      </w:tblGrid>
      <w:tr w:rsidR="00D504A8" w:rsidRPr="00CA0EF1" w:rsidTr="00D504A8">
        <w:tc>
          <w:tcPr>
            <w:tcW w:w="1413" w:type="dxa"/>
            <w:hideMark/>
          </w:tcPr>
          <w:p w:rsidR="00D504A8" w:rsidRPr="00FC53BA" w:rsidRDefault="00D504A8" w:rsidP="001970A4">
            <w:pPr>
              <w:tabs>
                <w:tab w:val="left" w:pos="284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Stebėsenos rodiklio kodas</w:t>
            </w:r>
          </w:p>
        </w:tc>
        <w:tc>
          <w:tcPr>
            <w:tcW w:w="3289" w:type="dxa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Stebėsenos rodiklio pavadinimas</w:t>
            </w:r>
          </w:p>
        </w:tc>
        <w:tc>
          <w:tcPr>
            <w:tcW w:w="1872" w:type="dxa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Matavimo vienetas</w:t>
            </w:r>
          </w:p>
        </w:tc>
        <w:tc>
          <w:tcPr>
            <w:tcW w:w="1388" w:type="dxa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 xml:space="preserve">Tarpinė reikšmė </w:t>
            </w:r>
          </w:p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2018 m. gruodžio 31 d.</w:t>
            </w:r>
          </w:p>
        </w:tc>
        <w:tc>
          <w:tcPr>
            <w:tcW w:w="1418" w:type="dxa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Galutinė reikšmė 2023 m. gruodžio 31 d.</w:t>
            </w:r>
          </w:p>
        </w:tc>
      </w:tr>
      <w:tr w:rsidR="00D504A8" w:rsidRPr="00CA0EF1" w:rsidTr="00D504A8">
        <w:trPr>
          <w:trHeight w:val="848"/>
        </w:trPr>
        <w:tc>
          <w:tcPr>
            <w:tcW w:w="1413" w:type="dxa"/>
          </w:tcPr>
          <w:p w:rsidR="00D504A8" w:rsidRPr="00FC53BA" w:rsidRDefault="00D504A8" w:rsidP="001970A4">
            <w:pPr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R.S.359</w:t>
            </w:r>
          </w:p>
        </w:tc>
        <w:tc>
          <w:tcPr>
            <w:tcW w:w="3289" w:type="dxa"/>
          </w:tcPr>
          <w:p w:rsidR="00D504A8" w:rsidRPr="00FC53BA" w:rsidRDefault="00D504A8" w:rsidP="001970A4">
            <w:pPr>
              <w:pStyle w:val="Default"/>
              <w:jc w:val="both"/>
              <w:rPr>
                <w:bCs/>
              </w:rPr>
            </w:pPr>
            <w:r w:rsidRPr="00FC53BA">
              <w:rPr>
                <w:bCs/>
              </w:rPr>
              <w:t>„Standartizuoto 0–64 m. amžiaus gyventojų mirtingumo sumažėjimas tikslinėse teritorijose nuo kraujotakos sistemos ligų“</w:t>
            </w:r>
          </w:p>
        </w:tc>
        <w:tc>
          <w:tcPr>
            <w:tcW w:w="1872" w:type="dxa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Atvejų skaičius 100000 gyv.</w:t>
            </w:r>
          </w:p>
        </w:tc>
        <w:tc>
          <w:tcPr>
            <w:tcW w:w="1388" w:type="dxa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120</w:t>
            </w:r>
          </w:p>
        </w:tc>
        <w:tc>
          <w:tcPr>
            <w:tcW w:w="1418" w:type="dxa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105</w:t>
            </w:r>
          </w:p>
        </w:tc>
      </w:tr>
      <w:tr w:rsidR="009A2AC2" w:rsidRPr="00CA0EF1" w:rsidTr="00D504A8">
        <w:tc>
          <w:tcPr>
            <w:tcW w:w="1413" w:type="dxa"/>
          </w:tcPr>
          <w:p w:rsidR="009A2AC2" w:rsidRPr="00FC53BA" w:rsidRDefault="009A2AC2" w:rsidP="001970A4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R.S.363</w:t>
            </w:r>
          </w:p>
        </w:tc>
        <w:tc>
          <w:tcPr>
            <w:tcW w:w="3289" w:type="dxa"/>
          </w:tcPr>
          <w:p w:rsidR="009A2AC2" w:rsidRPr="00FC53BA" w:rsidRDefault="001F45FF" w:rsidP="001970A4">
            <w:pPr>
              <w:pStyle w:val="Default"/>
              <w:jc w:val="both"/>
            </w:pPr>
            <w:r>
              <w:t>„Apsilankymų pas gydytojus skaiči</w:t>
            </w:r>
            <w:r w:rsidR="000024CB">
              <w:t>a</w:t>
            </w:r>
            <w:r>
              <w:t>us</w:t>
            </w:r>
            <w:r w:rsidR="000024CB">
              <w:t>, tenkančio vienam gyventojui, skirtumas tarp mi</w:t>
            </w:r>
            <w:r w:rsidR="00BE45DF">
              <w:t>estų ir rajonų savivaldybių gyve</w:t>
            </w:r>
            <w:r w:rsidR="000024CB">
              <w:t>ntojų</w:t>
            </w:r>
            <w:r>
              <w:t>“</w:t>
            </w:r>
          </w:p>
        </w:tc>
        <w:tc>
          <w:tcPr>
            <w:tcW w:w="1872" w:type="dxa"/>
          </w:tcPr>
          <w:p w:rsidR="009A2AC2" w:rsidRPr="00FC53BA" w:rsidRDefault="000024CB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Apsilankymų skaičius, tenkantis 1 gyventojui</w:t>
            </w:r>
          </w:p>
        </w:tc>
        <w:tc>
          <w:tcPr>
            <w:tcW w:w="1388" w:type="dxa"/>
          </w:tcPr>
          <w:p w:rsidR="009A2AC2" w:rsidRPr="000024CB" w:rsidRDefault="00560557" w:rsidP="001970A4">
            <w:pPr>
              <w:tabs>
                <w:tab w:val="left" w:pos="0"/>
              </w:tabs>
              <w:jc w:val="center"/>
              <w:rPr>
                <w:color w:val="000000" w:themeColor="text1"/>
                <w:lang w:eastAsia="lt-LT"/>
              </w:rPr>
            </w:pPr>
            <w:r w:rsidRPr="000024CB">
              <w:rPr>
                <w:color w:val="000000" w:themeColor="text1"/>
                <w:lang w:eastAsia="lt-LT"/>
              </w:rPr>
              <w:t>4</w:t>
            </w:r>
          </w:p>
        </w:tc>
        <w:tc>
          <w:tcPr>
            <w:tcW w:w="1418" w:type="dxa"/>
          </w:tcPr>
          <w:p w:rsidR="009A2AC2" w:rsidRPr="000024CB" w:rsidRDefault="00560557" w:rsidP="001970A4">
            <w:pPr>
              <w:tabs>
                <w:tab w:val="left" w:pos="0"/>
              </w:tabs>
              <w:jc w:val="center"/>
              <w:rPr>
                <w:color w:val="000000" w:themeColor="text1"/>
                <w:lang w:eastAsia="lt-LT"/>
              </w:rPr>
            </w:pPr>
            <w:r w:rsidRPr="000024CB">
              <w:rPr>
                <w:color w:val="000000" w:themeColor="text1"/>
                <w:lang w:eastAsia="lt-LT"/>
              </w:rPr>
              <w:t>3</w:t>
            </w:r>
          </w:p>
        </w:tc>
      </w:tr>
      <w:tr w:rsidR="00D504A8" w:rsidRPr="00CA0EF1" w:rsidTr="00D504A8">
        <w:tc>
          <w:tcPr>
            <w:tcW w:w="1413" w:type="dxa"/>
          </w:tcPr>
          <w:p w:rsidR="00D504A8" w:rsidRPr="00FC53BA" w:rsidRDefault="00D504A8" w:rsidP="001970A4">
            <w:pPr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P.S.363</w:t>
            </w:r>
          </w:p>
        </w:tc>
        <w:tc>
          <w:tcPr>
            <w:tcW w:w="3289" w:type="dxa"/>
          </w:tcPr>
          <w:p w:rsidR="00D504A8" w:rsidRPr="00FC53BA" w:rsidRDefault="00D504A8" w:rsidP="001970A4">
            <w:pPr>
              <w:pStyle w:val="Default"/>
              <w:jc w:val="both"/>
              <w:rPr>
                <w:bCs/>
              </w:rPr>
            </w:pPr>
            <w:r w:rsidRPr="00FC53BA">
              <w:t xml:space="preserve">„Viešąsias sveikatos priežiūros paslaugas teikiančių įstaigų, kuriose pagerinta paslaugų teikimo infrastruktūra, skaičius“ </w:t>
            </w:r>
          </w:p>
        </w:tc>
        <w:tc>
          <w:tcPr>
            <w:tcW w:w="1872" w:type="dxa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Skaičius</w:t>
            </w:r>
          </w:p>
        </w:tc>
        <w:tc>
          <w:tcPr>
            <w:tcW w:w="1388" w:type="dxa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</w:tcPr>
          <w:p w:rsidR="00D504A8" w:rsidRPr="00FC53BA" w:rsidRDefault="000602F0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</w:t>
            </w:r>
          </w:p>
        </w:tc>
      </w:tr>
    </w:tbl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  <w:r w:rsidRPr="00FC53BA">
        <w:rPr>
          <w:color w:val="000000"/>
          <w:lang w:eastAsia="lt-LT"/>
        </w:rPr>
        <w:tab/>
        <w:t xml:space="preserve"> </w:t>
      </w: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95190B" w:rsidRDefault="0095190B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95190B" w:rsidRDefault="0095190B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95190B" w:rsidRDefault="0095190B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2525D4" w:rsidRDefault="002525D4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2525D4" w:rsidRPr="00FC53BA" w:rsidRDefault="002525D4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color w:val="000000"/>
          <w:lang w:eastAsia="lt-LT"/>
        </w:rPr>
      </w:pPr>
    </w:p>
    <w:p w:rsidR="00D504A8" w:rsidRPr="00FC53BA" w:rsidRDefault="00D504A8" w:rsidP="00D504A8">
      <w:pPr>
        <w:rPr>
          <w:color w:val="000000"/>
          <w:lang w:eastAsia="lt-LT"/>
        </w:rPr>
      </w:pPr>
      <w:r w:rsidRPr="00FC53BA">
        <w:rPr>
          <w:color w:val="000000"/>
          <w:lang w:eastAsia="lt-LT"/>
        </w:rPr>
        <w:tab/>
      </w:r>
    </w:p>
    <w:p w:rsidR="00D504A8" w:rsidRPr="00FC53BA" w:rsidRDefault="00D504A8" w:rsidP="00D504A8">
      <w:pPr>
        <w:rPr>
          <w:color w:val="000000"/>
          <w:lang w:eastAsia="lt-LT"/>
        </w:rPr>
      </w:pPr>
    </w:p>
    <w:p w:rsidR="00D504A8" w:rsidRPr="00FC53BA" w:rsidRDefault="00D504A8" w:rsidP="00D504A8">
      <w:pPr>
        <w:ind w:firstLine="851"/>
        <w:rPr>
          <w:bCs/>
          <w:color w:val="000000"/>
          <w:lang w:eastAsia="lt-LT"/>
        </w:rPr>
      </w:pPr>
      <w:r w:rsidRPr="00FC53BA">
        <w:rPr>
          <w:bCs/>
          <w:color w:val="000000"/>
          <w:lang w:eastAsia="lt-LT"/>
        </w:rPr>
        <w:lastRenderedPageBreak/>
        <w:t>7. Priemonės finansavimo šaltiniai</w:t>
      </w:r>
    </w:p>
    <w:p w:rsidR="00D504A8" w:rsidRPr="00FC53BA" w:rsidRDefault="00D504A8" w:rsidP="00D504A8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color w:val="000000"/>
          <w:lang w:eastAsia="lt-LT"/>
        </w:rPr>
      </w:pPr>
      <w:r w:rsidRPr="00FC53BA">
        <w:rPr>
          <w:color w:val="000000"/>
          <w:lang w:eastAsia="lt-LT"/>
        </w:rPr>
        <w:tab/>
        <w:t xml:space="preserve"> </w:t>
      </w:r>
      <w:r w:rsidRPr="00FC53BA">
        <w:rPr>
          <w:color w:val="000000"/>
          <w:lang w:eastAsia="lt-LT"/>
        </w:rPr>
        <w:tab/>
        <w:t xml:space="preserve">          (eurais)</w:t>
      </w: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2"/>
        <w:gridCol w:w="17"/>
        <w:gridCol w:w="1288"/>
        <w:gridCol w:w="1700"/>
        <w:gridCol w:w="1134"/>
        <w:gridCol w:w="1076"/>
        <w:gridCol w:w="880"/>
        <w:gridCol w:w="17"/>
      </w:tblGrid>
      <w:tr w:rsidR="00D504A8" w:rsidRPr="00CA0EF1" w:rsidTr="00631EC2">
        <w:trPr>
          <w:trHeight w:val="454"/>
          <w:tblHeader/>
        </w:trPr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Projektams skiriamas finansavimas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Kiti projektų finansavimo šaltiniai</w:t>
            </w:r>
          </w:p>
        </w:tc>
      </w:tr>
      <w:tr w:rsidR="00D504A8" w:rsidRPr="00CA0EF1" w:rsidTr="00631EC2">
        <w:trPr>
          <w:gridAfter w:val="1"/>
          <w:wAfter w:w="17" w:type="dxa"/>
          <w:trHeight w:val="411"/>
          <w:tblHeader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ind w:left="-108"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ES struktūrinių fondų</w:t>
            </w:r>
          </w:p>
          <w:p w:rsidR="00D504A8" w:rsidRPr="00FC53BA" w:rsidRDefault="00D504A8" w:rsidP="001970A4">
            <w:pPr>
              <w:ind w:left="-108"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lėšos – iki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Nacionalinės lėšos</w:t>
            </w:r>
          </w:p>
        </w:tc>
      </w:tr>
      <w:tr w:rsidR="00D504A8" w:rsidRPr="00CA0EF1" w:rsidTr="00631EC2">
        <w:trPr>
          <w:gridAfter w:val="1"/>
          <w:wAfter w:w="17" w:type="dxa"/>
          <w:cantSplit/>
          <w:trHeight w:val="703"/>
          <w:tblHeader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Lietuvos Respublikos valstybės biudžeto lėšos – iki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</w:p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Projektų vykdytojų lėšos</w:t>
            </w:r>
          </w:p>
        </w:tc>
      </w:tr>
      <w:tr w:rsidR="00D504A8" w:rsidRPr="00CA0EF1" w:rsidTr="00631EC2">
        <w:trPr>
          <w:gridAfter w:val="1"/>
          <w:wAfter w:w="17" w:type="dxa"/>
          <w:cantSplit/>
          <w:trHeight w:val="1020"/>
          <w:tblHeader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Iš viso – ne mažiau kaip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proofErr w:type="spellStart"/>
            <w:r w:rsidRPr="00FC53BA">
              <w:rPr>
                <w:bCs/>
                <w:color w:val="000000"/>
                <w:lang w:eastAsia="lt-LT"/>
              </w:rPr>
              <w:t>Savival</w:t>
            </w:r>
            <w:r w:rsidR="006526B8">
              <w:rPr>
                <w:bCs/>
                <w:color w:val="000000"/>
                <w:lang w:eastAsia="lt-LT"/>
              </w:rPr>
              <w:t>-</w:t>
            </w:r>
            <w:r w:rsidRPr="00FC53BA">
              <w:rPr>
                <w:bCs/>
                <w:color w:val="000000"/>
                <w:lang w:eastAsia="lt-LT"/>
              </w:rPr>
              <w:t>dybės</w:t>
            </w:r>
            <w:proofErr w:type="spellEnd"/>
            <w:r w:rsidRPr="00FC53BA">
              <w:rPr>
                <w:bCs/>
                <w:color w:val="000000"/>
                <w:lang w:eastAsia="lt-LT"/>
              </w:rPr>
              <w:t xml:space="preserve"> biudžeto</w:t>
            </w:r>
          </w:p>
          <w:p w:rsidR="00D504A8" w:rsidRPr="00FC53BA" w:rsidRDefault="00D504A8" w:rsidP="001970A4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 xml:space="preserve">lėšos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 xml:space="preserve">Kitos viešosios lėšos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proofErr w:type="spellStart"/>
            <w:r w:rsidRPr="00FC53BA">
              <w:rPr>
                <w:bCs/>
                <w:color w:val="000000"/>
                <w:lang w:eastAsia="lt-LT"/>
              </w:rPr>
              <w:t>Priva</w:t>
            </w:r>
            <w:r w:rsidR="002E55D9">
              <w:rPr>
                <w:bCs/>
                <w:color w:val="000000"/>
                <w:lang w:eastAsia="lt-LT"/>
              </w:rPr>
              <w:t>-</w:t>
            </w:r>
            <w:r w:rsidRPr="00FC53BA">
              <w:rPr>
                <w:bCs/>
                <w:color w:val="000000"/>
                <w:lang w:eastAsia="lt-LT"/>
              </w:rPr>
              <w:t>čios</w:t>
            </w:r>
            <w:proofErr w:type="spellEnd"/>
            <w:r w:rsidRPr="00FC53BA">
              <w:rPr>
                <w:bCs/>
                <w:color w:val="000000"/>
                <w:lang w:eastAsia="lt-LT"/>
              </w:rPr>
              <w:t xml:space="preserve"> lėšos </w:t>
            </w:r>
          </w:p>
        </w:tc>
      </w:tr>
      <w:tr w:rsidR="00D504A8" w:rsidRPr="00CA0EF1" w:rsidTr="00631EC2">
        <w:trPr>
          <w:trHeight w:val="249"/>
        </w:trPr>
        <w:tc>
          <w:tcPr>
            <w:tcW w:w="9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A8" w:rsidRPr="00FC53BA" w:rsidRDefault="00D504A8" w:rsidP="001970A4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504A8" w:rsidRPr="00CA0EF1" w:rsidTr="00631EC2">
        <w:trPr>
          <w:gridAfter w:val="1"/>
          <w:wAfter w:w="17" w:type="dxa"/>
          <w:trHeight w:val="2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5B40E6" w:rsidRDefault="00EB2A7C" w:rsidP="001970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9 793 034,00</w:t>
            </w:r>
            <w:bookmarkStart w:id="0" w:name="_GoBack"/>
            <w:bookmarkEnd w:id="0"/>
            <w:r w:rsidR="00BE45DF">
              <w:rPr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5B40E6" w:rsidRDefault="005B40E6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5B40E6">
              <w:t>1 728 182</w:t>
            </w:r>
            <w:r w:rsidR="00D504A8" w:rsidRPr="005B40E6">
              <w:t>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jc w:val="center"/>
              <w:rPr>
                <w:color w:val="000000"/>
              </w:rPr>
            </w:pPr>
            <w:r w:rsidRPr="00FC53BA">
              <w:rPr>
                <w:color w:val="000000"/>
              </w:rPr>
              <w:t>0</w:t>
            </w:r>
          </w:p>
        </w:tc>
      </w:tr>
      <w:tr w:rsidR="00D504A8" w:rsidRPr="00CA0EF1" w:rsidTr="00631EC2">
        <w:trPr>
          <w:trHeight w:val="249"/>
        </w:trPr>
        <w:tc>
          <w:tcPr>
            <w:tcW w:w="9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4A8" w:rsidRPr="00631EC2" w:rsidRDefault="00D504A8" w:rsidP="001970A4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rPr>
                <w:color w:val="000000"/>
                <w:lang w:eastAsia="lt-LT"/>
              </w:rPr>
            </w:pPr>
            <w:r w:rsidRPr="00631EC2">
              <w:rPr>
                <w:color w:val="000000"/>
                <w:lang w:eastAsia="lt-LT"/>
              </w:rPr>
              <w:t>Veiklos lėšų rezervas ir jam finansuoti skiriamos nacionalinės lėšos</w:t>
            </w:r>
          </w:p>
        </w:tc>
      </w:tr>
      <w:tr w:rsidR="00D504A8" w:rsidRPr="00CA0EF1" w:rsidTr="00631EC2">
        <w:trPr>
          <w:gridAfter w:val="1"/>
          <w:wAfter w:w="17" w:type="dxa"/>
          <w:trHeight w:val="2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631EC2" w:rsidRDefault="00631EC2" w:rsidP="00631EC2">
            <w:pPr>
              <w:jc w:val="center"/>
              <w:rPr>
                <w:bCs/>
                <w:color w:val="000000"/>
                <w:lang w:eastAsia="lt-LT"/>
              </w:rPr>
            </w:pPr>
            <w:r w:rsidRPr="00631EC2">
              <w:rPr>
                <w:bCs/>
                <w:color w:val="000000"/>
                <w:lang w:eastAsia="lt-LT"/>
              </w:rPr>
              <w:t>1 169 083,00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631EC2" w:rsidRDefault="00631EC2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631EC2">
              <w:rPr>
                <w:bCs/>
                <w:color w:val="000000"/>
                <w:lang w:eastAsia="lt-LT"/>
              </w:rPr>
              <w:t>206 309</w:t>
            </w:r>
            <w:r w:rsidR="00D504A8" w:rsidRPr="00631EC2">
              <w:rPr>
                <w:bCs/>
                <w:color w:val="000000"/>
                <w:lang w:eastAsia="lt-LT"/>
              </w:rPr>
              <w:t>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</w:tr>
      <w:tr w:rsidR="00D504A8" w:rsidRPr="00CA0EF1" w:rsidTr="00631EC2">
        <w:trPr>
          <w:trHeight w:val="249"/>
        </w:trPr>
        <w:tc>
          <w:tcPr>
            <w:tcW w:w="9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631EC2" w:rsidRDefault="00D504A8" w:rsidP="001970A4">
            <w:pPr>
              <w:numPr>
                <w:ilvl w:val="0"/>
                <w:numId w:val="2"/>
              </w:numPr>
              <w:tabs>
                <w:tab w:val="left" w:pos="0"/>
              </w:tabs>
              <w:contextualSpacing/>
              <w:rPr>
                <w:color w:val="000000"/>
                <w:lang w:eastAsia="lt-LT"/>
              </w:rPr>
            </w:pPr>
            <w:r w:rsidRPr="00631EC2">
              <w:rPr>
                <w:color w:val="000000"/>
                <w:lang w:eastAsia="lt-LT"/>
              </w:rPr>
              <w:t xml:space="preserve">Iš viso </w:t>
            </w:r>
          </w:p>
        </w:tc>
      </w:tr>
      <w:tr w:rsidR="00D504A8" w:rsidRPr="00CA0EF1" w:rsidTr="00631EC2">
        <w:trPr>
          <w:gridAfter w:val="1"/>
          <w:wAfter w:w="17" w:type="dxa"/>
          <w:trHeight w:val="2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5B40E6" w:rsidRDefault="00D504A8" w:rsidP="001970A4">
            <w:pPr>
              <w:jc w:val="center"/>
              <w:rPr>
                <w:color w:val="000000"/>
                <w:lang w:val="en-US"/>
              </w:rPr>
            </w:pPr>
            <w:r w:rsidRPr="005B40E6">
              <w:t>10 962 117,00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5B40E6" w:rsidRDefault="00D504A8" w:rsidP="001970A4">
            <w:pPr>
              <w:jc w:val="center"/>
              <w:rPr>
                <w:color w:val="000000"/>
              </w:rPr>
            </w:pPr>
            <w:r w:rsidRPr="005B40E6">
              <w:t>1 934 491,00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FC53BA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FC53BA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A8" w:rsidRPr="00FC53BA" w:rsidRDefault="00D504A8" w:rsidP="001970A4">
            <w:pPr>
              <w:jc w:val="center"/>
              <w:rPr>
                <w:color w:val="000000"/>
              </w:rPr>
            </w:pPr>
            <w:r w:rsidRPr="00FC53BA">
              <w:rPr>
                <w:color w:val="000000"/>
              </w:rPr>
              <w:t>0“</w:t>
            </w:r>
          </w:p>
        </w:tc>
      </w:tr>
    </w:tbl>
    <w:p w:rsidR="00236701" w:rsidRPr="001E2209" w:rsidRDefault="00236701">
      <w:pPr>
        <w:rPr>
          <w:color w:val="000000"/>
          <w:lang w:eastAsia="lt-LT"/>
        </w:rPr>
      </w:pPr>
    </w:p>
    <w:sectPr w:rsidR="00236701" w:rsidRPr="001E22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30CC"/>
    <w:multiLevelType w:val="multilevel"/>
    <w:tmpl w:val="B8BC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3735F60"/>
    <w:multiLevelType w:val="multilevel"/>
    <w:tmpl w:val="62E6A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A8"/>
    <w:rsid w:val="000024CB"/>
    <w:rsid w:val="000602F0"/>
    <w:rsid w:val="000B2F40"/>
    <w:rsid w:val="00190279"/>
    <w:rsid w:val="001C1F10"/>
    <w:rsid w:val="001E2209"/>
    <w:rsid w:val="001F45FF"/>
    <w:rsid w:val="00236701"/>
    <w:rsid w:val="002525D4"/>
    <w:rsid w:val="002B68AD"/>
    <w:rsid w:val="002E55D9"/>
    <w:rsid w:val="0034386E"/>
    <w:rsid w:val="003B09CF"/>
    <w:rsid w:val="003B57C0"/>
    <w:rsid w:val="00481013"/>
    <w:rsid w:val="00483A4D"/>
    <w:rsid w:val="0051727B"/>
    <w:rsid w:val="005545FD"/>
    <w:rsid w:val="00560557"/>
    <w:rsid w:val="005962F6"/>
    <w:rsid w:val="005B40E6"/>
    <w:rsid w:val="005C3357"/>
    <w:rsid w:val="005E017E"/>
    <w:rsid w:val="00631EC2"/>
    <w:rsid w:val="006526B8"/>
    <w:rsid w:val="00730387"/>
    <w:rsid w:val="00805BCB"/>
    <w:rsid w:val="008247B9"/>
    <w:rsid w:val="008F2321"/>
    <w:rsid w:val="0095190B"/>
    <w:rsid w:val="009A2AC2"/>
    <w:rsid w:val="00A3001F"/>
    <w:rsid w:val="00A637B8"/>
    <w:rsid w:val="00A63BCF"/>
    <w:rsid w:val="00A73250"/>
    <w:rsid w:val="00AE4088"/>
    <w:rsid w:val="00B10371"/>
    <w:rsid w:val="00BD29AC"/>
    <w:rsid w:val="00BE45DF"/>
    <w:rsid w:val="00BF23BC"/>
    <w:rsid w:val="00D504A8"/>
    <w:rsid w:val="00E0455E"/>
    <w:rsid w:val="00E27102"/>
    <w:rsid w:val="00E306DB"/>
    <w:rsid w:val="00EB2A7C"/>
    <w:rsid w:val="00EB59BA"/>
    <w:rsid w:val="00F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9E44"/>
  <w15:chartTrackingRefBased/>
  <w15:docId w15:val="{10D47987-BCA0-4C9F-A82D-EF38B3CE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D5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04A8"/>
    <w:pPr>
      <w:ind w:left="720"/>
      <w:contextualSpacing/>
    </w:pPr>
    <w:rPr>
      <w:szCs w:val="24"/>
    </w:rPr>
  </w:style>
  <w:style w:type="paragraph" w:customStyle="1" w:styleId="Default">
    <w:name w:val="Default"/>
    <w:rsid w:val="00D504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rsid w:val="00D504A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3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3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EABD-62C9-4B89-9AA1-2E59CFEE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2650</Words>
  <Characters>1511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Karalevičiūtė</dc:creator>
  <cp:keywords/>
  <dc:description/>
  <cp:lastModifiedBy>Virginija Karalevičiūtė</cp:lastModifiedBy>
  <cp:revision>14</cp:revision>
  <cp:lastPrinted>2016-08-29T13:08:00Z</cp:lastPrinted>
  <dcterms:created xsi:type="dcterms:W3CDTF">2016-08-29T08:03:00Z</dcterms:created>
  <dcterms:modified xsi:type="dcterms:W3CDTF">2016-08-30T11:33:00Z</dcterms:modified>
</cp:coreProperties>
</file>