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B2C1" w14:textId="77777777" w:rsidR="00E5574C" w:rsidRPr="0075612A" w:rsidRDefault="00E5574C">
      <w:pPr>
        <w:rPr>
          <w:rFonts w:ascii="Segoe UI" w:hAnsi="Segoe UI" w:cs="Segoe UI"/>
          <w:sz w:val="20"/>
          <w:szCs w:val="20"/>
        </w:rPr>
      </w:pPr>
    </w:p>
    <w:p w14:paraId="4079926B" w14:textId="3EA92FA0" w:rsidR="00324059" w:rsidRPr="002203EC" w:rsidRDefault="00562CE1" w:rsidP="00A47D63">
      <w:pPr>
        <w:jc w:val="center"/>
        <w:rPr>
          <w:rFonts w:ascii="Times New Roman" w:hAnsi="Times New Roman" w:cs="Times New Roman"/>
          <w:sz w:val="24"/>
          <w:szCs w:val="24"/>
        </w:rPr>
      </w:pPr>
      <w:r w:rsidRPr="002203EC">
        <w:rPr>
          <w:rFonts w:ascii="Times New Roman" w:hAnsi="Times New Roman" w:cs="Times New Roman"/>
          <w:kern w:val="16"/>
          <w:sz w:val="24"/>
          <w:szCs w:val="24"/>
        </w:rPr>
        <w:t>2014–2020 metų Europos Sąjungos fondų</w:t>
      </w:r>
      <w:r w:rsidR="00F326FF" w:rsidRPr="002203EC">
        <w:rPr>
          <w:rFonts w:ascii="Times New Roman" w:hAnsi="Times New Roman" w:cs="Times New Roman"/>
          <w:kern w:val="16"/>
          <w:sz w:val="24"/>
          <w:szCs w:val="24"/>
        </w:rPr>
        <w:t xml:space="preserve"> investicijų veiksmų programos 1</w:t>
      </w:r>
      <w:r w:rsidRPr="002203EC">
        <w:rPr>
          <w:rFonts w:ascii="Times New Roman" w:hAnsi="Times New Roman" w:cs="Times New Roman"/>
          <w:kern w:val="16"/>
          <w:sz w:val="24"/>
          <w:szCs w:val="24"/>
        </w:rPr>
        <w:t xml:space="preserve"> prioriteto „</w:t>
      </w:r>
      <w:r w:rsidR="00F326FF" w:rsidRPr="002203EC">
        <w:rPr>
          <w:rFonts w:ascii="Times New Roman" w:hAnsi="Times New Roman"/>
          <w:sz w:val="24"/>
          <w:szCs w:val="24"/>
        </w:rPr>
        <w:t>Mokslinių tyrimų, eksperimentinės plėtros ir inovacijų skatinimas</w:t>
      </w:r>
      <w:r w:rsidR="00F326FF" w:rsidRPr="002203EC">
        <w:rPr>
          <w:rFonts w:ascii="Times New Roman" w:hAnsi="Times New Roman" w:cs="Times New Roman"/>
          <w:kern w:val="16"/>
          <w:sz w:val="24"/>
          <w:szCs w:val="24"/>
        </w:rPr>
        <w:t>“ 01.1</w:t>
      </w:r>
      <w:r w:rsidRPr="002203EC">
        <w:rPr>
          <w:rFonts w:ascii="Times New Roman" w:hAnsi="Times New Roman" w:cs="Times New Roman"/>
          <w:kern w:val="16"/>
          <w:sz w:val="24"/>
          <w:szCs w:val="24"/>
        </w:rPr>
        <w:t>.</w:t>
      </w:r>
      <w:r w:rsidR="00F326FF" w:rsidRPr="002203EC">
        <w:rPr>
          <w:rFonts w:ascii="Times New Roman" w:hAnsi="Times New Roman" w:cs="Times New Roman"/>
          <w:kern w:val="16"/>
          <w:sz w:val="24"/>
          <w:szCs w:val="24"/>
        </w:rPr>
        <w:t>1-CPVA-V-701</w:t>
      </w:r>
      <w:r w:rsidRPr="002203EC">
        <w:rPr>
          <w:rFonts w:ascii="Times New Roman" w:hAnsi="Times New Roman" w:cs="Times New Roman"/>
          <w:kern w:val="16"/>
          <w:sz w:val="24"/>
          <w:szCs w:val="24"/>
        </w:rPr>
        <w:t xml:space="preserve"> priemonės „</w:t>
      </w:r>
      <w:r w:rsidR="00F326FF" w:rsidRPr="002203EC">
        <w:rPr>
          <w:rFonts w:ascii="Times New Roman" w:hAnsi="Times New Roman"/>
          <w:sz w:val="24"/>
          <w:szCs w:val="24"/>
        </w:rPr>
        <w:t>Mokslinių tyrimų, eksperimentinės plėtros ir inovacijų infrastruktūros plėtra ir integracija į europines infrastruktūras</w:t>
      </w:r>
      <w:r w:rsidRPr="002203EC">
        <w:rPr>
          <w:rFonts w:ascii="Times New Roman" w:hAnsi="Times New Roman" w:cs="Times New Roman"/>
          <w:kern w:val="16"/>
          <w:sz w:val="24"/>
          <w:szCs w:val="24"/>
        </w:rPr>
        <w:t>“ projektų finansavimo sąlygų aprašo</w:t>
      </w:r>
      <w:r w:rsidR="00BF45C6" w:rsidRPr="002203EC">
        <w:rPr>
          <w:rFonts w:ascii="Times New Roman" w:hAnsi="Times New Roman" w:cs="Times New Roman"/>
          <w:kern w:val="16"/>
          <w:sz w:val="24"/>
          <w:szCs w:val="24"/>
        </w:rPr>
        <w:t xml:space="preserve"> </w:t>
      </w:r>
      <w:r w:rsidR="002203EC" w:rsidRPr="002203EC">
        <w:rPr>
          <w:rFonts w:ascii="Times New Roman" w:hAnsi="Times New Roman" w:cs="Times New Roman"/>
          <w:kern w:val="16"/>
          <w:sz w:val="24"/>
          <w:szCs w:val="24"/>
        </w:rPr>
        <w:t xml:space="preserve">Nr. </w:t>
      </w:r>
      <w:r w:rsidR="00BA166F">
        <w:rPr>
          <w:rFonts w:ascii="Times New Roman" w:hAnsi="Times New Roman" w:cs="Times New Roman"/>
          <w:kern w:val="16"/>
          <w:sz w:val="24"/>
          <w:szCs w:val="24"/>
        </w:rPr>
        <w:t>4</w:t>
      </w:r>
      <w:r w:rsidR="00A47D63" w:rsidRPr="002203EC">
        <w:rPr>
          <w:rFonts w:ascii="Times New Roman" w:hAnsi="Times New Roman" w:cs="Times New Roman"/>
          <w:sz w:val="24"/>
          <w:szCs w:val="24"/>
        </w:rPr>
        <w:t xml:space="preserve"> (toliau – PFSA) projekto pastabų derinimo lentelė</w:t>
      </w:r>
    </w:p>
    <w:tbl>
      <w:tblPr>
        <w:tblStyle w:val="Lentelstinklelis"/>
        <w:tblW w:w="0" w:type="auto"/>
        <w:tblLayout w:type="fixed"/>
        <w:tblLook w:val="04A0" w:firstRow="1" w:lastRow="0" w:firstColumn="1" w:lastColumn="0" w:noHBand="0" w:noVBand="1"/>
      </w:tblPr>
      <w:tblGrid>
        <w:gridCol w:w="1430"/>
        <w:gridCol w:w="975"/>
        <w:gridCol w:w="1843"/>
        <w:gridCol w:w="4394"/>
        <w:gridCol w:w="1559"/>
        <w:gridCol w:w="3792"/>
      </w:tblGrid>
      <w:tr w:rsidR="00A473F4" w14:paraId="0B9D610D" w14:textId="77777777" w:rsidTr="00BA166F">
        <w:tc>
          <w:tcPr>
            <w:tcW w:w="1430" w:type="dxa"/>
          </w:tcPr>
          <w:p w14:paraId="12F2F9D3" w14:textId="77777777"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975" w:type="dxa"/>
          </w:tcPr>
          <w:p w14:paraId="0E66DD29" w14:textId="65DC4E54" w:rsidR="00FC4965" w:rsidRDefault="00BA166F" w:rsidP="00A47D63">
            <w:pPr>
              <w:jc w:val="center"/>
              <w:rPr>
                <w:rFonts w:ascii="Times New Roman" w:hAnsi="Times New Roman" w:cs="Times New Roman"/>
                <w:b/>
                <w:sz w:val="24"/>
                <w:szCs w:val="24"/>
              </w:rPr>
            </w:pPr>
            <w:r>
              <w:rPr>
                <w:rFonts w:ascii="Times New Roman" w:hAnsi="Times New Roman" w:cs="Times New Roman"/>
                <w:b/>
                <w:sz w:val="24"/>
                <w:szCs w:val="24"/>
              </w:rPr>
              <w:t>Eil Nr</w:t>
            </w:r>
            <w:r w:rsidR="00FC4965" w:rsidRPr="00A47D63">
              <w:rPr>
                <w:rFonts w:ascii="Times New Roman" w:hAnsi="Times New Roman" w:cs="Times New Roman"/>
                <w:b/>
                <w:sz w:val="24"/>
                <w:szCs w:val="24"/>
              </w:rPr>
              <w:t>.</w:t>
            </w:r>
          </w:p>
        </w:tc>
        <w:tc>
          <w:tcPr>
            <w:tcW w:w="1843" w:type="dxa"/>
          </w:tcPr>
          <w:p w14:paraId="1B3F28A4" w14:textId="77777777"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394" w:type="dxa"/>
          </w:tcPr>
          <w:p w14:paraId="6106DEA3" w14:textId="77777777"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559" w:type="dxa"/>
          </w:tcPr>
          <w:p w14:paraId="5F9802DB" w14:textId="77777777"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3792" w:type="dxa"/>
          </w:tcPr>
          <w:p w14:paraId="65B27E1F" w14:textId="77777777"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p>
        </w:tc>
      </w:tr>
      <w:tr w:rsidR="00A473F4" w:rsidRPr="007821DB" w14:paraId="499F22AA" w14:textId="77777777" w:rsidTr="00BA166F">
        <w:tc>
          <w:tcPr>
            <w:tcW w:w="1430" w:type="dxa"/>
          </w:tcPr>
          <w:p w14:paraId="2FA0F7E1" w14:textId="77777777" w:rsidR="00FC4965" w:rsidRPr="007821DB" w:rsidRDefault="00F326FF" w:rsidP="00A47D63">
            <w:pPr>
              <w:jc w:val="center"/>
              <w:rPr>
                <w:rFonts w:ascii="Times New Roman" w:hAnsi="Times New Roman" w:cs="Times New Roman"/>
              </w:rPr>
            </w:pPr>
            <w:r w:rsidRPr="007821DB">
              <w:rPr>
                <w:rFonts w:ascii="Times New Roman" w:hAnsi="Times New Roman" w:cs="Times New Roman"/>
              </w:rPr>
              <w:t>Vilniaus universitetas</w:t>
            </w:r>
          </w:p>
        </w:tc>
        <w:tc>
          <w:tcPr>
            <w:tcW w:w="975" w:type="dxa"/>
          </w:tcPr>
          <w:p w14:paraId="4D524981" w14:textId="5745055C" w:rsidR="00FC4965" w:rsidRPr="007821DB" w:rsidRDefault="00BA166F" w:rsidP="00A47D63">
            <w:pPr>
              <w:jc w:val="center"/>
              <w:rPr>
                <w:rFonts w:ascii="Times New Roman" w:hAnsi="Times New Roman" w:cs="Times New Roman"/>
              </w:rPr>
            </w:pPr>
            <w:r w:rsidRPr="007821DB">
              <w:rPr>
                <w:rFonts w:ascii="Times New Roman" w:hAnsi="Times New Roman" w:cs="Times New Roman"/>
              </w:rPr>
              <w:t>1</w:t>
            </w:r>
          </w:p>
        </w:tc>
        <w:tc>
          <w:tcPr>
            <w:tcW w:w="1843" w:type="dxa"/>
          </w:tcPr>
          <w:p w14:paraId="68DAC0BD" w14:textId="75EEDAA3" w:rsidR="00FC4965" w:rsidRPr="007821DB" w:rsidRDefault="00BA166F" w:rsidP="00FC4965">
            <w:pPr>
              <w:jc w:val="both"/>
              <w:rPr>
                <w:rFonts w:ascii="Times New Roman" w:hAnsi="Times New Roman" w:cs="Times New Roman"/>
              </w:rPr>
            </w:pPr>
            <w:r w:rsidRPr="007821DB">
              <w:rPr>
                <w:rFonts w:ascii="Times New Roman" w:hAnsi="Times New Roman" w:cs="Times New Roman"/>
              </w:rPr>
              <w:t>Projekto veiklos turi būti vykdomos Lietuvos Respublikoje, išskyrus veiklą skirtą stojimo ir narystės mokesčiams ESFRI infrastruktūroje</w:t>
            </w:r>
          </w:p>
        </w:tc>
        <w:tc>
          <w:tcPr>
            <w:tcW w:w="4394" w:type="dxa"/>
          </w:tcPr>
          <w:p w14:paraId="407987FC" w14:textId="77777777" w:rsidR="00BA166F" w:rsidRPr="007821DB" w:rsidRDefault="00BA166F" w:rsidP="00BA166F">
            <w:pPr>
              <w:pStyle w:val="Default"/>
              <w:jc w:val="both"/>
              <w:rPr>
                <w:sz w:val="22"/>
                <w:szCs w:val="22"/>
              </w:rPr>
            </w:pPr>
            <w:r w:rsidRPr="007821DB">
              <w:rPr>
                <w:i/>
                <w:iCs/>
                <w:sz w:val="22"/>
                <w:szCs w:val="22"/>
              </w:rPr>
              <w:t xml:space="preserve">„Projekto veiklos turi būti vykdomos Lietuvos Respublikoje, išskyrus veiklą skirtą stojimo ir narystės mokesčiams ESFRI infrastruktūroje bei veikloms, finansuojamoms pareiškėjo (partnerio) ar kitų šaltinių lėšomis.“ </w:t>
            </w:r>
          </w:p>
          <w:p w14:paraId="51C29349" w14:textId="77777777" w:rsidR="00BA166F" w:rsidRPr="007821DB" w:rsidRDefault="00BA166F" w:rsidP="00F326FF">
            <w:pPr>
              <w:jc w:val="both"/>
              <w:rPr>
                <w:rFonts w:ascii="Times New Roman" w:hAnsi="Times New Roman" w:cs="Times New Roman"/>
              </w:rPr>
            </w:pPr>
          </w:p>
          <w:p w14:paraId="2EBBEE4A" w14:textId="4DABC572" w:rsidR="00FC4965" w:rsidRPr="007821DB" w:rsidRDefault="00BA166F" w:rsidP="00F326FF">
            <w:pPr>
              <w:jc w:val="both"/>
              <w:rPr>
                <w:rFonts w:ascii="Times New Roman" w:hAnsi="Times New Roman" w:cs="Times New Roman"/>
              </w:rPr>
            </w:pPr>
            <w:r w:rsidRPr="007821DB">
              <w:rPr>
                <w:rFonts w:ascii="Times New Roman" w:hAnsi="Times New Roman" w:cs="Times New Roman"/>
              </w:rPr>
              <w:t>Nuostata neturėtų būti taikoma veikloms, kurias pareiškėjas ir (arba) partneris finansuoja savo ar kitų šaltinių (ne ES SF) lėšomis.</w:t>
            </w:r>
          </w:p>
        </w:tc>
        <w:tc>
          <w:tcPr>
            <w:tcW w:w="1559" w:type="dxa"/>
          </w:tcPr>
          <w:p w14:paraId="7AB15ABB" w14:textId="04E7200B" w:rsidR="00FC4965" w:rsidRPr="007821DB" w:rsidRDefault="00BA166F" w:rsidP="00A47D63">
            <w:pPr>
              <w:jc w:val="center"/>
              <w:rPr>
                <w:rFonts w:ascii="Times New Roman" w:hAnsi="Times New Roman" w:cs="Times New Roman"/>
              </w:rPr>
            </w:pPr>
            <w:r w:rsidRPr="007821DB">
              <w:rPr>
                <w:rFonts w:ascii="Times New Roman" w:hAnsi="Times New Roman" w:cs="Times New Roman"/>
              </w:rPr>
              <w:t>Ne</w:t>
            </w:r>
            <w:r w:rsidR="008F692B" w:rsidRPr="007821DB">
              <w:rPr>
                <w:rFonts w:ascii="Times New Roman" w:hAnsi="Times New Roman" w:cs="Times New Roman"/>
              </w:rPr>
              <w:t>atsižvel</w:t>
            </w:r>
            <w:bookmarkStart w:id="0" w:name="_GoBack"/>
            <w:bookmarkEnd w:id="0"/>
            <w:r w:rsidR="008F692B" w:rsidRPr="007821DB">
              <w:rPr>
                <w:rFonts w:ascii="Times New Roman" w:hAnsi="Times New Roman" w:cs="Times New Roman"/>
              </w:rPr>
              <w:t>gta</w:t>
            </w:r>
          </w:p>
        </w:tc>
        <w:tc>
          <w:tcPr>
            <w:tcW w:w="3792" w:type="dxa"/>
          </w:tcPr>
          <w:p w14:paraId="59C756CF" w14:textId="77777777" w:rsidR="00BA166F" w:rsidRPr="007821DB" w:rsidRDefault="00BA166F" w:rsidP="00BA166F">
            <w:pPr>
              <w:autoSpaceDE w:val="0"/>
              <w:autoSpaceDN w:val="0"/>
              <w:adjustRightInd w:val="0"/>
              <w:spacing w:after="0" w:line="240" w:lineRule="auto"/>
              <w:rPr>
                <w:rFonts w:ascii="Times New Roman" w:hAnsi="Times New Roman" w:cs="Times New Roman"/>
              </w:rPr>
            </w:pPr>
            <w:r w:rsidRPr="007821DB">
              <w:rPr>
                <w:rFonts w:ascii="Times New Roman" w:hAnsi="Times New Roman" w:cs="Times New Roman"/>
                <w:color w:val="000000"/>
              </w:rPr>
              <w:t xml:space="preserve">Ši nuostata yra taikoma visoms projekto tinkamoms išlaidoms, nepriklausomai nuo jų finansavimo šaltinių, t.y. į projekto biudžetą įtraukiamos visos projekto veikloms būtinos išlaidos, kurių finansavimo šaltiniai detalizuojami paraiškos 11 lentelėje. Visoms projekto biudžete numatytos išlaidoms taikomos visos PFSA nuostatos, taip kaip jų taikymas nustatytas PFSA, nepriklausomai nuo skiriamo finansavimo intensyvumo. Veiklos, kurių išlaidų neprašoma finansuoti, į projekto biudžetą netraukiamos. </w:t>
            </w:r>
          </w:p>
          <w:p w14:paraId="0B5EA9A7" w14:textId="35718BE7" w:rsidR="00E40276" w:rsidRPr="007821DB" w:rsidRDefault="00E40276" w:rsidP="00E40276">
            <w:pPr>
              <w:pStyle w:val="Default"/>
              <w:jc w:val="both"/>
              <w:rPr>
                <w:sz w:val="22"/>
                <w:szCs w:val="22"/>
              </w:rPr>
            </w:pPr>
          </w:p>
        </w:tc>
      </w:tr>
      <w:tr w:rsidR="00FC4965" w:rsidRPr="007821DB" w14:paraId="3CDC874D" w14:textId="77777777" w:rsidTr="00BA166F">
        <w:tc>
          <w:tcPr>
            <w:tcW w:w="1430" w:type="dxa"/>
          </w:tcPr>
          <w:p w14:paraId="7901BA08" w14:textId="08AFB918" w:rsidR="00FC4965"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524AC2C9" w14:textId="77777777" w:rsidR="00FC4965" w:rsidRPr="007821DB" w:rsidRDefault="00FC4965" w:rsidP="00A47D63">
            <w:pPr>
              <w:jc w:val="center"/>
              <w:rPr>
                <w:rFonts w:ascii="Times New Roman" w:hAnsi="Times New Roman" w:cs="Times New Roman"/>
              </w:rPr>
            </w:pPr>
            <w:r w:rsidRPr="007821DB">
              <w:rPr>
                <w:rFonts w:ascii="Times New Roman" w:hAnsi="Times New Roman" w:cs="Times New Roman"/>
              </w:rPr>
              <w:t>2.</w:t>
            </w:r>
          </w:p>
        </w:tc>
        <w:tc>
          <w:tcPr>
            <w:tcW w:w="1843" w:type="dxa"/>
          </w:tcPr>
          <w:p w14:paraId="542BA9F0" w14:textId="77777777" w:rsidR="00240127" w:rsidRPr="007821DB" w:rsidRDefault="00240127" w:rsidP="00240127">
            <w:pPr>
              <w:pStyle w:val="Default"/>
              <w:jc w:val="both"/>
              <w:rPr>
                <w:sz w:val="22"/>
                <w:szCs w:val="22"/>
              </w:rPr>
            </w:pPr>
            <w:r w:rsidRPr="007821DB">
              <w:rPr>
                <w:sz w:val="22"/>
                <w:szCs w:val="22"/>
              </w:rPr>
              <w:t xml:space="preserve">20. Projektu turi būti siekiama toliau išvardytų priemonės įgyvendinimo stebėsenos rodiklių: </w:t>
            </w:r>
          </w:p>
          <w:p w14:paraId="2A233641" w14:textId="77777777" w:rsidR="00240127" w:rsidRPr="007821DB" w:rsidRDefault="00240127" w:rsidP="00240127">
            <w:pPr>
              <w:pStyle w:val="Default"/>
              <w:jc w:val="both"/>
              <w:rPr>
                <w:sz w:val="22"/>
                <w:szCs w:val="22"/>
              </w:rPr>
            </w:pPr>
            <w:r w:rsidRPr="007821DB">
              <w:rPr>
                <w:sz w:val="22"/>
                <w:szCs w:val="22"/>
              </w:rPr>
              <w:t xml:space="preserve">20.1. produkto rodiklio „Tyrėjų, dirbančių pagerintoje tyrimų infrastruktūros </w:t>
            </w:r>
            <w:r w:rsidRPr="007821DB">
              <w:rPr>
                <w:sz w:val="22"/>
                <w:szCs w:val="22"/>
              </w:rPr>
              <w:lastRenderedPageBreak/>
              <w:t xml:space="preserve">bazėje, skaičius“ (rodiklio kodas P.B.225). Minimali rodiklio reikšmė – 10; </w:t>
            </w:r>
          </w:p>
          <w:p w14:paraId="23E51BD4" w14:textId="77777777" w:rsidR="00240127" w:rsidRPr="007821DB" w:rsidRDefault="00240127" w:rsidP="00240127">
            <w:pPr>
              <w:pStyle w:val="Default"/>
              <w:jc w:val="both"/>
              <w:rPr>
                <w:sz w:val="22"/>
                <w:szCs w:val="22"/>
              </w:rPr>
            </w:pPr>
            <w:r w:rsidRPr="007821DB">
              <w:rPr>
                <w:sz w:val="22"/>
                <w:szCs w:val="22"/>
              </w:rPr>
              <w:t xml:space="preserve">20.2. produkto rodiklio ,,Privataus sektoriaus tyrėjų, pasinaudojusių pagerinta MTEPI infrastruktūros baze, skaičius“ (rodiklio kodas P.S.302). Minimali rodiklio reikšmė – 5; </w:t>
            </w:r>
          </w:p>
          <w:p w14:paraId="2769610B" w14:textId="77777777" w:rsidR="00240127" w:rsidRPr="007821DB" w:rsidRDefault="00240127" w:rsidP="00240127">
            <w:pPr>
              <w:pStyle w:val="Default"/>
              <w:jc w:val="both"/>
              <w:rPr>
                <w:sz w:val="22"/>
                <w:szCs w:val="22"/>
              </w:rPr>
            </w:pPr>
            <w:r w:rsidRPr="007821DB">
              <w:rPr>
                <w:sz w:val="22"/>
                <w:szCs w:val="22"/>
              </w:rPr>
              <w:t xml:space="preserve">20.3. produkto rodiklio ,,Tarptautinės MTEPI infrastruktūros, kurių narė yra Lietuva“ (rodiklio kodas P.S.301). Minimali rodiklio reikšmė – 1 tarptautinė infrastruktūra vienam projektui (Rodiklis taikomas projektams, kurie skirti integracijai į tarptautines MTEPI infrastruktūras). </w:t>
            </w:r>
          </w:p>
          <w:p w14:paraId="191F78DB" w14:textId="10BCB259" w:rsidR="00562CE1" w:rsidRPr="007821DB" w:rsidRDefault="00240127" w:rsidP="00240127">
            <w:pPr>
              <w:jc w:val="both"/>
              <w:rPr>
                <w:rFonts w:ascii="Times New Roman" w:hAnsi="Times New Roman" w:cs="Times New Roman"/>
              </w:rPr>
            </w:pPr>
            <w:r w:rsidRPr="007821DB">
              <w:rPr>
                <w:rFonts w:ascii="Times New Roman" w:hAnsi="Times New Roman" w:cs="Times New Roman"/>
              </w:rPr>
              <w:t xml:space="preserve">20.4. produkto rodiklio „Mokslo ir studijų institucijos, </w:t>
            </w:r>
            <w:r w:rsidRPr="007821DB">
              <w:rPr>
                <w:rFonts w:ascii="Times New Roman" w:hAnsi="Times New Roman" w:cs="Times New Roman"/>
              </w:rPr>
              <w:lastRenderedPageBreak/>
              <w:t>kuriose pagal veiksmų programą ERPF lėšomis atnaujinta MTEPI infrastruktūra“ (rodiklio kodas P.N.718). Minimali rodiklio reikšmė – 1 institucija.</w:t>
            </w:r>
          </w:p>
        </w:tc>
        <w:tc>
          <w:tcPr>
            <w:tcW w:w="4394" w:type="dxa"/>
          </w:tcPr>
          <w:p w14:paraId="5266CCAE" w14:textId="77777777" w:rsidR="00240127" w:rsidRPr="007821DB" w:rsidRDefault="00240127" w:rsidP="00240127">
            <w:pPr>
              <w:pStyle w:val="Default"/>
              <w:jc w:val="both"/>
              <w:rPr>
                <w:sz w:val="22"/>
                <w:szCs w:val="22"/>
              </w:rPr>
            </w:pPr>
            <w:r w:rsidRPr="007821DB">
              <w:rPr>
                <w:sz w:val="22"/>
                <w:szCs w:val="22"/>
              </w:rPr>
              <w:lastRenderedPageBreak/>
              <w:t xml:space="preserve">Prašome pateikti paaiškinimą, kokiais kriterijais vadovaujantis projektai bus priskirti prie tų, kurie skirti integracijai į tarptautines MTEPI infrastruktūras ir turi pasiekti produkto rodiklį ,,Tarptautinės MTEPI infrastruktūros, kurių narė yra Lietuva“ (rodiklio kodas P.S.301). </w:t>
            </w:r>
          </w:p>
          <w:p w14:paraId="4CC7045E" w14:textId="77777777" w:rsidR="00240127" w:rsidRPr="007821DB" w:rsidRDefault="00240127" w:rsidP="00240127">
            <w:pPr>
              <w:pStyle w:val="Default"/>
              <w:jc w:val="both"/>
              <w:rPr>
                <w:sz w:val="22"/>
                <w:szCs w:val="22"/>
              </w:rPr>
            </w:pPr>
            <w:r w:rsidRPr="007821DB">
              <w:rPr>
                <w:sz w:val="22"/>
                <w:szCs w:val="22"/>
              </w:rPr>
              <w:t xml:space="preserve">- Prašome pateikti paaiškinimą, kada projektai bus paskirstyti tarp šių kategorijų, t.y. ar prieš teikiant projektinį pasiūlymą, ar prieš teikiant paraišką ar kt. </w:t>
            </w:r>
          </w:p>
          <w:p w14:paraId="09FF6185" w14:textId="77777777" w:rsidR="00240127" w:rsidRPr="007821DB" w:rsidRDefault="00240127" w:rsidP="00240127">
            <w:pPr>
              <w:pStyle w:val="Default"/>
              <w:jc w:val="both"/>
              <w:rPr>
                <w:sz w:val="22"/>
                <w:szCs w:val="22"/>
              </w:rPr>
            </w:pPr>
            <w:r w:rsidRPr="007821DB">
              <w:rPr>
                <w:sz w:val="22"/>
                <w:szCs w:val="22"/>
              </w:rPr>
              <w:lastRenderedPageBreak/>
              <w:t xml:space="preserve">- Atkreipiame dėmesį, kad 2015-04-23 LR švietimo ir mokslo ministro įsakymu Nr. V-380 patvirtinto „2014–2020 metų Europos Sąjungos fondų investicijų veiksmų programos prioriteto įgyvendinimo priemonių įgyvendinimo plano“ I skyriaus, 1-ame skirsnyje numatyta Priemonės įgyvendinimo stebėsenos rodiklio ,,Tarptautinės MTEPI infrastruktūros, kurių narė yra Lietuva“ (rodiklio kodas P.S.301) reikšmė iki 2023 m. gruodžio 31 d.– 4 vnt. </w:t>
            </w:r>
          </w:p>
          <w:p w14:paraId="254CD6DA" w14:textId="77777777" w:rsidR="00240127" w:rsidRPr="007821DB" w:rsidRDefault="00240127" w:rsidP="00240127">
            <w:pPr>
              <w:pStyle w:val="Default"/>
              <w:jc w:val="both"/>
              <w:rPr>
                <w:sz w:val="22"/>
                <w:szCs w:val="22"/>
              </w:rPr>
            </w:pPr>
            <w:r w:rsidRPr="007821DB">
              <w:rPr>
                <w:sz w:val="22"/>
                <w:szCs w:val="22"/>
              </w:rPr>
              <w:t xml:space="preserve">-- </w:t>
            </w:r>
          </w:p>
          <w:p w14:paraId="0FDB3121" w14:textId="77777777" w:rsidR="00240127" w:rsidRPr="007821DB" w:rsidRDefault="00240127" w:rsidP="00240127">
            <w:pPr>
              <w:pStyle w:val="Default"/>
              <w:jc w:val="both"/>
              <w:rPr>
                <w:sz w:val="22"/>
                <w:szCs w:val="22"/>
              </w:rPr>
            </w:pPr>
            <w:r w:rsidRPr="007821DB">
              <w:rPr>
                <w:sz w:val="22"/>
                <w:szCs w:val="22"/>
              </w:rPr>
              <w:t xml:space="preserve">Iš esamos 20.p. formuluotės nėra aišku, ar kiekvienas projektas turi siekti visų 20.1.-20.4. punktuose minimų rodiklių. Prašome reikalavimus dėl priemonės įgyvendinimo stebėsenos rodiklių projektams, kurie skirti integracijai į tarptautines MTEPI infrastruktūras atskirti nuo kitų projektų ir 20 p. išdėstyti taip ar pan.: </w:t>
            </w:r>
          </w:p>
          <w:p w14:paraId="66F880D9" w14:textId="77777777" w:rsidR="00240127" w:rsidRPr="007821DB" w:rsidRDefault="00240127" w:rsidP="00240127">
            <w:pPr>
              <w:pStyle w:val="Default"/>
              <w:jc w:val="both"/>
              <w:rPr>
                <w:sz w:val="22"/>
                <w:szCs w:val="22"/>
              </w:rPr>
            </w:pPr>
            <w:r w:rsidRPr="007821DB">
              <w:rPr>
                <w:i/>
                <w:iCs/>
                <w:sz w:val="22"/>
                <w:szCs w:val="22"/>
              </w:rPr>
              <w:t xml:space="preserve">„20. Projektu turi būti siekiama toliau išvardytų priemonės įgyvendinimo stebėsenos rodiklių: </w:t>
            </w:r>
          </w:p>
          <w:p w14:paraId="6673F812" w14:textId="77777777" w:rsidR="00240127" w:rsidRPr="007821DB" w:rsidRDefault="00240127" w:rsidP="00240127">
            <w:pPr>
              <w:pStyle w:val="Default"/>
              <w:jc w:val="both"/>
              <w:rPr>
                <w:sz w:val="22"/>
                <w:szCs w:val="22"/>
              </w:rPr>
            </w:pPr>
            <w:r w:rsidRPr="007821DB">
              <w:rPr>
                <w:i/>
                <w:iCs/>
                <w:sz w:val="22"/>
                <w:szCs w:val="22"/>
              </w:rPr>
              <w:t xml:space="preserve">20.1. produkto rodiklio „Tyrėjų, dirbančių pagerintoje tyrimų infrastruktūros bazėje, skaičius“ (rodiklio kodas P.B.225). Minimali rodiklio reikšmė – 10; </w:t>
            </w:r>
          </w:p>
          <w:p w14:paraId="0A00B252" w14:textId="77777777" w:rsidR="00240127" w:rsidRPr="007821DB" w:rsidRDefault="00240127" w:rsidP="00240127">
            <w:pPr>
              <w:pStyle w:val="Default"/>
              <w:jc w:val="both"/>
              <w:rPr>
                <w:sz w:val="22"/>
                <w:szCs w:val="22"/>
              </w:rPr>
            </w:pPr>
            <w:r w:rsidRPr="007821DB">
              <w:rPr>
                <w:i/>
                <w:iCs/>
                <w:sz w:val="22"/>
                <w:szCs w:val="22"/>
              </w:rPr>
              <w:t xml:space="preserve">20.2. produkto rodiklio ,,Privataus sektoriaus tyrėjų, pasinaudojusių pagerinta MTEPI infrastruktūros baze, skaičius“ (rodiklio kodas P.S.302). Minimali rodiklio reikšmė – 5; </w:t>
            </w:r>
          </w:p>
          <w:p w14:paraId="57C596DB" w14:textId="77777777" w:rsidR="00240127" w:rsidRPr="007821DB" w:rsidRDefault="00240127" w:rsidP="00240127">
            <w:pPr>
              <w:pStyle w:val="Default"/>
              <w:jc w:val="both"/>
              <w:rPr>
                <w:sz w:val="22"/>
                <w:szCs w:val="22"/>
              </w:rPr>
            </w:pPr>
            <w:r w:rsidRPr="007821DB">
              <w:rPr>
                <w:i/>
                <w:iCs/>
                <w:sz w:val="22"/>
                <w:szCs w:val="22"/>
              </w:rPr>
              <w:t xml:space="preserve">20.3. produkto rodiklio „Mokslo ir studijų institucijos, kuriose pagal veiksmų programą ERPF lėšomis atnaujinta MTEPI infrastruktūra“ (rodiklio kodas P.N.718). Minimali rodiklio reikšmė – 1 institucija. </w:t>
            </w:r>
          </w:p>
          <w:p w14:paraId="68B36A1E" w14:textId="523929B2" w:rsidR="00FC4965" w:rsidRPr="007821DB" w:rsidRDefault="00240127" w:rsidP="00240127">
            <w:pPr>
              <w:pStyle w:val="Default"/>
              <w:jc w:val="both"/>
              <w:rPr>
                <w:sz w:val="22"/>
                <w:szCs w:val="22"/>
              </w:rPr>
            </w:pPr>
            <w:r w:rsidRPr="007821DB">
              <w:rPr>
                <w:i/>
                <w:iCs/>
                <w:sz w:val="22"/>
                <w:szCs w:val="22"/>
              </w:rPr>
              <w:t>20.4. projektams, kurie skirti integracijai į tarptautines MTEPI infrastruktūras, taikomas papildomas produkto rodiklis ,,Tarptautinės MTEPI infrastruktūros, kurių narė yra Lietuva“ (rodiklio kodas P.S.301). Minimali rodiklio reikšmė – 1 tarptautinė infrastruktūra vienam projektui.“</w:t>
            </w:r>
          </w:p>
        </w:tc>
        <w:tc>
          <w:tcPr>
            <w:tcW w:w="1559" w:type="dxa"/>
          </w:tcPr>
          <w:p w14:paraId="45FAE5D4" w14:textId="43CF2223" w:rsidR="00FC4965" w:rsidRPr="007821DB" w:rsidRDefault="008F692B" w:rsidP="00A47D63">
            <w:pPr>
              <w:jc w:val="center"/>
              <w:rPr>
                <w:rFonts w:ascii="Times New Roman" w:hAnsi="Times New Roman" w:cs="Times New Roman"/>
              </w:rPr>
            </w:pPr>
            <w:r w:rsidRPr="007821DB">
              <w:rPr>
                <w:rFonts w:ascii="Times New Roman" w:hAnsi="Times New Roman" w:cs="Times New Roman"/>
              </w:rPr>
              <w:lastRenderedPageBreak/>
              <w:t>Atsižvelgta</w:t>
            </w:r>
          </w:p>
        </w:tc>
        <w:tc>
          <w:tcPr>
            <w:tcW w:w="3792" w:type="dxa"/>
          </w:tcPr>
          <w:p w14:paraId="59020D89" w14:textId="77777777" w:rsidR="00240127" w:rsidRPr="007821DB" w:rsidRDefault="00240127" w:rsidP="00240127">
            <w:pPr>
              <w:autoSpaceDE w:val="0"/>
              <w:autoSpaceDN w:val="0"/>
              <w:adjustRightInd w:val="0"/>
              <w:spacing w:after="0" w:line="240" w:lineRule="auto"/>
              <w:rPr>
                <w:rFonts w:ascii="Times New Roman" w:hAnsi="Times New Roman" w:cs="Times New Roman"/>
                <w:color w:val="000000"/>
              </w:rPr>
            </w:pPr>
            <w:r w:rsidRPr="007821DB">
              <w:rPr>
                <w:rFonts w:ascii="Times New Roman" w:hAnsi="Times New Roman" w:cs="Times New Roman"/>
                <w:color w:val="000000"/>
              </w:rPr>
              <w:t xml:space="preserve">Projekto ketinimas integruotis į tarptautines infrastruktūras turėtų būti aiškiai apibrėžtas ir aprašytas investicijų projekte, t.y. projektinio pasiūlymo pateikimo momentu. Investicijų projektas yra dokumentas, skirtas paaiškinti, kaip bus pasiektas projekto tikslas, atitinkamai ir tokio projekto tikslas turėtų būti - siekti integruotis į X tarptautinę infrastruktūrą, nes būtent šią problemą ketinama spręsti šiuo PFSA.  Tokio projekto pareiškėjas paraiškoje </w:t>
            </w:r>
            <w:r w:rsidRPr="007821DB">
              <w:rPr>
                <w:rFonts w:ascii="Times New Roman" w:hAnsi="Times New Roman" w:cs="Times New Roman"/>
                <w:color w:val="000000"/>
              </w:rPr>
              <w:lastRenderedPageBreak/>
              <w:t xml:space="preserve">privalo pasirinkti  siekti produkto rodiklį ,,Tarptautinės MTEPI infrastruktūros, kurių narė yra Lietuva“.  </w:t>
            </w:r>
          </w:p>
          <w:p w14:paraId="20000C17" w14:textId="4EDB0D98" w:rsidR="00AA6924" w:rsidRPr="007821DB" w:rsidRDefault="00AA6924" w:rsidP="00AA6924">
            <w:pPr>
              <w:pStyle w:val="Default"/>
              <w:jc w:val="both"/>
              <w:rPr>
                <w:sz w:val="22"/>
                <w:szCs w:val="22"/>
              </w:rPr>
            </w:pPr>
          </w:p>
        </w:tc>
      </w:tr>
      <w:tr w:rsidR="009D6BAD" w:rsidRPr="007821DB" w14:paraId="20AD8618" w14:textId="77777777" w:rsidTr="00BA166F">
        <w:tc>
          <w:tcPr>
            <w:tcW w:w="1430" w:type="dxa"/>
          </w:tcPr>
          <w:p w14:paraId="733F709B" w14:textId="585C9161" w:rsidR="009D6BAD"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lastRenderedPageBreak/>
              <w:t>Vilniaus universitetas</w:t>
            </w:r>
          </w:p>
        </w:tc>
        <w:tc>
          <w:tcPr>
            <w:tcW w:w="975" w:type="dxa"/>
          </w:tcPr>
          <w:p w14:paraId="63CFF021" w14:textId="77777777" w:rsidR="009D6BAD" w:rsidRPr="007821DB" w:rsidRDefault="009D6BAD" w:rsidP="00A47D63">
            <w:pPr>
              <w:jc w:val="center"/>
              <w:rPr>
                <w:rFonts w:ascii="Times New Roman" w:hAnsi="Times New Roman" w:cs="Times New Roman"/>
              </w:rPr>
            </w:pPr>
            <w:r w:rsidRPr="007821DB">
              <w:rPr>
                <w:rFonts w:ascii="Times New Roman" w:hAnsi="Times New Roman" w:cs="Times New Roman"/>
              </w:rPr>
              <w:t>3</w:t>
            </w:r>
          </w:p>
        </w:tc>
        <w:tc>
          <w:tcPr>
            <w:tcW w:w="1843" w:type="dxa"/>
          </w:tcPr>
          <w:p w14:paraId="01D27670" w14:textId="77777777" w:rsidR="00D827FB" w:rsidRPr="007821DB" w:rsidRDefault="00D827FB" w:rsidP="00D827FB">
            <w:pPr>
              <w:pStyle w:val="Default"/>
              <w:jc w:val="both"/>
              <w:rPr>
                <w:sz w:val="22"/>
                <w:szCs w:val="22"/>
              </w:rPr>
            </w:pPr>
            <w:r w:rsidRPr="007821DB">
              <w:rPr>
                <w:sz w:val="22"/>
                <w:szCs w:val="22"/>
              </w:rPr>
              <w:t xml:space="preserve">22. Projekto parengtumui taikomi šie reikalavimai: </w:t>
            </w:r>
          </w:p>
          <w:p w14:paraId="02164CAE" w14:textId="77777777" w:rsidR="00D827FB" w:rsidRPr="007821DB" w:rsidRDefault="00D827FB" w:rsidP="00D827FB">
            <w:pPr>
              <w:pStyle w:val="Default"/>
              <w:jc w:val="both"/>
              <w:rPr>
                <w:sz w:val="22"/>
                <w:szCs w:val="22"/>
              </w:rPr>
            </w:pPr>
            <w:r w:rsidRPr="007821DB">
              <w:rPr>
                <w:sz w:val="22"/>
                <w:szCs w:val="22"/>
              </w:rPr>
              <w:t xml:space="preserve">22.1. jei pareiškėjas projekto įgyvendinimo metu planuoja vykdyti statybos darbus, jis iki paraiškos pateikimo įgyvendinančiajai institucijai turi būti įgijęs daiktines pareiškėjo (partnerio) teises į statinį ir (arba) žemės sklypą, kuriame įgyvendinant projektą bus vykdomi statybos darbai, daiktinės teisės turi būti įregistruotos </w:t>
            </w:r>
            <w:r w:rsidRPr="007821DB">
              <w:rPr>
                <w:sz w:val="22"/>
                <w:szCs w:val="22"/>
              </w:rPr>
              <w:lastRenderedPageBreak/>
              <w:t xml:space="preserve">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w:t>
            </w:r>
          </w:p>
          <w:p w14:paraId="3B3C0BB6" w14:textId="2C886636" w:rsidR="009D6BAD" w:rsidRPr="007821DB" w:rsidRDefault="00D827FB" w:rsidP="00D827FB">
            <w:pPr>
              <w:jc w:val="both"/>
              <w:rPr>
                <w:rFonts w:ascii="Times New Roman" w:hAnsi="Times New Roman" w:cs="Times New Roman"/>
              </w:rPr>
            </w:pPr>
            <w:r w:rsidRPr="007821DB">
              <w:rPr>
                <w:rFonts w:ascii="Times New Roman" w:hAnsi="Times New Roman" w:cs="Times New Roman"/>
              </w:rPr>
              <w:t xml:space="preserve">22.2. jei planuojama ūkinė veikla gali turėti poveikį aplinkai ir ji patenka į Lietuvos Respublikos planuojamos ūkinės veiklos poveikio aplinkai vertinimo įstatymo taikymo sritį ir vadovaujantis Planuojamos ūkinės veiklos poveikio aplinkai vertinimo įstatymu yra privaloma atlikti </w:t>
            </w:r>
            <w:r w:rsidRPr="007821DB">
              <w:rPr>
                <w:rFonts w:ascii="Times New Roman" w:hAnsi="Times New Roman" w:cs="Times New Roman"/>
              </w:rPr>
              <w:lastRenderedPageBreak/>
              <w:t>poveikio aplinkai vertinimą, pareiškėjas, iki paraiškos pateikimo įgyvendinančiajai institucijai turi būti parengęs planuojamos ūkinės veiklos poveikio aplinkai vertinimo ataskaitą ir turėti atsakingos institucijos sprendimą dėl planuojamos ūkinės veiklos galimybių ar atrankos išvadą;</w:t>
            </w:r>
          </w:p>
        </w:tc>
        <w:tc>
          <w:tcPr>
            <w:tcW w:w="4394" w:type="dxa"/>
          </w:tcPr>
          <w:p w14:paraId="54D3E56C" w14:textId="77777777" w:rsidR="00D827FB" w:rsidRPr="007821DB" w:rsidRDefault="00D827FB" w:rsidP="00D827FB">
            <w:pPr>
              <w:pStyle w:val="Default"/>
              <w:jc w:val="both"/>
              <w:rPr>
                <w:sz w:val="22"/>
                <w:szCs w:val="22"/>
              </w:rPr>
            </w:pPr>
            <w:r w:rsidRPr="007821DB">
              <w:rPr>
                <w:sz w:val="22"/>
                <w:szCs w:val="22"/>
              </w:rPr>
              <w:lastRenderedPageBreak/>
              <w:t xml:space="preserve">Prašome 22.1-22.2 p. išdėstyti taip: </w:t>
            </w:r>
          </w:p>
          <w:p w14:paraId="601554E5" w14:textId="77777777" w:rsidR="00D827FB" w:rsidRPr="007821DB" w:rsidRDefault="00D827FB" w:rsidP="00D827FB">
            <w:pPr>
              <w:pStyle w:val="Default"/>
              <w:jc w:val="both"/>
              <w:rPr>
                <w:sz w:val="22"/>
                <w:szCs w:val="22"/>
              </w:rPr>
            </w:pPr>
            <w:r w:rsidRPr="007821DB">
              <w:rPr>
                <w:i/>
                <w:iCs/>
                <w:sz w:val="22"/>
                <w:szCs w:val="22"/>
              </w:rPr>
              <w:t xml:space="preserve">„22.1. jei pareiškėjas (partneris) projekto įgyvendinimo metu planuoja vykdyti statybos darbus, jis iki paraiškos pateikimo įgyvendinančiajai institucijai turi būti įgijęs daiktines pareiškėjo </w:t>
            </w:r>
            <w:r w:rsidRPr="007821DB">
              <w:rPr>
                <w:i/>
                <w:iCs/>
                <w:color w:val="0070C0"/>
                <w:sz w:val="22"/>
                <w:szCs w:val="22"/>
              </w:rPr>
              <w:t>(partnerio)</w:t>
            </w:r>
            <w:r w:rsidRPr="007821DB">
              <w:rPr>
                <w:i/>
                <w:iCs/>
                <w:sz w:val="22"/>
                <w:szCs w:val="22"/>
              </w:rPr>
              <w:t xml:space="preserve">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w:t>
            </w:r>
            <w:r w:rsidRPr="007821DB">
              <w:rPr>
                <w:i/>
                <w:iCs/>
                <w:color w:val="0070C0"/>
                <w:sz w:val="22"/>
                <w:szCs w:val="22"/>
              </w:rPr>
              <w:t>(partneris)</w:t>
            </w:r>
            <w:r w:rsidRPr="007821DB">
              <w:rPr>
                <w:i/>
                <w:iCs/>
                <w:sz w:val="22"/>
                <w:szCs w:val="22"/>
              </w:rPr>
              <w:t xml:space="preserve"> turi turėti panaudos davėjo / nuomotojo raštišką sutikimą vykdyti projekto veiklas; </w:t>
            </w:r>
          </w:p>
          <w:p w14:paraId="2D66CE47" w14:textId="77777777" w:rsidR="00D827FB" w:rsidRPr="007821DB" w:rsidRDefault="00D827FB" w:rsidP="00D827FB">
            <w:pPr>
              <w:pStyle w:val="Default"/>
              <w:jc w:val="both"/>
              <w:rPr>
                <w:sz w:val="22"/>
                <w:szCs w:val="22"/>
              </w:rPr>
            </w:pPr>
            <w:r w:rsidRPr="007821DB">
              <w:rPr>
                <w:i/>
                <w:iCs/>
                <w:sz w:val="22"/>
                <w:szCs w:val="22"/>
              </w:rPr>
              <w:t xml:space="preserve">22.2. jei planuojama ūkinė veikla gali turėti poveikį aplinkai ir ji patenka į Lietuvos Respublikos planuojamos ūkinės veiklos poveikio aplinkai vertinimo įstatymo taikymo sritį ir vadovaujantis Planuojamos ūkinės veiklos poveikio aplinkai vertinimo įstatymu yra privaloma atlikti poveikio aplinkai vertinimą, pareiškėjas </w:t>
            </w:r>
            <w:r w:rsidRPr="007821DB">
              <w:rPr>
                <w:i/>
                <w:iCs/>
                <w:color w:val="0070C0"/>
                <w:sz w:val="22"/>
                <w:szCs w:val="22"/>
              </w:rPr>
              <w:t>(partneris)</w:t>
            </w:r>
            <w:r w:rsidRPr="007821DB">
              <w:rPr>
                <w:i/>
                <w:iCs/>
                <w:sz w:val="22"/>
                <w:szCs w:val="22"/>
              </w:rPr>
              <w:t xml:space="preserve">, iki paraiškos pateikimo įgyvendinančiajai institucijai turi būti parengęs planuojamos ūkinės veiklos poveikio aplinkai vertinimo ataskaitą ir turėti atsakingos </w:t>
            </w:r>
            <w:r w:rsidRPr="007821DB">
              <w:rPr>
                <w:i/>
                <w:iCs/>
                <w:sz w:val="22"/>
                <w:szCs w:val="22"/>
              </w:rPr>
              <w:lastRenderedPageBreak/>
              <w:t xml:space="preserve">institucijos sprendimą dėl planuojamos ūkinės veiklos galimybių ar atrankos išvadą;“ </w:t>
            </w:r>
          </w:p>
          <w:p w14:paraId="5C0441A6" w14:textId="77777777" w:rsidR="00D827FB" w:rsidRPr="007821DB" w:rsidRDefault="00D827FB" w:rsidP="00D827FB">
            <w:pPr>
              <w:pStyle w:val="Default"/>
              <w:jc w:val="both"/>
              <w:rPr>
                <w:sz w:val="22"/>
                <w:szCs w:val="22"/>
              </w:rPr>
            </w:pPr>
            <w:r w:rsidRPr="007821DB">
              <w:rPr>
                <w:sz w:val="22"/>
                <w:szCs w:val="22"/>
              </w:rPr>
              <w:t xml:space="preserve">-- </w:t>
            </w:r>
          </w:p>
          <w:p w14:paraId="339B3070" w14:textId="2A575E90" w:rsidR="009D6BAD" w:rsidRPr="007821DB" w:rsidRDefault="00D827FB" w:rsidP="00D827FB">
            <w:pPr>
              <w:pStyle w:val="Komentarotekstas"/>
              <w:rPr>
                <w:sz w:val="22"/>
                <w:szCs w:val="22"/>
              </w:rPr>
            </w:pPr>
            <w:r w:rsidRPr="007821DB">
              <w:rPr>
                <w:sz w:val="22"/>
                <w:szCs w:val="22"/>
              </w:rPr>
              <w:t>22 p. minimas veiklas projekto apimtyje gali vykdyti tiek pareiškėjas, tiek partneris.</w:t>
            </w:r>
          </w:p>
        </w:tc>
        <w:tc>
          <w:tcPr>
            <w:tcW w:w="1559" w:type="dxa"/>
          </w:tcPr>
          <w:p w14:paraId="639E00B1" w14:textId="0F776006" w:rsidR="009D6BAD" w:rsidRPr="007821DB" w:rsidRDefault="008F692B" w:rsidP="00A47D63">
            <w:pPr>
              <w:jc w:val="center"/>
              <w:rPr>
                <w:rFonts w:ascii="Times New Roman" w:hAnsi="Times New Roman" w:cs="Times New Roman"/>
              </w:rPr>
            </w:pPr>
            <w:r w:rsidRPr="007821DB">
              <w:rPr>
                <w:rFonts w:ascii="Times New Roman" w:hAnsi="Times New Roman" w:cs="Times New Roman"/>
              </w:rPr>
              <w:lastRenderedPageBreak/>
              <w:t>Atsižvelgta</w:t>
            </w:r>
          </w:p>
        </w:tc>
        <w:tc>
          <w:tcPr>
            <w:tcW w:w="3792" w:type="dxa"/>
          </w:tcPr>
          <w:p w14:paraId="4F0F7FFA" w14:textId="4A81C8A4" w:rsidR="00177ACF" w:rsidRPr="007821DB" w:rsidRDefault="00177ACF" w:rsidP="00177ACF">
            <w:pPr>
              <w:pStyle w:val="Default"/>
              <w:jc w:val="both"/>
              <w:rPr>
                <w:bCs/>
                <w:sz w:val="22"/>
                <w:szCs w:val="22"/>
                <w:lang w:eastAsia="lt-LT"/>
              </w:rPr>
            </w:pPr>
          </w:p>
        </w:tc>
      </w:tr>
      <w:tr w:rsidR="009D6BAD" w:rsidRPr="007821DB" w14:paraId="6CB5A325" w14:textId="77777777" w:rsidTr="00BA166F">
        <w:tc>
          <w:tcPr>
            <w:tcW w:w="1430" w:type="dxa"/>
          </w:tcPr>
          <w:p w14:paraId="3BFE0C41" w14:textId="724210E6" w:rsidR="009D6BAD"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lastRenderedPageBreak/>
              <w:t>Vilniaus universitetas</w:t>
            </w:r>
          </w:p>
        </w:tc>
        <w:tc>
          <w:tcPr>
            <w:tcW w:w="975" w:type="dxa"/>
          </w:tcPr>
          <w:p w14:paraId="1C28E2AC" w14:textId="77777777" w:rsidR="009D6BAD" w:rsidRPr="007821DB" w:rsidRDefault="00B027B6" w:rsidP="00A47D63">
            <w:pPr>
              <w:jc w:val="center"/>
              <w:rPr>
                <w:rFonts w:ascii="Times New Roman" w:hAnsi="Times New Roman" w:cs="Times New Roman"/>
              </w:rPr>
            </w:pPr>
            <w:r w:rsidRPr="007821DB">
              <w:rPr>
                <w:rFonts w:ascii="Times New Roman" w:hAnsi="Times New Roman" w:cs="Times New Roman"/>
              </w:rPr>
              <w:t>4</w:t>
            </w:r>
          </w:p>
        </w:tc>
        <w:tc>
          <w:tcPr>
            <w:tcW w:w="1843" w:type="dxa"/>
          </w:tcPr>
          <w:p w14:paraId="4CC1A8B6" w14:textId="77777777" w:rsidR="008F692B" w:rsidRPr="007821DB" w:rsidRDefault="008F692B" w:rsidP="008F692B">
            <w:pPr>
              <w:pStyle w:val="Default"/>
              <w:rPr>
                <w:sz w:val="22"/>
                <w:szCs w:val="22"/>
              </w:rPr>
            </w:pPr>
            <w:r w:rsidRPr="007821DB">
              <w:rPr>
                <w:sz w:val="22"/>
                <w:szCs w:val="22"/>
              </w:rPr>
              <w:t>Tinkama finansuoti, išskyrus tikslinių transporto priemonių pirkimo, nuomos ir finansinės nuomos (lizingo) išlaidas.</w:t>
            </w:r>
          </w:p>
          <w:p w14:paraId="17A7AF72" w14:textId="3C7222B6" w:rsidR="009D6BAD" w:rsidRPr="007821DB" w:rsidRDefault="008F692B" w:rsidP="008F692B">
            <w:pPr>
              <w:jc w:val="both"/>
              <w:rPr>
                <w:rFonts w:ascii="Times New Roman" w:hAnsi="Times New Roman" w:cs="Times New Roman"/>
              </w:rPr>
            </w:pPr>
            <w:r w:rsidRPr="007821DB">
              <w:rPr>
                <w:rFonts w:ascii="Times New Roman" w:hAnsi="Times New Roman" w:cs="Times New Roman"/>
              </w:rPr>
              <w:t xml:space="preserve">Projektą vykdančio personalo darbo užmokesčio išlaidoms taikoma kasmetinių atostogų išmokų fiksuotoji norma, vadovaujantis </w:t>
            </w:r>
            <w:r w:rsidRPr="007821DB">
              <w:rPr>
                <w:rFonts w:ascii="Times New Roman" w:hAnsi="Times New Roman" w:cs="Times New Roman"/>
              </w:rPr>
              <w:lastRenderedPageBreak/>
              <w:t>2016 m. sausio 19 d. Lietuvos Respublikos finansų ministerijos patvirtinta Kasmetinių atostogų išmokų fiksuotųjų normų nustatymo tyrimo ataskaita.</w:t>
            </w:r>
          </w:p>
        </w:tc>
        <w:tc>
          <w:tcPr>
            <w:tcW w:w="4394" w:type="dxa"/>
          </w:tcPr>
          <w:p w14:paraId="6EDB892D" w14:textId="77777777" w:rsidR="008F692B" w:rsidRPr="007821DB" w:rsidRDefault="008F692B" w:rsidP="008F692B">
            <w:pPr>
              <w:pStyle w:val="Default"/>
              <w:rPr>
                <w:sz w:val="22"/>
                <w:szCs w:val="22"/>
              </w:rPr>
            </w:pPr>
            <w:r w:rsidRPr="007821DB">
              <w:rPr>
                <w:sz w:val="22"/>
                <w:szCs w:val="22"/>
              </w:rPr>
              <w:lastRenderedPageBreak/>
              <w:t>Tinkama finansuoti, išskyrus tikslinių transporto priemonių pirkimo, nuomos ir finansinės nuomos (lizingo) išlaidas. Išimtis netaikoma mobiliosioms laboratorijoms ir susijusioms tikslinėms transporto</w:t>
            </w:r>
          </w:p>
          <w:p w14:paraId="772A6533" w14:textId="77777777" w:rsidR="008F692B" w:rsidRPr="007821DB" w:rsidRDefault="008F692B" w:rsidP="008F692B">
            <w:pPr>
              <w:pStyle w:val="Default"/>
              <w:rPr>
                <w:sz w:val="22"/>
                <w:szCs w:val="22"/>
              </w:rPr>
            </w:pPr>
            <w:r w:rsidRPr="007821DB">
              <w:rPr>
                <w:sz w:val="22"/>
                <w:szCs w:val="22"/>
              </w:rPr>
              <w:t xml:space="preserve">priemonėms. </w:t>
            </w:r>
          </w:p>
          <w:p w14:paraId="6DB6CFA4" w14:textId="77777777" w:rsidR="009D6BAD" w:rsidRPr="007821DB" w:rsidRDefault="008F692B" w:rsidP="008F692B">
            <w:pPr>
              <w:pStyle w:val="Komentarotekstas"/>
              <w:rPr>
                <w:sz w:val="22"/>
                <w:szCs w:val="22"/>
              </w:rPr>
            </w:pPr>
            <w:r w:rsidRPr="007821DB">
              <w:rPr>
                <w:sz w:val="22"/>
                <w:szCs w:val="22"/>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p w14:paraId="12E0043F" w14:textId="77777777" w:rsidR="008F692B" w:rsidRPr="007821DB" w:rsidRDefault="008F692B" w:rsidP="008F692B">
            <w:pPr>
              <w:pStyle w:val="Default"/>
              <w:jc w:val="both"/>
              <w:rPr>
                <w:sz w:val="22"/>
                <w:szCs w:val="22"/>
              </w:rPr>
            </w:pPr>
          </w:p>
          <w:p w14:paraId="14080622" w14:textId="77777777" w:rsidR="008F692B" w:rsidRPr="007821DB" w:rsidRDefault="008F692B" w:rsidP="008F692B">
            <w:pPr>
              <w:pStyle w:val="Default"/>
              <w:jc w:val="both"/>
              <w:rPr>
                <w:sz w:val="22"/>
                <w:szCs w:val="22"/>
              </w:rPr>
            </w:pPr>
            <w:r w:rsidRPr="007821DB">
              <w:rPr>
                <w:sz w:val="22"/>
                <w:szCs w:val="22"/>
              </w:rPr>
              <w:t xml:space="preserve">Išimties taikymas gali lemti efektyvesnį projekto lėšų panaudojimą. Pavyzdžiui, transportinio šaldiklio, skirto mėginių pergabenimui, įsigijimas galėtų būti alternatyva stacionarios laboratorijos įrengimui šalia </w:t>
            </w:r>
            <w:r w:rsidRPr="007821DB">
              <w:rPr>
                <w:sz w:val="22"/>
                <w:szCs w:val="22"/>
              </w:rPr>
              <w:lastRenderedPageBreak/>
              <w:t xml:space="preserve">mėginių surinkimo vietos, panaudojant jau turimas patalpas. Taigi, neturint galimybių įsigyti atitinkamų tikslinių transporto priemonių gali atsirasti būtinybė dubliuoti įrangą ir (arba) vykdyti statybos darbus, pritaikant patalpas laboratorijų reikmėms. </w:t>
            </w:r>
          </w:p>
          <w:p w14:paraId="537A49BF" w14:textId="30795E6C" w:rsidR="008F692B" w:rsidRPr="007821DB" w:rsidRDefault="008F692B" w:rsidP="008F692B">
            <w:pPr>
              <w:pStyle w:val="Komentarotekstas"/>
              <w:rPr>
                <w:sz w:val="22"/>
                <w:szCs w:val="22"/>
              </w:rPr>
            </w:pPr>
          </w:p>
        </w:tc>
        <w:tc>
          <w:tcPr>
            <w:tcW w:w="1559" w:type="dxa"/>
          </w:tcPr>
          <w:p w14:paraId="156BFC5B" w14:textId="370F99B6" w:rsidR="009D6BAD" w:rsidRPr="007821DB" w:rsidRDefault="008F692B" w:rsidP="00A47D63">
            <w:pPr>
              <w:jc w:val="center"/>
              <w:rPr>
                <w:rFonts w:ascii="Times New Roman" w:hAnsi="Times New Roman" w:cs="Times New Roman"/>
              </w:rPr>
            </w:pPr>
            <w:r w:rsidRPr="007821DB">
              <w:rPr>
                <w:rFonts w:ascii="Times New Roman" w:hAnsi="Times New Roman" w:cs="Times New Roman"/>
              </w:rPr>
              <w:lastRenderedPageBreak/>
              <w:t>Neatsižvelgta</w:t>
            </w:r>
          </w:p>
        </w:tc>
        <w:tc>
          <w:tcPr>
            <w:tcW w:w="3792" w:type="dxa"/>
          </w:tcPr>
          <w:p w14:paraId="25EF7060" w14:textId="3EF6FD96" w:rsidR="008F692B" w:rsidRPr="007821DB" w:rsidRDefault="008F692B" w:rsidP="008F692B">
            <w:pPr>
              <w:pStyle w:val="Komentarotekstas"/>
              <w:rPr>
                <w:sz w:val="22"/>
                <w:szCs w:val="22"/>
              </w:rPr>
            </w:pPr>
            <w:r w:rsidRPr="007821DB">
              <w:rPr>
                <w:color w:val="000000"/>
                <w:sz w:val="22"/>
                <w:szCs w:val="22"/>
              </w:rPr>
              <w:t xml:space="preserve">ES lėšomis gali būti finansuojamos tik projekto įgyvendinimui būtinos išlaidos. </w:t>
            </w:r>
            <w:r w:rsidR="008C4222" w:rsidRPr="007821DB">
              <w:rPr>
                <w:color w:val="000000"/>
                <w:sz w:val="22"/>
                <w:szCs w:val="22"/>
              </w:rPr>
              <w:t>Manome, kad</w:t>
            </w:r>
            <w:r w:rsidRPr="007821DB">
              <w:rPr>
                <w:color w:val="000000"/>
                <w:sz w:val="22"/>
                <w:szCs w:val="22"/>
              </w:rPr>
              <w:t xml:space="preserve"> mobilios laboratorijos bei kt. ti</w:t>
            </w:r>
            <w:r w:rsidR="008C4222" w:rsidRPr="007821DB">
              <w:rPr>
                <w:color w:val="000000"/>
                <w:sz w:val="22"/>
                <w:szCs w:val="22"/>
              </w:rPr>
              <w:t>kslinės transporto priemonės nėra</w:t>
            </w:r>
            <w:r w:rsidRPr="007821DB">
              <w:rPr>
                <w:color w:val="000000"/>
                <w:sz w:val="22"/>
                <w:szCs w:val="22"/>
              </w:rPr>
              <w:t xml:space="preserve"> būtinos priemonės tikslui pasiekti ir jų įsigijimas </w:t>
            </w:r>
            <w:r w:rsidR="008C4222" w:rsidRPr="007821DB">
              <w:rPr>
                <w:color w:val="000000"/>
                <w:sz w:val="22"/>
                <w:szCs w:val="22"/>
              </w:rPr>
              <w:t xml:space="preserve">nėra </w:t>
            </w:r>
            <w:r w:rsidRPr="007821DB">
              <w:rPr>
                <w:color w:val="000000"/>
                <w:sz w:val="22"/>
                <w:szCs w:val="22"/>
              </w:rPr>
              <w:t>būtinas įsijungimui į tarptautines MTEPI infrastruktūras.</w:t>
            </w:r>
          </w:p>
          <w:p w14:paraId="6ABCEBF9" w14:textId="113AD20F" w:rsidR="009D6BAD" w:rsidRPr="007821DB" w:rsidRDefault="009D6BAD" w:rsidP="00CD383E">
            <w:pPr>
              <w:pStyle w:val="Default"/>
              <w:jc w:val="both"/>
              <w:rPr>
                <w:bCs/>
                <w:sz w:val="22"/>
                <w:szCs w:val="22"/>
                <w:lang w:eastAsia="lt-LT"/>
              </w:rPr>
            </w:pPr>
          </w:p>
        </w:tc>
      </w:tr>
      <w:tr w:rsidR="00B027B6" w:rsidRPr="007821DB" w14:paraId="3B0CFDD4" w14:textId="77777777" w:rsidTr="00BA166F">
        <w:tc>
          <w:tcPr>
            <w:tcW w:w="1430" w:type="dxa"/>
          </w:tcPr>
          <w:p w14:paraId="0F40ADAB" w14:textId="6B8F3F83" w:rsidR="00B027B6"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3F5329E6" w14:textId="77777777" w:rsidR="00B027B6" w:rsidRPr="007821DB" w:rsidRDefault="00B027B6" w:rsidP="00A47D63">
            <w:pPr>
              <w:jc w:val="center"/>
              <w:rPr>
                <w:rFonts w:ascii="Times New Roman" w:hAnsi="Times New Roman" w:cs="Times New Roman"/>
              </w:rPr>
            </w:pPr>
            <w:r w:rsidRPr="007821DB">
              <w:rPr>
                <w:rFonts w:ascii="Times New Roman" w:hAnsi="Times New Roman" w:cs="Times New Roman"/>
              </w:rPr>
              <w:t>5</w:t>
            </w:r>
          </w:p>
        </w:tc>
        <w:tc>
          <w:tcPr>
            <w:tcW w:w="1843" w:type="dxa"/>
          </w:tcPr>
          <w:p w14:paraId="747B3FE8" w14:textId="3DAA3F41" w:rsidR="00B027B6" w:rsidRPr="007821DB" w:rsidRDefault="008C4222" w:rsidP="008C4222">
            <w:pPr>
              <w:spacing w:after="0" w:line="240" w:lineRule="auto"/>
              <w:jc w:val="both"/>
              <w:rPr>
                <w:rFonts w:ascii="Times New Roman" w:hAnsi="Times New Roman" w:cs="Times New Roman"/>
              </w:rPr>
            </w:pPr>
            <w:r w:rsidRPr="007821DB">
              <w:rPr>
                <w:rFonts w:ascii="Times New Roman" w:hAnsi="Times New Roman" w:cs="Times New Roman"/>
              </w:rPr>
              <w:t>Tinkamos finansuoti tik įsijungimo į tarptautines mokslinių tyrimų infrastruktūras ir dalyvio mokesčio iki 2022 metų išlaidos.</w:t>
            </w:r>
          </w:p>
        </w:tc>
        <w:tc>
          <w:tcPr>
            <w:tcW w:w="4394" w:type="dxa"/>
          </w:tcPr>
          <w:p w14:paraId="34B5912B" w14:textId="77777777" w:rsidR="00B027B6" w:rsidRPr="007821DB" w:rsidRDefault="008C4222" w:rsidP="00B027B6">
            <w:pPr>
              <w:pStyle w:val="Komentarotekstas"/>
              <w:rPr>
                <w:sz w:val="22"/>
                <w:szCs w:val="22"/>
              </w:rPr>
            </w:pPr>
            <w:r w:rsidRPr="007821DB">
              <w:rPr>
                <w:sz w:val="22"/>
                <w:szCs w:val="22"/>
              </w:rPr>
              <w:t>Tinkamos finansuoti tik įsijungimo į tarptautines mokslinių tyrimų infrastruktūras (tyrimų ir kitos įsijungimui į tarptautines mokslinių tyrimų infrastruktūras būtinos paslaugos) ir dalyvio (įsijungimo , narystės, tame tarpe stebėtojo teisėmis, ir kitos dalyvavimo tarptautinėje MTI formos) mokesčio iki 2022 metų išlaidos.</w:t>
            </w:r>
          </w:p>
          <w:p w14:paraId="348EF7F0" w14:textId="77777777" w:rsidR="008C4222" w:rsidRPr="007821DB" w:rsidRDefault="008C4222" w:rsidP="00B027B6">
            <w:pPr>
              <w:pStyle w:val="Komentarotekstas"/>
              <w:rPr>
                <w:sz w:val="22"/>
                <w:szCs w:val="22"/>
              </w:rPr>
            </w:pPr>
          </w:p>
          <w:p w14:paraId="51A1DA49" w14:textId="77777777" w:rsidR="008C4222" w:rsidRPr="007821DB" w:rsidRDefault="008C4222" w:rsidP="008C4222">
            <w:pPr>
              <w:pStyle w:val="Default"/>
              <w:jc w:val="both"/>
              <w:rPr>
                <w:sz w:val="22"/>
                <w:szCs w:val="22"/>
              </w:rPr>
            </w:pPr>
            <w:r w:rsidRPr="007821DB">
              <w:rPr>
                <w:color w:val="auto"/>
                <w:sz w:val="22"/>
                <w:szCs w:val="22"/>
              </w:rPr>
              <w:t xml:space="preserve">Tam tikros paslaugos yra būtinos, siekiant priemonės stebėsenos rodiklių. Pavyzdžiui, viena iš būtinų sąlygų įsijungti į tarptautinę MTI (reikalavimų, kad taptume tarptautinės MTI nariais, kuris apibrėžtas MTI statute) gali būti bendros visoms šalims, dalyvaujančioms MTI veiklose tyrimo priemonės sukūrimas, jos tobulinimas ir šios priemonės išbandymas/testavimas, t.y. - tyrimo įsigijimas. Dalyvavimo tarptautinėje mokslinių tyrimų infrastruktūroje formos gali būti įvairios – įsijungimas, narystė, kt. – arba pasiekiamas etapais – iš pradžių stebėtojo, po to  </w:t>
            </w:r>
            <w:r w:rsidRPr="007821DB">
              <w:rPr>
                <w:sz w:val="22"/>
                <w:szCs w:val="22"/>
              </w:rPr>
              <w:t xml:space="preserve">tikrojo nario statusu ir pan. </w:t>
            </w:r>
          </w:p>
          <w:p w14:paraId="05045B5E" w14:textId="31B6893B" w:rsidR="008C4222" w:rsidRPr="007821DB" w:rsidRDefault="008C4222" w:rsidP="00B027B6">
            <w:pPr>
              <w:pStyle w:val="Komentarotekstas"/>
              <w:rPr>
                <w:sz w:val="22"/>
                <w:szCs w:val="22"/>
              </w:rPr>
            </w:pPr>
          </w:p>
        </w:tc>
        <w:tc>
          <w:tcPr>
            <w:tcW w:w="1559" w:type="dxa"/>
          </w:tcPr>
          <w:p w14:paraId="1331DD33" w14:textId="1444F69D" w:rsidR="00B027B6" w:rsidRPr="007821DB" w:rsidRDefault="008C4222" w:rsidP="00A47D63">
            <w:pPr>
              <w:jc w:val="center"/>
              <w:rPr>
                <w:rFonts w:ascii="Times New Roman" w:hAnsi="Times New Roman" w:cs="Times New Roman"/>
              </w:rPr>
            </w:pPr>
            <w:r w:rsidRPr="007821DB">
              <w:rPr>
                <w:rFonts w:ascii="Times New Roman" w:hAnsi="Times New Roman" w:cs="Times New Roman"/>
              </w:rPr>
              <w:t>Neatsižvelgta</w:t>
            </w:r>
          </w:p>
        </w:tc>
        <w:tc>
          <w:tcPr>
            <w:tcW w:w="3792" w:type="dxa"/>
          </w:tcPr>
          <w:p w14:paraId="7B5202DE" w14:textId="77777777" w:rsidR="008C4222" w:rsidRPr="007821DB" w:rsidRDefault="008C4222" w:rsidP="008C4222">
            <w:pPr>
              <w:pStyle w:val="Komentarotekstas"/>
              <w:rPr>
                <w:sz w:val="22"/>
                <w:szCs w:val="22"/>
              </w:rPr>
            </w:pPr>
            <w:r w:rsidRPr="007821DB">
              <w:rPr>
                <w:color w:val="000000"/>
                <w:sz w:val="22"/>
                <w:szCs w:val="22"/>
              </w:rPr>
              <w:t>Nepagrįsta pastaba, nes nepateikiama jokių įrodymų, kad įsijungimui į tarptautines infrastruktūras būtina atlikti tyrimus ar įsigyti kitas paslaugas). Minkštosios MTEP veiklos finansuojamos LR ūkio ministerijos priemonės "Bendri mokslo-verslo projektai" bei LMT, MITA ir kt. priemonių lėšomis. Šio PFSA lėšomis remiama veikla - įsijungimas į tarptautines mokslinių tyrimų infrastruktūras (ESFRI) bei atviros prieigos MTEP infrastruktūros, kuri reikalinga įsijungimui į tarptautines mokslinių tyrimų infrastruktūras (ESFRI), atnaujinimas ir kūrimas.</w:t>
            </w:r>
          </w:p>
          <w:p w14:paraId="7AFF9BE8" w14:textId="373C6AEE" w:rsidR="00B027B6" w:rsidRPr="007821DB" w:rsidRDefault="00B027B6" w:rsidP="00B027B6">
            <w:pPr>
              <w:pStyle w:val="Default"/>
              <w:jc w:val="both"/>
              <w:rPr>
                <w:bCs/>
                <w:sz w:val="22"/>
                <w:szCs w:val="22"/>
                <w:lang w:eastAsia="lt-LT"/>
              </w:rPr>
            </w:pPr>
          </w:p>
        </w:tc>
      </w:tr>
      <w:tr w:rsidR="008C4222" w:rsidRPr="007821DB" w14:paraId="762AA1B6" w14:textId="77777777" w:rsidTr="00BA166F">
        <w:tc>
          <w:tcPr>
            <w:tcW w:w="1430" w:type="dxa"/>
          </w:tcPr>
          <w:p w14:paraId="2493AA5C" w14:textId="71847D72" w:rsidR="008C4222"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4FFB62F0" w14:textId="5C8AC2DE" w:rsidR="008C4222" w:rsidRPr="007821DB" w:rsidRDefault="008C4222" w:rsidP="00A47D63">
            <w:pPr>
              <w:jc w:val="center"/>
              <w:rPr>
                <w:rFonts w:ascii="Times New Roman" w:hAnsi="Times New Roman" w:cs="Times New Roman"/>
              </w:rPr>
            </w:pPr>
            <w:r w:rsidRPr="007821DB">
              <w:rPr>
                <w:rFonts w:ascii="Times New Roman" w:hAnsi="Times New Roman" w:cs="Times New Roman"/>
              </w:rPr>
              <w:t>6</w:t>
            </w:r>
          </w:p>
        </w:tc>
        <w:tc>
          <w:tcPr>
            <w:tcW w:w="1843" w:type="dxa"/>
          </w:tcPr>
          <w:p w14:paraId="00C91C9D" w14:textId="7457DB4D" w:rsidR="008C4222" w:rsidRPr="007821DB" w:rsidRDefault="008C4222" w:rsidP="008C4222">
            <w:pPr>
              <w:spacing w:after="0" w:line="240" w:lineRule="auto"/>
              <w:jc w:val="both"/>
              <w:rPr>
                <w:rFonts w:ascii="Times New Roman" w:hAnsi="Times New Roman" w:cs="Times New Roman"/>
              </w:rPr>
            </w:pPr>
            <w:r w:rsidRPr="007821DB">
              <w:rPr>
                <w:rFonts w:ascii="Times New Roman" w:hAnsi="Times New Roman" w:cs="Times New Roman"/>
              </w:rPr>
              <w:t>Projekto vykdymas</w:t>
            </w:r>
            <w:r w:rsidRPr="007821DB">
              <w:rPr>
                <w:rFonts w:ascii="Times New Roman" w:hAnsi="Times New Roman" w:cs="Times New Roman"/>
              </w:rPr>
              <w:t xml:space="preserve"> </w:t>
            </w:r>
            <w:r w:rsidRPr="007821DB">
              <w:rPr>
                <w:rFonts w:ascii="Times New Roman" w:hAnsi="Times New Roman" w:cs="Times New Roman"/>
              </w:rPr>
              <w:t xml:space="preserve">Tinkamos </w:t>
            </w:r>
            <w:r w:rsidRPr="007821DB">
              <w:rPr>
                <w:rFonts w:ascii="Times New Roman" w:hAnsi="Times New Roman" w:cs="Times New Roman"/>
              </w:rPr>
              <w:lastRenderedPageBreak/>
              <w:t>finansuoti išlaidos:</w:t>
            </w:r>
          </w:p>
          <w:p w14:paraId="3E5B6B3B" w14:textId="77777777" w:rsidR="008C4222" w:rsidRPr="007821DB" w:rsidRDefault="008C4222" w:rsidP="008C4222">
            <w:pPr>
              <w:spacing w:after="0" w:line="240" w:lineRule="auto"/>
              <w:jc w:val="both"/>
              <w:rPr>
                <w:rFonts w:ascii="Times New Roman" w:hAnsi="Times New Roman" w:cs="Times New Roman"/>
              </w:rPr>
            </w:pPr>
            <w:r w:rsidRPr="007821DB">
              <w:rPr>
                <w:rFonts w:ascii="Times New Roman" w:hAnsi="Times New Roman" w:cs="Times New Roman"/>
              </w:rPr>
              <w:t xml:space="preserve">-investicinio projekto parengimo išlaidos;. </w:t>
            </w:r>
          </w:p>
          <w:p w14:paraId="7A0F7104" w14:textId="542D991D" w:rsidR="008C4222" w:rsidRPr="007821DB" w:rsidRDefault="008C4222" w:rsidP="008C4222">
            <w:pPr>
              <w:spacing w:after="0" w:line="240" w:lineRule="auto"/>
              <w:jc w:val="both"/>
              <w:rPr>
                <w:rFonts w:ascii="Times New Roman" w:hAnsi="Times New Roman" w:cs="Times New Roman"/>
              </w:rPr>
            </w:pPr>
            <w:r w:rsidRPr="007821DB">
              <w:rPr>
                <w:rFonts w:ascii="Times New Roman" w:hAnsi="Times New Roman" w:cs="Times New Roman"/>
              </w:rPr>
              <w:t>- įsijungimo į tarptautines mokslinių tyrimų infrastruktūras (ESFRI) ir dalyvavimo jose (dalyvio mokesčio) tik projekto įgyvendinimo laikotarpiu išlaidos.</w:t>
            </w:r>
          </w:p>
        </w:tc>
        <w:tc>
          <w:tcPr>
            <w:tcW w:w="4394" w:type="dxa"/>
          </w:tcPr>
          <w:p w14:paraId="23313FE4" w14:textId="77777777" w:rsidR="008C4222" w:rsidRPr="007821DB" w:rsidRDefault="008C4222" w:rsidP="008C4222">
            <w:pPr>
              <w:pStyle w:val="Default"/>
              <w:rPr>
                <w:sz w:val="22"/>
                <w:szCs w:val="22"/>
              </w:rPr>
            </w:pPr>
            <w:r w:rsidRPr="007821DB">
              <w:rPr>
                <w:sz w:val="22"/>
                <w:szCs w:val="22"/>
              </w:rPr>
              <w:lastRenderedPageBreak/>
              <w:t>Tinkamos finansuoti išlaidos:</w:t>
            </w:r>
          </w:p>
          <w:p w14:paraId="336CC461" w14:textId="77777777" w:rsidR="008C4222" w:rsidRPr="007821DB" w:rsidRDefault="008C4222" w:rsidP="008C4222">
            <w:pPr>
              <w:pStyle w:val="Default"/>
              <w:rPr>
                <w:sz w:val="22"/>
                <w:szCs w:val="22"/>
              </w:rPr>
            </w:pPr>
            <w:r w:rsidRPr="007821DB">
              <w:rPr>
                <w:sz w:val="22"/>
                <w:szCs w:val="22"/>
              </w:rPr>
              <w:t xml:space="preserve">- projektą vykdančio personalo darbo užmokesčio ir atlygio projektą vykdantiems </w:t>
            </w:r>
            <w:r w:rsidRPr="007821DB">
              <w:rPr>
                <w:sz w:val="22"/>
                <w:szCs w:val="22"/>
              </w:rPr>
              <w:lastRenderedPageBreak/>
              <w:t>fiziniams asmenims pagal paslaugų (civilines), autorines ar kitas sutartis išlaidos;</w:t>
            </w:r>
          </w:p>
          <w:p w14:paraId="6EB679B4" w14:textId="77777777" w:rsidR="008C4222" w:rsidRPr="007821DB" w:rsidRDefault="008C4222" w:rsidP="008C4222">
            <w:pPr>
              <w:pStyle w:val="Default"/>
              <w:rPr>
                <w:sz w:val="22"/>
                <w:szCs w:val="22"/>
              </w:rPr>
            </w:pPr>
            <w:r w:rsidRPr="007821DB">
              <w:rPr>
                <w:sz w:val="22"/>
                <w:szCs w:val="22"/>
              </w:rPr>
              <w:t>- projektą vykdančio personalo komandiruočių, kelionių ar stažuočių išlaidos;</w:t>
            </w:r>
          </w:p>
          <w:p w14:paraId="6967DEA2" w14:textId="77777777" w:rsidR="008C4222" w:rsidRPr="007821DB" w:rsidRDefault="008C4222" w:rsidP="008C4222">
            <w:pPr>
              <w:pStyle w:val="Default"/>
              <w:rPr>
                <w:sz w:val="22"/>
                <w:szCs w:val="22"/>
              </w:rPr>
            </w:pPr>
            <w:r w:rsidRPr="007821DB">
              <w:rPr>
                <w:sz w:val="22"/>
                <w:szCs w:val="22"/>
              </w:rPr>
              <w:t>- svečių iš užsienio kelionių ir apgyvendinimo išlaidos;</w:t>
            </w:r>
          </w:p>
          <w:p w14:paraId="50D4CA96" w14:textId="77777777" w:rsidR="008C4222" w:rsidRPr="007821DB" w:rsidRDefault="008C4222" w:rsidP="008C4222">
            <w:pPr>
              <w:pStyle w:val="Default"/>
              <w:rPr>
                <w:sz w:val="22"/>
                <w:szCs w:val="22"/>
              </w:rPr>
            </w:pPr>
            <w:r w:rsidRPr="007821DB">
              <w:rPr>
                <w:sz w:val="22"/>
                <w:szCs w:val="22"/>
              </w:rPr>
              <w:t>- investicinio projekto parengimo išlaidos. Paraiškos ir projektinio pasiūlymo parengimo (pildymo) išlaidos netinkamos finansuoti;</w:t>
            </w:r>
          </w:p>
          <w:p w14:paraId="0E6CBF40" w14:textId="77777777" w:rsidR="008C4222" w:rsidRPr="007821DB" w:rsidRDefault="008C4222" w:rsidP="008C4222">
            <w:pPr>
              <w:pStyle w:val="Default"/>
              <w:rPr>
                <w:sz w:val="22"/>
                <w:szCs w:val="22"/>
              </w:rPr>
            </w:pPr>
            <w:r w:rsidRPr="007821DB">
              <w:rPr>
                <w:sz w:val="22"/>
                <w:szCs w:val="22"/>
              </w:rPr>
              <w:t>- galimybių studijos, tyrimų, metodikų rengimo; mokymų organizavimo ir vykdymo išlaidos;</w:t>
            </w:r>
          </w:p>
          <w:p w14:paraId="7CF1BD28" w14:textId="77777777" w:rsidR="008C4222" w:rsidRPr="007821DB" w:rsidRDefault="008C4222" w:rsidP="008C4222">
            <w:pPr>
              <w:pStyle w:val="Default"/>
              <w:rPr>
                <w:sz w:val="22"/>
                <w:szCs w:val="22"/>
              </w:rPr>
            </w:pPr>
            <w:r w:rsidRPr="007821DB">
              <w:rPr>
                <w:sz w:val="22"/>
                <w:szCs w:val="22"/>
              </w:rPr>
              <w:t>- trumpalaikio turto, išskyrus trumpalaikiam turtui priskiriamus baldus, įrangą ir įrenginius, pirkimo ir nuomos išlaidos, įrangos nuomos išlaidos;</w:t>
            </w:r>
          </w:p>
          <w:p w14:paraId="60F2AF99" w14:textId="77777777" w:rsidR="008C4222" w:rsidRPr="007821DB" w:rsidRDefault="008C4222" w:rsidP="008C4222">
            <w:pPr>
              <w:pStyle w:val="Default"/>
              <w:rPr>
                <w:sz w:val="22"/>
                <w:szCs w:val="22"/>
              </w:rPr>
            </w:pPr>
            <w:r w:rsidRPr="007821DB">
              <w:rPr>
                <w:sz w:val="22"/>
                <w:szCs w:val="22"/>
              </w:rPr>
              <w:t>- kitos projekto veikloms įvykdyti būtinos išlaidos.</w:t>
            </w:r>
          </w:p>
          <w:p w14:paraId="714828EF" w14:textId="77777777" w:rsidR="008C4222" w:rsidRPr="007821DB" w:rsidRDefault="008C4222" w:rsidP="008C4222">
            <w:pPr>
              <w:pStyle w:val="Komentarotekstas"/>
              <w:rPr>
                <w:sz w:val="22"/>
                <w:szCs w:val="22"/>
              </w:rPr>
            </w:pPr>
            <w:r w:rsidRPr="007821DB">
              <w:rPr>
                <w:sz w:val="22"/>
                <w:szCs w:val="22"/>
              </w:rPr>
              <w:t>Projektą vykdančio personalo darbo užmokesčio išlaidoms taikoma kasmetinių atostogų išmokų fiksuotoji norma, vadovaujantis 2016 m. sausio 19 d.Lietuvos Respublikos finansų ministerijos patvirtinta Kasmetinių atostogų išmokų fiksuotųjų normų nustatymo tyrimo ataskaita.</w:t>
            </w:r>
          </w:p>
          <w:p w14:paraId="25C7482A" w14:textId="77777777" w:rsidR="00A22B6C" w:rsidRPr="007821DB" w:rsidRDefault="00A22B6C" w:rsidP="00A22B6C">
            <w:pPr>
              <w:pStyle w:val="Default"/>
              <w:jc w:val="both"/>
              <w:rPr>
                <w:color w:val="auto"/>
                <w:sz w:val="22"/>
                <w:szCs w:val="22"/>
              </w:rPr>
            </w:pPr>
            <w:r w:rsidRPr="007821DB">
              <w:rPr>
                <w:color w:val="auto"/>
                <w:sz w:val="22"/>
                <w:szCs w:val="22"/>
              </w:rPr>
              <w:t xml:space="preserve">Lietuvos MTEPI infrastruktūrų integracijos į tarptautines mokslinių tyrimų infrastruktūras (ESFRI) veikla yra nukreipta į bendradarbiavimo tarptautinėse infrastruktūrose vystymą. Taigi, būtina ne tik sukurti Lietuvoje tarptautinio lygio MTEPI bazę, tačiau ir sudaryti sąlygas šios bazės įveiklinimui, nes būtent veiklos pagrindu bus įsitraukiama į tarptautinius tinklus ir bendradarbiaujama Lietuvai aktualių tarptautinių infrastruktūrų erdvėje. Vykdant tam tikrus 2016-05-26 LR Švietimo ir mokslo ministro įsakymu V-490 patvirtinto „Lietuvos Respublikos švietimo ir mokslo ministerijos administruojamų aukštojo mokslo ir mokslinių tyrimų ir eksperimentinės (socialinės, </w:t>
            </w:r>
            <w:r w:rsidRPr="007821DB">
              <w:rPr>
                <w:color w:val="auto"/>
                <w:sz w:val="22"/>
                <w:szCs w:val="22"/>
              </w:rPr>
              <w:lastRenderedPageBreak/>
              <w:t xml:space="preserve">kultūrinės) plėtros politikos priemonių, </w:t>
            </w:r>
            <w:r w:rsidRPr="007821DB">
              <w:rPr>
                <w:sz w:val="22"/>
                <w:szCs w:val="22"/>
              </w:rPr>
              <w:t xml:space="preserve">prisidedančių prie prioritetinių mokslinių tyrimų ir eksperimentinės (socialinės, kultūrinės) plėtros ir inovacijų raidos (sumanios specializacijos) krypčių plėtojimo, jų prioritetų ir susijusių priemonių įgyvendinimo bendrąjį veiksmų plano“ 1 priedo 4.5.1 - 4.5.18 papunkčiuose nurodytus projektus, svarbu ne tik sukurti infrastruktūrą, įsigyti priemones, tačiau taip pat ir sukurti efektyviai funkcionuojančius procesus (pvz., mėginių surinkimo, ėminių ir informacijos kaupimo, apdorojimo ir paruošimo tyrėjams ne tik Lietuvos, bet ir tarptautiniu mastu). </w:t>
            </w:r>
          </w:p>
          <w:p w14:paraId="3D6FB2DF" w14:textId="6928406F" w:rsidR="00A22B6C" w:rsidRPr="007821DB" w:rsidRDefault="00A22B6C" w:rsidP="00A22B6C">
            <w:pPr>
              <w:pStyle w:val="Komentarotekstas"/>
              <w:rPr>
                <w:sz w:val="22"/>
                <w:szCs w:val="22"/>
              </w:rPr>
            </w:pPr>
            <w:r w:rsidRPr="007821DB">
              <w:rPr>
                <w:sz w:val="22"/>
                <w:szCs w:val="22"/>
              </w:rPr>
              <w:t>Todėl prašome išplėsti tinkamų išlaidų sąrašą.</w:t>
            </w:r>
          </w:p>
        </w:tc>
        <w:tc>
          <w:tcPr>
            <w:tcW w:w="1559" w:type="dxa"/>
          </w:tcPr>
          <w:p w14:paraId="012DD7C7" w14:textId="7427D708" w:rsidR="008C4222" w:rsidRPr="007821DB" w:rsidRDefault="00A22B6C" w:rsidP="00A47D63">
            <w:pPr>
              <w:jc w:val="center"/>
              <w:rPr>
                <w:rFonts w:ascii="Times New Roman" w:hAnsi="Times New Roman" w:cs="Times New Roman"/>
              </w:rPr>
            </w:pPr>
            <w:r w:rsidRPr="007821DB">
              <w:rPr>
                <w:rFonts w:ascii="Times New Roman" w:hAnsi="Times New Roman" w:cs="Times New Roman"/>
              </w:rPr>
              <w:lastRenderedPageBreak/>
              <w:t>Neatsižvelgta</w:t>
            </w:r>
          </w:p>
        </w:tc>
        <w:tc>
          <w:tcPr>
            <w:tcW w:w="3792" w:type="dxa"/>
          </w:tcPr>
          <w:p w14:paraId="1F8CB5D1" w14:textId="23548FF4" w:rsidR="00A22B6C" w:rsidRPr="007821DB" w:rsidRDefault="00A22B6C" w:rsidP="00A22B6C">
            <w:pPr>
              <w:pStyle w:val="Komentarotekstas"/>
              <w:rPr>
                <w:color w:val="000000"/>
                <w:sz w:val="22"/>
                <w:szCs w:val="22"/>
              </w:rPr>
            </w:pPr>
            <w:r w:rsidRPr="007821DB">
              <w:rPr>
                <w:color w:val="000000"/>
                <w:sz w:val="22"/>
                <w:szCs w:val="22"/>
              </w:rPr>
              <w:t xml:space="preserve">Priemonė skirta MTEPI infrastruktūros plėtrai ir jos integracijai į tarptautines infrastruktūras, todėl </w:t>
            </w:r>
            <w:r w:rsidRPr="007821DB">
              <w:rPr>
                <w:color w:val="000000"/>
                <w:sz w:val="22"/>
                <w:szCs w:val="22"/>
              </w:rPr>
              <w:t>netikslinga</w:t>
            </w:r>
            <w:r w:rsidRPr="007821DB">
              <w:rPr>
                <w:color w:val="000000"/>
                <w:sz w:val="22"/>
                <w:szCs w:val="22"/>
              </w:rPr>
              <w:t xml:space="preserve"> priemonės lėšas  naudoti </w:t>
            </w:r>
            <w:r w:rsidRPr="007821DB">
              <w:rPr>
                <w:color w:val="000000"/>
                <w:sz w:val="22"/>
                <w:szCs w:val="22"/>
              </w:rPr>
              <w:lastRenderedPageBreak/>
              <w:t xml:space="preserve">papildomoms minkštosioms veikloms (darbo užmokesčiui, kelionėms ir pan.). Bet kokiu atveju, priemonės lėšomis gali būti finansuojamos tik tokių veiklų, kurios būtinos projekto tikslui - integruoti į tarptautines infrastruktūras, pasiekti. Iš pateiktos lakoniškos pastabos nėra aišku, kurių darbuotojų ir kaip darbo užmokesčio išlaidos galėtų įtakoti pareiškėjo galimybes įsijungti į tam tikrą tarptautinę infrastruktūrą. Trumpalaikio turto atveju, pastaba nepagrįsta, nes trumpalaikiu turtu laikomas mažiau negu 1 m. tarnaujantis mažavertis turtas, kurio įsigijimas tikėtina nėra privalomas reikalavimas įsijungiant į tarptautinę MTEPI infrastruktūrą. </w:t>
            </w:r>
          </w:p>
          <w:p w14:paraId="650720A0" w14:textId="7E233D8F" w:rsidR="00A22B6C" w:rsidRPr="007821DB" w:rsidRDefault="00A22B6C" w:rsidP="00A22B6C">
            <w:pPr>
              <w:pStyle w:val="Komentarotekstas"/>
              <w:rPr>
                <w:sz w:val="22"/>
                <w:szCs w:val="22"/>
              </w:rPr>
            </w:pPr>
            <w:r w:rsidRPr="007821DB">
              <w:rPr>
                <w:color w:val="000000"/>
                <w:sz w:val="22"/>
                <w:szCs w:val="22"/>
              </w:rPr>
              <w:t>Galimybių studijos, tyrimai ir metodikos galimi finansuoti tik per kryžminį finansavimą, kuris šio PFSA atveju nebus taikomas</w:t>
            </w:r>
          </w:p>
          <w:p w14:paraId="56BB9AB3" w14:textId="77777777" w:rsidR="008C4222" w:rsidRPr="007821DB" w:rsidRDefault="008C4222" w:rsidP="008C4222">
            <w:pPr>
              <w:pStyle w:val="Komentarotekstas"/>
              <w:rPr>
                <w:color w:val="000000"/>
                <w:sz w:val="22"/>
                <w:szCs w:val="22"/>
              </w:rPr>
            </w:pPr>
          </w:p>
        </w:tc>
      </w:tr>
      <w:tr w:rsidR="00A22B6C" w:rsidRPr="007821DB" w14:paraId="71885EF8" w14:textId="77777777" w:rsidTr="00BA166F">
        <w:tc>
          <w:tcPr>
            <w:tcW w:w="1430" w:type="dxa"/>
          </w:tcPr>
          <w:p w14:paraId="7EDF1CAE" w14:textId="02CD7E2C" w:rsidR="00A22B6C"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lastRenderedPageBreak/>
              <w:t>Vilniaus universitetas</w:t>
            </w:r>
          </w:p>
        </w:tc>
        <w:tc>
          <w:tcPr>
            <w:tcW w:w="975" w:type="dxa"/>
          </w:tcPr>
          <w:p w14:paraId="505C4974" w14:textId="17B03134" w:rsidR="00A22B6C" w:rsidRPr="007821DB" w:rsidRDefault="00A22B6C" w:rsidP="00A47D63">
            <w:pPr>
              <w:jc w:val="center"/>
              <w:rPr>
                <w:rFonts w:ascii="Times New Roman" w:hAnsi="Times New Roman" w:cs="Times New Roman"/>
              </w:rPr>
            </w:pPr>
            <w:r w:rsidRPr="007821DB">
              <w:rPr>
                <w:rFonts w:ascii="Times New Roman" w:hAnsi="Times New Roman" w:cs="Times New Roman"/>
              </w:rPr>
              <w:t>7</w:t>
            </w:r>
          </w:p>
        </w:tc>
        <w:tc>
          <w:tcPr>
            <w:tcW w:w="1843" w:type="dxa"/>
          </w:tcPr>
          <w:p w14:paraId="600CFCCE" w14:textId="77777777" w:rsidR="000C2DF5" w:rsidRPr="007821DB" w:rsidRDefault="000C2DF5" w:rsidP="000C2DF5">
            <w:pPr>
              <w:pStyle w:val="Default"/>
              <w:rPr>
                <w:sz w:val="22"/>
                <w:szCs w:val="22"/>
              </w:rPr>
            </w:pPr>
            <w:r w:rsidRPr="007821DB">
              <w:rPr>
                <w:sz w:val="22"/>
                <w:szCs w:val="22"/>
              </w:rPr>
              <w:t xml:space="preserve">Pagal Aprašą kryžminis finansavimas netaikomas. </w:t>
            </w:r>
          </w:p>
          <w:p w14:paraId="7F7AC5EC" w14:textId="77777777" w:rsidR="00A22B6C" w:rsidRPr="007821DB" w:rsidRDefault="00A22B6C" w:rsidP="008C4222">
            <w:pPr>
              <w:spacing w:after="0" w:line="240" w:lineRule="auto"/>
              <w:jc w:val="both"/>
              <w:rPr>
                <w:rFonts w:ascii="Times New Roman" w:hAnsi="Times New Roman" w:cs="Times New Roman"/>
              </w:rPr>
            </w:pPr>
          </w:p>
        </w:tc>
        <w:tc>
          <w:tcPr>
            <w:tcW w:w="4394" w:type="dxa"/>
          </w:tcPr>
          <w:p w14:paraId="5CD23F17" w14:textId="77777777" w:rsidR="000C2DF5" w:rsidRPr="007821DB" w:rsidRDefault="000C2DF5" w:rsidP="000C2DF5">
            <w:pPr>
              <w:pStyle w:val="Default"/>
              <w:jc w:val="both"/>
              <w:rPr>
                <w:sz w:val="22"/>
                <w:szCs w:val="22"/>
              </w:rPr>
            </w:pPr>
            <w:r w:rsidRPr="007821DB">
              <w:rPr>
                <w:sz w:val="22"/>
                <w:szCs w:val="22"/>
              </w:rPr>
              <w:t xml:space="preserve">Lietuvos MTEPI infrastruktūrų integracijos į tarptautines mokslinių tyrimų infrastruktūras (ESFRI) veikla yra nukreipta į bendradarbiavimo tarptautinėse infrastruktūrose vystymą. Taigi, būtina ne tik sukurti Lietuvoje tarptautinio lygio MTEPI bazę, tačiau ir sudaryti sąlygas šios bazės įveiklinimui, nes būtent veiklos pagrindu bus įsitraukiama į tarptautinius tinklus ir bendradarbiaujama Lietuvai aktualių tarptautinių infrastruktūrų erdvėje. Vykdant tam tikrus 2016-05-26 LR Švietimo ir mokslo ministro įsakymu V-490 patvirtinto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bendrąjį veiksmų plano“ 1 priedo 4.5.1 - 4.5.18 papunkčiuose nurodytus projektus, svarbu ne tik sukurti infrastruktūrą, įsigyti priemones, </w:t>
            </w:r>
            <w:r w:rsidRPr="007821DB">
              <w:rPr>
                <w:sz w:val="22"/>
                <w:szCs w:val="22"/>
              </w:rPr>
              <w:lastRenderedPageBreak/>
              <w:t xml:space="preserve">tačiau taip pat ir sukurti efektyviai funkcionuojančius procesus (pvz., mėginių surinkimo, ėminių ir informacijos kaupimo, apdorojimo ir paruošimo tyrėjams ne tik Lietuvos, bet ir tarptautiniu mastu). </w:t>
            </w:r>
          </w:p>
          <w:p w14:paraId="2407E652" w14:textId="08CB2B14" w:rsidR="00A22B6C" w:rsidRPr="007821DB" w:rsidRDefault="000C2DF5" w:rsidP="000C2DF5">
            <w:pPr>
              <w:pStyle w:val="Default"/>
              <w:rPr>
                <w:sz w:val="22"/>
                <w:szCs w:val="22"/>
              </w:rPr>
            </w:pPr>
            <w:r w:rsidRPr="007821DB">
              <w:rPr>
                <w:sz w:val="22"/>
                <w:szCs w:val="22"/>
              </w:rPr>
              <w:t>Todėl prašome numatyti galimybę šiai priemonei taikyti kryžminį finansavimą.</w:t>
            </w:r>
          </w:p>
        </w:tc>
        <w:tc>
          <w:tcPr>
            <w:tcW w:w="1559" w:type="dxa"/>
          </w:tcPr>
          <w:p w14:paraId="5E1BADBB" w14:textId="41D43D71" w:rsidR="00A22B6C" w:rsidRPr="007821DB" w:rsidRDefault="000C2DF5" w:rsidP="00A47D63">
            <w:pPr>
              <w:jc w:val="center"/>
              <w:rPr>
                <w:rFonts w:ascii="Times New Roman" w:hAnsi="Times New Roman" w:cs="Times New Roman"/>
              </w:rPr>
            </w:pPr>
            <w:r w:rsidRPr="007821DB">
              <w:rPr>
                <w:rFonts w:ascii="Times New Roman" w:hAnsi="Times New Roman" w:cs="Times New Roman"/>
              </w:rPr>
              <w:lastRenderedPageBreak/>
              <w:t>Neatsižvelgta</w:t>
            </w:r>
          </w:p>
        </w:tc>
        <w:tc>
          <w:tcPr>
            <w:tcW w:w="3792" w:type="dxa"/>
          </w:tcPr>
          <w:p w14:paraId="66E4C5E2" w14:textId="0645F8F0" w:rsidR="00A22B6C" w:rsidRPr="007821DB" w:rsidRDefault="000C2DF5" w:rsidP="00A22B6C">
            <w:pPr>
              <w:pStyle w:val="Komentarotekstas"/>
              <w:rPr>
                <w:color w:val="000000"/>
                <w:sz w:val="22"/>
                <w:szCs w:val="22"/>
              </w:rPr>
            </w:pPr>
            <w:r w:rsidRPr="007821DB">
              <w:rPr>
                <w:color w:val="000000"/>
                <w:sz w:val="22"/>
                <w:szCs w:val="22"/>
              </w:rPr>
              <w:t>Sukurtos MTEPI bazės įveiklinimas gali būti sėkmingai finansuojamas per Ministerijos 1.2.2 uždavimnio priemones.</w:t>
            </w:r>
          </w:p>
        </w:tc>
      </w:tr>
      <w:tr w:rsidR="000C2DF5" w:rsidRPr="007821DB" w14:paraId="04DD912E" w14:textId="77777777" w:rsidTr="00BA166F">
        <w:tc>
          <w:tcPr>
            <w:tcW w:w="1430" w:type="dxa"/>
          </w:tcPr>
          <w:p w14:paraId="7913DFF4" w14:textId="206E05EC" w:rsidR="000C2DF5"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0A8385AF" w14:textId="43174171" w:rsidR="000C2DF5" w:rsidRPr="007821DB" w:rsidRDefault="000C2DF5" w:rsidP="00A47D63">
            <w:pPr>
              <w:jc w:val="center"/>
              <w:rPr>
                <w:rFonts w:ascii="Times New Roman" w:hAnsi="Times New Roman" w:cs="Times New Roman"/>
              </w:rPr>
            </w:pPr>
            <w:r w:rsidRPr="007821DB">
              <w:rPr>
                <w:rFonts w:ascii="Times New Roman" w:hAnsi="Times New Roman" w:cs="Times New Roman"/>
              </w:rPr>
              <w:t>8</w:t>
            </w:r>
          </w:p>
        </w:tc>
        <w:tc>
          <w:tcPr>
            <w:tcW w:w="1843" w:type="dxa"/>
          </w:tcPr>
          <w:p w14:paraId="11A39B2A" w14:textId="77777777" w:rsidR="000C2DF5" w:rsidRPr="007821DB" w:rsidRDefault="000C2DF5" w:rsidP="000C2DF5">
            <w:pPr>
              <w:pStyle w:val="Default"/>
              <w:jc w:val="both"/>
              <w:rPr>
                <w:sz w:val="22"/>
                <w:szCs w:val="22"/>
              </w:rPr>
            </w:pPr>
            <w:r w:rsidRPr="007821DB">
              <w:rPr>
                <w:sz w:val="22"/>
                <w:szCs w:val="22"/>
              </w:rPr>
              <w:t xml:space="preserve">36.1. investicijų projektą, parengtą pagal Investicijų projektų, kuriems siekiama gauti finansavimą iš ES struktūrinės paramos ir / ar valstybės biudžetų lėšų, rengimo metodiką, kuri skelbiama ES struktūrinių fondų svetainėje www.esinvesticijos.lt. Kartu pateikiamas į elektroninę laikmeną įrašytas investicijų projektas, taip pat jo priedai – sąnaudų ir naudos analizės ir (arba) sąnaudų efektyvumo analizės rezultatų lentelės Excel formatu. Investicijų projekte minimaliai turi būti išnagrinėtos ir palygintos </w:t>
            </w:r>
            <w:r w:rsidRPr="007821DB">
              <w:rPr>
                <w:sz w:val="22"/>
                <w:szCs w:val="22"/>
              </w:rPr>
              <w:lastRenderedPageBreak/>
              <w:t xml:space="preserve">Kokybės metodikos V skyriuje nurodytos projekto įgyvendinimo alternatyvos. </w:t>
            </w:r>
          </w:p>
          <w:p w14:paraId="72AC4FBB" w14:textId="77777777" w:rsidR="000C2DF5" w:rsidRPr="007821DB" w:rsidRDefault="000C2DF5" w:rsidP="000C2DF5">
            <w:pPr>
              <w:pStyle w:val="Default"/>
              <w:rPr>
                <w:sz w:val="22"/>
                <w:szCs w:val="22"/>
              </w:rPr>
            </w:pPr>
          </w:p>
        </w:tc>
        <w:tc>
          <w:tcPr>
            <w:tcW w:w="4394" w:type="dxa"/>
          </w:tcPr>
          <w:p w14:paraId="3B646C4B" w14:textId="77777777" w:rsidR="000C2DF5" w:rsidRPr="007821DB" w:rsidRDefault="000C2DF5" w:rsidP="000C2DF5">
            <w:pPr>
              <w:pStyle w:val="Default"/>
              <w:jc w:val="both"/>
              <w:rPr>
                <w:sz w:val="22"/>
                <w:szCs w:val="22"/>
              </w:rPr>
            </w:pPr>
            <w:r w:rsidRPr="007821DB">
              <w:rPr>
                <w:sz w:val="22"/>
                <w:szCs w:val="22"/>
              </w:rPr>
              <w:lastRenderedPageBreak/>
              <w:t xml:space="preserve">- Atkreipiame dėmesį, kad nuo 2016 m. gegužės 9 d. taikoma nauja „Optimalios projekto įgyvendinimo alternatyvos pasirinkimo kokybės vertinimo metodikos“ redakcija ir V skyriuje reglamentuojama projekto įgyvendinimo alternatyvos pasirinkimo kokybės vertinimo tvarka. </w:t>
            </w:r>
          </w:p>
          <w:p w14:paraId="169B3DBC" w14:textId="77777777" w:rsidR="000C2DF5" w:rsidRPr="007821DB" w:rsidRDefault="000C2DF5" w:rsidP="000C2DF5">
            <w:pPr>
              <w:pStyle w:val="Default"/>
              <w:jc w:val="both"/>
              <w:rPr>
                <w:sz w:val="22"/>
                <w:szCs w:val="22"/>
              </w:rPr>
            </w:pPr>
          </w:p>
          <w:p w14:paraId="5C9C0985" w14:textId="77777777" w:rsidR="000C2DF5" w:rsidRPr="007821DB" w:rsidRDefault="000C2DF5" w:rsidP="000C2DF5">
            <w:pPr>
              <w:pStyle w:val="Default"/>
              <w:jc w:val="both"/>
              <w:rPr>
                <w:sz w:val="22"/>
                <w:szCs w:val="22"/>
              </w:rPr>
            </w:pPr>
            <w:r w:rsidRPr="007821DB">
              <w:rPr>
                <w:sz w:val="22"/>
                <w:szCs w:val="22"/>
              </w:rPr>
              <w:t xml:space="preserve">- Atsižvelgiant į Investicijų projektų, kuriems siekiama gauti finansavimą iš ES struktūrinės paramos ir / ar valstybės biudžeto lėšų, rengimo metodikos 3.2. dalies nuostatas, PFSA prašome įtraukti tokius reikalavimus IP apimčiai: </w:t>
            </w:r>
          </w:p>
          <w:p w14:paraId="6926244E" w14:textId="77777777" w:rsidR="000C2DF5" w:rsidRPr="007821DB" w:rsidRDefault="000C2DF5" w:rsidP="000C2DF5">
            <w:pPr>
              <w:pStyle w:val="Default"/>
              <w:jc w:val="both"/>
              <w:rPr>
                <w:sz w:val="22"/>
                <w:szCs w:val="22"/>
              </w:rPr>
            </w:pPr>
          </w:p>
          <w:p w14:paraId="577BABDF" w14:textId="774BC13D" w:rsidR="000C2DF5" w:rsidRPr="007821DB" w:rsidRDefault="000C2DF5" w:rsidP="000C2DF5">
            <w:pPr>
              <w:pStyle w:val="Default"/>
              <w:jc w:val="both"/>
              <w:rPr>
                <w:sz w:val="22"/>
                <w:szCs w:val="22"/>
              </w:rPr>
            </w:pPr>
            <w:r w:rsidRPr="007821DB">
              <w:rPr>
                <w:i/>
                <w:iCs/>
                <w:sz w:val="22"/>
                <w:szCs w:val="22"/>
              </w:rPr>
              <w:t>„Jei planuojama investicijų vertė mažesnė nei 300 tūkst. Eur, detaliai pagrindžiama tik pasirinkta projekto įgyvendinimo alternatyva“.</w:t>
            </w:r>
          </w:p>
        </w:tc>
        <w:tc>
          <w:tcPr>
            <w:tcW w:w="1559" w:type="dxa"/>
          </w:tcPr>
          <w:p w14:paraId="3E7D7C6D" w14:textId="346B0C88" w:rsidR="000C2DF5" w:rsidRPr="007821DB" w:rsidRDefault="000C2DF5" w:rsidP="00A47D63">
            <w:pPr>
              <w:jc w:val="center"/>
              <w:rPr>
                <w:rFonts w:ascii="Times New Roman" w:hAnsi="Times New Roman" w:cs="Times New Roman"/>
              </w:rPr>
            </w:pPr>
            <w:r w:rsidRPr="007821DB">
              <w:rPr>
                <w:rFonts w:ascii="Times New Roman" w:hAnsi="Times New Roman" w:cs="Times New Roman"/>
              </w:rPr>
              <w:t>Neatsižvelgta</w:t>
            </w:r>
          </w:p>
        </w:tc>
        <w:tc>
          <w:tcPr>
            <w:tcW w:w="3792" w:type="dxa"/>
          </w:tcPr>
          <w:p w14:paraId="5B4C01AA" w14:textId="77777777" w:rsidR="000C2DF5" w:rsidRPr="007821DB" w:rsidRDefault="000C2DF5" w:rsidP="000C2DF5">
            <w:pPr>
              <w:pStyle w:val="Komentarotekstas"/>
              <w:rPr>
                <w:sz w:val="22"/>
                <w:szCs w:val="22"/>
              </w:rPr>
            </w:pPr>
            <w:r w:rsidRPr="007821DB">
              <w:rPr>
                <w:sz w:val="22"/>
                <w:szCs w:val="22"/>
              </w:rPr>
              <w:t>Nepagrįsta pastaba, nes, vadovaujantis PAFT 67</w:t>
            </w:r>
            <w:r w:rsidRPr="007821DB">
              <w:rPr>
                <w:sz w:val="22"/>
                <w:szCs w:val="22"/>
                <w:vertAlign w:val="superscript"/>
              </w:rPr>
              <w:t>1</w:t>
            </w:r>
            <w:r w:rsidRPr="007821DB">
              <w:rPr>
                <w:sz w:val="22"/>
                <w:szCs w:val="22"/>
              </w:rPr>
              <w:t xml:space="preserve"> p. ir Kokybės metodikos 6 p.</w:t>
            </w:r>
            <w:r w:rsidRPr="007821DB">
              <w:rPr>
                <w:sz w:val="22"/>
                <w:szCs w:val="22"/>
                <w:vertAlign w:val="superscript"/>
              </w:rPr>
              <w:t xml:space="preserve">, </w:t>
            </w:r>
            <w:r w:rsidRPr="007821DB">
              <w:rPr>
                <w:sz w:val="22"/>
                <w:szCs w:val="22"/>
              </w:rPr>
              <w:t xml:space="preserve">investicijų projektas rengiamas ir projekto įgyvendinimo alternatyvų vertinimas privalomai atliekamas, kai rengiamas projektas, kuriuo siekiama investuoti į turtą arba infrastruktūrą, reikalingą viešosioms paslaugoms, kaip jos apibrėžtos Viešojo administravimo įstatyme, teikti, ir kuriam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Privalomą reikalavimą parengti investicijų projektą projektams neviršijantiems 300 000 eurų, ŠMM gali nustatyti savo nuožiūra PFSA. Atsižvelgiant į tai, kad toks reikalavimas reikalautų papildomų pareiškėjų sąnaudų investicijų projektų parengimui, o tokios išlaidos, galimai, nebūtų pripažintos tinkamomis finansuoti, nes nėra patirtos dėl privalomų reikalavimų vykdymo ir nesukuria projektui pridėtinės vertės, nėra tikslinga taikyti reikalavimą parengti investicijų projektą privalomai visiems projektams. </w:t>
            </w:r>
          </w:p>
          <w:p w14:paraId="6F1B4972" w14:textId="77777777" w:rsidR="000C2DF5" w:rsidRPr="007821DB" w:rsidRDefault="000C2DF5" w:rsidP="00A22B6C">
            <w:pPr>
              <w:pStyle w:val="Komentarotekstas"/>
              <w:rPr>
                <w:color w:val="000000"/>
                <w:sz w:val="22"/>
                <w:szCs w:val="22"/>
              </w:rPr>
            </w:pPr>
          </w:p>
        </w:tc>
      </w:tr>
      <w:tr w:rsidR="001C5ADD" w:rsidRPr="007821DB" w14:paraId="6C72CACB" w14:textId="77777777" w:rsidTr="00BA166F">
        <w:tc>
          <w:tcPr>
            <w:tcW w:w="1430" w:type="dxa"/>
          </w:tcPr>
          <w:p w14:paraId="251A0C41" w14:textId="37E60175" w:rsidR="001C5ADD"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7354F10D" w14:textId="0ADAB85F" w:rsidR="001C5ADD" w:rsidRPr="007821DB" w:rsidRDefault="001C5ADD" w:rsidP="00A47D63">
            <w:pPr>
              <w:jc w:val="center"/>
              <w:rPr>
                <w:rFonts w:ascii="Times New Roman" w:hAnsi="Times New Roman" w:cs="Times New Roman"/>
              </w:rPr>
            </w:pPr>
            <w:r w:rsidRPr="007821DB">
              <w:rPr>
                <w:rFonts w:ascii="Times New Roman" w:hAnsi="Times New Roman" w:cs="Times New Roman"/>
              </w:rPr>
              <w:t>9</w:t>
            </w:r>
          </w:p>
        </w:tc>
        <w:tc>
          <w:tcPr>
            <w:tcW w:w="1843" w:type="dxa"/>
          </w:tcPr>
          <w:p w14:paraId="1CB07EF4" w14:textId="140D3D05" w:rsidR="001C5ADD" w:rsidRPr="007821DB" w:rsidRDefault="001C5ADD" w:rsidP="000C2DF5">
            <w:pPr>
              <w:pStyle w:val="Default"/>
              <w:jc w:val="both"/>
              <w:rPr>
                <w:sz w:val="22"/>
                <w:szCs w:val="22"/>
              </w:rPr>
            </w:pPr>
            <w:r w:rsidRPr="007821DB">
              <w:rPr>
                <w:sz w:val="22"/>
                <w:szCs w:val="22"/>
              </w:rPr>
              <w:t>36.3. informaciją apie pareiškėjo ir partnerio institucijų intelektinį potencialą ir pareiškėjo patirtį, vykdant MTEP ir MTEP rezultatų komercinimo veiklas srityse, atitinkančiose kuriamos MTEPI infrastruktūros tikslus</w:t>
            </w:r>
          </w:p>
        </w:tc>
        <w:tc>
          <w:tcPr>
            <w:tcW w:w="4394" w:type="dxa"/>
          </w:tcPr>
          <w:p w14:paraId="289B9A49" w14:textId="77777777" w:rsidR="001C5ADD" w:rsidRPr="007821DB" w:rsidRDefault="001C5ADD" w:rsidP="001C5ADD">
            <w:pPr>
              <w:pStyle w:val="Default"/>
              <w:jc w:val="both"/>
              <w:rPr>
                <w:sz w:val="22"/>
                <w:szCs w:val="22"/>
              </w:rPr>
            </w:pPr>
            <w:r w:rsidRPr="007821DB">
              <w:rPr>
                <w:sz w:val="22"/>
                <w:szCs w:val="22"/>
              </w:rPr>
              <w:t xml:space="preserve">Prašome 36.3. p. išdėstyti taip: </w:t>
            </w:r>
          </w:p>
          <w:p w14:paraId="747A9CA9" w14:textId="77777777" w:rsidR="001C5ADD" w:rsidRPr="007821DB" w:rsidRDefault="001C5ADD" w:rsidP="001C5ADD">
            <w:pPr>
              <w:pStyle w:val="Default"/>
              <w:jc w:val="both"/>
              <w:rPr>
                <w:sz w:val="22"/>
                <w:szCs w:val="22"/>
              </w:rPr>
            </w:pPr>
            <w:r w:rsidRPr="007821DB">
              <w:rPr>
                <w:i/>
                <w:iCs/>
                <w:sz w:val="22"/>
                <w:szCs w:val="22"/>
              </w:rPr>
              <w:t xml:space="preserve">„informaciją apie pareiškėjo ir partnerio institucijų intelektinį potencialą ir pareiškėjo bei partnerio patirtį, vykdant MTEP ir MTEP rezultatų komercinimo veiklas srityse, atitinkančiose kuriamos MTEPI infrastruktūros tikslus:“ </w:t>
            </w:r>
          </w:p>
          <w:p w14:paraId="1ED8FDCD" w14:textId="77777777" w:rsidR="001C5ADD" w:rsidRPr="007821DB" w:rsidRDefault="001C5ADD" w:rsidP="001C5ADD">
            <w:pPr>
              <w:pStyle w:val="Default"/>
              <w:jc w:val="both"/>
              <w:rPr>
                <w:sz w:val="22"/>
                <w:szCs w:val="22"/>
              </w:rPr>
            </w:pPr>
            <w:r w:rsidRPr="007821DB">
              <w:rPr>
                <w:sz w:val="22"/>
                <w:szCs w:val="22"/>
              </w:rPr>
              <w:t xml:space="preserve">-- </w:t>
            </w:r>
          </w:p>
          <w:p w14:paraId="3A031A9A" w14:textId="058D6570" w:rsidR="001C5ADD" w:rsidRPr="007821DB" w:rsidRDefault="001C5ADD" w:rsidP="001C5ADD">
            <w:pPr>
              <w:pStyle w:val="Default"/>
              <w:jc w:val="both"/>
              <w:rPr>
                <w:sz w:val="22"/>
                <w:szCs w:val="22"/>
              </w:rPr>
            </w:pPr>
            <w:r w:rsidRPr="007821DB">
              <w:rPr>
                <w:sz w:val="22"/>
                <w:szCs w:val="22"/>
              </w:rPr>
              <w:t>Partnerystė projekte grindžiama intelektinio potencialo ir patirties papildomumu. PFSA 12 p. nustatyta, kad „Partneriams keliami tie patys reikalavimai kaip ir pareiškėjui“.</w:t>
            </w:r>
          </w:p>
        </w:tc>
        <w:tc>
          <w:tcPr>
            <w:tcW w:w="1559" w:type="dxa"/>
          </w:tcPr>
          <w:p w14:paraId="2420561F" w14:textId="6E53A69C" w:rsidR="001C5ADD" w:rsidRPr="007821DB" w:rsidRDefault="001C5ADD" w:rsidP="00A47D63">
            <w:pPr>
              <w:jc w:val="center"/>
              <w:rPr>
                <w:rFonts w:ascii="Times New Roman" w:hAnsi="Times New Roman" w:cs="Times New Roman"/>
              </w:rPr>
            </w:pPr>
            <w:r w:rsidRPr="007821DB">
              <w:rPr>
                <w:rFonts w:ascii="Times New Roman" w:hAnsi="Times New Roman" w:cs="Times New Roman"/>
              </w:rPr>
              <w:t>Atsižvelgta</w:t>
            </w:r>
          </w:p>
        </w:tc>
        <w:tc>
          <w:tcPr>
            <w:tcW w:w="3792" w:type="dxa"/>
          </w:tcPr>
          <w:p w14:paraId="0794A461" w14:textId="77777777" w:rsidR="001C5ADD" w:rsidRPr="007821DB" w:rsidRDefault="001C5ADD" w:rsidP="000C2DF5">
            <w:pPr>
              <w:pStyle w:val="Komentarotekstas"/>
              <w:rPr>
                <w:sz w:val="22"/>
                <w:szCs w:val="22"/>
              </w:rPr>
            </w:pPr>
          </w:p>
        </w:tc>
      </w:tr>
      <w:tr w:rsidR="00A017B9" w:rsidRPr="007821DB" w14:paraId="2C0D8C18" w14:textId="77777777" w:rsidTr="00BA166F">
        <w:tc>
          <w:tcPr>
            <w:tcW w:w="1430" w:type="dxa"/>
          </w:tcPr>
          <w:p w14:paraId="45478E96" w14:textId="0DD2C45E" w:rsidR="00A017B9"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6535DCFE" w14:textId="1EC432D6" w:rsidR="00A017B9" w:rsidRPr="007821DB" w:rsidRDefault="00A017B9" w:rsidP="00A47D63">
            <w:pPr>
              <w:jc w:val="center"/>
              <w:rPr>
                <w:rFonts w:ascii="Times New Roman" w:hAnsi="Times New Roman" w:cs="Times New Roman"/>
              </w:rPr>
            </w:pPr>
            <w:r w:rsidRPr="007821DB">
              <w:rPr>
                <w:rFonts w:ascii="Times New Roman" w:hAnsi="Times New Roman" w:cs="Times New Roman"/>
              </w:rPr>
              <w:t>10</w:t>
            </w:r>
          </w:p>
        </w:tc>
        <w:tc>
          <w:tcPr>
            <w:tcW w:w="1843" w:type="dxa"/>
          </w:tcPr>
          <w:p w14:paraId="1334BFD4" w14:textId="77777777" w:rsidR="00A017B9" w:rsidRPr="007821DB" w:rsidRDefault="00A017B9" w:rsidP="00A017B9">
            <w:pPr>
              <w:pStyle w:val="Default"/>
              <w:jc w:val="both"/>
              <w:rPr>
                <w:sz w:val="22"/>
                <w:szCs w:val="22"/>
              </w:rPr>
            </w:pPr>
            <w:r w:rsidRPr="007821DB">
              <w:rPr>
                <w:sz w:val="22"/>
                <w:szCs w:val="22"/>
              </w:rPr>
              <w:t xml:space="preserve">36.3.4. pareiškėjo institucijos MTEP rezultatų komercinimo ir bendradarbiavimo su verslu patirtį MTEP srityse, atitinkančiose kuriamos MTEPI infrastruktūros tikslus, atspindintys rezultatai (informacija apie pateiktas patentines paraiškas Europos patentų biurui </w:t>
            </w:r>
            <w:r w:rsidRPr="007821DB">
              <w:rPr>
                <w:sz w:val="22"/>
                <w:szCs w:val="22"/>
              </w:rPr>
              <w:lastRenderedPageBreak/>
              <w:t>(</w:t>
            </w:r>
            <w:r w:rsidRPr="007821DB">
              <w:rPr>
                <w:i/>
                <w:iCs/>
                <w:sz w:val="22"/>
                <w:szCs w:val="22"/>
              </w:rPr>
              <w:t>EPO</w:t>
            </w:r>
            <w:r w:rsidRPr="007821DB">
              <w:rPr>
                <w:sz w:val="22"/>
                <w:szCs w:val="22"/>
              </w:rPr>
              <w:t>), JAV patentų ir prekių ženklų biurui (</w:t>
            </w:r>
            <w:r w:rsidRPr="007821DB">
              <w:rPr>
                <w:i/>
                <w:iCs/>
                <w:sz w:val="22"/>
                <w:szCs w:val="22"/>
              </w:rPr>
              <w:t>USPTO</w:t>
            </w:r>
            <w:r w:rsidRPr="007821DB">
              <w:rPr>
                <w:sz w:val="22"/>
                <w:szCs w:val="22"/>
              </w:rPr>
              <w:t>) ar Japonijos patentų biurui (</w:t>
            </w:r>
            <w:r w:rsidRPr="007821DB">
              <w:rPr>
                <w:i/>
                <w:iCs/>
                <w:sz w:val="22"/>
                <w:szCs w:val="22"/>
              </w:rPr>
              <w:t>JPO</w:t>
            </w:r>
            <w:r w:rsidRPr="007821DB">
              <w:rPr>
                <w:sz w:val="22"/>
                <w:szCs w:val="22"/>
              </w:rPr>
              <w:t xml:space="preserve">) pagal registravimo pažymą; sukurtų ir rinkai pateiktų produktų, paslaugų skaičius; susikūrusių naujų žinioms imlių atžalinių įmonių (angl. </w:t>
            </w:r>
            <w:r w:rsidRPr="007821DB">
              <w:rPr>
                <w:i/>
                <w:iCs/>
                <w:sz w:val="22"/>
                <w:szCs w:val="22"/>
              </w:rPr>
              <w:t>spin-off</w:t>
            </w:r>
            <w:r w:rsidRPr="007821DB">
              <w:rPr>
                <w:sz w:val="22"/>
                <w:szCs w:val="22"/>
              </w:rPr>
              <w:t xml:space="preserve">) skaičius; bendros veiklos su verslo įmonėmis sutarčių skaičius ir jų finansinė vertė). </w:t>
            </w:r>
          </w:p>
          <w:p w14:paraId="5E6BE792" w14:textId="77777777" w:rsidR="00A017B9" w:rsidRPr="007821DB" w:rsidRDefault="00A017B9" w:rsidP="000C2DF5">
            <w:pPr>
              <w:pStyle w:val="Default"/>
              <w:jc w:val="both"/>
              <w:rPr>
                <w:sz w:val="22"/>
                <w:szCs w:val="22"/>
              </w:rPr>
            </w:pPr>
          </w:p>
        </w:tc>
        <w:tc>
          <w:tcPr>
            <w:tcW w:w="4394" w:type="dxa"/>
          </w:tcPr>
          <w:p w14:paraId="52BB1C6F" w14:textId="77777777" w:rsidR="00A017B9" w:rsidRPr="007821DB" w:rsidRDefault="00A017B9" w:rsidP="00A017B9">
            <w:pPr>
              <w:pStyle w:val="Default"/>
              <w:jc w:val="both"/>
              <w:rPr>
                <w:sz w:val="22"/>
                <w:szCs w:val="22"/>
              </w:rPr>
            </w:pPr>
            <w:r w:rsidRPr="007821DB">
              <w:rPr>
                <w:sz w:val="22"/>
                <w:szCs w:val="22"/>
              </w:rPr>
              <w:lastRenderedPageBreak/>
              <w:t xml:space="preserve">Prašome 36.3.4. p. išdėstyti taip: </w:t>
            </w:r>
          </w:p>
          <w:p w14:paraId="6F3EB80C" w14:textId="77777777" w:rsidR="00A017B9" w:rsidRPr="007821DB" w:rsidRDefault="00A017B9" w:rsidP="00A017B9">
            <w:pPr>
              <w:pStyle w:val="Default"/>
              <w:jc w:val="both"/>
              <w:rPr>
                <w:sz w:val="22"/>
                <w:szCs w:val="22"/>
              </w:rPr>
            </w:pPr>
            <w:r w:rsidRPr="007821DB">
              <w:rPr>
                <w:i/>
                <w:iCs/>
                <w:sz w:val="22"/>
                <w:szCs w:val="22"/>
              </w:rPr>
              <w:t xml:space="preserve">„pareiškėjo ir partnerio institucijos MTEP rezultatų komercinimo ir bendradarbiavimo su verslu patirtį MTEP srityse, atitinkančiose kuriamos MTEPI infrastruktūros tikslus, atspindintys rezultatai (informacija apie pateiktas patentines paraiškas Europos patentų biurui (EPO), JAV patentų ir prekių ženklų biurui (USPTO) ar Japonijos patentų biurui (JPO) pagal registravimo pažymą; sukurtų ir rinkai pateiktų produktų, paslaugų skaičius; susikūrusių naujų žinioms imlių atžalinių įmonių (angl. spin-off) skaičius; bendros veiklos su verslo įmonėmis sutarčių skaičius ir jų finansinė vertė). </w:t>
            </w:r>
          </w:p>
          <w:p w14:paraId="54278983" w14:textId="77777777" w:rsidR="00A017B9" w:rsidRPr="007821DB" w:rsidRDefault="00A017B9" w:rsidP="00A017B9">
            <w:pPr>
              <w:pStyle w:val="Default"/>
              <w:jc w:val="both"/>
              <w:rPr>
                <w:sz w:val="22"/>
                <w:szCs w:val="22"/>
              </w:rPr>
            </w:pPr>
            <w:r w:rsidRPr="007821DB">
              <w:rPr>
                <w:sz w:val="22"/>
                <w:szCs w:val="22"/>
              </w:rPr>
              <w:t xml:space="preserve">--- </w:t>
            </w:r>
          </w:p>
          <w:p w14:paraId="6C9FAA12" w14:textId="0BD348D3" w:rsidR="00A017B9" w:rsidRPr="007821DB" w:rsidRDefault="00A017B9" w:rsidP="00A017B9">
            <w:pPr>
              <w:pStyle w:val="Default"/>
              <w:jc w:val="both"/>
              <w:rPr>
                <w:sz w:val="22"/>
                <w:szCs w:val="22"/>
              </w:rPr>
            </w:pPr>
            <w:r w:rsidRPr="007821DB">
              <w:rPr>
                <w:sz w:val="22"/>
                <w:szCs w:val="22"/>
              </w:rPr>
              <w:t xml:space="preserve">Partnerystė projekte grindžiama intelektinio potencialo ir patirties papildomumu. PFSA 12 </w:t>
            </w:r>
            <w:r w:rsidRPr="007821DB">
              <w:rPr>
                <w:sz w:val="22"/>
                <w:szCs w:val="22"/>
              </w:rPr>
              <w:lastRenderedPageBreak/>
              <w:t>p. nustatyta, kad „Partneriams keliami tie patys reikalavimai kaip ir pareiškėjui“.</w:t>
            </w:r>
          </w:p>
        </w:tc>
        <w:tc>
          <w:tcPr>
            <w:tcW w:w="1559" w:type="dxa"/>
          </w:tcPr>
          <w:p w14:paraId="444C732B" w14:textId="4FB08475" w:rsidR="00A017B9" w:rsidRPr="007821DB" w:rsidRDefault="00A017B9" w:rsidP="00A47D63">
            <w:pPr>
              <w:jc w:val="center"/>
              <w:rPr>
                <w:rFonts w:ascii="Times New Roman" w:hAnsi="Times New Roman" w:cs="Times New Roman"/>
              </w:rPr>
            </w:pPr>
            <w:r w:rsidRPr="007821DB">
              <w:rPr>
                <w:rFonts w:ascii="Times New Roman" w:hAnsi="Times New Roman" w:cs="Times New Roman"/>
              </w:rPr>
              <w:lastRenderedPageBreak/>
              <w:t>Atsižvelgta</w:t>
            </w:r>
          </w:p>
        </w:tc>
        <w:tc>
          <w:tcPr>
            <w:tcW w:w="3792" w:type="dxa"/>
          </w:tcPr>
          <w:p w14:paraId="43EB1190" w14:textId="77777777" w:rsidR="00A017B9" w:rsidRPr="007821DB" w:rsidRDefault="00A017B9" w:rsidP="000C2DF5">
            <w:pPr>
              <w:pStyle w:val="Komentarotekstas"/>
              <w:rPr>
                <w:sz w:val="22"/>
                <w:szCs w:val="22"/>
              </w:rPr>
            </w:pPr>
          </w:p>
        </w:tc>
      </w:tr>
      <w:tr w:rsidR="00A017B9" w:rsidRPr="007821DB" w14:paraId="75C1F94A" w14:textId="77777777" w:rsidTr="00BA166F">
        <w:tc>
          <w:tcPr>
            <w:tcW w:w="1430" w:type="dxa"/>
          </w:tcPr>
          <w:p w14:paraId="4BCD1773" w14:textId="69C3FBF9" w:rsidR="00A017B9"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1609756A" w14:textId="2D857190" w:rsidR="00A017B9" w:rsidRPr="007821DB" w:rsidRDefault="00A017B9" w:rsidP="00A47D63">
            <w:pPr>
              <w:jc w:val="center"/>
              <w:rPr>
                <w:rFonts w:ascii="Times New Roman" w:hAnsi="Times New Roman" w:cs="Times New Roman"/>
              </w:rPr>
            </w:pPr>
            <w:r w:rsidRPr="007821DB">
              <w:rPr>
                <w:rFonts w:ascii="Times New Roman" w:hAnsi="Times New Roman" w:cs="Times New Roman"/>
              </w:rPr>
              <w:t>11</w:t>
            </w:r>
          </w:p>
        </w:tc>
        <w:tc>
          <w:tcPr>
            <w:tcW w:w="1843" w:type="dxa"/>
          </w:tcPr>
          <w:p w14:paraId="6C1BAA24" w14:textId="77777777" w:rsidR="00A017B9" w:rsidRPr="007821DB" w:rsidRDefault="00A017B9" w:rsidP="00A017B9">
            <w:pPr>
              <w:pStyle w:val="Default"/>
              <w:jc w:val="both"/>
              <w:rPr>
                <w:sz w:val="22"/>
                <w:szCs w:val="22"/>
              </w:rPr>
            </w:pPr>
            <w:r w:rsidRPr="007821DB">
              <w:rPr>
                <w:sz w:val="22"/>
                <w:szCs w:val="22"/>
              </w:rPr>
              <w:t xml:space="preserve">42.6. jei pareiškėjas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w:t>
            </w:r>
            <w:r w:rsidRPr="007821DB">
              <w:rPr>
                <w:sz w:val="22"/>
                <w:szCs w:val="22"/>
              </w:rPr>
              <w:lastRenderedPageBreak/>
              <w:t xml:space="preserve">nuomos sutartyje toks sutikimas nenumatytas; </w:t>
            </w:r>
          </w:p>
          <w:p w14:paraId="03EA26CC" w14:textId="77777777" w:rsidR="00A017B9" w:rsidRPr="007821DB" w:rsidRDefault="00A017B9" w:rsidP="00935143">
            <w:pPr>
              <w:pStyle w:val="Default"/>
              <w:jc w:val="center"/>
              <w:rPr>
                <w:sz w:val="22"/>
                <w:szCs w:val="22"/>
              </w:rPr>
            </w:pPr>
          </w:p>
        </w:tc>
        <w:tc>
          <w:tcPr>
            <w:tcW w:w="4394" w:type="dxa"/>
          </w:tcPr>
          <w:p w14:paraId="39BAB758" w14:textId="77777777" w:rsidR="00A017B9" w:rsidRPr="007821DB" w:rsidRDefault="00A017B9" w:rsidP="00A017B9">
            <w:pPr>
              <w:pStyle w:val="Default"/>
              <w:jc w:val="both"/>
              <w:rPr>
                <w:sz w:val="22"/>
                <w:szCs w:val="22"/>
              </w:rPr>
            </w:pPr>
            <w:r w:rsidRPr="007821DB">
              <w:rPr>
                <w:sz w:val="22"/>
                <w:szCs w:val="22"/>
              </w:rPr>
              <w:lastRenderedPageBreak/>
              <w:t xml:space="preserve">Prašome 42.6. p. išdėstyti taip: </w:t>
            </w:r>
          </w:p>
          <w:p w14:paraId="4B187E70" w14:textId="77777777" w:rsidR="00A017B9" w:rsidRPr="007821DB" w:rsidRDefault="00A017B9" w:rsidP="00A017B9">
            <w:pPr>
              <w:pStyle w:val="Default"/>
              <w:jc w:val="both"/>
              <w:rPr>
                <w:sz w:val="22"/>
                <w:szCs w:val="22"/>
              </w:rPr>
            </w:pPr>
            <w:r w:rsidRPr="007821DB">
              <w:rPr>
                <w:i/>
                <w:iCs/>
                <w:sz w:val="22"/>
                <w:szCs w:val="22"/>
              </w:rPr>
              <w:t xml:space="preserve">„ jei pareiškėjas (partneris)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nuomos sutartyje toks sutikimas nenumatytas;“ </w:t>
            </w:r>
          </w:p>
          <w:p w14:paraId="05B775DE" w14:textId="77777777" w:rsidR="00A017B9" w:rsidRPr="007821DB" w:rsidRDefault="00A017B9" w:rsidP="00A017B9">
            <w:pPr>
              <w:pStyle w:val="Default"/>
              <w:jc w:val="both"/>
              <w:rPr>
                <w:sz w:val="22"/>
                <w:szCs w:val="22"/>
              </w:rPr>
            </w:pPr>
            <w:r w:rsidRPr="007821DB">
              <w:rPr>
                <w:i/>
                <w:iCs/>
                <w:sz w:val="22"/>
                <w:szCs w:val="22"/>
              </w:rPr>
              <w:t xml:space="preserve">-- </w:t>
            </w:r>
          </w:p>
          <w:p w14:paraId="48DF17EE" w14:textId="6A317DB1" w:rsidR="00A017B9" w:rsidRPr="007821DB" w:rsidRDefault="00A017B9" w:rsidP="00A017B9">
            <w:pPr>
              <w:pStyle w:val="Default"/>
              <w:jc w:val="both"/>
              <w:rPr>
                <w:sz w:val="22"/>
                <w:szCs w:val="22"/>
              </w:rPr>
            </w:pPr>
            <w:r w:rsidRPr="007821DB">
              <w:rPr>
                <w:sz w:val="22"/>
                <w:szCs w:val="22"/>
              </w:rPr>
              <w:t>42 p. minimas veiklas projekto apimtyje gali vykdyti tiek pareiškėjas, tiek partneris.</w:t>
            </w:r>
          </w:p>
        </w:tc>
        <w:tc>
          <w:tcPr>
            <w:tcW w:w="1559" w:type="dxa"/>
          </w:tcPr>
          <w:p w14:paraId="31A5EBAA" w14:textId="2E54B598" w:rsidR="00A017B9" w:rsidRPr="007821DB" w:rsidRDefault="00A017B9" w:rsidP="00A47D63">
            <w:pPr>
              <w:jc w:val="center"/>
              <w:rPr>
                <w:rFonts w:ascii="Times New Roman" w:hAnsi="Times New Roman" w:cs="Times New Roman"/>
              </w:rPr>
            </w:pPr>
            <w:r w:rsidRPr="007821DB">
              <w:rPr>
                <w:rFonts w:ascii="Times New Roman" w:hAnsi="Times New Roman" w:cs="Times New Roman"/>
              </w:rPr>
              <w:t>Atsižvelgta</w:t>
            </w:r>
          </w:p>
        </w:tc>
        <w:tc>
          <w:tcPr>
            <w:tcW w:w="3792" w:type="dxa"/>
          </w:tcPr>
          <w:p w14:paraId="454EA94E" w14:textId="77777777" w:rsidR="00A017B9" w:rsidRPr="007821DB" w:rsidRDefault="00A017B9" w:rsidP="000C2DF5">
            <w:pPr>
              <w:pStyle w:val="Komentarotekstas"/>
              <w:rPr>
                <w:sz w:val="22"/>
                <w:szCs w:val="22"/>
              </w:rPr>
            </w:pPr>
          </w:p>
        </w:tc>
      </w:tr>
      <w:tr w:rsidR="00935143" w:rsidRPr="007821DB" w14:paraId="0D485E71" w14:textId="77777777" w:rsidTr="00BA166F">
        <w:tc>
          <w:tcPr>
            <w:tcW w:w="1430" w:type="dxa"/>
          </w:tcPr>
          <w:p w14:paraId="0A3DFC63" w14:textId="1EA677A5" w:rsidR="00935143"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070824CE" w14:textId="2C5BD005" w:rsidR="00935143" w:rsidRPr="007821DB" w:rsidRDefault="00935143" w:rsidP="00A47D63">
            <w:pPr>
              <w:jc w:val="center"/>
              <w:rPr>
                <w:rFonts w:ascii="Times New Roman" w:hAnsi="Times New Roman" w:cs="Times New Roman"/>
              </w:rPr>
            </w:pPr>
            <w:r w:rsidRPr="007821DB">
              <w:rPr>
                <w:rFonts w:ascii="Times New Roman" w:hAnsi="Times New Roman" w:cs="Times New Roman"/>
              </w:rPr>
              <w:t>12</w:t>
            </w:r>
          </w:p>
        </w:tc>
        <w:tc>
          <w:tcPr>
            <w:tcW w:w="1843" w:type="dxa"/>
          </w:tcPr>
          <w:p w14:paraId="304BE0A1" w14:textId="77777777" w:rsidR="00935143" w:rsidRPr="007821DB" w:rsidRDefault="00935143" w:rsidP="00935143">
            <w:pPr>
              <w:pStyle w:val="Default"/>
              <w:jc w:val="both"/>
              <w:rPr>
                <w:sz w:val="22"/>
                <w:szCs w:val="22"/>
              </w:rPr>
            </w:pPr>
            <w:r w:rsidRPr="007821DB">
              <w:rPr>
                <w:sz w:val="22"/>
                <w:szCs w:val="22"/>
              </w:rPr>
              <w:t xml:space="preserve">42.7. įvykdytų viešųjų pirkimų, viršijančių tarptautinio pirkimo vertę, apibrėžta Lietuvos Respublikos viešųjų pirkimų įstatymo 11 straipsnyje, kurių prašoma finansuoti projekte suma viršija 175 000,00 Eur (vieną šimtą septyniasdešimt penkis tūkstančius eurų 00 ct), dokumentus; </w:t>
            </w:r>
          </w:p>
          <w:p w14:paraId="5E78A736" w14:textId="77777777" w:rsidR="00935143" w:rsidRPr="007821DB" w:rsidRDefault="00935143" w:rsidP="00A017B9">
            <w:pPr>
              <w:pStyle w:val="Default"/>
              <w:jc w:val="both"/>
              <w:rPr>
                <w:sz w:val="22"/>
                <w:szCs w:val="22"/>
              </w:rPr>
            </w:pPr>
          </w:p>
        </w:tc>
        <w:tc>
          <w:tcPr>
            <w:tcW w:w="4394" w:type="dxa"/>
          </w:tcPr>
          <w:p w14:paraId="14929FB4" w14:textId="77777777" w:rsidR="00935143" w:rsidRPr="007821DB" w:rsidRDefault="00935143" w:rsidP="00935143">
            <w:pPr>
              <w:pStyle w:val="Default"/>
              <w:jc w:val="both"/>
              <w:rPr>
                <w:sz w:val="22"/>
                <w:szCs w:val="22"/>
              </w:rPr>
            </w:pPr>
            <w:r w:rsidRPr="007821DB">
              <w:rPr>
                <w:sz w:val="22"/>
                <w:szCs w:val="22"/>
              </w:rPr>
              <w:t xml:space="preserve">Prašome 42.7 p. išdėstyti taip: </w:t>
            </w:r>
          </w:p>
          <w:p w14:paraId="580579C1" w14:textId="77777777" w:rsidR="00935143" w:rsidRPr="007821DB" w:rsidRDefault="00935143" w:rsidP="00935143">
            <w:pPr>
              <w:pStyle w:val="Default"/>
              <w:jc w:val="both"/>
              <w:rPr>
                <w:sz w:val="22"/>
                <w:szCs w:val="22"/>
              </w:rPr>
            </w:pPr>
            <w:r w:rsidRPr="007821DB">
              <w:rPr>
                <w:i/>
                <w:iCs/>
                <w:sz w:val="22"/>
                <w:szCs w:val="22"/>
              </w:rPr>
              <w:t xml:space="preserve">„įvykdytų viešųjų pirkimų, viršijančių tarptautinio pirkimo vertę, apibrėžtą Lietuvos Respublikos viešųjų pirkimų įstatymo 11 straipsnyje, kurių prašoma finansuoti projekte suma viršija 175 000,00 Eur (vieną šimtą septyniasdešimt penkis tūkstančius eurų 00 ct), dokumentus, jei šis pirkimas teikiant projekto paraišką yra įvykdytas.“ </w:t>
            </w:r>
          </w:p>
          <w:p w14:paraId="651CD83F" w14:textId="77777777" w:rsidR="00935143" w:rsidRPr="007821DB" w:rsidRDefault="00935143" w:rsidP="00935143">
            <w:pPr>
              <w:pStyle w:val="Default"/>
              <w:jc w:val="both"/>
              <w:rPr>
                <w:sz w:val="22"/>
                <w:szCs w:val="22"/>
              </w:rPr>
            </w:pPr>
            <w:r w:rsidRPr="007821DB">
              <w:rPr>
                <w:i/>
                <w:iCs/>
                <w:sz w:val="22"/>
                <w:szCs w:val="22"/>
              </w:rPr>
              <w:t xml:space="preserve">-- </w:t>
            </w:r>
          </w:p>
          <w:p w14:paraId="55B39B2E" w14:textId="1EA0E1C0" w:rsidR="00935143" w:rsidRPr="007821DB" w:rsidRDefault="00935143" w:rsidP="00935143">
            <w:pPr>
              <w:pStyle w:val="Default"/>
              <w:jc w:val="both"/>
              <w:rPr>
                <w:sz w:val="22"/>
                <w:szCs w:val="22"/>
              </w:rPr>
            </w:pPr>
            <w:r w:rsidRPr="007821DB">
              <w:rPr>
                <w:sz w:val="22"/>
                <w:szCs w:val="22"/>
              </w:rPr>
              <w:t>Atkreipiame dėmesį, kad nėra galimybės tenkinti PFSA 42.7 p. sąlygą per terminą, nuo valstybės projektų sąrašo sudarymo ir patvirtinimo iki numatomo termino pateikti paraiškas.</w:t>
            </w:r>
          </w:p>
        </w:tc>
        <w:tc>
          <w:tcPr>
            <w:tcW w:w="1559" w:type="dxa"/>
          </w:tcPr>
          <w:p w14:paraId="6655285F" w14:textId="70FD0677" w:rsidR="00935143" w:rsidRPr="007821DB" w:rsidRDefault="00935143" w:rsidP="00A47D63">
            <w:pPr>
              <w:jc w:val="center"/>
              <w:rPr>
                <w:rFonts w:ascii="Times New Roman" w:hAnsi="Times New Roman" w:cs="Times New Roman"/>
              </w:rPr>
            </w:pPr>
            <w:r w:rsidRPr="007821DB">
              <w:rPr>
                <w:rFonts w:ascii="Times New Roman" w:hAnsi="Times New Roman" w:cs="Times New Roman"/>
              </w:rPr>
              <w:t>Neatsižvelgta</w:t>
            </w:r>
          </w:p>
        </w:tc>
        <w:tc>
          <w:tcPr>
            <w:tcW w:w="3792" w:type="dxa"/>
          </w:tcPr>
          <w:p w14:paraId="2C486951" w14:textId="77777777" w:rsidR="00935143" w:rsidRPr="007821DB" w:rsidRDefault="00935143" w:rsidP="00935143">
            <w:pPr>
              <w:pStyle w:val="Komentarotekstas"/>
              <w:rPr>
                <w:sz w:val="22"/>
                <w:szCs w:val="22"/>
              </w:rPr>
            </w:pPr>
            <w:r w:rsidRPr="007821DB">
              <w:rPr>
                <w:sz w:val="22"/>
                <w:szCs w:val="22"/>
              </w:rPr>
              <w:t xml:space="preserve">Neteisingai interpretuojamos PFSA nuostatos, minėtas PFSA punktas nereikalauja įvykdyti tam tikrų pirkimų, o reikalauja pateikti „įvykdytų pirkimų“ dokumentus. Partnerio siūlomas papildymas nekeičia nuostatos esmės. 42.7 p. nurodytų pirkimų dokumentus pareiškėjas privalo pateikti su paraiška, jeigu tokia pirkimai įvykdyti. </w:t>
            </w:r>
          </w:p>
          <w:p w14:paraId="6BFABD98" w14:textId="77777777" w:rsidR="00935143" w:rsidRPr="007821DB" w:rsidRDefault="00935143" w:rsidP="000C2DF5">
            <w:pPr>
              <w:pStyle w:val="Komentarotekstas"/>
              <w:rPr>
                <w:sz w:val="22"/>
                <w:szCs w:val="22"/>
              </w:rPr>
            </w:pPr>
          </w:p>
        </w:tc>
      </w:tr>
      <w:tr w:rsidR="00935143" w:rsidRPr="007821DB" w14:paraId="4A3DF1F2" w14:textId="77777777" w:rsidTr="00BA166F">
        <w:tc>
          <w:tcPr>
            <w:tcW w:w="1430" w:type="dxa"/>
          </w:tcPr>
          <w:p w14:paraId="313C0B50" w14:textId="7348B5E7" w:rsidR="00935143"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678AD18B" w14:textId="4577AEE0" w:rsidR="00935143" w:rsidRPr="007821DB" w:rsidRDefault="00935143" w:rsidP="00A47D63">
            <w:pPr>
              <w:jc w:val="center"/>
              <w:rPr>
                <w:rFonts w:ascii="Times New Roman" w:hAnsi="Times New Roman" w:cs="Times New Roman"/>
              </w:rPr>
            </w:pPr>
            <w:r w:rsidRPr="007821DB">
              <w:rPr>
                <w:rFonts w:ascii="Times New Roman" w:hAnsi="Times New Roman" w:cs="Times New Roman"/>
              </w:rPr>
              <w:t>13</w:t>
            </w:r>
          </w:p>
        </w:tc>
        <w:tc>
          <w:tcPr>
            <w:tcW w:w="1843" w:type="dxa"/>
          </w:tcPr>
          <w:p w14:paraId="39E8A28F" w14:textId="77777777" w:rsidR="00935143" w:rsidRPr="007821DB" w:rsidRDefault="00935143" w:rsidP="00935143">
            <w:pPr>
              <w:pStyle w:val="Default"/>
              <w:jc w:val="both"/>
              <w:rPr>
                <w:sz w:val="22"/>
                <w:szCs w:val="22"/>
              </w:rPr>
            </w:pPr>
            <w:r w:rsidRPr="007821DB">
              <w:rPr>
                <w:sz w:val="22"/>
                <w:szCs w:val="22"/>
              </w:rPr>
              <w:t xml:space="preserve">60. 5 metus po projekto finansavimo pabaigos turi būti užtikrintas investicijų tęstinumas Projektų taisyklių 27 skirsnyje nustatyta tvarka. Pasibaigus projektams, kuriuose buvo apmokamas stojimo į tarptautinę MTEPI </w:t>
            </w:r>
            <w:r w:rsidRPr="007821DB">
              <w:rPr>
                <w:sz w:val="22"/>
                <w:szCs w:val="22"/>
              </w:rPr>
              <w:lastRenderedPageBreak/>
              <w:t xml:space="preserve">infrastruktūrą ir dalyvavimo joje mokestis, pareiškėjai šiuos mokesčius toliau įsipareigoja apmokėti savo lėšomis visą dalyvavimo toje infrastruktūroje laiką. </w:t>
            </w:r>
          </w:p>
          <w:p w14:paraId="5395BC1E" w14:textId="77777777" w:rsidR="00935143" w:rsidRPr="007821DB" w:rsidRDefault="00935143" w:rsidP="00935143">
            <w:pPr>
              <w:pStyle w:val="Default"/>
              <w:jc w:val="both"/>
              <w:rPr>
                <w:sz w:val="22"/>
                <w:szCs w:val="22"/>
              </w:rPr>
            </w:pPr>
          </w:p>
        </w:tc>
        <w:tc>
          <w:tcPr>
            <w:tcW w:w="4394" w:type="dxa"/>
          </w:tcPr>
          <w:p w14:paraId="15F50F22" w14:textId="77777777" w:rsidR="00935143" w:rsidRPr="007821DB" w:rsidRDefault="00935143" w:rsidP="00935143">
            <w:pPr>
              <w:pStyle w:val="Default"/>
              <w:jc w:val="both"/>
              <w:rPr>
                <w:sz w:val="22"/>
                <w:szCs w:val="22"/>
              </w:rPr>
            </w:pPr>
            <w:r w:rsidRPr="007821DB">
              <w:rPr>
                <w:sz w:val="22"/>
                <w:szCs w:val="22"/>
              </w:rPr>
              <w:lastRenderedPageBreak/>
              <w:t xml:space="preserve">Prašome 60 p. išdėstyti taip: </w:t>
            </w:r>
          </w:p>
          <w:p w14:paraId="7552565A" w14:textId="77777777" w:rsidR="00935143" w:rsidRPr="007821DB" w:rsidRDefault="00935143" w:rsidP="00935143">
            <w:pPr>
              <w:pStyle w:val="Default"/>
              <w:jc w:val="both"/>
              <w:rPr>
                <w:sz w:val="22"/>
                <w:szCs w:val="22"/>
              </w:rPr>
            </w:pPr>
            <w:r w:rsidRPr="007821DB">
              <w:rPr>
                <w:i/>
                <w:iCs/>
                <w:sz w:val="22"/>
                <w:szCs w:val="22"/>
              </w:rPr>
              <w:t xml:space="preserve">„5 metus po projekto finansavimo pabaigos turi būti užtikrintas investicijų tęstinumas Projektų taisyklių 27 skirsnyje nustatyta tvarka. Pasibaigus projektams, kuriuose buvo apmokamas stojimo į tarptautinę MTEPI infrastruktūrą ir dalyvavimo joje mokestis, pareiškėjai šiuos mokesčius toliau gali apmokėti pareiškėjo ir (arba) partnerio ir (arba) kitomis lėšomis visą dalyvavimo toje infrastruktūroje laiką.“ </w:t>
            </w:r>
          </w:p>
          <w:p w14:paraId="72C7B414" w14:textId="77777777" w:rsidR="00935143" w:rsidRPr="007821DB" w:rsidRDefault="00935143" w:rsidP="00935143">
            <w:pPr>
              <w:pStyle w:val="Default"/>
              <w:jc w:val="both"/>
              <w:rPr>
                <w:sz w:val="22"/>
                <w:szCs w:val="22"/>
              </w:rPr>
            </w:pPr>
            <w:r w:rsidRPr="007821DB">
              <w:rPr>
                <w:sz w:val="22"/>
                <w:szCs w:val="22"/>
              </w:rPr>
              <w:t xml:space="preserve">-- </w:t>
            </w:r>
          </w:p>
          <w:p w14:paraId="325E9B5F" w14:textId="725446FE" w:rsidR="00935143" w:rsidRPr="007821DB" w:rsidRDefault="00935143" w:rsidP="00935143">
            <w:pPr>
              <w:pStyle w:val="Default"/>
              <w:jc w:val="both"/>
              <w:rPr>
                <w:sz w:val="22"/>
                <w:szCs w:val="22"/>
              </w:rPr>
            </w:pPr>
            <w:r w:rsidRPr="007821DB">
              <w:rPr>
                <w:sz w:val="22"/>
                <w:szCs w:val="22"/>
              </w:rPr>
              <w:t xml:space="preserve">Dėl dalyvavimo tarptautinėje mokslinių tyrimų infrastruktūroje (ESFRI) tęstinumo įsipareigojimus turėtų prisiimti ne tik projektą vykdanti institucija (-os), bet ir LR vyriausybė, nes narystė yra Lietuvos, o ne projektą </w:t>
            </w:r>
            <w:r w:rsidRPr="007821DB">
              <w:rPr>
                <w:sz w:val="22"/>
                <w:szCs w:val="22"/>
              </w:rPr>
              <w:lastRenderedPageBreak/>
              <w:t>vykdančios institucijos: stebėsenos rodiklio pasiekimo sąlyga – LRV nutarimas dėl Lietuvos narystės tarptautinėje MTEPI infrastruktūroje.</w:t>
            </w:r>
          </w:p>
        </w:tc>
        <w:tc>
          <w:tcPr>
            <w:tcW w:w="1559" w:type="dxa"/>
          </w:tcPr>
          <w:p w14:paraId="727B687F" w14:textId="247329A8" w:rsidR="00935143" w:rsidRPr="007821DB" w:rsidRDefault="00935143" w:rsidP="00A47D63">
            <w:pPr>
              <w:jc w:val="center"/>
              <w:rPr>
                <w:rFonts w:ascii="Times New Roman" w:hAnsi="Times New Roman" w:cs="Times New Roman"/>
              </w:rPr>
            </w:pPr>
            <w:r w:rsidRPr="007821DB">
              <w:rPr>
                <w:rFonts w:ascii="Times New Roman" w:hAnsi="Times New Roman" w:cs="Times New Roman"/>
              </w:rPr>
              <w:lastRenderedPageBreak/>
              <w:t>Neatsižvelgta</w:t>
            </w:r>
          </w:p>
        </w:tc>
        <w:tc>
          <w:tcPr>
            <w:tcW w:w="3792" w:type="dxa"/>
          </w:tcPr>
          <w:p w14:paraId="11C4B289" w14:textId="77777777" w:rsidR="00935143" w:rsidRPr="007821DB" w:rsidRDefault="00935143" w:rsidP="00935143">
            <w:pPr>
              <w:pStyle w:val="Komentarotekstas"/>
              <w:rPr>
                <w:sz w:val="22"/>
                <w:szCs w:val="22"/>
              </w:rPr>
            </w:pPr>
            <w:r w:rsidRPr="007821DB">
              <w:rPr>
                <w:sz w:val="22"/>
                <w:szCs w:val="22"/>
              </w:rPr>
              <w:t xml:space="preserve">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71 straipsnyje nustatyta investicijų išlaikymo prievolė, kurią </w:t>
            </w:r>
            <w:r w:rsidRPr="007821DB">
              <w:rPr>
                <w:sz w:val="22"/>
                <w:szCs w:val="22"/>
                <w:u w:val="single"/>
              </w:rPr>
              <w:t xml:space="preserve">projekto </w:t>
            </w:r>
            <w:r w:rsidRPr="007821DB">
              <w:rPr>
                <w:sz w:val="22"/>
                <w:szCs w:val="22"/>
                <w:u w:val="single"/>
              </w:rPr>
              <w:lastRenderedPageBreak/>
              <w:t>vykdytojas</w:t>
            </w:r>
            <w:r w:rsidRPr="007821DB">
              <w:rPr>
                <w:sz w:val="22"/>
                <w:szCs w:val="22"/>
              </w:rPr>
              <w:t xml:space="preserve"> privalo įvykdyti po projekto finansavimo pabaigos. </w:t>
            </w:r>
          </w:p>
          <w:p w14:paraId="4201E4CC" w14:textId="77777777" w:rsidR="00935143" w:rsidRPr="007821DB" w:rsidRDefault="00935143" w:rsidP="00935143">
            <w:pPr>
              <w:pStyle w:val="Komentarotekstas"/>
              <w:rPr>
                <w:sz w:val="22"/>
                <w:szCs w:val="22"/>
              </w:rPr>
            </w:pPr>
            <w:r w:rsidRPr="007821DB">
              <w:rPr>
                <w:sz w:val="22"/>
                <w:szCs w:val="22"/>
              </w:rPr>
              <w:t xml:space="preserve">Prievolė projekto vykdytojui užtikrinti investicijų tęstinumą 5 m. po projekto įgyvendinimo nustatyta PAFT 338 p. </w:t>
            </w:r>
          </w:p>
          <w:p w14:paraId="0364B9F1" w14:textId="77777777" w:rsidR="00935143" w:rsidRPr="007821DB" w:rsidRDefault="00935143" w:rsidP="00935143">
            <w:pPr>
              <w:pStyle w:val="Komentarotekstas"/>
              <w:rPr>
                <w:sz w:val="22"/>
                <w:szCs w:val="22"/>
              </w:rPr>
            </w:pPr>
          </w:p>
        </w:tc>
      </w:tr>
      <w:tr w:rsidR="00724EB7" w:rsidRPr="007821DB" w14:paraId="5D97D0D6" w14:textId="77777777" w:rsidTr="00BA166F">
        <w:tc>
          <w:tcPr>
            <w:tcW w:w="1430" w:type="dxa"/>
          </w:tcPr>
          <w:p w14:paraId="7E019B37" w14:textId="47774B44" w:rsidR="00724EB7"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lastRenderedPageBreak/>
              <w:t>Vilniaus universitetas</w:t>
            </w:r>
          </w:p>
        </w:tc>
        <w:tc>
          <w:tcPr>
            <w:tcW w:w="975" w:type="dxa"/>
          </w:tcPr>
          <w:p w14:paraId="1EAC888A" w14:textId="24337AE9" w:rsidR="00724EB7" w:rsidRPr="007821DB" w:rsidRDefault="00724EB7" w:rsidP="00A47D63">
            <w:pPr>
              <w:jc w:val="center"/>
              <w:rPr>
                <w:rFonts w:ascii="Times New Roman" w:hAnsi="Times New Roman" w:cs="Times New Roman"/>
              </w:rPr>
            </w:pPr>
            <w:r w:rsidRPr="007821DB">
              <w:rPr>
                <w:rFonts w:ascii="Times New Roman" w:hAnsi="Times New Roman" w:cs="Times New Roman"/>
              </w:rPr>
              <w:t>14</w:t>
            </w:r>
          </w:p>
        </w:tc>
        <w:tc>
          <w:tcPr>
            <w:tcW w:w="1843" w:type="dxa"/>
          </w:tcPr>
          <w:p w14:paraId="5BFEDDD6" w14:textId="5E8D9405" w:rsidR="00724EB7" w:rsidRPr="007821DB" w:rsidRDefault="00724EB7" w:rsidP="00935143">
            <w:pPr>
              <w:pStyle w:val="Default"/>
              <w:jc w:val="both"/>
              <w:rPr>
                <w:sz w:val="22"/>
                <w:szCs w:val="22"/>
              </w:rPr>
            </w:pPr>
            <w:r w:rsidRPr="007821DB">
              <w:rPr>
                <w:sz w:val="22"/>
                <w:szCs w:val="22"/>
              </w:rPr>
              <w:t>63. Pareiškėjas ir partneris turi užtikrinti, kad projekto įgyvendinimo metu ir naudojant projekto metu sukurtus rezultatus nebus teikiama netiesioginė valstybės pagalba kitiems juridiniams asmenims.</w:t>
            </w:r>
          </w:p>
        </w:tc>
        <w:tc>
          <w:tcPr>
            <w:tcW w:w="4394" w:type="dxa"/>
          </w:tcPr>
          <w:p w14:paraId="2F5D56C2" w14:textId="77777777" w:rsidR="00724EB7" w:rsidRPr="007821DB" w:rsidRDefault="00724EB7" w:rsidP="00724EB7">
            <w:pPr>
              <w:pStyle w:val="Default"/>
              <w:jc w:val="both"/>
              <w:rPr>
                <w:sz w:val="22"/>
                <w:szCs w:val="22"/>
              </w:rPr>
            </w:pPr>
            <w:r w:rsidRPr="007821DB">
              <w:rPr>
                <w:sz w:val="22"/>
                <w:szCs w:val="22"/>
              </w:rPr>
              <w:t xml:space="preserve">Prašome papildyti punktą nurodant, kokiam laikotarpiui po projekto veiklų pabaigos naudojant projekto metu sukurtus rezultatus taikomos 63 p. apibrėžtos nuostatos. </w:t>
            </w:r>
          </w:p>
          <w:p w14:paraId="5B91546D" w14:textId="77777777" w:rsidR="00724EB7" w:rsidRPr="007821DB" w:rsidRDefault="00724EB7" w:rsidP="00935143">
            <w:pPr>
              <w:pStyle w:val="Default"/>
              <w:jc w:val="both"/>
              <w:rPr>
                <w:sz w:val="22"/>
                <w:szCs w:val="22"/>
              </w:rPr>
            </w:pPr>
          </w:p>
        </w:tc>
        <w:tc>
          <w:tcPr>
            <w:tcW w:w="1559" w:type="dxa"/>
          </w:tcPr>
          <w:p w14:paraId="7160B2D6" w14:textId="6B84637A" w:rsidR="00724EB7" w:rsidRPr="007821DB" w:rsidRDefault="00724EB7" w:rsidP="00A47D63">
            <w:pPr>
              <w:jc w:val="center"/>
              <w:rPr>
                <w:rFonts w:ascii="Times New Roman" w:hAnsi="Times New Roman" w:cs="Times New Roman"/>
              </w:rPr>
            </w:pPr>
            <w:r w:rsidRPr="007821DB">
              <w:rPr>
                <w:rFonts w:ascii="Times New Roman" w:hAnsi="Times New Roman" w:cs="Times New Roman"/>
              </w:rPr>
              <w:t>Atsižvelgta</w:t>
            </w:r>
          </w:p>
        </w:tc>
        <w:tc>
          <w:tcPr>
            <w:tcW w:w="3792" w:type="dxa"/>
          </w:tcPr>
          <w:p w14:paraId="25B9A265" w14:textId="1DB87AB4" w:rsidR="00724EB7" w:rsidRPr="007821DB" w:rsidRDefault="00724EB7" w:rsidP="00724EB7">
            <w:pPr>
              <w:pStyle w:val="Komentarotekstas"/>
              <w:rPr>
                <w:sz w:val="22"/>
                <w:szCs w:val="22"/>
              </w:rPr>
            </w:pPr>
            <w:r w:rsidRPr="007821DB">
              <w:rPr>
                <w:sz w:val="22"/>
                <w:szCs w:val="22"/>
              </w:rPr>
              <w:t xml:space="preserve">Mūsų nuomone, šis reikalavimas turėtų būti taikomas ne trumpesniam laikotarpiui nei projekto ataskaitinis laikotarpis, t.y. metų, kuriems pateikiamos projekto investicijų, veiklos išlaidų, veiklos pajamų, mokesčių, finansavimo bei socialinės-ekonominės naudos (žalos) prognozės, skaičius. </w:t>
            </w:r>
          </w:p>
        </w:tc>
      </w:tr>
      <w:tr w:rsidR="00183326" w:rsidRPr="007821DB" w14:paraId="0A1331F8" w14:textId="77777777" w:rsidTr="00BA166F">
        <w:tc>
          <w:tcPr>
            <w:tcW w:w="1430" w:type="dxa"/>
          </w:tcPr>
          <w:p w14:paraId="6121F623" w14:textId="468F3C5B" w:rsidR="00183326" w:rsidRPr="007821DB" w:rsidRDefault="007821DB" w:rsidP="00A47D63">
            <w:pPr>
              <w:jc w:val="center"/>
              <w:rPr>
                <w:rFonts w:ascii="Times New Roman" w:eastAsia="Calibri" w:hAnsi="Times New Roman" w:cs="Times New Roman"/>
              </w:rPr>
            </w:pPr>
            <w:r w:rsidRPr="007821DB">
              <w:rPr>
                <w:rFonts w:ascii="Times New Roman" w:hAnsi="Times New Roman" w:cs="Times New Roman"/>
              </w:rPr>
              <w:t>Vilniaus universitetas</w:t>
            </w:r>
          </w:p>
        </w:tc>
        <w:tc>
          <w:tcPr>
            <w:tcW w:w="975" w:type="dxa"/>
          </w:tcPr>
          <w:p w14:paraId="6EEC8EFA" w14:textId="1D70AE78" w:rsidR="00183326" w:rsidRPr="007821DB" w:rsidRDefault="00183326" w:rsidP="00A47D63">
            <w:pPr>
              <w:jc w:val="center"/>
              <w:rPr>
                <w:rFonts w:ascii="Times New Roman" w:hAnsi="Times New Roman" w:cs="Times New Roman"/>
              </w:rPr>
            </w:pPr>
            <w:r w:rsidRPr="007821DB">
              <w:rPr>
                <w:rFonts w:ascii="Times New Roman" w:hAnsi="Times New Roman" w:cs="Times New Roman"/>
              </w:rPr>
              <w:t>15</w:t>
            </w:r>
          </w:p>
        </w:tc>
        <w:tc>
          <w:tcPr>
            <w:tcW w:w="1843" w:type="dxa"/>
          </w:tcPr>
          <w:p w14:paraId="18E1540E" w14:textId="77777777" w:rsidR="007821DB" w:rsidRPr="007821DB" w:rsidRDefault="007821DB" w:rsidP="007821DB">
            <w:pPr>
              <w:pStyle w:val="Default"/>
              <w:jc w:val="both"/>
              <w:rPr>
                <w:sz w:val="22"/>
                <w:szCs w:val="22"/>
              </w:rPr>
            </w:pPr>
            <w:r w:rsidRPr="007821DB">
              <w:rPr>
                <w:sz w:val="22"/>
                <w:szCs w:val="22"/>
              </w:rPr>
              <w:t xml:space="preserve">64. Laikoma, kad netiesioginė valstybės pagalba per mokslo ir studijų instituciją kitiems juridiniams asmenims neperduodama, jeigu tenkinama viena iš šių sąlygų: </w:t>
            </w:r>
          </w:p>
          <w:p w14:paraId="17624FF7" w14:textId="77777777" w:rsidR="007821DB" w:rsidRPr="007821DB" w:rsidRDefault="007821DB" w:rsidP="007821DB">
            <w:pPr>
              <w:pStyle w:val="Default"/>
              <w:jc w:val="both"/>
              <w:rPr>
                <w:sz w:val="22"/>
                <w:szCs w:val="22"/>
              </w:rPr>
            </w:pPr>
            <w:r w:rsidRPr="007821DB">
              <w:rPr>
                <w:sz w:val="22"/>
                <w:szCs w:val="22"/>
              </w:rPr>
              <w:t xml:space="preserve">64.1. rezultatai, kuriems </w:t>
            </w:r>
            <w:r w:rsidRPr="007821DB">
              <w:rPr>
                <w:sz w:val="22"/>
                <w:szCs w:val="22"/>
              </w:rPr>
              <w:lastRenderedPageBreak/>
              <w:t xml:space="preserve">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w:t>
            </w:r>
          </w:p>
          <w:p w14:paraId="31A27705" w14:textId="77777777" w:rsidR="007821DB" w:rsidRPr="007821DB" w:rsidRDefault="007821DB" w:rsidP="007821DB">
            <w:pPr>
              <w:pStyle w:val="Default"/>
              <w:jc w:val="both"/>
              <w:rPr>
                <w:sz w:val="22"/>
                <w:szCs w:val="22"/>
              </w:rPr>
            </w:pPr>
            <w:r w:rsidRPr="007821DB">
              <w:rPr>
                <w:sz w:val="22"/>
                <w:szCs w:val="22"/>
              </w:rPr>
              <w:t xml:space="preserve">įskaitant jų licencijavimą; </w:t>
            </w:r>
          </w:p>
          <w:p w14:paraId="04360D1A" w14:textId="40BCCED0" w:rsidR="00183326" w:rsidRPr="007821DB" w:rsidRDefault="007821DB" w:rsidP="007821DB">
            <w:pPr>
              <w:pStyle w:val="Default"/>
              <w:jc w:val="both"/>
              <w:rPr>
                <w:sz w:val="22"/>
                <w:szCs w:val="22"/>
              </w:rPr>
            </w:pPr>
            <w:r w:rsidRPr="007821DB">
              <w:rPr>
                <w:sz w:val="22"/>
                <w:szCs w:val="22"/>
              </w:rPr>
              <w:t xml:space="preserve">64.2. kai mokslo ir studijų institucija gauna juridinio </w:t>
            </w:r>
            <w:r w:rsidRPr="007821DB">
              <w:rPr>
                <w:sz w:val="22"/>
                <w:szCs w:val="22"/>
              </w:rPr>
              <w:lastRenderedPageBreak/>
              <w:t xml:space="preserve">asmens kompensaciją, lygią intelektinės nuosavybės teisių, kurios yra susijusios su mokslo ir studijų institucijos veikla įgyvendinant projektą ir kurios perduodamos projekte dalyvaujantiems juridiniams asmenims, rinkos kainai, t. y. kompensaciją uţ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w:t>
            </w:r>
            <w:r w:rsidRPr="007821DB">
              <w:rPr>
                <w:sz w:val="22"/>
                <w:szCs w:val="22"/>
              </w:rPr>
              <w:lastRenderedPageBreak/>
              <w:t>asmens įnašas dengiant mokslo ir studijų institucijos sąnaudas yra atimamas iš tokios kompensacijos.</w:t>
            </w:r>
          </w:p>
        </w:tc>
        <w:tc>
          <w:tcPr>
            <w:tcW w:w="4394" w:type="dxa"/>
          </w:tcPr>
          <w:p w14:paraId="458C5E30" w14:textId="77777777" w:rsidR="007821DB" w:rsidRPr="007821DB" w:rsidRDefault="007821DB" w:rsidP="007821DB">
            <w:pPr>
              <w:pStyle w:val="Default"/>
              <w:jc w:val="both"/>
              <w:rPr>
                <w:sz w:val="22"/>
                <w:szCs w:val="22"/>
              </w:rPr>
            </w:pPr>
            <w:r w:rsidRPr="007821DB">
              <w:rPr>
                <w:sz w:val="22"/>
                <w:szCs w:val="22"/>
              </w:rPr>
              <w:lastRenderedPageBreak/>
              <w:t xml:space="preserve">Prašome 64 p. išdėstyti taip: </w:t>
            </w:r>
          </w:p>
          <w:p w14:paraId="350624D7" w14:textId="77777777" w:rsidR="007821DB" w:rsidRPr="007821DB" w:rsidRDefault="007821DB" w:rsidP="007821DB">
            <w:pPr>
              <w:pStyle w:val="Default"/>
              <w:jc w:val="both"/>
              <w:rPr>
                <w:sz w:val="22"/>
                <w:szCs w:val="22"/>
              </w:rPr>
            </w:pPr>
            <w:r w:rsidRPr="007821DB">
              <w:rPr>
                <w:i/>
                <w:iCs/>
                <w:sz w:val="22"/>
                <w:szCs w:val="22"/>
              </w:rPr>
              <w:t xml:space="preserve">64. Laikoma, kad netiesioginė valstybės pagalba per mokslo ir studijų instituciją ar universiteto ligoninę, dalyvaujančią partnerio teisėmis, kitiems juridiniams asmenims neperduodama, jeigu tenkinama viena iš šių sąlygų: </w:t>
            </w:r>
          </w:p>
          <w:p w14:paraId="47C017EF" w14:textId="77777777" w:rsidR="007821DB" w:rsidRPr="007821DB" w:rsidRDefault="007821DB" w:rsidP="007821DB">
            <w:pPr>
              <w:pStyle w:val="Default"/>
              <w:jc w:val="both"/>
              <w:rPr>
                <w:sz w:val="22"/>
                <w:szCs w:val="22"/>
              </w:rPr>
            </w:pPr>
            <w:r w:rsidRPr="007821DB">
              <w:rPr>
                <w:i/>
                <w:iCs/>
                <w:sz w:val="22"/>
                <w:szCs w:val="22"/>
              </w:rPr>
              <w:t xml:space="preserve">64.1. rezultatai, kuriems netaikomos intelektinės nuosavybės teisės, gali būti plačiai skleidžiami ir visos intelektinės nuosavybės teisės į MTEP ir naujovių diegimo rezultatus, susijusius su mokslo ir studijų institucijos </w:t>
            </w:r>
            <w:r w:rsidRPr="007821DB">
              <w:rPr>
                <w:i/>
                <w:iCs/>
                <w:color w:val="0070C0"/>
                <w:sz w:val="22"/>
                <w:szCs w:val="22"/>
              </w:rPr>
              <w:t xml:space="preserve">ar universiteto ligoninės </w:t>
            </w:r>
            <w:r w:rsidRPr="007821DB">
              <w:rPr>
                <w:i/>
                <w:iCs/>
                <w:sz w:val="22"/>
                <w:szCs w:val="22"/>
              </w:rPr>
              <w:t>veikla projekte</w:t>
            </w:r>
            <w:r w:rsidRPr="007821DB">
              <w:rPr>
                <w:bCs/>
                <w:i/>
                <w:iCs/>
                <w:sz w:val="22"/>
                <w:szCs w:val="22"/>
              </w:rPr>
              <w:t xml:space="preserve">, yra visiškai suteikiamos mokslo ir studijų </w:t>
            </w:r>
            <w:r w:rsidRPr="007821DB">
              <w:rPr>
                <w:bCs/>
                <w:i/>
                <w:iCs/>
                <w:sz w:val="22"/>
                <w:szCs w:val="22"/>
              </w:rPr>
              <w:lastRenderedPageBreak/>
              <w:t xml:space="preserve">institucijai </w:t>
            </w:r>
            <w:r w:rsidRPr="007821DB">
              <w:rPr>
                <w:i/>
                <w:iCs/>
                <w:color w:val="0070C0"/>
                <w:sz w:val="22"/>
                <w:szCs w:val="22"/>
              </w:rPr>
              <w:t>ar universiteto ligoninei</w:t>
            </w:r>
            <w:r w:rsidRPr="007821DB">
              <w:rPr>
                <w:i/>
                <w:iCs/>
                <w:sz w:val="22"/>
                <w:szCs w:val="22"/>
              </w:rPr>
              <w:t xml:space="preserve">, t. y. mokslo ir studijų institucija </w:t>
            </w:r>
            <w:r w:rsidRPr="007821DB">
              <w:rPr>
                <w:i/>
                <w:iCs/>
                <w:color w:val="0070C0"/>
                <w:sz w:val="22"/>
                <w:szCs w:val="22"/>
              </w:rPr>
              <w:t xml:space="preserve">ar universiteto ligoninė </w:t>
            </w:r>
            <w:r w:rsidRPr="007821DB">
              <w:rPr>
                <w:i/>
                <w:iCs/>
                <w:sz w:val="22"/>
                <w:szCs w:val="22"/>
              </w:rPr>
              <w:t xml:space="preserve">gauna visą šių teisių teikiamą ekonominę naudą ir pasilieka teisę jomis visomis </w:t>
            </w:r>
          </w:p>
          <w:p w14:paraId="2F62FEC5" w14:textId="77777777" w:rsidR="007821DB" w:rsidRPr="007821DB" w:rsidRDefault="007821DB" w:rsidP="007821DB">
            <w:pPr>
              <w:pStyle w:val="Default"/>
              <w:jc w:val="both"/>
              <w:rPr>
                <w:sz w:val="22"/>
                <w:szCs w:val="22"/>
              </w:rPr>
            </w:pPr>
            <w:r w:rsidRPr="007821DB">
              <w:rPr>
                <w:i/>
                <w:iCs/>
                <w:sz w:val="22"/>
                <w:szCs w:val="22"/>
              </w:rPr>
              <w:t xml:space="preserve">naudotis, ypač nuosavybės teise ir licencijos teise; šios sąlygos taip pat gali būti įvykdytos, jeigu mokslo ir studijų institucija ar </w:t>
            </w:r>
            <w:r w:rsidRPr="007821DB">
              <w:rPr>
                <w:i/>
                <w:iCs/>
                <w:color w:val="0070C0"/>
                <w:sz w:val="22"/>
                <w:szCs w:val="22"/>
              </w:rPr>
              <w:t xml:space="preserve">universiteto ligoninė </w:t>
            </w:r>
            <w:r w:rsidRPr="007821DB">
              <w:rPr>
                <w:i/>
                <w:iCs/>
                <w:sz w:val="22"/>
                <w:szCs w:val="22"/>
              </w:rPr>
              <w:t xml:space="preserve">nusprendžia toliau sudaryti sutartis dėl šių teisių, įskaitant jų licencijavimą; </w:t>
            </w:r>
          </w:p>
          <w:p w14:paraId="03D4A855" w14:textId="77777777" w:rsidR="007821DB" w:rsidRPr="007821DB" w:rsidRDefault="007821DB" w:rsidP="007821DB">
            <w:pPr>
              <w:pStyle w:val="Default"/>
              <w:jc w:val="both"/>
              <w:rPr>
                <w:sz w:val="22"/>
                <w:szCs w:val="22"/>
              </w:rPr>
            </w:pPr>
            <w:r w:rsidRPr="007821DB">
              <w:rPr>
                <w:sz w:val="22"/>
                <w:szCs w:val="22"/>
              </w:rPr>
              <w:t xml:space="preserve">64.2. kai mokslo ir studijų institucija </w:t>
            </w:r>
            <w:r w:rsidRPr="007821DB">
              <w:rPr>
                <w:i/>
                <w:iCs/>
                <w:sz w:val="22"/>
                <w:szCs w:val="22"/>
              </w:rPr>
              <w:t xml:space="preserve">ar </w:t>
            </w:r>
            <w:r w:rsidRPr="007821DB">
              <w:rPr>
                <w:i/>
                <w:iCs/>
                <w:color w:val="0070C0"/>
                <w:sz w:val="22"/>
                <w:szCs w:val="22"/>
              </w:rPr>
              <w:t xml:space="preserve">universiteto ligoninė </w:t>
            </w:r>
            <w:r w:rsidRPr="007821DB">
              <w:rPr>
                <w:sz w:val="22"/>
                <w:szCs w:val="22"/>
              </w:rPr>
              <w:t xml:space="preserve">gauna juridinio asmens kompensaciją, lygią intelektinės nuosavybės teisių, kurios yra susijusios su mokslo ir studijų institucijos </w:t>
            </w:r>
            <w:r w:rsidRPr="007821DB">
              <w:rPr>
                <w:i/>
                <w:iCs/>
                <w:sz w:val="22"/>
                <w:szCs w:val="22"/>
              </w:rPr>
              <w:t xml:space="preserve">ar </w:t>
            </w:r>
            <w:r w:rsidRPr="007821DB">
              <w:rPr>
                <w:i/>
                <w:iCs/>
                <w:color w:val="0070C0"/>
                <w:sz w:val="22"/>
                <w:szCs w:val="22"/>
              </w:rPr>
              <w:t>universiteto ligoninės</w:t>
            </w:r>
            <w:r w:rsidRPr="007821DB">
              <w:rPr>
                <w:i/>
                <w:iCs/>
                <w:sz w:val="22"/>
                <w:szCs w:val="22"/>
              </w:rPr>
              <w:t xml:space="preserve"> </w:t>
            </w:r>
            <w:r w:rsidRPr="007821DB">
              <w:rPr>
                <w:sz w:val="22"/>
                <w:szCs w:val="22"/>
              </w:rPr>
              <w:t xml:space="preserve">veikla įgyvendinant projektą ir kurios perduodamos projekte dalyvaujantiems juridiniams asmenims, rinkos kainai, t. y. kompensaciją uţ visą tų teisių teikiamą ekonominę naudą; vadovaujantis bendraisiais valstybės pagalbos principais ir atsižvelgiant į tai, kad intelektinės nuosavybės teisių rinkos kainą objektyviai nustatyti sunku, ši sąlyga laikoma įvykdyta, jeigu mokslo ir studijų institucija </w:t>
            </w:r>
            <w:r w:rsidRPr="007821DB">
              <w:rPr>
                <w:i/>
                <w:iCs/>
                <w:sz w:val="22"/>
                <w:szCs w:val="22"/>
              </w:rPr>
              <w:t xml:space="preserve">ar </w:t>
            </w:r>
            <w:r w:rsidRPr="007821DB">
              <w:rPr>
                <w:i/>
                <w:iCs/>
                <w:color w:val="0070C0"/>
                <w:sz w:val="22"/>
                <w:szCs w:val="22"/>
              </w:rPr>
              <w:t>universiteto ligoninė</w:t>
            </w:r>
            <w:r w:rsidRPr="007821DB">
              <w:rPr>
                <w:sz w:val="22"/>
                <w:szCs w:val="22"/>
              </w:rPr>
              <w:t xml:space="preserve">, kaip pardavėja, derėsis, kad gautų didžiausią naudą sutarties sudarymo metu. Bet kuris juridinio asmens įnašas dengiant mokslo ir studijų institucijos </w:t>
            </w:r>
            <w:r w:rsidRPr="007821DB">
              <w:rPr>
                <w:i/>
                <w:iCs/>
                <w:color w:val="0070C0"/>
                <w:sz w:val="22"/>
                <w:szCs w:val="22"/>
              </w:rPr>
              <w:t xml:space="preserve">ar universiteto ligoninės </w:t>
            </w:r>
            <w:r w:rsidRPr="007821DB">
              <w:rPr>
                <w:sz w:val="22"/>
                <w:szCs w:val="22"/>
              </w:rPr>
              <w:t xml:space="preserve">sąnaudas yra atimamas iš tokios kompensacijos. </w:t>
            </w:r>
          </w:p>
          <w:p w14:paraId="28A150B9" w14:textId="104A736A" w:rsidR="00183326" w:rsidRPr="007821DB" w:rsidRDefault="007821DB" w:rsidP="007821DB">
            <w:pPr>
              <w:pStyle w:val="Default"/>
              <w:jc w:val="both"/>
              <w:rPr>
                <w:sz w:val="22"/>
                <w:szCs w:val="22"/>
              </w:rPr>
            </w:pPr>
            <w:r w:rsidRPr="007821DB">
              <w:rPr>
                <w:sz w:val="22"/>
                <w:szCs w:val="22"/>
              </w:rPr>
              <w:t>63 p. nustatyta, kad „Pareiškėjas ir partneris turi užtikrinti, kad projekto įgyvendinimo metu ir naudojant projekto metu sukurtus rezultatus nebus teikiama netiesioginė valstybės pagalba kitiems juridiniams asmenims“. Tarp projekto „Žmogaus biologinių išteklių centras (HBRC)“ partnerių yra mokslo ir studijų institucijos – universitetai, mokslinių tyrimų institutai - bei universiteto ligoninės.</w:t>
            </w:r>
          </w:p>
        </w:tc>
        <w:tc>
          <w:tcPr>
            <w:tcW w:w="1559" w:type="dxa"/>
          </w:tcPr>
          <w:p w14:paraId="4FA29E7A" w14:textId="72FCFFFE" w:rsidR="00183326" w:rsidRPr="007821DB" w:rsidRDefault="007821DB" w:rsidP="00A47D63">
            <w:pPr>
              <w:jc w:val="center"/>
              <w:rPr>
                <w:rFonts w:ascii="Times New Roman" w:hAnsi="Times New Roman" w:cs="Times New Roman"/>
              </w:rPr>
            </w:pPr>
            <w:r w:rsidRPr="007821DB">
              <w:rPr>
                <w:rFonts w:ascii="Times New Roman" w:hAnsi="Times New Roman" w:cs="Times New Roman"/>
              </w:rPr>
              <w:lastRenderedPageBreak/>
              <w:t>Neatsižvelgta</w:t>
            </w:r>
          </w:p>
        </w:tc>
        <w:tc>
          <w:tcPr>
            <w:tcW w:w="3792" w:type="dxa"/>
          </w:tcPr>
          <w:p w14:paraId="2CA67CEC" w14:textId="612CF580" w:rsidR="00183326" w:rsidRPr="007821DB" w:rsidRDefault="007821DB" w:rsidP="00724EB7">
            <w:pPr>
              <w:pStyle w:val="Komentarotekstas"/>
              <w:rPr>
                <w:sz w:val="22"/>
                <w:szCs w:val="22"/>
              </w:rPr>
            </w:pPr>
            <w:r w:rsidRPr="007821DB">
              <w:rPr>
                <w:sz w:val="22"/>
                <w:szCs w:val="22"/>
              </w:rPr>
              <w:t>Siūloma palikti esamą formuluotę (kaip ir kituose MTEP PFSA), nišskiriant konkrečių partnerių.</w:t>
            </w:r>
          </w:p>
        </w:tc>
      </w:tr>
    </w:tbl>
    <w:p w14:paraId="7C72933E" w14:textId="77777777" w:rsidR="001737A5" w:rsidRPr="007821DB" w:rsidRDefault="001737A5">
      <w:pPr>
        <w:rPr>
          <w:rFonts w:ascii="Times New Roman" w:hAnsi="Times New Roman" w:cs="Times New Roman"/>
        </w:rPr>
      </w:pPr>
    </w:p>
    <w:p w14:paraId="52879A92" w14:textId="77777777" w:rsidR="00FD32AD" w:rsidRPr="007821DB" w:rsidRDefault="001737A5" w:rsidP="001737A5">
      <w:pPr>
        <w:tabs>
          <w:tab w:val="left" w:pos="6465"/>
        </w:tabs>
        <w:rPr>
          <w:rFonts w:ascii="Times New Roman" w:hAnsi="Times New Roman" w:cs="Times New Roman"/>
        </w:rPr>
      </w:pPr>
      <w:r w:rsidRPr="007821DB">
        <w:rPr>
          <w:rFonts w:ascii="Times New Roman" w:hAnsi="Times New Roman" w:cs="Times New Roman"/>
        </w:rPr>
        <w:tab/>
        <w:t>______________________</w:t>
      </w:r>
    </w:p>
    <w:sectPr w:rsidR="00FD32AD" w:rsidRPr="007821DB"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2E5"/>
    <w:multiLevelType w:val="hybridMultilevel"/>
    <w:tmpl w:val="231C4414"/>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3"/>
  </w:num>
  <w:num w:numId="5">
    <w:abstractNumId w:val="2"/>
  </w:num>
  <w:num w:numId="6">
    <w:abstractNumId w:val="1"/>
  </w:num>
  <w:num w:numId="7">
    <w:abstractNumId w:val="4"/>
  </w:num>
  <w:num w:numId="8">
    <w:abstractNumId w:val="5"/>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518B"/>
    <w:rsid w:val="00045CFA"/>
    <w:rsid w:val="000B4D22"/>
    <w:rsid w:val="000C2DF5"/>
    <w:rsid w:val="000D38C1"/>
    <w:rsid w:val="000E5235"/>
    <w:rsid w:val="00125841"/>
    <w:rsid w:val="00142318"/>
    <w:rsid w:val="001737A5"/>
    <w:rsid w:val="00177ACF"/>
    <w:rsid w:val="00183326"/>
    <w:rsid w:val="001C5ADD"/>
    <w:rsid w:val="001F44A3"/>
    <w:rsid w:val="00200C98"/>
    <w:rsid w:val="002203EC"/>
    <w:rsid w:val="00233EE3"/>
    <w:rsid w:val="00240127"/>
    <w:rsid w:val="002535C1"/>
    <w:rsid w:val="00283CB2"/>
    <w:rsid w:val="002A4A1F"/>
    <w:rsid w:val="00324059"/>
    <w:rsid w:val="00336BD1"/>
    <w:rsid w:val="00350834"/>
    <w:rsid w:val="00350C00"/>
    <w:rsid w:val="00371782"/>
    <w:rsid w:val="003802F2"/>
    <w:rsid w:val="003C4407"/>
    <w:rsid w:val="003D1571"/>
    <w:rsid w:val="00406FB3"/>
    <w:rsid w:val="004369D0"/>
    <w:rsid w:val="00452243"/>
    <w:rsid w:val="004712CF"/>
    <w:rsid w:val="00472E2A"/>
    <w:rsid w:val="00495AB0"/>
    <w:rsid w:val="004E69EB"/>
    <w:rsid w:val="005330FC"/>
    <w:rsid w:val="00562CE1"/>
    <w:rsid w:val="00584778"/>
    <w:rsid w:val="00590CE1"/>
    <w:rsid w:val="005D0367"/>
    <w:rsid w:val="00601B1E"/>
    <w:rsid w:val="00605001"/>
    <w:rsid w:val="006063EC"/>
    <w:rsid w:val="00667CAB"/>
    <w:rsid w:val="006F13FD"/>
    <w:rsid w:val="00711BF5"/>
    <w:rsid w:val="007140C5"/>
    <w:rsid w:val="0072005F"/>
    <w:rsid w:val="00724EB7"/>
    <w:rsid w:val="007360BB"/>
    <w:rsid w:val="007540B7"/>
    <w:rsid w:val="0075612A"/>
    <w:rsid w:val="007821DB"/>
    <w:rsid w:val="008A4FCA"/>
    <w:rsid w:val="008B077E"/>
    <w:rsid w:val="008C4222"/>
    <w:rsid w:val="008E12BD"/>
    <w:rsid w:val="008F08B1"/>
    <w:rsid w:val="008F692B"/>
    <w:rsid w:val="00935143"/>
    <w:rsid w:val="00957A2F"/>
    <w:rsid w:val="009712B4"/>
    <w:rsid w:val="009D6BAD"/>
    <w:rsid w:val="009D783C"/>
    <w:rsid w:val="00A017B9"/>
    <w:rsid w:val="00A22B6C"/>
    <w:rsid w:val="00A473F4"/>
    <w:rsid w:val="00A47D63"/>
    <w:rsid w:val="00A527A2"/>
    <w:rsid w:val="00A6149B"/>
    <w:rsid w:val="00A75E77"/>
    <w:rsid w:val="00A76E30"/>
    <w:rsid w:val="00A9126D"/>
    <w:rsid w:val="00AA506B"/>
    <w:rsid w:val="00AA6924"/>
    <w:rsid w:val="00AD14AB"/>
    <w:rsid w:val="00AE17B3"/>
    <w:rsid w:val="00B027B6"/>
    <w:rsid w:val="00B5777E"/>
    <w:rsid w:val="00B678EB"/>
    <w:rsid w:val="00BA166F"/>
    <w:rsid w:val="00BB4DEF"/>
    <w:rsid w:val="00BC170B"/>
    <w:rsid w:val="00BC5ADE"/>
    <w:rsid w:val="00BD1EA9"/>
    <w:rsid w:val="00BF45C6"/>
    <w:rsid w:val="00C36ED9"/>
    <w:rsid w:val="00C539E4"/>
    <w:rsid w:val="00CA415B"/>
    <w:rsid w:val="00CB04C6"/>
    <w:rsid w:val="00CD383E"/>
    <w:rsid w:val="00CD3E00"/>
    <w:rsid w:val="00D24CF5"/>
    <w:rsid w:val="00D40B49"/>
    <w:rsid w:val="00D708C1"/>
    <w:rsid w:val="00D740B6"/>
    <w:rsid w:val="00D827FB"/>
    <w:rsid w:val="00D84755"/>
    <w:rsid w:val="00D84E47"/>
    <w:rsid w:val="00D857DB"/>
    <w:rsid w:val="00E13329"/>
    <w:rsid w:val="00E265CE"/>
    <w:rsid w:val="00E40276"/>
    <w:rsid w:val="00E5574C"/>
    <w:rsid w:val="00EC75C7"/>
    <w:rsid w:val="00ED4AF1"/>
    <w:rsid w:val="00EE6CDE"/>
    <w:rsid w:val="00EF366D"/>
    <w:rsid w:val="00F27488"/>
    <w:rsid w:val="00F326FF"/>
    <w:rsid w:val="00F66134"/>
    <w:rsid w:val="00F83EEE"/>
    <w:rsid w:val="00F968CD"/>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0481"/>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D708C1"/>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D84E47"/>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84E4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16</Pages>
  <Words>18822</Words>
  <Characters>10730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Čepas Vytautas</cp:lastModifiedBy>
  <cp:revision>8</cp:revision>
  <cp:lastPrinted>2016-03-30T06:30:00Z</cp:lastPrinted>
  <dcterms:created xsi:type="dcterms:W3CDTF">2016-08-23T07:11:00Z</dcterms:created>
  <dcterms:modified xsi:type="dcterms:W3CDTF">2016-08-23T11:22:00Z</dcterms:modified>
</cp:coreProperties>
</file>