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74C" w:rsidRPr="0075612A" w:rsidRDefault="00E5574C">
      <w:pPr>
        <w:rPr>
          <w:rFonts w:ascii="Segoe UI" w:hAnsi="Segoe UI" w:cs="Segoe UI"/>
          <w:sz w:val="20"/>
          <w:szCs w:val="20"/>
        </w:rPr>
      </w:pPr>
    </w:p>
    <w:p w:rsidR="00324059" w:rsidRPr="002203EC" w:rsidRDefault="00562CE1" w:rsidP="00A47D63">
      <w:pPr>
        <w:jc w:val="center"/>
        <w:rPr>
          <w:rFonts w:ascii="Times New Roman" w:hAnsi="Times New Roman" w:cs="Times New Roman"/>
          <w:sz w:val="24"/>
          <w:szCs w:val="24"/>
        </w:rPr>
      </w:pPr>
      <w:r w:rsidRPr="002203EC">
        <w:rPr>
          <w:rFonts w:ascii="Times New Roman" w:hAnsi="Times New Roman" w:cs="Times New Roman"/>
          <w:kern w:val="16"/>
          <w:sz w:val="24"/>
          <w:szCs w:val="24"/>
        </w:rPr>
        <w:t>2014–2020 metų Europos Sąjungos fondų</w:t>
      </w:r>
      <w:r w:rsidR="00F326FF" w:rsidRPr="002203EC">
        <w:rPr>
          <w:rFonts w:ascii="Times New Roman" w:hAnsi="Times New Roman" w:cs="Times New Roman"/>
          <w:kern w:val="16"/>
          <w:sz w:val="24"/>
          <w:szCs w:val="24"/>
        </w:rPr>
        <w:t xml:space="preserve"> investicijų veiksmų programos 1</w:t>
      </w:r>
      <w:r w:rsidRPr="002203EC">
        <w:rPr>
          <w:rFonts w:ascii="Times New Roman" w:hAnsi="Times New Roman" w:cs="Times New Roman"/>
          <w:kern w:val="16"/>
          <w:sz w:val="24"/>
          <w:szCs w:val="24"/>
        </w:rPr>
        <w:t xml:space="preserve"> prioriteto „</w:t>
      </w:r>
      <w:r w:rsidR="00F326FF" w:rsidRPr="002203EC">
        <w:rPr>
          <w:rFonts w:ascii="Times New Roman" w:hAnsi="Times New Roman"/>
          <w:sz w:val="24"/>
          <w:szCs w:val="24"/>
        </w:rPr>
        <w:t>Mokslinių tyrimų, eksperimentinės plėtros ir inovacijų skatinimas</w:t>
      </w:r>
      <w:r w:rsidR="00F326FF" w:rsidRPr="002203EC">
        <w:rPr>
          <w:rFonts w:ascii="Times New Roman" w:hAnsi="Times New Roman" w:cs="Times New Roman"/>
          <w:kern w:val="16"/>
          <w:sz w:val="24"/>
          <w:szCs w:val="24"/>
        </w:rPr>
        <w:t>“ 01.1</w:t>
      </w:r>
      <w:r w:rsidRPr="002203EC">
        <w:rPr>
          <w:rFonts w:ascii="Times New Roman" w:hAnsi="Times New Roman" w:cs="Times New Roman"/>
          <w:kern w:val="16"/>
          <w:sz w:val="24"/>
          <w:szCs w:val="24"/>
        </w:rPr>
        <w:t>.</w:t>
      </w:r>
      <w:r w:rsidR="00F326FF" w:rsidRPr="002203EC">
        <w:rPr>
          <w:rFonts w:ascii="Times New Roman" w:hAnsi="Times New Roman" w:cs="Times New Roman"/>
          <w:kern w:val="16"/>
          <w:sz w:val="24"/>
          <w:szCs w:val="24"/>
        </w:rPr>
        <w:t>1-CPVA-V-701</w:t>
      </w:r>
      <w:r w:rsidRPr="002203EC">
        <w:rPr>
          <w:rFonts w:ascii="Times New Roman" w:hAnsi="Times New Roman" w:cs="Times New Roman"/>
          <w:kern w:val="16"/>
          <w:sz w:val="24"/>
          <w:szCs w:val="24"/>
        </w:rPr>
        <w:t xml:space="preserve"> priemonės „</w:t>
      </w:r>
      <w:r w:rsidR="00F326FF" w:rsidRPr="002203EC">
        <w:rPr>
          <w:rFonts w:ascii="Times New Roman" w:hAnsi="Times New Roman"/>
          <w:sz w:val="24"/>
          <w:szCs w:val="24"/>
        </w:rPr>
        <w:t>Mokslinių tyrimų, eksperimentinės plėtros ir inovacijų infrastruktūros plėtra ir integracija į europines infrastruktūras</w:t>
      </w:r>
      <w:r w:rsidRPr="002203EC">
        <w:rPr>
          <w:rFonts w:ascii="Times New Roman" w:hAnsi="Times New Roman" w:cs="Times New Roman"/>
          <w:kern w:val="16"/>
          <w:sz w:val="24"/>
          <w:szCs w:val="24"/>
        </w:rPr>
        <w:t>“ projektų finansavimo sąlygų aprašo</w:t>
      </w:r>
      <w:r w:rsidR="00BF45C6" w:rsidRPr="002203EC">
        <w:rPr>
          <w:rFonts w:ascii="Times New Roman" w:hAnsi="Times New Roman" w:cs="Times New Roman"/>
          <w:kern w:val="16"/>
          <w:sz w:val="24"/>
          <w:szCs w:val="24"/>
        </w:rPr>
        <w:t xml:space="preserve"> </w:t>
      </w:r>
      <w:r w:rsidR="002203EC" w:rsidRPr="002203EC">
        <w:rPr>
          <w:rFonts w:ascii="Times New Roman" w:hAnsi="Times New Roman" w:cs="Times New Roman"/>
          <w:kern w:val="16"/>
          <w:sz w:val="24"/>
          <w:szCs w:val="24"/>
        </w:rPr>
        <w:t>Nr. 3</w:t>
      </w:r>
      <w:r w:rsidR="00A47D63" w:rsidRPr="002203EC">
        <w:rPr>
          <w:rFonts w:ascii="Times New Roman" w:hAnsi="Times New Roman" w:cs="Times New Roman"/>
          <w:sz w:val="24"/>
          <w:szCs w:val="24"/>
        </w:rPr>
        <w:t xml:space="preserve"> (toliau – PFSA) projekto pastabų derinimo lentelė</w:t>
      </w:r>
    </w:p>
    <w:tbl>
      <w:tblPr>
        <w:tblStyle w:val="Lentelstinklelis"/>
        <w:tblW w:w="14229" w:type="dxa"/>
        <w:tblLayout w:type="fixed"/>
        <w:tblLook w:val="04A0" w:firstRow="1" w:lastRow="0" w:firstColumn="1" w:lastColumn="0" w:noHBand="0" w:noVBand="1"/>
      </w:tblPr>
      <w:tblGrid>
        <w:gridCol w:w="1555"/>
        <w:gridCol w:w="944"/>
        <w:gridCol w:w="1985"/>
        <w:gridCol w:w="4583"/>
        <w:gridCol w:w="1701"/>
        <w:gridCol w:w="3461"/>
      </w:tblGrid>
      <w:tr w:rsidR="00A473F4" w:rsidTr="006366AF">
        <w:tc>
          <w:tcPr>
            <w:tcW w:w="1555"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Pastabos teikėjas</w:t>
            </w:r>
          </w:p>
        </w:tc>
        <w:tc>
          <w:tcPr>
            <w:tcW w:w="944" w:type="dxa"/>
          </w:tcPr>
          <w:p w:rsidR="00FC4965" w:rsidRDefault="00FC4965" w:rsidP="00A47D63">
            <w:pPr>
              <w:jc w:val="center"/>
              <w:rPr>
                <w:rFonts w:ascii="Times New Roman" w:hAnsi="Times New Roman" w:cs="Times New Roman"/>
                <w:b/>
                <w:sz w:val="24"/>
                <w:szCs w:val="24"/>
              </w:rPr>
            </w:pPr>
            <w:r w:rsidRPr="00A47D63">
              <w:rPr>
                <w:rFonts w:ascii="Times New Roman" w:hAnsi="Times New Roman" w:cs="Times New Roman"/>
                <w:b/>
                <w:sz w:val="24"/>
                <w:szCs w:val="24"/>
              </w:rPr>
              <w:t>Eil. Nr.</w:t>
            </w:r>
          </w:p>
        </w:tc>
        <w:tc>
          <w:tcPr>
            <w:tcW w:w="1985"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PFSA nuostatos, kurioms teikiama pastaba</w:t>
            </w:r>
          </w:p>
        </w:tc>
        <w:tc>
          <w:tcPr>
            <w:tcW w:w="4583" w:type="dxa"/>
          </w:tcPr>
          <w:p w:rsidR="00FC4965" w:rsidRDefault="00FC4965" w:rsidP="00A47D63">
            <w:pPr>
              <w:jc w:val="center"/>
              <w:rPr>
                <w:rFonts w:ascii="Times New Roman" w:hAnsi="Times New Roman" w:cs="Times New Roman"/>
                <w:b/>
                <w:sz w:val="24"/>
                <w:szCs w:val="24"/>
              </w:rPr>
            </w:pPr>
            <w:r w:rsidRPr="00A47D63">
              <w:rPr>
                <w:rFonts w:ascii="Times New Roman" w:hAnsi="Times New Roman" w:cs="Times New Roman"/>
                <w:b/>
                <w:sz w:val="24"/>
                <w:szCs w:val="24"/>
              </w:rPr>
              <w:t>Komentarai/pasiūlymai</w:t>
            </w:r>
          </w:p>
        </w:tc>
        <w:tc>
          <w:tcPr>
            <w:tcW w:w="1701"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ŠMM pozicija</w:t>
            </w:r>
          </w:p>
        </w:tc>
        <w:tc>
          <w:tcPr>
            <w:tcW w:w="3461"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b/>
                <w:sz w:val="24"/>
                <w:szCs w:val="24"/>
              </w:rPr>
              <w:t>ŠMM argumentai</w:t>
            </w:r>
          </w:p>
        </w:tc>
      </w:tr>
      <w:tr w:rsidR="00A473F4" w:rsidTr="006366AF">
        <w:tc>
          <w:tcPr>
            <w:tcW w:w="1555" w:type="dxa"/>
          </w:tcPr>
          <w:p w:rsidR="00FC4965" w:rsidRDefault="00F326FF" w:rsidP="00A47D63">
            <w:pPr>
              <w:jc w:val="center"/>
              <w:rPr>
                <w:rFonts w:ascii="Times New Roman" w:hAnsi="Times New Roman" w:cs="Times New Roman"/>
                <w:b/>
                <w:sz w:val="24"/>
                <w:szCs w:val="24"/>
              </w:rPr>
            </w:pPr>
            <w:r>
              <w:rPr>
                <w:rFonts w:ascii="Times New Roman" w:hAnsi="Times New Roman" w:cs="Times New Roman"/>
                <w:b/>
                <w:sz w:val="24"/>
                <w:szCs w:val="24"/>
              </w:rPr>
              <w:t>Vilniaus universitetas</w:t>
            </w:r>
          </w:p>
        </w:tc>
        <w:tc>
          <w:tcPr>
            <w:tcW w:w="944" w:type="dxa"/>
          </w:tcPr>
          <w:p w:rsidR="00FC4965" w:rsidRDefault="00FC4965" w:rsidP="00A47D63">
            <w:pPr>
              <w:jc w:val="center"/>
              <w:rPr>
                <w:rFonts w:ascii="Times New Roman" w:hAnsi="Times New Roman" w:cs="Times New Roman"/>
                <w:b/>
                <w:sz w:val="24"/>
                <w:szCs w:val="24"/>
              </w:rPr>
            </w:pPr>
            <w:r>
              <w:rPr>
                <w:rFonts w:ascii="Times New Roman" w:hAnsi="Times New Roman" w:cs="Times New Roman"/>
                <w:sz w:val="24"/>
                <w:szCs w:val="24"/>
              </w:rPr>
              <w:t>1.</w:t>
            </w:r>
          </w:p>
        </w:tc>
        <w:tc>
          <w:tcPr>
            <w:tcW w:w="1985" w:type="dxa"/>
          </w:tcPr>
          <w:p w:rsidR="00FC4965" w:rsidRPr="006366AF" w:rsidRDefault="00F326FF" w:rsidP="00FC4965">
            <w:pPr>
              <w:jc w:val="both"/>
              <w:rPr>
                <w:rFonts w:ascii="Times New Roman" w:hAnsi="Times New Roman" w:cs="Times New Roman"/>
                <w:sz w:val="24"/>
                <w:szCs w:val="24"/>
              </w:rPr>
            </w:pPr>
            <w:r w:rsidRPr="006366AF">
              <w:rPr>
                <w:rFonts w:ascii="Times New Roman" w:hAnsi="Times New Roman" w:cs="Times New Roman"/>
                <w:sz w:val="24"/>
                <w:szCs w:val="24"/>
              </w:rPr>
              <w:t xml:space="preserve">Projektų atrankos kriterijus - </w:t>
            </w:r>
            <w:r w:rsidRPr="006366AF">
              <w:rPr>
                <w:rFonts w:ascii="Times New Roman" w:eastAsia="Times New Roman" w:hAnsi="Times New Roman"/>
                <w:noProof/>
                <w:sz w:val="24"/>
                <w:szCs w:val="24"/>
              </w:rPr>
              <w:t>kuriama MTEPI infrastruktūra</w:t>
            </w:r>
          </w:p>
        </w:tc>
        <w:tc>
          <w:tcPr>
            <w:tcW w:w="4583" w:type="dxa"/>
          </w:tcPr>
          <w:p w:rsidR="00F326FF" w:rsidRPr="006366AF" w:rsidRDefault="00F326FF" w:rsidP="00F326FF">
            <w:pPr>
              <w:pStyle w:val="Komentarotekstas"/>
              <w:rPr>
                <w:sz w:val="24"/>
                <w:szCs w:val="24"/>
              </w:rPr>
            </w:pPr>
            <w:r w:rsidRPr="006366AF">
              <w:rPr>
                <w:sz w:val="24"/>
                <w:szCs w:val="24"/>
              </w:rPr>
              <w:t>Neaiški atskyrimo metodika, kiekvienu atveju bus subjektyvi.</w:t>
            </w:r>
          </w:p>
          <w:p w:rsidR="00F326FF" w:rsidRPr="006366AF" w:rsidRDefault="00F326FF" w:rsidP="00F326FF">
            <w:pPr>
              <w:pStyle w:val="Komentarotekstas"/>
              <w:rPr>
                <w:sz w:val="24"/>
                <w:szCs w:val="24"/>
              </w:rPr>
            </w:pPr>
            <w:r w:rsidRPr="006366AF">
              <w:rPr>
                <w:sz w:val="24"/>
                <w:szCs w:val="24"/>
              </w:rPr>
              <w:t xml:space="preserve">Turi būti formuluojami aiškūs ir pamatuojami kriterijai, </w:t>
            </w:r>
          </w:p>
          <w:p w:rsidR="00F326FF" w:rsidRPr="006366AF" w:rsidRDefault="00F326FF" w:rsidP="00F326FF">
            <w:pPr>
              <w:pStyle w:val="Komentarotekstas"/>
              <w:ind w:firstLine="0"/>
              <w:rPr>
                <w:sz w:val="24"/>
                <w:szCs w:val="24"/>
              </w:rPr>
            </w:pPr>
            <w:r w:rsidRPr="006366AF">
              <w:rPr>
                <w:sz w:val="24"/>
                <w:szCs w:val="24"/>
              </w:rPr>
              <w:t>MTEP veikloje labai sudėtinga įvertinti infrastruktūros įtaką MTEP veiklos srautams, nes įvairiais atvejais iš projekto įsigyta įranga komplektuojama su jau turima, įsigyta iš savo lėšų ar kitų finansavimo šaltinių infrastruktūra. Taip pat MTEP veikloje labai svarbūs žmogiškieji intelektiniai ištekliai, kompetencija.</w:t>
            </w:r>
          </w:p>
          <w:p w:rsidR="00F326FF" w:rsidRPr="006366AF" w:rsidRDefault="00F326FF" w:rsidP="00F326FF">
            <w:pPr>
              <w:jc w:val="both"/>
              <w:rPr>
                <w:rFonts w:ascii="Times New Roman" w:hAnsi="Times New Roman" w:cs="Times New Roman"/>
                <w:sz w:val="24"/>
                <w:szCs w:val="24"/>
              </w:rPr>
            </w:pPr>
            <w:r w:rsidRPr="006366AF">
              <w:rPr>
                <w:rFonts w:ascii="Times New Roman" w:hAnsi="Times New Roman" w:cs="Times New Roman"/>
                <w:sz w:val="24"/>
                <w:szCs w:val="24"/>
              </w:rPr>
              <w:t xml:space="preserve">Taigi, labai aiškiai priskirti prie konkretaus projekto srautus galima tik teoriškai, o pamatuoti ir įvertinti tiksliai galima tik naudojant </w:t>
            </w:r>
            <w:proofErr w:type="spellStart"/>
            <w:r w:rsidRPr="006366AF">
              <w:rPr>
                <w:rFonts w:ascii="Times New Roman" w:hAnsi="Times New Roman" w:cs="Times New Roman"/>
                <w:sz w:val="24"/>
                <w:szCs w:val="24"/>
              </w:rPr>
              <w:t>Frascati</w:t>
            </w:r>
            <w:proofErr w:type="spellEnd"/>
            <w:r w:rsidRPr="006366AF">
              <w:rPr>
                <w:rFonts w:ascii="Times New Roman" w:hAnsi="Times New Roman" w:cs="Times New Roman"/>
                <w:sz w:val="24"/>
                <w:szCs w:val="24"/>
              </w:rPr>
              <w:t xml:space="preserve"> rekomendacijas. Priešingu atveju gali kilti nesusipratimų, bandant įvertinti mokslinės veiklos apimtį dar naujai sugalvotu </w:t>
            </w:r>
            <w:proofErr w:type="spellStart"/>
            <w:r w:rsidRPr="006366AF">
              <w:rPr>
                <w:rFonts w:ascii="Times New Roman" w:hAnsi="Times New Roman" w:cs="Times New Roman"/>
                <w:sz w:val="24"/>
                <w:szCs w:val="24"/>
              </w:rPr>
              <w:t>metodu.Jeigu</w:t>
            </w:r>
            <w:proofErr w:type="spellEnd"/>
            <w:r w:rsidRPr="006366AF">
              <w:rPr>
                <w:rFonts w:ascii="Times New Roman" w:hAnsi="Times New Roman" w:cs="Times New Roman"/>
                <w:sz w:val="24"/>
                <w:szCs w:val="24"/>
              </w:rPr>
              <w:t xml:space="preserve"> iš tiesų tokį </w:t>
            </w:r>
            <w:proofErr w:type="spellStart"/>
            <w:r w:rsidRPr="006366AF">
              <w:rPr>
                <w:rFonts w:ascii="Times New Roman" w:hAnsi="Times New Roman" w:cs="Times New Roman"/>
                <w:sz w:val="24"/>
                <w:szCs w:val="24"/>
              </w:rPr>
              <w:t>atskyrima</w:t>
            </w:r>
            <w:proofErr w:type="spellEnd"/>
            <w:r w:rsidRPr="006366AF">
              <w:rPr>
                <w:rFonts w:ascii="Times New Roman" w:hAnsi="Times New Roman" w:cs="Times New Roman"/>
                <w:sz w:val="24"/>
                <w:szCs w:val="24"/>
              </w:rPr>
              <w:t xml:space="preserve"> yra būtina atlikti, siūlome žemiau tekste esančią formuluotę: </w:t>
            </w:r>
            <w:r w:rsidRPr="006366AF">
              <w:rPr>
                <w:rFonts w:ascii="Times New Roman" w:eastAsia="Times New Roman" w:hAnsi="Times New Roman" w:cs="Times New Roman"/>
                <w:noProof/>
                <w:sz w:val="24"/>
                <w:szCs w:val="24"/>
              </w:rPr>
              <w:t xml:space="preserve">kuriama MTEPI infrastruktūra. Vertinama, ar projekte ne mažiau nei 80 proc. naujai kuriamos infrastruktūros bus naudojama MTEPI veiklai vykdyti. </w:t>
            </w:r>
            <w:r w:rsidRPr="006366AF">
              <w:rPr>
                <w:rFonts w:ascii="Times New Roman" w:hAnsi="Times New Roman" w:cs="Times New Roman"/>
                <w:sz w:val="24"/>
                <w:szCs w:val="24"/>
              </w:rPr>
              <w:t xml:space="preserve">MTEPI infrastruktūrai skiriama investicijų dalis (proc.) gali būti </w:t>
            </w:r>
            <w:r w:rsidRPr="006366AF">
              <w:rPr>
                <w:rFonts w:ascii="Times New Roman" w:hAnsi="Times New Roman" w:cs="Times New Roman"/>
                <w:sz w:val="24"/>
                <w:szCs w:val="24"/>
              </w:rPr>
              <w:lastRenderedPageBreak/>
              <w:t>apskaičiuojama vienu iš žemiau išvardytų būdų arba naudojant jų kombinaciją:</w:t>
            </w:r>
          </w:p>
          <w:p w:rsidR="00F326FF" w:rsidRPr="006366AF" w:rsidRDefault="00F326FF" w:rsidP="00F326FF">
            <w:pPr>
              <w:jc w:val="both"/>
              <w:rPr>
                <w:rFonts w:ascii="Times New Roman" w:hAnsi="Times New Roman" w:cs="Times New Roman"/>
                <w:sz w:val="24"/>
                <w:szCs w:val="24"/>
              </w:rPr>
            </w:pPr>
            <w:r w:rsidRPr="006366AF">
              <w:rPr>
                <w:rFonts w:ascii="Times New Roman" w:hAnsi="Times New Roman" w:cs="Times New Roman"/>
                <w:sz w:val="24"/>
                <w:szCs w:val="24"/>
              </w:rPr>
              <w:t>1)Kai kuriama infrastruktūra ar jos dalis gali būti pilnai priskirta prie MTEPI infrastruktūros (pvz. visas pastatas, jo  korpusas, aukštas ar atskira patalpa), naudojamos išskirtinai MTEPI veikloms, investicijos į šios infrastruktūros kūrimą galėtų būti pilnai finansuojamos pagal VP1.1.investicinį prioritetą.</w:t>
            </w:r>
          </w:p>
          <w:p w:rsidR="00F326FF" w:rsidRPr="006366AF" w:rsidRDefault="00F326FF" w:rsidP="00F326FF">
            <w:pPr>
              <w:jc w:val="both"/>
              <w:rPr>
                <w:rFonts w:ascii="Times New Roman" w:hAnsi="Times New Roman" w:cs="Times New Roman"/>
                <w:sz w:val="24"/>
                <w:szCs w:val="24"/>
              </w:rPr>
            </w:pPr>
            <w:r w:rsidRPr="006366AF">
              <w:rPr>
                <w:rFonts w:ascii="Times New Roman" w:hAnsi="Times New Roman" w:cs="Times New Roman"/>
                <w:sz w:val="24"/>
                <w:szCs w:val="24"/>
              </w:rPr>
              <w:t xml:space="preserve">2)Jei kuriamai infrastruktūra ar jos dalis negali būti pilnai priskirta MTEPI, </w:t>
            </w:r>
            <w:proofErr w:type="spellStart"/>
            <w:r w:rsidRPr="006366AF">
              <w:rPr>
                <w:rFonts w:ascii="Times New Roman" w:hAnsi="Times New Roman" w:cs="Times New Roman"/>
                <w:sz w:val="24"/>
                <w:szCs w:val="24"/>
              </w:rPr>
              <w:t>t.y</w:t>
            </w:r>
            <w:proofErr w:type="spellEnd"/>
            <w:r w:rsidRPr="006366AF">
              <w:rPr>
                <w:rFonts w:ascii="Times New Roman" w:hAnsi="Times New Roman" w:cs="Times New Roman"/>
                <w:sz w:val="24"/>
                <w:szCs w:val="24"/>
              </w:rPr>
              <w:t xml:space="preserve">. bus naudojama ne tik MTEPI veikloms, turi būti apskaičiuota, kokiu procentu/proporcija ji bus naudojama MTEPI veikloms. Tai gali būti apskaičiuojama (pagal </w:t>
            </w:r>
            <w:proofErr w:type="spellStart"/>
            <w:r w:rsidRPr="006366AF">
              <w:rPr>
                <w:rFonts w:ascii="Times New Roman" w:hAnsi="Times New Roman" w:cs="Times New Roman"/>
                <w:sz w:val="24"/>
                <w:szCs w:val="24"/>
              </w:rPr>
              <w:t>Frascati</w:t>
            </w:r>
            <w:proofErr w:type="spellEnd"/>
            <w:r w:rsidRPr="006366AF">
              <w:rPr>
                <w:rFonts w:ascii="Times New Roman" w:hAnsi="Times New Roman" w:cs="Times New Roman"/>
                <w:sz w:val="24"/>
                <w:szCs w:val="24"/>
              </w:rPr>
              <w:t xml:space="preserve"> rekomendacijas) vertinant:</w:t>
            </w:r>
          </w:p>
          <w:p w:rsidR="00F326FF" w:rsidRPr="006366AF" w:rsidRDefault="00F326FF" w:rsidP="00F326FF">
            <w:pPr>
              <w:numPr>
                <w:ilvl w:val="0"/>
                <w:numId w:val="11"/>
              </w:numPr>
              <w:spacing w:after="200" w:line="276" w:lineRule="auto"/>
              <w:jc w:val="both"/>
              <w:rPr>
                <w:rFonts w:ascii="Times New Roman" w:hAnsi="Times New Roman" w:cs="Times New Roman"/>
                <w:sz w:val="24"/>
                <w:szCs w:val="24"/>
              </w:rPr>
            </w:pPr>
            <w:r w:rsidRPr="006366AF">
              <w:rPr>
                <w:rFonts w:ascii="Times New Roman" w:hAnsi="Times New Roman" w:cs="Times New Roman"/>
                <w:sz w:val="24"/>
                <w:szCs w:val="24"/>
              </w:rPr>
              <w:t>DU išlaidas (įvertinant mokslinio personalo skaičių, lyginant su bendru personalo skaičiumi)</w:t>
            </w:r>
          </w:p>
          <w:p w:rsidR="00F326FF" w:rsidRPr="006366AF" w:rsidRDefault="00F326FF" w:rsidP="00F326FF">
            <w:pPr>
              <w:numPr>
                <w:ilvl w:val="0"/>
                <w:numId w:val="11"/>
              </w:numPr>
              <w:spacing w:after="200" w:line="276" w:lineRule="auto"/>
              <w:jc w:val="both"/>
              <w:rPr>
                <w:rFonts w:ascii="Times New Roman" w:hAnsi="Times New Roman" w:cs="Times New Roman"/>
                <w:sz w:val="24"/>
                <w:szCs w:val="24"/>
              </w:rPr>
            </w:pPr>
            <w:r w:rsidRPr="006366AF">
              <w:rPr>
                <w:rFonts w:ascii="Times New Roman" w:hAnsi="Times New Roman" w:cs="Times New Roman"/>
                <w:sz w:val="24"/>
                <w:szCs w:val="24"/>
              </w:rPr>
              <w:t>Kitas išlaidas (medžiagų, įrangos, išlaikymo kaštus MTEPI veikloms, skaičiuojant faktinį infrastruktūros naudojimo MTEPI veikloms laiką)</w:t>
            </w:r>
          </w:p>
          <w:p w:rsidR="00FC4965" w:rsidRPr="006366AF" w:rsidRDefault="00FC4965" w:rsidP="00F326FF">
            <w:pPr>
              <w:jc w:val="both"/>
              <w:rPr>
                <w:rFonts w:ascii="Times New Roman" w:hAnsi="Times New Roman" w:cs="Times New Roman"/>
                <w:sz w:val="24"/>
                <w:szCs w:val="24"/>
              </w:rPr>
            </w:pPr>
          </w:p>
        </w:tc>
        <w:tc>
          <w:tcPr>
            <w:tcW w:w="1701" w:type="dxa"/>
          </w:tcPr>
          <w:p w:rsidR="00FC4965" w:rsidRPr="006366AF" w:rsidRDefault="00F326FF" w:rsidP="00A47D63">
            <w:pPr>
              <w:jc w:val="center"/>
              <w:rPr>
                <w:rFonts w:ascii="Times New Roman" w:hAnsi="Times New Roman" w:cs="Times New Roman"/>
                <w:b/>
                <w:sz w:val="24"/>
                <w:szCs w:val="24"/>
              </w:rPr>
            </w:pPr>
            <w:r w:rsidRPr="006366AF">
              <w:rPr>
                <w:rFonts w:ascii="Times New Roman" w:hAnsi="Times New Roman" w:cs="Times New Roman"/>
                <w:b/>
                <w:sz w:val="24"/>
                <w:szCs w:val="24"/>
              </w:rPr>
              <w:lastRenderedPageBreak/>
              <w:t>Neatsižvelgta</w:t>
            </w:r>
          </w:p>
        </w:tc>
        <w:tc>
          <w:tcPr>
            <w:tcW w:w="3461" w:type="dxa"/>
          </w:tcPr>
          <w:p w:rsidR="007E5E23" w:rsidRPr="007E5E23" w:rsidRDefault="007E5E23" w:rsidP="007E5E23">
            <w:pPr>
              <w:rPr>
                <w:rFonts w:ascii="Times New Roman" w:hAnsi="Times New Roman" w:cs="Times New Roman"/>
                <w:sz w:val="24"/>
                <w:szCs w:val="24"/>
              </w:rPr>
            </w:pPr>
            <w:r w:rsidRPr="007E5E23">
              <w:rPr>
                <w:rFonts w:ascii="Times New Roman" w:hAnsi="Times New Roman" w:cs="Times New Roman"/>
                <w:sz w:val="24"/>
                <w:szCs w:val="24"/>
              </w:rPr>
              <w:t>Stebėsenos komitete patvirtintas atrankos kriterijus ,,Kuriama MTEPI infrastruktūra“ yra skirtas įvertinti ar projekto metu kuriama MTEPI infrastruktūra (studijoms naudojamos infrastruktūros dalis negali būti didesnė nei 20 proc</w:t>
            </w:r>
            <w:r>
              <w:rPr>
                <w:rFonts w:ascii="Times New Roman" w:hAnsi="Times New Roman" w:cs="Times New Roman"/>
                <w:sz w:val="24"/>
                <w:szCs w:val="24"/>
              </w:rPr>
              <w:t>.</w:t>
            </w:r>
            <w:bookmarkStart w:id="0" w:name="_GoBack"/>
            <w:bookmarkEnd w:id="0"/>
            <w:r w:rsidRPr="007E5E23">
              <w:rPr>
                <w:rFonts w:ascii="Times New Roman" w:hAnsi="Times New Roman" w:cs="Times New Roman"/>
                <w:sz w:val="24"/>
                <w:szCs w:val="24"/>
              </w:rPr>
              <w:t xml:space="preserve"> projekto tinkamų finansuoti išlaidų), todėl ir kriterijaus detalizavimas turi būti aiškus, suprantamas ir aiškiai įvertinamas ir negali iškreipti kriterijaus esmės, todėl buvo pasirinkta aiški šio kriterijaus detalizavimo formuluotė: ,,</w:t>
            </w:r>
            <w:r w:rsidRPr="007E5E23">
              <w:rPr>
                <w:rFonts w:ascii="Times New Roman" w:hAnsi="Times New Roman" w:cs="Times New Roman"/>
                <w:bCs/>
                <w:sz w:val="24"/>
                <w:szCs w:val="24"/>
              </w:rPr>
              <w:t>MTEPI infrastruktūros dalis (proc.) nustatoma, vadovaujantis iki paraiškos pateikimo įgyvendinančiajai institucijai parengto naujai kuriamos infrastruktūros techninio projekto duomenimis, vertinant MTEPI infrastruktūrai priskiriamų patalpų plotą bendrame naujai kuriamos infrastruktūros plote“.</w:t>
            </w:r>
          </w:p>
          <w:p w:rsidR="00FC4965" w:rsidRPr="006366AF" w:rsidRDefault="00FC4965" w:rsidP="00562CE1">
            <w:pPr>
              <w:pStyle w:val="Default"/>
              <w:jc w:val="both"/>
              <w:rPr>
                <w:color w:val="auto"/>
              </w:rPr>
            </w:pPr>
          </w:p>
        </w:tc>
      </w:tr>
      <w:tr w:rsidR="00FC4965" w:rsidTr="006366AF">
        <w:tc>
          <w:tcPr>
            <w:tcW w:w="1555" w:type="dxa"/>
          </w:tcPr>
          <w:p w:rsidR="00FC4965" w:rsidRPr="0003518B" w:rsidRDefault="006366AF" w:rsidP="00A47D63">
            <w:pPr>
              <w:jc w:val="center"/>
              <w:rPr>
                <w:rFonts w:ascii="Times New Roman" w:eastAsia="Calibri" w:hAnsi="Times New Roman" w:cs="Times New Roman"/>
                <w:sz w:val="24"/>
                <w:szCs w:val="24"/>
              </w:rPr>
            </w:pPr>
            <w:r>
              <w:rPr>
                <w:rFonts w:ascii="Times New Roman" w:hAnsi="Times New Roman" w:cs="Times New Roman"/>
                <w:b/>
                <w:sz w:val="24"/>
                <w:szCs w:val="24"/>
              </w:rPr>
              <w:t>Vilniaus universitetas</w:t>
            </w:r>
          </w:p>
        </w:tc>
        <w:tc>
          <w:tcPr>
            <w:tcW w:w="944" w:type="dxa"/>
          </w:tcPr>
          <w:p w:rsidR="00FC4965" w:rsidRDefault="00FC4965" w:rsidP="00A47D63">
            <w:pPr>
              <w:jc w:val="center"/>
              <w:rPr>
                <w:rFonts w:ascii="Times New Roman" w:hAnsi="Times New Roman" w:cs="Times New Roman"/>
                <w:sz w:val="24"/>
                <w:szCs w:val="24"/>
              </w:rPr>
            </w:pPr>
            <w:r>
              <w:rPr>
                <w:rFonts w:ascii="Times New Roman" w:hAnsi="Times New Roman" w:cs="Times New Roman"/>
                <w:sz w:val="24"/>
                <w:szCs w:val="24"/>
              </w:rPr>
              <w:t>2.</w:t>
            </w:r>
          </w:p>
        </w:tc>
        <w:tc>
          <w:tcPr>
            <w:tcW w:w="1985" w:type="dxa"/>
          </w:tcPr>
          <w:p w:rsidR="00562CE1" w:rsidRPr="006366AF" w:rsidRDefault="002203EC" w:rsidP="00FC4965">
            <w:pPr>
              <w:jc w:val="both"/>
              <w:rPr>
                <w:rFonts w:ascii="Times New Roman" w:hAnsi="Times New Roman" w:cs="Times New Roman"/>
                <w:sz w:val="24"/>
                <w:szCs w:val="24"/>
              </w:rPr>
            </w:pPr>
            <w:r w:rsidRPr="006366AF">
              <w:rPr>
                <w:rFonts w:ascii="Times New Roman" w:hAnsi="Times New Roman" w:cs="Times New Roman"/>
                <w:sz w:val="24"/>
                <w:szCs w:val="24"/>
              </w:rPr>
              <w:t>Projektų atrankos kriterijus -</w:t>
            </w:r>
            <w:r w:rsidR="009D6BAD" w:rsidRPr="006366AF">
              <w:rPr>
                <w:rFonts w:ascii="Times New Roman" w:hAnsi="Times New Roman"/>
                <w:iCs/>
                <w:sz w:val="24"/>
                <w:szCs w:val="24"/>
              </w:rPr>
              <w:t xml:space="preserve"> užtikrinamas sukurtos MTEPI infrastruktūros </w:t>
            </w:r>
            <w:proofErr w:type="spellStart"/>
            <w:r w:rsidR="009D6BAD" w:rsidRPr="006366AF">
              <w:rPr>
                <w:rFonts w:ascii="Times New Roman" w:hAnsi="Times New Roman"/>
                <w:iCs/>
                <w:sz w:val="24"/>
                <w:szCs w:val="24"/>
              </w:rPr>
              <w:t>įveiklinimas</w:t>
            </w:r>
            <w:proofErr w:type="spellEnd"/>
            <w:r w:rsidR="009D6BAD" w:rsidRPr="006366AF">
              <w:rPr>
                <w:rFonts w:ascii="Times New Roman" w:hAnsi="Times New Roman"/>
                <w:iCs/>
                <w:sz w:val="24"/>
                <w:szCs w:val="24"/>
              </w:rPr>
              <w:t xml:space="preserve">. </w:t>
            </w:r>
            <w:r w:rsidR="009D6BAD" w:rsidRPr="006366AF">
              <w:rPr>
                <w:rFonts w:ascii="Times New Roman" w:eastAsia="Times New Roman" w:hAnsi="Times New Roman"/>
                <w:noProof/>
                <w:sz w:val="24"/>
                <w:szCs w:val="24"/>
              </w:rPr>
              <w:lastRenderedPageBreak/>
              <w:t>Vertinama, ar projekto metu sukūrus MTEPI infrastruktūrą, bus pakankamas tyrėjų, skaičius, kuris užtikrintų optimalų MTEPI infrastruktūros veikimą.</w:t>
            </w:r>
          </w:p>
        </w:tc>
        <w:tc>
          <w:tcPr>
            <w:tcW w:w="4583" w:type="dxa"/>
          </w:tcPr>
          <w:p w:rsidR="009D6BAD" w:rsidRPr="006366AF" w:rsidRDefault="009D6BAD" w:rsidP="009D6BAD">
            <w:pPr>
              <w:pStyle w:val="Komentarotekstas"/>
              <w:rPr>
                <w:sz w:val="24"/>
                <w:szCs w:val="24"/>
              </w:rPr>
            </w:pPr>
            <w:r w:rsidRPr="006366AF">
              <w:rPr>
                <w:sz w:val="24"/>
                <w:szCs w:val="24"/>
              </w:rPr>
              <w:lastRenderedPageBreak/>
              <w:t>Neaiški sąvoka „pakankamas“</w:t>
            </w:r>
          </w:p>
          <w:p w:rsidR="009D6BAD" w:rsidRPr="006366AF" w:rsidRDefault="009D6BAD" w:rsidP="009D6BAD">
            <w:pPr>
              <w:pStyle w:val="Komentarotekstas"/>
              <w:rPr>
                <w:sz w:val="24"/>
                <w:szCs w:val="24"/>
              </w:rPr>
            </w:pPr>
            <w:r w:rsidRPr="006366AF">
              <w:rPr>
                <w:sz w:val="24"/>
                <w:szCs w:val="24"/>
              </w:rPr>
              <w:t>Siūloma šį punktą tikslinti arba iš viso šalinti punktą</w:t>
            </w:r>
          </w:p>
          <w:p w:rsidR="00FC4965" w:rsidRPr="006366AF" w:rsidRDefault="00FC4965" w:rsidP="00562CE1">
            <w:pPr>
              <w:pStyle w:val="Default"/>
              <w:jc w:val="both"/>
              <w:rPr>
                <w:color w:val="auto"/>
              </w:rPr>
            </w:pPr>
          </w:p>
        </w:tc>
        <w:tc>
          <w:tcPr>
            <w:tcW w:w="1701" w:type="dxa"/>
          </w:tcPr>
          <w:p w:rsidR="00FC4965" w:rsidRPr="006366AF" w:rsidRDefault="009D6BAD" w:rsidP="00A47D63">
            <w:pPr>
              <w:jc w:val="center"/>
              <w:rPr>
                <w:rFonts w:ascii="Times New Roman" w:hAnsi="Times New Roman" w:cs="Times New Roman"/>
                <w:sz w:val="24"/>
                <w:szCs w:val="24"/>
              </w:rPr>
            </w:pPr>
            <w:r w:rsidRPr="006366AF">
              <w:rPr>
                <w:rFonts w:ascii="Times New Roman" w:hAnsi="Times New Roman" w:cs="Times New Roman"/>
                <w:sz w:val="24"/>
                <w:szCs w:val="24"/>
              </w:rPr>
              <w:t>Neatsižvelgta</w:t>
            </w:r>
          </w:p>
        </w:tc>
        <w:tc>
          <w:tcPr>
            <w:tcW w:w="3461" w:type="dxa"/>
          </w:tcPr>
          <w:p w:rsidR="005D0367" w:rsidRPr="006366AF" w:rsidRDefault="009D6BAD" w:rsidP="00BF45C6">
            <w:pPr>
              <w:pStyle w:val="Default"/>
              <w:jc w:val="both"/>
              <w:rPr>
                <w:color w:val="auto"/>
              </w:rPr>
            </w:pPr>
            <w:r w:rsidRPr="006366AF">
              <w:rPr>
                <w:bCs/>
                <w:color w:val="auto"/>
                <w:lang w:eastAsia="lt-LT"/>
              </w:rPr>
              <w:t>Projektų atrankos kriterijaus vertinimo aspektas yra patvirtintas Stebėsenos komitete ir jo keisti negalima.</w:t>
            </w:r>
          </w:p>
        </w:tc>
      </w:tr>
      <w:tr w:rsidR="009D6BAD" w:rsidTr="006366AF">
        <w:tc>
          <w:tcPr>
            <w:tcW w:w="1555" w:type="dxa"/>
          </w:tcPr>
          <w:p w:rsidR="009D6BAD" w:rsidRPr="0003518B" w:rsidRDefault="006366AF" w:rsidP="00A47D63">
            <w:pPr>
              <w:jc w:val="center"/>
              <w:rPr>
                <w:rFonts w:ascii="Times New Roman" w:eastAsia="Calibri" w:hAnsi="Times New Roman" w:cs="Times New Roman"/>
                <w:sz w:val="24"/>
                <w:szCs w:val="24"/>
              </w:rPr>
            </w:pPr>
            <w:r>
              <w:rPr>
                <w:rFonts w:ascii="Times New Roman" w:hAnsi="Times New Roman" w:cs="Times New Roman"/>
                <w:b/>
                <w:sz w:val="24"/>
                <w:szCs w:val="24"/>
              </w:rPr>
              <w:t>Vilniaus universitetas</w:t>
            </w:r>
          </w:p>
        </w:tc>
        <w:tc>
          <w:tcPr>
            <w:tcW w:w="944" w:type="dxa"/>
          </w:tcPr>
          <w:p w:rsidR="009D6BAD" w:rsidRDefault="009D6BAD" w:rsidP="00A47D63">
            <w:pPr>
              <w:jc w:val="center"/>
              <w:rPr>
                <w:rFonts w:ascii="Times New Roman" w:hAnsi="Times New Roman" w:cs="Times New Roman"/>
                <w:sz w:val="24"/>
                <w:szCs w:val="24"/>
              </w:rPr>
            </w:pPr>
            <w:r>
              <w:rPr>
                <w:rFonts w:ascii="Times New Roman" w:hAnsi="Times New Roman" w:cs="Times New Roman"/>
                <w:sz w:val="24"/>
                <w:szCs w:val="24"/>
              </w:rPr>
              <w:t>3</w:t>
            </w:r>
          </w:p>
        </w:tc>
        <w:tc>
          <w:tcPr>
            <w:tcW w:w="1985" w:type="dxa"/>
          </w:tcPr>
          <w:p w:rsidR="009D6BAD" w:rsidRPr="006366AF" w:rsidRDefault="009D6BAD" w:rsidP="00FC4965">
            <w:pPr>
              <w:jc w:val="both"/>
              <w:rPr>
                <w:rFonts w:ascii="Times New Roman" w:hAnsi="Times New Roman" w:cs="Times New Roman"/>
                <w:sz w:val="24"/>
                <w:szCs w:val="24"/>
              </w:rPr>
            </w:pPr>
            <w:r w:rsidRPr="006366AF">
              <w:rPr>
                <w:rFonts w:ascii="Times New Roman" w:hAnsi="Times New Roman" w:cs="Times New Roman"/>
                <w:sz w:val="24"/>
                <w:szCs w:val="24"/>
              </w:rPr>
              <w:t>Projektų atrankos kriterijus -</w:t>
            </w:r>
            <w:r w:rsidRPr="006366AF">
              <w:rPr>
                <w:rFonts w:ascii="Times New Roman" w:hAnsi="Times New Roman"/>
                <w:iCs/>
                <w:sz w:val="24"/>
                <w:szCs w:val="24"/>
              </w:rPr>
              <w:t xml:space="preserve"> kuriama infrastruktūra atitinka ūkio poreikius. Vertinama, ar įgyvendinus projektą ne mažiau kaip 10 proc. pareiškėjo vykdomos MTEPI veiklos bus skirta verslo užsakymams vykdyti, o 3 metais po projekto įgyvendinimo ne mažiau kaip 20 proc. pareiškėjo vykdomos MTEPI veiklos bus skirta verslo </w:t>
            </w:r>
            <w:r w:rsidRPr="006366AF">
              <w:rPr>
                <w:rFonts w:ascii="Times New Roman" w:hAnsi="Times New Roman"/>
                <w:iCs/>
                <w:sz w:val="24"/>
                <w:szCs w:val="24"/>
              </w:rPr>
              <w:lastRenderedPageBreak/>
              <w:t>užsakymams vykdyti.</w:t>
            </w:r>
          </w:p>
        </w:tc>
        <w:tc>
          <w:tcPr>
            <w:tcW w:w="4583" w:type="dxa"/>
          </w:tcPr>
          <w:p w:rsidR="009D6BAD" w:rsidRPr="006366AF" w:rsidRDefault="009D6BAD" w:rsidP="009D6BAD">
            <w:pPr>
              <w:pStyle w:val="Komentarotekstas"/>
              <w:rPr>
                <w:sz w:val="24"/>
                <w:szCs w:val="24"/>
              </w:rPr>
            </w:pPr>
            <w:r w:rsidRPr="006366AF">
              <w:rPr>
                <w:sz w:val="24"/>
                <w:szCs w:val="24"/>
              </w:rPr>
              <w:lastRenderedPageBreak/>
              <w:t xml:space="preserve">Tik baigus įgyvendinti projektą neįmanoma pasiekti 10 proc. rodiklį, nes sukurta infrastruktūra realiai pradės generuoti pajamas tik po tam tikro laikotarpio pabaigus projektą.  Šis rodiklis iš viso yra labai sunkiai pasiekiamas Siūloma įrašyti: </w:t>
            </w:r>
            <w:r w:rsidRPr="006366AF">
              <w:rPr>
                <w:iCs/>
                <w:sz w:val="24"/>
                <w:szCs w:val="24"/>
              </w:rPr>
              <w:t xml:space="preserve">Vertinama, ar po 3 metų įgyvendinus projektą ne mažiau kaip 1,5 proc..... o 5 metais po projekto įgyvendinimo ne mažiau kaip 3 proc..... Šis rodiklis yra </w:t>
            </w:r>
            <w:proofErr w:type="spellStart"/>
            <w:r w:rsidRPr="006366AF">
              <w:rPr>
                <w:iCs/>
                <w:sz w:val="24"/>
                <w:szCs w:val="24"/>
              </w:rPr>
              <w:t>demotyvuojantis</w:t>
            </w:r>
            <w:proofErr w:type="spellEnd"/>
            <w:r w:rsidRPr="006366AF">
              <w:rPr>
                <w:iCs/>
                <w:sz w:val="24"/>
                <w:szCs w:val="24"/>
              </w:rPr>
              <w:t xml:space="preserve"> gauti pajamas iš tarptautinių mokslinių projektų vykdymo bei vykdyti LR finansuojamus mokslinius projektus. Padidėjus šių projektų gaunamoms pajamoms, kad būtų pasiektas nurodytas rodiklis turi atitinkamai padidėti ir iš verslo gaunamos pajamos, o tai gali būti sunkiai įgyvendinama.</w:t>
            </w:r>
            <w:r w:rsidRPr="006366AF">
              <w:rPr>
                <w:sz w:val="24"/>
                <w:szCs w:val="24"/>
              </w:rPr>
              <w:t xml:space="preserve"> Šis kriterijus įtakoja institucijos veiklas, kurios nesusijusios su projekto įgyvendinimu. Šis reikalavimas lemia, kad, negali būti didinami biudžeto asignavimai, studentų priėmimas,  nacionalinių ar tarptautinių projektų vykdymo apimtys , nes tokiu atveju verslo užsakomųjų darbų apimtys santykinai mažės.</w:t>
            </w:r>
          </w:p>
          <w:p w:rsidR="009D6BAD" w:rsidRPr="006366AF" w:rsidRDefault="009D6BAD" w:rsidP="009D6BAD">
            <w:pPr>
              <w:pStyle w:val="Komentarotekstas"/>
              <w:rPr>
                <w:sz w:val="24"/>
                <w:szCs w:val="24"/>
              </w:rPr>
            </w:pPr>
          </w:p>
          <w:p w:rsidR="009D6BAD" w:rsidRPr="006366AF" w:rsidRDefault="009D6BAD" w:rsidP="009D6BAD">
            <w:pPr>
              <w:pStyle w:val="Komentarotekstas"/>
              <w:rPr>
                <w:sz w:val="24"/>
                <w:szCs w:val="24"/>
              </w:rPr>
            </w:pPr>
            <w:r w:rsidRPr="006366AF">
              <w:rPr>
                <w:sz w:val="24"/>
                <w:szCs w:val="24"/>
              </w:rPr>
              <w:t xml:space="preserve">Neaiški apskaitos apimtis. Rodiklis negali apimti vos pareiškėjo vykdomos </w:t>
            </w:r>
            <w:r w:rsidRPr="006366AF">
              <w:rPr>
                <w:sz w:val="24"/>
                <w:szCs w:val="24"/>
              </w:rPr>
              <w:lastRenderedPageBreak/>
              <w:t>MTEPI veiklos. Siūloma įrašyti: projekto įgyvendinimo eigoje sukurtoje infrastruktūroje vykdomos MTEP veiklos.</w:t>
            </w:r>
          </w:p>
          <w:p w:rsidR="009D6BAD" w:rsidRPr="006366AF" w:rsidRDefault="009D6BAD" w:rsidP="009D6BAD">
            <w:pPr>
              <w:pStyle w:val="Komentarotekstas"/>
              <w:ind w:firstLine="0"/>
              <w:rPr>
                <w:sz w:val="24"/>
                <w:szCs w:val="24"/>
              </w:rPr>
            </w:pPr>
          </w:p>
          <w:p w:rsidR="009D6BAD" w:rsidRPr="006366AF" w:rsidRDefault="009D6BAD" w:rsidP="009D6BAD">
            <w:pPr>
              <w:pStyle w:val="Komentarotekstas"/>
              <w:rPr>
                <w:sz w:val="24"/>
                <w:szCs w:val="24"/>
              </w:rPr>
            </w:pPr>
          </w:p>
        </w:tc>
        <w:tc>
          <w:tcPr>
            <w:tcW w:w="1701" w:type="dxa"/>
          </w:tcPr>
          <w:p w:rsidR="009D6BAD" w:rsidRPr="006366AF" w:rsidRDefault="009D6BAD" w:rsidP="00A47D63">
            <w:pPr>
              <w:jc w:val="center"/>
              <w:rPr>
                <w:rFonts w:ascii="Times New Roman" w:hAnsi="Times New Roman" w:cs="Times New Roman"/>
                <w:sz w:val="24"/>
                <w:szCs w:val="24"/>
              </w:rPr>
            </w:pPr>
            <w:r w:rsidRPr="006366AF">
              <w:rPr>
                <w:rFonts w:ascii="Times New Roman" w:hAnsi="Times New Roman" w:cs="Times New Roman"/>
                <w:sz w:val="24"/>
                <w:szCs w:val="24"/>
              </w:rPr>
              <w:lastRenderedPageBreak/>
              <w:t>Neatsižvelgta</w:t>
            </w:r>
          </w:p>
        </w:tc>
        <w:tc>
          <w:tcPr>
            <w:tcW w:w="3461" w:type="dxa"/>
          </w:tcPr>
          <w:p w:rsidR="009D6BAD" w:rsidRPr="006366AF" w:rsidRDefault="009D6BAD" w:rsidP="00BF45C6">
            <w:pPr>
              <w:pStyle w:val="Default"/>
              <w:jc w:val="both"/>
              <w:rPr>
                <w:bCs/>
                <w:color w:val="auto"/>
                <w:lang w:eastAsia="lt-LT"/>
              </w:rPr>
            </w:pPr>
            <w:r w:rsidRPr="006366AF">
              <w:rPr>
                <w:bCs/>
                <w:color w:val="auto"/>
                <w:lang w:eastAsia="lt-LT"/>
              </w:rPr>
              <w:t>Projektų atrankos kriterijaus vertinimo aspektas yra patvirtintas Stebėsenos komitete ir jo keisti negalima.</w:t>
            </w:r>
          </w:p>
        </w:tc>
      </w:tr>
      <w:tr w:rsidR="009D6BAD" w:rsidTr="006366AF">
        <w:tc>
          <w:tcPr>
            <w:tcW w:w="1555" w:type="dxa"/>
          </w:tcPr>
          <w:p w:rsidR="009D6BAD" w:rsidRPr="0003518B" w:rsidRDefault="006366AF" w:rsidP="00A47D63">
            <w:pPr>
              <w:jc w:val="center"/>
              <w:rPr>
                <w:rFonts w:ascii="Times New Roman" w:eastAsia="Calibri" w:hAnsi="Times New Roman" w:cs="Times New Roman"/>
                <w:sz w:val="24"/>
                <w:szCs w:val="24"/>
              </w:rPr>
            </w:pPr>
            <w:r>
              <w:rPr>
                <w:rFonts w:ascii="Times New Roman" w:hAnsi="Times New Roman" w:cs="Times New Roman"/>
                <w:b/>
                <w:sz w:val="24"/>
                <w:szCs w:val="24"/>
              </w:rPr>
              <w:t>Vilniaus universitetas</w:t>
            </w:r>
          </w:p>
        </w:tc>
        <w:tc>
          <w:tcPr>
            <w:tcW w:w="944" w:type="dxa"/>
          </w:tcPr>
          <w:p w:rsidR="009D6BAD" w:rsidRDefault="00B027B6" w:rsidP="00A47D63">
            <w:pPr>
              <w:jc w:val="center"/>
              <w:rPr>
                <w:rFonts w:ascii="Times New Roman" w:hAnsi="Times New Roman" w:cs="Times New Roman"/>
                <w:sz w:val="24"/>
                <w:szCs w:val="24"/>
              </w:rPr>
            </w:pPr>
            <w:r>
              <w:rPr>
                <w:rFonts w:ascii="Times New Roman" w:hAnsi="Times New Roman" w:cs="Times New Roman"/>
                <w:sz w:val="24"/>
                <w:szCs w:val="24"/>
              </w:rPr>
              <w:t>4</w:t>
            </w:r>
          </w:p>
        </w:tc>
        <w:tc>
          <w:tcPr>
            <w:tcW w:w="1985" w:type="dxa"/>
          </w:tcPr>
          <w:p w:rsidR="00B027B6" w:rsidRPr="006366AF" w:rsidRDefault="00B027B6" w:rsidP="00B027B6">
            <w:pPr>
              <w:spacing w:after="0" w:line="240" w:lineRule="auto"/>
              <w:ind w:firstLine="851"/>
              <w:jc w:val="both"/>
              <w:rPr>
                <w:rFonts w:ascii="Times New Roman" w:hAnsi="Times New Roman"/>
                <w:sz w:val="24"/>
                <w:szCs w:val="24"/>
              </w:rPr>
            </w:pPr>
            <w:r w:rsidRPr="006366AF">
              <w:rPr>
                <w:rFonts w:ascii="Times New Roman" w:hAnsi="Times New Roman"/>
                <w:sz w:val="24"/>
                <w:szCs w:val="24"/>
              </w:rPr>
              <w:t xml:space="preserve">Projekto </w:t>
            </w:r>
            <w:proofErr w:type="spellStart"/>
            <w:r w:rsidRPr="006366AF">
              <w:rPr>
                <w:rFonts w:ascii="Times New Roman" w:hAnsi="Times New Roman"/>
                <w:sz w:val="24"/>
                <w:szCs w:val="24"/>
              </w:rPr>
              <w:t>parengtumo</w:t>
            </w:r>
            <w:proofErr w:type="spellEnd"/>
            <w:r w:rsidRPr="006366AF">
              <w:rPr>
                <w:rFonts w:ascii="Times New Roman" w:hAnsi="Times New Roman"/>
                <w:sz w:val="24"/>
                <w:szCs w:val="24"/>
              </w:rPr>
              <w:t xml:space="preserve"> reikalavimas. Jei statinys ar žemės sklypas yra naudojamas pagal panaudos / nuomos sutartį, pareiškėjas turi turėti panaudos davėjo / nuomotojo raštišką sutikimą vykdyti projekto veiklas.</w:t>
            </w:r>
          </w:p>
          <w:p w:rsidR="009D6BAD" w:rsidRPr="006366AF" w:rsidRDefault="009D6BAD" w:rsidP="00FC4965">
            <w:pPr>
              <w:jc w:val="both"/>
              <w:rPr>
                <w:rFonts w:ascii="Times New Roman" w:hAnsi="Times New Roman" w:cs="Times New Roman"/>
                <w:sz w:val="24"/>
                <w:szCs w:val="24"/>
              </w:rPr>
            </w:pPr>
          </w:p>
        </w:tc>
        <w:tc>
          <w:tcPr>
            <w:tcW w:w="4583" w:type="dxa"/>
          </w:tcPr>
          <w:p w:rsidR="00B027B6" w:rsidRPr="006366AF" w:rsidRDefault="00B027B6" w:rsidP="00B027B6">
            <w:pPr>
              <w:pStyle w:val="Komentarotekstas"/>
              <w:rPr>
                <w:sz w:val="24"/>
                <w:szCs w:val="24"/>
              </w:rPr>
            </w:pPr>
            <w:r w:rsidRPr="006366AF">
              <w:rPr>
                <w:sz w:val="24"/>
                <w:szCs w:val="24"/>
              </w:rPr>
              <w:t>Šią dalį siūlome išbraukti, nes, kaip parodė praktika, pakanka, kad sklypo panaudos sutartyje būtų numatyta galimybė tame sklype statyti statinius. Taip pat toks reikalavimas neturi būti taikomas, jeigu su paraiška pateikiamas techninis projektas, nes tokiu atveju visi suderinimai su visomis tarnybomis jau yra gauti.</w:t>
            </w:r>
          </w:p>
          <w:p w:rsidR="009D6BAD" w:rsidRPr="006366AF" w:rsidRDefault="009D6BAD" w:rsidP="009D6BAD">
            <w:pPr>
              <w:pStyle w:val="Komentarotekstas"/>
              <w:rPr>
                <w:sz w:val="24"/>
                <w:szCs w:val="24"/>
              </w:rPr>
            </w:pPr>
          </w:p>
        </w:tc>
        <w:tc>
          <w:tcPr>
            <w:tcW w:w="1701" w:type="dxa"/>
          </w:tcPr>
          <w:p w:rsidR="009D6BAD" w:rsidRPr="006366AF" w:rsidRDefault="00B027B6" w:rsidP="00A47D63">
            <w:pPr>
              <w:jc w:val="center"/>
              <w:rPr>
                <w:rFonts w:ascii="Times New Roman" w:hAnsi="Times New Roman" w:cs="Times New Roman"/>
                <w:sz w:val="24"/>
                <w:szCs w:val="24"/>
              </w:rPr>
            </w:pPr>
            <w:r w:rsidRPr="006366AF">
              <w:rPr>
                <w:rFonts w:ascii="Times New Roman" w:hAnsi="Times New Roman" w:cs="Times New Roman"/>
                <w:sz w:val="24"/>
                <w:szCs w:val="24"/>
              </w:rPr>
              <w:t>Neatsižvelgta</w:t>
            </w:r>
          </w:p>
        </w:tc>
        <w:tc>
          <w:tcPr>
            <w:tcW w:w="3461" w:type="dxa"/>
          </w:tcPr>
          <w:p w:rsidR="009D6BAD" w:rsidRPr="006366AF" w:rsidRDefault="00B027B6" w:rsidP="00BF45C6">
            <w:pPr>
              <w:pStyle w:val="Default"/>
              <w:jc w:val="both"/>
              <w:rPr>
                <w:bCs/>
                <w:color w:val="auto"/>
                <w:lang w:eastAsia="lt-LT"/>
              </w:rPr>
            </w:pPr>
            <w:r w:rsidRPr="006366AF">
              <w:rPr>
                <w:bCs/>
                <w:color w:val="auto"/>
                <w:lang w:eastAsia="lt-LT"/>
              </w:rPr>
              <w:t>Privaloma PFSA nuostata</w:t>
            </w:r>
          </w:p>
        </w:tc>
      </w:tr>
      <w:tr w:rsidR="00B027B6" w:rsidTr="006366AF">
        <w:tc>
          <w:tcPr>
            <w:tcW w:w="1555" w:type="dxa"/>
          </w:tcPr>
          <w:p w:rsidR="00B027B6" w:rsidRPr="0003518B" w:rsidRDefault="006366AF" w:rsidP="00A47D63">
            <w:pPr>
              <w:jc w:val="center"/>
              <w:rPr>
                <w:rFonts w:ascii="Times New Roman" w:eastAsia="Calibri" w:hAnsi="Times New Roman" w:cs="Times New Roman"/>
                <w:sz w:val="24"/>
                <w:szCs w:val="24"/>
              </w:rPr>
            </w:pPr>
            <w:r>
              <w:rPr>
                <w:rFonts w:ascii="Times New Roman" w:hAnsi="Times New Roman" w:cs="Times New Roman"/>
                <w:b/>
                <w:sz w:val="24"/>
                <w:szCs w:val="24"/>
              </w:rPr>
              <w:t>Vilniaus universitetas</w:t>
            </w:r>
          </w:p>
        </w:tc>
        <w:tc>
          <w:tcPr>
            <w:tcW w:w="944" w:type="dxa"/>
          </w:tcPr>
          <w:p w:rsidR="00B027B6" w:rsidRDefault="00B027B6" w:rsidP="00A47D63">
            <w:pPr>
              <w:jc w:val="center"/>
              <w:rPr>
                <w:rFonts w:ascii="Times New Roman" w:hAnsi="Times New Roman" w:cs="Times New Roman"/>
                <w:sz w:val="24"/>
                <w:szCs w:val="24"/>
              </w:rPr>
            </w:pPr>
            <w:r>
              <w:rPr>
                <w:rFonts w:ascii="Times New Roman" w:hAnsi="Times New Roman" w:cs="Times New Roman"/>
                <w:sz w:val="24"/>
                <w:szCs w:val="24"/>
              </w:rPr>
              <w:t>5</w:t>
            </w:r>
          </w:p>
        </w:tc>
        <w:tc>
          <w:tcPr>
            <w:tcW w:w="1985" w:type="dxa"/>
          </w:tcPr>
          <w:p w:rsidR="00B027B6" w:rsidRPr="006366AF" w:rsidRDefault="00B027B6" w:rsidP="00B027B6">
            <w:pPr>
              <w:spacing w:after="0" w:line="240" w:lineRule="auto"/>
              <w:ind w:firstLine="851"/>
              <w:jc w:val="both"/>
              <w:rPr>
                <w:rFonts w:ascii="Times New Roman" w:hAnsi="Times New Roman"/>
                <w:sz w:val="24"/>
                <w:szCs w:val="24"/>
              </w:rPr>
            </w:pPr>
            <w:r w:rsidRPr="006366AF">
              <w:rPr>
                <w:rFonts w:ascii="Times New Roman" w:eastAsia="Times New Roman" w:hAnsi="Times New Roman"/>
                <w:sz w:val="24"/>
                <w:szCs w:val="24"/>
                <w:lang w:eastAsia="lt-LT"/>
              </w:rPr>
              <w:t xml:space="preserve">Didžiausia projektui galima skirti finansavimo lėšų suma yra </w:t>
            </w:r>
            <w:r w:rsidRPr="006366AF">
              <w:rPr>
                <w:rFonts w:ascii="Times New Roman" w:hAnsi="Times New Roman"/>
                <w:sz w:val="24"/>
                <w:szCs w:val="24"/>
              </w:rPr>
              <w:t xml:space="preserve">11 585 000,00 </w:t>
            </w:r>
            <w:proofErr w:type="spellStart"/>
            <w:r w:rsidRPr="006366AF">
              <w:rPr>
                <w:rFonts w:ascii="Times New Roman" w:hAnsi="Times New Roman"/>
                <w:sz w:val="24"/>
                <w:szCs w:val="24"/>
              </w:rPr>
              <w:t>Eur</w:t>
            </w:r>
            <w:proofErr w:type="spellEnd"/>
            <w:r w:rsidRPr="006366AF">
              <w:rPr>
                <w:rFonts w:ascii="Times New Roman" w:hAnsi="Times New Roman"/>
                <w:sz w:val="24"/>
                <w:szCs w:val="24"/>
              </w:rPr>
              <w:t xml:space="preserve"> (vienuolika milijonų penki šimtai aštuoniasdešimt penki tūkstančiai eurų 00 ct.</w:t>
            </w:r>
          </w:p>
        </w:tc>
        <w:tc>
          <w:tcPr>
            <w:tcW w:w="4583" w:type="dxa"/>
          </w:tcPr>
          <w:p w:rsidR="00B027B6" w:rsidRPr="006366AF" w:rsidRDefault="00B027B6" w:rsidP="00B027B6">
            <w:pPr>
              <w:pStyle w:val="Komentarotekstas"/>
              <w:rPr>
                <w:sz w:val="24"/>
                <w:szCs w:val="24"/>
              </w:rPr>
            </w:pPr>
            <w:r w:rsidRPr="006366AF">
              <w:rPr>
                <w:sz w:val="24"/>
                <w:szCs w:val="24"/>
              </w:rPr>
              <w:t xml:space="preserve">Jeigu 29 punkte numatyta 100 proc. projekto veiklų finansavimo galimybė, šiame punkte turi būti įrašyta visa </w:t>
            </w:r>
            <w:proofErr w:type="spellStart"/>
            <w:r w:rsidRPr="006366AF">
              <w:rPr>
                <w:sz w:val="24"/>
                <w:szCs w:val="24"/>
              </w:rPr>
              <w:t>max</w:t>
            </w:r>
            <w:proofErr w:type="spellEnd"/>
            <w:r w:rsidRPr="006366AF">
              <w:rPr>
                <w:sz w:val="24"/>
                <w:szCs w:val="24"/>
              </w:rPr>
              <w:t xml:space="preserve">. galima projekto vertė, </w:t>
            </w:r>
            <w:proofErr w:type="spellStart"/>
            <w:r w:rsidRPr="006366AF">
              <w:rPr>
                <w:sz w:val="24"/>
                <w:szCs w:val="24"/>
              </w:rPr>
              <w:t>t.y</w:t>
            </w:r>
            <w:proofErr w:type="spellEnd"/>
            <w:r w:rsidRPr="006366AF">
              <w:rPr>
                <w:sz w:val="24"/>
                <w:szCs w:val="24"/>
              </w:rPr>
              <w:t xml:space="preserve">. 25 000 </w:t>
            </w:r>
            <w:proofErr w:type="spellStart"/>
            <w:r w:rsidRPr="006366AF">
              <w:rPr>
                <w:sz w:val="24"/>
                <w:szCs w:val="24"/>
              </w:rPr>
              <w:t>tūkst</w:t>
            </w:r>
            <w:proofErr w:type="spellEnd"/>
            <w:r w:rsidRPr="006366AF">
              <w:rPr>
                <w:sz w:val="24"/>
                <w:szCs w:val="24"/>
              </w:rPr>
              <w:t xml:space="preserve"> </w:t>
            </w:r>
            <w:proofErr w:type="spellStart"/>
            <w:r w:rsidRPr="006366AF">
              <w:rPr>
                <w:sz w:val="24"/>
                <w:szCs w:val="24"/>
              </w:rPr>
              <w:t>Eur</w:t>
            </w:r>
            <w:proofErr w:type="spellEnd"/>
            <w:r w:rsidRPr="006366AF">
              <w:rPr>
                <w:sz w:val="24"/>
                <w:szCs w:val="24"/>
              </w:rPr>
              <w:t>.</w:t>
            </w:r>
          </w:p>
          <w:p w:rsidR="00B027B6" w:rsidRPr="006366AF" w:rsidRDefault="00B027B6" w:rsidP="00B027B6">
            <w:pPr>
              <w:pStyle w:val="Komentarotekstas"/>
              <w:rPr>
                <w:sz w:val="24"/>
                <w:szCs w:val="24"/>
              </w:rPr>
            </w:pPr>
          </w:p>
        </w:tc>
        <w:tc>
          <w:tcPr>
            <w:tcW w:w="1701" w:type="dxa"/>
          </w:tcPr>
          <w:p w:rsidR="00B027B6" w:rsidRPr="006366AF" w:rsidRDefault="00A23C3F" w:rsidP="00A47D63">
            <w:pPr>
              <w:jc w:val="center"/>
              <w:rPr>
                <w:rFonts w:ascii="Times New Roman" w:hAnsi="Times New Roman" w:cs="Times New Roman"/>
                <w:sz w:val="24"/>
                <w:szCs w:val="24"/>
              </w:rPr>
            </w:pPr>
            <w:r>
              <w:rPr>
                <w:rFonts w:ascii="Times New Roman" w:hAnsi="Times New Roman" w:cs="Times New Roman"/>
                <w:sz w:val="24"/>
                <w:szCs w:val="24"/>
              </w:rPr>
              <w:t>Neatsižvelgta</w:t>
            </w:r>
          </w:p>
        </w:tc>
        <w:tc>
          <w:tcPr>
            <w:tcW w:w="3461" w:type="dxa"/>
          </w:tcPr>
          <w:p w:rsidR="00B027B6" w:rsidRPr="006366AF" w:rsidRDefault="00A23C3F" w:rsidP="00A23C3F">
            <w:pPr>
              <w:pStyle w:val="Default"/>
              <w:jc w:val="both"/>
              <w:rPr>
                <w:bCs/>
                <w:color w:val="auto"/>
                <w:lang w:eastAsia="lt-LT"/>
              </w:rPr>
            </w:pPr>
            <w:r w:rsidRPr="00161475">
              <w:rPr>
                <w:rFonts w:eastAsia="Times New Roman"/>
              </w:rPr>
              <w:t>Prioritetinių mokslinių tyrimų ir eksperimentinės (socialinės, kultūrinės) plėtros ir inovacijų raidos (sumanios specializacijos) krypčių ir jų prioritetų įgyvendinimo programos įgyvendinimo Lietuvos Respublikos švietimo ir mokslo minis</w:t>
            </w:r>
            <w:r>
              <w:rPr>
                <w:rFonts w:eastAsia="Times New Roman"/>
              </w:rPr>
              <w:t>terijos valdymo srityje bendrajame</w:t>
            </w:r>
            <w:r w:rsidRPr="00161475">
              <w:rPr>
                <w:rFonts w:eastAsia="Times New Roman"/>
              </w:rPr>
              <w:t xml:space="preserve"> </w:t>
            </w:r>
            <w:r>
              <w:rPr>
                <w:rFonts w:eastAsia="Times New Roman"/>
              </w:rPr>
              <w:t xml:space="preserve">veiksmų plane </w:t>
            </w:r>
            <w:r>
              <w:rPr>
                <w:bCs/>
                <w:color w:val="auto"/>
                <w:lang w:eastAsia="lt-LT"/>
              </w:rPr>
              <w:t xml:space="preserve">nurodyta </w:t>
            </w:r>
            <w:r>
              <w:rPr>
                <w:rFonts w:eastAsia="Times New Roman"/>
                <w:lang w:eastAsia="lt-LT"/>
              </w:rPr>
              <w:t>d</w:t>
            </w:r>
            <w:r w:rsidRPr="006366AF">
              <w:rPr>
                <w:rFonts w:eastAsia="Times New Roman"/>
                <w:lang w:eastAsia="lt-LT"/>
              </w:rPr>
              <w:t xml:space="preserve">idžiausia projektui galima skirti </w:t>
            </w:r>
            <w:r>
              <w:rPr>
                <w:rFonts w:eastAsia="Times New Roman"/>
                <w:lang w:eastAsia="lt-LT"/>
              </w:rPr>
              <w:t xml:space="preserve">ES </w:t>
            </w:r>
            <w:r w:rsidRPr="006366AF">
              <w:rPr>
                <w:rFonts w:eastAsia="Times New Roman"/>
                <w:lang w:eastAsia="lt-LT"/>
              </w:rPr>
              <w:t xml:space="preserve">finansavimo lėšų suma yra </w:t>
            </w:r>
            <w:r>
              <w:t>11 584 5</w:t>
            </w:r>
            <w:r w:rsidRPr="006366AF">
              <w:t xml:space="preserve">00,00 </w:t>
            </w:r>
            <w:proofErr w:type="spellStart"/>
            <w:r w:rsidRPr="006366AF">
              <w:t>Eur</w:t>
            </w:r>
            <w:proofErr w:type="spellEnd"/>
            <w:r w:rsidRPr="006366AF">
              <w:t xml:space="preserve"> (vienuolika milijonų pe</w:t>
            </w:r>
            <w:r>
              <w:t>nki šimtai aštuoniasdešimt keturi</w:t>
            </w:r>
            <w:r w:rsidRPr="006366AF">
              <w:t xml:space="preserve"> tūkstančiai </w:t>
            </w:r>
            <w:r>
              <w:t xml:space="preserve"> penki šimtai </w:t>
            </w:r>
            <w:r w:rsidRPr="006366AF">
              <w:t>eurų 00 ct.</w:t>
            </w:r>
            <w:r>
              <w:t>)</w:t>
            </w:r>
          </w:p>
        </w:tc>
      </w:tr>
    </w:tbl>
    <w:p w:rsidR="001737A5" w:rsidRDefault="001737A5">
      <w:pPr>
        <w:rPr>
          <w:rFonts w:ascii="Times New Roman" w:hAnsi="Times New Roman" w:cs="Times New Roman"/>
          <w:sz w:val="24"/>
          <w:szCs w:val="24"/>
        </w:rPr>
      </w:pPr>
    </w:p>
    <w:p w:rsidR="00FD32AD" w:rsidRPr="001737A5" w:rsidRDefault="001737A5" w:rsidP="001737A5">
      <w:pPr>
        <w:tabs>
          <w:tab w:val="left" w:pos="6465"/>
        </w:tabs>
        <w:rPr>
          <w:rFonts w:ascii="Times New Roman" w:hAnsi="Times New Roman" w:cs="Times New Roman"/>
          <w:sz w:val="24"/>
          <w:szCs w:val="24"/>
        </w:rPr>
      </w:pPr>
      <w:r>
        <w:rPr>
          <w:rFonts w:ascii="Times New Roman" w:hAnsi="Times New Roman" w:cs="Times New Roman"/>
          <w:sz w:val="24"/>
          <w:szCs w:val="24"/>
        </w:rPr>
        <w:tab/>
        <w:t>______________________</w:t>
      </w:r>
    </w:p>
    <w:p w:rsidR="006366AF" w:rsidRPr="001737A5" w:rsidRDefault="006366AF">
      <w:pPr>
        <w:tabs>
          <w:tab w:val="left" w:pos="6465"/>
        </w:tabs>
        <w:rPr>
          <w:rFonts w:ascii="Times New Roman" w:hAnsi="Times New Roman" w:cs="Times New Roman"/>
          <w:sz w:val="24"/>
          <w:szCs w:val="24"/>
        </w:rPr>
      </w:pPr>
    </w:p>
    <w:sectPr w:rsidR="006366AF" w:rsidRPr="001737A5" w:rsidSect="006366AF">
      <w:pgSz w:w="16838" w:h="11906" w:orient="landscape"/>
      <w:pgMar w:top="567" w:right="1134"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772E5"/>
    <w:multiLevelType w:val="hybridMultilevel"/>
    <w:tmpl w:val="231C4414"/>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FE080B"/>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9B43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4A33DC9"/>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607244E"/>
    <w:multiLevelType w:val="hybridMultilevel"/>
    <w:tmpl w:val="20DE5B34"/>
    <w:lvl w:ilvl="0" w:tplc="50F8CB76">
      <w:start w:val="1"/>
      <w:numFmt w:val="decimal"/>
      <w:lvlText w:val="%1."/>
      <w:lvlJc w:val="left"/>
      <w:pPr>
        <w:ind w:left="720" w:hanging="360"/>
      </w:pPr>
      <w:rPr>
        <w:rFonts w:ascii="Times New Roman" w:hAnsi="Times New Roman" w:cs="Times New Roman" w:hint="default"/>
        <w:b/>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A40C5C"/>
    <w:multiLevelType w:val="hybridMultilevel"/>
    <w:tmpl w:val="F048B5A2"/>
    <w:lvl w:ilvl="0" w:tplc="86784E80">
      <w:start w:val="1"/>
      <w:numFmt w:val="bullet"/>
      <w:lvlText w:val="-"/>
      <w:lvlJc w:val="left"/>
      <w:pPr>
        <w:ind w:left="720" w:hanging="360"/>
      </w:pPr>
      <w:rPr>
        <w:rFonts w:ascii="Segoe UI" w:eastAsia="Times New Roman"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F8C0C1C"/>
    <w:multiLevelType w:val="hybridMultilevel"/>
    <w:tmpl w:val="73949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0FB16B2"/>
    <w:multiLevelType w:val="hybridMultilevel"/>
    <w:tmpl w:val="4A38D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76822E2"/>
    <w:multiLevelType w:val="hybridMultilevel"/>
    <w:tmpl w:val="CCAC8BA0"/>
    <w:lvl w:ilvl="0" w:tplc="DACC4EB8">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3"/>
  </w:num>
  <w:num w:numId="5">
    <w:abstractNumId w:val="2"/>
  </w:num>
  <w:num w:numId="6">
    <w:abstractNumId w:val="1"/>
  </w:num>
  <w:num w:numId="7">
    <w:abstractNumId w:val="4"/>
  </w:num>
  <w:num w:numId="8">
    <w:abstractNumId w:val="5"/>
  </w:num>
  <w:num w:numId="9">
    <w:abstractNumId w:val="9"/>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AD"/>
    <w:rsid w:val="00017679"/>
    <w:rsid w:val="0002776D"/>
    <w:rsid w:val="0003518B"/>
    <w:rsid w:val="00045CFA"/>
    <w:rsid w:val="000B4D22"/>
    <w:rsid w:val="000E5235"/>
    <w:rsid w:val="00125841"/>
    <w:rsid w:val="00142318"/>
    <w:rsid w:val="001737A5"/>
    <w:rsid w:val="001F44A3"/>
    <w:rsid w:val="00200C98"/>
    <w:rsid w:val="002203EC"/>
    <w:rsid w:val="00233EE3"/>
    <w:rsid w:val="002535C1"/>
    <w:rsid w:val="00283CB2"/>
    <w:rsid w:val="002A4A1F"/>
    <w:rsid w:val="00324059"/>
    <w:rsid w:val="00350834"/>
    <w:rsid w:val="00350C00"/>
    <w:rsid w:val="00371782"/>
    <w:rsid w:val="003802F2"/>
    <w:rsid w:val="003D1571"/>
    <w:rsid w:val="00406FB3"/>
    <w:rsid w:val="00452243"/>
    <w:rsid w:val="004712CF"/>
    <w:rsid w:val="00472E2A"/>
    <w:rsid w:val="00495AB0"/>
    <w:rsid w:val="004E69EB"/>
    <w:rsid w:val="005330FC"/>
    <w:rsid w:val="00562CE1"/>
    <w:rsid w:val="00584778"/>
    <w:rsid w:val="005D0367"/>
    <w:rsid w:val="00601B1E"/>
    <w:rsid w:val="00605001"/>
    <w:rsid w:val="006063EC"/>
    <w:rsid w:val="006366AF"/>
    <w:rsid w:val="00667CAB"/>
    <w:rsid w:val="006F13FD"/>
    <w:rsid w:val="00711BF5"/>
    <w:rsid w:val="007140C5"/>
    <w:rsid w:val="0072005F"/>
    <w:rsid w:val="007360BB"/>
    <w:rsid w:val="007540B7"/>
    <w:rsid w:val="0075612A"/>
    <w:rsid w:val="007E5E23"/>
    <w:rsid w:val="008A4FCA"/>
    <w:rsid w:val="008B077E"/>
    <w:rsid w:val="008E12BD"/>
    <w:rsid w:val="00957A2F"/>
    <w:rsid w:val="009712B4"/>
    <w:rsid w:val="009D6BAD"/>
    <w:rsid w:val="00A23C3F"/>
    <w:rsid w:val="00A473F4"/>
    <w:rsid w:val="00A47D63"/>
    <w:rsid w:val="00A527A2"/>
    <w:rsid w:val="00A6149B"/>
    <w:rsid w:val="00A75E77"/>
    <w:rsid w:val="00A76E30"/>
    <w:rsid w:val="00A9126D"/>
    <w:rsid w:val="00AA506B"/>
    <w:rsid w:val="00AD14AB"/>
    <w:rsid w:val="00AE17B3"/>
    <w:rsid w:val="00B027B6"/>
    <w:rsid w:val="00B678EB"/>
    <w:rsid w:val="00BB4DEF"/>
    <w:rsid w:val="00BC170B"/>
    <w:rsid w:val="00BC5ADE"/>
    <w:rsid w:val="00BD1EA9"/>
    <w:rsid w:val="00BF45C6"/>
    <w:rsid w:val="00C36ED9"/>
    <w:rsid w:val="00C539E4"/>
    <w:rsid w:val="00CA415B"/>
    <w:rsid w:val="00CB04C6"/>
    <w:rsid w:val="00CD3E00"/>
    <w:rsid w:val="00D24CF5"/>
    <w:rsid w:val="00D40B49"/>
    <w:rsid w:val="00D740B6"/>
    <w:rsid w:val="00D84755"/>
    <w:rsid w:val="00D857DB"/>
    <w:rsid w:val="00E13329"/>
    <w:rsid w:val="00E265CE"/>
    <w:rsid w:val="00E5574C"/>
    <w:rsid w:val="00EC75C7"/>
    <w:rsid w:val="00ED4AF1"/>
    <w:rsid w:val="00EE6CDE"/>
    <w:rsid w:val="00EF366D"/>
    <w:rsid w:val="00F27488"/>
    <w:rsid w:val="00F326FF"/>
    <w:rsid w:val="00F83EEE"/>
    <w:rsid w:val="00F968CD"/>
    <w:rsid w:val="00FC4965"/>
    <w:rsid w:val="00FD32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FA8FA-FE9B-4A32-998F-E1AEC9B1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40B6"/>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D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535C1"/>
    <w:pPr>
      <w:ind w:left="720"/>
      <w:contextualSpacing/>
    </w:pPr>
  </w:style>
  <w:style w:type="paragraph" w:customStyle="1" w:styleId="Default">
    <w:name w:val="Default"/>
    <w:rsid w:val="00CD3E00"/>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uiPriority w:val="99"/>
    <w:rsid w:val="00D40B49"/>
    <w:rPr>
      <w:rFonts w:cs="Times New Roman"/>
      <w:sz w:val="16"/>
    </w:rPr>
  </w:style>
  <w:style w:type="paragraph" w:styleId="Komentarotekstas">
    <w:name w:val="annotation text"/>
    <w:basedOn w:val="prastasis"/>
    <w:link w:val="KomentarotekstasDiagrama"/>
    <w:uiPriority w:val="99"/>
    <w:rsid w:val="00D40B49"/>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D40B49"/>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D40B4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0B49"/>
    <w:rPr>
      <w:rFonts w:ascii="Tahoma" w:hAnsi="Tahoma" w:cs="Tahoma"/>
      <w:sz w:val="16"/>
      <w:szCs w:val="16"/>
    </w:rPr>
  </w:style>
  <w:style w:type="paragraph" w:styleId="prastasiniatinklio">
    <w:name w:val="Normal (Web)"/>
    <w:basedOn w:val="prastasis"/>
    <w:uiPriority w:val="99"/>
    <w:semiHidden/>
    <w:unhideWhenUsed/>
    <w:rsid w:val="0002776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66678">
      <w:bodyDiv w:val="1"/>
      <w:marLeft w:val="0"/>
      <w:marRight w:val="0"/>
      <w:marTop w:val="0"/>
      <w:marBottom w:val="0"/>
      <w:divBdr>
        <w:top w:val="none" w:sz="0" w:space="0" w:color="auto"/>
        <w:left w:val="none" w:sz="0" w:space="0" w:color="auto"/>
        <w:bottom w:val="none" w:sz="0" w:space="0" w:color="auto"/>
        <w:right w:val="none" w:sz="0" w:space="0" w:color="auto"/>
      </w:divBdr>
    </w:div>
    <w:div w:id="122627050">
      <w:bodyDiv w:val="1"/>
      <w:marLeft w:val="0"/>
      <w:marRight w:val="0"/>
      <w:marTop w:val="0"/>
      <w:marBottom w:val="0"/>
      <w:divBdr>
        <w:top w:val="none" w:sz="0" w:space="0" w:color="auto"/>
        <w:left w:val="none" w:sz="0" w:space="0" w:color="auto"/>
        <w:bottom w:val="none" w:sz="0" w:space="0" w:color="auto"/>
        <w:right w:val="none" w:sz="0" w:space="0" w:color="auto"/>
      </w:divBdr>
    </w:div>
    <w:div w:id="408119211">
      <w:bodyDiv w:val="1"/>
      <w:marLeft w:val="0"/>
      <w:marRight w:val="0"/>
      <w:marTop w:val="0"/>
      <w:marBottom w:val="0"/>
      <w:divBdr>
        <w:top w:val="none" w:sz="0" w:space="0" w:color="auto"/>
        <w:left w:val="none" w:sz="0" w:space="0" w:color="auto"/>
        <w:bottom w:val="none" w:sz="0" w:space="0" w:color="auto"/>
        <w:right w:val="none" w:sz="0" w:space="0" w:color="auto"/>
      </w:divBdr>
    </w:div>
    <w:div w:id="1561862458">
      <w:bodyDiv w:val="1"/>
      <w:marLeft w:val="0"/>
      <w:marRight w:val="0"/>
      <w:marTop w:val="0"/>
      <w:marBottom w:val="0"/>
      <w:divBdr>
        <w:top w:val="none" w:sz="0" w:space="0" w:color="auto"/>
        <w:left w:val="none" w:sz="0" w:space="0" w:color="auto"/>
        <w:bottom w:val="none" w:sz="0" w:space="0" w:color="auto"/>
        <w:right w:val="none" w:sz="0" w:space="0" w:color="auto"/>
      </w:divBdr>
    </w:div>
    <w:div w:id="15761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4395</Words>
  <Characters>2506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Gaidamavičienė Agnė</dc:creator>
  <cp:lastModifiedBy>Čepas Vytautas</cp:lastModifiedBy>
  <cp:revision>8</cp:revision>
  <cp:lastPrinted>2016-03-30T06:30:00Z</cp:lastPrinted>
  <dcterms:created xsi:type="dcterms:W3CDTF">2016-08-01T07:51:00Z</dcterms:created>
  <dcterms:modified xsi:type="dcterms:W3CDTF">2016-09-08T06:26:00Z</dcterms:modified>
</cp:coreProperties>
</file>