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89500" w14:textId="77777777" w:rsidR="00CB13D1" w:rsidRDefault="00CB13D1" w:rsidP="00DE330A">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institucijų pateiktų pastabų derinimo lentelė </w:t>
      </w:r>
    </w:p>
    <w:p w14:paraId="7CC90F84"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537714" w:rsidRPr="00537714">
        <w:t xml:space="preserve"> </w:t>
      </w:r>
      <w:r w:rsidR="00DE330A" w:rsidRPr="00DE330A">
        <w:rPr>
          <w:rFonts w:ascii="Times New Roman" w:hAnsi="Times New Roman"/>
          <w:b/>
        </w:rPr>
        <w:t>2014–2020 M. EUROPOS SĄJUNGOS FONDŲ INVESTICIJŲ VEIKSMŲ PROGRAMOS</w:t>
      </w:r>
    </w:p>
    <w:p w14:paraId="48653828" w14:textId="77777777"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14:paraId="6E284473" w14:textId="0D46DDA9" w:rsidR="004264D6" w:rsidRPr="004264D6" w:rsidRDefault="00320F28" w:rsidP="00DE330A">
      <w:pPr>
        <w:pStyle w:val="statymopavad0"/>
        <w:spacing w:line="240" w:lineRule="auto"/>
        <w:rPr>
          <w:rFonts w:ascii="Times New Roman" w:hAnsi="Times New Roman"/>
          <w:b/>
        </w:rPr>
      </w:pPr>
      <w:r>
        <w:rPr>
          <w:rFonts w:ascii="Times New Roman" w:hAnsi="Times New Roman"/>
          <w:b/>
        </w:rPr>
        <w:t>NR. 10.1.</w:t>
      </w:r>
      <w:r w:rsidR="00016789">
        <w:rPr>
          <w:rFonts w:ascii="Times New Roman" w:hAnsi="Times New Roman"/>
          <w:b/>
        </w:rPr>
        <w:t>4</w:t>
      </w:r>
      <w:r>
        <w:rPr>
          <w:rFonts w:ascii="Times New Roman" w:hAnsi="Times New Roman"/>
          <w:b/>
        </w:rPr>
        <w:t>-ESFA-V-9</w:t>
      </w:r>
      <w:r w:rsidR="00016789">
        <w:rPr>
          <w:rFonts w:ascii="Times New Roman" w:hAnsi="Times New Roman"/>
          <w:b/>
        </w:rPr>
        <w:t>21</w:t>
      </w:r>
      <w:r w:rsidR="00DE330A" w:rsidRPr="00DE330A">
        <w:rPr>
          <w:rFonts w:ascii="Times New Roman" w:hAnsi="Times New Roman"/>
          <w:b/>
        </w:rPr>
        <w:t xml:space="preserve"> PRIEMONĖS „</w:t>
      </w:r>
      <w:r w:rsidR="00016789" w:rsidRPr="00016789">
        <w:rPr>
          <w:rFonts w:ascii="Times New Roman" w:hAnsi="Times New Roman"/>
          <w:b/>
        </w:rPr>
        <w:t>Geresnio reglamentavimo diegimas ir verslo priežiūros sistemos tobulinimas</w:t>
      </w:r>
      <w:r w:rsidR="00DE330A">
        <w:rPr>
          <w:rFonts w:ascii="Times New Roman" w:hAnsi="Times New Roman"/>
          <w:b/>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016789">
        <w:rPr>
          <w:rFonts w:ascii="Times New Roman" w:hAnsi="Times New Roman"/>
          <w:b/>
        </w:rPr>
        <w:t xml:space="preserve"> NR. 1 </w:t>
      </w:r>
      <w:r w:rsidR="00730538">
        <w:rPr>
          <w:rFonts w:ascii="Times New Roman" w:hAnsi="Times New Roman"/>
          <w:b/>
        </w:rPr>
        <w:t>ir APRAŠO NR. 2 PAKEITIMO</w:t>
      </w:r>
    </w:p>
    <w:p w14:paraId="19D6DB87"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980"/>
        <w:gridCol w:w="5386"/>
        <w:gridCol w:w="7626"/>
      </w:tblGrid>
      <w:tr w:rsidR="009F7B62" w:rsidRPr="00CB4D3A" w14:paraId="2D4F2C49" w14:textId="77777777" w:rsidTr="00514E80">
        <w:tc>
          <w:tcPr>
            <w:tcW w:w="1980" w:type="dxa"/>
            <w:hideMark/>
          </w:tcPr>
          <w:p w14:paraId="62B0854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5386" w:type="dxa"/>
            <w:hideMark/>
          </w:tcPr>
          <w:p w14:paraId="28F71B8A"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626" w:type="dxa"/>
            <w:hideMark/>
          </w:tcPr>
          <w:p w14:paraId="2AE84FEE"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DE330A" w:rsidRPr="00CB4D3A" w14:paraId="65030DE5" w14:textId="77777777" w:rsidTr="00514E80">
        <w:tc>
          <w:tcPr>
            <w:tcW w:w="1980" w:type="dxa"/>
          </w:tcPr>
          <w:p w14:paraId="5162C9A8" w14:textId="0882B91B" w:rsidR="00DE330A" w:rsidRPr="00F2066E" w:rsidRDefault="00DE330A" w:rsidP="00730538">
            <w:pPr>
              <w:pStyle w:val="Preformatted"/>
              <w:jc w:val="both"/>
              <w:rPr>
                <w:rFonts w:ascii="Times New Roman" w:hAnsi="Times New Roman"/>
                <w:sz w:val="24"/>
                <w:szCs w:val="24"/>
              </w:rPr>
            </w:pPr>
            <w:r>
              <w:rPr>
                <w:rFonts w:ascii="Times New Roman" w:hAnsi="Times New Roman"/>
                <w:sz w:val="24"/>
                <w:szCs w:val="24"/>
              </w:rPr>
              <w:t>Europos socialinio f</w:t>
            </w:r>
            <w:r w:rsidR="00730538">
              <w:rPr>
                <w:rFonts w:ascii="Times New Roman" w:hAnsi="Times New Roman"/>
                <w:sz w:val="24"/>
                <w:szCs w:val="24"/>
              </w:rPr>
              <w:t>ondo agentūros 2016 m. rugpjūčio</w:t>
            </w:r>
            <w:r w:rsidR="0013333A">
              <w:rPr>
                <w:rFonts w:ascii="Times New Roman" w:hAnsi="Times New Roman"/>
                <w:sz w:val="24"/>
                <w:szCs w:val="24"/>
              </w:rPr>
              <w:t xml:space="preserve"> 22</w:t>
            </w:r>
            <w:r>
              <w:rPr>
                <w:rFonts w:ascii="Times New Roman" w:hAnsi="Times New Roman"/>
                <w:sz w:val="24"/>
                <w:szCs w:val="24"/>
              </w:rPr>
              <w:t xml:space="preserve"> d. raštu Nr.  </w:t>
            </w:r>
            <w:r w:rsidR="00730538">
              <w:rPr>
                <w:rFonts w:ascii="Times New Roman" w:hAnsi="Times New Roman"/>
                <w:sz w:val="24"/>
                <w:szCs w:val="24"/>
              </w:rPr>
              <w:t xml:space="preserve">SB -2016-00488 </w:t>
            </w:r>
            <w:r>
              <w:rPr>
                <w:rFonts w:ascii="Times New Roman" w:hAnsi="Times New Roman"/>
                <w:sz w:val="24"/>
                <w:szCs w:val="24"/>
              </w:rPr>
              <w:t>pateiktos pastabos</w:t>
            </w:r>
            <w:r w:rsidR="00C57BE7">
              <w:rPr>
                <w:rFonts w:ascii="Times New Roman" w:hAnsi="Times New Roman"/>
                <w:sz w:val="24"/>
                <w:szCs w:val="24"/>
              </w:rPr>
              <w:t>.</w:t>
            </w:r>
          </w:p>
        </w:tc>
        <w:tc>
          <w:tcPr>
            <w:tcW w:w="5386" w:type="dxa"/>
          </w:tcPr>
          <w:p w14:paraId="55DF0367" w14:textId="253AA27F" w:rsidR="00DE330A" w:rsidDel="0029535C" w:rsidRDefault="00C57BE7" w:rsidP="00C57BE7">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1.</w:t>
            </w:r>
            <w:r>
              <w:t xml:space="preserve"> </w:t>
            </w:r>
            <w:r w:rsidRPr="00C57BE7">
              <w:rPr>
                <w:rFonts w:ascii="Times New Roman" w:hAnsi="Times New Roman"/>
                <w:sz w:val="24"/>
                <w:szCs w:val="24"/>
              </w:rPr>
              <w:t>Atsižvelgdami į tai, kad 2016 m. liepos 20 d. buvo patvirtintas Kasmetinių atostogų ir papildomų poilsio dienų išmokų fiksuotųjų normų nustatymo tyrimo ataskaitos keitimas, prašome Aprašų 39.3.1 punkte patikslinti tyrimo ataskaitos pavadinimą.</w:t>
            </w:r>
          </w:p>
        </w:tc>
        <w:tc>
          <w:tcPr>
            <w:tcW w:w="7626" w:type="dxa"/>
          </w:tcPr>
          <w:p w14:paraId="67926A4C" w14:textId="77777777" w:rsidR="00432FD5" w:rsidRDefault="00432FD5" w:rsidP="00CA4EAE">
            <w:pPr>
              <w:rPr>
                <w:rFonts w:ascii="Times New Roman" w:hAnsi="Times New Roman" w:cs="Times New Roman"/>
                <w:b/>
                <w:sz w:val="24"/>
                <w:szCs w:val="24"/>
              </w:rPr>
            </w:pPr>
            <w:r>
              <w:rPr>
                <w:rFonts w:ascii="Times New Roman" w:hAnsi="Times New Roman" w:cs="Times New Roman"/>
                <w:b/>
                <w:sz w:val="24"/>
                <w:szCs w:val="24"/>
              </w:rPr>
              <w:t>Atsižvelgta.</w:t>
            </w:r>
          </w:p>
          <w:p w14:paraId="7704C451" w14:textId="77777777" w:rsidR="00016789" w:rsidRDefault="00016789" w:rsidP="00CA4EAE">
            <w:pPr>
              <w:rPr>
                <w:rFonts w:ascii="Times New Roman" w:hAnsi="Times New Roman" w:cs="Times New Roman"/>
                <w:sz w:val="24"/>
                <w:szCs w:val="24"/>
              </w:rPr>
            </w:pPr>
          </w:p>
          <w:p w14:paraId="0CEC480C" w14:textId="77777777" w:rsidR="00016789" w:rsidRDefault="00016789" w:rsidP="00CA4EAE">
            <w:pPr>
              <w:rPr>
                <w:rFonts w:ascii="Times New Roman" w:hAnsi="Times New Roman" w:cs="Times New Roman"/>
                <w:sz w:val="24"/>
                <w:szCs w:val="24"/>
              </w:rPr>
            </w:pPr>
          </w:p>
          <w:p w14:paraId="5F94A822" w14:textId="77777777" w:rsidR="00DE330A" w:rsidRPr="00D86EB2" w:rsidDel="00B4643D" w:rsidRDefault="00DE330A" w:rsidP="00D62F7D">
            <w:pPr>
              <w:rPr>
                <w:rFonts w:ascii="Times New Roman" w:hAnsi="Times New Roman" w:cs="Times New Roman"/>
                <w:sz w:val="24"/>
                <w:szCs w:val="24"/>
              </w:rPr>
            </w:pPr>
          </w:p>
        </w:tc>
      </w:tr>
      <w:tr w:rsidR="00DE330A" w:rsidRPr="00CB4D3A" w14:paraId="70364CC2" w14:textId="77777777" w:rsidTr="00514E80">
        <w:trPr>
          <w:trHeight w:val="885"/>
        </w:trPr>
        <w:tc>
          <w:tcPr>
            <w:tcW w:w="1980" w:type="dxa"/>
          </w:tcPr>
          <w:p w14:paraId="4138F976" w14:textId="77777777" w:rsidR="00DE330A" w:rsidRPr="00F2066E" w:rsidDel="00E75A99" w:rsidRDefault="00DE330A" w:rsidP="004264D6">
            <w:pPr>
              <w:pStyle w:val="Preformatted"/>
              <w:jc w:val="both"/>
              <w:rPr>
                <w:rFonts w:ascii="Times New Roman" w:hAnsi="Times New Roman"/>
                <w:sz w:val="24"/>
                <w:szCs w:val="24"/>
              </w:rPr>
            </w:pPr>
          </w:p>
        </w:tc>
        <w:tc>
          <w:tcPr>
            <w:tcW w:w="5386" w:type="dxa"/>
          </w:tcPr>
          <w:p w14:paraId="41C6F397" w14:textId="60F6BA6A" w:rsidR="00C57BE7" w:rsidRDefault="00016789" w:rsidP="00404303">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2. </w:t>
            </w:r>
            <w:r w:rsidR="00C57BE7" w:rsidRPr="00C57BE7">
              <w:rPr>
                <w:rFonts w:ascii="Times New Roman" w:hAnsi="Times New Roman"/>
                <w:sz w:val="24"/>
                <w:szCs w:val="24"/>
              </w:rPr>
              <w:t xml:space="preserve">Siekiant užtikrinti, kad dalyvių darbo užmokestis, nurodytas Aprašo Nr. 1, 37 punkte ir Aprašo Nr. 2, 36 punkte, negalėtų būti paraiškoje nurodomas mažesnis nei 15 proc. visų tinkamų finansuoti projekto išlaidų, tuo atveju kai dalyvių darbo užmokesčio suma viršija 15 proc., siūlome patikslinti minėtą nuostatą į „Pareiškėjas ir (arba) partneris savo iniciatyva ir savo ir (arba) kitų šaltinių lėšomis gali prisidėti prie projekto įgyvendinimo. Aprašo 10.4 papunktyje nurodytą veiklą apimančio projekto vykdytojas ir (arba) partneris prie projekto įgyvendinimo turi prisidėti </w:t>
            </w:r>
            <w:r w:rsidR="00C57BE7" w:rsidRPr="00801D04">
              <w:rPr>
                <w:rFonts w:ascii="Times New Roman" w:hAnsi="Times New Roman"/>
                <w:b/>
                <w:sz w:val="24"/>
                <w:szCs w:val="24"/>
              </w:rPr>
              <w:t>visų,</w:t>
            </w:r>
            <w:r w:rsidR="00C57BE7" w:rsidRPr="00C57BE7">
              <w:rPr>
                <w:rFonts w:ascii="Times New Roman" w:hAnsi="Times New Roman"/>
                <w:sz w:val="24"/>
                <w:szCs w:val="24"/>
              </w:rPr>
              <w:t xml:space="preserve"> paraiškoje numatytų Aprašo 10.4 papunktyje nurodytos veiklos, dalyvių viešojo valdymo institucijų darbuotojų (išskyrus iš ES struktūrinės, kitos ES finansinės paramos ir tarptautinės finansinės paramos darbo užmokestį ar jo dalį gaunančius darbuotojus) darbo užmokesčiu, bet ne daugiau kaip 15 proc. visų tinkamų finansuoti projekto išlaidų“.</w:t>
            </w:r>
          </w:p>
        </w:tc>
        <w:tc>
          <w:tcPr>
            <w:tcW w:w="7626" w:type="dxa"/>
          </w:tcPr>
          <w:p w14:paraId="104989C0" w14:textId="7ACF131B" w:rsidR="00DE330A" w:rsidRPr="00193CA7" w:rsidRDefault="00193CA7" w:rsidP="00F54F56">
            <w:pPr>
              <w:rPr>
                <w:rFonts w:ascii="Times New Roman" w:hAnsi="Times New Roman" w:cs="Times New Roman"/>
                <w:b/>
                <w:sz w:val="24"/>
                <w:szCs w:val="24"/>
              </w:rPr>
            </w:pPr>
            <w:r w:rsidRPr="00193CA7">
              <w:rPr>
                <w:rFonts w:ascii="Times New Roman" w:hAnsi="Times New Roman" w:cs="Times New Roman"/>
                <w:b/>
                <w:sz w:val="24"/>
                <w:szCs w:val="24"/>
              </w:rPr>
              <w:t>Atsižvelgta.</w:t>
            </w:r>
          </w:p>
        </w:tc>
      </w:tr>
      <w:tr w:rsidR="00DE330A" w:rsidRPr="00CB4D3A" w14:paraId="66774670" w14:textId="77777777" w:rsidTr="00514E80">
        <w:tc>
          <w:tcPr>
            <w:tcW w:w="1980" w:type="dxa"/>
          </w:tcPr>
          <w:p w14:paraId="6E2BAFA7" w14:textId="55CF0CD0" w:rsidR="00DE330A" w:rsidRPr="00F2066E" w:rsidRDefault="00D839CE" w:rsidP="004264D6">
            <w:pPr>
              <w:pStyle w:val="Preformatted"/>
              <w:jc w:val="both"/>
              <w:rPr>
                <w:rFonts w:ascii="Times New Roman" w:hAnsi="Times New Roman"/>
                <w:sz w:val="24"/>
                <w:szCs w:val="24"/>
              </w:rPr>
            </w:pPr>
            <w:r>
              <w:rPr>
                <w:rFonts w:ascii="Times New Roman" w:hAnsi="Times New Roman"/>
                <w:sz w:val="24"/>
                <w:szCs w:val="24"/>
              </w:rPr>
              <w:lastRenderedPageBreak/>
              <w:t>2. Lietuvos Respublikos ūkio ministerijos 2016 m. rugpjūčio 18 d. raštu Nr. (39.2-36)-3-3688</w:t>
            </w:r>
          </w:p>
        </w:tc>
        <w:tc>
          <w:tcPr>
            <w:tcW w:w="5386" w:type="dxa"/>
          </w:tcPr>
          <w:p w14:paraId="1CFE7934" w14:textId="7317966F" w:rsidR="00DE330A" w:rsidRPr="00F2066E" w:rsidRDefault="00D839CE" w:rsidP="00404303">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1. </w:t>
            </w:r>
            <w:r w:rsidR="00BF64BA">
              <w:rPr>
                <w:rFonts w:ascii="Times New Roman" w:hAnsi="Times New Roman"/>
                <w:sz w:val="24"/>
                <w:szCs w:val="24"/>
              </w:rPr>
              <w:t>Projekto Nr. 1 Projekto Nr. 2 keičiamas teisinis reglamentavimas numato naujus reikalavimus institucijoms, skaičiuojančioms išlaidas renginių organizavimo ir renginių dalyvių maitinimo paslaugų įsigijimui. Pažymėtina, kad projektuose numatomas privalomas reikalavimas šių paslaugų išlaidas skaičiuoti remiantis paslaugų fiksuotaisiais įkainiais, pagal kurios jos bus vėliau finansuojamos, kai tuo tarpu šiuo metu galiojančiose aktualiose įsakymų redakcijose toks reikalavimas nėra taikomas. Todėl kyla pagrįstų abejonių dėl naujų reikalavimų taikymo teisėtumo jau parengtų ir Europos socialinio fondo agentūrai vertinti pateiktų iš Europos sąjungos struktūrinių fondų lėšų bendrai finansuojamų projektų paraiškų atžvilgiu. Be to, manytina, kad pakeisti teisės aktai negali galioti atgaline data.</w:t>
            </w:r>
          </w:p>
        </w:tc>
        <w:tc>
          <w:tcPr>
            <w:tcW w:w="7626" w:type="dxa"/>
          </w:tcPr>
          <w:p w14:paraId="697C8A24" w14:textId="19F5F4B3" w:rsidR="00DE330A" w:rsidRPr="00DE330A" w:rsidRDefault="0013333A" w:rsidP="00CA4EAE">
            <w:pPr>
              <w:rPr>
                <w:rFonts w:ascii="Times New Roman" w:hAnsi="Times New Roman" w:cs="Times New Roman"/>
                <w:b/>
                <w:sz w:val="24"/>
                <w:szCs w:val="24"/>
              </w:rPr>
            </w:pPr>
            <w:r>
              <w:rPr>
                <w:rFonts w:ascii="Times New Roman" w:hAnsi="Times New Roman" w:cs="Times New Roman"/>
                <w:b/>
                <w:sz w:val="24"/>
                <w:szCs w:val="24"/>
              </w:rPr>
              <w:t>Atsižvelgta.</w:t>
            </w:r>
            <w:r w:rsidR="002177DA">
              <w:rPr>
                <w:rFonts w:ascii="Times New Roman" w:hAnsi="Times New Roman" w:cs="Times New Roman"/>
                <w:b/>
                <w:sz w:val="24"/>
                <w:szCs w:val="24"/>
              </w:rPr>
              <w:t xml:space="preserve"> PFSA keitimas bus patvirtintas po projektų 10.1.4-ESFA-V-921-01-0001 „Teisinio reguliavimo tinkamumo patikros“ ir 10.1.4-ESFA-V-921-02</w:t>
            </w:r>
            <w:r w:rsidR="002177DA" w:rsidRPr="002177DA">
              <w:rPr>
                <w:rFonts w:ascii="Times New Roman" w:hAnsi="Times New Roman" w:cs="Times New Roman"/>
                <w:b/>
                <w:sz w:val="24"/>
                <w:szCs w:val="24"/>
              </w:rPr>
              <w:t>-0001</w:t>
            </w:r>
            <w:r w:rsidR="002177DA">
              <w:rPr>
                <w:rFonts w:ascii="Times New Roman" w:hAnsi="Times New Roman" w:cs="Times New Roman"/>
                <w:b/>
                <w:sz w:val="24"/>
                <w:szCs w:val="24"/>
              </w:rPr>
              <w:t xml:space="preserve"> „Verslo priežiūros sistemos tobulinimas“ </w:t>
            </w:r>
            <w:r w:rsidR="00B24AE4">
              <w:rPr>
                <w:rFonts w:ascii="Times New Roman" w:hAnsi="Times New Roman" w:cs="Times New Roman"/>
                <w:b/>
                <w:sz w:val="24"/>
                <w:szCs w:val="24"/>
              </w:rPr>
              <w:t>finansavimo ir administravimo sutarties pasirašymo</w:t>
            </w:r>
            <w:r w:rsidR="002177DA">
              <w:rPr>
                <w:rFonts w:ascii="Times New Roman" w:hAnsi="Times New Roman" w:cs="Times New Roman"/>
                <w:b/>
                <w:sz w:val="24"/>
                <w:szCs w:val="24"/>
              </w:rPr>
              <w:t>.</w:t>
            </w:r>
          </w:p>
          <w:p w14:paraId="69CC8781" w14:textId="77777777" w:rsidR="00DE330A" w:rsidRPr="003E5501" w:rsidRDefault="00DE330A" w:rsidP="00EA4001">
            <w:pPr>
              <w:jc w:val="both"/>
              <w:rPr>
                <w:rFonts w:ascii="Times New Roman" w:hAnsi="Times New Roman" w:cs="Times New Roman"/>
                <w:sz w:val="24"/>
                <w:szCs w:val="24"/>
              </w:rPr>
            </w:pPr>
          </w:p>
        </w:tc>
      </w:tr>
      <w:tr w:rsidR="00DE330A" w:rsidRPr="00CB4D3A" w14:paraId="32A58515" w14:textId="77777777" w:rsidTr="00514E80">
        <w:tc>
          <w:tcPr>
            <w:tcW w:w="1980" w:type="dxa"/>
          </w:tcPr>
          <w:p w14:paraId="08D62A15" w14:textId="77777777" w:rsidR="00DE330A" w:rsidRPr="00F2066E" w:rsidRDefault="00DE330A" w:rsidP="004264D6">
            <w:pPr>
              <w:pStyle w:val="Preformatted"/>
              <w:tabs>
                <w:tab w:val="clear" w:pos="0"/>
                <w:tab w:val="clear" w:pos="1918"/>
                <w:tab w:val="left" w:pos="851"/>
                <w:tab w:val="left" w:pos="1276"/>
              </w:tabs>
              <w:jc w:val="both"/>
              <w:rPr>
                <w:rFonts w:ascii="Times New Roman" w:hAnsi="Times New Roman"/>
                <w:sz w:val="24"/>
                <w:szCs w:val="24"/>
              </w:rPr>
            </w:pPr>
          </w:p>
        </w:tc>
        <w:tc>
          <w:tcPr>
            <w:tcW w:w="5386" w:type="dxa"/>
          </w:tcPr>
          <w:p w14:paraId="1B19109E" w14:textId="7F8BCEAB" w:rsidR="00DE330A" w:rsidRPr="00F2066E" w:rsidRDefault="006E11D4" w:rsidP="00404303">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2. Projekto Nr. 2 5 straipsniu keičiamas 19 punktas dėstomas taip: „19. Projektas turi atitikti vieną iš specialiųjų projekto atrankos kriterijų, t. y. turi atitikti: “ Toliau seka 19.1 ir 19.2 papunkčiai, kurie apibrėžia tuos specialiuosius projektų atrankos kriterijus. Tačiau tokia 19 punkto dėstoma formuluotė gali sukelti </w:t>
            </w:r>
            <w:proofErr w:type="spellStart"/>
            <w:r>
              <w:rPr>
                <w:rFonts w:ascii="Times New Roman" w:hAnsi="Times New Roman"/>
                <w:sz w:val="24"/>
                <w:szCs w:val="24"/>
              </w:rPr>
              <w:t>neaiškumų</w:t>
            </w:r>
            <w:proofErr w:type="spellEnd"/>
            <w:r>
              <w:rPr>
                <w:rFonts w:ascii="Times New Roman" w:hAnsi="Times New Roman"/>
                <w:sz w:val="24"/>
                <w:szCs w:val="24"/>
              </w:rPr>
              <w:t>, kokius tiksliai ir kiek specialiųjų projektų atrankos kriterijų turi atitikti projektas, todėl siūlytume tikslinti 19 punkto formuluotę, atsisakant „t. y. turi atitikti“.</w:t>
            </w:r>
          </w:p>
        </w:tc>
        <w:tc>
          <w:tcPr>
            <w:tcW w:w="7626" w:type="dxa"/>
          </w:tcPr>
          <w:p w14:paraId="37F94308" w14:textId="04A9A1EB" w:rsidR="001D43EF" w:rsidRPr="006E11D4" w:rsidRDefault="00BB53C9" w:rsidP="004E27DE">
            <w:pPr>
              <w:jc w:val="both"/>
              <w:rPr>
                <w:rFonts w:ascii="Times New Roman" w:hAnsi="Times New Roman" w:cs="Times New Roman"/>
                <w:b/>
                <w:sz w:val="24"/>
                <w:szCs w:val="24"/>
              </w:rPr>
            </w:pPr>
            <w:r>
              <w:rPr>
                <w:rFonts w:ascii="Times New Roman" w:hAnsi="Times New Roman" w:cs="Times New Roman"/>
                <w:b/>
                <w:sz w:val="24"/>
                <w:szCs w:val="24"/>
              </w:rPr>
              <w:t>Neatsižvelgta.</w:t>
            </w:r>
            <w:r w:rsidR="00990D41">
              <w:rPr>
                <w:rFonts w:ascii="Times New Roman" w:hAnsi="Times New Roman" w:cs="Times New Roman"/>
                <w:b/>
                <w:sz w:val="24"/>
                <w:szCs w:val="24"/>
              </w:rPr>
              <w:t xml:space="preserve"> </w:t>
            </w:r>
            <w:r w:rsidR="004E27DE">
              <w:rPr>
                <w:rFonts w:ascii="Times New Roman" w:hAnsi="Times New Roman" w:cs="Times New Roman"/>
                <w:b/>
                <w:sz w:val="24"/>
                <w:szCs w:val="24"/>
              </w:rPr>
              <w:t xml:space="preserve">Atrankos kriterijai 2016 m. balandžio 19 d. patvirtinti </w:t>
            </w:r>
            <w:r w:rsidR="004E27DE" w:rsidRPr="004E27DE">
              <w:rPr>
                <w:rFonts w:ascii="Times New Roman" w:hAnsi="Times New Roman" w:cs="Times New Roman"/>
                <w:b/>
                <w:sz w:val="24"/>
                <w:szCs w:val="24"/>
              </w:rPr>
              <w:t>2014–2020 m. ES fondų investicijų veiksmų progra</w:t>
            </w:r>
            <w:r w:rsidR="004E27DE">
              <w:rPr>
                <w:rFonts w:ascii="Times New Roman" w:hAnsi="Times New Roman" w:cs="Times New Roman"/>
                <w:b/>
                <w:sz w:val="24"/>
                <w:szCs w:val="24"/>
              </w:rPr>
              <w:t xml:space="preserve">mos stebėsenos komiteto posėdyje </w:t>
            </w:r>
            <w:r w:rsidR="004E27DE" w:rsidRPr="004E27DE">
              <w:rPr>
                <w:rFonts w:ascii="Times New Roman" w:hAnsi="Times New Roman" w:cs="Times New Roman"/>
                <w:b/>
                <w:sz w:val="24"/>
                <w:szCs w:val="24"/>
              </w:rPr>
              <w:t>Nr. 17</w:t>
            </w:r>
            <w:r w:rsidR="004E27DE">
              <w:rPr>
                <w:rFonts w:ascii="Times New Roman" w:hAnsi="Times New Roman" w:cs="Times New Roman"/>
                <w:b/>
                <w:sz w:val="24"/>
                <w:szCs w:val="24"/>
              </w:rPr>
              <w:t>.</w:t>
            </w:r>
          </w:p>
          <w:p w14:paraId="485CFEBD" w14:textId="77777777" w:rsidR="00F76E2A" w:rsidRPr="00F238BB" w:rsidRDefault="00F76E2A" w:rsidP="009B0867">
            <w:pPr>
              <w:jc w:val="both"/>
              <w:rPr>
                <w:rFonts w:ascii="Times New Roman" w:hAnsi="Times New Roman" w:cs="Times New Roman"/>
                <w:sz w:val="24"/>
                <w:szCs w:val="24"/>
              </w:rPr>
            </w:pPr>
          </w:p>
        </w:tc>
      </w:tr>
      <w:tr w:rsidR="00DE330A" w:rsidRPr="00CB4D3A" w14:paraId="36ADD1CE" w14:textId="77777777" w:rsidTr="00514E80">
        <w:tc>
          <w:tcPr>
            <w:tcW w:w="1980" w:type="dxa"/>
          </w:tcPr>
          <w:p w14:paraId="12EF4A1A" w14:textId="77777777" w:rsidR="00DE330A" w:rsidRPr="00F2066E" w:rsidRDefault="00DE330A" w:rsidP="00284661">
            <w:pPr>
              <w:pStyle w:val="Preformatted"/>
              <w:tabs>
                <w:tab w:val="clear" w:pos="0"/>
                <w:tab w:val="clear" w:pos="1918"/>
                <w:tab w:val="left" w:pos="851"/>
                <w:tab w:val="left" w:pos="1276"/>
              </w:tabs>
              <w:jc w:val="both"/>
              <w:rPr>
                <w:rFonts w:ascii="Times New Roman" w:hAnsi="Times New Roman"/>
                <w:sz w:val="24"/>
                <w:szCs w:val="24"/>
              </w:rPr>
            </w:pPr>
          </w:p>
        </w:tc>
        <w:tc>
          <w:tcPr>
            <w:tcW w:w="5386" w:type="dxa"/>
          </w:tcPr>
          <w:p w14:paraId="00FA8843" w14:textId="481E20B3" w:rsidR="00DE330A" w:rsidRPr="00F2066E" w:rsidRDefault="006E11D4" w:rsidP="00404303">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3. Atkreipiame dėmesį, kad projekto Nr. 2 14.2 punktu praplečiamas galimų pareiškėjų ratas dėl ko gali kilti rizika dėl galimo projektų veiklų dubliavimo. Todėl siūlome numatyti</w:t>
            </w:r>
            <w:r w:rsidR="00D64425">
              <w:rPr>
                <w:rFonts w:ascii="Times New Roman" w:hAnsi="Times New Roman"/>
                <w:sz w:val="24"/>
                <w:szCs w:val="24"/>
              </w:rPr>
              <w:t xml:space="preserve"> išankstinio kitų priežiūros institucijų teikiamų projektų derinimo galimybę su Ūkio ministerija, kuri yra atsakinga už verslo priežiūros politikos formavimą.</w:t>
            </w:r>
          </w:p>
        </w:tc>
        <w:tc>
          <w:tcPr>
            <w:tcW w:w="7626" w:type="dxa"/>
          </w:tcPr>
          <w:p w14:paraId="264A2A63" w14:textId="61B31A69" w:rsidR="00DE330A" w:rsidRDefault="003659CF" w:rsidP="00746C01">
            <w:pPr>
              <w:jc w:val="both"/>
              <w:rPr>
                <w:rFonts w:ascii="Times New Roman" w:hAnsi="Times New Roman" w:cs="Times New Roman"/>
                <w:b/>
                <w:sz w:val="24"/>
                <w:szCs w:val="24"/>
              </w:rPr>
            </w:pPr>
            <w:r>
              <w:rPr>
                <w:rFonts w:ascii="Times New Roman" w:hAnsi="Times New Roman" w:cs="Times New Roman"/>
                <w:b/>
                <w:sz w:val="24"/>
                <w:szCs w:val="24"/>
              </w:rPr>
              <w:t xml:space="preserve">Atsižvelgta. </w:t>
            </w:r>
            <w:r w:rsidRPr="003659CF">
              <w:rPr>
                <w:rFonts w:ascii="Times New Roman" w:hAnsi="Times New Roman" w:cs="Times New Roman"/>
                <w:b/>
                <w:sz w:val="24"/>
                <w:szCs w:val="24"/>
              </w:rPr>
              <w:t>Ūkio ministerijos Įmonių teisės ir verslo aplinkos gerinimo departamento Geresnio reglamentavimo politikos skyriau</w:t>
            </w:r>
            <w:r>
              <w:rPr>
                <w:rFonts w:ascii="Times New Roman" w:hAnsi="Times New Roman" w:cs="Times New Roman"/>
                <w:b/>
                <w:sz w:val="24"/>
                <w:szCs w:val="24"/>
              </w:rPr>
              <w:t xml:space="preserve">s patarėjas Žydrūnas Paškauskas yra </w:t>
            </w:r>
            <w:r w:rsidRPr="003659CF">
              <w:rPr>
                <w:rFonts w:ascii="Times New Roman" w:hAnsi="Times New Roman" w:cs="Times New Roman"/>
                <w:b/>
                <w:sz w:val="24"/>
                <w:szCs w:val="24"/>
              </w:rPr>
              <w:t>10 prioriteto 10.1.4 konkretaus uždavinio „Pagerinti verslo reguliavimo aplinką“ koordinavimo grupė</w:t>
            </w:r>
            <w:r w:rsidR="00E72268">
              <w:rPr>
                <w:rFonts w:ascii="Times New Roman" w:hAnsi="Times New Roman" w:cs="Times New Roman"/>
                <w:b/>
                <w:sz w:val="24"/>
                <w:szCs w:val="24"/>
              </w:rPr>
              <w:t>s narys ir gali teikti pastabas ar pasiūlymus dėl derinamų projektų.</w:t>
            </w:r>
          </w:p>
          <w:p w14:paraId="0648ECB7" w14:textId="77777777" w:rsidR="00DE330A" w:rsidRPr="00144ED2" w:rsidRDefault="00DE330A" w:rsidP="004E3886">
            <w:pPr>
              <w:jc w:val="both"/>
              <w:rPr>
                <w:rFonts w:ascii="Times New Roman" w:hAnsi="Times New Roman" w:cs="Times New Roman"/>
                <w:sz w:val="24"/>
                <w:szCs w:val="24"/>
              </w:rPr>
            </w:pPr>
          </w:p>
        </w:tc>
      </w:tr>
    </w:tbl>
    <w:p w14:paraId="33530162" w14:textId="4E9453EF" w:rsidR="00CF5CF4" w:rsidRPr="00BE57EC" w:rsidRDefault="00CF5CF4" w:rsidP="00B00017">
      <w:pPr>
        <w:jc w:val="center"/>
        <w:rPr>
          <w:rFonts w:ascii="Times New Roman" w:hAnsi="Times New Roman" w:cs="Times New Roman"/>
          <w:sz w:val="24"/>
          <w:szCs w:val="24"/>
        </w:rPr>
      </w:pP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8C106" w14:textId="77777777" w:rsidR="00381230" w:rsidRDefault="00381230" w:rsidP="00CF5CF4">
      <w:pPr>
        <w:spacing w:after="0" w:line="240" w:lineRule="auto"/>
      </w:pPr>
      <w:r>
        <w:separator/>
      </w:r>
    </w:p>
  </w:endnote>
  <w:endnote w:type="continuationSeparator" w:id="0">
    <w:p w14:paraId="5BDD6128" w14:textId="77777777" w:rsidR="00381230" w:rsidRDefault="00381230"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F005" w14:textId="77777777" w:rsidR="004264D6" w:rsidRDefault="004264D6">
    <w:pPr>
      <w:pStyle w:val="Porat"/>
    </w:pPr>
  </w:p>
  <w:p w14:paraId="5D84BA12" w14:textId="77777777" w:rsidR="004264D6" w:rsidRDefault="004264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567CE" w14:textId="77777777" w:rsidR="00381230" w:rsidRDefault="00381230" w:rsidP="00CF5CF4">
      <w:pPr>
        <w:spacing w:after="0" w:line="240" w:lineRule="auto"/>
      </w:pPr>
      <w:r>
        <w:separator/>
      </w:r>
    </w:p>
  </w:footnote>
  <w:footnote w:type="continuationSeparator" w:id="0">
    <w:p w14:paraId="28EC1B74" w14:textId="77777777" w:rsidR="00381230" w:rsidRDefault="00381230"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1993"/>
      <w:docPartObj>
        <w:docPartGallery w:val="Page Numbers (Top of Page)"/>
        <w:docPartUnique/>
      </w:docPartObj>
    </w:sdtPr>
    <w:sdtEndPr>
      <w:rPr>
        <w:rFonts w:ascii="Times New Roman" w:hAnsi="Times New Roman" w:cs="Times New Roman"/>
        <w:noProof/>
      </w:rPr>
    </w:sdtEndPr>
    <w:sdtContent>
      <w:p w14:paraId="57B9D3FE" w14:textId="0400469A"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6E3A12">
          <w:rPr>
            <w:rFonts w:ascii="Times New Roman" w:hAnsi="Times New Roman" w:cs="Times New Roman"/>
            <w:noProof/>
          </w:rPr>
          <w:t>2</w:t>
        </w:r>
        <w:r w:rsidRPr="00CF5CF4">
          <w:rPr>
            <w:rFonts w:ascii="Times New Roman" w:hAnsi="Times New Roman" w:cs="Times New Roman"/>
            <w:noProof/>
          </w:rPr>
          <w:fldChar w:fldCharType="end"/>
        </w:r>
      </w:p>
    </w:sdtContent>
  </w:sdt>
  <w:p w14:paraId="0F06AF03" w14:textId="77777777" w:rsidR="004264D6" w:rsidRDefault="004264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E02455E"/>
    <w:multiLevelType w:val="hybridMultilevel"/>
    <w:tmpl w:val="6EF4E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3"/>
  </w:num>
  <w:num w:numId="6">
    <w:abstractNumId w:val="12"/>
  </w:num>
  <w:num w:numId="7">
    <w:abstractNumId w:val="16"/>
  </w:num>
  <w:num w:numId="8">
    <w:abstractNumId w:val="21"/>
  </w:num>
  <w:num w:numId="9">
    <w:abstractNumId w:val="1"/>
  </w:num>
  <w:num w:numId="10">
    <w:abstractNumId w:val="9"/>
  </w:num>
  <w:num w:numId="11">
    <w:abstractNumId w:val="0"/>
  </w:num>
  <w:num w:numId="12">
    <w:abstractNumId w:val="19"/>
  </w:num>
  <w:num w:numId="13">
    <w:abstractNumId w:val="5"/>
  </w:num>
  <w:num w:numId="14">
    <w:abstractNumId w:val="10"/>
  </w:num>
  <w:num w:numId="15">
    <w:abstractNumId w:val="24"/>
  </w:num>
  <w:num w:numId="16">
    <w:abstractNumId w:val="20"/>
  </w:num>
  <w:num w:numId="17">
    <w:abstractNumId w:val="3"/>
  </w:num>
  <w:num w:numId="18">
    <w:abstractNumId w:val="8"/>
  </w:num>
  <w:num w:numId="19">
    <w:abstractNumId w:val="18"/>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F6"/>
    <w:rsid w:val="00016789"/>
    <w:rsid w:val="0003567D"/>
    <w:rsid w:val="0005508C"/>
    <w:rsid w:val="00064347"/>
    <w:rsid w:val="000650A3"/>
    <w:rsid w:val="0007515F"/>
    <w:rsid w:val="00082097"/>
    <w:rsid w:val="000916AF"/>
    <w:rsid w:val="00096593"/>
    <w:rsid w:val="000A3C6E"/>
    <w:rsid w:val="000A4628"/>
    <w:rsid w:val="000A6215"/>
    <w:rsid w:val="000B48E2"/>
    <w:rsid w:val="000D3DFD"/>
    <w:rsid w:val="000E264B"/>
    <w:rsid w:val="00100F7F"/>
    <w:rsid w:val="00115F2A"/>
    <w:rsid w:val="001256E0"/>
    <w:rsid w:val="0013333A"/>
    <w:rsid w:val="00133403"/>
    <w:rsid w:val="00133F3C"/>
    <w:rsid w:val="00143BE8"/>
    <w:rsid w:val="00144ED2"/>
    <w:rsid w:val="00160AE2"/>
    <w:rsid w:val="00164B9C"/>
    <w:rsid w:val="00170F59"/>
    <w:rsid w:val="00187398"/>
    <w:rsid w:val="00193CA7"/>
    <w:rsid w:val="001954FD"/>
    <w:rsid w:val="0019635B"/>
    <w:rsid w:val="001A1195"/>
    <w:rsid w:val="001A3959"/>
    <w:rsid w:val="001A6056"/>
    <w:rsid w:val="001B205A"/>
    <w:rsid w:val="001B2112"/>
    <w:rsid w:val="001B3F5C"/>
    <w:rsid w:val="001D43EF"/>
    <w:rsid w:val="001F2858"/>
    <w:rsid w:val="00212785"/>
    <w:rsid w:val="00214271"/>
    <w:rsid w:val="002177DA"/>
    <w:rsid w:val="00221888"/>
    <w:rsid w:val="00224380"/>
    <w:rsid w:val="00227F3C"/>
    <w:rsid w:val="00230059"/>
    <w:rsid w:val="00232B0A"/>
    <w:rsid w:val="002421B6"/>
    <w:rsid w:val="00247764"/>
    <w:rsid w:val="0025298C"/>
    <w:rsid w:val="002605DC"/>
    <w:rsid w:val="00267226"/>
    <w:rsid w:val="0027410A"/>
    <w:rsid w:val="00284661"/>
    <w:rsid w:val="002924C1"/>
    <w:rsid w:val="00292642"/>
    <w:rsid w:val="0029535C"/>
    <w:rsid w:val="002B1D76"/>
    <w:rsid w:val="002D1A81"/>
    <w:rsid w:val="002D4B59"/>
    <w:rsid w:val="002E06DA"/>
    <w:rsid w:val="003104D6"/>
    <w:rsid w:val="00310624"/>
    <w:rsid w:val="00320F28"/>
    <w:rsid w:val="00323262"/>
    <w:rsid w:val="0033160A"/>
    <w:rsid w:val="003347C5"/>
    <w:rsid w:val="003363EB"/>
    <w:rsid w:val="0034578A"/>
    <w:rsid w:val="00357005"/>
    <w:rsid w:val="0035703A"/>
    <w:rsid w:val="003659CF"/>
    <w:rsid w:val="003702EB"/>
    <w:rsid w:val="00381230"/>
    <w:rsid w:val="003A0F55"/>
    <w:rsid w:val="003A15C8"/>
    <w:rsid w:val="003A2EC2"/>
    <w:rsid w:val="003A432A"/>
    <w:rsid w:val="003A5FA8"/>
    <w:rsid w:val="003A713B"/>
    <w:rsid w:val="003B16A5"/>
    <w:rsid w:val="003B2A52"/>
    <w:rsid w:val="003B569F"/>
    <w:rsid w:val="003B73C5"/>
    <w:rsid w:val="003C5CB9"/>
    <w:rsid w:val="003C6F39"/>
    <w:rsid w:val="003D0474"/>
    <w:rsid w:val="003D5C5B"/>
    <w:rsid w:val="003E21AB"/>
    <w:rsid w:val="003E5501"/>
    <w:rsid w:val="003E663A"/>
    <w:rsid w:val="003E7735"/>
    <w:rsid w:val="003F223A"/>
    <w:rsid w:val="00404303"/>
    <w:rsid w:val="00421684"/>
    <w:rsid w:val="004264D6"/>
    <w:rsid w:val="0042777F"/>
    <w:rsid w:val="00432FD5"/>
    <w:rsid w:val="00443CC0"/>
    <w:rsid w:val="00462961"/>
    <w:rsid w:val="004A29D1"/>
    <w:rsid w:val="004B6BD7"/>
    <w:rsid w:val="004D0673"/>
    <w:rsid w:val="004D24A9"/>
    <w:rsid w:val="004E27DE"/>
    <w:rsid w:val="004E2FA6"/>
    <w:rsid w:val="004E3886"/>
    <w:rsid w:val="004E6F1D"/>
    <w:rsid w:val="004F1BCE"/>
    <w:rsid w:val="004F30A2"/>
    <w:rsid w:val="0050693C"/>
    <w:rsid w:val="00513F5D"/>
    <w:rsid w:val="00514E80"/>
    <w:rsid w:val="00521DF1"/>
    <w:rsid w:val="00531A88"/>
    <w:rsid w:val="00537714"/>
    <w:rsid w:val="00541E62"/>
    <w:rsid w:val="00543D8C"/>
    <w:rsid w:val="0054609A"/>
    <w:rsid w:val="005500EE"/>
    <w:rsid w:val="0057253D"/>
    <w:rsid w:val="00572E65"/>
    <w:rsid w:val="005736A1"/>
    <w:rsid w:val="005750DE"/>
    <w:rsid w:val="00595B5B"/>
    <w:rsid w:val="005A4804"/>
    <w:rsid w:val="005B1CF8"/>
    <w:rsid w:val="005B327C"/>
    <w:rsid w:val="005E4C0E"/>
    <w:rsid w:val="005E4F82"/>
    <w:rsid w:val="005E7E30"/>
    <w:rsid w:val="005F32EE"/>
    <w:rsid w:val="005F4CD8"/>
    <w:rsid w:val="005F53FB"/>
    <w:rsid w:val="005F58CC"/>
    <w:rsid w:val="005F7D75"/>
    <w:rsid w:val="00613F87"/>
    <w:rsid w:val="0061735B"/>
    <w:rsid w:val="00617A92"/>
    <w:rsid w:val="006239EB"/>
    <w:rsid w:val="00626B7D"/>
    <w:rsid w:val="00642239"/>
    <w:rsid w:val="0065031E"/>
    <w:rsid w:val="0065062D"/>
    <w:rsid w:val="00650989"/>
    <w:rsid w:val="00653C6A"/>
    <w:rsid w:val="006549E6"/>
    <w:rsid w:val="006768C7"/>
    <w:rsid w:val="0068331C"/>
    <w:rsid w:val="006900D8"/>
    <w:rsid w:val="006A0540"/>
    <w:rsid w:val="006A10F9"/>
    <w:rsid w:val="006A4E4D"/>
    <w:rsid w:val="006A7434"/>
    <w:rsid w:val="006B188D"/>
    <w:rsid w:val="006B4398"/>
    <w:rsid w:val="006B60B8"/>
    <w:rsid w:val="006B79E6"/>
    <w:rsid w:val="006C26FD"/>
    <w:rsid w:val="006C2F47"/>
    <w:rsid w:val="006C494A"/>
    <w:rsid w:val="006C75CC"/>
    <w:rsid w:val="006D6609"/>
    <w:rsid w:val="006E11D4"/>
    <w:rsid w:val="006E1CD1"/>
    <w:rsid w:val="006E3A12"/>
    <w:rsid w:val="006E7C61"/>
    <w:rsid w:val="006F27CF"/>
    <w:rsid w:val="006F5698"/>
    <w:rsid w:val="00727B1F"/>
    <w:rsid w:val="00730538"/>
    <w:rsid w:val="00746C01"/>
    <w:rsid w:val="00751EBB"/>
    <w:rsid w:val="007A1C66"/>
    <w:rsid w:val="007A6C01"/>
    <w:rsid w:val="007B21A9"/>
    <w:rsid w:val="007B282C"/>
    <w:rsid w:val="007B7688"/>
    <w:rsid w:val="007C3D50"/>
    <w:rsid w:val="007C736E"/>
    <w:rsid w:val="007E17CE"/>
    <w:rsid w:val="007F27E7"/>
    <w:rsid w:val="00801D04"/>
    <w:rsid w:val="00803808"/>
    <w:rsid w:val="00805F50"/>
    <w:rsid w:val="008061B0"/>
    <w:rsid w:val="00833D18"/>
    <w:rsid w:val="00833ECF"/>
    <w:rsid w:val="00836144"/>
    <w:rsid w:val="00841E76"/>
    <w:rsid w:val="008525B1"/>
    <w:rsid w:val="00856A67"/>
    <w:rsid w:val="00862189"/>
    <w:rsid w:val="00864B1A"/>
    <w:rsid w:val="00872478"/>
    <w:rsid w:val="0088269E"/>
    <w:rsid w:val="00890F38"/>
    <w:rsid w:val="008919CD"/>
    <w:rsid w:val="0089367C"/>
    <w:rsid w:val="008A2B95"/>
    <w:rsid w:val="008A5A12"/>
    <w:rsid w:val="008B0496"/>
    <w:rsid w:val="008B64AE"/>
    <w:rsid w:val="008C0F19"/>
    <w:rsid w:val="008C1C52"/>
    <w:rsid w:val="008C322C"/>
    <w:rsid w:val="008C3972"/>
    <w:rsid w:val="008D21A5"/>
    <w:rsid w:val="008F03B1"/>
    <w:rsid w:val="008F1754"/>
    <w:rsid w:val="009124DE"/>
    <w:rsid w:val="00912A9E"/>
    <w:rsid w:val="0092543F"/>
    <w:rsid w:val="0093542F"/>
    <w:rsid w:val="00947244"/>
    <w:rsid w:val="00955126"/>
    <w:rsid w:val="00957DFF"/>
    <w:rsid w:val="00975417"/>
    <w:rsid w:val="00985BA9"/>
    <w:rsid w:val="0098692C"/>
    <w:rsid w:val="009903DB"/>
    <w:rsid w:val="00990D41"/>
    <w:rsid w:val="009962DD"/>
    <w:rsid w:val="009A5EEC"/>
    <w:rsid w:val="009B0867"/>
    <w:rsid w:val="009C25DF"/>
    <w:rsid w:val="009C2DA0"/>
    <w:rsid w:val="009C6EAA"/>
    <w:rsid w:val="009C7180"/>
    <w:rsid w:val="009D0A8E"/>
    <w:rsid w:val="009E5899"/>
    <w:rsid w:val="009F4EA1"/>
    <w:rsid w:val="009F7B62"/>
    <w:rsid w:val="00A0788E"/>
    <w:rsid w:val="00A12C1E"/>
    <w:rsid w:val="00A207EB"/>
    <w:rsid w:val="00A20E0F"/>
    <w:rsid w:val="00A222B4"/>
    <w:rsid w:val="00A30AB0"/>
    <w:rsid w:val="00A34238"/>
    <w:rsid w:val="00A3647F"/>
    <w:rsid w:val="00A4712A"/>
    <w:rsid w:val="00A93896"/>
    <w:rsid w:val="00AA22B2"/>
    <w:rsid w:val="00AA5570"/>
    <w:rsid w:val="00AA7E71"/>
    <w:rsid w:val="00AC3AE3"/>
    <w:rsid w:val="00AD4F88"/>
    <w:rsid w:val="00AF0A23"/>
    <w:rsid w:val="00B00017"/>
    <w:rsid w:val="00B141D2"/>
    <w:rsid w:val="00B2035A"/>
    <w:rsid w:val="00B24AE4"/>
    <w:rsid w:val="00B3471D"/>
    <w:rsid w:val="00B4643D"/>
    <w:rsid w:val="00B5583B"/>
    <w:rsid w:val="00B56B5D"/>
    <w:rsid w:val="00B62BFE"/>
    <w:rsid w:val="00BA6431"/>
    <w:rsid w:val="00BA69B6"/>
    <w:rsid w:val="00BB53C9"/>
    <w:rsid w:val="00BC2F49"/>
    <w:rsid w:val="00BC4B5E"/>
    <w:rsid w:val="00BE08A8"/>
    <w:rsid w:val="00BE24E2"/>
    <w:rsid w:val="00BE57EC"/>
    <w:rsid w:val="00BE5CE7"/>
    <w:rsid w:val="00BF4D8F"/>
    <w:rsid w:val="00BF64BA"/>
    <w:rsid w:val="00C057BF"/>
    <w:rsid w:val="00C271F1"/>
    <w:rsid w:val="00C35D53"/>
    <w:rsid w:val="00C43EEB"/>
    <w:rsid w:val="00C57BE7"/>
    <w:rsid w:val="00C64040"/>
    <w:rsid w:val="00C66BA8"/>
    <w:rsid w:val="00C702D0"/>
    <w:rsid w:val="00C72583"/>
    <w:rsid w:val="00C97BF9"/>
    <w:rsid w:val="00CA4EAE"/>
    <w:rsid w:val="00CB13D1"/>
    <w:rsid w:val="00CB463D"/>
    <w:rsid w:val="00CB4D3A"/>
    <w:rsid w:val="00CC02DB"/>
    <w:rsid w:val="00CC0A8A"/>
    <w:rsid w:val="00CC2C58"/>
    <w:rsid w:val="00CD2CE0"/>
    <w:rsid w:val="00CE35D1"/>
    <w:rsid w:val="00CE74A4"/>
    <w:rsid w:val="00CF5CF4"/>
    <w:rsid w:val="00CF7C64"/>
    <w:rsid w:val="00D010A7"/>
    <w:rsid w:val="00D05373"/>
    <w:rsid w:val="00D12938"/>
    <w:rsid w:val="00D1742D"/>
    <w:rsid w:val="00D232F6"/>
    <w:rsid w:val="00D23ABA"/>
    <w:rsid w:val="00D25B3E"/>
    <w:rsid w:val="00D266C1"/>
    <w:rsid w:val="00D30C2E"/>
    <w:rsid w:val="00D444F9"/>
    <w:rsid w:val="00D6193D"/>
    <w:rsid w:val="00D62F7D"/>
    <w:rsid w:val="00D64425"/>
    <w:rsid w:val="00D66D5E"/>
    <w:rsid w:val="00D83645"/>
    <w:rsid w:val="00D839CE"/>
    <w:rsid w:val="00D845B1"/>
    <w:rsid w:val="00D852D2"/>
    <w:rsid w:val="00D86147"/>
    <w:rsid w:val="00D86EB2"/>
    <w:rsid w:val="00D87DEF"/>
    <w:rsid w:val="00D924E8"/>
    <w:rsid w:val="00D92733"/>
    <w:rsid w:val="00D974EC"/>
    <w:rsid w:val="00DA0E87"/>
    <w:rsid w:val="00DA1B54"/>
    <w:rsid w:val="00DA28F6"/>
    <w:rsid w:val="00DA6DEC"/>
    <w:rsid w:val="00DA7095"/>
    <w:rsid w:val="00DB0C49"/>
    <w:rsid w:val="00DB37B3"/>
    <w:rsid w:val="00DB7572"/>
    <w:rsid w:val="00DE1BB7"/>
    <w:rsid w:val="00DE330A"/>
    <w:rsid w:val="00DE5980"/>
    <w:rsid w:val="00E06D30"/>
    <w:rsid w:val="00E079BC"/>
    <w:rsid w:val="00E15751"/>
    <w:rsid w:val="00E32A63"/>
    <w:rsid w:val="00E32D27"/>
    <w:rsid w:val="00E36B9A"/>
    <w:rsid w:val="00E45E72"/>
    <w:rsid w:val="00E53833"/>
    <w:rsid w:val="00E72268"/>
    <w:rsid w:val="00E7457A"/>
    <w:rsid w:val="00E74C99"/>
    <w:rsid w:val="00E75A99"/>
    <w:rsid w:val="00E841F7"/>
    <w:rsid w:val="00E876C6"/>
    <w:rsid w:val="00E91E8D"/>
    <w:rsid w:val="00E9489F"/>
    <w:rsid w:val="00E951F4"/>
    <w:rsid w:val="00EA4001"/>
    <w:rsid w:val="00EA5EAF"/>
    <w:rsid w:val="00EB2FFC"/>
    <w:rsid w:val="00EC0743"/>
    <w:rsid w:val="00EE4780"/>
    <w:rsid w:val="00F0258F"/>
    <w:rsid w:val="00F05BB9"/>
    <w:rsid w:val="00F15A11"/>
    <w:rsid w:val="00F2066E"/>
    <w:rsid w:val="00F238BB"/>
    <w:rsid w:val="00F257FE"/>
    <w:rsid w:val="00F429F8"/>
    <w:rsid w:val="00F43A19"/>
    <w:rsid w:val="00F479BF"/>
    <w:rsid w:val="00F54F56"/>
    <w:rsid w:val="00F6599B"/>
    <w:rsid w:val="00F6701A"/>
    <w:rsid w:val="00F7264D"/>
    <w:rsid w:val="00F752C0"/>
    <w:rsid w:val="00F76E2A"/>
    <w:rsid w:val="00F86730"/>
    <w:rsid w:val="00F912D9"/>
    <w:rsid w:val="00F92A13"/>
    <w:rsid w:val="00F92C90"/>
    <w:rsid w:val="00F94171"/>
    <w:rsid w:val="00F9572D"/>
    <w:rsid w:val="00FA697F"/>
    <w:rsid w:val="00FB6172"/>
    <w:rsid w:val="00FC286B"/>
    <w:rsid w:val="00FC3BE5"/>
    <w:rsid w:val="00FC4FDC"/>
    <w:rsid w:val="00FC6331"/>
    <w:rsid w:val="00FD70E9"/>
    <w:rsid w:val="00FE3034"/>
    <w:rsid w:val="00FE59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268D2"/>
  <w15:docId w15:val="{A17B8E2C-42E7-4B5C-BCCA-68FA65F2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4D6E6-D132-44DC-BCC5-79FB159A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2708</Words>
  <Characters>1544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m09263</cp:lastModifiedBy>
  <cp:revision>2</cp:revision>
  <cp:lastPrinted>2016-09-20T06:30:00Z</cp:lastPrinted>
  <dcterms:created xsi:type="dcterms:W3CDTF">2016-09-20T10:03:00Z</dcterms:created>
  <dcterms:modified xsi:type="dcterms:W3CDTF">2016-09-20T10:03:00Z</dcterms:modified>
</cp:coreProperties>
</file>