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CCB4" w14:textId="77777777" w:rsidR="00CB13D1" w:rsidRPr="00FC5EF5" w:rsidRDefault="00CB13D1" w:rsidP="00DE330A">
      <w:pPr>
        <w:pStyle w:val="statymopavad0"/>
        <w:spacing w:line="240" w:lineRule="auto"/>
        <w:rPr>
          <w:rFonts w:ascii="Times New Roman" w:hAnsi="Times New Roman"/>
          <w:b/>
          <w:szCs w:val="24"/>
        </w:rPr>
      </w:pPr>
      <w:bookmarkStart w:id="0" w:name="_GoBack"/>
      <w:bookmarkEnd w:id="0"/>
      <w:r w:rsidRPr="00FC5EF5">
        <w:rPr>
          <w:rFonts w:ascii="Times New Roman" w:hAnsi="Times New Roman"/>
          <w:b/>
          <w:szCs w:val="24"/>
        </w:rPr>
        <w:t xml:space="preserve">institucijų pateiktų pastabų derinimo lentelė </w:t>
      </w:r>
    </w:p>
    <w:p w14:paraId="5B6AC2A5" w14:textId="4EA57F4F" w:rsidR="00DE330A" w:rsidRPr="00FC5EF5" w:rsidRDefault="004264D6" w:rsidP="00DE330A">
      <w:pPr>
        <w:pStyle w:val="statymopavad0"/>
        <w:spacing w:line="240" w:lineRule="auto"/>
        <w:rPr>
          <w:rFonts w:ascii="Times New Roman" w:hAnsi="Times New Roman"/>
          <w:b/>
        </w:rPr>
      </w:pPr>
      <w:r w:rsidRPr="00FC5EF5">
        <w:rPr>
          <w:rFonts w:ascii="Times New Roman" w:hAnsi="Times New Roman"/>
          <w:b/>
        </w:rPr>
        <w:t>DĖL</w:t>
      </w:r>
      <w:r w:rsidR="001A7A40">
        <w:rPr>
          <w:rFonts w:ascii="Times New Roman" w:hAnsi="Times New Roman"/>
          <w:b/>
        </w:rPr>
        <w:t xml:space="preserve"> </w:t>
      </w:r>
      <w:r w:rsidR="00DE330A" w:rsidRPr="00FC5EF5">
        <w:rPr>
          <w:rFonts w:ascii="Times New Roman" w:hAnsi="Times New Roman"/>
          <w:b/>
        </w:rPr>
        <w:t>2014–2020 M. EUROPOS SĄJUNGOS FONDŲ INVESTICIJŲ VEIKSMŲ PROGRAMOS</w:t>
      </w:r>
    </w:p>
    <w:p w14:paraId="29BA290E" w14:textId="77777777" w:rsidR="00DE330A" w:rsidRPr="00FC5EF5" w:rsidRDefault="00DE330A" w:rsidP="00DE330A">
      <w:pPr>
        <w:pStyle w:val="statymopavad0"/>
        <w:spacing w:line="240" w:lineRule="auto"/>
        <w:rPr>
          <w:rFonts w:ascii="Times New Roman" w:hAnsi="Times New Roman"/>
          <w:b/>
        </w:rPr>
      </w:pPr>
      <w:r w:rsidRPr="00FC5EF5">
        <w:rPr>
          <w:rFonts w:ascii="Times New Roman" w:hAnsi="Times New Roman"/>
          <w:b/>
        </w:rPr>
        <w:t>10 PRIORITETO „VISUOMENĖS POREIKIUS ATITINKANTIS IR PAŽANGUS VIEŠASIS VALDYMAS“</w:t>
      </w:r>
    </w:p>
    <w:p w14:paraId="65C5D440" w14:textId="40A75C13" w:rsidR="004264D6" w:rsidRPr="00FC5EF5" w:rsidRDefault="00640EDB" w:rsidP="00DE330A">
      <w:pPr>
        <w:pStyle w:val="statymopavad0"/>
        <w:spacing w:line="240" w:lineRule="auto"/>
        <w:rPr>
          <w:rFonts w:ascii="Times New Roman" w:hAnsi="Times New Roman"/>
          <w:b/>
        </w:rPr>
      </w:pPr>
      <w:r w:rsidRPr="00FC5EF5">
        <w:rPr>
          <w:rFonts w:ascii="Times New Roman" w:hAnsi="Times New Roman"/>
          <w:b/>
        </w:rPr>
        <w:t xml:space="preserve">NR. </w:t>
      </w:r>
      <w:r w:rsidR="0062207E" w:rsidRPr="00FC5EF5">
        <w:rPr>
          <w:rFonts w:ascii="Times New Roman" w:hAnsi="Times New Roman"/>
          <w:b/>
          <w:szCs w:val="24"/>
        </w:rPr>
        <w:t>10.1.2-ESFA-V-915</w:t>
      </w:r>
      <w:r w:rsidR="00DF55BE" w:rsidRPr="00FC5EF5">
        <w:rPr>
          <w:rFonts w:ascii="Times New Roman" w:hAnsi="Times New Roman"/>
          <w:b/>
          <w:szCs w:val="24"/>
        </w:rPr>
        <w:t xml:space="preserve"> PRIEMONĖS ,,</w:t>
      </w:r>
      <w:r w:rsidR="00A21D2C" w:rsidRPr="00FC5EF5">
        <w:rPr>
          <w:rFonts w:ascii="Times New Roman" w:eastAsia="Calibri" w:hAnsi="Times New Roman"/>
          <w:b/>
          <w:caps w:val="0"/>
          <w:szCs w:val="24"/>
          <w:lang w:eastAsia="zh-CN"/>
        </w:rPr>
        <w:t>VIEŠOJO VALDYMO INSTITUCIJŲ ATVIRUMO DIDINIMAS</w:t>
      </w:r>
      <w:r w:rsidR="00A21D2C" w:rsidRPr="00FC5EF5" w:rsidDel="00A465E4">
        <w:rPr>
          <w:rFonts w:ascii="Times New Roman" w:eastAsia="Calibri" w:hAnsi="Times New Roman"/>
          <w:b/>
          <w:caps w:val="0"/>
          <w:szCs w:val="24"/>
          <w:lang w:eastAsia="zh-CN"/>
        </w:rPr>
        <w:t xml:space="preserve"> </w:t>
      </w:r>
      <w:r w:rsidR="00A21D2C" w:rsidRPr="00FC5EF5">
        <w:rPr>
          <w:rFonts w:ascii="Times New Roman" w:eastAsia="Calibri" w:hAnsi="Times New Roman"/>
          <w:b/>
          <w:caps w:val="0"/>
          <w:szCs w:val="24"/>
          <w:lang w:eastAsia="zh-CN"/>
        </w:rPr>
        <w:t xml:space="preserve"> IR VISUOMENĖS ĮSITRAUKIMO Į VIEŠOJO VALDYMO PROCESUS SKATINIMAS</w:t>
      </w:r>
      <w:r w:rsidR="00DF55BE" w:rsidRPr="00FC5EF5">
        <w:rPr>
          <w:rFonts w:ascii="Times New Roman" w:hAnsi="Times New Roman"/>
          <w:b/>
          <w:szCs w:val="24"/>
        </w:rPr>
        <w:t xml:space="preserve">“ </w:t>
      </w:r>
      <w:r w:rsidR="00DE330A" w:rsidRPr="00FC5EF5">
        <w:rPr>
          <w:rFonts w:ascii="Times New Roman" w:hAnsi="Times New Roman"/>
          <w:b/>
        </w:rPr>
        <w:t>PROJEKTŲ FINANSAVIMO SĄLYGŲ APRAŠO</w:t>
      </w:r>
      <w:r w:rsidR="00537714" w:rsidRPr="00FC5EF5">
        <w:rPr>
          <w:rFonts w:ascii="Times New Roman" w:hAnsi="Times New Roman"/>
          <w:b/>
        </w:rPr>
        <w:t xml:space="preserve"> </w:t>
      </w:r>
      <w:r w:rsidR="001A7A40">
        <w:rPr>
          <w:rFonts w:ascii="Times New Roman" w:hAnsi="Times New Roman"/>
          <w:b/>
        </w:rPr>
        <w:t xml:space="preserve">PAKEITIMO </w:t>
      </w:r>
      <w:r w:rsidR="00537714" w:rsidRPr="00FC5EF5">
        <w:rPr>
          <w:rFonts w:ascii="Times New Roman" w:hAnsi="Times New Roman"/>
          <w:b/>
        </w:rPr>
        <w:t>projekto</w:t>
      </w:r>
      <w:r w:rsidR="00BA1FD8" w:rsidRPr="00FC5EF5">
        <w:rPr>
          <w:rFonts w:ascii="Times New Roman" w:hAnsi="Times New Roman"/>
          <w:b/>
        </w:rPr>
        <w:t xml:space="preserve"> </w:t>
      </w:r>
    </w:p>
    <w:p w14:paraId="716C971B" w14:textId="77777777" w:rsidR="004264D6" w:rsidRPr="00FC5EF5"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FC5EF5" w14:paraId="749CF8DE" w14:textId="77777777" w:rsidTr="00E20453">
        <w:tc>
          <w:tcPr>
            <w:tcW w:w="1526" w:type="dxa"/>
            <w:hideMark/>
          </w:tcPr>
          <w:p w14:paraId="6DEDCA50"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Institucijos pavadinimas</w:t>
            </w:r>
          </w:p>
        </w:tc>
        <w:tc>
          <w:tcPr>
            <w:tcW w:w="6379" w:type="dxa"/>
            <w:hideMark/>
          </w:tcPr>
          <w:p w14:paraId="5677414B"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Pastabos ir pasiūlymai</w:t>
            </w:r>
          </w:p>
        </w:tc>
        <w:tc>
          <w:tcPr>
            <w:tcW w:w="7087" w:type="dxa"/>
            <w:hideMark/>
          </w:tcPr>
          <w:p w14:paraId="3810B92E"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Pastabų ir pasiūlymų įvertinimas</w:t>
            </w:r>
          </w:p>
        </w:tc>
      </w:tr>
      <w:tr w:rsidR="00FF6BF1" w:rsidRPr="00FC5EF5" w14:paraId="0403D92E" w14:textId="77777777" w:rsidTr="00E20453">
        <w:tc>
          <w:tcPr>
            <w:tcW w:w="1526" w:type="dxa"/>
            <w:vMerge w:val="restart"/>
          </w:tcPr>
          <w:p w14:paraId="450450B6" w14:textId="3A1366AD" w:rsidR="00FF6BF1" w:rsidRPr="00FC5EF5" w:rsidRDefault="00FF6BF1" w:rsidP="00DE330A">
            <w:pPr>
              <w:pStyle w:val="Preformatted"/>
              <w:jc w:val="both"/>
              <w:rPr>
                <w:rFonts w:ascii="Times New Roman" w:hAnsi="Times New Roman"/>
                <w:sz w:val="24"/>
                <w:szCs w:val="24"/>
              </w:rPr>
            </w:pPr>
            <w:r w:rsidRPr="002D3F1B">
              <w:rPr>
                <w:rFonts w:ascii="Times New Roman" w:hAnsi="Times New Roman"/>
                <w:sz w:val="24"/>
                <w:szCs w:val="24"/>
              </w:rPr>
              <w:t>Europos socialinio fondo agentūros  2016 m. rugpjūčio 19 d. raštu Nr. SB-2016-00500 pateiktos pastabos</w:t>
            </w:r>
          </w:p>
        </w:tc>
        <w:tc>
          <w:tcPr>
            <w:tcW w:w="6379" w:type="dxa"/>
          </w:tcPr>
          <w:p w14:paraId="51993DE4" w14:textId="75585F93" w:rsidR="00FF6BF1" w:rsidRPr="002D3F1B" w:rsidDel="0029535C" w:rsidRDefault="00FF6BF1" w:rsidP="002A578B">
            <w:pPr>
              <w:pStyle w:val="Preformatted"/>
              <w:tabs>
                <w:tab w:val="clear" w:pos="959"/>
                <w:tab w:val="clear" w:pos="1918"/>
                <w:tab w:val="left" w:pos="1276"/>
              </w:tabs>
              <w:snapToGrid/>
              <w:jc w:val="both"/>
              <w:rPr>
                <w:rFonts w:ascii="Times New Roman" w:hAnsi="Times New Roman"/>
                <w:sz w:val="24"/>
                <w:szCs w:val="24"/>
              </w:rPr>
            </w:pPr>
            <w:r w:rsidRPr="002D3F1B">
              <w:rPr>
                <w:rFonts w:ascii="Times New Roman" w:hAnsi="Times New Roman"/>
                <w:sz w:val="24"/>
                <w:szCs w:val="24"/>
              </w:rPr>
              <w:t>Įvertinti, ar teikiamas derinti Aprašo keitimas turėtų būti inicijuojamas, kaip esminis ar neesminis keitimas. Tuo atveju, jeigu planuojamas esminis keitimas, prašome apie tai informuoti Agentūrą, kaip numatyta Projektų administravimo ir finansavimo taisyklių 88 punkte.</w:t>
            </w:r>
          </w:p>
        </w:tc>
        <w:tc>
          <w:tcPr>
            <w:tcW w:w="7087" w:type="dxa"/>
          </w:tcPr>
          <w:p w14:paraId="2F7704E7" w14:textId="0C0BA9B4" w:rsidR="00FF6BF1" w:rsidRPr="001A7A40" w:rsidDel="00B4643D" w:rsidRDefault="00881FB8" w:rsidP="00A21D2C">
            <w:pPr>
              <w:jc w:val="both"/>
              <w:rPr>
                <w:rFonts w:ascii="Times New Roman" w:hAnsi="Times New Roman" w:cs="Times New Roman"/>
                <w:sz w:val="24"/>
                <w:szCs w:val="24"/>
                <w:highlight w:val="yellow"/>
              </w:rPr>
            </w:pPr>
            <w:r w:rsidRPr="00881FB8">
              <w:rPr>
                <w:rFonts w:ascii="Times New Roman" w:hAnsi="Times New Roman" w:cs="Times New Roman"/>
                <w:sz w:val="24"/>
                <w:szCs w:val="24"/>
              </w:rPr>
              <w:t>Aprašo keitimas</w:t>
            </w:r>
            <w:r>
              <w:rPr>
                <w:rFonts w:ascii="Times New Roman" w:hAnsi="Times New Roman" w:cs="Times New Roman"/>
                <w:sz w:val="24"/>
                <w:szCs w:val="24"/>
              </w:rPr>
              <w:t xml:space="preserve"> įvertintas kaip neesminis.</w:t>
            </w:r>
          </w:p>
        </w:tc>
      </w:tr>
      <w:tr w:rsidR="00FF6BF1" w:rsidRPr="00FC5EF5" w14:paraId="177287E3" w14:textId="77777777" w:rsidTr="00E20453">
        <w:tc>
          <w:tcPr>
            <w:tcW w:w="1526" w:type="dxa"/>
            <w:vMerge/>
          </w:tcPr>
          <w:p w14:paraId="22AF6339" w14:textId="77777777" w:rsidR="00FF6BF1" w:rsidRPr="00FC5EF5" w:rsidDel="00E75A99" w:rsidRDefault="00FF6BF1" w:rsidP="004264D6">
            <w:pPr>
              <w:pStyle w:val="Preformatted"/>
              <w:jc w:val="both"/>
              <w:rPr>
                <w:rFonts w:ascii="Times New Roman" w:hAnsi="Times New Roman"/>
                <w:sz w:val="24"/>
                <w:szCs w:val="24"/>
              </w:rPr>
            </w:pPr>
          </w:p>
        </w:tc>
        <w:tc>
          <w:tcPr>
            <w:tcW w:w="6379" w:type="dxa"/>
          </w:tcPr>
          <w:p w14:paraId="3D7E4D4F" w14:textId="178B8BA2" w:rsidR="00FF6BF1" w:rsidRPr="002D3F1B" w:rsidRDefault="00FF6BF1" w:rsidP="002A578B">
            <w:pPr>
              <w:pStyle w:val="Preformatted"/>
              <w:tabs>
                <w:tab w:val="left" w:pos="1276"/>
              </w:tabs>
              <w:jc w:val="both"/>
              <w:rPr>
                <w:rFonts w:ascii="Times New Roman" w:hAnsi="Times New Roman"/>
                <w:bCs/>
                <w:iCs/>
                <w:sz w:val="24"/>
                <w:szCs w:val="24"/>
              </w:rPr>
            </w:pPr>
            <w:r w:rsidRPr="002D3F1B">
              <w:rPr>
                <w:rFonts w:ascii="Times New Roman" w:hAnsi="Times New Roman"/>
                <w:bCs/>
                <w:iCs/>
                <w:sz w:val="24"/>
                <w:szCs w:val="24"/>
              </w:rPr>
              <w:t>Siekiant užtikrinti, kad dalyvių darbo užmokestis, nurodytas Aprašo 35 punkte, negalėtų būti paraiškoje nurodomas mažesnis nei 15 proc. visų tinkamų finansuoti projekto išlaidų, tuo atveju kai dalyvių darbo užmokesčio suma viršija 15 proc., siūloma atitinkamai tikslinti minėtą nuostatą.</w:t>
            </w:r>
          </w:p>
        </w:tc>
        <w:tc>
          <w:tcPr>
            <w:tcW w:w="7087" w:type="dxa"/>
          </w:tcPr>
          <w:p w14:paraId="52EADECF" w14:textId="2823482C" w:rsidR="00FF6BF1" w:rsidRPr="00881FB8" w:rsidRDefault="00881FB8" w:rsidP="00D31466">
            <w:pPr>
              <w:jc w:val="both"/>
              <w:rPr>
                <w:rFonts w:ascii="Times New Roman" w:hAnsi="Times New Roman" w:cs="Times New Roman"/>
                <w:sz w:val="24"/>
                <w:szCs w:val="24"/>
                <w:highlight w:val="yellow"/>
              </w:rPr>
            </w:pPr>
            <w:r w:rsidRPr="00881FB8">
              <w:rPr>
                <w:rFonts w:ascii="Times New Roman" w:hAnsi="Times New Roman" w:cs="Times New Roman"/>
                <w:sz w:val="24"/>
                <w:szCs w:val="24"/>
              </w:rPr>
              <w:t>Atsižvelgta.</w:t>
            </w:r>
          </w:p>
        </w:tc>
      </w:tr>
      <w:tr w:rsidR="00FF6BF1" w:rsidRPr="00FC5EF5" w14:paraId="55E04D7A" w14:textId="77777777" w:rsidTr="00E20453">
        <w:tc>
          <w:tcPr>
            <w:tcW w:w="1526" w:type="dxa"/>
            <w:vMerge w:val="restart"/>
          </w:tcPr>
          <w:p w14:paraId="1D29F54F" w14:textId="46B53626" w:rsidR="00FF6BF1" w:rsidRPr="002D3F1B" w:rsidRDefault="00FF6BF1" w:rsidP="00432A9F">
            <w:pPr>
              <w:rPr>
                <w:rFonts w:ascii="Times New Roman" w:eastAsia="Times New Roman" w:hAnsi="Times New Roman" w:cs="Times New Roman"/>
                <w:sz w:val="24"/>
                <w:szCs w:val="20"/>
                <w:lang w:eastAsia="en-US"/>
              </w:rPr>
            </w:pPr>
            <w:r w:rsidRPr="002D3F1B">
              <w:rPr>
                <w:rFonts w:ascii="Times New Roman" w:eastAsia="Times New Roman" w:hAnsi="Times New Roman" w:cs="Times New Roman"/>
                <w:sz w:val="24"/>
                <w:szCs w:val="20"/>
                <w:lang w:eastAsia="en-US"/>
              </w:rPr>
              <w:t>Informaci</w:t>
            </w:r>
            <w:r w:rsidRPr="003D6CD9">
              <w:rPr>
                <w:rFonts w:ascii="Times New Roman" w:eastAsia="Times New Roman" w:hAnsi="Times New Roman" w:cs="Times New Roman"/>
                <w:sz w:val="24"/>
                <w:szCs w:val="20"/>
                <w:lang w:eastAsia="en-US"/>
              </w:rPr>
              <w:t>nės visuomenės plėtros komitetas</w:t>
            </w:r>
            <w:r w:rsidRPr="002D3F1B">
              <w:rPr>
                <w:rFonts w:ascii="Times New Roman" w:eastAsia="Times New Roman" w:hAnsi="Times New Roman" w:cs="Times New Roman"/>
                <w:sz w:val="24"/>
                <w:szCs w:val="20"/>
                <w:lang w:eastAsia="en-US"/>
              </w:rPr>
              <w:t xml:space="preserve"> prie Susisiekimo ministerijos</w:t>
            </w:r>
          </w:p>
          <w:p w14:paraId="6194FC07" w14:textId="4AE96440" w:rsidR="00FF6BF1" w:rsidRPr="00FC5EF5" w:rsidRDefault="00FF6BF1" w:rsidP="00432A9F">
            <w:pPr>
              <w:pStyle w:val="Preformatted"/>
              <w:tabs>
                <w:tab w:val="clear" w:pos="0"/>
                <w:tab w:val="clear" w:pos="1918"/>
                <w:tab w:val="left" w:pos="851"/>
                <w:tab w:val="left" w:pos="1276"/>
              </w:tabs>
              <w:jc w:val="both"/>
              <w:rPr>
                <w:rFonts w:ascii="Times New Roman" w:hAnsi="Times New Roman"/>
                <w:sz w:val="24"/>
                <w:szCs w:val="24"/>
              </w:rPr>
            </w:pPr>
            <w:r w:rsidRPr="003D6CD9">
              <w:rPr>
                <w:rFonts w:ascii="Times New Roman" w:hAnsi="Times New Roman"/>
                <w:sz w:val="24"/>
                <w:szCs w:val="24"/>
              </w:rPr>
              <w:t>2016 m. rugpjūčio 18 d. raštu Nr. S-782 pateiktos pastabos</w:t>
            </w:r>
          </w:p>
        </w:tc>
        <w:tc>
          <w:tcPr>
            <w:tcW w:w="6379" w:type="dxa"/>
          </w:tcPr>
          <w:p w14:paraId="2473902C" w14:textId="494A27A7" w:rsidR="00FF6BF1" w:rsidRPr="001A7A40" w:rsidRDefault="00FF6BF1" w:rsidP="002A578B">
            <w:pPr>
              <w:pStyle w:val="Preformatted"/>
              <w:tabs>
                <w:tab w:val="left" w:pos="1276"/>
              </w:tabs>
              <w:jc w:val="both"/>
              <w:rPr>
                <w:rFonts w:ascii="Times New Roman" w:hAnsi="Times New Roman"/>
                <w:sz w:val="24"/>
                <w:szCs w:val="24"/>
                <w:highlight w:val="yellow"/>
              </w:rPr>
            </w:pPr>
            <w:r w:rsidRPr="00797DCA">
              <w:rPr>
                <w:rFonts w:ascii="Times New Roman" w:hAnsi="Times New Roman"/>
                <w:sz w:val="24"/>
                <w:szCs w:val="24"/>
              </w:rPr>
              <w:t>Įsakymo projekto 2 punktą papildyti nauju papunkčiu, kuris numatytų, kad aprašas yra parengtas atsižvelgiant į Lietuvos Respublikos Vyriausybės 2015 m. gegužės 13 d. nutarimą Nr. 498 „Dėl valstybės informacinių išteklių infrastruktūros konsolidavimo ir jos valdymo optimizavimo“.</w:t>
            </w:r>
          </w:p>
        </w:tc>
        <w:tc>
          <w:tcPr>
            <w:tcW w:w="7087" w:type="dxa"/>
          </w:tcPr>
          <w:p w14:paraId="58BC9656" w14:textId="48D193BB" w:rsidR="00FF6BF1" w:rsidRPr="00A06F1E" w:rsidRDefault="00FF6BF1" w:rsidP="00432A9F">
            <w:pPr>
              <w:jc w:val="both"/>
              <w:rPr>
                <w:rFonts w:ascii="Times New Roman" w:hAnsi="Times New Roman" w:cs="Times New Roman"/>
                <w:sz w:val="24"/>
                <w:szCs w:val="24"/>
              </w:rPr>
            </w:pPr>
            <w:r w:rsidRPr="00A06F1E">
              <w:rPr>
                <w:rFonts w:ascii="Times New Roman" w:hAnsi="Times New Roman" w:cs="Times New Roman"/>
                <w:sz w:val="24"/>
                <w:szCs w:val="24"/>
              </w:rPr>
              <w:t>Atsižvelgta.</w:t>
            </w:r>
          </w:p>
        </w:tc>
      </w:tr>
      <w:tr w:rsidR="00FF6BF1" w:rsidRPr="00FC5EF5" w14:paraId="70937281" w14:textId="77777777" w:rsidTr="00E20453">
        <w:tc>
          <w:tcPr>
            <w:tcW w:w="1526" w:type="dxa"/>
            <w:vMerge/>
          </w:tcPr>
          <w:p w14:paraId="0B544A5B" w14:textId="77777777" w:rsidR="00FF6BF1" w:rsidRPr="002D3F1B" w:rsidRDefault="00FF6BF1" w:rsidP="00432A9F">
            <w:pPr>
              <w:rPr>
                <w:rFonts w:ascii="Times New Roman" w:eastAsia="Times New Roman" w:hAnsi="Times New Roman" w:cs="Times New Roman"/>
                <w:sz w:val="24"/>
                <w:szCs w:val="20"/>
                <w:lang w:eastAsia="en-US"/>
              </w:rPr>
            </w:pPr>
          </w:p>
        </w:tc>
        <w:tc>
          <w:tcPr>
            <w:tcW w:w="6379" w:type="dxa"/>
          </w:tcPr>
          <w:p w14:paraId="3BB54007" w14:textId="029E0629" w:rsidR="00FF6BF1" w:rsidRPr="002A578B" w:rsidRDefault="00FF6BF1" w:rsidP="002A578B">
            <w:pPr>
              <w:pStyle w:val="Preformatted"/>
              <w:tabs>
                <w:tab w:val="left" w:pos="1276"/>
              </w:tabs>
              <w:jc w:val="both"/>
              <w:rPr>
                <w:rFonts w:ascii="Times New Roman" w:hAnsi="Times New Roman"/>
                <w:sz w:val="24"/>
                <w:szCs w:val="24"/>
              </w:rPr>
            </w:pPr>
            <w:r w:rsidRPr="002A578B">
              <w:rPr>
                <w:rFonts w:ascii="Times New Roman" w:hAnsi="Times New Roman"/>
                <w:sz w:val="24"/>
                <w:szCs w:val="24"/>
              </w:rPr>
              <w:t>Jei rengiamas projektas, kuriam įgyvendinti planuojamos investicijos į registro, valstybės informacinės sistemos ar kitos informacinės sistemos kūrimą ar modernizavimą, siūlome į Įsakymo projektą įtraukti nuostatą, kad pareiškėjas turi pateikti investicijų projektą vertinti Komitetui pagal Nutarimo 3.1 ir 3.7 papunkčius ir kartu su projektiniu pasiūlymu, teikiant investicijų projektą, pateikti Komiteto vertinimo išvadą.</w:t>
            </w:r>
          </w:p>
        </w:tc>
        <w:tc>
          <w:tcPr>
            <w:tcW w:w="7087" w:type="dxa"/>
          </w:tcPr>
          <w:p w14:paraId="33662483" w14:textId="36D9D904" w:rsidR="00FF6BF1" w:rsidRPr="00A06F1E" w:rsidRDefault="00FF6BF1" w:rsidP="00432A9F">
            <w:pPr>
              <w:jc w:val="both"/>
              <w:rPr>
                <w:rFonts w:ascii="Times New Roman" w:hAnsi="Times New Roman" w:cs="Times New Roman"/>
                <w:sz w:val="24"/>
                <w:szCs w:val="24"/>
              </w:rPr>
            </w:pPr>
            <w:r w:rsidRPr="00A06F1E">
              <w:rPr>
                <w:rFonts w:ascii="Times New Roman" w:hAnsi="Times New Roman" w:cs="Times New Roman"/>
                <w:sz w:val="24"/>
                <w:szCs w:val="24"/>
              </w:rPr>
              <w:t>Atsižvelgta.</w:t>
            </w:r>
          </w:p>
        </w:tc>
      </w:tr>
      <w:tr w:rsidR="00FF6BF1" w:rsidRPr="00FC5EF5" w14:paraId="042B866B" w14:textId="77777777" w:rsidTr="00E20453">
        <w:tc>
          <w:tcPr>
            <w:tcW w:w="1526" w:type="dxa"/>
            <w:vMerge/>
          </w:tcPr>
          <w:p w14:paraId="4F668D4F" w14:textId="77777777" w:rsidR="00FF6BF1" w:rsidRPr="002D3F1B" w:rsidRDefault="00FF6BF1" w:rsidP="00432A9F">
            <w:pPr>
              <w:rPr>
                <w:rFonts w:ascii="Times New Roman" w:eastAsia="Times New Roman" w:hAnsi="Times New Roman" w:cs="Times New Roman"/>
                <w:sz w:val="24"/>
                <w:szCs w:val="20"/>
                <w:lang w:eastAsia="en-US"/>
              </w:rPr>
            </w:pPr>
          </w:p>
        </w:tc>
        <w:tc>
          <w:tcPr>
            <w:tcW w:w="6379" w:type="dxa"/>
          </w:tcPr>
          <w:p w14:paraId="2C47E80B" w14:textId="0D7FB768" w:rsidR="00FF6BF1" w:rsidRPr="002A578B" w:rsidRDefault="00FF6BF1" w:rsidP="002A578B">
            <w:pPr>
              <w:pStyle w:val="Preformatted"/>
              <w:tabs>
                <w:tab w:val="left" w:pos="1276"/>
              </w:tabs>
              <w:jc w:val="both"/>
              <w:rPr>
                <w:rFonts w:ascii="Times New Roman" w:hAnsi="Times New Roman"/>
                <w:sz w:val="24"/>
                <w:szCs w:val="24"/>
              </w:rPr>
            </w:pPr>
            <w:r w:rsidRPr="002A578B">
              <w:rPr>
                <w:rFonts w:ascii="Times New Roman" w:hAnsi="Times New Roman"/>
                <w:sz w:val="24"/>
                <w:szCs w:val="24"/>
              </w:rPr>
              <w:t xml:space="preserve">Jeigu yra planuojamos investicijos į informacinės sistemos kūrimą ir/ar modernizavimą, siūlome papildyti Įsakymo projektą nauju papunkčiu numatant, kad informacinės sistemos nuostatų </w:t>
            </w:r>
            <w:r w:rsidRPr="002A578B">
              <w:rPr>
                <w:rFonts w:ascii="Times New Roman" w:hAnsi="Times New Roman"/>
                <w:sz w:val="24"/>
                <w:szCs w:val="24"/>
              </w:rPr>
              <w:lastRenderedPageBreak/>
              <w:t>projektas ar jų pakeitimo projektas turi būti pateiktas derinti suinteresuotoms institucijoms Valstybės informacinių sistemų steigimo, kūrimo, modernizavimo ir likvidavimo tvarkos aprašo, patvirtinto Lietuvos Respublikos Vyriausybės 2013 m. vasario 27 d. nutarimu Nr. 180 „Dėl Valstybės informacinių sistemų steigimo, kūrimo, modernizavimo ir likvidavimo tvarkos aprašo patvirtinimo“, nustatyta tvarka.</w:t>
            </w:r>
          </w:p>
        </w:tc>
        <w:tc>
          <w:tcPr>
            <w:tcW w:w="7087" w:type="dxa"/>
          </w:tcPr>
          <w:p w14:paraId="5D9DA764" w14:textId="7019FD10" w:rsidR="00FF6BF1" w:rsidRPr="00A06F1E" w:rsidRDefault="00FF6BF1" w:rsidP="00432A9F">
            <w:pPr>
              <w:jc w:val="both"/>
              <w:rPr>
                <w:rFonts w:ascii="Times New Roman" w:hAnsi="Times New Roman" w:cs="Times New Roman"/>
                <w:sz w:val="24"/>
                <w:szCs w:val="24"/>
              </w:rPr>
            </w:pPr>
            <w:r w:rsidRPr="00A06F1E">
              <w:rPr>
                <w:rFonts w:ascii="Times New Roman" w:hAnsi="Times New Roman" w:cs="Times New Roman"/>
                <w:sz w:val="24"/>
                <w:szCs w:val="24"/>
              </w:rPr>
              <w:lastRenderedPageBreak/>
              <w:t>Atsižvelgta.</w:t>
            </w:r>
          </w:p>
        </w:tc>
      </w:tr>
      <w:tr w:rsidR="00FF6BF1" w:rsidRPr="00FC5EF5" w14:paraId="69BAB5C9" w14:textId="77777777" w:rsidTr="00E20453">
        <w:tc>
          <w:tcPr>
            <w:tcW w:w="1526" w:type="dxa"/>
            <w:vMerge/>
          </w:tcPr>
          <w:p w14:paraId="55D01334" w14:textId="77777777" w:rsidR="00FF6BF1" w:rsidRPr="002D3F1B" w:rsidRDefault="00FF6BF1" w:rsidP="00432A9F">
            <w:pPr>
              <w:rPr>
                <w:rFonts w:ascii="Times New Roman" w:eastAsia="Times New Roman" w:hAnsi="Times New Roman" w:cs="Times New Roman"/>
                <w:sz w:val="24"/>
                <w:szCs w:val="20"/>
                <w:lang w:eastAsia="en-US"/>
              </w:rPr>
            </w:pPr>
          </w:p>
        </w:tc>
        <w:tc>
          <w:tcPr>
            <w:tcW w:w="6379" w:type="dxa"/>
          </w:tcPr>
          <w:p w14:paraId="267DDBD5" w14:textId="77777777" w:rsidR="00FF6BF1" w:rsidRPr="002A578B" w:rsidRDefault="00FF6BF1" w:rsidP="002A578B">
            <w:pPr>
              <w:pStyle w:val="Preformatted"/>
              <w:tabs>
                <w:tab w:val="left" w:pos="1276"/>
              </w:tabs>
              <w:jc w:val="both"/>
              <w:rPr>
                <w:rFonts w:ascii="Times New Roman" w:hAnsi="Times New Roman"/>
                <w:sz w:val="24"/>
                <w:szCs w:val="24"/>
              </w:rPr>
            </w:pPr>
            <w:r w:rsidRPr="002A578B">
              <w:rPr>
                <w:rFonts w:ascii="Times New Roman" w:hAnsi="Times New Roman"/>
                <w:sz w:val="24"/>
                <w:szCs w:val="24"/>
              </w:rPr>
              <w:t xml:space="preserve">Jeigu yra planuojamos investicijos į informacinės sistemos kūrimą ir/ar modernizavimą, siūlome Priemonės projektų finansavimo sąlygų apraše numatyti šias netinkamas išlaidas:  </w:t>
            </w:r>
          </w:p>
          <w:p w14:paraId="45674E73" w14:textId="77777777" w:rsidR="00FF6BF1" w:rsidRPr="002A578B" w:rsidRDefault="00FF6BF1" w:rsidP="002A578B">
            <w:pPr>
              <w:pStyle w:val="Preformatted"/>
              <w:tabs>
                <w:tab w:val="left" w:pos="1276"/>
              </w:tabs>
              <w:jc w:val="both"/>
              <w:rPr>
                <w:rFonts w:ascii="Times New Roman" w:hAnsi="Times New Roman"/>
                <w:sz w:val="24"/>
                <w:szCs w:val="24"/>
              </w:rPr>
            </w:pPr>
            <w:r w:rsidRPr="002A578B">
              <w:rPr>
                <w:rFonts w:ascii="Times New Roman" w:hAnsi="Times New Roman"/>
                <w:sz w:val="24"/>
                <w:szCs w:val="24"/>
              </w:rPr>
              <w:t>- techninės ir programinės įrangos, kuri būtina užtikrinti duomenų perdavimą į valstybės IT paslaugų teikėjo infrastruktūrą išlaidos;</w:t>
            </w:r>
          </w:p>
          <w:p w14:paraId="2A7D8630" w14:textId="785DF279" w:rsidR="00FF6BF1" w:rsidRPr="002A578B" w:rsidRDefault="00FF6BF1" w:rsidP="002A578B">
            <w:pPr>
              <w:pStyle w:val="Preformatted"/>
              <w:tabs>
                <w:tab w:val="left" w:pos="1276"/>
              </w:tabs>
              <w:jc w:val="both"/>
              <w:rPr>
                <w:rFonts w:ascii="Times New Roman" w:hAnsi="Times New Roman"/>
                <w:sz w:val="24"/>
                <w:szCs w:val="24"/>
              </w:rPr>
            </w:pPr>
            <w:r w:rsidRPr="002A578B">
              <w:rPr>
                <w:rFonts w:ascii="Times New Roman" w:hAnsi="Times New Roman"/>
                <w:sz w:val="24"/>
                <w:szCs w:val="24"/>
              </w:rPr>
              <w:t>- techninės ir programinės įrangos perkėlimo į valstybės IT paslaugų teikėjo infrastruktūrą išlaidos.</w:t>
            </w:r>
          </w:p>
        </w:tc>
        <w:tc>
          <w:tcPr>
            <w:tcW w:w="7087" w:type="dxa"/>
          </w:tcPr>
          <w:p w14:paraId="2C91A02D" w14:textId="57BE3909" w:rsidR="00FF6BF1" w:rsidRPr="00A06F1E" w:rsidRDefault="00FF6BF1" w:rsidP="00432A9F">
            <w:pPr>
              <w:jc w:val="both"/>
              <w:rPr>
                <w:rFonts w:ascii="Times New Roman" w:hAnsi="Times New Roman" w:cs="Times New Roman"/>
                <w:sz w:val="24"/>
                <w:szCs w:val="24"/>
              </w:rPr>
            </w:pPr>
            <w:r w:rsidRPr="00A06F1E">
              <w:rPr>
                <w:rFonts w:ascii="Times New Roman" w:hAnsi="Times New Roman" w:cs="Times New Roman"/>
                <w:sz w:val="24"/>
                <w:szCs w:val="24"/>
              </w:rPr>
              <w:t>Atsižvelgta.</w:t>
            </w:r>
          </w:p>
        </w:tc>
      </w:tr>
      <w:tr w:rsidR="00BB6ED4" w:rsidRPr="00FC5EF5" w14:paraId="24760C17" w14:textId="77777777" w:rsidTr="00E20453">
        <w:tc>
          <w:tcPr>
            <w:tcW w:w="1526" w:type="dxa"/>
          </w:tcPr>
          <w:p w14:paraId="42BFD21F" w14:textId="77777777" w:rsidR="00BB6ED4" w:rsidRPr="002D3F1B" w:rsidRDefault="00BB6ED4" w:rsidP="00BB6ED4">
            <w:pPr>
              <w:pStyle w:val="Preformatted"/>
              <w:jc w:val="both"/>
              <w:rPr>
                <w:rFonts w:ascii="Times New Roman" w:hAnsi="Times New Roman"/>
                <w:sz w:val="24"/>
                <w:szCs w:val="24"/>
              </w:rPr>
            </w:pPr>
            <w:r>
              <w:rPr>
                <w:rFonts w:ascii="Times New Roman" w:hAnsi="Times New Roman"/>
                <w:sz w:val="24"/>
                <w:szCs w:val="24"/>
              </w:rPr>
              <w:t xml:space="preserve">Susisiekimo ministerijos 2016 m. rugpjūčio 18 d. raštas </w:t>
            </w:r>
            <w:r w:rsidRPr="00432A9F">
              <w:rPr>
                <w:rFonts w:ascii="Times New Roman" w:hAnsi="Times New Roman"/>
                <w:sz w:val="24"/>
                <w:szCs w:val="24"/>
              </w:rPr>
              <w:t>Nr.</w:t>
            </w:r>
            <w:r>
              <w:rPr>
                <w:rFonts w:ascii="Times New Roman" w:hAnsi="Times New Roman"/>
                <w:sz w:val="24"/>
                <w:szCs w:val="24"/>
              </w:rPr>
              <w:t xml:space="preserve"> 2-2919 </w:t>
            </w:r>
          </w:p>
          <w:p w14:paraId="45760AC0" w14:textId="77777777" w:rsidR="00BB6ED4" w:rsidRDefault="00BB6ED4" w:rsidP="00BB6ED4">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5C874123" w14:textId="53ECD0BE" w:rsidR="00BB6ED4" w:rsidRPr="00432A9F" w:rsidRDefault="00BB6ED4" w:rsidP="00BB6ED4">
            <w:pPr>
              <w:pStyle w:val="Preformatted"/>
              <w:tabs>
                <w:tab w:val="left" w:pos="1276"/>
              </w:tabs>
              <w:jc w:val="both"/>
              <w:rPr>
                <w:rFonts w:ascii="Times New Roman" w:hAnsi="Times New Roman"/>
                <w:sz w:val="24"/>
                <w:szCs w:val="24"/>
              </w:rPr>
            </w:pPr>
            <w:r w:rsidRPr="00432A9F">
              <w:rPr>
                <w:rFonts w:ascii="Times New Roman" w:hAnsi="Times New Roman"/>
                <w:sz w:val="24"/>
                <w:szCs w:val="24"/>
              </w:rPr>
              <w:t>Pastabų ir pasiūlymų nepateikė.</w:t>
            </w:r>
          </w:p>
        </w:tc>
        <w:tc>
          <w:tcPr>
            <w:tcW w:w="7087" w:type="dxa"/>
          </w:tcPr>
          <w:p w14:paraId="4BDAD04E" w14:textId="77777777" w:rsidR="00BB6ED4" w:rsidRPr="001A7A40" w:rsidRDefault="00BB6ED4" w:rsidP="00BB6ED4">
            <w:pPr>
              <w:jc w:val="both"/>
              <w:rPr>
                <w:rFonts w:ascii="Times New Roman" w:hAnsi="Times New Roman" w:cs="Times New Roman"/>
                <w:sz w:val="24"/>
                <w:szCs w:val="24"/>
                <w:highlight w:val="yellow"/>
              </w:rPr>
            </w:pPr>
          </w:p>
        </w:tc>
      </w:tr>
      <w:tr w:rsidR="00432A9F" w:rsidRPr="00FC5EF5" w14:paraId="77FDA8A9" w14:textId="77777777" w:rsidTr="00E20453">
        <w:tc>
          <w:tcPr>
            <w:tcW w:w="1526" w:type="dxa"/>
          </w:tcPr>
          <w:p w14:paraId="18A303DA" w14:textId="33973EF4" w:rsidR="0068232A" w:rsidRDefault="00432A9F" w:rsidP="0068232A">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Švieti</w:t>
            </w:r>
            <w:r w:rsidR="0068232A">
              <w:rPr>
                <w:rFonts w:ascii="Times New Roman" w:hAnsi="Times New Roman"/>
                <w:sz w:val="24"/>
                <w:szCs w:val="24"/>
              </w:rPr>
              <w:t>mo ir mokslo ministerijos</w:t>
            </w:r>
          </w:p>
          <w:p w14:paraId="042E38A7" w14:textId="32CBDD7F" w:rsidR="0068232A" w:rsidRPr="0068232A" w:rsidRDefault="0068232A" w:rsidP="0068232A">
            <w:pPr>
              <w:pStyle w:val="Preformatted"/>
              <w:tabs>
                <w:tab w:val="clear" w:pos="0"/>
                <w:tab w:val="clear" w:pos="1918"/>
                <w:tab w:val="left" w:pos="851"/>
                <w:tab w:val="left" w:pos="1276"/>
              </w:tabs>
              <w:jc w:val="both"/>
              <w:rPr>
                <w:rFonts w:ascii="Times New Roman" w:hAnsi="Times New Roman"/>
                <w:sz w:val="24"/>
                <w:szCs w:val="24"/>
              </w:rPr>
            </w:pPr>
            <w:r w:rsidRPr="0068232A">
              <w:rPr>
                <w:rFonts w:ascii="Times New Roman" w:hAnsi="Times New Roman"/>
                <w:sz w:val="24"/>
                <w:szCs w:val="24"/>
              </w:rPr>
              <w:t>2016 m. r</w:t>
            </w:r>
            <w:r>
              <w:rPr>
                <w:rFonts w:ascii="Times New Roman" w:hAnsi="Times New Roman"/>
                <w:sz w:val="24"/>
                <w:szCs w:val="24"/>
              </w:rPr>
              <w:t>ugsėjo 7</w:t>
            </w:r>
            <w:r w:rsidRPr="0068232A">
              <w:rPr>
                <w:rFonts w:ascii="Times New Roman" w:hAnsi="Times New Roman"/>
                <w:sz w:val="24"/>
                <w:szCs w:val="24"/>
              </w:rPr>
              <w:t xml:space="preserve"> d. raštas Nr. </w:t>
            </w:r>
            <w:r>
              <w:rPr>
                <w:rFonts w:ascii="Times New Roman" w:hAnsi="Times New Roman"/>
                <w:sz w:val="24"/>
                <w:szCs w:val="24"/>
              </w:rPr>
              <w:t>SR-3875</w:t>
            </w:r>
          </w:p>
          <w:p w14:paraId="19091697" w14:textId="60845113" w:rsidR="00432A9F" w:rsidRPr="00FC5EF5" w:rsidRDefault="00432A9F" w:rsidP="00432A9F">
            <w:pPr>
              <w:pStyle w:val="Preformatted"/>
              <w:tabs>
                <w:tab w:val="clear" w:pos="0"/>
                <w:tab w:val="clear" w:pos="1918"/>
                <w:tab w:val="left" w:pos="851"/>
                <w:tab w:val="left" w:pos="1276"/>
              </w:tabs>
              <w:jc w:val="both"/>
              <w:rPr>
                <w:rFonts w:ascii="Times New Roman" w:hAnsi="Times New Roman"/>
                <w:sz w:val="24"/>
                <w:szCs w:val="24"/>
              </w:rPr>
            </w:pPr>
          </w:p>
        </w:tc>
        <w:tc>
          <w:tcPr>
            <w:tcW w:w="6379" w:type="dxa"/>
          </w:tcPr>
          <w:p w14:paraId="0CB46D75" w14:textId="066B47C8" w:rsidR="00432A9F" w:rsidRPr="001A7A40" w:rsidRDefault="00432A9F" w:rsidP="002A578B">
            <w:pPr>
              <w:pStyle w:val="Preformatted"/>
              <w:tabs>
                <w:tab w:val="left" w:pos="1276"/>
              </w:tabs>
              <w:jc w:val="both"/>
              <w:rPr>
                <w:rFonts w:ascii="Times New Roman" w:hAnsi="Times New Roman"/>
                <w:sz w:val="24"/>
                <w:szCs w:val="24"/>
                <w:highlight w:val="yellow"/>
              </w:rPr>
            </w:pPr>
            <w:r w:rsidRPr="00432A9F">
              <w:rPr>
                <w:rFonts w:ascii="Times New Roman" w:hAnsi="Times New Roman"/>
                <w:sz w:val="24"/>
                <w:szCs w:val="24"/>
              </w:rPr>
              <w:t>Pastabų ir pasiūlymų nepateikė.</w:t>
            </w:r>
          </w:p>
        </w:tc>
        <w:tc>
          <w:tcPr>
            <w:tcW w:w="7087" w:type="dxa"/>
          </w:tcPr>
          <w:p w14:paraId="762EAF07" w14:textId="77777777" w:rsidR="00432A9F" w:rsidRPr="001A7A40" w:rsidRDefault="00432A9F" w:rsidP="000939A1">
            <w:pPr>
              <w:jc w:val="both"/>
              <w:rPr>
                <w:rFonts w:ascii="Times New Roman" w:hAnsi="Times New Roman" w:cs="Times New Roman"/>
                <w:sz w:val="24"/>
                <w:szCs w:val="24"/>
                <w:highlight w:val="yellow"/>
              </w:rPr>
            </w:pPr>
          </w:p>
        </w:tc>
      </w:tr>
    </w:tbl>
    <w:p w14:paraId="54D09271" w14:textId="77777777" w:rsidR="00CF5CF4" w:rsidRPr="00BE57EC" w:rsidRDefault="0062207E" w:rsidP="0062207E">
      <w:pPr>
        <w:tabs>
          <w:tab w:val="center" w:pos="7426"/>
          <w:tab w:val="left" w:pos="9495"/>
        </w:tabs>
        <w:rPr>
          <w:rFonts w:ascii="Times New Roman" w:hAnsi="Times New Roman" w:cs="Times New Roman"/>
          <w:sz w:val="24"/>
          <w:szCs w:val="24"/>
        </w:rPr>
      </w:pPr>
      <w:r w:rsidRPr="00FC5EF5">
        <w:rPr>
          <w:rFonts w:ascii="Times New Roman" w:hAnsi="Times New Roman" w:cs="Times New Roman"/>
          <w:sz w:val="24"/>
          <w:szCs w:val="24"/>
        </w:rPr>
        <w:tab/>
      </w:r>
      <w:r w:rsidR="00284661" w:rsidRPr="00FC5EF5">
        <w:rPr>
          <w:rFonts w:ascii="Times New Roman" w:hAnsi="Times New Roman" w:cs="Times New Roman"/>
          <w:sz w:val="24"/>
          <w:szCs w:val="24"/>
        </w:rPr>
        <w:t>____________________________</w:t>
      </w:r>
      <w:r>
        <w:rPr>
          <w:rFonts w:ascii="Times New Roman" w:hAnsi="Times New Roman" w:cs="Times New Roman"/>
          <w:sz w:val="24"/>
          <w:szCs w:val="24"/>
        </w:rPr>
        <w:tab/>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0E26" w14:textId="77777777" w:rsidR="00DD5E07" w:rsidRDefault="00DD5E07" w:rsidP="00CF5CF4">
      <w:pPr>
        <w:spacing w:after="0" w:line="240" w:lineRule="auto"/>
      </w:pPr>
      <w:r>
        <w:separator/>
      </w:r>
    </w:p>
  </w:endnote>
  <w:endnote w:type="continuationSeparator" w:id="0">
    <w:p w14:paraId="10F5C12C" w14:textId="77777777" w:rsidR="00DD5E07" w:rsidRDefault="00DD5E07"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4934" w14:textId="77777777" w:rsidR="00454456" w:rsidRDefault="00454456">
    <w:pPr>
      <w:pStyle w:val="Porat"/>
    </w:pPr>
  </w:p>
  <w:p w14:paraId="79D2F50D" w14:textId="77777777"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834B8" w14:textId="77777777" w:rsidR="00DD5E07" w:rsidRDefault="00DD5E07" w:rsidP="00CF5CF4">
      <w:pPr>
        <w:spacing w:after="0" w:line="240" w:lineRule="auto"/>
      </w:pPr>
      <w:r>
        <w:separator/>
      </w:r>
    </w:p>
  </w:footnote>
  <w:footnote w:type="continuationSeparator" w:id="0">
    <w:p w14:paraId="1A1ED28B" w14:textId="77777777" w:rsidR="00DD5E07" w:rsidRDefault="00DD5E07"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993"/>
      <w:docPartObj>
        <w:docPartGallery w:val="Page Numbers (Top of Page)"/>
        <w:docPartUnique/>
      </w:docPartObj>
    </w:sdtPr>
    <w:sdtEndPr>
      <w:rPr>
        <w:rFonts w:ascii="Times New Roman" w:hAnsi="Times New Roman" w:cs="Times New Roman"/>
        <w:noProof/>
      </w:rPr>
    </w:sdtEndPr>
    <w:sdtContent>
      <w:p w14:paraId="42E7A4DE" w14:textId="56D79E7D"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40E41">
          <w:rPr>
            <w:rFonts w:ascii="Times New Roman" w:hAnsi="Times New Roman" w:cs="Times New Roman"/>
            <w:noProof/>
          </w:rPr>
          <w:t>2</w:t>
        </w:r>
        <w:r w:rsidRPr="00CF5CF4">
          <w:rPr>
            <w:rFonts w:ascii="Times New Roman" w:hAnsi="Times New Roman" w:cs="Times New Roman"/>
            <w:noProof/>
          </w:rPr>
          <w:fldChar w:fldCharType="end"/>
        </w:r>
      </w:p>
    </w:sdtContent>
  </w:sdt>
  <w:p w14:paraId="4BACA29A" w14:textId="77777777"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30C0C13"/>
    <w:multiLevelType w:val="hybridMultilevel"/>
    <w:tmpl w:val="340AC37C"/>
    <w:lvl w:ilvl="0" w:tplc="203868F6">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4"/>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5"/>
  </w:num>
  <w:num w:numId="16">
    <w:abstractNumId w:val="21"/>
  </w:num>
  <w:num w:numId="17">
    <w:abstractNumId w:val="3"/>
  </w:num>
  <w:num w:numId="18">
    <w:abstractNumId w:val="7"/>
  </w:num>
  <w:num w:numId="19">
    <w:abstractNumId w:val="18"/>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04D55"/>
    <w:rsid w:val="0003567D"/>
    <w:rsid w:val="00037344"/>
    <w:rsid w:val="00044BD9"/>
    <w:rsid w:val="00053414"/>
    <w:rsid w:val="0005508C"/>
    <w:rsid w:val="00064347"/>
    <w:rsid w:val="00071BB5"/>
    <w:rsid w:val="00071D32"/>
    <w:rsid w:val="00075114"/>
    <w:rsid w:val="0007515F"/>
    <w:rsid w:val="000817DF"/>
    <w:rsid w:val="00086D5E"/>
    <w:rsid w:val="000916AF"/>
    <w:rsid w:val="000939A1"/>
    <w:rsid w:val="000979E3"/>
    <w:rsid w:val="000A3C6E"/>
    <w:rsid w:val="000A4628"/>
    <w:rsid w:val="000A6215"/>
    <w:rsid w:val="000B5481"/>
    <w:rsid w:val="000B6124"/>
    <w:rsid w:val="000C6952"/>
    <w:rsid w:val="000D00E5"/>
    <w:rsid w:val="000D3DFD"/>
    <w:rsid w:val="000D5EE1"/>
    <w:rsid w:val="000E264B"/>
    <w:rsid w:val="000F6ECA"/>
    <w:rsid w:val="00113DC1"/>
    <w:rsid w:val="001256E0"/>
    <w:rsid w:val="00126C94"/>
    <w:rsid w:val="00126E1B"/>
    <w:rsid w:val="00130BFB"/>
    <w:rsid w:val="00133403"/>
    <w:rsid w:val="00133F3C"/>
    <w:rsid w:val="00144ED2"/>
    <w:rsid w:val="00153DCB"/>
    <w:rsid w:val="001541E0"/>
    <w:rsid w:val="00160AE2"/>
    <w:rsid w:val="00164B9C"/>
    <w:rsid w:val="00165DAB"/>
    <w:rsid w:val="00171A25"/>
    <w:rsid w:val="001772EB"/>
    <w:rsid w:val="00187398"/>
    <w:rsid w:val="001954FD"/>
    <w:rsid w:val="0019635B"/>
    <w:rsid w:val="001A1195"/>
    <w:rsid w:val="001A6056"/>
    <w:rsid w:val="001A7A40"/>
    <w:rsid w:val="001B01CD"/>
    <w:rsid w:val="001B2112"/>
    <w:rsid w:val="001C595B"/>
    <w:rsid w:val="001D53BD"/>
    <w:rsid w:val="00210443"/>
    <w:rsid w:val="00212785"/>
    <w:rsid w:val="00214271"/>
    <w:rsid w:val="00220565"/>
    <w:rsid w:val="00224380"/>
    <w:rsid w:val="00224611"/>
    <w:rsid w:val="00227F3C"/>
    <w:rsid w:val="00232B0A"/>
    <w:rsid w:val="00237404"/>
    <w:rsid w:val="002421B6"/>
    <w:rsid w:val="0025298C"/>
    <w:rsid w:val="00262310"/>
    <w:rsid w:val="00263A34"/>
    <w:rsid w:val="00267226"/>
    <w:rsid w:val="0027410A"/>
    <w:rsid w:val="002757D8"/>
    <w:rsid w:val="00275939"/>
    <w:rsid w:val="00284661"/>
    <w:rsid w:val="00285B63"/>
    <w:rsid w:val="00287B4D"/>
    <w:rsid w:val="002924C1"/>
    <w:rsid w:val="0029535C"/>
    <w:rsid w:val="002A280F"/>
    <w:rsid w:val="002A578B"/>
    <w:rsid w:val="002B161A"/>
    <w:rsid w:val="002D1A81"/>
    <w:rsid w:val="002D3F1B"/>
    <w:rsid w:val="002D4B59"/>
    <w:rsid w:val="002D5539"/>
    <w:rsid w:val="002E06DA"/>
    <w:rsid w:val="002F470E"/>
    <w:rsid w:val="002F6619"/>
    <w:rsid w:val="003104D6"/>
    <w:rsid w:val="00310624"/>
    <w:rsid w:val="0032218E"/>
    <w:rsid w:val="0033160A"/>
    <w:rsid w:val="003347C5"/>
    <w:rsid w:val="003363EB"/>
    <w:rsid w:val="0033652E"/>
    <w:rsid w:val="0034578A"/>
    <w:rsid w:val="00357005"/>
    <w:rsid w:val="003702EB"/>
    <w:rsid w:val="003A0F55"/>
    <w:rsid w:val="003A15C8"/>
    <w:rsid w:val="003A2EC2"/>
    <w:rsid w:val="003A432A"/>
    <w:rsid w:val="003A713B"/>
    <w:rsid w:val="003B16A5"/>
    <w:rsid w:val="003B2A52"/>
    <w:rsid w:val="003B569F"/>
    <w:rsid w:val="003B73C5"/>
    <w:rsid w:val="003C5134"/>
    <w:rsid w:val="003C5CB9"/>
    <w:rsid w:val="003D0474"/>
    <w:rsid w:val="003D5C5B"/>
    <w:rsid w:val="003D6CD9"/>
    <w:rsid w:val="003E21AB"/>
    <w:rsid w:val="003E5501"/>
    <w:rsid w:val="003E658E"/>
    <w:rsid w:val="003E760D"/>
    <w:rsid w:val="003F223A"/>
    <w:rsid w:val="00412100"/>
    <w:rsid w:val="00412835"/>
    <w:rsid w:val="00417CB9"/>
    <w:rsid w:val="00421684"/>
    <w:rsid w:val="0042373B"/>
    <w:rsid w:val="004264D6"/>
    <w:rsid w:val="0042777F"/>
    <w:rsid w:val="00432A9F"/>
    <w:rsid w:val="004347D4"/>
    <w:rsid w:val="00445126"/>
    <w:rsid w:val="00454456"/>
    <w:rsid w:val="00462961"/>
    <w:rsid w:val="00481E6C"/>
    <w:rsid w:val="004A29D1"/>
    <w:rsid w:val="004C75B5"/>
    <w:rsid w:val="004D0673"/>
    <w:rsid w:val="004D24A9"/>
    <w:rsid w:val="004D43D5"/>
    <w:rsid w:val="004E2FA6"/>
    <w:rsid w:val="004E6F1D"/>
    <w:rsid w:val="004F01C5"/>
    <w:rsid w:val="004F1BCE"/>
    <w:rsid w:val="004F30A2"/>
    <w:rsid w:val="0050693C"/>
    <w:rsid w:val="00521DF1"/>
    <w:rsid w:val="00527942"/>
    <w:rsid w:val="00530324"/>
    <w:rsid w:val="005310C4"/>
    <w:rsid w:val="00531A88"/>
    <w:rsid w:val="00537714"/>
    <w:rsid w:val="00541D70"/>
    <w:rsid w:val="005424D3"/>
    <w:rsid w:val="00543D8C"/>
    <w:rsid w:val="0054609A"/>
    <w:rsid w:val="00547B36"/>
    <w:rsid w:val="0057253D"/>
    <w:rsid w:val="00572E65"/>
    <w:rsid w:val="005736A1"/>
    <w:rsid w:val="005A4804"/>
    <w:rsid w:val="005B1CF8"/>
    <w:rsid w:val="005B327C"/>
    <w:rsid w:val="005C667B"/>
    <w:rsid w:val="005C738A"/>
    <w:rsid w:val="005D5E0D"/>
    <w:rsid w:val="005D6AC5"/>
    <w:rsid w:val="005E4C0E"/>
    <w:rsid w:val="005E50CB"/>
    <w:rsid w:val="005E7E30"/>
    <w:rsid w:val="005F32EE"/>
    <w:rsid w:val="005F6EDF"/>
    <w:rsid w:val="005F7D75"/>
    <w:rsid w:val="0061735B"/>
    <w:rsid w:val="0062089A"/>
    <w:rsid w:val="0062207E"/>
    <w:rsid w:val="006239EB"/>
    <w:rsid w:val="00640EDB"/>
    <w:rsid w:val="00643DEB"/>
    <w:rsid w:val="00644054"/>
    <w:rsid w:val="00650989"/>
    <w:rsid w:val="00653C6A"/>
    <w:rsid w:val="006549E6"/>
    <w:rsid w:val="00665DAE"/>
    <w:rsid w:val="006770A6"/>
    <w:rsid w:val="0068232A"/>
    <w:rsid w:val="006900D8"/>
    <w:rsid w:val="006A0540"/>
    <w:rsid w:val="006A10F9"/>
    <w:rsid w:val="006A2B1F"/>
    <w:rsid w:val="006A4E4D"/>
    <w:rsid w:val="006A7434"/>
    <w:rsid w:val="006B60B8"/>
    <w:rsid w:val="006B6DA6"/>
    <w:rsid w:val="006B79E6"/>
    <w:rsid w:val="006C02FD"/>
    <w:rsid w:val="006C2D4D"/>
    <w:rsid w:val="006C2F47"/>
    <w:rsid w:val="006C75CC"/>
    <w:rsid w:val="006D6609"/>
    <w:rsid w:val="006E1CD1"/>
    <w:rsid w:val="006F27CF"/>
    <w:rsid w:val="006F5698"/>
    <w:rsid w:val="007134BB"/>
    <w:rsid w:val="00727B1F"/>
    <w:rsid w:val="00734363"/>
    <w:rsid w:val="00740E41"/>
    <w:rsid w:val="007463B8"/>
    <w:rsid w:val="00746B6B"/>
    <w:rsid w:val="00746C01"/>
    <w:rsid w:val="00751EBB"/>
    <w:rsid w:val="00763781"/>
    <w:rsid w:val="00786CC3"/>
    <w:rsid w:val="00797DCA"/>
    <w:rsid w:val="007A1C66"/>
    <w:rsid w:val="007A6C01"/>
    <w:rsid w:val="007B21A9"/>
    <w:rsid w:val="007B7688"/>
    <w:rsid w:val="007C3D50"/>
    <w:rsid w:val="007D78BA"/>
    <w:rsid w:val="007E17CE"/>
    <w:rsid w:val="007E1A49"/>
    <w:rsid w:val="007E28DF"/>
    <w:rsid w:val="00803808"/>
    <w:rsid w:val="008039C9"/>
    <w:rsid w:val="00805F50"/>
    <w:rsid w:val="008061B0"/>
    <w:rsid w:val="00833ECF"/>
    <w:rsid w:val="008375C2"/>
    <w:rsid w:val="008525B1"/>
    <w:rsid w:val="00856A67"/>
    <w:rsid w:val="00862189"/>
    <w:rsid w:val="00862B1F"/>
    <w:rsid w:val="0086591E"/>
    <w:rsid w:val="008705AE"/>
    <w:rsid w:val="00872478"/>
    <w:rsid w:val="00881FB8"/>
    <w:rsid w:val="008820A5"/>
    <w:rsid w:val="008824CC"/>
    <w:rsid w:val="0088269E"/>
    <w:rsid w:val="008903B6"/>
    <w:rsid w:val="008919CD"/>
    <w:rsid w:val="0089367C"/>
    <w:rsid w:val="0089382A"/>
    <w:rsid w:val="00897B87"/>
    <w:rsid w:val="008A2B95"/>
    <w:rsid w:val="008A5A12"/>
    <w:rsid w:val="008B0496"/>
    <w:rsid w:val="008B64AE"/>
    <w:rsid w:val="008C0F19"/>
    <w:rsid w:val="008C322C"/>
    <w:rsid w:val="008D592A"/>
    <w:rsid w:val="008E4770"/>
    <w:rsid w:val="00901333"/>
    <w:rsid w:val="009124DE"/>
    <w:rsid w:val="00912A9E"/>
    <w:rsid w:val="0093542F"/>
    <w:rsid w:val="0095514B"/>
    <w:rsid w:val="00957DFF"/>
    <w:rsid w:val="009712BE"/>
    <w:rsid w:val="00974A36"/>
    <w:rsid w:val="00974E58"/>
    <w:rsid w:val="00975417"/>
    <w:rsid w:val="00976532"/>
    <w:rsid w:val="00985BA9"/>
    <w:rsid w:val="009903DB"/>
    <w:rsid w:val="009962DD"/>
    <w:rsid w:val="009C2DA0"/>
    <w:rsid w:val="009C699D"/>
    <w:rsid w:val="009C6EAA"/>
    <w:rsid w:val="009D0A8E"/>
    <w:rsid w:val="009D3215"/>
    <w:rsid w:val="009D4278"/>
    <w:rsid w:val="009E5899"/>
    <w:rsid w:val="009F35E8"/>
    <w:rsid w:val="009F4EA1"/>
    <w:rsid w:val="009F620D"/>
    <w:rsid w:val="009F7B62"/>
    <w:rsid w:val="00A04780"/>
    <w:rsid w:val="00A06F1E"/>
    <w:rsid w:val="00A0788E"/>
    <w:rsid w:val="00A11FF7"/>
    <w:rsid w:val="00A12C1E"/>
    <w:rsid w:val="00A20E0F"/>
    <w:rsid w:val="00A21D2C"/>
    <w:rsid w:val="00A222B4"/>
    <w:rsid w:val="00A2326D"/>
    <w:rsid w:val="00A245DD"/>
    <w:rsid w:val="00A34238"/>
    <w:rsid w:val="00A3647F"/>
    <w:rsid w:val="00A4234E"/>
    <w:rsid w:val="00A4476D"/>
    <w:rsid w:val="00A4712A"/>
    <w:rsid w:val="00A8377A"/>
    <w:rsid w:val="00A93896"/>
    <w:rsid w:val="00A93A16"/>
    <w:rsid w:val="00A95A9F"/>
    <w:rsid w:val="00AA22B2"/>
    <w:rsid w:val="00AA6AEE"/>
    <w:rsid w:val="00AA7E71"/>
    <w:rsid w:val="00AE090E"/>
    <w:rsid w:val="00AE704D"/>
    <w:rsid w:val="00AF0A23"/>
    <w:rsid w:val="00B00017"/>
    <w:rsid w:val="00B036DB"/>
    <w:rsid w:val="00B12A6B"/>
    <w:rsid w:val="00B141D2"/>
    <w:rsid w:val="00B2035A"/>
    <w:rsid w:val="00B34399"/>
    <w:rsid w:val="00B43609"/>
    <w:rsid w:val="00B4643D"/>
    <w:rsid w:val="00B52046"/>
    <w:rsid w:val="00B56B5D"/>
    <w:rsid w:val="00B61BBC"/>
    <w:rsid w:val="00B777A3"/>
    <w:rsid w:val="00B8766A"/>
    <w:rsid w:val="00BA1FD8"/>
    <w:rsid w:val="00BA33DC"/>
    <w:rsid w:val="00BA69B6"/>
    <w:rsid w:val="00BB6ED4"/>
    <w:rsid w:val="00BC1A51"/>
    <w:rsid w:val="00BC2F49"/>
    <w:rsid w:val="00BC4B5E"/>
    <w:rsid w:val="00BE3D7F"/>
    <w:rsid w:val="00BE57EC"/>
    <w:rsid w:val="00BE5CE7"/>
    <w:rsid w:val="00BF4D8F"/>
    <w:rsid w:val="00C0240B"/>
    <w:rsid w:val="00C057BF"/>
    <w:rsid w:val="00C35D53"/>
    <w:rsid w:val="00C4209F"/>
    <w:rsid w:val="00C421E1"/>
    <w:rsid w:val="00C42F28"/>
    <w:rsid w:val="00C453D2"/>
    <w:rsid w:val="00C457AD"/>
    <w:rsid w:val="00C52668"/>
    <w:rsid w:val="00C64040"/>
    <w:rsid w:val="00C66BA8"/>
    <w:rsid w:val="00C702D0"/>
    <w:rsid w:val="00C706EE"/>
    <w:rsid w:val="00C72583"/>
    <w:rsid w:val="00C870C6"/>
    <w:rsid w:val="00C931C1"/>
    <w:rsid w:val="00C97BF9"/>
    <w:rsid w:val="00CA7143"/>
    <w:rsid w:val="00CB13D1"/>
    <w:rsid w:val="00CB4D3A"/>
    <w:rsid w:val="00CC02DB"/>
    <w:rsid w:val="00CC0A8A"/>
    <w:rsid w:val="00CC57FD"/>
    <w:rsid w:val="00CC7104"/>
    <w:rsid w:val="00CD5CE5"/>
    <w:rsid w:val="00CE2C59"/>
    <w:rsid w:val="00CE35D1"/>
    <w:rsid w:val="00CE74A4"/>
    <w:rsid w:val="00CF4E52"/>
    <w:rsid w:val="00CF5CF4"/>
    <w:rsid w:val="00CF628D"/>
    <w:rsid w:val="00CF7C64"/>
    <w:rsid w:val="00D12938"/>
    <w:rsid w:val="00D16558"/>
    <w:rsid w:val="00D1742D"/>
    <w:rsid w:val="00D232F6"/>
    <w:rsid w:val="00D23ABA"/>
    <w:rsid w:val="00D31466"/>
    <w:rsid w:val="00D444F9"/>
    <w:rsid w:val="00D52D19"/>
    <w:rsid w:val="00D66D5E"/>
    <w:rsid w:val="00D718F5"/>
    <w:rsid w:val="00D77B5F"/>
    <w:rsid w:val="00D83645"/>
    <w:rsid w:val="00D845B1"/>
    <w:rsid w:val="00D84D2A"/>
    <w:rsid w:val="00D852D2"/>
    <w:rsid w:val="00D86EB2"/>
    <w:rsid w:val="00D87902"/>
    <w:rsid w:val="00D87DEF"/>
    <w:rsid w:val="00D924E8"/>
    <w:rsid w:val="00D92733"/>
    <w:rsid w:val="00D930BF"/>
    <w:rsid w:val="00DA0E87"/>
    <w:rsid w:val="00DA1B54"/>
    <w:rsid w:val="00DA28F6"/>
    <w:rsid w:val="00DA6DEC"/>
    <w:rsid w:val="00DB0C49"/>
    <w:rsid w:val="00DB296D"/>
    <w:rsid w:val="00DB37B3"/>
    <w:rsid w:val="00DB7572"/>
    <w:rsid w:val="00DD37C4"/>
    <w:rsid w:val="00DD4D65"/>
    <w:rsid w:val="00DD5E07"/>
    <w:rsid w:val="00DE1BB7"/>
    <w:rsid w:val="00DE330A"/>
    <w:rsid w:val="00DE5980"/>
    <w:rsid w:val="00DF2F49"/>
    <w:rsid w:val="00DF55BE"/>
    <w:rsid w:val="00E01B21"/>
    <w:rsid w:val="00E079BC"/>
    <w:rsid w:val="00E15751"/>
    <w:rsid w:val="00E20453"/>
    <w:rsid w:val="00E20CD7"/>
    <w:rsid w:val="00E32D27"/>
    <w:rsid w:val="00E36B9A"/>
    <w:rsid w:val="00E44149"/>
    <w:rsid w:val="00E45E72"/>
    <w:rsid w:val="00E53833"/>
    <w:rsid w:val="00E54A91"/>
    <w:rsid w:val="00E564DC"/>
    <w:rsid w:val="00E6585A"/>
    <w:rsid w:val="00E7457A"/>
    <w:rsid w:val="00E74C99"/>
    <w:rsid w:val="00E75A99"/>
    <w:rsid w:val="00E81A6E"/>
    <w:rsid w:val="00E841F7"/>
    <w:rsid w:val="00E94248"/>
    <w:rsid w:val="00E9489F"/>
    <w:rsid w:val="00E951F4"/>
    <w:rsid w:val="00E9714B"/>
    <w:rsid w:val="00E97E8A"/>
    <w:rsid w:val="00EA4001"/>
    <w:rsid w:val="00EA5EAF"/>
    <w:rsid w:val="00EB5617"/>
    <w:rsid w:val="00EC30CE"/>
    <w:rsid w:val="00EC51C1"/>
    <w:rsid w:val="00ED5268"/>
    <w:rsid w:val="00EE4780"/>
    <w:rsid w:val="00F01FD5"/>
    <w:rsid w:val="00F0258F"/>
    <w:rsid w:val="00F2066E"/>
    <w:rsid w:val="00F238BB"/>
    <w:rsid w:val="00F257FE"/>
    <w:rsid w:val="00F30549"/>
    <w:rsid w:val="00F45203"/>
    <w:rsid w:val="00F46545"/>
    <w:rsid w:val="00F641D9"/>
    <w:rsid w:val="00F6599B"/>
    <w:rsid w:val="00F6701A"/>
    <w:rsid w:val="00F7264D"/>
    <w:rsid w:val="00F74017"/>
    <w:rsid w:val="00F752C0"/>
    <w:rsid w:val="00F85A81"/>
    <w:rsid w:val="00F912D9"/>
    <w:rsid w:val="00F92A13"/>
    <w:rsid w:val="00F92C90"/>
    <w:rsid w:val="00F94171"/>
    <w:rsid w:val="00F9572D"/>
    <w:rsid w:val="00F963CA"/>
    <w:rsid w:val="00FA697F"/>
    <w:rsid w:val="00FB06AD"/>
    <w:rsid w:val="00FB655F"/>
    <w:rsid w:val="00FC3AB3"/>
    <w:rsid w:val="00FC3BE5"/>
    <w:rsid w:val="00FC5EF5"/>
    <w:rsid w:val="00FC6331"/>
    <w:rsid w:val="00FD1529"/>
    <w:rsid w:val="00FE3034"/>
    <w:rsid w:val="00FE5962"/>
    <w:rsid w:val="00FF6B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9ADA"/>
  <w15:docId w15:val="{90E7ADC4-733F-4178-AAC6-9BB1E3E0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B8ECC-43AF-402B-BC6D-F6B57835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2125</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2015-11-13T08:25:00Z</cp:lastPrinted>
  <dcterms:created xsi:type="dcterms:W3CDTF">2016-09-22T13:55:00Z</dcterms:created>
  <dcterms:modified xsi:type="dcterms:W3CDTF">2016-09-22T13:55:00Z</dcterms:modified>
</cp:coreProperties>
</file>