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370" w:rsidRPr="005B1E83" w:rsidRDefault="003A2370" w:rsidP="003A2370">
      <w:pPr>
        <w:tabs>
          <w:tab w:val="left" w:pos="0"/>
          <w:tab w:val="left" w:pos="6237"/>
        </w:tabs>
        <w:jc w:val="center"/>
        <w:rPr>
          <w:rFonts w:ascii="Times New Roman" w:hAnsi="Times New Roman"/>
          <w:b/>
          <w:sz w:val="24"/>
          <w:szCs w:val="24"/>
          <w:lang w:val="lt-LT" w:eastAsia="lt-LT"/>
        </w:rPr>
      </w:pPr>
      <w:r w:rsidRPr="005B1E83">
        <w:rPr>
          <w:rFonts w:ascii="Times New Roman" w:hAnsi="Times New Roman"/>
          <w:b/>
          <w:sz w:val="24"/>
          <w:szCs w:val="24"/>
          <w:lang w:val="lt-LT"/>
        </w:rPr>
        <w:t>LIETUVOS RESPUBLIKOS ŠVIETIMO IR MOKSLO MINISTERIJA</w:t>
      </w:r>
    </w:p>
    <w:p w:rsidR="003A2370" w:rsidRPr="005B1E83" w:rsidRDefault="003A2370" w:rsidP="003A2370">
      <w:pPr>
        <w:tabs>
          <w:tab w:val="left" w:pos="0"/>
          <w:tab w:val="left" w:pos="6237"/>
        </w:tabs>
        <w:jc w:val="center"/>
        <w:rPr>
          <w:rFonts w:ascii="Times New Roman" w:hAnsi="Times New Roman"/>
          <w:sz w:val="24"/>
          <w:szCs w:val="24"/>
          <w:lang w:val="lt-LT"/>
        </w:rPr>
      </w:pPr>
    </w:p>
    <w:p w:rsidR="003A2370" w:rsidRPr="005B1E83" w:rsidRDefault="003A2370" w:rsidP="003A2370">
      <w:pPr>
        <w:tabs>
          <w:tab w:val="left" w:pos="0"/>
          <w:tab w:val="left" w:pos="6237"/>
        </w:tabs>
        <w:jc w:val="center"/>
        <w:rPr>
          <w:rFonts w:ascii="Times New Roman" w:hAnsi="Times New Roman"/>
          <w:sz w:val="24"/>
          <w:szCs w:val="24"/>
          <w:lang w:val="lt-LT"/>
        </w:rPr>
      </w:pPr>
    </w:p>
    <w:p w:rsidR="003A2370" w:rsidRPr="005B1E83" w:rsidRDefault="003A2370" w:rsidP="003A2370">
      <w:pPr>
        <w:tabs>
          <w:tab w:val="left" w:pos="0"/>
          <w:tab w:val="left" w:pos="284"/>
        </w:tabs>
        <w:jc w:val="center"/>
        <w:rPr>
          <w:rFonts w:ascii="Times New Roman" w:hAnsi="Times New Roman"/>
          <w:b/>
          <w:caps/>
          <w:sz w:val="24"/>
          <w:szCs w:val="24"/>
          <w:lang w:val="lt-LT"/>
        </w:rPr>
      </w:pPr>
      <w:r w:rsidRPr="005B1E83">
        <w:rPr>
          <w:rFonts w:ascii="Times New Roman" w:hAnsi="Times New Roman"/>
          <w:b/>
          <w:sz w:val="24"/>
          <w:szCs w:val="24"/>
          <w:lang w:val="lt-LT"/>
        </w:rPr>
        <w:t xml:space="preserve">2014–2020 METŲ EUROPOS SĄJUNGOS FONDŲ INVESTICIJŲ VEIKSMŲ PROGRAMOS PRIORITETO ĮGYVENDINIMO </w:t>
      </w:r>
      <w:r w:rsidRPr="005B1E83">
        <w:rPr>
          <w:rFonts w:ascii="Times New Roman" w:hAnsi="Times New Roman"/>
          <w:b/>
          <w:caps/>
          <w:sz w:val="24"/>
          <w:szCs w:val="24"/>
          <w:lang w:val="lt-LT"/>
        </w:rPr>
        <w:t>Priemonių įgyvendinimo planas</w:t>
      </w:r>
    </w:p>
    <w:p w:rsidR="003A2370" w:rsidRPr="005B1E83" w:rsidRDefault="003A2370" w:rsidP="003A2370">
      <w:pPr>
        <w:tabs>
          <w:tab w:val="left" w:pos="0"/>
          <w:tab w:val="left" w:pos="6237"/>
        </w:tabs>
        <w:jc w:val="center"/>
        <w:rPr>
          <w:rFonts w:ascii="Times New Roman" w:hAnsi="Times New Roman"/>
          <w:sz w:val="24"/>
          <w:szCs w:val="24"/>
          <w:lang w:val="lt-LT"/>
        </w:rPr>
      </w:pPr>
    </w:p>
    <w:p w:rsidR="003A2370" w:rsidRPr="005B1E83" w:rsidRDefault="003A2370" w:rsidP="003A2370">
      <w:pPr>
        <w:tabs>
          <w:tab w:val="left" w:pos="0"/>
        </w:tabs>
        <w:jc w:val="center"/>
        <w:rPr>
          <w:rFonts w:ascii="Times New Roman" w:hAnsi="Times New Roman"/>
          <w:sz w:val="24"/>
          <w:szCs w:val="24"/>
          <w:lang w:val="lt-LT"/>
        </w:rPr>
      </w:pPr>
      <w:r w:rsidRPr="005B1E83">
        <w:rPr>
          <w:rFonts w:ascii="Times New Roman" w:hAnsi="Times New Roman"/>
          <w:b/>
          <w:sz w:val="24"/>
          <w:szCs w:val="24"/>
          <w:lang w:val="lt-LT"/>
        </w:rPr>
        <w:t>2014–2020 METŲ EUROPOS SĄJUNGOS FONDŲ INVESTICIJŲ VEIKSMŲ PROGRAMOS (TOLIAU – VEIKSMŲ PROGRAMA) 1 PRIORITETO „MOKSLINIŲ TYRIMŲ, EKSPERIMENTINĖS PLĖTROS IR INOVACIJŲ SKATINIMAS“ ĮGYVENDINIMO PRIEMONĖ</w:t>
      </w:r>
      <w:r w:rsidR="000101D7" w:rsidRPr="005B1E83">
        <w:rPr>
          <w:rFonts w:ascii="Times New Roman" w:hAnsi="Times New Roman"/>
          <w:b/>
          <w:sz w:val="24"/>
          <w:szCs w:val="24"/>
          <w:lang w:val="lt-LT"/>
        </w:rPr>
        <w:t>S</w:t>
      </w:r>
    </w:p>
    <w:p w:rsidR="003A2370" w:rsidRPr="005B1E83" w:rsidRDefault="003A2370" w:rsidP="003A2370">
      <w:pPr>
        <w:tabs>
          <w:tab w:val="left" w:pos="0"/>
          <w:tab w:val="left" w:pos="567"/>
        </w:tabs>
        <w:jc w:val="center"/>
        <w:rPr>
          <w:rFonts w:ascii="Times New Roman" w:hAnsi="Times New Roman"/>
          <w:sz w:val="24"/>
          <w:szCs w:val="24"/>
          <w:lang w:val="lt-LT"/>
        </w:rPr>
      </w:pPr>
    </w:p>
    <w:p w:rsidR="003A2370" w:rsidRPr="005B1E83" w:rsidRDefault="003A2370" w:rsidP="003A2370">
      <w:pPr>
        <w:tabs>
          <w:tab w:val="left" w:pos="0"/>
          <w:tab w:val="left" w:pos="567"/>
        </w:tabs>
        <w:overflowPunct/>
        <w:autoSpaceDE/>
        <w:adjustRightInd/>
        <w:jc w:val="center"/>
        <w:rPr>
          <w:rFonts w:ascii="Times New Roman" w:hAnsi="Times New Roman"/>
          <w:b/>
          <w:sz w:val="24"/>
          <w:szCs w:val="24"/>
          <w:lang w:val="lt-LT" w:eastAsia="lt-LT"/>
        </w:rPr>
      </w:pPr>
      <w:r w:rsidRPr="005B1E83">
        <w:rPr>
          <w:rFonts w:ascii="Times New Roman" w:hAnsi="Times New Roman"/>
          <w:b/>
          <w:sz w:val="24"/>
          <w:szCs w:val="24"/>
          <w:lang w:val="lt-LT" w:eastAsia="lt-LT"/>
        </w:rPr>
        <w:t>VEIKSMŲ PROGRAMOS PRIORITETO ĮGYVENDINIMO PRIEMONĖ NR.</w:t>
      </w:r>
      <w:r w:rsidRPr="005B1E83">
        <w:rPr>
          <w:rFonts w:ascii="Times New Roman" w:hAnsi="Times New Roman"/>
          <w:sz w:val="24"/>
          <w:szCs w:val="24"/>
          <w:lang w:val="lt-LT" w:eastAsia="lt-LT"/>
        </w:rPr>
        <w:t xml:space="preserve"> </w:t>
      </w:r>
      <w:r w:rsidRPr="005B1E83">
        <w:rPr>
          <w:rFonts w:ascii="Times New Roman" w:hAnsi="Times New Roman"/>
          <w:b/>
          <w:sz w:val="24"/>
          <w:szCs w:val="24"/>
          <w:lang w:val="lt-LT" w:eastAsia="lt-LT"/>
        </w:rPr>
        <w:t xml:space="preserve">01.1.1-CPVA-V-701 </w:t>
      </w:r>
      <w:r w:rsidRPr="005B1E83">
        <w:rPr>
          <w:rFonts w:ascii="Times New Roman" w:hAnsi="Times New Roman"/>
          <w:b/>
          <w:sz w:val="24"/>
          <w:lang w:val="lt-LT"/>
        </w:rPr>
        <w:t>„</w:t>
      </w:r>
      <w:r w:rsidRPr="005B1E83">
        <w:rPr>
          <w:rFonts w:ascii="Times New Roman" w:hAnsi="Times New Roman"/>
          <w:b/>
          <w:sz w:val="24"/>
          <w:szCs w:val="24"/>
          <w:lang w:val="lt-LT"/>
        </w:rPr>
        <w:t>MOKSLINIŲ TYRIMŲ, EKSPERIMENTINĖS PLĖTROS IR INOVACIJŲ INFRASTRUKTŪROS PLĖTRA IR INTEGRACIJA Į EUROPINES INFRASTRUKTŪRAS</w:t>
      </w:r>
      <w:r w:rsidRPr="005B1E83">
        <w:rPr>
          <w:rFonts w:ascii="Times New Roman" w:hAnsi="Times New Roman"/>
          <w:b/>
          <w:sz w:val="24"/>
          <w:szCs w:val="24"/>
          <w:lang w:val="lt-LT" w:eastAsia="lt-LT"/>
        </w:rPr>
        <w:t>“</w:t>
      </w:r>
    </w:p>
    <w:p w:rsidR="003A2370" w:rsidRPr="005B1E83" w:rsidRDefault="003A2370" w:rsidP="003A2370">
      <w:pPr>
        <w:tabs>
          <w:tab w:val="left" w:pos="0"/>
          <w:tab w:val="left" w:pos="567"/>
        </w:tabs>
        <w:overflowPunct/>
        <w:autoSpaceDE/>
        <w:adjustRightInd/>
        <w:jc w:val="center"/>
        <w:rPr>
          <w:rFonts w:ascii="Times New Roman" w:hAnsi="Times New Roman"/>
          <w:b/>
          <w:sz w:val="24"/>
          <w:szCs w:val="24"/>
          <w:lang w:val="lt-LT" w:eastAsia="lt-LT"/>
        </w:rPr>
      </w:pPr>
    </w:p>
    <w:p w:rsidR="003A2370" w:rsidRPr="005B1E83" w:rsidRDefault="003A2370" w:rsidP="003A2370">
      <w:pPr>
        <w:numPr>
          <w:ilvl w:val="0"/>
          <w:numId w:val="1"/>
        </w:numPr>
        <w:tabs>
          <w:tab w:val="left" w:pos="0"/>
          <w:tab w:val="left" w:pos="567"/>
        </w:tabs>
        <w:overflowPunct/>
        <w:autoSpaceDE/>
        <w:adjustRightInd/>
        <w:ind w:left="851" w:hanging="284"/>
        <w:rPr>
          <w:rFonts w:ascii="Times New Roman" w:hAnsi="Times New Roman"/>
          <w:sz w:val="24"/>
          <w:szCs w:val="24"/>
          <w:lang w:val="lt-LT" w:eastAsia="lt-LT"/>
        </w:rPr>
      </w:pPr>
      <w:r w:rsidRPr="005B1E83">
        <w:rPr>
          <w:rFonts w:ascii="Times New Roman" w:hAnsi="Times New Roman"/>
          <w:sz w:val="24"/>
          <w:szCs w:val="24"/>
          <w:lang w:val="lt-LT" w:eastAsia="lt-LT"/>
        </w:rPr>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3A2370" w:rsidRPr="005B1E83" w:rsidTr="003A2370">
        <w:tc>
          <w:tcPr>
            <w:tcW w:w="9634" w:type="dxa"/>
            <w:tcBorders>
              <w:top w:val="single" w:sz="4" w:space="0" w:color="auto"/>
              <w:left w:val="single" w:sz="4" w:space="0" w:color="auto"/>
              <w:bottom w:val="nil"/>
              <w:right w:val="single" w:sz="4" w:space="0" w:color="auto"/>
            </w:tcBorders>
            <w:hideMark/>
          </w:tcPr>
          <w:p w:rsidR="003A2370" w:rsidRPr="005B1E83" w:rsidRDefault="003A2370">
            <w:pPr>
              <w:tabs>
                <w:tab w:val="left" w:pos="567"/>
              </w:tabs>
              <w:ind w:firstLine="488"/>
              <w:jc w:val="both"/>
              <w:rPr>
                <w:rFonts w:ascii="Times New Roman" w:hAnsi="Times New Roman"/>
                <w:sz w:val="24"/>
                <w:szCs w:val="24"/>
                <w:lang w:val="lt-LT" w:eastAsia="lt-LT"/>
              </w:rPr>
            </w:pPr>
            <w:r w:rsidRPr="005B1E83">
              <w:rPr>
                <w:rFonts w:ascii="Times New Roman" w:hAnsi="Times New Roman"/>
                <w:sz w:val="24"/>
                <w:szCs w:val="24"/>
                <w:lang w:val="lt-LT"/>
              </w:rPr>
              <w:t xml:space="preserve">1.1. Priemonės įgyvendinimas finansuojamas Europos regioninės plėtros fondo lėšomis. </w:t>
            </w:r>
          </w:p>
        </w:tc>
      </w:tr>
      <w:tr w:rsidR="003A2370" w:rsidRPr="005B1E83" w:rsidTr="003A2370">
        <w:tc>
          <w:tcPr>
            <w:tcW w:w="9634" w:type="dxa"/>
            <w:tcBorders>
              <w:top w:val="nil"/>
              <w:left w:val="single" w:sz="4" w:space="0" w:color="auto"/>
              <w:bottom w:val="nil"/>
              <w:right w:val="single" w:sz="4" w:space="0" w:color="auto"/>
            </w:tcBorders>
            <w:hideMark/>
          </w:tcPr>
          <w:p w:rsidR="003A2370" w:rsidRPr="005B1E83" w:rsidRDefault="003A2370">
            <w:pPr>
              <w:tabs>
                <w:tab w:val="left" w:pos="567"/>
              </w:tabs>
              <w:ind w:firstLine="488"/>
              <w:jc w:val="both"/>
              <w:rPr>
                <w:rFonts w:ascii="Times New Roman" w:hAnsi="Times New Roman"/>
                <w:sz w:val="24"/>
                <w:szCs w:val="24"/>
                <w:lang w:val="lt-LT" w:eastAsia="lt-LT"/>
              </w:rPr>
            </w:pPr>
            <w:r w:rsidRPr="005B1E83">
              <w:rPr>
                <w:rFonts w:ascii="Times New Roman" w:hAnsi="Times New Roman"/>
                <w:sz w:val="24"/>
                <w:szCs w:val="24"/>
                <w:lang w:val="lt-LT"/>
              </w:rPr>
              <w:t>1.2. Įgyvendinant priemonę, prisidedama prie uždavinio „Siekti aktyvesnio turimos ir naujai kuriamos mokslinių tyrimų, eksperimentinės plėtros ir inovacijų infrastruktūros panaudojimo</w:t>
            </w:r>
            <w:r w:rsidRPr="005B1E83">
              <w:rPr>
                <w:rFonts w:ascii="Times New Roman" w:hAnsi="Times New Roman"/>
                <w:sz w:val="24"/>
                <w:szCs w:val="24"/>
                <w:lang w:val="lt-LT" w:eastAsia="lt-LT"/>
              </w:rPr>
              <w:t>“</w:t>
            </w:r>
            <w:r w:rsidRPr="005B1E83">
              <w:rPr>
                <w:rFonts w:ascii="Times New Roman" w:hAnsi="Times New Roman"/>
                <w:sz w:val="24"/>
                <w:szCs w:val="24"/>
                <w:lang w:val="lt-LT"/>
              </w:rPr>
              <w:t xml:space="preserve"> įgyvendinimo.</w:t>
            </w:r>
          </w:p>
        </w:tc>
      </w:tr>
      <w:tr w:rsidR="003A2370" w:rsidRPr="005B1E83" w:rsidTr="003A2370">
        <w:tc>
          <w:tcPr>
            <w:tcW w:w="9634" w:type="dxa"/>
            <w:tcBorders>
              <w:top w:val="nil"/>
              <w:left w:val="single" w:sz="4" w:space="0" w:color="auto"/>
              <w:bottom w:val="nil"/>
              <w:right w:val="single" w:sz="4" w:space="0" w:color="auto"/>
            </w:tcBorders>
            <w:hideMark/>
          </w:tcPr>
          <w:p w:rsidR="003A2370" w:rsidRPr="005B1E83" w:rsidRDefault="003A2370">
            <w:pPr>
              <w:tabs>
                <w:tab w:val="left" w:pos="488"/>
              </w:tabs>
              <w:ind w:firstLine="488"/>
              <w:jc w:val="both"/>
              <w:rPr>
                <w:rFonts w:ascii="Times New Roman" w:hAnsi="Times New Roman"/>
                <w:sz w:val="24"/>
                <w:szCs w:val="24"/>
                <w:lang w:val="lt-LT"/>
              </w:rPr>
            </w:pPr>
            <w:r w:rsidRPr="005B1E83">
              <w:rPr>
                <w:rFonts w:ascii="Times New Roman" w:hAnsi="Times New Roman"/>
                <w:sz w:val="24"/>
                <w:szCs w:val="24"/>
                <w:lang w:val="lt-LT"/>
              </w:rPr>
              <w:t>1.3. Remiamos veiklos:</w:t>
            </w:r>
          </w:p>
          <w:p w:rsidR="003A2370" w:rsidRPr="005B1E83" w:rsidRDefault="003A2370">
            <w:pPr>
              <w:tabs>
                <w:tab w:val="left" w:pos="567"/>
              </w:tabs>
              <w:ind w:firstLine="459"/>
              <w:jc w:val="both"/>
              <w:rPr>
                <w:rFonts w:ascii="Times New Roman" w:hAnsi="Times New Roman"/>
                <w:sz w:val="24"/>
                <w:szCs w:val="24"/>
                <w:lang w:val="lt-LT"/>
              </w:rPr>
            </w:pPr>
            <w:r w:rsidRPr="005B1E83">
              <w:rPr>
                <w:rFonts w:ascii="Times New Roman" w:hAnsi="Times New Roman"/>
                <w:sz w:val="24"/>
                <w:szCs w:val="24"/>
                <w:lang w:val="lt-LT"/>
              </w:rPr>
              <w:t>1.3.1. mokslo populiarinimo infrastruktūros sukūrimas;</w:t>
            </w:r>
          </w:p>
          <w:p w:rsidR="003A2370" w:rsidRPr="005B1E83" w:rsidRDefault="003A2370">
            <w:pPr>
              <w:tabs>
                <w:tab w:val="left" w:pos="567"/>
              </w:tabs>
              <w:ind w:firstLine="459"/>
              <w:jc w:val="both"/>
              <w:rPr>
                <w:rFonts w:ascii="Times New Roman" w:hAnsi="Times New Roman"/>
                <w:sz w:val="24"/>
                <w:szCs w:val="24"/>
                <w:lang w:val="lt-LT"/>
              </w:rPr>
            </w:pPr>
            <w:r w:rsidRPr="005B1E83">
              <w:rPr>
                <w:rFonts w:ascii="Times New Roman" w:hAnsi="Times New Roman"/>
                <w:sz w:val="24"/>
                <w:szCs w:val="24"/>
                <w:lang w:val="lt-LT"/>
              </w:rPr>
              <w:t>1.3.2. mokiniams pritaikytų gamtos mokslų, technologijų, inžinerijos ir matematikos tyrimų ir eksperimentinės veiklos atviros prieigos centrų sukūrimas;</w:t>
            </w:r>
          </w:p>
          <w:p w:rsidR="003A2370" w:rsidRPr="005B1E83" w:rsidRDefault="003A2370">
            <w:pPr>
              <w:tabs>
                <w:tab w:val="left" w:pos="567"/>
              </w:tabs>
              <w:ind w:firstLine="459"/>
              <w:jc w:val="both"/>
              <w:rPr>
                <w:rFonts w:ascii="Times New Roman" w:hAnsi="Times New Roman"/>
                <w:sz w:val="24"/>
                <w:szCs w:val="24"/>
                <w:lang w:val="lt-LT"/>
              </w:rPr>
            </w:pPr>
            <w:r w:rsidRPr="005B1E83">
              <w:rPr>
                <w:rFonts w:ascii="Times New Roman" w:hAnsi="Times New Roman"/>
                <w:sz w:val="24"/>
                <w:szCs w:val="24"/>
                <w:lang w:val="lt-LT"/>
              </w:rPr>
              <w:t>1.3.3. MTEPI veiklai vykdyti reikalingų elektroninių išteklių (publikacijų duomenų bazių, saugyklų ir kt.) prieinamumo užtikrinimas;</w:t>
            </w:r>
          </w:p>
          <w:p w:rsidR="003A2370" w:rsidRPr="005B1E83" w:rsidRDefault="003A2370">
            <w:pPr>
              <w:tabs>
                <w:tab w:val="left" w:pos="567"/>
              </w:tabs>
              <w:ind w:firstLine="459"/>
              <w:jc w:val="both"/>
              <w:rPr>
                <w:rFonts w:ascii="Times New Roman" w:hAnsi="Times New Roman"/>
                <w:sz w:val="24"/>
                <w:szCs w:val="24"/>
                <w:lang w:val="lt-LT"/>
              </w:rPr>
            </w:pPr>
            <w:r w:rsidRPr="005B1E83">
              <w:rPr>
                <w:rFonts w:ascii="Times New Roman" w:hAnsi="Times New Roman"/>
                <w:sz w:val="24"/>
                <w:szCs w:val="24"/>
                <w:lang w:val="lt-LT"/>
              </w:rPr>
              <w:t>1.3.4. informacinės infrastruktūros mokslui ir studijoms plėtra (LITNET);</w:t>
            </w:r>
          </w:p>
          <w:p w:rsidR="003A2370" w:rsidRPr="005B1E83" w:rsidRDefault="003A2370">
            <w:pPr>
              <w:tabs>
                <w:tab w:val="left" w:pos="567"/>
              </w:tabs>
              <w:ind w:firstLine="459"/>
              <w:jc w:val="both"/>
              <w:rPr>
                <w:rFonts w:ascii="Times New Roman" w:hAnsi="Times New Roman"/>
                <w:sz w:val="24"/>
                <w:szCs w:val="24"/>
                <w:lang w:val="lt-LT"/>
              </w:rPr>
            </w:pPr>
            <w:r w:rsidRPr="005B1E83">
              <w:rPr>
                <w:rFonts w:ascii="Times New Roman" w:hAnsi="Times New Roman"/>
                <w:sz w:val="24"/>
                <w:szCs w:val="24"/>
                <w:lang w:val="lt-LT"/>
              </w:rPr>
              <w:t>1.3.5. ekscelencijos centrų ir paralelinių laboratorijų infrastruktūros tobulinimas sumanios specializacijos kryptyse;</w:t>
            </w:r>
          </w:p>
          <w:p w:rsidR="003A2370" w:rsidRPr="005B1E83" w:rsidRDefault="003A2370">
            <w:pPr>
              <w:tabs>
                <w:tab w:val="left" w:pos="567"/>
                <w:tab w:val="left" w:pos="1026"/>
              </w:tabs>
              <w:ind w:firstLine="459"/>
              <w:jc w:val="both"/>
              <w:rPr>
                <w:rFonts w:ascii="Times New Roman" w:hAnsi="Times New Roman"/>
                <w:sz w:val="24"/>
                <w:szCs w:val="24"/>
                <w:lang w:val="lt-LT"/>
              </w:rPr>
            </w:pPr>
            <w:r w:rsidRPr="005B1E83">
              <w:rPr>
                <w:rFonts w:ascii="Times New Roman" w:hAnsi="Times New Roman"/>
                <w:sz w:val="24"/>
                <w:szCs w:val="24"/>
                <w:lang w:val="lt-LT"/>
              </w:rPr>
              <w:t xml:space="preserve">1.3.6. įsijungimas į tarptautines mokslinių tyrimų infrastruktūras (ESFRI) </w:t>
            </w:r>
            <w:r w:rsidR="00482E23">
              <w:rPr>
                <w:rFonts w:ascii="Times New Roman" w:hAnsi="Times New Roman"/>
                <w:sz w:val="24"/>
                <w:szCs w:val="24"/>
                <w:lang w:val="lt-LT"/>
              </w:rPr>
              <w:t xml:space="preserve">bei atviros prieigos MTEP infrastruktūros, kuri reikalinga </w:t>
            </w:r>
            <w:r w:rsidR="007C3A45">
              <w:rPr>
                <w:rFonts w:ascii="Times New Roman" w:hAnsi="Times New Roman"/>
                <w:sz w:val="24"/>
                <w:szCs w:val="24"/>
                <w:lang w:val="lt-LT"/>
              </w:rPr>
              <w:t xml:space="preserve">dalyvavimui </w:t>
            </w:r>
            <w:r w:rsidRPr="005B1E83">
              <w:rPr>
                <w:rFonts w:ascii="Times New Roman" w:hAnsi="Times New Roman"/>
                <w:sz w:val="24"/>
                <w:szCs w:val="24"/>
                <w:lang w:val="lt-LT"/>
              </w:rPr>
              <w:t>tarptautin</w:t>
            </w:r>
            <w:r w:rsidR="007C3A45">
              <w:rPr>
                <w:rFonts w:ascii="Times New Roman" w:hAnsi="Times New Roman"/>
                <w:sz w:val="24"/>
                <w:szCs w:val="24"/>
                <w:lang w:val="lt-LT"/>
              </w:rPr>
              <w:t>ėse</w:t>
            </w:r>
            <w:r w:rsidR="00DD46D3" w:rsidRPr="005B1E83">
              <w:rPr>
                <w:rFonts w:ascii="Times New Roman" w:hAnsi="Times New Roman"/>
                <w:sz w:val="24"/>
                <w:szCs w:val="24"/>
                <w:lang w:val="lt-LT"/>
              </w:rPr>
              <w:t xml:space="preserve"> ar regionin</w:t>
            </w:r>
            <w:r w:rsidR="007C3A45">
              <w:rPr>
                <w:rFonts w:ascii="Times New Roman" w:hAnsi="Times New Roman"/>
                <w:sz w:val="24"/>
                <w:szCs w:val="24"/>
                <w:lang w:val="lt-LT"/>
              </w:rPr>
              <w:t>ėse</w:t>
            </w:r>
            <w:r w:rsidR="00DD46D3" w:rsidRPr="005B1E83">
              <w:rPr>
                <w:rFonts w:ascii="Times New Roman" w:hAnsi="Times New Roman"/>
                <w:sz w:val="24"/>
                <w:szCs w:val="24"/>
                <w:lang w:val="lt-LT"/>
              </w:rPr>
              <w:t xml:space="preserve"> mokslinių tyrimų iniciatyv</w:t>
            </w:r>
            <w:r w:rsidR="007C3A45">
              <w:rPr>
                <w:rFonts w:ascii="Times New Roman" w:hAnsi="Times New Roman"/>
                <w:sz w:val="24"/>
                <w:szCs w:val="24"/>
                <w:lang w:val="lt-LT"/>
              </w:rPr>
              <w:t>ose</w:t>
            </w:r>
            <w:r w:rsidR="00482E23">
              <w:rPr>
                <w:rFonts w:ascii="Times New Roman" w:hAnsi="Times New Roman"/>
                <w:sz w:val="24"/>
                <w:szCs w:val="24"/>
                <w:lang w:val="lt-LT"/>
              </w:rPr>
              <w:t>,</w:t>
            </w:r>
            <w:r w:rsidR="00DD46D3" w:rsidRPr="005B1E83">
              <w:rPr>
                <w:rFonts w:ascii="Times New Roman" w:hAnsi="Times New Roman"/>
                <w:sz w:val="24"/>
                <w:szCs w:val="24"/>
                <w:lang w:val="lt-LT"/>
              </w:rPr>
              <w:t xml:space="preserve"> </w:t>
            </w:r>
            <w:r w:rsidRPr="005B1E83">
              <w:rPr>
                <w:rFonts w:ascii="Times New Roman" w:hAnsi="Times New Roman"/>
                <w:sz w:val="24"/>
                <w:szCs w:val="24"/>
                <w:lang w:val="lt-LT"/>
              </w:rPr>
              <w:t>atnaujinimas</w:t>
            </w:r>
            <w:r w:rsidR="00DD46D3" w:rsidRPr="005B1E83">
              <w:rPr>
                <w:rFonts w:ascii="Times New Roman" w:hAnsi="Times New Roman"/>
                <w:sz w:val="24"/>
                <w:szCs w:val="24"/>
                <w:lang w:val="lt-LT"/>
              </w:rPr>
              <w:t>,</w:t>
            </w:r>
            <w:r w:rsidRPr="005B1E83">
              <w:rPr>
                <w:rFonts w:ascii="Times New Roman" w:hAnsi="Times New Roman"/>
                <w:sz w:val="24"/>
                <w:szCs w:val="24"/>
                <w:lang w:val="lt-LT"/>
              </w:rPr>
              <w:t xml:space="preserve"> kūrimas</w:t>
            </w:r>
            <w:r w:rsidR="00DD46D3" w:rsidRPr="005B1E83">
              <w:rPr>
                <w:rFonts w:ascii="Times New Roman" w:hAnsi="Times New Roman"/>
                <w:sz w:val="24"/>
                <w:szCs w:val="24"/>
                <w:lang w:val="lt-LT"/>
              </w:rPr>
              <w:t xml:space="preserve"> ir plėtra</w:t>
            </w:r>
            <w:r w:rsidRPr="005B1E83">
              <w:rPr>
                <w:rFonts w:ascii="Times New Roman" w:hAnsi="Times New Roman"/>
                <w:sz w:val="24"/>
                <w:szCs w:val="24"/>
                <w:lang w:val="lt-LT"/>
              </w:rPr>
              <w:t>;</w:t>
            </w:r>
          </w:p>
          <w:p w:rsidR="003A2370" w:rsidRPr="005B1E83" w:rsidRDefault="003A2370">
            <w:pPr>
              <w:tabs>
                <w:tab w:val="left" w:pos="567"/>
              </w:tabs>
              <w:ind w:firstLine="459"/>
              <w:jc w:val="both"/>
              <w:rPr>
                <w:rFonts w:ascii="Times New Roman" w:hAnsi="Times New Roman"/>
                <w:sz w:val="24"/>
                <w:szCs w:val="24"/>
                <w:lang w:val="lt-LT"/>
              </w:rPr>
            </w:pPr>
            <w:r w:rsidRPr="005B1E83">
              <w:rPr>
                <w:rFonts w:ascii="Times New Roman" w:hAnsi="Times New Roman"/>
                <w:sz w:val="24"/>
                <w:szCs w:val="24"/>
                <w:lang w:val="lt-LT"/>
              </w:rPr>
              <w:t>1.3.7. Jūrinio slėnio branduolio sukūrimas, įgyvendinant infrastruktūros atnaujinimo 2-ąjį etapą;</w:t>
            </w:r>
          </w:p>
          <w:p w:rsidR="003A2370" w:rsidRPr="005B1E83" w:rsidRDefault="003A2370">
            <w:pPr>
              <w:tabs>
                <w:tab w:val="left" w:pos="567"/>
              </w:tabs>
              <w:ind w:firstLine="459"/>
              <w:jc w:val="both"/>
              <w:rPr>
                <w:rFonts w:ascii="Times New Roman" w:hAnsi="Times New Roman"/>
                <w:sz w:val="24"/>
                <w:szCs w:val="24"/>
                <w:lang w:val="lt-LT"/>
              </w:rPr>
            </w:pPr>
            <w:r w:rsidRPr="005B1E83">
              <w:rPr>
                <w:rFonts w:ascii="Times New Roman" w:hAnsi="Times New Roman"/>
                <w:sz w:val="24"/>
                <w:szCs w:val="24"/>
                <w:lang w:val="lt-LT"/>
              </w:rPr>
              <w:t>1.3.8. MTEPI infrastruktūros atnaujinimas sumanios specializacijos kryptyse.</w:t>
            </w:r>
          </w:p>
        </w:tc>
      </w:tr>
      <w:tr w:rsidR="003A2370" w:rsidRPr="005B1E83" w:rsidTr="003A2370">
        <w:tc>
          <w:tcPr>
            <w:tcW w:w="9634" w:type="dxa"/>
            <w:tcBorders>
              <w:top w:val="nil"/>
              <w:left w:val="single" w:sz="4" w:space="0" w:color="auto"/>
              <w:bottom w:val="nil"/>
              <w:right w:val="single" w:sz="4" w:space="0" w:color="auto"/>
            </w:tcBorders>
            <w:hideMark/>
          </w:tcPr>
          <w:p w:rsidR="003A2370" w:rsidRPr="005B1E83" w:rsidRDefault="003A2370">
            <w:pPr>
              <w:tabs>
                <w:tab w:val="left" w:pos="540"/>
              </w:tabs>
              <w:ind w:firstLine="488"/>
              <w:jc w:val="both"/>
              <w:rPr>
                <w:rFonts w:ascii="Times New Roman" w:hAnsi="Times New Roman"/>
                <w:sz w:val="24"/>
                <w:szCs w:val="24"/>
                <w:lang w:val="lt-LT"/>
              </w:rPr>
            </w:pPr>
            <w:r w:rsidRPr="005B1E83">
              <w:rPr>
                <w:rFonts w:ascii="Times New Roman" w:hAnsi="Times New Roman"/>
                <w:sz w:val="24"/>
                <w:szCs w:val="24"/>
                <w:lang w:val="lt-LT"/>
              </w:rPr>
              <w:t>1.4. Galimi pareiškėjai:</w:t>
            </w:r>
          </w:p>
          <w:p w:rsidR="003A2370" w:rsidRPr="005B1E83" w:rsidRDefault="003A2370">
            <w:pPr>
              <w:tabs>
                <w:tab w:val="left" w:pos="567"/>
              </w:tabs>
              <w:ind w:firstLine="488"/>
              <w:jc w:val="both"/>
              <w:rPr>
                <w:rFonts w:ascii="Times New Roman" w:hAnsi="Times New Roman"/>
                <w:sz w:val="24"/>
                <w:szCs w:val="24"/>
                <w:lang w:val="lt-LT"/>
              </w:rPr>
            </w:pPr>
            <w:r w:rsidRPr="005B1E83">
              <w:rPr>
                <w:rFonts w:ascii="Times New Roman" w:hAnsi="Times New Roman"/>
                <w:sz w:val="24"/>
                <w:szCs w:val="24"/>
                <w:lang w:val="lt-LT"/>
              </w:rPr>
              <w:t>1.4.1. mokslo ir studijų institucijos;</w:t>
            </w:r>
          </w:p>
          <w:p w:rsidR="003A2370" w:rsidRPr="005B1E83" w:rsidRDefault="003A2370">
            <w:pPr>
              <w:tabs>
                <w:tab w:val="left" w:pos="567"/>
              </w:tabs>
              <w:ind w:firstLine="488"/>
              <w:jc w:val="both"/>
              <w:rPr>
                <w:rFonts w:ascii="Times New Roman" w:hAnsi="Times New Roman"/>
                <w:sz w:val="24"/>
                <w:szCs w:val="24"/>
                <w:lang w:val="lt-LT"/>
              </w:rPr>
            </w:pPr>
            <w:r w:rsidRPr="005B1E83">
              <w:rPr>
                <w:rFonts w:ascii="Times New Roman" w:hAnsi="Times New Roman"/>
                <w:sz w:val="24"/>
                <w:szCs w:val="24"/>
                <w:lang w:val="lt-LT"/>
              </w:rPr>
              <w:t>1.4.2. Lietuvos mokslinių bibliotekų asociacija;</w:t>
            </w:r>
          </w:p>
          <w:p w:rsidR="003A2370" w:rsidRPr="005B1E83" w:rsidRDefault="003A2370">
            <w:pPr>
              <w:tabs>
                <w:tab w:val="left" w:pos="567"/>
              </w:tabs>
              <w:ind w:firstLine="488"/>
              <w:jc w:val="both"/>
              <w:rPr>
                <w:rFonts w:ascii="Times New Roman" w:hAnsi="Times New Roman"/>
                <w:sz w:val="24"/>
                <w:szCs w:val="24"/>
                <w:lang w:val="lt-LT"/>
              </w:rPr>
            </w:pPr>
            <w:r w:rsidRPr="005B1E83">
              <w:rPr>
                <w:rFonts w:ascii="Times New Roman" w:hAnsi="Times New Roman"/>
                <w:sz w:val="24"/>
                <w:szCs w:val="24"/>
                <w:lang w:val="lt-LT"/>
              </w:rPr>
              <w:t>1.4.3. Švietimo ir mokslo ministerijos Švietimo aprūpinimo centras;</w:t>
            </w:r>
          </w:p>
          <w:p w:rsidR="003A2370" w:rsidRPr="005B1E83" w:rsidRDefault="003A2370">
            <w:pPr>
              <w:tabs>
                <w:tab w:val="left" w:pos="567"/>
              </w:tabs>
              <w:ind w:firstLine="488"/>
              <w:jc w:val="both"/>
              <w:rPr>
                <w:rFonts w:ascii="Times New Roman" w:hAnsi="Times New Roman"/>
                <w:sz w:val="24"/>
                <w:szCs w:val="24"/>
                <w:lang w:val="lt-LT"/>
              </w:rPr>
            </w:pPr>
            <w:r w:rsidRPr="005B1E83">
              <w:rPr>
                <w:rFonts w:ascii="Times New Roman" w:hAnsi="Times New Roman"/>
                <w:sz w:val="24"/>
                <w:szCs w:val="24"/>
                <w:lang w:val="lt-LT"/>
              </w:rPr>
              <w:t>1.4.4. Lietuvos mokslų akademija.</w:t>
            </w:r>
          </w:p>
        </w:tc>
      </w:tr>
      <w:tr w:rsidR="003A2370" w:rsidRPr="005B1E83" w:rsidTr="003A2370">
        <w:tc>
          <w:tcPr>
            <w:tcW w:w="9634" w:type="dxa"/>
            <w:tcBorders>
              <w:top w:val="nil"/>
              <w:left w:val="single" w:sz="4" w:space="0" w:color="auto"/>
              <w:bottom w:val="single" w:sz="4" w:space="0" w:color="auto"/>
              <w:right w:val="single" w:sz="4" w:space="0" w:color="auto"/>
            </w:tcBorders>
            <w:hideMark/>
          </w:tcPr>
          <w:p w:rsidR="003A2370" w:rsidRPr="005B1E83" w:rsidRDefault="003A2370">
            <w:pPr>
              <w:tabs>
                <w:tab w:val="left" w:pos="488"/>
              </w:tabs>
              <w:ind w:firstLine="459"/>
              <w:jc w:val="both"/>
              <w:rPr>
                <w:rFonts w:ascii="Times New Roman" w:hAnsi="Times New Roman"/>
                <w:sz w:val="24"/>
                <w:szCs w:val="24"/>
                <w:lang w:val="lt-LT"/>
              </w:rPr>
            </w:pPr>
            <w:r w:rsidRPr="005B1E83">
              <w:rPr>
                <w:rFonts w:ascii="Times New Roman" w:hAnsi="Times New Roman"/>
                <w:sz w:val="24"/>
                <w:szCs w:val="24"/>
                <w:lang w:val="lt-LT"/>
              </w:rPr>
              <w:t>1.5. Galimi partneriai: viešieji juridiniai asmenys.</w:t>
            </w:r>
          </w:p>
        </w:tc>
      </w:tr>
    </w:tbl>
    <w:p w:rsidR="003A2370" w:rsidRPr="005B1E83" w:rsidRDefault="003A2370" w:rsidP="003A2370">
      <w:pPr>
        <w:tabs>
          <w:tab w:val="left" w:pos="0"/>
          <w:tab w:val="left" w:pos="567"/>
        </w:tabs>
        <w:overflowPunct/>
        <w:autoSpaceDE/>
        <w:adjustRightInd/>
        <w:jc w:val="both"/>
        <w:rPr>
          <w:rFonts w:ascii="Times New Roman" w:hAnsi="Times New Roman"/>
          <w:sz w:val="24"/>
          <w:szCs w:val="24"/>
          <w:lang w:val="lt-LT" w:eastAsia="lt-LT"/>
        </w:rPr>
      </w:pPr>
    </w:p>
    <w:p w:rsidR="003A2370" w:rsidRPr="005B1E83" w:rsidRDefault="003A2370" w:rsidP="003A2370">
      <w:pPr>
        <w:numPr>
          <w:ilvl w:val="0"/>
          <w:numId w:val="1"/>
        </w:numPr>
        <w:tabs>
          <w:tab w:val="left" w:pos="0"/>
          <w:tab w:val="left" w:pos="567"/>
        </w:tabs>
        <w:overflowPunct/>
        <w:autoSpaceDE/>
        <w:adjustRightInd/>
        <w:ind w:left="993" w:hanging="284"/>
        <w:jc w:val="both"/>
        <w:rPr>
          <w:rFonts w:ascii="Times New Roman" w:hAnsi="Times New Roman"/>
          <w:sz w:val="24"/>
          <w:szCs w:val="24"/>
          <w:lang w:val="lt-LT" w:eastAsia="lt-LT"/>
        </w:rPr>
      </w:pPr>
      <w:r w:rsidRPr="005B1E83">
        <w:rPr>
          <w:rFonts w:ascii="Times New Roman" w:hAnsi="Times New Roman"/>
          <w:sz w:val="24"/>
          <w:szCs w:val="24"/>
          <w:lang w:val="lt-LT" w:eastAsia="lt-LT"/>
        </w:rPr>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3A2370" w:rsidRPr="005B1E83" w:rsidTr="003A2370">
        <w:trPr>
          <w:trHeight w:val="291"/>
        </w:trPr>
        <w:tc>
          <w:tcPr>
            <w:tcW w:w="9634" w:type="dxa"/>
            <w:tcBorders>
              <w:top w:val="single" w:sz="4" w:space="0" w:color="auto"/>
              <w:left w:val="single" w:sz="4" w:space="0" w:color="auto"/>
              <w:bottom w:val="single" w:sz="4" w:space="0" w:color="auto"/>
              <w:right w:val="single" w:sz="4" w:space="0" w:color="auto"/>
            </w:tcBorders>
            <w:hideMark/>
          </w:tcPr>
          <w:p w:rsidR="003A2370" w:rsidRPr="005B1E83" w:rsidRDefault="003A2370">
            <w:pPr>
              <w:tabs>
                <w:tab w:val="left" w:pos="0"/>
                <w:tab w:val="left" w:pos="567"/>
              </w:tabs>
              <w:overflowPunct/>
              <w:autoSpaceDE/>
              <w:adjustRightInd/>
              <w:ind w:left="993" w:hanging="392"/>
              <w:jc w:val="both"/>
              <w:rPr>
                <w:rFonts w:ascii="Times New Roman" w:hAnsi="Times New Roman"/>
                <w:sz w:val="24"/>
                <w:szCs w:val="24"/>
                <w:lang w:val="lt-LT"/>
              </w:rPr>
            </w:pPr>
            <w:r w:rsidRPr="005B1E83">
              <w:rPr>
                <w:rFonts w:ascii="Times New Roman" w:hAnsi="Times New Roman"/>
                <w:sz w:val="24"/>
                <w:szCs w:val="24"/>
                <w:lang w:val="lt-LT"/>
              </w:rPr>
              <w:t>Negrąžinamoji subsidija.</w:t>
            </w:r>
          </w:p>
        </w:tc>
      </w:tr>
    </w:tbl>
    <w:p w:rsidR="003A2370" w:rsidRPr="005B1E83" w:rsidRDefault="003A2370" w:rsidP="003A2370">
      <w:pPr>
        <w:tabs>
          <w:tab w:val="left" w:pos="567"/>
          <w:tab w:val="left" w:pos="709"/>
        </w:tabs>
        <w:overflowPunct/>
        <w:autoSpaceDE/>
        <w:adjustRightInd/>
        <w:ind w:left="993" w:hanging="284"/>
        <w:jc w:val="both"/>
        <w:rPr>
          <w:rFonts w:ascii="Times New Roman" w:hAnsi="Times New Roman"/>
          <w:sz w:val="24"/>
          <w:szCs w:val="24"/>
          <w:lang w:val="lt-LT" w:eastAsia="lt-LT"/>
        </w:rPr>
      </w:pPr>
    </w:p>
    <w:p w:rsidR="003A2370" w:rsidRPr="005B1E83" w:rsidRDefault="003A2370" w:rsidP="003A2370">
      <w:pPr>
        <w:numPr>
          <w:ilvl w:val="0"/>
          <w:numId w:val="1"/>
        </w:numPr>
        <w:tabs>
          <w:tab w:val="left" w:pos="0"/>
          <w:tab w:val="left" w:pos="567"/>
        </w:tabs>
        <w:overflowPunct/>
        <w:autoSpaceDE/>
        <w:adjustRightInd/>
        <w:ind w:left="993" w:hanging="284"/>
        <w:jc w:val="both"/>
        <w:rPr>
          <w:rFonts w:ascii="Times New Roman" w:hAnsi="Times New Roman"/>
          <w:sz w:val="24"/>
          <w:szCs w:val="24"/>
          <w:lang w:val="lt-LT" w:eastAsia="lt-LT"/>
        </w:rPr>
      </w:pPr>
      <w:r w:rsidRPr="005B1E83">
        <w:rPr>
          <w:rFonts w:ascii="Times New Roman" w:hAnsi="Times New Roman"/>
          <w:sz w:val="24"/>
          <w:szCs w:val="24"/>
          <w:lang w:val="lt-LT" w:eastAsia="lt-LT"/>
        </w:rPr>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3A2370" w:rsidRPr="005B1E83" w:rsidTr="003A2370">
        <w:tc>
          <w:tcPr>
            <w:tcW w:w="9634" w:type="dxa"/>
            <w:tcBorders>
              <w:top w:val="single" w:sz="4" w:space="0" w:color="auto"/>
              <w:left w:val="single" w:sz="4" w:space="0" w:color="auto"/>
              <w:bottom w:val="single" w:sz="4" w:space="0" w:color="auto"/>
              <w:right w:val="single" w:sz="4" w:space="0" w:color="auto"/>
            </w:tcBorders>
            <w:hideMark/>
          </w:tcPr>
          <w:p w:rsidR="003A2370" w:rsidRPr="005B1E83" w:rsidRDefault="003A2370">
            <w:pPr>
              <w:tabs>
                <w:tab w:val="left" w:pos="0"/>
                <w:tab w:val="left" w:pos="567"/>
              </w:tabs>
              <w:overflowPunct/>
              <w:autoSpaceDE/>
              <w:adjustRightInd/>
              <w:ind w:left="993" w:hanging="392"/>
              <w:jc w:val="both"/>
              <w:rPr>
                <w:rFonts w:ascii="Times New Roman" w:hAnsi="Times New Roman"/>
                <w:sz w:val="24"/>
                <w:szCs w:val="24"/>
                <w:lang w:val="lt-LT"/>
              </w:rPr>
            </w:pPr>
            <w:r w:rsidRPr="005B1E83">
              <w:rPr>
                <w:rFonts w:ascii="Times New Roman" w:hAnsi="Times New Roman"/>
                <w:sz w:val="24"/>
                <w:szCs w:val="24"/>
                <w:lang w:val="lt-LT" w:eastAsia="lt-LT"/>
              </w:rPr>
              <w:t>Valstybės projektų planavimas.</w:t>
            </w:r>
          </w:p>
        </w:tc>
      </w:tr>
    </w:tbl>
    <w:p w:rsidR="003A2370" w:rsidRPr="005B1E83" w:rsidRDefault="003A2370" w:rsidP="003A2370">
      <w:pPr>
        <w:tabs>
          <w:tab w:val="left" w:pos="0"/>
          <w:tab w:val="left" w:pos="567"/>
        </w:tabs>
        <w:overflowPunct/>
        <w:autoSpaceDE/>
        <w:adjustRightInd/>
        <w:ind w:left="993" w:hanging="284"/>
        <w:jc w:val="both"/>
        <w:rPr>
          <w:rFonts w:ascii="Times New Roman" w:hAnsi="Times New Roman"/>
          <w:sz w:val="24"/>
          <w:szCs w:val="24"/>
          <w:lang w:val="lt-LT" w:eastAsia="lt-LT"/>
        </w:rPr>
      </w:pPr>
    </w:p>
    <w:p w:rsidR="003A2370" w:rsidRPr="005B1E83" w:rsidRDefault="003A2370" w:rsidP="003A2370">
      <w:pPr>
        <w:numPr>
          <w:ilvl w:val="0"/>
          <w:numId w:val="1"/>
        </w:numPr>
        <w:tabs>
          <w:tab w:val="left" w:pos="0"/>
          <w:tab w:val="left" w:pos="567"/>
        </w:tabs>
        <w:overflowPunct/>
        <w:autoSpaceDE/>
        <w:adjustRightInd/>
        <w:ind w:left="993" w:hanging="284"/>
        <w:jc w:val="both"/>
        <w:rPr>
          <w:rFonts w:ascii="Times New Roman" w:hAnsi="Times New Roman"/>
          <w:sz w:val="24"/>
          <w:szCs w:val="24"/>
          <w:lang w:val="lt-LT" w:eastAsia="lt-LT"/>
        </w:rPr>
      </w:pPr>
      <w:r w:rsidRPr="005B1E83">
        <w:rPr>
          <w:rFonts w:ascii="Times New Roman" w:hAnsi="Times New Roman"/>
          <w:sz w:val="24"/>
          <w:szCs w:val="24"/>
          <w:lang w:val="lt-LT" w:eastAsia="lt-LT"/>
        </w:rPr>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3A2370" w:rsidRPr="005B1E83" w:rsidTr="003A2370">
        <w:tc>
          <w:tcPr>
            <w:tcW w:w="9634" w:type="dxa"/>
            <w:tcBorders>
              <w:top w:val="single" w:sz="4" w:space="0" w:color="auto"/>
              <w:left w:val="single" w:sz="4" w:space="0" w:color="auto"/>
              <w:bottom w:val="single" w:sz="4" w:space="0" w:color="auto"/>
              <w:right w:val="single" w:sz="4" w:space="0" w:color="auto"/>
            </w:tcBorders>
            <w:hideMark/>
          </w:tcPr>
          <w:p w:rsidR="003A2370" w:rsidRPr="005B1E83" w:rsidRDefault="003A2370">
            <w:pPr>
              <w:tabs>
                <w:tab w:val="left" w:pos="0"/>
                <w:tab w:val="left" w:pos="567"/>
              </w:tabs>
              <w:overflowPunct/>
              <w:autoSpaceDE/>
              <w:adjustRightInd/>
              <w:ind w:left="993" w:hanging="392"/>
              <w:jc w:val="both"/>
              <w:rPr>
                <w:rFonts w:ascii="Times New Roman" w:hAnsi="Times New Roman"/>
                <w:sz w:val="24"/>
                <w:szCs w:val="24"/>
                <w:lang w:val="lt-LT"/>
              </w:rPr>
            </w:pPr>
            <w:r w:rsidRPr="005B1E83">
              <w:rPr>
                <w:rFonts w:ascii="Times New Roman" w:hAnsi="Times New Roman"/>
                <w:sz w:val="24"/>
                <w:szCs w:val="24"/>
                <w:lang w:val="lt-LT"/>
              </w:rPr>
              <w:t>Viešoji įstaiga Centrinė projektų valdymo agentūra.</w:t>
            </w:r>
          </w:p>
        </w:tc>
      </w:tr>
    </w:tbl>
    <w:p w:rsidR="003A2370" w:rsidRPr="005B1E83" w:rsidRDefault="003A2370" w:rsidP="003A2370">
      <w:pPr>
        <w:tabs>
          <w:tab w:val="left" w:pos="0"/>
          <w:tab w:val="left" w:pos="567"/>
        </w:tabs>
        <w:overflowPunct/>
        <w:autoSpaceDE/>
        <w:adjustRightInd/>
        <w:ind w:left="993" w:hanging="284"/>
        <w:jc w:val="both"/>
        <w:rPr>
          <w:rFonts w:ascii="Times New Roman" w:hAnsi="Times New Roman"/>
          <w:sz w:val="24"/>
          <w:szCs w:val="24"/>
          <w:lang w:val="lt-LT" w:eastAsia="lt-LT"/>
        </w:rPr>
      </w:pPr>
    </w:p>
    <w:p w:rsidR="003A2370" w:rsidRPr="005B1E83" w:rsidRDefault="003A2370" w:rsidP="003A2370">
      <w:pPr>
        <w:numPr>
          <w:ilvl w:val="0"/>
          <w:numId w:val="1"/>
        </w:numPr>
        <w:tabs>
          <w:tab w:val="left" w:pos="709"/>
          <w:tab w:val="left" w:pos="993"/>
        </w:tabs>
        <w:overflowPunct/>
        <w:autoSpaceDE/>
        <w:adjustRightInd/>
        <w:ind w:left="0" w:firstLine="709"/>
        <w:contextualSpacing/>
        <w:jc w:val="both"/>
        <w:rPr>
          <w:rFonts w:ascii="Times New Roman" w:hAnsi="Times New Roman"/>
          <w:sz w:val="24"/>
          <w:szCs w:val="24"/>
          <w:lang w:val="lt-LT"/>
        </w:rPr>
      </w:pPr>
      <w:r w:rsidRPr="005B1E83">
        <w:rPr>
          <w:rFonts w:ascii="Times New Roman" w:hAnsi="Times New Roman"/>
          <w:sz w:val="24"/>
          <w:szCs w:val="24"/>
          <w:lang w:val="lt-LT"/>
        </w:rPr>
        <w:lastRenderedPageBreak/>
        <w:t>Reikalavimai, taikomi priemonei atskirti nuo kitų iš ES bei kitos tarptautinės finansinės paramos finansuojamų programų priemonių</w:t>
      </w:r>
    </w:p>
    <w:tbl>
      <w:tblPr>
        <w:tblStyle w:val="Lentelstinklelis"/>
        <w:tblW w:w="0" w:type="auto"/>
        <w:tblInd w:w="0" w:type="dxa"/>
        <w:tblLook w:val="04A0" w:firstRow="1" w:lastRow="0" w:firstColumn="1" w:lastColumn="0" w:noHBand="0" w:noVBand="1"/>
      </w:tblPr>
      <w:tblGrid>
        <w:gridCol w:w="9628"/>
      </w:tblGrid>
      <w:tr w:rsidR="003A2370" w:rsidRPr="005B1E83" w:rsidTr="003A2370">
        <w:tc>
          <w:tcPr>
            <w:tcW w:w="9629" w:type="dxa"/>
            <w:tcBorders>
              <w:top w:val="single" w:sz="4" w:space="0" w:color="auto"/>
              <w:left w:val="single" w:sz="4" w:space="0" w:color="auto"/>
              <w:bottom w:val="single" w:sz="4" w:space="0" w:color="auto"/>
              <w:right w:val="single" w:sz="4" w:space="0" w:color="auto"/>
            </w:tcBorders>
            <w:hideMark/>
          </w:tcPr>
          <w:p w:rsidR="003A2370" w:rsidRPr="005B1E83" w:rsidRDefault="003A2370">
            <w:pPr>
              <w:tabs>
                <w:tab w:val="left" w:pos="709"/>
                <w:tab w:val="left" w:pos="993"/>
              </w:tabs>
              <w:overflowPunct/>
              <w:autoSpaceDE/>
              <w:adjustRightInd/>
              <w:jc w:val="both"/>
              <w:rPr>
                <w:rFonts w:ascii="Times New Roman" w:hAnsi="Times New Roman"/>
                <w:sz w:val="24"/>
                <w:szCs w:val="24"/>
                <w:lang w:val="lt-LT"/>
              </w:rPr>
            </w:pPr>
            <w:r w:rsidRPr="005B1E83">
              <w:rPr>
                <w:rFonts w:ascii="Times New Roman" w:hAnsi="Times New Roman"/>
                <w:sz w:val="24"/>
                <w:szCs w:val="24"/>
                <w:lang w:val="lt-LT"/>
              </w:rPr>
              <w:t xml:space="preserve">          Papildomi reikalavimai netaikomi.</w:t>
            </w:r>
          </w:p>
        </w:tc>
      </w:tr>
    </w:tbl>
    <w:p w:rsidR="003A2370" w:rsidRPr="005B1E83" w:rsidRDefault="003A2370" w:rsidP="003A2370">
      <w:pPr>
        <w:tabs>
          <w:tab w:val="left" w:pos="0"/>
          <w:tab w:val="left" w:pos="567"/>
        </w:tabs>
        <w:overflowPunct/>
        <w:autoSpaceDE/>
        <w:adjustRightInd/>
        <w:rPr>
          <w:rFonts w:ascii="Times New Roman" w:hAnsi="Times New Roman"/>
          <w:b/>
          <w:sz w:val="24"/>
          <w:szCs w:val="24"/>
          <w:lang w:val="lt-LT" w:eastAsia="lt-LT"/>
        </w:rPr>
      </w:pPr>
    </w:p>
    <w:p w:rsidR="003A2370" w:rsidRPr="005B1E83" w:rsidRDefault="003A2370" w:rsidP="003A2370">
      <w:pPr>
        <w:pStyle w:val="Sraopastraipa"/>
        <w:numPr>
          <w:ilvl w:val="0"/>
          <w:numId w:val="1"/>
        </w:numPr>
        <w:tabs>
          <w:tab w:val="left" w:pos="567"/>
        </w:tabs>
        <w:ind w:left="993" w:hanging="284"/>
        <w:rPr>
          <w:rFonts w:ascii="Times New Roman" w:hAnsi="Times New Roman"/>
          <w:bCs/>
          <w:sz w:val="24"/>
        </w:rPr>
      </w:pPr>
      <w:r w:rsidRPr="005B1E83">
        <w:rPr>
          <w:rFonts w:ascii="Times New Roman" w:hAnsi="Times New Roman"/>
          <w:bCs/>
          <w:sz w:val="24"/>
        </w:rPr>
        <w:t>Priemonės įgyvendinimo stebėsenos rodikliai</w:t>
      </w:r>
    </w:p>
    <w:tbl>
      <w:tblPr>
        <w:tblpPr w:leftFromText="180" w:rightFromText="180" w:bottomFromText="200" w:vertAnchor="text" w:horzAnchor="margin" w:tblpX="-10" w:tblpY="64"/>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8"/>
        <w:gridCol w:w="1416"/>
        <w:gridCol w:w="1984"/>
        <w:gridCol w:w="1728"/>
      </w:tblGrid>
      <w:tr w:rsidR="003A2370" w:rsidRPr="005B1E83" w:rsidTr="003A2370">
        <w:tc>
          <w:tcPr>
            <w:tcW w:w="1384"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pPr>
            <w:r w:rsidRPr="005B1E83">
              <w:t>Stebėsenos rodiklio kodas</w:t>
            </w:r>
          </w:p>
        </w:tc>
        <w:tc>
          <w:tcPr>
            <w:tcW w:w="311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pPr>
            <w:r w:rsidRPr="005B1E83">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pPr>
            <w:r w:rsidRPr="005B1E83">
              <w:t>Matavimo vienetas</w:t>
            </w:r>
          </w:p>
        </w:tc>
        <w:tc>
          <w:tcPr>
            <w:tcW w:w="1985"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pPr>
            <w:r w:rsidRPr="005B1E83">
              <w:t>Tarpinė reikšmė 2018 m. gruodžio 31 d.</w:t>
            </w:r>
          </w:p>
        </w:tc>
        <w:tc>
          <w:tcPr>
            <w:tcW w:w="172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pPr>
            <w:r w:rsidRPr="005B1E83">
              <w:t>Galutinė reikšmė 2023 m. gruodžio 31 d.</w:t>
            </w:r>
          </w:p>
        </w:tc>
      </w:tr>
      <w:tr w:rsidR="003A2370" w:rsidRPr="005B1E83" w:rsidTr="003A2370">
        <w:tc>
          <w:tcPr>
            <w:tcW w:w="1384"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R.S.301</w:t>
            </w:r>
          </w:p>
        </w:tc>
        <w:tc>
          <w:tcPr>
            <w:tcW w:w="311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„Išorės vartotojai iš ūkio subjektų, pasinaudoję atnaujinta atviros prieigos MTEPI infrastruktūra“</w:t>
            </w:r>
          </w:p>
        </w:tc>
        <w:tc>
          <w:tcPr>
            <w:tcW w:w="1417"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rPr>
                <w:i/>
              </w:rPr>
            </w:pPr>
            <w:r w:rsidRPr="005B1E83">
              <w:t>Skaičius</w:t>
            </w:r>
          </w:p>
        </w:tc>
        <w:tc>
          <w:tcPr>
            <w:tcW w:w="1985"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1630</w:t>
            </w:r>
          </w:p>
        </w:tc>
        <w:tc>
          <w:tcPr>
            <w:tcW w:w="172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3000</w:t>
            </w:r>
          </w:p>
        </w:tc>
      </w:tr>
      <w:tr w:rsidR="003A2370" w:rsidRPr="005B1E83" w:rsidTr="003A2370">
        <w:tc>
          <w:tcPr>
            <w:tcW w:w="1384"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P.B.225</w:t>
            </w:r>
          </w:p>
        </w:tc>
        <w:tc>
          <w:tcPr>
            <w:tcW w:w="311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rPr>
                <w:iCs/>
              </w:rPr>
              <w:t>„Tyrėjų, dirbančių pagerintoje tyrimų infrastruktūros bazėje, skaičius“</w:t>
            </w:r>
          </w:p>
        </w:tc>
        <w:tc>
          <w:tcPr>
            <w:tcW w:w="1417"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rPr>
                <w:i/>
              </w:rPr>
            </w:pPr>
            <w:r w:rsidRPr="005B1E83">
              <w:t>Visos darbo dienos ekvivalentai</w:t>
            </w:r>
          </w:p>
        </w:tc>
        <w:tc>
          <w:tcPr>
            <w:tcW w:w="1985"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80</w:t>
            </w:r>
          </w:p>
        </w:tc>
        <w:tc>
          <w:tcPr>
            <w:tcW w:w="172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355</w:t>
            </w:r>
          </w:p>
        </w:tc>
      </w:tr>
      <w:tr w:rsidR="003A2370" w:rsidRPr="005B1E83" w:rsidTr="003A2370">
        <w:tc>
          <w:tcPr>
            <w:tcW w:w="1384"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P.S.301</w:t>
            </w:r>
          </w:p>
        </w:tc>
        <w:tc>
          <w:tcPr>
            <w:tcW w:w="311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 xml:space="preserve">„Tarptautinės MTEPI infrastruktūros, kurių narė yra Lietuva“ </w:t>
            </w:r>
          </w:p>
        </w:tc>
        <w:tc>
          <w:tcPr>
            <w:tcW w:w="1417"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pPr>
            <w:r w:rsidRPr="005B1E83">
              <w:t>Skaičius</w:t>
            </w:r>
          </w:p>
        </w:tc>
        <w:tc>
          <w:tcPr>
            <w:tcW w:w="1985"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0</w:t>
            </w:r>
          </w:p>
        </w:tc>
        <w:tc>
          <w:tcPr>
            <w:tcW w:w="172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4</w:t>
            </w:r>
          </w:p>
        </w:tc>
      </w:tr>
      <w:tr w:rsidR="003A2370" w:rsidRPr="005B1E83" w:rsidTr="003A2370">
        <w:tc>
          <w:tcPr>
            <w:tcW w:w="1384"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P.S.302</w:t>
            </w:r>
          </w:p>
        </w:tc>
        <w:tc>
          <w:tcPr>
            <w:tcW w:w="311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 xml:space="preserve">„Privataus sektoriaus tyrėjų, pasinaudojusių pagerinta MTEPI infrastruktūros baze, skaičius“ </w:t>
            </w:r>
          </w:p>
        </w:tc>
        <w:tc>
          <w:tcPr>
            <w:tcW w:w="1417"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pPr>
            <w:r w:rsidRPr="005B1E83">
              <w:t>Skaičius</w:t>
            </w:r>
          </w:p>
        </w:tc>
        <w:tc>
          <w:tcPr>
            <w:tcW w:w="1985"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0</w:t>
            </w:r>
          </w:p>
        </w:tc>
        <w:tc>
          <w:tcPr>
            <w:tcW w:w="172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95</w:t>
            </w:r>
          </w:p>
        </w:tc>
      </w:tr>
      <w:tr w:rsidR="003A2370" w:rsidRPr="005B1E83" w:rsidTr="003A2370">
        <w:tc>
          <w:tcPr>
            <w:tcW w:w="1384"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P.N.718</w:t>
            </w:r>
          </w:p>
        </w:tc>
        <w:tc>
          <w:tcPr>
            <w:tcW w:w="311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rPr>
                <w:rFonts w:eastAsia="AngsanaUPC"/>
                <w:bCs/>
                <w:iCs/>
              </w:rPr>
              <w:t>„Mokslo ir studijų institucijos, kuriose pagal veiksmų programą ERPF lėšomis atnaujinta MTEPI infrastruktūra“</w:t>
            </w:r>
          </w:p>
        </w:tc>
        <w:tc>
          <w:tcPr>
            <w:tcW w:w="1417"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pPr>
            <w:r w:rsidRPr="005B1E83">
              <w:t>Skaičius</w:t>
            </w:r>
          </w:p>
        </w:tc>
        <w:tc>
          <w:tcPr>
            <w:tcW w:w="1985"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1</w:t>
            </w:r>
          </w:p>
        </w:tc>
        <w:tc>
          <w:tcPr>
            <w:tcW w:w="172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21</w:t>
            </w:r>
          </w:p>
        </w:tc>
      </w:tr>
      <w:tr w:rsidR="003A2370" w:rsidRPr="005B1E83" w:rsidTr="003A2370">
        <w:tc>
          <w:tcPr>
            <w:tcW w:w="1384"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P.N.733</w:t>
            </w:r>
          </w:p>
        </w:tc>
        <w:tc>
          <w:tcPr>
            <w:tcW w:w="311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rPr>
                <w:rFonts w:eastAsia="AngsanaUPC"/>
                <w:bCs/>
                <w:iCs/>
              </w:rPr>
            </w:pPr>
            <w:r w:rsidRPr="005B1E83">
              <w:rPr>
                <w:rFonts w:eastAsia="AngsanaUPC"/>
                <w:bCs/>
                <w:iCs/>
              </w:rPr>
              <w:t>„Sukurta integruota informacinė ir komunikacinė sistema“</w:t>
            </w:r>
          </w:p>
        </w:tc>
        <w:tc>
          <w:tcPr>
            <w:tcW w:w="1417"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pPr>
            <w:r w:rsidRPr="005B1E83">
              <w:t>Skaičius</w:t>
            </w:r>
          </w:p>
        </w:tc>
        <w:tc>
          <w:tcPr>
            <w:tcW w:w="1985"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1</w:t>
            </w:r>
          </w:p>
        </w:tc>
        <w:tc>
          <w:tcPr>
            <w:tcW w:w="172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1</w:t>
            </w:r>
          </w:p>
        </w:tc>
      </w:tr>
      <w:tr w:rsidR="003A2370" w:rsidRPr="005B1E83" w:rsidTr="003A2370">
        <w:tc>
          <w:tcPr>
            <w:tcW w:w="1384"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P.N.734</w:t>
            </w:r>
          </w:p>
        </w:tc>
        <w:tc>
          <w:tcPr>
            <w:tcW w:w="311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rPr>
                <w:iCs/>
              </w:rPr>
            </w:pPr>
            <w:r w:rsidRPr="005B1E83">
              <w:rPr>
                <w:rFonts w:eastAsia="AngsanaUPC"/>
                <w:bCs/>
                <w:iCs/>
              </w:rPr>
              <w:t>„Sukurtos laboratorijos mokiniams“</w:t>
            </w:r>
          </w:p>
        </w:tc>
        <w:tc>
          <w:tcPr>
            <w:tcW w:w="1417"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pPr>
            <w:r w:rsidRPr="005B1E83">
              <w:t>Skaičius</w:t>
            </w:r>
          </w:p>
        </w:tc>
        <w:tc>
          <w:tcPr>
            <w:tcW w:w="1985"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0</w:t>
            </w:r>
          </w:p>
        </w:tc>
        <w:tc>
          <w:tcPr>
            <w:tcW w:w="172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20</w:t>
            </w:r>
          </w:p>
        </w:tc>
      </w:tr>
      <w:tr w:rsidR="003A2370" w:rsidRPr="005B1E83" w:rsidTr="003A2370">
        <w:tc>
          <w:tcPr>
            <w:tcW w:w="1384"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P.N.735</w:t>
            </w:r>
          </w:p>
        </w:tc>
        <w:tc>
          <w:tcPr>
            <w:tcW w:w="311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rPr>
                <w:rFonts w:eastAsia="AngsanaUPC"/>
                <w:bCs/>
                <w:iCs/>
              </w:rPr>
            </w:pPr>
            <w:r w:rsidRPr="005B1E83">
              <w:rPr>
                <w:rFonts w:eastAsia="AngsanaUPC"/>
                <w:bCs/>
                <w:iCs/>
              </w:rPr>
              <w:t>„Mokslo ir studijų institucijos, kurioms įrengta 10 Gbps greitaveikos interneto prieiga“</w:t>
            </w:r>
          </w:p>
        </w:tc>
        <w:tc>
          <w:tcPr>
            <w:tcW w:w="1417"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pPr>
            <w:r w:rsidRPr="005B1E83">
              <w:t>Skaičius</w:t>
            </w:r>
          </w:p>
        </w:tc>
        <w:tc>
          <w:tcPr>
            <w:tcW w:w="1985"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0</w:t>
            </w:r>
          </w:p>
        </w:tc>
        <w:tc>
          <w:tcPr>
            <w:tcW w:w="172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28</w:t>
            </w:r>
          </w:p>
        </w:tc>
      </w:tr>
      <w:tr w:rsidR="003A2370" w:rsidRPr="005B1E83" w:rsidTr="003A2370">
        <w:tc>
          <w:tcPr>
            <w:tcW w:w="1384"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P.N.736</w:t>
            </w:r>
          </w:p>
        </w:tc>
        <w:tc>
          <w:tcPr>
            <w:tcW w:w="311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rPr>
                <w:rFonts w:eastAsia="AngsanaUPC"/>
                <w:bCs/>
                <w:iCs/>
              </w:rPr>
            </w:pPr>
            <w:r w:rsidRPr="005B1E83">
              <w:rPr>
                <w:rFonts w:eastAsia="AngsanaUPC"/>
                <w:bCs/>
                <w:iCs/>
              </w:rPr>
              <w:t>„Sukurtas mokslo ir technologijų populiarinimo centras“</w:t>
            </w:r>
          </w:p>
        </w:tc>
        <w:tc>
          <w:tcPr>
            <w:tcW w:w="1417"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jc w:val="center"/>
            </w:pPr>
            <w:r w:rsidRPr="005B1E83">
              <w:t>Skaičius</w:t>
            </w:r>
          </w:p>
        </w:tc>
        <w:tc>
          <w:tcPr>
            <w:tcW w:w="1985"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0</w:t>
            </w:r>
          </w:p>
        </w:tc>
        <w:tc>
          <w:tcPr>
            <w:tcW w:w="1729" w:type="dxa"/>
            <w:tcBorders>
              <w:top w:val="single" w:sz="4" w:space="0" w:color="auto"/>
              <w:left w:val="single" w:sz="4" w:space="0" w:color="auto"/>
              <w:bottom w:val="single" w:sz="4" w:space="0" w:color="auto"/>
              <w:right w:val="single" w:sz="4" w:space="0" w:color="auto"/>
            </w:tcBorders>
            <w:hideMark/>
          </w:tcPr>
          <w:p w:rsidR="003A2370" w:rsidRPr="005B1E83" w:rsidRDefault="003A2370">
            <w:pPr>
              <w:pStyle w:val="Betarp"/>
            </w:pPr>
            <w:r w:rsidRPr="005B1E83">
              <w:t>1</w:t>
            </w:r>
          </w:p>
        </w:tc>
      </w:tr>
      <w:tr w:rsidR="003A2370" w:rsidRPr="005B1E83" w:rsidTr="003A2370">
        <w:tc>
          <w:tcPr>
            <w:tcW w:w="1384" w:type="dxa"/>
            <w:tcBorders>
              <w:top w:val="single" w:sz="4" w:space="0" w:color="auto"/>
              <w:left w:val="single" w:sz="4" w:space="0" w:color="auto"/>
              <w:bottom w:val="single" w:sz="4" w:space="0" w:color="auto"/>
              <w:right w:val="single" w:sz="4" w:space="0" w:color="auto"/>
            </w:tcBorders>
          </w:tcPr>
          <w:p w:rsidR="003A2370" w:rsidRPr="005B1E83" w:rsidRDefault="00DD46D3">
            <w:pPr>
              <w:pStyle w:val="Betarp"/>
              <w:rPr>
                <w:b/>
              </w:rPr>
            </w:pPr>
            <w:r w:rsidRPr="005B1E83">
              <w:rPr>
                <w:b/>
              </w:rPr>
              <w:t>R</w:t>
            </w:r>
            <w:r w:rsidR="003A2370" w:rsidRPr="005B1E83">
              <w:rPr>
                <w:b/>
              </w:rPr>
              <w:t>.N.743</w:t>
            </w:r>
          </w:p>
        </w:tc>
        <w:tc>
          <w:tcPr>
            <w:tcW w:w="3119" w:type="dxa"/>
            <w:tcBorders>
              <w:top w:val="single" w:sz="4" w:space="0" w:color="auto"/>
              <w:left w:val="single" w:sz="4" w:space="0" w:color="auto"/>
              <w:bottom w:val="single" w:sz="4" w:space="0" w:color="auto"/>
              <w:right w:val="single" w:sz="4" w:space="0" w:color="auto"/>
            </w:tcBorders>
          </w:tcPr>
          <w:p w:rsidR="003A2370" w:rsidRPr="005B1E83" w:rsidRDefault="003A2370" w:rsidP="00DD46D3">
            <w:pPr>
              <w:pStyle w:val="Betarp"/>
              <w:rPr>
                <w:rFonts w:eastAsia="AngsanaUPC"/>
                <w:b/>
                <w:bCs/>
                <w:iCs/>
              </w:rPr>
            </w:pPr>
            <w:r w:rsidRPr="005B1E83">
              <w:rPr>
                <w:rFonts w:eastAsia="AngsanaUPC"/>
                <w:b/>
                <w:bCs/>
                <w:iCs/>
              </w:rPr>
              <w:t>„</w:t>
            </w:r>
            <w:r w:rsidR="00DD46D3" w:rsidRPr="005B1E83">
              <w:rPr>
                <w:b/>
              </w:rPr>
              <w:t xml:space="preserve">Pateiktos paraiškos </w:t>
            </w:r>
            <w:r w:rsidR="00482E23">
              <w:rPr>
                <w:b/>
              </w:rPr>
              <w:t>dalyvauti</w:t>
            </w:r>
            <w:r w:rsidR="00DD46D3" w:rsidRPr="005B1E83">
              <w:rPr>
                <w:b/>
              </w:rPr>
              <w:t xml:space="preserve">  tarptautin</w:t>
            </w:r>
            <w:r w:rsidR="00482E23">
              <w:rPr>
                <w:b/>
              </w:rPr>
              <w:t>ėse</w:t>
            </w:r>
            <w:r w:rsidR="00DD46D3" w:rsidRPr="005B1E83">
              <w:rPr>
                <w:b/>
              </w:rPr>
              <w:t xml:space="preserve"> ar regionin</w:t>
            </w:r>
            <w:r w:rsidR="00482E23">
              <w:rPr>
                <w:b/>
              </w:rPr>
              <w:t>ėse</w:t>
            </w:r>
            <w:r w:rsidR="00DD46D3" w:rsidRPr="005B1E83">
              <w:rPr>
                <w:b/>
              </w:rPr>
              <w:t xml:space="preserve"> mokslinių tyrimų iniciaty</w:t>
            </w:r>
            <w:r w:rsidR="00482E23">
              <w:rPr>
                <w:b/>
              </w:rPr>
              <w:t>vose</w:t>
            </w:r>
            <w:r w:rsidRPr="005B1E83">
              <w:rPr>
                <w:rFonts w:eastAsia="AngsanaUPC"/>
                <w:b/>
                <w:bCs/>
                <w:iCs/>
              </w:rPr>
              <w:t>“</w:t>
            </w:r>
          </w:p>
        </w:tc>
        <w:tc>
          <w:tcPr>
            <w:tcW w:w="1417" w:type="dxa"/>
            <w:tcBorders>
              <w:top w:val="single" w:sz="4" w:space="0" w:color="auto"/>
              <w:left w:val="single" w:sz="4" w:space="0" w:color="auto"/>
              <w:bottom w:val="single" w:sz="4" w:space="0" w:color="auto"/>
              <w:right w:val="single" w:sz="4" w:space="0" w:color="auto"/>
            </w:tcBorders>
          </w:tcPr>
          <w:p w:rsidR="003A2370" w:rsidRPr="005B1E83" w:rsidRDefault="003A2370">
            <w:pPr>
              <w:pStyle w:val="Betarp"/>
              <w:jc w:val="center"/>
              <w:rPr>
                <w:b/>
              </w:rPr>
            </w:pPr>
            <w:r w:rsidRPr="005B1E83">
              <w:rPr>
                <w:b/>
              </w:rPr>
              <w:t>Skaičius</w:t>
            </w:r>
          </w:p>
        </w:tc>
        <w:tc>
          <w:tcPr>
            <w:tcW w:w="1985" w:type="dxa"/>
            <w:tcBorders>
              <w:top w:val="single" w:sz="4" w:space="0" w:color="auto"/>
              <w:left w:val="single" w:sz="4" w:space="0" w:color="auto"/>
              <w:bottom w:val="single" w:sz="4" w:space="0" w:color="auto"/>
              <w:right w:val="single" w:sz="4" w:space="0" w:color="auto"/>
            </w:tcBorders>
          </w:tcPr>
          <w:p w:rsidR="003A2370" w:rsidRPr="005B1E83" w:rsidRDefault="00DD46D3">
            <w:pPr>
              <w:pStyle w:val="Betarp"/>
              <w:rPr>
                <w:b/>
              </w:rPr>
            </w:pPr>
            <w:r w:rsidRPr="005B1E83">
              <w:rPr>
                <w:b/>
              </w:rPr>
              <w:t>0</w:t>
            </w:r>
          </w:p>
        </w:tc>
        <w:tc>
          <w:tcPr>
            <w:tcW w:w="1729" w:type="dxa"/>
            <w:tcBorders>
              <w:top w:val="single" w:sz="4" w:space="0" w:color="auto"/>
              <w:left w:val="single" w:sz="4" w:space="0" w:color="auto"/>
              <w:bottom w:val="single" w:sz="4" w:space="0" w:color="auto"/>
              <w:right w:val="single" w:sz="4" w:space="0" w:color="auto"/>
            </w:tcBorders>
          </w:tcPr>
          <w:p w:rsidR="003A2370" w:rsidRPr="005B1E83" w:rsidRDefault="00DD46D3">
            <w:pPr>
              <w:pStyle w:val="Betarp"/>
              <w:rPr>
                <w:b/>
              </w:rPr>
            </w:pPr>
            <w:r w:rsidRPr="005B1E83">
              <w:rPr>
                <w:b/>
              </w:rPr>
              <w:t>1</w:t>
            </w:r>
            <w:r w:rsidR="000C2E9E" w:rsidRPr="005B1E83">
              <w:rPr>
                <w:b/>
              </w:rPr>
              <w:t>4</w:t>
            </w:r>
          </w:p>
        </w:tc>
      </w:tr>
    </w:tbl>
    <w:p w:rsidR="003A2370" w:rsidRPr="005B1E83" w:rsidRDefault="003A2370" w:rsidP="003A2370">
      <w:pPr>
        <w:tabs>
          <w:tab w:val="left" w:pos="567"/>
        </w:tabs>
        <w:ind w:left="644"/>
        <w:rPr>
          <w:rFonts w:ascii="Times New Roman" w:hAnsi="Times New Roman"/>
          <w:bCs/>
          <w:sz w:val="24"/>
          <w:lang w:val="lt-LT"/>
        </w:rPr>
      </w:pPr>
    </w:p>
    <w:p w:rsidR="000C2E9E" w:rsidRPr="005B1E83" w:rsidRDefault="000C2E9E" w:rsidP="003A2370">
      <w:pPr>
        <w:tabs>
          <w:tab w:val="left" w:pos="567"/>
        </w:tabs>
        <w:ind w:left="644"/>
        <w:rPr>
          <w:rFonts w:ascii="Times New Roman" w:hAnsi="Times New Roman"/>
          <w:bCs/>
          <w:sz w:val="24"/>
          <w:lang w:val="lt-LT"/>
        </w:rPr>
      </w:pPr>
    </w:p>
    <w:p w:rsidR="000C2E9E" w:rsidRPr="005B1E83" w:rsidRDefault="000C2E9E" w:rsidP="003A2370">
      <w:pPr>
        <w:tabs>
          <w:tab w:val="left" w:pos="567"/>
        </w:tabs>
        <w:ind w:left="644"/>
        <w:rPr>
          <w:rFonts w:ascii="Times New Roman" w:hAnsi="Times New Roman"/>
          <w:bCs/>
          <w:sz w:val="24"/>
          <w:lang w:val="lt-LT"/>
        </w:rPr>
      </w:pPr>
    </w:p>
    <w:p w:rsidR="000C2E9E" w:rsidRPr="005B1E83" w:rsidRDefault="000C2E9E" w:rsidP="003A2370">
      <w:pPr>
        <w:tabs>
          <w:tab w:val="left" w:pos="567"/>
        </w:tabs>
        <w:ind w:left="644"/>
        <w:rPr>
          <w:rFonts w:ascii="Times New Roman" w:hAnsi="Times New Roman"/>
          <w:bCs/>
          <w:sz w:val="24"/>
          <w:lang w:val="lt-LT"/>
        </w:rPr>
      </w:pPr>
    </w:p>
    <w:p w:rsidR="000C2E9E" w:rsidRPr="005B1E83" w:rsidRDefault="000C2E9E" w:rsidP="003A2370">
      <w:pPr>
        <w:tabs>
          <w:tab w:val="left" w:pos="567"/>
        </w:tabs>
        <w:ind w:left="644"/>
        <w:rPr>
          <w:rFonts w:ascii="Times New Roman" w:hAnsi="Times New Roman"/>
          <w:bCs/>
          <w:sz w:val="24"/>
          <w:lang w:val="lt-LT"/>
        </w:rPr>
      </w:pPr>
    </w:p>
    <w:p w:rsidR="003A2370" w:rsidRPr="005B1E83" w:rsidRDefault="003A2370" w:rsidP="003A2370">
      <w:pPr>
        <w:tabs>
          <w:tab w:val="left" w:pos="567"/>
        </w:tabs>
        <w:overflowPunct/>
        <w:autoSpaceDE/>
        <w:adjustRightInd/>
        <w:ind w:firstLine="567"/>
        <w:rPr>
          <w:rFonts w:ascii="Times New Roman" w:hAnsi="Times New Roman"/>
          <w:bCs/>
          <w:sz w:val="24"/>
          <w:szCs w:val="24"/>
          <w:lang w:val="lt-LT"/>
        </w:rPr>
      </w:pPr>
      <w:r w:rsidRPr="005B1E83">
        <w:rPr>
          <w:rFonts w:ascii="Times New Roman" w:hAnsi="Times New Roman"/>
          <w:bCs/>
          <w:sz w:val="24"/>
          <w:szCs w:val="24"/>
          <w:lang w:val="lt-LT"/>
        </w:rPr>
        <w:t>7. Priemonės finansavimo šaltiniai</w:t>
      </w:r>
    </w:p>
    <w:p w:rsidR="003A2370" w:rsidRPr="005B1E83" w:rsidRDefault="003A2370" w:rsidP="003A2370">
      <w:pPr>
        <w:tabs>
          <w:tab w:val="left" w:pos="0"/>
          <w:tab w:val="left" w:pos="142"/>
          <w:tab w:val="left" w:pos="7088"/>
          <w:tab w:val="left" w:pos="8364"/>
        </w:tabs>
        <w:overflowPunct/>
        <w:autoSpaceDE/>
        <w:adjustRightInd/>
        <w:ind w:right="2664"/>
        <w:jc w:val="right"/>
        <w:rPr>
          <w:rFonts w:ascii="Times New Roman" w:hAnsi="Times New Roman"/>
          <w:sz w:val="24"/>
          <w:szCs w:val="24"/>
          <w:lang w:val="lt-LT" w:eastAsia="lt-LT"/>
        </w:rPr>
      </w:pPr>
      <w:r w:rsidRPr="005B1E83">
        <w:rPr>
          <w:rFonts w:ascii="Times New Roman" w:hAnsi="Times New Roman"/>
          <w:i/>
          <w:sz w:val="24"/>
          <w:szCs w:val="24"/>
          <w:lang w:val="lt-LT" w:eastAsia="lt-LT"/>
        </w:rPr>
        <w:lastRenderedPageBreak/>
        <w:tab/>
      </w:r>
      <w:r w:rsidRPr="005B1E83">
        <w:rPr>
          <w:rFonts w:ascii="Times New Roman" w:hAnsi="Times New Roman"/>
          <w:i/>
          <w:sz w:val="24"/>
          <w:szCs w:val="24"/>
          <w:lang w:val="lt-LT" w:eastAsia="lt-LT"/>
        </w:rPr>
        <w:tab/>
      </w:r>
      <w:r w:rsidRPr="005B1E83">
        <w:rPr>
          <w:rFonts w:ascii="Times New Roman" w:hAnsi="Times New Roman"/>
          <w:i/>
          <w:sz w:val="24"/>
          <w:szCs w:val="24"/>
          <w:lang w:val="lt-LT" w:eastAsia="lt-LT"/>
        </w:rPr>
        <w:tab/>
      </w:r>
      <w:r w:rsidRPr="005B1E83">
        <w:rPr>
          <w:rFonts w:ascii="Times New Roman" w:hAnsi="Times New Roman"/>
          <w:i/>
          <w:sz w:val="24"/>
          <w:szCs w:val="24"/>
          <w:lang w:val="lt-LT" w:eastAsia="lt-LT"/>
        </w:rPr>
        <w:tab/>
        <w:t xml:space="preserve"> </w:t>
      </w:r>
      <w:r w:rsidRPr="005B1E83">
        <w:rPr>
          <w:rFonts w:ascii="Times New Roman" w:hAnsi="Times New Roman"/>
          <w:sz w:val="24"/>
          <w:szCs w:val="24"/>
          <w:lang w:val="lt-LT" w:eastAsia="lt-LT"/>
        </w:rPr>
        <w:t>(eurais)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9"/>
        <w:gridCol w:w="963"/>
        <w:gridCol w:w="1418"/>
        <w:gridCol w:w="1419"/>
        <w:gridCol w:w="1420"/>
        <w:gridCol w:w="1305"/>
      </w:tblGrid>
      <w:tr w:rsidR="003A2370" w:rsidRPr="005B1E83" w:rsidTr="003A2370">
        <w:trPr>
          <w:trHeight w:val="454"/>
          <w:tblHead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 w:val="left" w:pos="142"/>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Projektams skiriamas finansavimas</w:t>
            </w:r>
          </w:p>
        </w:tc>
        <w:tc>
          <w:tcPr>
            <w:tcW w:w="6520" w:type="dxa"/>
            <w:gridSpan w:val="5"/>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 w:val="left" w:pos="142"/>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Kiti projektų finansavimo šaltiniai</w:t>
            </w:r>
          </w:p>
        </w:tc>
      </w:tr>
      <w:tr w:rsidR="003A2370" w:rsidRPr="005B1E83" w:rsidTr="003A2370">
        <w:trPr>
          <w:trHeight w:val="454"/>
          <w:tblHead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ind w:left="-108" w:right="-108"/>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ES struktūrinių fondų</w:t>
            </w:r>
          </w:p>
          <w:p w:rsidR="003A2370" w:rsidRPr="005B1E83" w:rsidRDefault="003A2370">
            <w:pPr>
              <w:ind w:left="-108" w:right="-108"/>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lėšos – iki</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 w:val="left" w:pos="142"/>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Nacionalinės lėšos</w:t>
            </w:r>
          </w:p>
        </w:tc>
      </w:tr>
      <w:tr w:rsidR="003A2370" w:rsidRPr="005B1E83" w:rsidTr="003A2370">
        <w:trPr>
          <w:cantSplit/>
          <w:trHeight w:val="1020"/>
          <w:tblHeader/>
        </w:trPr>
        <w:tc>
          <w:tcPr>
            <w:tcW w:w="9639" w:type="dxa"/>
            <w:vMerge/>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overflowPunct/>
              <w:autoSpaceDE/>
              <w:autoSpaceDN/>
              <w:adjustRightInd/>
              <w:rPr>
                <w:rFonts w:ascii="Times New Roman" w:hAnsi="Times New Roman"/>
                <w:bCs/>
                <w:sz w:val="24"/>
                <w:szCs w:val="24"/>
                <w:lang w:val="lt-LT"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Lietuvos Respublikos valstybės biudžeto lėšos – iki</w:t>
            </w:r>
          </w:p>
        </w:tc>
        <w:tc>
          <w:tcPr>
            <w:tcW w:w="6520" w:type="dxa"/>
            <w:gridSpan w:val="5"/>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Projektų vykdytojų lėšos</w:t>
            </w:r>
          </w:p>
        </w:tc>
      </w:tr>
      <w:tr w:rsidR="003A2370" w:rsidRPr="005B1E83" w:rsidTr="003A2370">
        <w:trPr>
          <w:cantSplit/>
          <w:trHeight w:val="1020"/>
          <w:tblHeader/>
        </w:trPr>
        <w:tc>
          <w:tcPr>
            <w:tcW w:w="9639" w:type="dxa"/>
            <w:vMerge/>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overflowPunct/>
              <w:autoSpaceDE/>
              <w:autoSpaceDN/>
              <w:adjustRightInd/>
              <w:rPr>
                <w:rFonts w:ascii="Times New Roman" w:hAnsi="Times New Roman"/>
                <w:bCs/>
                <w:sz w:val="24"/>
                <w:szCs w:val="24"/>
                <w:lang w:val="lt-LT" w:eastAsia="lt-LT"/>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overflowPunct/>
              <w:autoSpaceDE/>
              <w:autoSpaceDN/>
              <w:adjustRightInd/>
              <w:rPr>
                <w:rFonts w:ascii="Times New Roman" w:hAnsi="Times New Roman"/>
                <w:bCs/>
                <w:sz w:val="24"/>
                <w:szCs w:val="24"/>
                <w:lang w:val="lt-LT" w:eastAsia="lt-LT"/>
              </w:rPr>
            </w:pPr>
          </w:p>
        </w:tc>
        <w:tc>
          <w:tcPr>
            <w:tcW w:w="962" w:type="dxa"/>
            <w:tcBorders>
              <w:top w:val="single" w:sz="4" w:space="0" w:color="auto"/>
              <w:left w:val="single" w:sz="4" w:space="0" w:color="auto"/>
              <w:bottom w:val="single" w:sz="4" w:space="0" w:color="auto"/>
              <w:right w:val="single" w:sz="4" w:space="0" w:color="auto"/>
            </w:tcBorders>
            <w:hideMark/>
          </w:tcPr>
          <w:p w:rsidR="003A2370" w:rsidRPr="005B1E83" w:rsidRDefault="003A2370">
            <w:pPr>
              <w:tabs>
                <w:tab w:val="left" w:pos="0"/>
              </w:tabs>
              <w:ind w:right="-108"/>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ind w:right="-108"/>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3A2370" w:rsidRPr="005B1E83" w:rsidRDefault="003A2370">
            <w:pPr>
              <w:tabs>
                <w:tab w:val="left" w:pos="0"/>
              </w:tabs>
              <w:ind w:right="-108"/>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 xml:space="preserve">Savivaldybės biudžeto </w:t>
            </w:r>
          </w:p>
          <w:p w:rsidR="003A2370" w:rsidRPr="005B1E83" w:rsidRDefault="003A2370">
            <w:pPr>
              <w:tabs>
                <w:tab w:val="left" w:pos="0"/>
              </w:tabs>
              <w:ind w:right="-108"/>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ind w:right="-108"/>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 xml:space="preserve">Privačios lėšos </w:t>
            </w:r>
          </w:p>
        </w:tc>
      </w:tr>
      <w:tr w:rsidR="003A2370" w:rsidRPr="005B1E83" w:rsidTr="003A2370">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rsidR="003A2370" w:rsidRPr="005B1E83" w:rsidRDefault="003A2370" w:rsidP="007E27F1">
            <w:pPr>
              <w:numPr>
                <w:ilvl w:val="0"/>
                <w:numId w:val="2"/>
              </w:numPr>
              <w:tabs>
                <w:tab w:val="left" w:pos="0"/>
              </w:tabs>
              <w:overflowPunct/>
              <w:autoSpaceDE/>
              <w:adjustRightInd/>
              <w:rPr>
                <w:rFonts w:ascii="Times New Roman" w:hAnsi="Times New Roman"/>
                <w:sz w:val="24"/>
                <w:szCs w:val="24"/>
                <w:lang w:val="lt-LT" w:eastAsia="lt-LT"/>
              </w:rPr>
            </w:pPr>
            <w:r w:rsidRPr="005B1E83">
              <w:rPr>
                <w:rFonts w:ascii="Times New Roman" w:hAnsi="Times New Roman"/>
                <w:sz w:val="24"/>
                <w:szCs w:val="24"/>
                <w:lang w:val="lt-LT" w:eastAsia="lt-LT"/>
              </w:rPr>
              <w:t>Priemonės finansavimo šaltiniai, neįskaitant veiklos lėšų rezervo ir jam finansuoti skiriamų lėšų</w:t>
            </w:r>
          </w:p>
        </w:tc>
      </w:tr>
      <w:tr w:rsidR="003A2370" w:rsidRPr="005B1E83" w:rsidTr="003A2370">
        <w:trPr>
          <w:trHeight w:val="653"/>
        </w:trPr>
        <w:tc>
          <w:tcPr>
            <w:tcW w:w="1701"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166 848 562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0</w:t>
            </w:r>
          </w:p>
        </w:tc>
        <w:tc>
          <w:tcPr>
            <w:tcW w:w="962"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sz w:val="24"/>
                <w:szCs w:val="24"/>
                <w:lang w:val="lt-LT" w:eastAsia="lt-LT"/>
              </w:rPr>
            </w:pPr>
            <w:r w:rsidRPr="005B1E83">
              <w:rPr>
                <w:rFonts w:ascii="Times New Roman" w:hAnsi="Times New Roman"/>
                <w:sz w:val="24"/>
                <w:szCs w:val="24"/>
                <w:lang w:val="lt-LT"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sz w:val="24"/>
                <w:szCs w:val="24"/>
                <w:lang w:val="lt-LT" w:eastAsia="lt-LT"/>
              </w:rPr>
            </w:pPr>
            <w:r w:rsidRPr="005B1E83">
              <w:rPr>
                <w:rFonts w:ascii="Times New Roman" w:hAnsi="Times New Roman"/>
                <w:sz w:val="24"/>
                <w:szCs w:val="24"/>
                <w:lang w:val="lt-LT"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8 007 142</w:t>
            </w:r>
          </w:p>
        </w:tc>
        <w:tc>
          <w:tcPr>
            <w:tcW w:w="1304"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sz w:val="24"/>
                <w:szCs w:val="24"/>
                <w:lang w:val="lt-LT" w:eastAsia="lt-LT"/>
              </w:rPr>
            </w:pPr>
            <w:r w:rsidRPr="005B1E83">
              <w:rPr>
                <w:rFonts w:ascii="Times New Roman" w:hAnsi="Times New Roman"/>
                <w:sz w:val="24"/>
                <w:szCs w:val="24"/>
                <w:lang w:val="lt-LT" w:eastAsia="lt-LT"/>
              </w:rPr>
              <w:t>0</w:t>
            </w:r>
          </w:p>
        </w:tc>
      </w:tr>
      <w:tr w:rsidR="003A2370" w:rsidRPr="005B1E83" w:rsidTr="003A2370">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rsidP="007E27F1">
            <w:pPr>
              <w:numPr>
                <w:ilvl w:val="0"/>
                <w:numId w:val="2"/>
              </w:numPr>
              <w:tabs>
                <w:tab w:val="left" w:pos="0"/>
              </w:tabs>
              <w:overflowPunct/>
              <w:autoSpaceDE/>
              <w:adjustRightInd/>
              <w:rPr>
                <w:rFonts w:ascii="Times New Roman" w:hAnsi="Times New Roman"/>
                <w:sz w:val="24"/>
                <w:szCs w:val="24"/>
                <w:lang w:val="lt-LT" w:eastAsia="lt-LT"/>
              </w:rPr>
            </w:pPr>
            <w:r w:rsidRPr="005B1E83">
              <w:rPr>
                <w:rFonts w:ascii="Times New Roman" w:hAnsi="Times New Roman"/>
                <w:sz w:val="24"/>
                <w:szCs w:val="24"/>
                <w:lang w:val="lt-LT" w:eastAsia="lt-LT"/>
              </w:rPr>
              <w:t>Veiklos lėšų rezervas ir jam finansuoti skiriamos nacionalinės lėšos</w:t>
            </w:r>
          </w:p>
        </w:tc>
      </w:tr>
      <w:tr w:rsidR="003A2370" w:rsidRPr="005B1E83" w:rsidTr="003A2370">
        <w:trPr>
          <w:trHeight w:val="249"/>
        </w:trPr>
        <w:tc>
          <w:tcPr>
            <w:tcW w:w="1701" w:type="dxa"/>
            <w:tcBorders>
              <w:top w:val="single" w:sz="4" w:space="0" w:color="auto"/>
              <w:left w:val="single" w:sz="4" w:space="0" w:color="auto"/>
              <w:bottom w:val="single" w:sz="4" w:space="0" w:color="auto"/>
              <w:right w:val="single" w:sz="4" w:space="0" w:color="auto"/>
            </w:tcBorders>
            <w:vAlign w:val="center"/>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21 150 766</w:t>
            </w:r>
          </w:p>
          <w:p w:rsidR="003A2370" w:rsidRPr="005B1E83" w:rsidRDefault="003A2370">
            <w:pPr>
              <w:tabs>
                <w:tab w:val="left" w:pos="0"/>
              </w:tabs>
              <w:jc w:val="center"/>
              <w:rPr>
                <w:rFonts w:ascii="Times New Roman" w:hAnsi="Times New Roman"/>
                <w:bCs/>
                <w:sz w:val="24"/>
                <w:szCs w:val="24"/>
                <w:lang w:val="lt-LT" w:eastAsia="lt-LT"/>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0</w:t>
            </w:r>
          </w:p>
        </w:tc>
        <w:tc>
          <w:tcPr>
            <w:tcW w:w="962"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sz w:val="24"/>
                <w:szCs w:val="24"/>
                <w:lang w:val="lt-LT" w:eastAsia="lt-LT"/>
              </w:rPr>
            </w:pPr>
            <w:r w:rsidRPr="005B1E83">
              <w:rPr>
                <w:rFonts w:ascii="Times New Roman" w:hAnsi="Times New Roman"/>
                <w:sz w:val="24"/>
                <w:szCs w:val="24"/>
                <w:lang w:val="lt-LT"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sz w:val="24"/>
                <w:szCs w:val="24"/>
                <w:lang w:val="lt-LT" w:eastAsia="lt-LT"/>
              </w:rPr>
            </w:pPr>
            <w:r w:rsidRPr="005B1E83">
              <w:rPr>
                <w:rFonts w:ascii="Times New Roman" w:hAnsi="Times New Roman"/>
                <w:sz w:val="24"/>
                <w:szCs w:val="24"/>
                <w:lang w:val="lt-LT"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sz w:val="24"/>
                <w:szCs w:val="24"/>
                <w:lang w:val="lt-LT" w:eastAsia="lt-LT"/>
              </w:rPr>
            </w:pPr>
            <w:r w:rsidRPr="005B1E83">
              <w:rPr>
                <w:rFonts w:ascii="Times New Roman" w:hAnsi="Times New Roman"/>
                <w:sz w:val="24"/>
                <w:szCs w:val="24"/>
                <w:lang w:val="lt-LT" w:eastAsia="lt-LT"/>
              </w:rPr>
              <w:t>0</w:t>
            </w:r>
          </w:p>
        </w:tc>
      </w:tr>
      <w:tr w:rsidR="003A2370" w:rsidRPr="005B1E83" w:rsidTr="003A2370">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rsidP="007E27F1">
            <w:pPr>
              <w:numPr>
                <w:ilvl w:val="0"/>
                <w:numId w:val="2"/>
              </w:numPr>
              <w:tabs>
                <w:tab w:val="left" w:pos="0"/>
              </w:tabs>
              <w:overflowPunct/>
              <w:autoSpaceDE/>
              <w:adjustRightInd/>
              <w:rPr>
                <w:rFonts w:ascii="Times New Roman" w:hAnsi="Times New Roman"/>
                <w:sz w:val="24"/>
                <w:szCs w:val="24"/>
                <w:lang w:val="lt-LT" w:eastAsia="lt-LT"/>
              </w:rPr>
            </w:pPr>
            <w:r w:rsidRPr="005B1E83">
              <w:rPr>
                <w:rFonts w:ascii="Times New Roman" w:hAnsi="Times New Roman"/>
                <w:sz w:val="24"/>
                <w:szCs w:val="24"/>
                <w:lang w:val="lt-LT" w:eastAsia="lt-LT"/>
              </w:rPr>
              <w:t xml:space="preserve">Iš viso </w:t>
            </w:r>
          </w:p>
        </w:tc>
      </w:tr>
      <w:tr w:rsidR="003A2370" w:rsidRPr="005B1E83" w:rsidTr="003A2370">
        <w:trPr>
          <w:trHeight w:val="249"/>
        </w:trPr>
        <w:tc>
          <w:tcPr>
            <w:tcW w:w="1701"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 xml:space="preserve">187 999 328 </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0</w:t>
            </w:r>
          </w:p>
        </w:tc>
        <w:tc>
          <w:tcPr>
            <w:tcW w:w="962"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sz w:val="24"/>
                <w:szCs w:val="24"/>
                <w:lang w:val="lt-LT" w:eastAsia="lt-LT"/>
              </w:rPr>
            </w:pPr>
            <w:r w:rsidRPr="005B1E83">
              <w:rPr>
                <w:rFonts w:ascii="Times New Roman" w:hAnsi="Times New Roman"/>
                <w:sz w:val="24"/>
                <w:szCs w:val="24"/>
                <w:lang w:val="lt-LT"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sz w:val="24"/>
                <w:szCs w:val="24"/>
                <w:lang w:val="lt-LT" w:eastAsia="lt-LT"/>
              </w:rPr>
            </w:pPr>
            <w:r w:rsidRPr="005B1E83">
              <w:rPr>
                <w:rFonts w:ascii="Times New Roman" w:hAnsi="Times New Roman"/>
                <w:sz w:val="24"/>
                <w:szCs w:val="24"/>
                <w:lang w:val="lt-LT"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bCs/>
                <w:sz w:val="24"/>
                <w:szCs w:val="24"/>
                <w:lang w:val="lt-LT" w:eastAsia="lt-LT"/>
              </w:rPr>
            </w:pPr>
            <w:r w:rsidRPr="005B1E83">
              <w:rPr>
                <w:rFonts w:ascii="Times New Roman" w:hAnsi="Times New Roman"/>
                <w:bCs/>
                <w:sz w:val="24"/>
                <w:szCs w:val="24"/>
                <w:lang w:val="lt-LT" w:eastAsia="lt-LT"/>
              </w:rPr>
              <w:t>8 007 142</w:t>
            </w:r>
          </w:p>
        </w:tc>
        <w:tc>
          <w:tcPr>
            <w:tcW w:w="1304" w:type="dxa"/>
            <w:tcBorders>
              <w:top w:val="single" w:sz="4" w:space="0" w:color="auto"/>
              <w:left w:val="single" w:sz="4" w:space="0" w:color="auto"/>
              <w:bottom w:val="single" w:sz="4" w:space="0" w:color="auto"/>
              <w:right w:val="single" w:sz="4" w:space="0" w:color="auto"/>
            </w:tcBorders>
            <w:vAlign w:val="center"/>
            <w:hideMark/>
          </w:tcPr>
          <w:p w:rsidR="003A2370" w:rsidRPr="005B1E83" w:rsidRDefault="003A2370">
            <w:pPr>
              <w:tabs>
                <w:tab w:val="left" w:pos="0"/>
              </w:tabs>
              <w:jc w:val="center"/>
              <w:rPr>
                <w:rFonts w:ascii="Times New Roman" w:hAnsi="Times New Roman"/>
                <w:sz w:val="24"/>
                <w:szCs w:val="24"/>
                <w:lang w:val="lt-LT" w:eastAsia="lt-LT"/>
              </w:rPr>
            </w:pPr>
            <w:r w:rsidRPr="005B1E83">
              <w:rPr>
                <w:rFonts w:ascii="Times New Roman" w:hAnsi="Times New Roman"/>
                <w:sz w:val="24"/>
                <w:szCs w:val="24"/>
                <w:lang w:val="lt-LT" w:eastAsia="lt-LT"/>
              </w:rPr>
              <w:t>0</w:t>
            </w:r>
          </w:p>
        </w:tc>
      </w:tr>
    </w:tbl>
    <w:p w:rsidR="005B1E83" w:rsidRPr="005B1E83" w:rsidRDefault="005B1E83">
      <w:pPr>
        <w:rPr>
          <w:lang w:val="lt-LT"/>
        </w:rPr>
        <w:sectPr w:rsidR="005B1E83" w:rsidRPr="005B1E83" w:rsidSect="003A2370">
          <w:pgSz w:w="11906" w:h="16838"/>
          <w:pgMar w:top="1134" w:right="567" w:bottom="1134" w:left="1701" w:header="567" w:footer="567" w:gutter="0"/>
          <w:cols w:space="1296"/>
          <w:docGrid w:linePitch="360"/>
        </w:sectPr>
      </w:pPr>
    </w:p>
    <w:tbl>
      <w:tblPr>
        <w:tblW w:w="15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8"/>
        <w:gridCol w:w="1426"/>
        <w:gridCol w:w="1217"/>
        <w:gridCol w:w="3602"/>
        <w:gridCol w:w="1701"/>
        <w:gridCol w:w="1276"/>
        <w:gridCol w:w="1701"/>
        <w:gridCol w:w="1645"/>
        <w:gridCol w:w="1449"/>
      </w:tblGrid>
      <w:tr w:rsidR="005B1E83" w:rsidRPr="005B1E83" w:rsidTr="005B1E83">
        <w:trPr>
          <w:trHeight w:val="315"/>
        </w:trPr>
        <w:tc>
          <w:tcPr>
            <w:tcW w:w="1028"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b/>
                <w:bCs/>
                <w:color w:val="000000"/>
                <w:lang w:val="lt-LT" w:eastAsia="lt-LT"/>
              </w:rPr>
            </w:pPr>
            <w:r w:rsidRPr="005B1E83">
              <w:rPr>
                <w:rFonts w:ascii="Times New Roman" w:hAnsi="Times New Roman"/>
                <w:b/>
                <w:bCs/>
                <w:color w:val="000000"/>
                <w:lang w:val="lt-LT" w:eastAsia="lt-LT"/>
              </w:rPr>
              <w:lastRenderedPageBreak/>
              <w:t>Rodiklio kodas</w:t>
            </w:r>
          </w:p>
        </w:tc>
        <w:tc>
          <w:tcPr>
            <w:tcW w:w="1426"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b/>
                <w:bCs/>
                <w:color w:val="000000"/>
                <w:lang w:val="lt-LT" w:eastAsia="lt-LT"/>
              </w:rPr>
            </w:pPr>
            <w:r w:rsidRPr="005B1E83">
              <w:rPr>
                <w:rFonts w:ascii="Times New Roman" w:hAnsi="Times New Roman"/>
                <w:b/>
                <w:bCs/>
                <w:color w:val="000000"/>
                <w:lang w:val="lt-LT" w:eastAsia="lt-LT"/>
              </w:rPr>
              <w:t>Rodiklio pavadinimas</w:t>
            </w:r>
          </w:p>
        </w:tc>
        <w:tc>
          <w:tcPr>
            <w:tcW w:w="1217"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b/>
                <w:bCs/>
                <w:color w:val="000000"/>
                <w:lang w:val="lt-LT" w:eastAsia="lt-LT"/>
              </w:rPr>
            </w:pPr>
            <w:r w:rsidRPr="005B1E83">
              <w:rPr>
                <w:rFonts w:ascii="Times New Roman" w:hAnsi="Times New Roman"/>
                <w:b/>
                <w:bCs/>
                <w:color w:val="000000"/>
                <w:lang w:val="lt-LT" w:eastAsia="lt-LT"/>
              </w:rPr>
              <w:t>Matavimo vienetai</w:t>
            </w:r>
          </w:p>
        </w:tc>
        <w:tc>
          <w:tcPr>
            <w:tcW w:w="3602"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b/>
                <w:bCs/>
                <w:color w:val="000000"/>
                <w:lang w:val="lt-LT" w:eastAsia="lt-LT"/>
              </w:rPr>
            </w:pPr>
            <w:r w:rsidRPr="005B1E83">
              <w:rPr>
                <w:rFonts w:ascii="Times New Roman" w:hAnsi="Times New Roman"/>
                <w:b/>
                <w:bCs/>
                <w:color w:val="000000"/>
                <w:lang w:val="lt-LT" w:eastAsia="lt-LT"/>
              </w:rPr>
              <w:t>Sąvokų apibrėžtys</w:t>
            </w:r>
          </w:p>
        </w:tc>
        <w:tc>
          <w:tcPr>
            <w:tcW w:w="1701"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b/>
                <w:bCs/>
                <w:color w:val="000000"/>
                <w:lang w:val="lt-LT" w:eastAsia="lt-LT"/>
              </w:rPr>
            </w:pPr>
            <w:r w:rsidRPr="005B1E83">
              <w:rPr>
                <w:rFonts w:ascii="Times New Roman" w:hAnsi="Times New Roman"/>
                <w:b/>
                <w:bCs/>
                <w:color w:val="000000"/>
                <w:lang w:val="lt-LT" w:eastAsia="lt-LT"/>
              </w:rPr>
              <w:t>Apskaičiavimo tipas</w:t>
            </w:r>
          </w:p>
        </w:tc>
        <w:tc>
          <w:tcPr>
            <w:tcW w:w="1276"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b/>
                <w:bCs/>
                <w:color w:val="000000"/>
                <w:lang w:val="lt-LT" w:eastAsia="lt-LT"/>
              </w:rPr>
            </w:pPr>
            <w:r w:rsidRPr="005B1E83">
              <w:rPr>
                <w:rFonts w:ascii="Times New Roman" w:hAnsi="Times New Roman"/>
                <w:b/>
                <w:bCs/>
                <w:color w:val="000000"/>
                <w:lang w:val="lt-LT" w:eastAsia="lt-LT"/>
              </w:rPr>
              <w:t>Skaičiavimo būdas</w:t>
            </w:r>
          </w:p>
        </w:tc>
        <w:tc>
          <w:tcPr>
            <w:tcW w:w="1701"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b/>
                <w:bCs/>
                <w:color w:val="000000"/>
                <w:lang w:val="lt-LT" w:eastAsia="lt-LT"/>
              </w:rPr>
            </w:pPr>
            <w:r w:rsidRPr="005B1E83">
              <w:rPr>
                <w:rFonts w:ascii="Times New Roman" w:hAnsi="Times New Roman"/>
                <w:b/>
                <w:bCs/>
                <w:color w:val="000000"/>
                <w:lang w:val="lt-LT" w:eastAsia="lt-LT"/>
              </w:rPr>
              <w:t>Duomenų šaltinis</w:t>
            </w:r>
          </w:p>
        </w:tc>
        <w:tc>
          <w:tcPr>
            <w:tcW w:w="1645"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b/>
                <w:bCs/>
                <w:color w:val="000000"/>
                <w:lang w:val="lt-LT" w:eastAsia="lt-LT"/>
              </w:rPr>
            </w:pPr>
            <w:r w:rsidRPr="005B1E83">
              <w:rPr>
                <w:rFonts w:ascii="Times New Roman" w:hAnsi="Times New Roman"/>
                <w:b/>
                <w:bCs/>
                <w:color w:val="000000"/>
                <w:lang w:val="lt-LT" w:eastAsia="lt-LT"/>
              </w:rPr>
              <w:t xml:space="preserve">Pasiekimo momentas </w:t>
            </w:r>
          </w:p>
        </w:tc>
        <w:tc>
          <w:tcPr>
            <w:tcW w:w="1449"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b/>
                <w:bCs/>
                <w:color w:val="000000"/>
                <w:lang w:val="lt-LT" w:eastAsia="lt-LT"/>
              </w:rPr>
            </w:pPr>
            <w:r w:rsidRPr="005B1E83">
              <w:rPr>
                <w:rFonts w:ascii="Times New Roman" w:hAnsi="Times New Roman"/>
                <w:b/>
                <w:bCs/>
                <w:color w:val="000000"/>
                <w:lang w:val="lt-LT" w:eastAsia="lt-LT"/>
              </w:rPr>
              <w:t>Institucija</w:t>
            </w:r>
          </w:p>
        </w:tc>
      </w:tr>
      <w:tr w:rsidR="005B1E83" w:rsidRPr="005B1E83" w:rsidTr="005B1E83">
        <w:trPr>
          <w:trHeight w:val="315"/>
        </w:trPr>
        <w:tc>
          <w:tcPr>
            <w:tcW w:w="1028"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lang w:val="lt-LT" w:eastAsia="lt-LT"/>
              </w:rPr>
            </w:pPr>
            <w:r w:rsidRPr="005B1E83">
              <w:rPr>
                <w:rFonts w:ascii="Times New Roman" w:hAnsi="Times New Roman"/>
                <w:lang w:val="lt-LT" w:eastAsia="lt-LT"/>
              </w:rPr>
              <w:t>1</w:t>
            </w:r>
          </w:p>
        </w:tc>
        <w:tc>
          <w:tcPr>
            <w:tcW w:w="1426"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lang w:val="lt-LT" w:eastAsia="lt-LT"/>
              </w:rPr>
            </w:pPr>
            <w:r w:rsidRPr="005B1E83">
              <w:rPr>
                <w:rFonts w:ascii="Times New Roman" w:hAnsi="Times New Roman"/>
                <w:lang w:val="lt-LT" w:eastAsia="lt-LT"/>
              </w:rPr>
              <w:t>2</w:t>
            </w:r>
          </w:p>
        </w:tc>
        <w:tc>
          <w:tcPr>
            <w:tcW w:w="1217"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lang w:val="lt-LT" w:eastAsia="lt-LT"/>
              </w:rPr>
            </w:pPr>
            <w:r w:rsidRPr="005B1E83">
              <w:rPr>
                <w:rFonts w:ascii="Times New Roman" w:hAnsi="Times New Roman"/>
                <w:lang w:val="lt-LT" w:eastAsia="lt-LT"/>
              </w:rPr>
              <w:t>3</w:t>
            </w:r>
          </w:p>
        </w:tc>
        <w:tc>
          <w:tcPr>
            <w:tcW w:w="3602"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lang w:val="lt-LT" w:eastAsia="lt-LT"/>
              </w:rPr>
            </w:pPr>
            <w:r w:rsidRPr="005B1E83">
              <w:rPr>
                <w:rFonts w:ascii="Times New Roman" w:hAnsi="Times New Roman"/>
                <w:lang w:val="lt-LT" w:eastAsia="lt-LT"/>
              </w:rPr>
              <w:t>4</w:t>
            </w:r>
          </w:p>
        </w:tc>
        <w:tc>
          <w:tcPr>
            <w:tcW w:w="1701"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lang w:val="lt-LT" w:eastAsia="lt-LT"/>
              </w:rPr>
            </w:pPr>
            <w:r w:rsidRPr="005B1E83">
              <w:rPr>
                <w:rFonts w:ascii="Times New Roman" w:hAnsi="Times New Roman"/>
                <w:lang w:val="lt-LT" w:eastAsia="lt-LT"/>
              </w:rPr>
              <w:t>5</w:t>
            </w:r>
          </w:p>
        </w:tc>
        <w:tc>
          <w:tcPr>
            <w:tcW w:w="1276"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lang w:val="lt-LT" w:eastAsia="lt-LT"/>
              </w:rPr>
            </w:pPr>
            <w:r w:rsidRPr="005B1E83">
              <w:rPr>
                <w:rFonts w:ascii="Times New Roman" w:hAnsi="Times New Roman"/>
                <w:lang w:val="lt-LT" w:eastAsia="lt-LT"/>
              </w:rPr>
              <w:t>6</w:t>
            </w:r>
          </w:p>
        </w:tc>
        <w:tc>
          <w:tcPr>
            <w:tcW w:w="1701"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lang w:val="lt-LT" w:eastAsia="lt-LT"/>
              </w:rPr>
            </w:pPr>
            <w:r w:rsidRPr="005B1E83">
              <w:rPr>
                <w:rFonts w:ascii="Times New Roman" w:hAnsi="Times New Roman"/>
                <w:lang w:val="lt-LT" w:eastAsia="lt-LT"/>
              </w:rPr>
              <w:t>7</w:t>
            </w:r>
          </w:p>
        </w:tc>
        <w:tc>
          <w:tcPr>
            <w:tcW w:w="1645"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lang w:val="lt-LT" w:eastAsia="lt-LT"/>
              </w:rPr>
            </w:pPr>
            <w:r w:rsidRPr="005B1E83">
              <w:rPr>
                <w:rFonts w:ascii="Times New Roman" w:hAnsi="Times New Roman"/>
                <w:lang w:val="lt-LT" w:eastAsia="lt-LT"/>
              </w:rPr>
              <w:t>8</w:t>
            </w:r>
          </w:p>
        </w:tc>
        <w:tc>
          <w:tcPr>
            <w:tcW w:w="1449" w:type="dxa"/>
            <w:shd w:val="clear" w:color="auto" w:fill="FFFFFF"/>
            <w:tcMar>
              <w:top w:w="0" w:type="dxa"/>
              <w:left w:w="108" w:type="dxa"/>
              <w:bottom w:w="0" w:type="dxa"/>
              <w:right w:w="108" w:type="dxa"/>
            </w:tcMar>
            <w:vAlign w:val="center"/>
          </w:tcPr>
          <w:p w:rsidR="005B1E83" w:rsidRPr="005B1E83" w:rsidRDefault="005B1E83" w:rsidP="00012B0F">
            <w:pPr>
              <w:jc w:val="center"/>
              <w:rPr>
                <w:rFonts w:ascii="Times New Roman" w:hAnsi="Times New Roman"/>
                <w:lang w:val="lt-LT" w:eastAsia="lt-LT"/>
              </w:rPr>
            </w:pPr>
            <w:r w:rsidRPr="005B1E83">
              <w:rPr>
                <w:rFonts w:ascii="Times New Roman" w:hAnsi="Times New Roman"/>
                <w:lang w:val="lt-LT" w:eastAsia="lt-LT"/>
              </w:rPr>
              <w:t>9</w:t>
            </w:r>
          </w:p>
        </w:tc>
      </w:tr>
      <w:tr w:rsidR="005B1E83" w:rsidRPr="007C3A45" w:rsidTr="005B1E83">
        <w:trPr>
          <w:trHeight w:val="315"/>
        </w:trPr>
        <w:tc>
          <w:tcPr>
            <w:tcW w:w="10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B1E83" w:rsidRPr="005B1E83" w:rsidRDefault="005B1E83" w:rsidP="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R.N.743</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B1E83" w:rsidRPr="003620E4" w:rsidRDefault="00482E23" w:rsidP="005B1E83">
            <w:pPr>
              <w:overflowPunct/>
              <w:autoSpaceDE/>
              <w:autoSpaceDN/>
              <w:adjustRightInd/>
              <w:rPr>
                <w:rFonts w:ascii="Times New Roman" w:hAnsi="Times New Roman"/>
                <w:color w:val="000000"/>
                <w:lang w:val="lt-LT" w:eastAsia="lt-LT"/>
              </w:rPr>
            </w:pPr>
            <w:r w:rsidRPr="003620E4">
              <w:rPr>
                <w:rFonts w:ascii="Times New Roman" w:hAnsi="Times New Roman"/>
              </w:rPr>
              <w:t>Pateiktos paraiškos dalyvauti  tarptautinėse ar regioninėse mokslinių tyrimų iniciatyvose</w:t>
            </w:r>
            <w:r w:rsidRPr="003620E4" w:rsidDel="00482E23">
              <w:rPr>
                <w:rFonts w:ascii="Times New Roman" w:hAnsi="Times New Roman"/>
                <w:lang w:val="lt-LT" w:eastAsia="lt-LT"/>
              </w:rPr>
              <w:t xml:space="preserve"> </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B1E83" w:rsidRPr="005B1E83" w:rsidRDefault="005B1E83" w:rsidP="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S</w:t>
            </w:r>
            <w:bookmarkStart w:id="0" w:name="_GoBack"/>
            <w:bookmarkEnd w:id="0"/>
            <w:r w:rsidRPr="005B1E83">
              <w:rPr>
                <w:rFonts w:ascii="Times New Roman" w:hAnsi="Times New Roman"/>
                <w:color w:val="000000"/>
                <w:lang w:val="lt-LT" w:eastAsia="lt-LT"/>
              </w:rPr>
              <w:t>kaičius</w:t>
            </w:r>
          </w:p>
        </w:tc>
        <w:tc>
          <w:tcPr>
            <w:tcW w:w="36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B1E83" w:rsidRPr="005B1E83" w:rsidRDefault="005B1E83" w:rsidP="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MTEPI – moksliniai tyrimai, eksperimentinė plėtra ir inovacijos.</w:t>
            </w:r>
          </w:p>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 </w:t>
            </w:r>
          </w:p>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Moksliniai tyrimai ir eksperimentinė (socialinė, kultūrinė) plėtra – sisteminga kūrybinė gamtos, žmogaus, kultūros ir visuomenės pažinimo veikla ir jos rezultatų panaudojimas (šaltinis: Lietuvos Respublikos mokslo ir studijų įstatymas).</w:t>
            </w:r>
          </w:p>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 </w:t>
            </w:r>
          </w:p>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Inovacija – naujų arba iš esmės patobulintų produktų (prekių ar paslaugų) arba procesų, naujų rinkodaros arba organizacinių metodų diegimas verslo praktikoje, organizacijoje arba plėtojant išorės ryšius (šaltinis: Lietuvos inovacijų plėtros 2014–2020 metų programa, patvirtinta Lietuvos Respublikos Vyriausybės 2013 m. gruodžio 18 d. nutarimu Nr. 1281 „Dėl Lietuvos inovacijų plėtros 2014–2020 metų programos patvirtinimo“).</w:t>
            </w:r>
          </w:p>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 </w:t>
            </w:r>
          </w:p>
          <w:p w:rsidR="005B1E83" w:rsidRPr="005B1E83" w:rsidRDefault="005B1E83">
            <w:pPr>
              <w:overflowPunct/>
              <w:autoSpaceDE/>
              <w:autoSpaceDN/>
              <w:adjustRightInd/>
              <w:rPr>
                <w:rFonts w:ascii="Times New Roman" w:hAnsi="Times New Roman"/>
                <w:color w:val="000000"/>
                <w:lang w:val="lt-LT" w:eastAsia="lt-LT"/>
              </w:rPr>
            </w:pPr>
          </w:p>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Tarptautinės ar regioninės mokslinių tyrimų iniciatyvos - tarptautinės MTEP programos (pvz. Horizontas 2020, Eureka, Eurostars, Cost, Bonus ir kt.) ar regionų plėtrai skirtos programos (pvz. ES Baltijos jūros regiono strategija, Europos teritorinio bendradarbiavimo tikslo (ETBT) programos ir kt.).</w:t>
            </w:r>
          </w:p>
          <w:p w:rsidR="005B1E83" w:rsidRPr="005B1E83" w:rsidRDefault="005B1E83">
            <w:pPr>
              <w:overflowPunct/>
              <w:autoSpaceDE/>
              <w:autoSpaceDN/>
              <w:adjustRightInd/>
              <w:rPr>
                <w:rFonts w:ascii="Times New Roman" w:hAnsi="Times New Roman"/>
                <w:color w:val="000000"/>
                <w:lang w:val="lt-LT" w:eastAsia="lt-LT"/>
              </w:rPr>
            </w:pPr>
          </w:p>
          <w:p w:rsidR="005B1E83" w:rsidRPr="005B1E83" w:rsidRDefault="005B1E83">
            <w:pPr>
              <w:overflowPunct/>
              <w:autoSpaceDE/>
              <w:autoSpaceDN/>
              <w:adjustRightInd/>
              <w:rPr>
                <w:rFonts w:ascii="Times New Roman" w:hAnsi="Times New Roman"/>
                <w:color w:val="000000"/>
                <w:lang w:val="lt-LT" w:eastAsia="lt-LT"/>
              </w:rPr>
            </w:pPr>
          </w:p>
          <w:p w:rsidR="005B1E83" w:rsidRPr="005B1E83" w:rsidRDefault="005B1E83">
            <w:pPr>
              <w:overflowPunct/>
              <w:autoSpaceDE/>
              <w:autoSpaceDN/>
              <w:adjustRightInd/>
              <w:rPr>
                <w:rFonts w:ascii="Times New Roman" w:hAnsi="Times New Roman"/>
                <w:color w:val="00000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Skaičiuojamas sumuojant pateiktas paraiškas dėl dalyvavimo tarptautinėse ar regioninėse mokslinių tyrimų iniciatyvose per 5 metus nuo projekto veiklų pabaigos pateiktos paraiškos (paraiškų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Pirminiai šaltiniai:</w:t>
            </w:r>
          </w:p>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Pateiktos paraiškos dėl dalyvavimo tarptautinėse  ar regioninėse mokslinių tyrimų iniciatyvose.</w:t>
            </w:r>
          </w:p>
          <w:p w:rsidR="005B1E83" w:rsidRPr="005B1E83" w:rsidRDefault="005B1E83">
            <w:pPr>
              <w:overflowPunct/>
              <w:autoSpaceDE/>
              <w:autoSpaceDN/>
              <w:adjustRightInd/>
              <w:rPr>
                <w:rFonts w:ascii="Times New Roman" w:hAnsi="Times New Roman"/>
                <w:color w:val="000000"/>
                <w:lang w:val="lt-LT" w:eastAsia="lt-LT"/>
              </w:rPr>
            </w:pPr>
          </w:p>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Antriniai šaltiniai: mokėjimo prašymai.</w:t>
            </w:r>
          </w:p>
        </w:tc>
        <w:tc>
          <w:tcPr>
            <w:tcW w:w="1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Stebėsenos rodiklis laikomas pasiektu, kai per 5 metus nuo projekto veiklų pabaigos pateiktos paraiškos dėl dalyvavimo tarptautinėse  ar regioninėse mokslinių tyrimų iniciatyvose.</w:t>
            </w:r>
          </w:p>
        </w:tc>
        <w:tc>
          <w:tcPr>
            <w:tcW w:w="14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B1E83" w:rsidRPr="005B1E83" w:rsidRDefault="005B1E83">
            <w:pPr>
              <w:overflowPunct/>
              <w:autoSpaceDE/>
              <w:autoSpaceDN/>
              <w:adjustRightInd/>
              <w:rPr>
                <w:rFonts w:ascii="Times New Roman" w:hAnsi="Times New Roman"/>
                <w:color w:val="000000"/>
                <w:lang w:val="lt-LT" w:eastAsia="lt-LT"/>
              </w:rPr>
            </w:pPr>
            <w:r w:rsidRPr="005B1E83">
              <w:rPr>
                <w:rFonts w:ascii="Times New Roman" w:hAnsi="Times New Roman"/>
                <w:color w:val="000000"/>
                <w:lang w:val="lt-LT" w:eastAsia="lt-LT"/>
              </w:rPr>
              <w:t>Už stebėsenos rodiklio pasiekimą ir duomenų apie pasiektą stebėsenos rodiklio reikšmę teikimą antriniuose šaltiniuose yra atsakingas projekto vykdytojas.</w:t>
            </w:r>
          </w:p>
        </w:tc>
      </w:tr>
    </w:tbl>
    <w:p w:rsidR="000C2E9E" w:rsidRPr="005B1E83" w:rsidRDefault="000C2E9E" w:rsidP="000C2E9E">
      <w:pPr>
        <w:rPr>
          <w:lang w:val="lt-LT"/>
        </w:rPr>
      </w:pPr>
    </w:p>
    <w:p w:rsidR="006C6503" w:rsidRPr="005B1E83" w:rsidRDefault="006C6503">
      <w:pPr>
        <w:rPr>
          <w:lang w:val="lt-LT"/>
        </w:rPr>
      </w:pPr>
    </w:p>
    <w:sectPr w:rsidR="006C6503" w:rsidRPr="005B1E83" w:rsidSect="00B1120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44B" w:rsidRDefault="005E444B" w:rsidP="005B1E83">
      <w:r>
        <w:separator/>
      </w:r>
    </w:p>
  </w:endnote>
  <w:endnote w:type="continuationSeparator" w:id="0">
    <w:p w:rsidR="005E444B" w:rsidRDefault="005E444B" w:rsidP="005B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44B" w:rsidRDefault="005E444B" w:rsidP="005B1E83">
      <w:r>
        <w:separator/>
      </w:r>
    </w:p>
  </w:footnote>
  <w:footnote w:type="continuationSeparator" w:id="0">
    <w:p w:rsidR="005E444B" w:rsidRDefault="005E444B" w:rsidP="005B1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F2FC0"/>
    <w:multiLevelType w:val="hybridMultilevel"/>
    <w:tmpl w:val="2ACE7E52"/>
    <w:lvl w:ilvl="0" w:tplc="593609E0">
      <w:start w:val="2"/>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15:restartNumberingAfterBreak="0">
    <w:nsid w:val="28BA31E2"/>
    <w:multiLevelType w:val="hybridMultilevel"/>
    <w:tmpl w:val="C5DC34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92"/>
    <w:rsid w:val="000101D7"/>
    <w:rsid w:val="00066879"/>
    <w:rsid w:val="00075443"/>
    <w:rsid w:val="000C2E9E"/>
    <w:rsid w:val="00250615"/>
    <w:rsid w:val="003620E4"/>
    <w:rsid w:val="003A2370"/>
    <w:rsid w:val="003C4C29"/>
    <w:rsid w:val="00482E23"/>
    <w:rsid w:val="005B1544"/>
    <w:rsid w:val="005B1E83"/>
    <w:rsid w:val="005E444B"/>
    <w:rsid w:val="00624F74"/>
    <w:rsid w:val="00627192"/>
    <w:rsid w:val="006C6503"/>
    <w:rsid w:val="00733599"/>
    <w:rsid w:val="00740E51"/>
    <w:rsid w:val="007C3A45"/>
    <w:rsid w:val="008B1934"/>
    <w:rsid w:val="009F5F32"/>
    <w:rsid w:val="00A25833"/>
    <w:rsid w:val="00DD46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E3482-651E-4465-A4E5-C971D34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2370"/>
    <w:pPr>
      <w:overflowPunct w:val="0"/>
      <w:autoSpaceDE w:val="0"/>
      <w:autoSpaceDN w:val="0"/>
      <w:adjustRightInd w:val="0"/>
      <w:spacing w:after="0" w:line="240" w:lineRule="auto"/>
    </w:pPr>
    <w:rPr>
      <w:rFonts w:ascii="HelveticaLT" w:eastAsia="Times New Roman" w:hAnsi="HelveticaLT"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A2370"/>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A2370"/>
    <w:pPr>
      <w:overflowPunct/>
      <w:autoSpaceDE/>
      <w:autoSpaceDN/>
      <w:adjustRightInd/>
      <w:ind w:left="720" w:firstLine="720"/>
      <w:contextualSpacing/>
    </w:pPr>
    <w:rPr>
      <w:rFonts w:ascii="Arial" w:hAnsi="Arial" w:cs="Arial"/>
      <w:szCs w:val="24"/>
      <w:lang w:val="lt-LT" w:eastAsia="lt-LT"/>
    </w:rPr>
  </w:style>
  <w:style w:type="table" w:styleId="Lentelstinklelis">
    <w:name w:val="Table Grid"/>
    <w:basedOn w:val="prastojilentel"/>
    <w:uiPriority w:val="59"/>
    <w:rsid w:val="003A2370"/>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D46D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46D3"/>
    <w:rPr>
      <w:rFonts w:ascii="Segoe UI" w:eastAsia="Times New Roman" w:hAnsi="Segoe UI" w:cs="Segoe UI"/>
      <w:sz w:val="18"/>
      <w:szCs w:val="18"/>
      <w:lang w:val="en-GB"/>
    </w:rPr>
  </w:style>
  <w:style w:type="character" w:styleId="Grietas">
    <w:name w:val="Strong"/>
    <w:basedOn w:val="Numatytasispastraiposriftas"/>
    <w:uiPriority w:val="22"/>
    <w:qFormat/>
    <w:rsid w:val="000C2E9E"/>
    <w:rPr>
      <w:b/>
      <w:bCs/>
    </w:rPr>
  </w:style>
  <w:style w:type="paragraph" w:styleId="Antrats">
    <w:name w:val="header"/>
    <w:basedOn w:val="prastasis"/>
    <w:link w:val="AntratsDiagrama"/>
    <w:uiPriority w:val="99"/>
    <w:unhideWhenUsed/>
    <w:rsid w:val="005B1E83"/>
    <w:pPr>
      <w:tabs>
        <w:tab w:val="center" w:pos="4819"/>
        <w:tab w:val="right" w:pos="9638"/>
      </w:tabs>
    </w:pPr>
  </w:style>
  <w:style w:type="character" w:customStyle="1" w:styleId="AntratsDiagrama">
    <w:name w:val="Antraštės Diagrama"/>
    <w:basedOn w:val="Numatytasispastraiposriftas"/>
    <w:link w:val="Antrats"/>
    <w:uiPriority w:val="99"/>
    <w:rsid w:val="005B1E83"/>
    <w:rPr>
      <w:rFonts w:ascii="HelveticaLT" w:eastAsia="Times New Roman" w:hAnsi="HelveticaLT" w:cs="Times New Roman"/>
      <w:sz w:val="20"/>
      <w:szCs w:val="20"/>
      <w:lang w:val="en-GB"/>
    </w:rPr>
  </w:style>
  <w:style w:type="paragraph" w:styleId="Porat">
    <w:name w:val="footer"/>
    <w:basedOn w:val="prastasis"/>
    <w:link w:val="PoratDiagrama"/>
    <w:uiPriority w:val="99"/>
    <w:unhideWhenUsed/>
    <w:rsid w:val="005B1E83"/>
    <w:pPr>
      <w:tabs>
        <w:tab w:val="center" w:pos="4819"/>
        <w:tab w:val="right" w:pos="9638"/>
      </w:tabs>
    </w:pPr>
  </w:style>
  <w:style w:type="character" w:customStyle="1" w:styleId="PoratDiagrama">
    <w:name w:val="Poraštė Diagrama"/>
    <w:basedOn w:val="Numatytasispastraiposriftas"/>
    <w:link w:val="Porat"/>
    <w:uiPriority w:val="99"/>
    <w:rsid w:val="005B1E83"/>
    <w:rPr>
      <w:rFonts w:ascii="HelveticaLT" w:eastAsia="Times New Roman" w:hAnsi="Helvetica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61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Aspektas">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DE695-3B8E-4BEC-877C-55D87E31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4110</Words>
  <Characters>2343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Sabaitė Jolanta</dc:creator>
  <cp:keywords/>
  <dc:description/>
  <cp:lastModifiedBy>Čepas Vytautas</cp:lastModifiedBy>
  <cp:revision>3</cp:revision>
  <dcterms:created xsi:type="dcterms:W3CDTF">2016-09-27T10:32:00Z</dcterms:created>
  <dcterms:modified xsi:type="dcterms:W3CDTF">2016-09-27T10:35:00Z</dcterms:modified>
</cp:coreProperties>
</file>