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0D" w:rsidRPr="00AA3324" w:rsidRDefault="0058300D" w:rsidP="0058300D">
      <w:pPr>
        <w:spacing w:after="0" w:line="240" w:lineRule="auto"/>
        <w:ind w:left="10490"/>
        <w:jc w:val="both"/>
        <w:rPr>
          <w:rFonts w:ascii="Times New Roman" w:hAnsi="Times New Roman" w:cs="Times New Roman"/>
        </w:rPr>
      </w:pPr>
      <w:r w:rsidRPr="00AA3324">
        <w:rPr>
          <w:rFonts w:ascii="Times New Roman" w:hAnsi="Times New Roman" w:cs="Times New Roman"/>
        </w:rPr>
        <w:t>FORMAI PRITARTA</w:t>
      </w:r>
    </w:p>
    <w:p w:rsidR="0058300D" w:rsidRDefault="0058300D" w:rsidP="0058300D">
      <w:pPr>
        <w:ind w:left="10490"/>
        <w:jc w:val="both"/>
        <w:rPr>
          <w:rFonts w:ascii="Times New Roman" w:hAnsi="Times New Roman" w:cs="Times New Roman"/>
        </w:rPr>
      </w:pPr>
      <w:r w:rsidRPr="00AA3324">
        <w:rPr>
          <w:rFonts w:ascii="Times New Roman" w:hAnsi="Times New Roman" w:cs="Times New Roman"/>
        </w:rPr>
        <w:t>2014-2020 m. Europos Sąjungos struktūrinės paramos administravimo darbo grupės, sudarytos Lietuvos Respublikos finansų ministro 2013 m. liepos 11 d. įsakymu Nr. 1K-243 „Dėl darbo grupės sudarymo“, 2013 m. lapkričio 5 d. posėdžio protokolu Nr. 3</w:t>
      </w:r>
    </w:p>
    <w:p w:rsidR="0058300D" w:rsidRPr="00D41A47" w:rsidRDefault="0058300D" w:rsidP="0058300D">
      <w:pPr>
        <w:tabs>
          <w:tab w:val="left" w:pos="567"/>
        </w:tabs>
        <w:spacing w:after="0" w:line="240" w:lineRule="auto"/>
        <w:ind w:left="284"/>
        <w:jc w:val="center"/>
        <w:rPr>
          <w:rFonts w:ascii="Times New Roman" w:hAnsi="Times New Roman"/>
          <w:sz w:val="24"/>
          <w:szCs w:val="24"/>
        </w:rPr>
      </w:pPr>
      <w:r>
        <w:rPr>
          <w:rFonts w:ascii="Times New Roman" w:hAnsi="Times New Roman"/>
          <w:sz w:val="24"/>
          <w:szCs w:val="24"/>
        </w:rPr>
        <w:t xml:space="preserve">2. </w:t>
      </w:r>
      <w:r w:rsidRPr="00D41A47">
        <w:rPr>
          <w:rFonts w:ascii="Times New Roman" w:hAnsi="Times New Roman"/>
          <w:sz w:val="24"/>
          <w:szCs w:val="24"/>
        </w:rPr>
        <w:t>PRIORITETAS</w:t>
      </w:r>
    </w:p>
    <w:p w:rsidR="0058300D" w:rsidRPr="00D41A47" w:rsidRDefault="0058300D" w:rsidP="0058300D">
      <w:pPr>
        <w:tabs>
          <w:tab w:val="left" w:pos="567"/>
        </w:tabs>
        <w:spacing w:after="0" w:line="240" w:lineRule="auto"/>
        <w:ind w:left="644"/>
        <w:jc w:val="center"/>
        <w:rPr>
          <w:rFonts w:ascii="Times New Roman" w:hAnsi="Times New Roman"/>
          <w:sz w:val="24"/>
          <w:szCs w:val="24"/>
        </w:rPr>
      </w:pPr>
      <w:r w:rsidRPr="00D41A47">
        <w:rPr>
          <w:rFonts w:ascii="Times New Roman" w:hAnsi="Times New Roman"/>
          <w:sz w:val="24"/>
          <w:szCs w:val="24"/>
        </w:rPr>
        <w:t>2.1. Prioritetą įgyvendinantis uždavinys</w:t>
      </w:r>
    </w:p>
    <w:p w:rsidR="00930AE8" w:rsidRDefault="0058300D" w:rsidP="0058300D">
      <w:pPr>
        <w:jc w:val="center"/>
        <w:rPr>
          <w:rFonts w:ascii="Times New Roman" w:hAnsi="Times New Roman"/>
          <w:sz w:val="24"/>
          <w:szCs w:val="24"/>
        </w:rPr>
      </w:pPr>
      <w:r w:rsidRPr="00D41A47">
        <w:rPr>
          <w:rFonts w:ascii="Times New Roman" w:hAnsi="Times New Roman"/>
          <w:sz w:val="24"/>
          <w:szCs w:val="24"/>
        </w:rPr>
        <w:t>Priemonės Nr. „...“ aprašymas</w:t>
      </w:r>
    </w:p>
    <w:p w:rsidR="0058300D" w:rsidRPr="00D41A47" w:rsidRDefault="0058300D" w:rsidP="0058300D">
      <w:pPr>
        <w:pStyle w:val="Antrat1"/>
        <w:numPr>
          <w:ilvl w:val="0"/>
          <w:numId w:val="0"/>
        </w:numPr>
        <w:tabs>
          <w:tab w:val="left" w:pos="709"/>
        </w:tabs>
        <w:ind w:left="720"/>
        <w:jc w:val="center"/>
        <w:rPr>
          <w:lang w:val="lt-LT"/>
        </w:rPr>
      </w:pPr>
      <w:r w:rsidRPr="00D41A47">
        <w:t>Kvietimų skelbimo ir projektų sąrašų sudarymo plano forma ir pildymo instrukcija</w:t>
      </w:r>
    </w:p>
    <w:p w:rsidR="0058300D" w:rsidRPr="00D41A47" w:rsidRDefault="0058300D" w:rsidP="0058300D">
      <w:pPr>
        <w:tabs>
          <w:tab w:val="left" w:pos="567"/>
        </w:tabs>
        <w:spacing w:after="0" w:line="240" w:lineRule="auto"/>
        <w:ind w:left="1647"/>
        <w:rPr>
          <w:rFonts w:ascii="Times New Roman" w:hAnsi="Times New Roman"/>
          <w:b/>
          <w:sz w:val="24"/>
          <w:szCs w:val="24"/>
        </w:rPr>
      </w:pPr>
    </w:p>
    <w:tbl>
      <w:tblPr>
        <w:tblW w:w="161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83"/>
        <w:gridCol w:w="2128"/>
        <w:gridCol w:w="1843"/>
        <w:gridCol w:w="1134"/>
        <w:gridCol w:w="992"/>
        <w:gridCol w:w="993"/>
        <w:gridCol w:w="992"/>
        <w:gridCol w:w="992"/>
        <w:gridCol w:w="1274"/>
        <w:gridCol w:w="1276"/>
        <w:gridCol w:w="994"/>
        <w:gridCol w:w="992"/>
        <w:gridCol w:w="992"/>
        <w:gridCol w:w="993"/>
      </w:tblGrid>
      <w:tr w:rsidR="0058300D" w:rsidRPr="00D41A47" w:rsidTr="00AB58F7">
        <w:trPr>
          <w:trHeight w:val="1449"/>
          <w:tblHeader/>
        </w:trPr>
        <w:tc>
          <w:tcPr>
            <w:tcW w:w="566" w:type="dxa"/>
            <w:gridSpan w:val="2"/>
            <w:vMerge w:val="restart"/>
            <w:shd w:val="clear" w:color="auto" w:fill="auto"/>
            <w:vAlign w:val="center"/>
          </w:tcPr>
          <w:p w:rsidR="0058300D" w:rsidRPr="00D41A47" w:rsidRDefault="0058300D" w:rsidP="00AB58F7">
            <w:pPr>
              <w:rPr>
                <w:rFonts w:ascii="Times New Roman" w:hAnsi="Times New Roman"/>
                <w:b/>
                <w:bCs/>
                <w:sz w:val="20"/>
                <w:szCs w:val="20"/>
              </w:rPr>
            </w:pPr>
            <w:proofErr w:type="spellStart"/>
            <w:r w:rsidRPr="00D41A47">
              <w:rPr>
                <w:rFonts w:ascii="Times New Roman" w:hAnsi="Times New Roman"/>
                <w:b/>
                <w:bCs/>
                <w:sz w:val="20"/>
                <w:szCs w:val="20"/>
              </w:rPr>
              <w:t>Eil</w:t>
            </w:r>
            <w:proofErr w:type="spellEnd"/>
            <w:r w:rsidRPr="00D41A47">
              <w:rPr>
                <w:rFonts w:ascii="Times New Roman" w:hAnsi="Times New Roman"/>
                <w:b/>
                <w:bCs/>
                <w:sz w:val="20"/>
                <w:szCs w:val="20"/>
              </w:rPr>
              <w:t xml:space="preserve"> nr.</w:t>
            </w:r>
          </w:p>
        </w:tc>
        <w:tc>
          <w:tcPr>
            <w:tcW w:w="2128" w:type="dxa"/>
            <w:vMerge w:val="restart"/>
            <w:shd w:val="clear" w:color="auto" w:fill="auto"/>
            <w:vAlign w:val="center"/>
          </w:tcPr>
          <w:p w:rsidR="0058300D" w:rsidRPr="00D41A47" w:rsidRDefault="0058300D" w:rsidP="00AB58F7">
            <w:pPr>
              <w:jc w:val="center"/>
              <w:rPr>
                <w:rFonts w:ascii="Times New Roman" w:hAnsi="Times New Roman"/>
                <w:b/>
                <w:bCs/>
                <w:sz w:val="20"/>
                <w:szCs w:val="20"/>
              </w:rPr>
            </w:pPr>
            <w:r w:rsidRPr="00D41A47">
              <w:rPr>
                <w:rFonts w:ascii="Times New Roman" w:hAnsi="Times New Roman"/>
                <w:b/>
                <w:bCs/>
                <w:sz w:val="20"/>
                <w:szCs w:val="20"/>
              </w:rPr>
              <w:t>VP prioritetą įgyvendinančios priemonės kodas</w:t>
            </w:r>
          </w:p>
        </w:tc>
        <w:tc>
          <w:tcPr>
            <w:tcW w:w="1843" w:type="dxa"/>
            <w:vMerge w:val="restart"/>
            <w:shd w:val="clear" w:color="auto" w:fill="auto"/>
            <w:vAlign w:val="center"/>
          </w:tcPr>
          <w:p w:rsidR="0058300D" w:rsidRPr="00D41A47" w:rsidRDefault="0058300D" w:rsidP="00AB58F7">
            <w:pPr>
              <w:jc w:val="center"/>
              <w:rPr>
                <w:rFonts w:ascii="Times New Roman" w:hAnsi="Times New Roman"/>
                <w:b/>
                <w:bCs/>
                <w:sz w:val="20"/>
                <w:szCs w:val="20"/>
              </w:rPr>
            </w:pPr>
            <w:r w:rsidRPr="00D41A47">
              <w:rPr>
                <w:rFonts w:ascii="Times New Roman" w:hAnsi="Times New Roman"/>
                <w:b/>
                <w:bCs/>
                <w:sz w:val="20"/>
                <w:szCs w:val="20"/>
              </w:rPr>
              <w:t>VP prioriteto įgyvendinimo priemonės pavadinimas</w:t>
            </w:r>
          </w:p>
        </w:tc>
        <w:tc>
          <w:tcPr>
            <w:tcW w:w="1134" w:type="dxa"/>
            <w:vMerge w:val="restart"/>
          </w:tcPr>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r w:rsidRPr="00D41A47">
              <w:rPr>
                <w:rFonts w:ascii="Times New Roman" w:hAnsi="Times New Roman"/>
                <w:b/>
                <w:bCs/>
                <w:sz w:val="20"/>
                <w:szCs w:val="20"/>
              </w:rPr>
              <w:t>Atrankos būdas</w:t>
            </w:r>
          </w:p>
        </w:tc>
        <w:tc>
          <w:tcPr>
            <w:tcW w:w="3969" w:type="dxa"/>
            <w:gridSpan w:val="4"/>
          </w:tcPr>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bCs/>
                <w:sz w:val="20"/>
                <w:szCs w:val="20"/>
              </w:rPr>
            </w:pPr>
          </w:p>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bCs/>
                <w:sz w:val="20"/>
                <w:szCs w:val="20"/>
              </w:rPr>
              <w:t>Priemonei skirtas finansavimas (litais)</w:t>
            </w:r>
          </w:p>
        </w:tc>
        <w:tc>
          <w:tcPr>
            <w:tcW w:w="1274" w:type="dxa"/>
            <w:vMerge w:val="restart"/>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Valstybės / regionų projektų sąrašo (-ų), kvietimo (-ų) paskelbimo teikti paraiškas arba finansinio instrumento numeris</w:t>
            </w:r>
          </w:p>
        </w:tc>
        <w:tc>
          <w:tcPr>
            <w:tcW w:w="1276" w:type="dxa"/>
            <w:vMerge w:val="restart"/>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Planuojama</w:t>
            </w:r>
            <w:r w:rsidRPr="00D41A47">
              <w:rPr>
                <w:rFonts w:ascii="Times New Roman" w:hAnsi="Times New Roman"/>
                <w:sz w:val="20"/>
                <w:szCs w:val="20"/>
              </w:rPr>
              <w:t xml:space="preserve"> </w:t>
            </w:r>
            <w:r w:rsidRPr="00D41A47">
              <w:rPr>
                <w:rFonts w:ascii="Times New Roman" w:hAnsi="Times New Roman"/>
                <w:b/>
                <w:sz w:val="20"/>
                <w:szCs w:val="20"/>
              </w:rPr>
              <w:t>valstybės / regionų projektų sąrašo (-ų), kvietimo (-ų) teikti paraiškas paskelbimo arba finansinio instrumento veikimo pradžios data</w:t>
            </w:r>
          </w:p>
        </w:tc>
        <w:tc>
          <w:tcPr>
            <w:tcW w:w="3971" w:type="dxa"/>
            <w:gridSpan w:val="4"/>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p>
          <w:p w:rsidR="0058300D" w:rsidRPr="00D41A47" w:rsidRDefault="0058300D" w:rsidP="00AB58F7">
            <w:pPr>
              <w:tabs>
                <w:tab w:val="left" w:pos="567"/>
              </w:tabs>
              <w:spacing w:after="0" w:line="240" w:lineRule="auto"/>
              <w:jc w:val="center"/>
              <w:rPr>
                <w:rFonts w:ascii="Times New Roman" w:hAnsi="Times New Roman"/>
                <w:b/>
                <w:sz w:val="20"/>
                <w:szCs w:val="20"/>
              </w:rPr>
            </w:pPr>
          </w:p>
          <w:p w:rsidR="0058300D" w:rsidRPr="00D41A47" w:rsidRDefault="0058300D" w:rsidP="00AB58F7">
            <w:pPr>
              <w:tabs>
                <w:tab w:val="left" w:pos="567"/>
              </w:tabs>
              <w:spacing w:after="0" w:line="240" w:lineRule="auto"/>
              <w:jc w:val="center"/>
              <w:rPr>
                <w:rFonts w:ascii="Times New Roman" w:hAnsi="Times New Roman"/>
                <w:b/>
                <w:sz w:val="20"/>
                <w:szCs w:val="20"/>
              </w:rPr>
            </w:pPr>
          </w:p>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 xml:space="preserve">Finansavimo šaltiniai </w:t>
            </w:r>
            <w:r w:rsidRPr="00D41A47">
              <w:rPr>
                <w:rFonts w:ascii="Times New Roman" w:hAnsi="Times New Roman"/>
                <w:b/>
                <w:bCs/>
                <w:sz w:val="20"/>
                <w:szCs w:val="20"/>
              </w:rPr>
              <w:t>(litais)</w:t>
            </w:r>
          </w:p>
        </w:tc>
      </w:tr>
      <w:tr w:rsidR="0058300D" w:rsidRPr="00D41A47" w:rsidTr="00AB58F7">
        <w:trPr>
          <w:trHeight w:val="2573"/>
          <w:tblHeader/>
        </w:trPr>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jc w:val="center"/>
              <w:rPr>
                <w:rFonts w:ascii="Times New Roman" w:hAnsi="Times New Roman"/>
                <w:bCs/>
                <w:sz w:val="16"/>
                <w:szCs w:val="18"/>
              </w:rPr>
            </w:pPr>
          </w:p>
        </w:tc>
        <w:tc>
          <w:tcPr>
            <w:tcW w:w="992" w:type="dxa"/>
            <w:vAlign w:val="center"/>
          </w:tcPr>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szCs w:val="18"/>
              </w:rPr>
              <w:t xml:space="preserve"> Iš viso</w:t>
            </w:r>
          </w:p>
        </w:tc>
        <w:tc>
          <w:tcPr>
            <w:tcW w:w="993" w:type="dxa"/>
            <w:shd w:val="clear" w:color="auto" w:fill="auto"/>
            <w:vAlign w:val="center"/>
          </w:tcPr>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szCs w:val="18"/>
              </w:rPr>
              <w:t>ES fondų lėšos</w:t>
            </w:r>
          </w:p>
        </w:tc>
        <w:tc>
          <w:tcPr>
            <w:tcW w:w="992" w:type="dxa"/>
            <w:vAlign w:val="center"/>
          </w:tcPr>
          <w:p w:rsidR="0058300D" w:rsidRPr="00D41A47" w:rsidRDefault="0058300D" w:rsidP="00AB58F7">
            <w:pPr>
              <w:jc w:val="center"/>
              <w:rPr>
                <w:rFonts w:ascii="Times New Roman" w:hAnsi="Times New Roman"/>
                <w:bCs/>
                <w:sz w:val="16"/>
                <w:szCs w:val="24"/>
              </w:rPr>
            </w:pPr>
            <w:r w:rsidRPr="00D41A47">
              <w:rPr>
                <w:rFonts w:ascii="Times New Roman" w:hAnsi="Times New Roman"/>
                <w:bCs/>
                <w:sz w:val="16"/>
              </w:rPr>
              <w:t>Valstybės biudžeto lėšos</w:t>
            </w:r>
          </w:p>
        </w:tc>
        <w:tc>
          <w:tcPr>
            <w:tcW w:w="992" w:type="dxa"/>
            <w:shd w:val="clear" w:color="auto" w:fill="auto"/>
            <w:vAlign w:val="center"/>
          </w:tcPr>
          <w:p w:rsidR="0058300D" w:rsidRPr="00D41A47" w:rsidRDefault="0058300D" w:rsidP="00AB58F7">
            <w:pPr>
              <w:jc w:val="center"/>
              <w:rPr>
                <w:rFonts w:ascii="Times New Roman" w:hAnsi="Times New Roman"/>
                <w:bCs/>
                <w:sz w:val="16"/>
                <w:szCs w:val="24"/>
              </w:rPr>
            </w:pPr>
            <w:r w:rsidRPr="00D41A47">
              <w:rPr>
                <w:rFonts w:ascii="Times New Roman" w:hAnsi="Times New Roman"/>
                <w:bCs/>
                <w:sz w:val="16"/>
              </w:rPr>
              <w:t>Projektų vykdytojų lėšos</w:t>
            </w:r>
          </w:p>
        </w:tc>
        <w:tc>
          <w:tcPr>
            <w:tcW w:w="1274" w:type="dxa"/>
            <w:vMerge/>
            <w:shd w:val="clear" w:color="auto" w:fill="auto"/>
            <w:vAlign w:val="center"/>
          </w:tcPr>
          <w:p w:rsidR="0058300D" w:rsidRPr="00D41A47" w:rsidRDefault="0058300D" w:rsidP="00AB58F7">
            <w:pPr>
              <w:jc w:val="center"/>
              <w:rPr>
                <w:rFonts w:ascii="Times New Roman" w:hAnsi="Times New Roman"/>
                <w:bCs/>
                <w:sz w:val="24"/>
                <w:szCs w:val="24"/>
              </w:rPr>
            </w:pPr>
          </w:p>
        </w:tc>
        <w:tc>
          <w:tcPr>
            <w:tcW w:w="1276" w:type="dxa"/>
            <w:vMerge/>
            <w:shd w:val="clear" w:color="auto" w:fill="auto"/>
            <w:vAlign w:val="center"/>
          </w:tcPr>
          <w:p w:rsidR="0058300D" w:rsidRPr="00D41A47" w:rsidRDefault="0058300D" w:rsidP="00AB58F7">
            <w:pPr>
              <w:jc w:val="center"/>
              <w:rPr>
                <w:rFonts w:ascii="Times New Roman" w:hAnsi="Times New Roman"/>
                <w:bCs/>
                <w:sz w:val="24"/>
                <w:szCs w:val="24"/>
              </w:rPr>
            </w:pPr>
          </w:p>
        </w:tc>
        <w:tc>
          <w:tcPr>
            <w:tcW w:w="994" w:type="dxa"/>
            <w:shd w:val="clear" w:color="auto" w:fill="auto"/>
            <w:vAlign w:val="center"/>
          </w:tcPr>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szCs w:val="18"/>
              </w:rPr>
              <w:t xml:space="preserve"> Iš viso</w:t>
            </w:r>
          </w:p>
        </w:tc>
        <w:tc>
          <w:tcPr>
            <w:tcW w:w="992" w:type="dxa"/>
            <w:shd w:val="clear" w:color="auto" w:fill="auto"/>
            <w:vAlign w:val="center"/>
          </w:tcPr>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szCs w:val="18"/>
              </w:rPr>
              <w:t>ES fondų lėšos</w:t>
            </w:r>
          </w:p>
        </w:tc>
        <w:tc>
          <w:tcPr>
            <w:tcW w:w="992" w:type="dxa"/>
            <w:shd w:val="clear" w:color="auto" w:fill="auto"/>
            <w:vAlign w:val="center"/>
          </w:tcPr>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szCs w:val="18"/>
              </w:rPr>
              <w:t>Valstybės biudžeto lėšos</w:t>
            </w:r>
          </w:p>
        </w:tc>
        <w:tc>
          <w:tcPr>
            <w:tcW w:w="993" w:type="dxa"/>
          </w:tcPr>
          <w:p w:rsidR="0058300D" w:rsidRPr="00D41A47" w:rsidRDefault="0058300D" w:rsidP="00AB58F7">
            <w:pPr>
              <w:jc w:val="center"/>
              <w:rPr>
                <w:rFonts w:ascii="Times New Roman" w:hAnsi="Times New Roman"/>
                <w:bCs/>
                <w:sz w:val="16"/>
              </w:rPr>
            </w:pPr>
          </w:p>
          <w:p w:rsidR="0058300D" w:rsidRPr="00D41A47" w:rsidRDefault="0058300D" w:rsidP="00AB58F7">
            <w:pPr>
              <w:jc w:val="center"/>
              <w:rPr>
                <w:rFonts w:ascii="Times New Roman" w:hAnsi="Times New Roman"/>
                <w:bCs/>
                <w:sz w:val="16"/>
                <w:szCs w:val="18"/>
              </w:rPr>
            </w:pPr>
            <w:r w:rsidRPr="00D41A47">
              <w:rPr>
                <w:rFonts w:ascii="Times New Roman" w:hAnsi="Times New Roman"/>
                <w:bCs/>
                <w:sz w:val="16"/>
              </w:rPr>
              <w:t>Projektų vykdytojų lėšos</w:t>
            </w:r>
          </w:p>
        </w:tc>
      </w:tr>
      <w:tr w:rsidR="0058300D" w:rsidRPr="00D41A47" w:rsidTr="00AB58F7">
        <w:trPr>
          <w:trHeight w:val="70"/>
          <w:tblHeader/>
        </w:trPr>
        <w:tc>
          <w:tcPr>
            <w:tcW w:w="566" w:type="dxa"/>
            <w:gridSpan w:val="2"/>
            <w:shd w:val="clear" w:color="auto" w:fill="auto"/>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w:t>
            </w:r>
          </w:p>
        </w:tc>
        <w:tc>
          <w:tcPr>
            <w:tcW w:w="2128" w:type="dxa"/>
            <w:shd w:val="clear" w:color="auto" w:fill="auto"/>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2</w:t>
            </w:r>
          </w:p>
        </w:tc>
        <w:tc>
          <w:tcPr>
            <w:tcW w:w="1843" w:type="dxa"/>
            <w:shd w:val="clear" w:color="auto" w:fill="auto"/>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3</w:t>
            </w:r>
          </w:p>
        </w:tc>
        <w:tc>
          <w:tcPr>
            <w:tcW w:w="1134" w:type="dxa"/>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4</w:t>
            </w:r>
          </w:p>
        </w:tc>
        <w:tc>
          <w:tcPr>
            <w:tcW w:w="992" w:type="dxa"/>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5=6+7</w:t>
            </w:r>
          </w:p>
        </w:tc>
        <w:tc>
          <w:tcPr>
            <w:tcW w:w="993" w:type="dxa"/>
            <w:shd w:val="clear" w:color="auto" w:fill="auto"/>
            <w:vAlign w:val="center"/>
          </w:tcPr>
          <w:p w:rsidR="0058300D" w:rsidRPr="00D41A47" w:rsidRDefault="0058300D" w:rsidP="00AB58F7">
            <w:pPr>
              <w:jc w:val="center"/>
              <w:rPr>
                <w:rFonts w:ascii="Times New Roman" w:hAnsi="Times New Roman"/>
                <w:bCs/>
                <w:sz w:val="14"/>
                <w:szCs w:val="18"/>
                <w:lang w:val="en-GB"/>
              </w:rPr>
            </w:pPr>
            <w:r w:rsidRPr="00D41A47">
              <w:rPr>
                <w:rFonts w:ascii="Times New Roman" w:hAnsi="Times New Roman"/>
                <w:bCs/>
                <w:sz w:val="14"/>
                <w:szCs w:val="18"/>
              </w:rPr>
              <w:t>6</w:t>
            </w:r>
          </w:p>
        </w:tc>
        <w:tc>
          <w:tcPr>
            <w:tcW w:w="992" w:type="dxa"/>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7</w:t>
            </w:r>
          </w:p>
        </w:tc>
        <w:tc>
          <w:tcPr>
            <w:tcW w:w="992"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8</w:t>
            </w:r>
          </w:p>
        </w:tc>
        <w:tc>
          <w:tcPr>
            <w:tcW w:w="1274"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9</w:t>
            </w:r>
          </w:p>
        </w:tc>
        <w:tc>
          <w:tcPr>
            <w:tcW w:w="1276"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10</w:t>
            </w:r>
          </w:p>
        </w:tc>
        <w:tc>
          <w:tcPr>
            <w:tcW w:w="994"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11=12+13</w:t>
            </w:r>
          </w:p>
        </w:tc>
        <w:tc>
          <w:tcPr>
            <w:tcW w:w="992"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12</w:t>
            </w:r>
          </w:p>
        </w:tc>
        <w:tc>
          <w:tcPr>
            <w:tcW w:w="992" w:type="dxa"/>
            <w:shd w:val="clear" w:color="auto" w:fill="auto"/>
            <w:vAlign w:val="center"/>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13</w:t>
            </w:r>
          </w:p>
        </w:tc>
        <w:tc>
          <w:tcPr>
            <w:tcW w:w="993" w:type="dxa"/>
          </w:tcPr>
          <w:p w:rsidR="0058300D" w:rsidRPr="00D41A47" w:rsidRDefault="0058300D" w:rsidP="00AB58F7">
            <w:pPr>
              <w:jc w:val="center"/>
              <w:rPr>
                <w:rFonts w:ascii="Times New Roman" w:hAnsi="Times New Roman"/>
                <w:bCs/>
                <w:sz w:val="14"/>
                <w:szCs w:val="18"/>
              </w:rPr>
            </w:pPr>
            <w:r w:rsidRPr="00D41A47">
              <w:rPr>
                <w:rFonts w:ascii="Times New Roman" w:hAnsi="Times New Roman"/>
                <w:bCs/>
                <w:sz w:val="14"/>
                <w:szCs w:val="18"/>
              </w:rPr>
              <w:t>14</w:t>
            </w:r>
          </w:p>
        </w:tc>
      </w:tr>
      <w:tr w:rsidR="0058300D" w:rsidRPr="0058300D" w:rsidTr="0058300D">
        <w:trPr>
          <w:gridAfter w:val="14"/>
          <w:wAfter w:w="15878" w:type="dxa"/>
          <w:trHeight w:val="854"/>
        </w:trPr>
        <w:tc>
          <w:tcPr>
            <w:tcW w:w="283" w:type="dxa"/>
            <w:tcBorders>
              <w:left w:val="nil"/>
              <w:right w:val="nil"/>
            </w:tcBorders>
          </w:tcPr>
          <w:p w:rsidR="0058300D" w:rsidRPr="00D41A47" w:rsidRDefault="0058300D" w:rsidP="00AB58F7">
            <w:pPr>
              <w:rPr>
                <w:rFonts w:ascii="Times New Roman" w:hAnsi="Times New Roman"/>
                <w:b/>
                <w:bCs/>
                <w:i/>
                <w:sz w:val="20"/>
                <w:szCs w:val="20"/>
              </w:rPr>
            </w:pPr>
            <w:bookmarkStart w:id="0" w:name="_GoBack"/>
            <w:bookmarkEnd w:id="0"/>
          </w:p>
        </w:tc>
      </w:tr>
      <w:tr w:rsidR="0058300D" w:rsidRPr="00D41A47" w:rsidTr="00AB58F7">
        <w:tc>
          <w:tcPr>
            <w:tcW w:w="566" w:type="dxa"/>
            <w:gridSpan w:val="2"/>
            <w:vMerge w:val="restart"/>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lastRenderedPageBreak/>
              <w:t>1.</w:t>
            </w:r>
          </w:p>
        </w:tc>
        <w:tc>
          <w:tcPr>
            <w:tcW w:w="2128" w:type="dxa"/>
            <w:vMerge w:val="restart"/>
            <w:shd w:val="clear" w:color="auto" w:fill="auto"/>
          </w:tcPr>
          <w:p w:rsidR="0058300D" w:rsidRDefault="0058300D" w:rsidP="00AB58F7">
            <w:pPr>
              <w:tabs>
                <w:tab w:val="left" w:pos="567"/>
              </w:tabs>
              <w:spacing w:after="0" w:line="240" w:lineRule="auto"/>
              <w:jc w:val="center"/>
              <w:rPr>
                <w:rFonts w:ascii="Times New Roman" w:hAnsi="Times New Roman"/>
                <w:bCs/>
              </w:rPr>
            </w:pPr>
            <w:r w:rsidRPr="00D41A47">
              <w:rPr>
                <w:rFonts w:ascii="Times New Roman" w:eastAsia="Times New Roman" w:hAnsi="Times New Roman"/>
                <w:bCs/>
              </w:rPr>
              <w:t>11</w:t>
            </w:r>
            <w:r w:rsidRPr="00D41A47">
              <w:rPr>
                <w:rFonts w:ascii="Times New Roman" w:eastAsia="Times New Roman" w:hAnsi="Times New Roman"/>
                <w:bCs/>
                <w:lang w:val="en-US"/>
              </w:rPr>
              <w:t>.1</w:t>
            </w:r>
            <w:r w:rsidRPr="00D41A47">
              <w:rPr>
                <w:rFonts w:ascii="Times New Roman" w:hAnsi="Times New Roman"/>
                <w:bCs/>
              </w:rPr>
              <w:t>-</w:t>
            </w:r>
            <w:r>
              <w:rPr>
                <w:rFonts w:ascii="Times New Roman" w:hAnsi="Times New Roman"/>
                <w:bCs/>
              </w:rPr>
              <w:t>4-A.01-</w:t>
            </w:r>
          </w:p>
          <w:p w:rsidR="0058300D" w:rsidRPr="00D41A47" w:rsidRDefault="0058300D" w:rsidP="00AB58F7">
            <w:pPr>
              <w:tabs>
                <w:tab w:val="left" w:pos="567"/>
              </w:tabs>
              <w:spacing w:after="0" w:line="240" w:lineRule="auto"/>
              <w:jc w:val="center"/>
              <w:rPr>
                <w:rFonts w:ascii="Times New Roman" w:hAnsi="Times New Roman"/>
                <w:sz w:val="20"/>
                <w:szCs w:val="20"/>
              </w:rPr>
            </w:pPr>
            <w:r>
              <w:rPr>
                <w:rFonts w:ascii="Times New Roman" w:hAnsi="Times New Roman"/>
                <w:bCs/>
              </w:rPr>
              <w:t>ESFA-</w:t>
            </w:r>
            <w:r w:rsidRPr="00D41A47">
              <w:rPr>
                <w:rFonts w:ascii="Times New Roman" w:eastAsia="Times New Roman" w:hAnsi="Times New Roman"/>
                <w:bCs/>
                <w:lang w:val="en-US"/>
              </w:rPr>
              <w:t>K</w:t>
            </w:r>
          </w:p>
        </w:tc>
        <w:tc>
          <w:tcPr>
            <w:tcW w:w="1843" w:type="dxa"/>
            <w:vMerge w:val="restart"/>
            <w:shd w:val="clear" w:color="auto" w:fill="auto"/>
          </w:tcPr>
          <w:p w:rsidR="0058300D" w:rsidRPr="00D41A47" w:rsidRDefault="0058300D" w:rsidP="00AB58F7">
            <w:pPr>
              <w:tabs>
                <w:tab w:val="left" w:pos="567"/>
              </w:tabs>
              <w:spacing w:after="0" w:line="240" w:lineRule="auto"/>
              <w:rPr>
                <w:rFonts w:ascii="Times New Roman" w:hAnsi="Times New Roman"/>
                <w:sz w:val="20"/>
                <w:szCs w:val="20"/>
              </w:rPr>
            </w:pPr>
          </w:p>
        </w:tc>
        <w:tc>
          <w:tcPr>
            <w:tcW w:w="1134" w:type="dxa"/>
            <w:vMerge w:val="restart"/>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val="restart"/>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100</w:t>
            </w:r>
          </w:p>
        </w:tc>
        <w:tc>
          <w:tcPr>
            <w:tcW w:w="993" w:type="dxa"/>
            <w:vMerge w:val="restart"/>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85</w:t>
            </w:r>
          </w:p>
        </w:tc>
        <w:tc>
          <w:tcPr>
            <w:tcW w:w="992" w:type="dxa"/>
            <w:vMerge w:val="restart"/>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10</w:t>
            </w:r>
          </w:p>
        </w:tc>
        <w:tc>
          <w:tcPr>
            <w:tcW w:w="992" w:type="dxa"/>
            <w:vMerge w:val="restart"/>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5</w:t>
            </w:r>
          </w:p>
        </w:tc>
        <w:tc>
          <w:tcPr>
            <w:tcW w:w="2550" w:type="dxa"/>
            <w:gridSpan w:val="2"/>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Faktas</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17</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3</w:t>
            </w: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0</w:t>
            </w:r>
          </w:p>
        </w:tc>
      </w:tr>
      <w:tr w:rsidR="0058300D" w:rsidRPr="00D41A47" w:rsidTr="00AB58F7">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550" w:type="dxa"/>
            <w:gridSpan w:val="2"/>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N - N+3 metų planai:</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50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40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5</w:t>
            </w:r>
          </w:p>
        </w:tc>
        <w:tc>
          <w:tcPr>
            <w:tcW w:w="993" w:type="dxa"/>
          </w:tcPr>
          <w:p w:rsidR="0058300D" w:rsidRPr="00D41A47" w:rsidRDefault="0058300D" w:rsidP="00AB58F7">
            <w:pPr>
              <w:tabs>
                <w:tab w:val="left" w:pos="567"/>
              </w:tabs>
              <w:spacing w:after="0" w:line="240" w:lineRule="auto"/>
              <w:jc w:val="center"/>
              <w:rPr>
                <w:rFonts w:ascii="Times New Roman" w:hAnsi="Times New Roman"/>
                <w:b/>
                <w:sz w:val="20"/>
                <w:szCs w:val="20"/>
              </w:rPr>
            </w:pPr>
            <w:r w:rsidRPr="00D41A47">
              <w:rPr>
                <w:rFonts w:ascii="Times New Roman" w:hAnsi="Times New Roman"/>
                <w:b/>
                <w:sz w:val="20"/>
                <w:szCs w:val="20"/>
              </w:rPr>
              <w:t>5</w:t>
            </w:r>
          </w:p>
        </w:tc>
      </w:tr>
      <w:tr w:rsidR="0058300D" w:rsidRPr="00D41A47" w:rsidTr="00AB58F7">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w:t>
            </w:r>
          </w:p>
        </w:tc>
        <w:tc>
          <w:tcPr>
            <w:tcW w:w="1276"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 xml:space="preserve">2014 m. IV </w:t>
            </w:r>
            <w:proofErr w:type="spellStart"/>
            <w:r w:rsidRPr="00D41A47">
              <w:rPr>
                <w:rFonts w:ascii="Times New Roman" w:hAnsi="Times New Roman"/>
                <w:sz w:val="20"/>
                <w:szCs w:val="20"/>
              </w:rPr>
              <w:t>ketv</w:t>
            </w:r>
            <w:proofErr w:type="spellEnd"/>
            <w:r w:rsidRPr="00D41A47">
              <w:rPr>
                <w:rFonts w:ascii="Times New Roman" w:hAnsi="Times New Roman"/>
                <w:sz w:val="20"/>
                <w:szCs w:val="20"/>
              </w:rPr>
              <w:t>.</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17</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w:t>
            </w: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w:t>
            </w:r>
          </w:p>
        </w:tc>
      </w:tr>
      <w:tr w:rsidR="0058300D" w:rsidRPr="00D41A47" w:rsidTr="00AB58F7">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w:t>
            </w:r>
          </w:p>
        </w:tc>
        <w:tc>
          <w:tcPr>
            <w:tcW w:w="1276"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 xml:space="preserve">2015 m. </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6</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0</w:t>
            </w: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4</w:t>
            </w:r>
          </w:p>
        </w:tc>
      </w:tr>
      <w:tr w:rsidR="0058300D" w:rsidRPr="00D41A47" w:rsidTr="00AB58F7">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3.</w:t>
            </w:r>
          </w:p>
        </w:tc>
        <w:tc>
          <w:tcPr>
            <w:tcW w:w="1276"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2016 m.</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17</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3</w:t>
            </w: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0</w:t>
            </w:r>
          </w:p>
        </w:tc>
      </w:tr>
      <w:tr w:rsidR="0058300D" w:rsidRPr="00D41A47" w:rsidTr="00AB58F7">
        <w:tc>
          <w:tcPr>
            <w:tcW w:w="566" w:type="dxa"/>
            <w:gridSpan w:val="2"/>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vMerge/>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550" w:type="dxa"/>
            <w:gridSpan w:val="2"/>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Nesuplanuotas likutis</w:t>
            </w: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30</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28</w:t>
            </w: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w:t>
            </w: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0</w:t>
            </w:r>
          </w:p>
        </w:tc>
      </w:tr>
      <w:tr w:rsidR="0058300D" w:rsidRPr="00D41A47" w:rsidTr="00AB58F7">
        <w:trPr>
          <w:trHeight w:val="519"/>
        </w:trPr>
        <w:tc>
          <w:tcPr>
            <w:tcW w:w="566" w:type="dxa"/>
            <w:gridSpan w:val="2"/>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2.</w:t>
            </w:r>
          </w:p>
        </w:tc>
        <w:tc>
          <w:tcPr>
            <w:tcW w:w="2128"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6"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4"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2" w:type="dxa"/>
            <w:shd w:val="clear" w:color="auto" w:fill="auto"/>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993" w:type="dxa"/>
          </w:tcPr>
          <w:p w:rsidR="0058300D" w:rsidRPr="00D41A47" w:rsidRDefault="0058300D" w:rsidP="00AB58F7">
            <w:pPr>
              <w:tabs>
                <w:tab w:val="left" w:pos="567"/>
              </w:tabs>
              <w:spacing w:after="0" w:line="240" w:lineRule="auto"/>
              <w:jc w:val="center"/>
              <w:rPr>
                <w:rFonts w:ascii="Times New Roman" w:hAnsi="Times New Roman"/>
                <w:sz w:val="20"/>
                <w:szCs w:val="20"/>
              </w:rPr>
            </w:pPr>
          </w:p>
        </w:tc>
      </w:tr>
      <w:tr w:rsidR="0058300D" w:rsidRPr="00D41A47" w:rsidTr="00AB58F7">
        <w:trPr>
          <w:cantSplit/>
          <w:trHeight w:val="4516"/>
        </w:trPr>
        <w:tc>
          <w:tcPr>
            <w:tcW w:w="566" w:type="dxa"/>
            <w:gridSpan w:val="2"/>
            <w:vMerge w:val="restart"/>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lastRenderedPageBreak/>
              <w:t>Ei-lės nu-me-ris</w:t>
            </w:r>
          </w:p>
        </w:tc>
        <w:tc>
          <w:tcPr>
            <w:tcW w:w="2128" w:type="dxa"/>
            <w:vMerge w:val="restart"/>
            <w:tcBorders>
              <w:right w:val="single" w:sz="4" w:space="0" w:color="auto"/>
            </w:tcBorders>
            <w:shd w:val="clear" w:color="auto" w:fill="auto"/>
            <w:vAlign w:val="center"/>
          </w:tcPr>
          <w:p w:rsidR="0058300D" w:rsidRPr="00BB32E9" w:rsidRDefault="0058300D" w:rsidP="00AB58F7">
            <w:pPr>
              <w:tabs>
                <w:tab w:val="left" w:pos="567"/>
              </w:tabs>
              <w:spacing w:after="0" w:line="240" w:lineRule="auto"/>
              <w:jc w:val="center"/>
              <w:rPr>
                <w:rFonts w:ascii="Times New Roman" w:hAnsi="Times New Roman"/>
                <w:sz w:val="20"/>
                <w:szCs w:val="20"/>
              </w:rPr>
            </w:pPr>
            <w:r w:rsidRPr="00BB32E9">
              <w:rPr>
                <w:rFonts w:ascii="Times New Roman" w:hAnsi="Times New Roman"/>
                <w:sz w:val="18"/>
                <w:szCs w:val="20"/>
              </w:rPr>
              <w:t xml:space="preserve">Nurodomas </w:t>
            </w:r>
            <w:r w:rsidRPr="00BB32E9">
              <w:rPr>
                <w:rFonts w:ascii="Times New Roman" w:hAnsi="Times New Roman"/>
                <w:bCs/>
                <w:sz w:val="18"/>
                <w:szCs w:val="20"/>
              </w:rPr>
              <w:t xml:space="preserve">VP prioritetą įgyvendinančios priemonės kodas pagal </w:t>
            </w:r>
            <w:r w:rsidRPr="00BB32E9">
              <w:rPr>
                <w:rFonts w:ascii="Times New Roman" w:hAnsi="Times New Roman"/>
                <w:sz w:val="18"/>
                <w:szCs w:val="20"/>
              </w:rPr>
              <w:t>paraiškų dėl projektų finansavimo registravimo numerių ir kodų suteikimo taisykles.</w:t>
            </w:r>
            <w:r>
              <w:rPr>
                <w:rFonts w:ascii="Times New Roman" w:hAnsi="Times New Roman"/>
                <w:sz w:val="18"/>
                <w:szCs w:val="20"/>
              </w:rPr>
              <w:t xml:space="preserve"> </w:t>
            </w:r>
            <w:r w:rsidRPr="00BB32E9">
              <w:rPr>
                <w:rFonts w:ascii="Times New Roman" w:hAnsi="Times New Roman"/>
                <w:sz w:val="18"/>
                <w:szCs w:val="20"/>
              </w:rPr>
              <w:t>(pasirenkama iš SFMIS pateikiam</w:t>
            </w:r>
            <w:r>
              <w:rPr>
                <w:rFonts w:ascii="Times New Roman" w:hAnsi="Times New Roman"/>
                <w:sz w:val="18"/>
                <w:szCs w:val="20"/>
              </w:rPr>
              <w:t>o sąrašo, kuris generuojamas iš</w:t>
            </w:r>
            <w:r w:rsidRPr="00BB32E9">
              <w:rPr>
                <w:rFonts w:ascii="Times New Roman" w:hAnsi="Times New Roman"/>
                <w:sz w:val="18"/>
                <w:szCs w:val="20"/>
              </w:rPr>
              <w:t xml:space="preserve"> tam tikros ministerijos patvirtintame </w:t>
            </w:r>
            <w:r w:rsidRPr="00BB32E9">
              <w:rPr>
                <w:rFonts w:ascii="Times New Roman" w:hAnsi="Times New Roman"/>
                <w:bCs/>
                <w:sz w:val="18"/>
                <w:szCs w:val="20"/>
              </w:rPr>
              <w:t>Priemonių įgyvendinimo plane nurodytų priemonių kodų sąrašo</w:t>
            </w:r>
            <w:r w:rsidRPr="00BB32E9">
              <w:rPr>
                <w:rFonts w:ascii="Times New Roman" w:hAnsi="Times New Roman"/>
                <w:sz w:val="18"/>
                <w:szCs w:val="20"/>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 xml:space="preserve">Nurodomas </w:t>
            </w:r>
            <w:r w:rsidRPr="00D41A47">
              <w:rPr>
                <w:rFonts w:ascii="Times New Roman" w:hAnsi="Times New Roman"/>
                <w:bCs/>
                <w:sz w:val="20"/>
                <w:szCs w:val="20"/>
              </w:rPr>
              <w:t xml:space="preserve">VP prioritetą įgyvendinančios priemonės pavadinimas </w:t>
            </w:r>
            <w:r w:rsidRPr="00D41A47">
              <w:rPr>
                <w:rFonts w:ascii="Times New Roman" w:hAnsi="Times New Roman"/>
                <w:sz w:val="20"/>
                <w:szCs w:val="20"/>
              </w:rPr>
              <w:t>(</w:t>
            </w:r>
            <w:r w:rsidRPr="00D41A47">
              <w:rPr>
                <w:rFonts w:ascii="Times New Roman" w:hAnsi="Times New Roman"/>
                <w:bCs/>
                <w:sz w:val="20"/>
                <w:szCs w:val="20"/>
              </w:rPr>
              <w:t xml:space="preserve">stulpelio reikšmę SFMIS pildo automatiškai pagal SFMIS užpildyto Priemonių įgyvendinimo plano duomenis, juos atrenkant pagal nurodytą </w:t>
            </w:r>
            <w:r w:rsidRPr="00D41A47">
              <w:rPr>
                <w:rFonts w:ascii="Times New Roman" w:hAnsi="Times New Roman"/>
                <w:sz w:val="20"/>
                <w:szCs w:val="20"/>
              </w:rPr>
              <w:t>priemonės kodą)</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Nurodo-</w:t>
            </w:r>
            <w:proofErr w:type="spellStart"/>
            <w:r w:rsidRPr="00D41A47">
              <w:rPr>
                <w:rFonts w:ascii="Times New Roman" w:hAnsi="Times New Roman"/>
                <w:sz w:val="20"/>
                <w:szCs w:val="20"/>
              </w:rPr>
              <w:t>mas</w:t>
            </w:r>
            <w:proofErr w:type="spellEnd"/>
            <w:r w:rsidRPr="00D41A47">
              <w:rPr>
                <w:rFonts w:ascii="Times New Roman" w:hAnsi="Times New Roman"/>
                <w:sz w:val="20"/>
                <w:szCs w:val="20"/>
              </w:rPr>
              <w:t xml:space="preserve"> atrankos būdas</w:t>
            </w:r>
          </w:p>
        </w:tc>
        <w:tc>
          <w:tcPr>
            <w:tcW w:w="3969" w:type="dxa"/>
            <w:gridSpan w:val="4"/>
            <w:vMerge w:val="restart"/>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sz w:val="20"/>
                <w:szCs w:val="20"/>
              </w:rPr>
              <w:t>Nurodomas priemonei skirtas finansavimas (litais) pagal Priemonių įgyvendinimo plane patvirtintus Priemonės finansavimo šaltinius (stulpelių reikšmes SFMIS pildo automatiškai pagal SFMIS užpildyto Priemonių įgyvendinimo plano 8 dalies duomenis, juos atrenkant pagal nurodytą priemonės kodą)</w:t>
            </w: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300D" w:rsidRPr="00D41A47" w:rsidRDefault="0058300D" w:rsidP="00AB58F7">
            <w:pPr>
              <w:rPr>
                <w:rFonts w:ascii="Times New Roman" w:hAnsi="Times New Roman"/>
                <w:bCs/>
                <w:sz w:val="20"/>
                <w:szCs w:val="20"/>
              </w:rPr>
            </w:pPr>
            <w:r w:rsidRPr="00D41A47">
              <w:rPr>
                <w:rFonts w:ascii="Times New Roman" w:hAnsi="Times New Roman"/>
                <w:sz w:val="20"/>
                <w:szCs w:val="20"/>
              </w:rPr>
              <w:t>Eilutėje „Faktas“ nurodomas iki ataskaitinio laikotarpio (metai-</w:t>
            </w:r>
            <w:proofErr w:type="spellStart"/>
            <w:r w:rsidRPr="00D41A47">
              <w:rPr>
                <w:rFonts w:ascii="Times New Roman" w:hAnsi="Times New Roman"/>
                <w:sz w:val="20"/>
                <w:szCs w:val="20"/>
              </w:rPr>
              <w:t>mėn-dd)</w:t>
            </w:r>
            <w:proofErr w:type="spellEnd"/>
            <w:r w:rsidRPr="00D41A47">
              <w:rPr>
                <w:rFonts w:ascii="Times New Roman" w:hAnsi="Times New Roman"/>
                <w:sz w:val="20"/>
                <w:szCs w:val="20"/>
              </w:rPr>
              <w:t xml:space="preserve"> pradžios paskelbtam (-</w:t>
            </w:r>
            <w:proofErr w:type="spellStart"/>
            <w:r w:rsidRPr="00D41A47">
              <w:rPr>
                <w:rFonts w:ascii="Times New Roman" w:hAnsi="Times New Roman"/>
                <w:sz w:val="20"/>
                <w:szCs w:val="20"/>
              </w:rPr>
              <w:t>iems</w:t>
            </w:r>
            <w:proofErr w:type="spellEnd"/>
            <w:r w:rsidRPr="00D41A47">
              <w:rPr>
                <w:rFonts w:ascii="Times New Roman" w:hAnsi="Times New Roman"/>
                <w:sz w:val="20"/>
                <w:szCs w:val="20"/>
              </w:rPr>
              <w:t>) valstybės/ regionų projektų sąrašui (-</w:t>
            </w:r>
            <w:proofErr w:type="spellStart"/>
            <w:r w:rsidRPr="00D41A47">
              <w:rPr>
                <w:rFonts w:ascii="Times New Roman" w:hAnsi="Times New Roman"/>
                <w:sz w:val="20"/>
                <w:szCs w:val="20"/>
              </w:rPr>
              <w:t>ams</w:t>
            </w:r>
            <w:proofErr w:type="spellEnd"/>
            <w:r w:rsidRPr="00D41A47">
              <w:rPr>
                <w:rFonts w:ascii="Times New Roman" w:hAnsi="Times New Roman"/>
                <w:sz w:val="20"/>
                <w:szCs w:val="20"/>
              </w:rPr>
              <w:t>) arba kvietimui (-</w:t>
            </w:r>
            <w:proofErr w:type="spellStart"/>
            <w:r w:rsidRPr="00D41A47">
              <w:rPr>
                <w:rFonts w:ascii="Times New Roman" w:hAnsi="Times New Roman"/>
                <w:sz w:val="20"/>
                <w:szCs w:val="20"/>
              </w:rPr>
              <w:t>ams</w:t>
            </w:r>
            <w:proofErr w:type="spellEnd"/>
            <w:r w:rsidRPr="00D41A47">
              <w:rPr>
                <w:rFonts w:ascii="Times New Roman" w:hAnsi="Times New Roman"/>
                <w:sz w:val="20"/>
                <w:szCs w:val="20"/>
              </w:rPr>
              <w:t xml:space="preserve">) teikti paraiškas skirtas finansavimas litais pagal finansavimo šaltinius. </w:t>
            </w:r>
            <w:r w:rsidRPr="00D41A47">
              <w:rPr>
                <w:rFonts w:ascii="Times New Roman" w:hAnsi="Times New Roman"/>
                <w:bCs/>
                <w:sz w:val="20"/>
                <w:szCs w:val="20"/>
              </w:rPr>
              <w:t>Eilutės reikšmės SFMIS suteikiamos automatiškai, įvertinus iki ataskaitinio laikotarpio paskelbto (-ų) valstybės projektų sąrašo (-ų) arba kvietimo (-ų) teikti paraiškas finansavimo šaltinius arba sudarytų sutarčių vertes, jei tokios buvo sudarytos, arba panaudotas lėšas, jei projektai baigti.</w:t>
            </w:r>
          </w:p>
          <w:p w:rsidR="0058300D" w:rsidRPr="00D41A47" w:rsidRDefault="0058300D" w:rsidP="00AB58F7">
            <w:pPr>
              <w:tabs>
                <w:tab w:val="left" w:pos="567"/>
              </w:tabs>
              <w:spacing w:after="0" w:line="240" w:lineRule="auto"/>
              <w:jc w:val="center"/>
              <w:rPr>
                <w:rFonts w:ascii="Times New Roman" w:hAnsi="Times New Roman"/>
                <w:sz w:val="20"/>
                <w:szCs w:val="20"/>
              </w:rPr>
            </w:pPr>
          </w:p>
        </w:tc>
      </w:tr>
      <w:tr w:rsidR="0058300D" w:rsidRPr="00D41A47" w:rsidTr="00AB58F7">
        <w:trPr>
          <w:cantSplit/>
          <w:trHeight w:val="4502"/>
        </w:trPr>
        <w:tc>
          <w:tcPr>
            <w:tcW w:w="566" w:type="dxa"/>
            <w:gridSpan w:val="2"/>
            <w:vMerge/>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tcBorders>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65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8300D" w:rsidRPr="00D41A47" w:rsidRDefault="0058300D" w:rsidP="00AB58F7">
            <w:pPr>
              <w:rPr>
                <w:rFonts w:ascii="Times New Roman" w:hAnsi="Times New Roman"/>
                <w:bCs/>
                <w:sz w:val="20"/>
                <w:szCs w:val="20"/>
              </w:rPr>
            </w:pPr>
            <w:r w:rsidRPr="00D41A47">
              <w:rPr>
                <w:rFonts w:ascii="Times New Roman" w:hAnsi="Times New Roman"/>
                <w:bCs/>
                <w:sz w:val="20"/>
                <w:szCs w:val="20"/>
              </w:rPr>
              <w:t>Eilutėje „N - N+3 metų planai:“ nurodomas bendras planuojamiems kvietimams ir projektų sąrašams planuojamas skirti finansavimas litais pagal finansavimo šaltinius. Eilutės reikšmės SFMIS suteikiamos automatiškai.</w:t>
            </w:r>
          </w:p>
        </w:tc>
      </w:tr>
      <w:tr w:rsidR="0058300D" w:rsidRPr="00D41A47" w:rsidTr="00AB58F7">
        <w:trPr>
          <w:cantSplit/>
          <w:trHeight w:val="13799"/>
        </w:trPr>
        <w:tc>
          <w:tcPr>
            <w:tcW w:w="566" w:type="dxa"/>
            <w:gridSpan w:val="2"/>
            <w:vMerge/>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tcBorders>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3969" w:type="dxa"/>
            <w:gridSpan w:val="4"/>
            <w:vMerge/>
            <w:tcBorders>
              <w:top w:val="single" w:sz="4" w:space="0" w:color="auto"/>
              <w:left w:val="single" w:sz="4" w:space="0" w:color="auto"/>
              <w:bottom w:val="single" w:sz="4" w:space="0" w:color="auto"/>
              <w:right w:val="single" w:sz="4" w:space="0" w:color="auto"/>
            </w:tcBorders>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274" w:type="dxa"/>
            <w:tcBorders>
              <w:top w:val="single" w:sz="4" w:space="0" w:color="auto"/>
              <w:left w:val="single" w:sz="4" w:space="0" w:color="auto"/>
              <w:right w:val="single" w:sz="4" w:space="0" w:color="auto"/>
            </w:tcBorders>
            <w:shd w:val="clear" w:color="auto" w:fill="auto"/>
            <w:vAlign w:val="center"/>
          </w:tcPr>
          <w:p w:rsidR="0058300D" w:rsidRPr="00D41A47" w:rsidRDefault="0058300D" w:rsidP="00AB58F7">
            <w:pPr>
              <w:jc w:val="center"/>
              <w:rPr>
                <w:rFonts w:ascii="Times New Roman" w:hAnsi="Times New Roman"/>
                <w:sz w:val="20"/>
                <w:szCs w:val="20"/>
              </w:rPr>
            </w:pPr>
            <w:r w:rsidRPr="00D41A47">
              <w:rPr>
                <w:rFonts w:ascii="Times New Roman" w:hAnsi="Times New Roman"/>
                <w:sz w:val="20"/>
                <w:szCs w:val="20"/>
              </w:rPr>
              <w:t xml:space="preserve">Nurodomas valstybės/ regionų projektų sąrašo (-ų), kvietimo (-ų) teikti paraiškas arba finansinio instrumento numeris (stulpelio reikšmę SFMIS suteikia </w:t>
            </w:r>
            <w:proofErr w:type="spellStart"/>
            <w:r w:rsidRPr="00D41A47">
              <w:rPr>
                <w:rFonts w:ascii="Times New Roman" w:hAnsi="Times New Roman"/>
                <w:sz w:val="20"/>
                <w:szCs w:val="20"/>
              </w:rPr>
              <w:t>automa-</w:t>
            </w:r>
            <w:proofErr w:type="spellEnd"/>
            <w:r w:rsidRPr="00D41A47">
              <w:rPr>
                <w:rFonts w:ascii="Times New Roman" w:hAnsi="Times New Roman"/>
                <w:sz w:val="20"/>
                <w:szCs w:val="20"/>
              </w:rPr>
              <w:t xml:space="preserve"> tiškai)</w:t>
            </w:r>
          </w:p>
        </w:tc>
        <w:tc>
          <w:tcPr>
            <w:tcW w:w="1276" w:type="dxa"/>
            <w:tcBorders>
              <w:top w:val="single" w:sz="4" w:space="0" w:color="auto"/>
              <w:left w:val="single" w:sz="4" w:space="0" w:color="auto"/>
              <w:right w:val="single" w:sz="4" w:space="0" w:color="auto"/>
            </w:tcBorders>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r w:rsidRPr="00D41A47">
              <w:rPr>
                <w:rFonts w:ascii="Times New Roman" w:hAnsi="Times New Roman"/>
                <w:bCs/>
                <w:sz w:val="20"/>
                <w:szCs w:val="20"/>
              </w:rPr>
              <w:t xml:space="preserve">Eilutėse pagal </w:t>
            </w:r>
            <w:r w:rsidRPr="00D41A47">
              <w:rPr>
                <w:rFonts w:ascii="Times New Roman" w:hAnsi="Times New Roman"/>
                <w:sz w:val="20"/>
                <w:szCs w:val="20"/>
              </w:rPr>
              <w:t xml:space="preserve">kvietimus nurodoma planuojama valstybės projektų sąrašo (-ų), kvietimo (-ų) teikti paraiškas paskelbimo, finansinio instrumento veikimo pradžios data arba regionų priemonių apraše nurodytas terminas, iki kurio turi būti patvirtinti regionų projektų sąrašai. Jei tai planuojama atlikti per metus nuo ataskaitinio laikotarpio, nurodomi metai ir ketvirtis, jei vėliau – tik metai (pavyzdžiui, kai planas atnaujinamas 2014 m. birželio 15 d., stulpelyje nurodoma informacija teikiama ketvirčių tikslumu iki 2015 m. II </w:t>
            </w:r>
            <w:proofErr w:type="spellStart"/>
            <w:r w:rsidRPr="00D41A47">
              <w:rPr>
                <w:rFonts w:ascii="Times New Roman" w:hAnsi="Times New Roman"/>
                <w:sz w:val="20"/>
                <w:szCs w:val="20"/>
              </w:rPr>
              <w:t>ketv</w:t>
            </w:r>
            <w:proofErr w:type="spellEnd"/>
            <w:r w:rsidRPr="00D41A47">
              <w:rPr>
                <w:rFonts w:ascii="Times New Roman" w:hAnsi="Times New Roman"/>
                <w:sz w:val="20"/>
                <w:szCs w:val="20"/>
              </w:rPr>
              <w:t>. , po to nurodomi 2015 m., 2016 m.). eilučių reikšmės pildomos rankiniu būdu.</w:t>
            </w:r>
          </w:p>
        </w:tc>
        <w:tc>
          <w:tcPr>
            <w:tcW w:w="3971" w:type="dxa"/>
            <w:gridSpan w:val="4"/>
            <w:tcBorders>
              <w:top w:val="single" w:sz="4" w:space="0" w:color="auto"/>
              <w:left w:val="single" w:sz="4" w:space="0" w:color="auto"/>
              <w:right w:val="single" w:sz="4" w:space="0" w:color="auto"/>
            </w:tcBorders>
            <w:shd w:val="clear" w:color="auto" w:fill="auto"/>
            <w:vAlign w:val="center"/>
          </w:tcPr>
          <w:p w:rsidR="0058300D" w:rsidRPr="00D41A47" w:rsidRDefault="0058300D" w:rsidP="00AB58F7">
            <w:pPr>
              <w:rPr>
                <w:rFonts w:ascii="Times New Roman" w:hAnsi="Times New Roman"/>
                <w:sz w:val="20"/>
                <w:szCs w:val="20"/>
              </w:rPr>
            </w:pPr>
            <w:r w:rsidRPr="00D41A47">
              <w:rPr>
                <w:rFonts w:ascii="Times New Roman" w:hAnsi="Times New Roman"/>
                <w:bCs/>
                <w:sz w:val="20"/>
                <w:szCs w:val="20"/>
              </w:rPr>
              <w:t>Eilutėse pagal kvietimus n</w:t>
            </w:r>
            <w:r w:rsidRPr="00D41A47">
              <w:rPr>
                <w:rFonts w:ascii="Times New Roman" w:hAnsi="Times New Roman"/>
                <w:sz w:val="20"/>
                <w:szCs w:val="20"/>
              </w:rPr>
              <w:t>urodomi valstybės/ regionų projektų sąrašo (-ų) arba kvietimo (-ų) teikti paraiškas finansavimo šaltiniai (litais). 11 ir 12 stulpeliai pildomi rankiniu būdu, 10 stulpelio reikšmė SFMIS suteikiama automatiškai.</w:t>
            </w:r>
          </w:p>
          <w:p w:rsidR="0058300D" w:rsidRPr="00D41A47" w:rsidRDefault="0058300D" w:rsidP="00AB58F7">
            <w:pPr>
              <w:rPr>
                <w:rFonts w:ascii="Times New Roman" w:hAnsi="Times New Roman"/>
                <w:sz w:val="20"/>
                <w:szCs w:val="20"/>
              </w:rPr>
            </w:pPr>
          </w:p>
        </w:tc>
      </w:tr>
      <w:tr w:rsidR="0058300D" w:rsidRPr="00D41A47" w:rsidTr="00AB58F7">
        <w:trPr>
          <w:cantSplit/>
          <w:trHeight w:val="1854"/>
        </w:trPr>
        <w:tc>
          <w:tcPr>
            <w:tcW w:w="566" w:type="dxa"/>
            <w:gridSpan w:val="2"/>
            <w:vMerge/>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2128" w:type="dxa"/>
            <w:vMerge/>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843" w:type="dxa"/>
            <w:vMerge/>
            <w:shd w:val="clear" w:color="auto" w:fill="auto"/>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1134" w:type="dxa"/>
            <w:vMerge/>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3969" w:type="dxa"/>
            <w:gridSpan w:val="4"/>
            <w:vMerge/>
            <w:vAlign w:val="center"/>
          </w:tcPr>
          <w:p w:rsidR="0058300D" w:rsidRPr="00D41A47" w:rsidRDefault="0058300D" w:rsidP="00AB58F7">
            <w:pPr>
              <w:tabs>
                <w:tab w:val="left" w:pos="567"/>
              </w:tabs>
              <w:spacing w:after="0" w:line="240" w:lineRule="auto"/>
              <w:jc w:val="center"/>
              <w:rPr>
                <w:rFonts w:ascii="Times New Roman" w:hAnsi="Times New Roman"/>
                <w:sz w:val="20"/>
                <w:szCs w:val="20"/>
              </w:rPr>
            </w:pPr>
          </w:p>
        </w:tc>
        <w:tc>
          <w:tcPr>
            <w:tcW w:w="6521" w:type="dxa"/>
            <w:gridSpan w:val="6"/>
            <w:shd w:val="clear" w:color="auto" w:fill="auto"/>
            <w:vAlign w:val="center"/>
          </w:tcPr>
          <w:p w:rsidR="0058300D" w:rsidRPr="00D41A47" w:rsidRDefault="0058300D" w:rsidP="00AB58F7">
            <w:pPr>
              <w:rPr>
                <w:rFonts w:ascii="Times New Roman" w:hAnsi="Times New Roman"/>
                <w:sz w:val="20"/>
                <w:szCs w:val="20"/>
              </w:rPr>
            </w:pPr>
            <w:r w:rsidRPr="00D41A47">
              <w:rPr>
                <w:rFonts w:ascii="Times New Roman" w:hAnsi="Times New Roman"/>
                <w:sz w:val="20"/>
                <w:szCs w:val="20"/>
              </w:rPr>
              <w:t>Eilutėje „Nesuplanuotas likutis“ nurodomas likutis, kuriam valstybės/ regionų projektų sąrašas (-ai) arba kvietimas (-ai) teikti paraiškas bus paskelbti po ataskaitinio laikotarpio (N+3 metai-</w:t>
            </w:r>
            <w:proofErr w:type="spellStart"/>
            <w:r w:rsidRPr="00D41A47">
              <w:rPr>
                <w:rFonts w:ascii="Times New Roman" w:hAnsi="Times New Roman"/>
                <w:sz w:val="20"/>
                <w:szCs w:val="20"/>
              </w:rPr>
              <w:t>mėn-dd)</w:t>
            </w:r>
            <w:proofErr w:type="spellEnd"/>
            <w:r w:rsidRPr="00D41A47">
              <w:rPr>
                <w:rFonts w:ascii="Times New Roman" w:hAnsi="Times New Roman"/>
                <w:sz w:val="20"/>
                <w:szCs w:val="20"/>
              </w:rPr>
              <w:t xml:space="preserve"> pabaigos (litais). Stulpelio reikšmės SFMIS suteikiamos automatiškai, įvertinus iki ataskaitinio laikotarpio paskelbto (-ų) valstybės/ regionų projektų sąrašo (-ų) arba kvietimo (-ų) teikti paraiškas finansavimo šaltinius arba sudarytų sutarčių vertes, jei tokios buvo sudarytos, arba panaudotas lėšas, jei projektai baigti.</w:t>
            </w:r>
          </w:p>
          <w:p w:rsidR="0058300D" w:rsidRPr="00D41A47" w:rsidRDefault="0058300D" w:rsidP="00AB58F7">
            <w:pPr>
              <w:rPr>
                <w:rFonts w:ascii="Times New Roman" w:hAnsi="Times New Roman"/>
                <w:bCs/>
                <w:sz w:val="20"/>
                <w:szCs w:val="20"/>
              </w:rPr>
            </w:pPr>
          </w:p>
        </w:tc>
      </w:tr>
    </w:tbl>
    <w:p w:rsidR="0058300D" w:rsidRPr="00D41A47" w:rsidRDefault="0058300D" w:rsidP="0058300D">
      <w:pPr>
        <w:rPr>
          <w:rFonts w:ascii="Times New Roman" w:hAnsi="Times New Roman"/>
          <w:sz w:val="24"/>
          <w:szCs w:val="24"/>
        </w:rPr>
      </w:pPr>
    </w:p>
    <w:p w:rsidR="0058300D" w:rsidRDefault="0058300D" w:rsidP="0058300D">
      <w:pPr>
        <w:jc w:val="center"/>
      </w:pPr>
    </w:p>
    <w:sectPr w:rsidR="0058300D" w:rsidSect="0058300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C5925"/>
    <w:multiLevelType w:val="multilevel"/>
    <w:tmpl w:val="28D0297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nsid w:val="568F65BD"/>
    <w:multiLevelType w:val="hybridMultilevel"/>
    <w:tmpl w:val="8E3E6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A0F5C1B"/>
    <w:multiLevelType w:val="multilevel"/>
    <w:tmpl w:val="48CABC28"/>
    <w:lvl w:ilvl="0">
      <w:start w:val="1"/>
      <w:numFmt w:val="decimal"/>
      <w:pStyle w:val="Antrat1"/>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95"/>
    <w:rsid w:val="0058300D"/>
    <w:rsid w:val="006B1895"/>
    <w:rsid w:val="00930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300D"/>
  </w:style>
  <w:style w:type="paragraph" w:styleId="Antrat1">
    <w:name w:val="heading 1"/>
    <w:basedOn w:val="prastasis"/>
    <w:next w:val="prastasis"/>
    <w:link w:val="Antrat1Diagrama"/>
    <w:uiPriority w:val="9"/>
    <w:qFormat/>
    <w:rsid w:val="0058300D"/>
    <w:pPr>
      <w:numPr>
        <w:numId w:val="2"/>
      </w:numPr>
      <w:spacing w:line="240" w:lineRule="exact"/>
      <w:jc w:val="both"/>
      <w:outlineLvl w:val="0"/>
    </w:pPr>
    <w:rPr>
      <w:rFonts w:ascii="Times New Roman" w:eastAsia="Calibri" w:hAnsi="Times New Roman" w:cs="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00D"/>
    <w:rPr>
      <w:rFonts w:ascii="Times New Roman" w:eastAsia="Calibri" w:hAnsi="Times New Roman" w:cs="Times New Roman"/>
      <w:b/>
      <w:sz w:val="28"/>
      <w:szCs w:val="2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300D"/>
  </w:style>
  <w:style w:type="paragraph" w:styleId="Antrat1">
    <w:name w:val="heading 1"/>
    <w:basedOn w:val="prastasis"/>
    <w:next w:val="prastasis"/>
    <w:link w:val="Antrat1Diagrama"/>
    <w:uiPriority w:val="9"/>
    <w:qFormat/>
    <w:rsid w:val="0058300D"/>
    <w:pPr>
      <w:numPr>
        <w:numId w:val="2"/>
      </w:numPr>
      <w:spacing w:line="240" w:lineRule="exact"/>
      <w:jc w:val="both"/>
      <w:outlineLvl w:val="0"/>
    </w:pPr>
    <w:rPr>
      <w:rFonts w:ascii="Times New Roman" w:eastAsia="Calibri" w:hAnsi="Times New Roman" w:cs="Times New Roman"/>
      <w:b/>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00D"/>
    <w:rPr>
      <w:rFonts w:ascii="Times New Roman" w:eastAsia="Calibri" w:hAnsi="Times New Roman" w:cs="Times New Roman"/>
      <w:b/>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8E60-3FDB-47AE-95DF-D6AA01F3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2878</Words>
  <Characters>1641</Characters>
  <Application>Microsoft Office Word</Application>
  <DocSecurity>0</DocSecurity>
  <Lines>13</Lines>
  <Paragraphs>9</Paragraphs>
  <ScaleCrop>false</ScaleCrop>
  <Company>FM</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 Robertas Gervė</dc:creator>
  <cp:keywords/>
  <dc:description/>
  <cp:lastModifiedBy>Praktika Robertas Gervė</cp:lastModifiedBy>
  <cp:revision>2</cp:revision>
  <dcterms:created xsi:type="dcterms:W3CDTF">2015-02-26T09:12:00Z</dcterms:created>
  <dcterms:modified xsi:type="dcterms:W3CDTF">2015-02-26T09:16:00Z</dcterms:modified>
</cp:coreProperties>
</file>