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E2" w:rsidRPr="00827E02" w:rsidRDefault="00AC48E2" w:rsidP="002138A0">
      <w:pPr>
        <w:tabs>
          <w:tab w:val="left" w:pos="6379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27E02">
        <w:rPr>
          <w:rFonts w:ascii="Times New Roman" w:hAnsi="Times New Roman"/>
          <w:sz w:val="24"/>
          <w:szCs w:val="24"/>
        </w:rPr>
        <w:t xml:space="preserve">2014–2020 metų Europos Sąjungos </w:t>
      </w:r>
      <w:r w:rsidR="00F53658" w:rsidRPr="00827E02">
        <w:rPr>
          <w:rFonts w:ascii="Times New Roman" w:hAnsi="Times New Roman"/>
          <w:sz w:val="24"/>
          <w:szCs w:val="24"/>
        </w:rPr>
        <w:t xml:space="preserve">fondų </w:t>
      </w:r>
      <w:r w:rsidRPr="00827E02">
        <w:rPr>
          <w:rFonts w:ascii="Times New Roman" w:hAnsi="Times New Roman"/>
          <w:sz w:val="24"/>
          <w:szCs w:val="24"/>
        </w:rPr>
        <w:t xml:space="preserve">investicijų veiksmų programos </w:t>
      </w:r>
      <w:r w:rsidR="00827E02" w:rsidRPr="00827E02">
        <w:rPr>
          <w:rFonts w:ascii="Times New Roman" w:hAnsi="Times New Roman"/>
          <w:sz w:val="24"/>
          <w:szCs w:val="24"/>
        </w:rPr>
        <w:t xml:space="preserve">4 prioriteto „Energijos efektyvumo ir atsinaujinančių išteklių energijos gamybos ir naudojimo skatinimas“ </w:t>
      </w:r>
      <w:r w:rsidR="00827E02" w:rsidRPr="00827E02">
        <w:rPr>
          <w:rFonts w:ascii="Times New Roman" w:eastAsia="Times New Roman" w:hAnsi="Times New Roman"/>
          <w:bCs/>
          <w:sz w:val="24"/>
          <w:szCs w:val="24"/>
        </w:rPr>
        <w:t>04.5.1</w:t>
      </w:r>
      <w:r w:rsidR="00827E02" w:rsidRPr="00827E02">
        <w:rPr>
          <w:rFonts w:ascii="Times New Roman" w:hAnsi="Times New Roman"/>
          <w:bCs/>
          <w:sz w:val="24"/>
          <w:szCs w:val="24"/>
        </w:rPr>
        <w:t>-TID</w:t>
      </w:r>
      <w:proofErr w:type="gramStart"/>
      <w:r w:rsidR="00827E02" w:rsidRPr="00827E02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827E02" w:rsidRPr="00827E02">
        <w:rPr>
          <w:rFonts w:ascii="Times New Roman" w:hAnsi="Times New Roman"/>
          <w:bCs/>
          <w:sz w:val="24"/>
          <w:szCs w:val="24"/>
        </w:rPr>
        <w:t>V-515</w:t>
      </w:r>
      <w:r w:rsidR="00827E02" w:rsidRPr="00827E02">
        <w:rPr>
          <w:rFonts w:ascii="Times New Roman" w:hAnsi="Times New Roman"/>
          <w:sz w:val="24"/>
          <w:szCs w:val="24"/>
        </w:rPr>
        <w:t xml:space="preserve"> priemonės „</w:t>
      </w:r>
      <w:r w:rsidR="00827E02" w:rsidRPr="00827E02">
        <w:rPr>
          <w:rFonts w:ascii="Times New Roman" w:eastAsia="Times New Roman" w:hAnsi="Times New Roman"/>
          <w:sz w:val="24"/>
          <w:szCs w:val="24"/>
          <w:lang w:eastAsia="lt-LT"/>
        </w:rPr>
        <w:t>Elektromobilių įkrovimo prieigų tinklo kūrimas</w:t>
      </w:r>
      <w:r w:rsidR="00827E02" w:rsidRPr="00827E02">
        <w:rPr>
          <w:rFonts w:ascii="Times New Roman" w:hAnsi="Times New Roman"/>
          <w:sz w:val="24"/>
          <w:szCs w:val="24"/>
        </w:rPr>
        <w:t>“</w:t>
      </w:r>
      <w:r w:rsidR="00827E02">
        <w:rPr>
          <w:rFonts w:ascii="Times New Roman" w:hAnsi="Times New Roman"/>
          <w:sz w:val="24"/>
          <w:szCs w:val="24"/>
        </w:rPr>
        <w:t xml:space="preserve"> </w:t>
      </w:r>
      <w:r w:rsidRPr="00827E02">
        <w:rPr>
          <w:rFonts w:ascii="Times New Roman" w:hAnsi="Times New Roman"/>
          <w:sz w:val="24"/>
          <w:szCs w:val="24"/>
        </w:rPr>
        <w:t xml:space="preserve">projektų finansavimo sąlygų aprašo pagrindimo </w:t>
      </w:r>
    </w:p>
    <w:p w:rsidR="00AC48E2" w:rsidRPr="00827E02" w:rsidRDefault="00AC48E2" w:rsidP="002138A0">
      <w:pPr>
        <w:tabs>
          <w:tab w:val="left" w:pos="6379"/>
        </w:tabs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27E02">
        <w:rPr>
          <w:rFonts w:ascii="Times New Roman" w:hAnsi="Times New Roman"/>
          <w:sz w:val="24"/>
          <w:szCs w:val="24"/>
        </w:rPr>
        <w:t>2 priedas</w:t>
      </w:r>
    </w:p>
    <w:p w:rsidR="00D270DE" w:rsidRPr="00881C29" w:rsidRDefault="00D270DE" w:rsidP="00193627">
      <w:pPr>
        <w:jc w:val="center"/>
        <w:rPr>
          <w:rFonts w:ascii="Times New Roman" w:hAnsi="Times New Roman"/>
          <w:b/>
          <w:sz w:val="24"/>
          <w:szCs w:val="24"/>
        </w:rPr>
      </w:pPr>
      <w:r w:rsidRPr="00881C29">
        <w:rPr>
          <w:rFonts w:ascii="Times New Roman" w:hAnsi="Times New Roman"/>
          <w:b/>
          <w:sz w:val="24"/>
          <w:szCs w:val="24"/>
        </w:rPr>
        <w:t xml:space="preserve">HORIZONTALIŲJŲ PRINCIPŲ </w:t>
      </w:r>
      <w:r w:rsidR="00487034" w:rsidRPr="00881C29">
        <w:rPr>
          <w:rFonts w:ascii="Times New Roman" w:hAnsi="Times New Roman"/>
          <w:b/>
          <w:sz w:val="24"/>
          <w:szCs w:val="24"/>
        </w:rPr>
        <w:t xml:space="preserve">TAIKYMO </w:t>
      </w:r>
      <w:r w:rsidR="00EE3E8D" w:rsidRPr="00881C29">
        <w:rPr>
          <w:rFonts w:ascii="Times New Roman" w:hAnsi="Times New Roman"/>
          <w:b/>
          <w:sz w:val="24"/>
          <w:szCs w:val="24"/>
        </w:rPr>
        <w:t>ANALIZĖ</w:t>
      </w:r>
    </w:p>
    <w:p w:rsidR="00F9793D" w:rsidRPr="00F6049C" w:rsidRDefault="00D81DF3" w:rsidP="00193627">
      <w:pPr>
        <w:pStyle w:val="Sraopastraip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6049C">
        <w:rPr>
          <w:rFonts w:ascii="Times New Roman" w:hAnsi="Times New Roman"/>
          <w:sz w:val="24"/>
          <w:szCs w:val="24"/>
        </w:rPr>
        <w:t xml:space="preserve">MOTERŲ IR VYRŲ </w:t>
      </w:r>
      <w:r w:rsidR="0052429A" w:rsidRPr="00F6049C">
        <w:rPr>
          <w:rFonts w:ascii="Times New Roman" w:hAnsi="Times New Roman"/>
          <w:sz w:val="24"/>
          <w:szCs w:val="24"/>
        </w:rPr>
        <w:t>LYGYBĖ</w:t>
      </w:r>
      <w:r w:rsidR="00193627" w:rsidRPr="00F6049C">
        <w:rPr>
          <w:rFonts w:ascii="Times New Roman" w:hAnsi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54"/>
        <w:gridCol w:w="4110"/>
      </w:tblGrid>
      <w:tr w:rsidR="00D270DE" w:rsidRPr="00F6049C" w:rsidTr="00287972">
        <w:tc>
          <w:tcPr>
            <w:tcW w:w="670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54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10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635E" w:rsidRPr="00C421EE" w:rsidTr="00287972">
        <w:trPr>
          <w:trHeight w:val="1573"/>
        </w:trPr>
        <w:tc>
          <w:tcPr>
            <w:tcW w:w="670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</w:t>
            </w:r>
            <w:r w:rsidR="0013635E" w:rsidRPr="00C4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54" w:type="dxa"/>
            <w:shd w:val="clear" w:color="auto" w:fill="auto"/>
          </w:tcPr>
          <w:p w:rsidR="0013635E" w:rsidRPr="00C421EE" w:rsidRDefault="007C1C80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6968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numatytose intervencijų srityse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 w:rsidR="000820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naudos gavėjų grupėje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3912F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yra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susiduriama 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nelygyb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e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110" w:type="dxa"/>
            <w:shd w:val="clear" w:color="auto" w:fill="auto"/>
          </w:tcPr>
          <w:p w:rsidR="00811276" w:rsidRPr="00C421EE" w:rsidRDefault="003F7104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Ne.</w:t>
            </w:r>
            <w:r w:rsidR="00316D0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90261" w:rsidRPr="00C421EE" w:rsidRDefault="006A4CC2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Projektų investicijos nukreiptos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677E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į vi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ešąją transporto infrastruktūrą, kuria galės naudotis abiejų lyčių atstovai. 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yrim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apklaus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os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partnerių (ekspertų ir nevyriausybinių organizacijų (NVO</w:t>
            </w:r>
            <w:proofErr w:type="gramStart"/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))</w:t>
            </w:r>
            <w:proofErr w:type="gramEnd"/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apžvalg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os</w:t>
            </w:r>
            <w:r w:rsidR="00293A2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sektoriaus stebėsenos </w:t>
            </w:r>
            <w:r w:rsidR="00316D0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nebuvo</w:t>
            </w:r>
            <w:r w:rsidR="00811276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atliekami</w:t>
            </w:r>
            <w:r w:rsidR="00290AA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</w:tr>
      <w:tr w:rsidR="0013635E" w:rsidRPr="00C421EE" w:rsidTr="00287972">
        <w:tc>
          <w:tcPr>
            <w:tcW w:w="670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54" w:type="dxa"/>
            <w:shd w:val="clear" w:color="auto" w:fill="auto"/>
          </w:tcPr>
          <w:p w:rsidR="0013635E" w:rsidRPr="00C421EE" w:rsidRDefault="003912FE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2A3AE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602A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specialiųjų,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lygybe </w:t>
            </w:r>
            <w:r w:rsidR="008D28E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susijusių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poreikių?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taip, ar į juos buvo atsižvelgta rengiant PFSA?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Jei ne</w:t>
            </w:r>
            <w:r w:rsidR="000A491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atsižvelgta</w:t>
            </w:r>
            <w:r w:rsidR="008A63F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kodėl nebuvo į juos atsižvelgta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110" w:type="dxa"/>
            <w:shd w:val="clear" w:color="auto" w:fill="auto"/>
          </w:tcPr>
          <w:p w:rsidR="00FA77D8" w:rsidRPr="00C421EE" w:rsidRDefault="00156CA4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Netaikoma. </w:t>
            </w:r>
          </w:p>
        </w:tc>
      </w:tr>
      <w:tr w:rsidR="00855D72" w:rsidRPr="00C421EE" w:rsidTr="00287972">
        <w:tc>
          <w:tcPr>
            <w:tcW w:w="670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4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nustatytomis sąlygomis nebus diskriminuojama dėl lyties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E611B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moterys ir vyrai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6324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lygiomis teisėmis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pasinaudoti projekto metu sukurtais produktais ir rezultatais, taip pat dalyvauti projekto veiklose? </w:t>
            </w:r>
          </w:p>
        </w:tc>
        <w:tc>
          <w:tcPr>
            <w:tcW w:w="4110" w:type="dxa"/>
            <w:shd w:val="clear" w:color="auto" w:fill="auto"/>
          </w:tcPr>
          <w:p w:rsidR="0053561F" w:rsidRPr="00C421EE" w:rsidRDefault="008054D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9E69E5" w:rsidRPr="00C421EE" w:rsidRDefault="00452FB4" w:rsidP="004B4FBD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biejų lyčių atstovai galės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be apribojimų dalyvauti projekto veiklose ir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4B4FBD">
              <w:rPr>
                <w:rFonts w:ascii="Times New Roman" w:hAnsi="Times New Roman"/>
                <w:spacing w:val="-4"/>
                <w:sz w:val="24"/>
                <w:szCs w:val="24"/>
              </w:rPr>
              <w:t>elektromobilių įkrovimo prieigų</w:t>
            </w:r>
            <w:r w:rsidR="002857B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tinklu</w:t>
            </w:r>
            <w:r w:rsidR="0001671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</w:tr>
    </w:tbl>
    <w:p w:rsidR="0077409A" w:rsidRPr="00C421EE" w:rsidRDefault="0077409A" w:rsidP="00C421EE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B70523" w:rsidRPr="00C421EE" w:rsidRDefault="00B70523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NEDISKRIMINAVIMAS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742"/>
        <w:gridCol w:w="4110"/>
      </w:tblGrid>
      <w:tr w:rsidR="00B70523" w:rsidRPr="00C421EE" w:rsidTr="00287972">
        <w:tc>
          <w:tcPr>
            <w:tcW w:w="782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742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10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B5A" w:rsidRPr="00C421EE" w:rsidTr="00287972">
        <w:tc>
          <w:tcPr>
            <w:tcW w:w="782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742" w:type="dxa"/>
            <w:shd w:val="clear" w:color="auto" w:fill="auto"/>
          </w:tcPr>
          <w:p w:rsidR="00EA2B5A" w:rsidRPr="00C421EE" w:rsidRDefault="00EA2B5A" w:rsidP="00452F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PFSA numatytose intervencijų srityse (naudos gavėjų grupėje) yra susiduriama su diskriminavimu dėl rasės, tautybės, kalbos, kilmės, socialinės padėties, tikėjimo, įsitikinimų ar pažiūrų, amžiaus, negalios, lytinės orientacijos, etninės priklausomybės, religijos?</w:t>
            </w:r>
          </w:p>
        </w:tc>
        <w:tc>
          <w:tcPr>
            <w:tcW w:w="4110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EA2B5A" w:rsidRPr="00C421EE" w:rsidRDefault="006A4CC2" w:rsidP="004B4FB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Projektų investicijos nukreiptos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į </w:t>
            </w:r>
            <w:r w:rsidR="004B4F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naujai kuriamą </w:t>
            </w:r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viešąją transporto infrastruktūrą,</w:t>
            </w:r>
            <w:r w:rsidR="008054D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kuria gal</w:t>
            </w:r>
            <w:r w:rsidR="00452FB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="008054D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naudotis visų visuomenės grupių atstovai.</w:t>
            </w:r>
            <w:r w:rsidR="00AB322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EA2B5A" w:rsidRPr="00C421EE" w:rsidTr="00287972">
        <w:tc>
          <w:tcPr>
            <w:tcW w:w="782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2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intervencijos naudos gavėjų grupė turi (gali turėti) specialiųjų, su nediskriminavimu susijusių poreikių?  Jei taip, ar į juos buvo atsižvelgta rengiant PFSA? Jei neatsižvelgta, kodėl nebuvo į juos atsižvelgta? </w:t>
            </w:r>
          </w:p>
        </w:tc>
        <w:tc>
          <w:tcPr>
            <w:tcW w:w="4110" w:type="dxa"/>
            <w:shd w:val="clear" w:color="auto" w:fill="auto"/>
          </w:tcPr>
          <w:p w:rsidR="00EA2B5A" w:rsidRPr="00C421EE" w:rsidRDefault="00F36746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Netaikoma</w:t>
            </w:r>
            <w:r w:rsidR="004B4FBD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EA2B5A" w:rsidRPr="00C421EE" w:rsidTr="00287972">
        <w:tc>
          <w:tcPr>
            <w:tcW w:w="782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42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nustatytomis sąlygomis nebus diskriminuojamos visuomenės grupės dėl rasės,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tautybės, kalbos, kilmės, socialinės padėties, tikėjimo, įsitikinimų ar pažiūrų, amžiaus, negalios, lytinės orientacijos, etninės priklausomybės, </w:t>
            </w:r>
            <w:proofErr w:type="gramStart"/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religijos , </w:t>
            </w:r>
            <w:proofErr w:type="gramEnd"/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t. y. visos grupės galės pasinaudoti projekto metu sukurtais produktais ir rezultatais, taip pat dalyvauti projekto veiklose? </w:t>
            </w:r>
          </w:p>
        </w:tc>
        <w:tc>
          <w:tcPr>
            <w:tcW w:w="4110" w:type="dxa"/>
            <w:shd w:val="clear" w:color="auto" w:fill="auto"/>
          </w:tcPr>
          <w:p w:rsidR="009F2BE0" w:rsidRPr="00C421EE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Taip.</w:t>
            </w:r>
          </w:p>
          <w:p w:rsidR="00EA2B5A" w:rsidRPr="00C421EE" w:rsidRDefault="00452FB4" w:rsidP="00827E02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V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isų visuomenės grupių atstovai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be apribojimu </w:t>
            </w:r>
            <w:r w:rsid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dalyvauti projekto veiklose ir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827E02">
              <w:rPr>
                <w:rFonts w:ascii="Times New Roman" w:hAnsi="Times New Roman"/>
                <w:spacing w:val="-4"/>
                <w:sz w:val="24"/>
                <w:szCs w:val="24"/>
              </w:rPr>
              <w:t>viešai prieinama transporto infrastruktūra</w:t>
            </w:r>
            <w:r w:rsidR="005F665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3B54E9" w:rsidRPr="00C421EE" w:rsidRDefault="003B54E9" w:rsidP="00C421EE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:rsidR="0052429A" w:rsidRPr="00C421EE" w:rsidRDefault="0052429A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UNIVERSALAUS DIZAINO PRINCIPAS: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54"/>
        <w:gridCol w:w="4104"/>
      </w:tblGrid>
      <w:tr w:rsidR="00683C40" w:rsidRPr="00C421EE" w:rsidTr="00287972">
        <w:tc>
          <w:tcPr>
            <w:tcW w:w="670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54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04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33F15" w:rsidRPr="00C421EE" w:rsidTr="00287972">
        <w:tc>
          <w:tcPr>
            <w:tcW w:w="670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854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 poreikių, kuriuos padėtų išspręsti universalaus dizaino principo taikymas? </w:t>
            </w:r>
          </w:p>
        </w:tc>
        <w:tc>
          <w:tcPr>
            <w:tcW w:w="4104" w:type="dxa"/>
            <w:shd w:val="clear" w:color="auto" w:fill="auto"/>
          </w:tcPr>
          <w:p w:rsidR="00B01081" w:rsidRPr="00C421EE" w:rsidRDefault="00DF50A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B0108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  <w:p w:rsidR="00090261" w:rsidRPr="00C421EE" w:rsidRDefault="00090261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3C40" w:rsidRPr="00C421EE" w:rsidTr="00287972">
        <w:tc>
          <w:tcPr>
            <w:tcW w:w="670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</w:t>
            </w:r>
            <w:r w:rsidR="00683C40" w:rsidRPr="00C421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specialiųjų poreikių, susijusių su universalaus dizaino principo taikymu,</w:t>
            </w:r>
            <w:proofErr w:type="gramStart"/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proofErr w:type="gramEnd"/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rengiant PFSA į tai buvo atsižvelgta ir PFSA nustatyti konkretūs reikalavimai dėl universalaus dizaino principo taikymo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2F577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užtikrinantys, kad projekto veiklose galėtų dalyvauti ir jų rezultatais bei sukurtais produktais (gaminių, paslaugų, aplinkos) galėtų naudotis visi žmonės kuo platesniu mastu nepriklausomai nuo jų funkcinių galimybių 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D433C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neatsižvelgta,</w:t>
            </w:r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kodėl nebuvo į juos atsižvelgta ir PFSA nebuvo nustatyti minėti reikalavimai?</w:t>
            </w:r>
          </w:p>
        </w:tc>
        <w:tc>
          <w:tcPr>
            <w:tcW w:w="4104" w:type="dxa"/>
            <w:shd w:val="clear" w:color="auto" w:fill="auto"/>
          </w:tcPr>
          <w:p w:rsidR="008A5ED0" w:rsidRPr="008D46F3" w:rsidRDefault="00DF50A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D46F3">
              <w:rPr>
                <w:rFonts w:ascii="Times New Roman" w:hAnsi="Times New Roman"/>
                <w:sz w:val="24"/>
                <w:szCs w:val="24"/>
              </w:rPr>
              <w:t xml:space="preserve">Intervencijos naudos gavėjai – elektromobilių vairuotojai. PFSA nurodyta, kad </w:t>
            </w:r>
            <w:r w:rsidR="008D46F3" w:rsidRPr="008D46F3">
              <w:rPr>
                <w:rFonts w:ascii="Times New Roman" w:hAnsi="Times New Roman"/>
                <w:sz w:val="24"/>
                <w:szCs w:val="24"/>
              </w:rPr>
              <w:t>turi būti sukurta viešoji transporto infrastruktūra</w:t>
            </w:r>
            <w:r w:rsidR="008D46F3" w:rsidRPr="008D46F3">
              <w:rPr>
                <w:rFonts w:ascii="Times New Roman" w:hAnsi="Times New Roman"/>
                <w:spacing w:val="-4"/>
                <w:sz w:val="24"/>
                <w:szCs w:val="24"/>
              </w:rPr>
              <w:t>, pritaikyta naudotis visų visuomenės grupių atstovams</w:t>
            </w:r>
            <w:r w:rsidR="008D46F3">
              <w:rPr>
                <w:rFonts w:ascii="Times New Roman" w:hAnsi="Times New Roman"/>
                <w:spacing w:val="-4"/>
                <w:sz w:val="24"/>
                <w:szCs w:val="24"/>
              </w:rPr>
              <w:t>, vairuojantiems elektromobilį</w:t>
            </w:r>
            <w:r w:rsidRPr="008D4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A51" w:rsidRPr="00C421EE" w:rsidTr="00287972">
        <w:tc>
          <w:tcPr>
            <w:tcW w:w="670" w:type="dxa"/>
            <w:shd w:val="clear" w:color="auto" w:fill="auto"/>
          </w:tcPr>
          <w:p w:rsidR="00D12A51" w:rsidRPr="00C421EE" w:rsidRDefault="00D12A51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4" w:type="dxa"/>
            <w:shd w:val="clear" w:color="auto" w:fill="auto"/>
          </w:tcPr>
          <w:p w:rsidR="00D12A51" w:rsidRPr="00C421EE" w:rsidRDefault="00272B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yra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nustatyti reikalavimai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CD5ABC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užtikrinantys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kad projektuose kuriama infrastruktūra turi būti pritaikyta visoms visuomenės grupėms</w:t>
            </w:r>
            <w:r w:rsidR="00E42B7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(atnaujinant viešąją infrastruktūrą šie reikalavimai yra privalomi)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</w:p>
        </w:tc>
        <w:tc>
          <w:tcPr>
            <w:tcW w:w="4104" w:type="dxa"/>
            <w:shd w:val="clear" w:color="auto" w:fill="auto"/>
          </w:tcPr>
          <w:p w:rsidR="009F2BE0" w:rsidRPr="004E0870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E0870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412A18" w:rsidRPr="004E0870" w:rsidRDefault="00DC4ED9" w:rsidP="004E0870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4E087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yra nustatyta, kad </w:t>
            </w:r>
            <w:r w:rsidR="004E0870" w:rsidRPr="004E0870">
              <w:rPr>
                <w:rFonts w:ascii="Times New Roman" w:hAnsi="Times New Roman"/>
                <w:sz w:val="24"/>
                <w:szCs w:val="24"/>
              </w:rPr>
              <w:t>turi būti sukurta viešoji transporto infrastruktūra</w:t>
            </w:r>
            <w:r w:rsidR="004E0870" w:rsidRPr="004E0870">
              <w:rPr>
                <w:rFonts w:ascii="Times New Roman" w:hAnsi="Times New Roman"/>
                <w:spacing w:val="-4"/>
                <w:sz w:val="24"/>
                <w:szCs w:val="24"/>
              </w:rPr>
              <w:t>, pritaikyta naudotis visų visuomenės grupių atstovams</w:t>
            </w:r>
            <w:r w:rsidR="00B01081" w:rsidRPr="004E0870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C421EE" w:rsidRDefault="00C421EE" w:rsidP="00C421EE">
      <w:pPr>
        <w:jc w:val="both"/>
        <w:rPr>
          <w:rFonts w:ascii="Times New Roman" w:hAnsi="Times New Roman"/>
          <w:sz w:val="24"/>
          <w:szCs w:val="24"/>
        </w:rPr>
      </w:pPr>
    </w:p>
    <w:p w:rsidR="007034FF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DARNUS VYSTYMASIS</w:t>
      </w:r>
      <w:r w:rsidR="0052429A" w:rsidRPr="00C421E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853"/>
        <w:gridCol w:w="4104"/>
      </w:tblGrid>
      <w:tr w:rsidR="005362FF" w:rsidRPr="00C421EE" w:rsidTr="00287972">
        <w:tc>
          <w:tcPr>
            <w:tcW w:w="671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04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87972" w:rsidRPr="00C421EE" w:rsidTr="00287972">
        <w:trPr>
          <w:trHeight w:val="1266"/>
        </w:trPr>
        <w:tc>
          <w:tcPr>
            <w:tcW w:w="671" w:type="dxa"/>
            <w:shd w:val="clear" w:color="auto" w:fill="auto"/>
          </w:tcPr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</w:tcPr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 PFSA nėra numatyta veiklų, kurios turėtų neigiamą poveikį darnaus vystymosi principo įgyvendinimui: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aplinkosaugos srityje (aplinkos kokybė ir gamtos ištekliai, kraštovaizdžio ir biologinės įvairovės apsauga, klimato kaita, aplinkos apsauga ir kt.);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socialinėje srityje (užimtumas, skurdas ir socialinė atskirtis, visuomenės sveikata, švietimas ir mokslas, kultūros savitumo išsaugojimas, tausojantis vartojimas);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ekonomikos srityje (darnus pagrindinių ūkio šakų ir regionų vystymas);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teritorijų vystymo srityje (aplinkosauginių, socialinių ir ekonominių skirtumų mažinimas)?</w:t>
            </w:r>
          </w:p>
        </w:tc>
        <w:tc>
          <w:tcPr>
            <w:tcW w:w="4104" w:type="dxa"/>
            <w:shd w:val="clear" w:color="auto" w:fill="auto"/>
          </w:tcPr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PFSA nėra numatytos veikl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kurios turėtų neigiamą poveikį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aplinkosaugos srityje, socialinėje srityje, ekonomikos srityje, teritorijų vystymo srityje. </w:t>
            </w:r>
          </w:p>
          <w:p w:rsidR="00287972" w:rsidRPr="00C421EE" w:rsidRDefault="00287972" w:rsidP="00C421EE">
            <w:pPr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pacing w:val="-4"/>
                <w:sz w:val="24"/>
                <w:szCs w:val="24"/>
              </w:rPr>
            </w:pPr>
          </w:p>
        </w:tc>
      </w:tr>
      <w:tr w:rsidR="005362FF" w:rsidRPr="00C421EE" w:rsidTr="00287972">
        <w:tc>
          <w:tcPr>
            <w:tcW w:w="671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53" w:type="dxa"/>
            <w:shd w:val="clear" w:color="auto" w:fill="auto"/>
          </w:tcPr>
          <w:p w:rsidR="007D1975" w:rsidRPr="00C421EE" w:rsidRDefault="005362FF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Ar PFSA nustatyti papildomi darnaus vystymosi reikalavimai ir galimi </w:t>
            </w:r>
            <w:proofErr w:type="spellStart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proaktyvūs</w:t>
            </w:r>
            <w:proofErr w:type="spellEnd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veiksmai, skatinantys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darnaus vystymosi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įgyvendinimą?</w:t>
            </w:r>
            <w:r w:rsidR="007D1975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Jeigu ne, ar galima juos nustatyti? Ar yra galimybė nustatyti jų daugiau?</w:t>
            </w:r>
            <w:r w:rsidR="00FE314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Jeigu reikalavimai ir </w:t>
            </w:r>
            <w:proofErr w:type="spellStart"/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proaktyvūs</w:t>
            </w:r>
            <w:proofErr w:type="spellEnd"/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veiksmai nenustatyti, paaiškinti kodėl?</w:t>
            </w:r>
          </w:p>
        </w:tc>
        <w:tc>
          <w:tcPr>
            <w:tcW w:w="4104" w:type="dxa"/>
            <w:shd w:val="clear" w:color="auto" w:fill="auto"/>
          </w:tcPr>
          <w:p w:rsidR="00CA1270" w:rsidRPr="00C421EE" w:rsidRDefault="00C421EE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Taip</w:t>
            </w:r>
            <w:r w:rsidR="00587619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. </w:t>
            </w:r>
          </w:p>
          <w:p w:rsidR="00930FB3" w:rsidRPr="00C421EE" w:rsidRDefault="00C421EE" w:rsidP="004E087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PFSA numatytas reikalavimas prisidėti prie </w:t>
            </w:r>
            <w:r w:rsidR="00995103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darnaus vystymosi </w:t>
            </w:r>
            <w:r w:rsidR="00660CC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principo </w:t>
            </w:r>
            <w:r w:rsidR="00995103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įgyvendinim</w:t>
            </w:r>
            <w:r w:rsidR="004E087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o, </w:t>
            </w:r>
            <w:r w:rsidR="004E0870">
              <w:rPr>
                <w:rFonts w:ascii="Times New Roman" w:eastAsia="Times New Roman" w:hAnsi="Times New Roman"/>
                <w:lang w:eastAsia="lt-LT"/>
              </w:rPr>
              <w:t>projekto investicijomis prisidedant prie aplinkosauginių sąlygų pagerinimo</w:t>
            </w:r>
            <w:r w:rsidR="00930FB3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5362FF" w:rsidRPr="00C421EE" w:rsidTr="00287972">
        <w:tc>
          <w:tcPr>
            <w:tcW w:w="671" w:type="dxa"/>
            <w:shd w:val="clear" w:color="auto" w:fill="auto"/>
          </w:tcPr>
          <w:p w:rsidR="005362FF" w:rsidRPr="00C421EE" w:rsidRDefault="00754224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  <w:shd w:val="clear" w:color="auto" w:fill="auto"/>
          </w:tcPr>
          <w:p w:rsidR="005362FF" w:rsidRPr="00C421EE" w:rsidRDefault="00B82066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bookmarkStart w:id="0" w:name="_Toc401932131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yra galimybė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PFSA nustatyti reikalavim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vykdyti a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plinkai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palankius (žaliuosius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) pirkim</w:t>
            </w:r>
            <w:bookmarkEnd w:id="0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="000E75A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(jei taikoma)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04" w:type="dxa"/>
            <w:shd w:val="clear" w:color="auto" w:fill="auto"/>
          </w:tcPr>
          <w:p w:rsidR="005362FF" w:rsidRDefault="004E0870" w:rsidP="005D6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Netaikoma.</w:t>
            </w:r>
          </w:p>
          <w:p w:rsidR="00F36746" w:rsidRPr="00643950" w:rsidRDefault="00B77192" w:rsidP="00B771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Pa</w:t>
            </w:r>
            <w:r w:rsidR="00924C29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pildomų reikalavimų nustatymas 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galėtų apriboti įrangos tiekėjų konkurencijos galimybes. </w:t>
            </w:r>
          </w:p>
        </w:tc>
      </w:tr>
    </w:tbl>
    <w:p w:rsidR="00322282" w:rsidRPr="00C421EE" w:rsidRDefault="00322282" w:rsidP="00C421EE">
      <w:pPr>
        <w:jc w:val="both"/>
        <w:rPr>
          <w:rFonts w:ascii="Times New Roman" w:hAnsi="Times New Roman"/>
          <w:sz w:val="24"/>
          <w:szCs w:val="24"/>
        </w:rPr>
      </w:pPr>
    </w:p>
    <w:p w:rsidR="00354B80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JAUNIMAS: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853"/>
        <w:gridCol w:w="4104"/>
      </w:tblGrid>
      <w:tr w:rsidR="00683C40" w:rsidRPr="00C421EE" w:rsidTr="00287972">
        <w:tc>
          <w:tcPr>
            <w:tcW w:w="671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04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83C40" w:rsidRPr="00C421EE" w:rsidTr="00287972">
        <w:tc>
          <w:tcPr>
            <w:tcW w:w="671" w:type="dxa"/>
            <w:shd w:val="clear" w:color="auto" w:fill="auto"/>
          </w:tcPr>
          <w:p w:rsidR="00683C40" w:rsidRPr="00C421EE" w:rsidRDefault="00D433CF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853" w:type="dxa"/>
            <w:shd w:val="clear" w:color="auto" w:fill="auto"/>
          </w:tcPr>
          <w:p w:rsidR="00683C40" w:rsidRPr="00C421EE" w:rsidRDefault="00683C40" w:rsidP="000870D3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pagal PFSA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atsižvelgiant į naudos gavėjų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grupę yra numat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yto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priemonės</w:t>
            </w:r>
            <w:r w:rsidR="000870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aktualiom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 </w:t>
            </w:r>
            <w:r w:rsidR="00B61055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jaunim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problem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oms spręsti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ne, kodėl tokios priemonės PFSA nenumatytos?</w:t>
            </w:r>
          </w:p>
        </w:tc>
        <w:tc>
          <w:tcPr>
            <w:tcW w:w="4104" w:type="dxa"/>
            <w:shd w:val="clear" w:color="auto" w:fill="auto"/>
          </w:tcPr>
          <w:p w:rsidR="000774B3" w:rsidRPr="00C421EE" w:rsidRDefault="000774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C79D8" w:rsidRPr="00C421EE" w:rsidRDefault="006A4CC2" w:rsidP="006A4CC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Projektais sukurtais produktais naudosis visų visuomenės grupių atstovai.</w:t>
            </w:r>
          </w:p>
        </w:tc>
      </w:tr>
    </w:tbl>
    <w:p w:rsidR="0041488C" w:rsidRPr="00C421EE" w:rsidRDefault="0041488C" w:rsidP="00C421EE">
      <w:pPr>
        <w:jc w:val="both"/>
        <w:rPr>
          <w:rFonts w:ascii="Times New Roman" w:hAnsi="Times New Roman"/>
          <w:spacing w:val="-4"/>
          <w:sz w:val="24"/>
          <w:szCs w:val="24"/>
        </w:rPr>
      </w:pPr>
    </w:p>
    <w:p w:rsidR="007F28DB" w:rsidRPr="00C421EE" w:rsidRDefault="007F28DB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C421EE">
        <w:rPr>
          <w:rFonts w:ascii="Times New Roman" w:hAnsi="Times New Roman"/>
          <w:spacing w:val="-4"/>
          <w:sz w:val="24"/>
          <w:szCs w:val="24"/>
        </w:rPr>
        <w:t>BENDRI KLAUSIMAI: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54"/>
        <w:gridCol w:w="4104"/>
      </w:tblGrid>
      <w:tr w:rsidR="00193627" w:rsidRPr="00C421EE" w:rsidTr="00287972">
        <w:tc>
          <w:tcPr>
            <w:tcW w:w="670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Nr.</w:t>
            </w:r>
          </w:p>
        </w:tc>
        <w:tc>
          <w:tcPr>
            <w:tcW w:w="4854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Klausimas</w:t>
            </w:r>
          </w:p>
        </w:tc>
        <w:tc>
          <w:tcPr>
            <w:tcW w:w="4104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Ministerijos pateikta informacija</w:t>
            </w:r>
          </w:p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193627" w:rsidRPr="00C421EE" w:rsidTr="00287972">
        <w:tc>
          <w:tcPr>
            <w:tcW w:w="670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854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rengiant PFSA buvo konsultuojamasi su </w:t>
            </w:r>
            <w:r w:rsidR="00BD286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lygybės ir nediskriminavimo 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(įskaitant universalaus dizaino principą)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darnaus vystymosi ir jaunimo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srity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e dirbančiomis valstybės institucijomis, </w:t>
            </w:r>
            <w:r w:rsidR="00354B8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nevyriausybinėmis organizacijomis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ekspertais, taip pat asociacijomis ir pan.?</w:t>
            </w:r>
          </w:p>
        </w:tc>
        <w:tc>
          <w:tcPr>
            <w:tcW w:w="4104" w:type="dxa"/>
            <w:shd w:val="clear" w:color="auto" w:fill="auto"/>
          </w:tcPr>
          <w:p w:rsidR="00B057DC" w:rsidRPr="006A4CC2" w:rsidRDefault="00C72DBE" w:rsidP="006A4CC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955873" w:rsidRPr="006A4CC2" w:rsidRDefault="00C72DBE" w:rsidP="00E36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8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Rengiant PFSA buvo </w:t>
            </w:r>
            <w:r w:rsidR="00E36825">
              <w:rPr>
                <w:rFonts w:ascii="Times New Roman" w:hAnsi="Times New Roman"/>
                <w:spacing w:val="-4"/>
                <w:sz w:val="24"/>
                <w:szCs w:val="24"/>
              </w:rPr>
              <w:t>konsultuotasi su pareiškėjais, galimais partneriais, analizuota analogiškos infrastruktūros kūrimo kitose šalyse patirtis</w:t>
            </w:r>
            <w:r w:rsidRPr="006A4C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93627" w:rsidRPr="00C421EE" w:rsidTr="00287972">
        <w:tc>
          <w:tcPr>
            <w:tcW w:w="670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4854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yra </w:t>
            </w:r>
            <w:r w:rsidR="00A736A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numatyti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papildomi reikalavimai dėl horizontaliųjų principų taikymo </w:t>
            </w:r>
            <w:r w:rsidR="00D60EB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projekte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viešinimo?</w:t>
            </w:r>
          </w:p>
        </w:tc>
        <w:tc>
          <w:tcPr>
            <w:tcW w:w="4104" w:type="dxa"/>
            <w:shd w:val="clear" w:color="auto" w:fill="auto"/>
          </w:tcPr>
          <w:p w:rsidR="009B7A9B" w:rsidRPr="00C421EE" w:rsidRDefault="00A7158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057DC" w:rsidRPr="00C421EE" w:rsidRDefault="00B057DC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PFSA nėra numatyti papildomi reikalavimai dėl horizontaliųjų principų taikymo projekte viešinimo</w:t>
            </w:r>
            <w:r w:rsidR="004B1B9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52429A" w:rsidRDefault="0052429A" w:rsidP="0052429A">
      <w:pPr>
        <w:rPr>
          <w:rFonts w:ascii="Times New Roman" w:hAnsi="Times New Roman"/>
        </w:rPr>
      </w:pPr>
    </w:p>
    <w:p w:rsidR="00170568" w:rsidRPr="00A64D60" w:rsidRDefault="00170568" w:rsidP="00170568">
      <w:pPr>
        <w:spacing w:before="120" w:after="0" w:line="240" w:lineRule="auto"/>
        <w:ind w:left="-142"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170568" w:rsidRPr="00F6049C" w:rsidRDefault="00170568" w:rsidP="0052429A">
      <w:pPr>
        <w:rPr>
          <w:rFonts w:ascii="Times New Roman" w:hAnsi="Times New Roman"/>
        </w:rPr>
      </w:pPr>
    </w:p>
    <w:sectPr w:rsidR="00170568" w:rsidRPr="00F6049C" w:rsidSect="00DC2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AB" w:rsidRDefault="00A377AB" w:rsidP="00596F94">
      <w:pPr>
        <w:spacing w:after="0" w:line="240" w:lineRule="auto"/>
      </w:pPr>
      <w:r>
        <w:separator/>
      </w:r>
    </w:p>
  </w:endnote>
  <w:endnote w:type="continuationSeparator" w:id="0">
    <w:p w:rsidR="00A377AB" w:rsidRDefault="00A377AB" w:rsidP="0059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C1" w:rsidRDefault="00E53BC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AB" w:rsidRDefault="00A377AB" w:rsidP="00596F94">
      <w:pPr>
        <w:spacing w:after="0" w:line="240" w:lineRule="auto"/>
      </w:pPr>
      <w:r>
        <w:separator/>
      </w:r>
    </w:p>
  </w:footnote>
  <w:footnote w:type="continuationSeparator" w:id="0">
    <w:p w:rsidR="00A377AB" w:rsidRDefault="00A377AB" w:rsidP="0059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870D3">
      <w:rPr>
        <w:noProof/>
      </w:rPr>
      <w:t>2</w:t>
    </w:r>
    <w:r>
      <w:fldChar w:fldCharType="end"/>
    </w:r>
  </w:p>
  <w:p w:rsidR="00DC2D35" w:rsidRDefault="00DC2D3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A0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24B5"/>
    <w:multiLevelType w:val="hybridMultilevel"/>
    <w:tmpl w:val="2A6E074E"/>
    <w:lvl w:ilvl="0" w:tplc="43407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DCB"/>
    <w:multiLevelType w:val="multilevel"/>
    <w:tmpl w:val="5C103CA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2E4F444E"/>
    <w:multiLevelType w:val="hybridMultilevel"/>
    <w:tmpl w:val="60B45C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0798"/>
    <w:multiLevelType w:val="hybridMultilevel"/>
    <w:tmpl w:val="0F9062B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96028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9B6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811A5"/>
    <w:multiLevelType w:val="hybridMultilevel"/>
    <w:tmpl w:val="2A521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60C2A"/>
    <w:multiLevelType w:val="hybridMultilevel"/>
    <w:tmpl w:val="D71266F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372D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7A2B"/>
    <w:multiLevelType w:val="hybridMultilevel"/>
    <w:tmpl w:val="22268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285D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065F1"/>
    <w:multiLevelType w:val="hybridMultilevel"/>
    <w:tmpl w:val="3DAC80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82"/>
    <w:rsid w:val="00014EFF"/>
    <w:rsid w:val="00016717"/>
    <w:rsid w:val="00022A3B"/>
    <w:rsid w:val="00024BAB"/>
    <w:rsid w:val="000260DC"/>
    <w:rsid w:val="00027215"/>
    <w:rsid w:val="00033311"/>
    <w:rsid w:val="000549F5"/>
    <w:rsid w:val="00054CD0"/>
    <w:rsid w:val="00055824"/>
    <w:rsid w:val="000559C5"/>
    <w:rsid w:val="000774B3"/>
    <w:rsid w:val="000820B1"/>
    <w:rsid w:val="0008282C"/>
    <w:rsid w:val="000870D3"/>
    <w:rsid w:val="00090261"/>
    <w:rsid w:val="00092E70"/>
    <w:rsid w:val="000A4911"/>
    <w:rsid w:val="000A4D95"/>
    <w:rsid w:val="000B07ED"/>
    <w:rsid w:val="000B1982"/>
    <w:rsid w:val="000C6D9D"/>
    <w:rsid w:val="000E75A2"/>
    <w:rsid w:val="001041D1"/>
    <w:rsid w:val="00116152"/>
    <w:rsid w:val="001217C9"/>
    <w:rsid w:val="001224A9"/>
    <w:rsid w:val="0013635E"/>
    <w:rsid w:val="00137CA0"/>
    <w:rsid w:val="00156CA4"/>
    <w:rsid w:val="0016202C"/>
    <w:rsid w:val="00170568"/>
    <w:rsid w:val="0017260A"/>
    <w:rsid w:val="00192F02"/>
    <w:rsid w:val="00193627"/>
    <w:rsid w:val="001974D7"/>
    <w:rsid w:val="001A3CFA"/>
    <w:rsid w:val="001A6830"/>
    <w:rsid w:val="001B195E"/>
    <w:rsid w:val="001B20FE"/>
    <w:rsid w:val="001D47F3"/>
    <w:rsid w:val="00204592"/>
    <w:rsid w:val="0020708B"/>
    <w:rsid w:val="00211005"/>
    <w:rsid w:val="002138A0"/>
    <w:rsid w:val="00217CC6"/>
    <w:rsid w:val="00242188"/>
    <w:rsid w:val="0024511E"/>
    <w:rsid w:val="00250B95"/>
    <w:rsid w:val="00253B05"/>
    <w:rsid w:val="00261716"/>
    <w:rsid w:val="00272BB3"/>
    <w:rsid w:val="002857B3"/>
    <w:rsid w:val="00287972"/>
    <w:rsid w:val="00290AAE"/>
    <w:rsid w:val="00293A2F"/>
    <w:rsid w:val="002A2FF5"/>
    <w:rsid w:val="002A3AEB"/>
    <w:rsid w:val="002B24FD"/>
    <w:rsid w:val="002E15FD"/>
    <w:rsid w:val="002F577B"/>
    <w:rsid w:val="002F6ADA"/>
    <w:rsid w:val="00300F7A"/>
    <w:rsid w:val="003160C4"/>
    <w:rsid w:val="00316D07"/>
    <w:rsid w:val="00320BF9"/>
    <w:rsid w:val="00321ED4"/>
    <w:rsid w:val="00322282"/>
    <w:rsid w:val="00330D05"/>
    <w:rsid w:val="00333F15"/>
    <w:rsid w:val="00354502"/>
    <w:rsid w:val="00354B80"/>
    <w:rsid w:val="00364AAC"/>
    <w:rsid w:val="0036650F"/>
    <w:rsid w:val="00375C8D"/>
    <w:rsid w:val="003801D2"/>
    <w:rsid w:val="00387C73"/>
    <w:rsid w:val="003912FE"/>
    <w:rsid w:val="003A03AC"/>
    <w:rsid w:val="003A3AA6"/>
    <w:rsid w:val="003B54E9"/>
    <w:rsid w:val="003C5F9B"/>
    <w:rsid w:val="003E6B45"/>
    <w:rsid w:val="003F7104"/>
    <w:rsid w:val="003F75C6"/>
    <w:rsid w:val="0040122F"/>
    <w:rsid w:val="00410DA5"/>
    <w:rsid w:val="00412A18"/>
    <w:rsid w:val="0041488C"/>
    <w:rsid w:val="004465FB"/>
    <w:rsid w:val="0045081F"/>
    <w:rsid w:val="00452FB4"/>
    <w:rsid w:val="004615EF"/>
    <w:rsid w:val="0046502E"/>
    <w:rsid w:val="004664E8"/>
    <w:rsid w:val="004806E4"/>
    <w:rsid w:val="00487034"/>
    <w:rsid w:val="004925B9"/>
    <w:rsid w:val="004B05F5"/>
    <w:rsid w:val="004B1B9B"/>
    <w:rsid w:val="004B4FBD"/>
    <w:rsid w:val="004C2303"/>
    <w:rsid w:val="004C3850"/>
    <w:rsid w:val="004C38DC"/>
    <w:rsid w:val="004E0870"/>
    <w:rsid w:val="004F4753"/>
    <w:rsid w:val="004F5B8E"/>
    <w:rsid w:val="00512941"/>
    <w:rsid w:val="0052429A"/>
    <w:rsid w:val="00524ED8"/>
    <w:rsid w:val="00527FA3"/>
    <w:rsid w:val="0053561F"/>
    <w:rsid w:val="005362FF"/>
    <w:rsid w:val="00550911"/>
    <w:rsid w:val="00553E00"/>
    <w:rsid w:val="00567D02"/>
    <w:rsid w:val="00575AD3"/>
    <w:rsid w:val="00581E47"/>
    <w:rsid w:val="005842B1"/>
    <w:rsid w:val="0058521E"/>
    <w:rsid w:val="00587619"/>
    <w:rsid w:val="00591B28"/>
    <w:rsid w:val="00595285"/>
    <w:rsid w:val="00596F94"/>
    <w:rsid w:val="005A5F14"/>
    <w:rsid w:val="005A70FF"/>
    <w:rsid w:val="005A71C5"/>
    <w:rsid w:val="005B7938"/>
    <w:rsid w:val="005C76B5"/>
    <w:rsid w:val="005D0AD9"/>
    <w:rsid w:val="005D3622"/>
    <w:rsid w:val="005D45DA"/>
    <w:rsid w:val="005D693A"/>
    <w:rsid w:val="005F6657"/>
    <w:rsid w:val="00602A5E"/>
    <w:rsid w:val="00604D72"/>
    <w:rsid w:val="00605064"/>
    <w:rsid w:val="00622B23"/>
    <w:rsid w:val="006274DF"/>
    <w:rsid w:val="00636094"/>
    <w:rsid w:val="00636937"/>
    <w:rsid w:val="0063781E"/>
    <w:rsid w:val="00637C16"/>
    <w:rsid w:val="00643950"/>
    <w:rsid w:val="00660B66"/>
    <w:rsid w:val="00660CC6"/>
    <w:rsid w:val="00681755"/>
    <w:rsid w:val="006827ED"/>
    <w:rsid w:val="00683C40"/>
    <w:rsid w:val="006849FC"/>
    <w:rsid w:val="00692D78"/>
    <w:rsid w:val="00696823"/>
    <w:rsid w:val="006A04EF"/>
    <w:rsid w:val="006A0A6D"/>
    <w:rsid w:val="006A4CC2"/>
    <w:rsid w:val="006B1736"/>
    <w:rsid w:val="006B196B"/>
    <w:rsid w:val="006C2389"/>
    <w:rsid w:val="006C4C02"/>
    <w:rsid w:val="006F0623"/>
    <w:rsid w:val="00703426"/>
    <w:rsid w:val="007034FF"/>
    <w:rsid w:val="0071537C"/>
    <w:rsid w:val="007166D7"/>
    <w:rsid w:val="00721AD9"/>
    <w:rsid w:val="007264EB"/>
    <w:rsid w:val="00731BEA"/>
    <w:rsid w:val="00732882"/>
    <w:rsid w:val="00733E1C"/>
    <w:rsid w:val="00734300"/>
    <w:rsid w:val="00746890"/>
    <w:rsid w:val="00752B35"/>
    <w:rsid w:val="00754224"/>
    <w:rsid w:val="00756E82"/>
    <w:rsid w:val="00770CF2"/>
    <w:rsid w:val="007738E3"/>
    <w:rsid w:val="0077409A"/>
    <w:rsid w:val="007752FB"/>
    <w:rsid w:val="00777CCD"/>
    <w:rsid w:val="00780D46"/>
    <w:rsid w:val="007839A1"/>
    <w:rsid w:val="00785A40"/>
    <w:rsid w:val="007961A7"/>
    <w:rsid w:val="007A5F63"/>
    <w:rsid w:val="007C1C80"/>
    <w:rsid w:val="007D1975"/>
    <w:rsid w:val="007D30F2"/>
    <w:rsid w:val="007D5059"/>
    <w:rsid w:val="007E2ECA"/>
    <w:rsid w:val="007F1B53"/>
    <w:rsid w:val="007F28DB"/>
    <w:rsid w:val="008054DA"/>
    <w:rsid w:val="008076F6"/>
    <w:rsid w:val="008078AE"/>
    <w:rsid w:val="00811276"/>
    <w:rsid w:val="00823D9F"/>
    <w:rsid w:val="00827A91"/>
    <w:rsid w:val="00827E02"/>
    <w:rsid w:val="00846ED6"/>
    <w:rsid w:val="00853D6F"/>
    <w:rsid w:val="00855D72"/>
    <w:rsid w:val="00857075"/>
    <w:rsid w:val="00860C25"/>
    <w:rsid w:val="00881C29"/>
    <w:rsid w:val="00886D84"/>
    <w:rsid w:val="008A3B21"/>
    <w:rsid w:val="008A5ED0"/>
    <w:rsid w:val="008A63F4"/>
    <w:rsid w:val="008A6B0C"/>
    <w:rsid w:val="008B0069"/>
    <w:rsid w:val="008B1DF1"/>
    <w:rsid w:val="008B5D11"/>
    <w:rsid w:val="008B7E00"/>
    <w:rsid w:val="008D28EE"/>
    <w:rsid w:val="008D46F3"/>
    <w:rsid w:val="008E31F7"/>
    <w:rsid w:val="008F65EF"/>
    <w:rsid w:val="008F76EF"/>
    <w:rsid w:val="00902CF4"/>
    <w:rsid w:val="00907117"/>
    <w:rsid w:val="009154CB"/>
    <w:rsid w:val="00924C29"/>
    <w:rsid w:val="00930FB3"/>
    <w:rsid w:val="00936A1C"/>
    <w:rsid w:val="00955873"/>
    <w:rsid w:val="00960523"/>
    <w:rsid w:val="00963243"/>
    <w:rsid w:val="0096424B"/>
    <w:rsid w:val="00971FDE"/>
    <w:rsid w:val="00995103"/>
    <w:rsid w:val="00997B83"/>
    <w:rsid w:val="00997D97"/>
    <w:rsid w:val="009B7A9B"/>
    <w:rsid w:val="009D6645"/>
    <w:rsid w:val="009E2252"/>
    <w:rsid w:val="009E2A5D"/>
    <w:rsid w:val="009E2D7F"/>
    <w:rsid w:val="009E69E5"/>
    <w:rsid w:val="009F2BE0"/>
    <w:rsid w:val="00A12148"/>
    <w:rsid w:val="00A2794A"/>
    <w:rsid w:val="00A32127"/>
    <w:rsid w:val="00A34E1F"/>
    <w:rsid w:val="00A351B6"/>
    <w:rsid w:val="00A377AB"/>
    <w:rsid w:val="00A45133"/>
    <w:rsid w:val="00A4709F"/>
    <w:rsid w:val="00A52984"/>
    <w:rsid w:val="00A54EE6"/>
    <w:rsid w:val="00A55FDC"/>
    <w:rsid w:val="00A677E9"/>
    <w:rsid w:val="00A7158A"/>
    <w:rsid w:val="00A736AA"/>
    <w:rsid w:val="00A75CF2"/>
    <w:rsid w:val="00A7622D"/>
    <w:rsid w:val="00A87A17"/>
    <w:rsid w:val="00AB2585"/>
    <w:rsid w:val="00AB322E"/>
    <w:rsid w:val="00AB5084"/>
    <w:rsid w:val="00AC0D9C"/>
    <w:rsid w:val="00AC48E2"/>
    <w:rsid w:val="00AC6B95"/>
    <w:rsid w:val="00AD1831"/>
    <w:rsid w:val="00AD1A5F"/>
    <w:rsid w:val="00AD6EA5"/>
    <w:rsid w:val="00AE3939"/>
    <w:rsid w:val="00AF229B"/>
    <w:rsid w:val="00AF3409"/>
    <w:rsid w:val="00AF7694"/>
    <w:rsid w:val="00B01081"/>
    <w:rsid w:val="00B0562E"/>
    <w:rsid w:val="00B057DC"/>
    <w:rsid w:val="00B05BC5"/>
    <w:rsid w:val="00B15720"/>
    <w:rsid w:val="00B24EF3"/>
    <w:rsid w:val="00B25F69"/>
    <w:rsid w:val="00B377BE"/>
    <w:rsid w:val="00B56837"/>
    <w:rsid w:val="00B61055"/>
    <w:rsid w:val="00B70523"/>
    <w:rsid w:val="00B77192"/>
    <w:rsid w:val="00B82066"/>
    <w:rsid w:val="00B82472"/>
    <w:rsid w:val="00B910C8"/>
    <w:rsid w:val="00B93A5B"/>
    <w:rsid w:val="00BA345F"/>
    <w:rsid w:val="00BC79D8"/>
    <w:rsid w:val="00BD2863"/>
    <w:rsid w:val="00BD5428"/>
    <w:rsid w:val="00BD623D"/>
    <w:rsid w:val="00BE14D8"/>
    <w:rsid w:val="00BF419B"/>
    <w:rsid w:val="00BF69B4"/>
    <w:rsid w:val="00C054AD"/>
    <w:rsid w:val="00C12134"/>
    <w:rsid w:val="00C26FB1"/>
    <w:rsid w:val="00C421EE"/>
    <w:rsid w:val="00C53B70"/>
    <w:rsid w:val="00C72DBE"/>
    <w:rsid w:val="00C80ED8"/>
    <w:rsid w:val="00CA1270"/>
    <w:rsid w:val="00CA3FF9"/>
    <w:rsid w:val="00CD2916"/>
    <w:rsid w:val="00CD5ABC"/>
    <w:rsid w:val="00CF7720"/>
    <w:rsid w:val="00D03D22"/>
    <w:rsid w:val="00D065E7"/>
    <w:rsid w:val="00D12A51"/>
    <w:rsid w:val="00D233C4"/>
    <w:rsid w:val="00D270DE"/>
    <w:rsid w:val="00D36273"/>
    <w:rsid w:val="00D433CF"/>
    <w:rsid w:val="00D52F0C"/>
    <w:rsid w:val="00D53598"/>
    <w:rsid w:val="00D5430F"/>
    <w:rsid w:val="00D5653C"/>
    <w:rsid w:val="00D57738"/>
    <w:rsid w:val="00D60EB9"/>
    <w:rsid w:val="00D67560"/>
    <w:rsid w:val="00D720A5"/>
    <w:rsid w:val="00D8035E"/>
    <w:rsid w:val="00D81DF3"/>
    <w:rsid w:val="00DA4ED8"/>
    <w:rsid w:val="00DA7D71"/>
    <w:rsid w:val="00DB5528"/>
    <w:rsid w:val="00DC2D35"/>
    <w:rsid w:val="00DC4ED9"/>
    <w:rsid w:val="00DC6F3A"/>
    <w:rsid w:val="00DF50AA"/>
    <w:rsid w:val="00DF5360"/>
    <w:rsid w:val="00DF581E"/>
    <w:rsid w:val="00E05F34"/>
    <w:rsid w:val="00E07517"/>
    <w:rsid w:val="00E2201B"/>
    <w:rsid w:val="00E32E34"/>
    <w:rsid w:val="00E36825"/>
    <w:rsid w:val="00E42B74"/>
    <w:rsid w:val="00E437F3"/>
    <w:rsid w:val="00E46F09"/>
    <w:rsid w:val="00E53BC1"/>
    <w:rsid w:val="00E611B8"/>
    <w:rsid w:val="00E80F4B"/>
    <w:rsid w:val="00E815C1"/>
    <w:rsid w:val="00E864DE"/>
    <w:rsid w:val="00EA2B5A"/>
    <w:rsid w:val="00EA7FC2"/>
    <w:rsid w:val="00EB120E"/>
    <w:rsid w:val="00EB19DA"/>
    <w:rsid w:val="00ED105E"/>
    <w:rsid w:val="00ED2680"/>
    <w:rsid w:val="00ED7378"/>
    <w:rsid w:val="00EE3E8D"/>
    <w:rsid w:val="00EE603A"/>
    <w:rsid w:val="00F27797"/>
    <w:rsid w:val="00F3588D"/>
    <w:rsid w:val="00F36746"/>
    <w:rsid w:val="00F3714D"/>
    <w:rsid w:val="00F53658"/>
    <w:rsid w:val="00F53AF0"/>
    <w:rsid w:val="00F6049C"/>
    <w:rsid w:val="00F74F2D"/>
    <w:rsid w:val="00F76B76"/>
    <w:rsid w:val="00F80FB7"/>
    <w:rsid w:val="00F926CB"/>
    <w:rsid w:val="00F96177"/>
    <w:rsid w:val="00F96AAA"/>
    <w:rsid w:val="00F9793D"/>
    <w:rsid w:val="00FA318D"/>
    <w:rsid w:val="00FA77D8"/>
    <w:rsid w:val="00FD3034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0A770-4F19-4DA5-8877-90A84CA8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793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6F9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96F94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596F94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5242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2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5242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29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2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2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2429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81E47"/>
    <w:rPr>
      <w:color w:val="0000FF"/>
      <w:u w:val="single"/>
    </w:rPr>
  </w:style>
  <w:style w:type="paragraph" w:customStyle="1" w:styleId="afoutputdocumentparagraph">
    <w:name w:val="af_outputdocument_paragraph"/>
    <w:basedOn w:val="prastasis"/>
    <w:rsid w:val="007328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650F"/>
  </w:style>
  <w:style w:type="paragraph" w:styleId="Porat">
    <w:name w:val="footer"/>
    <w:basedOn w:val="prastasis"/>
    <w:link w:val="Porat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907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B2D0E7"/>
                            <w:left w:val="single" w:sz="6" w:space="4" w:color="B2D0E7"/>
                            <w:bottom w:val="single" w:sz="6" w:space="4" w:color="B2D0E7"/>
                            <w:right w:val="single" w:sz="6" w:space="4" w:color="B2D0E7"/>
                          </w:divBdr>
                          <w:divsChild>
                            <w:div w:id="11199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7DF3-FA76-4478-8CAE-075A8CA6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Jermakovičiūtė</dc:creator>
  <cp:keywords/>
  <cp:lastModifiedBy>Jonas Skarulskis</cp:lastModifiedBy>
  <cp:revision>5</cp:revision>
  <cp:lastPrinted>2016-09-02T13:17:00Z</cp:lastPrinted>
  <dcterms:created xsi:type="dcterms:W3CDTF">2016-09-02T08:38:00Z</dcterms:created>
  <dcterms:modified xsi:type="dcterms:W3CDTF">2016-09-16T11:43:00Z</dcterms:modified>
</cp:coreProperties>
</file>