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35F" w:rsidRPr="003D331B" w:rsidRDefault="005C435F" w:rsidP="00CC0D69">
      <w:pPr>
        <w:pStyle w:val="Antrat"/>
        <w:jc w:val="right"/>
        <w:rPr>
          <w:noProof/>
          <w:sz w:val="24"/>
          <w:szCs w:val="24"/>
        </w:rPr>
      </w:pPr>
      <w:r w:rsidRPr="003D331B">
        <w:rPr>
          <w:noProof/>
          <w:color w:val="0000FF"/>
          <w:sz w:val="24"/>
          <w:szCs w:val="24"/>
        </w:rPr>
        <w:tab/>
      </w:r>
      <w:r w:rsidRPr="003D331B">
        <w:rPr>
          <w:noProof/>
          <w:color w:val="0000FF"/>
          <w:sz w:val="24"/>
          <w:szCs w:val="24"/>
        </w:rPr>
        <w:tab/>
      </w:r>
      <w:r w:rsidRPr="003D331B">
        <w:rPr>
          <w:noProof/>
          <w:color w:val="0000FF"/>
          <w:sz w:val="24"/>
          <w:szCs w:val="24"/>
        </w:rPr>
        <w:tab/>
        <w:t xml:space="preserve">           </w:t>
      </w:r>
      <w:r w:rsidRPr="003D331B">
        <w:rPr>
          <w:noProof/>
          <w:color w:val="0000FF"/>
          <w:sz w:val="24"/>
          <w:szCs w:val="24"/>
        </w:rPr>
        <w:tab/>
      </w:r>
      <w:r w:rsidR="00CC0D69">
        <w:rPr>
          <w:noProof/>
          <w:sz w:val="24"/>
          <w:szCs w:val="24"/>
        </w:rPr>
        <w:t>Projektas</w:t>
      </w:r>
    </w:p>
    <w:p w:rsidR="005C435F" w:rsidRPr="003D331B" w:rsidRDefault="005C435F" w:rsidP="00767CB4">
      <w:pPr>
        <w:pStyle w:val="Antrat"/>
        <w:jc w:val="right"/>
        <w:rPr>
          <w:noProof/>
          <w:sz w:val="24"/>
          <w:szCs w:val="24"/>
        </w:rPr>
      </w:pPr>
    </w:p>
    <w:p w:rsidR="005C435F" w:rsidRPr="003D331B" w:rsidRDefault="005C435F" w:rsidP="00767CB4">
      <w:pPr>
        <w:pStyle w:val="Antrat"/>
        <w:rPr>
          <w:noProof/>
          <w:sz w:val="24"/>
          <w:szCs w:val="24"/>
        </w:rPr>
      </w:pPr>
      <w:r w:rsidRPr="003D331B">
        <w:rPr>
          <w:noProof/>
          <w:sz w:val="24"/>
          <w:szCs w:val="24"/>
        </w:rPr>
        <w:t>LIETUVOS RESPUBLIKOS VIDAUS REIKALŲ MINISTRAS</w:t>
      </w:r>
    </w:p>
    <w:p w:rsidR="005C435F" w:rsidRPr="003D331B" w:rsidRDefault="005C435F" w:rsidP="00767CB4">
      <w:pPr>
        <w:pStyle w:val="Antrats"/>
        <w:jc w:val="center"/>
        <w:rPr>
          <w:noProof/>
        </w:rPr>
      </w:pPr>
    </w:p>
    <w:p w:rsidR="005C435F" w:rsidRPr="003D331B" w:rsidRDefault="005C435F" w:rsidP="00767CB4">
      <w:pPr>
        <w:spacing w:after="0" w:line="240" w:lineRule="auto"/>
        <w:jc w:val="center"/>
        <w:rPr>
          <w:rFonts w:ascii="Times New Roman" w:hAnsi="Times New Roman"/>
          <w:b/>
          <w:noProof/>
          <w:sz w:val="24"/>
          <w:szCs w:val="24"/>
        </w:rPr>
      </w:pPr>
      <w:r w:rsidRPr="003D331B">
        <w:rPr>
          <w:rFonts w:ascii="Times New Roman" w:hAnsi="Times New Roman"/>
          <w:b/>
          <w:noProof/>
          <w:sz w:val="24"/>
          <w:szCs w:val="24"/>
        </w:rPr>
        <w:t>ĮSAKYMAS</w:t>
      </w:r>
    </w:p>
    <w:p w:rsidR="005C435F" w:rsidRPr="003D331B" w:rsidRDefault="005C435F" w:rsidP="00767CB4">
      <w:pPr>
        <w:keepNext/>
        <w:spacing w:after="0" w:line="240" w:lineRule="auto"/>
        <w:jc w:val="center"/>
        <w:outlineLvl w:val="0"/>
        <w:rPr>
          <w:rFonts w:ascii="Times New Roman" w:hAnsi="Times New Roman"/>
          <w:b/>
          <w:bCs/>
          <w:smallCaps/>
          <w:noProof/>
          <w:sz w:val="24"/>
          <w:szCs w:val="24"/>
        </w:rPr>
      </w:pPr>
      <w:r w:rsidRPr="003D331B">
        <w:rPr>
          <w:rFonts w:ascii="Times New Roman" w:hAnsi="Times New Roman"/>
          <w:b/>
          <w:bCs/>
          <w:caps/>
          <w:noProof/>
          <w:sz w:val="24"/>
          <w:szCs w:val="24"/>
          <w:lang w:eastAsia="en-US"/>
        </w:rPr>
        <w:t>DĖL LIETUVOS RESPUBLIKOS VIDAUS REIKALŲ MINISTRO 2015 M. gruodžio 11 D. ĮSAKYMO NR. 1V-991 „dėl</w:t>
      </w:r>
      <w:r w:rsidRPr="003D331B">
        <w:rPr>
          <w:rFonts w:ascii="Times New Roman" w:hAnsi="Times New Roman"/>
          <w:b/>
          <w:bCs/>
          <w:smallCaps/>
          <w:noProof/>
          <w:sz w:val="24"/>
          <w:szCs w:val="24"/>
        </w:rPr>
        <w:t xml:space="preserve"> 2014–2020 METŲ EUROPOS SĄJUNGOS FONDŲ INVESTICIJŲ VEIKSMŲ PROGRAMOS 7 PRIORITETO „KOKYBIŠKO UŽIMTUMO IR DALYVAVIMO DARBO RINKOJE SKATINIMAS“</w:t>
      </w:r>
      <w:r w:rsidRPr="003D331B">
        <w:rPr>
          <w:rFonts w:ascii="Times New Roman" w:hAnsi="Times New Roman"/>
          <w:b/>
          <w:noProof/>
          <w:sz w:val="24"/>
          <w:szCs w:val="24"/>
        </w:rPr>
        <w:t xml:space="preserve"> NR. 07.1.1-CPVA-V-906</w:t>
      </w:r>
      <w:r w:rsidRPr="003D331B">
        <w:rPr>
          <w:rFonts w:ascii="Times New Roman" w:hAnsi="Times New Roman"/>
          <w:b/>
          <w:bCs/>
          <w:smallCaps/>
          <w:noProof/>
          <w:sz w:val="24"/>
          <w:szCs w:val="24"/>
        </w:rPr>
        <w:t xml:space="preserve"> PRIEMONĖS</w:t>
      </w:r>
      <w:r w:rsidRPr="003D331B">
        <w:rPr>
          <w:rFonts w:ascii="Times New Roman" w:hAnsi="Times New Roman"/>
          <w:noProof/>
          <w:sz w:val="24"/>
          <w:szCs w:val="24"/>
        </w:rPr>
        <w:t xml:space="preserve"> </w:t>
      </w:r>
      <w:r w:rsidRPr="003D331B">
        <w:rPr>
          <w:rFonts w:ascii="Times New Roman" w:hAnsi="Times New Roman"/>
          <w:b/>
          <w:noProof/>
          <w:sz w:val="24"/>
          <w:szCs w:val="24"/>
        </w:rPr>
        <w:t>„KOMPLEKSINĖ PASLAUGŲ PLĖTRA INTEGRUOTŲ TERITORIJŲ VYSTYMO PROGRAMŲ TIKSLINĖSE TERITORIJOSE“</w:t>
      </w:r>
      <w:r w:rsidRPr="003D331B">
        <w:rPr>
          <w:rFonts w:ascii="Times New Roman" w:hAnsi="Times New Roman"/>
          <w:b/>
          <w:bCs/>
          <w:smallCaps/>
          <w:noProof/>
          <w:sz w:val="24"/>
          <w:szCs w:val="24"/>
        </w:rPr>
        <w:t xml:space="preserve"> PROJEKTŲ FINANSAVIMO SĄLYGŲ APRAŠO PATVIRTINIMO</w:t>
      </w:r>
      <w:r w:rsidRPr="003D331B">
        <w:rPr>
          <w:rFonts w:ascii="Times New Roman" w:hAnsi="Times New Roman"/>
          <w:b/>
          <w:bCs/>
          <w:caps/>
          <w:noProof/>
          <w:sz w:val="24"/>
          <w:szCs w:val="24"/>
          <w:lang w:eastAsia="en-US"/>
        </w:rPr>
        <w:t>“ PAKEITIMO</w:t>
      </w:r>
    </w:p>
    <w:p w:rsidR="005C435F" w:rsidRPr="003D331B" w:rsidRDefault="005C435F" w:rsidP="00767CB4">
      <w:pPr>
        <w:spacing w:after="0" w:line="240" w:lineRule="auto"/>
        <w:jc w:val="center"/>
        <w:rPr>
          <w:rFonts w:ascii="Times New Roman" w:hAnsi="Times New Roman"/>
          <w:noProof/>
          <w:sz w:val="24"/>
          <w:lang w:eastAsia="en-US"/>
        </w:rPr>
      </w:pPr>
    </w:p>
    <w:p w:rsidR="005C435F" w:rsidRPr="003D331B" w:rsidRDefault="005C435F" w:rsidP="00767CB4">
      <w:pPr>
        <w:spacing w:after="0" w:line="240" w:lineRule="auto"/>
        <w:jc w:val="center"/>
        <w:rPr>
          <w:rFonts w:ascii="Times New Roman" w:hAnsi="Times New Roman"/>
          <w:noProof/>
          <w:sz w:val="24"/>
          <w:lang w:eastAsia="en-US"/>
        </w:rPr>
      </w:pPr>
      <w:r w:rsidRPr="003D331B">
        <w:rPr>
          <w:rFonts w:ascii="Times New Roman" w:hAnsi="Times New Roman"/>
          <w:noProof/>
          <w:sz w:val="24"/>
          <w:lang w:eastAsia="en-US"/>
        </w:rPr>
        <w:t xml:space="preserve">2016 m.                     d. Nr. </w:t>
      </w:r>
    </w:p>
    <w:p w:rsidR="005C435F" w:rsidRPr="003D331B" w:rsidRDefault="005C435F" w:rsidP="00767CB4">
      <w:pPr>
        <w:spacing w:after="0" w:line="240" w:lineRule="auto"/>
        <w:jc w:val="center"/>
        <w:rPr>
          <w:rFonts w:ascii="Times New Roman" w:hAnsi="Times New Roman"/>
          <w:noProof/>
          <w:sz w:val="24"/>
          <w:lang w:eastAsia="en-US"/>
        </w:rPr>
      </w:pPr>
      <w:r w:rsidRPr="003D331B">
        <w:rPr>
          <w:rFonts w:ascii="Times New Roman" w:hAnsi="Times New Roman"/>
          <w:noProof/>
          <w:sz w:val="24"/>
          <w:lang w:eastAsia="en-US"/>
        </w:rPr>
        <w:t>Vilnius</w:t>
      </w:r>
    </w:p>
    <w:p w:rsidR="005C435F" w:rsidRPr="003D331B" w:rsidRDefault="005C435F" w:rsidP="00767CB4">
      <w:pPr>
        <w:spacing w:after="0" w:line="240" w:lineRule="auto"/>
        <w:jc w:val="center"/>
        <w:rPr>
          <w:rFonts w:ascii="Times New Roman" w:hAnsi="Times New Roman"/>
          <w:noProof/>
          <w:sz w:val="24"/>
          <w:lang w:eastAsia="en-US"/>
        </w:rPr>
      </w:pPr>
    </w:p>
    <w:p w:rsidR="005C435F" w:rsidRPr="003D331B" w:rsidRDefault="005C435F" w:rsidP="00767CB4">
      <w:pPr>
        <w:tabs>
          <w:tab w:val="left" w:pos="4257"/>
        </w:tabs>
        <w:spacing w:after="0" w:line="240" w:lineRule="auto"/>
        <w:rPr>
          <w:rFonts w:ascii="Times New Roman" w:hAnsi="Times New Roman"/>
          <w:noProof/>
          <w:sz w:val="24"/>
          <w:lang w:eastAsia="en-US"/>
        </w:rPr>
      </w:pPr>
      <w:r w:rsidRPr="003D331B">
        <w:rPr>
          <w:rFonts w:ascii="Times New Roman" w:hAnsi="Times New Roman"/>
          <w:noProof/>
          <w:sz w:val="24"/>
          <w:lang w:eastAsia="en-US"/>
        </w:rPr>
        <w:tab/>
      </w:r>
    </w:p>
    <w:p w:rsidR="00657227" w:rsidRPr="003D331B" w:rsidRDefault="005C435F" w:rsidP="00C350EF">
      <w:pPr>
        <w:suppressAutoHyphens/>
        <w:spacing w:after="0" w:line="360" w:lineRule="auto"/>
        <w:ind w:firstLine="720"/>
        <w:jc w:val="both"/>
        <w:textAlignment w:val="center"/>
        <w:rPr>
          <w:rFonts w:ascii="Times New Roman" w:hAnsi="Times New Roman"/>
          <w:noProof/>
          <w:color w:val="000000"/>
          <w:sz w:val="24"/>
          <w:szCs w:val="24"/>
          <w:lang w:eastAsia="en-US"/>
        </w:rPr>
      </w:pPr>
      <w:r w:rsidRPr="003D331B">
        <w:rPr>
          <w:rFonts w:ascii="Times New Roman" w:hAnsi="Times New Roman"/>
          <w:noProof/>
          <w:color w:val="000000"/>
          <w:sz w:val="24"/>
          <w:szCs w:val="24"/>
          <w:lang w:eastAsia="en-US"/>
        </w:rPr>
        <w:t xml:space="preserve">P a k e i č i u </w:t>
      </w:r>
      <w:r w:rsidRPr="003D331B">
        <w:rPr>
          <w:rFonts w:ascii="Times New Roman" w:hAnsi="Times New Roman"/>
          <w:bCs/>
          <w:noProof/>
          <w:sz w:val="24"/>
          <w:szCs w:val="24"/>
          <w:lang w:eastAsia="en-US"/>
        </w:rPr>
        <w:t>Lietuvos Respublikos vidaus reikalų ministro 2015 m. gruodžio 11 d. įsakymą Nr. 1V-991 „Dėl</w:t>
      </w:r>
      <w:r w:rsidRPr="003D331B">
        <w:rPr>
          <w:rFonts w:ascii="Times New Roman" w:hAnsi="Times New Roman"/>
          <w:bCs/>
          <w:smallCaps/>
          <w:noProof/>
          <w:sz w:val="24"/>
          <w:szCs w:val="24"/>
        </w:rPr>
        <w:t xml:space="preserve"> </w:t>
      </w:r>
      <w:r w:rsidRPr="003D331B">
        <w:rPr>
          <w:rFonts w:ascii="Times New Roman" w:hAnsi="Times New Roman"/>
          <w:noProof/>
          <w:sz w:val="24"/>
          <w:szCs w:val="24"/>
        </w:rPr>
        <w:t>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aprašo patvirtinimo</w:t>
      </w:r>
      <w:r w:rsidRPr="003D331B">
        <w:rPr>
          <w:rFonts w:ascii="Times New Roman" w:hAnsi="Times New Roman"/>
          <w:bCs/>
          <w:noProof/>
          <w:sz w:val="24"/>
          <w:szCs w:val="24"/>
          <w:lang w:eastAsia="en-US"/>
        </w:rPr>
        <w:t>“</w:t>
      </w:r>
      <w:r w:rsidRPr="003D331B">
        <w:rPr>
          <w:rFonts w:ascii="Times New Roman" w:hAnsi="Times New Roman"/>
          <w:noProof/>
          <w:color w:val="000000"/>
          <w:sz w:val="24"/>
          <w:szCs w:val="24"/>
          <w:lang w:eastAsia="en-US"/>
        </w:rPr>
        <w:t>:</w:t>
      </w:r>
    </w:p>
    <w:p w:rsidR="005C435F" w:rsidRPr="003D331B" w:rsidRDefault="005C435F"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1. Pakeičiu preambulę ir ją išdėstau taip:</w:t>
      </w:r>
    </w:p>
    <w:p w:rsidR="00410B66" w:rsidRPr="003D331B" w:rsidRDefault="00410B66"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410B66" w:rsidRPr="003D331B" w:rsidRDefault="00410B66"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2. Nurodytu įsakymu patvirtintame 2014–2020 metų Europos Sąjungos fondų investicijų veiksmų programos 7 prioriteto „Kokybiško užimtumo ir dalyvavimo darbo rinkoje skatinimas“ Nr.</w:t>
      </w:r>
      <w:r w:rsidRPr="006D192F">
        <w:rPr>
          <w:rFonts w:ascii="Times New Roman" w:hAnsi="Times New Roman"/>
          <w:noProof/>
          <w:sz w:val="24"/>
          <w:szCs w:val="24"/>
        </w:rPr>
        <w:t>07</w:t>
      </w:r>
      <w:r w:rsidRPr="003D331B">
        <w:rPr>
          <w:rFonts w:ascii="Times New Roman" w:hAnsi="Times New Roman"/>
          <w:noProof/>
          <w:sz w:val="24"/>
          <w:szCs w:val="24"/>
        </w:rPr>
        <w:t>.1.1-CPVA-V-906 priemonės „Kompleksinė paslaugų plėtra integruotų teritorijų vystymo programų tikslinėse teritorijose“ projektų finansavimo sąlygų apraše:</w:t>
      </w:r>
    </w:p>
    <w:p w:rsidR="00410B66" w:rsidRPr="003D331B" w:rsidRDefault="00410B66"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 Pakeičiu 2.2 papunktį ir jį išdėstau taip:</w:t>
      </w:r>
    </w:p>
    <w:p w:rsidR="00410B66" w:rsidRPr="003D331B" w:rsidRDefault="00410B66"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„2.2. 2013 m. gruodžio 17 d. Europos Tarybos ir Parlamento reglamentą (ES) Nr. 1301/2013 dėl Europos regioninės plėtros fondo ir dėl konkrečių su investicijų į ekonomikos augimą ir darbo vietų kūrimą tikslu susijusių nuostatų, kuriuo panaikinamas Reglamentas (EB) Nr. 1080/2006 (OL 2013 L 347, p. 289) </w:t>
      </w:r>
      <w:r w:rsidRPr="00CC0D69">
        <w:rPr>
          <w:rFonts w:ascii="Times New Roman" w:hAnsi="Times New Roman"/>
          <w:noProof/>
          <w:sz w:val="24"/>
          <w:szCs w:val="24"/>
        </w:rPr>
        <w:t>(toliau – Reglamentas Nr. 1301/2013)</w:t>
      </w:r>
      <w:r w:rsidRPr="003D331B">
        <w:rPr>
          <w:rFonts w:ascii="Times New Roman" w:hAnsi="Times New Roman"/>
          <w:noProof/>
          <w:sz w:val="24"/>
          <w:szCs w:val="24"/>
        </w:rPr>
        <w:t>;“.</w:t>
      </w:r>
    </w:p>
    <w:p w:rsidR="007A3C18" w:rsidRPr="003D331B" w:rsidRDefault="007A3C18"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2.2. Pakeičiu 3.3 papunktį ir jį išdėstau taip:</w:t>
      </w:r>
    </w:p>
    <w:p w:rsidR="007A3C18" w:rsidRPr="003D331B" w:rsidRDefault="007A3C18"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„3.3. kitos sąvokos suprantamos taip, kaip jos apibrėžtos Aprašo 2 punkte nurodytuose teisės aktuose, Lietuvos Respublikos viešųjų pirkimų įstatyme, </w:t>
      </w:r>
      <w:r w:rsidRPr="00CC0D69">
        <w:rPr>
          <w:rFonts w:ascii="Times New Roman" w:hAnsi="Times New Roman"/>
          <w:noProof/>
          <w:sz w:val="24"/>
          <w:szCs w:val="24"/>
        </w:rPr>
        <w:t>Lietuvos Respublikos energetikos įstatyme, Lietuvos Respublikos elektros energetikos įstatyme,</w:t>
      </w:r>
      <w:r w:rsidRPr="003D331B">
        <w:rPr>
          <w:rFonts w:ascii="Times New Roman" w:hAnsi="Times New Roman"/>
          <w:noProof/>
          <w:sz w:val="24"/>
          <w:szCs w:val="24"/>
        </w:rPr>
        <w:t xml:space="preserve"> Atsakomybės ir funkcijų paskirstymo tarp </w:t>
      </w:r>
      <w:r w:rsidRPr="003D331B">
        <w:rPr>
          <w:rFonts w:ascii="Times New Roman" w:hAnsi="Times New Roman"/>
          <w:noProof/>
          <w:sz w:val="24"/>
          <w:szCs w:val="24"/>
        </w:rPr>
        <w:lastRenderedPageBreak/>
        <w:t>institucijų, įgyvendinant 2</w:t>
      </w:r>
      <w:r w:rsidR="005B50BF">
        <w:rPr>
          <w:rFonts w:ascii="Times New Roman" w:hAnsi="Times New Roman"/>
          <w:noProof/>
          <w:sz w:val="24"/>
          <w:szCs w:val="24"/>
        </w:rPr>
        <w:t>014–2020 metų Europos Sąjungos</w:t>
      </w:r>
      <w:r w:rsidRPr="003D331B">
        <w:rPr>
          <w:rFonts w:ascii="Times New Roman" w:hAnsi="Times New Roman"/>
          <w:noProof/>
          <w:sz w:val="24"/>
          <w:szCs w:val="24"/>
        </w:rPr>
        <w:t xml:space="preserve"> fondų veiksmų programą, taisyklėse, patvirtintose Lietuvos Respublikos Vyriausybės 2014 m. birželio 4 d. nutarimu Nr. 528 „Dėl Atsakomybės ir funkcijų paskirstymo tarp institucijų, įgyvendinant </w:t>
      </w:r>
      <w:r w:rsidR="00CC0D69">
        <w:rPr>
          <w:rFonts w:ascii="Times New Roman" w:hAnsi="Times New Roman"/>
          <w:noProof/>
          <w:sz w:val="24"/>
          <w:szCs w:val="24"/>
        </w:rPr>
        <w:t>2014–2020 metų Europos Sąjungos</w:t>
      </w:r>
      <w:r w:rsidRPr="003D331B">
        <w:rPr>
          <w:rFonts w:ascii="Times New Roman" w:hAnsi="Times New Roman"/>
          <w:noProof/>
          <w:sz w:val="24"/>
          <w:szCs w:val="24"/>
        </w:rPr>
        <w:t xml:space="preserve">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5B50BF">
        <w:rPr>
          <w:rFonts w:ascii="Times New Roman" w:hAnsi="Times New Roman"/>
          <w:noProof/>
          <w:sz w:val="24"/>
          <w:szCs w:val="24"/>
        </w:rPr>
        <w:t xml:space="preserve"> </w:t>
      </w:r>
      <w:r w:rsidR="005B50BF">
        <w:rPr>
          <w:rFonts w:ascii="Times New Roman" w:hAnsi="Times New Roman"/>
          <w:noProof/>
          <w:sz w:val="24"/>
          <w:szCs w:val="24"/>
        </w:rPr>
        <w:t xml:space="preserve">(toliau – </w:t>
      </w:r>
      <w:r w:rsidR="005B50BF" w:rsidRPr="00CC0D69">
        <w:rPr>
          <w:rFonts w:ascii="Times New Roman" w:hAnsi="Times New Roman"/>
          <w:noProof/>
          <w:sz w:val="24"/>
          <w:szCs w:val="24"/>
        </w:rPr>
        <w:t>Veiksmų pr</w:t>
      </w:r>
      <w:r w:rsidR="005B50BF">
        <w:rPr>
          <w:rFonts w:ascii="Times New Roman" w:hAnsi="Times New Roman"/>
          <w:noProof/>
          <w:sz w:val="24"/>
          <w:szCs w:val="24"/>
        </w:rPr>
        <w:t xml:space="preserve">ogramos administravimo </w:t>
      </w:r>
      <w:r w:rsidR="005B50BF" w:rsidRPr="005B50BF">
        <w:rPr>
          <w:rFonts w:ascii="Times New Roman" w:hAnsi="Times New Roman"/>
          <w:noProof/>
          <w:sz w:val="24"/>
          <w:szCs w:val="24"/>
        </w:rPr>
        <w:t>taisyklės)</w:t>
      </w:r>
      <w:r w:rsidRPr="005B50BF">
        <w:rPr>
          <w:rFonts w:ascii="Times New Roman" w:hAnsi="Times New Roman"/>
          <w:noProof/>
          <w:sz w:val="24"/>
          <w:szCs w:val="24"/>
        </w:rPr>
        <w:t>.“</w:t>
      </w:r>
    </w:p>
    <w:p w:rsidR="007A3C18" w:rsidRPr="003D331B" w:rsidRDefault="007A3C18"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2.3. Pakeičiu 7 punktą ir jį išdėstau taip:</w:t>
      </w:r>
    </w:p>
    <w:p w:rsidR="007A3C18" w:rsidRPr="003D331B" w:rsidRDefault="002170A4"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w:t>
      </w:r>
      <w:r w:rsidR="007A3C18" w:rsidRPr="003D331B">
        <w:rPr>
          <w:rFonts w:ascii="Times New Roman" w:hAnsi="Times New Roman"/>
          <w:noProof/>
          <w:sz w:val="24"/>
          <w:szCs w:val="24"/>
        </w:rPr>
        <w:t>7. Pagal Aprašą projekta</w:t>
      </w:r>
      <w:r w:rsidR="007A3C18" w:rsidRPr="00CC0D69">
        <w:rPr>
          <w:rFonts w:ascii="Times New Roman" w:hAnsi="Times New Roman"/>
          <w:noProof/>
          <w:sz w:val="24"/>
          <w:szCs w:val="24"/>
        </w:rPr>
        <w:t xml:space="preserve">ms įgyvendinti numatoma skirti iki </w:t>
      </w:r>
      <w:r w:rsidRPr="00CC0D69">
        <w:rPr>
          <w:rFonts w:ascii="Times New Roman" w:hAnsi="Times New Roman"/>
          <w:noProof/>
          <w:sz w:val="24"/>
          <w:szCs w:val="24"/>
        </w:rPr>
        <w:t>71 378 818</w:t>
      </w:r>
      <w:r w:rsidRPr="00CC0D69" w:rsidDel="007C7DED">
        <w:rPr>
          <w:rFonts w:ascii="Times New Roman" w:hAnsi="Times New Roman"/>
          <w:noProof/>
          <w:sz w:val="24"/>
          <w:szCs w:val="24"/>
        </w:rPr>
        <w:t xml:space="preserve"> </w:t>
      </w:r>
      <w:r w:rsidRPr="00CC0D69">
        <w:rPr>
          <w:rFonts w:ascii="Times New Roman" w:hAnsi="Times New Roman"/>
          <w:noProof/>
          <w:sz w:val="24"/>
          <w:szCs w:val="24"/>
        </w:rPr>
        <w:t>eurų (septyniasdešimt vieno milijono trijų šimtų septyniasdešimt aštuonių trūkstančių aštuonių šimtų aštuoniolikos eurų), iš kurių iki 46 655 918</w:t>
      </w:r>
      <w:r w:rsidRPr="00CC0D69" w:rsidDel="00C77640">
        <w:rPr>
          <w:rFonts w:ascii="Times New Roman" w:hAnsi="Times New Roman"/>
          <w:noProof/>
          <w:sz w:val="24"/>
          <w:szCs w:val="24"/>
        </w:rPr>
        <w:t xml:space="preserve"> </w:t>
      </w:r>
      <w:r w:rsidRPr="00CC0D69">
        <w:rPr>
          <w:rFonts w:ascii="Times New Roman" w:hAnsi="Times New Roman"/>
          <w:noProof/>
          <w:sz w:val="24"/>
          <w:szCs w:val="24"/>
        </w:rPr>
        <w:t>eurų (keturiasdešimt šešių milijonų šešių šimtų penkiasdešimt penkių tūkstančių devynių šimtų aštuoniolikos eurų) – ES struktūrinių fondų (Europos regioninės plėtros fondo) lėšos, iki 18 935 429 eurų (aštuoniolikos milijonų devynių šimtų trisdešimt penkių tūkstančių keturių šimtų dvidešimt devynių eurų) – ES struktūrinių fondų veiklos lėšų rezervo lėšos, iki 4 116 698</w:t>
      </w:r>
      <w:r w:rsidRPr="00CC0D69" w:rsidDel="00C77640">
        <w:rPr>
          <w:rFonts w:ascii="Times New Roman" w:hAnsi="Times New Roman"/>
          <w:noProof/>
          <w:sz w:val="24"/>
          <w:szCs w:val="24"/>
        </w:rPr>
        <w:t xml:space="preserve"> </w:t>
      </w:r>
      <w:r w:rsidRPr="00CC0D69">
        <w:rPr>
          <w:rFonts w:ascii="Times New Roman" w:hAnsi="Times New Roman"/>
          <w:noProof/>
          <w:sz w:val="24"/>
          <w:szCs w:val="24"/>
        </w:rPr>
        <w:t>eurų (keturių milijonų vieno šimto šešiolikos tūkstančių šešių šimtų devyniasdešimt aštuonių eurų) – Lietuvos Respublikos valstybės biudž</w:t>
      </w:r>
      <w:r w:rsidR="005B50BF">
        <w:rPr>
          <w:rFonts w:ascii="Times New Roman" w:hAnsi="Times New Roman"/>
          <w:noProof/>
          <w:sz w:val="24"/>
          <w:szCs w:val="24"/>
        </w:rPr>
        <w:t>eto lėšos ir iki 1 670 773 eurų</w:t>
      </w:r>
      <w:r w:rsidRPr="00CC0D69">
        <w:rPr>
          <w:rFonts w:ascii="Times New Roman" w:hAnsi="Times New Roman"/>
          <w:noProof/>
          <w:sz w:val="24"/>
          <w:szCs w:val="24"/>
        </w:rPr>
        <w:t xml:space="preserve"> (vieno milijono šešių šimtų septyniasdešimties tūkstančių septynių šimtų septyniasdešimt trijų eurų) – Lietuvos Respublikos valstybės biudžeto veiklos lėšų rezervo lėšos. Projektų sutartys veiklos lėšų rezervo sumai gali būti pasirašomos Veiksmų programos administravimo taisyklių XII skyriaus IV skirsnyje nustatyta tvarka</w:t>
      </w:r>
      <w:r w:rsidR="007A3C18" w:rsidRPr="003D331B">
        <w:rPr>
          <w:rFonts w:ascii="Times New Roman" w:hAnsi="Times New Roman"/>
          <w:noProof/>
          <w:sz w:val="24"/>
          <w:szCs w:val="24"/>
        </w:rPr>
        <w:t>.</w:t>
      </w:r>
      <w:r w:rsidRPr="003D331B">
        <w:rPr>
          <w:rFonts w:ascii="Times New Roman" w:hAnsi="Times New Roman"/>
          <w:noProof/>
          <w:sz w:val="24"/>
          <w:szCs w:val="24"/>
        </w:rPr>
        <w:t>“</w:t>
      </w:r>
      <w:r w:rsidR="007A3C18" w:rsidRPr="003D331B">
        <w:rPr>
          <w:rFonts w:ascii="Times New Roman" w:hAnsi="Times New Roman"/>
          <w:noProof/>
          <w:sz w:val="24"/>
          <w:szCs w:val="24"/>
        </w:rPr>
        <w:t xml:space="preserve"> </w:t>
      </w:r>
    </w:p>
    <w:p w:rsidR="002170A4" w:rsidRPr="003D331B" w:rsidRDefault="002170A4"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2.4. Pakeičiu 8 punktą ir jį išdėstau taip:</w:t>
      </w:r>
    </w:p>
    <w:p w:rsidR="002170A4" w:rsidRPr="003D331B" w:rsidRDefault="002170A4"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„8. Priemonės tikslas –</w:t>
      </w:r>
      <w:r w:rsidR="00CC0D69">
        <w:rPr>
          <w:rFonts w:ascii="Times New Roman" w:hAnsi="Times New Roman"/>
          <w:noProof/>
          <w:sz w:val="24"/>
          <w:szCs w:val="24"/>
        </w:rPr>
        <w:t xml:space="preserve"> padidinti neformalaus švietimo</w:t>
      </w:r>
      <w:r w:rsidRPr="003D331B">
        <w:rPr>
          <w:rFonts w:ascii="Times New Roman" w:hAnsi="Times New Roman"/>
          <w:noProof/>
          <w:sz w:val="24"/>
          <w:szCs w:val="24"/>
        </w:rPr>
        <w:t xml:space="preserve">, sveikos </w:t>
      </w:r>
      <w:r w:rsidRPr="00CC0D69">
        <w:rPr>
          <w:rFonts w:ascii="Times New Roman" w:hAnsi="Times New Roman"/>
          <w:noProof/>
          <w:sz w:val="24"/>
          <w:szCs w:val="24"/>
        </w:rPr>
        <w:t>gyvensenos, kultūros ir (ar)</w:t>
      </w:r>
      <w:r w:rsidRPr="003D331B">
        <w:rPr>
          <w:rFonts w:ascii="Times New Roman" w:hAnsi="Times New Roman"/>
          <w:noProof/>
          <w:sz w:val="24"/>
          <w:szCs w:val="24"/>
        </w:rPr>
        <w:t xml:space="preserve"> laisvalaikio paslaugų prieinamumą tikslinės teritorijos gyventojams ir sudaryti sąlygas gyventojų užimtumui didėti tikslinėje teritorijoje, skatinant vidinę miestų plėtrą, efektyvų išteklių panaudojimą.“</w:t>
      </w:r>
    </w:p>
    <w:p w:rsidR="00CE2066" w:rsidRPr="003D331B" w:rsidRDefault="000F281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2.5</w:t>
      </w:r>
      <w:r w:rsidR="00CE2066" w:rsidRPr="003D331B">
        <w:rPr>
          <w:noProof/>
        </w:rPr>
        <w:t>. Pakeičiu 9 punktą ir jį išdėstau taip:</w:t>
      </w:r>
    </w:p>
    <w:p w:rsidR="00CE2066" w:rsidRPr="003D331B" w:rsidRDefault="00CE2066"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„9. Pagal Aprašą remiamos šios veiklos:</w:t>
      </w:r>
    </w:p>
    <w:p w:rsidR="00CE2066" w:rsidRPr="00CC0D69" w:rsidRDefault="00CC0D69" w:rsidP="00C350EF">
      <w:pPr>
        <w:spacing w:after="0" w:line="360" w:lineRule="auto"/>
        <w:ind w:firstLine="851"/>
        <w:jc w:val="both"/>
        <w:rPr>
          <w:rFonts w:ascii="Times New Roman" w:hAnsi="Times New Roman"/>
          <w:noProof/>
          <w:sz w:val="24"/>
          <w:szCs w:val="24"/>
        </w:rPr>
      </w:pPr>
      <w:bookmarkStart w:id="0" w:name="part_51ad8419fd8a44fea8ce6129f858d3a3"/>
      <w:bookmarkEnd w:id="0"/>
      <w:r>
        <w:rPr>
          <w:rFonts w:ascii="Times New Roman" w:hAnsi="Times New Roman"/>
          <w:noProof/>
          <w:sz w:val="24"/>
          <w:szCs w:val="24"/>
        </w:rPr>
        <w:t xml:space="preserve">9.1. </w:t>
      </w:r>
      <w:r w:rsidR="00CE2066" w:rsidRPr="00CC0D69">
        <w:rPr>
          <w:rFonts w:ascii="Times New Roman" w:hAnsi="Times New Roman"/>
          <w:noProof/>
          <w:sz w:val="24"/>
          <w:szCs w:val="24"/>
        </w:rPr>
        <w:t>daugiafunkcinės socialinės infrastruktūros, skirtos neformaliam švietimui, sveikai gyvensenai ir laisvalaikiui, sukūrimas formuojant naujus miestų traukos centrus ar stiprinant esamus, įskaitant apleistos infrastruktūros konversiją;</w:t>
      </w:r>
    </w:p>
    <w:p w:rsidR="00CE2066" w:rsidRPr="00CC0D69" w:rsidRDefault="00CC0D69" w:rsidP="00C350EF">
      <w:pPr>
        <w:spacing w:after="0" w:line="360" w:lineRule="auto"/>
        <w:ind w:firstLine="851"/>
        <w:jc w:val="both"/>
        <w:rPr>
          <w:rFonts w:ascii="Times New Roman" w:hAnsi="Times New Roman"/>
          <w:noProof/>
          <w:sz w:val="24"/>
          <w:szCs w:val="24"/>
        </w:rPr>
      </w:pPr>
      <w:bookmarkStart w:id="1" w:name="part_b6a46998ec8641e7bd9cd170d14361ff"/>
      <w:bookmarkEnd w:id="1"/>
      <w:r w:rsidRPr="00CC0D69">
        <w:rPr>
          <w:rFonts w:ascii="Times New Roman" w:hAnsi="Times New Roman"/>
          <w:noProof/>
          <w:sz w:val="24"/>
          <w:szCs w:val="24"/>
        </w:rPr>
        <w:t xml:space="preserve">9.2. </w:t>
      </w:r>
      <w:r w:rsidR="005E2677" w:rsidRPr="00CC0D69">
        <w:rPr>
          <w:rFonts w:ascii="Times New Roman" w:hAnsi="Times New Roman"/>
          <w:noProof/>
          <w:sz w:val="24"/>
          <w:szCs w:val="24"/>
        </w:rPr>
        <w:t>apleistos viešosios infrastruktūros ir teritorijos konversija sukuriant naują infrastruktūrą, skatinančią užimtumą, sveiką gyvenseną ir (ar) vietos gyventojų bendruomeniškumą ir didinančią neformalaus švietimo, kultūros ir (ar) laisvalaikio paslaugų prieinamumą</w:t>
      </w:r>
      <w:r w:rsidR="00CE2066" w:rsidRPr="00CC0D69">
        <w:rPr>
          <w:rFonts w:ascii="Times New Roman" w:hAnsi="Times New Roman"/>
          <w:noProof/>
          <w:sz w:val="24"/>
          <w:szCs w:val="24"/>
        </w:rPr>
        <w:t>.</w:t>
      </w:r>
      <w:r w:rsidR="005E2677" w:rsidRPr="00CC0D69">
        <w:rPr>
          <w:rFonts w:ascii="Times New Roman" w:hAnsi="Times New Roman"/>
          <w:noProof/>
          <w:sz w:val="24"/>
          <w:szCs w:val="24"/>
        </w:rPr>
        <w:t>“</w:t>
      </w:r>
    </w:p>
    <w:p w:rsidR="000F2811" w:rsidRPr="003D331B" w:rsidRDefault="000F281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2.6. Papildau 9</w:t>
      </w:r>
      <w:r w:rsidRPr="003D331B">
        <w:rPr>
          <w:noProof/>
          <w:vertAlign w:val="superscript"/>
        </w:rPr>
        <w:t>1</w:t>
      </w:r>
      <w:r w:rsidRPr="003D331B">
        <w:rPr>
          <w:noProof/>
        </w:rPr>
        <w:t xml:space="preserve"> punktu:</w:t>
      </w:r>
    </w:p>
    <w:p w:rsidR="000F2811" w:rsidRPr="00CC0D69" w:rsidRDefault="000F2811"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lastRenderedPageBreak/>
        <w:t>„9</w:t>
      </w:r>
      <w:r w:rsidRPr="00CC0D69">
        <w:rPr>
          <w:rFonts w:ascii="Times New Roman" w:hAnsi="Times New Roman"/>
          <w:noProof/>
          <w:sz w:val="24"/>
          <w:szCs w:val="24"/>
          <w:vertAlign w:val="superscript"/>
        </w:rPr>
        <w:t>1</w:t>
      </w:r>
      <w:r w:rsidRPr="00CC0D69">
        <w:rPr>
          <w:rFonts w:ascii="Times New Roman" w:hAnsi="Times New Roman"/>
          <w:noProof/>
          <w:sz w:val="24"/>
          <w:szCs w:val="24"/>
        </w:rPr>
        <w:t xml:space="preserve">. Aprašo 9 punkte nurodytų veiklų tikslai: užtikrinti </w:t>
      </w:r>
      <w:r w:rsidR="005B50BF">
        <w:rPr>
          <w:rFonts w:ascii="Times New Roman" w:hAnsi="Times New Roman"/>
          <w:noProof/>
          <w:sz w:val="24"/>
          <w:szCs w:val="24"/>
        </w:rPr>
        <w:t>tikslinės teritorijos gyventojų</w:t>
      </w:r>
      <w:r w:rsidR="005B50BF" w:rsidRPr="00CC0D69">
        <w:rPr>
          <w:rFonts w:ascii="Times New Roman" w:hAnsi="Times New Roman"/>
          <w:noProof/>
          <w:sz w:val="24"/>
          <w:szCs w:val="24"/>
        </w:rPr>
        <w:t xml:space="preserve"> </w:t>
      </w:r>
      <w:r w:rsidRPr="00CC0D69">
        <w:rPr>
          <w:rFonts w:ascii="Times New Roman" w:hAnsi="Times New Roman"/>
          <w:noProof/>
          <w:sz w:val="24"/>
          <w:szCs w:val="24"/>
        </w:rPr>
        <w:t>poreikius atitinkančių vieš</w:t>
      </w:r>
      <w:r w:rsidR="00D12AC2">
        <w:rPr>
          <w:rFonts w:ascii="Times New Roman" w:hAnsi="Times New Roman"/>
          <w:noProof/>
          <w:sz w:val="24"/>
          <w:szCs w:val="24"/>
        </w:rPr>
        <w:t>ųjų paslaugų pasiūlą</w:t>
      </w:r>
      <w:r w:rsidRPr="00CC0D69">
        <w:rPr>
          <w:rFonts w:ascii="Times New Roman" w:hAnsi="Times New Roman"/>
          <w:noProof/>
          <w:sz w:val="24"/>
          <w:szCs w:val="24"/>
        </w:rPr>
        <w:t>, skatinti gyventojų socializaciją, stiprinti tikslinės teritorijos gyvenamosios vietovės bendruomenę ir (ar) prisidėti prie palankių sąlygų sudarymo verslo plėtrai ir kūrimui ir (arba) paslaugų sektoriaus vystymuisi.“</w:t>
      </w:r>
    </w:p>
    <w:p w:rsidR="000F2811" w:rsidRPr="003D331B" w:rsidRDefault="000F281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2.7. Pakeičiu 10 punktą ir jį išdėstau taip:</w:t>
      </w:r>
    </w:p>
    <w:p w:rsidR="000F2811" w:rsidRPr="003D331B" w:rsidRDefault="000F2811"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„10. Pagal Apraše nurodytas remiamas veiklas valstybės pr</w:t>
      </w:r>
      <w:r w:rsidR="00CC0D69">
        <w:rPr>
          <w:rFonts w:ascii="Times New Roman" w:hAnsi="Times New Roman"/>
          <w:noProof/>
          <w:sz w:val="24"/>
          <w:szCs w:val="24"/>
        </w:rPr>
        <w:t xml:space="preserve">ojektų sąrašą numatoma sudaryti </w:t>
      </w:r>
      <w:r w:rsidRPr="00CC0D69">
        <w:rPr>
          <w:rFonts w:ascii="Times New Roman" w:hAnsi="Times New Roman"/>
          <w:noProof/>
          <w:sz w:val="24"/>
          <w:szCs w:val="24"/>
        </w:rPr>
        <w:t>2017</w:t>
      </w:r>
      <w:r w:rsidRPr="003D331B">
        <w:rPr>
          <w:rFonts w:ascii="Times New Roman" w:hAnsi="Times New Roman"/>
          <w:noProof/>
          <w:sz w:val="24"/>
          <w:szCs w:val="24"/>
        </w:rPr>
        <w:t xml:space="preserve"> m. IV ketvirtį.“</w:t>
      </w:r>
    </w:p>
    <w:p w:rsidR="006B424E" w:rsidRPr="003D331B" w:rsidRDefault="006B424E"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2.8. Pakeičiu 18.3 papunktį ir jį išdėstau taip:</w:t>
      </w:r>
    </w:p>
    <w:p w:rsidR="006B424E" w:rsidRPr="003D331B" w:rsidRDefault="006B424E"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„18.3.projektas turi būti Lietuvos Respublikos Vyriausybės nutarimu pripažintas valstybei svarbiu ekonominiu projektu </w:t>
      </w:r>
      <w:r w:rsidRPr="00CC0D69">
        <w:rPr>
          <w:rFonts w:ascii="Times New Roman" w:hAnsi="Times New Roman"/>
          <w:noProof/>
          <w:sz w:val="24"/>
          <w:szCs w:val="24"/>
        </w:rPr>
        <w:t xml:space="preserve">(taikoma, jei numatoma vykdyti Aprašo 9.1 papunktyje </w:t>
      </w:r>
      <w:r w:rsidR="004D1546" w:rsidRPr="00CC0D69">
        <w:rPr>
          <w:rFonts w:ascii="Times New Roman" w:hAnsi="Times New Roman"/>
          <w:noProof/>
          <w:sz w:val="24"/>
          <w:szCs w:val="24"/>
        </w:rPr>
        <w:t>numatytas veiklas</w:t>
      </w:r>
      <w:r w:rsidRPr="00CC0D69">
        <w:rPr>
          <w:rFonts w:ascii="Times New Roman" w:hAnsi="Times New Roman"/>
          <w:noProof/>
          <w:sz w:val="24"/>
          <w:szCs w:val="24"/>
        </w:rPr>
        <w:t>.</w:t>
      </w:r>
      <w:r w:rsidRPr="003D331B">
        <w:rPr>
          <w:rFonts w:ascii="Times New Roman" w:hAnsi="Times New Roman"/>
          <w:noProof/>
          <w:sz w:val="24"/>
          <w:szCs w:val="24"/>
        </w:rPr>
        <w:t>“</w:t>
      </w:r>
    </w:p>
    <w:p w:rsidR="006B424E" w:rsidRPr="003D331B" w:rsidRDefault="006B424E"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w:t>
      </w:r>
      <w:r w:rsidR="00012A41" w:rsidRPr="003D331B">
        <w:rPr>
          <w:noProof/>
        </w:rPr>
        <w:t>9</w:t>
      </w:r>
      <w:r w:rsidRPr="003D331B">
        <w:rPr>
          <w:noProof/>
        </w:rPr>
        <w:t>. Pakeičiu 19 punktą ir jį išdėstau taip:</w:t>
      </w:r>
    </w:p>
    <w:p w:rsidR="006B424E" w:rsidRPr="003D331B" w:rsidRDefault="006B424E"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„19. Pagal Aprašą nefinansuojami didelės apimties projektai.</w:t>
      </w:r>
      <w:r w:rsidRPr="00CC0D69">
        <w:rPr>
          <w:rFonts w:ascii="Times New Roman" w:hAnsi="Times New Roman"/>
          <w:noProof/>
          <w:sz w:val="24"/>
          <w:szCs w:val="24"/>
        </w:rPr>
        <w:t xml:space="preserve"> Vadovaujantis Reglamento Nr. 1301/2013 3 straipsnio 1 dalies (e) punktu, pagal Aprašą finansuojamo kultūros infrastruktūros projekto vertė neturi viršyti 5 000 000 eurų (penkių milijonų eurų). Projektu sukuriami infrastruktūros vienetai turi būti funkciškai nepriklausomi.“</w:t>
      </w:r>
    </w:p>
    <w:p w:rsidR="00012A41" w:rsidRPr="003D331B" w:rsidRDefault="00012A4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2.10. Pakeičiu 23 punktą ir jį išdėstau taip:</w:t>
      </w:r>
    </w:p>
    <w:p w:rsidR="00012A41" w:rsidRPr="00CC0D69" w:rsidRDefault="00012A41"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„23. Projektu turi būti siekiama prisidėti </w:t>
      </w:r>
      <w:r w:rsidRPr="00CC0D69">
        <w:rPr>
          <w:rFonts w:ascii="Times New Roman" w:hAnsi="Times New Roman"/>
          <w:noProof/>
          <w:sz w:val="24"/>
          <w:szCs w:val="24"/>
        </w:rPr>
        <w:t>prie šių stebėsenos rodiklių, kurie skaičiuojami 2014–2020 metų Europos Sąjungos fondų investicijų veiksm</w:t>
      </w:r>
      <w:r w:rsidR="00D12AC2">
        <w:rPr>
          <w:rFonts w:ascii="Times New Roman" w:hAnsi="Times New Roman"/>
          <w:noProof/>
          <w:sz w:val="24"/>
          <w:szCs w:val="24"/>
        </w:rPr>
        <w:t>ų</w:t>
      </w:r>
      <w:r w:rsidRPr="00CC0D69">
        <w:rPr>
          <w:rFonts w:ascii="Times New Roman" w:hAnsi="Times New Roman"/>
          <w:noProof/>
          <w:sz w:val="24"/>
          <w:szCs w:val="24"/>
        </w:rPr>
        <w:t xml:space="preserve"> programos stebėsenos rodiklių skaičiavimo apraše, patvirtintame Lietuvos Respublikos finansų ministro 2014 m. gruodžio 30 d. įsakymu Nr. 1K-499 „Dėl 2014–2020 m. Europos Sąjungos fondų investicijų veiksmų programos stebėsenos rodiklių skaičiavimo aprašo patvirtinimo“ ir paskelbtame ES struktūrinių fondų interneto svetainėje www.esinvesticijos.lt, nustatyta tvarka, bei siekiama toliau nurodytos minimalios rodiklio pasiekimo reikšmės:</w:t>
      </w:r>
    </w:p>
    <w:p w:rsidR="00012A41" w:rsidRPr="00CC0D69" w:rsidRDefault="00012A41"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23.1. produkto stebėsenos rodiklio „Sukurtos arba atnaujintos atviros erdvės miestų vietovėse“ (rodiklio kodas P.B. 238) – 100 000 kv. m. ir (arba);</w:t>
      </w:r>
    </w:p>
    <w:p w:rsidR="00012A41" w:rsidRPr="00CC0D69" w:rsidRDefault="00012A41"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23.2. produkto stebėsenos rodiklio „Pastatyti arba atnaujinti viešieji arba komerciniai pastatai miestų vietovėse“ (rodiklio kodas P.B. 239) – 35 930 kv. m.“</w:t>
      </w:r>
    </w:p>
    <w:p w:rsidR="000C63AA" w:rsidRPr="003D331B" w:rsidRDefault="000C63AA"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2.11. Pakeičiu 24.2.1 papunktį ir jį išdėstau taip:</w:t>
      </w:r>
    </w:p>
    <w:p w:rsidR="000C63AA" w:rsidRPr="003D331B" w:rsidRDefault="000C63AA"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„24.2.1. pareiškėjas (partneris)</w:t>
      </w:r>
      <w:r w:rsidRPr="00CC0D69">
        <w:rPr>
          <w:rFonts w:ascii="Times New Roman" w:hAnsi="Times New Roman"/>
          <w:noProof/>
          <w:sz w:val="24"/>
          <w:szCs w:val="24"/>
        </w:rPr>
        <w:t xml:space="preserve"> žemės sklypą, kuriame statomas statinys, turi valdyti nuosavybės teise arba valdyti ir naudoti kitais Lietuvos Respublikos įstatymų nustatytais pagrindais (valdymo ir naudojimo sutartis turi būti įregistruota įstatymų nustatyta tvarka); kai žemės sklypas nesuformuotas, turi būti gautas Nacionalines žemės tarnybos prie Žemės ūkio ministerijos sutikimas planuojamai vykdyti veiklai; teisė valdyti ir naudoti žemės sklypą / sutikimas turi galioti ne trumpiau nei penkerius metus nuo projekto veiklų įgyvendinimo pabaigos;“.</w:t>
      </w:r>
    </w:p>
    <w:p w:rsidR="002A5161" w:rsidRPr="003D331B" w:rsidRDefault="002A516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lastRenderedPageBreak/>
        <w:t>2.12. Pakeičiu 24.2.2 papunktį ir jį išdėstau taip:</w:t>
      </w:r>
    </w:p>
    <w:p w:rsidR="002A5161" w:rsidRPr="003D331B" w:rsidRDefault="002A5161"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„24.2.2. nekilnojamojo turto, kuris bus naudojamas įgyvendinant projektą, naudojimo paskirtis turi atitikti pagal projektą įgyvendinamą veiklą </w:t>
      </w:r>
      <w:r w:rsidRPr="00CC0D69">
        <w:rPr>
          <w:rFonts w:ascii="Times New Roman" w:hAnsi="Times New Roman"/>
          <w:noProof/>
          <w:sz w:val="24"/>
          <w:szCs w:val="24"/>
        </w:rPr>
        <w:t>arba turi būti pakeista</w:t>
      </w:r>
      <w:r w:rsidRPr="003D331B">
        <w:rPr>
          <w:rFonts w:ascii="Times New Roman" w:hAnsi="Times New Roman"/>
          <w:noProof/>
          <w:sz w:val="24"/>
          <w:szCs w:val="24"/>
        </w:rPr>
        <w:t xml:space="preserve"> iki projekto veiklų įgyvendinimo pabaigos;“.</w:t>
      </w:r>
    </w:p>
    <w:p w:rsidR="002A5161" w:rsidRPr="003D331B" w:rsidRDefault="002A516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2.13. Pakeičiu 26 punktą ir jį išdėstau taip:</w:t>
      </w:r>
    </w:p>
    <w:p w:rsidR="002A5161" w:rsidRPr="003D331B" w:rsidRDefault="002A5161"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„26. Projektu turi būti prisidedama prie darnaus vystymosi principo įgyvendinimo, t. y. projekto paraiškoje pagrindžiama, kad projektas tenkina bent vieną iš kriterijų:</w:t>
      </w:r>
    </w:p>
    <w:p w:rsidR="002A5161" w:rsidRPr="003D331B" w:rsidRDefault="002A5161" w:rsidP="00C350EF">
      <w:pPr>
        <w:spacing w:after="0" w:line="360" w:lineRule="auto"/>
        <w:ind w:firstLine="851"/>
        <w:jc w:val="both"/>
        <w:rPr>
          <w:rFonts w:ascii="Times New Roman" w:hAnsi="Times New Roman"/>
          <w:noProof/>
          <w:sz w:val="24"/>
          <w:szCs w:val="24"/>
        </w:rPr>
      </w:pPr>
      <w:bookmarkStart w:id="2" w:name="part_9a671e3ed77f4cdda83cb8325055ef95"/>
      <w:bookmarkEnd w:id="2"/>
      <w:r w:rsidRPr="003D331B">
        <w:rPr>
          <w:rFonts w:ascii="Times New Roman" w:hAnsi="Times New Roman"/>
          <w:noProof/>
          <w:sz w:val="24"/>
          <w:szCs w:val="24"/>
        </w:rPr>
        <w:t>26.1. vykdomas apleistų teritorijų ir (arba) pastatų regeneravimas; arba</w:t>
      </w:r>
    </w:p>
    <w:p w:rsidR="002A5161" w:rsidRPr="003D331B" w:rsidRDefault="00CC0D69" w:rsidP="00C350EF">
      <w:pPr>
        <w:spacing w:after="0" w:line="360" w:lineRule="auto"/>
        <w:ind w:firstLine="851"/>
        <w:jc w:val="both"/>
        <w:rPr>
          <w:rFonts w:ascii="Times New Roman" w:hAnsi="Times New Roman"/>
          <w:noProof/>
          <w:sz w:val="24"/>
          <w:szCs w:val="24"/>
        </w:rPr>
      </w:pPr>
      <w:bookmarkStart w:id="3" w:name="part_791f2069b2754da296f12a3ee32d8dcf"/>
      <w:bookmarkEnd w:id="3"/>
      <w:r>
        <w:rPr>
          <w:rFonts w:ascii="Times New Roman" w:hAnsi="Times New Roman"/>
          <w:noProof/>
          <w:sz w:val="24"/>
          <w:szCs w:val="24"/>
        </w:rPr>
        <w:t>26.2. vykdomas</w:t>
      </w:r>
      <w:r w:rsidR="002A5161" w:rsidRPr="003D331B">
        <w:rPr>
          <w:rFonts w:ascii="Times New Roman" w:hAnsi="Times New Roman"/>
          <w:noProof/>
          <w:sz w:val="24"/>
          <w:szCs w:val="24"/>
        </w:rPr>
        <w:t xml:space="preserve"> infrastruktūros (pastatų, patalpų) </w:t>
      </w:r>
      <w:r w:rsidR="002A5161" w:rsidRPr="00CC0D69">
        <w:rPr>
          <w:rFonts w:ascii="Times New Roman" w:hAnsi="Times New Roman"/>
          <w:noProof/>
          <w:sz w:val="24"/>
          <w:szCs w:val="24"/>
        </w:rPr>
        <w:t>sukūrimas ir</w:t>
      </w:r>
      <w:r w:rsidR="002A5161" w:rsidRPr="003D331B">
        <w:rPr>
          <w:rFonts w:ascii="Times New Roman" w:hAnsi="Times New Roman"/>
          <w:noProof/>
          <w:sz w:val="24"/>
          <w:szCs w:val="24"/>
        </w:rPr>
        <w:t xml:space="preserve"> pritaikymas bendruomenės poreikiams, užimtumo galimybių didinimui ypač socialiai pažeidžiamiems asmenims, t. y. asmenims, kurie yra jautresni socialiniams ir ekonominiams iššūkiams ir rizikoms bei turi mažiau resursų su jais sėkmingai susidoroti – neįgaliesiems, vienišoms mamoms, priešpensinio ir pensinio amžiaus žmonėms, kvalifikacijos neturintiems jaunuoliams, tautinių mažumų atstovams, prievartą patyrusiems asmenims ir pan.; arba</w:t>
      </w:r>
    </w:p>
    <w:p w:rsidR="002A5161" w:rsidRPr="003D331B" w:rsidRDefault="00CC0D69" w:rsidP="00C350EF">
      <w:pPr>
        <w:spacing w:after="0" w:line="360" w:lineRule="auto"/>
        <w:ind w:firstLine="851"/>
        <w:jc w:val="both"/>
        <w:rPr>
          <w:rFonts w:ascii="Times New Roman" w:hAnsi="Times New Roman"/>
          <w:noProof/>
          <w:sz w:val="24"/>
          <w:szCs w:val="24"/>
        </w:rPr>
      </w:pPr>
      <w:bookmarkStart w:id="4" w:name="part_1cbed8bbe04b4510bf6039f7774cae5f"/>
      <w:bookmarkEnd w:id="4"/>
      <w:r>
        <w:rPr>
          <w:rFonts w:ascii="Times New Roman" w:hAnsi="Times New Roman"/>
          <w:noProof/>
          <w:sz w:val="24"/>
          <w:szCs w:val="24"/>
        </w:rPr>
        <w:t>26.3. vykdomas</w:t>
      </w:r>
      <w:r w:rsidR="002A5161" w:rsidRPr="003D331B">
        <w:rPr>
          <w:rFonts w:ascii="Times New Roman" w:hAnsi="Times New Roman"/>
          <w:noProof/>
          <w:sz w:val="24"/>
          <w:szCs w:val="24"/>
        </w:rPr>
        <w:t xml:space="preserve"> viešosios infrastruktūros </w:t>
      </w:r>
      <w:r w:rsidR="002A5161" w:rsidRPr="00CC0D69">
        <w:rPr>
          <w:rFonts w:ascii="Times New Roman" w:hAnsi="Times New Roman"/>
          <w:noProof/>
          <w:sz w:val="24"/>
          <w:szCs w:val="24"/>
        </w:rPr>
        <w:t>sukūrimas ir</w:t>
      </w:r>
      <w:r w:rsidR="002A5161" w:rsidRPr="003D331B">
        <w:rPr>
          <w:rFonts w:ascii="Times New Roman" w:hAnsi="Times New Roman"/>
          <w:b/>
          <w:noProof/>
          <w:sz w:val="24"/>
          <w:szCs w:val="24"/>
        </w:rPr>
        <w:t xml:space="preserve"> </w:t>
      </w:r>
      <w:r w:rsidR="002A5161" w:rsidRPr="003D331B">
        <w:rPr>
          <w:rFonts w:ascii="Times New Roman" w:hAnsi="Times New Roman"/>
          <w:noProof/>
          <w:sz w:val="24"/>
          <w:szCs w:val="24"/>
        </w:rPr>
        <w:t>pritaikymas veikloms, susijusioms su visuomenės švietimu ir gebėjimų ugdymu.“</w:t>
      </w:r>
    </w:p>
    <w:p w:rsidR="001E6B67" w:rsidRPr="003D331B" w:rsidRDefault="001E6B67"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2.14. Pakeičiu 27 punktą ir jį išdėstau taip:</w:t>
      </w:r>
    </w:p>
    <w:p w:rsidR="001E6B67" w:rsidRPr="003D331B" w:rsidRDefault="001E6B67"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„27. Pagal Aprašą </w:t>
      </w:r>
      <w:r w:rsidRPr="00CC0D69">
        <w:rPr>
          <w:rFonts w:ascii="Times New Roman" w:hAnsi="Times New Roman"/>
          <w:noProof/>
          <w:sz w:val="24"/>
          <w:szCs w:val="24"/>
        </w:rPr>
        <w:t xml:space="preserve">gali būti teikiama valstybės pagalba, kaip ji apibrėžta Sutarties dėl Europos Sąjungos veikimo (OL 2010 C 83, p. 47) 107 straipsnyje. </w:t>
      </w:r>
      <w:r w:rsidR="00D12AC2">
        <w:rPr>
          <w:rFonts w:ascii="Times New Roman" w:hAnsi="Times New Roman"/>
          <w:noProof/>
          <w:sz w:val="24"/>
          <w:szCs w:val="24"/>
        </w:rPr>
        <w:t xml:space="preserve">Pagal Aprašo 9.1, 9.2 </w:t>
      </w:r>
      <w:r w:rsidRPr="00CC0D69">
        <w:rPr>
          <w:rFonts w:ascii="Times New Roman" w:hAnsi="Times New Roman"/>
          <w:noProof/>
          <w:sz w:val="24"/>
          <w:szCs w:val="24"/>
        </w:rPr>
        <w:t>papunkčius įgyvendinamų projekto veiklų finansavimas gali būti valstybės investicinė pagalba ir teikiama pagal Bendrojo bendrosios išimties reglamento 48 straipsnį, jei pagal Bendrojo bendrosios išimties reglamento 4 straipsnio 1 dalies (x) punktą projektui teikiamos valstybės pagalbos dydis neviršija 50 000 000 eurų (penkiasdešimties milijonų eurų) sumos (energetikos infrastruktūros atveju), Bendrojo bendrosios išimties reglamento 53 straipsnį, jei pagal Bendrojo bendrosios išimties reglamento 4 straipsnio 1 dalies (z) punktą projektui teikiamos valstybės pagalbos dydis neviršija 100 000 000 eurų (vieno šimto milijonų eurų) sumos (kultūros infrastruktūros atveju), 55 straipsnį, jeigu pagal Bendrojo bendrosios išimties reglamento 4 straipsnio 1 dalies (bb) punktą projektui teikiamos valstybės pagalbos dydis neviršija 15 000 000 eurų (penkiolikos milijonų eurų) sumos, o visa projekto vertė neviršija 50 000 000 eurų (penkiasdešimties milijonų eurų) sumos (sporto ir daugiafunkcinės laisvalaikio infrastruktūros atveju) arba 56 straipsnį, jeigu pagal Bendrojo bendrosios išimties reglamento 4 straipsnio 1 dalies (cc) punktą projektui teikiamos valstybės pagalbos dydis neviršija 10 000 000 eurų (dešimtie</w:t>
      </w:r>
      <w:r w:rsidR="00D12AC2">
        <w:rPr>
          <w:rFonts w:ascii="Times New Roman" w:hAnsi="Times New Roman"/>
          <w:noProof/>
          <w:sz w:val="24"/>
          <w:szCs w:val="24"/>
        </w:rPr>
        <w:t>s</w:t>
      </w:r>
      <w:r w:rsidRPr="00CC0D69">
        <w:rPr>
          <w:rFonts w:ascii="Times New Roman" w:hAnsi="Times New Roman"/>
          <w:noProof/>
          <w:sz w:val="24"/>
          <w:szCs w:val="24"/>
        </w:rPr>
        <w:t xml:space="preserve"> milijonų eurų) sumos, o visa projekto vertė neviršija 20 000 000 eurų (dvidešimties milijonų eurų) sumos (vietos infrastruktūros (vandentiekio, nuotekų šalinimo, šilumos, dujų technologiniai vamzdynai) atveju). Aprašas nustato investicinės valstybės pagalbos energetikos, vietos, kultūros bei sporto ir daugiafunkcei laisvalaikio </w:t>
      </w:r>
      <w:r w:rsidRPr="00CC0D69">
        <w:rPr>
          <w:rFonts w:ascii="Times New Roman" w:hAnsi="Times New Roman"/>
          <w:noProof/>
          <w:sz w:val="24"/>
          <w:szCs w:val="24"/>
        </w:rPr>
        <w:lastRenderedPageBreak/>
        <w:t>infrastruktūrai teikimo sąlygas, kurios atitinka Bendrojo bendrosios išimties reglamento I skyriuje nustatytas sąlygas ir specialias šio reglamento 48, 53, 55 arba 56 straipsnyje nustatytas sąlygas ir yra suderinamos su vidaus rinka.</w:t>
      </w:r>
      <w:r w:rsidR="00043AFF" w:rsidRPr="00CC0D69">
        <w:rPr>
          <w:rFonts w:ascii="Times New Roman" w:hAnsi="Times New Roman"/>
          <w:noProof/>
          <w:sz w:val="24"/>
          <w:szCs w:val="24"/>
        </w:rPr>
        <w:t>“</w:t>
      </w:r>
    </w:p>
    <w:p w:rsidR="00043AFF" w:rsidRPr="003D331B" w:rsidRDefault="00043AFF"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2.15. Papildau 27</w:t>
      </w:r>
      <w:r w:rsidRPr="003D331B">
        <w:rPr>
          <w:noProof/>
          <w:vertAlign w:val="superscript"/>
        </w:rPr>
        <w:t>1</w:t>
      </w:r>
      <w:r w:rsidRPr="003D331B">
        <w:rPr>
          <w:noProof/>
        </w:rPr>
        <w:t xml:space="preserve"> punktu:</w:t>
      </w:r>
    </w:p>
    <w:p w:rsidR="00043AFF" w:rsidRPr="00CC0D69" w:rsidRDefault="00043AFF"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„27</w:t>
      </w:r>
      <w:r w:rsidRPr="00CC0D69">
        <w:rPr>
          <w:rFonts w:ascii="Times New Roman" w:hAnsi="Times New Roman"/>
          <w:noProof/>
          <w:sz w:val="24"/>
          <w:szCs w:val="24"/>
          <w:vertAlign w:val="superscript"/>
        </w:rPr>
        <w:t>1</w:t>
      </w:r>
      <w:r w:rsidRPr="00CC0D69">
        <w:rPr>
          <w:rFonts w:ascii="Times New Roman" w:hAnsi="Times New Roman"/>
          <w:noProof/>
          <w:sz w:val="24"/>
          <w:szCs w:val="24"/>
        </w:rPr>
        <w:t xml:space="preserve">. Valstybės pagalbos reikalavimai, nustatyti šiame Apraše, nėra taikomi projektams, jeigu jiems skiriamas finansavimas neatitinka bent vieno Sutarties dėl Europos Sąjungos veikimo 107 straipsnio 1 dalyje nustatyto valstybės pagalbos kriterijaus, t. y.: </w:t>
      </w:r>
    </w:p>
    <w:p w:rsidR="00043AFF" w:rsidRPr="00CC0D69" w:rsidRDefault="00043AFF"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27</w:t>
      </w:r>
      <w:r w:rsidRPr="00CC0D69">
        <w:rPr>
          <w:rFonts w:ascii="Times New Roman" w:hAnsi="Times New Roman"/>
          <w:noProof/>
          <w:sz w:val="24"/>
          <w:szCs w:val="24"/>
          <w:vertAlign w:val="superscript"/>
        </w:rPr>
        <w:t>1</w:t>
      </w:r>
      <w:r w:rsidRPr="00CC0D69">
        <w:rPr>
          <w:rFonts w:ascii="Times New Roman" w:hAnsi="Times New Roman"/>
          <w:noProof/>
          <w:sz w:val="24"/>
          <w:szCs w:val="24"/>
        </w:rPr>
        <w:t>.1. finansavimą tiesiogiai ar netiesiogiai numatoma teikti ūkio subjektams (-ui) ūkinei veiklai vykdyti;</w:t>
      </w:r>
    </w:p>
    <w:p w:rsidR="00043AFF" w:rsidRPr="00CC0D69" w:rsidRDefault="00043AFF"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27</w:t>
      </w:r>
      <w:r w:rsidRPr="00CC0D69">
        <w:rPr>
          <w:rFonts w:ascii="Times New Roman" w:hAnsi="Times New Roman"/>
          <w:noProof/>
          <w:sz w:val="24"/>
          <w:szCs w:val="24"/>
          <w:vertAlign w:val="superscript"/>
        </w:rPr>
        <w:t>1</w:t>
      </w:r>
      <w:r w:rsidRPr="00CC0D69">
        <w:rPr>
          <w:rFonts w:ascii="Times New Roman" w:hAnsi="Times New Roman"/>
          <w:noProof/>
          <w:sz w:val="24"/>
          <w:szCs w:val="24"/>
        </w:rPr>
        <w:t>.2. finansavimas iš valstybės išteklių ūkio subjektams (-ui) suteiktų</w:t>
      </w:r>
      <w:r w:rsidR="00E342E4" w:rsidRPr="00CC0D69">
        <w:rPr>
          <w:rFonts w:ascii="Times New Roman" w:hAnsi="Times New Roman"/>
          <w:noProof/>
          <w:sz w:val="24"/>
          <w:szCs w:val="24"/>
        </w:rPr>
        <w:t> </w:t>
      </w:r>
      <w:r w:rsidRPr="00CC0D69">
        <w:rPr>
          <w:rFonts w:ascii="Times New Roman" w:hAnsi="Times New Roman"/>
          <w:noProof/>
          <w:sz w:val="24"/>
          <w:szCs w:val="24"/>
        </w:rPr>
        <w:t>/</w:t>
      </w:r>
      <w:r w:rsidR="00E342E4" w:rsidRPr="00CC0D69">
        <w:rPr>
          <w:rFonts w:ascii="Times New Roman" w:hAnsi="Times New Roman"/>
          <w:noProof/>
          <w:sz w:val="24"/>
          <w:szCs w:val="24"/>
        </w:rPr>
        <w:t> </w:t>
      </w:r>
      <w:r w:rsidRPr="00CC0D69">
        <w:rPr>
          <w:rFonts w:ascii="Times New Roman" w:hAnsi="Times New Roman"/>
          <w:noProof/>
          <w:sz w:val="24"/>
          <w:szCs w:val="24"/>
        </w:rPr>
        <w:t>suteikia išskirtinę ekonominę naudą, kurios jie</w:t>
      </w:r>
      <w:r w:rsidR="00E342E4" w:rsidRPr="00CC0D69">
        <w:rPr>
          <w:rFonts w:ascii="Times New Roman" w:hAnsi="Times New Roman"/>
          <w:noProof/>
          <w:sz w:val="24"/>
          <w:szCs w:val="24"/>
        </w:rPr>
        <w:t> </w:t>
      </w:r>
      <w:r w:rsidRPr="00CC0D69">
        <w:rPr>
          <w:rFonts w:ascii="Times New Roman" w:hAnsi="Times New Roman"/>
          <w:noProof/>
          <w:sz w:val="24"/>
          <w:szCs w:val="24"/>
        </w:rPr>
        <w:t>/</w:t>
      </w:r>
      <w:r w:rsidR="00E342E4" w:rsidRPr="00CC0D69">
        <w:rPr>
          <w:rFonts w:ascii="Times New Roman" w:hAnsi="Times New Roman"/>
          <w:noProof/>
          <w:sz w:val="24"/>
          <w:szCs w:val="24"/>
        </w:rPr>
        <w:t> </w:t>
      </w:r>
      <w:r w:rsidRPr="00CC0D69">
        <w:rPr>
          <w:rFonts w:ascii="Times New Roman" w:hAnsi="Times New Roman"/>
          <w:noProof/>
          <w:sz w:val="24"/>
          <w:szCs w:val="24"/>
        </w:rPr>
        <w:t>jis negautų rinkos sąlygomis;</w:t>
      </w:r>
    </w:p>
    <w:p w:rsidR="00043AFF" w:rsidRPr="00CC0D69" w:rsidRDefault="00043AFF"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27</w:t>
      </w:r>
      <w:r w:rsidRPr="00CC0D69">
        <w:rPr>
          <w:rFonts w:ascii="Times New Roman" w:hAnsi="Times New Roman"/>
          <w:noProof/>
          <w:sz w:val="24"/>
          <w:szCs w:val="24"/>
          <w:vertAlign w:val="superscript"/>
        </w:rPr>
        <w:t>1</w:t>
      </w:r>
      <w:r w:rsidRPr="00CC0D69">
        <w:rPr>
          <w:rFonts w:ascii="Times New Roman" w:hAnsi="Times New Roman"/>
          <w:noProof/>
          <w:sz w:val="24"/>
          <w:szCs w:val="24"/>
        </w:rPr>
        <w:t>.3. finansavimą numatoma teikti</w:t>
      </w:r>
      <w:r w:rsidR="00E342E4" w:rsidRPr="00CC0D69">
        <w:rPr>
          <w:rFonts w:ascii="Times New Roman" w:hAnsi="Times New Roman"/>
          <w:noProof/>
          <w:sz w:val="24"/>
          <w:szCs w:val="24"/>
        </w:rPr>
        <w:t> </w:t>
      </w:r>
      <w:r w:rsidRPr="00CC0D69">
        <w:rPr>
          <w:rFonts w:ascii="Times New Roman" w:hAnsi="Times New Roman"/>
          <w:noProof/>
          <w:sz w:val="24"/>
          <w:szCs w:val="24"/>
        </w:rPr>
        <w:t>/</w:t>
      </w:r>
      <w:r w:rsidR="00D12AC2">
        <w:rPr>
          <w:rFonts w:ascii="Times New Roman" w:hAnsi="Times New Roman"/>
          <w:noProof/>
          <w:sz w:val="24"/>
          <w:szCs w:val="24"/>
        </w:rPr>
        <w:t xml:space="preserve"> </w:t>
      </w:r>
      <w:r w:rsidR="00D12AC2" w:rsidRPr="00DB64EB">
        <w:rPr>
          <w:rFonts w:ascii="Times New Roman" w:hAnsi="Times New Roman"/>
          <w:noProof/>
          <w:sz w:val="24"/>
          <w:szCs w:val="24"/>
        </w:rPr>
        <w:t>finansavimas</w:t>
      </w:r>
      <w:r w:rsidR="00E342E4" w:rsidRPr="00CC0D69">
        <w:rPr>
          <w:rFonts w:ascii="Times New Roman" w:hAnsi="Times New Roman"/>
          <w:noProof/>
          <w:sz w:val="24"/>
          <w:szCs w:val="24"/>
        </w:rPr>
        <w:t> </w:t>
      </w:r>
      <w:r w:rsidRPr="00CC0D69">
        <w:rPr>
          <w:rFonts w:ascii="Times New Roman" w:hAnsi="Times New Roman"/>
          <w:noProof/>
          <w:sz w:val="24"/>
          <w:szCs w:val="24"/>
        </w:rPr>
        <w:t>teikiamas tam tikroms pasirinktoms prekėms gaminti ar paslaugoms teikti, arba tam tikriems pasirinktiems ūkio subjektams (-ui), t. y. ar finansavimo priemonė yra selektyvaus pobūdžio;</w:t>
      </w:r>
    </w:p>
    <w:p w:rsidR="00043AFF" w:rsidRPr="00CC0D69" w:rsidRDefault="00043AFF"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27</w:t>
      </w:r>
      <w:r w:rsidRPr="00CC0D69">
        <w:rPr>
          <w:rFonts w:ascii="Times New Roman" w:hAnsi="Times New Roman"/>
          <w:noProof/>
          <w:sz w:val="24"/>
          <w:szCs w:val="24"/>
          <w:vertAlign w:val="superscript"/>
        </w:rPr>
        <w:t>1</w:t>
      </w:r>
      <w:r w:rsidRPr="00CC0D69">
        <w:rPr>
          <w:rFonts w:ascii="Times New Roman" w:hAnsi="Times New Roman"/>
          <w:noProof/>
          <w:sz w:val="24"/>
          <w:szCs w:val="24"/>
        </w:rPr>
        <w:t>.4. finansavimas gali iškraipyti konkurenciją ir veikti prekybą tarp ES šalių.“</w:t>
      </w:r>
    </w:p>
    <w:p w:rsidR="00992AA1" w:rsidRPr="003D331B" w:rsidRDefault="00992AA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2.16. Pakeičiu 28 punktą ir jį išdėstau taip:</w:t>
      </w:r>
    </w:p>
    <w:p w:rsidR="00992AA1" w:rsidRPr="003D331B" w:rsidRDefault="00992AA1"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„28. Jei projektui teikiamos valstybės pagalbos dydis ar projekto vertė viršija Bendrojo bendrosios išimties reglamento 4 straipsnio 1 dalies </w:t>
      </w:r>
      <w:r w:rsidRPr="00CC0D69">
        <w:rPr>
          <w:rFonts w:ascii="Times New Roman" w:hAnsi="Times New Roman"/>
          <w:noProof/>
          <w:sz w:val="24"/>
          <w:szCs w:val="24"/>
        </w:rPr>
        <w:t>(x), (z), (bb) arba (cc)</w:t>
      </w:r>
      <w:r w:rsidRPr="003D331B">
        <w:rPr>
          <w:rFonts w:ascii="Times New Roman" w:hAnsi="Times New Roman"/>
          <w:noProof/>
          <w:sz w:val="24"/>
          <w:szCs w:val="24"/>
        </w:rPr>
        <w:t xml:space="preserve"> punkte nustatytą sumą, apie tokį projektą, vadovaujantis Bendrojo bendrosios išimties reglamento 3 straipsniu ir Sutarties dėl Europos Sąjungos veikimo 108 straipsnio 3 dalimi, Ministerija praneša Europos Komisijai ir laukiama jos teigiamo ar neigiamo sprendimo dėl galimybės įgyvendinti projektą.“</w:t>
      </w:r>
    </w:p>
    <w:p w:rsidR="00992AA1" w:rsidRPr="003D331B" w:rsidRDefault="00992AA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2.17. Pakeičiu 29 punktą ir jį išdėstau taip:</w:t>
      </w:r>
    </w:p>
    <w:p w:rsidR="00992AA1" w:rsidRPr="003D331B" w:rsidRDefault="00992AA1"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„29. Vadovaujantis Bendrojo bendrosios išimties reglamento 2 straipsnio 23 dalimi ir 6 straipsnio 2 dalimi, pareiškėjas iki paraiškos pateikimo įgyvendinančiai institucijai neturi būti prisiėmęs įsipareigojimų, dėl kurių investicija tampa neatšaukiama, t. y. neturi būti pasirašytos prekių tiekimo ar rangos darbų (taip pat ir rangos darbų su projektavimu) sutartys </w:t>
      </w:r>
      <w:r w:rsidRPr="00CC0D69">
        <w:rPr>
          <w:rFonts w:ascii="Times New Roman" w:hAnsi="Times New Roman"/>
          <w:noProof/>
          <w:sz w:val="24"/>
          <w:szCs w:val="24"/>
        </w:rPr>
        <w:t>(išskyrus kultūros infrastruktūros atveju).“</w:t>
      </w:r>
    </w:p>
    <w:p w:rsidR="00992AA1" w:rsidRPr="003D331B" w:rsidRDefault="00992AA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2.18. Pakeičiu 30 punktą ir jį išdėstau taip:</w:t>
      </w:r>
    </w:p>
    <w:p w:rsidR="00992AA1" w:rsidRPr="003D331B" w:rsidRDefault="00992AA1"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„30. Priemonės lėšomis negali būti finansuojamos projektų išlaidos, kurios </w:t>
      </w:r>
      <w:r w:rsidR="00D12AC2">
        <w:rPr>
          <w:rFonts w:ascii="Times New Roman" w:hAnsi="Times New Roman"/>
          <w:noProof/>
          <w:sz w:val="24"/>
          <w:szCs w:val="24"/>
        </w:rPr>
        <w:t xml:space="preserve">yra, buvo arba </w:t>
      </w:r>
      <w:r w:rsidRPr="00CC0D69">
        <w:rPr>
          <w:rFonts w:ascii="Times New Roman" w:hAnsi="Times New Roman"/>
          <w:noProof/>
          <w:sz w:val="24"/>
          <w:szCs w:val="24"/>
        </w:rPr>
        <w:t>bus</w:t>
      </w:r>
      <w:r w:rsidRPr="003D331B">
        <w:rPr>
          <w:rFonts w:ascii="Times New Roman" w:hAnsi="Times New Roman"/>
          <w:noProof/>
          <w:sz w:val="24"/>
          <w:szCs w:val="24"/>
        </w:rPr>
        <w:t xml:space="preserve"> finansuotos ES struktūrinių fondų, kitų ES finansinės paramos priemonių ar kitos tarptautinės paramos lėšomis.“</w:t>
      </w:r>
    </w:p>
    <w:p w:rsidR="00992AA1" w:rsidRPr="003D331B" w:rsidRDefault="00992AA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2.19. Pakeičiu 31 punktą ir jį išdėstau taip:</w:t>
      </w:r>
    </w:p>
    <w:p w:rsidR="00992AA1" w:rsidRPr="003D331B" w:rsidRDefault="00992AA1"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„31. Siekiant užtikrinti Bendrojo bendrosios išimties re</w:t>
      </w:r>
      <w:r w:rsidRPr="00CC0D69">
        <w:rPr>
          <w:rFonts w:ascii="Times New Roman" w:hAnsi="Times New Roman"/>
          <w:noProof/>
          <w:sz w:val="24"/>
          <w:szCs w:val="24"/>
        </w:rPr>
        <w:t xml:space="preserve">glamento 48 straipsnio 5 dalyje, 53 straipsnio 6 dalyje, 55 straipsnio 10 dalyje arba 56 straipsnio 6 dalyje nustatyto reikalavimo dėl valstybės pagalbos dydžio laikymąsi, diskontuotas investicijos veiklos pelnas iš tinkamų finansuoti </w:t>
      </w:r>
      <w:r w:rsidRPr="00CC0D69">
        <w:rPr>
          <w:rFonts w:ascii="Times New Roman" w:hAnsi="Times New Roman"/>
          <w:noProof/>
          <w:sz w:val="24"/>
          <w:szCs w:val="24"/>
        </w:rPr>
        <w:lastRenderedPageBreak/>
        <w:t xml:space="preserve">išlaidų bus atskaitomas </w:t>
      </w:r>
      <w:r w:rsidRPr="00CC0D69">
        <w:rPr>
          <w:rFonts w:ascii="Times New Roman" w:hAnsi="Times New Roman"/>
          <w:i/>
          <w:noProof/>
          <w:sz w:val="24"/>
          <w:szCs w:val="24"/>
        </w:rPr>
        <w:t xml:space="preserve">ex ante </w:t>
      </w:r>
      <w:r w:rsidRPr="00CC0D69">
        <w:rPr>
          <w:rFonts w:ascii="Times New Roman" w:hAnsi="Times New Roman"/>
          <w:noProof/>
          <w:sz w:val="24"/>
          <w:szCs w:val="24"/>
        </w:rPr>
        <w:t>remiantis pagrįstomis prognozėmis. Palūkanų normą, naudojamą diskontuojant, sudaro Europos Komisijos patvirtinta bazinė palūkanų norma, skelbiama adresu http://ec.europa.eu/competition/state_aid/legislation/reference_rates.html, plius 100 (vienas šimtas) bazinių punktų. Vadovaudamasis Bendrojo bendrosios išimties reglamento 2 straipsnio 142 dalimi ir 53 straipsnio 6 dalimi, kultūros infrastruktūros valdytojas gali atitinkamu laikotarpiu pasilikti pagrįstą pelną.“</w:t>
      </w:r>
    </w:p>
    <w:p w:rsidR="00992AA1" w:rsidRPr="003D331B" w:rsidRDefault="00992AA1"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2.20. Pakeičiu 32 punktą ir jį išdėstau taip:</w:t>
      </w:r>
    </w:p>
    <w:p w:rsidR="00992AA1" w:rsidRPr="003D331B" w:rsidRDefault="00D00E87"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w:t>
      </w:r>
      <w:r w:rsidR="00992AA1" w:rsidRPr="003D331B">
        <w:rPr>
          <w:rFonts w:ascii="Times New Roman" w:hAnsi="Times New Roman"/>
          <w:noProof/>
          <w:sz w:val="24"/>
          <w:szCs w:val="24"/>
        </w:rPr>
        <w:t>32. Projekto išlaidos turi atitikti Projektų taisyklių VI skyriuje, išskyrus Projektų taisyklių 405.2 papunktyje nustatytą reikalavimą išankstinėms sąskaitoms pateikti rangovo, prekių tiekėjo ar paslaugų teikėjo gautą kredito įstaigos išankstinio mokėjimo grąžinimo garantiją, laidavimo ar laidavimo draudimo dokumentą, ir 2014–2020 m. rekomendacijose dėl projektų išlaidų atitikties Europos Sąjungos struktūrinių fondų reikalavimams, kurios paskelbtos ES struktūrinių fondų interneto svetainėje www.esinvesticijos.lt (toliau – Rekomendacijos dėl projektų išlaidų atitikties Europos Sąjungos strukt</w:t>
      </w:r>
      <w:r w:rsidR="00992AA1" w:rsidRPr="00CC0D69">
        <w:rPr>
          <w:rFonts w:ascii="Times New Roman" w:hAnsi="Times New Roman"/>
          <w:noProof/>
          <w:sz w:val="24"/>
          <w:szCs w:val="24"/>
        </w:rPr>
        <w:t>ūrinių fondų reikalavimams), ir, kai teikiama valstybės pagalba, Bendrojo bendrosios išimties reglamento 7 ir 48, 53, 55 ar 56 straipsniuose išdėstytus projekto išlaidoms taikomus reikalavimus.</w:t>
      </w:r>
      <w:r w:rsidRPr="00CC0D69">
        <w:rPr>
          <w:rFonts w:ascii="Times New Roman" w:hAnsi="Times New Roman"/>
          <w:noProof/>
          <w:sz w:val="24"/>
          <w:szCs w:val="24"/>
        </w:rPr>
        <w:t>“</w:t>
      </w:r>
      <w:r w:rsidR="00992AA1" w:rsidRPr="00CC0D69">
        <w:rPr>
          <w:rFonts w:ascii="Times New Roman" w:hAnsi="Times New Roman"/>
          <w:noProof/>
          <w:sz w:val="24"/>
          <w:szCs w:val="24"/>
        </w:rPr>
        <w:t xml:space="preserve"> </w:t>
      </w:r>
    </w:p>
    <w:p w:rsidR="00D00E87" w:rsidRPr="003D331B" w:rsidRDefault="00E736C5"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2.21</w:t>
      </w:r>
      <w:r w:rsidR="00D00E87" w:rsidRPr="003D331B">
        <w:rPr>
          <w:noProof/>
        </w:rPr>
        <w:t>. Pakeičiu 35 punktą ir jį išdėstau taip:</w:t>
      </w:r>
    </w:p>
    <w:p w:rsidR="00D00E87" w:rsidRPr="003D331B" w:rsidRDefault="00D00E87"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„35.</w:t>
      </w:r>
      <w:r w:rsidRPr="003D331B">
        <w:rPr>
          <w:rFonts w:ascii="Times New Roman" w:hAnsi="Times New Roman"/>
          <w:noProof/>
          <w:sz w:val="24"/>
          <w:szCs w:val="24"/>
        </w:rPr>
        <w:tab/>
        <w:t xml:space="preserve">Projekto tinkamų finansuoti išlaidų dalis, kurios nepadengia projektui skiriamo finansavimo lėšos, turi būti finansuojama iš projekto vykdytojo </w:t>
      </w:r>
      <w:r w:rsidRPr="00CC0D69">
        <w:rPr>
          <w:rFonts w:ascii="Times New Roman" w:hAnsi="Times New Roman"/>
          <w:noProof/>
          <w:sz w:val="24"/>
          <w:szCs w:val="24"/>
        </w:rPr>
        <w:t>(partnerio)</w:t>
      </w:r>
      <w:r w:rsidRPr="003D331B">
        <w:rPr>
          <w:rFonts w:ascii="Times New Roman" w:hAnsi="Times New Roman"/>
          <w:noProof/>
          <w:sz w:val="24"/>
          <w:szCs w:val="24"/>
        </w:rPr>
        <w:t xml:space="preserve"> lėšų.“</w:t>
      </w:r>
    </w:p>
    <w:p w:rsidR="00D00E87" w:rsidRPr="003D331B" w:rsidRDefault="00E736C5"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2.22</w:t>
      </w:r>
      <w:r w:rsidR="00D00E87" w:rsidRPr="003D331B">
        <w:rPr>
          <w:noProof/>
        </w:rPr>
        <w:t>. Pakeičiu 36 punktą ir jį išdėstau taip:</w:t>
      </w:r>
    </w:p>
    <w:p w:rsidR="00D00E87" w:rsidRPr="003D331B" w:rsidRDefault="00D00E87"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„36.</w:t>
      </w:r>
      <w:r w:rsidRPr="003D331B">
        <w:rPr>
          <w:rFonts w:ascii="Times New Roman" w:hAnsi="Times New Roman"/>
          <w:noProof/>
          <w:sz w:val="24"/>
          <w:szCs w:val="24"/>
        </w:rPr>
        <w:tab/>
        <w:t xml:space="preserve">Pagal Aprašą ir Bendrojo bendrosios išimties reglamento 7 ir </w:t>
      </w:r>
      <w:r w:rsidRPr="00CC0D69">
        <w:rPr>
          <w:rFonts w:ascii="Times New Roman" w:hAnsi="Times New Roman"/>
          <w:noProof/>
          <w:sz w:val="24"/>
          <w:szCs w:val="24"/>
        </w:rPr>
        <w:t>48, 53, 55 ar 56</w:t>
      </w:r>
      <w:r w:rsidRPr="003D331B">
        <w:rPr>
          <w:rFonts w:ascii="Times New Roman" w:hAnsi="Times New Roman"/>
          <w:noProof/>
          <w:sz w:val="24"/>
          <w:szCs w:val="24"/>
        </w:rPr>
        <w:t xml:space="preserve"> straipsnius tinkamų finansuoti išlaidų kategorijos yra šios:</w:t>
      </w:r>
    </w:p>
    <w:p w:rsidR="00D00E87" w:rsidRPr="003D331B" w:rsidRDefault="00D00E87"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36.1. 3 išlaidų kategorija „Statyba, rekonstravimas, remontas ir kiti darbai“;</w:t>
      </w:r>
    </w:p>
    <w:p w:rsidR="001848E4" w:rsidRPr="003D331B" w:rsidRDefault="00D00E87" w:rsidP="00DD1432">
      <w:pPr>
        <w:spacing w:after="0" w:line="360" w:lineRule="auto"/>
        <w:ind w:firstLine="851"/>
        <w:jc w:val="both"/>
        <w:rPr>
          <w:rFonts w:ascii="Times New Roman" w:hAnsi="Times New Roman"/>
          <w:b/>
          <w:noProof/>
          <w:sz w:val="24"/>
          <w:szCs w:val="24"/>
        </w:rPr>
      </w:pPr>
      <w:r w:rsidRPr="003D331B">
        <w:rPr>
          <w:rFonts w:ascii="Times New Roman" w:hAnsi="Times New Roman"/>
          <w:noProof/>
          <w:sz w:val="24"/>
          <w:szCs w:val="24"/>
        </w:rPr>
        <w:t>36.2. 4 išlaidų kategorija „Įranga, įrenginiai ir kitas turtas“</w:t>
      </w:r>
      <w:r w:rsidRPr="003D331B">
        <w:rPr>
          <w:rFonts w:ascii="Times New Roman" w:hAnsi="Times New Roman"/>
          <w:strike/>
          <w:noProof/>
          <w:sz w:val="24"/>
          <w:szCs w:val="24"/>
        </w:rPr>
        <w:t>.</w:t>
      </w:r>
      <w:r w:rsidRPr="003D331B">
        <w:rPr>
          <w:rFonts w:ascii="Times New Roman" w:hAnsi="Times New Roman"/>
          <w:b/>
          <w:noProof/>
          <w:sz w:val="24"/>
          <w:szCs w:val="24"/>
        </w:rPr>
        <w:t>;</w:t>
      </w:r>
    </w:p>
    <w:p w:rsidR="00D00E87" w:rsidRPr="00CC0D69" w:rsidRDefault="00DD1432"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36.3</w:t>
      </w:r>
      <w:r w:rsidR="00D00E87" w:rsidRPr="00CC0D69">
        <w:rPr>
          <w:rFonts w:ascii="Times New Roman" w:hAnsi="Times New Roman"/>
          <w:noProof/>
          <w:sz w:val="24"/>
          <w:szCs w:val="24"/>
        </w:rPr>
        <w:t>. 6 išlaidų kategorija „Informavimas apie projektą“ (netaikoma valstybės pagalbos atveju);</w:t>
      </w:r>
    </w:p>
    <w:p w:rsidR="00D00E87" w:rsidRPr="00CC0D69" w:rsidRDefault="00DD1432" w:rsidP="00C350EF">
      <w:pPr>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36.4</w:t>
      </w:r>
      <w:r w:rsidR="00D00E87" w:rsidRPr="00CC0D69">
        <w:rPr>
          <w:rFonts w:ascii="Times New Roman" w:hAnsi="Times New Roman"/>
          <w:noProof/>
          <w:sz w:val="24"/>
          <w:szCs w:val="24"/>
        </w:rPr>
        <w:t>. 7 išlaidų kategorija „Netiesioginės išlaidos ir kitos išlaidos pagal fiksuotąją projekto išlaidų normą“ (fiksuotąją projekto išlaidų normą nustato įgyvendinančioji institucija projekto tinkamumo finansuoti vertinimo metu, remdamasi projekto biudžetu ir neviršydama Fiksuotosios normos taikymo netiesioginėms projekto išlaidoms apmokėti tvarkos aprašo 4 punkte (Projektų taisyklių 10 priedas) nustatytų didžiausių ribų) (netaikoma valstybės pagalbos atveju).“</w:t>
      </w:r>
    </w:p>
    <w:p w:rsidR="00D00E87" w:rsidRPr="003D331B" w:rsidRDefault="00E736C5"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2.23</w:t>
      </w:r>
      <w:r w:rsidR="001061BA" w:rsidRPr="003D331B">
        <w:rPr>
          <w:noProof/>
        </w:rPr>
        <w:t>. Papildau 36</w:t>
      </w:r>
      <w:r w:rsidR="001061BA" w:rsidRPr="003D331B">
        <w:rPr>
          <w:noProof/>
          <w:vertAlign w:val="superscript"/>
        </w:rPr>
        <w:t>1</w:t>
      </w:r>
      <w:r w:rsidR="001061BA" w:rsidRPr="003D331B">
        <w:rPr>
          <w:noProof/>
        </w:rPr>
        <w:t xml:space="preserve"> punktu:</w:t>
      </w:r>
    </w:p>
    <w:p w:rsidR="001061BA" w:rsidRPr="00CC0D69" w:rsidRDefault="001061BA" w:rsidP="00C350EF">
      <w:pPr>
        <w:tabs>
          <w:tab w:val="left" w:pos="1418"/>
        </w:tabs>
        <w:spacing w:after="0" w:line="360" w:lineRule="auto"/>
        <w:ind w:firstLine="851"/>
        <w:jc w:val="both"/>
        <w:rPr>
          <w:rFonts w:ascii="Times New Roman" w:hAnsi="Times New Roman"/>
          <w:noProof/>
          <w:sz w:val="24"/>
          <w:szCs w:val="24"/>
        </w:rPr>
      </w:pPr>
      <w:r w:rsidRPr="00CC0D69">
        <w:rPr>
          <w:rFonts w:ascii="Times New Roman" w:hAnsi="Times New Roman"/>
          <w:noProof/>
          <w:sz w:val="24"/>
          <w:szCs w:val="24"/>
        </w:rPr>
        <w:t>„36</w:t>
      </w:r>
      <w:r w:rsidRPr="00CC0D69">
        <w:rPr>
          <w:rFonts w:ascii="Times New Roman" w:hAnsi="Times New Roman"/>
          <w:noProof/>
          <w:sz w:val="24"/>
          <w:szCs w:val="24"/>
          <w:vertAlign w:val="superscript"/>
        </w:rPr>
        <w:t>1</w:t>
      </w:r>
      <w:r w:rsidRPr="00CC0D69">
        <w:rPr>
          <w:rFonts w:ascii="Times New Roman" w:hAnsi="Times New Roman"/>
          <w:noProof/>
          <w:sz w:val="24"/>
          <w:szCs w:val="24"/>
        </w:rPr>
        <w:t xml:space="preserve">. Aprašo 36.1–36.3 papunkčiuose nurodytų išlaidų kategorijose projektą vykdančio personalo darbo užmokesčio išlaidoms taikoma kasmetinių atostogų išmokų fiksuotoji norma, kuri nustatoma vadovaujantis Kasmetinių atostogų išmokų fiksuotųjų normų nustatymo tyrimo ataskaita, </w:t>
      </w:r>
      <w:r w:rsidRPr="00CC0D69">
        <w:rPr>
          <w:rFonts w:ascii="Times New Roman" w:hAnsi="Times New Roman"/>
          <w:noProof/>
          <w:sz w:val="24"/>
          <w:szCs w:val="24"/>
        </w:rPr>
        <w:lastRenderedPageBreak/>
        <w:t>patvirtinta Lietuvos Respublikos finansų ministerijos 2016 m. sausio 19 d. ir skelbiama interneto svetainėje www.esinvesticijos.lt (http://www.esinvesticijos.lt/lt/dokumentai/supaprastinto-islaidu-apmokejimo-tyrimai).“</w:t>
      </w:r>
    </w:p>
    <w:p w:rsidR="00E736C5" w:rsidRPr="003D331B" w:rsidRDefault="00E736C5"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2.24. Pakeičiu 37 punktą ir jį išdėstau taip:</w:t>
      </w:r>
    </w:p>
    <w:p w:rsidR="00E736C5" w:rsidRPr="003D331B" w:rsidRDefault="00E736C5"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„37. Pagal Aprašą netinkamomis finansuoti išlaidomis laikomos:</w:t>
      </w:r>
    </w:p>
    <w:p w:rsidR="00E736C5" w:rsidRPr="003D331B" w:rsidRDefault="00E736C5" w:rsidP="00C350EF">
      <w:pPr>
        <w:spacing w:after="0" w:line="360" w:lineRule="auto"/>
        <w:ind w:firstLine="851"/>
        <w:jc w:val="both"/>
        <w:rPr>
          <w:rFonts w:ascii="Times New Roman" w:hAnsi="Times New Roman"/>
          <w:noProof/>
          <w:sz w:val="24"/>
          <w:szCs w:val="24"/>
        </w:rPr>
      </w:pPr>
      <w:bookmarkStart w:id="5" w:name="part_96db4972350749dd9cfb5d4042654547"/>
      <w:bookmarkEnd w:id="5"/>
      <w:r w:rsidRPr="003D331B">
        <w:rPr>
          <w:rFonts w:ascii="Times New Roman" w:hAnsi="Times New Roman"/>
          <w:noProof/>
          <w:sz w:val="24"/>
          <w:szCs w:val="24"/>
        </w:rPr>
        <w:t>37.1. 1 išlaidų kategorija „Žemė“;</w:t>
      </w:r>
    </w:p>
    <w:p w:rsidR="00E736C5" w:rsidRPr="003D331B" w:rsidRDefault="00E736C5" w:rsidP="00C350EF">
      <w:pPr>
        <w:spacing w:after="0" w:line="360" w:lineRule="auto"/>
        <w:ind w:firstLine="851"/>
        <w:jc w:val="both"/>
        <w:rPr>
          <w:rFonts w:ascii="Times New Roman" w:hAnsi="Times New Roman"/>
          <w:noProof/>
          <w:sz w:val="24"/>
          <w:szCs w:val="24"/>
        </w:rPr>
      </w:pPr>
      <w:bookmarkStart w:id="6" w:name="part_238e93cac489497cada46835a5a76398"/>
      <w:bookmarkEnd w:id="6"/>
      <w:r w:rsidRPr="003D331B">
        <w:rPr>
          <w:rFonts w:ascii="Times New Roman" w:hAnsi="Times New Roman"/>
          <w:noProof/>
          <w:sz w:val="24"/>
          <w:szCs w:val="24"/>
        </w:rPr>
        <w:t>37.2. 2 išlaidų kategorija „Nekilnojamasis turtas“;</w:t>
      </w:r>
    </w:p>
    <w:p w:rsidR="00E736C5" w:rsidRPr="00DD1432" w:rsidRDefault="00E736C5" w:rsidP="00C350EF">
      <w:pPr>
        <w:spacing w:after="0" w:line="360" w:lineRule="auto"/>
        <w:ind w:firstLine="851"/>
        <w:jc w:val="both"/>
        <w:rPr>
          <w:rFonts w:ascii="Times New Roman" w:hAnsi="Times New Roman"/>
          <w:noProof/>
          <w:sz w:val="24"/>
          <w:szCs w:val="24"/>
        </w:rPr>
      </w:pPr>
      <w:bookmarkStart w:id="7" w:name="part_d64915d9d6eb49999433e01a7876da37"/>
      <w:bookmarkEnd w:id="7"/>
      <w:r w:rsidRPr="00DD1432">
        <w:rPr>
          <w:rFonts w:ascii="Times New Roman" w:hAnsi="Times New Roman"/>
          <w:noProof/>
          <w:sz w:val="24"/>
          <w:szCs w:val="24"/>
        </w:rPr>
        <w:t>37.3. 5 išlaidų kategorija „Projekto vykdymas“;</w:t>
      </w:r>
    </w:p>
    <w:p w:rsidR="00E736C5" w:rsidRPr="00CC0D69" w:rsidRDefault="00E736C5" w:rsidP="00C350EF">
      <w:pPr>
        <w:spacing w:after="0" w:line="360" w:lineRule="auto"/>
        <w:ind w:firstLine="851"/>
        <w:jc w:val="both"/>
        <w:rPr>
          <w:rFonts w:ascii="Times New Roman" w:hAnsi="Times New Roman"/>
          <w:noProof/>
          <w:sz w:val="24"/>
          <w:szCs w:val="24"/>
        </w:rPr>
      </w:pPr>
      <w:bookmarkStart w:id="8" w:name="part_5731d5dda3ff45fe8992dc8b1bbea23e"/>
      <w:bookmarkStart w:id="9" w:name="part_4590982bfc5647dda6be6707d0892756"/>
      <w:bookmarkEnd w:id="8"/>
      <w:bookmarkEnd w:id="9"/>
      <w:r w:rsidRPr="00CC0D69">
        <w:rPr>
          <w:rFonts w:ascii="Times New Roman" w:hAnsi="Times New Roman"/>
          <w:noProof/>
          <w:sz w:val="24"/>
          <w:szCs w:val="24"/>
        </w:rPr>
        <w:t>37.</w:t>
      </w:r>
      <w:r w:rsidR="00DD1432" w:rsidRPr="00CC0D69">
        <w:rPr>
          <w:rFonts w:ascii="Times New Roman" w:hAnsi="Times New Roman"/>
          <w:noProof/>
          <w:sz w:val="24"/>
          <w:szCs w:val="24"/>
        </w:rPr>
        <w:t>4</w:t>
      </w:r>
      <w:r w:rsidR="00CC0D69" w:rsidRPr="00CC0D69">
        <w:rPr>
          <w:rFonts w:ascii="Times New Roman" w:hAnsi="Times New Roman"/>
          <w:noProof/>
          <w:sz w:val="24"/>
          <w:szCs w:val="24"/>
        </w:rPr>
        <w:t>.</w:t>
      </w:r>
      <w:r w:rsidRPr="00CC0D69">
        <w:rPr>
          <w:rFonts w:ascii="Times New Roman" w:hAnsi="Times New Roman"/>
          <w:noProof/>
          <w:sz w:val="24"/>
          <w:szCs w:val="24"/>
        </w:rPr>
        <w:t xml:space="preserve"> magistralinių inžinerinių tinklų ir kitų inžinerinių tinklų, išskyrus statiniui funkcionuoti reikalingus inžinerinius tinklus, taip pat inžinerinius tinklus, kuriuos privaloma perkelti pagal išduotas prisijungimo ar kitas sąlygas, projektavimo, įrengimo ir (ar) atnaujinimo išlaidos (netaikoma, jei numatoma vykdyti Aprašo 9.2 papunktyje numatytas veiklas);</w:t>
      </w:r>
    </w:p>
    <w:p w:rsidR="00E736C5" w:rsidRPr="003D331B" w:rsidRDefault="00E736C5" w:rsidP="00C350EF">
      <w:pPr>
        <w:spacing w:after="0" w:line="360" w:lineRule="auto"/>
        <w:ind w:firstLine="851"/>
        <w:jc w:val="both"/>
        <w:rPr>
          <w:rFonts w:ascii="Times New Roman" w:hAnsi="Times New Roman"/>
          <w:noProof/>
          <w:sz w:val="24"/>
          <w:szCs w:val="24"/>
        </w:rPr>
      </w:pPr>
      <w:bookmarkStart w:id="10" w:name="part_5aa77137a03741199d75519a1521dc0c"/>
      <w:bookmarkEnd w:id="10"/>
      <w:r w:rsidRPr="003D331B">
        <w:rPr>
          <w:rFonts w:ascii="Times New Roman" w:hAnsi="Times New Roman"/>
          <w:noProof/>
          <w:sz w:val="24"/>
          <w:szCs w:val="24"/>
        </w:rPr>
        <w:t>37.</w:t>
      </w:r>
      <w:r w:rsidR="00DD1432" w:rsidRPr="00CC0D69">
        <w:rPr>
          <w:rFonts w:ascii="Times New Roman" w:hAnsi="Times New Roman"/>
          <w:noProof/>
          <w:sz w:val="24"/>
          <w:szCs w:val="24"/>
        </w:rPr>
        <w:t>5</w:t>
      </w:r>
      <w:r w:rsidRPr="003D331B">
        <w:rPr>
          <w:rFonts w:ascii="Times New Roman" w:hAnsi="Times New Roman"/>
          <w:noProof/>
          <w:sz w:val="24"/>
          <w:szCs w:val="24"/>
        </w:rPr>
        <w:t>. požeminių ir pusiau požeminių buitinių atliekų konteinerinių aikštelių įrengimo išlaidos;</w:t>
      </w:r>
    </w:p>
    <w:p w:rsidR="00E736C5" w:rsidRPr="00D8780C" w:rsidRDefault="00E736C5" w:rsidP="00C350EF">
      <w:pPr>
        <w:spacing w:after="0" w:line="360" w:lineRule="auto"/>
        <w:ind w:firstLine="851"/>
        <w:jc w:val="both"/>
        <w:rPr>
          <w:rFonts w:ascii="Times New Roman" w:hAnsi="Times New Roman"/>
          <w:noProof/>
          <w:sz w:val="24"/>
          <w:szCs w:val="24"/>
        </w:rPr>
      </w:pPr>
      <w:bookmarkStart w:id="11" w:name="part_b31f582dfc0347cd8fdc208f7f0dca48"/>
      <w:bookmarkEnd w:id="11"/>
      <w:r w:rsidRPr="00D8780C">
        <w:rPr>
          <w:rFonts w:ascii="Times New Roman" w:hAnsi="Times New Roman"/>
          <w:noProof/>
          <w:sz w:val="24"/>
          <w:szCs w:val="24"/>
        </w:rPr>
        <w:t>37.</w:t>
      </w:r>
      <w:r w:rsidR="00DD1432" w:rsidRPr="00D8780C">
        <w:rPr>
          <w:rFonts w:ascii="Times New Roman" w:hAnsi="Times New Roman"/>
          <w:noProof/>
          <w:sz w:val="24"/>
          <w:szCs w:val="24"/>
        </w:rPr>
        <w:t>6</w:t>
      </w:r>
      <w:r w:rsidRPr="00D8780C">
        <w:rPr>
          <w:rFonts w:ascii="Times New Roman" w:hAnsi="Times New Roman"/>
          <w:noProof/>
          <w:sz w:val="24"/>
          <w:szCs w:val="24"/>
        </w:rPr>
        <w:t>. buitinių atliekų konteinerių įsigijimo išlaidos;</w:t>
      </w:r>
    </w:p>
    <w:p w:rsidR="00E736C5" w:rsidRPr="00D8780C" w:rsidRDefault="00E736C5" w:rsidP="00C350EF">
      <w:pPr>
        <w:spacing w:after="0" w:line="360" w:lineRule="auto"/>
        <w:ind w:firstLine="851"/>
        <w:jc w:val="both"/>
        <w:rPr>
          <w:rFonts w:ascii="Times New Roman" w:hAnsi="Times New Roman"/>
          <w:noProof/>
          <w:sz w:val="24"/>
          <w:szCs w:val="24"/>
        </w:rPr>
      </w:pPr>
      <w:bookmarkStart w:id="12" w:name="part_85b9e1623cd64a0badf71dfab853ee9e"/>
      <w:bookmarkEnd w:id="12"/>
      <w:r w:rsidRPr="00D8780C">
        <w:rPr>
          <w:rFonts w:ascii="Times New Roman" w:hAnsi="Times New Roman"/>
          <w:noProof/>
          <w:sz w:val="24"/>
          <w:szCs w:val="24"/>
        </w:rPr>
        <w:t>37.</w:t>
      </w:r>
      <w:r w:rsidR="00DD1432" w:rsidRPr="00D8780C">
        <w:rPr>
          <w:rFonts w:ascii="Times New Roman" w:hAnsi="Times New Roman"/>
          <w:noProof/>
          <w:sz w:val="24"/>
          <w:szCs w:val="24"/>
        </w:rPr>
        <w:t>7</w:t>
      </w:r>
      <w:r w:rsidRPr="00D8780C">
        <w:rPr>
          <w:rFonts w:ascii="Times New Roman" w:hAnsi="Times New Roman"/>
          <w:noProof/>
          <w:sz w:val="24"/>
          <w:szCs w:val="24"/>
        </w:rPr>
        <w:t>. projektinio pasiūlymo ir paraiškos rengimo išlaidos;</w:t>
      </w:r>
    </w:p>
    <w:p w:rsidR="00E736C5" w:rsidRPr="00D8780C" w:rsidRDefault="00E736C5" w:rsidP="00C350EF">
      <w:pPr>
        <w:spacing w:after="0" w:line="360" w:lineRule="auto"/>
        <w:ind w:firstLine="851"/>
        <w:jc w:val="both"/>
        <w:rPr>
          <w:rFonts w:ascii="Times New Roman" w:hAnsi="Times New Roman"/>
          <w:noProof/>
          <w:sz w:val="24"/>
          <w:szCs w:val="24"/>
        </w:rPr>
      </w:pPr>
      <w:bookmarkStart w:id="13" w:name="part_3891c0fb3f70465587717c3dfe92de58"/>
      <w:bookmarkEnd w:id="13"/>
      <w:r w:rsidRPr="00D8780C">
        <w:rPr>
          <w:rFonts w:ascii="Times New Roman" w:hAnsi="Times New Roman"/>
          <w:noProof/>
          <w:sz w:val="24"/>
          <w:szCs w:val="24"/>
        </w:rPr>
        <w:t>37.</w:t>
      </w:r>
      <w:r w:rsidR="00DD1432" w:rsidRPr="00D8780C">
        <w:rPr>
          <w:rFonts w:ascii="Times New Roman" w:hAnsi="Times New Roman"/>
          <w:noProof/>
          <w:sz w:val="24"/>
          <w:szCs w:val="24"/>
        </w:rPr>
        <w:t>8</w:t>
      </w:r>
      <w:r w:rsidRPr="00D8780C">
        <w:rPr>
          <w:rFonts w:ascii="Times New Roman" w:hAnsi="Times New Roman"/>
          <w:noProof/>
          <w:sz w:val="24"/>
          <w:szCs w:val="24"/>
        </w:rPr>
        <w:t xml:space="preserve">. įrangos ir (ar) inventoriaus, nesusijusio su statinio esminių reikalavimų, kaip jie apibrėžti Lietuvos Respublikos statybos įstatyme, užtikrinimu (išskyrus </w:t>
      </w:r>
      <w:r w:rsidRPr="00D8780C">
        <w:rPr>
          <w:rFonts w:ascii="Times New Roman" w:hAnsi="Times New Roman"/>
          <w:strike/>
          <w:noProof/>
          <w:sz w:val="24"/>
          <w:szCs w:val="24"/>
        </w:rPr>
        <w:t>baldus,</w:t>
      </w:r>
      <w:r w:rsidRPr="00D8780C">
        <w:rPr>
          <w:rFonts w:ascii="Times New Roman" w:hAnsi="Times New Roman"/>
          <w:noProof/>
          <w:sz w:val="24"/>
          <w:szCs w:val="24"/>
        </w:rPr>
        <w:t xml:space="preserve"> kompiuterinę techniką, programinę įrangą ir (arba) kitą įrangą, reikalingą įrengtose patalpose numatytai veiklai vykdyti, taip pat ir sumontavimą, vietos paruošimą, instaliavimą, paruošimą naudoti, išbandymą, apmokymą naudotis</w:t>
      </w:r>
      <w:r w:rsidR="004D1546" w:rsidRPr="00D8780C">
        <w:rPr>
          <w:rFonts w:ascii="Times New Roman" w:hAnsi="Times New Roman"/>
          <w:noProof/>
          <w:sz w:val="24"/>
          <w:szCs w:val="24"/>
        </w:rPr>
        <w:t xml:space="preserve"> (taikoma Aprašo 9.1 papunktyje numatytoms veikloms), baldus, stebėjimo ir apsaugos sistemas bei joms funkcionuoti reikalingą įrangą, stacionarius sporto įrenginius, vaikų žaidimų aikštelių įrangą),</w:t>
      </w:r>
      <w:r w:rsidRPr="00D8780C">
        <w:rPr>
          <w:rFonts w:ascii="Times New Roman" w:hAnsi="Times New Roman"/>
          <w:noProof/>
          <w:sz w:val="24"/>
          <w:szCs w:val="24"/>
        </w:rPr>
        <w:t xml:space="preserve"> įsigijimo išlaidos;</w:t>
      </w:r>
    </w:p>
    <w:p w:rsidR="00E736C5" w:rsidRPr="00D8780C" w:rsidRDefault="00E736C5" w:rsidP="00C350EF">
      <w:pPr>
        <w:spacing w:after="0" w:line="360" w:lineRule="auto"/>
        <w:ind w:firstLine="851"/>
        <w:jc w:val="both"/>
        <w:rPr>
          <w:rFonts w:ascii="Times New Roman" w:hAnsi="Times New Roman"/>
          <w:noProof/>
          <w:sz w:val="24"/>
          <w:szCs w:val="24"/>
        </w:rPr>
      </w:pPr>
      <w:bookmarkStart w:id="14" w:name="part_bbd64e6efd324a699e580c24aa56df79"/>
      <w:bookmarkEnd w:id="14"/>
      <w:r w:rsidRPr="00D8780C">
        <w:rPr>
          <w:rFonts w:ascii="Times New Roman" w:hAnsi="Times New Roman"/>
          <w:noProof/>
          <w:sz w:val="24"/>
          <w:szCs w:val="24"/>
        </w:rPr>
        <w:t>37.</w:t>
      </w:r>
      <w:r w:rsidR="00DD1432" w:rsidRPr="00D8780C">
        <w:rPr>
          <w:rFonts w:ascii="Times New Roman" w:hAnsi="Times New Roman"/>
          <w:noProof/>
          <w:sz w:val="24"/>
          <w:szCs w:val="24"/>
        </w:rPr>
        <w:t>9</w:t>
      </w:r>
      <w:r w:rsidRPr="00D8780C">
        <w:rPr>
          <w:rFonts w:ascii="Times New Roman" w:hAnsi="Times New Roman"/>
          <w:noProof/>
          <w:sz w:val="24"/>
          <w:szCs w:val="24"/>
        </w:rPr>
        <w:t>. įrangos ir (ar) inventoriaus, eksploatacinių priemonių, medžiagų, skirtų sukurtos infrastruktūros priežiūrai ir eksploatavimui, įsigijimo išlaidos.</w:t>
      </w:r>
      <w:r w:rsidR="00040D6F" w:rsidRPr="00D8780C">
        <w:rPr>
          <w:rFonts w:ascii="Times New Roman" w:hAnsi="Times New Roman"/>
          <w:noProof/>
          <w:sz w:val="24"/>
          <w:szCs w:val="24"/>
        </w:rPr>
        <w:t>“</w:t>
      </w:r>
    </w:p>
    <w:p w:rsidR="00040D6F" w:rsidRPr="003D331B" w:rsidRDefault="00040D6F"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2.25. Pakeičiu 43 punktą ir jį išdėstau taip:</w:t>
      </w:r>
    </w:p>
    <w:p w:rsidR="00040D6F" w:rsidRPr="003D331B" w:rsidRDefault="00040D6F"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t xml:space="preserve">„43. Valstybės pagalba, kuriai taikomos Bendrojo bendrosios išimties reglamento nuostatos, nesumuojama su jokia </w:t>
      </w:r>
      <w:r w:rsidRPr="003D331B">
        <w:rPr>
          <w:rFonts w:ascii="Times New Roman" w:hAnsi="Times New Roman"/>
          <w:i/>
          <w:noProof/>
          <w:sz w:val="24"/>
          <w:szCs w:val="24"/>
        </w:rPr>
        <w:t>de minimis</w:t>
      </w:r>
      <w:r w:rsidRPr="003D331B">
        <w:rPr>
          <w:rFonts w:ascii="Times New Roman" w:hAnsi="Times New Roman"/>
          <w:noProof/>
          <w:sz w:val="24"/>
          <w:szCs w:val="24"/>
        </w:rPr>
        <w:t xml:space="preserve"> pagalba, susijusia su tomis pačiomis tinkamomis finansuoti išlaidomis, jeigu susumavus būtų viršytas didžiausias pagalbos intensyvumas ar pagalbos suma, leistina pagal Bendrojo bendrosios išimties reglamento</w:t>
      </w:r>
      <w:r w:rsidRPr="00D8780C">
        <w:rPr>
          <w:rFonts w:ascii="Times New Roman" w:hAnsi="Times New Roman"/>
          <w:noProof/>
          <w:sz w:val="24"/>
          <w:szCs w:val="24"/>
        </w:rPr>
        <w:t xml:space="preserve"> 48, 53, 55 ar 56 straipsnį</w:t>
      </w:r>
      <w:r w:rsidRPr="003D331B">
        <w:rPr>
          <w:rFonts w:ascii="Times New Roman" w:hAnsi="Times New Roman"/>
          <w:noProof/>
          <w:sz w:val="24"/>
          <w:szCs w:val="24"/>
        </w:rPr>
        <w:t>.“</w:t>
      </w:r>
    </w:p>
    <w:p w:rsidR="00040D6F" w:rsidRPr="003D331B" w:rsidRDefault="00040D6F"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2.26. Papildau 43</w:t>
      </w:r>
      <w:r w:rsidRPr="003D331B">
        <w:rPr>
          <w:noProof/>
          <w:vertAlign w:val="superscript"/>
        </w:rPr>
        <w:t>2</w:t>
      </w:r>
      <w:r w:rsidRPr="003D331B">
        <w:rPr>
          <w:noProof/>
        </w:rPr>
        <w:t xml:space="preserve"> punktu:</w:t>
      </w:r>
    </w:p>
    <w:p w:rsidR="00040D6F" w:rsidRPr="00D8780C" w:rsidRDefault="00040D6F" w:rsidP="00C350EF">
      <w:pPr>
        <w:spacing w:after="0" w:line="360" w:lineRule="auto"/>
        <w:ind w:firstLine="851"/>
        <w:jc w:val="both"/>
        <w:rPr>
          <w:rFonts w:ascii="Times New Roman" w:hAnsi="Times New Roman"/>
          <w:noProof/>
          <w:sz w:val="24"/>
          <w:szCs w:val="24"/>
        </w:rPr>
      </w:pPr>
      <w:r w:rsidRPr="00D8780C">
        <w:rPr>
          <w:rFonts w:ascii="Times New Roman" w:hAnsi="Times New Roman"/>
          <w:noProof/>
          <w:sz w:val="24"/>
          <w:szCs w:val="24"/>
        </w:rPr>
        <w:t>„43</w:t>
      </w:r>
      <w:r w:rsidRPr="00D8780C">
        <w:rPr>
          <w:rFonts w:ascii="Times New Roman" w:hAnsi="Times New Roman"/>
          <w:noProof/>
          <w:sz w:val="24"/>
          <w:szCs w:val="24"/>
          <w:vertAlign w:val="superscript"/>
        </w:rPr>
        <w:t>2</w:t>
      </w:r>
      <w:r w:rsidRPr="00D8780C">
        <w:rPr>
          <w:rFonts w:ascii="Times New Roman" w:hAnsi="Times New Roman"/>
          <w:noProof/>
          <w:sz w:val="24"/>
          <w:szCs w:val="24"/>
        </w:rPr>
        <w:t xml:space="preserve">. </w:t>
      </w:r>
      <w:r w:rsidRPr="00D8780C" w:rsidDel="00A17B8D">
        <w:rPr>
          <w:rFonts w:ascii="Times New Roman" w:hAnsi="Times New Roman"/>
          <w:noProof/>
          <w:sz w:val="24"/>
          <w:szCs w:val="24"/>
        </w:rPr>
        <w:t>Ne valstybės pagalbos atvejais pajamoms iš projekto veiklų, gautoms projekto įgyvendinimo metu ir projekto tęstinumo laikotarpiu, taikomi reikalavimai nustatyti Projektų taisyklių 36 skirsnyje.</w:t>
      </w:r>
      <w:r w:rsidRPr="00D8780C">
        <w:rPr>
          <w:rFonts w:ascii="Times New Roman" w:hAnsi="Times New Roman"/>
          <w:noProof/>
          <w:sz w:val="24"/>
          <w:szCs w:val="24"/>
        </w:rPr>
        <w:t>“</w:t>
      </w:r>
    </w:p>
    <w:p w:rsidR="00D72E4A" w:rsidRPr="003D331B" w:rsidRDefault="00D72E4A"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 xml:space="preserve">2.27. Pakeičiu </w:t>
      </w:r>
      <w:r w:rsidR="00265853" w:rsidRPr="003D331B">
        <w:rPr>
          <w:noProof/>
        </w:rPr>
        <w:t>70</w:t>
      </w:r>
      <w:r w:rsidRPr="003D331B">
        <w:rPr>
          <w:noProof/>
        </w:rPr>
        <w:t xml:space="preserve"> punktą ir jį išdėstau taip:</w:t>
      </w:r>
    </w:p>
    <w:p w:rsidR="00265853" w:rsidRPr="003D331B" w:rsidRDefault="00265853" w:rsidP="00C350EF">
      <w:pPr>
        <w:spacing w:after="0" w:line="360" w:lineRule="auto"/>
        <w:ind w:firstLine="851"/>
        <w:jc w:val="both"/>
        <w:rPr>
          <w:rFonts w:ascii="Times New Roman" w:hAnsi="Times New Roman"/>
          <w:noProof/>
          <w:sz w:val="24"/>
          <w:szCs w:val="24"/>
        </w:rPr>
      </w:pPr>
      <w:r w:rsidRPr="003D331B">
        <w:rPr>
          <w:rFonts w:ascii="Times New Roman" w:hAnsi="Times New Roman"/>
          <w:noProof/>
          <w:sz w:val="24"/>
          <w:szCs w:val="24"/>
        </w:rPr>
        <w:lastRenderedPageBreak/>
        <w:t xml:space="preserve">„70. 5 metus po projekto finansavimo </w:t>
      </w:r>
      <w:r w:rsidRPr="00D8780C">
        <w:rPr>
          <w:rFonts w:ascii="Times New Roman" w:hAnsi="Times New Roman"/>
          <w:noProof/>
          <w:sz w:val="24"/>
          <w:szCs w:val="24"/>
        </w:rPr>
        <w:t>pabaigos arba, jei projektams teikiama valstybės pagalba, per valstybės pagalbos taisyklėse nustatytą laikotarpį turi būti užtikrintas investicijų tęstinumas Projektų taisyklių 27 skirsnyje nustatyta tvarka.“</w:t>
      </w:r>
      <w:r w:rsidRPr="003D331B">
        <w:rPr>
          <w:rFonts w:ascii="Times New Roman" w:hAnsi="Times New Roman"/>
          <w:noProof/>
          <w:sz w:val="24"/>
          <w:szCs w:val="24"/>
        </w:rPr>
        <w:t xml:space="preserve"> </w:t>
      </w:r>
    </w:p>
    <w:p w:rsidR="00265853" w:rsidRPr="003D331B" w:rsidRDefault="00265853"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2.28. Papildau 70</w:t>
      </w:r>
      <w:r w:rsidRPr="003D331B">
        <w:rPr>
          <w:noProof/>
          <w:vertAlign w:val="superscript"/>
        </w:rPr>
        <w:t>1</w:t>
      </w:r>
      <w:r w:rsidRPr="003D331B">
        <w:rPr>
          <w:noProof/>
        </w:rPr>
        <w:t xml:space="preserve"> punktu:</w:t>
      </w:r>
    </w:p>
    <w:p w:rsidR="00265853" w:rsidRPr="00D8780C" w:rsidRDefault="00265853" w:rsidP="00C350EF">
      <w:pPr>
        <w:spacing w:after="0" w:line="360" w:lineRule="auto"/>
        <w:ind w:firstLine="851"/>
        <w:jc w:val="both"/>
        <w:rPr>
          <w:rFonts w:ascii="Times New Roman" w:hAnsi="Times New Roman"/>
          <w:noProof/>
          <w:sz w:val="24"/>
          <w:szCs w:val="24"/>
        </w:rPr>
      </w:pPr>
      <w:r w:rsidRPr="00D8780C">
        <w:rPr>
          <w:rFonts w:ascii="Times New Roman" w:hAnsi="Times New Roman"/>
          <w:noProof/>
          <w:sz w:val="24"/>
          <w:szCs w:val="24"/>
        </w:rPr>
        <w:t>„70</w:t>
      </w:r>
      <w:r w:rsidRPr="00D8780C">
        <w:rPr>
          <w:rFonts w:ascii="Times New Roman" w:hAnsi="Times New Roman"/>
          <w:noProof/>
          <w:sz w:val="24"/>
          <w:szCs w:val="24"/>
          <w:vertAlign w:val="superscript"/>
        </w:rPr>
        <w:t>1</w:t>
      </w:r>
      <w:r w:rsidRPr="00D8780C">
        <w:rPr>
          <w:rFonts w:ascii="Times New Roman" w:hAnsi="Times New Roman"/>
          <w:noProof/>
          <w:sz w:val="24"/>
          <w:szCs w:val="24"/>
        </w:rPr>
        <w:t>. Elektros energetikos infrastruktūrai taikomos trečiųjų asmenų prieigos taisyklės pagal Lietuvos Respublikos elektros energetikos įstatymo 31 straipsnio 9 punktą ir 59 straipsnio 3 dalį.“</w:t>
      </w:r>
    </w:p>
    <w:p w:rsidR="00DB4BC0" w:rsidRPr="003D331B" w:rsidRDefault="00DB4BC0"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 xml:space="preserve">2.29. Pakeičiu 2 priedą ir jį išdėstau </w:t>
      </w:r>
      <w:r w:rsidR="00D12AC2">
        <w:rPr>
          <w:noProof/>
        </w:rPr>
        <w:t>nauja redakcija</w:t>
      </w:r>
      <w:bookmarkStart w:id="15" w:name="_GoBack"/>
      <w:bookmarkEnd w:id="15"/>
      <w:r w:rsidRPr="003D331B">
        <w:rPr>
          <w:noProof/>
        </w:rPr>
        <w:t xml:space="preserve"> (pridedama).</w:t>
      </w:r>
    </w:p>
    <w:p w:rsidR="00C350EF" w:rsidRPr="003D331B" w:rsidRDefault="00C350EF" w:rsidP="00C350EF">
      <w:pPr>
        <w:pStyle w:val="Antrats"/>
        <w:tabs>
          <w:tab w:val="left" w:pos="851"/>
          <w:tab w:val="left" w:pos="1134"/>
          <w:tab w:val="left" w:pos="1701"/>
          <w:tab w:val="left" w:pos="2410"/>
        </w:tabs>
        <w:spacing w:line="360" w:lineRule="auto"/>
        <w:ind w:left="1211" w:hanging="360"/>
        <w:jc w:val="both"/>
        <w:rPr>
          <w:noProof/>
        </w:rPr>
      </w:pPr>
      <w:r w:rsidRPr="003D331B">
        <w:rPr>
          <w:noProof/>
        </w:rPr>
        <w:t>2.30. Pakeičiu 3 priedo 2.5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100"/>
        <w:gridCol w:w="2250"/>
        <w:gridCol w:w="2292"/>
      </w:tblGrid>
      <w:tr w:rsidR="00C350EF" w:rsidRPr="003D331B" w:rsidTr="00C75FBB">
        <w:tc>
          <w:tcPr>
            <w:tcW w:w="770" w:type="dxa"/>
          </w:tcPr>
          <w:p w:rsidR="00C350EF" w:rsidRPr="003D331B" w:rsidRDefault="00C350EF" w:rsidP="00C75FBB">
            <w:pPr>
              <w:rPr>
                <w:rFonts w:ascii="Times New Roman" w:hAnsi="Times New Roman"/>
                <w:b/>
                <w:bCs/>
                <w:noProof/>
                <w:sz w:val="24"/>
                <w:szCs w:val="24"/>
              </w:rPr>
            </w:pPr>
            <w:r w:rsidRPr="003D331B">
              <w:rPr>
                <w:rFonts w:ascii="Times New Roman" w:hAnsi="Times New Roman"/>
                <w:b/>
                <w:bCs/>
                <w:noProof/>
                <w:sz w:val="24"/>
                <w:szCs w:val="24"/>
              </w:rPr>
              <w:t>2.5.</w:t>
            </w:r>
          </w:p>
        </w:tc>
        <w:tc>
          <w:tcPr>
            <w:tcW w:w="4100" w:type="dxa"/>
          </w:tcPr>
          <w:p w:rsidR="00C350EF" w:rsidRPr="003D331B" w:rsidRDefault="00C350EF" w:rsidP="00C75FBB">
            <w:pPr>
              <w:rPr>
                <w:rFonts w:ascii="Times New Roman" w:hAnsi="Times New Roman"/>
                <w:b/>
                <w:bCs/>
                <w:noProof/>
                <w:sz w:val="24"/>
                <w:szCs w:val="24"/>
              </w:rPr>
            </w:pPr>
            <w:r w:rsidRPr="003D331B">
              <w:rPr>
                <w:rFonts w:ascii="Times New Roman" w:hAnsi="Times New Roman"/>
                <w:b/>
                <w:bCs/>
                <w:noProof/>
                <w:sz w:val="24"/>
                <w:szCs w:val="24"/>
              </w:rPr>
              <w:t>Didžiausia galima valstybės pagalbos suma pagal Reglamento 48, 53, 55 arba 56 straipsnį iš viso, Eur</w:t>
            </w:r>
          </w:p>
        </w:tc>
        <w:tc>
          <w:tcPr>
            <w:tcW w:w="2250" w:type="dxa"/>
          </w:tcPr>
          <w:p w:rsidR="00C350EF" w:rsidRPr="003D331B" w:rsidRDefault="00C350EF" w:rsidP="00C75FBB">
            <w:pPr>
              <w:rPr>
                <w:rFonts w:ascii="Times New Roman" w:hAnsi="Times New Roman"/>
                <w:bCs/>
                <w:noProof/>
                <w:sz w:val="24"/>
                <w:szCs w:val="24"/>
              </w:rPr>
            </w:pPr>
            <w:r w:rsidRPr="003D331B">
              <w:rPr>
                <w:rFonts w:ascii="Times New Roman" w:hAnsi="Times New Roman"/>
                <w:bCs/>
                <w:i/>
                <w:noProof/>
                <w:sz w:val="24"/>
                <w:szCs w:val="24"/>
              </w:rPr>
              <w:t>Šiame laukelyje įrašomas 2.1.1 papunkčio ir 2.4 papunkčio skirtumas.</w:t>
            </w:r>
          </w:p>
        </w:tc>
        <w:tc>
          <w:tcPr>
            <w:tcW w:w="2292" w:type="dxa"/>
          </w:tcPr>
          <w:p w:rsidR="00C350EF" w:rsidRPr="003D331B" w:rsidRDefault="00C350EF" w:rsidP="00C75FBB">
            <w:pPr>
              <w:rPr>
                <w:rFonts w:ascii="Times New Roman" w:hAnsi="Times New Roman"/>
                <w:bCs/>
                <w:i/>
                <w:noProof/>
                <w:sz w:val="24"/>
                <w:szCs w:val="24"/>
              </w:rPr>
            </w:pPr>
            <w:r w:rsidRPr="003D331B">
              <w:rPr>
                <w:rFonts w:ascii="Times New Roman" w:hAnsi="Times New Roman"/>
                <w:bCs/>
                <w:i/>
                <w:noProof/>
                <w:sz w:val="24"/>
                <w:szCs w:val="24"/>
              </w:rPr>
              <w:t>Šiame laukelyje įrašomas 2.1.1 papunkčio ir 2.4 papunkčio skirtumas.</w:t>
            </w:r>
          </w:p>
        </w:tc>
      </w:tr>
    </w:tbl>
    <w:p w:rsidR="00C350EF" w:rsidRPr="003D331B" w:rsidRDefault="00C350EF" w:rsidP="00C350EF">
      <w:pPr>
        <w:pStyle w:val="Antrats"/>
        <w:tabs>
          <w:tab w:val="left" w:pos="851"/>
          <w:tab w:val="left" w:pos="1134"/>
          <w:tab w:val="left" w:pos="1701"/>
          <w:tab w:val="left" w:pos="2410"/>
        </w:tabs>
        <w:ind w:left="1211" w:hanging="360"/>
        <w:jc w:val="both"/>
        <w:rPr>
          <w:noProof/>
        </w:rPr>
      </w:pPr>
    </w:p>
    <w:p w:rsidR="00C350EF" w:rsidRPr="003D331B" w:rsidRDefault="00C350EF" w:rsidP="00767CB4">
      <w:pPr>
        <w:pStyle w:val="Antrats"/>
        <w:tabs>
          <w:tab w:val="left" w:pos="851"/>
          <w:tab w:val="left" w:pos="1134"/>
          <w:tab w:val="left" w:pos="1701"/>
          <w:tab w:val="left" w:pos="2410"/>
        </w:tabs>
        <w:ind w:left="1211" w:hanging="360"/>
        <w:jc w:val="both"/>
        <w:rPr>
          <w:noProof/>
        </w:rPr>
      </w:pPr>
    </w:p>
    <w:p w:rsidR="002170A4" w:rsidRPr="003D331B" w:rsidRDefault="002170A4" w:rsidP="00767CB4">
      <w:pPr>
        <w:spacing w:after="0" w:line="240" w:lineRule="auto"/>
        <w:jc w:val="both"/>
        <w:rPr>
          <w:rFonts w:ascii="Times New Roman" w:hAnsi="Times New Roman"/>
          <w:noProof/>
          <w:sz w:val="24"/>
          <w:szCs w:val="24"/>
        </w:rPr>
      </w:pPr>
    </w:p>
    <w:p w:rsidR="0035461D" w:rsidRPr="003D331B" w:rsidRDefault="0035461D" w:rsidP="00767CB4">
      <w:pPr>
        <w:spacing w:after="0" w:line="240" w:lineRule="auto"/>
        <w:ind w:firstLine="851"/>
        <w:jc w:val="both"/>
        <w:rPr>
          <w:rFonts w:ascii="Times New Roman" w:hAnsi="Times New Roman"/>
          <w:noProof/>
          <w:sz w:val="24"/>
          <w:szCs w:val="24"/>
        </w:rPr>
      </w:pPr>
    </w:p>
    <w:p w:rsidR="0035461D" w:rsidRPr="003D331B" w:rsidRDefault="0035461D" w:rsidP="00767CB4">
      <w:pPr>
        <w:spacing w:line="240" w:lineRule="auto"/>
        <w:jc w:val="both"/>
        <w:rPr>
          <w:rFonts w:ascii="Times New Roman" w:hAnsi="Times New Roman"/>
          <w:noProof/>
          <w:sz w:val="24"/>
          <w:szCs w:val="24"/>
        </w:rPr>
      </w:pPr>
      <w:r w:rsidRPr="003D331B">
        <w:rPr>
          <w:rFonts w:ascii="Times New Roman" w:hAnsi="Times New Roman"/>
          <w:bCs/>
          <w:noProof/>
          <w:sz w:val="24"/>
          <w:szCs w:val="24"/>
        </w:rPr>
        <w:t>Vidaus reikalų ministras</w:t>
      </w:r>
    </w:p>
    <w:p w:rsidR="00DB4BC0" w:rsidRPr="003D331B" w:rsidRDefault="00DB4BC0" w:rsidP="00767CB4">
      <w:pPr>
        <w:suppressAutoHyphens/>
        <w:spacing w:after="0" w:line="240" w:lineRule="auto"/>
        <w:jc w:val="both"/>
        <w:textAlignment w:val="center"/>
        <w:rPr>
          <w:rFonts w:ascii="Times New Roman" w:hAnsi="Times New Roman"/>
          <w:noProof/>
          <w:color w:val="000000"/>
          <w:sz w:val="24"/>
          <w:szCs w:val="24"/>
          <w:lang w:eastAsia="en-US"/>
        </w:rPr>
        <w:sectPr w:rsidR="00DB4BC0" w:rsidRPr="003D331B" w:rsidSect="00E342E4">
          <w:headerReference w:type="default" r:id="rId7"/>
          <w:footerReference w:type="default" r:id="rId8"/>
          <w:headerReference w:type="first" r:id="rId9"/>
          <w:footerReference w:type="first" r:id="rId10"/>
          <w:pgSz w:w="11906" w:h="16838"/>
          <w:pgMar w:top="1134" w:right="567" w:bottom="1134" w:left="1701" w:header="567" w:footer="567" w:gutter="0"/>
          <w:cols w:space="1296"/>
          <w:titlePg/>
          <w:docGrid w:linePitch="360"/>
        </w:sectPr>
      </w:pPr>
    </w:p>
    <w:p w:rsidR="00767CB4" w:rsidRPr="003D331B" w:rsidRDefault="00767CB4" w:rsidP="00767CB4">
      <w:pPr>
        <w:spacing w:after="0" w:line="240" w:lineRule="auto"/>
        <w:ind w:left="5367"/>
        <w:rPr>
          <w:rFonts w:ascii="Times New Roman" w:eastAsia="Calibri" w:hAnsi="Times New Roman"/>
          <w:noProof/>
          <w:sz w:val="24"/>
          <w:szCs w:val="24"/>
        </w:rPr>
      </w:pPr>
      <w:r w:rsidRPr="003D331B">
        <w:rPr>
          <w:rFonts w:ascii="Times New Roman" w:eastAsia="Calibri" w:hAnsi="Times New Roman"/>
          <w:noProof/>
          <w:sz w:val="24"/>
          <w:szCs w:val="24"/>
        </w:rPr>
        <w:lastRenderedPageBreak/>
        <w:t>2014–2020 metų Europos Sąjungos fondų investicijų veiksmų programos</w:t>
      </w:r>
    </w:p>
    <w:p w:rsidR="00767CB4" w:rsidRPr="003D331B" w:rsidRDefault="00767CB4" w:rsidP="00767CB4">
      <w:pPr>
        <w:spacing w:after="0" w:line="240" w:lineRule="auto"/>
        <w:ind w:left="5367"/>
        <w:rPr>
          <w:rFonts w:ascii="Times New Roman" w:eastAsia="Calibri" w:hAnsi="Times New Roman"/>
          <w:noProof/>
          <w:sz w:val="24"/>
          <w:szCs w:val="24"/>
        </w:rPr>
      </w:pPr>
      <w:r w:rsidRPr="003D331B">
        <w:rPr>
          <w:rFonts w:ascii="Times New Roman" w:eastAsia="Calibri" w:hAnsi="Times New Roman"/>
          <w:noProof/>
          <w:sz w:val="24"/>
          <w:szCs w:val="24"/>
        </w:rPr>
        <w:t>7 prioriteto „Kokybiško užimtumo ir dalyvavimo darbo rinkoje skatinimas“</w:t>
      </w:r>
    </w:p>
    <w:p w:rsidR="00767CB4" w:rsidRPr="003D331B" w:rsidRDefault="00767CB4" w:rsidP="00767CB4">
      <w:pPr>
        <w:spacing w:after="0" w:line="240" w:lineRule="auto"/>
        <w:ind w:left="5367"/>
        <w:rPr>
          <w:rFonts w:ascii="Times New Roman" w:eastAsia="Calibri" w:hAnsi="Times New Roman"/>
          <w:noProof/>
          <w:sz w:val="24"/>
          <w:szCs w:val="24"/>
        </w:rPr>
      </w:pPr>
      <w:r w:rsidRPr="003D331B">
        <w:rPr>
          <w:rFonts w:ascii="Times New Roman" w:eastAsia="Calibri" w:hAnsi="Times New Roman"/>
          <w:noProof/>
          <w:sz w:val="24"/>
          <w:szCs w:val="24"/>
        </w:rPr>
        <w:t>Nr. 07.1.1-CPVA-V-906 priemonės „Kompleksinė paslaugų plėtra integruotų teritorijų vystymo programų tikslinėse teritorijose“ projektų finansavimo sąlygų aprašo</w:t>
      </w:r>
    </w:p>
    <w:p w:rsidR="00767CB4" w:rsidRPr="003D331B" w:rsidRDefault="00767CB4" w:rsidP="00767CB4">
      <w:pPr>
        <w:spacing w:after="0" w:line="240" w:lineRule="auto"/>
        <w:ind w:left="5367"/>
        <w:rPr>
          <w:rFonts w:ascii="Times New Roman" w:eastAsia="Calibri" w:hAnsi="Times New Roman"/>
          <w:noProof/>
          <w:sz w:val="24"/>
          <w:szCs w:val="24"/>
        </w:rPr>
      </w:pPr>
      <w:r w:rsidRPr="003D331B">
        <w:rPr>
          <w:rFonts w:ascii="Times New Roman" w:eastAsia="Calibri" w:hAnsi="Times New Roman"/>
          <w:noProof/>
          <w:sz w:val="24"/>
          <w:szCs w:val="24"/>
        </w:rPr>
        <w:t>2 priedas</w:t>
      </w:r>
    </w:p>
    <w:p w:rsidR="00767CB4" w:rsidRPr="003D331B" w:rsidRDefault="00767CB4" w:rsidP="00767CB4">
      <w:pPr>
        <w:spacing w:line="240" w:lineRule="auto"/>
        <w:ind w:left="5367"/>
        <w:rPr>
          <w:rFonts w:ascii="Times New Roman" w:eastAsia="Calibri" w:hAnsi="Times New Roman"/>
          <w:noProof/>
          <w:sz w:val="24"/>
          <w:szCs w:val="24"/>
        </w:rPr>
      </w:pPr>
    </w:p>
    <w:p w:rsidR="00767CB4" w:rsidRPr="003D331B" w:rsidRDefault="00767CB4" w:rsidP="00767CB4">
      <w:pPr>
        <w:spacing w:line="240" w:lineRule="auto"/>
        <w:contextualSpacing/>
        <w:jc w:val="center"/>
        <w:rPr>
          <w:rFonts w:ascii="Times New Roman" w:eastAsia="Calibri" w:hAnsi="Times New Roman"/>
          <w:b/>
          <w:bCs/>
          <w:caps/>
          <w:noProof/>
          <w:color w:val="000000"/>
          <w:sz w:val="24"/>
          <w:szCs w:val="24"/>
        </w:rPr>
      </w:pPr>
      <w:r w:rsidRPr="003D331B">
        <w:rPr>
          <w:rFonts w:ascii="Times New Roman" w:eastAsia="Calibri" w:hAnsi="Times New Roman"/>
          <w:b/>
          <w:bCs/>
          <w:caps/>
          <w:noProof/>
          <w:color w:val="000000"/>
          <w:sz w:val="24"/>
          <w:szCs w:val="24"/>
        </w:rPr>
        <w:t>PROJEKTŲ ATITIKTIES valstybės PAGALBOS TAISYKLĖMS Patikros lapas</w:t>
      </w:r>
    </w:p>
    <w:p w:rsidR="00767CB4" w:rsidRPr="003D331B" w:rsidRDefault="00767CB4" w:rsidP="00767CB4">
      <w:pPr>
        <w:spacing w:line="240" w:lineRule="auto"/>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767CB4" w:rsidRPr="003D331B" w:rsidTr="00C75FBB">
        <w:tc>
          <w:tcPr>
            <w:tcW w:w="15134" w:type="dxa"/>
            <w:shd w:val="clear" w:color="auto" w:fill="BFBFBF"/>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1. Teisinis pagrindas</w:t>
            </w:r>
          </w:p>
        </w:tc>
      </w:tr>
      <w:tr w:rsidR="00767CB4" w:rsidRPr="003D331B" w:rsidTr="00C75FBB">
        <w:tc>
          <w:tcPr>
            <w:tcW w:w="15134" w:type="dxa"/>
            <w:shd w:val="clear" w:color="auto" w:fill="auto"/>
          </w:tcPr>
          <w:p w:rsidR="00767CB4" w:rsidRPr="003D331B" w:rsidRDefault="00767CB4" w:rsidP="00767CB4">
            <w:pPr>
              <w:spacing w:after="0" w:line="240" w:lineRule="auto"/>
              <w:rPr>
                <w:rFonts w:ascii="Times New Roman" w:eastAsia="Calibri" w:hAnsi="Times New Roman"/>
                <w:noProof/>
                <w:sz w:val="24"/>
                <w:szCs w:val="24"/>
              </w:rPr>
            </w:pPr>
            <w:r w:rsidRPr="003D331B">
              <w:rPr>
                <w:rFonts w:ascii="Times New Roman" w:eastAsia="Calibri" w:hAnsi="Times New Roman"/>
                <w:noProof/>
                <w:sz w:val="24"/>
                <w:szCs w:val="24"/>
              </w:rPr>
              <w:t>2014 m. birželio 17 d. Komisijos reglamento (ES) Nr. 651/2014, kuriuo tam tikrų kategorijų pagalba skelbiama suderinama su vidaus rinka</w:t>
            </w:r>
          </w:p>
          <w:p w:rsidR="00767CB4" w:rsidRPr="003D331B" w:rsidRDefault="00767CB4" w:rsidP="00767CB4">
            <w:pPr>
              <w:spacing w:after="0"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noProof/>
                <w:color w:val="000000"/>
                <w:sz w:val="24"/>
                <w:szCs w:val="24"/>
              </w:rPr>
              <w:t xml:space="preserve">taikant Sutarties 107 ir 108 straipsnius, (OL 2014 L 187, p. 1) (toliau – Reglamentas) </w:t>
            </w:r>
            <w:r w:rsidRPr="00D8780C">
              <w:rPr>
                <w:rFonts w:ascii="Times New Roman" w:eastAsia="Calibri" w:hAnsi="Times New Roman"/>
                <w:noProof/>
                <w:color w:val="000000"/>
                <w:sz w:val="24"/>
                <w:szCs w:val="24"/>
              </w:rPr>
              <w:t xml:space="preserve">48, 53, </w:t>
            </w:r>
            <w:r w:rsidRPr="00D8780C">
              <w:rPr>
                <w:rFonts w:ascii="Times New Roman" w:hAnsi="Times New Roman"/>
                <w:bCs/>
                <w:noProof/>
                <w:sz w:val="24"/>
                <w:szCs w:val="24"/>
              </w:rPr>
              <w:t>55 ar 56</w:t>
            </w:r>
            <w:r w:rsidRPr="003D331B">
              <w:rPr>
                <w:rFonts w:ascii="Times New Roman" w:hAnsi="Times New Roman"/>
                <w:bCs/>
                <w:noProof/>
                <w:sz w:val="24"/>
                <w:szCs w:val="24"/>
              </w:rPr>
              <w:t xml:space="preserve"> straipsnis.</w:t>
            </w:r>
          </w:p>
        </w:tc>
      </w:tr>
    </w:tbl>
    <w:p w:rsidR="00767CB4" w:rsidRPr="003D331B" w:rsidRDefault="00767CB4" w:rsidP="00767CB4">
      <w:pPr>
        <w:spacing w:line="240" w:lineRule="auto"/>
        <w:contextualSpacing/>
        <w:rPr>
          <w:rFonts w:ascii="Times New Roman" w:eastAsia="Calibri" w:hAnsi="Times New Roman"/>
          <w:cap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3"/>
      </w:tblGrid>
      <w:tr w:rsidR="00767CB4" w:rsidRPr="003D331B" w:rsidTr="00767CB4">
        <w:tc>
          <w:tcPr>
            <w:tcW w:w="14560" w:type="dxa"/>
            <w:gridSpan w:val="2"/>
            <w:shd w:val="clear" w:color="auto" w:fill="BFBFBF"/>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 xml:space="preserve">2. Duomenys apie paraišką / projektą </w:t>
            </w:r>
          </w:p>
        </w:tc>
      </w:tr>
      <w:tr w:rsidR="00767CB4" w:rsidRPr="003D331B" w:rsidTr="00767CB4">
        <w:tc>
          <w:tcPr>
            <w:tcW w:w="4287"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 xml:space="preserve">Paraiškos / projekto numeris </w:t>
            </w:r>
          </w:p>
        </w:tc>
        <w:tc>
          <w:tcPr>
            <w:tcW w:w="10273"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c>
          <w:tcPr>
            <w:tcW w:w="4287" w:type="dxa"/>
            <w:shd w:val="clear" w:color="auto" w:fill="auto"/>
          </w:tcPr>
          <w:p w:rsidR="00767CB4" w:rsidRPr="003D331B" w:rsidRDefault="00767CB4" w:rsidP="00767CB4">
            <w:pPr>
              <w:spacing w:line="240" w:lineRule="auto"/>
              <w:contextualSpacing/>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 xml:space="preserve">Pareiškėjo / projekto vykdytojo pavadinimas </w:t>
            </w:r>
          </w:p>
        </w:tc>
        <w:tc>
          <w:tcPr>
            <w:tcW w:w="10273"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c>
          <w:tcPr>
            <w:tcW w:w="4287"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 xml:space="preserve">Projekto pavadinimas </w:t>
            </w:r>
          </w:p>
        </w:tc>
        <w:tc>
          <w:tcPr>
            <w:tcW w:w="10273" w:type="dxa"/>
            <w:shd w:val="clear" w:color="auto" w:fill="auto"/>
          </w:tcPr>
          <w:p w:rsidR="00767CB4" w:rsidRPr="003D331B" w:rsidRDefault="00767CB4" w:rsidP="00767CB4">
            <w:pPr>
              <w:spacing w:line="240" w:lineRule="auto"/>
              <w:contextualSpacing/>
              <w:jc w:val="both"/>
              <w:rPr>
                <w:rFonts w:ascii="Times New Roman" w:eastAsia="Calibri" w:hAnsi="Times New Roman"/>
                <w:b/>
                <w:bCs/>
                <w:noProof/>
                <w:color w:val="000000"/>
                <w:sz w:val="24"/>
                <w:szCs w:val="24"/>
              </w:rPr>
            </w:pPr>
          </w:p>
        </w:tc>
      </w:tr>
      <w:tr w:rsidR="00767CB4" w:rsidRPr="003D331B" w:rsidTr="00767CB4">
        <w:tc>
          <w:tcPr>
            <w:tcW w:w="4287" w:type="dxa"/>
            <w:shd w:val="clear" w:color="auto" w:fill="auto"/>
          </w:tcPr>
          <w:p w:rsidR="00767CB4" w:rsidRPr="003D331B" w:rsidRDefault="00767CB4" w:rsidP="00767CB4">
            <w:pPr>
              <w:spacing w:line="240" w:lineRule="auto"/>
              <w:contextualSpacing/>
              <w:jc w:val="both"/>
              <w:rPr>
                <w:rFonts w:ascii="Times New Roman" w:eastAsia="Calibri" w:hAnsi="Times New Roman"/>
                <w:b/>
                <w:bCs/>
                <w:noProof/>
                <w:color w:val="000000"/>
                <w:sz w:val="24"/>
                <w:szCs w:val="24"/>
              </w:rPr>
            </w:pPr>
            <w:r w:rsidRPr="003D331B">
              <w:rPr>
                <w:rFonts w:ascii="Times New Roman" w:eastAsia="Calibri" w:hAnsi="Times New Roman"/>
                <w:b/>
                <w:bCs/>
                <w:noProof/>
                <w:color w:val="000000"/>
                <w:sz w:val="24"/>
                <w:szCs w:val="24"/>
              </w:rPr>
              <w:t>Projekto partnerio (-ių) pavadinimas (i)</w:t>
            </w:r>
          </w:p>
        </w:tc>
        <w:tc>
          <w:tcPr>
            <w:tcW w:w="10273" w:type="dxa"/>
            <w:shd w:val="clear" w:color="auto" w:fill="auto"/>
          </w:tcPr>
          <w:p w:rsidR="00767CB4" w:rsidRPr="003D331B" w:rsidRDefault="00767CB4" w:rsidP="00767CB4">
            <w:pPr>
              <w:spacing w:line="240" w:lineRule="auto"/>
              <w:contextualSpacing/>
              <w:jc w:val="both"/>
              <w:rPr>
                <w:rFonts w:ascii="Times New Roman" w:eastAsia="Calibri" w:hAnsi="Times New Roman"/>
                <w:b/>
                <w:bCs/>
                <w:noProof/>
                <w:color w:val="000000"/>
                <w:sz w:val="24"/>
                <w:szCs w:val="24"/>
              </w:rPr>
            </w:pPr>
          </w:p>
        </w:tc>
      </w:tr>
    </w:tbl>
    <w:p w:rsidR="00767CB4" w:rsidRPr="003D331B" w:rsidRDefault="00767CB4" w:rsidP="00767CB4">
      <w:pPr>
        <w:spacing w:line="240" w:lineRule="auto"/>
        <w:contextualSpacing/>
        <w:rPr>
          <w:rFonts w:ascii="Times New Roman" w:eastAsia="Calibri" w:hAnsi="Times New Roman"/>
          <w:noProof/>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708"/>
        <w:gridCol w:w="567"/>
        <w:gridCol w:w="1418"/>
        <w:gridCol w:w="4111"/>
      </w:tblGrid>
      <w:tr w:rsidR="00767CB4" w:rsidRPr="003D331B" w:rsidTr="00C75FBB">
        <w:tc>
          <w:tcPr>
            <w:tcW w:w="14596" w:type="dxa"/>
            <w:gridSpan w:val="6"/>
            <w:shd w:val="clear" w:color="auto" w:fill="BFBFBF"/>
          </w:tcPr>
          <w:p w:rsidR="00767CB4" w:rsidRPr="003D331B" w:rsidRDefault="00767CB4" w:rsidP="00767CB4">
            <w:pPr>
              <w:spacing w:line="240" w:lineRule="auto"/>
              <w:contextualSpacing/>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3. Paraiškos / projekto patikra dėl atitikties Reglamentui</w:t>
            </w:r>
          </w:p>
          <w:p w:rsidR="00767CB4" w:rsidRPr="003D331B" w:rsidRDefault="00767CB4" w:rsidP="00767CB4">
            <w:pPr>
              <w:spacing w:line="240" w:lineRule="auto"/>
              <w:contextualSpacing/>
              <w:rPr>
                <w:rFonts w:ascii="Times New Roman" w:eastAsia="Calibri" w:hAnsi="Times New Roman"/>
                <w:noProof/>
                <w:color w:val="000000"/>
                <w:sz w:val="24"/>
                <w:szCs w:val="24"/>
              </w:rPr>
            </w:pPr>
          </w:p>
        </w:tc>
      </w:tr>
      <w:tr w:rsidR="00767CB4" w:rsidRPr="003D331B" w:rsidTr="00C75FBB">
        <w:tc>
          <w:tcPr>
            <w:tcW w:w="14596" w:type="dxa"/>
            <w:gridSpan w:val="6"/>
            <w:shd w:val="clear" w:color="auto" w:fill="auto"/>
          </w:tcPr>
          <w:p w:rsidR="00767CB4" w:rsidRPr="003D331B" w:rsidRDefault="00767CB4" w:rsidP="00767CB4">
            <w:pPr>
              <w:spacing w:line="240" w:lineRule="auto"/>
              <w:contextualSpacing/>
              <w:rPr>
                <w:rFonts w:ascii="Times New Roman" w:eastAsia="Calibri" w:hAnsi="Times New Roman"/>
                <w:b/>
                <w:noProof/>
                <w:sz w:val="24"/>
                <w:szCs w:val="24"/>
              </w:rPr>
            </w:pPr>
            <w:r w:rsidRPr="003D331B">
              <w:rPr>
                <w:rFonts w:ascii="Times New Roman" w:eastAsia="Calibri" w:hAnsi="Times New Roman"/>
                <w:b/>
                <w:noProof/>
                <w:sz w:val="24"/>
                <w:szCs w:val="24"/>
              </w:rPr>
              <w:t>Bendrieji reikalavimai</w:t>
            </w:r>
          </w:p>
        </w:tc>
      </w:tr>
      <w:tr w:rsidR="00767CB4" w:rsidRPr="003D331B" w:rsidTr="00767CB4">
        <w:trPr>
          <w:trHeight w:val="284"/>
        </w:trPr>
        <w:tc>
          <w:tcPr>
            <w:tcW w:w="846" w:type="dxa"/>
            <w:vMerge w:val="restart"/>
            <w:shd w:val="clear" w:color="auto" w:fill="auto"/>
          </w:tcPr>
          <w:p w:rsidR="00767CB4" w:rsidRPr="003D331B" w:rsidRDefault="00767CB4" w:rsidP="00767CB4">
            <w:pPr>
              <w:tabs>
                <w:tab w:val="left" w:pos="0"/>
              </w:tabs>
              <w:spacing w:line="240" w:lineRule="auto"/>
              <w:ind w:right="-465"/>
              <w:contextualSpacing/>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Nr.</w:t>
            </w:r>
          </w:p>
        </w:tc>
        <w:tc>
          <w:tcPr>
            <w:tcW w:w="6946" w:type="dxa"/>
            <w:vMerge w:val="restart"/>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Klausimai</w:t>
            </w:r>
          </w:p>
        </w:tc>
        <w:tc>
          <w:tcPr>
            <w:tcW w:w="2693" w:type="dxa"/>
            <w:gridSpan w:val="3"/>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 xml:space="preserve">Rezultatas </w:t>
            </w:r>
          </w:p>
        </w:tc>
        <w:tc>
          <w:tcPr>
            <w:tcW w:w="4111" w:type="dxa"/>
            <w:vMerge w:val="restart"/>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r w:rsidRPr="003D331B">
              <w:rPr>
                <w:rFonts w:ascii="Times New Roman" w:eastAsia="Calibri" w:hAnsi="Times New Roman"/>
                <w:b/>
                <w:noProof/>
                <w:color w:val="000000"/>
                <w:sz w:val="24"/>
                <w:szCs w:val="24"/>
              </w:rPr>
              <w:t>Pastabos</w:t>
            </w:r>
          </w:p>
        </w:tc>
      </w:tr>
      <w:tr w:rsidR="00767CB4" w:rsidRPr="003D331B" w:rsidTr="00767CB4">
        <w:trPr>
          <w:trHeight w:val="451"/>
        </w:trPr>
        <w:tc>
          <w:tcPr>
            <w:tcW w:w="846" w:type="dxa"/>
            <w:vMerge/>
            <w:shd w:val="clear" w:color="auto" w:fill="auto"/>
          </w:tcPr>
          <w:p w:rsidR="00767CB4" w:rsidRPr="003D331B" w:rsidRDefault="00767CB4" w:rsidP="00767CB4">
            <w:pPr>
              <w:tabs>
                <w:tab w:val="left" w:pos="0"/>
              </w:tabs>
              <w:spacing w:line="240" w:lineRule="auto"/>
              <w:ind w:right="-465"/>
              <w:contextualSpacing/>
              <w:rPr>
                <w:rFonts w:ascii="Times New Roman" w:eastAsia="Calibri" w:hAnsi="Times New Roman"/>
                <w:b/>
                <w:bCs/>
                <w:noProof/>
                <w:color w:val="000000"/>
                <w:sz w:val="24"/>
                <w:szCs w:val="24"/>
              </w:rPr>
            </w:pPr>
          </w:p>
        </w:tc>
        <w:tc>
          <w:tcPr>
            <w:tcW w:w="6946" w:type="dxa"/>
            <w:vMerge/>
            <w:tcBorders>
              <w:bottom w:val="single" w:sz="4" w:space="0" w:color="auto"/>
            </w:tcBorders>
            <w:shd w:val="clear" w:color="auto" w:fill="auto"/>
          </w:tcPr>
          <w:p w:rsidR="00767CB4" w:rsidRPr="003D331B" w:rsidRDefault="00767CB4" w:rsidP="00767CB4">
            <w:pPr>
              <w:spacing w:line="240" w:lineRule="auto"/>
              <w:contextualSpacing/>
              <w:jc w:val="both"/>
              <w:rPr>
                <w:rFonts w:ascii="Times New Roman" w:eastAsia="Calibri" w:hAnsi="Times New Roman"/>
                <w:b/>
                <w:bCs/>
                <w:noProof/>
                <w:color w:val="000000"/>
                <w:sz w:val="24"/>
                <w:szCs w:val="24"/>
              </w:rPr>
            </w:pPr>
          </w:p>
        </w:tc>
        <w:tc>
          <w:tcPr>
            <w:tcW w:w="708" w:type="dxa"/>
            <w:tcBorders>
              <w:bottom w:val="single" w:sz="4" w:space="0" w:color="auto"/>
            </w:tcBorders>
            <w:shd w:val="clear" w:color="auto" w:fill="auto"/>
          </w:tcPr>
          <w:p w:rsidR="00767CB4" w:rsidRPr="003D331B" w:rsidRDefault="00767CB4" w:rsidP="00767CB4">
            <w:pPr>
              <w:spacing w:line="240" w:lineRule="auto"/>
              <w:contextualSpacing/>
              <w:jc w:val="center"/>
              <w:rPr>
                <w:rFonts w:ascii="Times New Roman" w:eastAsia="Calibri" w:hAnsi="Times New Roman"/>
                <w:b/>
                <w:bCs/>
                <w:noProof/>
                <w:color w:val="000000"/>
                <w:sz w:val="24"/>
                <w:szCs w:val="24"/>
              </w:rPr>
            </w:pPr>
            <w:r w:rsidRPr="003D331B">
              <w:rPr>
                <w:rFonts w:ascii="Times New Roman" w:eastAsia="Calibri" w:hAnsi="Times New Roman"/>
                <w:b/>
                <w:bCs/>
                <w:noProof/>
                <w:color w:val="000000"/>
                <w:sz w:val="24"/>
                <w:szCs w:val="24"/>
              </w:rPr>
              <w:t>Taip</w:t>
            </w:r>
          </w:p>
        </w:tc>
        <w:tc>
          <w:tcPr>
            <w:tcW w:w="567" w:type="dxa"/>
            <w:tcBorders>
              <w:bottom w:val="single" w:sz="4" w:space="0" w:color="auto"/>
            </w:tcBorders>
            <w:shd w:val="clear" w:color="auto" w:fill="auto"/>
          </w:tcPr>
          <w:p w:rsidR="00767CB4" w:rsidRPr="003D331B" w:rsidRDefault="00767CB4" w:rsidP="00767CB4">
            <w:pPr>
              <w:spacing w:line="240" w:lineRule="auto"/>
              <w:contextualSpacing/>
              <w:jc w:val="center"/>
              <w:rPr>
                <w:rFonts w:ascii="Times New Roman" w:eastAsia="Calibri" w:hAnsi="Times New Roman"/>
                <w:b/>
                <w:bCs/>
                <w:noProof/>
                <w:color w:val="000000"/>
                <w:sz w:val="24"/>
                <w:szCs w:val="24"/>
              </w:rPr>
            </w:pPr>
            <w:r w:rsidRPr="003D331B">
              <w:rPr>
                <w:rFonts w:ascii="Times New Roman" w:eastAsia="Calibri" w:hAnsi="Times New Roman"/>
                <w:b/>
                <w:bCs/>
                <w:noProof/>
                <w:color w:val="000000"/>
                <w:sz w:val="24"/>
                <w:szCs w:val="24"/>
              </w:rPr>
              <w:t>Ne</w:t>
            </w:r>
          </w:p>
        </w:tc>
        <w:tc>
          <w:tcPr>
            <w:tcW w:w="1418" w:type="dxa"/>
            <w:tcBorders>
              <w:bottom w:val="single" w:sz="4" w:space="0" w:color="auto"/>
            </w:tcBorders>
            <w:shd w:val="clear" w:color="auto" w:fill="auto"/>
          </w:tcPr>
          <w:p w:rsidR="00767CB4" w:rsidRPr="003D331B" w:rsidRDefault="00767CB4" w:rsidP="00767CB4">
            <w:pPr>
              <w:spacing w:line="240" w:lineRule="auto"/>
              <w:contextualSpacing/>
              <w:jc w:val="center"/>
              <w:rPr>
                <w:rFonts w:ascii="Times New Roman" w:eastAsia="Calibri" w:hAnsi="Times New Roman"/>
                <w:b/>
                <w:bCs/>
                <w:noProof/>
                <w:color w:val="000000"/>
                <w:sz w:val="24"/>
                <w:szCs w:val="24"/>
              </w:rPr>
            </w:pPr>
            <w:r w:rsidRPr="003D331B">
              <w:rPr>
                <w:rFonts w:ascii="Times New Roman" w:eastAsia="Calibri" w:hAnsi="Times New Roman"/>
                <w:b/>
                <w:bCs/>
                <w:noProof/>
                <w:color w:val="000000"/>
                <w:sz w:val="24"/>
                <w:szCs w:val="24"/>
              </w:rPr>
              <w:t>Netaikoma</w:t>
            </w:r>
          </w:p>
        </w:tc>
        <w:tc>
          <w:tcPr>
            <w:tcW w:w="4111" w:type="dxa"/>
            <w:vMerge/>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63"/>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color w:val="000000"/>
                <w:sz w:val="24"/>
                <w:szCs w:val="24"/>
              </w:rPr>
            </w:pPr>
            <w:r w:rsidRPr="003D331B">
              <w:rPr>
                <w:rFonts w:ascii="Times New Roman" w:eastAsia="Calibri" w:hAnsi="Times New Roman"/>
                <w:noProof/>
                <w:color w:val="000000"/>
                <w:sz w:val="24"/>
                <w:szCs w:val="24"/>
              </w:rPr>
              <w:t>3.1.</w:t>
            </w:r>
          </w:p>
        </w:tc>
        <w:tc>
          <w:tcPr>
            <w:tcW w:w="6946" w:type="dxa"/>
            <w:tcBorders>
              <w:right w:val="single" w:sz="4" w:space="0" w:color="auto"/>
            </w:tcBorders>
            <w:shd w:val="clear" w:color="auto" w:fill="auto"/>
          </w:tcPr>
          <w:p w:rsidR="00767CB4" w:rsidRPr="003D331B" w:rsidRDefault="00767CB4" w:rsidP="00767CB4">
            <w:pPr>
              <w:spacing w:line="240" w:lineRule="auto"/>
              <w:contextualSpacing/>
              <w:rPr>
                <w:rFonts w:ascii="Times New Roman" w:eastAsia="Calibri" w:hAnsi="Times New Roman"/>
                <w:noProof/>
                <w:color w:val="000000"/>
                <w:sz w:val="24"/>
                <w:szCs w:val="24"/>
              </w:rPr>
            </w:pPr>
            <w:r w:rsidRPr="003D331B">
              <w:rPr>
                <w:rFonts w:ascii="Times New Roman" w:eastAsia="Calibri" w:hAnsi="Times New Roman"/>
                <w:b/>
                <w:noProof/>
                <w:sz w:val="24"/>
                <w:szCs w:val="24"/>
              </w:rPr>
              <w:t>Bendrieji reikalavimai</w:t>
            </w:r>
          </w:p>
        </w:tc>
        <w:tc>
          <w:tcPr>
            <w:tcW w:w="2693" w:type="dxa"/>
            <w:gridSpan w:val="3"/>
            <w:tcBorders>
              <w:left w:val="single" w:sz="4" w:space="0" w:color="auto"/>
              <w:bottom w:val="single" w:sz="4" w:space="0" w:color="auto"/>
              <w:right w:val="single" w:sz="4" w:space="0" w:color="auto"/>
            </w:tcBorders>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tcBorders>
              <w:left w:val="single" w:sz="4" w:space="0" w:color="auto"/>
              <w:bottom w:val="single" w:sz="4" w:space="0" w:color="auto"/>
            </w:tcBorders>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63"/>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color w:val="000000"/>
                <w:sz w:val="24"/>
                <w:szCs w:val="24"/>
              </w:rPr>
              <w:t>3.1.1.</w:t>
            </w:r>
          </w:p>
        </w:tc>
        <w:tc>
          <w:tcPr>
            <w:tcW w:w="6946" w:type="dxa"/>
            <w:shd w:val="clear" w:color="auto" w:fill="auto"/>
          </w:tcPr>
          <w:p w:rsidR="00767CB4" w:rsidRPr="003D331B" w:rsidRDefault="00767CB4" w:rsidP="00767CB4">
            <w:pPr>
              <w:spacing w:line="240" w:lineRule="auto"/>
              <w:rPr>
                <w:rFonts w:ascii="Times New Roman" w:eastAsia="Calibri" w:hAnsi="Times New Roman"/>
                <w:noProof/>
                <w:sz w:val="24"/>
                <w:szCs w:val="24"/>
              </w:rPr>
            </w:pPr>
            <w:r w:rsidRPr="003D331B">
              <w:rPr>
                <w:rFonts w:ascii="Times New Roman" w:eastAsia="Calibri" w:hAnsi="Times New Roman"/>
                <w:noProof/>
                <w:sz w:val="24"/>
                <w:szCs w:val="24"/>
              </w:rPr>
              <w:t>Kokiai kategorijai priskiriamas pareiškėjas (įmonės rūšis apibrėžta Reglamento 2 straipsnio 2 ir 24 punktuose)?</w:t>
            </w:r>
          </w:p>
          <w:p w:rsidR="00767CB4" w:rsidRPr="003D331B" w:rsidRDefault="00767CB4" w:rsidP="00767CB4">
            <w:pPr>
              <w:spacing w:line="240" w:lineRule="auto"/>
              <w:rPr>
                <w:rFonts w:ascii="Times New Roman" w:eastAsia="Calibri" w:hAnsi="Times New Roman"/>
                <w:noProof/>
                <w:sz w:val="24"/>
                <w:szCs w:val="24"/>
              </w:rPr>
            </w:pPr>
          </w:p>
        </w:tc>
        <w:tc>
          <w:tcPr>
            <w:tcW w:w="2693" w:type="dxa"/>
            <w:gridSpan w:val="3"/>
            <w:tcBorders>
              <w:bottom w:val="single" w:sz="4" w:space="0" w:color="auto"/>
            </w:tcBorders>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tcBorders>
              <w:bottom w:val="single" w:sz="4" w:space="0" w:color="auto"/>
            </w:tcBorders>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288"/>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lastRenderedPageBreak/>
              <w:t>3.1.1.1.</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Maža įmonė</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275"/>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3.1.1.2.</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Vidutinė įmonė</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282"/>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3.1.1.3.</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Didelė įmonė</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486"/>
        </w:trPr>
        <w:tc>
          <w:tcPr>
            <w:tcW w:w="846" w:type="dxa"/>
            <w:tcBorders>
              <w:bottom w:val="single" w:sz="4" w:space="0" w:color="auto"/>
            </w:tcBorders>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3.1.2.</w:t>
            </w:r>
          </w:p>
        </w:tc>
        <w:tc>
          <w:tcPr>
            <w:tcW w:w="6946" w:type="dxa"/>
            <w:tcBorders>
              <w:bottom w:val="single" w:sz="4" w:space="0" w:color="auto"/>
            </w:tcBorders>
            <w:shd w:val="clear" w:color="auto" w:fill="auto"/>
          </w:tcPr>
          <w:p w:rsidR="00767CB4" w:rsidRPr="003D331B" w:rsidRDefault="00767CB4" w:rsidP="00767CB4">
            <w:pPr>
              <w:spacing w:line="240" w:lineRule="auto"/>
              <w:rPr>
                <w:rFonts w:ascii="Times New Roman" w:eastAsia="Calibri" w:hAnsi="Times New Roman"/>
                <w:noProof/>
                <w:sz w:val="24"/>
                <w:szCs w:val="24"/>
              </w:rPr>
            </w:pPr>
            <w:r w:rsidRPr="003D331B">
              <w:rPr>
                <w:rFonts w:ascii="Times New Roman" w:eastAsia="Calibri" w:hAnsi="Times New Roman"/>
                <w:noProof/>
                <w:sz w:val="24"/>
                <w:szCs w:val="24"/>
              </w:rPr>
              <w:t>Kokiai kategorijai priskiriamas partneris?</w:t>
            </w:r>
          </w:p>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p>
        </w:tc>
        <w:tc>
          <w:tcPr>
            <w:tcW w:w="1275" w:type="dxa"/>
            <w:gridSpan w:val="2"/>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tcBorders>
              <w:bottom w:val="single" w:sz="4" w:space="0" w:color="auto"/>
            </w:tcBorders>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275"/>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3.1.2.1.</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Maža įmonė</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275"/>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3.1.2.2.</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Vidutinė įmonė</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3.1.2.3.</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Didelė įmonė</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3.1.3.</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noProof/>
                <w:color w:val="000000"/>
                <w:sz w:val="24"/>
                <w:szCs w:val="24"/>
              </w:rPr>
              <w:t>Ar teikiama pagalba atitinka Reglamento</w:t>
            </w:r>
            <w:r w:rsidRPr="003D331B">
              <w:rPr>
                <w:rFonts w:ascii="Times New Roman" w:hAnsi="Times New Roman"/>
                <w:bCs/>
                <w:noProof/>
                <w:sz w:val="24"/>
                <w:szCs w:val="24"/>
              </w:rPr>
              <w:t xml:space="preserve"> </w:t>
            </w:r>
            <w:r w:rsidRPr="003D331B">
              <w:rPr>
                <w:rFonts w:ascii="Times New Roman" w:eastAsia="Calibri" w:hAnsi="Times New Roman"/>
                <w:noProof/>
                <w:color w:val="000000"/>
                <w:sz w:val="24"/>
                <w:szCs w:val="24"/>
              </w:rPr>
              <w:t>1 straipsnio 1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3.1.4.</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hAnsi="Times New Roman"/>
                <w:bCs/>
                <w:noProof/>
                <w:sz w:val="24"/>
                <w:szCs w:val="24"/>
              </w:rPr>
              <w:t>Ar pagalba nėra teikiama pagal Reglamento 1 straipsnio 2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3.1.5.</w:t>
            </w:r>
          </w:p>
        </w:tc>
        <w:tc>
          <w:tcPr>
            <w:tcW w:w="6946" w:type="dxa"/>
            <w:shd w:val="clear" w:color="auto" w:fill="auto"/>
          </w:tcPr>
          <w:p w:rsidR="00767CB4" w:rsidRPr="003D331B" w:rsidRDefault="00767CB4" w:rsidP="00767CB4">
            <w:pPr>
              <w:spacing w:line="240" w:lineRule="auto"/>
              <w:contextualSpacing/>
              <w:jc w:val="both"/>
              <w:rPr>
                <w:rFonts w:ascii="Times New Roman" w:hAnsi="Times New Roman"/>
                <w:bCs/>
                <w:noProof/>
                <w:sz w:val="24"/>
                <w:szCs w:val="24"/>
              </w:rPr>
            </w:pPr>
            <w:r w:rsidRPr="003D331B">
              <w:rPr>
                <w:rFonts w:ascii="Times New Roman" w:hAnsi="Times New Roman"/>
                <w:bCs/>
                <w:noProof/>
                <w:sz w:val="24"/>
                <w:szCs w:val="24"/>
              </w:rPr>
              <w:t>Ar pagalba nėra teikiama pagal Reglamento 1 straipsnio 3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3.1.6.</w:t>
            </w:r>
          </w:p>
        </w:tc>
        <w:tc>
          <w:tcPr>
            <w:tcW w:w="6946" w:type="dxa"/>
            <w:shd w:val="clear" w:color="auto" w:fill="auto"/>
          </w:tcPr>
          <w:p w:rsidR="00767CB4" w:rsidRPr="003D331B" w:rsidRDefault="00767CB4" w:rsidP="00767CB4">
            <w:pPr>
              <w:spacing w:line="240" w:lineRule="auto"/>
              <w:contextualSpacing/>
              <w:jc w:val="both"/>
              <w:rPr>
                <w:rFonts w:ascii="Times New Roman" w:hAnsi="Times New Roman"/>
                <w:bCs/>
                <w:noProof/>
                <w:sz w:val="24"/>
                <w:szCs w:val="24"/>
              </w:rPr>
            </w:pPr>
            <w:r w:rsidRPr="003D331B">
              <w:rPr>
                <w:rFonts w:ascii="Times New Roman" w:hAnsi="Times New Roman"/>
                <w:bCs/>
                <w:noProof/>
                <w:color w:val="000000"/>
                <w:sz w:val="24"/>
                <w:szCs w:val="24"/>
              </w:rPr>
              <w:t>Ar pagalba nėra teikiama įmonei, kuriai išduotas vykdomasis raštas sumoms išieškoti pagal ankstesnį Komisijos sprendimą, kuriame pagalba skelbiama neteisėta ir nesuderinama su vidaus rinka?</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3.1.7.</w:t>
            </w:r>
          </w:p>
        </w:tc>
        <w:tc>
          <w:tcPr>
            <w:tcW w:w="6946" w:type="dxa"/>
            <w:shd w:val="clear" w:color="auto" w:fill="auto"/>
          </w:tcPr>
          <w:p w:rsidR="00767CB4" w:rsidRPr="003D331B" w:rsidRDefault="00767CB4" w:rsidP="00767CB4">
            <w:pPr>
              <w:spacing w:line="240" w:lineRule="auto"/>
              <w:contextualSpacing/>
              <w:jc w:val="both"/>
              <w:rPr>
                <w:rFonts w:ascii="Times New Roman" w:hAnsi="Times New Roman"/>
                <w:bCs/>
                <w:noProof/>
                <w:sz w:val="24"/>
                <w:szCs w:val="24"/>
              </w:rPr>
            </w:pPr>
            <w:r w:rsidRPr="003D331B">
              <w:rPr>
                <w:rFonts w:ascii="Times New Roman" w:hAnsi="Times New Roman"/>
                <w:bCs/>
                <w:noProof/>
                <w:color w:val="000000"/>
                <w:sz w:val="24"/>
                <w:szCs w:val="24"/>
              </w:rPr>
              <w:t>Ar pagalba nėra teikiama sunkumų patiriančiai įmonei (</w:t>
            </w:r>
            <w:r w:rsidRPr="003D331B">
              <w:rPr>
                <w:rFonts w:ascii="Times New Roman" w:eastAsia="Calibri" w:hAnsi="Times New Roman"/>
                <w:noProof/>
                <w:color w:val="000000"/>
                <w:sz w:val="24"/>
                <w:szCs w:val="24"/>
              </w:rPr>
              <w:t>sunkumus patirianti įmonė apibrėžta Reglamento 2 straipsnio 18 punkte</w:t>
            </w:r>
            <w:r w:rsidRPr="003D331B">
              <w:rPr>
                <w:rFonts w:ascii="Times New Roman"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sz w:val="24"/>
                <w:szCs w:val="24"/>
              </w:rPr>
            </w:pPr>
          </w:p>
        </w:tc>
      </w:tr>
      <w:tr w:rsidR="00767CB4" w:rsidRPr="003D331B" w:rsidTr="00767CB4">
        <w:trPr>
          <w:trHeight w:val="327"/>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3.1.8.</w:t>
            </w:r>
          </w:p>
        </w:tc>
        <w:tc>
          <w:tcPr>
            <w:tcW w:w="6946" w:type="dxa"/>
            <w:shd w:val="clear" w:color="auto" w:fill="auto"/>
          </w:tcPr>
          <w:p w:rsidR="00767CB4" w:rsidRPr="003D331B" w:rsidRDefault="00767CB4" w:rsidP="00767CB4">
            <w:pPr>
              <w:spacing w:line="240" w:lineRule="auto"/>
              <w:contextualSpacing/>
              <w:jc w:val="both"/>
              <w:rPr>
                <w:rFonts w:ascii="Times New Roman" w:hAnsi="Times New Roman"/>
                <w:bCs/>
                <w:noProof/>
                <w:color w:val="000000"/>
                <w:sz w:val="24"/>
                <w:szCs w:val="24"/>
              </w:rPr>
            </w:pPr>
            <w:r w:rsidRPr="003D331B">
              <w:rPr>
                <w:rFonts w:ascii="Times New Roman" w:hAnsi="Times New Roman"/>
                <w:bCs/>
                <w:noProof/>
                <w:color w:val="000000"/>
                <w:sz w:val="24"/>
                <w:szCs w:val="24"/>
              </w:rPr>
              <w:t>Ar pagalbos suteikimas (</w:t>
            </w:r>
            <w:r w:rsidRPr="003D331B">
              <w:rPr>
                <w:rFonts w:ascii="Times New Roman" w:eastAsia="Calibri" w:hAnsi="Times New Roman"/>
                <w:noProof/>
                <w:color w:val="000000"/>
                <w:sz w:val="24"/>
                <w:szCs w:val="24"/>
              </w:rPr>
              <w:t>kaip apibrėžta Reglamento 2 straipsnio 28 punkte</w:t>
            </w:r>
            <w:r w:rsidRPr="003D331B">
              <w:rPr>
                <w:rFonts w:ascii="Times New Roman" w:hAnsi="Times New Roman"/>
                <w:bCs/>
                <w:noProof/>
                <w:color w:val="000000"/>
                <w:sz w:val="24"/>
                <w:szCs w:val="24"/>
              </w:rPr>
              <w:t xml:space="preserve">) nėra susietas su įpareigojimu pagalbos gavėjui turėti būstinę atitinkamoje </w:t>
            </w:r>
            <w:r w:rsidRPr="003D331B">
              <w:rPr>
                <w:rFonts w:ascii="Times New Roman" w:eastAsia="Calibri" w:hAnsi="Times New Roman"/>
                <w:noProof/>
                <w:color w:val="000000"/>
                <w:sz w:val="24"/>
                <w:szCs w:val="24"/>
              </w:rPr>
              <w:t>valstybėje narėje</w:t>
            </w:r>
            <w:r w:rsidRPr="003D331B">
              <w:rPr>
                <w:rFonts w:ascii="Times New Roman" w:hAnsi="Times New Roman"/>
                <w:bCs/>
                <w:noProof/>
                <w:color w:val="000000"/>
                <w:sz w:val="24"/>
                <w:szCs w:val="24"/>
              </w:rPr>
              <w:t xml:space="preserve"> arba būti iš esmės įsisteigusiu toje valstybėje narėje (t. y. </w:t>
            </w:r>
            <w:r w:rsidRPr="003D331B">
              <w:rPr>
                <w:rFonts w:ascii="Times New Roman" w:eastAsia="Calibri" w:hAnsi="Times New Roman"/>
                <w:noProof/>
                <w:color w:val="000000"/>
                <w:sz w:val="24"/>
                <w:szCs w:val="24"/>
              </w:rPr>
              <w:t>įpareigojimu turėti būstinę atitinkamoje valstybėje narėje arba būti iš esmės įsisteigusiu toje valstybėje narėje nelaikomas reikalavimas turėti įsisteigimo ar įregistravimo vietą pagalbą teikiančioje valstybėje narėje mokėjimo metu</w:t>
            </w:r>
            <w:r w:rsidRPr="003D331B">
              <w:rPr>
                <w:rFonts w:ascii="Times New Roman"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3.1.9.</w:t>
            </w:r>
          </w:p>
        </w:tc>
        <w:tc>
          <w:tcPr>
            <w:tcW w:w="6946" w:type="dxa"/>
            <w:shd w:val="clear" w:color="auto" w:fill="auto"/>
          </w:tcPr>
          <w:p w:rsidR="00767CB4" w:rsidRPr="003D331B" w:rsidRDefault="00767CB4" w:rsidP="00767CB4">
            <w:pPr>
              <w:spacing w:line="240" w:lineRule="auto"/>
              <w:contextualSpacing/>
              <w:jc w:val="both"/>
              <w:rPr>
                <w:rFonts w:ascii="Times New Roman" w:hAnsi="Times New Roman"/>
                <w:bCs/>
                <w:noProof/>
                <w:color w:val="000000"/>
                <w:sz w:val="24"/>
                <w:szCs w:val="24"/>
              </w:rPr>
            </w:pPr>
            <w:r w:rsidRPr="003D331B">
              <w:rPr>
                <w:rFonts w:ascii="Times New Roman" w:hAnsi="Times New Roman"/>
                <w:bCs/>
                <w:noProof/>
                <w:color w:val="000000"/>
                <w:sz w:val="24"/>
                <w:szCs w:val="24"/>
              </w:rPr>
              <w:t>Ar pagalbos suteikimas nėra susietas su įpareigojimu pagalbos gavėjui naudoti šalyje pagamintas prekes arba teikiamas paslaugas?</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3.1.10.</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hAnsi="Times New Roman"/>
                <w:bCs/>
                <w:noProof/>
                <w:color w:val="000000"/>
                <w:sz w:val="24"/>
                <w:szCs w:val="24"/>
              </w:rPr>
              <w:t xml:space="preserve">Ar nėra viršijama investicijų suma sporto ir daugiafunkcėms laisvalaikio infrastruktūroms: 50 mln. eurų vienam projektui (kaip apibrėžta </w:t>
            </w:r>
            <w:r w:rsidRPr="003D331B">
              <w:rPr>
                <w:rFonts w:ascii="Times New Roman" w:eastAsia="Calibri" w:hAnsi="Times New Roman"/>
                <w:noProof/>
                <w:color w:val="000000"/>
                <w:sz w:val="24"/>
                <w:szCs w:val="24"/>
              </w:rPr>
              <w:t>Reglamento 4 straipsnio 1 dalies bb punkte)</w:t>
            </w:r>
            <w:r w:rsidRPr="003D331B">
              <w:rPr>
                <w:rFonts w:ascii="Times New Roman"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lastRenderedPageBreak/>
              <w:t>3.1.11.</w:t>
            </w:r>
          </w:p>
        </w:tc>
        <w:tc>
          <w:tcPr>
            <w:tcW w:w="6946" w:type="dxa"/>
            <w:shd w:val="clear" w:color="auto" w:fill="auto"/>
          </w:tcPr>
          <w:p w:rsidR="00767CB4" w:rsidRPr="00D8780C" w:rsidRDefault="00767CB4" w:rsidP="00767CB4">
            <w:pPr>
              <w:spacing w:line="240" w:lineRule="auto"/>
              <w:contextualSpacing/>
              <w:jc w:val="both"/>
              <w:rPr>
                <w:rFonts w:ascii="Times New Roman" w:hAnsi="Times New Roman"/>
                <w:bCs/>
                <w:noProof/>
                <w:color w:val="000000"/>
                <w:sz w:val="24"/>
                <w:szCs w:val="24"/>
              </w:rPr>
            </w:pPr>
            <w:r w:rsidRPr="00D8780C">
              <w:rPr>
                <w:rFonts w:ascii="Times New Roman" w:hAnsi="Times New Roman"/>
                <w:bCs/>
                <w:noProof/>
                <w:color w:val="000000"/>
                <w:sz w:val="24"/>
                <w:szCs w:val="24"/>
              </w:rPr>
              <w:t xml:space="preserve">Ar nėra viršijama 50 mln. eurų investicinė pagalba vienos įmonės vienam energetikos infrastruktūros projektui (kaip apibrėžta </w:t>
            </w:r>
            <w:r w:rsidRPr="00D8780C">
              <w:rPr>
                <w:rFonts w:ascii="Times New Roman" w:eastAsia="Calibri" w:hAnsi="Times New Roman"/>
                <w:noProof/>
                <w:color w:val="000000"/>
                <w:sz w:val="24"/>
                <w:szCs w:val="24"/>
              </w:rPr>
              <w:t>Reglamento 4 straipsnio 1 dalies x punkte)</w:t>
            </w:r>
            <w:r w:rsidRPr="00D8780C">
              <w:rPr>
                <w:rFonts w:ascii="Times New Roman"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327"/>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3.1.12.</w:t>
            </w:r>
          </w:p>
        </w:tc>
        <w:tc>
          <w:tcPr>
            <w:tcW w:w="6946" w:type="dxa"/>
            <w:shd w:val="clear" w:color="auto" w:fill="auto"/>
          </w:tcPr>
          <w:p w:rsidR="00767CB4" w:rsidRPr="00D8780C" w:rsidRDefault="00767CB4" w:rsidP="00767CB4">
            <w:pPr>
              <w:spacing w:line="240" w:lineRule="auto"/>
              <w:contextualSpacing/>
              <w:jc w:val="both"/>
              <w:rPr>
                <w:rFonts w:ascii="Times New Roman" w:hAnsi="Times New Roman"/>
                <w:bCs/>
                <w:noProof/>
                <w:color w:val="000000"/>
                <w:sz w:val="24"/>
                <w:szCs w:val="24"/>
              </w:rPr>
            </w:pPr>
            <w:r w:rsidRPr="00D8780C">
              <w:rPr>
                <w:rFonts w:ascii="Times New Roman" w:hAnsi="Times New Roman"/>
                <w:bCs/>
                <w:noProof/>
                <w:color w:val="000000"/>
                <w:sz w:val="24"/>
                <w:szCs w:val="24"/>
              </w:rPr>
              <w:t xml:space="preserve">Ar nėra viršijama 100 mln. eurų investicinė pagalba vienam kultūros infrastruktūros projektui (kaip apibrėžta </w:t>
            </w:r>
            <w:r w:rsidRPr="00D8780C">
              <w:rPr>
                <w:rFonts w:ascii="Times New Roman" w:eastAsia="Calibri" w:hAnsi="Times New Roman"/>
                <w:noProof/>
                <w:color w:val="000000"/>
                <w:sz w:val="24"/>
                <w:szCs w:val="24"/>
              </w:rPr>
              <w:t>Reglamento 4 straipsnio 1 dalies z punkte)</w:t>
            </w:r>
            <w:r w:rsidRPr="00D8780C">
              <w:rPr>
                <w:rFonts w:ascii="Times New Roman"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327"/>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3.1.13.</w:t>
            </w:r>
          </w:p>
        </w:tc>
        <w:tc>
          <w:tcPr>
            <w:tcW w:w="6946" w:type="dxa"/>
            <w:shd w:val="clear" w:color="auto" w:fill="auto"/>
          </w:tcPr>
          <w:p w:rsidR="00767CB4" w:rsidRPr="00D8780C" w:rsidRDefault="00767CB4" w:rsidP="00767CB4">
            <w:pPr>
              <w:spacing w:line="240" w:lineRule="auto"/>
              <w:contextualSpacing/>
              <w:jc w:val="both"/>
              <w:rPr>
                <w:rFonts w:ascii="Times New Roman" w:hAnsi="Times New Roman"/>
                <w:bCs/>
                <w:noProof/>
                <w:color w:val="000000"/>
                <w:sz w:val="24"/>
                <w:szCs w:val="24"/>
              </w:rPr>
            </w:pPr>
            <w:r w:rsidRPr="00D8780C">
              <w:rPr>
                <w:rFonts w:ascii="Times New Roman" w:hAnsi="Times New Roman"/>
                <w:bCs/>
                <w:noProof/>
                <w:color w:val="000000"/>
                <w:sz w:val="24"/>
                <w:szCs w:val="24"/>
              </w:rPr>
              <w:t xml:space="preserve">Ar nėra viršijama 10 mln. eurų investicinė pagalba ir 20 mln. eurų investicijų suma vienam vietos infrastruktūros projektui (kaip apibrėžta </w:t>
            </w:r>
            <w:r w:rsidRPr="00D8780C">
              <w:rPr>
                <w:rFonts w:ascii="Times New Roman" w:eastAsia="Calibri" w:hAnsi="Times New Roman"/>
                <w:noProof/>
                <w:color w:val="000000"/>
                <w:sz w:val="24"/>
                <w:szCs w:val="24"/>
              </w:rPr>
              <w:t>Reglamento 4 straipsnio 1 dalies cc punkte)</w:t>
            </w:r>
            <w:r w:rsidRPr="00D8780C">
              <w:rPr>
                <w:rFonts w:ascii="Times New Roman"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327"/>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3.1.14.</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noProof/>
                <w:color w:val="000000"/>
                <w:sz w:val="24"/>
                <w:szCs w:val="24"/>
              </w:rPr>
              <w:t>Ar projektas nėra dirbtinai suskaidyto didelio investicinio projekto dalis pagal Reglamento 4 straipsnio 2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3.1.15.</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noProof/>
                <w:color w:val="000000"/>
                <w:sz w:val="24"/>
                <w:szCs w:val="24"/>
              </w:rPr>
              <w:t>Ar teikiama pagalba yra skaidri pagal Reglamento</w:t>
            </w:r>
            <w:r w:rsidRPr="003D331B">
              <w:rPr>
                <w:rFonts w:ascii="Times New Roman" w:hAnsi="Times New Roman"/>
                <w:bCs/>
                <w:noProof/>
                <w:sz w:val="24"/>
                <w:szCs w:val="24"/>
              </w:rPr>
              <w:t xml:space="preserve"> </w:t>
            </w:r>
            <w:r w:rsidRPr="003D331B">
              <w:rPr>
                <w:rFonts w:ascii="Times New Roman" w:eastAsia="Calibri" w:hAnsi="Times New Roman"/>
                <w:noProof/>
                <w:color w:val="000000"/>
                <w:sz w:val="24"/>
                <w:szCs w:val="24"/>
              </w:rPr>
              <w:t>5 straipsnio nuostatas?</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3.1.16.</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noProof/>
                <w:color w:val="000000"/>
                <w:sz w:val="24"/>
                <w:szCs w:val="24"/>
              </w:rPr>
              <w:t>Ar teikiama pagalba turi skatinamąjį poveikį pagal Reglamento</w:t>
            </w:r>
            <w:r w:rsidRPr="003D331B">
              <w:rPr>
                <w:rFonts w:ascii="Times New Roman" w:hAnsi="Times New Roman"/>
                <w:bCs/>
                <w:noProof/>
                <w:sz w:val="24"/>
                <w:szCs w:val="24"/>
              </w:rPr>
              <w:t xml:space="preserve"> </w:t>
            </w:r>
            <w:r w:rsidRPr="003D331B">
              <w:rPr>
                <w:rFonts w:ascii="Times New Roman" w:eastAsia="Calibri" w:hAnsi="Times New Roman"/>
                <w:noProof/>
                <w:color w:val="000000"/>
                <w:sz w:val="24"/>
                <w:szCs w:val="24"/>
              </w:rPr>
              <w:t>6 straipsnio 2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3.1.17.</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noProof/>
                <w:color w:val="000000"/>
                <w:sz w:val="24"/>
                <w:szCs w:val="24"/>
              </w:rPr>
              <w:t>Ar pagalbos intensyvumas ir tinkamos finansuoti išlaidos atitinka Reglamento 7 straipsnio 1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tcBorders>
              <w:bottom w:val="single" w:sz="4" w:space="0" w:color="auto"/>
            </w:tcBorders>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3.1.18.</w:t>
            </w:r>
          </w:p>
        </w:tc>
        <w:tc>
          <w:tcPr>
            <w:tcW w:w="6946" w:type="dxa"/>
            <w:tcBorders>
              <w:bottom w:val="single" w:sz="4" w:space="0" w:color="auto"/>
            </w:tcBorders>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hAnsi="Times New Roman"/>
                <w:bCs/>
                <w:noProof/>
                <w:sz w:val="24"/>
                <w:szCs w:val="24"/>
              </w:rPr>
              <w:t>Ar yra laikomasi sumavimo reikalavimų pagal Reglamento 8 straipsnio 1, 3 ir 5 dalis?</w:t>
            </w:r>
          </w:p>
        </w:tc>
        <w:tc>
          <w:tcPr>
            <w:tcW w:w="708" w:type="dxa"/>
            <w:tcBorders>
              <w:bottom w:val="single" w:sz="4" w:space="0" w:color="auto"/>
            </w:tcBorders>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tcBorders>
              <w:bottom w:val="single" w:sz="4" w:space="0" w:color="auto"/>
            </w:tcBorders>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tcBorders>
              <w:bottom w:val="single" w:sz="4" w:space="0" w:color="auto"/>
            </w:tcBorders>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tcBorders>
              <w:bottom w:val="single" w:sz="4" w:space="0" w:color="auto"/>
            </w:tcBorders>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327"/>
        </w:trPr>
        <w:tc>
          <w:tcPr>
            <w:tcW w:w="846" w:type="dxa"/>
            <w:tcBorders>
              <w:bottom w:val="single" w:sz="4" w:space="0" w:color="auto"/>
            </w:tcBorders>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hAnsi="Times New Roman"/>
                <w:noProof/>
                <w:color w:val="000000"/>
                <w:sz w:val="24"/>
                <w:szCs w:val="24"/>
              </w:rPr>
              <w:t>3.2.</w:t>
            </w:r>
          </w:p>
        </w:tc>
        <w:tc>
          <w:tcPr>
            <w:tcW w:w="6946" w:type="dxa"/>
            <w:tcBorders>
              <w:bottom w:val="single" w:sz="4" w:space="0" w:color="auto"/>
            </w:tcBorders>
            <w:shd w:val="clear" w:color="auto" w:fill="auto"/>
          </w:tcPr>
          <w:p w:rsidR="00767CB4" w:rsidRPr="003D331B" w:rsidRDefault="00767CB4" w:rsidP="00767CB4">
            <w:pPr>
              <w:spacing w:line="240" w:lineRule="auto"/>
              <w:contextualSpacing/>
              <w:jc w:val="both"/>
              <w:rPr>
                <w:rFonts w:ascii="Times New Roman" w:hAnsi="Times New Roman"/>
                <w:bCs/>
                <w:noProof/>
                <w:sz w:val="24"/>
                <w:szCs w:val="24"/>
              </w:rPr>
            </w:pPr>
            <w:r w:rsidRPr="003D331B">
              <w:rPr>
                <w:rFonts w:ascii="Times New Roman" w:hAnsi="Times New Roman"/>
                <w:b/>
                <w:noProof/>
                <w:color w:val="000000"/>
                <w:sz w:val="24"/>
                <w:szCs w:val="24"/>
              </w:rPr>
              <w:t xml:space="preserve">Reikalavimai pagalbai </w:t>
            </w:r>
            <w:r w:rsidRPr="003D331B">
              <w:rPr>
                <w:rFonts w:ascii="Times New Roman" w:hAnsi="Times New Roman"/>
                <w:b/>
                <w:bCs/>
                <w:noProof/>
                <w:sz w:val="24"/>
                <w:szCs w:val="24"/>
              </w:rPr>
              <w:t>sporto ir daugiafunkcėms laisvalaikio infrastruktūroms</w:t>
            </w:r>
          </w:p>
        </w:tc>
        <w:tc>
          <w:tcPr>
            <w:tcW w:w="708" w:type="dxa"/>
            <w:tcBorders>
              <w:bottom w:val="single" w:sz="4" w:space="0" w:color="auto"/>
              <w:right w:val="nil"/>
            </w:tcBorders>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tcBorders>
              <w:left w:val="nil"/>
              <w:bottom w:val="single" w:sz="4" w:space="0" w:color="auto"/>
              <w:right w:val="nil"/>
            </w:tcBorders>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tcBorders>
              <w:left w:val="nil"/>
              <w:bottom w:val="single" w:sz="4" w:space="0" w:color="auto"/>
            </w:tcBorders>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tcBorders>
              <w:bottom w:val="single" w:sz="4" w:space="0" w:color="auto"/>
            </w:tcBorders>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542"/>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3.2.1.</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Ar sporto infrastruktūros panaudojimas atitinka Reglamento 55 straipsnio 2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ind w:firstLine="34"/>
              <w:contextualSpacing/>
              <w:jc w:val="both"/>
              <w:rPr>
                <w:rFonts w:ascii="Times New Roman" w:eastAsia="Calibri" w:hAnsi="Times New Roman"/>
                <w:noProof/>
                <w:color w:val="000000"/>
                <w:sz w:val="24"/>
                <w:szCs w:val="24"/>
              </w:rPr>
            </w:pPr>
          </w:p>
        </w:tc>
      </w:tr>
      <w:tr w:rsidR="00767CB4" w:rsidRPr="003D331B" w:rsidTr="00767CB4">
        <w:trPr>
          <w:trHeight w:val="520"/>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3.2.2.</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Ar laisvalaikio infrastruktūra atitinka Reglamento 55 straipsnio 3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i/>
                <w:noProof/>
                <w:color w:val="000000"/>
                <w:sz w:val="24"/>
                <w:szCs w:val="24"/>
              </w:rPr>
            </w:pPr>
          </w:p>
        </w:tc>
      </w:tr>
      <w:tr w:rsidR="00767CB4" w:rsidRPr="003D331B" w:rsidTr="00767CB4">
        <w:trPr>
          <w:trHeight w:val="175"/>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3.2.3.</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Ar sporto ir daugiafunkcės laisvalaikio infrastruktūros panaudojimas atitinka Reglamento 55 straipsnio 4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175"/>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3.2.4.</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Ar sporto infrastruktūros naudojimo kainų nustatymo sąlygos skelbiamos visuomenei pagal Reglamento 55 straipsnio 5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175"/>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3.2.5.</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Ar koncesija ar kitas patikėjimas trečiajai šaliai statyti, atnaujinti ir (arba) eksploatuoti sporto arba daugiafunkcinę laisvalaikio infrastruktūrą suteikiamas pagal Reglamento 55 straipsnio 6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175"/>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lastRenderedPageBreak/>
              <w:t>3.2.6.</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bCs/>
                <w:noProof/>
                <w:color w:val="000000"/>
                <w:sz w:val="24"/>
                <w:szCs w:val="24"/>
              </w:rPr>
              <w:t>Ar pagalbos yra prašoma tinkamoms finansuoti išlaidoms, kurios pagal Reglamento</w:t>
            </w:r>
            <w:r w:rsidRPr="003D331B">
              <w:rPr>
                <w:rFonts w:ascii="Times New Roman" w:eastAsia="Calibri" w:hAnsi="Times New Roman"/>
                <w:noProof/>
                <w:color w:val="000000"/>
                <w:sz w:val="24"/>
                <w:szCs w:val="24"/>
              </w:rPr>
              <w:t xml:space="preserve"> </w:t>
            </w:r>
            <w:r w:rsidRPr="003D331B">
              <w:rPr>
                <w:rFonts w:ascii="Times New Roman" w:eastAsia="Calibri" w:hAnsi="Times New Roman"/>
                <w:bCs/>
                <w:noProof/>
                <w:color w:val="000000"/>
                <w:sz w:val="24"/>
                <w:szCs w:val="24"/>
              </w:rPr>
              <w:t>55 straipsnio 8 dalį yra investicinės išlaidos į materialųjį ir nematerialųjį turtą (kaip apibrėžta</w:t>
            </w:r>
            <w:r w:rsidRPr="003D331B">
              <w:rPr>
                <w:rFonts w:ascii="Times New Roman" w:eastAsia="Calibri" w:hAnsi="Times New Roman"/>
                <w:noProof/>
                <w:color w:val="000000"/>
                <w:sz w:val="24"/>
                <w:szCs w:val="24"/>
              </w:rPr>
              <w:t xml:space="preserve"> Reglamento 2 straipsnio 29 ir 30 punktuose)</w:t>
            </w:r>
            <w:r w:rsidRPr="003D331B">
              <w:rPr>
                <w:rFonts w:ascii="Times New Roman" w:eastAsia="Calibri"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175"/>
        </w:trPr>
        <w:tc>
          <w:tcPr>
            <w:tcW w:w="846" w:type="dxa"/>
            <w:shd w:val="clear" w:color="auto" w:fill="auto"/>
          </w:tcPr>
          <w:p w:rsidR="00767CB4" w:rsidRPr="003D331B" w:rsidRDefault="00767CB4" w:rsidP="00767CB4">
            <w:pPr>
              <w:spacing w:line="240" w:lineRule="auto"/>
              <w:ind w:right="-465"/>
              <w:contextualSpacing/>
              <w:rPr>
                <w:rFonts w:ascii="Times New Roman" w:eastAsia="Calibri" w:hAnsi="Times New Roman"/>
                <w:noProof/>
                <w:sz w:val="24"/>
                <w:szCs w:val="24"/>
              </w:rPr>
            </w:pPr>
            <w:r w:rsidRPr="003D331B">
              <w:rPr>
                <w:rFonts w:ascii="Times New Roman" w:eastAsia="Calibri" w:hAnsi="Times New Roman"/>
                <w:noProof/>
                <w:sz w:val="24"/>
                <w:szCs w:val="24"/>
              </w:rPr>
              <w:t>3.2.7.</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Cs/>
                <w:noProof/>
                <w:color w:val="000000"/>
                <w:sz w:val="24"/>
                <w:szCs w:val="24"/>
              </w:rPr>
            </w:pPr>
            <w:r w:rsidRPr="003D331B">
              <w:rPr>
                <w:rFonts w:ascii="Times New Roman" w:eastAsia="Calibri" w:hAnsi="Times New Roman"/>
                <w:noProof/>
                <w:color w:val="000000"/>
                <w:sz w:val="24"/>
                <w:szCs w:val="24"/>
              </w:rPr>
              <w:t xml:space="preserve">Ar pagalbos suma neviršija tinkamų finansuoti išlaidų ir investicijos veiklos pelno skirtumo, kaip nurodyta </w:t>
            </w:r>
            <w:r w:rsidRPr="003D331B">
              <w:rPr>
                <w:rFonts w:ascii="Times New Roman" w:hAnsi="Times New Roman"/>
                <w:bCs/>
                <w:noProof/>
                <w:color w:val="000000"/>
                <w:sz w:val="24"/>
                <w:szCs w:val="24"/>
              </w:rPr>
              <w:t xml:space="preserve">Reglamento </w:t>
            </w:r>
            <w:r w:rsidRPr="003D331B">
              <w:rPr>
                <w:rFonts w:ascii="Times New Roman" w:eastAsia="Calibri" w:hAnsi="Times New Roman"/>
                <w:noProof/>
                <w:color w:val="000000"/>
                <w:sz w:val="24"/>
                <w:szCs w:val="24"/>
              </w:rPr>
              <w:t>55</w:t>
            </w:r>
            <w:r w:rsidRPr="003D331B">
              <w:rPr>
                <w:rFonts w:ascii="Times New Roman" w:hAnsi="Times New Roman"/>
                <w:bCs/>
                <w:noProof/>
                <w:color w:val="000000"/>
                <w:sz w:val="24"/>
                <w:szCs w:val="24"/>
              </w:rPr>
              <w:t xml:space="preserve"> straipsnio10 dalyje</w:t>
            </w:r>
            <w:r w:rsidRPr="003D331B">
              <w:rPr>
                <w:rFonts w:ascii="Times New Roman" w:eastAsia="Calibri" w:hAnsi="Times New Roman"/>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3.3.</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r w:rsidRPr="003D331B">
              <w:rPr>
                <w:rFonts w:ascii="Times New Roman" w:hAnsi="Times New Roman"/>
                <w:b/>
                <w:noProof/>
                <w:color w:val="000000"/>
                <w:sz w:val="24"/>
                <w:szCs w:val="24"/>
              </w:rPr>
              <w:t xml:space="preserve">Reikalavimai pagalbai </w:t>
            </w:r>
            <w:r w:rsidRPr="003D331B">
              <w:rPr>
                <w:rFonts w:ascii="Times New Roman" w:hAnsi="Times New Roman"/>
                <w:b/>
                <w:bCs/>
                <w:noProof/>
                <w:sz w:val="24"/>
                <w:szCs w:val="24"/>
              </w:rPr>
              <w:t>energetikos infrastruktūrai</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3.3.1.</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noProof/>
                <w:color w:val="000000"/>
                <w:sz w:val="24"/>
                <w:szCs w:val="24"/>
              </w:rPr>
            </w:pPr>
            <w:r w:rsidRPr="00D8780C">
              <w:rPr>
                <w:rFonts w:ascii="Times New Roman" w:eastAsia="Calibri" w:hAnsi="Times New Roman"/>
                <w:noProof/>
                <w:color w:val="000000"/>
                <w:sz w:val="24"/>
                <w:szCs w:val="24"/>
              </w:rPr>
              <w:t>Ar pagalba teikiama Lietuvos Respublikos teritorijoje esančiai energetikos infrastruktūrai?</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3.3.2.</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noProof/>
                <w:color w:val="000000"/>
                <w:sz w:val="24"/>
                <w:szCs w:val="24"/>
              </w:rPr>
            </w:pPr>
            <w:r w:rsidRPr="00D8780C">
              <w:rPr>
                <w:rFonts w:ascii="Times New Roman" w:eastAsia="Calibri" w:hAnsi="Times New Roman"/>
                <w:noProof/>
                <w:color w:val="000000"/>
                <w:sz w:val="24"/>
                <w:szCs w:val="24"/>
              </w:rPr>
              <w:t>Ar energetikos infrastruktūrai taikomos trečiųjų asmenų prieigos taisyklės pagal elektros energijos vidaus rinkos direktyvą (2003/54/EB) įgyvendinančius nacionalinius teisės aktus, kaip nurodyta Reglamento 48 straipsnio 3 dalyje?</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3.3.3.</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noProof/>
                <w:color w:val="000000"/>
                <w:sz w:val="24"/>
                <w:szCs w:val="24"/>
              </w:rPr>
            </w:pPr>
            <w:r w:rsidRPr="00D8780C">
              <w:rPr>
                <w:rFonts w:ascii="Times New Roman" w:eastAsia="Calibri" w:hAnsi="Times New Roman"/>
                <w:bCs/>
                <w:noProof/>
                <w:color w:val="000000"/>
                <w:sz w:val="24"/>
                <w:szCs w:val="24"/>
              </w:rPr>
              <w:t>Ar pagalbos yra prašoma tinkamoms finansuoti išlaidoms, kurios pagal Reglamento</w:t>
            </w:r>
            <w:r w:rsidRPr="00D8780C">
              <w:rPr>
                <w:rFonts w:ascii="Times New Roman" w:eastAsia="Calibri" w:hAnsi="Times New Roman"/>
                <w:noProof/>
                <w:color w:val="000000"/>
                <w:sz w:val="24"/>
                <w:szCs w:val="24"/>
              </w:rPr>
              <w:t xml:space="preserve"> </w:t>
            </w:r>
            <w:r w:rsidRPr="00D8780C">
              <w:rPr>
                <w:rFonts w:ascii="Times New Roman" w:eastAsia="Calibri" w:hAnsi="Times New Roman"/>
                <w:bCs/>
                <w:noProof/>
                <w:color w:val="000000"/>
                <w:sz w:val="24"/>
                <w:szCs w:val="24"/>
              </w:rPr>
              <w:t>48 straipsnio 4 dalį yra investicinės išlaidos į materialųjį ir nematerialųjį turtą (kaip apibrėžta</w:t>
            </w:r>
            <w:r w:rsidRPr="00D8780C">
              <w:rPr>
                <w:rFonts w:ascii="Times New Roman" w:eastAsia="Calibri" w:hAnsi="Times New Roman"/>
                <w:noProof/>
                <w:color w:val="000000"/>
                <w:sz w:val="24"/>
                <w:szCs w:val="24"/>
              </w:rPr>
              <w:t xml:space="preserve"> Reglamento 2 straipsnio 29 ir 30 punktuose)</w:t>
            </w:r>
            <w:r w:rsidRPr="00D8780C">
              <w:rPr>
                <w:rFonts w:ascii="Times New Roman" w:eastAsia="Calibri"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3.3.4.</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noProof/>
                <w:color w:val="000000"/>
                <w:sz w:val="24"/>
                <w:szCs w:val="24"/>
              </w:rPr>
            </w:pPr>
            <w:r w:rsidRPr="00D8780C">
              <w:rPr>
                <w:rFonts w:ascii="Times New Roman" w:eastAsia="Calibri" w:hAnsi="Times New Roman"/>
                <w:noProof/>
                <w:color w:val="000000"/>
                <w:sz w:val="24"/>
                <w:szCs w:val="24"/>
              </w:rPr>
              <w:t xml:space="preserve">Ar pagalbos suma neviršija tinkamų finansuoti išlaidų ir investicijos veiklos pelno skirtumo, kaip nurodyta </w:t>
            </w:r>
            <w:r w:rsidRPr="00D8780C">
              <w:rPr>
                <w:rFonts w:ascii="Times New Roman" w:hAnsi="Times New Roman"/>
                <w:bCs/>
                <w:noProof/>
                <w:color w:val="000000"/>
                <w:sz w:val="24"/>
                <w:szCs w:val="24"/>
              </w:rPr>
              <w:t xml:space="preserve">Reglamento </w:t>
            </w:r>
            <w:r w:rsidRPr="00D8780C">
              <w:rPr>
                <w:rFonts w:ascii="Times New Roman" w:eastAsia="Calibri" w:hAnsi="Times New Roman"/>
                <w:noProof/>
                <w:color w:val="000000"/>
                <w:sz w:val="24"/>
                <w:szCs w:val="24"/>
              </w:rPr>
              <w:t>48</w:t>
            </w:r>
            <w:r w:rsidRPr="00D8780C">
              <w:rPr>
                <w:rFonts w:ascii="Times New Roman" w:hAnsi="Times New Roman"/>
                <w:bCs/>
                <w:noProof/>
                <w:color w:val="000000"/>
                <w:sz w:val="24"/>
                <w:szCs w:val="24"/>
              </w:rPr>
              <w:t xml:space="preserve"> straipsnio</w:t>
            </w:r>
            <w:r w:rsidR="008965A5" w:rsidRPr="00D8780C">
              <w:rPr>
                <w:rFonts w:ascii="Times New Roman" w:hAnsi="Times New Roman"/>
                <w:bCs/>
                <w:noProof/>
                <w:color w:val="000000"/>
                <w:sz w:val="24"/>
                <w:szCs w:val="24"/>
              </w:rPr>
              <w:t xml:space="preserve"> </w:t>
            </w:r>
            <w:r w:rsidRPr="00D8780C">
              <w:rPr>
                <w:rFonts w:ascii="Times New Roman" w:hAnsi="Times New Roman"/>
                <w:bCs/>
                <w:noProof/>
                <w:color w:val="000000"/>
                <w:sz w:val="24"/>
                <w:szCs w:val="24"/>
              </w:rPr>
              <w:t>5 dalyje</w:t>
            </w:r>
            <w:r w:rsidRPr="00D8780C">
              <w:rPr>
                <w:rFonts w:ascii="Times New Roman" w:eastAsia="Calibri" w:hAnsi="Times New Roman"/>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3.4.</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
                <w:noProof/>
                <w:color w:val="000000"/>
                <w:sz w:val="24"/>
                <w:szCs w:val="24"/>
              </w:rPr>
            </w:pPr>
            <w:r w:rsidRPr="00D8780C">
              <w:rPr>
                <w:rFonts w:ascii="Times New Roman" w:hAnsi="Times New Roman"/>
                <w:b/>
                <w:noProof/>
                <w:color w:val="000000"/>
                <w:sz w:val="24"/>
                <w:szCs w:val="24"/>
              </w:rPr>
              <w:t xml:space="preserve">Reikalavimai pagalbai </w:t>
            </w:r>
            <w:r w:rsidRPr="00D8780C">
              <w:rPr>
                <w:rFonts w:ascii="Times New Roman" w:hAnsi="Times New Roman"/>
                <w:b/>
                <w:bCs/>
                <w:noProof/>
                <w:sz w:val="24"/>
                <w:szCs w:val="24"/>
              </w:rPr>
              <w:t>kultūros infrastruktūrai</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hAnsi="Times New Roman"/>
                <w:noProof/>
                <w:color w:val="000000"/>
                <w:sz w:val="24"/>
                <w:szCs w:val="24"/>
              </w:rPr>
            </w:pPr>
            <w:r w:rsidRPr="00D8780C">
              <w:rPr>
                <w:rFonts w:ascii="Times New Roman" w:hAnsi="Times New Roman"/>
                <w:noProof/>
                <w:color w:val="000000"/>
                <w:sz w:val="24"/>
                <w:szCs w:val="24"/>
              </w:rPr>
              <w:t>3.4.1.</w:t>
            </w:r>
          </w:p>
        </w:tc>
        <w:tc>
          <w:tcPr>
            <w:tcW w:w="6946" w:type="dxa"/>
            <w:shd w:val="clear" w:color="auto" w:fill="auto"/>
          </w:tcPr>
          <w:p w:rsidR="00767CB4" w:rsidRPr="00D8780C" w:rsidRDefault="00767CB4" w:rsidP="00767CB4">
            <w:pPr>
              <w:spacing w:line="240" w:lineRule="auto"/>
              <w:contextualSpacing/>
              <w:jc w:val="both"/>
              <w:rPr>
                <w:rFonts w:ascii="Times New Roman" w:hAnsi="Times New Roman"/>
                <w:noProof/>
                <w:color w:val="000000"/>
                <w:sz w:val="24"/>
                <w:szCs w:val="24"/>
              </w:rPr>
            </w:pPr>
            <w:r w:rsidRPr="00D8780C">
              <w:rPr>
                <w:rFonts w:ascii="Times New Roman" w:eastAsia="Calibri" w:hAnsi="Times New Roman"/>
                <w:bCs/>
                <w:noProof/>
                <w:color w:val="000000"/>
                <w:sz w:val="24"/>
                <w:szCs w:val="24"/>
              </w:rPr>
              <w:t>Ar pagalba teikiama Reglamento 53 straipsnio 2 dalies (a) punkte nurodytam tikslui?</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3.4.2.</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Cs/>
                <w:noProof/>
                <w:color w:val="000000"/>
                <w:sz w:val="24"/>
                <w:szCs w:val="24"/>
              </w:rPr>
            </w:pPr>
            <w:r w:rsidRPr="00D8780C">
              <w:rPr>
                <w:rFonts w:ascii="Times New Roman" w:eastAsia="Calibri" w:hAnsi="Times New Roman"/>
                <w:bCs/>
                <w:noProof/>
                <w:color w:val="000000"/>
                <w:sz w:val="24"/>
                <w:szCs w:val="24"/>
              </w:rPr>
              <w:t>Ar kultūros infrastruktūros panaudojimas atitinka Reglamento 53 straipsnio 4 dalies (a) punktą?</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3.4.3.</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Cs/>
                <w:noProof/>
                <w:color w:val="000000"/>
                <w:sz w:val="24"/>
                <w:szCs w:val="24"/>
              </w:rPr>
            </w:pPr>
            <w:r w:rsidRPr="00D8780C">
              <w:rPr>
                <w:rFonts w:ascii="Times New Roman" w:eastAsia="Calibri" w:hAnsi="Times New Roman"/>
                <w:bCs/>
                <w:noProof/>
                <w:color w:val="000000"/>
                <w:sz w:val="24"/>
                <w:szCs w:val="24"/>
              </w:rPr>
              <w:t>Ar pagalbos yra prašoma tinkamoms finansuoti išlaidoms, kurios pagal Reglamento</w:t>
            </w:r>
            <w:r w:rsidRPr="00D8780C">
              <w:rPr>
                <w:rFonts w:ascii="Times New Roman" w:eastAsia="Calibri" w:hAnsi="Times New Roman"/>
                <w:noProof/>
                <w:color w:val="000000"/>
                <w:sz w:val="24"/>
                <w:szCs w:val="24"/>
              </w:rPr>
              <w:t xml:space="preserve"> </w:t>
            </w:r>
            <w:r w:rsidRPr="00D8780C">
              <w:rPr>
                <w:rFonts w:ascii="Times New Roman" w:eastAsia="Calibri" w:hAnsi="Times New Roman"/>
                <w:bCs/>
                <w:noProof/>
                <w:color w:val="000000"/>
                <w:sz w:val="24"/>
                <w:szCs w:val="24"/>
              </w:rPr>
              <w:t>53 straipsnio 4 dalį yra investicinės išlaidos į materialųjį ir nematerialųjį turtą (kaip apibrėžta</w:t>
            </w:r>
            <w:r w:rsidRPr="00D8780C">
              <w:rPr>
                <w:rFonts w:ascii="Times New Roman" w:eastAsia="Calibri" w:hAnsi="Times New Roman"/>
                <w:noProof/>
                <w:color w:val="000000"/>
                <w:sz w:val="24"/>
                <w:szCs w:val="24"/>
              </w:rPr>
              <w:t xml:space="preserve"> Reglamento 2 straipsnio 29 ir 30 punktuose)</w:t>
            </w:r>
            <w:r w:rsidRPr="00D8780C">
              <w:rPr>
                <w:rFonts w:ascii="Times New Roman" w:eastAsia="Calibri"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hAnsi="Times New Roman"/>
                <w:noProof/>
                <w:color w:val="000000"/>
                <w:sz w:val="24"/>
                <w:szCs w:val="24"/>
              </w:rPr>
            </w:pPr>
            <w:r w:rsidRPr="00D8780C">
              <w:rPr>
                <w:rFonts w:ascii="Times New Roman" w:hAnsi="Times New Roman"/>
                <w:noProof/>
                <w:color w:val="000000"/>
                <w:sz w:val="24"/>
                <w:szCs w:val="24"/>
              </w:rPr>
              <w:lastRenderedPageBreak/>
              <w:t>3.4.4.</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Cs/>
                <w:noProof/>
                <w:color w:val="000000"/>
                <w:sz w:val="24"/>
                <w:szCs w:val="24"/>
              </w:rPr>
            </w:pPr>
            <w:r w:rsidRPr="00D8780C">
              <w:rPr>
                <w:rFonts w:ascii="Times New Roman" w:eastAsia="Calibri" w:hAnsi="Times New Roman"/>
                <w:noProof/>
                <w:color w:val="000000"/>
                <w:sz w:val="24"/>
                <w:szCs w:val="24"/>
              </w:rPr>
              <w:t xml:space="preserve">Ar pagalbos suma neviršija tinkamų finansuoti išlaidų ir investicijos veiklos pelno skirtumo, kaip nurodyta </w:t>
            </w:r>
            <w:r w:rsidRPr="00D8780C">
              <w:rPr>
                <w:rFonts w:ascii="Times New Roman" w:hAnsi="Times New Roman"/>
                <w:bCs/>
                <w:noProof/>
                <w:color w:val="000000"/>
                <w:sz w:val="24"/>
                <w:szCs w:val="24"/>
              </w:rPr>
              <w:t xml:space="preserve">Reglamento </w:t>
            </w:r>
            <w:r w:rsidRPr="00D8780C">
              <w:rPr>
                <w:rFonts w:ascii="Times New Roman" w:eastAsia="Calibri" w:hAnsi="Times New Roman"/>
                <w:noProof/>
                <w:color w:val="000000"/>
                <w:sz w:val="24"/>
                <w:szCs w:val="24"/>
              </w:rPr>
              <w:t>53</w:t>
            </w:r>
            <w:r w:rsidRPr="00D8780C">
              <w:rPr>
                <w:rFonts w:ascii="Times New Roman" w:hAnsi="Times New Roman"/>
                <w:bCs/>
                <w:noProof/>
                <w:color w:val="000000"/>
                <w:sz w:val="24"/>
                <w:szCs w:val="24"/>
              </w:rPr>
              <w:t xml:space="preserve"> straipsnio 6 dalyje</w:t>
            </w:r>
            <w:r w:rsidRPr="00D8780C">
              <w:rPr>
                <w:rFonts w:ascii="Times New Roman" w:eastAsia="Calibri" w:hAnsi="Times New Roman"/>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eastAsia="Calibri" w:hAnsi="Times New Roman"/>
                <w:noProof/>
                <w:sz w:val="24"/>
                <w:szCs w:val="24"/>
              </w:rPr>
              <w:t>3.5.</w:t>
            </w:r>
          </w:p>
        </w:tc>
        <w:tc>
          <w:tcPr>
            <w:tcW w:w="6946" w:type="dxa"/>
            <w:shd w:val="clear" w:color="auto" w:fill="auto"/>
          </w:tcPr>
          <w:p w:rsidR="00767CB4" w:rsidRPr="003D331B" w:rsidRDefault="00767CB4" w:rsidP="00767CB4">
            <w:pPr>
              <w:spacing w:line="240" w:lineRule="auto"/>
              <w:contextualSpacing/>
              <w:jc w:val="both"/>
              <w:rPr>
                <w:rFonts w:ascii="Times New Roman" w:eastAsia="Calibri" w:hAnsi="Times New Roman"/>
                <w:b/>
                <w:bCs/>
                <w:noProof/>
                <w:color w:val="000000"/>
                <w:sz w:val="24"/>
                <w:szCs w:val="24"/>
              </w:rPr>
            </w:pPr>
            <w:r w:rsidRPr="003D331B">
              <w:rPr>
                <w:rFonts w:ascii="Times New Roman" w:hAnsi="Times New Roman"/>
                <w:b/>
                <w:noProof/>
                <w:sz w:val="24"/>
                <w:szCs w:val="24"/>
              </w:rPr>
              <w:t>Reikalavimai pagalbai vietos infrastruktūroms</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3.5.1.</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Cs/>
                <w:noProof/>
                <w:color w:val="000000"/>
                <w:sz w:val="24"/>
                <w:szCs w:val="24"/>
              </w:rPr>
            </w:pPr>
            <w:r w:rsidRPr="00D8780C">
              <w:rPr>
                <w:rFonts w:ascii="Times New Roman" w:hAnsi="Times New Roman"/>
                <w:bCs/>
                <w:noProof/>
                <w:sz w:val="24"/>
                <w:szCs w:val="24"/>
              </w:rPr>
              <w:t>Ar teikiama pagalba atitinka Reglamento 56 straipsnio 1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3.5.2.</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Cs/>
                <w:noProof/>
                <w:color w:val="000000"/>
                <w:sz w:val="24"/>
                <w:szCs w:val="24"/>
              </w:rPr>
            </w:pPr>
            <w:r w:rsidRPr="00D8780C">
              <w:rPr>
                <w:rFonts w:ascii="Times New Roman" w:hAnsi="Times New Roman"/>
                <w:bCs/>
                <w:noProof/>
                <w:sz w:val="24"/>
                <w:szCs w:val="24"/>
              </w:rPr>
              <w:t>Ar infrastruktūros panaudojimas atitinka Reglamento 56 straipsnio 3 dalį?</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3.5.3.</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Cs/>
                <w:noProof/>
                <w:color w:val="000000"/>
                <w:sz w:val="24"/>
                <w:szCs w:val="24"/>
              </w:rPr>
            </w:pPr>
            <w:r w:rsidRPr="00D8780C">
              <w:rPr>
                <w:rFonts w:ascii="Times New Roman" w:hAnsi="Times New Roman"/>
                <w:bCs/>
                <w:noProof/>
                <w:sz w:val="24"/>
                <w:szCs w:val="24"/>
              </w:rPr>
              <w:t xml:space="preserve">Ar koncesija ar kitas patikėjimas trečiai šaliai eksploatuoti infrastruktūrą suteikiamas pagal Reglamento 56 straipsnio 4 dalį? </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3.5.4.</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Cs/>
                <w:noProof/>
                <w:color w:val="000000"/>
                <w:sz w:val="24"/>
                <w:szCs w:val="24"/>
              </w:rPr>
            </w:pPr>
            <w:r w:rsidRPr="00D8780C">
              <w:rPr>
                <w:rFonts w:ascii="Times New Roman" w:eastAsia="Calibri" w:hAnsi="Times New Roman"/>
                <w:bCs/>
                <w:noProof/>
                <w:color w:val="000000"/>
                <w:sz w:val="24"/>
                <w:szCs w:val="24"/>
              </w:rPr>
              <w:t>Ar pagalbos yra prašoma tinkamoms finansuoti išlaidoms, kurios pagal Reglamento</w:t>
            </w:r>
            <w:r w:rsidRPr="00D8780C">
              <w:rPr>
                <w:rFonts w:ascii="Times New Roman" w:eastAsia="Calibri" w:hAnsi="Times New Roman"/>
                <w:noProof/>
                <w:color w:val="000000"/>
                <w:sz w:val="24"/>
                <w:szCs w:val="24"/>
              </w:rPr>
              <w:t xml:space="preserve"> </w:t>
            </w:r>
            <w:r w:rsidRPr="00D8780C">
              <w:rPr>
                <w:rFonts w:ascii="Times New Roman" w:eastAsia="Calibri" w:hAnsi="Times New Roman"/>
                <w:bCs/>
                <w:noProof/>
                <w:color w:val="000000"/>
                <w:sz w:val="24"/>
                <w:szCs w:val="24"/>
              </w:rPr>
              <w:t>56 straipsnio 5 dalį yra investicinės išlaidos į materialųjį ir nematerialųjį turtą (kaip apibrėžta</w:t>
            </w:r>
            <w:r w:rsidRPr="00D8780C">
              <w:rPr>
                <w:rFonts w:ascii="Times New Roman" w:eastAsia="Calibri" w:hAnsi="Times New Roman"/>
                <w:noProof/>
                <w:color w:val="000000"/>
                <w:sz w:val="24"/>
                <w:szCs w:val="24"/>
              </w:rPr>
              <w:t xml:space="preserve"> Reglamento 2 straipsnio 29 ir 30 punktuose)</w:t>
            </w:r>
            <w:r w:rsidRPr="00D8780C">
              <w:rPr>
                <w:rFonts w:ascii="Times New Roman" w:eastAsia="Calibri"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3.5.5.</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Cs/>
                <w:noProof/>
                <w:color w:val="000000"/>
                <w:sz w:val="24"/>
                <w:szCs w:val="24"/>
              </w:rPr>
            </w:pPr>
            <w:r w:rsidRPr="00D8780C">
              <w:rPr>
                <w:rFonts w:ascii="Times New Roman" w:hAnsi="Times New Roman"/>
                <w:noProof/>
                <w:sz w:val="24"/>
                <w:szCs w:val="24"/>
              </w:rPr>
              <w:t xml:space="preserve">Ar pagalbos suma neviršija tinkamų finansuoti išlaidų ir investicijos veiklos pelno skirtumo, kaip nurodyta </w:t>
            </w:r>
            <w:r w:rsidRPr="00D8780C">
              <w:rPr>
                <w:rFonts w:ascii="Times New Roman" w:hAnsi="Times New Roman"/>
                <w:bCs/>
                <w:noProof/>
                <w:sz w:val="24"/>
                <w:szCs w:val="24"/>
              </w:rPr>
              <w:t xml:space="preserve">Reglamento </w:t>
            </w:r>
            <w:r w:rsidRPr="00D8780C">
              <w:rPr>
                <w:rFonts w:ascii="Times New Roman" w:hAnsi="Times New Roman"/>
                <w:noProof/>
                <w:sz w:val="24"/>
                <w:szCs w:val="24"/>
              </w:rPr>
              <w:t>56</w:t>
            </w:r>
            <w:r w:rsidRPr="00D8780C">
              <w:rPr>
                <w:rFonts w:ascii="Times New Roman" w:hAnsi="Times New Roman"/>
                <w:bCs/>
                <w:noProof/>
                <w:sz w:val="24"/>
                <w:szCs w:val="24"/>
              </w:rPr>
              <w:t xml:space="preserve"> straipsnio 6 dalyje</w:t>
            </w:r>
            <w:r w:rsidRPr="00D8780C">
              <w:rPr>
                <w:rFonts w:ascii="Times New Roman" w:hAnsi="Times New Roman"/>
                <w:noProof/>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r w:rsidR="00767CB4" w:rsidRPr="003D331B" w:rsidTr="00767CB4">
        <w:trPr>
          <w:trHeight w:val="175"/>
        </w:trPr>
        <w:tc>
          <w:tcPr>
            <w:tcW w:w="846" w:type="dxa"/>
            <w:shd w:val="clear" w:color="auto" w:fill="auto"/>
          </w:tcPr>
          <w:p w:rsidR="00767CB4" w:rsidRPr="00D8780C" w:rsidRDefault="00767CB4" w:rsidP="00767CB4">
            <w:pPr>
              <w:spacing w:line="240" w:lineRule="auto"/>
              <w:ind w:right="-465"/>
              <w:contextualSpacing/>
              <w:rPr>
                <w:rFonts w:ascii="Times New Roman" w:eastAsia="Calibri" w:hAnsi="Times New Roman"/>
                <w:noProof/>
                <w:sz w:val="24"/>
                <w:szCs w:val="24"/>
              </w:rPr>
            </w:pPr>
            <w:r w:rsidRPr="00D8780C">
              <w:rPr>
                <w:rFonts w:ascii="Times New Roman" w:hAnsi="Times New Roman"/>
                <w:noProof/>
                <w:color w:val="000000"/>
                <w:sz w:val="24"/>
                <w:szCs w:val="24"/>
              </w:rPr>
              <w:t>3.5.6.</w:t>
            </w:r>
          </w:p>
        </w:tc>
        <w:tc>
          <w:tcPr>
            <w:tcW w:w="6946" w:type="dxa"/>
            <w:shd w:val="clear" w:color="auto" w:fill="auto"/>
          </w:tcPr>
          <w:p w:rsidR="00767CB4" w:rsidRPr="00D8780C" w:rsidRDefault="00767CB4" w:rsidP="00767CB4">
            <w:pPr>
              <w:spacing w:line="240" w:lineRule="auto"/>
              <w:contextualSpacing/>
              <w:jc w:val="both"/>
              <w:rPr>
                <w:rFonts w:ascii="Times New Roman" w:eastAsia="Calibri" w:hAnsi="Times New Roman"/>
                <w:bCs/>
                <w:noProof/>
                <w:color w:val="000000"/>
                <w:sz w:val="24"/>
                <w:szCs w:val="24"/>
              </w:rPr>
            </w:pPr>
            <w:r w:rsidRPr="00D8780C">
              <w:rPr>
                <w:rFonts w:ascii="Times New Roman" w:eastAsia="Calibri" w:hAnsi="Times New Roman"/>
                <w:bCs/>
                <w:noProof/>
                <w:color w:val="000000"/>
                <w:sz w:val="24"/>
                <w:szCs w:val="24"/>
              </w:rPr>
              <w:t>Ar infrastruktūra nepriskiriama specialiai infrastruktūrai (kaip apibrėžta</w:t>
            </w:r>
            <w:r w:rsidRPr="00D8780C">
              <w:rPr>
                <w:rFonts w:ascii="Times New Roman" w:eastAsia="Calibri" w:hAnsi="Times New Roman"/>
                <w:noProof/>
                <w:color w:val="000000"/>
                <w:sz w:val="24"/>
                <w:szCs w:val="24"/>
              </w:rPr>
              <w:t xml:space="preserve"> Reglamento 2 straipsnio 33 punkte)</w:t>
            </w:r>
            <w:r w:rsidRPr="00D8780C">
              <w:rPr>
                <w:rFonts w:ascii="Times New Roman" w:eastAsia="Calibri" w:hAnsi="Times New Roman"/>
                <w:bCs/>
                <w:noProof/>
                <w:color w:val="000000"/>
                <w:sz w:val="24"/>
                <w:szCs w:val="24"/>
              </w:rPr>
              <w:t>?</w:t>
            </w:r>
          </w:p>
        </w:tc>
        <w:tc>
          <w:tcPr>
            <w:tcW w:w="70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567"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1418" w:type="dxa"/>
            <w:shd w:val="clear" w:color="auto" w:fill="auto"/>
            <w:vAlign w:val="center"/>
          </w:tcPr>
          <w:p w:rsidR="00767CB4" w:rsidRPr="003D331B" w:rsidRDefault="00767CB4" w:rsidP="00767CB4">
            <w:pPr>
              <w:spacing w:line="240" w:lineRule="auto"/>
              <w:contextualSpacing/>
              <w:jc w:val="center"/>
              <w:rPr>
                <w:rFonts w:ascii="Times New Roman" w:eastAsia="Calibri" w:hAnsi="Times New Roman"/>
                <w:b/>
                <w:noProof/>
                <w:color w:val="000000"/>
                <w:sz w:val="24"/>
                <w:szCs w:val="24"/>
              </w:rPr>
            </w:pPr>
          </w:p>
        </w:tc>
        <w:tc>
          <w:tcPr>
            <w:tcW w:w="4111" w:type="dxa"/>
            <w:shd w:val="clear" w:color="auto" w:fill="auto"/>
          </w:tcPr>
          <w:p w:rsidR="00767CB4" w:rsidRPr="003D331B" w:rsidRDefault="00767CB4" w:rsidP="00767CB4">
            <w:pPr>
              <w:spacing w:line="240" w:lineRule="auto"/>
              <w:contextualSpacing/>
              <w:jc w:val="both"/>
              <w:rPr>
                <w:rFonts w:ascii="Times New Roman" w:eastAsia="Calibri" w:hAnsi="Times New Roman"/>
                <w:b/>
                <w:noProof/>
                <w:color w:val="000000"/>
                <w:sz w:val="24"/>
                <w:szCs w:val="24"/>
              </w:rPr>
            </w:pPr>
          </w:p>
        </w:tc>
      </w:tr>
    </w:tbl>
    <w:p w:rsidR="00767CB4" w:rsidRPr="003D331B" w:rsidRDefault="00767CB4" w:rsidP="00767CB4">
      <w:pPr>
        <w:spacing w:line="240" w:lineRule="auto"/>
        <w:rPr>
          <w:rFonts w:ascii="Times New Roman" w:hAnsi="Times New Roman"/>
          <w:noProof/>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1206"/>
        <w:gridCol w:w="706"/>
        <w:gridCol w:w="565"/>
        <w:gridCol w:w="1670"/>
        <w:gridCol w:w="4177"/>
      </w:tblGrid>
      <w:tr w:rsidR="00767CB4" w:rsidRPr="003D331B" w:rsidTr="0090049D">
        <w:trPr>
          <w:trHeight w:val="672"/>
        </w:trPr>
        <w:tc>
          <w:tcPr>
            <w:tcW w:w="14601" w:type="dxa"/>
            <w:gridSpan w:val="6"/>
            <w:shd w:val="clear" w:color="auto" w:fill="BFBFBF"/>
          </w:tcPr>
          <w:p w:rsidR="00767CB4" w:rsidRPr="003D331B" w:rsidRDefault="00767CB4" w:rsidP="00767CB4">
            <w:pPr>
              <w:spacing w:line="240" w:lineRule="auto"/>
              <w:contextualSpacing/>
              <w:rPr>
                <w:rFonts w:ascii="Times New Roman" w:eastAsia="Calibri" w:hAnsi="Times New Roman"/>
                <w:noProof/>
                <w:color w:val="000000"/>
                <w:sz w:val="24"/>
                <w:szCs w:val="24"/>
              </w:rPr>
            </w:pPr>
            <w:r w:rsidRPr="003D331B">
              <w:rPr>
                <w:rFonts w:ascii="Times New Roman" w:eastAsia="Calibri" w:hAnsi="Times New Roman"/>
                <w:b/>
                <w:bCs/>
                <w:noProof/>
                <w:color w:val="000000"/>
                <w:sz w:val="24"/>
                <w:szCs w:val="24"/>
              </w:rPr>
              <w:t xml:space="preserve">4. Valstybės pagalbos atitikties Reglamentui vertinimas </w:t>
            </w:r>
          </w:p>
          <w:p w:rsidR="00767CB4" w:rsidRPr="003D331B" w:rsidRDefault="00767CB4" w:rsidP="00767CB4">
            <w:pPr>
              <w:spacing w:line="240" w:lineRule="auto"/>
              <w:contextualSpacing/>
              <w:rPr>
                <w:rFonts w:ascii="Times New Roman" w:eastAsia="Calibri" w:hAnsi="Times New Roman"/>
                <w:noProof/>
                <w:color w:val="000000"/>
                <w:sz w:val="24"/>
                <w:szCs w:val="24"/>
              </w:rPr>
            </w:pPr>
          </w:p>
        </w:tc>
      </w:tr>
      <w:tr w:rsidR="00767CB4" w:rsidRPr="003D331B" w:rsidTr="0090049D">
        <w:trPr>
          <w:trHeight w:val="340"/>
        </w:trPr>
        <w:tc>
          <w:tcPr>
            <w:tcW w:w="7483" w:type="dxa"/>
            <w:gridSpan w:val="2"/>
            <w:shd w:val="clear" w:color="auto" w:fill="auto"/>
          </w:tcPr>
          <w:p w:rsidR="00767CB4" w:rsidRPr="003D331B" w:rsidRDefault="00767CB4" w:rsidP="00767CB4">
            <w:pPr>
              <w:spacing w:line="240" w:lineRule="auto"/>
              <w:contextualSpacing/>
              <w:rPr>
                <w:rFonts w:ascii="Times New Roman" w:eastAsia="Calibri" w:hAnsi="Times New Roman"/>
                <w:noProof/>
                <w:color w:val="000000"/>
                <w:sz w:val="24"/>
                <w:szCs w:val="24"/>
              </w:rPr>
            </w:pPr>
            <w:r w:rsidRPr="003D331B">
              <w:rPr>
                <w:rFonts w:ascii="Times New Roman" w:hAnsi="Times New Roman"/>
                <w:noProof/>
                <w:color w:val="000000"/>
                <w:sz w:val="24"/>
                <w:szCs w:val="24"/>
              </w:rPr>
              <w:t xml:space="preserve">Ar teikiama / suteikta valstybės pagalba atitinka </w:t>
            </w:r>
            <w:r w:rsidRPr="003D331B">
              <w:rPr>
                <w:rFonts w:ascii="Times New Roman" w:hAnsi="Times New Roman"/>
                <w:noProof/>
                <w:sz w:val="24"/>
                <w:szCs w:val="24"/>
              </w:rPr>
              <w:t>Reglamento</w:t>
            </w:r>
            <w:r w:rsidRPr="003D331B">
              <w:rPr>
                <w:rFonts w:ascii="Times New Roman" w:hAnsi="Times New Roman"/>
                <w:noProof/>
                <w:color w:val="000000"/>
                <w:sz w:val="24"/>
                <w:szCs w:val="24"/>
              </w:rPr>
              <w:t xml:space="preserve"> nuostatas?</w:t>
            </w:r>
          </w:p>
        </w:tc>
        <w:tc>
          <w:tcPr>
            <w:tcW w:w="706" w:type="dxa"/>
            <w:shd w:val="clear" w:color="auto" w:fill="auto"/>
            <w:vAlign w:val="center"/>
          </w:tcPr>
          <w:p w:rsidR="00767CB4" w:rsidRPr="003D331B" w:rsidRDefault="00767CB4" w:rsidP="00767CB4">
            <w:pPr>
              <w:spacing w:line="240" w:lineRule="auto"/>
              <w:ind w:firstLine="50"/>
              <w:contextualSpacing/>
              <w:rPr>
                <w:rFonts w:ascii="Times New Roman" w:eastAsia="Calibri" w:hAnsi="Times New Roman"/>
                <w:noProof/>
                <w:color w:val="000000"/>
                <w:sz w:val="24"/>
                <w:szCs w:val="24"/>
              </w:rPr>
            </w:pPr>
            <w:r w:rsidRPr="003D331B">
              <w:rPr>
                <w:rFonts w:ascii="Times New Roman" w:eastAsia="Calibri" w:hAnsi="Times New Roman"/>
                <w:noProof/>
                <w:color w:val="000000"/>
                <w:sz w:val="24"/>
                <w:szCs w:val="24"/>
              </w:rPr>
              <w:t>Taip</w:t>
            </w:r>
          </w:p>
        </w:tc>
        <w:tc>
          <w:tcPr>
            <w:tcW w:w="565" w:type="dxa"/>
            <w:shd w:val="clear" w:color="auto" w:fill="auto"/>
            <w:vAlign w:val="center"/>
          </w:tcPr>
          <w:p w:rsidR="00767CB4" w:rsidRPr="003D331B" w:rsidRDefault="00767CB4" w:rsidP="00767CB4">
            <w:pPr>
              <w:spacing w:line="240" w:lineRule="auto"/>
              <w:ind w:firstLine="50"/>
              <w:contextualSpacing/>
              <w:jc w:val="center"/>
              <w:rPr>
                <w:rFonts w:ascii="Times New Roman" w:eastAsia="Calibri" w:hAnsi="Times New Roman"/>
                <w:noProof/>
                <w:color w:val="000000"/>
                <w:sz w:val="24"/>
                <w:szCs w:val="24"/>
              </w:rPr>
            </w:pPr>
            <w:r w:rsidRPr="003D331B">
              <w:rPr>
                <w:rFonts w:ascii="Times New Roman" w:eastAsia="Calibri" w:hAnsi="Times New Roman"/>
                <w:noProof/>
                <w:color w:val="000000"/>
                <w:sz w:val="24"/>
                <w:szCs w:val="24"/>
              </w:rPr>
              <w:t>Ne</w:t>
            </w:r>
          </w:p>
        </w:tc>
        <w:tc>
          <w:tcPr>
            <w:tcW w:w="5847" w:type="dxa"/>
            <w:gridSpan w:val="2"/>
            <w:shd w:val="clear" w:color="auto" w:fill="auto"/>
          </w:tcPr>
          <w:p w:rsidR="00767CB4" w:rsidRPr="003D331B" w:rsidRDefault="00767CB4" w:rsidP="00767CB4">
            <w:pPr>
              <w:spacing w:line="240" w:lineRule="auto"/>
              <w:contextualSpacing/>
              <w:jc w:val="both"/>
              <w:rPr>
                <w:rFonts w:ascii="Times New Roman" w:eastAsia="Calibri" w:hAnsi="Times New Roman"/>
                <w:noProof/>
                <w:color w:val="000000"/>
                <w:sz w:val="24"/>
                <w:szCs w:val="24"/>
              </w:rPr>
            </w:pPr>
            <w:r w:rsidRPr="003D331B">
              <w:rPr>
                <w:rFonts w:ascii="Times New Roman" w:eastAsia="Calibri" w:hAnsi="Times New Roman"/>
                <w:noProof/>
                <w:color w:val="000000"/>
                <w:sz w:val="24"/>
                <w:szCs w:val="24"/>
              </w:rPr>
              <w:t>Pastabos:</w:t>
            </w:r>
          </w:p>
        </w:tc>
      </w:tr>
      <w:tr w:rsidR="00767CB4" w:rsidRPr="003D331B" w:rsidTr="0090049D">
        <w:tblPrEx>
          <w:tblLook w:val="0000" w:firstRow="0" w:lastRow="0" w:firstColumn="0" w:lastColumn="0" w:noHBand="0" w:noVBand="0"/>
        </w:tblPrEx>
        <w:trPr>
          <w:trHeight w:val="110"/>
        </w:trPr>
        <w:tc>
          <w:tcPr>
            <w:tcW w:w="6277" w:type="dxa"/>
            <w:tcBorders>
              <w:top w:val="nil"/>
              <w:left w:val="nil"/>
              <w:bottom w:val="nil"/>
              <w:right w:val="nil"/>
            </w:tcBorders>
          </w:tcPr>
          <w:p w:rsidR="00767CB4" w:rsidRPr="003D331B" w:rsidRDefault="00767CB4" w:rsidP="00767CB4">
            <w:pPr>
              <w:spacing w:line="240" w:lineRule="auto"/>
              <w:rPr>
                <w:rFonts w:ascii="Times New Roman" w:hAnsi="Times New Roman"/>
                <w:noProof/>
                <w:sz w:val="24"/>
                <w:szCs w:val="24"/>
              </w:rPr>
            </w:pPr>
          </w:p>
          <w:p w:rsidR="00767CB4" w:rsidRPr="003D331B" w:rsidRDefault="00767CB4" w:rsidP="00767CB4">
            <w:pPr>
              <w:spacing w:line="240" w:lineRule="auto"/>
              <w:contextualSpacing/>
              <w:rPr>
                <w:rFonts w:ascii="Times New Roman" w:eastAsia="Calibri" w:hAnsi="Times New Roman"/>
                <w:i/>
                <w:iCs/>
                <w:noProof/>
                <w:color w:val="000000"/>
                <w:sz w:val="24"/>
                <w:szCs w:val="24"/>
              </w:rPr>
            </w:pPr>
            <w:r w:rsidRPr="003D331B">
              <w:rPr>
                <w:rFonts w:ascii="Times New Roman" w:eastAsia="Calibri" w:hAnsi="Times New Roman"/>
                <w:i/>
                <w:iCs/>
                <w:noProof/>
                <w:color w:val="000000"/>
                <w:sz w:val="24"/>
                <w:szCs w:val="24"/>
              </w:rPr>
              <w:t>_____________________________________</w:t>
            </w:r>
          </w:p>
          <w:p w:rsidR="00767CB4" w:rsidRPr="003D331B" w:rsidRDefault="00767CB4" w:rsidP="00767CB4">
            <w:pPr>
              <w:spacing w:line="240" w:lineRule="auto"/>
              <w:contextualSpacing/>
              <w:rPr>
                <w:rFonts w:ascii="Times New Roman" w:eastAsia="Calibri" w:hAnsi="Times New Roman"/>
                <w:i/>
                <w:iCs/>
                <w:noProof/>
                <w:color w:val="000000"/>
                <w:sz w:val="24"/>
                <w:szCs w:val="24"/>
              </w:rPr>
            </w:pPr>
            <w:r w:rsidRPr="003D331B">
              <w:rPr>
                <w:rFonts w:ascii="Times New Roman" w:eastAsia="Calibri" w:hAnsi="Times New Roman"/>
                <w:i/>
                <w:iCs/>
                <w:noProof/>
                <w:color w:val="000000"/>
                <w:sz w:val="24"/>
                <w:szCs w:val="24"/>
              </w:rPr>
              <w:t>(patikrą atlikusios institucijos atsakingo asmens pareigų pavadinimas)</w:t>
            </w:r>
          </w:p>
          <w:p w:rsidR="00F32C0A" w:rsidRPr="003D331B" w:rsidRDefault="00F32C0A" w:rsidP="00767CB4">
            <w:pPr>
              <w:spacing w:line="240" w:lineRule="auto"/>
              <w:contextualSpacing/>
              <w:rPr>
                <w:rFonts w:ascii="Times New Roman" w:eastAsia="Calibri" w:hAnsi="Times New Roman"/>
                <w:i/>
                <w:iCs/>
                <w:noProof/>
                <w:color w:val="000000"/>
                <w:sz w:val="24"/>
                <w:szCs w:val="24"/>
              </w:rPr>
            </w:pPr>
          </w:p>
          <w:p w:rsidR="00F32C0A" w:rsidRPr="003D331B" w:rsidRDefault="00F32C0A" w:rsidP="00767CB4">
            <w:pPr>
              <w:spacing w:line="240" w:lineRule="auto"/>
              <w:contextualSpacing/>
              <w:rPr>
                <w:rFonts w:ascii="Times New Roman" w:eastAsia="Calibri" w:hAnsi="Times New Roman"/>
                <w:noProof/>
                <w:color w:val="000000"/>
                <w:sz w:val="24"/>
                <w:szCs w:val="24"/>
              </w:rPr>
            </w:pPr>
            <w:r w:rsidRPr="003D331B">
              <w:rPr>
                <w:rFonts w:ascii="Times New Roman" w:eastAsia="Calibri" w:hAnsi="Times New Roman"/>
                <w:bCs/>
                <w:noProof/>
                <w:sz w:val="20"/>
              </w:rPr>
              <w:t>* Jei pildoma popierinė versija</w:t>
            </w:r>
          </w:p>
        </w:tc>
        <w:tc>
          <w:tcPr>
            <w:tcW w:w="4147" w:type="dxa"/>
            <w:gridSpan w:val="4"/>
            <w:tcBorders>
              <w:top w:val="nil"/>
              <w:left w:val="nil"/>
              <w:bottom w:val="nil"/>
              <w:right w:val="nil"/>
            </w:tcBorders>
          </w:tcPr>
          <w:p w:rsidR="00767CB4" w:rsidRPr="003D331B" w:rsidRDefault="00767CB4" w:rsidP="00767CB4">
            <w:pPr>
              <w:spacing w:line="240" w:lineRule="auto"/>
              <w:rPr>
                <w:rFonts w:ascii="Times New Roman" w:hAnsi="Times New Roman"/>
                <w:noProof/>
                <w:sz w:val="24"/>
                <w:szCs w:val="24"/>
              </w:rPr>
            </w:pPr>
          </w:p>
          <w:p w:rsidR="00767CB4" w:rsidRPr="003D331B" w:rsidRDefault="00767CB4" w:rsidP="00767CB4">
            <w:pPr>
              <w:spacing w:line="240" w:lineRule="auto"/>
              <w:contextualSpacing/>
              <w:rPr>
                <w:rFonts w:ascii="Times New Roman" w:eastAsia="Calibri" w:hAnsi="Times New Roman"/>
                <w:noProof/>
                <w:color w:val="000000"/>
                <w:sz w:val="24"/>
                <w:szCs w:val="24"/>
              </w:rPr>
            </w:pPr>
            <w:r w:rsidRPr="003D331B">
              <w:rPr>
                <w:rFonts w:ascii="Times New Roman" w:eastAsia="Calibri" w:hAnsi="Times New Roman"/>
                <w:i/>
                <w:iCs/>
                <w:noProof/>
                <w:color w:val="000000"/>
                <w:sz w:val="24"/>
                <w:szCs w:val="24"/>
              </w:rPr>
              <w:t xml:space="preserve">____________ </w:t>
            </w:r>
          </w:p>
          <w:p w:rsidR="00767CB4" w:rsidRPr="003D331B" w:rsidRDefault="00F32C0A" w:rsidP="00767CB4">
            <w:pPr>
              <w:spacing w:line="240" w:lineRule="auto"/>
              <w:contextualSpacing/>
              <w:rPr>
                <w:rFonts w:ascii="Times New Roman" w:eastAsia="Calibri" w:hAnsi="Times New Roman"/>
                <w:noProof/>
                <w:color w:val="000000"/>
                <w:sz w:val="24"/>
                <w:szCs w:val="24"/>
              </w:rPr>
            </w:pPr>
            <w:r w:rsidRPr="003D331B">
              <w:rPr>
                <w:rFonts w:ascii="Times New Roman" w:eastAsia="Calibri" w:hAnsi="Times New Roman"/>
                <w:i/>
                <w:iCs/>
                <w:noProof/>
                <w:color w:val="000000"/>
                <w:sz w:val="24"/>
                <w:szCs w:val="24"/>
              </w:rPr>
              <w:t xml:space="preserve">      </w:t>
            </w:r>
            <w:r w:rsidR="00767CB4" w:rsidRPr="003D331B">
              <w:rPr>
                <w:rFonts w:ascii="Times New Roman" w:eastAsia="Calibri" w:hAnsi="Times New Roman"/>
                <w:i/>
                <w:iCs/>
                <w:noProof/>
                <w:color w:val="000000"/>
                <w:sz w:val="24"/>
                <w:szCs w:val="24"/>
              </w:rPr>
              <w:t>(</w:t>
            </w:r>
            <w:r w:rsidR="00767CB4" w:rsidRPr="003D331B">
              <w:rPr>
                <w:rFonts w:ascii="Times New Roman" w:eastAsia="Calibri" w:hAnsi="Times New Roman"/>
                <w:i/>
                <w:noProof/>
                <w:color w:val="000000"/>
                <w:sz w:val="24"/>
                <w:szCs w:val="24"/>
              </w:rPr>
              <w:t>data</w:t>
            </w:r>
            <w:r w:rsidR="00767CB4" w:rsidRPr="003D331B">
              <w:rPr>
                <w:rFonts w:ascii="Times New Roman" w:eastAsia="Calibri" w:hAnsi="Times New Roman"/>
                <w:i/>
                <w:iCs/>
                <w:noProof/>
                <w:color w:val="000000"/>
                <w:sz w:val="24"/>
                <w:szCs w:val="24"/>
              </w:rPr>
              <w:t xml:space="preserve">) </w:t>
            </w:r>
          </w:p>
        </w:tc>
        <w:tc>
          <w:tcPr>
            <w:tcW w:w="4177" w:type="dxa"/>
            <w:tcBorders>
              <w:top w:val="nil"/>
              <w:left w:val="nil"/>
              <w:bottom w:val="nil"/>
              <w:right w:val="nil"/>
            </w:tcBorders>
          </w:tcPr>
          <w:p w:rsidR="00767CB4" w:rsidRPr="003D331B" w:rsidRDefault="00767CB4" w:rsidP="00767CB4">
            <w:pPr>
              <w:spacing w:line="240" w:lineRule="auto"/>
              <w:contextualSpacing/>
              <w:rPr>
                <w:rFonts w:ascii="Times New Roman" w:eastAsia="Calibri" w:hAnsi="Times New Roman"/>
                <w:i/>
                <w:iCs/>
                <w:noProof/>
                <w:color w:val="000000"/>
                <w:sz w:val="24"/>
                <w:szCs w:val="24"/>
              </w:rPr>
            </w:pPr>
          </w:p>
          <w:p w:rsidR="00F32C0A" w:rsidRPr="003D331B" w:rsidRDefault="00F32C0A" w:rsidP="00767CB4">
            <w:pPr>
              <w:spacing w:line="240" w:lineRule="auto"/>
              <w:contextualSpacing/>
              <w:rPr>
                <w:rFonts w:ascii="Times New Roman" w:eastAsia="Calibri" w:hAnsi="Times New Roman"/>
                <w:i/>
                <w:iCs/>
                <w:noProof/>
                <w:color w:val="000000"/>
                <w:sz w:val="24"/>
                <w:szCs w:val="24"/>
              </w:rPr>
            </w:pPr>
          </w:p>
          <w:p w:rsidR="00767CB4" w:rsidRPr="003D331B" w:rsidRDefault="00767CB4" w:rsidP="00767CB4">
            <w:pPr>
              <w:spacing w:line="240" w:lineRule="auto"/>
              <w:contextualSpacing/>
              <w:rPr>
                <w:rFonts w:ascii="Times New Roman" w:eastAsia="Calibri" w:hAnsi="Times New Roman"/>
                <w:noProof/>
                <w:color w:val="000000"/>
                <w:sz w:val="24"/>
                <w:szCs w:val="24"/>
              </w:rPr>
            </w:pPr>
            <w:r w:rsidRPr="003D331B">
              <w:rPr>
                <w:rFonts w:ascii="Times New Roman" w:eastAsia="Calibri" w:hAnsi="Times New Roman"/>
                <w:i/>
                <w:iCs/>
                <w:noProof/>
                <w:color w:val="000000"/>
                <w:sz w:val="24"/>
                <w:szCs w:val="24"/>
              </w:rPr>
              <w:t xml:space="preserve">_________________________ </w:t>
            </w:r>
          </w:p>
          <w:p w:rsidR="00767CB4" w:rsidRPr="003D331B" w:rsidRDefault="00767CB4" w:rsidP="00767CB4">
            <w:pPr>
              <w:spacing w:line="240" w:lineRule="auto"/>
              <w:contextualSpacing/>
              <w:rPr>
                <w:rFonts w:ascii="Times New Roman" w:eastAsia="Calibri" w:hAnsi="Times New Roman"/>
                <w:i/>
                <w:noProof/>
                <w:color w:val="000000"/>
                <w:sz w:val="24"/>
                <w:szCs w:val="24"/>
              </w:rPr>
            </w:pPr>
            <w:r w:rsidRPr="003D331B">
              <w:rPr>
                <w:rFonts w:ascii="Times New Roman" w:eastAsia="Calibri" w:hAnsi="Times New Roman"/>
                <w:i/>
                <w:noProof/>
                <w:color w:val="000000"/>
                <w:sz w:val="24"/>
                <w:szCs w:val="24"/>
              </w:rPr>
              <w:t xml:space="preserve">(vardas ir pavardė, </w:t>
            </w:r>
            <w:r w:rsidRPr="003D331B">
              <w:rPr>
                <w:rFonts w:ascii="Times New Roman" w:eastAsia="Calibri" w:hAnsi="Times New Roman"/>
                <w:i/>
                <w:iCs/>
                <w:noProof/>
                <w:color w:val="000000"/>
                <w:sz w:val="24"/>
                <w:szCs w:val="24"/>
              </w:rPr>
              <w:t>parašas*</w:t>
            </w:r>
            <w:r w:rsidRPr="003D331B">
              <w:rPr>
                <w:rFonts w:ascii="Times New Roman" w:eastAsia="Calibri" w:hAnsi="Times New Roman"/>
                <w:i/>
                <w:noProof/>
                <w:color w:val="000000"/>
                <w:sz w:val="24"/>
                <w:szCs w:val="24"/>
              </w:rPr>
              <w:t xml:space="preserve">) </w:t>
            </w:r>
          </w:p>
        </w:tc>
      </w:tr>
    </w:tbl>
    <w:p w:rsidR="00DB4BC0" w:rsidRPr="003D331B" w:rsidRDefault="00DB4BC0" w:rsidP="008B2A80">
      <w:pPr>
        <w:suppressAutoHyphens/>
        <w:spacing w:after="0" w:line="240" w:lineRule="auto"/>
        <w:jc w:val="both"/>
        <w:textAlignment w:val="center"/>
        <w:rPr>
          <w:rFonts w:ascii="Times New Roman" w:hAnsi="Times New Roman"/>
          <w:noProof/>
          <w:color w:val="000000"/>
          <w:sz w:val="24"/>
          <w:szCs w:val="24"/>
          <w:lang w:eastAsia="en-US"/>
        </w:rPr>
      </w:pPr>
    </w:p>
    <w:sectPr w:rsidR="00DB4BC0" w:rsidRPr="003D331B" w:rsidSect="00DB4BC0">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A2C" w:rsidRDefault="00204A2C" w:rsidP="00E736C5">
      <w:pPr>
        <w:spacing w:after="0" w:line="240" w:lineRule="auto"/>
      </w:pPr>
      <w:r>
        <w:separator/>
      </w:r>
    </w:p>
  </w:endnote>
  <w:endnote w:type="continuationSeparator" w:id="0">
    <w:p w:rsidR="00204A2C" w:rsidRDefault="00204A2C" w:rsidP="00E7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C0" w:rsidRDefault="00DB4BC0">
    <w:pPr>
      <w:pStyle w:val="Porat"/>
      <w:jc w:val="center"/>
    </w:pPr>
  </w:p>
  <w:p w:rsidR="00E736C5" w:rsidRDefault="00E342E4" w:rsidP="006D192F">
    <w:pPr>
      <w:pStyle w:val="Porat"/>
      <w:tabs>
        <w:tab w:val="clear" w:pos="4819"/>
        <w:tab w:val="clear" w:pos="9638"/>
        <w:tab w:val="left" w:pos="68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C0" w:rsidRDefault="00DB4BC0">
    <w:pPr>
      <w:pStyle w:val="Porat"/>
      <w:jc w:val="center"/>
    </w:pPr>
  </w:p>
  <w:p w:rsidR="00DB4BC0" w:rsidRDefault="00DB4B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A2C" w:rsidRDefault="00204A2C" w:rsidP="00E736C5">
      <w:pPr>
        <w:spacing w:after="0" w:line="240" w:lineRule="auto"/>
      </w:pPr>
      <w:r>
        <w:separator/>
      </w:r>
    </w:p>
  </w:footnote>
  <w:footnote w:type="continuationSeparator" w:id="0">
    <w:p w:rsidR="00204A2C" w:rsidRDefault="00204A2C" w:rsidP="00E7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656592"/>
      <w:docPartObj>
        <w:docPartGallery w:val="Page Numbers (Top of Page)"/>
        <w:docPartUnique/>
      </w:docPartObj>
    </w:sdtPr>
    <w:sdtEndPr/>
    <w:sdtContent>
      <w:p w:rsidR="00E342E4" w:rsidRDefault="00E342E4">
        <w:pPr>
          <w:pStyle w:val="Antrats"/>
          <w:jc w:val="center"/>
        </w:pPr>
        <w:r>
          <w:fldChar w:fldCharType="begin"/>
        </w:r>
        <w:r>
          <w:instrText>PAGE   \* MERGEFORMAT</w:instrText>
        </w:r>
        <w:r>
          <w:fldChar w:fldCharType="separate"/>
        </w:r>
        <w:r w:rsidR="00D12AC2">
          <w:rPr>
            <w:noProof/>
          </w:rPr>
          <w:t>8</w:t>
        </w:r>
        <w:r>
          <w:fldChar w:fldCharType="end"/>
        </w:r>
      </w:p>
    </w:sdtContent>
  </w:sdt>
  <w:p w:rsidR="00E342E4" w:rsidRDefault="00E342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2E4" w:rsidRDefault="00E342E4">
    <w:pPr>
      <w:pStyle w:val="Antrats"/>
      <w:jc w:val="center"/>
    </w:pPr>
  </w:p>
  <w:p w:rsidR="00E342E4" w:rsidRDefault="00E342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433A7"/>
    <w:multiLevelType w:val="hybridMultilevel"/>
    <w:tmpl w:val="85D00E96"/>
    <w:lvl w:ilvl="0" w:tplc="340644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5F"/>
    <w:rsid w:val="00012A41"/>
    <w:rsid w:val="00040D6F"/>
    <w:rsid w:val="00043AFF"/>
    <w:rsid w:val="00096327"/>
    <w:rsid w:val="000C63AA"/>
    <w:rsid w:val="000F2811"/>
    <w:rsid w:val="001061BA"/>
    <w:rsid w:val="001848E4"/>
    <w:rsid w:val="001E6B67"/>
    <w:rsid w:val="00204A2C"/>
    <w:rsid w:val="002170A4"/>
    <w:rsid w:val="00265853"/>
    <w:rsid w:val="002A5161"/>
    <w:rsid w:val="0035461D"/>
    <w:rsid w:val="003D331B"/>
    <w:rsid w:val="003F5367"/>
    <w:rsid w:val="00410B66"/>
    <w:rsid w:val="004352C2"/>
    <w:rsid w:val="00473612"/>
    <w:rsid w:val="004D1546"/>
    <w:rsid w:val="005B50BF"/>
    <w:rsid w:val="005C435F"/>
    <w:rsid w:val="005E2677"/>
    <w:rsid w:val="00657227"/>
    <w:rsid w:val="006B424E"/>
    <w:rsid w:val="006D192F"/>
    <w:rsid w:val="00767CB4"/>
    <w:rsid w:val="007A3C18"/>
    <w:rsid w:val="008965A5"/>
    <w:rsid w:val="008B2A80"/>
    <w:rsid w:val="008D18F9"/>
    <w:rsid w:val="0090049D"/>
    <w:rsid w:val="00992AA1"/>
    <w:rsid w:val="00A36F79"/>
    <w:rsid w:val="00A937D3"/>
    <w:rsid w:val="00C350EF"/>
    <w:rsid w:val="00C9781D"/>
    <w:rsid w:val="00CC0D69"/>
    <w:rsid w:val="00CE2066"/>
    <w:rsid w:val="00D00E87"/>
    <w:rsid w:val="00D12AC2"/>
    <w:rsid w:val="00D72E4A"/>
    <w:rsid w:val="00D8780C"/>
    <w:rsid w:val="00DB4BC0"/>
    <w:rsid w:val="00DD1432"/>
    <w:rsid w:val="00E342E4"/>
    <w:rsid w:val="00E72A85"/>
    <w:rsid w:val="00E736C5"/>
    <w:rsid w:val="00F32C0A"/>
    <w:rsid w:val="00FE1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0161"/>
  <w15:chartTrackingRefBased/>
  <w15:docId w15:val="{3E13BEE5-0C11-4CE7-809C-2EEC0D4D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5C435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435F"/>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C435F"/>
    <w:rPr>
      <w:rFonts w:ascii="Calibri" w:eastAsia="Times New Roman" w:hAnsi="Calibri" w:cs="Times New Roman"/>
      <w:lang w:eastAsia="lt-LT"/>
    </w:rPr>
  </w:style>
  <w:style w:type="paragraph" w:styleId="Antrat">
    <w:name w:val="caption"/>
    <w:basedOn w:val="prastasis"/>
    <w:next w:val="prastasis"/>
    <w:qFormat/>
    <w:rsid w:val="005C435F"/>
    <w:pPr>
      <w:spacing w:after="0" w:line="240" w:lineRule="auto"/>
      <w:jc w:val="center"/>
    </w:pPr>
    <w:rPr>
      <w:rFonts w:ascii="Times New Roman" w:hAnsi="Times New Roman"/>
      <w:b/>
      <w:sz w:val="28"/>
      <w:szCs w:val="20"/>
      <w:lang w:eastAsia="en-US"/>
    </w:rPr>
  </w:style>
  <w:style w:type="character" w:customStyle="1" w:styleId="AntratsDiagrama2">
    <w:name w:val="Antraštės Diagrama2"/>
    <w:aliases w:val=" Char Diagrama1"/>
    <w:link w:val="Antrats"/>
    <w:uiPriority w:val="99"/>
    <w:rsid w:val="005C435F"/>
    <w:rPr>
      <w:rFonts w:ascii="Times New Roman" w:eastAsia="Times New Roman" w:hAnsi="Times New Roman" w:cs="Times New Roman"/>
      <w:sz w:val="24"/>
      <w:szCs w:val="24"/>
      <w:lang w:eastAsia="lt-LT"/>
    </w:rPr>
  </w:style>
  <w:style w:type="character" w:customStyle="1" w:styleId="AntratsDiagrama1">
    <w:name w:val="Antraštės Diagrama1"/>
    <w:aliases w:val=" Char Diagrama"/>
    <w:uiPriority w:val="99"/>
    <w:rsid w:val="00410B6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0F2811"/>
    <w:rPr>
      <w:sz w:val="16"/>
      <w:szCs w:val="16"/>
    </w:rPr>
  </w:style>
  <w:style w:type="paragraph" w:styleId="Komentarotekstas">
    <w:name w:val="annotation text"/>
    <w:basedOn w:val="prastasis"/>
    <w:link w:val="KomentarotekstasDiagrama"/>
    <w:uiPriority w:val="99"/>
    <w:unhideWhenUsed/>
    <w:rsid w:val="000F2811"/>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rsid w:val="000F281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F28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2811"/>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E736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36C5"/>
    <w:rPr>
      <w:rFonts w:ascii="Calibri" w:eastAsia="Times New Roman" w:hAnsi="Calibri" w:cs="Times New Roman"/>
      <w:lang w:eastAsia="lt-LT"/>
    </w:rPr>
  </w:style>
  <w:style w:type="character" w:styleId="Hipersaitas">
    <w:name w:val="Hyperlink"/>
    <w:basedOn w:val="Numatytasispastraiposriftas"/>
    <w:uiPriority w:val="99"/>
    <w:unhideWhenUsed/>
    <w:rsid w:val="00E736C5"/>
    <w:rPr>
      <w:color w:val="0563C1" w:themeColor="hyperlink"/>
      <w:u w:val="single"/>
    </w:rPr>
  </w:style>
  <w:style w:type="paragraph" w:customStyle="1" w:styleId="Hipersaitas1">
    <w:name w:val="Hipersaitas1"/>
    <w:basedOn w:val="prastasis"/>
    <w:rsid w:val="00C350EF"/>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7320">
      <w:bodyDiv w:val="1"/>
      <w:marLeft w:val="0"/>
      <w:marRight w:val="0"/>
      <w:marTop w:val="0"/>
      <w:marBottom w:val="0"/>
      <w:divBdr>
        <w:top w:val="none" w:sz="0" w:space="0" w:color="auto"/>
        <w:left w:val="none" w:sz="0" w:space="0" w:color="auto"/>
        <w:bottom w:val="none" w:sz="0" w:space="0" w:color="auto"/>
        <w:right w:val="none" w:sz="0" w:space="0" w:color="auto"/>
      </w:divBdr>
      <w:divsChild>
        <w:div w:id="448015877">
          <w:marLeft w:val="0"/>
          <w:marRight w:val="0"/>
          <w:marTop w:val="0"/>
          <w:marBottom w:val="0"/>
          <w:divBdr>
            <w:top w:val="none" w:sz="0" w:space="0" w:color="auto"/>
            <w:left w:val="none" w:sz="0" w:space="0" w:color="auto"/>
            <w:bottom w:val="none" w:sz="0" w:space="0" w:color="auto"/>
            <w:right w:val="none" w:sz="0" w:space="0" w:color="auto"/>
          </w:divBdr>
          <w:divsChild>
            <w:div w:id="1958415695">
              <w:marLeft w:val="0"/>
              <w:marRight w:val="0"/>
              <w:marTop w:val="0"/>
              <w:marBottom w:val="0"/>
              <w:divBdr>
                <w:top w:val="none" w:sz="0" w:space="0" w:color="auto"/>
                <w:left w:val="none" w:sz="0" w:space="0" w:color="auto"/>
                <w:bottom w:val="none" w:sz="0" w:space="0" w:color="auto"/>
                <w:right w:val="none" w:sz="0" w:space="0" w:color="auto"/>
              </w:divBdr>
              <w:divsChild>
                <w:div w:id="1453816560">
                  <w:marLeft w:val="0"/>
                  <w:marRight w:val="0"/>
                  <w:marTop w:val="0"/>
                  <w:marBottom w:val="0"/>
                  <w:divBdr>
                    <w:top w:val="none" w:sz="0" w:space="0" w:color="auto"/>
                    <w:left w:val="none" w:sz="0" w:space="0" w:color="auto"/>
                    <w:bottom w:val="none" w:sz="0" w:space="0" w:color="auto"/>
                    <w:right w:val="none" w:sz="0" w:space="0" w:color="auto"/>
                  </w:divBdr>
                  <w:divsChild>
                    <w:div w:id="1756244712">
                      <w:marLeft w:val="0"/>
                      <w:marRight w:val="0"/>
                      <w:marTop w:val="0"/>
                      <w:marBottom w:val="0"/>
                      <w:divBdr>
                        <w:top w:val="none" w:sz="0" w:space="0" w:color="auto"/>
                        <w:left w:val="none" w:sz="0" w:space="0" w:color="auto"/>
                        <w:bottom w:val="none" w:sz="0" w:space="0" w:color="auto"/>
                        <w:right w:val="none" w:sz="0" w:space="0" w:color="auto"/>
                      </w:divBdr>
                    </w:div>
                    <w:div w:id="451368855">
                      <w:marLeft w:val="0"/>
                      <w:marRight w:val="0"/>
                      <w:marTop w:val="0"/>
                      <w:marBottom w:val="0"/>
                      <w:divBdr>
                        <w:top w:val="none" w:sz="0" w:space="0" w:color="auto"/>
                        <w:left w:val="none" w:sz="0" w:space="0" w:color="auto"/>
                        <w:bottom w:val="none" w:sz="0" w:space="0" w:color="auto"/>
                        <w:right w:val="none" w:sz="0" w:space="0" w:color="auto"/>
                      </w:divBdr>
                    </w:div>
                    <w:div w:id="12769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80701">
      <w:bodyDiv w:val="1"/>
      <w:marLeft w:val="0"/>
      <w:marRight w:val="0"/>
      <w:marTop w:val="0"/>
      <w:marBottom w:val="0"/>
      <w:divBdr>
        <w:top w:val="none" w:sz="0" w:space="0" w:color="auto"/>
        <w:left w:val="none" w:sz="0" w:space="0" w:color="auto"/>
        <w:bottom w:val="none" w:sz="0" w:space="0" w:color="auto"/>
        <w:right w:val="none" w:sz="0" w:space="0" w:color="auto"/>
      </w:divBdr>
      <w:divsChild>
        <w:div w:id="176847351">
          <w:marLeft w:val="0"/>
          <w:marRight w:val="0"/>
          <w:marTop w:val="0"/>
          <w:marBottom w:val="0"/>
          <w:divBdr>
            <w:top w:val="none" w:sz="0" w:space="0" w:color="auto"/>
            <w:left w:val="none" w:sz="0" w:space="0" w:color="auto"/>
            <w:bottom w:val="none" w:sz="0" w:space="0" w:color="auto"/>
            <w:right w:val="none" w:sz="0" w:space="0" w:color="auto"/>
          </w:divBdr>
          <w:divsChild>
            <w:div w:id="1844515294">
              <w:marLeft w:val="0"/>
              <w:marRight w:val="0"/>
              <w:marTop w:val="0"/>
              <w:marBottom w:val="0"/>
              <w:divBdr>
                <w:top w:val="none" w:sz="0" w:space="0" w:color="auto"/>
                <w:left w:val="none" w:sz="0" w:space="0" w:color="auto"/>
                <w:bottom w:val="none" w:sz="0" w:space="0" w:color="auto"/>
                <w:right w:val="none" w:sz="0" w:space="0" w:color="auto"/>
              </w:divBdr>
              <w:divsChild>
                <w:div w:id="1699043547">
                  <w:marLeft w:val="0"/>
                  <w:marRight w:val="0"/>
                  <w:marTop w:val="0"/>
                  <w:marBottom w:val="0"/>
                  <w:divBdr>
                    <w:top w:val="none" w:sz="0" w:space="0" w:color="auto"/>
                    <w:left w:val="none" w:sz="0" w:space="0" w:color="auto"/>
                    <w:bottom w:val="none" w:sz="0" w:space="0" w:color="auto"/>
                    <w:right w:val="none" w:sz="0" w:space="0" w:color="auto"/>
                  </w:divBdr>
                  <w:divsChild>
                    <w:div w:id="1944220524">
                      <w:marLeft w:val="0"/>
                      <w:marRight w:val="0"/>
                      <w:marTop w:val="0"/>
                      <w:marBottom w:val="0"/>
                      <w:divBdr>
                        <w:top w:val="none" w:sz="0" w:space="0" w:color="auto"/>
                        <w:left w:val="none" w:sz="0" w:space="0" w:color="auto"/>
                        <w:bottom w:val="none" w:sz="0" w:space="0" w:color="auto"/>
                        <w:right w:val="none" w:sz="0" w:space="0" w:color="auto"/>
                      </w:divBdr>
                    </w:div>
                    <w:div w:id="274142451">
                      <w:marLeft w:val="0"/>
                      <w:marRight w:val="0"/>
                      <w:marTop w:val="0"/>
                      <w:marBottom w:val="0"/>
                      <w:divBdr>
                        <w:top w:val="none" w:sz="0" w:space="0" w:color="auto"/>
                        <w:left w:val="none" w:sz="0" w:space="0" w:color="auto"/>
                        <w:bottom w:val="none" w:sz="0" w:space="0" w:color="auto"/>
                        <w:right w:val="none" w:sz="0" w:space="0" w:color="auto"/>
                      </w:divBdr>
                    </w:div>
                    <w:div w:id="1134441774">
                      <w:marLeft w:val="0"/>
                      <w:marRight w:val="0"/>
                      <w:marTop w:val="0"/>
                      <w:marBottom w:val="0"/>
                      <w:divBdr>
                        <w:top w:val="none" w:sz="0" w:space="0" w:color="auto"/>
                        <w:left w:val="none" w:sz="0" w:space="0" w:color="auto"/>
                        <w:bottom w:val="none" w:sz="0" w:space="0" w:color="auto"/>
                        <w:right w:val="none" w:sz="0" w:space="0" w:color="auto"/>
                      </w:divBdr>
                    </w:div>
                    <w:div w:id="1192914099">
                      <w:marLeft w:val="0"/>
                      <w:marRight w:val="0"/>
                      <w:marTop w:val="0"/>
                      <w:marBottom w:val="0"/>
                      <w:divBdr>
                        <w:top w:val="none" w:sz="0" w:space="0" w:color="auto"/>
                        <w:left w:val="none" w:sz="0" w:space="0" w:color="auto"/>
                        <w:bottom w:val="none" w:sz="0" w:space="0" w:color="auto"/>
                        <w:right w:val="none" w:sz="0" w:space="0" w:color="auto"/>
                      </w:divBdr>
                    </w:div>
                    <w:div w:id="1158695180">
                      <w:marLeft w:val="0"/>
                      <w:marRight w:val="0"/>
                      <w:marTop w:val="0"/>
                      <w:marBottom w:val="0"/>
                      <w:divBdr>
                        <w:top w:val="none" w:sz="0" w:space="0" w:color="auto"/>
                        <w:left w:val="none" w:sz="0" w:space="0" w:color="auto"/>
                        <w:bottom w:val="none" w:sz="0" w:space="0" w:color="auto"/>
                        <w:right w:val="none" w:sz="0" w:space="0" w:color="auto"/>
                      </w:divBdr>
                    </w:div>
                    <w:div w:id="1548495858">
                      <w:marLeft w:val="0"/>
                      <w:marRight w:val="0"/>
                      <w:marTop w:val="0"/>
                      <w:marBottom w:val="0"/>
                      <w:divBdr>
                        <w:top w:val="none" w:sz="0" w:space="0" w:color="auto"/>
                        <w:left w:val="none" w:sz="0" w:space="0" w:color="auto"/>
                        <w:bottom w:val="none" w:sz="0" w:space="0" w:color="auto"/>
                        <w:right w:val="none" w:sz="0" w:space="0" w:color="auto"/>
                      </w:divBdr>
                    </w:div>
                    <w:div w:id="1811703873">
                      <w:marLeft w:val="0"/>
                      <w:marRight w:val="0"/>
                      <w:marTop w:val="0"/>
                      <w:marBottom w:val="0"/>
                      <w:divBdr>
                        <w:top w:val="none" w:sz="0" w:space="0" w:color="auto"/>
                        <w:left w:val="none" w:sz="0" w:space="0" w:color="auto"/>
                        <w:bottom w:val="none" w:sz="0" w:space="0" w:color="auto"/>
                        <w:right w:val="none" w:sz="0" w:space="0" w:color="auto"/>
                      </w:divBdr>
                    </w:div>
                    <w:div w:id="757217739">
                      <w:marLeft w:val="0"/>
                      <w:marRight w:val="0"/>
                      <w:marTop w:val="0"/>
                      <w:marBottom w:val="0"/>
                      <w:divBdr>
                        <w:top w:val="none" w:sz="0" w:space="0" w:color="auto"/>
                        <w:left w:val="none" w:sz="0" w:space="0" w:color="auto"/>
                        <w:bottom w:val="none" w:sz="0" w:space="0" w:color="auto"/>
                        <w:right w:val="none" w:sz="0" w:space="0" w:color="auto"/>
                      </w:divBdr>
                    </w:div>
                    <w:div w:id="806051614">
                      <w:marLeft w:val="0"/>
                      <w:marRight w:val="0"/>
                      <w:marTop w:val="0"/>
                      <w:marBottom w:val="0"/>
                      <w:divBdr>
                        <w:top w:val="none" w:sz="0" w:space="0" w:color="auto"/>
                        <w:left w:val="none" w:sz="0" w:space="0" w:color="auto"/>
                        <w:bottom w:val="none" w:sz="0" w:space="0" w:color="auto"/>
                        <w:right w:val="none" w:sz="0" w:space="0" w:color="auto"/>
                      </w:divBdr>
                    </w:div>
                    <w:div w:id="685207755">
                      <w:marLeft w:val="0"/>
                      <w:marRight w:val="0"/>
                      <w:marTop w:val="0"/>
                      <w:marBottom w:val="0"/>
                      <w:divBdr>
                        <w:top w:val="none" w:sz="0" w:space="0" w:color="auto"/>
                        <w:left w:val="none" w:sz="0" w:space="0" w:color="auto"/>
                        <w:bottom w:val="none" w:sz="0" w:space="0" w:color="auto"/>
                        <w:right w:val="none" w:sz="0" w:space="0" w:color="auto"/>
                      </w:divBdr>
                    </w:div>
                    <w:div w:id="1376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83941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77">
          <w:marLeft w:val="0"/>
          <w:marRight w:val="0"/>
          <w:marTop w:val="0"/>
          <w:marBottom w:val="0"/>
          <w:divBdr>
            <w:top w:val="none" w:sz="0" w:space="0" w:color="auto"/>
            <w:left w:val="none" w:sz="0" w:space="0" w:color="auto"/>
            <w:bottom w:val="none" w:sz="0" w:space="0" w:color="auto"/>
            <w:right w:val="none" w:sz="0" w:space="0" w:color="auto"/>
          </w:divBdr>
          <w:divsChild>
            <w:div w:id="831212555">
              <w:marLeft w:val="0"/>
              <w:marRight w:val="0"/>
              <w:marTop w:val="0"/>
              <w:marBottom w:val="0"/>
              <w:divBdr>
                <w:top w:val="none" w:sz="0" w:space="0" w:color="auto"/>
                <w:left w:val="none" w:sz="0" w:space="0" w:color="auto"/>
                <w:bottom w:val="none" w:sz="0" w:space="0" w:color="auto"/>
                <w:right w:val="none" w:sz="0" w:space="0" w:color="auto"/>
              </w:divBdr>
              <w:divsChild>
                <w:div w:id="1725715910">
                  <w:marLeft w:val="0"/>
                  <w:marRight w:val="0"/>
                  <w:marTop w:val="0"/>
                  <w:marBottom w:val="0"/>
                  <w:divBdr>
                    <w:top w:val="none" w:sz="0" w:space="0" w:color="auto"/>
                    <w:left w:val="none" w:sz="0" w:space="0" w:color="auto"/>
                    <w:bottom w:val="none" w:sz="0" w:space="0" w:color="auto"/>
                    <w:right w:val="none" w:sz="0" w:space="0" w:color="auto"/>
                  </w:divBdr>
                  <w:divsChild>
                    <w:div w:id="212892343">
                      <w:marLeft w:val="0"/>
                      <w:marRight w:val="0"/>
                      <w:marTop w:val="0"/>
                      <w:marBottom w:val="0"/>
                      <w:divBdr>
                        <w:top w:val="none" w:sz="0" w:space="0" w:color="auto"/>
                        <w:left w:val="none" w:sz="0" w:space="0" w:color="auto"/>
                        <w:bottom w:val="none" w:sz="0" w:space="0" w:color="auto"/>
                        <w:right w:val="none" w:sz="0" w:space="0" w:color="auto"/>
                      </w:divBdr>
                    </w:div>
                    <w:div w:id="1681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17364</Words>
  <Characters>9899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Kauzonas</dc:creator>
  <cp:keywords/>
  <dc:description/>
  <cp:lastModifiedBy>Mindaugas Kauzonas</cp:lastModifiedBy>
  <cp:revision>5</cp:revision>
  <dcterms:created xsi:type="dcterms:W3CDTF">2016-09-26T09:08:00Z</dcterms:created>
  <dcterms:modified xsi:type="dcterms:W3CDTF">2016-10-05T08:00:00Z</dcterms:modified>
</cp:coreProperties>
</file>