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68" w:rsidRDefault="004E2C68" w:rsidP="004E2C68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C6517B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Pr="00FE6B0C">
        <w:rPr>
          <w:rFonts w:ascii="Times New Roman" w:hAnsi="Times New Roman"/>
          <w:sz w:val="24"/>
          <w:szCs w:val="24"/>
        </w:rPr>
        <w:t>4</w:t>
      </w:r>
      <w:r w:rsidRPr="00C6517B">
        <w:rPr>
          <w:rFonts w:ascii="Times New Roman" w:hAnsi="Times New Roman"/>
          <w:sz w:val="24"/>
          <w:szCs w:val="24"/>
        </w:rPr>
        <w:t xml:space="preserve"> prioriteto „Energijos efektyvumo ir atsinaujinančių išteklių energijos gamybos ir naudojimo skatinimas“ priemonės Nr. 04.2.1-LVPA-K-836 „Atsinaujinantys energijos ištekliai pramonei LT+“ projektų finansavimo sąlygų aprašo </w:t>
      </w:r>
    </w:p>
    <w:p w:rsidR="004E2C68" w:rsidRPr="00C6517B" w:rsidRDefault="004E2C68" w:rsidP="004E2C68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  <w:lang w:eastAsia="lt-LT"/>
        </w:rPr>
      </w:pPr>
      <w:r w:rsidRPr="00C6517B">
        <w:rPr>
          <w:rFonts w:ascii="Times New Roman" w:hAnsi="Times New Roman"/>
          <w:sz w:val="24"/>
          <w:szCs w:val="24"/>
          <w:lang w:eastAsia="lt-LT"/>
        </w:rPr>
        <w:t>4 priedas</w:t>
      </w:r>
    </w:p>
    <w:p w:rsidR="004E2C68" w:rsidRPr="00C6517B" w:rsidRDefault="004E2C68" w:rsidP="004E2C68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4E2C68" w:rsidRPr="00C6517B" w:rsidRDefault="004E2C68" w:rsidP="004E2C68">
      <w:pPr>
        <w:ind w:left="1298"/>
        <w:jc w:val="center"/>
        <w:rPr>
          <w:rFonts w:ascii="Times New Roman" w:hAnsi="Times New Roman"/>
          <w:b/>
          <w:sz w:val="24"/>
          <w:szCs w:val="24"/>
        </w:rPr>
      </w:pPr>
      <w:r w:rsidRPr="00C6517B">
        <w:rPr>
          <w:rFonts w:ascii="Times New Roman" w:eastAsia="Times New Roman" w:hAnsi="Times New Roman"/>
          <w:b/>
          <w:caps/>
          <w:sz w:val="24"/>
          <w:szCs w:val="24"/>
        </w:rPr>
        <w:t xml:space="preserve">INFORMACIJa, </w:t>
      </w:r>
      <w:r w:rsidRPr="00C6517B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reikalingA projekto atitikČIAI projektų atrankos kriterijams įvertinti</w:t>
      </w:r>
    </w:p>
    <w:p w:rsidR="004E2C68" w:rsidRPr="00C6517B" w:rsidRDefault="004E2C68" w:rsidP="004E2C68">
      <w:pPr>
        <w:pStyle w:val="Sraopastraipa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6517B">
        <w:rPr>
          <w:rFonts w:ascii="Times New Roman" w:hAnsi="Times New Roman"/>
          <w:b/>
          <w:sz w:val="24"/>
          <w:szCs w:val="24"/>
        </w:rPr>
        <w:t>Pareiškėjų vykdomos veiklos ir projekto veiklos priskiriamos Ekonominės veiklos rūšių klasifikatoriui (EVRK 2 red.), patvirtintam Statistikos departamento</w:t>
      </w:r>
      <w:r w:rsidRPr="00D45B7D">
        <w:rPr>
          <w:rFonts w:ascii="Times New Roman" w:hAnsi="Times New Roman"/>
          <w:sz w:val="24"/>
          <w:szCs w:val="24"/>
        </w:rPr>
        <w:t xml:space="preserve"> </w:t>
      </w:r>
      <w:r w:rsidRPr="00141A72">
        <w:rPr>
          <w:rFonts w:ascii="Times New Roman" w:hAnsi="Times New Roman"/>
          <w:b/>
          <w:sz w:val="24"/>
          <w:szCs w:val="24"/>
        </w:rPr>
        <w:t>prie Lietuvos Respublikos Vyriausybės</w:t>
      </w:r>
      <w:r w:rsidRPr="00C6517B">
        <w:rPr>
          <w:rFonts w:ascii="Times New Roman" w:hAnsi="Times New Roman"/>
          <w:sz w:val="24"/>
          <w:szCs w:val="24"/>
        </w:rPr>
        <w:t xml:space="preserve"> </w:t>
      </w:r>
      <w:r w:rsidRPr="00C6517B">
        <w:rPr>
          <w:rFonts w:ascii="Times New Roman" w:hAnsi="Times New Roman"/>
          <w:b/>
          <w:sz w:val="24"/>
          <w:szCs w:val="24"/>
        </w:rPr>
        <w:t>generalinio direktoriaus 2007 m. spalio 31 d. įsakymu Nr. DĮ-226 „Dėl Ekonominės veiklos rūšių klasifikatoriaus patvirtinimo“ (toliau – EVRK 2 red.) (taikoma vertinant projekto atitiktį 2014–2020 metų Europos Sąjungos fondų investicijų veiksmų programos 4 prioriteto „Energijos efektyvumo ir atsinaujinančių išteklių energijos gamybos ir naudojimo skatinimas“ priemonės Nr. 04.2.1-LVPA-K-836 „Atsinaujinantys energijos ištekliai pramonei LT+“ projektų finansavimo sąlygų aprašo (toliau – Aprašas) 12 punkto nuostatoms)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1"/>
        <w:tblW w:w="14488" w:type="dxa"/>
        <w:tblLook w:val="04A0" w:firstRow="1" w:lastRow="0" w:firstColumn="1" w:lastColumn="0" w:noHBand="0" w:noVBand="1"/>
      </w:tblPr>
      <w:tblGrid>
        <w:gridCol w:w="5513"/>
        <w:gridCol w:w="1950"/>
        <w:gridCol w:w="1650"/>
        <w:gridCol w:w="1800"/>
        <w:gridCol w:w="1800"/>
        <w:gridCol w:w="1775"/>
      </w:tblGrid>
      <w:tr w:rsidR="004E2C68" w:rsidRPr="00C6517B" w:rsidTr="00D15321">
        <w:trPr>
          <w:trHeight w:val="215"/>
        </w:trPr>
        <w:tc>
          <w:tcPr>
            <w:tcW w:w="5513" w:type="dxa"/>
            <w:vMerge w:val="restart"/>
          </w:tcPr>
          <w:p w:rsidR="004E2C68" w:rsidRPr="00C6517B" w:rsidRDefault="004E2C68" w:rsidP="00D15321">
            <w:p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Pr="00C6517B">
              <w:rPr>
                <w:rFonts w:ascii="Times New Roman" w:hAnsi="Times New Roman"/>
                <w:sz w:val="24"/>
                <w:szCs w:val="24"/>
              </w:rPr>
              <w:t>Pareiškėjo vykdoma veikla (-</w:t>
            </w:r>
            <w:proofErr w:type="spellStart"/>
            <w:r w:rsidRPr="00C6517B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C6517B">
              <w:rPr>
                <w:rFonts w:ascii="Times New Roman" w:hAnsi="Times New Roman"/>
                <w:sz w:val="24"/>
                <w:szCs w:val="24"/>
              </w:rPr>
              <w:t>)  pagal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17B">
              <w:rPr>
                <w:rFonts w:ascii="Times New Roman" w:hAnsi="Times New Roman"/>
                <w:sz w:val="24"/>
                <w:szCs w:val="24"/>
              </w:rPr>
              <w:t>EVRK 2 red. (jeigu vykdomos kelios veiklos, reikia nurodyti pasidalijimą procentais pagal paskutinių finansinių metų metines pardavimo pajamas).</w:t>
            </w:r>
          </w:p>
          <w:p w:rsidR="004E2C68" w:rsidRPr="00C6517B" w:rsidRDefault="004E2C68" w:rsidP="00D15321">
            <w:pPr>
              <w:pStyle w:val="Sraopastraip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 xml:space="preserve">Veiklos </w:t>
            </w:r>
          </w:p>
        </w:tc>
        <w:tc>
          <w:tcPr>
            <w:tcW w:w="16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2013 m.</w:t>
            </w: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2014 m.</w:t>
            </w: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2015 m.</w:t>
            </w:r>
          </w:p>
        </w:tc>
        <w:tc>
          <w:tcPr>
            <w:tcW w:w="1775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procentas</w:t>
            </w:r>
          </w:p>
        </w:tc>
      </w:tr>
      <w:tr w:rsidR="004E2C68" w:rsidRPr="00C6517B" w:rsidTr="00D15321">
        <w:trPr>
          <w:trHeight w:val="215"/>
        </w:trPr>
        <w:tc>
          <w:tcPr>
            <w:tcW w:w="5513" w:type="dxa"/>
            <w:vMerge/>
          </w:tcPr>
          <w:p w:rsidR="004E2C68" w:rsidRPr="00C6517B" w:rsidRDefault="004E2C68" w:rsidP="00D15321">
            <w:pPr>
              <w:pStyle w:val="Sraopastraip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Veikla Nr. 1</w:t>
            </w:r>
          </w:p>
        </w:tc>
        <w:tc>
          <w:tcPr>
            <w:tcW w:w="16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15"/>
        </w:trPr>
        <w:tc>
          <w:tcPr>
            <w:tcW w:w="5513" w:type="dxa"/>
            <w:vMerge/>
          </w:tcPr>
          <w:p w:rsidR="004E2C68" w:rsidRPr="00C6517B" w:rsidRDefault="004E2C68" w:rsidP="004E2C68">
            <w:pPr>
              <w:pStyle w:val="Sraopastraipa"/>
              <w:numPr>
                <w:ilvl w:val="1"/>
                <w:numId w:val="2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Veikla Nr. 2</w:t>
            </w:r>
          </w:p>
        </w:tc>
        <w:tc>
          <w:tcPr>
            <w:tcW w:w="16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15"/>
        </w:trPr>
        <w:tc>
          <w:tcPr>
            <w:tcW w:w="5513" w:type="dxa"/>
            <w:vMerge/>
          </w:tcPr>
          <w:p w:rsidR="004E2C68" w:rsidRPr="00C6517B" w:rsidRDefault="004E2C68" w:rsidP="004E2C68">
            <w:pPr>
              <w:numPr>
                <w:ilvl w:val="1"/>
                <w:numId w:val="1"/>
              </w:num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Veikla Nr. 3</w:t>
            </w:r>
          </w:p>
        </w:tc>
        <w:tc>
          <w:tcPr>
            <w:tcW w:w="16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15"/>
        </w:trPr>
        <w:tc>
          <w:tcPr>
            <w:tcW w:w="5513" w:type="dxa"/>
            <w:vMerge/>
          </w:tcPr>
          <w:p w:rsidR="004E2C68" w:rsidRPr="00C6517B" w:rsidRDefault="004E2C68" w:rsidP="004E2C68">
            <w:pPr>
              <w:numPr>
                <w:ilvl w:val="1"/>
                <w:numId w:val="1"/>
              </w:num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Veikla n.</w:t>
            </w:r>
          </w:p>
        </w:tc>
        <w:tc>
          <w:tcPr>
            <w:tcW w:w="16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15"/>
        </w:trPr>
        <w:tc>
          <w:tcPr>
            <w:tcW w:w="5513" w:type="dxa"/>
          </w:tcPr>
          <w:p w:rsidR="004E2C68" w:rsidRPr="00D45B7D" w:rsidRDefault="004E2C68" w:rsidP="00D15321">
            <w:p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17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17B">
              <w:rPr>
                <w:rFonts w:ascii="Times New Roman" w:hAnsi="Times New Roman"/>
                <w:sz w:val="24"/>
                <w:szCs w:val="24"/>
              </w:rPr>
              <w:t>Pareiškėjo m</w:t>
            </w:r>
            <w:r w:rsidRPr="00D45B7D">
              <w:rPr>
                <w:rFonts w:ascii="Times New Roman" w:hAnsi="Times New Roman"/>
                <w:sz w:val="24"/>
                <w:szCs w:val="24"/>
              </w:rPr>
              <w:t xml:space="preserve">etinės pajamos iš savo pagamintos produkcijos, </w:t>
            </w:r>
            <w:proofErr w:type="spellStart"/>
            <w:r w:rsidRPr="00D45B7D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950" w:type="dxa"/>
          </w:tcPr>
          <w:p w:rsidR="004E2C68" w:rsidRPr="00141A72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859"/>
        </w:trPr>
        <w:tc>
          <w:tcPr>
            <w:tcW w:w="5513" w:type="dxa"/>
          </w:tcPr>
          <w:p w:rsidR="004E2C68" w:rsidRPr="00C6517B" w:rsidRDefault="004E2C68" w:rsidP="00D153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17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517B">
              <w:rPr>
                <w:rFonts w:ascii="Times New Roman" w:hAnsi="Times New Roman"/>
                <w:sz w:val="24"/>
                <w:szCs w:val="24"/>
              </w:rPr>
              <w:t>. Kiek svertine išraiška (</w:t>
            </w:r>
            <w:proofErr w:type="spellStart"/>
            <w:r w:rsidRPr="00C6517B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Pr="00C6517B">
              <w:rPr>
                <w:rFonts w:ascii="Times New Roman" w:hAnsi="Times New Roman"/>
                <w:sz w:val="24"/>
                <w:szCs w:val="24"/>
              </w:rPr>
              <w:t xml:space="preserve">) pareiškėjo bendrų pardavimų struktūroje sudaro paties pareiškėjo pagamintos produkcijos pardavimai? </w:t>
            </w:r>
          </w:p>
        </w:tc>
        <w:tc>
          <w:tcPr>
            <w:tcW w:w="1950" w:type="dxa"/>
          </w:tcPr>
          <w:p w:rsidR="004E2C68" w:rsidRPr="00D45B7D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E2C68" w:rsidRPr="00141A72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C68" w:rsidRPr="00C6517B" w:rsidRDefault="004E2C68" w:rsidP="004E2C68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vanish/>
          <w:sz w:val="24"/>
          <w:szCs w:val="24"/>
        </w:rPr>
      </w:pPr>
    </w:p>
    <w:p w:rsidR="004E2C68" w:rsidRPr="00D45B7D" w:rsidRDefault="004E2C68" w:rsidP="004E2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17B">
        <w:rPr>
          <w:rFonts w:ascii="Times New Roman" w:hAnsi="Times New Roman"/>
          <w:b/>
          <w:sz w:val="24"/>
          <w:szCs w:val="24"/>
        </w:rPr>
        <w:t>2. Pareiškėjo akcininkai (nurodomi visi įmonės akcininkai, valdantys 10 ir daugiau procentų įmonės akcijų)</w:t>
      </w:r>
      <w:r>
        <w:rPr>
          <w:rFonts w:ascii="Times New Roman" w:hAnsi="Times New Roman"/>
          <w:b/>
          <w:sz w:val="24"/>
          <w:szCs w:val="24"/>
        </w:rPr>
        <w:t>.</w:t>
      </w:r>
      <w:r w:rsidRPr="00C6517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4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460"/>
        <w:gridCol w:w="5233"/>
      </w:tblGrid>
      <w:tr w:rsidR="004E2C68" w:rsidRPr="00C6517B" w:rsidTr="00D15321">
        <w:trPr>
          <w:trHeight w:val="669"/>
        </w:trPr>
        <w:tc>
          <w:tcPr>
            <w:tcW w:w="708" w:type="dxa"/>
            <w:shd w:val="clear" w:color="auto" w:fill="D9D9D9" w:themeFill="background1" w:themeFillShade="D9"/>
          </w:tcPr>
          <w:p w:rsidR="004E2C68" w:rsidRPr="00874782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782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4E2C68" w:rsidRPr="00874782" w:rsidRDefault="004E2C68" w:rsidP="00D153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782">
              <w:rPr>
                <w:rFonts w:ascii="Times New Roman" w:hAnsi="Times New Roman"/>
                <w:bCs/>
                <w:sz w:val="24"/>
                <w:szCs w:val="24"/>
              </w:rPr>
              <w:t>Akcininkas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C68" w:rsidRPr="00874782" w:rsidRDefault="004E2C68" w:rsidP="00D153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782">
              <w:rPr>
                <w:rFonts w:ascii="Times New Roman" w:hAnsi="Times New Roman"/>
                <w:bCs/>
                <w:sz w:val="24"/>
                <w:szCs w:val="24"/>
              </w:rPr>
              <w:t>Akcijų dalis (procentais)</w:t>
            </w:r>
          </w:p>
        </w:tc>
      </w:tr>
      <w:tr w:rsidR="004E2C68" w:rsidRPr="00C6517B" w:rsidTr="00D15321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C68" w:rsidRPr="00874782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782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460" w:type="dxa"/>
          </w:tcPr>
          <w:p w:rsidR="004E2C68" w:rsidRPr="00C6517B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</w:tcPr>
          <w:p w:rsidR="004E2C68" w:rsidRPr="00D45B7D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C68" w:rsidRPr="00874782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782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8460" w:type="dxa"/>
          </w:tcPr>
          <w:p w:rsidR="004E2C68" w:rsidRPr="00C6517B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</w:tcPr>
          <w:p w:rsidR="004E2C68" w:rsidRPr="00D45B7D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C68" w:rsidRPr="00874782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782">
              <w:rPr>
                <w:rFonts w:ascii="Times New Roman" w:hAnsi="Times New Roman"/>
                <w:bCs/>
                <w:sz w:val="24"/>
                <w:szCs w:val="24"/>
              </w:rPr>
              <w:t>2.n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4E2C68" w:rsidRPr="00C6517B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auto"/>
          </w:tcPr>
          <w:p w:rsidR="004E2C68" w:rsidRPr="00D45B7D" w:rsidRDefault="004E2C68" w:rsidP="00D153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E2C68" w:rsidRDefault="004E2C68" w:rsidP="004E2C68">
      <w:pPr>
        <w:spacing w:after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4E2C68" w:rsidRPr="00874782" w:rsidRDefault="004E2C68" w:rsidP="004E2C68">
      <w:pPr>
        <w:spacing w:after="0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6517B">
        <w:rPr>
          <w:rFonts w:ascii="Times New Roman" w:eastAsia="Times New Roman" w:hAnsi="Times New Roman"/>
          <w:b/>
          <w:sz w:val="24"/>
          <w:szCs w:val="24"/>
          <w:lang w:eastAsia="lt-LT"/>
        </w:rPr>
        <w:t>3. </w:t>
      </w:r>
      <w:r w:rsidRPr="00D45B7D">
        <w:rPr>
          <w:rFonts w:ascii="Times New Roman" w:eastAsia="Times New Roman" w:hAnsi="Times New Roman"/>
          <w:b/>
          <w:sz w:val="24"/>
          <w:szCs w:val="24"/>
          <w:lang w:eastAsia="lt-LT"/>
        </w:rPr>
        <w:t>Pareiškėjo metinės energijos sąnaudos</w:t>
      </w:r>
      <w:r w:rsidRPr="00141A7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(taikoma vertinant projekto atitiktį Aprašo 2 priedo 1 punkto nuostatoms)</w:t>
      </w:r>
      <w:r w:rsidRPr="00C6517B"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3705"/>
        <w:gridCol w:w="2519"/>
        <w:gridCol w:w="4975"/>
        <w:gridCol w:w="2436"/>
      </w:tblGrid>
      <w:tr w:rsidR="004E2C68" w:rsidRPr="00C6517B" w:rsidTr="00D15321">
        <w:trPr>
          <w:trHeight w:val="1171"/>
        </w:trPr>
        <w:tc>
          <w:tcPr>
            <w:tcW w:w="736" w:type="dxa"/>
          </w:tcPr>
          <w:p w:rsidR="004E2C68" w:rsidRPr="00B05BCA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705" w:type="dxa"/>
          </w:tcPr>
          <w:p w:rsidR="004E2C68" w:rsidRPr="00B05BCA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 xml:space="preserve">Pareiškėjo energijos sąnaudos </w:t>
            </w:r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 xml:space="preserve">(vertinami energijos vartojimo audite nagrinėjami metai arba metai, kai bus įdiegti atsinaujinančius energijos išteklius naudojantys energijos gamybos </w:t>
            </w:r>
            <w:proofErr w:type="spellStart"/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>pajėgumai</w:t>
            </w:r>
            <w:proofErr w:type="spellEnd"/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 xml:space="preserve"> (tik tuo atveju jeigu pareiškėjas numato technologinių procesų organizavimo pokyčius ir energijos vartojimo audite įvertintos būsimos pareiškėjo energijos sąnaudos).</w:t>
            </w:r>
          </w:p>
        </w:tc>
        <w:tc>
          <w:tcPr>
            <w:tcW w:w="2519" w:type="dxa"/>
          </w:tcPr>
          <w:p w:rsidR="004E2C68" w:rsidRPr="00B05BCA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 xml:space="preserve">Energijos sąnaudų kiekis natūriniais vienetais (t, m3, </w:t>
            </w:r>
            <w:proofErr w:type="spellStart"/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>MWh</w:t>
            </w:r>
            <w:proofErr w:type="spellEnd"/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10" w:type="dxa"/>
            <w:gridSpan w:val="2"/>
          </w:tcPr>
          <w:p w:rsidR="004E2C68" w:rsidRPr="00B05BCA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 xml:space="preserve">Energijos sąnaudų kiekis sąlyginiu vienetu – tona naftos ekvivalentu. </w:t>
            </w:r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 xml:space="preserve">Pareiškėjo naudojamų energijos rūšių sąnaudos turi būti pateiktos tiek natūriniais vienetais (t, m3, </w:t>
            </w:r>
            <w:proofErr w:type="spellStart"/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>MWh</w:t>
            </w:r>
            <w:proofErr w:type="spellEnd"/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>), tiek ir sąlyginiu vienetu (</w:t>
            </w:r>
            <w:proofErr w:type="spellStart"/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>TNE</w:t>
            </w:r>
            <w:proofErr w:type="spellEnd"/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>). Perskaičiuojant energijos sąnaudų kiekį iš natūrinių į sąlyginį vienetą, prašome vadovautis</w:t>
            </w:r>
            <w:r w:rsidRPr="00B05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 xml:space="preserve">Kuro ir energijos balanso sudarymo metodika, patvirtinta </w:t>
            </w:r>
            <w:r w:rsidRPr="00261C13">
              <w:rPr>
                <w:rFonts w:ascii="Times New Roman" w:eastAsia="Times New Roman" w:hAnsi="Times New Roman"/>
                <w:bCs/>
                <w:sz w:val="24"/>
                <w:szCs w:val="24"/>
              </w:rPr>
              <w:t>Statistikos departamento prie Lietuvos Respublikos Vyriausybės generalinio direktoriaus</w:t>
            </w:r>
            <w:r w:rsidRPr="00261C13">
              <w:rPr>
                <w:rFonts w:ascii="Times New Roman" w:eastAsia="Times New Roman" w:hAnsi="Times New Roman"/>
                <w:sz w:val="24"/>
                <w:szCs w:val="24"/>
              </w:rPr>
              <w:t xml:space="preserve"> 2004 m. lapkričio 24 d. įsakymu Nr. DĮ-228 „Dėl Kuro ir energijos balanso sudarymo metodikos patvirtinimo“.</w:t>
            </w:r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3.1.1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Energijos rūšis Nr. 1 (įrašyti)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3.1.2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Energijos rūšis Nr. 2 (įrašyti)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3.1.3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Energijos rūšis Nr. 3 (įrašyti)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4E2C68" w:rsidRPr="00261C13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 xml:space="preserve">Energija, gaunama iš planuojamų įdiegti atsinaujinančius energijos išteklius naudojančių energijos gamybos </w:t>
            </w:r>
            <w:proofErr w:type="spellStart"/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>pajėgumų</w:t>
            </w:r>
            <w:proofErr w:type="spellEnd"/>
            <w:r w:rsidRPr="00B05B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3.2.1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Energijos rūšis Nr. 1 (įrašyti)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Energijos rūšis Nr. 2 (įrašyti)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7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3.2.3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5" w:type="dxa"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Energijos rūšis Nr. 3 (įrašyti)</w:t>
            </w:r>
          </w:p>
        </w:tc>
        <w:tc>
          <w:tcPr>
            <w:tcW w:w="2519" w:type="dxa"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gridSpan w:val="2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98"/>
        </w:trPr>
        <w:tc>
          <w:tcPr>
            <w:tcW w:w="11935" w:type="dxa"/>
            <w:gridSpan w:val="4"/>
          </w:tcPr>
          <w:p w:rsidR="004E2C68" w:rsidRPr="00C6517B" w:rsidRDefault="004E2C68" w:rsidP="00D15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Santykis tarp energijos, kurią planuojama gauti įdiegus atsinaujinančius energijos išteklius naudojančius gamybos 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pajėgumus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 ir bendro pareiškėjo energijos sąnaudų balanso.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651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Skaičiuojama </w:t>
            </w:r>
            <w:r w:rsidRPr="00D45B7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pagal </w:t>
            </w:r>
            <w:r w:rsidRPr="00141A72">
              <w:rPr>
                <w:rFonts w:ascii="Times New Roman" w:eastAsia="Times New Roman" w:hAnsi="Times New Roman"/>
                <w:bCs/>
                <w:sz w:val="24"/>
                <w:szCs w:val="24"/>
              </w:rPr>
              <w:t>Aprašo 2 priedo 1 punkt</w:t>
            </w:r>
            <w:r w:rsidRPr="00FE6B0C">
              <w:rPr>
                <w:rFonts w:ascii="Times New Roman" w:eastAsia="Times New Roman" w:hAnsi="Times New Roman"/>
                <w:bCs/>
                <w:sz w:val="24"/>
                <w:szCs w:val="24"/>
              </w:rPr>
              <w:t>e pateiktą formulę.</w:t>
            </w:r>
          </w:p>
        </w:tc>
        <w:tc>
          <w:tcPr>
            <w:tcW w:w="2436" w:type="dxa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4E2C68" w:rsidRDefault="004E2C68" w:rsidP="004E2C68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4E2C68" w:rsidRPr="00B05BCA" w:rsidRDefault="004E2C68" w:rsidP="004E2C68">
      <w:pPr>
        <w:pStyle w:val="Sraopastraipa"/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05BCA">
        <w:rPr>
          <w:rFonts w:ascii="Times New Roman" w:hAnsi="Times New Roman"/>
          <w:b/>
          <w:sz w:val="24"/>
          <w:szCs w:val="24"/>
        </w:rPr>
        <w:t>Gauta (planuojama gauti) valstybės pagalba projektui.</w:t>
      </w:r>
    </w:p>
    <w:tbl>
      <w:tblPr>
        <w:tblW w:w="14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2"/>
        <w:gridCol w:w="2534"/>
        <w:gridCol w:w="2534"/>
        <w:gridCol w:w="2534"/>
        <w:gridCol w:w="2748"/>
      </w:tblGrid>
      <w:tr w:rsidR="004E2C68" w:rsidRPr="00C6517B" w:rsidTr="00D15321">
        <w:trPr>
          <w:trHeight w:val="390"/>
        </w:trPr>
        <w:tc>
          <w:tcPr>
            <w:tcW w:w="14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41A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Pateikite informaciją apie pareiškėjo gautą per paskutinius 3 metus iki paraiškos pateikimo ir planuojamą gauti valstybės pagalbą</w:t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C6517B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C6517B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pagalbą ir kitą paramą projektui.</w:t>
            </w:r>
          </w:p>
        </w:tc>
      </w:tr>
      <w:tr w:rsidR="004E2C68" w:rsidRPr="00C6517B" w:rsidTr="00D15321">
        <w:trPr>
          <w:trHeight w:val="39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Planuojama gauti pagalbos suma </w:t>
            </w:r>
            <w:r w:rsidRPr="00897614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(ne iš Lietuvos Respublikos ūkio ministerijos)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Gautos pagalbos suma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41A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Pagalbos teikėjas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Pagalbos suteikimo data</w:t>
            </w:r>
          </w:p>
        </w:tc>
      </w:tr>
      <w:tr w:rsidR="004E2C68" w:rsidRPr="00C6517B" w:rsidTr="00D15321">
        <w:trPr>
          <w:trHeight w:val="39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4.1. Investicinė pagalba atsinaujinančių išteklių energijos gamybai skatinti </w:t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pagal 2014 m. birželio 17 d. Komisijos reglamento (ES) Nr. 651/2014, kuriuo tam tikrų kategorijų pagalba skelbiama suderinama su vidaus rinka taikant Sutarties 107 ir 108 straipsnius (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OL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2014 L 187, p. 1) </w:t>
            </w:r>
            <w:r w:rsidRPr="00D45B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(toliau – Bendrasis bendrosios išimties reglamentas) </w:t>
            </w:r>
            <w:r w:rsidRPr="00141A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41 straipsnį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E2C68" w:rsidRPr="00C6517B" w:rsidTr="00D15321">
        <w:trPr>
          <w:trHeight w:val="39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4.2.</w:t>
            </w:r>
            <w:r w:rsidRPr="00D45B7D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 De </w:t>
            </w:r>
            <w:proofErr w:type="spellStart"/>
            <w:r w:rsidRPr="00D45B7D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141A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pagalba</w:t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suteikta tinkamoms projekto išlaidoms kompensuoti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E2C68" w:rsidRPr="00C6517B" w:rsidTr="00D15321">
        <w:trPr>
          <w:trHeight w:val="39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4.3. Kita įvairių formų valstybės finansinė parama juridiniams asmenims (v</w:t>
            </w:r>
            <w:r w:rsidRPr="00D45B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alstybės suteiktos garantijos, </w:t>
            </w:r>
            <w:r w:rsidRPr="00141A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garantuotų paskolų palūkanų kompensavimas, kita)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4E2C68" w:rsidRPr="00C6517B" w:rsidRDefault="004E2C68" w:rsidP="004E2C68">
      <w:pPr>
        <w:spacing w:after="0" w:line="240" w:lineRule="auto"/>
        <w:ind w:left="567" w:hanging="283"/>
        <w:rPr>
          <w:rFonts w:ascii="Times New Roman" w:hAnsi="Times New Roman"/>
          <w:b/>
          <w:sz w:val="24"/>
          <w:szCs w:val="24"/>
        </w:rPr>
      </w:pPr>
    </w:p>
    <w:p w:rsidR="004E2C68" w:rsidRPr="00DC43B4" w:rsidRDefault="004E2C68" w:rsidP="004E2C68">
      <w:pPr>
        <w:pStyle w:val="Sraopastraipa"/>
        <w:widowControl w:val="0"/>
        <w:numPr>
          <w:ilvl w:val="0"/>
          <w:numId w:val="4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C43B4">
        <w:rPr>
          <w:rFonts w:ascii="Times New Roman" w:hAnsi="Times New Roman"/>
          <w:b/>
          <w:sz w:val="24"/>
          <w:szCs w:val="24"/>
        </w:rPr>
        <w:t>Kiti Europos Sąjungos, Lietuvos Respublikos ar kiti finansavimo šaltiniai</w:t>
      </w:r>
      <w:r w:rsidRPr="00DC43B4"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</w:p>
    <w:tbl>
      <w:tblPr>
        <w:tblW w:w="14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2650"/>
      </w:tblGrid>
      <w:tr w:rsidR="004E2C68" w:rsidRPr="00C6517B" w:rsidTr="00D15321">
        <w:trPr>
          <w:trHeight w:val="345"/>
        </w:trPr>
        <w:tc>
          <w:tcPr>
            <w:tcW w:w="1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5.1. Ar buvo pateikta paraiška finansuoti iš Europos Sąjungos struktūrinių fondų lėšų bendrai finansuojamą projektą (toliau – paraiška) dėl paramos šiam projektui arba jo daliai iš bet kurio kito Europos Sąjungos, Lietuvos Respublikos ar kitų finansavimo šaltinių (Europos regioninės plėtros fondo (toliau – 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ERPF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) (kryžminio finansavimo atveju), Europos socialinio fondo (toliau – 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), kito Europos Sąjungos finansavimo šaltinio, valstybės ar savivaldybės programų, Europos ekonominės erdvės paramos ar panašiai)?</w:t>
            </w:r>
          </w:p>
        </w:tc>
      </w:tr>
      <w:tr w:rsidR="004E2C68" w:rsidRPr="00C6517B" w:rsidTr="00D15321">
        <w:trPr>
          <w:trHeight w:val="587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Taip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Jei taip, pateikti išsamų aprašymą</w:t>
            </w:r>
            <w:r w:rsidRPr="00D45B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(nurodyti susijusią finansinę priemonę, nuorodų numerius, datas, prašytas sumas, suteiktas sumas ir kita)</w:t>
            </w:r>
          </w:p>
        </w:tc>
      </w:tr>
      <w:tr w:rsidR="004E2C68" w:rsidRPr="00C6517B" w:rsidTr="00D15321">
        <w:trPr>
          <w:trHeight w:val="345"/>
        </w:trPr>
        <w:tc>
          <w:tcPr>
            <w:tcW w:w="1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4E2C68" w:rsidRPr="00C6517B" w:rsidTr="00D15321">
        <w:trPr>
          <w:trHeight w:val="345"/>
        </w:trPr>
        <w:tc>
          <w:tcPr>
            <w:tcW w:w="1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5.2. Ar šis projektas ar jo dalis papildo kokį nors kitą projektą, kuris jau finansuojamas ar bus finansuojamas iš 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ERPF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(kryžminio finansavimo atveju), 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kito Europos Sąjungos finansavimo šaltinio, valstybės ar savivaldybės programų, Europos ekonominės erdvės paramos ar panašiai?</w:t>
            </w:r>
          </w:p>
        </w:tc>
      </w:tr>
      <w:tr w:rsidR="004E2C68" w:rsidRPr="00C6517B" w:rsidTr="00D15321">
        <w:trPr>
          <w:trHeight w:val="483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Taip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Jei taip, prašom išsamiai aprašyti (nurodyti tikslius duomenis, nuorodų numerius, datas, prašytas sumas, gautas sumas ir kita) </w:t>
            </w:r>
          </w:p>
        </w:tc>
      </w:tr>
      <w:tr w:rsidR="004E2C68" w:rsidRPr="00C6517B" w:rsidTr="00D15321">
        <w:trPr>
          <w:trHeight w:val="345"/>
        </w:trPr>
        <w:tc>
          <w:tcPr>
            <w:tcW w:w="1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4E2C68" w:rsidRPr="00C6517B" w:rsidTr="00D15321">
        <w:trPr>
          <w:trHeight w:val="777"/>
        </w:trPr>
        <w:tc>
          <w:tcPr>
            <w:tcW w:w="1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E2C68" w:rsidRPr="00D45B7D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5.3. Ar buvo pateikta paraiška dėl paramos iš bet kurio kito Europos Sąjungos, Lietuvos Respublikos ar kitų finansavimo šaltinių (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ERPF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(kryžminio finansavimo atveju), 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kito Europos Sąjungos finansavimo šaltinio, valstybės ar savivaldybės programų, Europos ekonominės erdvės paramos ar panašiai) ankstesniam šio projekto ar jo dalies etapui (įskaitant galimybių studijos ir parengiamuosius etapus)?</w:t>
            </w:r>
          </w:p>
        </w:tc>
      </w:tr>
      <w:tr w:rsidR="004E2C68" w:rsidRPr="00C6517B" w:rsidTr="00D15321">
        <w:trPr>
          <w:trHeight w:val="627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Taip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C68" w:rsidRPr="00141A72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Jei taip, </w:t>
            </w:r>
            <w:r w:rsidRPr="00D45B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pateikti išsamų aprašymą</w:t>
            </w:r>
            <w:r w:rsidRPr="00141A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(nurodyti susijusią finansinę priemonę, nuorodų numerius, datas, prašytas sumas, suteiktas sumas ir kita)</w:t>
            </w:r>
          </w:p>
        </w:tc>
      </w:tr>
      <w:tr w:rsidR="004E2C68" w:rsidRPr="00C6517B" w:rsidTr="00D15321">
        <w:trPr>
          <w:trHeight w:val="345"/>
        </w:trPr>
        <w:tc>
          <w:tcPr>
            <w:tcW w:w="1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8" w:rsidRPr="00C6517B" w:rsidRDefault="004E2C68" w:rsidP="00D15321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9C305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C6517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Ne</w:t>
            </w:r>
          </w:p>
        </w:tc>
      </w:tr>
    </w:tbl>
    <w:p w:rsidR="004E2C68" w:rsidRPr="00D45B7D" w:rsidRDefault="004E2C68" w:rsidP="004E2C68">
      <w:pPr>
        <w:tabs>
          <w:tab w:val="left" w:pos="795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B7D">
        <w:rPr>
          <w:rFonts w:ascii="Times New Roman" w:hAnsi="Times New Roman"/>
          <w:b/>
          <w:sz w:val="24"/>
          <w:szCs w:val="24"/>
        </w:rPr>
        <w:tab/>
      </w:r>
    </w:p>
    <w:p w:rsidR="004E2C68" w:rsidRPr="00C6517B" w:rsidRDefault="004E2C68" w:rsidP="004E2C68">
      <w:pPr>
        <w:pStyle w:val="Sraopastraipa"/>
        <w:numPr>
          <w:ilvl w:val="0"/>
          <w:numId w:val="3"/>
        </w:numPr>
        <w:spacing w:after="0"/>
        <w:ind w:left="357" w:hanging="35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41A72">
        <w:rPr>
          <w:rFonts w:ascii="Times New Roman" w:eastAsia="Times New Roman" w:hAnsi="Times New Roman"/>
          <w:b/>
          <w:sz w:val="24"/>
          <w:szCs w:val="24"/>
          <w:lang w:eastAsia="lt-LT"/>
        </w:rPr>
        <w:t>Tinkamų</w:t>
      </w:r>
      <w:r w:rsidRPr="00C6517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finansuoti išlaidų apskaičiavimo būdas ir pagrindimas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6434"/>
        <w:gridCol w:w="5077"/>
        <w:gridCol w:w="2126"/>
      </w:tblGrid>
      <w:tr w:rsidR="004E2C68" w:rsidRPr="00C6517B" w:rsidTr="00D15321">
        <w:tc>
          <w:tcPr>
            <w:tcW w:w="675" w:type="dxa"/>
            <w:shd w:val="clear" w:color="auto" w:fill="D9D9D9" w:themeFill="background1" w:themeFillShade="D9"/>
          </w:tcPr>
          <w:p w:rsidR="004E2C68" w:rsidRPr="00C6517B" w:rsidRDefault="004E2C68" w:rsidP="00D15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434" w:type="dxa"/>
            <w:shd w:val="clear" w:color="auto" w:fill="D9D9D9" w:themeFill="background1" w:themeFillShade="D9"/>
          </w:tcPr>
          <w:p w:rsidR="004E2C68" w:rsidRPr="00C6517B" w:rsidRDefault="004E2C68" w:rsidP="00D1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Tinkamų finansuoti išlaidų būdas pagal Bendrojo bendrosios išimties reglamento 41 </w:t>
            </w:r>
            <w:proofErr w:type="spellStart"/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straipnį</w:t>
            </w:r>
            <w:proofErr w:type="spellEnd"/>
          </w:p>
        </w:tc>
        <w:tc>
          <w:tcPr>
            <w:tcW w:w="5077" w:type="dxa"/>
            <w:shd w:val="clear" w:color="auto" w:fill="D9D9D9" w:themeFill="background1" w:themeFillShade="D9"/>
          </w:tcPr>
          <w:p w:rsidR="004E2C68" w:rsidRPr="00C6517B" w:rsidRDefault="004E2C68" w:rsidP="00D1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Pasirinkto tinkamų finansuoti išlaidų būdo pagrindimas (nurodoma, kokią įrangą numatoma diegti; aprašomos galimos alternatyvos ir pagrindžiamas pasirinktas būdas)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E2C68" w:rsidRPr="00C6517B" w:rsidRDefault="004E2C68" w:rsidP="00D1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Pastabos</w:t>
            </w:r>
          </w:p>
        </w:tc>
      </w:tr>
      <w:tr w:rsidR="004E2C68" w:rsidRPr="00C6517B" w:rsidTr="00D15321">
        <w:trPr>
          <w:trHeight w:val="1353"/>
        </w:trPr>
        <w:tc>
          <w:tcPr>
            <w:tcW w:w="675" w:type="dxa"/>
          </w:tcPr>
          <w:p w:rsidR="004E2C68" w:rsidRPr="00C6517B" w:rsidRDefault="004E2C68" w:rsidP="00D1532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434" w:type="dxa"/>
          </w:tcPr>
          <w:p w:rsidR="004E2C68" w:rsidRPr="00C6517B" w:rsidRDefault="004E2C68" w:rsidP="00D15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6 dalies a punktas: jeigu investicijų į </w:t>
            </w:r>
            <w:r w:rsidRPr="00D45B7D">
              <w:rPr>
                <w:rFonts w:ascii="Times New Roman" w:eastAsia="Times New Roman" w:hAnsi="Times New Roman"/>
                <w:sz w:val="24"/>
                <w:szCs w:val="24"/>
              </w:rPr>
              <w:t xml:space="preserve">atsinaujinančių energijos išteklių </w:t>
            </w:r>
            <w:r w:rsidRPr="00141A72">
              <w:rPr>
                <w:rFonts w:ascii="Times New Roman" w:eastAsia="Times New Roman" w:hAnsi="Times New Roman"/>
                <w:sz w:val="24"/>
                <w:szCs w:val="24"/>
              </w:rPr>
              <w:t>gamybą išlaidų dalį visose investicinėse išlaidose galima lengvai nustatyti kaip atskir</w:t>
            </w: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ą investiciją, pvz., kaip jau esamų įrenginių papildomą dalį, ši su </w:t>
            </w:r>
            <w:r w:rsidRPr="00F960EE">
              <w:rPr>
                <w:rFonts w:ascii="Times New Roman" w:eastAsia="Times New Roman" w:hAnsi="Times New Roman"/>
                <w:sz w:val="24"/>
                <w:szCs w:val="24"/>
              </w:rPr>
              <w:t>atsinaujinančių energijos išteklių</w:t>
            </w: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 susijusių išlaidų dalis yra tinkamos finansuoti išlaidos.</w:t>
            </w:r>
          </w:p>
        </w:tc>
        <w:tc>
          <w:tcPr>
            <w:tcW w:w="5077" w:type="dxa"/>
          </w:tcPr>
          <w:p w:rsidR="004E2C68" w:rsidRPr="00C6517B" w:rsidRDefault="004E2C68" w:rsidP="00D1532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2C68" w:rsidRPr="00C6517B" w:rsidRDefault="004E2C68" w:rsidP="00D1532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E2C68" w:rsidRPr="00C6517B" w:rsidTr="00D15321">
        <w:trPr>
          <w:trHeight w:val="2170"/>
        </w:trPr>
        <w:tc>
          <w:tcPr>
            <w:tcW w:w="675" w:type="dxa"/>
          </w:tcPr>
          <w:p w:rsidR="004E2C68" w:rsidRPr="00C6517B" w:rsidRDefault="004E2C68" w:rsidP="00D1532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434" w:type="dxa"/>
          </w:tcPr>
          <w:p w:rsidR="004E2C68" w:rsidRPr="00C6517B" w:rsidRDefault="004E2C68" w:rsidP="00D15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6 dalies b punktas: jeigu </w:t>
            </w:r>
            <w:r w:rsidRPr="00D45B7D">
              <w:rPr>
                <w:rFonts w:ascii="Times New Roman" w:eastAsia="Times New Roman" w:hAnsi="Times New Roman"/>
                <w:sz w:val="24"/>
                <w:szCs w:val="24"/>
              </w:rPr>
              <w:t xml:space="preserve">investicijų į </w:t>
            </w:r>
            <w:r w:rsidRPr="00F960EE">
              <w:rPr>
                <w:rFonts w:ascii="Times New Roman" w:eastAsia="Times New Roman" w:hAnsi="Times New Roman"/>
                <w:sz w:val="24"/>
                <w:szCs w:val="24"/>
              </w:rPr>
              <w:t>atsinaujinančių energijos išteklių</w:t>
            </w:r>
            <w:r w:rsidRPr="00D45B7D">
              <w:rPr>
                <w:rFonts w:ascii="Times New Roman" w:eastAsia="Times New Roman" w:hAnsi="Times New Roman"/>
                <w:sz w:val="24"/>
                <w:szCs w:val="24"/>
              </w:rPr>
              <w:t xml:space="preserve"> gamybą išlaidų dalį galima nustatyti lyginant su panašiomis mažiau aplink</w:t>
            </w:r>
            <w:r w:rsidRPr="00141A72">
              <w:rPr>
                <w:rFonts w:ascii="Times New Roman" w:eastAsia="Times New Roman" w:hAnsi="Times New Roman"/>
                <w:sz w:val="24"/>
                <w:szCs w:val="24"/>
              </w:rPr>
              <w:t xml:space="preserve">ai naudingomis investicijomis, kurios, tikėtina, būtų įvykdytos be pagalbos, šis abiejų investicijų išlaidų skirtumas nurodo su </w:t>
            </w:r>
            <w:r w:rsidRPr="00F960EE">
              <w:rPr>
                <w:rFonts w:ascii="Times New Roman" w:eastAsia="Times New Roman" w:hAnsi="Times New Roman"/>
                <w:sz w:val="24"/>
                <w:szCs w:val="24"/>
              </w:rPr>
              <w:t>atsinaujinančių energijos išteklių</w:t>
            </w:r>
            <w:r w:rsidRPr="00C6517B">
              <w:rPr>
                <w:rFonts w:ascii="Times New Roman" w:eastAsia="Times New Roman" w:hAnsi="Times New Roman"/>
                <w:sz w:val="24"/>
                <w:szCs w:val="24"/>
              </w:rPr>
              <w:t xml:space="preserve"> susijusias išlaidas ir sudaro tinkamas finansuoti išlaidas. Panašios mažiau aplinkai naudingos investicijos suprantamos kaip investicijos, susijusios su tradiciniu išteklių (pvz., iš iškastinio kuro) energijos gamyba.</w:t>
            </w:r>
          </w:p>
        </w:tc>
        <w:tc>
          <w:tcPr>
            <w:tcW w:w="5077" w:type="dxa"/>
          </w:tcPr>
          <w:p w:rsidR="004E2C68" w:rsidRPr="00C6517B" w:rsidRDefault="004E2C68" w:rsidP="00D1532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2C68" w:rsidRPr="00C6517B" w:rsidRDefault="004E2C68" w:rsidP="00D1532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4E2C68" w:rsidRPr="00C6517B" w:rsidRDefault="004E2C68" w:rsidP="004E2C68">
      <w:pPr>
        <w:tabs>
          <w:tab w:val="left" w:pos="795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C68" w:rsidRPr="00141A72" w:rsidRDefault="004E2C68" w:rsidP="004E2C68">
      <w:pPr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45B7D">
        <w:rPr>
          <w:rFonts w:ascii="Times New Roman" w:eastAsia="Times New Roman" w:hAnsi="Times New Roman"/>
          <w:b/>
          <w:sz w:val="24"/>
          <w:szCs w:val="24"/>
          <w:lang w:eastAsia="lt-LT"/>
        </w:rPr>
        <w:t>Prie paraiškos gali būti pridedami kiti dokumentai, patvirtinantys ar pagrindžiantys paraiškoje pateiktą informaciją.</w:t>
      </w:r>
    </w:p>
    <w:p w:rsidR="004E2C68" w:rsidRPr="00C6517B" w:rsidRDefault="004E2C68" w:rsidP="004E2C68">
      <w:pPr>
        <w:rPr>
          <w:rFonts w:ascii="Times New Roman" w:eastAsia="Times New Roman" w:hAnsi="Times New Roman"/>
          <w:sz w:val="24"/>
          <w:szCs w:val="24"/>
          <w:lang w:eastAsia="lt-LT"/>
        </w:rPr>
      </w:pPr>
      <w:r w:rsidRPr="00C6517B">
        <w:rPr>
          <w:rFonts w:ascii="Times New Roman" w:eastAsia="Times New Roman" w:hAnsi="Times New Roman"/>
          <w:sz w:val="24"/>
          <w:szCs w:val="24"/>
          <w:lang w:eastAsia="lt-LT"/>
        </w:rPr>
        <w:t>______________________            _________________           ___________________________</w:t>
      </w:r>
    </w:p>
    <w:p w:rsidR="004E2C68" w:rsidRPr="00C6517B" w:rsidRDefault="004E2C68" w:rsidP="004E2C68">
      <w:pPr>
        <w:rPr>
          <w:rFonts w:ascii="Times New Roman" w:eastAsia="Times New Roman" w:hAnsi="Times New Roman"/>
          <w:sz w:val="24"/>
          <w:szCs w:val="24"/>
          <w:lang w:eastAsia="lt-LT"/>
        </w:rPr>
      </w:pPr>
      <w:r w:rsidRPr="00C6517B">
        <w:rPr>
          <w:rFonts w:ascii="Times New Roman" w:eastAsia="Times New Roman" w:hAnsi="Times New Roman"/>
          <w:sz w:val="24"/>
          <w:szCs w:val="24"/>
          <w:lang w:eastAsia="lt-LT"/>
        </w:rPr>
        <w:t xml:space="preserve">(vadovo pareigos)                                </w:t>
      </w:r>
      <w:r w:rsidRPr="00C6517B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(parašas) </w:t>
      </w:r>
      <w:r w:rsidRPr="00C6517B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</w:t>
      </w:r>
      <w:r w:rsidRPr="00C6517B">
        <w:rPr>
          <w:rFonts w:ascii="Times New Roman" w:eastAsia="Times New Roman" w:hAnsi="Times New Roman"/>
          <w:sz w:val="24"/>
          <w:szCs w:val="24"/>
          <w:lang w:eastAsia="lt-LT"/>
        </w:rPr>
        <w:tab/>
        <w:t>(vardas ir pavardė)</w:t>
      </w:r>
    </w:p>
    <w:p w:rsidR="004E2C68" w:rsidRPr="004155EB" w:rsidRDefault="004E2C68" w:rsidP="004E2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55E">
        <w:rPr>
          <w:rFonts w:ascii="Times New Roman" w:hAnsi="Times New Roman"/>
          <w:sz w:val="24"/>
          <w:szCs w:val="24"/>
        </w:rPr>
        <w:t>____________________</w:t>
      </w:r>
    </w:p>
    <w:p w:rsidR="00A97CA9" w:rsidRDefault="00A97CA9">
      <w:bookmarkStart w:id="0" w:name="_GoBack"/>
      <w:bookmarkEnd w:id="0"/>
    </w:p>
    <w:sectPr w:rsidR="00A97CA9" w:rsidSect="000D0478">
      <w:headerReference w:type="first" r:id="rId5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9B" w:rsidRPr="00B17BEA" w:rsidRDefault="004E2C68" w:rsidP="007F4B27">
    <w:pPr>
      <w:pStyle w:val="Antrats"/>
      <w:tabs>
        <w:tab w:val="clear" w:pos="4819"/>
        <w:tab w:val="clear" w:pos="9638"/>
        <w:tab w:val="left" w:pos="6695"/>
      </w:tabs>
      <w:jc w:val="center"/>
      <w:rPr>
        <w:rFonts w:ascii="Times New Roman" w:hAnsi="Times New Roman"/>
        <w:sz w:val="24"/>
        <w:szCs w:val="24"/>
      </w:rPr>
    </w:pPr>
  </w:p>
  <w:p w:rsidR="00B17BEA" w:rsidRDefault="004E2C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E3A"/>
    <w:multiLevelType w:val="multilevel"/>
    <w:tmpl w:val="D48CA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8A2E38"/>
    <w:multiLevelType w:val="multilevel"/>
    <w:tmpl w:val="A09CFA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53442"/>
    <w:multiLevelType w:val="multilevel"/>
    <w:tmpl w:val="EA266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C12AF8"/>
    <w:multiLevelType w:val="hybridMultilevel"/>
    <w:tmpl w:val="CF62654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C1"/>
    <w:rsid w:val="00146998"/>
    <w:rsid w:val="003D6B95"/>
    <w:rsid w:val="004E2C68"/>
    <w:rsid w:val="007D6CCF"/>
    <w:rsid w:val="00A31C9D"/>
    <w:rsid w:val="00A42B5E"/>
    <w:rsid w:val="00A97CA9"/>
    <w:rsid w:val="00AD25A2"/>
    <w:rsid w:val="00C553C1"/>
    <w:rsid w:val="00D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DE98E-5426-45E2-BEBC-DF4AAF1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2C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2C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2C6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E2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C68"/>
    <w:rPr>
      <w:rFonts w:ascii="Calibri" w:eastAsia="Calibri" w:hAnsi="Calibri" w:cs="Times New Roman"/>
    </w:rPr>
  </w:style>
  <w:style w:type="table" w:customStyle="1" w:styleId="TableGrid1">
    <w:name w:val="Table Grid1"/>
    <w:basedOn w:val="prastojilentel"/>
    <w:next w:val="Lentelstinklelis"/>
    <w:uiPriority w:val="59"/>
    <w:rsid w:val="004E2C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5025</Words>
  <Characters>2865</Characters>
  <Application>Microsoft Office Word</Application>
  <DocSecurity>0</DocSecurity>
  <Lines>23</Lines>
  <Paragraphs>15</Paragraphs>
  <ScaleCrop>false</ScaleCrop>
  <Company>LVPA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Skirmantiene Aiste</dc:creator>
  <cp:keywords/>
  <dc:description/>
  <cp:lastModifiedBy>Skirmantiene Aiste</cp:lastModifiedBy>
  <cp:revision>2</cp:revision>
  <dcterms:created xsi:type="dcterms:W3CDTF">2016-10-24T10:53:00Z</dcterms:created>
  <dcterms:modified xsi:type="dcterms:W3CDTF">2016-10-24T10:54:00Z</dcterms:modified>
</cp:coreProperties>
</file>