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  <Relationship Id="rId5" Type="http://schemas.openxmlformats.org/package/2006/relationships/metadata/core-properties" Target="docProps/core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taisx="http://lrs.lt/TAIS/DocPartXmlMarks" mc:Ignorable="w14 wp14">
  <w:body>
    <w:sdt>
      <w:sdtPr>
        <w:alias w:val="pagrindine"/>
        <w:tag w:val="part_510635e7a46f43758e6f8e575dd3a2f2"/>
        <w:lock w:val="sdtLocked"/>
        <w:richText/>
      </w:sdtPr>
      <w:sdtContent>
        <w:p>
          <w:pPr>
            <w:tabs>
              <w:tab w:val="center" w:pos="4153"/>
              <w:tab w:val="right" w:pos="8306"/>
            </w:tabs>
            <w:jc w:val="right"/>
            <w:rPr>
              <w:sz w:val="20"/>
              <w:lang w:eastAsia="lt-LT"/>
            </w:rPr>
          </w:pPr>
          <w:r>
            <w:rPr>
              <w:b/>
              <w:szCs w:val="24"/>
              <w:lang w:eastAsia="lt-LT"/>
            </w:rPr>
            <w:t>Projektas</w:t>
          </w:r>
        </w:p>
        <w:p>
          <w:pPr>
            <w:tabs>
              <w:tab w:val="center" w:pos="4153"/>
              <w:tab w:val="right" w:pos="8306"/>
            </w:tabs>
            <w:rPr>
              <w:sz w:val="20"/>
              <w:lang w:eastAsia="lt-LT"/>
            </w:rPr>
          </w:pPr>
        </w:p>
        <w:p>
          <w:pPr>
            <w:jc w:val="center"/>
            <w:rPr>
              <w:b/>
              <w:sz w:val="28"/>
              <w:szCs w:val="28"/>
              <w:lang w:eastAsia="lt-LT"/>
            </w:rPr>
          </w:pPr>
          <w:r>
            <w:rPr>
              <w:b/>
              <w:sz w:val="28"/>
              <w:szCs w:val="28"/>
              <w:lang w:eastAsia="lt-LT"/>
            </w:rPr>
            <w:t>LIETUVOS RESPUBLIKOS SUSISIEKIMO MINISTRAS</w:t>
          </w:r>
        </w:p>
        <w:p>
          <w:pPr>
            <w:jc w:val="center"/>
            <w:rPr>
              <w:b/>
              <w:sz w:val="28"/>
              <w:szCs w:val="28"/>
              <w:lang w:eastAsia="lt-LT"/>
            </w:rPr>
          </w:pPr>
        </w:p>
        <w:p>
          <w:pPr>
            <w:jc w:val="center"/>
            <w:rPr>
              <w:b/>
              <w:sz w:val="28"/>
              <w:szCs w:val="28"/>
              <w:lang w:eastAsia="lt-LT"/>
            </w:rPr>
          </w:pPr>
          <w:r>
            <w:rPr>
              <w:b/>
              <w:sz w:val="28"/>
              <w:szCs w:val="28"/>
              <w:lang w:eastAsia="lt-LT"/>
            </w:rPr>
            <w:t>ĮSAKYMAS</w:t>
          </w:r>
        </w:p>
        <w:p>
          <w:pPr>
            <w:jc w:val="center"/>
            <w:rPr>
              <w:b/>
              <w:sz w:val="28"/>
              <w:szCs w:val="28"/>
              <w:lang w:eastAsia="lt-LT"/>
            </w:rPr>
          </w:pPr>
          <w:r>
            <w:rPr>
              <w:b/>
              <w:sz w:val="28"/>
              <w:szCs w:val="28"/>
              <w:lang w:eastAsia="lt-LT"/>
            </w:rPr>
            <w:t>DĖL LIETUVOS RESPUBLIKOS SUSISIEKIMO MINISTRO 2015 M. LIEPOS 2 D. ĮSAKYMO NR. 3-285(1.5 E) „DĖL LIETUVOS RESPUBLIKOS SUSISIEKIMO MINISTERIJOS 2014–2020 METŲ EUROPOS SĄJUNGOS FONDŲ INVESTICIJŲ VEIKSMŲ PROGRAMOS PRIORITETŲ ĮGYVENDINIMO PRIEMONIŲ ĮGYVENDINIMO PLANO IR NACIONALINIŲ STEBĖSENOS RODIKLIŲ SKAIČIAVIMO APRAŠŲ PATVIRTINIMO“ PAKEITIMO</w:t>
          </w:r>
        </w:p>
        <w:p>
          <w:pPr>
            <w:spacing w:line="360" w:lineRule="auto"/>
            <w:jc w:val="center"/>
            <w:rPr>
              <w:lang w:eastAsia="lt-LT"/>
            </w:rPr>
          </w:pPr>
        </w:p>
        <w:p>
          <w:pPr>
            <w:jc w:val="center"/>
            <w:rPr>
              <w:lang w:eastAsia="lt-LT"/>
            </w:rPr>
          </w:pPr>
          <w:r>
            <w:rPr>
              <w:lang w:eastAsia="lt-LT"/>
            </w:rPr>
            <w:t xml:space="preserve">2016 m.                d. Nr. 3-</w:t>
          </w:r>
        </w:p>
        <w:p>
          <w:pPr>
            <w:spacing w:line="360" w:lineRule="auto"/>
            <w:jc w:val="center"/>
            <w:rPr>
              <w:lang w:eastAsia="lt-LT"/>
            </w:rPr>
          </w:pPr>
          <w:r>
            <w:rPr>
              <w:lang w:eastAsia="lt-LT"/>
            </w:rPr>
            <w:t>Vilnius</w:t>
          </w:r>
        </w:p>
        <w:sdt>
          <w:sdtPr>
            <w:alias w:val="preambule"/>
            <w:tag w:val="part_3d221c411d81438c8721b4603f4ba939"/>
            <w:lock w:val="sdtLocked"/>
            <w:richText/>
          </w:sdtPr>
          <w:sdtContent>
            <w:p>
              <w:pPr>
                <w:shd w:val="clear" w:color="auto" w:fill="FFFFFF"/>
                <w:ind w:firstLine="720"/>
                <w:jc w:val="both"/>
                <w:rPr>
                  <w:szCs w:val="24"/>
                  <w:lang w:eastAsia="lt-LT"/>
                </w:rPr>
              </w:pPr>
              <w:r>
                <w:rPr>
                  <w:szCs w:val="24"/>
                  <w:lang w:eastAsia="lt-LT"/>
                </w:rPr>
                <w:t>P a k e i č i u Lietuvos Respublikos susisiekimo ministerijos 2014–2020 m. Europos Sąjungos fondų investicijų veiksmų programos prioritetų įgyvendinimo priemonių įgyvendinimo planą, patvirtintą Lietuvos Respublikos susisiekimo ministro 2015 m. liepos 2 d. įsakymu</w:t>
                <w:br/>
                <w:t>Nr. 3-285(1.5 E) „Dėl Lietuvos Respublikos susisiekimo ministerijos 2014–2020 metų Europos Sąjungos fondų investicijų veiksmų programos prioritetų įgyvendinimo priemonių įgyvendinimo plano ir nacionalinių stebėsenos rodiklių skaičiavimo aprašų patvirtinimo“:</w:t>
              </w:r>
            </w:p>
          </w:sdtContent>
        </w:sdt>
        <w:sdt>
          <w:sdtPr>
            <w:alias w:val="1 p."/>
            <w:tag w:val="part_2418e9495398406b9e871f24e1add5d6"/>
            <w:lock w:val="sdtLocked"/>
            <w:richText/>
          </w:sdtPr>
          <w:sdtContent>
            <w:p>
              <w:pPr>
                <w:shd w:val="clear" w:color="auto" w:fill="FFFFFF"/>
                <w:ind w:firstLine="720"/>
                <w:jc w:val="both"/>
                <w:rPr>
                  <w:szCs w:val="24"/>
                  <w:lang w:eastAsia="lt-LT"/>
                </w:rPr>
              </w:pPr>
              <w:sdt>
                <w:sdtPr>
                  <w:alias w:val="Numeris"/>
                  <w:tag w:val="nr_2418e9495398406b9e871f24e1add5d6"/>
                  <w:lock w:val="sdtLocked"/>
                  <w:richText/>
                </w:sdtPr>
                <w:sdtContent>
                  <w:r>
                    <w:rPr>
                      <w:szCs w:val="24"/>
                      <w:lang w:eastAsia="lt-LT"/>
                    </w:rPr>
                    <w:t>1</w:t>
                  </w:r>
                </w:sdtContent>
              </w:sdt>
              <w:r>
                <w:rPr>
                  <w:szCs w:val="24"/>
                  <w:lang w:eastAsia="lt-LT"/>
                </w:rPr>
                <w:t>. Pakeičiu III skyriaus septintojo skirsnio 1.4 papunktį ir jį išdėstau taip:</w:t>
              </w:r>
            </w:p>
            <w:sdt>
              <w:sdtPr>
                <w:alias w:val="citata"/>
                <w:tag w:val="part_73f124b7b4b446fdb3c662f761828bc6"/>
                <w:lock w:val="sdtLocked"/>
                <w:richText/>
              </w:sdtPr>
              <w:sdtContent>
                <w:sdt>
                  <w:sdtPr>
                    <w:alias w:val="1.4 pp."/>
                    <w:tag w:val="part_432126ab0e1a4a89b2a0dc596ccf7cb7"/>
                    <w:lock w:val="sdtLocked"/>
                    <w:richText/>
                  </w:sdtPr>
                  <w:sdtContent>
                    <w:p>
                      <w:pPr>
                        <w:tabs>
                          <w:tab w:val="left" w:pos="0"/>
                          <w:tab w:val="left" w:pos="567"/>
                        </w:tabs>
                        <w:ind w:left="1004" w:hanging="295"/>
                        <w:jc w:val="both"/>
                        <w:rPr>
                          <w:szCs w:val="24"/>
                          <w:lang w:eastAsia="lt-LT"/>
                        </w:rPr>
                      </w:pPr>
                      <w:r>
                        <w:rPr>
                          <w:szCs w:val="24"/>
                          <w:lang w:eastAsia="lt-LT"/>
                        </w:rPr>
                        <w:t>„</w:t>
                      </w:r>
                      <w:sdt>
                        <w:sdtPr>
                          <w:alias w:val="Numeris"/>
                          <w:tag w:val="nr_432126ab0e1a4a89b2a0dc596ccf7cb7"/>
                          <w:lock w:val="sdtLocked"/>
                          <w:richText/>
                        </w:sdtPr>
                        <w:sdtContent>
                          <w:r>
                            <w:rPr>
                              <w:szCs w:val="24"/>
                              <w:lang w:eastAsia="lt-LT"/>
                            </w:rPr>
                            <w:t>1.4</w:t>
                          </w:r>
                        </w:sdtContent>
                      </w:sdt>
                      <w:r>
                        <w:rPr>
                          <w:szCs w:val="24"/>
                          <w:lang w:eastAsia="lt-LT"/>
                        </w:rPr>
                        <w:t>. Galimi pareiškėjai:</w:t>
                      </w:r>
                    </w:p>
                    <w:sdt>
                      <w:sdtPr>
                        <w:alias w:val="1.4.1 pp."/>
                        <w:tag w:val="part_58c88b51b0554f75a58204234956d33e"/>
                        <w:lock w:val="sdtLocked"/>
                        <w:richText/>
                      </w:sdtPr>
                      <w:sdtContent>
                        <w:p>
                          <w:pPr>
                            <w:tabs>
                              <w:tab w:val="left" w:pos="0"/>
                              <w:tab w:val="left" w:pos="567"/>
                            </w:tabs>
                            <w:ind w:left="1004" w:hanging="295"/>
                            <w:jc w:val="both"/>
                            <w:rPr>
                              <w:szCs w:val="24"/>
                              <w:lang w:eastAsia="lt-LT"/>
                            </w:rPr>
                          </w:pPr>
                          <w:sdt>
                            <w:sdtPr>
                              <w:alias w:val="Numeris"/>
                              <w:tag w:val="nr_58c88b51b0554f75a58204234956d33e"/>
                              <w:lock w:val="sdtLocked"/>
                              <w:richText/>
                            </w:sdtPr>
                            <w:sdtContent>
                              <w:r>
                                <w:rPr>
                                  <w:szCs w:val="24"/>
                                  <w:lang w:eastAsia="lt-LT"/>
                                </w:rPr>
                                <w:t>1.4.1</w:t>
                              </w:r>
                            </w:sdtContent>
                          </w:sdt>
                          <w:r>
                            <w:rPr>
                              <w:szCs w:val="24"/>
                              <w:lang w:eastAsia="lt-LT"/>
                            </w:rPr>
                            <w:t>. vežėjai, vykdantys keleivių vežimo veiklą.“</w:t>
                          </w:r>
                        </w:p>
                      </w:sdtContent>
                    </w:sdt>
                  </w:sdtContent>
                </w:sdt>
              </w:sdtContent>
            </w:sdt>
          </w:sdtContent>
        </w:sdt>
        <w:sdt>
          <w:sdtPr>
            <w:alias w:val="2 p."/>
            <w:tag w:val="part_7b411bbabe9241fdaf9122bf0259cde8"/>
            <w:lock w:val="sdtLocked"/>
            <w:richText/>
          </w:sdtPr>
          <w:sdtContent>
            <w:p>
              <w:pPr>
                <w:shd w:val="clear" w:color="auto" w:fill="FFFFFF"/>
                <w:ind w:firstLine="720"/>
                <w:jc w:val="both"/>
                <w:rPr>
                  <w:szCs w:val="24"/>
                  <w:lang w:eastAsia="lt-LT"/>
                </w:rPr>
              </w:pPr>
              <w:sdt>
                <w:sdtPr>
                  <w:alias w:val="Numeris"/>
                  <w:tag w:val="nr_7b411bbabe9241fdaf9122bf0259cde8"/>
                  <w:lock w:val="sdtLocked"/>
                  <w:richText/>
                </w:sdtPr>
                <w:sdtContent>
                  <w:r>
                    <w:rPr>
                      <w:szCs w:val="24"/>
                      <w:lang w:eastAsia="lt-LT"/>
                    </w:rPr>
                    <w:t>2</w:t>
                  </w:r>
                </w:sdtContent>
              </w:sdt>
              <w:r>
                <w:rPr>
                  <w:szCs w:val="24"/>
                  <w:lang w:eastAsia="lt-LT"/>
                </w:rPr>
                <w:t>. Pakeičiu III skyriaus septintojo skirsnio 6 punktą ir jį išdėstau taip:</w:t>
              </w:r>
            </w:p>
            <w:sdt>
              <w:sdtPr>
                <w:alias w:val="citata"/>
                <w:tag w:val="part_578fe3e71e1046eb800a65d3c91831d3"/>
                <w:lock w:val="sdtLocked"/>
                <w:richText/>
              </w:sdtPr>
              <w:sdtContent>
                <w:sdt>
                  <w:sdtPr>
                    <w:alias w:val="6 p."/>
                    <w:tag w:val="part_0147753fcb1349a88f70505d808b5b69"/>
                    <w:lock w:val="sdtLocked"/>
                    <w:richText/>
                  </w:sdtPr>
                  <w:sdtContent>
                    <w:p>
                      <w:pPr>
                        <w:ind w:left="1560" w:hanging="851"/>
                        <w:jc w:val="both"/>
                        <w:rPr>
                          <w:szCs w:val="24"/>
                          <w:lang w:eastAsia="lt-LT"/>
                        </w:rPr>
                      </w:pPr>
                      <w:r>
                        <w:rPr>
                          <w:szCs w:val="24"/>
                          <w:lang w:eastAsia="lt-LT"/>
                        </w:rPr>
                        <w:t>„</w:t>
                      </w:r>
                      <w:sdt>
                        <w:sdtPr>
                          <w:alias w:val="Numeris"/>
                          <w:tag w:val="nr_0147753fcb1349a88f70505d808b5b69"/>
                          <w:lock w:val="sdtLocked"/>
                          <w:richText/>
                        </w:sdtPr>
                        <w:sdtContent>
                          <w:r>
                            <w:rPr>
                              <w:szCs w:val="24"/>
                              <w:lang w:eastAsia="lt-LT"/>
                            </w:rPr>
                            <w:t>6</w:t>
                          </w:r>
                        </w:sdtContent>
                      </w:sdt>
                      <w:r>
                        <w:rPr>
                          <w:szCs w:val="24"/>
                          <w:lang w:eastAsia="lt-LT"/>
                        </w:rPr>
                        <w:t>. P</w:t>
                      </w:r>
                      <w:r>
                        <w:rPr>
                          <w:bCs/>
                          <w:szCs w:val="24"/>
                          <w:lang w:eastAsia="lt-LT"/>
                        </w:rPr>
                        <w:t>riemonės įgyvendinimo stebėsenos rodikliai</w:t>
                      </w:r>
                    </w:p>
                  </w:sdtContent>
                </w:sdt>
              </w:sdtContent>
            </w:sdt>
            <w:sdt>
              <w:sdtPr>
                <w:alias w:val="pastraipa"/>
                <w:tag w:val="part_e6da31801d3342e9863309fb4d964f72"/>
                <w:lock w:val="sdtLocked"/>
                <w:richText/>
              </w:sdtPr>
              <w:sdtContent>
                <w:tbl>
                  <w:tblPr>
                    <w:tblW w:w="974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413"/>
                    <w:gridCol w:w="3260"/>
                    <w:gridCol w:w="1276"/>
                    <w:gridCol w:w="1843"/>
                    <w:gridCol w:w="1955"/>
                  </w:tblGrid>
                  <w:tr>
                    <w:trPr>
                      <w:trHeight w:val="699"/>
                    </w:trPr>
                    <w:tc>
                      <w:tcPr>
                        <w:tcW w:w="141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>
                        <w:pPr>
                          <w:tabs>
                            <w:tab w:val="left" w:pos="284"/>
                          </w:tabs>
                          <w:jc w:val="center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Stebėsenos rodiklio kodas</w:t>
                        </w:r>
                      </w:p>
                    </w:tc>
                    <w:tc>
                      <w:tcPr>
                        <w:tcW w:w="32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>
                        <w:pPr>
                          <w:tabs>
                            <w:tab w:val="left" w:pos="0"/>
                          </w:tabs>
                          <w:jc w:val="center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Stebėsenos rodiklio pavadinimas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>
                        <w:pPr>
                          <w:tabs>
                            <w:tab w:val="left" w:pos="0"/>
                          </w:tabs>
                          <w:jc w:val="center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Matavimo vienetas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>
                        <w:pPr>
                          <w:tabs>
                            <w:tab w:val="left" w:pos="0"/>
                          </w:tabs>
                          <w:jc w:val="center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Tarpinė reikšmė 2018 m. gruodžio 31 d.</w:t>
                        </w:r>
                      </w:p>
                    </w:tc>
                    <w:tc>
                      <w:tcPr>
                        <w:tcW w:w="195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>
                        <w:pPr>
                          <w:tabs>
                            <w:tab w:val="left" w:pos="0"/>
                          </w:tabs>
                          <w:jc w:val="center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Galutinė reikšmė 2023 m. gruodžio 31 d.</w:t>
                        </w:r>
                      </w:p>
                    </w:tc>
                  </w:tr>
                  <w:tr>
                    <w:tc>
                      <w:tcPr>
                        <w:tcW w:w="141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>
                        <w:pPr>
                          <w:jc w:val="center"/>
                          <w:rPr>
                            <w:color w:val="000000"/>
                            <w:szCs w:val="24"/>
                            <w:lang w:eastAsia="lt-LT"/>
                          </w:rPr>
                        </w:pPr>
                        <w:r>
                          <w:rPr>
                            <w:color w:val="000000"/>
                            <w:szCs w:val="24"/>
                            <w:lang w:eastAsia="lt-LT"/>
                          </w:rPr>
                          <w:t>R.N.512</w:t>
                        </w:r>
                      </w:p>
                    </w:tc>
                    <w:tc>
                      <w:tcPr>
                        <w:tcW w:w="32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>
                        <w:pPr>
                          <w:widowControl w:val="0"/>
                          <w:tabs>
                            <w:tab w:val="left" w:pos="622"/>
                          </w:tabs>
                          <w:rPr>
                            <w:rFonts w:eastAsia="AngsanaUPC"/>
                            <w:bCs/>
                            <w:iCs/>
                            <w:spacing w:val="-4"/>
                            <w:szCs w:val="24"/>
                            <w:lang w:eastAsia="lt-LT"/>
                          </w:rPr>
                        </w:pPr>
                        <w:r>
                          <w:rPr>
                            <w:spacing w:val="-4"/>
                            <w:szCs w:val="24"/>
                            <w:lang w:eastAsia="lt-LT"/>
                          </w:rPr>
                          <w:t xml:space="preserve">„Tolimojo reguliaraus susisiekimo autobusų, vietinio susisiekimo keleivinių traukinių ir reguliaraus susisiekimo laivų ir keltų </w:t>
                        </w:r>
                        <w:r>
                          <w:rPr>
                            <w:rFonts w:eastAsia="AngsanaUPC"/>
                            <w:bCs/>
                            <w:iCs/>
                            <w:spacing w:val="-4"/>
                            <w:szCs w:val="24"/>
                            <w:lang w:eastAsia="lt-LT"/>
                          </w:rPr>
                          <w:t>vežamų keleivių skaičius“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>
                        <w:pPr>
                          <w:widowControl w:val="0"/>
                          <w:tabs>
                            <w:tab w:val="left" w:pos="622"/>
                          </w:tabs>
                          <w:jc w:val="center"/>
                          <w:rPr>
                            <w:rFonts w:eastAsia="AngsanaUPC"/>
                            <w:bCs/>
                            <w:iCs/>
                            <w:szCs w:val="24"/>
                            <w:lang w:eastAsia="lt-LT"/>
                          </w:rPr>
                        </w:pPr>
                        <w:r>
                          <w:rPr>
                            <w:rFonts w:eastAsia="AngsanaUPC"/>
                            <w:bCs/>
                            <w:iCs/>
                            <w:szCs w:val="24"/>
                            <w:lang w:eastAsia="lt-LT"/>
                          </w:rPr>
                          <w:t>Tūkst. keleivių / metai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>
                        <w:pPr>
                          <w:tabs>
                            <w:tab w:val="left" w:pos="0"/>
                          </w:tabs>
                          <w:jc w:val="center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14100</w:t>
                        </w:r>
                      </w:p>
                    </w:tc>
                    <w:tc>
                      <w:tcPr>
                        <w:tcW w:w="195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>
                        <w:pPr>
                          <w:tabs>
                            <w:tab w:val="left" w:pos="0"/>
                          </w:tabs>
                          <w:jc w:val="center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14406</w:t>
                        </w:r>
                      </w:p>
                    </w:tc>
                  </w:tr>
                  <w:tr>
                    <w:trPr>
                      <w:trHeight w:val="474"/>
                    </w:trPr>
                    <w:tc>
                      <w:tcPr>
                        <w:tcW w:w="141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>
                        <w:pPr>
                          <w:jc w:val="center"/>
                          <w:rPr>
                            <w:color w:val="000000"/>
                            <w:szCs w:val="24"/>
                            <w:lang w:eastAsia="lt-LT"/>
                          </w:rPr>
                        </w:pPr>
                        <w:r>
                          <w:rPr>
                            <w:color w:val="000000"/>
                            <w:szCs w:val="24"/>
                            <w:lang w:eastAsia="lt-LT"/>
                          </w:rPr>
                          <w:t>P.N.510</w:t>
                        </w:r>
                      </w:p>
                    </w:tc>
                    <w:tc>
                      <w:tcPr>
                        <w:tcW w:w="32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>
                        <w:pPr>
                          <w:widowControl w:val="0"/>
                          <w:tabs>
                            <w:tab w:val="left" w:pos="622"/>
                          </w:tabs>
                          <w:rPr>
                            <w:rFonts w:eastAsia="AngsanaUPC"/>
                            <w:bCs/>
                            <w:iCs/>
                            <w:szCs w:val="24"/>
                            <w:lang w:eastAsia="lt-LT"/>
                          </w:rPr>
                        </w:pPr>
                        <w:r>
                          <w:rPr>
                            <w:rFonts w:eastAsia="AngsanaUPC"/>
                            <w:bCs/>
                            <w:iCs/>
                            <w:szCs w:val="24"/>
                            <w:lang w:eastAsia="lt-LT"/>
                          </w:rPr>
                          <w:t>„Viešojo transporto priemonės, pritaikytos specialiųjų poreikių turintiems žmonėms ir / ar dviračiams vežti“</w:t>
                        </w:r>
                      </w:p>
                    </w:tc>
                    <w:tc>
                      <w:tcPr>
                        <w:tcW w:w="12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>
                        <w:pPr>
                          <w:widowControl w:val="0"/>
                          <w:tabs>
                            <w:tab w:val="left" w:pos="622"/>
                          </w:tabs>
                          <w:jc w:val="center"/>
                          <w:rPr>
                            <w:rFonts w:eastAsia="AngsanaUPC"/>
                            <w:bCs/>
                            <w:iCs/>
                            <w:szCs w:val="24"/>
                            <w:lang w:eastAsia="lt-LT"/>
                          </w:rPr>
                        </w:pPr>
                        <w:r>
                          <w:rPr>
                            <w:rFonts w:eastAsia="AngsanaUPC"/>
                            <w:bCs/>
                            <w:iCs/>
                            <w:szCs w:val="24"/>
                            <w:lang w:eastAsia="lt-LT"/>
                          </w:rPr>
                          <w:t>Skaičius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>
                        <w:pPr>
                          <w:tabs>
                            <w:tab w:val="left" w:pos="0"/>
                          </w:tabs>
                          <w:jc w:val="center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2</w:t>
                        </w:r>
                      </w:p>
                    </w:tc>
                    <w:tc>
                      <w:tcPr>
                        <w:tcW w:w="195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>
                        <w:pPr>
                          <w:tabs>
                            <w:tab w:val="left" w:pos="0"/>
                          </w:tabs>
                          <w:jc w:val="center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10“.</w:t>
                        </w:r>
                      </w:p>
                    </w:tc>
                  </w:tr>
                </w:tbl>
                <w:p>
                  <w:pPr>
                    <w:shd w:val="clear" w:color="auto" w:fill="FFFFFF"/>
                    <w:spacing w:line="276" w:lineRule="auto"/>
                    <w:ind w:firstLine="720"/>
                    <w:jc w:val="both"/>
                    <w:rPr>
                      <w:sz w:val="4"/>
                      <w:szCs w:val="4"/>
                      <w:lang w:eastAsia="lt-LT"/>
                    </w:rPr>
                  </w:pPr>
                </w:p>
              </w:sdtContent>
            </w:sdt>
            <w:sdt>
              <w:sdtPr>
                <w:alias w:val="pastraipa"/>
                <w:tag w:val="part_db1d7aebd1ea403fbd09a13462bfee95"/>
                <w:lock w:val="sdtLocked"/>
                <w:richText/>
              </w:sdtPr>
              <w:sdtContent>
                <w:tbl>
                  <w:tblPr>
                    <w:tblW w:w="9850" w:type="dxa"/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4111"/>
                    <w:gridCol w:w="2456"/>
                    <w:gridCol w:w="3283"/>
                  </w:tblGrid>
                  <w:tr>
                    <w:trPr>
                      <w:trHeight w:val="2136"/>
                    </w:trPr>
                    <w:tc>
                      <w:tcPr>
                        <w:tcW w:w="4111" w:type="dxa"/>
                      </w:tcPr>
                      <w:p>
                        <w:pPr>
                          <w:rPr>
                            <w:sz w:val="42"/>
                            <w:szCs w:val="42"/>
                          </w:rPr>
                        </w:pPr>
                      </w:p>
                      <w:p>
                        <w:pPr>
                          <w:spacing w:line="276" w:lineRule="auto"/>
                          <w:ind w:left="-108"/>
                          <w:rPr>
                            <w:lang w:eastAsia="lt-LT"/>
                          </w:rPr>
                        </w:pPr>
                        <w:r>
                          <w:rPr>
                            <w:lang w:eastAsia="lt-LT"/>
                          </w:rPr>
                          <w:t>Susisiekimo ministras</w:t>
                        </w:r>
                      </w:p>
                      <w:p>
                        <w:pPr>
                          <w:ind w:left="-108"/>
                          <w:rPr>
                            <w:szCs w:val="24"/>
                            <w:lang w:eastAsia="lt-LT"/>
                          </w:rPr>
                        </w:pPr>
                      </w:p>
                      <w:p>
                        <w:pPr>
                          <w:ind w:left="-108"/>
                          <w:rPr>
                            <w:szCs w:val="24"/>
                            <w:lang w:eastAsia="lt-LT"/>
                          </w:rPr>
                        </w:pPr>
                      </w:p>
                      <w:p>
                        <w:pPr>
                          <w:ind w:left="-108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SUDERINTA</w:t>
                        </w:r>
                      </w:p>
                      <w:p>
                        <w:pPr>
                          <w:ind w:left="-108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 xml:space="preserve">Transporto investicijų direkcijos </w:t>
                        </w:r>
                      </w:p>
                      <w:p>
                        <w:pPr>
                          <w:ind w:left="-108"/>
                          <w:rPr>
                            <w:szCs w:val="24"/>
                            <w:lang w:eastAsia="lt-LT"/>
                          </w:rPr>
                        </w:pPr>
                        <w:r>
                          <w:rPr>
                            <w:szCs w:val="24"/>
                            <w:lang w:eastAsia="lt-LT"/>
                          </w:rPr>
                          <w:t>2016 m. spalio 18 d. raštu Nr. 1.2-992</w:t>
                        </w:r>
                      </w:p>
                    </w:tc>
                    <w:tc>
                      <w:tcPr>
                        <w:tcW w:w="2456" w:type="dxa"/>
                      </w:tcPr>
                      <w:p>
                        <w:pPr>
                          <w:rPr>
                            <w:sz w:val="42"/>
                            <w:szCs w:val="42"/>
                          </w:rPr>
                        </w:pPr>
                      </w:p>
                      <w:p>
                        <w:pPr>
                          <w:spacing w:line="276" w:lineRule="auto"/>
                          <w:rPr>
                            <w:lang w:eastAsia="lt-LT"/>
                          </w:rPr>
                        </w:pPr>
                      </w:p>
                    </w:tc>
                    <w:tc>
                      <w:tcPr>
                        <w:tcW w:w="3283" w:type="dxa"/>
                      </w:tcPr>
                      <w:p>
                        <w:pPr>
                          <w:rPr>
                            <w:sz w:val="42"/>
                            <w:szCs w:val="42"/>
                          </w:rPr>
                        </w:pPr>
                      </w:p>
                      <w:p>
                        <w:pPr>
                          <w:spacing w:line="276" w:lineRule="auto"/>
                          <w:rPr>
                            <w:lang w:eastAsia="lt-LT"/>
                          </w:rPr>
                        </w:pPr>
                      </w:p>
                    </w:tc>
                  </w:tr>
                </w:tbl>
                <w:p>
                  <w:pPr>
                    <w:spacing w:line="276" w:lineRule="auto"/>
                    <w:rPr>
                      <w:sz w:val="16"/>
                      <w:szCs w:val="16"/>
                      <w:lang w:eastAsia="lt-LT"/>
                    </w:rPr>
                  </w:pPr>
                </w:p>
                <w:p>
                  <w:pPr>
                    <w:spacing w:line="276" w:lineRule="auto"/>
                    <w:rPr>
                      <w:sz w:val="20"/>
                      <w:lang w:eastAsia="lt-LT"/>
                    </w:rPr>
                  </w:pPr>
                </w:p>
                <w:p>
                  <w:pPr>
                    <w:spacing w:line="276" w:lineRule="auto"/>
                    <w:rPr>
                      <w:sz w:val="20"/>
                      <w:lang w:eastAsia="lt-LT"/>
                    </w:rPr>
                  </w:pPr>
                </w:p>
              </w:sdtContent>
            </w:sdt>
          </w:sdtContent>
        </w:sdt>
        <w:sdt>
          <w:sdtPr>
            <w:alias w:val="signatura"/>
            <w:tag w:val="part_f51923a11d76475ba7a24bf69c326a9f"/>
            <w:lock w:val="sdtLocked"/>
            <w:richText/>
          </w:sdtPr>
          <w:sdtContent>
            <w:p>
              <w:pPr>
                <w:spacing w:line="276" w:lineRule="auto"/>
                <w:rPr>
                  <w:sz w:val="20"/>
                  <w:lang w:eastAsia="lt-LT"/>
                </w:rPr>
              </w:pPr>
              <w:r>
                <w:rPr>
                  <w:sz w:val="20"/>
                  <w:lang w:eastAsia="lt-LT"/>
                </w:rPr>
                <w:t>Parengė</w:t>
              </w:r>
            </w:p>
            <w:p>
              <w:pPr>
                <w:spacing w:line="276" w:lineRule="auto"/>
                <w:rPr>
                  <w:sz w:val="20"/>
                  <w:lang w:eastAsia="lt-LT"/>
                </w:rPr>
              </w:pPr>
              <w:r>
                <w:rPr>
                  <w:sz w:val="20"/>
                  <w:lang w:eastAsia="lt-LT"/>
                </w:rPr>
                <w:t>S. Volkovas</w:t>
              </w:r>
            </w:p>
            <w:p>
              <w:pPr>
                <w:spacing w:line="276" w:lineRule="auto"/>
                <w:rPr>
                  <w:sz w:val="20"/>
                  <w:lang w:eastAsia="lt-LT"/>
                </w:rPr>
              </w:pPr>
              <w:r>
                <w:rPr>
                  <w:sz w:val="20"/>
                  <w:lang w:eastAsia="lt-LT"/>
                </w:rPr>
                <w:t>2016-</w:t>
              </w:r>
            </w:p>
          </w:sdtContent>
        </w:sdt>
      </w:sdtContent>
    </w:sdt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567" w:bottom="426" w:left="1588" w:header="567" w:footer="567" w:gutter="0"/>
      <w:cols w:space="720"/>
      <w:titlePg/>
      <w:docGrid w:linePitch="272"/>
    </w:sectPr>
  </w:body>
</w:document>
</file>

<file path=word/endnotes.xml><?xml version="1.0" encoding="utf-8"?>
<w:endnotes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pPr>
        <w:rPr>
          <w:sz w:val="20"/>
          <w:lang w:eastAsia="lt-LT"/>
        </w:rPr>
      </w:pPr>
      <w:r>
        <w:rPr>
          <w:sz w:val="20"/>
          <w:lang w:eastAsia="lt-LT"/>
        </w:rPr>
        <w:separator/>
      </w:r>
    </w:p>
  </w:endnote>
  <w:endnote w:type="continuationSeparator" w:id="0">
    <w:p>
      <w:pPr>
        <w:rPr>
          <w:sz w:val="20"/>
          <w:lang w:eastAsia="lt-LT"/>
        </w:rPr>
      </w:pPr>
      <w:r>
        <w:rPr>
          <w:sz w:val="20"/>
          <w:lang w:eastAsia="lt-LT"/>
        </w:rPr>
        <w:continuationSeparator/>
      </w:r>
    </w:p>
  </w:endnote>
</w:endnotes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tabs>
        <w:tab w:val="center" w:pos="4153"/>
        <w:tab w:val="right" w:pos="8306"/>
      </w:tabs>
      <w:rPr>
        <w:sz w:val="20"/>
        <w:lang w:eastAsia="lt-LT"/>
      </w:rPr>
    </w:pPr>
  </w:p>
</w:ftr>
</file>

<file path=word/footer2.xml><?xml version="1.0" encoding="utf-8"?>
<w:ftr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tabs>
        <w:tab w:val="center" w:pos="4153"/>
        <w:tab w:val="right" w:pos="8306"/>
      </w:tabs>
      <w:rPr>
        <w:sz w:val="20"/>
        <w:lang w:eastAsia="lt-LT"/>
      </w:rPr>
    </w:pPr>
  </w:p>
</w:ftr>
</file>

<file path=word/footer3.xml><?xml version="1.0" encoding="utf-8"?>
<w:ftr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tabs>
        <w:tab w:val="center" w:pos="4153"/>
        <w:tab w:val="right" w:pos="8306"/>
      </w:tabs>
      <w:jc w:val="right"/>
      <w:rPr>
        <w:sz w:val="20"/>
        <w:lang w:eastAsia="lt-LT"/>
      </w:rPr>
    </w:pPr>
  </w:p>
</w:ftr>
</file>

<file path=word/footnotes.xml><?xml version="1.0" encoding="utf-8"?>
<w:footnotes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pPr>
        <w:rPr>
          <w:sz w:val="20"/>
          <w:lang w:eastAsia="lt-LT"/>
        </w:rPr>
      </w:pPr>
      <w:r>
        <w:rPr>
          <w:sz w:val="20"/>
          <w:lang w:eastAsia="lt-LT"/>
        </w:rPr>
        <w:separator/>
      </w:r>
    </w:p>
  </w:footnote>
  <w:footnote w:type="continuationSeparator" w:id="0">
    <w:p>
      <w:pPr>
        <w:rPr>
          <w:sz w:val="20"/>
          <w:lang w:eastAsia="lt-LT"/>
        </w:rPr>
      </w:pPr>
      <w:r>
        <w:rPr>
          <w:sz w:val="20"/>
          <w:lang w:eastAsia="lt-LT"/>
        </w:rPr>
        <w:continuationSeparator/>
      </w:r>
    </w:p>
  </w:footnote>
</w:footnotes>
</file>

<file path=word/header1.xml><?xml version="1.0" encoding="utf-8"?>
<w:hdr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framePr w:wrap="auto" w:vAnchor="text" w:hAnchor="margin" w:xAlign="center" w:y="1"/>
      <w:tabs>
        <w:tab w:val="center" w:pos="4153"/>
        <w:tab w:val="right" w:pos="8306"/>
      </w:tabs>
      <w:rPr>
        <w:sz w:val="20"/>
        <w:lang w:eastAsia="lt-LT"/>
      </w:rPr>
    </w:pPr>
    <w:r>
      <w:rPr>
        <w:sz w:val="20"/>
        <w:lang w:eastAsia="lt-LT"/>
      </w:rPr>
      <w:fldChar w:fldCharType="begin"/>
    </w:r>
    <w:r>
      <w:rPr>
        <w:sz w:val="20"/>
        <w:lang w:eastAsia="lt-LT"/>
      </w:rPr>
      <w:instrText xml:space="preserve">PAGE  </w:instrText>
    </w:r>
    <w:r>
      <w:rPr>
        <w:sz w:val="20"/>
        <w:lang w:eastAsia="lt-LT"/>
      </w:rPr>
      <w:fldChar w:fldCharType="separate"/>
    </w:r>
    <w:r>
      <w:rPr>
        <w:sz w:val="20"/>
        <w:lang w:eastAsia="lt-LT"/>
      </w:rPr>
      <w:t>1</w:t>
    </w:r>
    <w:r>
      <w:rPr>
        <w:sz w:val="20"/>
        <w:lang w:eastAsia="lt-LT"/>
      </w:rPr>
      <w:fldChar w:fldCharType="end"/>
    </w:r>
  </w:p>
  <w:p>
    <w:pPr>
      <w:tabs>
        <w:tab w:val="center" w:pos="4153"/>
        <w:tab w:val="right" w:pos="8306"/>
      </w:tabs>
      <w:rPr>
        <w:sz w:val="20"/>
        <w:lang w:eastAsia="lt-LT"/>
      </w:rPr>
    </w:pPr>
  </w:p>
</w:hdr>
</file>

<file path=word/header2.xml><?xml version="1.0" encoding="utf-8"?>
<w:hdr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tabs>
        <w:tab w:val="center" w:pos="4153"/>
        <w:tab w:val="right" w:pos="8306"/>
      </w:tabs>
      <w:jc w:val="center"/>
      <w:rPr>
        <w:szCs w:val="24"/>
        <w:lang w:eastAsia="lt-LT"/>
      </w:rPr>
    </w:pPr>
    <w:r>
      <w:rPr>
        <w:szCs w:val="24"/>
        <w:lang w:eastAsia="lt-LT"/>
      </w:rPr>
      <w:fldChar w:fldCharType="begin"/>
    </w:r>
    <w:r>
      <w:rPr>
        <w:szCs w:val="24"/>
        <w:lang w:eastAsia="lt-LT"/>
      </w:rPr>
      <w:instrText>PAGE   \* MERGEFORMAT</w:instrText>
    </w:r>
    <w:r>
      <w:rPr>
        <w:szCs w:val="24"/>
        <w:lang w:eastAsia="lt-LT"/>
      </w:rPr>
      <w:fldChar w:fldCharType="separate"/>
    </w:r>
    <w:r>
      <w:rPr>
        <w:szCs w:val="24"/>
        <w:lang w:eastAsia="lt-LT"/>
      </w:rPr>
      <w:t>2</w:t>
    </w:r>
    <w:r>
      <w:rPr>
        <w:szCs w:val="24"/>
        <w:lang w:eastAsia="lt-LT"/>
      </w:rPr>
      <w:fldChar w:fldCharType="end"/>
    </w:r>
  </w:p>
  <w:p>
    <w:pPr>
      <w:tabs>
        <w:tab w:val="center" w:pos="4153"/>
        <w:tab w:val="right" w:pos="8306"/>
      </w:tabs>
      <w:rPr>
        <w:sz w:val="20"/>
        <w:lang w:eastAsia="lt-LT"/>
      </w:rPr>
    </w:pPr>
  </w:p>
</w:hdr>
</file>

<file path=word/header3.xml><?xml version="1.0" encoding="utf-8"?>
<w:hdr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tabs>
        <w:tab w:val="center" w:pos="4153"/>
        <w:tab w:val="right" w:pos="8306"/>
      </w:tabs>
      <w:rPr>
        <w:sz w:val="20"/>
        <w:lang w:eastAsia="lt-LT"/>
      </w:rPr>
    </w:pPr>
  </w:p>
</w:hdr>
</file>

<file path=word/settings.xml><?xml version="1.0" encoding="utf-8"?>
<w:settings xmlns:w="http://schemas.openxmlformats.org/wordprocessingml/2006/main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mc:Ignorable="w14">
  <w:view w:val="normal"/>
  <w:zoom w:percent="100"/>
  <w:defaultTabStop w:val="1298"/>
  <w:hyphenationZone w:val="396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mc:Ignorable="w14">
  <w:divs>
    <w:div w:id="110961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er" Target="footer1.xml"/>
  <Relationship Id="rId11" Type="http://schemas.openxmlformats.org/officeDocument/2006/relationships/footer" Target="footer2.xml"/>
  <Relationship Id="rId12" Type="http://schemas.openxmlformats.org/officeDocument/2006/relationships/header" Target="header3.xml"/>
  <Relationship Id="rId13" Type="http://schemas.openxmlformats.org/officeDocument/2006/relationships/footer" Target="footer3.xml"/>
  <Relationship Id="rId14" Type="http://schemas.openxmlformats.org/officeDocument/2006/relationships/fontTable" Target="fontTable.xml"/>
  <Relationship Id="rId15" Type="http://schemas.openxmlformats.org/officeDocument/2006/relationships/theme" Target="theme/theme1.xml"/>
  <Relationship Id="rId16" Type="http://schemas.openxmlformats.org/officeDocument/2006/relationships/customXml" Target="../customXml/item2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header" Target="header1.xml"/>
  <Relationship Id="rId9" Type="http://schemas.openxmlformats.org/officeDocument/2006/relationships/header" Target="header2.xml"/>
</Relationships>
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arts xmlns="http://lrs.lt/TAIS/DocParts">
  <Part Type="pagrindine" DocPartId="b0306af518f64996a9805b6272f5cb5e" PartId="510635e7a46f43758e6f8e575dd3a2f2">
    <Part Type="preambule" DocPartId="452035e8e1e946a29e26be31c95877e3" PartId="3d221c411d81438c8721b4603f4ba939"/>
    <Part Type="punktas" Nr="1" Abbr="1 p." DocPartId="c9d09c727a7242f98b9abe8ac8da781a" PartId="2418e9495398406b9e871f24e1add5d6">
      <Part Type="citata" DocPartId="290d25b5bbf84fb88473be3c4f98493f" PartId="73f124b7b4b446fdb3c662f761828bc6">
        <Part Type="papunktis" Nr="1.4" Abbr="1.4 pp." DocPartId="0afcb703d4194bd2b8b95c9eea9f6d0c" PartId="432126ab0e1a4a89b2a0dc596ccf7cb7">
          <Part Type="papunktis" Nr="1.4.1" Abbr="1.4.1 pp." DocPartId="4e7e8f94467e4f8292d870573eca1853" PartId="58c88b51b0554f75a58204234956d33e"/>
        </Part>
      </Part>
    </Part>
    <Part Type="punktas" Nr="2" Abbr="2 p." DocPartId="2ac528f799f24c3abcbab2422408c853" PartId="7b411bbabe9241fdaf9122bf0259cde8">
      <Part Type="citata" DocPartId="918edff7a1e34844ae49dbaaaf0bfc3a" PartId="578fe3e71e1046eb800a65d3c91831d3">
        <Part Type="punktas" Nr="6" Abbr="6 p." DocPartId="b0d880a3f208464e89e808a5ac4798dd" PartId="0147753fcb1349a88f70505d808b5b69"/>
      </Part>
      <Part Type="pastraipa" DocPartId="26abefb507f14cebbba9d9bc719a4f56" PartId="e6da31801d3342e9863309fb4d964f72"/>
      <Part Type="pastraipa" DocPartId="1b92eb721f0b4a69ae55236bca2aca90" PartId="db1d7aebd1ea403fbd09a13462bfee95"/>
    </Part>
    <Part Type="signatura" DocPartId="8ac645fea19b476abf92a2cafaa74e40" PartId="f51923a11d76475ba7a24bf69c326a9f"/>
  </Part>
</Parts>
</file>

<file path=customXml/itemProps1.xml><?xml version="1.0" encoding="utf-8"?>
<ds:datastoreItem xmlns:ds="http://schemas.openxmlformats.org/officeDocument/2006/customXml" ds:itemID="{9CD86E01-E883-4FE6-9F1F-68F55A01BB1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51F56D9-ED17-4F03-8676-200B421BA4F1}">
  <ds:schemaRefs>
    <ds:schemaRef ds:uri="http://lrs.lt/TAIS/DocPar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1641</Characters>
  <Application>Microsoft Office Word</Application>
  <DocSecurity>4</DocSecurity>
  <Lines>74</Lines>
  <Paragraphs>38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2016-10-31T14:10:00Z</dcterms:created>
  <dc:creator>sevol</dc:creator>
  <lastModifiedBy>adlibuser</lastModifiedBy>
  <lastPrinted>2016-10-25T11:01:00Z</lastPrinted>
  <dcterms:modified xsi:type="dcterms:W3CDTF">2016-10-31T14:10:00Z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1302644266</vt:i4>
  </property>
</Properties>
</file>