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5879602"/>
        <w:docPartObj>
          <w:docPartGallery w:val="Cover Pages"/>
          <w:docPartUnique/>
        </w:docPartObj>
      </w:sdtPr>
      <w:sdtContent>
        <w:p w:rsidR="00781D5E" w:rsidRDefault="00781D5E" w:rsidP="00640448">
          <w:pPr>
            <w:pStyle w:val="HeaderText"/>
            <w:ind w:left="6237"/>
          </w:pPr>
          <w:r>
            <w:t>L</w:t>
          </w:r>
          <w:r w:rsidR="00640448">
            <w:rPr>
              <w:caps w:val="0"/>
            </w:rPr>
            <w:t>ietuvos Respubliko</w:t>
          </w:r>
          <w:r w:rsidR="00B47EDB">
            <w:rPr>
              <w:caps w:val="0"/>
            </w:rPr>
            <w:t>s švietimo ir mokslo ministerijos</w:t>
          </w:r>
        </w:p>
        <w:p w:rsidR="00781D5E" w:rsidRDefault="0058292F" w:rsidP="00640448">
          <w:pPr>
            <w:pStyle w:val="HeaderText"/>
            <w:ind w:left="6237"/>
          </w:pPr>
          <w:r>
            <w:t xml:space="preserve">2016 </w:t>
          </w:r>
          <w:r>
            <w:rPr>
              <w:caps w:val="0"/>
            </w:rPr>
            <w:t xml:space="preserve">m. lapkričio 18 d. </w:t>
          </w:r>
          <w:r w:rsidR="00A1267E">
            <w:rPr>
              <w:caps w:val="0"/>
            </w:rPr>
            <w:t xml:space="preserve"> </w:t>
          </w:r>
          <w:r w:rsidR="00640448">
            <w:rPr>
              <w:caps w:val="0"/>
            </w:rPr>
            <w:t>Aukštųjų mokyklų personalo, vykdančio projektą, darbo užmokesčio išlaidų fiksuotųjų įkainių nustatymo tyrimo ataskaita</w:t>
          </w:r>
        </w:p>
        <w:p w:rsidR="00F14E64" w:rsidRPr="000C38B9" w:rsidRDefault="009E069D" w:rsidP="000C38B9">
          <w:pPr>
            <w:pStyle w:val="HeaderText"/>
          </w:pPr>
          <w:r w:rsidRPr="00F135D2">
            <w:rPr>
              <w:noProof/>
            </w:rPr>
            <mc:AlternateContent>
              <mc:Choice Requires="wps">
                <w:drawing>
                  <wp:anchor distT="0" distB="0" distL="114300" distR="114300" simplePos="0" relativeHeight="251660800" behindDoc="0" locked="0" layoutInCell="1" allowOverlap="1" wp14:anchorId="11040182" wp14:editId="61BA8ACD">
                    <wp:simplePos x="0" y="0"/>
                    <wp:positionH relativeFrom="column">
                      <wp:posOffset>20955</wp:posOffset>
                    </wp:positionH>
                    <wp:positionV relativeFrom="paragraph">
                      <wp:posOffset>3758565</wp:posOffset>
                    </wp:positionV>
                    <wp:extent cx="5800725" cy="2257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800725" cy="2257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EDB" w:rsidRPr="003D1B05" w:rsidRDefault="00B47EDB" w:rsidP="00564D85">
                                <w:pPr>
                                  <w:pStyle w:val="Subtitlewhite"/>
                                  <w:rPr>
                                    <w:i/>
                                  </w:rPr>
                                </w:pPr>
                                <w:sdt>
                                  <w:sdtPr>
                                    <w:alias w:val="Subtitle"/>
                                    <w:tag w:val="Subtitle"/>
                                    <w:id w:val="-1607718860"/>
                                    <w:lock w:val="sdtLocked"/>
                                    <w:showingPlcHdr/>
                                    <w:dataBinding w:prefixMappings="xmlns:ns0='http://schemas.openxmlformats.org/package/2006/metadata/core-properties' xmlns:ns1='http://purl.org/dc/elements/1.1/'" w:xpath="/ns0:coreProperties[1]/ns1:subject[1]" w:storeItemID="{6C3C8BC8-F283-45AE-878A-BAB7291924A1}"/>
                                    <w:text w:multiLine="1"/>
                                  </w:sdtPr>
                                  <w:sdtContent>
                                    <w: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95.95pt;width:456.75pt;height:17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" filled="f" stroked="f" strokeweight=".5pt">
                    <v:textbox>
                      <w:txbxContent>
                        <w:p w:rsidR="00B47EDB" w:rsidRPr="003D1B05" w:rsidRDefault="00B47EDB" w:rsidP="00564D85">
                          <w:pPr>
                            <w:pStyle w:val="Subtitlewhite"/>
                            <w:rPr>
                              <w:i/>
                            </w:rPr>
                          </w:pPr>
                          <w:sdt>
                            <w:sdtPr>
                              <w:alias w:val="Subtitle"/>
                              <w:tag w:val="Subtitle"/>
                              <w:id w:val="-1607718860"/>
                              <w:lock w:val="sdtLocked"/>
                              <w:showingPlcHdr/>
                              <w:dataBinding w:prefixMappings="xmlns:ns0='http://schemas.openxmlformats.org/package/2006/metadata/core-properties' xmlns:ns1='http://purl.org/dc/elements/1.1/'" w:xpath="/ns0:coreProperties[1]/ns1:subject[1]" w:storeItemID="{6C3C8BC8-F283-45AE-878A-BAB7291924A1}"/>
                              <w:text w:multiLine="1"/>
                            </w:sdtPr>
                            <w:sdtContent>
                              <w:r>
                                <w:t xml:space="preserve">     </w:t>
                              </w:r>
                            </w:sdtContent>
                          </w:sdt>
                        </w:p>
                      </w:txbxContent>
                    </v:textbox>
                  </v:shape>
                </w:pict>
              </mc:Fallback>
            </mc:AlternateContent>
          </w:r>
          <w:r w:rsidR="00755F9F" w:rsidRPr="008744DE">
            <w:rPr>
              <w:noProof/>
            </w:rPr>
            <mc:AlternateContent>
              <mc:Choice Requires="wps">
                <w:drawing>
                  <wp:anchor distT="0" distB="0" distL="114300" distR="114300" simplePos="0" relativeHeight="251667968" behindDoc="0" locked="0" layoutInCell="1" allowOverlap="1" wp14:anchorId="4C6BCB9D" wp14:editId="5E6F2A83">
                    <wp:simplePos x="0" y="0"/>
                    <wp:positionH relativeFrom="column">
                      <wp:posOffset>20955</wp:posOffset>
                    </wp:positionH>
                    <wp:positionV relativeFrom="paragraph">
                      <wp:posOffset>6397625</wp:posOffset>
                    </wp:positionV>
                    <wp:extent cx="4991100"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9911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ext"/>
                                  <w:tag w:val="Text"/>
                                  <w:id w:val="818459124"/>
                                  <w:lock w:val="sdtLocked"/>
                                </w:sdtPr>
                                <w:sdtContent>
                                  <w:p w:rsidR="00B47EDB" w:rsidRPr="001375A9" w:rsidRDefault="00B47EDB" w:rsidP="00755F9F">
                                    <w:pPr>
                                      <w:pStyle w:val="TextWhiteUP"/>
                                    </w:pPr>
                                    <w:r>
                                      <w:t>Užsakovas: LR ŠVITIMO IR MOKSLO MINISTERIJA</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1.65pt;margin-top:503.75pt;width:393pt;height:33.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" filled="f" stroked="f" strokeweight=".5pt">
                    <v:textbox>
                      <w:txbxContent>
                        <w:sdt>
                          <w:sdtPr>
                            <w:alias w:val="Text"/>
                            <w:tag w:val="Text"/>
                            <w:id w:val="818459124"/>
                            <w:lock w:val="sdtLocked"/>
                          </w:sdtPr>
                          <w:sdtContent>
                            <w:p w:rsidR="00B47EDB" w:rsidRPr="001375A9" w:rsidRDefault="00B47EDB" w:rsidP="00755F9F">
                              <w:pPr>
                                <w:pStyle w:val="TextWhiteUP"/>
                              </w:pPr>
                              <w:r>
                                <w:t>Užsakovas: LR ŠVITIMO IR MOKSLO MINISTERIJA</w:t>
                              </w:r>
                            </w:p>
                          </w:sdtContent>
                        </w:sdt>
                      </w:txbxContent>
                    </v:textbox>
                  </v:shape>
                </w:pict>
              </mc:Fallback>
            </mc:AlternateContent>
          </w:r>
          <w:r w:rsidR="00102529" w:rsidRPr="008744DE">
            <w:rPr>
              <w:noProof/>
            </w:rPr>
            <mc:AlternateContent>
              <mc:Choice Requires="wps">
                <w:drawing>
                  <wp:anchor distT="0" distB="0" distL="114300" distR="114300" simplePos="0" relativeHeight="251676160" behindDoc="0" locked="0" layoutInCell="1" allowOverlap="1" wp14:anchorId="69BED3AE" wp14:editId="284A9289">
                    <wp:simplePos x="0" y="0"/>
                    <wp:positionH relativeFrom="column">
                      <wp:posOffset>20955</wp:posOffset>
                    </wp:positionH>
                    <wp:positionV relativeFrom="paragraph">
                      <wp:posOffset>1616075</wp:posOffset>
                    </wp:positionV>
                    <wp:extent cx="5800725" cy="2133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800725"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EDB" w:rsidRPr="0037741A" w:rsidRDefault="00B47EDB" w:rsidP="00815AE3">
                                <w:pPr>
                                  <w:pStyle w:val="Pavadinimas"/>
                                  <w:rPr>
                                    <w:sz w:val="48"/>
                                  </w:rPr>
                                </w:pPr>
                                <w:sdt>
                                  <w:sdtPr>
                                    <w:rPr>
                                      <w:rFonts w:asciiTheme="majorHAnsi" w:hAnsiTheme="majorHAnsi"/>
                                      <w:noProof/>
                                      <w:sz w:val="32"/>
                                      <w:szCs w:val="32"/>
                                    </w:rPr>
                                    <w:alias w:val="Title"/>
                                    <w:tag w:val="Title"/>
                                    <w:id w:val="-2085522353"/>
                                    <w:lock w:val="sdtLocked"/>
                                    <w:showingPlcHdr/>
                                    <w:dataBinding w:prefixMappings="xmlns:ns0='http://schemas.openxmlformats.org/package/2006/metadata/core-properties' xmlns:ns1='http://purl.org/dc/elements/1.1/'" w:xpath="/ns0:coreProperties[1]/ns1:title[1]" w:storeItemID="{6C3C8BC8-F283-45AE-878A-BAB7291924A1}"/>
                                    <w:text w:multiLine="1"/>
                                  </w:sdtPr>
                                  <w:sdtContent>
                                    <w:r>
                                      <w:rPr>
                                        <w:rFonts w:asciiTheme="majorHAnsi" w:hAnsiTheme="majorHAnsi"/>
                                        <w:noProof/>
                                        <w:sz w:val="32"/>
                                        <w:szCs w:val="32"/>
                                      </w:rPr>
                                      <w:t xml:space="preserve">     </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1.65pt;margin-top:127.25pt;width:456.75pt;height:168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" filled="f" stroked="f" strokeweight=".5pt">
                    <v:textbox>
                      <w:txbxContent>
                        <w:p w:rsidR="00B47EDB" w:rsidRPr="0037741A" w:rsidRDefault="00B47EDB" w:rsidP="00815AE3">
                          <w:pPr>
                            <w:pStyle w:val="Pavadinimas"/>
                            <w:rPr>
                              <w:sz w:val="48"/>
                            </w:rPr>
                          </w:pPr>
                          <w:sdt>
                            <w:sdtPr>
                              <w:rPr>
                                <w:rFonts w:asciiTheme="majorHAnsi" w:hAnsiTheme="majorHAnsi"/>
                                <w:noProof/>
                                <w:sz w:val="32"/>
                                <w:szCs w:val="32"/>
                              </w:rPr>
                              <w:alias w:val="Title"/>
                              <w:tag w:val="Title"/>
                              <w:id w:val="-2085522353"/>
                              <w:lock w:val="sdtLocked"/>
                              <w:showingPlcHdr/>
                              <w:dataBinding w:prefixMappings="xmlns:ns0='http://schemas.openxmlformats.org/package/2006/metadata/core-properties' xmlns:ns1='http://purl.org/dc/elements/1.1/'" w:xpath="/ns0:coreProperties[1]/ns1:title[1]" w:storeItemID="{6C3C8BC8-F283-45AE-878A-BAB7291924A1}"/>
                              <w:text w:multiLine="1"/>
                            </w:sdtPr>
                            <w:sdtContent>
                              <w:r>
                                <w:rPr>
                                  <w:rFonts w:asciiTheme="majorHAnsi" w:hAnsiTheme="majorHAnsi"/>
                                  <w:noProof/>
                                  <w:sz w:val="32"/>
                                  <w:szCs w:val="32"/>
                                </w:rPr>
                                <w:t xml:space="preserve">     </w:t>
                              </w:r>
                            </w:sdtContent>
                          </w:sdt>
                        </w:p>
                      </w:txbxContent>
                    </v:textbox>
                  </v:shape>
                </w:pict>
              </mc:Fallback>
            </mc:AlternateContent>
          </w:r>
          <w:r w:rsidR="009847B2" w:rsidRPr="008744DE">
            <w:rPr>
              <w:noProof/>
            </w:rPr>
            <mc:AlternateContent>
              <mc:Choice Requires="wps">
                <w:drawing>
                  <wp:anchor distT="0" distB="0" distL="114300" distR="114300" simplePos="0" relativeHeight="251675136" behindDoc="0" locked="0" layoutInCell="1" allowOverlap="1" wp14:anchorId="193457C5" wp14:editId="011A523B">
                    <wp:simplePos x="0" y="0"/>
                    <wp:positionH relativeFrom="column">
                      <wp:posOffset>23495</wp:posOffset>
                    </wp:positionH>
                    <wp:positionV relativeFrom="paragraph">
                      <wp:posOffset>8588375</wp:posOffset>
                    </wp:positionV>
                    <wp:extent cx="2571750" cy="4667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717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Data"/>
                                  <w:tag w:val="Data"/>
                                  <w:id w:val="1332256285"/>
                                  <w:lock w:val="sdtLocked"/>
                                  <w:date w:fullDate="2016-10-28T00:00:00Z">
                                    <w:dateFormat w:val="yyyy 'm.' MMMM d 'd.'"/>
                                    <w:lid w:val="lt-LT"/>
                                    <w:storeMappedDataAs w:val="dateTime"/>
                                    <w:calendar w:val="gregorian"/>
                                  </w:date>
                                </w:sdtPr>
                                <w:sdtContent>
                                  <w:p w:rsidR="00B47EDB" w:rsidRPr="00755F9F" w:rsidRDefault="00B47EDB" w:rsidP="00755F9F">
                                    <w:pPr>
                                      <w:pStyle w:val="TextWhite"/>
                                    </w:pPr>
                                    <w:r>
                                      <w:t>2016 m. spalio 28 d.</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85pt;margin-top:676.25pt;width:202.5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" filled="f" stroked="f" strokeweight=".5pt">
                    <v:textbox>
                      <w:txbxContent>
                        <w:sdt>
                          <w:sdtPr>
                            <w:alias w:val="Data"/>
                            <w:tag w:val="Data"/>
                            <w:id w:val="1332256285"/>
                            <w:lock w:val="sdtLocked"/>
                            <w:date w:fullDate="2016-10-28T00:00:00Z">
                              <w:dateFormat w:val="yyyy 'm.' MMMM d 'd.'"/>
                              <w:lid w:val="lt-LT"/>
                              <w:storeMappedDataAs w:val="dateTime"/>
                              <w:calendar w:val="gregorian"/>
                            </w:date>
                          </w:sdtPr>
                          <w:sdtContent>
                            <w:p w:rsidR="00B47EDB" w:rsidRPr="00755F9F" w:rsidRDefault="00B47EDB" w:rsidP="00755F9F">
                              <w:pPr>
                                <w:pStyle w:val="TextWhite"/>
                              </w:pPr>
                              <w:r>
                                <w:t>2016 m. spalio 28 d.</w:t>
                              </w:r>
                            </w:p>
                          </w:sdtContent>
                        </w:sdt>
                      </w:txbxContent>
                    </v:textbox>
                  </v:shape>
                </w:pict>
              </mc:Fallback>
            </mc:AlternateContent>
          </w:r>
          <w:r w:rsidR="007A5EC3">
            <w:br w:type="textWrapping" w:clear="all"/>
          </w:r>
        </w:p>
      </w:sdtContent>
    </w:sdt>
    <w:sdt>
      <w:sdtPr>
        <w:rPr>
          <w:rFonts w:eastAsiaTheme="minorEastAsia" w:cstheme="minorBidi"/>
          <w:bCs w:val="0"/>
          <w:caps w:val="0"/>
          <w:color w:val="auto"/>
          <w:sz w:val="22"/>
          <w:szCs w:val="22"/>
          <w:lang w:val="lt-LT" w:eastAsia="lt-LT"/>
        </w:rPr>
        <w:id w:val="-1365522054"/>
        <w:docPartObj>
          <w:docPartGallery w:val="Table of Contents"/>
          <w:docPartUnique/>
        </w:docPartObj>
      </w:sdtPr>
      <w:sdtEndPr>
        <w:rPr>
          <w:b/>
          <w:color w:val="343435"/>
        </w:rPr>
      </w:sdtEndPr>
      <w:sdtContent>
        <w:p w:rsidR="000C38B9" w:rsidRPr="00B47EDB" w:rsidRDefault="0058292F" w:rsidP="0058292F">
          <w:pPr>
            <w:pStyle w:val="Turinioantrat"/>
            <w:jc w:val="center"/>
            <w:rPr>
              <w:rFonts w:eastAsiaTheme="minorEastAsia" w:cstheme="minorBidi"/>
              <w:bCs w:val="0"/>
              <w:caps w:val="0"/>
              <w:color w:val="auto"/>
              <w:sz w:val="22"/>
              <w:szCs w:val="22"/>
              <w:lang w:val="lt-LT" w:eastAsia="lt-LT"/>
            </w:rPr>
          </w:pPr>
          <w:r w:rsidRPr="00B47EDB">
            <w:rPr>
              <w:rFonts w:eastAsiaTheme="minorEastAsia" w:cstheme="minorBidi"/>
              <w:bCs w:val="0"/>
              <w:caps w:val="0"/>
              <w:color w:val="auto"/>
              <w:sz w:val="22"/>
              <w:szCs w:val="22"/>
              <w:lang w:val="lt-LT" w:eastAsia="lt-LT"/>
            </w:rPr>
            <w:t>Lietuvos</w:t>
          </w:r>
          <w:r w:rsidR="00B47EDB">
            <w:rPr>
              <w:rFonts w:eastAsiaTheme="minorEastAsia" w:cstheme="minorBidi"/>
              <w:bCs w:val="0"/>
              <w:caps w:val="0"/>
              <w:color w:val="auto"/>
              <w:sz w:val="22"/>
              <w:szCs w:val="22"/>
              <w:lang w:val="lt-LT" w:eastAsia="lt-LT"/>
            </w:rPr>
            <w:t xml:space="preserve"> Respublikos švietimo ir mokslo ministerija</w:t>
          </w:r>
        </w:p>
        <w:p w:rsidR="000C38B9" w:rsidRPr="003D1B05" w:rsidRDefault="001448ED" w:rsidP="000C38B9">
          <w:pPr>
            <w:pStyle w:val="Turinioantrat"/>
            <w:jc w:val="center"/>
            <w:rPr>
              <w:rStyle w:val="Hipersaitas"/>
              <w:noProof/>
              <w:color w:val="auto"/>
            </w:rPr>
          </w:pPr>
          <w:r w:rsidRPr="003D1B05">
            <w:rPr>
              <w:rStyle w:val="Hipersaitas"/>
              <w:rFonts w:eastAsiaTheme="minorEastAsia" w:cstheme="minorBidi"/>
              <w:b/>
              <w:noProof/>
              <w:color w:val="auto"/>
              <w:sz w:val="24"/>
              <w:szCs w:val="24"/>
              <w:u w:val="none"/>
              <w:lang w:val="lt-LT" w:eastAsia="lt-LT"/>
            </w:rPr>
            <w:t>Aukštųjų mokyklų personalo, vykdančio projektą, darbo užmokesčio išlaidų fiksuotųjų įkainių nustatymo tyrimo ataskaita</w:t>
          </w:r>
          <w:r w:rsidRPr="003D1B05">
            <w:rPr>
              <w:rStyle w:val="Hipersaitas"/>
              <w:rFonts w:eastAsiaTheme="minorEastAsia" w:cstheme="minorBidi"/>
              <w:noProof/>
              <w:color w:val="auto"/>
              <w:sz w:val="24"/>
              <w:szCs w:val="24"/>
              <w:u w:val="none"/>
              <w:lang w:val="lt-LT" w:eastAsia="lt-LT"/>
            </w:rPr>
            <w:br/>
            <w:t>2016</w:t>
          </w:r>
          <w:r w:rsidRPr="003D1B05">
            <w:rPr>
              <w:rStyle w:val="Hipersaitas"/>
              <w:rFonts w:eastAsiaTheme="minorEastAsia" w:cstheme="minorBidi"/>
              <w:caps w:val="0"/>
              <w:noProof/>
              <w:color w:val="auto"/>
              <w:sz w:val="24"/>
              <w:szCs w:val="24"/>
              <w:u w:val="none"/>
              <w:lang w:val="lt-LT" w:eastAsia="lt-LT"/>
            </w:rPr>
            <w:t xml:space="preserve"> lapkričio mėn </w:t>
          </w:r>
          <w:r w:rsidRPr="003D1B05">
            <w:rPr>
              <w:rStyle w:val="Hipersaitas"/>
              <w:rFonts w:eastAsiaTheme="minorEastAsia" w:cstheme="minorBidi"/>
              <w:noProof/>
              <w:color w:val="auto"/>
              <w:sz w:val="24"/>
              <w:szCs w:val="24"/>
              <w:u w:val="none"/>
              <w:lang w:val="lt-LT" w:eastAsia="lt-LT"/>
            </w:rPr>
            <w:t>18</w:t>
          </w:r>
          <w:r w:rsidRPr="003D1B05">
            <w:rPr>
              <w:rStyle w:val="Hipersaitas"/>
              <w:rFonts w:eastAsiaTheme="minorEastAsia" w:cstheme="minorBidi"/>
              <w:caps w:val="0"/>
              <w:noProof/>
              <w:color w:val="auto"/>
              <w:sz w:val="24"/>
              <w:szCs w:val="24"/>
              <w:u w:val="none"/>
              <w:lang w:val="lt-LT" w:eastAsia="lt-LT"/>
            </w:rPr>
            <w:t xml:space="preserve"> d.</w:t>
          </w:r>
          <w:sdt>
            <w:sdtPr>
              <w:rPr>
                <w:rStyle w:val="Hipersaitas"/>
                <w:rFonts w:eastAsiaTheme="minorEastAsia" w:cstheme="minorBidi"/>
                <w:noProof/>
                <w:color w:val="auto"/>
                <w:sz w:val="24"/>
                <w:szCs w:val="24"/>
                <w:lang w:val="lt-LT" w:eastAsia="lt-LT"/>
              </w:rPr>
              <w:alias w:val="Title"/>
              <w:tag w:val="Title"/>
              <w:id w:val="1832335827"/>
              <w:showingPlcHdr/>
              <w:dataBinding w:prefixMappings="xmlns:ns0='http://schemas.openxmlformats.org/package/2006/metadata/core-properties' xmlns:ns1='http://purl.org/dc/elements/1.1/'" w:xpath="/ns0:coreProperties[1]/ns1:title[1]" w:storeItemID="{6C3C8BC8-F283-45AE-878A-BAB7291924A1}"/>
              <w:text/>
            </w:sdtPr>
            <w:sdtEndPr>
              <w:rPr>
                <w:rStyle w:val="Hipersaitas"/>
                <w:bCs w:val="0"/>
                <w:caps w:val="0"/>
                <w:sz w:val="22"/>
                <w:szCs w:val="22"/>
              </w:rPr>
            </w:sdtEndPr>
            <w:sdtContent>
              <w:r w:rsidRPr="003D1B05">
                <w:rPr>
                  <w:rStyle w:val="Hipersaitas"/>
                  <w:rFonts w:eastAsiaTheme="minorEastAsia" w:cstheme="minorBidi"/>
                  <w:noProof/>
                  <w:color w:val="auto"/>
                  <w:sz w:val="24"/>
                  <w:szCs w:val="24"/>
                  <w:lang w:val="lt-LT" w:eastAsia="lt-LT"/>
                </w:rPr>
                <w:t xml:space="preserve">     </w:t>
              </w:r>
            </w:sdtContent>
          </w:sdt>
        </w:p>
        <w:p w:rsidR="001448ED" w:rsidRDefault="001448ED" w:rsidP="00F14E64">
          <w:pPr>
            <w:pStyle w:val="Turinioantrat"/>
            <w:rPr>
              <w:lang w:val="lt-LT"/>
            </w:rPr>
          </w:pPr>
        </w:p>
        <w:p w:rsidR="00F14E64" w:rsidRPr="000D0573" w:rsidRDefault="00F14E64" w:rsidP="00F14E64">
          <w:pPr>
            <w:pStyle w:val="Turinioantrat"/>
            <w:rPr>
              <w:lang w:val="lt-LT"/>
            </w:rPr>
          </w:pPr>
          <w:r w:rsidRPr="000D0573">
            <w:rPr>
              <w:lang w:val="lt-LT"/>
            </w:rPr>
            <w:t>Turinys</w:t>
          </w:r>
        </w:p>
        <w:p w:rsidR="00F14E64" w:rsidRDefault="00F14E64" w:rsidP="00F14E64">
          <w:pPr>
            <w:pStyle w:val="Turinys2"/>
            <w:rPr>
              <w:rFonts w:asciiTheme="minorHAnsi" w:hAnsiTheme="minorHAnsi"/>
              <w:noProof/>
              <w:color w:val="auto"/>
            </w:rPr>
          </w:pPr>
          <w:r w:rsidRPr="000D0573">
            <w:fldChar w:fldCharType="begin"/>
          </w:r>
          <w:r w:rsidRPr="000D0573">
            <w:instrText xml:space="preserve"> TOC \o "1-5" \h \z \u </w:instrText>
          </w:r>
          <w:r w:rsidRPr="000D0573">
            <w:fldChar w:fldCharType="separate"/>
          </w:r>
          <w:hyperlink w:anchor="_Toc465415120" w:history="1">
            <w:r w:rsidRPr="008E3B41">
              <w:rPr>
                <w:rStyle w:val="Hipersaitas"/>
                <w:noProof/>
              </w:rPr>
              <w:t>Lentelių sąrašas</w:t>
            </w:r>
            <w:r>
              <w:rPr>
                <w:noProof/>
                <w:webHidden/>
              </w:rPr>
              <w:tab/>
            </w:r>
            <w:r>
              <w:rPr>
                <w:noProof/>
                <w:webHidden/>
              </w:rPr>
              <w:fldChar w:fldCharType="begin"/>
            </w:r>
            <w:r>
              <w:rPr>
                <w:noProof/>
                <w:webHidden/>
              </w:rPr>
              <w:instrText xml:space="preserve"> PAGEREF _Toc465415120 \h </w:instrText>
            </w:r>
            <w:r>
              <w:rPr>
                <w:noProof/>
                <w:webHidden/>
              </w:rPr>
            </w:r>
            <w:r>
              <w:rPr>
                <w:noProof/>
                <w:webHidden/>
              </w:rPr>
              <w:fldChar w:fldCharType="separate"/>
            </w:r>
            <w:r w:rsidR="0058292F">
              <w:rPr>
                <w:noProof/>
                <w:webHidden/>
              </w:rPr>
              <w:t>2</w:t>
            </w:r>
            <w:r>
              <w:rPr>
                <w:noProof/>
                <w:webHidden/>
              </w:rPr>
              <w:fldChar w:fldCharType="end"/>
            </w:r>
          </w:hyperlink>
        </w:p>
        <w:p w:rsidR="00F14E64" w:rsidRDefault="00B47EDB" w:rsidP="00F14E64">
          <w:pPr>
            <w:pStyle w:val="Turinys2"/>
            <w:rPr>
              <w:rFonts w:asciiTheme="minorHAnsi" w:hAnsiTheme="minorHAnsi"/>
              <w:noProof/>
              <w:color w:val="auto"/>
            </w:rPr>
          </w:pPr>
          <w:hyperlink w:anchor="_Toc465415121" w:history="1">
            <w:r w:rsidR="00F14E64" w:rsidRPr="008E3B41">
              <w:rPr>
                <w:rStyle w:val="Hipersaitas"/>
                <w:noProof/>
              </w:rPr>
              <w:t>I. ĮVADAS</w:t>
            </w:r>
            <w:r w:rsidR="00F14E64">
              <w:rPr>
                <w:noProof/>
                <w:webHidden/>
              </w:rPr>
              <w:tab/>
            </w:r>
            <w:r w:rsidR="00F14E64">
              <w:rPr>
                <w:noProof/>
                <w:webHidden/>
              </w:rPr>
              <w:fldChar w:fldCharType="begin"/>
            </w:r>
            <w:r w:rsidR="00F14E64">
              <w:rPr>
                <w:noProof/>
                <w:webHidden/>
              </w:rPr>
              <w:instrText xml:space="preserve"> PAGEREF _Toc465415121 \h </w:instrText>
            </w:r>
            <w:r w:rsidR="00F14E64">
              <w:rPr>
                <w:noProof/>
                <w:webHidden/>
              </w:rPr>
            </w:r>
            <w:r w:rsidR="00F14E64">
              <w:rPr>
                <w:noProof/>
                <w:webHidden/>
              </w:rPr>
              <w:fldChar w:fldCharType="separate"/>
            </w:r>
            <w:r w:rsidR="0058292F">
              <w:rPr>
                <w:noProof/>
                <w:webHidden/>
              </w:rPr>
              <w:t>3</w:t>
            </w:r>
            <w:r w:rsidR="00F14E64">
              <w:rPr>
                <w:noProof/>
                <w:webHidden/>
              </w:rPr>
              <w:fldChar w:fldCharType="end"/>
            </w:r>
          </w:hyperlink>
        </w:p>
        <w:p w:rsidR="00F14E64" w:rsidRDefault="00B47EDB" w:rsidP="00F14E64">
          <w:pPr>
            <w:pStyle w:val="Turinys2"/>
            <w:rPr>
              <w:rFonts w:asciiTheme="minorHAnsi" w:hAnsiTheme="minorHAnsi"/>
              <w:noProof/>
              <w:color w:val="auto"/>
            </w:rPr>
          </w:pPr>
          <w:hyperlink w:anchor="_Toc465415122" w:history="1">
            <w:r w:rsidR="00F14E64" w:rsidRPr="008E3B41">
              <w:rPr>
                <w:rStyle w:val="Hipersaitas"/>
                <w:rFonts w:eastAsia="Lucida Sans Unicode" w:cs="Times New Roman"/>
                <w:noProof/>
              </w:rPr>
              <w:t>II. Tyrimo metodika</w:t>
            </w:r>
            <w:r w:rsidR="00F14E64">
              <w:rPr>
                <w:noProof/>
                <w:webHidden/>
              </w:rPr>
              <w:tab/>
            </w:r>
            <w:r w:rsidR="00F14E64">
              <w:rPr>
                <w:noProof/>
                <w:webHidden/>
              </w:rPr>
              <w:fldChar w:fldCharType="begin"/>
            </w:r>
            <w:r w:rsidR="00F14E64">
              <w:rPr>
                <w:noProof/>
                <w:webHidden/>
              </w:rPr>
              <w:instrText xml:space="preserve"> PAGEREF _Toc465415122 \h </w:instrText>
            </w:r>
            <w:r w:rsidR="00F14E64">
              <w:rPr>
                <w:noProof/>
                <w:webHidden/>
              </w:rPr>
            </w:r>
            <w:r w:rsidR="00F14E64">
              <w:rPr>
                <w:noProof/>
                <w:webHidden/>
              </w:rPr>
              <w:fldChar w:fldCharType="separate"/>
            </w:r>
            <w:r w:rsidR="0058292F">
              <w:rPr>
                <w:noProof/>
                <w:webHidden/>
              </w:rPr>
              <w:t>4</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3" w:history="1">
            <w:r w:rsidR="00F14E64" w:rsidRPr="008E3B41">
              <w:rPr>
                <w:rStyle w:val="Hipersaitas"/>
                <w:rFonts w:eastAsia="Lucida Sans Unicode" w:cs="Times New Roman"/>
                <w:noProof/>
              </w:rPr>
              <w:t>II.1. Tyrimo prielaidos ir duomenų šaltiniai</w:t>
            </w:r>
            <w:r w:rsidR="00F14E64">
              <w:rPr>
                <w:noProof/>
                <w:webHidden/>
              </w:rPr>
              <w:tab/>
            </w:r>
            <w:r w:rsidR="00F14E64">
              <w:rPr>
                <w:noProof/>
                <w:webHidden/>
              </w:rPr>
              <w:fldChar w:fldCharType="begin"/>
            </w:r>
            <w:r w:rsidR="00F14E64">
              <w:rPr>
                <w:noProof/>
                <w:webHidden/>
              </w:rPr>
              <w:instrText xml:space="preserve"> PAGEREF _Toc465415123 \h </w:instrText>
            </w:r>
            <w:r w:rsidR="00F14E64">
              <w:rPr>
                <w:noProof/>
                <w:webHidden/>
              </w:rPr>
            </w:r>
            <w:r w:rsidR="00F14E64">
              <w:rPr>
                <w:noProof/>
                <w:webHidden/>
              </w:rPr>
              <w:fldChar w:fldCharType="separate"/>
            </w:r>
            <w:r w:rsidR="0058292F">
              <w:rPr>
                <w:noProof/>
                <w:webHidden/>
              </w:rPr>
              <w:t>4</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4" w:history="1">
            <w:r w:rsidR="00F14E64" w:rsidRPr="008E3B41">
              <w:rPr>
                <w:rStyle w:val="Hipersaitas"/>
                <w:rFonts w:eastAsia="Lucida Sans Unicode" w:cs="Times New Roman"/>
                <w:noProof/>
              </w:rPr>
              <w:t>II.2. „Erasmus plius“ įkainiai ir intelektinių produktų samprata</w:t>
            </w:r>
            <w:r w:rsidR="00F14E64">
              <w:rPr>
                <w:noProof/>
                <w:webHidden/>
              </w:rPr>
              <w:tab/>
            </w:r>
            <w:r w:rsidR="00F14E64">
              <w:rPr>
                <w:noProof/>
                <w:webHidden/>
              </w:rPr>
              <w:fldChar w:fldCharType="begin"/>
            </w:r>
            <w:r w:rsidR="00F14E64">
              <w:rPr>
                <w:noProof/>
                <w:webHidden/>
              </w:rPr>
              <w:instrText xml:space="preserve"> PAGEREF _Toc465415124 \h </w:instrText>
            </w:r>
            <w:r w:rsidR="00F14E64">
              <w:rPr>
                <w:noProof/>
                <w:webHidden/>
              </w:rPr>
            </w:r>
            <w:r w:rsidR="00F14E64">
              <w:rPr>
                <w:noProof/>
                <w:webHidden/>
              </w:rPr>
              <w:fldChar w:fldCharType="separate"/>
            </w:r>
            <w:r w:rsidR="0058292F">
              <w:rPr>
                <w:noProof/>
                <w:webHidden/>
              </w:rPr>
              <w:t>6</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5" w:history="1">
            <w:r w:rsidR="00F14E64" w:rsidRPr="008E3B41">
              <w:rPr>
                <w:rStyle w:val="Hipersaitas"/>
                <w:rFonts w:eastAsia="Lucida Sans Unicode" w:cs="Times New Roman"/>
                <w:noProof/>
              </w:rPr>
              <w:t>II.3. Priemonių, kurioms planuojamas taikyti fiksuotasis įkainis, analizė</w:t>
            </w:r>
            <w:r w:rsidR="00F14E64">
              <w:rPr>
                <w:noProof/>
                <w:webHidden/>
              </w:rPr>
              <w:tab/>
            </w:r>
            <w:r w:rsidR="00F14E64">
              <w:rPr>
                <w:noProof/>
                <w:webHidden/>
              </w:rPr>
              <w:fldChar w:fldCharType="begin"/>
            </w:r>
            <w:r w:rsidR="00F14E64">
              <w:rPr>
                <w:noProof/>
                <w:webHidden/>
              </w:rPr>
              <w:instrText xml:space="preserve"> PAGEREF _Toc465415125 \h </w:instrText>
            </w:r>
            <w:r w:rsidR="00F14E64">
              <w:rPr>
                <w:noProof/>
                <w:webHidden/>
              </w:rPr>
            </w:r>
            <w:r w:rsidR="00F14E64">
              <w:rPr>
                <w:noProof/>
                <w:webHidden/>
              </w:rPr>
              <w:fldChar w:fldCharType="separate"/>
            </w:r>
            <w:r w:rsidR="0058292F">
              <w:rPr>
                <w:noProof/>
                <w:webHidden/>
              </w:rPr>
              <w:t>7</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6" w:history="1">
            <w:r w:rsidR="00F14E64" w:rsidRPr="008E3B41">
              <w:rPr>
                <w:rStyle w:val="Hipersaitas"/>
                <w:rFonts w:eastAsia="Lucida Sans Unicode" w:cs="Times New Roman"/>
                <w:noProof/>
              </w:rPr>
              <w:t>II.4. Darbo užmokesčio fiksuotojo įkainio struktūra</w:t>
            </w:r>
            <w:r w:rsidR="00F14E64">
              <w:rPr>
                <w:noProof/>
                <w:webHidden/>
              </w:rPr>
              <w:tab/>
            </w:r>
            <w:r w:rsidR="00F14E64">
              <w:rPr>
                <w:noProof/>
                <w:webHidden/>
              </w:rPr>
              <w:fldChar w:fldCharType="begin"/>
            </w:r>
            <w:r w:rsidR="00F14E64">
              <w:rPr>
                <w:noProof/>
                <w:webHidden/>
              </w:rPr>
              <w:instrText xml:space="preserve"> PAGEREF _Toc465415126 \h </w:instrText>
            </w:r>
            <w:r w:rsidR="00F14E64">
              <w:rPr>
                <w:noProof/>
                <w:webHidden/>
              </w:rPr>
            </w:r>
            <w:r w:rsidR="00F14E64">
              <w:rPr>
                <w:noProof/>
                <w:webHidden/>
              </w:rPr>
              <w:fldChar w:fldCharType="separate"/>
            </w:r>
            <w:r w:rsidR="0058292F">
              <w:rPr>
                <w:noProof/>
                <w:webHidden/>
              </w:rPr>
              <w:t>11</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7" w:history="1">
            <w:r w:rsidR="00F14E64" w:rsidRPr="008E3B41">
              <w:rPr>
                <w:rStyle w:val="Hipersaitas"/>
                <w:rFonts w:eastAsia="Lucida Sans Unicode" w:cs="Times New Roman"/>
                <w:noProof/>
              </w:rPr>
              <w:t>II.5. „Erasmus plius“ projekto komanda ir aukštųjų mokyklų darbuotojų specifika</w:t>
            </w:r>
            <w:r w:rsidR="00F14E64">
              <w:rPr>
                <w:noProof/>
                <w:webHidden/>
              </w:rPr>
              <w:tab/>
            </w:r>
            <w:r w:rsidR="00F14E64">
              <w:rPr>
                <w:noProof/>
                <w:webHidden/>
              </w:rPr>
              <w:fldChar w:fldCharType="begin"/>
            </w:r>
            <w:r w:rsidR="00F14E64">
              <w:rPr>
                <w:noProof/>
                <w:webHidden/>
              </w:rPr>
              <w:instrText xml:space="preserve"> PAGEREF _Toc465415127 \h </w:instrText>
            </w:r>
            <w:r w:rsidR="00F14E64">
              <w:rPr>
                <w:noProof/>
                <w:webHidden/>
              </w:rPr>
            </w:r>
            <w:r w:rsidR="00F14E64">
              <w:rPr>
                <w:noProof/>
                <w:webHidden/>
              </w:rPr>
              <w:fldChar w:fldCharType="separate"/>
            </w:r>
            <w:r w:rsidR="0058292F">
              <w:rPr>
                <w:noProof/>
                <w:webHidden/>
              </w:rPr>
              <w:t>13</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8" w:history="1">
            <w:r w:rsidR="00F14E64" w:rsidRPr="008E3B41">
              <w:rPr>
                <w:rStyle w:val="Hipersaitas"/>
                <w:rFonts w:eastAsia="Lucida Sans Unicode" w:cs="Times New Roman"/>
                <w:noProof/>
              </w:rPr>
              <w:t>II.6. Aukštųjų mokyklų darbo užmokesčio analizė ir lyginimas su „Erasmus plius“ įkainiais</w:t>
            </w:r>
            <w:r w:rsidR="00F14E64">
              <w:rPr>
                <w:noProof/>
                <w:webHidden/>
              </w:rPr>
              <w:tab/>
            </w:r>
            <w:r w:rsidR="00F14E64">
              <w:rPr>
                <w:noProof/>
                <w:webHidden/>
              </w:rPr>
              <w:fldChar w:fldCharType="begin"/>
            </w:r>
            <w:r w:rsidR="00F14E64">
              <w:rPr>
                <w:noProof/>
                <w:webHidden/>
              </w:rPr>
              <w:instrText xml:space="preserve"> PAGEREF _Toc465415128 \h </w:instrText>
            </w:r>
            <w:r w:rsidR="00F14E64">
              <w:rPr>
                <w:noProof/>
                <w:webHidden/>
              </w:rPr>
            </w:r>
            <w:r w:rsidR="00F14E64">
              <w:rPr>
                <w:noProof/>
                <w:webHidden/>
              </w:rPr>
              <w:fldChar w:fldCharType="separate"/>
            </w:r>
            <w:r w:rsidR="0058292F">
              <w:rPr>
                <w:noProof/>
                <w:webHidden/>
              </w:rPr>
              <w:t>15</w:t>
            </w:r>
            <w:r w:rsidR="00F14E64">
              <w:rPr>
                <w:noProof/>
                <w:webHidden/>
              </w:rPr>
              <w:fldChar w:fldCharType="end"/>
            </w:r>
          </w:hyperlink>
        </w:p>
        <w:p w:rsidR="00F14E64" w:rsidRDefault="00B47EDB" w:rsidP="00F14E64">
          <w:pPr>
            <w:pStyle w:val="Turinys3"/>
            <w:rPr>
              <w:rFonts w:asciiTheme="minorHAnsi" w:hAnsiTheme="minorHAnsi"/>
              <w:noProof/>
              <w:color w:val="auto"/>
            </w:rPr>
          </w:pPr>
          <w:hyperlink w:anchor="_Toc465415129" w:history="1">
            <w:r w:rsidR="00F14E64" w:rsidRPr="008E3B41">
              <w:rPr>
                <w:rStyle w:val="Hipersaitas"/>
                <w:rFonts w:eastAsia="Lucida Sans Unicode" w:cs="Times New Roman"/>
                <w:noProof/>
              </w:rPr>
              <w:t>II.7. Laiko vieneto pasirinkimas</w:t>
            </w:r>
            <w:r w:rsidR="00F14E64">
              <w:rPr>
                <w:noProof/>
                <w:webHidden/>
              </w:rPr>
              <w:tab/>
            </w:r>
            <w:r w:rsidR="00F14E64">
              <w:rPr>
                <w:noProof/>
                <w:webHidden/>
              </w:rPr>
              <w:fldChar w:fldCharType="begin"/>
            </w:r>
            <w:r w:rsidR="00F14E64">
              <w:rPr>
                <w:noProof/>
                <w:webHidden/>
              </w:rPr>
              <w:instrText xml:space="preserve"> PAGEREF _Toc465415129 \h </w:instrText>
            </w:r>
            <w:r w:rsidR="00F14E64">
              <w:rPr>
                <w:noProof/>
                <w:webHidden/>
              </w:rPr>
            </w:r>
            <w:r w:rsidR="00F14E64">
              <w:rPr>
                <w:noProof/>
                <w:webHidden/>
              </w:rPr>
              <w:fldChar w:fldCharType="separate"/>
            </w:r>
            <w:r w:rsidR="0058292F">
              <w:rPr>
                <w:noProof/>
                <w:webHidden/>
              </w:rPr>
              <w:t>20</w:t>
            </w:r>
            <w:r w:rsidR="00F14E64">
              <w:rPr>
                <w:noProof/>
                <w:webHidden/>
              </w:rPr>
              <w:fldChar w:fldCharType="end"/>
            </w:r>
          </w:hyperlink>
        </w:p>
        <w:p w:rsidR="00F14E64" w:rsidRDefault="00B47EDB" w:rsidP="00F14E64">
          <w:pPr>
            <w:pStyle w:val="Turinys2"/>
            <w:rPr>
              <w:rFonts w:asciiTheme="minorHAnsi" w:hAnsiTheme="minorHAnsi"/>
              <w:noProof/>
              <w:color w:val="auto"/>
            </w:rPr>
          </w:pPr>
          <w:hyperlink w:anchor="_Toc465415130" w:history="1">
            <w:r w:rsidR="00F14E64" w:rsidRPr="008E3B41">
              <w:rPr>
                <w:rStyle w:val="Hipersaitas"/>
                <w:rFonts w:eastAsia="Lucida Sans Unicode" w:cs="Times New Roman"/>
                <w:noProof/>
              </w:rPr>
              <w:t>III. Tyrimo rezultatai</w:t>
            </w:r>
            <w:r w:rsidR="00F14E64">
              <w:rPr>
                <w:noProof/>
                <w:webHidden/>
              </w:rPr>
              <w:tab/>
            </w:r>
            <w:r w:rsidR="00F14E64">
              <w:rPr>
                <w:noProof/>
                <w:webHidden/>
              </w:rPr>
              <w:fldChar w:fldCharType="begin"/>
            </w:r>
            <w:r w:rsidR="00F14E64">
              <w:rPr>
                <w:noProof/>
                <w:webHidden/>
              </w:rPr>
              <w:instrText xml:space="preserve"> PAGEREF _Toc465415130 \h </w:instrText>
            </w:r>
            <w:r w:rsidR="00F14E64">
              <w:rPr>
                <w:noProof/>
                <w:webHidden/>
              </w:rPr>
            </w:r>
            <w:r w:rsidR="00F14E64">
              <w:rPr>
                <w:noProof/>
                <w:webHidden/>
              </w:rPr>
              <w:fldChar w:fldCharType="separate"/>
            </w:r>
            <w:r w:rsidR="0058292F">
              <w:rPr>
                <w:noProof/>
                <w:webHidden/>
              </w:rPr>
              <w:t>20</w:t>
            </w:r>
            <w:r w:rsidR="00F14E64">
              <w:rPr>
                <w:noProof/>
                <w:webHidden/>
              </w:rPr>
              <w:fldChar w:fldCharType="end"/>
            </w:r>
          </w:hyperlink>
        </w:p>
        <w:p w:rsidR="00F14E64" w:rsidRDefault="00B47EDB" w:rsidP="00F14E64">
          <w:pPr>
            <w:pStyle w:val="Turinys2"/>
            <w:rPr>
              <w:rFonts w:asciiTheme="minorHAnsi" w:hAnsiTheme="minorHAnsi"/>
              <w:noProof/>
              <w:color w:val="auto"/>
            </w:rPr>
          </w:pPr>
          <w:hyperlink w:anchor="_Toc465415131" w:history="1">
            <w:r w:rsidR="00F14E64" w:rsidRPr="008E3B41">
              <w:rPr>
                <w:rStyle w:val="Hipersaitas"/>
                <w:rFonts w:eastAsia="Lucida Sans Unicode" w:cs="Times New Roman"/>
                <w:noProof/>
              </w:rPr>
              <w:t>IV. Fiksuotųjų įkainių taikymas</w:t>
            </w:r>
            <w:r w:rsidR="00F14E64">
              <w:rPr>
                <w:noProof/>
                <w:webHidden/>
              </w:rPr>
              <w:tab/>
            </w:r>
            <w:r w:rsidR="00F14E64">
              <w:rPr>
                <w:noProof/>
                <w:webHidden/>
              </w:rPr>
              <w:fldChar w:fldCharType="begin"/>
            </w:r>
            <w:r w:rsidR="00F14E64">
              <w:rPr>
                <w:noProof/>
                <w:webHidden/>
              </w:rPr>
              <w:instrText xml:space="preserve"> PAGEREF _Toc465415131 \h </w:instrText>
            </w:r>
            <w:r w:rsidR="00F14E64">
              <w:rPr>
                <w:noProof/>
                <w:webHidden/>
              </w:rPr>
            </w:r>
            <w:r w:rsidR="00F14E64">
              <w:rPr>
                <w:noProof/>
                <w:webHidden/>
              </w:rPr>
              <w:fldChar w:fldCharType="separate"/>
            </w:r>
            <w:r w:rsidR="0058292F">
              <w:rPr>
                <w:noProof/>
                <w:webHidden/>
              </w:rPr>
              <w:t>21</w:t>
            </w:r>
            <w:r w:rsidR="00F14E64">
              <w:rPr>
                <w:noProof/>
                <w:webHidden/>
              </w:rPr>
              <w:fldChar w:fldCharType="end"/>
            </w:r>
          </w:hyperlink>
        </w:p>
        <w:p w:rsidR="00F14E64" w:rsidRDefault="00B47EDB" w:rsidP="00F14E64">
          <w:pPr>
            <w:pStyle w:val="Turinys2"/>
            <w:rPr>
              <w:rFonts w:asciiTheme="minorHAnsi" w:hAnsiTheme="minorHAnsi"/>
              <w:noProof/>
              <w:color w:val="auto"/>
            </w:rPr>
          </w:pPr>
          <w:hyperlink w:anchor="_Toc465415132" w:history="1">
            <w:r w:rsidR="00F14E64" w:rsidRPr="008E3B41">
              <w:rPr>
                <w:rStyle w:val="Hipersaitas"/>
                <w:rFonts w:eastAsia="Lucida Sans Unicode" w:cs="Times New Roman"/>
                <w:noProof/>
              </w:rPr>
              <w:t>PRIEDAI</w:t>
            </w:r>
            <w:r w:rsidR="00F14E64">
              <w:rPr>
                <w:noProof/>
                <w:webHidden/>
              </w:rPr>
              <w:tab/>
            </w:r>
            <w:r w:rsidR="00F14E64">
              <w:rPr>
                <w:noProof/>
                <w:webHidden/>
              </w:rPr>
              <w:fldChar w:fldCharType="begin"/>
            </w:r>
            <w:r w:rsidR="00F14E64">
              <w:rPr>
                <w:noProof/>
                <w:webHidden/>
              </w:rPr>
              <w:instrText xml:space="preserve"> PAGEREF _Toc465415132 \h </w:instrText>
            </w:r>
            <w:r w:rsidR="00F14E64">
              <w:rPr>
                <w:noProof/>
                <w:webHidden/>
              </w:rPr>
            </w:r>
            <w:r w:rsidR="00F14E64">
              <w:rPr>
                <w:noProof/>
                <w:webHidden/>
              </w:rPr>
              <w:fldChar w:fldCharType="separate"/>
            </w:r>
            <w:r w:rsidR="0058292F">
              <w:rPr>
                <w:noProof/>
                <w:webHidden/>
              </w:rPr>
              <w:t>24</w:t>
            </w:r>
            <w:r w:rsidR="00F14E64">
              <w:rPr>
                <w:noProof/>
                <w:webHidden/>
              </w:rPr>
              <w:fldChar w:fldCharType="end"/>
            </w:r>
          </w:hyperlink>
        </w:p>
        <w:p w:rsidR="00F14E64" w:rsidRDefault="00F14E64" w:rsidP="00F14E64">
          <w:pPr>
            <w:pStyle w:val="Turinys1"/>
            <w:rPr>
              <w:b/>
              <w:color w:val="auto"/>
              <w:sz w:val="24"/>
            </w:rPr>
          </w:pPr>
          <w:r w:rsidRPr="000D0573">
            <w:fldChar w:fldCharType="end"/>
          </w:r>
        </w:p>
      </w:sdtContent>
    </w:sdt>
    <w:p w:rsidR="00F14E64" w:rsidRDefault="00F14E64" w:rsidP="000B29DC">
      <w:pPr>
        <w:pStyle w:val="Antrat2"/>
        <w:numPr>
          <w:ilvl w:val="0"/>
          <w:numId w:val="0"/>
        </w:numPr>
        <w:ind w:left="680"/>
      </w:pPr>
    </w:p>
    <w:p w:rsidR="000B29DC" w:rsidRPr="000D0573" w:rsidRDefault="0072421B" w:rsidP="000B29DC">
      <w:pPr>
        <w:pStyle w:val="Antrat2"/>
        <w:numPr>
          <w:ilvl w:val="0"/>
          <w:numId w:val="0"/>
        </w:numPr>
        <w:ind w:left="680"/>
      </w:pPr>
      <w:r w:rsidRPr="00F14E64">
        <w:br w:type="page"/>
      </w:r>
      <w:bookmarkStart w:id="0" w:name="_Toc465415120"/>
      <w:r w:rsidR="000B29DC" w:rsidRPr="000D0573">
        <w:lastRenderedPageBreak/>
        <w:t>Lentelių sąrašas</w:t>
      </w:r>
      <w:bookmarkEnd w:id="0"/>
    </w:p>
    <w:p w:rsidR="000E4AEB" w:rsidRDefault="0043069F">
      <w:pPr>
        <w:pStyle w:val="Iliustracijsraas"/>
        <w:tabs>
          <w:tab w:val="right" w:leader="dot" w:pos="10076"/>
        </w:tabs>
        <w:rPr>
          <w:rFonts w:asciiTheme="minorHAnsi" w:hAnsiTheme="minorHAnsi"/>
          <w:noProof/>
          <w:sz w:val="22"/>
        </w:rPr>
      </w:pPr>
      <w:r w:rsidRPr="000D0573">
        <w:fldChar w:fldCharType="begin"/>
      </w:r>
      <w:r w:rsidRPr="000D0573">
        <w:instrText xml:space="preserve"> TOC \h \z \c "Lentelė" </w:instrText>
      </w:r>
      <w:r w:rsidRPr="000D0573">
        <w:fldChar w:fldCharType="separate"/>
      </w:r>
      <w:hyperlink w:anchor="_Toc465415133" w:history="1">
        <w:r w:rsidR="000E4AEB" w:rsidRPr="00A22E34">
          <w:rPr>
            <w:rStyle w:val="Hipersaitas"/>
            <w:rFonts w:eastAsia="Calibri" w:cs="Times New Roman"/>
            <w:noProof/>
            <w:lang w:eastAsia="en-US"/>
          </w:rPr>
          <w:t>1 lentelė. Maksimalių darbo užmokesčio įkainių vidurkiai Lietuvos aukštosiose mokyklose (Eur/d. d.)</w:t>
        </w:r>
        <w:r w:rsidR="000E4AEB">
          <w:rPr>
            <w:noProof/>
            <w:webHidden/>
          </w:rPr>
          <w:tab/>
        </w:r>
        <w:r w:rsidR="000E4AEB">
          <w:rPr>
            <w:noProof/>
            <w:webHidden/>
          </w:rPr>
          <w:fldChar w:fldCharType="begin"/>
        </w:r>
        <w:r w:rsidR="000E4AEB">
          <w:rPr>
            <w:noProof/>
            <w:webHidden/>
          </w:rPr>
          <w:instrText xml:space="preserve"> PAGEREF _Toc465415133 \h </w:instrText>
        </w:r>
        <w:r w:rsidR="000E4AEB">
          <w:rPr>
            <w:noProof/>
            <w:webHidden/>
          </w:rPr>
        </w:r>
        <w:r w:rsidR="000E4AEB">
          <w:rPr>
            <w:noProof/>
            <w:webHidden/>
          </w:rPr>
          <w:fldChar w:fldCharType="separate"/>
        </w:r>
        <w:r w:rsidR="0058292F">
          <w:rPr>
            <w:noProof/>
            <w:webHidden/>
          </w:rPr>
          <w:t>18</w:t>
        </w:r>
        <w:r w:rsidR="000E4AEB">
          <w:rPr>
            <w:noProof/>
            <w:webHidden/>
          </w:rPr>
          <w:fldChar w:fldCharType="end"/>
        </w:r>
      </w:hyperlink>
    </w:p>
    <w:p w:rsidR="000E4AEB" w:rsidRDefault="00B47EDB">
      <w:pPr>
        <w:pStyle w:val="Iliustracijsraas"/>
        <w:tabs>
          <w:tab w:val="right" w:leader="dot" w:pos="10076"/>
        </w:tabs>
        <w:rPr>
          <w:rFonts w:asciiTheme="minorHAnsi" w:hAnsiTheme="minorHAnsi"/>
          <w:noProof/>
          <w:sz w:val="22"/>
        </w:rPr>
      </w:pPr>
      <w:hyperlink w:anchor="_Toc465415134" w:history="1">
        <w:r w:rsidR="000E4AEB" w:rsidRPr="00A22E34">
          <w:rPr>
            <w:rStyle w:val="Hipersaitas"/>
            <w:rFonts w:eastAsia="Calibri" w:cs="Times New Roman"/>
            <w:noProof/>
            <w:lang w:eastAsia="en-US"/>
          </w:rPr>
          <w:t>2 lentelė. „Erasmus plius“ ir pagal darbo užmokesčio tvarkas apskaičiuotų įkainių palyginimas (Eur/d. d.)</w:t>
        </w:r>
        <w:r w:rsidR="000E4AEB">
          <w:rPr>
            <w:noProof/>
            <w:webHidden/>
          </w:rPr>
          <w:tab/>
        </w:r>
        <w:r w:rsidR="000E4AEB">
          <w:rPr>
            <w:noProof/>
            <w:webHidden/>
          </w:rPr>
          <w:fldChar w:fldCharType="begin"/>
        </w:r>
        <w:r w:rsidR="000E4AEB">
          <w:rPr>
            <w:noProof/>
            <w:webHidden/>
          </w:rPr>
          <w:instrText xml:space="preserve"> PAGEREF _Toc465415134 \h </w:instrText>
        </w:r>
        <w:r w:rsidR="000E4AEB">
          <w:rPr>
            <w:noProof/>
            <w:webHidden/>
          </w:rPr>
        </w:r>
        <w:r w:rsidR="000E4AEB">
          <w:rPr>
            <w:noProof/>
            <w:webHidden/>
          </w:rPr>
          <w:fldChar w:fldCharType="separate"/>
        </w:r>
        <w:r w:rsidR="0058292F">
          <w:rPr>
            <w:noProof/>
            <w:webHidden/>
          </w:rPr>
          <w:t>19</w:t>
        </w:r>
        <w:r w:rsidR="000E4AEB">
          <w:rPr>
            <w:noProof/>
            <w:webHidden/>
          </w:rPr>
          <w:fldChar w:fldCharType="end"/>
        </w:r>
      </w:hyperlink>
    </w:p>
    <w:p w:rsidR="000E4AEB" w:rsidRDefault="00B47EDB">
      <w:pPr>
        <w:pStyle w:val="Iliustracijsraas"/>
        <w:tabs>
          <w:tab w:val="right" w:leader="dot" w:pos="10076"/>
        </w:tabs>
        <w:rPr>
          <w:rFonts w:asciiTheme="minorHAnsi" w:hAnsiTheme="minorHAnsi"/>
          <w:noProof/>
          <w:sz w:val="22"/>
        </w:rPr>
      </w:pPr>
      <w:hyperlink w:anchor="_Toc465415135" w:history="1">
        <w:r w:rsidR="000E4AEB" w:rsidRPr="00A22E34">
          <w:rPr>
            <w:rStyle w:val="Hipersaitas"/>
            <w:rFonts w:eastAsia="Times New Roman" w:cs="Times New Roman"/>
            <w:noProof/>
          </w:rPr>
          <w:t>3 lentelė. Aukštųjų mokyklų personalo, vykdančio projektą, darbo užmokesčio išlaidų fiksuotieji įkainiai (Eur/val.)</w:t>
        </w:r>
        <w:r w:rsidR="000E4AEB">
          <w:rPr>
            <w:noProof/>
            <w:webHidden/>
          </w:rPr>
          <w:tab/>
        </w:r>
        <w:r w:rsidR="000E4AEB">
          <w:rPr>
            <w:noProof/>
            <w:webHidden/>
          </w:rPr>
          <w:fldChar w:fldCharType="begin"/>
        </w:r>
        <w:r w:rsidR="000E4AEB">
          <w:rPr>
            <w:noProof/>
            <w:webHidden/>
          </w:rPr>
          <w:instrText xml:space="preserve"> PAGEREF _Toc465415135 \h </w:instrText>
        </w:r>
        <w:r w:rsidR="000E4AEB">
          <w:rPr>
            <w:noProof/>
            <w:webHidden/>
          </w:rPr>
        </w:r>
        <w:r w:rsidR="000E4AEB">
          <w:rPr>
            <w:noProof/>
            <w:webHidden/>
          </w:rPr>
          <w:fldChar w:fldCharType="separate"/>
        </w:r>
        <w:r w:rsidR="0058292F">
          <w:rPr>
            <w:noProof/>
            <w:webHidden/>
          </w:rPr>
          <w:t>20</w:t>
        </w:r>
        <w:r w:rsidR="000E4AEB">
          <w:rPr>
            <w:noProof/>
            <w:webHidden/>
          </w:rPr>
          <w:fldChar w:fldCharType="end"/>
        </w:r>
      </w:hyperlink>
    </w:p>
    <w:p w:rsidR="00FD2F9E" w:rsidRPr="000D0573" w:rsidRDefault="0043069F" w:rsidP="001236A5">
      <w:pPr>
        <w:pStyle w:val="Iliustracijsraas"/>
        <w:tabs>
          <w:tab w:val="right" w:leader="dot" w:pos="10076"/>
        </w:tabs>
        <w:ind w:left="0"/>
      </w:pPr>
      <w:r w:rsidRPr="000D0573">
        <w:fldChar w:fldCharType="end"/>
      </w:r>
    </w:p>
    <w:p w:rsidR="000B29DC" w:rsidRPr="000D0573" w:rsidRDefault="000B29DC" w:rsidP="001236A5">
      <w:pPr>
        <w:pStyle w:val="Iliustracijsraas"/>
        <w:tabs>
          <w:tab w:val="right" w:leader="dot" w:pos="10076"/>
        </w:tabs>
        <w:ind w:left="0"/>
      </w:pPr>
      <w:r w:rsidRPr="000D0573">
        <w:br w:type="page"/>
      </w:r>
    </w:p>
    <w:p w:rsidR="00262E7C" w:rsidRPr="000D0573" w:rsidRDefault="00742DCE" w:rsidP="002E5FE8">
      <w:pPr>
        <w:pStyle w:val="Antrat2"/>
        <w:numPr>
          <w:ilvl w:val="0"/>
          <w:numId w:val="0"/>
        </w:numPr>
        <w:ind w:left="680" w:hanging="680"/>
      </w:pPr>
      <w:bookmarkStart w:id="1" w:name="_Toc465415121"/>
      <w:r w:rsidRPr="000D0573">
        <w:lastRenderedPageBreak/>
        <w:t xml:space="preserve">I. </w:t>
      </w:r>
      <w:r w:rsidR="0050699A" w:rsidRPr="000D0573">
        <w:t>ĮVADAS</w:t>
      </w:r>
      <w:bookmarkEnd w:id="1"/>
    </w:p>
    <w:p w:rsidR="00FD0B92" w:rsidRPr="000D0573" w:rsidRDefault="004F1B7C" w:rsidP="00FD0B92">
      <w:pPr>
        <w:spacing w:before="240" w:after="240"/>
        <w:jc w:val="both"/>
        <w:rPr>
          <w:rFonts w:eastAsia="Times New Roman" w:cs="Times New Roman"/>
          <w:szCs w:val="24"/>
        </w:rPr>
      </w:pPr>
      <w:r w:rsidRPr="000D0573">
        <w:rPr>
          <w:rFonts w:eastAsia="Times New Roman" w:cs="Times New Roman"/>
          <w:szCs w:val="24"/>
        </w:rPr>
        <w:t>Tyrimo a</w:t>
      </w:r>
      <w:r w:rsidR="00FD0B92" w:rsidRPr="000D0573">
        <w:rPr>
          <w:rFonts w:eastAsia="Times New Roman" w:cs="Times New Roman"/>
          <w:szCs w:val="24"/>
        </w:rPr>
        <w:t xml:space="preserve">taskaitoje </w:t>
      </w:r>
      <w:r w:rsidR="001D6F5E" w:rsidRPr="000D0573">
        <w:rPr>
          <w:rFonts w:eastAsia="Times New Roman" w:cs="Times New Roman"/>
          <w:szCs w:val="24"/>
        </w:rPr>
        <w:t xml:space="preserve">nustatomi </w:t>
      </w:r>
      <w:r w:rsidR="00FD0B92" w:rsidRPr="000D0573">
        <w:rPr>
          <w:rFonts w:eastAsia="Times New Roman" w:cs="Times New Roman"/>
          <w:szCs w:val="24"/>
        </w:rPr>
        <w:t xml:space="preserve">aukštųjų mokyklų personalo, vykdančio projektą, darbo užmokesčio išlaidų fiksuotieji įkainiai (toliau – fiksuotieji įkainiai). </w:t>
      </w:r>
    </w:p>
    <w:p w:rsidR="00FD0B92" w:rsidRPr="000D0573" w:rsidRDefault="00FD0B92" w:rsidP="00FD0B92">
      <w:pPr>
        <w:spacing w:before="240" w:after="240"/>
        <w:jc w:val="both"/>
        <w:rPr>
          <w:rFonts w:eastAsia="Times New Roman" w:cs="Times New Roman"/>
          <w:szCs w:val="24"/>
        </w:rPr>
      </w:pPr>
      <w:r w:rsidRPr="000D0573">
        <w:rPr>
          <w:rFonts w:eastAsia="Times New Roman" w:cs="Times New Roman"/>
          <w:szCs w:val="24"/>
        </w:rPr>
        <w:t>Šie fiksuotieji įkainiai taikytini</w:t>
      </w:r>
      <w:r w:rsidR="005C0406" w:rsidRPr="000D0573">
        <w:rPr>
          <w:rFonts w:eastAsia="Times New Roman" w:cs="Times New Roman"/>
          <w:szCs w:val="24"/>
        </w:rPr>
        <w:t>,</w:t>
      </w:r>
      <w:r w:rsidRPr="000D0573">
        <w:rPr>
          <w:rFonts w:eastAsia="Times New Roman" w:cs="Times New Roman"/>
          <w:szCs w:val="24"/>
        </w:rPr>
        <w:t xml:space="preserve"> siekiant sumažinti administracinę naštą </w:t>
      </w:r>
      <w:r w:rsidR="004F1B7C" w:rsidRPr="000D0573">
        <w:rPr>
          <w:rFonts w:eastAsia="Times New Roman" w:cs="Times New Roman"/>
          <w:szCs w:val="24"/>
        </w:rPr>
        <w:t xml:space="preserve">projektų paraiškas rengiantiems </w:t>
      </w:r>
      <w:r w:rsidRPr="000D0573">
        <w:rPr>
          <w:rFonts w:eastAsia="Times New Roman" w:cs="Times New Roman"/>
          <w:szCs w:val="24"/>
        </w:rPr>
        <w:t>pareiškėjams</w:t>
      </w:r>
      <w:r w:rsidR="004F1B7C" w:rsidRPr="000D0573">
        <w:rPr>
          <w:rFonts w:eastAsia="Times New Roman" w:cs="Times New Roman"/>
          <w:szCs w:val="24"/>
        </w:rPr>
        <w:t xml:space="preserve"> ir </w:t>
      </w:r>
      <w:r w:rsidRPr="000D0573">
        <w:rPr>
          <w:rFonts w:eastAsia="Times New Roman" w:cs="Times New Roman"/>
          <w:szCs w:val="24"/>
        </w:rPr>
        <w:t xml:space="preserve">projektų vykdytojams, deklaruojantiems iš Europos Sąjungos struktūrinių fondų </w:t>
      </w:r>
      <w:r w:rsidR="001D6F5E" w:rsidRPr="000D0573">
        <w:rPr>
          <w:rFonts w:eastAsia="Times New Roman" w:cs="Times New Roman"/>
          <w:szCs w:val="24"/>
        </w:rPr>
        <w:t xml:space="preserve">lėšų </w:t>
      </w:r>
      <w:r w:rsidRPr="000D0573">
        <w:rPr>
          <w:rFonts w:eastAsia="Times New Roman" w:cs="Times New Roman"/>
          <w:szCs w:val="24"/>
        </w:rPr>
        <w:t>bendrai finansuojamų projektų (toliau – projektas) įgyvendinimo metu patiriamas darbo užmokesčio išlaidas.</w:t>
      </w:r>
    </w:p>
    <w:p w:rsidR="00FD0B92" w:rsidRPr="000D0573" w:rsidRDefault="00A0625F" w:rsidP="00FD0B92">
      <w:pPr>
        <w:spacing w:before="240" w:after="240"/>
        <w:jc w:val="both"/>
        <w:rPr>
          <w:rFonts w:eastAsia="Times New Roman" w:cs="Times New Roman"/>
          <w:szCs w:val="24"/>
        </w:rPr>
      </w:pPr>
      <w:r w:rsidRPr="000D0573">
        <w:rPr>
          <w:rFonts w:eastAsia="Times New Roman" w:cs="Times New Roman"/>
          <w:szCs w:val="24"/>
        </w:rPr>
        <w:t>Šioje tyrimo a</w:t>
      </w:r>
      <w:r w:rsidR="00FD0B92" w:rsidRPr="000D0573">
        <w:rPr>
          <w:rFonts w:eastAsia="Times New Roman" w:cs="Times New Roman"/>
          <w:szCs w:val="24"/>
        </w:rPr>
        <w:t>taskaitoje nustatytus fiksuotuosius įkainius ir jų dydžius planuojama taikyti 2014–2020</w:t>
      </w:r>
      <w:r w:rsidR="005C0406" w:rsidRPr="000D0573">
        <w:rPr>
          <w:rFonts w:eastAsia="Times New Roman" w:cs="Times New Roman"/>
          <w:szCs w:val="24"/>
        </w:rPr>
        <w:t> </w:t>
      </w:r>
      <w:r w:rsidR="00FD0B92" w:rsidRPr="000D0573">
        <w:rPr>
          <w:rFonts w:eastAsia="Times New Roman" w:cs="Times New Roman"/>
          <w:szCs w:val="24"/>
        </w:rPr>
        <w:t xml:space="preserve">m. Europos Sąjungos fondų investicijų veiksmų programos 9 prioriteto „Visuomenės švietimas ir žmogiškųjų išteklių potencialo didinimas“ dviejų uždavinių </w:t>
      </w:r>
      <w:r w:rsidR="004F1B7C" w:rsidRPr="000D0573">
        <w:rPr>
          <w:rFonts w:eastAsia="Times New Roman" w:cs="Times New Roman"/>
          <w:szCs w:val="24"/>
        </w:rPr>
        <w:t>(</w:t>
      </w:r>
      <w:r w:rsidR="00FD0B92" w:rsidRPr="000D0573">
        <w:rPr>
          <w:rFonts w:eastAsia="Times New Roman" w:cs="Times New Roman"/>
          <w:szCs w:val="24"/>
        </w:rPr>
        <w:t xml:space="preserve">9.3.1 </w:t>
      </w:r>
      <w:r w:rsidR="004F1B7C" w:rsidRPr="000D0573">
        <w:rPr>
          <w:rFonts w:eastAsia="Times New Roman" w:cs="Times New Roman"/>
          <w:szCs w:val="24"/>
        </w:rPr>
        <w:t xml:space="preserve">– </w:t>
      </w:r>
      <w:r w:rsidR="00FD0B92" w:rsidRPr="000D0573">
        <w:rPr>
          <w:rFonts w:eastAsia="Times New Roman" w:cs="Times New Roman"/>
          <w:szCs w:val="24"/>
        </w:rPr>
        <w:t xml:space="preserve">„Siekiant geresnės studijų atitikties darbo rinkos ir visuomenės poreikiams, gerinti studijų kokybę ir didinti studijų prieinamumą“ ir 9.3.2 </w:t>
      </w:r>
      <w:r w:rsidR="004F1B7C" w:rsidRPr="000D0573">
        <w:rPr>
          <w:rFonts w:eastAsia="Times New Roman" w:cs="Times New Roman"/>
          <w:szCs w:val="24"/>
        </w:rPr>
        <w:t xml:space="preserve">– </w:t>
      </w:r>
      <w:r w:rsidR="00FD0B92" w:rsidRPr="000D0573">
        <w:rPr>
          <w:rFonts w:eastAsia="Times New Roman" w:cs="Times New Roman"/>
          <w:szCs w:val="24"/>
        </w:rPr>
        <w:t xml:space="preserve">„Stiprinti aukštojo mokslo </w:t>
      </w:r>
      <w:proofErr w:type="spellStart"/>
      <w:r w:rsidR="00FD0B92" w:rsidRPr="000D0573">
        <w:rPr>
          <w:rFonts w:eastAsia="Times New Roman" w:cs="Times New Roman"/>
          <w:szCs w:val="24"/>
        </w:rPr>
        <w:t>stebėseną</w:t>
      </w:r>
      <w:proofErr w:type="spellEnd"/>
      <w:r w:rsidR="00FD0B92" w:rsidRPr="000D0573">
        <w:rPr>
          <w:rFonts w:eastAsia="Times New Roman" w:cs="Times New Roman"/>
          <w:szCs w:val="24"/>
        </w:rPr>
        <w:t>, išorinį vertinimą ir efektyvų studijų valdymą, siekiant nuolatinio studijų kokybės gerinimo“</w:t>
      </w:r>
      <w:r w:rsidR="004F1B7C" w:rsidRPr="000D0573">
        <w:rPr>
          <w:rFonts w:eastAsia="Times New Roman" w:cs="Times New Roman"/>
          <w:szCs w:val="24"/>
        </w:rPr>
        <w:t>)</w:t>
      </w:r>
      <w:r w:rsidR="00FD0B92" w:rsidRPr="000D0573">
        <w:rPr>
          <w:rFonts w:eastAsia="Times New Roman" w:cs="Times New Roman"/>
          <w:szCs w:val="24"/>
        </w:rPr>
        <w:t xml:space="preserve"> </w:t>
      </w:r>
      <w:r w:rsidR="009503BB" w:rsidRPr="000D0573">
        <w:rPr>
          <w:rFonts w:eastAsia="Times New Roman" w:cs="Times New Roman"/>
          <w:szCs w:val="24"/>
        </w:rPr>
        <w:t>penkioms</w:t>
      </w:r>
      <w:r w:rsidR="00FD0B92" w:rsidRPr="000D0573">
        <w:rPr>
          <w:rFonts w:eastAsia="Times New Roman" w:cs="Times New Roman"/>
          <w:szCs w:val="24"/>
        </w:rPr>
        <w:t xml:space="preserve"> priemonėms (toliau – priemonės): </w:t>
      </w:r>
    </w:p>
    <w:p w:rsidR="00FD0B92" w:rsidRPr="000D0573" w:rsidRDefault="00FD0B92" w:rsidP="00FD0B92">
      <w:pPr>
        <w:numPr>
          <w:ilvl w:val="0"/>
          <w:numId w:val="3"/>
        </w:numPr>
        <w:spacing w:before="240" w:after="240"/>
        <w:ind w:left="1418"/>
        <w:jc w:val="both"/>
        <w:rPr>
          <w:rFonts w:eastAsia="Times New Roman" w:cs="Times New Roman"/>
          <w:szCs w:val="24"/>
        </w:rPr>
      </w:pPr>
      <w:r w:rsidRPr="000D0573">
        <w:rPr>
          <w:rFonts w:eastAsia="Times New Roman" w:cs="Times New Roman"/>
          <w:bCs/>
          <w:szCs w:val="24"/>
        </w:rPr>
        <w:t>„Studijų kokybės gerinimas“ (Nr. 09.3.1-ESFA-K-731);</w:t>
      </w:r>
    </w:p>
    <w:p w:rsidR="00FD0B92" w:rsidRPr="000D0573" w:rsidRDefault="00FD0B92" w:rsidP="00FD0B92">
      <w:pPr>
        <w:numPr>
          <w:ilvl w:val="0"/>
          <w:numId w:val="3"/>
        </w:numPr>
        <w:spacing w:before="240" w:after="240"/>
        <w:ind w:left="1418"/>
        <w:jc w:val="both"/>
        <w:rPr>
          <w:rFonts w:eastAsia="Times New Roman" w:cs="Times New Roman"/>
          <w:szCs w:val="24"/>
        </w:rPr>
      </w:pPr>
      <w:r w:rsidRPr="000D0573">
        <w:rPr>
          <w:rFonts w:eastAsia="Times New Roman" w:cs="Times New Roman"/>
          <w:szCs w:val="24"/>
        </w:rPr>
        <w:t xml:space="preserve">„Studijų sistemos tobulinimas“ (Nr. </w:t>
      </w:r>
      <w:r w:rsidRPr="000D0573">
        <w:rPr>
          <w:rFonts w:eastAsia="Times New Roman" w:cs="Times New Roman"/>
          <w:bCs/>
          <w:szCs w:val="24"/>
        </w:rPr>
        <w:t>09.3.1-ESFA-V-732);</w:t>
      </w:r>
    </w:p>
    <w:p w:rsidR="009503BB" w:rsidRPr="000D0573" w:rsidRDefault="009503BB" w:rsidP="00FD0B92">
      <w:pPr>
        <w:numPr>
          <w:ilvl w:val="0"/>
          <w:numId w:val="3"/>
        </w:numPr>
        <w:spacing w:before="240" w:after="240"/>
        <w:ind w:left="1418"/>
        <w:jc w:val="both"/>
        <w:rPr>
          <w:rFonts w:eastAsia="Times New Roman" w:cs="Times New Roman"/>
          <w:szCs w:val="24"/>
        </w:rPr>
      </w:pPr>
      <w:r w:rsidRPr="000D0573">
        <w:rPr>
          <w:rFonts w:eastAsia="Times New Roman" w:cs="Times New Roman"/>
          <w:szCs w:val="24"/>
        </w:rPr>
        <w:t>„</w:t>
      </w:r>
      <w:r w:rsidRPr="000D0573">
        <w:rPr>
          <w:bCs/>
          <w:szCs w:val="24"/>
        </w:rPr>
        <w:t>Studijų prieinamumo didinimas“ (Nr. 09.3.1-ESFA-V-708);</w:t>
      </w:r>
    </w:p>
    <w:p w:rsidR="009503BB" w:rsidRPr="000D0573" w:rsidRDefault="009503BB" w:rsidP="00FD0B92">
      <w:pPr>
        <w:numPr>
          <w:ilvl w:val="0"/>
          <w:numId w:val="3"/>
        </w:numPr>
        <w:spacing w:before="240" w:after="240"/>
        <w:ind w:left="1418"/>
        <w:jc w:val="both"/>
        <w:rPr>
          <w:rFonts w:eastAsia="Times New Roman" w:cs="Times New Roman"/>
          <w:szCs w:val="24"/>
        </w:rPr>
      </w:pPr>
      <w:r w:rsidRPr="000D0573">
        <w:rPr>
          <w:bCs/>
          <w:szCs w:val="24"/>
        </w:rPr>
        <w:t xml:space="preserve">„Studijų </w:t>
      </w:r>
      <w:proofErr w:type="spellStart"/>
      <w:r w:rsidRPr="000D0573">
        <w:rPr>
          <w:bCs/>
          <w:szCs w:val="24"/>
        </w:rPr>
        <w:t>tarptautiškumo</w:t>
      </w:r>
      <w:proofErr w:type="spellEnd"/>
      <w:r w:rsidRPr="000D0573">
        <w:rPr>
          <w:bCs/>
          <w:szCs w:val="24"/>
        </w:rPr>
        <w:t xml:space="preserve"> didinimas“ (Nr. 09.3.1-ESFA-V-709);</w:t>
      </w:r>
    </w:p>
    <w:p w:rsidR="009D1DB5" w:rsidRPr="000D0573" w:rsidRDefault="00FD0B92" w:rsidP="009D1DB5">
      <w:pPr>
        <w:numPr>
          <w:ilvl w:val="0"/>
          <w:numId w:val="3"/>
        </w:numPr>
        <w:spacing w:before="240" w:after="240"/>
        <w:ind w:left="1418"/>
        <w:jc w:val="both"/>
        <w:rPr>
          <w:rFonts w:eastAsia="Times New Roman" w:cs="Times New Roman"/>
          <w:szCs w:val="24"/>
        </w:rPr>
      </w:pPr>
      <w:r w:rsidRPr="000D0573">
        <w:rPr>
          <w:rFonts w:eastAsia="Times New Roman" w:cs="Times New Roman"/>
          <w:szCs w:val="24"/>
        </w:rPr>
        <w:t xml:space="preserve">„Stebėsenos, išorinio vertinimo stiprinimas ir kvalifikacijų pripažinimas“ (Nr. </w:t>
      </w:r>
      <w:r w:rsidRPr="000D0573">
        <w:rPr>
          <w:rFonts w:eastAsia="Times New Roman" w:cs="Times New Roman"/>
          <w:bCs/>
          <w:szCs w:val="24"/>
        </w:rPr>
        <w:t>09.3.2-ESFA-V-710).</w:t>
      </w:r>
    </w:p>
    <w:p w:rsidR="009D1DB5" w:rsidRPr="000D0573" w:rsidRDefault="00636D50" w:rsidP="009D1DB5">
      <w:pPr>
        <w:spacing w:before="240" w:after="240"/>
        <w:jc w:val="both"/>
        <w:rPr>
          <w:rFonts w:eastAsia="Times New Roman" w:cs="Times New Roman"/>
          <w:szCs w:val="24"/>
        </w:rPr>
      </w:pPr>
      <w:r w:rsidRPr="000D0573">
        <w:t>Nustatytus fiksuotuosius įkainius</w:t>
      </w:r>
      <w:r w:rsidR="009D1DB5" w:rsidRPr="000D0573">
        <w:t xml:space="preserve"> pagal poreikį gali taikyti visos institucijos, administruojančios Europos Sąjungos struktūrinių fondų lėšas, kurių administruojamuose projektuose bus numatytos aukštųjų mokyklų personalo darbo užmokesčio išlaidos, atitinkančios šiame </w:t>
      </w:r>
      <w:r w:rsidRPr="000D0573">
        <w:t>tyrim</w:t>
      </w:r>
      <w:r w:rsidR="009D1DB5" w:rsidRPr="000D0573">
        <w:t>e nustatytas sąlygas.</w:t>
      </w:r>
    </w:p>
    <w:p w:rsidR="00FD0B92" w:rsidRPr="000D0573" w:rsidRDefault="00FD0B92" w:rsidP="00FD0B92">
      <w:pPr>
        <w:tabs>
          <w:tab w:val="left" w:pos="9600"/>
        </w:tabs>
        <w:spacing w:after="240"/>
        <w:ind w:right="74"/>
        <w:jc w:val="both"/>
        <w:rPr>
          <w:rFonts w:eastAsia="Times New Roman" w:cs="Times New Roman"/>
        </w:rPr>
      </w:pPr>
      <w:r w:rsidRPr="000D0573">
        <w:rPr>
          <w:rFonts w:eastAsia="Times New Roman" w:cs="Times New Roman"/>
        </w:rPr>
        <w:t xml:space="preserve">Tyrimą atliko PPMI </w:t>
      </w:r>
      <w:proofErr w:type="spellStart"/>
      <w:r w:rsidRPr="000D0573">
        <w:rPr>
          <w:rFonts w:eastAsia="Times New Roman" w:cs="Times New Roman"/>
        </w:rPr>
        <w:t>G</w:t>
      </w:r>
      <w:r w:rsidR="007F0E7F">
        <w:rPr>
          <w:rFonts w:eastAsia="Times New Roman" w:cs="Times New Roman"/>
        </w:rPr>
        <w:t>roup</w:t>
      </w:r>
      <w:proofErr w:type="spellEnd"/>
      <w:r w:rsidRPr="000D0573">
        <w:rPr>
          <w:rFonts w:eastAsia="Times New Roman" w:cs="Times New Roman"/>
        </w:rPr>
        <w:t xml:space="preserve">, UAB ekspertai pagal </w:t>
      </w:r>
      <w:r w:rsidR="00164DC4" w:rsidRPr="000D0573">
        <w:rPr>
          <w:rFonts w:eastAsia="Times New Roman" w:cs="Times New Roman"/>
        </w:rPr>
        <w:t xml:space="preserve">2015 m. vasario 4 d. </w:t>
      </w:r>
      <w:r w:rsidRPr="000D0573">
        <w:rPr>
          <w:rFonts w:eastAsia="Times New Roman" w:cs="Times New Roman"/>
        </w:rPr>
        <w:t xml:space="preserve">PPMI </w:t>
      </w:r>
      <w:proofErr w:type="spellStart"/>
      <w:r w:rsidRPr="000D0573">
        <w:rPr>
          <w:rFonts w:eastAsia="Times New Roman" w:cs="Times New Roman"/>
        </w:rPr>
        <w:t>G</w:t>
      </w:r>
      <w:r w:rsidR="007F0E7F">
        <w:rPr>
          <w:rFonts w:eastAsia="Times New Roman" w:cs="Times New Roman"/>
        </w:rPr>
        <w:t>roup</w:t>
      </w:r>
      <w:proofErr w:type="spellEnd"/>
      <w:r w:rsidRPr="000D0573">
        <w:rPr>
          <w:rFonts w:eastAsia="Times New Roman" w:cs="Times New Roman"/>
        </w:rPr>
        <w:t xml:space="preserve">, UAB </w:t>
      </w:r>
      <w:r w:rsidR="009F12D6" w:rsidRPr="000D0573">
        <w:rPr>
          <w:rFonts w:eastAsia="Times New Roman" w:cs="Times New Roman"/>
        </w:rPr>
        <w:t xml:space="preserve">ir Lietuvos Respublikos švietimo ir mokslo ministerijos pasirašytą </w:t>
      </w:r>
      <w:r w:rsidRPr="000D0573">
        <w:rPr>
          <w:rFonts w:eastAsia="Times New Roman" w:cs="Times New Roman"/>
        </w:rPr>
        <w:t xml:space="preserve">sutartį Nr. </w:t>
      </w:r>
      <w:r w:rsidR="004F1B7C" w:rsidRPr="000D0573">
        <w:rPr>
          <w:rFonts w:eastAsia="Times New Roman" w:cs="Times New Roman"/>
        </w:rPr>
        <w:t> </w:t>
      </w:r>
      <w:r w:rsidRPr="000D0573">
        <w:rPr>
          <w:rFonts w:eastAsia="Times New Roman" w:cs="Times New Roman"/>
        </w:rPr>
        <w:t xml:space="preserve">S-39. </w:t>
      </w:r>
    </w:p>
    <w:p w:rsidR="00FD0B92" w:rsidRPr="000D0573" w:rsidRDefault="00FD0B92" w:rsidP="00FD0B92">
      <w:pPr>
        <w:spacing w:after="200"/>
        <w:rPr>
          <w:rFonts w:eastAsia="Times New Roman" w:cs="Times New Roman"/>
        </w:rPr>
      </w:pPr>
      <w:r w:rsidRPr="000D0573">
        <w:rPr>
          <w:rFonts w:eastAsia="Times New Roman" w:cs="Times New Roman"/>
        </w:rPr>
        <w:br w:type="page"/>
      </w:r>
    </w:p>
    <w:p w:rsidR="00FD0B92" w:rsidRPr="000D0573" w:rsidRDefault="00FD0B92" w:rsidP="00FD0B92">
      <w:pPr>
        <w:keepNext/>
        <w:keepLines/>
        <w:spacing w:before="200" w:after="360"/>
        <w:ind w:left="680" w:hanging="680"/>
        <w:outlineLvl w:val="1"/>
        <w:rPr>
          <w:rFonts w:eastAsia="Lucida Sans Unicode" w:cs="Times New Roman"/>
          <w:caps/>
          <w:color w:val="00505E"/>
          <w:sz w:val="45"/>
          <w:szCs w:val="45"/>
        </w:rPr>
      </w:pPr>
      <w:bookmarkStart w:id="2" w:name="_Toc459650626"/>
      <w:bookmarkStart w:id="3" w:name="_Toc465415122"/>
      <w:r w:rsidRPr="000D0573">
        <w:rPr>
          <w:rFonts w:eastAsia="Lucida Sans Unicode" w:cs="Times New Roman"/>
          <w:caps/>
          <w:color w:val="00505E"/>
          <w:sz w:val="45"/>
          <w:szCs w:val="45"/>
        </w:rPr>
        <w:lastRenderedPageBreak/>
        <w:t>II. Tyrimo metodika</w:t>
      </w:r>
      <w:bookmarkEnd w:id="2"/>
      <w:bookmarkEnd w:id="3"/>
    </w:p>
    <w:p w:rsidR="00FD0B92" w:rsidRPr="000D0573" w:rsidRDefault="00FD0B92" w:rsidP="00FD0B92">
      <w:pPr>
        <w:keepNext/>
        <w:keepLines/>
        <w:tabs>
          <w:tab w:val="left" w:pos="907"/>
          <w:tab w:val="left" w:pos="1134"/>
          <w:tab w:val="left" w:pos="1361"/>
        </w:tabs>
        <w:spacing w:before="200" w:after="240"/>
        <w:ind w:left="680"/>
        <w:outlineLvl w:val="2"/>
        <w:rPr>
          <w:rFonts w:eastAsia="Lucida Sans Unicode" w:cs="Times New Roman"/>
          <w:bCs/>
          <w:color w:val="00505E"/>
          <w:sz w:val="26"/>
          <w:szCs w:val="26"/>
        </w:rPr>
      </w:pPr>
      <w:bookmarkStart w:id="4" w:name="_Toc459650627"/>
      <w:bookmarkStart w:id="5" w:name="_Toc465415123"/>
      <w:r w:rsidRPr="000D0573">
        <w:rPr>
          <w:rFonts w:eastAsia="Lucida Sans Unicode" w:cs="Times New Roman"/>
          <w:bCs/>
          <w:color w:val="00505E"/>
          <w:sz w:val="26"/>
          <w:szCs w:val="26"/>
        </w:rPr>
        <w:t>II.1. Tyrimo prielaidos ir duomenų šaltiniai</w:t>
      </w:r>
      <w:bookmarkEnd w:id="4"/>
      <w:bookmarkEnd w:id="5"/>
    </w:p>
    <w:p w:rsidR="00FD0B92" w:rsidRPr="000D0573" w:rsidRDefault="00FD0B92" w:rsidP="00FD0B92">
      <w:pPr>
        <w:spacing w:before="240" w:after="240"/>
        <w:jc w:val="both"/>
        <w:rPr>
          <w:rFonts w:eastAsia="Times New Roman" w:cs="Times New Roman"/>
        </w:rPr>
      </w:pPr>
      <w:r w:rsidRPr="000D0573">
        <w:rPr>
          <w:rFonts w:eastAsia="Times New Roman" w:cs="Times New Roman"/>
          <w:szCs w:val="24"/>
        </w:rPr>
        <w:t xml:space="preserve">2007–2013 metų struktūrinės paramos programavimo laikotarpiu daugelio Lietuvos aukštųjų mokyklų teisinis statusas buvo pakeistas iš valstybinių į viešąsias įstaigas. Tai suteikė aukštosioms mokykloms </w:t>
      </w:r>
      <w:r w:rsidR="00976864" w:rsidRPr="000D0573">
        <w:rPr>
          <w:rFonts w:eastAsia="Times New Roman" w:cs="Times New Roman"/>
          <w:szCs w:val="24"/>
        </w:rPr>
        <w:t xml:space="preserve">daugiau laisvės </w:t>
      </w:r>
      <w:r w:rsidRPr="000D0573">
        <w:rPr>
          <w:rFonts w:eastAsia="Times New Roman" w:cs="Times New Roman"/>
          <w:szCs w:val="24"/>
        </w:rPr>
        <w:t>d</w:t>
      </w:r>
      <w:r w:rsidRPr="000D0573">
        <w:rPr>
          <w:rFonts w:eastAsia="Times New Roman" w:cs="Times New Roman"/>
        </w:rPr>
        <w:t xml:space="preserve">isponuoti savo turtu, didesnę autonomiją įvairiose administravimo ir valdymo srityse, įskaitant ir darbo užmokesčio tvarkos nustatymą. Iki reformos aukštosios mokyklos darbo </w:t>
      </w:r>
      <w:r w:rsidR="00976864" w:rsidRPr="000D0573">
        <w:rPr>
          <w:rFonts w:eastAsia="Times New Roman" w:cs="Times New Roman"/>
        </w:rPr>
        <w:t xml:space="preserve">užmokestį </w:t>
      </w:r>
      <w:r w:rsidRPr="000D0573">
        <w:rPr>
          <w:rFonts w:eastAsia="Times New Roman" w:cs="Times New Roman"/>
        </w:rPr>
        <w:t xml:space="preserve">skaičiavo pagal </w:t>
      </w:r>
      <w:r w:rsidR="00065433" w:rsidRPr="000D0573">
        <w:rPr>
          <w:rFonts w:eastAsia="Times New Roman" w:cs="Times New Roman"/>
        </w:rPr>
        <w:t>L</w:t>
      </w:r>
      <w:r w:rsidR="009F12D6" w:rsidRPr="000D0573">
        <w:rPr>
          <w:rFonts w:eastAsia="Times New Roman" w:cs="Times New Roman"/>
        </w:rPr>
        <w:t xml:space="preserve">ietuvos Respublikos </w:t>
      </w:r>
      <w:r w:rsidR="00976864" w:rsidRPr="000D0573">
        <w:rPr>
          <w:rFonts w:eastAsia="Times New Roman" w:cs="Times New Roman"/>
        </w:rPr>
        <w:t xml:space="preserve">(LR) </w:t>
      </w:r>
      <w:r w:rsidR="00065433" w:rsidRPr="000D0573">
        <w:rPr>
          <w:rFonts w:eastAsia="Times New Roman" w:cs="Times New Roman"/>
        </w:rPr>
        <w:t>darbo kodeksą</w:t>
      </w:r>
      <w:r w:rsidRPr="000D0573">
        <w:rPr>
          <w:rFonts w:eastAsia="Times New Roman" w:cs="Times New Roman"/>
        </w:rPr>
        <w:t xml:space="preserve">, </w:t>
      </w:r>
      <w:r w:rsidR="00976864" w:rsidRPr="000D0573">
        <w:rPr>
          <w:rFonts w:eastAsia="Times New Roman" w:cs="Times New Roman"/>
        </w:rPr>
        <w:t xml:space="preserve">LR </w:t>
      </w:r>
      <w:r w:rsidRPr="000D0573">
        <w:rPr>
          <w:rFonts w:eastAsia="Times New Roman" w:cs="Times New Roman"/>
        </w:rPr>
        <w:t xml:space="preserve">Vyriausybės 1993 m. liepos 8 d. nutarimą Nr. 511 „Dėl biudžetinių įstaigų ir organizacijų darbuotojų darbo apmokėjimo tvarkos tobulinimo“, </w:t>
      </w:r>
      <w:r w:rsidR="00976864" w:rsidRPr="000D0573">
        <w:rPr>
          <w:rFonts w:eastAsia="Times New Roman" w:cs="Times New Roman"/>
        </w:rPr>
        <w:t xml:space="preserve">LR </w:t>
      </w:r>
      <w:r w:rsidRPr="000D0573">
        <w:rPr>
          <w:rFonts w:eastAsia="Times New Roman" w:cs="Tahoma"/>
          <w:szCs w:val="20"/>
        </w:rPr>
        <w:t xml:space="preserve">Vyriausybės 2003 m. rugsėjo 30 d. nutarimą Nr. 1195 „Dėl darbuotojų, kurių darbo pobūdis yra susijęs su didesne protine, emocine įtampa, darbo laiko sutrumpinimo tvarkos ir darbuotojų, kuriems nustatytas sutrumpintas darbo laikas, darbo apmokėjimo sąlygų patvirtinimo“, </w:t>
      </w:r>
      <w:r w:rsidR="00976864" w:rsidRPr="000D0573">
        <w:rPr>
          <w:rFonts w:eastAsia="Times New Roman" w:cs="Times New Roman"/>
        </w:rPr>
        <w:t>LR</w:t>
      </w:r>
      <w:r w:rsidRPr="000D0573">
        <w:rPr>
          <w:rFonts w:eastAsia="Times New Roman" w:cs="Tahoma"/>
          <w:szCs w:val="20"/>
        </w:rPr>
        <w:t xml:space="preserve"> švietimo ir mokslo ministro 2013 m. gruodžio 19 d. įsakymą Nr. V-1254 „Dėl švietimo įstaigų darbuotojų ir kitų įstaigų pedagoginių darbuotojų darbo apmokėjimo tvarkos aprašo patvirtinimo“, </w:t>
      </w:r>
      <w:r w:rsidR="00976864" w:rsidRPr="000D0573">
        <w:rPr>
          <w:rFonts w:eastAsia="Times New Roman" w:cs="Tahoma"/>
          <w:szCs w:val="20"/>
        </w:rPr>
        <w:t xml:space="preserve">LR </w:t>
      </w:r>
      <w:r w:rsidRPr="000D0573">
        <w:rPr>
          <w:rFonts w:eastAsia="Times New Roman" w:cs="Times New Roman"/>
          <w:color w:val="000000"/>
        </w:rPr>
        <w:t>Vyriausybės 2007 m. balandžio 4 d. nutarimą Nr. 337 „Dėl Mokslo ir studijų institucijų vadovų, jų pavaduotojų, akademinių padalinių vadovų, jų pavaduotojų, mokslinių sekretorių, mokslo darbuotojų, kitų tyrėjų ir dėstytojų darbo apmokėjimo sąlygų aprašo patvirtinimo“ (netekęs galios</w:t>
      </w:r>
      <w:r w:rsidR="00A56881" w:rsidRPr="000D0573">
        <w:rPr>
          <w:rFonts w:eastAsia="Times New Roman" w:cs="Times New Roman"/>
          <w:color w:val="000000"/>
        </w:rPr>
        <w:t xml:space="preserve">) ir </w:t>
      </w:r>
      <w:r w:rsidRPr="000D0573">
        <w:rPr>
          <w:rFonts w:eastAsia="Times New Roman" w:cs="Tahoma"/>
          <w:szCs w:val="20"/>
        </w:rPr>
        <w:t xml:space="preserve">kitus teisės </w:t>
      </w:r>
      <w:r w:rsidRPr="000D0573">
        <w:rPr>
          <w:rFonts w:eastAsia="Times New Roman" w:cs="Times New Roman"/>
        </w:rPr>
        <w:t>aktus.</w:t>
      </w:r>
      <w:r w:rsidRPr="000D0573">
        <w:rPr>
          <w:rFonts w:eastAsia="Times New Roman" w:cs="Times New Roman"/>
          <w:b/>
        </w:rPr>
        <w:t xml:space="preserve"> </w:t>
      </w:r>
      <w:r w:rsidRPr="000D0573">
        <w:rPr>
          <w:rFonts w:eastAsia="Times New Roman" w:cs="Times New Roman"/>
        </w:rPr>
        <w:t xml:space="preserve">Pasikeitus </w:t>
      </w:r>
      <w:r w:rsidR="00976864" w:rsidRPr="000D0573">
        <w:rPr>
          <w:rFonts w:eastAsia="Times New Roman" w:cs="Times New Roman"/>
        </w:rPr>
        <w:t xml:space="preserve">universitetų ir kolegijų </w:t>
      </w:r>
      <w:r w:rsidRPr="000D0573">
        <w:rPr>
          <w:rFonts w:eastAsia="Times New Roman" w:cs="Times New Roman"/>
        </w:rPr>
        <w:t xml:space="preserve">teisiniam statusui, </w:t>
      </w:r>
      <w:r w:rsidR="00976864" w:rsidRPr="000D0573">
        <w:rPr>
          <w:rFonts w:eastAsia="Times New Roman" w:cs="Times New Roman"/>
        </w:rPr>
        <w:t xml:space="preserve">šios institucijos </w:t>
      </w:r>
      <w:r w:rsidRPr="000D0573">
        <w:rPr>
          <w:rFonts w:eastAsia="Times New Roman" w:cs="Times New Roman"/>
        </w:rPr>
        <w:t xml:space="preserve">darbo </w:t>
      </w:r>
      <w:r w:rsidR="00976864" w:rsidRPr="000D0573">
        <w:rPr>
          <w:rFonts w:eastAsia="Times New Roman" w:cs="Times New Roman"/>
        </w:rPr>
        <w:t xml:space="preserve">užmokestį </w:t>
      </w:r>
      <w:r w:rsidRPr="000D0573">
        <w:rPr>
          <w:rFonts w:eastAsia="Times New Roman" w:cs="Times New Roman"/>
        </w:rPr>
        <w:t xml:space="preserve">nustato pagal savo vidaus tvarkos nuostatus. </w:t>
      </w:r>
    </w:p>
    <w:p w:rsidR="00FD0B92" w:rsidRPr="000D0573" w:rsidRDefault="00FD0B92" w:rsidP="00A56881">
      <w:pPr>
        <w:spacing w:before="240" w:after="240"/>
        <w:jc w:val="both"/>
        <w:rPr>
          <w:rFonts w:eastAsia="Times New Roman" w:cs="Times New Roman"/>
        </w:rPr>
      </w:pPr>
      <w:r w:rsidRPr="000D0573">
        <w:rPr>
          <w:rFonts w:eastAsia="Times New Roman" w:cs="Times New Roman"/>
        </w:rPr>
        <w:t xml:space="preserve">Kai aukštosios mokyklos įgyvendina projektus, finansuojamus </w:t>
      </w:r>
      <w:r w:rsidR="00976864" w:rsidRPr="000D0573">
        <w:rPr>
          <w:rFonts w:eastAsia="Times New Roman" w:cs="Times New Roman"/>
        </w:rPr>
        <w:t>Europos Sąjungos (</w:t>
      </w:r>
      <w:r w:rsidRPr="000D0573">
        <w:rPr>
          <w:rFonts w:eastAsia="Times New Roman" w:cs="Times New Roman"/>
        </w:rPr>
        <w:t>ES</w:t>
      </w:r>
      <w:r w:rsidR="00976864" w:rsidRPr="000D0573">
        <w:rPr>
          <w:rFonts w:eastAsia="Times New Roman" w:cs="Times New Roman"/>
        </w:rPr>
        <w:t>)</w:t>
      </w:r>
      <w:r w:rsidRPr="000D0573">
        <w:rPr>
          <w:rFonts w:eastAsia="Times New Roman" w:cs="Times New Roman"/>
        </w:rPr>
        <w:t xml:space="preserve"> lėšomis, </w:t>
      </w:r>
      <w:r w:rsidR="00976864" w:rsidRPr="000D0573">
        <w:rPr>
          <w:rFonts w:eastAsia="Times New Roman" w:cs="Times New Roman"/>
        </w:rPr>
        <w:t xml:space="preserve">dėl </w:t>
      </w:r>
      <w:r w:rsidR="00A56881" w:rsidRPr="00CB49BF">
        <w:rPr>
          <w:rFonts w:eastAsia="Times New Roman" w:cs="Times New Roman"/>
        </w:rPr>
        <w:t>skirtingų</w:t>
      </w:r>
      <w:r w:rsidR="00A56881" w:rsidRPr="000D0573">
        <w:rPr>
          <w:rFonts w:eastAsia="Times New Roman" w:cs="Times New Roman"/>
        </w:rPr>
        <w:t xml:space="preserve"> </w:t>
      </w:r>
      <w:r w:rsidRPr="000D0573">
        <w:rPr>
          <w:rFonts w:eastAsia="Times New Roman" w:cs="Times New Roman"/>
        </w:rPr>
        <w:t xml:space="preserve">darbo užmokesčio tvarkų </w:t>
      </w:r>
      <w:r w:rsidR="00976864" w:rsidRPr="000D0573">
        <w:rPr>
          <w:rFonts w:eastAsia="Times New Roman" w:cs="Times New Roman"/>
        </w:rPr>
        <w:t xml:space="preserve">padidėja administracinė našta </w:t>
      </w:r>
      <w:r w:rsidRPr="000D0573">
        <w:rPr>
          <w:rFonts w:eastAsia="Times New Roman" w:cs="Times New Roman"/>
        </w:rPr>
        <w:t xml:space="preserve">visiems </w:t>
      </w:r>
      <w:r w:rsidR="00976864" w:rsidRPr="000D0573">
        <w:rPr>
          <w:rFonts w:eastAsia="Times New Roman" w:cs="Times New Roman"/>
        </w:rPr>
        <w:t xml:space="preserve">veikėjams, dalyvaujantiems įgyvendinant ir administruojant </w:t>
      </w:r>
      <w:r w:rsidRPr="000D0573">
        <w:rPr>
          <w:rFonts w:eastAsia="Times New Roman" w:cs="Times New Roman"/>
        </w:rPr>
        <w:t xml:space="preserve">ES </w:t>
      </w:r>
      <w:r w:rsidR="00976864" w:rsidRPr="000D0573">
        <w:rPr>
          <w:rFonts w:eastAsia="Times New Roman" w:cs="Times New Roman"/>
        </w:rPr>
        <w:t>projektus</w:t>
      </w:r>
      <w:r w:rsidRPr="000D0573">
        <w:rPr>
          <w:rFonts w:eastAsia="Times New Roman" w:cs="Times New Roman"/>
        </w:rPr>
        <w:t xml:space="preserve">: pareiškėjams – rengiant paraiškas, </w:t>
      </w:r>
      <w:r w:rsidR="00976864" w:rsidRPr="000D0573">
        <w:rPr>
          <w:rFonts w:eastAsia="Times New Roman" w:cs="Times New Roman"/>
        </w:rPr>
        <w:t xml:space="preserve">projektų </w:t>
      </w:r>
      <w:r w:rsidRPr="000D0573">
        <w:rPr>
          <w:rFonts w:eastAsia="Times New Roman" w:cs="Times New Roman"/>
        </w:rPr>
        <w:t xml:space="preserve">vykdytojams – deklaruojant darbo užmokesčio išlaidas, </w:t>
      </w:r>
      <w:r w:rsidR="00A56881" w:rsidRPr="000D0573">
        <w:rPr>
          <w:rFonts w:eastAsia="Times New Roman" w:cs="Times New Roman"/>
        </w:rPr>
        <w:t xml:space="preserve">įgyvendinančiajai </w:t>
      </w:r>
      <w:r w:rsidRPr="000D0573">
        <w:rPr>
          <w:rFonts w:eastAsia="Times New Roman" w:cs="Times New Roman"/>
        </w:rPr>
        <w:t xml:space="preserve">institucijai – </w:t>
      </w:r>
      <w:r w:rsidRPr="000D0573">
        <w:rPr>
          <w:rFonts w:eastAsia="Times New Roman" w:cs="Times New Roman"/>
          <w:szCs w:val="24"/>
        </w:rPr>
        <w:t xml:space="preserve">gilinantis į skirtingų aukštųjų mokyklų tvarkas, prašant papildomos informacijos, </w:t>
      </w:r>
      <w:r w:rsidRPr="000D0573">
        <w:rPr>
          <w:rFonts w:eastAsia="Times New Roman" w:cs="Times New Roman"/>
        </w:rPr>
        <w:t xml:space="preserve">tikrinant darbo </w:t>
      </w:r>
      <w:r w:rsidR="00976864" w:rsidRPr="000D0573">
        <w:rPr>
          <w:rFonts w:eastAsia="Times New Roman" w:cs="Times New Roman"/>
        </w:rPr>
        <w:t xml:space="preserve">užmokesčio </w:t>
      </w:r>
      <w:r w:rsidRPr="000D0573">
        <w:rPr>
          <w:rFonts w:eastAsia="Times New Roman" w:cs="Times New Roman"/>
        </w:rPr>
        <w:t xml:space="preserve">pagrindimo ir apmokėjimo įrodymo dokumentus. Aukštųjų mokyklų personalo darbo užmokesčio išlaidų deklaravimas ir tikrinimas </w:t>
      </w:r>
      <w:r w:rsidR="00494DCE" w:rsidRPr="000D0573">
        <w:rPr>
          <w:rFonts w:eastAsia="Times New Roman" w:cs="Times New Roman"/>
        </w:rPr>
        <w:t xml:space="preserve">– </w:t>
      </w:r>
      <w:r w:rsidRPr="000D0573">
        <w:rPr>
          <w:rFonts w:eastAsia="Times New Roman" w:cs="Times New Roman"/>
        </w:rPr>
        <w:t xml:space="preserve">daug išteklių reikalaujantis procesas, todėl </w:t>
      </w:r>
      <w:r w:rsidR="00A56881" w:rsidRPr="000D0573">
        <w:rPr>
          <w:rFonts w:eastAsia="Times New Roman" w:cs="Times New Roman"/>
        </w:rPr>
        <w:t xml:space="preserve">ėmus taikyti </w:t>
      </w:r>
      <w:r w:rsidR="00976864" w:rsidRPr="000D0573">
        <w:rPr>
          <w:rFonts w:eastAsia="Times New Roman" w:cs="Times New Roman"/>
        </w:rPr>
        <w:t>fiksuot</w:t>
      </w:r>
      <w:r w:rsidR="00A56881" w:rsidRPr="000D0573">
        <w:rPr>
          <w:rFonts w:eastAsia="Times New Roman" w:cs="Times New Roman"/>
        </w:rPr>
        <w:t>uosius</w:t>
      </w:r>
      <w:r w:rsidR="00976864" w:rsidRPr="000D0573">
        <w:rPr>
          <w:rFonts w:eastAsia="Times New Roman" w:cs="Times New Roman"/>
        </w:rPr>
        <w:t xml:space="preserve"> </w:t>
      </w:r>
      <w:r w:rsidR="00A56881" w:rsidRPr="000D0573">
        <w:rPr>
          <w:rFonts w:eastAsia="Times New Roman" w:cs="Times New Roman"/>
        </w:rPr>
        <w:t xml:space="preserve">įkainius </w:t>
      </w:r>
      <w:r w:rsidR="00976864" w:rsidRPr="000D0573">
        <w:rPr>
          <w:rFonts w:eastAsia="Times New Roman" w:cs="Times New Roman"/>
        </w:rPr>
        <w:t xml:space="preserve">gerokai </w:t>
      </w:r>
      <w:proofErr w:type="spellStart"/>
      <w:r w:rsidR="00A56881" w:rsidRPr="000D0573">
        <w:rPr>
          <w:rFonts w:eastAsia="Times New Roman" w:cs="Times New Roman"/>
        </w:rPr>
        <w:t>supaprastėtų</w:t>
      </w:r>
      <w:proofErr w:type="spellEnd"/>
      <w:r w:rsidR="00A56881" w:rsidRPr="000D0573">
        <w:rPr>
          <w:rFonts w:eastAsia="Times New Roman" w:cs="Times New Roman"/>
        </w:rPr>
        <w:t xml:space="preserve"> </w:t>
      </w:r>
      <w:r w:rsidR="00494DCE" w:rsidRPr="000D0573">
        <w:rPr>
          <w:rFonts w:eastAsia="Times New Roman" w:cs="Times New Roman"/>
        </w:rPr>
        <w:t xml:space="preserve">projektų </w:t>
      </w:r>
      <w:r w:rsidRPr="000D0573">
        <w:rPr>
          <w:rFonts w:eastAsia="Times New Roman" w:cs="Times New Roman"/>
        </w:rPr>
        <w:t xml:space="preserve">planavimo ir administravimo </w:t>
      </w:r>
      <w:r w:rsidR="00A56881" w:rsidRPr="000D0573">
        <w:rPr>
          <w:rFonts w:eastAsia="Times New Roman" w:cs="Times New Roman"/>
        </w:rPr>
        <w:t>procesai</w:t>
      </w:r>
      <w:r w:rsidRPr="000D0573">
        <w:rPr>
          <w:rFonts w:eastAsia="Times New Roman" w:cs="Times New Roman"/>
        </w:rPr>
        <w:t xml:space="preserve">, </w:t>
      </w:r>
      <w:r w:rsidR="00A56881" w:rsidRPr="000D0573">
        <w:rPr>
          <w:rFonts w:eastAsia="Times New Roman" w:cs="Times New Roman"/>
        </w:rPr>
        <w:t xml:space="preserve">sumažėtų </w:t>
      </w:r>
      <w:r w:rsidRPr="000D0573">
        <w:rPr>
          <w:rFonts w:eastAsia="Times New Roman" w:cs="Times New Roman"/>
        </w:rPr>
        <w:t xml:space="preserve">klaidų </w:t>
      </w:r>
      <w:r w:rsidR="00A56881" w:rsidRPr="000D0573">
        <w:rPr>
          <w:rFonts w:eastAsia="Times New Roman" w:cs="Times New Roman"/>
        </w:rPr>
        <w:t>tikimybė</w:t>
      </w:r>
      <w:r w:rsidRPr="000D0573">
        <w:rPr>
          <w:rFonts w:eastAsia="Times New Roman" w:cs="Times New Roman"/>
        </w:rPr>
        <w:t>.</w:t>
      </w:r>
    </w:p>
    <w:p w:rsidR="00FD0B92" w:rsidRPr="000D0573" w:rsidRDefault="00976864" w:rsidP="00FD0B92">
      <w:pPr>
        <w:tabs>
          <w:tab w:val="left" w:pos="9600"/>
        </w:tabs>
        <w:spacing w:after="240"/>
        <w:ind w:right="74"/>
        <w:jc w:val="both"/>
        <w:rPr>
          <w:rFonts w:eastAsia="Times New Roman" w:cs="Times New Roman"/>
        </w:rPr>
      </w:pPr>
      <w:r w:rsidRPr="000D0573">
        <w:rPr>
          <w:rFonts w:eastAsia="Times New Roman" w:cs="Times New Roman"/>
        </w:rPr>
        <w:t>V</w:t>
      </w:r>
      <w:r w:rsidR="00FD0B92" w:rsidRPr="000D0573">
        <w:rPr>
          <w:rFonts w:eastAsia="Times New Roman" w:cs="Times New Roman"/>
        </w:rPr>
        <w:t>adovau</w:t>
      </w:r>
      <w:r w:rsidRPr="000D0573">
        <w:rPr>
          <w:rFonts w:eastAsia="Times New Roman" w:cs="Times New Roman"/>
        </w:rPr>
        <w:t>jantis</w:t>
      </w:r>
      <w:r w:rsidR="00FD0B92" w:rsidRPr="000D0573">
        <w:rPr>
          <w:rFonts w:eastAsia="Times New Roman" w:cs="Times New Roman"/>
        </w:rPr>
        <w:t xml:space="preserve"> supaprastinimo logika, įtvirtinta </w:t>
      </w:r>
      <w:r w:rsidR="00735169" w:rsidRPr="000D0573">
        <w:rPr>
          <w:rFonts w:eastAsia="Times New Roman" w:cs="Times New Roman"/>
        </w:rPr>
        <w:t xml:space="preserve">Projektų </w:t>
      </w:r>
      <w:r w:rsidR="00FD0B92" w:rsidRPr="000D0573">
        <w:rPr>
          <w:rFonts w:eastAsia="Times New Roman" w:cs="Times New Roman"/>
        </w:rPr>
        <w:t>administravimo ir finansavimo taisyklių 425.2 punkte</w:t>
      </w:r>
      <w:r w:rsidR="00FD0B92" w:rsidRPr="000D0573">
        <w:rPr>
          <w:rFonts w:eastAsia="Times New Roman" w:cs="Times New Roman"/>
          <w:vertAlign w:val="superscript"/>
        </w:rPr>
        <w:footnoteReference w:id="2"/>
      </w:r>
      <w:r w:rsidR="00FD0B92" w:rsidRPr="000D0573">
        <w:rPr>
          <w:rFonts w:eastAsia="Times New Roman" w:cs="Times New Roman"/>
        </w:rPr>
        <w:t xml:space="preserve">, nustatant fiksuotuosius įkainius turėtų būti vengiama kurti naujus įkainius, jeigu </w:t>
      </w:r>
      <w:r w:rsidRPr="000D0573">
        <w:rPr>
          <w:rFonts w:eastAsia="Times New Roman" w:cs="Times New Roman"/>
        </w:rPr>
        <w:t xml:space="preserve">pagal </w:t>
      </w:r>
      <w:r w:rsidR="00FD0B92" w:rsidRPr="000D0573">
        <w:rPr>
          <w:rFonts w:eastAsia="Times New Roman" w:cs="Times New Roman"/>
        </w:rPr>
        <w:t>turin</w:t>
      </w:r>
      <w:r w:rsidRPr="000D0573">
        <w:rPr>
          <w:rFonts w:eastAsia="Times New Roman" w:cs="Times New Roman"/>
        </w:rPr>
        <w:t>į</w:t>
      </w:r>
      <w:r w:rsidR="00FD0B92" w:rsidRPr="000D0573">
        <w:rPr>
          <w:rFonts w:eastAsia="Times New Roman" w:cs="Times New Roman"/>
        </w:rPr>
        <w:t xml:space="preserve"> tinkami įkainiai jau yra patvirtinti ir sklandžiai naudojami. Todėl šiame </w:t>
      </w:r>
      <w:r w:rsidRPr="000D0573">
        <w:rPr>
          <w:rFonts w:eastAsia="Times New Roman" w:cs="Times New Roman"/>
        </w:rPr>
        <w:t xml:space="preserve">fiksuotųjų </w:t>
      </w:r>
      <w:r w:rsidR="00FD0B92" w:rsidRPr="000D0573">
        <w:rPr>
          <w:rFonts w:eastAsia="Times New Roman" w:cs="Times New Roman"/>
        </w:rPr>
        <w:t>įkainių tyrime</w:t>
      </w:r>
      <w:r w:rsidR="00FD0B92" w:rsidRPr="000D0573">
        <w:rPr>
          <w:rFonts w:eastAsia="Times New Roman" w:cs="Times New Roman"/>
          <w:b/>
        </w:rPr>
        <w:t xml:space="preserve"> siūloma naudoti </w:t>
      </w:r>
      <w:r w:rsidRPr="000D0573">
        <w:rPr>
          <w:rFonts w:eastAsia="Times New Roman" w:cs="Times New Roman"/>
          <w:b/>
        </w:rPr>
        <w:t>„</w:t>
      </w:r>
      <w:proofErr w:type="spellStart"/>
      <w:r w:rsidR="00FD0B92" w:rsidRPr="008744DE">
        <w:rPr>
          <w:rFonts w:eastAsia="Times New Roman" w:cs="Times New Roman"/>
          <w:b/>
        </w:rPr>
        <w:t>Erasmus</w:t>
      </w:r>
      <w:proofErr w:type="spellEnd"/>
      <w:r w:rsidR="00FD0B92" w:rsidRPr="008744DE">
        <w:rPr>
          <w:rFonts w:eastAsia="Times New Roman" w:cs="Times New Roman"/>
          <w:b/>
        </w:rPr>
        <w:t xml:space="preserve"> plius</w:t>
      </w:r>
      <w:r w:rsidRPr="000D0573">
        <w:rPr>
          <w:rFonts w:eastAsia="Times New Roman" w:cs="Times New Roman"/>
          <w:b/>
        </w:rPr>
        <w:t>“</w:t>
      </w:r>
      <w:r w:rsidR="00FD0B92" w:rsidRPr="000D0573">
        <w:rPr>
          <w:rFonts w:eastAsia="Times New Roman" w:cs="Times New Roman"/>
          <w:b/>
          <w:i/>
        </w:rPr>
        <w:t xml:space="preserve"> </w:t>
      </w:r>
      <w:r w:rsidR="00FD0B92" w:rsidRPr="000D0573">
        <w:rPr>
          <w:rFonts w:eastAsia="Times New Roman" w:cs="Times New Roman"/>
          <w:b/>
        </w:rPr>
        <w:t>programos įkainius</w:t>
      </w:r>
      <w:r w:rsidR="00FD0B92" w:rsidRPr="000D0573">
        <w:rPr>
          <w:rFonts w:eastAsia="Times New Roman" w:cs="Times New Roman"/>
        </w:rPr>
        <w:t xml:space="preserve">, skirtus apmokėti projektų personalo, kuriančio intelektinius produktus, darbo užmokesčio išlaidas. </w:t>
      </w:r>
      <w:r w:rsidRPr="000D0573">
        <w:rPr>
          <w:rFonts w:eastAsia="Times New Roman" w:cs="Times New Roman"/>
        </w:rPr>
        <w:t>„</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Pr="000D0573">
        <w:rPr>
          <w:rFonts w:eastAsia="Times New Roman" w:cs="Times New Roman"/>
        </w:rPr>
        <w:t>“</w:t>
      </w:r>
      <w:r w:rsidR="00FD0B92" w:rsidRPr="000D0573">
        <w:rPr>
          <w:rFonts w:eastAsia="Times New Roman" w:cs="Times New Roman"/>
          <w:b/>
          <w:i/>
        </w:rPr>
        <w:t xml:space="preserve"> </w:t>
      </w:r>
      <w:r w:rsidR="00FD0B92" w:rsidRPr="000D0573">
        <w:rPr>
          <w:rFonts w:eastAsia="Times New Roman" w:cs="Times New Roman"/>
        </w:rPr>
        <w:t xml:space="preserve">programoje </w:t>
      </w:r>
      <w:r w:rsidRPr="000D0573">
        <w:rPr>
          <w:rFonts w:eastAsia="Times New Roman" w:cs="Times New Roman"/>
        </w:rPr>
        <w:t xml:space="preserve">taikoma </w:t>
      </w:r>
      <w:r w:rsidR="00FD0B92" w:rsidRPr="000D0573">
        <w:rPr>
          <w:rFonts w:eastAsia="Times New Roman" w:cs="Times New Roman"/>
        </w:rPr>
        <w:t>supaprastinta išlaidų apmokėjimo schema gali būti naudojama šiame tyrime minimų priemonių projektuose, nes ji taikoma panašiems projektams ir panašiems projektų vykdytojams. Toliau tyrime bus pateikiami tai pagrindžiantys argumentai.</w:t>
      </w:r>
    </w:p>
    <w:p w:rsidR="00FD0B92" w:rsidRPr="000D0573" w:rsidRDefault="00FD0B92" w:rsidP="00FD0B92">
      <w:pPr>
        <w:tabs>
          <w:tab w:val="left" w:pos="9600"/>
        </w:tabs>
        <w:spacing w:after="240"/>
        <w:ind w:right="74"/>
        <w:jc w:val="both"/>
        <w:rPr>
          <w:rFonts w:eastAsia="Times New Roman" w:cs="Times New Roman"/>
        </w:rPr>
      </w:pPr>
      <w:r w:rsidRPr="000D0573">
        <w:rPr>
          <w:rFonts w:eastAsia="Times New Roman" w:cs="Times New Roman"/>
        </w:rPr>
        <w:t xml:space="preserve">Šių fiksuotųjų įkainių tyrimas organizuojamas dviem etapais. </w:t>
      </w:r>
      <w:r w:rsidR="00494DCE" w:rsidRPr="000D0573">
        <w:rPr>
          <w:rFonts w:eastAsia="Times New Roman" w:cs="Times New Roman"/>
        </w:rPr>
        <w:t xml:space="preserve">Pirmajame etape </w:t>
      </w:r>
      <w:r w:rsidRPr="000D0573">
        <w:rPr>
          <w:rFonts w:eastAsia="Times New Roman" w:cs="Times New Roman"/>
        </w:rPr>
        <w:t>siekia</w:t>
      </w:r>
      <w:r w:rsidR="00494DCE" w:rsidRPr="000D0573">
        <w:rPr>
          <w:rFonts w:eastAsia="Times New Roman" w:cs="Times New Roman"/>
        </w:rPr>
        <w:t>ma</w:t>
      </w:r>
      <w:r w:rsidRPr="000D0573">
        <w:rPr>
          <w:rFonts w:eastAsia="Times New Roman" w:cs="Times New Roman"/>
        </w:rPr>
        <w:t xml:space="preserve"> pagrįsti </w:t>
      </w:r>
      <w:r w:rsidR="00494DCE" w:rsidRPr="000D0573">
        <w:rPr>
          <w:rFonts w:eastAsia="Times New Roman" w:cs="Times New Roman"/>
        </w:rPr>
        <w:t>„</w:t>
      </w:r>
      <w:proofErr w:type="spellStart"/>
      <w:r w:rsidRPr="008744DE">
        <w:rPr>
          <w:rFonts w:eastAsia="Times New Roman" w:cs="Times New Roman"/>
        </w:rPr>
        <w:t>Erasmus</w:t>
      </w:r>
      <w:proofErr w:type="spellEnd"/>
      <w:r w:rsidRPr="008744DE">
        <w:rPr>
          <w:rFonts w:eastAsia="Times New Roman" w:cs="Times New Roman"/>
        </w:rPr>
        <w:t xml:space="preserve"> plius</w:t>
      </w:r>
      <w:r w:rsidR="00494DCE" w:rsidRPr="000D0573">
        <w:rPr>
          <w:rFonts w:eastAsia="Times New Roman" w:cs="Times New Roman"/>
        </w:rPr>
        <w:t>“</w:t>
      </w:r>
      <w:r w:rsidRPr="000D0573">
        <w:rPr>
          <w:rFonts w:eastAsia="Times New Roman" w:cs="Times New Roman"/>
        </w:rPr>
        <w:t xml:space="preserve"> programos </w:t>
      </w:r>
      <w:r w:rsidR="009E22F7" w:rsidRPr="000D0573">
        <w:rPr>
          <w:rFonts w:eastAsia="Times New Roman" w:cs="Times New Roman"/>
        </w:rPr>
        <w:t xml:space="preserve">fiksuotųjų </w:t>
      </w:r>
      <w:r w:rsidRPr="000D0573">
        <w:rPr>
          <w:rFonts w:eastAsia="Times New Roman" w:cs="Times New Roman"/>
        </w:rPr>
        <w:t xml:space="preserve">įkainių naudojimą Lietuvos aukštųjų mokyklų projektuose, </w:t>
      </w:r>
      <w:r w:rsidRPr="000D0573">
        <w:rPr>
          <w:rFonts w:eastAsia="Times New Roman" w:cs="Times New Roman"/>
        </w:rPr>
        <w:lastRenderedPageBreak/>
        <w:t xml:space="preserve">tolesnėse metodikos dalyse aiškinama intelektinių produktų sąvoka; atliekama priemonių analizė; aprašoma, kaip buvo nustatyti </w:t>
      </w:r>
      <w:r w:rsidR="00735169" w:rsidRPr="000D0573">
        <w:rPr>
          <w:rFonts w:eastAsia="Times New Roman" w:cs="Times New Roman"/>
        </w:rPr>
        <w:t>„</w:t>
      </w:r>
      <w:proofErr w:type="spellStart"/>
      <w:r w:rsidRPr="008744DE">
        <w:rPr>
          <w:rFonts w:eastAsia="Times New Roman" w:cs="Times New Roman"/>
        </w:rPr>
        <w:t>Erasmus</w:t>
      </w:r>
      <w:proofErr w:type="spellEnd"/>
      <w:r w:rsidRPr="008744DE">
        <w:rPr>
          <w:rFonts w:eastAsia="Times New Roman" w:cs="Times New Roman"/>
        </w:rPr>
        <w:t xml:space="preserve"> plius</w:t>
      </w:r>
      <w:r w:rsidR="00735169" w:rsidRPr="000D0573">
        <w:rPr>
          <w:rFonts w:eastAsia="Times New Roman" w:cs="Times New Roman"/>
        </w:rPr>
        <w:t>“</w:t>
      </w:r>
      <w:r w:rsidRPr="000D0573">
        <w:rPr>
          <w:rFonts w:eastAsia="Times New Roman" w:cs="Times New Roman"/>
        </w:rPr>
        <w:t xml:space="preserve"> įkainiai; </w:t>
      </w:r>
      <w:r w:rsidR="009E22F7" w:rsidRPr="000D0573">
        <w:rPr>
          <w:rFonts w:eastAsia="Times New Roman" w:cs="Times New Roman"/>
        </w:rPr>
        <w:t xml:space="preserve">išskiriamos </w:t>
      </w:r>
      <w:r w:rsidRPr="000D0573">
        <w:rPr>
          <w:rFonts w:eastAsia="Times New Roman" w:cs="Times New Roman"/>
        </w:rPr>
        <w:t>darbuotojų</w:t>
      </w:r>
      <w:r w:rsidR="00707D33" w:rsidRPr="000D0573">
        <w:rPr>
          <w:rFonts w:eastAsia="Times New Roman" w:cs="Times New Roman"/>
        </w:rPr>
        <w:t xml:space="preserve"> grupės</w:t>
      </w:r>
      <w:r w:rsidRPr="000D0573">
        <w:rPr>
          <w:rFonts w:eastAsia="Times New Roman" w:cs="Times New Roman"/>
        </w:rPr>
        <w:t>, kuri</w:t>
      </w:r>
      <w:r w:rsidR="00707D33" w:rsidRPr="000D0573">
        <w:rPr>
          <w:rFonts w:eastAsia="Times New Roman" w:cs="Times New Roman"/>
        </w:rPr>
        <w:t>o</w:t>
      </w:r>
      <w:r w:rsidRPr="000D0573">
        <w:rPr>
          <w:rFonts w:eastAsia="Times New Roman" w:cs="Times New Roman"/>
        </w:rPr>
        <w:t>m</w:t>
      </w:r>
      <w:r w:rsidR="00707D33" w:rsidRPr="000D0573">
        <w:rPr>
          <w:rFonts w:eastAsia="Times New Roman" w:cs="Times New Roman"/>
        </w:rPr>
        <w:t>s</w:t>
      </w:r>
      <w:r w:rsidRPr="000D0573">
        <w:rPr>
          <w:rFonts w:eastAsia="Times New Roman" w:cs="Times New Roman"/>
        </w:rPr>
        <w:t xml:space="preserve"> nustatomas fiksuotasis įkainis. </w:t>
      </w:r>
      <w:r w:rsidR="009E22F7" w:rsidRPr="000D0573">
        <w:rPr>
          <w:rFonts w:eastAsia="Times New Roman" w:cs="Times New Roman"/>
        </w:rPr>
        <w:t>Antrajame etape</w:t>
      </w:r>
      <w:r w:rsidRPr="000D0573">
        <w:rPr>
          <w:rFonts w:eastAsia="Times New Roman" w:cs="Times New Roman"/>
        </w:rPr>
        <w:t xml:space="preserve"> siekia</w:t>
      </w:r>
      <w:r w:rsidR="00BB3F8B" w:rsidRPr="000D0573">
        <w:rPr>
          <w:rFonts w:eastAsia="Times New Roman" w:cs="Times New Roman"/>
        </w:rPr>
        <w:t>ma</w:t>
      </w:r>
      <w:r w:rsidRPr="000D0573">
        <w:rPr>
          <w:rFonts w:eastAsia="Times New Roman" w:cs="Times New Roman"/>
        </w:rPr>
        <w:t xml:space="preserve"> palyginti aukštųjų mokyklų darbo užmokestį ir </w:t>
      </w:r>
      <w:r w:rsidR="00735169" w:rsidRPr="000D0573">
        <w:rPr>
          <w:rFonts w:eastAsia="Times New Roman" w:cs="Times New Roman"/>
        </w:rPr>
        <w:t>„</w:t>
      </w:r>
      <w:proofErr w:type="spellStart"/>
      <w:r w:rsidR="00735169" w:rsidRPr="000D0573">
        <w:rPr>
          <w:rFonts w:eastAsia="Times New Roman" w:cs="Times New Roman"/>
        </w:rPr>
        <w:t>Erasmus</w:t>
      </w:r>
      <w:proofErr w:type="spellEnd"/>
      <w:r w:rsidR="00735169" w:rsidRPr="000D0573">
        <w:rPr>
          <w:rFonts w:eastAsia="Times New Roman" w:cs="Times New Roman"/>
        </w:rPr>
        <w:t xml:space="preserve"> plius“</w:t>
      </w:r>
      <w:r w:rsidRPr="000D0573">
        <w:rPr>
          <w:rFonts w:eastAsia="Times New Roman" w:cs="Times New Roman"/>
          <w:i/>
        </w:rPr>
        <w:t xml:space="preserve"> </w:t>
      </w:r>
      <w:r w:rsidRPr="000D0573">
        <w:rPr>
          <w:rFonts w:eastAsia="Times New Roman" w:cs="Times New Roman"/>
        </w:rPr>
        <w:t xml:space="preserve">įkainius, remiantis aktualiomis aukštųjų mokyklų darbo užmokesčio apskaičiavimo tvarkomis, skaičiuojami skirtingų kolegijų ir universitetų dėstytojų bei mokslo darbuotojų darbo užmokesčio vidutiniai dydžiai. Gauti skaičiavimų duomenys lyginami su </w:t>
      </w:r>
      <w:r w:rsidR="00735169" w:rsidRPr="000D0573">
        <w:rPr>
          <w:rFonts w:eastAsia="Times New Roman" w:cs="Times New Roman"/>
        </w:rPr>
        <w:t>„</w:t>
      </w:r>
      <w:proofErr w:type="spellStart"/>
      <w:r w:rsidR="00735169" w:rsidRPr="000D0573">
        <w:rPr>
          <w:rFonts w:eastAsia="Times New Roman" w:cs="Times New Roman"/>
        </w:rPr>
        <w:t>Erasmus</w:t>
      </w:r>
      <w:proofErr w:type="spellEnd"/>
      <w:r w:rsidR="00735169" w:rsidRPr="000D0573">
        <w:rPr>
          <w:rFonts w:eastAsia="Times New Roman" w:cs="Times New Roman"/>
        </w:rPr>
        <w:t xml:space="preserve"> plius“</w:t>
      </w:r>
      <w:r w:rsidRPr="000D0573">
        <w:rPr>
          <w:rFonts w:eastAsia="Times New Roman" w:cs="Times New Roman"/>
        </w:rPr>
        <w:t xml:space="preserve"> programoje nustatytais darbo užmokesčio įkainiais</w:t>
      </w:r>
      <w:r w:rsidR="00707D33" w:rsidRPr="000D0573">
        <w:rPr>
          <w:rFonts w:eastAsia="Times New Roman" w:cs="Times New Roman"/>
        </w:rPr>
        <w:t xml:space="preserve">; </w:t>
      </w:r>
      <w:r w:rsidR="00BB3F8B" w:rsidRPr="000D0573">
        <w:rPr>
          <w:rFonts w:eastAsia="Times New Roman" w:cs="Times New Roman"/>
        </w:rPr>
        <w:t xml:space="preserve">nustatomas </w:t>
      </w:r>
      <w:r w:rsidR="00707D33" w:rsidRPr="000D0573">
        <w:rPr>
          <w:rFonts w:eastAsia="Times New Roman" w:cs="Times New Roman"/>
        </w:rPr>
        <w:t xml:space="preserve">patraukliausias laiko vienetas, kuriam </w:t>
      </w:r>
      <w:r w:rsidR="009C14DC" w:rsidRPr="000D0573">
        <w:rPr>
          <w:rFonts w:eastAsia="Times New Roman" w:cs="Times New Roman"/>
        </w:rPr>
        <w:t>taikomas</w:t>
      </w:r>
      <w:r w:rsidR="00707D33" w:rsidRPr="000D0573">
        <w:rPr>
          <w:rFonts w:eastAsia="Times New Roman" w:cs="Times New Roman"/>
        </w:rPr>
        <w:t xml:space="preserve"> </w:t>
      </w:r>
      <w:r w:rsidR="00BB3F8B" w:rsidRPr="000D0573">
        <w:rPr>
          <w:rFonts w:eastAsia="Times New Roman" w:cs="Times New Roman"/>
        </w:rPr>
        <w:t xml:space="preserve">fiksuotasis </w:t>
      </w:r>
      <w:r w:rsidR="00707D33" w:rsidRPr="000D0573">
        <w:rPr>
          <w:rFonts w:eastAsia="Times New Roman" w:cs="Times New Roman"/>
        </w:rPr>
        <w:t>įkainis</w:t>
      </w:r>
      <w:r w:rsidRPr="000D0573">
        <w:rPr>
          <w:rFonts w:eastAsia="Times New Roman" w:cs="Times New Roman"/>
        </w:rPr>
        <w:t xml:space="preserve">. </w:t>
      </w:r>
    </w:p>
    <w:p w:rsidR="00FD0B92" w:rsidRPr="000D0573" w:rsidRDefault="00FD0B92" w:rsidP="00FD0B92">
      <w:pPr>
        <w:tabs>
          <w:tab w:val="left" w:pos="9600"/>
        </w:tabs>
        <w:spacing w:after="240"/>
        <w:ind w:right="74"/>
        <w:jc w:val="both"/>
        <w:rPr>
          <w:rFonts w:eastAsia="Times New Roman" w:cs="Times New Roman"/>
        </w:rPr>
      </w:pPr>
      <w:r w:rsidRPr="000D0573">
        <w:rPr>
          <w:rFonts w:eastAsia="Times New Roman" w:cs="Times New Roman"/>
        </w:rPr>
        <w:t xml:space="preserve">Nustatant aukštųjų mokyklų personalo darbo užmokesčio fiksuotųjų įkainių dydžius, naudojami </w:t>
      </w:r>
      <w:r w:rsidR="00BB3F8B" w:rsidRPr="000D0573">
        <w:rPr>
          <w:rFonts w:eastAsia="Times New Roman" w:cs="Times New Roman"/>
        </w:rPr>
        <w:t xml:space="preserve">toliau išvardijami </w:t>
      </w:r>
      <w:r w:rsidRPr="000D0573">
        <w:rPr>
          <w:rFonts w:eastAsia="Times New Roman" w:cs="Times New Roman"/>
        </w:rPr>
        <w:t xml:space="preserve">dokumentai ir duomenų </w:t>
      </w:r>
      <w:r w:rsidRPr="000D0573">
        <w:rPr>
          <w:rFonts w:eastAsia="Times New Roman" w:cs="Times New Roman"/>
          <w:b/>
        </w:rPr>
        <w:t>šaltiniai</w:t>
      </w:r>
      <w:r w:rsidR="00BB3F8B" w:rsidRPr="000D0573">
        <w:rPr>
          <w:rFonts w:eastAsia="Times New Roman" w:cs="Times New Roman"/>
        </w:rPr>
        <w:t>.</w:t>
      </w:r>
      <w:r w:rsidRPr="000D0573">
        <w:rPr>
          <w:rFonts w:eastAsia="Times New Roman" w:cs="Times New Roman"/>
        </w:rPr>
        <w:t xml:space="preserve"> </w:t>
      </w:r>
    </w:p>
    <w:p w:rsidR="00FD0B92" w:rsidRPr="000D0573" w:rsidRDefault="00F37AAA" w:rsidP="00FD0B92">
      <w:pPr>
        <w:numPr>
          <w:ilvl w:val="0"/>
          <w:numId w:val="4"/>
        </w:numPr>
        <w:tabs>
          <w:tab w:val="left" w:pos="9600"/>
        </w:tabs>
        <w:spacing w:after="240"/>
        <w:ind w:right="74"/>
        <w:jc w:val="both"/>
        <w:rPr>
          <w:rFonts w:eastAsia="Times New Roman" w:cs="Times New Roman"/>
          <w:szCs w:val="24"/>
        </w:rPr>
      </w:pPr>
      <w:r w:rsidRPr="000D0573">
        <w:rPr>
          <w:rFonts w:eastAsia="Times New Roman" w:cs="Helvetica"/>
          <w:szCs w:val="18"/>
          <w:shd w:val="clear" w:color="auto" w:fill="FEFEFE"/>
        </w:rPr>
        <w:t>R</w:t>
      </w:r>
      <w:r w:rsidR="00FD0B92" w:rsidRPr="000D0573">
        <w:rPr>
          <w:rFonts w:eastAsia="Times New Roman" w:cs="Helvetica"/>
          <w:szCs w:val="18"/>
          <w:shd w:val="clear" w:color="auto" w:fill="FEFEFE"/>
        </w:rPr>
        <w:t>ekomendacijos dėl projektų išlaidų atitikties ES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(toliau – Rekomendacijos dėl išlaidų atitikties)</w:t>
      </w:r>
      <w:r w:rsidR="00BB3F8B" w:rsidRPr="000D0573">
        <w:rPr>
          <w:rFonts w:eastAsia="Times New Roman" w:cs="Helvetica"/>
          <w:szCs w:val="18"/>
          <w:shd w:val="clear" w:color="auto" w:fill="FEFEFE"/>
        </w:rPr>
        <w:t>.</w:t>
      </w:r>
    </w:p>
    <w:p w:rsidR="00FD0B92" w:rsidRPr="000D0573" w:rsidRDefault="00FD0B92" w:rsidP="00FD0B92">
      <w:pPr>
        <w:numPr>
          <w:ilvl w:val="0"/>
          <w:numId w:val="4"/>
        </w:numPr>
        <w:tabs>
          <w:tab w:val="left" w:pos="9600"/>
        </w:tabs>
        <w:spacing w:after="240"/>
        <w:ind w:right="74"/>
        <w:jc w:val="both"/>
        <w:rPr>
          <w:rFonts w:eastAsia="Times New Roman" w:cs="Times New Roman"/>
          <w:szCs w:val="24"/>
        </w:rPr>
      </w:pPr>
      <w:proofErr w:type="spellStart"/>
      <w:r w:rsidRPr="000D0573">
        <w:rPr>
          <w:rFonts w:eastAsia="Times New Roman" w:cs="Times New Roman"/>
          <w:szCs w:val="24"/>
        </w:rPr>
        <w:t>European</w:t>
      </w:r>
      <w:proofErr w:type="spellEnd"/>
      <w:r w:rsidRPr="000D0573">
        <w:rPr>
          <w:rFonts w:eastAsia="Times New Roman" w:cs="Times New Roman"/>
          <w:szCs w:val="24"/>
        </w:rPr>
        <w:t xml:space="preserve"> </w:t>
      </w:r>
      <w:proofErr w:type="spellStart"/>
      <w:r w:rsidRPr="000D0573">
        <w:rPr>
          <w:rFonts w:eastAsia="Times New Roman" w:cs="Times New Roman"/>
          <w:szCs w:val="24"/>
        </w:rPr>
        <w:t>Commission</w:t>
      </w:r>
      <w:proofErr w:type="spellEnd"/>
      <w:r w:rsidRPr="000D0573">
        <w:rPr>
          <w:rFonts w:eastAsia="Times New Roman" w:cs="Times New Roman"/>
          <w:szCs w:val="24"/>
        </w:rPr>
        <w:t xml:space="preserve">, </w:t>
      </w:r>
      <w:r w:rsidR="00A56881" w:rsidRPr="000D0573">
        <w:rPr>
          <w:rFonts w:eastAsia="Times New Roman" w:cs="Times New Roman"/>
          <w:szCs w:val="24"/>
        </w:rPr>
        <w:t>„</w:t>
      </w:r>
      <w:proofErr w:type="spellStart"/>
      <w:r w:rsidRPr="000D0573">
        <w:rPr>
          <w:rFonts w:eastAsia="Times New Roman" w:cs="Times New Roman"/>
          <w:szCs w:val="24"/>
        </w:rPr>
        <w:t>Guidance</w:t>
      </w:r>
      <w:proofErr w:type="spellEnd"/>
      <w:r w:rsidRPr="000D0573">
        <w:rPr>
          <w:rFonts w:eastAsia="Times New Roman" w:cs="Times New Roman"/>
          <w:szCs w:val="24"/>
        </w:rPr>
        <w:t xml:space="preserve"> </w:t>
      </w:r>
      <w:proofErr w:type="spellStart"/>
      <w:r w:rsidRPr="000D0573">
        <w:rPr>
          <w:rFonts w:eastAsia="Times New Roman" w:cs="Times New Roman"/>
          <w:szCs w:val="24"/>
        </w:rPr>
        <w:t>on</w:t>
      </w:r>
      <w:proofErr w:type="spellEnd"/>
      <w:r w:rsidRPr="000D0573">
        <w:rPr>
          <w:rFonts w:eastAsia="Times New Roman" w:cs="Times New Roman"/>
          <w:szCs w:val="24"/>
        </w:rPr>
        <w:t xml:space="preserve"> </w:t>
      </w:r>
      <w:proofErr w:type="spellStart"/>
      <w:r w:rsidRPr="000D0573">
        <w:rPr>
          <w:rFonts w:eastAsia="Times New Roman" w:cs="Times New Roman"/>
          <w:szCs w:val="24"/>
        </w:rPr>
        <w:t>Simplified</w:t>
      </w:r>
      <w:proofErr w:type="spellEnd"/>
      <w:r w:rsidRPr="000D0573">
        <w:rPr>
          <w:rFonts w:eastAsia="Times New Roman" w:cs="Times New Roman"/>
          <w:szCs w:val="24"/>
        </w:rPr>
        <w:t xml:space="preserve"> </w:t>
      </w:r>
      <w:proofErr w:type="spellStart"/>
      <w:r w:rsidRPr="000D0573">
        <w:rPr>
          <w:rFonts w:eastAsia="Times New Roman" w:cs="Times New Roman"/>
          <w:szCs w:val="24"/>
        </w:rPr>
        <w:t>Cost</w:t>
      </w:r>
      <w:proofErr w:type="spellEnd"/>
      <w:r w:rsidRPr="000D0573">
        <w:rPr>
          <w:rFonts w:eastAsia="Times New Roman" w:cs="Times New Roman"/>
          <w:szCs w:val="24"/>
        </w:rPr>
        <w:t xml:space="preserve"> </w:t>
      </w:r>
      <w:proofErr w:type="spellStart"/>
      <w:r w:rsidRPr="000D0573">
        <w:rPr>
          <w:rFonts w:eastAsia="Times New Roman" w:cs="Times New Roman"/>
          <w:szCs w:val="24"/>
        </w:rPr>
        <w:t>Options</w:t>
      </w:r>
      <w:proofErr w:type="spellEnd"/>
      <w:r w:rsidR="00A56881" w:rsidRPr="000D0573">
        <w:rPr>
          <w:rFonts w:eastAsia="Times New Roman" w:cs="Times New Roman"/>
          <w:szCs w:val="24"/>
        </w:rPr>
        <w:t>“</w:t>
      </w:r>
      <w:r w:rsidRPr="000D0573">
        <w:rPr>
          <w:rFonts w:eastAsia="Times New Roman" w:cs="Times New Roman"/>
          <w:szCs w:val="24"/>
        </w:rPr>
        <w:t xml:space="preserve">, </w:t>
      </w:r>
      <w:proofErr w:type="spellStart"/>
      <w:r w:rsidRPr="000D0573">
        <w:rPr>
          <w:rFonts w:eastAsia="Times New Roman" w:cs="Times New Roman"/>
          <w:i/>
          <w:szCs w:val="24"/>
        </w:rPr>
        <w:t>Publications</w:t>
      </w:r>
      <w:proofErr w:type="spellEnd"/>
      <w:r w:rsidRPr="000D0573">
        <w:rPr>
          <w:rFonts w:eastAsia="Times New Roman" w:cs="Times New Roman"/>
          <w:i/>
          <w:szCs w:val="24"/>
        </w:rPr>
        <w:t xml:space="preserve"> Office </w:t>
      </w:r>
      <w:proofErr w:type="spellStart"/>
      <w:r w:rsidRPr="000D0573">
        <w:rPr>
          <w:rFonts w:eastAsia="Times New Roman" w:cs="Times New Roman"/>
          <w:i/>
          <w:szCs w:val="24"/>
        </w:rPr>
        <w:t>of</w:t>
      </w:r>
      <w:proofErr w:type="spellEnd"/>
      <w:r w:rsidRPr="000D0573">
        <w:rPr>
          <w:rFonts w:eastAsia="Times New Roman" w:cs="Times New Roman"/>
          <w:i/>
          <w:szCs w:val="24"/>
        </w:rPr>
        <w:t xml:space="preserve"> </w:t>
      </w:r>
      <w:proofErr w:type="spellStart"/>
      <w:r w:rsidRPr="000D0573">
        <w:rPr>
          <w:rFonts w:eastAsia="Times New Roman" w:cs="Times New Roman"/>
          <w:i/>
          <w:szCs w:val="24"/>
        </w:rPr>
        <w:t>the</w:t>
      </w:r>
      <w:proofErr w:type="spellEnd"/>
      <w:r w:rsidRPr="000D0573">
        <w:rPr>
          <w:rFonts w:eastAsia="Times New Roman" w:cs="Times New Roman"/>
          <w:i/>
          <w:szCs w:val="24"/>
        </w:rPr>
        <w:t xml:space="preserve"> </w:t>
      </w:r>
      <w:proofErr w:type="spellStart"/>
      <w:r w:rsidRPr="000D0573">
        <w:rPr>
          <w:rFonts w:eastAsia="Times New Roman" w:cs="Times New Roman"/>
          <w:i/>
          <w:szCs w:val="24"/>
        </w:rPr>
        <w:t>European</w:t>
      </w:r>
      <w:proofErr w:type="spellEnd"/>
      <w:r w:rsidRPr="000D0573">
        <w:rPr>
          <w:rFonts w:eastAsia="Times New Roman" w:cs="Times New Roman"/>
          <w:i/>
          <w:szCs w:val="24"/>
        </w:rPr>
        <w:t xml:space="preserve"> </w:t>
      </w:r>
      <w:proofErr w:type="spellStart"/>
      <w:r w:rsidRPr="000D0573">
        <w:rPr>
          <w:rFonts w:eastAsia="Times New Roman" w:cs="Times New Roman"/>
          <w:i/>
          <w:szCs w:val="24"/>
        </w:rPr>
        <w:t>Union</w:t>
      </w:r>
      <w:proofErr w:type="spellEnd"/>
      <w:r w:rsidRPr="000D0573">
        <w:rPr>
          <w:rFonts w:eastAsia="Times New Roman" w:cs="Times New Roman"/>
          <w:szCs w:val="24"/>
        </w:rPr>
        <w:t xml:space="preserve">, </w:t>
      </w:r>
      <w:proofErr w:type="spellStart"/>
      <w:r w:rsidRPr="000D0573">
        <w:rPr>
          <w:rFonts w:eastAsia="Times New Roman" w:cs="Times New Roman"/>
          <w:szCs w:val="24"/>
        </w:rPr>
        <w:t>Luxembourg</w:t>
      </w:r>
      <w:proofErr w:type="spellEnd"/>
      <w:r w:rsidRPr="000D0573">
        <w:rPr>
          <w:rFonts w:eastAsia="Times New Roman" w:cs="Times New Roman"/>
          <w:szCs w:val="24"/>
        </w:rPr>
        <w:t>, 2014</w:t>
      </w:r>
      <w:r w:rsidR="00A56881" w:rsidRPr="000D0573">
        <w:rPr>
          <w:rFonts w:eastAsia="Times New Roman" w:cs="Times New Roman"/>
          <w:szCs w:val="24"/>
        </w:rPr>
        <w:t>.</w:t>
      </w:r>
    </w:p>
    <w:p w:rsidR="00FD0B92" w:rsidRPr="000D0573" w:rsidRDefault="00FD0B92" w:rsidP="00FD0B92">
      <w:pPr>
        <w:numPr>
          <w:ilvl w:val="0"/>
          <w:numId w:val="4"/>
        </w:numPr>
        <w:tabs>
          <w:tab w:val="left" w:pos="9600"/>
        </w:tabs>
        <w:spacing w:after="240"/>
        <w:ind w:right="74"/>
        <w:jc w:val="both"/>
        <w:rPr>
          <w:rFonts w:eastAsia="Times New Roman" w:cs="Times New Roman"/>
          <w:szCs w:val="24"/>
        </w:rPr>
      </w:pPr>
      <w:proofErr w:type="spellStart"/>
      <w:r w:rsidRPr="000D0573">
        <w:rPr>
          <w:rFonts w:eastAsia="Times New Roman" w:cs="Helvetica"/>
          <w:szCs w:val="18"/>
          <w:shd w:val="clear" w:color="auto" w:fill="FEFEFE"/>
        </w:rPr>
        <w:t>European</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Commission</w:t>
      </w:r>
      <w:proofErr w:type="spellEnd"/>
      <w:r w:rsidRPr="000D0573">
        <w:rPr>
          <w:rFonts w:eastAsia="Times New Roman" w:cs="Helvetica"/>
          <w:szCs w:val="18"/>
          <w:shd w:val="clear" w:color="auto" w:fill="FEFEFE"/>
        </w:rPr>
        <w:t>, „</w:t>
      </w:r>
      <w:proofErr w:type="spellStart"/>
      <w:r w:rsidRPr="000D0573">
        <w:rPr>
          <w:rFonts w:eastAsia="Times New Roman" w:cs="Helvetica"/>
          <w:szCs w:val="18"/>
          <w:shd w:val="clear" w:color="auto" w:fill="FEFEFE"/>
        </w:rPr>
        <w:t>Erasmus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Programme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Guide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Version</w:t>
      </w:r>
      <w:proofErr w:type="spellEnd"/>
      <w:r w:rsidRPr="000D0573">
        <w:rPr>
          <w:rFonts w:eastAsia="Times New Roman" w:cs="Helvetica"/>
          <w:szCs w:val="18"/>
          <w:shd w:val="clear" w:color="auto" w:fill="FEFEFE"/>
        </w:rPr>
        <w:t xml:space="preserve"> 2, 2016</w:t>
      </w:r>
      <w:r w:rsidR="00A56881" w:rsidRPr="000D0573">
        <w:rPr>
          <w:rFonts w:eastAsia="Times New Roman" w:cs="Helvetica"/>
          <w:szCs w:val="18"/>
          <w:shd w:val="clear" w:color="auto" w:fill="FEFEFE"/>
        </w:rPr>
        <w:t xml:space="preserve"> </w:t>
      </w:r>
      <w:r w:rsidRPr="000D0573">
        <w:rPr>
          <w:rFonts w:eastAsia="Times New Roman" w:cs="Helvetica"/>
          <w:szCs w:val="18"/>
          <w:shd w:val="clear" w:color="auto" w:fill="FEFEFE"/>
        </w:rPr>
        <w:t xml:space="preserve">(toliau – </w:t>
      </w:r>
      <w:r w:rsidR="00A56881" w:rsidRPr="000D0573">
        <w:rPr>
          <w:rFonts w:eastAsia="Times New Roman" w:cs="Helvetica"/>
          <w:szCs w:val="18"/>
          <w:shd w:val="clear" w:color="auto" w:fill="FEFEFE"/>
        </w:rPr>
        <w:t>„</w:t>
      </w:r>
      <w:proofErr w:type="spellStart"/>
      <w:r w:rsidRPr="008744DE">
        <w:rPr>
          <w:rFonts w:eastAsia="Times New Roman" w:cs="Helvetica"/>
          <w:szCs w:val="18"/>
          <w:shd w:val="clear" w:color="auto" w:fill="FEFEFE"/>
        </w:rPr>
        <w:t>Erasmus</w:t>
      </w:r>
      <w:proofErr w:type="spellEnd"/>
      <w:r w:rsidRPr="008744DE">
        <w:rPr>
          <w:rFonts w:eastAsia="Times New Roman" w:cs="Helvetica"/>
          <w:szCs w:val="18"/>
          <w:shd w:val="clear" w:color="auto" w:fill="FEFEFE"/>
        </w:rPr>
        <w:t xml:space="preserve"> plius</w:t>
      </w:r>
      <w:r w:rsidR="00A56881" w:rsidRPr="000D0573">
        <w:rPr>
          <w:rFonts w:eastAsia="Times New Roman" w:cs="Helvetica"/>
          <w:szCs w:val="18"/>
          <w:shd w:val="clear" w:color="auto" w:fill="FEFEFE"/>
        </w:rPr>
        <w:t>“</w:t>
      </w:r>
      <w:r w:rsidRPr="000D0573">
        <w:rPr>
          <w:rFonts w:eastAsia="Times New Roman" w:cs="Helvetica"/>
          <w:szCs w:val="18"/>
          <w:shd w:val="clear" w:color="auto" w:fill="FEFEFE"/>
        </w:rPr>
        <w:t xml:space="preserve"> programos vadovas)</w:t>
      </w:r>
      <w:r w:rsidR="00BB3F8B" w:rsidRPr="000D0573">
        <w:rPr>
          <w:rFonts w:eastAsia="Times New Roman" w:cs="Helvetica"/>
          <w:szCs w:val="18"/>
          <w:shd w:val="clear" w:color="auto" w:fill="FEFEFE"/>
        </w:rPr>
        <w:t>.</w:t>
      </w:r>
    </w:p>
    <w:p w:rsidR="00FD0B92" w:rsidRPr="000D0573" w:rsidRDefault="00FD0B92" w:rsidP="00FD0B92">
      <w:pPr>
        <w:numPr>
          <w:ilvl w:val="0"/>
          <w:numId w:val="4"/>
        </w:numPr>
        <w:tabs>
          <w:tab w:val="left" w:pos="9600"/>
        </w:tabs>
        <w:spacing w:after="240"/>
        <w:ind w:right="74"/>
        <w:jc w:val="both"/>
        <w:rPr>
          <w:rFonts w:eastAsia="Times New Roman" w:cs="Times New Roman"/>
          <w:szCs w:val="24"/>
        </w:rPr>
      </w:pPr>
      <w:proofErr w:type="spellStart"/>
      <w:r w:rsidRPr="000D0573">
        <w:rPr>
          <w:rFonts w:eastAsia="Times New Roman" w:cs="Helvetica"/>
          <w:szCs w:val="18"/>
          <w:shd w:val="clear" w:color="auto" w:fill="FEFEFE"/>
        </w:rPr>
        <w:t>European</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Commission</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Directorate-General</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for</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Employment</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Social</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Affairs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and</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Inclusion</w:t>
      </w:r>
      <w:proofErr w:type="spellEnd"/>
      <w:r w:rsidRPr="000D0573">
        <w:rPr>
          <w:rFonts w:eastAsia="Times New Roman" w:cs="Helvetica"/>
          <w:szCs w:val="18"/>
          <w:shd w:val="clear" w:color="auto" w:fill="FEFEFE"/>
        </w:rPr>
        <w:t xml:space="preserve">, </w:t>
      </w:r>
      <w:r w:rsidR="00A56881" w:rsidRPr="000D0573">
        <w:rPr>
          <w:rFonts w:eastAsia="Times New Roman" w:cs="Helvetica"/>
          <w:szCs w:val="18"/>
          <w:shd w:val="clear" w:color="auto" w:fill="FEFEFE"/>
        </w:rPr>
        <w:t>„</w:t>
      </w:r>
      <w:proofErr w:type="spellStart"/>
      <w:r w:rsidRPr="000D0573">
        <w:rPr>
          <w:rFonts w:eastAsia="Times New Roman" w:cs="Helvetica"/>
          <w:szCs w:val="18"/>
          <w:shd w:val="clear" w:color="auto" w:fill="FEFEFE"/>
        </w:rPr>
        <w:t>The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use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of</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lump</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sums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the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reimbursements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on</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the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basis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of</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unit</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costs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and</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the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flat-rate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financing</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under</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the</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Erasmus</w:t>
      </w:r>
      <w:proofErr w:type="spellEnd"/>
      <w:r w:rsidRPr="000D0573">
        <w:rPr>
          <w:rFonts w:eastAsia="Times New Roman" w:cs="Helvetica"/>
          <w:szCs w:val="18"/>
          <w:shd w:val="clear" w:color="auto" w:fill="FEFEFE"/>
        </w:rPr>
        <w:t xml:space="preserve">+ </w:t>
      </w:r>
      <w:proofErr w:type="spellStart"/>
      <w:r w:rsidRPr="000D0573">
        <w:rPr>
          <w:rFonts w:eastAsia="Times New Roman" w:cs="Helvetica"/>
          <w:szCs w:val="18"/>
          <w:shd w:val="clear" w:color="auto" w:fill="FEFEFE"/>
        </w:rPr>
        <w:t>Programme</w:t>
      </w:r>
      <w:proofErr w:type="spellEnd"/>
      <w:r w:rsidR="00A56881" w:rsidRPr="000D0573">
        <w:rPr>
          <w:rFonts w:eastAsia="Times New Roman" w:cs="Helvetica"/>
          <w:szCs w:val="18"/>
          <w:shd w:val="clear" w:color="auto" w:fill="FEFEFE"/>
        </w:rPr>
        <w:t>“</w:t>
      </w:r>
      <w:r w:rsidRPr="000D0573">
        <w:rPr>
          <w:rFonts w:eastAsia="Times New Roman" w:cs="Helvetica"/>
          <w:szCs w:val="18"/>
          <w:shd w:val="clear" w:color="auto" w:fill="FEFEFE"/>
        </w:rPr>
        <w:t xml:space="preserve">, C(2013)8550 </w:t>
      </w:r>
      <w:proofErr w:type="spellStart"/>
      <w:r w:rsidRPr="000D0573">
        <w:rPr>
          <w:rFonts w:eastAsia="Times New Roman" w:cs="Helvetica"/>
          <w:szCs w:val="18"/>
          <w:shd w:val="clear" w:color="auto" w:fill="FEFEFE"/>
        </w:rPr>
        <w:t>of</w:t>
      </w:r>
      <w:proofErr w:type="spellEnd"/>
      <w:r w:rsidRPr="000D0573">
        <w:rPr>
          <w:rFonts w:eastAsia="Times New Roman" w:cs="Helvetica"/>
          <w:szCs w:val="18"/>
          <w:shd w:val="clear" w:color="auto" w:fill="FEFEFE"/>
        </w:rPr>
        <w:t xml:space="preserve"> 4 </w:t>
      </w:r>
      <w:proofErr w:type="spellStart"/>
      <w:r w:rsidRPr="000D0573">
        <w:rPr>
          <w:rFonts w:eastAsia="Times New Roman" w:cs="Helvetica"/>
          <w:szCs w:val="18"/>
          <w:shd w:val="clear" w:color="auto" w:fill="FEFEFE"/>
        </w:rPr>
        <w:t>December</w:t>
      </w:r>
      <w:proofErr w:type="spellEnd"/>
      <w:r w:rsidRPr="000D0573">
        <w:rPr>
          <w:rFonts w:eastAsia="Times New Roman" w:cs="Helvetica"/>
          <w:szCs w:val="18"/>
          <w:shd w:val="clear" w:color="auto" w:fill="FEFEFE"/>
        </w:rPr>
        <w:t>, 2013</w:t>
      </w:r>
      <w:r w:rsidR="00BB3F8B" w:rsidRPr="000D0573">
        <w:rPr>
          <w:rFonts w:eastAsia="Times New Roman" w:cs="Helvetica"/>
          <w:szCs w:val="18"/>
          <w:shd w:val="clear" w:color="auto" w:fill="FEFEFE"/>
        </w:rPr>
        <w:t>.</w:t>
      </w:r>
    </w:p>
    <w:p w:rsidR="00FD0B92" w:rsidRPr="000D0573" w:rsidRDefault="00FD0B92" w:rsidP="00FD0B92">
      <w:pPr>
        <w:numPr>
          <w:ilvl w:val="0"/>
          <w:numId w:val="9"/>
        </w:numPr>
        <w:tabs>
          <w:tab w:val="left" w:pos="9600"/>
        </w:tabs>
        <w:spacing w:before="240" w:after="240"/>
        <w:ind w:right="74"/>
        <w:jc w:val="both"/>
        <w:rPr>
          <w:rFonts w:eastAsia="Times New Roman" w:cs="Times New Roman"/>
          <w:szCs w:val="24"/>
          <w:shd w:val="clear" w:color="auto" w:fill="FFFFFF"/>
        </w:rPr>
      </w:pPr>
      <w:r w:rsidRPr="000D0573">
        <w:rPr>
          <w:rFonts w:eastAsia="Times New Roman" w:cs="Times New Roman"/>
          <w:szCs w:val="24"/>
          <w:shd w:val="clear" w:color="auto" w:fill="FFFFFF"/>
        </w:rPr>
        <w:t xml:space="preserve">Europos </w:t>
      </w:r>
      <w:r w:rsidR="00A56881" w:rsidRPr="000D0573">
        <w:rPr>
          <w:rFonts w:eastAsia="Times New Roman" w:cs="Times New Roman"/>
          <w:szCs w:val="24"/>
          <w:shd w:val="clear" w:color="auto" w:fill="FFFFFF"/>
        </w:rPr>
        <w:t xml:space="preserve">Parlamento </w:t>
      </w:r>
      <w:r w:rsidRPr="000D0573">
        <w:rPr>
          <w:rFonts w:eastAsia="Times New Roman" w:cs="Times New Roman"/>
          <w:szCs w:val="24"/>
          <w:shd w:val="clear" w:color="auto" w:fill="FFFFFF"/>
        </w:rPr>
        <w:t>ir Tarybos 2013 m. gruodžio 17 d. reglamentas Nr.</w:t>
      </w:r>
      <w:r w:rsidR="00A56881" w:rsidRPr="000D0573">
        <w:rPr>
          <w:rFonts w:eastAsia="Times New Roman" w:cs="Times New Roman"/>
          <w:szCs w:val="24"/>
          <w:shd w:val="clear" w:color="auto" w:fill="FFFFFF"/>
        </w:rPr>
        <w:t> </w:t>
      </w:r>
      <w:r w:rsidRPr="000D0573">
        <w:rPr>
          <w:rFonts w:eastAsia="Times New Roman" w:cs="Times New Roman"/>
          <w:szCs w:val="24"/>
          <w:shd w:val="clear" w:color="auto" w:fill="FFFFFF"/>
        </w:rPr>
        <w:t>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w:t>
      </w:r>
      <w:r w:rsidR="00870B80" w:rsidRPr="000D0573">
        <w:rPr>
          <w:rFonts w:eastAsia="Times New Roman" w:cs="Times New Roman"/>
          <w:szCs w:val="24"/>
          <w:shd w:val="clear" w:color="auto" w:fill="FFFFFF"/>
        </w:rPr>
        <w:t> </w:t>
      </w:r>
      <w:r w:rsidRPr="000D0573">
        <w:rPr>
          <w:rFonts w:eastAsia="Times New Roman" w:cs="Times New Roman"/>
          <w:szCs w:val="24"/>
          <w:shd w:val="clear" w:color="auto" w:fill="FFFFFF"/>
        </w:rPr>
        <w:t>1083/2006</w:t>
      </w:r>
      <w:r w:rsidR="00BB3F8B" w:rsidRPr="000D0573">
        <w:rPr>
          <w:rFonts w:eastAsia="Times New Roman" w:cs="Times New Roman"/>
          <w:szCs w:val="24"/>
          <w:shd w:val="clear" w:color="auto" w:fill="FFFFFF"/>
        </w:rPr>
        <w:t>.</w:t>
      </w:r>
    </w:p>
    <w:p w:rsidR="00FD0B92" w:rsidRPr="008744DE" w:rsidRDefault="00164DC4" w:rsidP="00FD0B92">
      <w:pPr>
        <w:numPr>
          <w:ilvl w:val="0"/>
          <w:numId w:val="9"/>
        </w:numPr>
        <w:tabs>
          <w:tab w:val="left" w:pos="9600"/>
        </w:tabs>
        <w:spacing w:after="240"/>
        <w:ind w:right="74"/>
        <w:jc w:val="both"/>
        <w:rPr>
          <w:rFonts w:asciiTheme="majorHAnsi" w:eastAsia="Times New Roman" w:hAnsiTheme="majorHAnsi" w:cs="Times New Roman"/>
          <w:szCs w:val="24"/>
        </w:rPr>
      </w:pPr>
      <w:r w:rsidRPr="000D0573">
        <w:rPr>
          <w:rFonts w:eastAsia="Times New Roman" w:cs="Times New Roman"/>
        </w:rPr>
        <w:t>LR</w:t>
      </w:r>
      <w:r w:rsidR="00A56881" w:rsidRPr="000D0573">
        <w:rPr>
          <w:rFonts w:eastAsia="Times New Roman" w:cs="Times New Roman"/>
          <w:szCs w:val="24"/>
        </w:rPr>
        <w:t xml:space="preserve"> f</w:t>
      </w:r>
      <w:r w:rsidR="00F37AAA" w:rsidRPr="000D0573">
        <w:rPr>
          <w:rFonts w:eastAsia="Times New Roman" w:cs="Times New Roman"/>
          <w:szCs w:val="24"/>
        </w:rPr>
        <w:t xml:space="preserve">inansų ministerijos </w:t>
      </w:r>
      <w:r w:rsidR="00F37AAA" w:rsidRPr="008744DE">
        <w:rPr>
          <w:rFonts w:asciiTheme="majorHAnsi" w:eastAsia="Times New Roman" w:hAnsiTheme="majorHAnsi"/>
          <w:szCs w:val="24"/>
        </w:rPr>
        <w:t>2016 m. sausio 19 d. atlikto</w:t>
      </w:r>
      <w:r w:rsidR="00F37AAA" w:rsidRPr="000D0573">
        <w:rPr>
          <w:rFonts w:ascii="Times New Roman" w:eastAsia="Times New Roman" w:hAnsi="Times New Roman"/>
          <w:szCs w:val="24"/>
        </w:rPr>
        <w:t xml:space="preserve"> </w:t>
      </w:r>
      <w:r w:rsidR="00FD0B92" w:rsidRPr="000D0573">
        <w:rPr>
          <w:rFonts w:eastAsia="Times New Roman" w:cs="Times New Roman"/>
          <w:szCs w:val="24"/>
        </w:rPr>
        <w:t>Kasmetinių atostogų ir papildomų poilsio dienų išmokų fiksuotųjų normų nustatymo tyrimo ataskaita</w:t>
      </w:r>
      <w:r w:rsidR="00F37AAA" w:rsidRPr="000D0573">
        <w:rPr>
          <w:rFonts w:eastAsia="Times New Roman" w:cs="Times New Roman"/>
          <w:szCs w:val="24"/>
        </w:rPr>
        <w:t xml:space="preserve">, kuri </w:t>
      </w:r>
      <w:r w:rsidR="00F37AAA" w:rsidRPr="008744DE">
        <w:rPr>
          <w:rFonts w:asciiTheme="majorHAnsi" w:eastAsia="Times New Roman" w:hAnsiTheme="majorHAnsi"/>
          <w:szCs w:val="24"/>
        </w:rPr>
        <w:t xml:space="preserve">skelbiama ES struktūrinių fondų interneto svetainėje </w:t>
      </w:r>
      <w:r w:rsidR="00A56881" w:rsidRPr="000D0573">
        <w:rPr>
          <w:rFonts w:asciiTheme="majorHAnsi" w:eastAsia="Times New Roman" w:hAnsiTheme="majorHAnsi"/>
          <w:szCs w:val="24"/>
        </w:rPr>
        <w:t>&lt;</w:t>
      </w:r>
      <w:proofErr w:type="spellStart"/>
      <w:r w:rsidR="00F37AAA" w:rsidRPr="008744DE">
        <w:rPr>
          <w:rFonts w:asciiTheme="majorHAnsi" w:eastAsia="Times New Roman" w:hAnsiTheme="majorHAnsi"/>
          <w:szCs w:val="24"/>
        </w:rPr>
        <w:t>www.esinvesticijos.lt</w:t>
      </w:r>
      <w:proofErr w:type="spellEnd"/>
      <w:r w:rsidR="00A56881" w:rsidRPr="000D0573">
        <w:rPr>
          <w:rFonts w:asciiTheme="majorHAnsi" w:eastAsia="Times New Roman" w:hAnsiTheme="majorHAnsi"/>
          <w:szCs w:val="24"/>
        </w:rPr>
        <w:t>&gt;</w:t>
      </w:r>
      <w:r w:rsidR="00BB3F8B" w:rsidRPr="008744DE">
        <w:rPr>
          <w:rFonts w:asciiTheme="majorHAnsi" w:eastAsia="Times New Roman" w:hAnsiTheme="majorHAnsi" w:cs="Times New Roman"/>
          <w:szCs w:val="24"/>
        </w:rPr>
        <w:t>.</w:t>
      </w:r>
    </w:p>
    <w:p w:rsidR="00FD0B92" w:rsidRPr="000D0573" w:rsidRDefault="00870B80"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t xml:space="preserve"> </w:t>
      </w:r>
      <w:r w:rsidR="00164DC4" w:rsidRPr="000D0573">
        <w:rPr>
          <w:rFonts w:eastAsia="Times New Roman" w:cs="Times New Roman"/>
        </w:rPr>
        <w:t>LR</w:t>
      </w:r>
      <w:r w:rsidR="00FD0B92" w:rsidRPr="000D0573">
        <w:rPr>
          <w:rFonts w:eastAsia="Times New Roman" w:cs="Times New Roman"/>
        </w:rPr>
        <w:t xml:space="preserve"> Vyriausybės 2014 m. rugsėjo 29 d. nutarimas Nr. 1021 „Dėl bazinės mėnesinės algos ir bazinio valandinio atlygio patvirtinimo</w:t>
      </w:r>
      <w:r w:rsidR="00BB3F8B" w:rsidRPr="000D0573">
        <w:rPr>
          <w:rFonts w:eastAsia="Times New Roman" w:cs="Times New Roman"/>
        </w:rPr>
        <w:t>“.</w:t>
      </w:r>
    </w:p>
    <w:p w:rsidR="00FD0B92" w:rsidRPr="000D0573" w:rsidRDefault="00164DC4"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t>LR</w:t>
      </w:r>
      <w:r w:rsidR="00FD0B92" w:rsidRPr="000D0573">
        <w:rPr>
          <w:rFonts w:eastAsia="Times New Roman" w:cs="Times New Roman"/>
          <w:szCs w:val="24"/>
        </w:rPr>
        <w:t xml:space="preserve"> socialinės apsaugos ir darbo ministro 2014 m. gruodžio 12 d. įsakymas Nr. A1-646 </w:t>
      </w:r>
      <w:r w:rsidR="00870B80" w:rsidRPr="000D0573">
        <w:rPr>
          <w:rFonts w:eastAsia="Times New Roman" w:cs="Times New Roman"/>
          <w:szCs w:val="24"/>
        </w:rPr>
        <w:t>„</w:t>
      </w:r>
      <w:r w:rsidR="00FD0B92" w:rsidRPr="000D0573">
        <w:rPr>
          <w:rFonts w:eastAsia="Times New Roman" w:cs="Times New Roman"/>
          <w:szCs w:val="24"/>
        </w:rPr>
        <w:t>Dėl metinių darbo dienų koeficientų ir metinių vidutinio mėnesio darbo dienų ir valandų skaičių 2015 metais patvirtinimo</w:t>
      </w:r>
      <w:r w:rsidR="00870B80" w:rsidRPr="000D0573">
        <w:rPr>
          <w:rFonts w:eastAsia="Times New Roman" w:cs="Times New Roman"/>
          <w:szCs w:val="24"/>
        </w:rPr>
        <w:t>“</w:t>
      </w:r>
      <w:r w:rsidR="00BB3F8B" w:rsidRPr="000D0573">
        <w:rPr>
          <w:rFonts w:eastAsia="Times New Roman" w:cs="Times New Roman"/>
          <w:szCs w:val="24"/>
        </w:rPr>
        <w:t>.</w:t>
      </w:r>
    </w:p>
    <w:p w:rsidR="00FD0B92" w:rsidRPr="000D0573" w:rsidRDefault="00164DC4"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t>LR</w:t>
      </w:r>
      <w:r w:rsidR="00FD0B92" w:rsidRPr="000D0573">
        <w:rPr>
          <w:rFonts w:eastAsia="Times New Roman" w:cs="Times New Roman"/>
          <w:szCs w:val="24"/>
        </w:rPr>
        <w:t xml:space="preserve"> socialinės apsaugos ir darbo ministro 2013 m. gruodžio 16 d. įsakymas Nr. A1-693 </w:t>
      </w:r>
      <w:r w:rsidR="00870B80" w:rsidRPr="000D0573">
        <w:rPr>
          <w:rFonts w:eastAsia="Times New Roman" w:cs="Times New Roman"/>
          <w:szCs w:val="24"/>
        </w:rPr>
        <w:t>„</w:t>
      </w:r>
      <w:r w:rsidR="00FD0B92" w:rsidRPr="000D0573">
        <w:rPr>
          <w:rFonts w:eastAsia="Times New Roman" w:cs="Times New Roman"/>
          <w:szCs w:val="24"/>
        </w:rPr>
        <w:t>Dėl metinių darbo dienų koeficientų ir metinių vidutinio mėnesio darbo dienų ir valandų skaičių 2014 metais patvirtinimo</w:t>
      </w:r>
      <w:r w:rsidR="00870B80" w:rsidRPr="000D0573">
        <w:rPr>
          <w:rFonts w:eastAsia="Times New Roman" w:cs="Times New Roman"/>
          <w:szCs w:val="24"/>
        </w:rPr>
        <w:t>“</w:t>
      </w:r>
      <w:r w:rsidR="00BB3F8B" w:rsidRPr="000D0573">
        <w:rPr>
          <w:rFonts w:eastAsia="Times New Roman" w:cs="Times New Roman"/>
          <w:szCs w:val="24"/>
        </w:rPr>
        <w:t>.</w:t>
      </w:r>
    </w:p>
    <w:p w:rsidR="00FD0B92" w:rsidRPr="000D0573" w:rsidRDefault="00164DC4"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lastRenderedPageBreak/>
        <w:t>LR</w:t>
      </w:r>
      <w:r w:rsidR="00FD0B92" w:rsidRPr="000D0573">
        <w:rPr>
          <w:rFonts w:eastAsia="Times New Roman" w:cs="Times New Roman"/>
          <w:szCs w:val="24"/>
        </w:rPr>
        <w:t xml:space="preserve"> socialinės apsaugos ir darbo ministro 2012 m. gruodžio 21 d. įsakymas Nr. A1-581 </w:t>
      </w:r>
      <w:r w:rsidR="00870B80" w:rsidRPr="000D0573">
        <w:rPr>
          <w:rFonts w:eastAsia="Times New Roman" w:cs="Times New Roman"/>
          <w:szCs w:val="24"/>
        </w:rPr>
        <w:t>„</w:t>
      </w:r>
      <w:r w:rsidR="00FD0B92" w:rsidRPr="000D0573">
        <w:rPr>
          <w:rFonts w:eastAsia="Times New Roman" w:cs="Times New Roman"/>
          <w:szCs w:val="24"/>
        </w:rPr>
        <w:t>Dėl metinių darbo dienų koeficientų bei metinių vidutinio mėnesio darbo dienų ir valandų skaičių 2013 metais patvirtinimo</w:t>
      </w:r>
      <w:r w:rsidR="00870B80" w:rsidRPr="000D0573">
        <w:rPr>
          <w:rFonts w:eastAsia="Times New Roman" w:cs="Times New Roman"/>
          <w:szCs w:val="24"/>
        </w:rPr>
        <w:t>“</w:t>
      </w:r>
      <w:r w:rsidR="00BB3F8B" w:rsidRPr="000D0573">
        <w:rPr>
          <w:rFonts w:eastAsia="Times New Roman" w:cs="Times New Roman"/>
          <w:szCs w:val="24"/>
        </w:rPr>
        <w:t>.</w:t>
      </w:r>
    </w:p>
    <w:p w:rsidR="00FD0B92" w:rsidRPr="000D0573" w:rsidRDefault="00164DC4"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t>LR</w:t>
      </w:r>
      <w:r w:rsidR="00FD0B92" w:rsidRPr="000D0573">
        <w:rPr>
          <w:rFonts w:eastAsia="Times New Roman" w:cs="Times New Roman"/>
          <w:szCs w:val="24"/>
        </w:rPr>
        <w:t xml:space="preserve"> socialinės apsaugos ir darbo ministro 2011 m. gruodžio 19 d. įsakymas Nr. A1-535 </w:t>
      </w:r>
      <w:r w:rsidR="00870B80" w:rsidRPr="000D0573">
        <w:rPr>
          <w:rFonts w:eastAsia="Times New Roman" w:cs="Times New Roman"/>
          <w:szCs w:val="24"/>
        </w:rPr>
        <w:t>„</w:t>
      </w:r>
      <w:r w:rsidR="00FD0B92" w:rsidRPr="000D0573">
        <w:rPr>
          <w:rFonts w:eastAsia="Times New Roman" w:cs="Times New Roman"/>
          <w:szCs w:val="24"/>
        </w:rPr>
        <w:t>Dėl metinių darbo dienų koeficientų bei metinių vidutinio mėnesio darbo dienų ir valandų skaičių 2012 metais patvirtinimo</w:t>
      </w:r>
      <w:r w:rsidR="00870B80" w:rsidRPr="000D0573">
        <w:rPr>
          <w:rFonts w:eastAsia="Times New Roman" w:cs="Times New Roman"/>
          <w:szCs w:val="24"/>
        </w:rPr>
        <w:t>“</w:t>
      </w:r>
      <w:r w:rsidR="00BB3F8B" w:rsidRPr="000D0573">
        <w:rPr>
          <w:rFonts w:eastAsia="Times New Roman" w:cs="Times New Roman"/>
          <w:szCs w:val="24"/>
        </w:rPr>
        <w:t>.</w:t>
      </w:r>
    </w:p>
    <w:p w:rsidR="00FD0B92" w:rsidRPr="000D0573" w:rsidRDefault="00164DC4"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rPr>
        <w:t>LR</w:t>
      </w:r>
      <w:r w:rsidR="00FD0B92" w:rsidRPr="000D0573">
        <w:rPr>
          <w:rFonts w:eastAsia="Times New Roman" w:cs="Times New Roman"/>
          <w:szCs w:val="24"/>
        </w:rPr>
        <w:t xml:space="preserve"> socialinės apsaugos ir darbo ministro 2010 m. gruodžio 27 d. įsakymas Nr. A1-623 </w:t>
      </w:r>
      <w:r w:rsidR="00870B80" w:rsidRPr="000D0573">
        <w:rPr>
          <w:rFonts w:eastAsia="Times New Roman" w:cs="Times New Roman"/>
          <w:szCs w:val="24"/>
        </w:rPr>
        <w:t>„</w:t>
      </w:r>
      <w:r w:rsidR="00FD0B92" w:rsidRPr="000D0573">
        <w:rPr>
          <w:rFonts w:eastAsia="Times New Roman" w:cs="Times New Roman"/>
          <w:szCs w:val="24"/>
        </w:rPr>
        <w:t>Dėl metinių darbo dienų koeficientų bei metinių vidutinio mėnesio darbo dienų ir valandų skaičių 2011 metais patvirtinimo</w:t>
      </w:r>
      <w:r w:rsidR="00870B80" w:rsidRPr="000D0573">
        <w:rPr>
          <w:rFonts w:eastAsia="Times New Roman" w:cs="Times New Roman"/>
          <w:szCs w:val="24"/>
        </w:rPr>
        <w:t>“</w:t>
      </w:r>
      <w:r w:rsidR="00BB3F8B" w:rsidRPr="000D0573">
        <w:rPr>
          <w:rFonts w:eastAsia="Times New Roman" w:cs="Times New Roman"/>
          <w:szCs w:val="24"/>
        </w:rPr>
        <w:t>.</w:t>
      </w:r>
    </w:p>
    <w:p w:rsidR="00FD0B92" w:rsidRPr="000D0573" w:rsidRDefault="00FD0B92"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szCs w:val="24"/>
        </w:rPr>
        <w:t>Mokslo ir studijų įstatymas</w:t>
      </w:r>
      <w:r w:rsidR="00164DC4" w:rsidRPr="000D0573">
        <w:rPr>
          <w:rFonts w:eastAsia="Times New Roman" w:cs="Times New Roman"/>
          <w:szCs w:val="24"/>
        </w:rPr>
        <w:t>,</w:t>
      </w:r>
      <w:r w:rsidRPr="000D0573">
        <w:rPr>
          <w:rFonts w:eastAsia="Times New Roman" w:cs="Times New Roman"/>
          <w:szCs w:val="24"/>
        </w:rPr>
        <w:t xml:space="preserve"> 2009 m. balandžio 30 d.</w:t>
      </w:r>
      <w:r w:rsidR="00164DC4" w:rsidRPr="000D0573">
        <w:rPr>
          <w:rFonts w:eastAsia="Times New Roman" w:cs="Times New Roman"/>
          <w:szCs w:val="24"/>
        </w:rPr>
        <w:t>,</w:t>
      </w:r>
      <w:r w:rsidRPr="000D0573">
        <w:rPr>
          <w:rFonts w:eastAsia="Times New Roman" w:cs="Times New Roman"/>
          <w:szCs w:val="24"/>
        </w:rPr>
        <w:t xml:space="preserve"> Nr. XI-242</w:t>
      </w:r>
      <w:r w:rsidR="00BB3F8B" w:rsidRPr="000D0573">
        <w:rPr>
          <w:rFonts w:eastAsia="Times New Roman" w:cs="Times New Roman"/>
          <w:szCs w:val="24"/>
        </w:rPr>
        <w:t>.</w:t>
      </w:r>
    </w:p>
    <w:p w:rsidR="00FD0B92" w:rsidRPr="000D0573" w:rsidRDefault="00FD0B92" w:rsidP="00FD0B92">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szCs w:val="24"/>
        </w:rPr>
        <w:t xml:space="preserve">Projektų administravimo ir finansavimo taisyklės, patvirtintos </w:t>
      </w:r>
      <w:r w:rsidR="00164DC4" w:rsidRPr="000D0573">
        <w:rPr>
          <w:rFonts w:eastAsia="Times New Roman" w:cs="Times New Roman"/>
          <w:szCs w:val="24"/>
        </w:rPr>
        <w:t>LR</w:t>
      </w:r>
      <w:r w:rsidRPr="000D0573">
        <w:rPr>
          <w:rFonts w:eastAsia="Times New Roman" w:cs="Times New Roman"/>
          <w:szCs w:val="24"/>
        </w:rPr>
        <w:t xml:space="preserve"> finansų ministro 2014</w:t>
      </w:r>
      <w:r w:rsidR="00164DC4" w:rsidRPr="000D0573">
        <w:rPr>
          <w:rFonts w:eastAsia="Times New Roman" w:cs="Times New Roman"/>
          <w:szCs w:val="24"/>
        </w:rPr>
        <w:t> </w:t>
      </w:r>
      <w:r w:rsidRPr="000D0573">
        <w:rPr>
          <w:rFonts w:eastAsia="Times New Roman" w:cs="Times New Roman"/>
          <w:szCs w:val="24"/>
        </w:rPr>
        <w:t>m. spalio 8 d. įsakymu Nr. 1K-316 (toliau – PAFT</w:t>
      </w:r>
      <w:r w:rsidR="00BB3F8B" w:rsidRPr="000D0573">
        <w:rPr>
          <w:rFonts w:eastAsia="Times New Roman" w:cs="Times New Roman"/>
          <w:szCs w:val="24"/>
        </w:rPr>
        <w:t>).</w:t>
      </w:r>
    </w:p>
    <w:p w:rsidR="00461591" w:rsidRPr="000D0573" w:rsidRDefault="00164DC4" w:rsidP="00461591">
      <w:pPr>
        <w:numPr>
          <w:ilvl w:val="0"/>
          <w:numId w:val="9"/>
        </w:numPr>
        <w:tabs>
          <w:tab w:val="left" w:pos="9600"/>
        </w:tabs>
        <w:spacing w:after="240"/>
        <w:ind w:right="74"/>
        <w:jc w:val="both"/>
        <w:rPr>
          <w:rFonts w:eastAsia="Times New Roman" w:cs="Times New Roman"/>
          <w:szCs w:val="24"/>
        </w:rPr>
      </w:pPr>
      <w:r w:rsidRPr="000D0573">
        <w:rPr>
          <w:rFonts w:eastAsia="Times New Roman" w:cs="Times New Roman"/>
          <w:szCs w:val="24"/>
        </w:rPr>
        <w:t>LR</w:t>
      </w:r>
      <w:r w:rsidR="00461591" w:rsidRPr="000D0573">
        <w:rPr>
          <w:rFonts w:eastAsia="Times New Roman" w:cs="Times New Roman"/>
          <w:szCs w:val="24"/>
        </w:rPr>
        <w:t xml:space="preserve"> darbo kodekso patvirtinimo, įsigaliojimo ir įgyvendinimo įstatymas. Lietuvos darbo kodeksas</w:t>
      </w:r>
      <w:r w:rsidRPr="000D0573">
        <w:rPr>
          <w:rFonts w:eastAsia="Times New Roman" w:cs="Times New Roman"/>
          <w:szCs w:val="24"/>
        </w:rPr>
        <w:t>,</w:t>
      </w:r>
      <w:r w:rsidR="00461591" w:rsidRPr="000D0573">
        <w:rPr>
          <w:rFonts w:eastAsia="Times New Roman" w:cs="Times New Roman"/>
          <w:szCs w:val="24"/>
        </w:rPr>
        <w:t xml:space="preserve"> 2002 m. birželio </w:t>
      </w:r>
      <w:r w:rsidR="00461591" w:rsidRPr="008744DE">
        <w:rPr>
          <w:rFonts w:eastAsia="Times New Roman" w:cs="Times New Roman"/>
          <w:szCs w:val="24"/>
        </w:rPr>
        <w:t>4 d.</w:t>
      </w:r>
      <w:r w:rsidRPr="008744DE">
        <w:rPr>
          <w:rFonts w:eastAsia="Times New Roman" w:cs="Times New Roman"/>
          <w:szCs w:val="24"/>
        </w:rPr>
        <w:t>,</w:t>
      </w:r>
      <w:r w:rsidR="00461591" w:rsidRPr="008744DE">
        <w:rPr>
          <w:rFonts w:eastAsia="Times New Roman" w:cs="Times New Roman"/>
          <w:szCs w:val="24"/>
        </w:rPr>
        <w:t xml:space="preserve"> Nr. IX-926 (toliau – DK</w:t>
      </w:r>
      <w:r w:rsidR="00BB3F8B" w:rsidRPr="008744DE">
        <w:rPr>
          <w:rFonts w:eastAsia="Times New Roman" w:cs="Times New Roman"/>
          <w:szCs w:val="24"/>
        </w:rPr>
        <w:t>).</w:t>
      </w:r>
    </w:p>
    <w:p w:rsidR="00461591" w:rsidRPr="000D0573" w:rsidRDefault="00275065" w:rsidP="00461591">
      <w:pPr>
        <w:numPr>
          <w:ilvl w:val="0"/>
          <w:numId w:val="9"/>
        </w:numPr>
        <w:tabs>
          <w:tab w:val="left" w:pos="9600"/>
        </w:tabs>
        <w:spacing w:after="240"/>
        <w:ind w:right="74"/>
        <w:jc w:val="both"/>
        <w:rPr>
          <w:rFonts w:eastAsia="Times New Roman" w:cs="Times New Roman"/>
          <w:szCs w:val="24"/>
        </w:rPr>
      </w:pPr>
      <w:r w:rsidRPr="008744DE">
        <w:rPr>
          <w:rFonts w:eastAsia="Times New Roman" w:cs="Times New Roman"/>
          <w:szCs w:val="24"/>
        </w:rPr>
        <w:t>LR</w:t>
      </w:r>
      <w:r w:rsidR="00461591" w:rsidRPr="008744DE">
        <w:rPr>
          <w:rFonts w:eastAsia="Times New Roman" w:cs="Times New Roman"/>
          <w:szCs w:val="24"/>
        </w:rPr>
        <w:t xml:space="preserve"> ligos ir motinyst</w:t>
      </w:r>
      <w:r w:rsidR="00461591" w:rsidRPr="000D0573">
        <w:rPr>
          <w:rFonts w:eastAsia="Times New Roman" w:cs="Times New Roman"/>
          <w:szCs w:val="24"/>
        </w:rPr>
        <w:t xml:space="preserve">ės socialinio draudimo įstatymas </w:t>
      </w:r>
      <w:r w:rsidR="00461591" w:rsidRPr="008744DE">
        <w:rPr>
          <w:rFonts w:eastAsia="Times New Roman" w:cs="Times New Roman"/>
          <w:szCs w:val="24"/>
        </w:rPr>
        <w:t xml:space="preserve">2000 m. </w:t>
      </w:r>
      <w:r w:rsidR="00461591" w:rsidRPr="000D0573">
        <w:rPr>
          <w:rFonts w:eastAsia="Times New Roman" w:cs="Times New Roman"/>
          <w:szCs w:val="24"/>
        </w:rPr>
        <w:t xml:space="preserve">gruodžio </w:t>
      </w:r>
      <w:r w:rsidR="00461591" w:rsidRPr="008744DE">
        <w:rPr>
          <w:rFonts w:eastAsia="Times New Roman" w:cs="Times New Roman"/>
          <w:szCs w:val="24"/>
        </w:rPr>
        <w:t xml:space="preserve">21 d. Nr. </w:t>
      </w:r>
      <w:r w:rsidR="00461591" w:rsidRPr="000D0573">
        <w:rPr>
          <w:color w:val="000000"/>
          <w:sz w:val="22"/>
        </w:rPr>
        <w:t>IX-110</w:t>
      </w:r>
      <w:r w:rsidR="00BB3F8B" w:rsidRPr="000D0573">
        <w:rPr>
          <w:color w:val="000000"/>
          <w:sz w:val="22"/>
        </w:rPr>
        <w:t>.</w:t>
      </w:r>
    </w:p>
    <w:p w:rsidR="00FD0B92" w:rsidRPr="000D0573" w:rsidRDefault="00FD0B92" w:rsidP="00FD0B92">
      <w:pPr>
        <w:numPr>
          <w:ilvl w:val="0"/>
          <w:numId w:val="4"/>
        </w:numPr>
        <w:spacing w:before="240" w:after="240"/>
        <w:jc w:val="both"/>
        <w:rPr>
          <w:rFonts w:eastAsia="Times New Roman" w:cs="Times New Roman"/>
          <w:szCs w:val="24"/>
        </w:rPr>
      </w:pPr>
      <w:r w:rsidRPr="000D0573">
        <w:rPr>
          <w:rFonts w:eastAsia="Times New Roman" w:cs="Times New Roman"/>
          <w:szCs w:val="24"/>
        </w:rPr>
        <w:t xml:space="preserve">Universitetų ir kolegijų darbo užmokesčio tvarkos nuostatų aprašai (dokumentų sąrašas </w:t>
      </w:r>
      <w:r w:rsidR="00275065" w:rsidRPr="000D0573">
        <w:rPr>
          <w:rFonts w:eastAsia="Times New Roman" w:cs="Times New Roman"/>
          <w:szCs w:val="24"/>
        </w:rPr>
        <w:t xml:space="preserve">pateikiamas </w:t>
      </w:r>
      <w:r w:rsidR="00870B80" w:rsidRPr="000D0573">
        <w:rPr>
          <w:rFonts w:eastAsia="Times New Roman" w:cs="Times New Roman"/>
          <w:szCs w:val="24"/>
        </w:rPr>
        <w:t>1 </w:t>
      </w:r>
      <w:r w:rsidRPr="000D0573">
        <w:rPr>
          <w:rFonts w:eastAsia="Times New Roman" w:cs="Times New Roman"/>
          <w:szCs w:val="24"/>
        </w:rPr>
        <w:t>priede</w:t>
      </w:r>
      <w:r w:rsidR="00BB3F8B" w:rsidRPr="000D0573">
        <w:rPr>
          <w:rFonts w:eastAsia="Times New Roman" w:cs="Times New Roman"/>
          <w:szCs w:val="24"/>
        </w:rPr>
        <w:t>).</w:t>
      </w:r>
    </w:p>
    <w:p w:rsidR="00FD0B92" w:rsidRPr="000D0573" w:rsidRDefault="00FD0B92" w:rsidP="00BA5DD9">
      <w:pPr>
        <w:numPr>
          <w:ilvl w:val="0"/>
          <w:numId w:val="4"/>
        </w:numPr>
        <w:tabs>
          <w:tab w:val="left" w:pos="9600"/>
        </w:tabs>
        <w:spacing w:before="240" w:after="240"/>
        <w:ind w:left="714" w:right="74" w:hanging="357"/>
        <w:jc w:val="both"/>
        <w:rPr>
          <w:rFonts w:eastAsia="Times New Roman" w:cs="Times New Roman"/>
        </w:rPr>
      </w:pPr>
      <w:r w:rsidRPr="000D0573">
        <w:rPr>
          <w:rFonts w:eastAsia="Times New Roman" w:cs="Times New Roman"/>
          <w:szCs w:val="24"/>
        </w:rPr>
        <w:t xml:space="preserve">Universitetų ir kolegijų pareigybių kvalifikacinių reikalavimų aprašai (dokumentų sąrašas </w:t>
      </w:r>
      <w:r w:rsidR="00BB3F8B" w:rsidRPr="000D0573">
        <w:rPr>
          <w:rFonts w:eastAsia="Times New Roman" w:cs="Times New Roman"/>
          <w:szCs w:val="24"/>
        </w:rPr>
        <w:t xml:space="preserve">2 </w:t>
      </w:r>
      <w:r w:rsidRPr="000D0573">
        <w:rPr>
          <w:rFonts w:eastAsia="Times New Roman" w:cs="Times New Roman"/>
          <w:szCs w:val="24"/>
        </w:rPr>
        <w:t>priede).</w:t>
      </w:r>
    </w:p>
    <w:p w:rsidR="00FD0B92" w:rsidRPr="000D0573" w:rsidRDefault="00FD0B92" w:rsidP="00890BE4">
      <w:pPr>
        <w:keepNext/>
        <w:keepLines/>
        <w:tabs>
          <w:tab w:val="left" w:pos="907"/>
          <w:tab w:val="left" w:pos="1134"/>
          <w:tab w:val="left" w:pos="1361"/>
        </w:tabs>
        <w:spacing w:before="240" w:after="240"/>
        <w:ind w:left="680"/>
        <w:outlineLvl w:val="2"/>
        <w:rPr>
          <w:rFonts w:eastAsia="Lucida Sans Unicode" w:cs="Times New Roman"/>
          <w:bCs/>
          <w:color w:val="00505E"/>
          <w:sz w:val="26"/>
          <w:szCs w:val="26"/>
        </w:rPr>
      </w:pPr>
      <w:bookmarkStart w:id="6" w:name="_Toc459650628"/>
      <w:bookmarkStart w:id="7" w:name="_Toc465415124"/>
      <w:r w:rsidRPr="000D0573">
        <w:rPr>
          <w:rFonts w:eastAsia="Lucida Sans Unicode" w:cs="Times New Roman"/>
          <w:bCs/>
          <w:color w:val="00505E"/>
          <w:sz w:val="26"/>
          <w:szCs w:val="26"/>
        </w:rPr>
        <w:t xml:space="preserve">II.2. </w:t>
      </w:r>
      <w:r w:rsidR="00735169" w:rsidRPr="000D0573">
        <w:rPr>
          <w:rFonts w:eastAsia="Lucida Sans Unicode" w:cs="Times New Roman"/>
          <w:bCs/>
          <w:color w:val="00505E"/>
          <w:sz w:val="26"/>
          <w:szCs w:val="26"/>
        </w:rPr>
        <w:t>„</w:t>
      </w:r>
      <w:proofErr w:type="spellStart"/>
      <w:r w:rsidRPr="008744DE">
        <w:rPr>
          <w:rFonts w:eastAsia="Lucida Sans Unicode" w:cs="Times New Roman"/>
          <w:bCs/>
          <w:color w:val="00505E"/>
          <w:sz w:val="26"/>
          <w:szCs w:val="26"/>
        </w:rPr>
        <w:t>Erasmus</w:t>
      </w:r>
      <w:proofErr w:type="spellEnd"/>
      <w:r w:rsidRPr="008744DE">
        <w:rPr>
          <w:rFonts w:eastAsia="Lucida Sans Unicode" w:cs="Times New Roman"/>
          <w:bCs/>
          <w:color w:val="00505E"/>
          <w:sz w:val="26"/>
          <w:szCs w:val="26"/>
        </w:rPr>
        <w:t xml:space="preserve"> plius</w:t>
      </w:r>
      <w:r w:rsidR="00735169" w:rsidRPr="000D0573">
        <w:rPr>
          <w:rFonts w:eastAsia="Lucida Sans Unicode" w:cs="Times New Roman"/>
          <w:bCs/>
          <w:color w:val="00505E"/>
          <w:sz w:val="26"/>
          <w:szCs w:val="26"/>
        </w:rPr>
        <w:t>“</w:t>
      </w:r>
      <w:r w:rsidRPr="000D0573">
        <w:rPr>
          <w:rFonts w:eastAsia="Lucida Sans Unicode" w:cs="Times New Roman"/>
          <w:bCs/>
          <w:color w:val="00505E"/>
          <w:sz w:val="26"/>
          <w:szCs w:val="26"/>
        </w:rPr>
        <w:t xml:space="preserve"> įkainiai ir intelektinių produktų samprata</w:t>
      </w:r>
      <w:bookmarkEnd w:id="6"/>
      <w:bookmarkEnd w:id="7"/>
    </w:p>
    <w:p w:rsidR="00187E9C" w:rsidRPr="000D0573" w:rsidRDefault="00735169" w:rsidP="00FD0B92">
      <w:pPr>
        <w:tabs>
          <w:tab w:val="left" w:pos="9600"/>
        </w:tabs>
        <w:spacing w:after="240"/>
        <w:ind w:right="74"/>
        <w:jc w:val="both"/>
        <w:rPr>
          <w:rFonts w:eastAsia="Times New Roman" w:cs="Times New Roman"/>
          <w:szCs w:val="24"/>
        </w:rPr>
      </w:pP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 </w:t>
      </w:r>
      <w:r w:rsidR="00FD0B92" w:rsidRPr="000D0573">
        <w:rPr>
          <w:rFonts w:eastAsia="Times New Roman" w:cs="Times New Roman"/>
          <w:szCs w:val="24"/>
        </w:rPr>
        <w:t xml:space="preserve">programoje numatyti fiksuotieji įkainiai, skirti apskaičiuoti vienos darbo dienos darbo užmokesčio išlaidas projektuose dirbančioms komandoms, kuriančioms intelektinius produktus. </w:t>
      </w:r>
      <w:r w:rsidR="00870B80" w:rsidRPr="000D0573">
        <w:rPr>
          <w:rFonts w:eastAsia="Times New Roman" w:cs="Times New Roman"/>
          <w:szCs w:val="24"/>
        </w:rPr>
        <w:t xml:space="preserve">Fiksuotieji </w:t>
      </w:r>
      <w:r w:rsidR="00FD0B92" w:rsidRPr="000D0573">
        <w:rPr>
          <w:rFonts w:eastAsia="Times New Roman" w:cs="Times New Roman"/>
          <w:szCs w:val="24"/>
        </w:rPr>
        <w:t>įkainiai diferencijuojami pagal keturis projekto pareigų tipus ir keturias valstybių grupes. Taigi iš viso yra nustatyta 16 skirtingų įkainių.</w:t>
      </w:r>
      <w:r w:rsidR="00C81435" w:rsidRPr="000D0573">
        <w:rPr>
          <w:rFonts w:eastAsia="Times New Roman" w:cs="Times New Roman"/>
          <w:szCs w:val="24"/>
        </w:rPr>
        <w:t xml:space="preserve"> </w:t>
      </w:r>
      <w:r w:rsidR="00870B80" w:rsidRPr="000D0573">
        <w:rPr>
          <w:rFonts w:eastAsia="Times New Roman" w:cs="Times New Roman"/>
          <w:szCs w:val="24"/>
        </w:rPr>
        <w:t>Pažymėtina</w:t>
      </w:r>
      <w:r w:rsidR="00187E9C" w:rsidRPr="000D0573">
        <w:rPr>
          <w:rFonts w:eastAsia="Times New Roman" w:cs="Times New Roman"/>
          <w:szCs w:val="24"/>
        </w:rPr>
        <w:t>, kad intelektinių produktų įkainiai</w:t>
      </w:r>
      <w:r w:rsidR="00187E9C" w:rsidRPr="000D0573">
        <w:rPr>
          <w:rFonts w:eastAsia="Times New Roman" w:cs="Times New Roman"/>
          <w:i/>
          <w:szCs w:val="24"/>
        </w:rPr>
        <w:t xml:space="preserve"> </w:t>
      </w: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 </w:t>
      </w:r>
      <w:r w:rsidR="00187E9C" w:rsidRPr="000D0573">
        <w:rPr>
          <w:rFonts w:eastAsia="Times New Roman" w:cs="Times New Roman"/>
          <w:szCs w:val="24"/>
        </w:rPr>
        <w:t xml:space="preserve">programoje naudojami </w:t>
      </w:r>
      <w:r w:rsidR="00870B80" w:rsidRPr="000D0573">
        <w:rPr>
          <w:rFonts w:eastAsia="Times New Roman" w:cs="Times New Roman"/>
          <w:szCs w:val="24"/>
        </w:rPr>
        <w:t xml:space="preserve">strateginių </w:t>
      </w:r>
      <w:r w:rsidR="00187E9C" w:rsidRPr="000D0573">
        <w:rPr>
          <w:rFonts w:eastAsia="Times New Roman" w:cs="Times New Roman"/>
          <w:szCs w:val="24"/>
        </w:rPr>
        <w:t>partnerysčių veiksmui</w:t>
      </w:r>
      <w:r w:rsidR="008B0902" w:rsidRPr="000D0573">
        <w:rPr>
          <w:rFonts w:eastAsia="Times New Roman" w:cs="Times New Roman"/>
          <w:szCs w:val="24"/>
        </w:rPr>
        <w:t xml:space="preserve"> (angl.</w:t>
      </w:r>
      <w:r w:rsidR="00870B80" w:rsidRPr="000D0573">
        <w:rPr>
          <w:rFonts w:eastAsia="Times New Roman" w:cs="Times New Roman"/>
          <w:szCs w:val="24"/>
        </w:rPr>
        <w:t> </w:t>
      </w:r>
      <w:proofErr w:type="spellStart"/>
      <w:r w:rsidR="008B0902" w:rsidRPr="000D0573">
        <w:rPr>
          <w:rFonts w:eastAsia="Times New Roman" w:cs="Times New Roman"/>
          <w:i/>
          <w:szCs w:val="24"/>
        </w:rPr>
        <w:t>Key</w:t>
      </w:r>
      <w:proofErr w:type="spellEnd"/>
      <w:r w:rsidR="008B0902" w:rsidRPr="000D0573">
        <w:rPr>
          <w:rFonts w:eastAsia="Times New Roman" w:cs="Times New Roman"/>
          <w:i/>
          <w:szCs w:val="24"/>
        </w:rPr>
        <w:t xml:space="preserve"> </w:t>
      </w:r>
      <w:proofErr w:type="spellStart"/>
      <w:r w:rsidR="008B0902" w:rsidRPr="000D0573">
        <w:rPr>
          <w:rFonts w:eastAsia="Times New Roman" w:cs="Times New Roman"/>
          <w:i/>
          <w:szCs w:val="24"/>
        </w:rPr>
        <w:t>Action</w:t>
      </w:r>
      <w:proofErr w:type="spellEnd"/>
      <w:r w:rsidR="008B0902" w:rsidRPr="000D0573">
        <w:rPr>
          <w:rFonts w:eastAsia="Times New Roman" w:cs="Times New Roman"/>
          <w:i/>
          <w:szCs w:val="24"/>
        </w:rPr>
        <w:t xml:space="preserve"> 2 </w:t>
      </w:r>
      <w:proofErr w:type="spellStart"/>
      <w:r w:rsidR="008B0902" w:rsidRPr="000D0573">
        <w:rPr>
          <w:rFonts w:eastAsia="Times New Roman" w:cs="Times New Roman"/>
          <w:i/>
          <w:szCs w:val="24"/>
        </w:rPr>
        <w:t>Strategic</w:t>
      </w:r>
      <w:proofErr w:type="spellEnd"/>
      <w:r w:rsidR="008B0902" w:rsidRPr="000D0573">
        <w:rPr>
          <w:rFonts w:eastAsia="Times New Roman" w:cs="Times New Roman"/>
          <w:i/>
          <w:szCs w:val="24"/>
        </w:rPr>
        <w:t xml:space="preserve"> </w:t>
      </w:r>
      <w:proofErr w:type="spellStart"/>
      <w:r w:rsidR="008B0902" w:rsidRPr="000D0573">
        <w:rPr>
          <w:rFonts w:eastAsia="Times New Roman" w:cs="Times New Roman"/>
          <w:i/>
          <w:szCs w:val="24"/>
        </w:rPr>
        <w:t>Partnerships</w:t>
      </w:r>
      <w:proofErr w:type="spellEnd"/>
      <w:r w:rsidR="008B0902" w:rsidRPr="000D0573">
        <w:rPr>
          <w:rFonts w:eastAsia="Times New Roman" w:cs="Times New Roman"/>
          <w:szCs w:val="24"/>
        </w:rPr>
        <w:t>)</w:t>
      </w:r>
      <w:r w:rsidR="00187E9C" w:rsidRPr="000D0573">
        <w:rPr>
          <w:rFonts w:eastAsia="Times New Roman" w:cs="Times New Roman"/>
          <w:szCs w:val="24"/>
        </w:rPr>
        <w:t xml:space="preserve"> skirtam aukštajam mokslui</w:t>
      </w:r>
      <w:r w:rsidR="00E9504F" w:rsidRPr="000D0573">
        <w:rPr>
          <w:rStyle w:val="Puslapioinaosnuoroda"/>
          <w:rFonts w:eastAsia="Times New Roman" w:cs="Times New Roman"/>
          <w:szCs w:val="24"/>
        </w:rPr>
        <w:footnoteReference w:id="3"/>
      </w:r>
      <w:r w:rsidR="00187E9C" w:rsidRPr="000D0573">
        <w:rPr>
          <w:rFonts w:eastAsia="Times New Roman" w:cs="Times New Roman"/>
          <w:szCs w:val="24"/>
        </w:rPr>
        <w:t xml:space="preserve">. </w:t>
      </w:r>
      <w:r w:rsidR="00D36A00" w:rsidRPr="000D0573">
        <w:rPr>
          <w:rFonts w:eastAsia="Times New Roman" w:cs="Times New Roman"/>
          <w:szCs w:val="24"/>
        </w:rPr>
        <w:t xml:space="preserve">Tai reiškia, kad </w:t>
      </w: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 </w:t>
      </w:r>
      <w:r w:rsidR="00D36A00" w:rsidRPr="000D0573">
        <w:rPr>
          <w:rFonts w:eastAsia="Times New Roman" w:cs="Times New Roman"/>
          <w:b/>
          <w:szCs w:val="24"/>
        </w:rPr>
        <w:t>įkainiai naudojami projektams, kuriuos įgyvendina aukšt</w:t>
      </w:r>
      <w:r w:rsidR="00C32357" w:rsidRPr="000D0573">
        <w:rPr>
          <w:rFonts w:eastAsia="Times New Roman" w:cs="Times New Roman"/>
          <w:b/>
          <w:szCs w:val="24"/>
        </w:rPr>
        <w:t>osios mokyklos</w:t>
      </w:r>
      <w:r w:rsidR="00C32357" w:rsidRPr="000D0573">
        <w:rPr>
          <w:rFonts w:eastAsia="Times New Roman" w:cs="Times New Roman"/>
          <w:szCs w:val="24"/>
        </w:rPr>
        <w:t xml:space="preserve"> ir jų </w:t>
      </w:r>
      <w:r w:rsidR="00D36A00" w:rsidRPr="000D0573">
        <w:rPr>
          <w:rFonts w:eastAsia="Times New Roman" w:cs="Times New Roman"/>
          <w:szCs w:val="24"/>
        </w:rPr>
        <w:t>personalas.</w:t>
      </w:r>
    </w:p>
    <w:p w:rsidR="00FD0B92" w:rsidRPr="000D0573" w:rsidRDefault="00FD0B92" w:rsidP="00FD0B92">
      <w:pPr>
        <w:tabs>
          <w:tab w:val="left" w:pos="9600"/>
        </w:tabs>
        <w:spacing w:after="240"/>
        <w:ind w:right="74"/>
        <w:jc w:val="both"/>
        <w:rPr>
          <w:rFonts w:eastAsia="Times New Roman" w:cs="Times New Roman"/>
          <w:i/>
          <w:szCs w:val="24"/>
        </w:rPr>
      </w:pPr>
      <w:r w:rsidRPr="000D0573">
        <w:rPr>
          <w:rFonts w:eastAsia="Times New Roman" w:cs="Times New Roman"/>
          <w:i/>
          <w:szCs w:val="24"/>
        </w:rPr>
        <w:t xml:space="preserve">Kaip </w:t>
      </w:r>
      <w:r w:rsidR="00A15947" w:rsidRPr="000D0573">
        <w:rPr>
          <w:rFonts w:eastAsia="Times New Roman" w:cs="Times New Roman"/>
          <w:i/>
          <w:szCs w:val="24"/>
        </w:rPr>
        <w:t xml:space="preserve">buvo </w:t>
      </w:r>
      <w:r w:rsidRPr="000D0573">
        <w:rPr>
          <w:rFonts w:eastAsia="Times New Roman" w:cs="Times New Roman"/>
          <w:i/>
          <w:szCs w:val="24"/>
        </w:rPr>
        <w:t xml:space="preserve">nustatyti </w:t>
      </w:r>
      <w:r w:rsidR="00735169" w:rsidRPr="000D0573">
        <w:rPr>
          <w:rFonts w:eastAsia="Times New Roman" w:cs="Times New Roman"/>
          <w:i/>
          <w:szCs w:val="24"/>
        </w:rPr>
        <w:t>„</w:t>
      </w:r>
      <w:proofErr w:type="spellStart"/>
      <w:r w:rsidRPr="000D0573">
        <w:rPr>
          <w:rFonts w:eastAsia="Times New Roman" w:cs="Times New Roman"/>
          <w:i/>
          <w:szCs w:val="24"/>
        </w:rPr>
        <w:t>Erasmus</w:t>
      </w:r>
      <w:proofErr w:type="spellEnd"/>
      <w:r w:rsidRPr="000D0573">
        <w:rPr>
          <w:rFonts w:eastAsia="Times New Roman" w:cs="Times New Roman"/>
          <w:i/>
          <w:szCs w:val="24"/>
        </w:rPr>
        <w:t xml:space="preserve"> plius</w:t>
      </w:r>
      <w:r w:rsidR="00735169" w:rsidRPr="000D0573">
        <w:rPr>
          <w:rFonts w:eastAsia="Times New Roman" w:cs="Times New Roman"/>
          <w:i/>
          <w:szCs w:val="24"/>
        </w:rPr>
        <w:t>“</w:t>
      </w:r>
      <w:r w:rsidRPr="000D0573">
        <w:rPr>
          <w:rFonts w:eastAsia="Times New Roman" w:cs="Times New Roman"/>
          <w:i/>
          <w:szCs w:val="24"/>
        </w:rPr>
        <w:t xml:space="preserve"> įkainiai</w:t>
      </w:r>
    </w:p>
    <w:p w:rsidR="00FD0B92" w:rsidRPr="000D0573" w:rsidRDefault="00FD0B92" w:rsidP="00FD0B92">
      <w:pPr>
        <w:tabs>
          <w:tab w:val="left" w:pos="9600"/>
        </w:tabs>
        <w:spacing w:after="240"/>
        <w:ind w:right="74"/>
        <w:jc w:val="both"/>
        <w:rPr>
          <w:rFonts w:eastAsia="Times New Roman" w:cs="Times New Roman"/>
          <w:szCs w:val="24"/>
        </w:rPr>
      </w:pPr>
      <w:r w:rsidRPr="000D0573" w:rsidDel="0072505D">
        <w:rPr>
          <w:rFonts w:eastAsia="Times New Roman" w:cs="Times New Roman"/>
          <w:szCs w:val="24"/>
        </w:rPr>
        <w:t xml:space="preserve">Šiam tyrimui aktualūs </w:t>
      </w:r>
      <w:r w:rsidR="00735169" w:rsidRPr="000D0573">
        <w:rPr>
          <w:rFonts w:eastAsia="Times New Roman" w:cs="Times New Roman"/>
        </w:rPr>
        <w:t>„</w:t>
      </w:r>
      <w:proofErr w:type="spellStart"/>
      <w:r w:rsidR="00735169" w:rsidRPr="000D0573">
        <w:rPr>
          <w:rFonts w:eastAsia="Times New Roman" w:cs="Times New Roman"/>
        </w:rPr>
        <w:t>Erasmus</w:t>
      </w:r>
      <w:proofErr w:type="spellEnd"/>
      <w:r w:rsidR="00735169" w:rsidRPr="000D0573">
        <w:rPr>
          <w:rFonts w:eastAsia="Times New Roman" w:cs="Times New Roman"/>
        </w:rPr>
        <w:t xml:space="preserve"> plius“ </w:t>
      </w:r>
      <w:r w:rsidRPr="000D0573" w:rsidDel="0072505D">
        <w:rPr>
          <w:rFonts w:eastAsia="Times New Roman" w:cs="Times New Roman"/>
          <w:szCs w:val="24"/>
        </w:rPr>
        <w:t>fiksuotieji įkainiai</w:t>
      </w:r>
      <w:r w:rsidRPr="000D0573">
        <w:rPr>
          <w:rFonts w:eastAsia="Times New Roman" w:cs="Times New Roman"/>
          <w:szCs w:val="24"/>
        </w:rPr>
        <w:t xml:space="preserve"> </w:t>
      </w:r>
      <w:r w:rsidRPr="000D0573" w:rsidDel="0072505D">
        <w:rPr>
          <w:rFonts w:eastAsia="Times New Roman" w:cs="Times New Roman"/>
          <w:szCs w:val="24"/>
        </w:rPr>
        <w:t>buvo nustatyti</w:t>
      </w:r>
      <w:r w:rsidR="00275065" w:rsidRPr="000D0573">
        <w:rPr>
          <w:rFonts w:eastAsia="Times New Roman" w:cs="Times New Roman"/>
          <w:szCs w:val="24"/>
        </w:rPr>
        <w:t>,</w:t>
      </w:r>
      <w:r w:rsidRPr="000D0573" w:rsidDel="0072505D">
        <w:rPr>
          <w:rFonts w:eastAsia="Times New Roman" w:cs="Times New Roman"/>
          <w:szCs w:val="24"/>
        </w:rPr>
        <w:t xml:space="preserve"> remiantis dviem skaičiavimais, atliktais pagal </w:t>
      </w:r>
      <w:r w:rsidRPr="000D0573">
        <w:rPr>
          <w:rFonts w:eastAsia="Times New Roman" w:cs="Times New Roman"/>
          <w:szCs w:val="24"/>
        </w:rPr>
        <w:t>Mokymosi visą gyvenimą programos</w:t>
      </w:r>
      <w:r w:rsidRPr="000D0573">
        <w:rPr>
          <w:rFonts w:eastAsia="Times New Roman" w:cs="Times New Roman"/>
          <w:szCs w:val="24"/>
          <w:vertAlign w:val="superscript"/>
        </w:rPr>
        <w:footnoteReference w:id="4"/>
      </w:r>
      <w:r w:rsidRPr="000D0573">
        <w:rPr>
          <w:rFonts w:eastAsia="Times New Roman" w:cs="Times New Roman"/>
          <w:szCs w:val="24"/>
        </w:rPr>
        <w:t xml:space="preserve"> </w:t>
      </w:r>
      <w:r w:rsidRPr="000D0573" w:rsidDel="0072505D">
        <w:rPr>
          <w:rFonts w:eastAsia="Times New Roman" w:cs="Times New Roman"/>
          <w:szCs w:val="24"/>
        </w:rPr>
        <w:t xml:space="preserve">projektų, kuriuose buvo kuriami intelektiniai produktai, </w:t>
      </w:r>
      <w:r w:rsidR="00F5696B" w:rsidRPr="000D0573" w:rsidDel="0072505D">
        <w:rPr>
          <w:rFonts w:eastAsia="Times New Roman" w:cs="Times New Roman"/>
          <w:szCs w:val="24"/>
        </w:rPr>
        <w:t>2005 ir 2011 me</w:t>
      </w:r>
      <w:r w:rsidR="00F5696B" w:rsidRPr="000D0573">
        <w:rPr>
          <w:rFonts w:eastAsia="Times New Roman" w:cs="Times New Roman"/>
          <w:szCs w:val="24"/>
        </w:rPr>
        <w:t>tų</w:t>
      </w:r>
      <w:r w:rsidR="00F5696B" w:rsidRPr="000D0573" w:rsidDel="0072505D">
        <w:rPr>
          <w:rFonts w:eastAsia="Times New Roman" w:cs="Times New Roman"/>
          <w:szCs w:val="24"/>
        </w:rPr>
        <w:t xml:space="preserve"> </w:t>
      </w:r>
      <w:r w:rsidRPr="000D0573" w:rsidDel="0072505D">
        <w:rPr>
          <w:rFonts w:eastAsia="Times New Roman" w:cs="Times New Roman"/>
          <w:szCs w:val="24"/>
        </w:rPr>
        <w:t xml:space="preserve">istorinius duomenis. </w:t>
      </w:r>
      <w:r w:rsidRPr="00CB49BF" w:rsidDel="0072505D">
        <w:rPr>
          <w:rFonts w:eastAsia="Times New Roman" w:cs="Times New Roman"/>
          <w:szCs w:val="24"/>
        </w:rPr>
        <w:t xml:space="preserve">Skaičiavimų rezultatus </w:t>
      </w:r>
      <w:r w:rsidRPr="00CB49BF" w:rsidDel="0072505D">
        <w:rPr>
          <w:rFonts w:eastAsia="Times New Roman" w:cs="Times New Roman"/>
          <w:szCs w:val="24"/>
        </w:rPr>
        <w:lastRenderedPageBreak/>
        <w:t xml:space="preserve">palyginus su kiekvienos valstybės bendruoju vidaus produktu (BVP) vienam </w:t>
      </w:r>
      <w:r w:rsidR="000C135B" w:rsidRPr="00CB49BF">
        <w:rPr>
          <w:rFonts w:eastAsia="Times New Roman" w:cs="Times New Roman"/>
          <w:szCs w:val="24"/>
        </w:rPr>
        <w:t>gyventojui</w:t>
      </w:r>
      <w:r w:rsidR="000C135B" w:rsidRPr="008744DE" w:rsidDel="0072505D">
        <w:rPr>
          <w:rFonts w:eastAsia="Times New Roman" w:cs="Times New Roman"/>
          <w:szCs w:val="24"/>
        </w:rPr>
        <w:t xml:space="preserve"> </w:t>
      </w:r>
      <w:r w:rsidRPr="008744DE" w:rsidDel="0072505D">
        <w:rPr>
          <w:rFonts w:eastAsia="Times New Roman" w:cs="Times New Roman"/>
          <w:szCs w:val="24"/>
        </w:rPr>
        <w:t>ir pagal šį rodiklį sugrupavus valstybes, pamatyta, kad gauti darbo užmokesčių dydžiai itin panašūs. Nuspręsta darbuotojų, dirbančių projektuose, įkainius nustatyti</w:t>
      </w:r>
      <w:r w:rsidR="00F5696B" w:rsidRPr="008744DE">
        <w:rPr>
          <w:rFonts w:eastAsia="Times New Roman" w:cs="Times New Roman"/>
          <w:szCs w:val="24"/>
        </w:rPr>
        <w:t>,</w:t>
      </w:r>
      <w:r w:rsidRPr="008744DE" w:rsidDel="0072505D">
        <w:rPr>
          <w:rFonts w:eastAsia="Times New Roman" w:cs="Times New Roman"/>
          <w:szCs w:val="24"/>
        </w:rPr>
        <w:t xml:space="preserve"> atsižvelgiant į rodiklį – </w:t>
      </w:r>
      <w:r w:rsidRPr="008744DE" w:rsidDel="0072505D">
        <w:rPr>
          <w:rFonts w:eastAsia="Times New Roman" w:cs="Times New Roman"/>
          <w:i/>
          <w:szCs w:val="24"/>
        </w:rPr>
        <w:t xml:space="preserve">BVP vienam </w:t>
      </w:r>
      <w:r w:rsidR="000C135B" w:rsidRPr="008744DE">
        <w:rPr>
          <w:rFonts w:eastAsia="Times New Roman" w:cs="Times New Roman"/>
          <w:i/>
          <w:szCs w:val="24"/>
        </w:rPr>
        <w:t>gyventojui</w:t>
      </w:r>
      <w:r w:rsidRPr="00CB49BF">
        <w:rPr>
          <w:rFonts w:eastAsia="Times New Roman" w:cs="Times New Roman"/>
          <w:szCs w:val="24"/>
          <w:vertAlign w:val="superscript"/>
        </w:rPr>
        <w:footnoteReference w:id="5"/>
      </w:r>
      <w:r w:rsidRPr="00CB49BF" w:rsidDel="0072505D">
        <w:rPr>
          <w:rFonts w:eastAsia="Times New Roman" w:cs="Times New Roman"/>
          <w:szCs w:val="24"/>
        </w:rPr>
        <w:t xml:space="preserve">. </w:t>
      </w:r>
      <w:r w:rsidR="00735169" w:rsidRPr="00CB49BF">
        <w:rPr>
          <w:rFonts w:eastAsia="Times New Roman" w:cs="Times New Roman"/>
        </w:rPr>
        <w:t>„</w:t>
      </w:r>
      <w:proofErr w:type="spellStart"/>
      <w:r w:rsidR="00735169" w:rsidRPr="00CB49BF">
        <w:rPr>
          <w:rFonts w:eastAsia="Times New Roman" w:cs="Times New Roman"/>
        </w:rPr>
        <w:t>Erasmus</w:t>
      </w:r>
      <w:proofErr w:type="spellEnd"/>
      <w:r w:rsidR="00735169" w:rsidRPr="000D0573">
        <w:rPr>
          <w:rFonts w:eastAsia="Times New Roman" w:cs="Times New Roman"/>
        </w:rPr>
        <w:t xml:space="preserve"> plius“</w:t>
      </w:r>
      <w:r w:rsidRPr="000D0573" w:rsidDel="0072505D">
        <w:rPr>
          <w:rFonts w:eastAsia="Times New Roman" w:cs="Times New Roman"/>
          <w:i/>
          <w:szCs w:val="24"/>
        </w:rPr>
        <w:t xml:space="preserve"> </w:t>
      </w:r>
      <w:r w:rsidRPr="000D0573" w:rsidDel="0072505D">
        <w:rPr>
          <w:rFonts w:eastAsia="Times New Roman" w:cs="Times New Roman"/>
          <w:szCs w:val="24"/>
        </w:rPr>
        <w:t xml:space="preserve">programoje dalyvaujančios šalys pagal minėtą rodiklį </w:t>
      </w:r>
      <w:r w:rsidR="00A35864" w:rsidRPr="000D0573">
        <w:rPr>
          <w:rFonts w:eastAsia="Times New Roman" w:cs="Times New Roman"/>
          <w:szCs w:val="24"/>
        </w:rPr>
        <w:t xml:space="preserve">yra </w:t>
      </w:r>
      <w:r w:rsidRPr="000D0573" w:rsidDel="0072505D">
        <w:rPr>
          <w:rFonts w:eastAsia="Times New Roman" w:cs="Times New Roman"/>
          <w:szCs w:val="24"/>
        </w:rPr>
        <w:t>suskirstytos į keturias grupes</w:t>
      </w:r>
      <w:r w:rsidR="00F5696B" w:rsidRPr="000D0573">
        <w:rPr>
          <w:rFonts w:eastAsia="Times New Roman" w:cs="Times New Roman"/>
          <w:szCs w:val="24"/>
        </w:rPr>
        <w:t xml:space="preserve"> ir joms </w:t>
      </w:r>
      <w:r w:rsidRPr="000D0573" w:rsidDel="0072505D">
        <w:rPr>
          <w:rFonts w:eastAsia="Times New Roman" w:cs="Times New Roman"/>
          <w:szCs w:val="24"/>
        </w:rPr>
        <w:t>nustatyti</w:t>
      </w:r>
      <w:r w:rsidR="00712DFA" w:rsidRPr="000D0573">
        <w:rPr>
          <w:rFonts w:eastAsia="Times New Roman" w:cs="Times New Roman"/>
          <w:szCs w:val="24"/>
        </w:rPr>
        <w:t xml:space="preserve"> dienos darbo užmokesčio </w:t>
      </w:r>
      <w:r w:rsidRPr="000D0573" w:rsidDel="0072505D">
        <w:rPr>
          <w:rFonts w:eastAsia="Times New Roman" w:cs="Times New Roman"/>
          <w:szCs w:val="24"/>
        </w:rPr>
        <w:t xml:space="preserve">įkainiai, </w:t>
      </w:r>
      <w:r w:rsidR="00A35864" w:rsidRPr="000D0573" w:rsidDel="0072505D">
        <w:rPr>
          <w:rFonts w:eastAsia="Times New Roman" w:cs="Times New Roman"/>
          <w:szCs w:val="24"/>
        </w:rPr>
        <w:t>suskirs</w:t>
      </w:r>
      <w:r w:rsidR="00A35864" w:rsidRPr="000D0573">
        <w:rPr>
          <w:rFonts w:eastAsia="Times New Roman" w:cs="Times New Roman"/>
          <w:szCs w:val="24"/>
        </w:rPr>
        <w:t>čius</w:t>
      </w:r>
      <w:r w:rsidR="00A35864" w:rsidRPr="000D0573" w:rsidDel="0072505D">
        <w:rPr>
          <w:rFonts w:eastAsia="Times New Roman" w:cs="Times New Roman"/>
          <w:szCs w:val="24"/>
        </w:rPr>
        <w:t xml:space="preserve"> </w:t>
      </w:r>
      <w:r w:rsidRPr="000D0573" w:rsidDel="0072505D">
        <w:rPr>
          <w:rFonts w:eastAsia="Times New Roman" w:cs="Times New Roman"/>
          <w:szCs w:val="24"/>
        </w:rPr>
        <w:t xml:space="preserve">personalą į keturis projekto pareigų tipus (žr. </w:t>
      </w:r>
      <w:r w:rsidR="00735169" w:rsidRPr="000D0573">
        <w:rPr>
          <w:rFonts w:eastAsia="Times New Roman" w:cs="Times New Roman"/>
          <w:szCs w:val="24"/>
        </w:rPr>
        <w:t xml:space="preserve">3 </w:t>
      </w:r>
      <w:r w:rsidRPr="000D0573" w:rsidDel="0072505D">
        <w:rPr>
          <w:rFonts w:eastAsia="Times New Roman" w:cs="Times New Roman"/>
          <w:szCs w:val="24"/>
        </w:rPr>
        <w:t xml:space="preserve">priedą). Įkainių nustatymas </w:t>
      </w:r>
      <w:r w:rsidR="00327081" w:rsidRPr="000D0573">
        <w:rPr>
          <w:rFonts w:eastAsia="Times New Roman" w:cs="Times New Roman"/>
          <w:szCs w:val="24"/>
        </w:rPr>
        <w:t xml:space="preserve">pagal </w:t>
      </w:r>
      <w:r w:rsidRPr="000D0573" w:rsidDel="0072505D">
        <w:rPr>
          <w:rFonts w:eastAsia="Times New Roman" w:cs="Times New Roman"/>
          <w:szCs w:val="24"/>
        </w:rPr>
        <w:t xml:space="preserve">BVP vienam </w:t>
      </w:r>
      <w:r w:rsidR="00327081" w:rsidRPr="000D0573">
        <w:rPr>
          <w:rFonts w:eastAsia="Times New Roman" w:cs="Times New Roman"/>
          <w:szCs w:val="24"/>
        </w:rPr>
        <w:t>gyventojui</w:t>
      </w:r>
      <w:r w:rsidR="00327081" w:rsidRPr="000D0573" w:rsidDel="0072505D">
        <w:rPr>
          <w:rFonts w:eastAsia="Times New Roman" w:cs="Times New Roman"/>
          <w:szCs w:val="24"/>
        </w:rPr>
        <w:t xml:space="preserve"> </w:t>
      </w:r>
      <w:r w:rsidRPr="000D0573" w:rsidDel="0072505D">
        <w:rPr>
          <w:rFonts w:eastAsia="Times New Roman" w:cs="Times New Roman"/>
          <w:szCs w:val="24"/>
        </w:rPr>
        <w:t>rodiklį ir darbuotojų pareigas projektuose leidžia įkainius maksimaliai priartinti prie realių vidutinių darbo užmokesčių dydžių atitinkamose šalyse.</w:t>
      </w:r>
    </w:p>
    <w:p w:rsidR="00FD0B92" w:rsidRPr="000D0573" w:rsidRDefault="00FD0B92" w:rsidP="00FD0B92">
      <w:pPr>
        <w:tabs>
          <w:tab w:val="left" w:pos="9600"/>
        </w:tabs>
        <w:spacing w:after="240"/>
        <w:ind w:right="74"/>
        <w:jc w:val="both"/>
        <w:rPr>
          <w:rFonts w:eastAsia="Times New Roman" w:cs="Times New Roman"/>
          <w:i/>
          <w:szCs w:val="24"/>
        </w:rPr>
      </w:pPr>
      <w:r w:rsidRPr="000D0573">
        <w:rPr>
          <w:rFonts w:eastAsia="Times New Roman" w:cs="Times New Roman"/>
          <w:i/>
          <w:szCs w:val="24"/>
        </w:rPr>
        <w:t>Intelektinis produktas</w:t>
      </w:r>
    </w:p>
    <w:p w:rsidR="00FD0B92" w:rsidRPr="000D0573" w:rsidRDefault="00A35864" w:rsidP="00FD0B92">
      <w:pPr>
        <w:tabs>
          <w:tab w:val="left" w:pos="9600"/>
        </w:tabs>
        <w:spacing w:after="240"/>
        <w:ind w:right="74"/>
        <w:jc w:val="both"/>
        <w:rPr>
          <w:rFonts w:eastAsia="Times New Roman" w:cs="Times New Roman"/>
          <w:szCs w:val="24"/>
        </w:rPr>
      </w:pPr>
      <w:r w:rsidRPr="000D0573">
        <w:rPr>
          <w:rFonts w:eastAsia="Times New Roman" w:cs="Times New Roman"/>
          <w:szCs w:val="24"/>
        </w:rPr>
        <w:t>I</w:t>
      </w:r>
      <w:r w:rsidR="00FD0B92" w:rsidRPr="000D0573">
        <w:rPr>
          <w:rFonts w:eastAsia="Times New Roman" w:cs="Times New Roman"/>
          <w:szCs w:val="24"/>
        </w:rPr>
        <w:t>nformacini</w:t>
      </w:r>
      <w:r w:rsidRPr="000D0573">
        <w:rPr>
          <w:rFonts w:eastAsia="Times New Roman" w:cs="Times New Roman"/>
          <w:szCs w:val="24"/>
        </w:rPr>
        <w:t>uose</w:t>
      </w:r>
      <w:r w:rsidR="00FD0B92" w:rsidRPr="000D0573">
        <w:rPr>
          <w:rFonts w:eastAsia="Times New Roman" w:cs="Times New Roman"/>
          <w:szCs w:val="24"/>
        </w:rPr>
        <w:t xml:space="preserve"> </w:t>
      </w:r>
      <w:r w:rsidRPr="000D0573">
        <w:rPr>
          <w:rFonts w:eastAsia="Times New Roman" w:cs="Times New Roman"/>
          <w:szCs w:val="24"/>
        </w:rPr>
        <w:t>leidiniuose</w:t>
      </w:r>
      <w:r w:rsidR="00FD0B92" w:rsidRPr="000D0573">
        <w:rPr>
          <w:rFonts w:eastAsia="Times New Roman" w:cs="Times New Roman"/>
          <w:szCs w:val="24"/>
        </w:rPr>
        <w:t xml:space="preserve">, </w:t>
      </w:r>
      <w:r w:rsidRPr="000D0573">
        <w:rPr>
          <w:rFonts w:eastAsia="Times New Roman" w:cs="Times New Roman"/>
          <w:szCs w:val="24"/>
        </w:rPr>
        <w:t xml:space="preserve">skirtuose </w:t>
      </w:r>
      <w:r w:rsidR="00735169" w:rsidRPr="000D0573">
        <w:rPr>
          <w:rFonts w:eastAsia="Times New Roman" w:cs="Times New Roman"/>
        </w:rPr>
        <w:t>„</w:t>
      </w:r>
      <w:proofErr w:type="spellStart"/>
      <w:r w:rsidR="00735169" w:rsidRPr="000D0573">
        <w:rPr>
          <w:rFonts w:eastAsia="Times New Roman" w:cs="Times New Roman"/>
        </w:rPr>
        <w:t>Erasmus</w:t>
      </w:r>
      <w:proofErr w:type="spellEnd"/>
      <w:r w:rsidR="00735169" w:rsidRPr="000D0573">
        <w:rPr>
          <w:rFonts w:eastAsia="Times New Roman" w:cs="Times New Roman"/>
        </w:rPr>
        <w:t xml:space="preserve"> plius“</w:t>
      </w:r>
      <w:r w:rsidR="00FD0B92" w:rsidRPr="000D0573">
        <w:rPr>
          <w:rFonts w:eastAsia="Times New Roman" w:cs="Times New Roman"/>
          <w:i/>
          <w:szCs w:val="24"/>
        </w:rPr>
        <w:t xml:space="preserve"> </w:t>
      </w:r>
      <w:r w:rsidR="00FD0B92" w:rsidRPr="000D0573">
        <w:rPr>
          <w:rFonts w:eastAsia="Times New Roman" w:cs="Times New Roman"/>
          <w:szCs w:val="24"/>
        </w:rPr>
        <w:t xml:space="preserve">programos pareiškėjams, intelektinis produktas </w:t>
      </w:r>
      <w:r w:rsidRPr="000D0573">
        <w:rPr>
          <w:rFonts w:eastAsia="Times New Roman" w:cs="Times New Roman"/>
          <w:szCs w:val="24"/>
        </w:rPr>
        <w:t xml:space="preserve">apibrėžiamas kaip </w:t>
      </w:r>
      <w:r w:rsidR="00FD0B92" w:rsidRPr="000D0573">
        <w:rPr>
          <w:rFonts w:eastAsia="Times New Roman" w:cs="Times New Roman"/>
          <w:szCs w:val="24"/>
        </w:rPr>
        <w:t>apčiuopiamas projekto veiklos</w:t>
      </w:r>
      <w:r w:rsidR="00735169" w:rsidRPr="000D0573">
        <w:rPr>
          <w:rFonts w:eastAsia="Times New Roman" w:cs="Times New Roman"/>
          <w:szCs w:val="24"/>
        </w:rPr>
        <w:t xml:space="preserve"> (</w:t>
      </w:r>
      <w:r w:rsidR="00FD0B92" w:rsidRPr="000D0573">
        <w:rPr>
          <w:rFonts w:eastAsia="Times New Roman" w:cs="Times New Roman"/>
          <w:szCs w:val="24"/>
        </w:rPr>
        <w:t>-ų</w:t>
      </w:r>
      <w:r w:rsidR="00735169" w:rsidRPr="000D0573">
        <w:rPr>
          <w:rFonts w:eastAsia="Times New Roman" w:cs="Times New Roman"/>
          <w:szCs w:val="24"/>
        </w:rPr>
        <w:t>)</w:t>
      </w:r>
      <w:r w:rsidR="00FD0B92" w:rsidRPr="000D0573">
        <w:rPr>
          <w:rFonts w:eastAsia="Times New Roman" w:cs="Times New Roman"/>
          <w:szCs w:val="24"/>
        </w:rPr>
        <w:t xml:space="preserve"> įgyvendinimo komandos darbo rezultatas, prisideda</w:t>
      </w:r>
      <w:r w:rsidR="00253414" w:rsidRPr="000D0573">
        <w:rPr>
          <w:rFonts w:eastAsia="Times New Roman" w:cs="Times New Roman"/>
          <w:szCs w:val="24"/>
        </w:rPr>
        <w:t>ntis</w:t>
      </w:r>
      <w:r w:rsidR="00FD0B92" w:rsidRPr="000D0573">
        <w:rPr>
          <w:rFonts w:eastAsia="Times New Roman" w:cs="Times New Roman"/>
          <w:szCs w:val="24"/>
        </w:rPr>
        <w:t xml:space="preserve"> prie projekto tikslo. Šiam produktui </w:t>
      </w:r>
      <w:r w:rsidR="00253414" w:rsidRPr="000D0573">
        <w:rPr>
          <w:rFonts w:eastAsia="Times New Roman" w:cs="Times New Roman"/>
          <w:szCs w:val="24"/>
        </w:rPr>
        <w:t xml:space="preserve">būdinga </w:t>
      </w:r>
      <w:proofErr w:type="spellStart"/>
      <w:r w:rsidR="00253414" w:rsidRPr="000D0573">
        <w:rPr>
          <w:rFonts w:eastAsia="Times New Roman" w:cs="Times New Roman"/>
          <w:szCs w:val="24"/>
        </w:rPr>
        <w:t>inovatyvumas</w:t>
      </w:r>
      <w:proofErr w:type="spellEnd"/>
      <w:r w:rsidR="00FD0B92" w:rsidRPr="000D0573">
        <w:rPr>
          <w:rFonts w:eastAsia="Times New Roman" w:cs="Times New Roman"/>
          <w:szCs w:val="24"/>
        </w:rPr>
        <w:t>, poveikis organizacijos veiklai ir, jei</w:t>
      </w:r>
      <w:r w:rsidRPr="000D0573">
        <w:rPr>
          <w:rFonts w:eastAsia="Times New Roman" w:cs="Times New Roman"/>
          <w:szCs w:val="24"/>
        </w:rPr>
        <w:t>gu</w:t>
      </w:r>
      <w:r w:rsidR="00FD0B92" w:rsidRPr="000D0573">
        <w:rPr>
          <w:rFonts w:eastAsia="Times New Roman" w:cs="Times New Roman"/>
          <w:szCs w:val="24"/>
        </w:rPr>
        <w:t xml:space="preserve"> įmanoma, platesniam lokaliam, regioniniam ar nacionaliniam kontekstui</w:t>
      </w:r>
      <w:r w:rsidR="00FD0B92" w:rsidRPr="000D0573">
        <w:rPr>
          <w:rFonts w:eastAsia="Times New Roman" w:cs="Times New Roman"/>
          <w:szCs w:val="24"/>
          <w:vertAlign w:val="superscript"/>
        </w:rPr>
        <w:footnoteReference w:id="6"/>
      </w:r>
      <w:r w:rsidR="00FD0B92" w:rsidRPr="000D0573">
        <w:rPr>
          <w:rFonts w:eastAsia="Times New Roman" w:cs="Times New Roman"/>
          <w:szCs w:val="24"/>
        </w:rPr>
        <w:t xml:space="preserve">. Kaip intelektinio produkto pavyzdžius galima paminėti studijų programą; naują metodologiją ar pedagoginę prieigą; analizę, apklausą, gerosios praktikos </w:t>
      </w:r>
      <w:r w:rsidRPr="000D0573">
        <w:rPr>
          <w:rFonts w:eastAsia="Times New Roman" w:cs="Times New Roman"/>
          <w:szCs w:val="24"/>
        </w:rPr>
        <w:t>vadovą</w:t>
      </w:r>
      <w:r w:rsidR="00FD0B92" w:rsidRPr="000D0573">
        <w:rPr>
          <w:rFonts w:eastAsia="Times New Roman" w:cs="Times New Roman"/>
          <w:szCs w:val="24"/>
        </w:rPr>
        <w:t>; mokymo medžiagą, vadovėlį ar gaires; tam tikrą studijų, informacijos dalijimosi, bendradarbiavimo platformą, programinę įrangą</w:t>
      </w:r>
      <w:r w:rsidR="000354E8" w:rsidRPr="000D0573">
        <w:rPr>
          <w:rFonts w:eastAsia="Times New Roman" w:cs="Times New Roman"/>
          <w:szCs w:val="24"/>
        </w:rPr>
        <w:t xml:space="preserve"> ir pan. </w:t>
      </w:r>
      <w:r w:rsidR="00FD0B92" w:rsidRPr="000D0573">
        <w:rPr>
          <w:rFonts w:eastAsia="Times New Roman" w:cs="Times New Roman"/>
          <w:szCs w:val="24"/>
          <w:vertAlign w:val="superscript"/>
        </w:rPr>
        <w:footnoteReference w:id="7"/>
      </w:r>
      <w:r w:rsidR="00FD0B92" w:rsidRPr="000D0573">
        <w:rPr>
          <w:rFonts w:eastAsia="Times New Roman" w:cs="Times New Roman"/>
          <w:szCs w:val="24"/>
        </w:rPr>
        <w:t xml:space="preserve"> Intelektiniais produktais negalima vadinti neapčiuopiamų dalykų</w:t>
      </w:r>
      <w:r w:rsidRPr="000D0573">
        <w:rPr>
          <w:rFonts w:eastAsia="Times New Roman" w:cs="Times New Roman"/>
          <w:szCs w:val="24"/>
        </w:rPr>
        <w:t xml:space="preserve"> (tarkime,</w:t>
      </w:r>
      <w:r w:rsidR="00FD0B92" w:rsidRPr="000D0573">
        <w:rPr>
          <w:rFonts w:eastAsia="Times New Roman" w:cs="Times New Roman"/>
          <w:szCs w:val="24"/>
        </w:rPr>
        <w:t xml:space="preserve"> gebėjimų </w:t>
      </w:r>
      <w:r w:rsidR="00253414" w:rsidRPr="000D0573">
        <w:rPr>
          <w:rFonts w:eastAsia="Times New Roman" w:cs="Times New Roman"/>
          <w:szCs w:val="24"/>
        </w:rPr>
        <w:t>stiprinimo</w:t>
      </w:r>
      <w:r w:rsidR="00FD0B92" w:rsidRPr="000D0573">
        <w:rPr>
          <w:rFonts w:eastAsia="Times New Roman" w:cs="Times New Roman"/>
          <w:szCs w:val="24"/>
        </w:rPr>
        <w:t xml:space="preserve">, nuostatų ar įgūdžių </w:t>
      </w:r>
      <w:r w:rsidR="00253414" w:rsidRPr="000D0573">
        <w:rPr>
          <w:rFonts w:eastAsia="Times New Roman" w:cs="Times New Roman"/>
          <w:szCs w:val="24"/>
        </w:rPr>
        <w:t>pokyčių</w:t>
      </w:r>
      <w:r w:rsidRPr="008744DE">
        <w:rPr>
          <w:rFonts w:eastAsia="Times New Roman" w:cs="Times New Roman"/>
          <w:szCs w:val="24"/>
        </w:rPr>
        <w:t>),</w:t>
      </w:r>
      <w:r w:rsidR="00FD0B92" w:rsidRPr="000D0573">
        <w:rPr>
          <w:rFonts w:eastAsia="Times New Roman" w:cs="Times New Roman"/>
          <w:b/>
          <w:szCs w:val="24"/>
        </w:rPr>
        <w:t xml:space="preserve"> </w:t>
      </w:r>
      <w:r w:rsidR="00FD0B92" w:rsidRPr="000D0573">
        <w:rPr>
          <w:rFonts w:eastAsia="Times New Roman" w:cs="Times New Roman"/>
          <w:szCs w:val="24"/>
        </w:rPr>
        <w:t xml:space="preserve">nebent tai yra kompleksinės veiklos dalis, kurioje dėstymas ar mokymas naudojamas kaip produkto išbandymas ir yra intelektinio produkto rengimo proceso dalis (pvz., studijų programos atnaujinimas ir atnaujintos studijų programos išbandymas). </w:t>
      </w:r>
      <w:r w:rsidR="00E51B62" w:rsidRPr="000D0573">
        <w:rPr>
          <w:rFonts w:eastAsia="Times New Roman" w:cs="Times New Roman"/>
          <w:szCs w:val="24"/>
        </w:rPr>
        <w:t>Vadinasi,</w:t>
      </w:r>
      <w:r w:rsidRPr="000D0573">
        <w:rPr>
          <w:rFonts w:eastAsia="Times New Roman" w:cs="Times New Roman"/>
          <w:szCs w:val="24"/>
        </w:rPr>
        <w:t xml:space="preserve"> </w:t>
      </w:r>
      <w:r w:rsidR="00253414" w:rsidRPr="000D0573">
        <w:rPr>
          <w:rFonts w:eastAsia="Times New Roman" w:cs="Times New Roman"/>
          <w:szCs w:val="24"/>
        </w:rPr>
        <w:t>intelektiniams produktams būdinga:</w:t>
      </w:r>
      <w:r w:rsidR="00FD0B92" w:rsidRPr="000D0573">
        <w:rPr>
          <w:rFonts w:eastAsia="Times New Roman" w:cs="Times New Roman"/>
          <w:szCs w:val="24"/>
        </w:rPr>
        <w:t xml:space="preserve"> a)</w:t>
      </w:r>
      <w:r w:rsidR="00275065" w:rsidRPr="000D0573">
        <w:rPr>
          <w:rFonts w:eastAsia="Times New Roman" w:cs="Times New Roman"/>
          <w:szCs w:val="24"/>
        </w:rPr>
        <w:t> </w:t>
      </w:r>
      <w:r w:rsidR="00253414" w:rsidRPr="000D0573">
        <w:rPr>
          <w:rFonts w:eastAsia="Times New Roman" w:cs="Times New Roman"/>
          <w:szCs w:val="24"/>
        </w:rPr>
        <w:t>apčiuopiamumas</w:t>
      </w:r>
      <w:r w:rsidR="00FD0B92" w:rsidRPr="000D0573">
        <w:rPr>
          <w:rFonts w:eastAsia="Times New Roman" w:cs="Times New Roman"/>
          <w:szCs w:val="24"/>
        </w:rPr>
        <w:t xml:space="preserve">; b) </w:t>
      </w:r>
      <w:proofErr w:type="spellStart"/>
      <w:r w:rsidR="00253414" w:rsidRPr="000D0573">
        <w:rPr>
          <w:rFonts w:eastAsia="Times New Roman" w:cs="Times New Roman"/>
          <w:szCs w:val="24"/>
        </w:rPr>
        <w:t>inovatyvumas</w:t>
      </w:r>
      <w:proofErr w:type="spellEnd"/>
      <w:r w:rsidR="00FD0B92" w:rsidRPr="000D0573">
        <w:rPr>
          <w:rFonts w:eastAsia="Times New Roman" w:cs="Times New Roman"/>
          <w:szCs w:val="24"/>
        </w:rPr>
        <w:t xml:space="preserve">; c) </w:t>
      </w:r>
      <w:r w:rsidR="00253414" w:rsidRPr="000D0573">
        <w:rPr>
          <w:rFonts w:eastAsia="Times New Roman" w:cs="Times New Roman"/>
          <w:szCs w:val="24"/>
        </w:rPr>
        <w:t xml:space="preserve">tiesioginė </w:t>
      </w:r>
      <w:r w:rsidR="00FD0B92" w:rsidRPr="000D0573">
        <w:rPr>
          <w:rFonts w:eastAsia="Times New Roman" w:cs="Times New Roman"/>
          <w:szCs w:val="24"/>
        </w:rPr>
        <w:t>s</w:t>
      </w:r>
      <w:r w:rsidR="0068394B" w:rsidRPr="000D0573">
        <w:rPr>
          <w:rFonts w:eastAsia="Times New Roman" w:cs="Times New Roman"/>
          <w:szCs w:val="24"/>
        </w:rPr>
        <w:t>ąsaja</w:t>
      </w:r>
      <w:r w:rsidR="00FD0B92" w:rsidRPr="000D0573">
        <w:rPr>
          <w:rFonts w:eastAsia="Times New Roman" w:cs="Times New Roman"/>
          <w:szCs w:val="24"/>
        </w:rPr>
        <w:t xml:space="preserve"> su projekto tiksl</w:t>
      </w:r>
      <w:r w:rsidR="0068394B" w:rsidRPr="000D0573">
        <w:rPr>
          <w:rFonts w:eastAsia="Times New Roman" w:cs="Times New Roman"/>
          <w:szCs w:val="24"/>
        </w:rPr>
        <w:t>ais</w:t>
      </w:r>
      <w:r w:rsidR="00FD0B92" w:rsidRPr="000D0573">
        <w:rPr>
          <w:rFonts w:eastAsia="Times New Roman" w:cs="Times New Roman"/>
          <w:szCs w:val="24"/>
        </w:rPr>
        <w:t xml:space="preserve">; d) pažanga ar </w:t>
      </w:r>
      <w:r w:rsidR="00253414" w:rsidRPr="000D0573">
        <w:rPr>
          <w:rFonts w:eastAsia="Times New Roman" w:cs="Times New Roman"/>
          <w:szCs w:val="24"/>
        </w:rPr>
        <w:t xml:space="preserve">poveikis </w:t>
      </w:r>
      <w:r w:rsidR="00FD0B92" w:rsidRPr="000D0573">
        <w:rPr>
          <w:rFonts w:eastAsia="Times New Roman" w:cs="Times New Roman"/>
          <w:szCs w:val="24"/>
        </w:rPr>
        <w:t>organizacijai (ar platesniam kontekstui); ir</w:t>
      </w:r>
      <w:r w:rsidR="00253414" w:rsidRPr="000D0573">
        <w:rPr>
          <w:rFonts w:eastAsia="Times New Roman" w:cs="Times New Roman"/>
          <w:szCs w:val="24"/>
        </w:rPr>
        <w:t xml:space="preserve"> jie</w:t>
      </w:r>
      <w:r w:rsidR="00FD0B92" w:rsidRPr="000D0573">
        <w:rPr>
          <w:rFonts w:eastAsia="Times New Roman" w:cs="Times New Roman"/>
          <w:szCs w:val="24"/>
        </w:rPr>
        <w:t xml:space="preserve"> yra e) projekto veiklos</w:t>
      </w:r>
      <w:r w:rsidRPr="000D0573">
        <w:rPr>
          <w:rFonts w:eastAsia="Times New Roman" w:cs="Times New Roman"/>
          <w:szCs w:val="24"/>
        </w:rPr>
        <w:t xml:space="preserve"> (</w:t>
      </w:r>
      <w:r w:rsidR="00FD0B92" w:rsidRPr="000D0573">
        <w:rPr>
          <w:rFonts w:eastAsia="Times New Roman" w:cs="Times New Roman"/>
          <w:szCs w:val="24"/>
        </w:rPr>
        <w:t>-ų</w:t>
      </w:r>
      <w:r w:rsidRPr="000D0573">
        <w:rPr>
          <w:rFonts w:eastAsia="Times New Roman" w:cs="Times New Roman"/>
          <w:szCs w:val="24"/>
        </w:rPr>
        <w:t>)</w:t>
      </w:r>
      <w:r w:rsidR="00FD0B92" w:rsidRPr="000D0573">
        <w:rPr>
          <w:rFonts w:eastAsia="Times New Roman" w:cs="Times New Roman"/>
          <w:szCs w:val="24"/>
        </w:rPr>
        <w:t xml:space="preserve"> įgyvendinimo komandos darbo rezultatas.</w:t>
      </w:r>
    </w:p>
    <w:p w:rsidR="00FD0B92" w:rsidRPr="000D0573" w:rsidRDefault="00FD0B92" w:rsidP="00FD0B92">
      <w:pPr>
        <w:keepNext/>
        <w:keepLines/>
        <w:tabs>
          <w:tab w:val="left" w:pos="907"/>
          <w:tab w:val="left" w:pos="1134"/>
          <w:tab w:val="left" w:pos="1361"/>
        </w:tabs>
        <w:spacing w:before="200" w:after="240"/>
        <w:ind w:left="680"/>
        <w:outlineLvl w:val="2"/>
        <w:rPr>
          <w:rFonts w:eastAsia="Lucida Sans Unicode" w:cs="Times New Roman"/>
          <w:bCs/>
          <w:color w:val="00505E"/>
          <w:sz w:val="26"/>
          <w:szCs w:val="26"/>
        </w:rPr>
      </w:pPr>
      <w:bookmarkStart w:id="8" w:name="_Toc459650629"/>
      <w:bookmarkStart w:id="9" w:name="_Toc465415125"/>
      <w:r w:rsidRPr="000D0573">
        <w:rPr>
          <w:rFonts w:eastAsia="Lucida Sans Unicode" w:cs="Times New Roman"/>
          <w:bCs/>
          <w:color w:val="00505E"/>
          <w:sz w:val="26"/>
          <w:szCs w:val="26"/>
        </w:rPr>
        <w:t>II.3. Priemonių, kurioms planuojamas taikyti fiksuotasis įkainis, analizė</w:t>
      </w:r>
      <w:bookmarkEnd w:id="8"/>
      <w:bookmarkEnd w:id="9"/>
    </w:p>
    <w:p w:rsidR="00FD0B92" w:rsidRPr="000D0573" w:rsidRDefault="00FD0B92" w:rsidP="00FD0B92">
      <w:pPr>
        <w:tabs>
          <w:tab w:val="left" w:pos="9600"/>
        </w:tabs>
        <w:spacing w:after="240"/>
        <w:ind w:right="74"/>
        <w:jc w:val="both"/>
        <w:rPr>
          <w:rFonts w:eastAsia="Times New Roman" w:cs="Times New Roman"/>
          <w:szCs w:val="24"/>
        </w:rPr>
      </w:pPr>
      <w:r w:rsidRPr="000D0573">
        <w:rPr>
          <w:rFonts w:eastAsia="Times New Roman" w:cs="Times New Roman"/>
          <w:szCs w:val="24"/>
        </w:rPr>
        <w:t xml:space="preserve">Šio tyrimo paskirtis yra nustatyti fiksuotąjį įkainį priemonėms, </w:t>
      </w:r>
      <w:r w:rsidR="00B1596C" w:rsidRPr="000D0573">
        <w:rPr>
          <w:rFonts w:eastAsia="Times New Roman" w:cs="Times New Roman"/>
          <w:szCs w:val="24"/>
        </w:rPr>
        <w:t xml:space="preserve">pagal kurias siekiama </w:t>
      </w:r>
      <w:r w:rsidRPr="000D0573">
        <w:rPr>
          <w:rFonts w:eastAsia="Times New Roman" w:cs="Times New Roman"/>
          <w:szCs w:val="24"/>
        </w:rPr>
        <w:t xml:space="preserve">įgyvendinti veiksmų programos </w:t>
      </w:r>
      <w:r w:rsidR="00253414" w:rsidRPr="000D0573">
        <w:rPr>
          <w:rFonts w:eastAsia="Times New Roman" w:cs="Times New Roman"/>
          <w:szCs w:val="24"/>
        </w:rPr>
        <w:t xml:space="preserve">9.3.1 </w:t>
      </w:r>
      <w:r w:rsidRPr="000D0573">
        <w:rPr>
          <w:rFonts w:eastAsia="Times New Roman" w:cs="Times New Roman"/>
          <w:szCs w:val="24"/>
        </w:rPr>
        <w:t xml:space="preserve">uždavinį „Siekiant geresnės studijų atitikties darbo rinkos ir visuomenės poreikiams, gerinti studijų kokybę ir didinti studijų prieinamumą“ ir veiksmų programos </w:t>
      </w:r>
      <w:r w:rsidR="00253414" w:rsidRPr="000D0573">
        <w:rPr>
          <w:rFonts w:eastAsia="Times New Roman" w:cs="Times New Roman"/>
          <w:szCs w:val="24"/>
        </w:rPr>
        <w:t xml:space="preserve">9.3.2 </w:t>
      </w:r>
      <w:r w:rsidRPr="000D0573">
        <w:rPr>
          <w:rFonts w:eastAsia="Times New Roman" w:cs="Times New Roman"/>
          <w:szCs w:val="24"/>
        </w:rPr>
        <w:t>uždavinį „</w:t>
      </w:r>
      <w:r w:rsidRPr="000D0573">
        <w:rPr>
          <w:rFonts w:eastAsia="Times New Roman" w:cs="Times New Roman"/>
        </w:rPr>
        <w:t xml:space="preserve">Stiprinti aukštojo mokslo </w:t>
      </w:r>
      <w:proofErr w:type="spellStart"/>
      <w:r w:rsidRPr="000D0573">
        <w:rPr>
          <w:rFonts w:eastAsia="Times New Roman" w:cs="Times New Roman"/>
        </w:rPr>
        <w:t>stebėseną</w:t>
      </w:r>
      <w:proofErr w:type="spellEnd"/>
      <w:r w:rsidRPr="000D0573">
        <w:rPr>
          <w:rFonts w:eastAsia="Times New Roman" w:cs="Times New Roman"/>
        </w:rPr>
        <w:t>, išorinį vertinimą ir efektyvų studijų valdymą, siekiant nuolatinio studijų kokybės gerinimo</w:t>
      </w:r>
      <w:r w:rsidRPr="000D0573">
        <w:rPr>
          <w:rFonts w:eastAsia="Times New Roman" w:cs="Times New Roman"/>
          <w:szCs w:val="24"/>
        </w:rPr>
        <w:t xml:space="preserve">“. Toliau šiuos uždavinius įgyvendinančios priemonių veiklos aptariamos intelektinių produktų </w:t>
      </w:r>
      <w:r w:rsidR="00E51B62" w:rsidRPr="000D0573">
        <w:rPr>
          <w:rFonts w:eastAsia="Times New Roman" w:cs="Times New Roman"/>
          <w:szCs w:val="24"/>
        </w:rPr>
        <w:t>aspektu</w:t>
      </w:r>
      <w:r w:rsidRPr="000D0573">
        <w:rPr>
          <w:rFonts w:eastAsia="Times New Roman" w:cs="Times New Roman"/>
          <w:szCs w:val="24"/>
        </w:rPr>
        <w:t>, t.</w:t>
      </w:r>
      <w:r w:rsidR="00DF3833" w:rsidRPr="000D0573">
        <w:rPr>
          <w:rFonts w:eastAsia="Times New Roman" w:cs="Times New Roman"/>
          <w:szCs w:val="24"/>
        </w:rPr>
        <w:t xml:space="preserve"> </w:t>
      </w:r>
      <w:r w:rsidRPr="000D0573">
        <w:rPr>
          <w:rFonts w:eastAsia="Times New Roman" w:cs="Times New Roman"/>
          <w:szCs w:val="24"/>
        </w:rPr>
        <w:t>y. vertinama, ar vykdant veiklas</w:t>
      </w:r>
      <w:r w:rsidR="00DF3833" w:rsidRPr="000D0573">
        <w:rPr>
          <w:rFonts w:eastAsia="Times New Roman" w:cs="Times New Roman"/>
          <w:szCs w:val="24"/>
        </w:rPr>
        <w:t xml:space="preserve"> bus</w:t>
      </w:r>
      <w:r w:rsidRPr="000D0573">
        <w:rPr>
          <w:rFonts w:eastAsia="Times New Roman" w:cs="Times New Roman"/>
          <w:szCs w:val="24"/>
        </w:rPr>
        <w:t xml:space="preserve"> kuriami intelektiniai produktai, atitinkantys ankstesniame skyriuje </w:t>
      </w:r>
      <w:r w:rsidR="00B1596C" w:rsidRPr="000D0573">
        <w:rPr>
          <w:rFonts w:eastAsia="Times New Roman" w:cs="Times New Roman"/>
          <w:szCs w:val="24"/>
        </w:rPr>
        <w:t xml:space="preserve">pateiktą </w:t>
      </w:r>
      <w:r w:rsidRPr="000D0573">
        <w:rPr>
          <w:rFonts w:eastAsia="Times New Roman" w:cs="Times New Roman"/>
          <w:szCs w:val="24"/>
        </w:rPr>
        <w:t>intelektinių produktų sampratą.</w:t>
      </w:r>
      <w:r w:rsidR="00CE2333" w:rsidRPr="000D0573">
        <w:rPr>
          <w:rFonts w:eastAsia="Times New Roman" w:cs="Times New Roman"/>
          <w:szCs w:val="24"/>
        </w:rPr>
        <w:t xml:space="preserve"> </w:t>
      </w:r>
    </w:p>
    <w:p w:rsidR="00FD0B92" w:rsidRPr="000D0573" w:rsidRDefault="00FD0B92" w:rsidP="00FD0B92">
      <w:pPr>
        <w:tabs>
          <w:tab w:val="left" w:pos="9600"/>
        </w:tabs>
        <w:spacing w:before="240"/>
        <w:ind w:right="74"/>
        <w:jc w:val="both"/>
        <w:rPr>
          <w:rFonts w:eastAsia="Times New Roman" w:cs="Times New Roman"/>
          <w:szCs w:val="24"/>
        </w:rPr>
      </w:pPr>
      <w:r w:rsidRPr="000D0573">
        <w:rPr>
          <w:rFonts w:eastAsia="Times New Roman" w:cs="Times New Roman"/>
          <w:szCs w:val="24"/>
        </w:rPr>
        <w:t>Pagal priemonę</w:t>
      </w:r>
      <w:r w:rsidRPr="000D0573">
        <w:rPr>
          <w:rFonts w:eastAsia="Times New Roman" w:cs="Times New Roman"/>
          <w:bCs/>
          <w:szCs w:val="24"/>
        </w:rPr>
        <w:t xml:space="preserve"> </w:t>
      </w:r>
      <w:r w:rsidRPr="000D0573">
        <w:rPr>
          <w:rFonts w:eastAsia="Times New Roman" w:cs="Times New Roman"/>
          <w:b/>
          <w:bCs/>
          <w:szCs w:val="24"/>
        </w:rPr>
        <w:t>„Studijų kokybės gerinimas“</w:t>
      </w:r>
      <w:r w:rsidRPr="000D0573">
        <w:rPr>
          <w:rFonts w:eastAsia="Times New Roman" w:cs="Times New Roman"/>
          <w:bCs/>
          <w:szCs w:val="24"/>
        </w:rPr>
        <w:t xml:space="preserve"> (Nr. 09.3.1-ESFA-K-731) </w:t>
      </w:r>
      <w:r w:rsidRPr="000D0573">
        <w:rPr>
          <w:rFonts w:eastAsia="Times New Roman" w:cs="Times New Roman"/>
          <w:szCs w:val="24"/>
        </w:rPr>
        <w:t xml:space="preserve">remiamos trys veiklų grupės. Pirmoji iš jų yra studijų programų stambinimas, </w:t>
      </w:r>
      <w:proofErr w:type="spellStart"/>
      <w:r w:rsidRPr="000D0573">
        <w:rPr>
          <w:rFonts w:eastAsia="Times New Roman" w:cs="Times New Roman"/>
          <w:szCs w:val="24"/>
        </w:rPr>
        <w:t>inovatyvių</w:t>
      </w:r>
      <w:proofErr w:type="spellEnd"/>
      <w:r w:rsidRPr="000D0573">
        <w:rPr>
          <w:rFonts w:eastAsia="Times New Roman" w:cs="Times New Roman"/>
          <w:szCs w:val="24"/>
        </w:rPr>
        <w:t xml:space="preserve"> </w:t>
      </w:r>
      <w:proofErr w:type="spellStart"/>
      <w:r w:rsidRPr="000D0573">
        <w:rPr>
          <w:rFonts w:eastAsia="Times New Roman" w:cs="Times New Roman"/>
          <w:szCs w:val="24"/>
        </w:rPr>
        <w:t>mokymo(si</w:t>
      </w:r>
      <w:proofErr w:type="spellEnd"/>
      <w:r w:rsidRPr="000D0573">
        <w:rPr>
          <w:rFonts w:eastAsia="Times New Roman" w:cs="Times New Roman"/>
          <w:szCs w:val="24"/>
        </w:rPr>
        <w:t xml:space="preserve">) metodų, nuotolinių studijų, į studentą orientuoto studijų proceso diegimas. Šios veiklos </w:t>
      </w:r>
      <w:r w:rsidR="00E51B62" w:rsidRPr="000D0573">
        <w:rPr>
          <w:rFonts w:eastAsia="Times New Roman" w:cs="Times New Roman"/>
          <w:szCs w:val="24"/>
        </w:rPr>
        <w:t xml:space="preserve">reikšminiai </w:t>
      </w:r>
      <w:r w:rsidRPr="000D0573">
        <w:rPr>
          <w:rFonts w:eastAsia="Times New Roman" w:cs="Times New Roman"/>
          <w:szCs w:val="24"/>
        </w:rPr>
        <w:t>žodžiai minimi tarp intelektinių produktų pavyzdžių – studijų programos, nauji mokymo metodai</w:t>
      </w:r>
      <w:r w:rsidR="00B1596C" w:rsidRPr="000D0573">
        <w:rPr>
          <w:rFonts w:eastAsia="Times New Roman" w:cs="Times New Roman"/>
          <w:szCs w:val="24"/>
        </w:rPr>
        <w:t>.</w:t>
      </w:r>
      <w:r w:rsidRPr="000D0573">
        <w:rPr>
          <w:rFonts w:eastAsia="Times New Roman" w:cs="Times New Roman"/>
          <w:szCs w:val="24"/>
        </w:rPr>
        <w:t xml:space="preserve"> </w:t>
      </w:r>
      <w:r w:rsidR="00B1596C" w:rsidRPr="000D0573">
        <w:rPr>
          <w:rFonts w:eastAsia="Times New Roman" w:cs="Times New Roman"/>
          <w:szCs w:val="24"/>
        </w:rPr>
        <w:t>T</w:t>
      </w:r>
      <w:r w:rsidRPr="000D0573">
        <w:rPr>
          <w:rFonts w:eastAsia="Times New Roman" w:cs="Times New Roman"/>
          <w:szCs w:val="24"/>
        </w:rPr>
        <w:t xml:space="preserve">odėl </w:t>
      </w:r>
      <w:r w:rsidRPr="000D0573">
        <w:rPr>
          <w:rFonts w:eastAsia="Times New Roman" w:cs="Times New Roman"/>
          <w:szCs w:val="24"/>
        </w:rPr>
        <w:lastRenderedPageBreak/>
        <w:t xml:space="preserve">šioje veikloje patirtos darbo užmokesčio išlaidos galėtų būti apmokamos taikant </w:t>
      </w:r>
      <w:r w:rsidR="00E51B62" w:rsidRPr="000D0573">
        <w:rPr>
          <w:rFonts w:eastAsia="Times New Roman" w:cs="Times New Roman"/>
          <w:szCs w:val="24"/>
        </w:rPr>
        <w:t>„</w:t>
      </w:r>
      <w:proofErr w:type="spellStart"/>
      <w:r w:rsidRPr="008744DE">
        <w:rPr>
          <w:rFonts w:eastAsia="Times New Roman" w:cs="Times New Roman"/>
          <w:szCs w:val="24"/>
        </w:rPr>
        <w:t>Erasmus</w:t>
      </w:r>
      <w:proofErr w:type="spellEnd"/>
      <w:r w:rsidRPr="008744DE">
        <w:rPr>
          <w:rFonts w:eastAsia="Times New Roman" w:cs="Times New Roman"/>
          <w:szCs w:val="24"/>
        </w:rPr>
        <w:t xml:space="preserve"> plius</w:t>
      </w:r>
      <w:r w:rsidR="00E51B62" w:rsidRPr="000D0573">
        <w:rPr>
          <w:rFonts w:eastAsia="Times New Roman" w:cs="Times New Roman"/>
          <w:szCs w:val="24"/>
        </w:rPr>
        <w:t>“</w:t>
      </w:r>
      <w:r w:rsidRPr="000D0573">
        <w:rPr>
          <w:rFonts w:eastAsia="Times New Roman" w:cs="Times New Roman"/>
          <w:i/>
          <w:szCs w:val="24"/>
        </w:rPr>
        <w:t xml:space="preserve"> </w:t>
      </w:r>
      <w:r w:rsidR="00E51B62" w:rsidRPr="000D0573">
        <w:rPr>
          <w:rFonts w:eastAsia="Times New Roman" w:cs="Times New Roman"/>
          <w:szCs w:val="24"/>
        </w:rPr>
        <w:t xml:space="preserve">fiksuotuosius </w:t>
      </w:r>
      <w:r w:rsidRPr="000D0573">
        <w:rPr>
          <w:rFonts w:eastAsia="Times New Roman" w:cs="Times New Roman"/>
          <w:szCs w:val="24"/>
        </w:rPr>
        <w:t>įkainius.</w:t>
      </w:r>
    </w:p>
    <w:p w:rsidR="00FD0B92" w:rsidRPr="008744DE" w:rsidRDefault="00FD0B92" w:rsidP="00FD0B92">
      <w:pPr>
        <w:tabs>
          <w:tab w:val="left" w:pos="9600"/>
        </w:tabs>
        <w:spacing w:before="240"/>
        <w:ind w:right="74"/>
        <w:jc w:val="both"/>
        <w:rPr>
          <w:rFonts w:eastAsia="Times New Roman" w:cs="Times New Roman"/>
          <w:szCs w:val="24"/>
        </w:rPr>
      </w:pPr>
      <w:r w:rsidRPr="00CB49BF">
        <w:rPr>
          <w:rFonts w:eastAsia="Times New Roman" w:cs="Times New Roman"/>
          <w:szCs w:val="24"/>
        </w:rPr>
        <w:t xml:space="preserve">Antroji veikla yra </w:t>
      </w:r>
      <w:r w:rsidR="00E51B62" w:rsidRPr="00CB49BF">
        <w:rPr>
          <w:rFonts w:eastAsia="Times New Roman" w:cs="Times New Roman"/>
          <w:szCs w:val="24"/>
        </w:rPr>
        <w:t xml:space="preserve">praktika </w:t>
      </w:r>
      <w:r w:rsidRPr="00CB49BF">
        <w:rPr>
          <w:rFonts w:eastAsia="Times New Roman" w:cs="Times New Roman"/>
          <w:szCs w:val="24"/>
        </w:rPr>
        <w:t xml:space="preserve">darbo vietose pagal profesiją, partnerystė su socialiniais partneriais ir jų įtraukimas į studijų praktikų organizavimo tobulinimą </w:t>
      </w:r>
      <w:r w:rsidR="00E51B62" w:rsidRPr="008744DE">
        <w:rPr>
          <w:rFonts w:eastAsia="Times New Roman" w:cs="Times New Roman"/>
          <w:szCs w:val="24"/>
        </w:rPr>
        <w:t xml:space="preserve">bei </w:t>
      </w:r>
      <w:r w:rsidRPr="008744DE">
        <w:rPr>
          <w:rFonts w:eastAsia="Times New Roman" w:cs="Times New Roman"/>
          <w:szCs w:val="24"/>
        </w:rPr>
        <w:t xml:space="preserve">įgyvendinimą. </w:t>
      </w:r>
      <w:r w:rsidR="00E51B62" w:rsidRPr="008744DE">
        <w:rPr>
          <w:rFonts w:eastAsia="Times New Roman" w:cs="Times New Roman"/>
          <w:szCs w:val="24"/>
        </w:rPr>
        <w:t>A</w:t>
      </w:r>
      <w:r w:rsidRPr="008744DE">
        <w:rPr>
          <w:rFonts w:eastAsia="Times New Roman" w:cs="Times New Roman"/>
          <w:szCs w:val="24"/>
        </w:rPr>
        <w:t xml:space="preserve">ukštosioms mokykloms </w:t>
      </w:r>
      <w:r w:rsidR="00E51B62" w:rsidRPr="008744DE">
        <w:rPr>
          <w:rFonts w:eastAsia="Times New Roman" w:cs="Times New Roman"/>
          <w:szCs w:val="24"/>
        </w:rPr>
        <w:t xml:space="preserve">bendradarbiaujant </w:t>
      </w:r>
      <w:r w:rsidRPr="008744DE">
        <w:rPr>
          <w:rFonts w:eastAsia="Times New Roman" w:cs="Times New Roman"/>
          <w:szCs w:val="24"/>
        </w:rPr>
        <w:t>su socialiniais partneriais</w:t>
      </w:r>
      <w:r w:rsidR="00E51B62" w:rsidRPr="008744DE">
        <w:rPr>
          <w:rFonts w:eastAsia="Times New Roman" w:cs="Times New Roman"/>
          <w:szCs w:val="24"/>
        </w:rPr>
        <w:t>,</w:t>
      </w:r>
      <w:r w:rsidRPr="008744DE">
        <w:rPr>
          <w:rFonts w:eastAsia="Times New Roman" w:cs="Times New Roman"/>
          <w:szCs w:val="24"/>
        </w:rPr>
        <w:t xml:space="preserve"> gali būti </w:t>
      </w:r>
      <w:r w:rsidR="00E51B62" w:rsidRPr="008744DE">
        <w:rPr>
          <w:rFonts w:eastAsia="Times New Roman" w:cs="Times New Roman"/>
          <w:szCs w:val="24"/>
        </w:rPr>
        <w:t xml:space="preserve">išplėtoti </w:t>
      </w:r>
      <w:r w:rsidRPr="008744DE">
        <w:rPr>
          <w:rFonts w:eastAsia="Times New Roman" w:cs="Times New Roman"/>
          <w:szCs w:val="24"/>
        </w:rPr>
        <w:t xml:space="preserve">tokie apčiuopiami produktai kaip praktikos organizavimo gairės, praktikos vietos parinkimo metodika, gerosios patirties </w:t>
      </w:r>
      <w:r w:rsidR="00E51B62" w:rsidRPr="008744DE">
        <w:rPr>
          <w:rFonts w:eastAsia="Times New Roman" w:cs="Times New Roman"/>
          <w:szCs w:val="24"/>
        </w:rPr>
        <w:t>vadovas</w:t>
      </w:r>
      <w:r w:rsidRPr="008744DE">
        <w:rPr>
          <w:rFonts w:eastAsia="Times New Roman" w:cs="Times New Roman"/>
          <w:szCs w:val="24"/>
        </w:rPr>
        <w:t xml:space="preserve">. Todėl šioje veikloje patirtos darbo užmokesčio išlaidos galėtų būti apmokamos taikant </w:t>
      </w:r>
      <w:r w:rsidR="00735169" w:rsidRPr="008744DE">
        <w:rPr>
          <w:rFonts w:eastAsia="Times New Roman" w:cs="Times New Roman"/>
        </w:rPr>
        <w:t>„</w:t>
      </w:r>
      <w:proofErr w:type="spellStart"/>
      <w:r w:rsidR="00735169" w:rsidRPr="008744DE">
        <w:rPr>
          <w:rFonts w:eastAsia="Times New Roman" w:cs="Times New Roman"/>
        </w:rPr>
        <w:t>Erasmus</w:t>
      </w:r>
      <w:proofErr w:type="spellEnd"/>
      <w:r w:rsidR="00735169" w:rsidRPr="008744DE">
        <w:rPr>
          <w:rFonts w:eastAsia="Times New Roman" w:cs="Times New Roman"/>
        </w:rPr>
        <w:t xml:space="preserve"> plius“</w:t>
      </w:r>
      <w:r w:rsidRPr="008744DE">
        <w:rPr>
          <w:rFonts w:eastAsia="Times New Roman" w:cs="Times New Roman"/>
          <w:i/>
          <w:szCs w:val="24"/>
        </w:rPr>
        <w:t xml:space="preserve"> </w:t>
      </w:r>
      <w:r w:rsidR="00E51B62" w:rsidRPr="008744DE">
        <w:rPr>
          <w:rFonts w:eastAsia="Times New Roman" w:cs="Times New Roman"/>
          <w:szCs w:val="24"/>
        </w:rPr>
        <w:t xml:space="preserve">fiksuotuosius </w:t>
      </w:r>
      <w:r w:rsidRPr="008744DE">
        <w:rPr>
          <w:rFonts w:eastAsia="Times New Roman" w:cs="Times New Roman"/>
          <w:szCs w:val="24"/>
        </w:rPr>
        <w:t>įkainius.</w:t>
      </w:r>
    </w:p>
    <w:p w:rsidR="00FD0B92" w:rsidRPr="000D0573" w:rsidRDefault="00FD0B92" w:rsidP="00FD0B92">
      <w:pPr>
        <w:tabs>
          <w:tab w:val="left" w:pos="9600"/>
        </w:tabs>
        <w:spacing w:before="240"/>
        <w:ind w:right="74"/>
        <w:jc w:val="both"/>
        <w:rPr>
          <w:rFonts w:eastAsia="Times New Roman" w:cs="Times New Roman"/>
          <w:szCs w:val="24"/>
        </w:rPr>
      </w:pPr>
      <w:r w:rsidRPr="008744DE">
        <w:rPr>
          <w:rFonts w:eastAsia="Times New Roman" w:cs="Times New Roman"/>
          <w:szCs w:val="24"/>
        </w:rPr>
        <w:t xml:space="preserve">Trečioji priemonės veikla </w:t>
      </w:r>
      <w:r w:rsidR="00E51B62" w:rsidRPr="008744DE">
        <w:rPr>
          <w:rFonts w:eastAsia="Times New Roman" w:cs="Times New Roman"/>
          <w:szCs w:val="24"/>
        </w:rPr>
        <w:t xml:space="preserve">– </w:t>
      </w:r>
      <w:r w:rsidRPr="008744DE">
        <w:rPr>
          <w:rFonts w:eastAsia="Times New Roman" w:cs="Times New Roman"/>
          <w:szCs w:val="24"/>
        </w:rPr>
        <w:t xml:space="preserve">studentų </w:t>
      </w:r>
      <w:proofErr w:type="spellStart"/>
      <w:r w:rsidRPr="008744DE">
        <w:rPr>
          <w:rFonts w:eastAsia="Times New Roman" w:cs="Times New Roman"/>
          <w:szCs w:val="24"/>
        </w:rPr>
        <w:t>verslumo</w:t>
      </w:r>
      <w:proofErr w:type="spellEnd"/>
      <w:r w:rsidRPr="008744DE">
        <w:rPr>
          <w:rFonts w:eastAsia="Times New Roman" w:cs="Times New Roman"/>
          <w:szCs w:val="24"/>
        </w:rPr>
        <w:t xml:space="preserve"> ir kūrybiškumo ugdymas; dėstytojų kvalifikacijos tobulinimas ir profesinė </w:t>
      </w:r>
      <w:proofErr w:type="spellStart"/>
      <w:r w:rsidRPr="008744DE">
        <w:rPr>
          <w:rFonts w:eastAsia="Times New Roman" w:cs="Times New Roman"/>
          <w:szCs w:val="24"/>
        </w:rPr>
        <w:t>tinklaveika</w:t>
      </w:r>
      <w:proofErr w:type="spellEnd"/>
      <w:r w:rsidRPr="008744DE">
        <w:rPr>
          <w:rFonts w:eastAsia="Times New Roman" w:cs="Times New Roman"/>
          <w:szCs w:val="24"/>
        </w:rPr>
        <w:t xml:space="preserve">. Ši veikla yra </w:t>
      </w:r>
      <w:r w:rsidR="005B2B8F" w:rsidRPr="008744DE">
        <w:rPr>
          <w:rFonts w:eastAsia="Times New Roman" w:cs="Times New Roman"/>
          <w:szCs w:val="24"/>
        </w:rPr>
        <w:t xml:space="preserve">ankstesniais metais pradėtos studentų ugdymo reformos tąsa, kuria siekiama ne tik suteikti studentams žinių, bet ir skatinti juos būti </w:t>
      </w:r>
      <w:r w:rsidR="00E51B62" w:rsidRPr="008744DE">
        <w:rPr>
          <w:rFonts w:eastAsia="Times New Roman" w:cs="Times New Roman"/>
          <w:szCs w:val="24"/>
        </w:rPr>
        <w:t>verslesniems</w:t>
      </w:r>
      <w:r w:rsidR="00E51B62" w:rsidRPr="000D0573">
        <w:rPr>
          <w:rFonts w:eastAsia="Times New Roman" w:cs="Times New Roman"/>
          <w:szCs w:val="24"/>
        </w:rPr>
        <w:t xml:space="preserve"> </w:t>
      </w:r>
      <w:r w:rsidR="005B2B8F" w:rsidRPr="000D0573">
        <w:rPr>
          <w:rFonts w:eastAsia="Times New Roman" w:cs="Times New Roman"/>
          <w:szCs w:val="24"/>
        </w:rPr>
        <w:t>bei imtis daugiau iniciatyvos</w:t>
      </w:r>
      <w:r w:rsidR="00275065" w:rsidRPr="000D0573">
        <w:rPr>
          <w:rFonts w:eastAsia="Times New Roman" w:cs="Times New Roman"/>
          <w:szCs w:val="24"/>
        </w:rPr>
        <w:t>,</w:t>
      </w:r>
      <w:r w:rsidR="005B2B8F" w:rsidRPr="000D0573">
        <w:rPr>
          <w:rFonts w:eastAsia="Times New Roman" w:cs="Times New Roman"/>
          <w:szCs w:val="24"/>
        </w:rPr>
        <w:t xml:space="preserve"> kuriant darbo vietas sau ir kitiems. Šiuose projektuose iš esmės bus siekiama pokyčių aukštųjų mokyklų lygmeniu, nes dėstytojai turi keisti savo požiūrį į dėstomus dalykus, integruoti naujus modelius į dėstomas programas ir pan. </w:t>
      </w:r>
      <w:r w:rsidR="00E51B62" w:rsidRPr="000D0573">
        <w:rPr>
          <w:rFonts w:eastAsia="Times New Roman" w:cs="Times New Roman"/>
          <w:szCs w:val="24"/>
        </w:rPr>
        <w:t xml:space="preserve">Taigi </w:t>
      </w:r>
      <w:r w:rsidR="005B2B8F" w:rsidRPr="000D0573">
        <w:rPr>
          <w:rFonts w:eastAsia="Times New Roman" w:cs="Times New Roman"/>
          <w:szCs w:val="24"/>
        </w:rPr>
        <w:t xml:space="preserve">ilgalaikėje perspektyvoje šios veiklų grupės projektai sukuria prielaidas pokyčiams visuomenėje, nes išugdžius daugiau verslesnių ir kūrybiškesnių studentų sukuriamos geresnės prielaidos </w:t>
      </w:r>
      <w:r w:rsidR="00E51B62" w:rsidRPr="000D0573">
        <w:rPr>
          <w:rFonts w:eastAsia="Times New Roman" w:cs="Times New Roman"/>
          <w:szCs w:val="24"/>
        </w:rPr>
        <w:t xml:space="preserve">ekonomikai </w:t>
      </w:r>
      <w:r w:rsidR="00B1596C" w:rsidRPr="000D0573">
        <w:rPr>
          <w:rFonts w:eastAsia="Times New Roman" w:cs="Times New Roman"/>
          <w:szCs w:val="24"/>
        </w:rPr>
        <w:t xml:space="preserve">augti </w:t>
      </w:r>
      <w:r w:rsidR="00E51B62" w:rsidRPr="000D0573">
        <w:rPr>
          <w:rFonts w:eastAsia="Times New Roman" w:cs="Times New Roman"/>
          <w:szCs w:val="24"/>
        </w:rPr>
        <w:t xml:space="preserve">ir </w:t>
      </w:r>
      <w:r w:rsidR="00B1596C" w:rsidRPr="000D0573">
        <w:rPr>
          <w:rFonts w:eastAsia="Times New Roman" w:cs="Times New Roman"/>
          <w:szCs w:val="24"/>
        </w:rPr>
        <w:t xml:space="preserve">šalies lygmeniu </w:t>
      </w:r>
      <w:r w:rsidR="005B2B8F" w:rsidRPr="000D0573">
        <w:rPr>
          <w:rFonts w:eastAsia="Times New Roman" w:cs="Times New Roman"/>
          <w:szCs w:val="24"/>
        </w:rPr>
        <w:t xml:space="preserve">sprendžiamos socialinės problemos. Todėl šioje veikloje patirtos darbo užmokesčio išlaidos galėtų būti apmokamos taikant </w:t>
      </w:r>
      <w:r w:rsidR="00E51B62" w:rsidRPr="000D0573">
        <w:rPr>
          <w:rFonts w:eastAsia="Times New Roman" w:cs="Times New Roman"/>
          <w:szCs w:val="24"/>
        </w:rPr>
        <w:t>„</w:t>
      </w:r>
      <w:proofErr w:type="spellStart"/>
      <w:r w:rsidR="005B2B8F" w:rsidRPr="008744DE">
        <w:rPr>
          <w:rFonts w:eastAsia="Times New Roman" w:cs="Times New Roman"/>
          <w:szCs w:val="24"/>
        </w:rPr>
        <w:t>Erasmus</w:t>
      </w:r>
      <w:proofErr w:type="spellEnd"/>
      <w:r w:rsidR="005B2B8F" w:rsidRPr="008744DE">
        <w:rPr>
          <w:rFonts w:eastAsia="Times New Roman" w:cs="Times New Roman"/>
          <w:szCs w:val="24"/>
        </w:rPr>
        <w:t xml:space="preserve"> plius</w:t>
      </w:r>
      <w:r w:rsidR="00E51B62" w:rsidRPr="000D0573">
        <w:rPr>
          <w:rFonts w:eastAsia="Times New Roman" w:cs="Times New Roman"/>
          <w:szCs w:val="24"/>
        </w:rPr>
        <w:t>“</w:t>
      </w:r>
      <w:r w:rsidR="005B2B8F" w:rsidRPr="000D0573">
        <w:rPr>
          <w:rFonts w:eastAsia="Times New Roman" w:cs="Times New Roman"/>
          <w:i/>
          <w:szCs w:val="24"/>
        </w:rPr>
        <w:t xml:space="preserve"> </w:t>
      </w:r>
      <w:r w:rsidR="00E51B62" w:rsidRPr="000D0573">
        <w:rPr>
          <w:rFonts w:eastAsia="Times New Roman" w:cs="Times New Roman"/>
          <w:szCs w:val="24"/>
        </w:rPr>
        <w:t xml:space="preserve">fiksuotuosius </w:t>
      </w:r>
      <w:r w:rsidR="005B2B8F" w:rsidRPr="000D0573">
        <w:rPr>
          <w:rFonts w:eastAsia="Times New Roman" w:cs="Times New Roman"/>
          <w:szCs w:val="24"/>
        </w:rPr>
        <w:t>įkainius</w:t>
      </w:r>
      <w:r w:rsidRPr="000D0573">
        <w:rPr>
          <w:rFonts w:eastAsia="Times New Roman" w:cs="Times New Roman"/>
          <w:szCs w:val="24"/>
        </w:rPr>
        <w:t>.</w:t>
      </w:r>
    </w:p>
    <w:p w:rsidR="00FD0B92" w:rsidRPr="008744DE" w:rsidRDefault="00FD0B92" w:rsidP="00FD0B92">
      <w:pPr>
        <w:tabs>
          <w:tab w:val="left" w:pos="9600"/>
        </w:tabs>
        <w:spacing w:before="240"/>
        <w:ind w:right="74"/>
        <w:jc w:val="both"/>
        <w:rPr>
          <w:rFonts w:eastAsia="Times New Roman" w:cs="Times New Roman"/>
          <w:szCs w:val="24"/>
        </w:rPr>
      </w:pPr>
      <w:r w:rsidRPr="000D0573">
        <w:rPr>
          <w:rFonts w:eastAsia="Times New Roman" w:cs="Times New Roman"/>
          <w:szCs w:val="24"/>
        </w:rPr>
        <w:t xml:space="preserve">Pagal priemonę </w:t>
      </w:r>
      <w:r w:rsidRPr="000D0573">
        <w:rPr>
          <w:rFonts w:eastAsia="Times New Roman" w:cs="Times New Roman"/>
          <w:b/>
          <w:szCs w:val="24"/>
        </w:rPr>
        <w:t>„Studijų sistemos tobulinimas“</w:t>
      </w:r>
      <w:r w:rsidRPr="000D0573">
        <w:rPr>
          <w:rFonts w:eastAsia="Times New Roman" w:cs="Times New Roman"/>
          <w:szCs w:val="24"/>
        </w:rPr>
        <w:t xml:space="preserve"> (Nr. </w:t>
      </w:r>
      <w:r w:rsidRPr="000D0573">
        <w:rPr>
          <w:rFonts w:eastAsia="Times New Roman" w:cs="Times New Roman"/>
          <w:bCs/>
          <w:szCs w:val="24"/>
        </w:rPr>
        <w:t xml:space="preserve">09.3.1-ESFA-V-732) remiamos keturios </w:t>
      </w:r>
      <w:r w:rsidRPr="000D0573">
        <w:rPr>
          <w:rFonts w:eastAsia="Times New Roman" w:cs="Times New Roman"/>
          <w:szCs w:val="24"/>
        </w:rPr>
        <w:t>veiklų grupės</w:t>
      </w:r>
      <w:r w:rsidRPr="00CB49BF">
        <w:rPr>
          <w:rFonts w:eastAsia="Times New Roman" w:cs="Times New Roman"/>
          <w:szCs w:val="24"/>
        </w:rPr>
        <w:t xml:space="preserve">. </w:t>
      </w:r>
      <w:r w:rsidR="00840C44" w:rsidRPr="00CB49BF">
        <w:rPr>
          <w:rFonts w:eastAsia="Times New Roman" w:cs="Times New Roman"/>
          <w:szCs w:val="24"/>
        </w:rPr>
        <w:t>Pirma veikl</w:t>
      </w:r>
      <w:r w:rsidR="00275065" w:rsidRPr="00CB49BF">
        <w:rPr>
          <w:rFonts w:eastAsia="Times New Roman" w:cs="Times New Roman"/>
          <w:szCs w:val="24"/>
        </w:rPr>
        <w:t xml:space="preserve">a </w:t>
      </w:r>
      <w:r w:rsidR="00840C44" w:rsidRPr="00CB49BF">
        <w:rPr>
          <w:rFonts w:eastAsia="Times New Roman" w:cs="Times New Roman"/>
          <w:szCs w:val="24"/>
        </w:rPr>
        <w:t xml:space="preserve">– </w:t>
      </w:r>
      <w:r w:rsidRPr="00CB49BF">
        <w:rPr>
          <w:rFonts w:eastAsia="Times New Roman" w:cs="Times New Roman"/>
          <w:szCs w:val="24"/>
        </w:rPr>
        <w:t xml:space="preserve">studijas reglamentuojančių aprašų rengimas </w:t>
      </w:r>
      <w:proofErr w:type="spellStart"/>
      <w:r w:rsidRPr="00CB49BF">
        <w:rPr>
          <w:rFonts w:eastAsia="Times New Roman" w:cs="Times New Roman"/>
          <w:szCs w:val="24"/>
        </w:rPr>
        <w:t>sistemiškai</w:t>
      </w:r>
      <w:proofErr w:type="spellEnd"/>
      <w:r w:rsidRPr="00CB49BF">
        <w:rPr>
          <w:rFonts w:eastAsia="Times New Roman" w:cs="Times New Roman"/>
          <w:szCs w:val="24"/>
        </w:rPr>
        <w:t xml:space="preserve"> įtraukiant socialinius partnerius į turinio formavimą, metodinė pagalba aukštosioms mokykloms, rengiančioms į studijų rezultatus orientuotas studijų programas ir modulius. Studijų aprašų rengimas, programų ir modulių turinio formavimas yra intelektiniai produktai, kurie</w:t>
      </w:r>
      <w:r w:rsidR="00840C44" w:rsidRPr="008744DE">
        <w:rPr>
          <w:rFonts w:eastAsia="Times New Roman" w:cs="Times New Roman"/>
          <w:szCs w:val="24"/>
        </w:rPr>
        <w:t>ms</w:t>
      </w:r>
      <w:r w:rsidRPr="008744DE">
        <w:rPr>
          <w:rFonts w:eastAsia="Times New Roman" w:cs="Times New Roman"/>
          <w:szCs w:val="24"/>
        </w:rPr>
        <w:t xml:space="preserve"> </w:t>
      </w:r>
      <w:r w:rsidR="00840C44" w:rsidRPr="008744DE">
        <w:rPr>
          <w:rFonts w:eastAsia="Times New Roman" w:cs="Times New Roman"/>
          <w:szCs w:val="24"/>
        </w:rPr>
        <w:t>būdinga apčiuopiamumas</w:t>
      </w:r>
      <w:r w:rsidRPr="008744DE">
        <w:rPr>
          <w:rFonts w:eastAsia="Times New Roman" w:cs="Times New Roman"/>
          <w:szCs w:val="24"/>
        </w:rPr>
        <w:t xml:space="preserve">, </w:t>
      </w:r>
      <w:proofErr w:type="spellStart"/>
      <w:r w:rsidR="00840C44" w:rsidRPr="008744DE">
        <w:rPr>
          <w:rFonts w:eastAsia="Times New Roman" w:cs="Times New Roman"/>
          <w:szCs w:val="24"/>
        </w:rPr>
        <w:t>inovatyvumas</w:t>
      </w:r>
      <w:proofErr w:type="spellEnd"/>
      <w:r w:rsidR="00840C44" w:rsidRPr="008744DE">
        <w:rPr>
          <w:rFonts w:eastAsia="Times New Roman" w:cs="Times New Roman"/>
          <w:szCs w:val="24"/>
        </w:rPr>
        <w:t xml:space="preserve"> </w:t>
      </w:r>
      <w:r w:rsidRPr="008744DE">
        <w:rPr>
          <w:rFonts w:eastAsia="Times New Roman" w:cs="Times New Roman"/>
          <w:szCs w:val="24"/>
        </w:rPr>
        <w:t xml:space="preserve">ir </w:t>
      </w:r>
      <w:r w:rsidR="00840C44" w:rsidRPr="008744DE">
        <w:rPr>
          <w:rFonts w:eastAsia="Times New Roman" w:cs="Times New Roman"/>
          <w:szCs w:val="24"/>
        </w:rPr>
        <w:t xml:space="preserve">poveikis </w:t>
      </w:r>
      <w:r w:rsidRPr="008744DE">
        <w:rPr>
          <w:rFonts w:eastAsia="Times New Roman" w:cs="Times New Roman"/>
          <w:szCs w:val="24"/>
        </w:rPr>
        <w:t>aukštajai mokyklai</w:t>
      </w:r>
      <w:r w:rsidR="00840C44" w:rsidRPr="008744DE">
        <w:rPr>
          <w:rFonts w:eastAsia="Times New Roman" w:cs="Times New Roman"/>
          <w:szCs w:val="24"/>
        </w:rPr>
        <w:t>.</w:t>
      </w:r>
      <w:r w:rsidRPr="008744DE">
        <w:rPr>
          <w:rFonts w:eastAsia="Times New Roman" w:cs="Times New Roman"/>
          <w:szCs w:val="24"/>
        </w:rPr>
        <w:t xml:space="preserve"> </w:t>
      </w:r>
      <w:r w:rsidR="00840C44" w:rsidRPr="008744DE">
        <w:rPr>
          <w:rFonts w:eastAsia="Times New Roman" w:cs="Times New Roman"/>
          <w:szCs w:val="24"/>
        </w:rPr>
        <w:t xml:space="preserve">Taigi </w:t>
      </w:r>
      <w:r w:rsidRPr="008744DE">
        <w:rPr>
          <w:rFonts w:eastAsia="Times New Roman" w:cs="Times New Roman"/>
          <w:szCs w:val="24"/>
        </w:rPr>
        <w:t xml:space="preserve">šioje veikloje patirtos darbo užmokesčio išlaidos galėtų būti apmokamos taikant </w:t>
      </w:r>
      <w:r w:rsidR="00735169" w:rsidRPr="008744DE">
        <w:rPr>
          <w:rFonts w:eastAsia="Times New Roman" w:cs="Times New Roman"/>
        </w:rPr>
        <w:t>„</w:t>
      </w:r>
      <w:proofErr w:type="spellStart"/>
      <w:r w:rsidR="00735169" w:rsidRPr="008744DE">
        <w:rPr>
          <w:rFonts w:eastAsia="Times New Roman" w:cs="Times New Roman"/>
        </w:rPr>
        <w:t>Erasmus</w:t>
      </w:r>
      <w:proofErr w:type="spellEnd"/>
      <w:r w:rsidR="00735169" w:rsidRPr="008744DE">
        <w:rPr>
          <w:rFonts w:eastAsia="Times New Roman" w:cs="Times New Roman"/>
        </w:rPr>
        <w:t xml:space="preserve"> plius“</w:t>
      </w:r>
      <w:r w:rsidRPr="008744DE">
        <w:rPr>
          <w:rFonts w:eastAsia="Times New Roman" w:cs="Times New Roman"/>
          <w:i/>
          <w:szCs w:val="24"/>
        </w:rPr>
        <w:t xml:space="preserve"> </w:t>
      </w:r>
      <w:r w:rsidR="00840C44" w:rsidRPr="008744DE">
        <w:rPr>
          <w:rFonts w:eastAsia="Times New Roman" w:cs="Times New Roman"/>
          <w:szCs w:val="24"/>
        </w:rPr>
        <w:t>fiksuotu</w:t>
      </w:r>
      <w:r w:rsidR="00B1596C" w:rsidRPr="008744DE">
        <w:rPr>
          <w:rFonts w:eastAsia="Times New Roman" w:cs="Times New Roman"/>
          <w:szCs w:val="24"/>
        </w:rPr>
        <w:t>o</w:t>
      </w:r>
      <w:r w:rsidR="00840C44" w:rsidRPr="008744DE">
        <w:rPr>
          <w:rFonts w:eastAsia="Times New Roman" w:cs="Times New Roman"/>
          <w:szCs w:val="24"/>
        </w:rPr>
        <w:t xml:space="preserve">sius </w:t>
      </w:r>
      <w:r w:rsidRPr="008744DE">
        <w:rPr>
          <w:rFonts w:eastAsia="Times New Roman" w:cs="Times New Roman"/>
          <w:szCs w:val="24"/>
        </w:rPr>
        <w:t>įkainius.</w:t>
      </w:r>
    </w:p>
    <w:p w:rsidR="00FD0B92" w:rsidRPr="008744DE" w:rsidRDefault="00E61E88" w:rsidP="00FD0B92">
      <w:pPr>
        <w:tabs>
          <w:tab w:val="left" w:pos="9600"/>
        </w:tabs>
        <w:spacing w:before="240"/>
        <w:ind w:right="74"/>
        <w:jc w:val="both"/>
        <w:rPr>
          <w:rFonts w:eastAsia="Times New Roman" w:cs="Times New Roman"/>
          <w:szCs w:val="24"/>
        </w:rPr>
      </w:pPr>
      <w:r w:rsidRPr="008744DE">
        <w:rPr>
          <w:rFonts w:eastAsia="Times New Roman" w:cs="Times New Roman"/>
          <w:szCs w:val="24"/>
        </w:rPr>
        <w:t xml:space="preserve">Antroji </w:t>
      </w:r>
      <w:r w:rsidR="00FD0B92" w:rsidRPr="008744DE">
        <w:rPr>
          <w:rFonts w:eastAsia="Times New Roman" w:cs="Times New Roman"/>
          <w:szCs w:val="24"/>
        </w:rPr>
        <w:t xml:space="preserve">numatoma veikla yra tęstinių pedagoginių studijų modernizavimas ir pedagogų rengimo kokybės pagal laipsnio nesuteikiančias studijų programas gerinimas. Šia veikla </w:t>
      </w:r>
      <w:r w:rsidR="00840C44" w:rsidRPr="008744DE">
        <w:rPr>
          <w:rFonts w:eastAsia="Times New Roman" w:cs="Times New Roman"/>
          <w:szCs w:val="24"/>
        </w:rPr>
        <w:t xml:space="preserve">pabrėžiamas </w:t>
      </w:r>
      <w:r w:rsidR="00FD0B92" w:rsidRPr="008744DE">
        <w:rPr>
          <w:rFonts w:eastAsia="Times New Roman" w:cs="Times New Roman"/>
          <w:szCs w:val="24"/>
        </w:rPr>
        <w:t>studijų programų atnauj</w:t>
      </w:r>
      <w:r w:rsidR="00515EB1" w:rsidRPr="008744DE">
        <w:rPr>
          <w:rFonts w:eastAsia="Times New Roman" w:cs="Times New Roman"/>
          <w:szCs w:val="24"/>
        </w:rPr>
        <w:t>inimas ir kokybės gerinimas</w:t>
      </w:r>
      <w:r w:rsidR="00FD0B92" w:rsidRPr="008744DE">
        <w:rPr>
          <w:rFonts w:eastAsia="Times New Roman" w:cs="Times New Roman"/>
          <w:szCs w:val="24"/>
        </w:rPr>
        <w:t xml:space="preserve"> turėtų </w:t>
      </w:r>
      <w:r w:rsidR="00840C44" w:rsidRPr="008744DE">
        <w:rPr>
          <w:rFonts w:eastAsia="Times New Roman" w:cs="Times New Roman"/>
          <w:szCs w:val="24"/>
        </w:rPr>
        <w:t xml:space="preserve">padėti </w:t>
      </w:r>
      <w:r w:rsidR="00B1596C" w:rsidRPr="008744DE">
        <w:rPr>
          <w:rFonts w:eastAsia="Times New Roman" w:cs="Times New Roman"/>
          <w:szCs w:val="24"/>
        </w:rPr>
        <w:t>pasiekti</w:t>
      </w:r>
      <w:r w:rsidR="00840C44" w:rsidRPr="008744DE">
        <w:rPr>
          <w:rFonts w:eastAsia="Times New Roman" w:cs="Times New Roman"/>
          <w:szCs w:val="24"/>
        </w:rPr>
        <w:t xml:space="preserve"> </w:t>
      </w:r>
      <w:r w:rsidR="00FD0B92" w:rsidRPr="008744DE">
        <w:rPr>
          <w:rFonts w:eastAsia="Times New Roman" w:cs="Times New Roman"/>
          <w:szCs w:val="24"/>
        </w:rPr>
        <w:t xml:space="preserve">apčiuopiamus rezultatus, </w:t>
      </w:r>
      <w:r w:rsidR="00840C44" w:rsidRPr="008744DE">
        <w:rPr>
          <w:rFonts w:eastAsia="Times New Roman" w:cs="Times New Roman"/>
          <w:szCs w:val="24"/>
        </w:rPr>
        <w:t>sukurti produkta</w:t>
      </w:r>
      <w:r w:rsidR="00B1596C" w:rsidRPr="008744DE">
        <w:rPr>
          <w:rFonts w:eastAsia="Times New Roman" w:cs="Times New Roman"/>
          <w:szCs w:val="24"/>
        </w:rPr>
        <w:t>i</w:t>
      </w:r>
      <w:r w:rsidR="00840C44" w:rsidRPr="008744DE">
        <w:rPr>
          <w:rFonts w:eastAsia="Times New Roman" w:cs="Times New Roman"/>
          <w:szCs w:val="24"/>
        </w:rPr>
        <w:t xml:space="preserve"> turėtų būti </w:t>
      </w:r>
      <w:proofErr w:type="spellStart"/>
      <w:r w:rsidR="00840C44" w:rsidRPr="008744DE">
        <w:rPr>
          <w:rFonts w:eastAsia="Times New Roman" w:cs="Times New Roman"/>
          <w:szCs w:val="24"/>
        </w:rPr>
        <w:t>inovatyv</w:t>
      </w:r>
      <w:r w:rsidR="00B1596C" w:rsidRPr="008744DE">
        <w:rPr>
          <w:rFonts w:eastAsia="Times New Roman" w:cs="Times New Roman"/>
          <w:szCs w:val="24"/>
        </w:rPr>
        <w:t>ūs</w:t>
      </w:r>
      <w:proofErr w:type="spellEnd"/>
      <w:r w:rsidR="00840C44" w:rsidRPr="008744DE">
        <w:rPr>
          <w:rFonts w:eastAsia="Times New Roman" w:cs="Times New Roman"/>
          <w:szCs w:val="24"/>
        </w:rPr>
        <w:t xml:space="preserve"> ir</w:t>
      </w:r>
      <w:r w:rsidR="00FD0B92" w:rsidRPr="008744DE">
        <w:rPr>
          <w:rFonts w:eastAsia="Times New Roman" w:cs="Times New Roman"/>
          <w:szCs w:val="24"/>
        </w:rPr>
        <w:t xml:space="preserve"> </w:t>
      </w:r>
      <w:r w:rsidR="00B1596C" w:rsidRPr="008744DE">
        <w:rPr>
          <w:rFonts w:eastAsia="Times New Roman" w:cs="Times New Roman"/>
          <w:szCs w:val="24"/>
        </w:rPr>
        <w:t xml:space="preserve">daryti </w:t>
      </w:r>
      <w:r w:rsidR="00840C44" w:rsidRPr="008744DE">
        <w:rPr>
          <w:rFonts w:eastAsia="Times New Roman" w:cs="Times New Roman"/>
          <w:szCs w:val="24"/>
        </w:rPr>
        <w:t>poveik</w:t>
      </w:r>
      <w:r w:rsidR="00B1596C" w:rsidRPr="008744DE">
        <w:rPr>
          <w:rFonts w:eastAsia="Times New Roman" w:cs="Times New Roman"/>
          <w:szCs w:val="24"/>
        </w:rPr>
        <w:t>į</w:t>
      </w:r>
      <w:r w:rsidR="00840C44" w:rsidRPr="008744DE">
        <w:rPr>
          <w:rFonts w:eastAsia="Times New Roman" w:cs="Times New Roman"/>
          <w:szCs w:val="24"/>
        </w:rPr>
        <w:t xml:space="preserve"> </w:t>
      </w:r>
      <w:r w:rsidR="00FD0B92" w:rsidRPr="008744DE">
        <w:rPr>
          <w:rFonts w:eastAsia="Times New Roman" w:cs="Times New Roman"/>
          <w:szCs w:val="24"/>
        </w:rPr>
        <w:t xml:space="preserve">institucijai. Todėl šioje veikloje patirtos darbo užmokesčio išlaidos galėtų būti apmokamos taikant </w:t>
      </w:r>
      <w:r w:rsidR="00735169" w:rsidRPr="008744DE">
        <w:rPr>
          <w:rFonts w:eastAsia="Times New Roman" w:cs="Times New Roman"/>
        </w:rPr>
        <w:t>„</w:t>
      </w:r>
      <w:proofErr w:type="spellStart"/>
      <w:r w:rsidR="00735169" w:rsidRPr="008744DE">
        <w:rPr>
          <w:rFonts w:eastAsia="Times New Roman" w:cs="Times New Roman"/>
        </w:rPr>
        <w:t>Erasmus</w:t>
      </w:r>
      <w:proofErr w:type="spellEnd"/>
      <w:r w:rsidR="00735169" w:rsidRPr="008744DE">
        <w:rPr>
          <w:rFonts w:eastAsia="Times New Roman" w:cs="Times New Roman"/>
        </w:rPr>
        <w:t xml:space="preserve"> plius“ </w:t>
      </w:r>
      <w:r w:rsidR="00FD0B92" w:rsidRPr="008744DE">
        <w:rPr>
          <w:rFonts w:eastAsia="Times New Roman" w:cs="Times New Roman"/>
          <w:szCs w:val="24"/>
        </w:rPr>
        <w:t>fiksuotu</w:t>
      </w:r>
      <w:r w:rsidR="00840C44" w:rsidRPr="008744DE">
        <w:rPr>
          <w:rFonts w:eastAsia="Times New Roman" w:cs="Times New Roman"/>
          <w:szCs w:val="24"/>
        </w:rPr>
        <w:t>osius</w:t>
      </w:r>
      <w:r w:rsidR="00FD0B92" w:rsidRPr="008744DE">
        <w:rPr>
          <w:rFonts w:eastAsia="Times New Roman" w:cs="Times New Roman"/>
          <w:szCs w:val="24"/>
        </w:rPr>
        <w:t xml:space="preserve"> įkainius.</w:t>
      </w:r>
    </w:p>
    <w:p w:rsidR="00FD0B92" w:rsidRPr="000D0573" w:rsidRDefault="00FD0B92" w:rsidP="00FD0B92">
      <w:pPr>
        <w:tabs>
          <w:tab w:val="left" w:pos="9600"/>
        </w:tabs>
        <w:spacing w:before="240"/>
        <w:ind w:right="74"/>
        <w:jc w:val="both"/>
        <w:rPr>
          <w:rFonts w:eastAsia="Times New Roman" w:cs="Times New Roman"/>
          <w:szCs w:val="24"/>
        </w:rPr>
      </w:pPr>
      <w:r w:rsidRPr="008744DE">
        <w:rPr>
          <w:rFonts w:eastAsia="Times New Roman" w:cs="Times New Roman"/>
          <w:szCs w:val="24"/>
        </w:rPr>
        <w:t>Trečią</w:t>
      </w:r>
      <w:r w:rsidR="00E61E88" w:rsidRPr="008744DE">
        <w:rPr>
          <w:rFonts w:eastAsia="Times New Roman" w:cs="Times New Roman"/>
          <w:szCs w:val="24"/>
        </w:rPr>
        <w:t>ją</w:t>
      </w:r>
      <w:r w:rsidRPr="008744DE">
        <w:rPr>
          <w:rFonts w:eastAsia="Times New Roman" w:cs="Times New Roman"/>
          <w:szCs w:val="24"/>
        </w:rPr>
        <w:t xml:space="preserve"> veiklų grupę sudaro studentų karjeros planavimas ir ugdymas karjerai</w:t>
      </w:r>
      <w:r w:rsidR="00E61E88" w:rsidRPr="008744DE">
        <w:rPr>
          <w:rFonts w:eastAsia="Times New Roman" w:cs="Times New Roman"/>
          <w:szCs w:val="24"/>
        </w:rPr>
        <w:t xml:space="preserve">; </w:t>
      </w:r>
      <w:r w:rsidRPr="008744DE">
        <w:rPr>
          <w:rFonts w:eastAsia="Times New Roman" w:cs="Times New Roman"/>
          <w:szCs w:val="24"/>
        </w:rPr>
        <w:t xml:space="preserve">karjeros centrų palaikymas, plėtojimas ir karjeros paslaugų integravimas į studentų </w:t>
      </w:r>
      <w:r w:rsidR="00E61E88" w:rsidRPr="008744DE">
        <w:rPr>
          <w:rFonts w:eastAsia="Times New Roman" w:cs="Times New Roman"/>
          <w:szCs w:val="24"/>
        </w:rPr>
        <w:t xml:space="preserve">praktikos </w:t>
      </w:r>
      <w:r w:rsidRPr="008744DE">
        <w:rPr>
          <w:rFonts w:eastAsia="Times New Roman" w:cs="Times New Roman"/>
          <w:szCs w:val="24"/>
        </w:rPr>
        <w:t>organizavimo sistemą. Studentų karjeros planavimo ir karjeros centrų palaikymo</w:t>
      </w:r>
      <w:r w:rsidR="00665215" w:rsidRPr="008744DE">
        <w:rPr>
          <w:rFonts w:eastAsia="Times New Roman" w:cs="Times New Roman"/>
          <w:szCs w:val="24"/>
        </w:rPr>
        <w:t xml:space="preserve"> veiklomis bus siekiama ankstesniais metais pradėtų reformų tikslų, t.</w:t>
      </w:r>
      <w:r w:rsidR="00840C44" w:rsidRPr="008744DE">
        <w:rPr>
          <w:rFonts w:eastAsia="Times New Roman" w:cs="Times New Roman"/>
          <w:szCs w:val="24"/>
        </w:rPr>
        <w:t> </w:t>
      </w:r>
      <w:r w:rsidR="00665215" w:rsidRPr="008744DE">
        <w:rPr>
          <w:rFonts w:eastAsia="Times New Roman" w:cs="Times New Roman"/>
          <w:szCs w:val="24"/>
        </w:rPr>
        <w:t xml:space="preserve">y. suteikti studentams kokybiškas karjeros planavimo paslaugas. Tikėtina, kad šiose veiklose bus ir toliau kuriamos naujos, </w:t>
      </w:r>
      <w:proofErr w:type="spellStart"/>
      <w:r w:rsidR="00665215" w:rsidRPr="008744DE">
        <w:rPr>
          <w:rFonts w:eastAsia="Times New Roman" w:cs="Times New Roman"/>
          <w:szCs w:val="24"/>
        </w:rPr>
        <w:t>inovatyvios</w:t>
      </w:r>
      <w:proofErr w:type="spellEnd"/>
      <w:r w:rsidR="00665215" w:rsidRPr="008744DE">
        <w:rPr>
          <w:rFonts w:eastAsia="Times New Roman" w:cs="Times New Roman"/>
          <w:szCs w:val="24"/>
        </w:rPr>
        <w:t xml:space="preserve"> paslaugos studentams ir šios paslaugos gali būti laikomos intelektiniais produktais</w:t>
      </w:r>
      <w:r w:rsidR="001A09FF" w:rsidRPr="008744DE">
        <w:rPr>
          <w:rFonts w:eastAsia="Times New Roman" w:cs="Times New Roman"/>
          <w:szCs w:val="24"/>
        </w:rPr>
        <w:t xml:space="preserve">. </w:t>
      </w:r>
      <w:r w:rsidR="00840C44" w:rsidRPr="008744DE">
        <w:rPr>
          <w:rFonts w:eastAsia="Times New Roman" w:cs="Times New Roman"/>
          <w:szCs w:val="24"/>
        </w:rPr>
        <w:t xml:space="preserve">Joms būdinga ir </w:t>
      </w:r>
      <w:proofErr w:type="spellStart"/>
      <w:r w:rsidR="00840C44" w:rsidRPr="008744DE">
        <w:rPr>
          <w:rFonts w:eastAsia="Times New Roman" w:cs="Times New Roman"/>
          <w:szCs w:val="24"/>
        </w:rPr>
        <w:t>inovatyvumas</w:t>
      </w:r>
      <w:proofErr w:type="spellEnd"/>
      <w:r w:rsidR="00665215" w:rsidRPr="000D0573">
        <w:rPr>
          <w:rFonts w:eastAsia="Times New Roman" w:cs="Times New Roman"/>
          <w:szCs w:val="24"/>
        </w:rPr>
        <w:t xml:space="preserve">, ir </w:t>
      </w:r>
      <w:r w:rsidR="00840C44" w:rsidRPr="000D0573">
        <w:rPr>
          <w:rFonts w:eastAsia="Times New Roman" w:cs="Times New Roman"/>
          <w:szCs w:val="24"/>
        </w:rPr>
        <w:t xml:space="preserve">poveikis </w:t>
      </w:r>
      <w:r w:rsidR="00665215" w:rsidRPr="000D0573">
        <w:rPr>
          <w:rFonts w:eastAsia="Times New Roman" w:cs="Times New Roman"/>
          <w:szCs w:val="24"/>
        </w:rPr>
        <w:t>aukštajai mokyklai</w:t>
      </w:r>
      <w:r w:rsidR="00840C44" w:rsidRPr="000D0573">
        <w:rPr>
          <w:rFonts w:eastAsia="Times New Roman" w:cs="Times New Roman"/>
          <w:szCs w:val="24"/>
        </w:rPr>
        <w:t>, o</w:t>
      </w:r>
      <w:r w:rsidR="00665215" w:rsidRPr="000D0573">
        <w:rPr>
          <w:rFonts w:eastAsia="Times New Roman" w:cs="Times New Roman"/>
          <w:szCs w:val="24"/>
        </w:rPr>
        <w:t xml:space="preserve"> ilgalaikėje perspektyvoje –</w:t>
      </w:r>
      <w:r w:rsidR="00B1596C" w:rsidRPr="000D0573">
        <w:rPr>
          <w:rFonts w:eastAsia="Times New Roman" w:cs="Times New Roman"/>
          <w:szCs w:val="24"/>
        </w:rPr>
        <w:t xml:space="preserve"> prisidėjimas prie </w:t>
      </w:r>
      <w:r w:rsidR="00665215" w:rsidRPr="000D0573">
        <w:rPr>
          <w:rFonts w:eastAsia="Times New Roman" w:cs="Times New Roman"/>
          <w:szCs w:val="24"/>
        </w:rPr>
        <w:t xml:space="preserve">Lietuvos užimtumo </w:t>
      </w:r>
      <w:r w:rsidR="00B1596C" w:rsidRPr="000D0573">
        <w:rPr>
          <w:rFonts w:eastAsia="Times New Roman" w:cs="Times New Roman"/>
          <w:szCs w:val="24"/>
        </w:rPr>
        <w:t>rodiklių pokyčių</w:t>
      </w:r>
      <w:r w:rsidR="00665215" w:rsidRPr="000D0573">
        <w:rPr>
          <w:rFonts w:eastAsia="Times New Roman" w:cs="Times New Roman"/>
          <w:szCs w:val="24"/>
        </w:rPr>
        <w:t>.</w:t>
      </w:r>
      <w:r w:rsidRPr="000D0573">
        <w:rPr>
          <w:rFonts w:eastAsia="Times New Roman" w:cs="Times New Roman"/>
          <w:szCs w:val="24"/>
        </w:rPr>
        <w:t xml:space="preserve"> </w:t>
      </w:r>
      <w:r w:rsidR="00665215" w:rsidRPr="000D0573">
        <w:rPr>
          <w:rFonts w:eastAsia="Times New Roman" w:cs="Times New Roman"/>
          <w:szCs w:val="24"/>
        </w:rPr>
        <w:t>K</w:t>
      </w:r>
      <w:r w:rsidRPr="000D0573">
        <w:rPr>
          <w:rFonts w:eastAsia="Times New Roman" w:cs="Times New Roman"/>
          <w:szCs w:val="24"/>
        </w:rPr>
        <w:t xml:space="preserve">arjeros paslaugų integravimo į studentų praktikų organizavimo sistemą veiklų rezultatai </w:t>
      </w:r>
      <w:r w:rsidR="00665215" w:rsidRPr="000D0573">
        <w:rPr>
          <w:rFonts w:eastAsia="Times New Roman" w:cs="Times New Roman"/>
          <w:szCs w:val="24"/>
        </w:rPr>
        <w:t xml:space="preserve">taip pat </w:t>
      </w:r>
      <w:r w:rsidRPr="000D0573">
        <w:rPr>
          <w:rFonts w:eastAsia="Times New Roman" w:cs="Times New Roman"/>
          <w:szCs w:val="24"/>
        </w:rPr>
        <w:t>galėtų būti laikomi intelektiniais produktais,</w:t>
      </w:r>
      <w:r w:rsidR="00665215" w:rsidRPr="000D0573">
        <w:rPr>
          <w:rFonts w:eastAsia="Times New Roman" w:cs="Times New Roman"/>
          <w:szCs w:val="24"/>
        </w:rPr>
        <w:t xml:space="preserve"> nes ši veikla yra iš esmės nauja</w:t>
      </w:r>
      <w:r w:rsidR="00E61E88" w:rsidRPr="000D0573">
        <w:rPr>
          <w:rFonts w:eastAsia="Times New Roman" w:cs="Times New Roman"/>
          <w:szCs w:val="24"/>
        </w:rPr>
        <w:t xml:space="preserve"> ir </w:t>
      </w:r>
      <w:r w:rsidR="00665215" w:rsidRPr="000D0573">
        <w:rPr>
          <w:rFonts w:eastAsia="Times New Roman" w:cs="Times New Roman"/>
          <w:szCs w:val="24"/>
        </w:rPr>
        <w:t xml:space="preserve">aukštosiose mokyklose </w:t>
      </w:r>
      <w:r w:rsidR="00E61E88" w:rsidRPr="000D0573">
        <w:rPr>
          <w:rFonts w:eastAsia="Times New Roman" w:cs="Times New Roman"/>
          <w:szCs w:val="24"/>
        </w:rPr>
        <w:t xml:space="preserve">iki šiol </w:t>
      </w:r>
      <w:r w:rsidR="00665215" w:rsidRPr="000D0573">
        <w:rPr>
          <w:rFonts w:eastAsia="Times New Roman" w:cs="Times New Roman"/>
          <w:szCs w:val="24"/>
        </w:rPr>
        <w:t xml:space="preserve">netaikyta praktika. </w:t>
      </w:r>
      <w:r w:rsidR="00B1596C" w:rsidRPr="000D0573">
        <w:rPr>
          <w:rFonts w:eastAsia="Times New Roman" w:cs="Times New Roman"/>
          <w:szCs w:val="24"/>
        </w:rPr>
        <w:t xml:space="preserve">Vadinasi,  </w:t>
      </w:r>
      <w:r w:rsidR="00665215" w:rsidRPr="000D0573">
        <w:rPr>
          <w:rFonts w:eastAsia="Times New Roman" w:cs="Times New Roman"/>
          <w:szCs w:val="24"/>
        </w:rPr>
        <w:t>įgyvendinant šiuos projektus</w:t>
      </w:r>
      <w:r w:rsidR="00B1596C" w:rsidRPr="000D0573">
        <w:rPr>
          <w:rFonts w:eastAsia="Times New Roman" w:cs="Times New Roman"/>
          <w:szCs w:val="24"/>
        </w:rPr>
        <w:t>,</w:t>
      </w:r>
      <w:r w:rsidR="00665215" w:rsidRPr="000D0573">
        <w:rPr>
          <w:rFonts w:eastAsia="Times New Roman" w:cs="Times New Roman"/>
          <w:szCs w:val="24"/>
        </w:rPr>
        <w:t xml:space="preserve"> būtų sukuriami tokie produktai kaip metodikos, gairės</w:t>
      </w:r>
      <w:r w:rsidR="00B1596C" w:rsidRPr="000D0573">
        <w:rPr>
          <w:rFonts w:eastAsia="Times New Roman" w:cs="Times New Roman"/>
          <w:szCs w:val="24"/>
        </w:rPr>
        <w:t>,</w:t>
      </w:r>
      <w:r w:rsidR="00665215" w:rsidRPr="000D0573">
        <w:rPr>
          <w:rFonts w:eastAsia="Times New Roman" w:cs="Times New Roman"/>
          <w:szCs w:val="24"/>
        </w:rPr>
        <w:t xml:space="preserve"> aprašai ir </w:t>
      </w:r>
      <w:r w:rsidR="00665215" w:rsidRPr="000D0573">
        <w:rPr>
          <w:rFonts w:eastAsia="Times New Roman" w:cs="Times New Roman"/>
          <w:szCs w:val="24"/>
        </w:rPr>
        <w:lastRenderedPageBreak/>
        <w:t xml:space="preserve">pan. Todėl šioje trečiojoje veiklų grupėje patirtos darbo užmokesčio išlaidos galėtų būti apmokamos taikant </w:t>
      </w:r>
      <w:r w:rsidR="00735169" w:rsidRPr="000D0573">
        <w:rPr>
          <w:rFonts w:eastAsia="Times New Roman" w:cs="Times New Roman"/>
        </w:rPr>
        <w:t>„</w:t>
      </w:r>
      <w:proofErr w:type="spellStart"/>
      <w:r w:rsidR="00735169" w:rsidRPr="000D0573">
        <w:rPr>
          <w:rFonts w:eastAsia="Times New Roman" w:cs="Times New Roman"/>
        </w:rPr>
        <w:t>Erasmus</w:t>
      </w:r>
      <w:proofErr w:type="spellEnd"/>
      <w:r w:rsidR="00735169" w:rsidRPr="000D0573">
        <w:rPr>
          <w:rFonts w:eastAsia="Times New Roman" w:cs="Times New Roman"/>
        </w:rPr>
        <w:t xml:space="preserve"> plius“</w:t>
      </w:r>
      <w:r w:rsidR="00665215" w:rsidRPr="000D0573">
        <w:rPr>
          <w:rFonts w:eastAsia="Times New Roman" w:cs="Times New Roman"/>
          <w:i/>
          <w:szCs w:val="24"/>
        </w:rPr>
        <w:t xml:space="preserve"> </w:t>
      </w:r>
      <w:r w:rsidR="00B1596C" w:rsidRPr="000D0573">
        <w:rPr>
          <w:rFonts w:eastAsia="Times New Roman" w:cs="Times New Roman"/>
          <w:szCs w:val="24"/>
        </w:rPr>
        <w:t>fiksuotu</w:t>
      </w:r>
      <w:r w:rsidR="00E61E88" w:rsidRPr="000D0573">
        <w:rPr>
          <w:rFonts w:eastAsia="Times New Roman" w:cs="Times New Roman"/>
          <w:szCs w:val="24"/>
        </w:rPr>
        <w:t>o</w:t>
      </w:r>
      <w:r w:rsidR="00B1596C" w:rsidRPr="000D0573">
        <w:rPr>
          <w:rFonts w:eastAsia="Times New Roman" w:cs="Times New Roman"/>
          <w:szCs w:val="24"/>
        </w:rPr>
        <w:t xml:space="preserve">sius </w:t>
      </w:r>
      <w:r w:rsidR="00665215" w:rsidRPr="000D0573">
        <w:rPr>
          <w:rFonts w:eastAsia="Times New Roman" w:cs="Times New Roman"/>
          <w:szCs w:val="24"/>
        </w:rPr>
        <w:t>įkainius.</w:t>
      </w:r>
      <w:r w:rsidRPr="000D0573">
        <w:rPr>
          <w:rFonts w:eastAsia="Times New Roman" w:cs="Times New Roman"/>
          <w:szCs w:val="24"/>
        </w:rPr>
        <w:t xml:space="preserve"> </w:t>
      </w:r>
    </w:p>
    <w:p w:rsidR="00FD0B92" w:rsidRPr="000D0573" w:rsidRDefault="00FD0B92" w:rsidP="00FD0B92">
      <w:pPr>
        <w:tabs>
          <w:tab w:val="left" w:pos="9600"/>
        </w:tabs>
        <w:spacing w:before="240"/>
        <w:ind w:right="74"/>
        <w:jc w:val="both"/>
        <w:rPr>
          <w:rFonts w:eastAsia="Times New Roman" w:cs="Times New Roman"/>
          <w:szCs w:val="24"/>
        </w:rPr>
      </w:pPr>
      <w:r w:rsidRPr="000D0573">
        <w:rPr>
          <w:rFonts w:eastAsia="Times New Roman" w:cs="Times New Roman"/>
          <w:szCs w:val="24"/>
        </w:rPr>
        <w:t xml:space="preserve">Kitą šios </w:t>
      </w:r>
      <w:r w:rsidRPr="00CB49BF">
        <w:rPr>
          <w:rFonts w:eastAsia="Times New Roman" w:cs="Times New Roman"/>
          <w:szCs w:val="24"/>
        </w:rPr>
        <w:t xml:space="preserve">priemonės veiklą sudaro prieigos prie tarptautinių studijoms reikalingų duomenų bazių, registrų, interneto, </w:t>
      </w:r>
      <w:r w:rsidR="00E61E88" w:rsidRPr="008744DE">
        <w:rPr>
          <w:rFonts w:eastAsia="Times New Roman" w:cs="Times New Roman"/>
          <w:szCs w:val="24"/>
        </w:rPr>
        <w:t xml:space="preserve">atvirųjų </w:t>
      </w:r>
      <w:r w:rsidRPr="008744DE">
        <w:rPr>
          <w:rFonts w:eastAsia="Times New Roman" w:cs="Times New Roman"/>
          <w:szCs w:val="24"/>
        </w:rPr>
        <w:t xml:space="preserve">mokymosi išteklių plėtra; </w:t>
      </w:r>
      <w:r w:rsidR="00E61E88" w:rsidRPr="008744DE">
        <w:rPr>
          <w:rFonts w:eastAsia="Times New Roman" w:cs="Times New Roman"/>
          <w:szCs w:val="24"/>
        </w:rPr>
        <w:t xml:space="preserve">virtualių </w:t>
      </w:r>
      <w:r w:rsidRPr="008744DE">
        <w:rPr>
          <w:rFonts w:eastAsia="Times New Roman" w:cs="Times New Roman"/>
          <w:szCs w:val="24"/>
        </w:rPr>
        <w:t xml:space="preserve">mokymosi </w:t>
      </w:r>
      <w:r w:rsidR="00E61E88" w:rsidRPr="008744DE">
        <w:rPr>
          <w:rFonts w:eastAsia="Times New Roman" w:cs="Times New Roman"/>
          <w:szCs w:val="24"/>
        </w:rPr>
        <w:t xml:space="preserve">aplinkų </w:t>
      </w:r>
      <w:r w:rsidRPr="008744DE">
        <w:rPr>
          <w:rFonts w:eastAsia="Times New Roman" w:cs="Times New Roman"/>
          <w:szCs w:val="24"/>
        </w:rPr>
        <w:t>užtikrinimas</w:t>
      </w:r>
      <w:r w:rsidRPr="000D0573">
        <w:rPr>
          <w:rFonts w:eastAsia="Times New Roman" w:cs="Times New Roman"/>
          <w:szCs w:val="24"/>
        </w:rPr>
        <w:t xml:space="preserve"> ir plėtojimas. </w:t>
      </w:r>
      <w:r w:rsidR="00556203" w:rsidRPr="000D0573">
        <w:rPr>
          <w:rFonts w:eastAsia="Times New Roman" w:cs="Times New Roman"/>
          <w:szCs w:val="24"/>
        </w:rPr>
        <w:t xml:space="preserve">Akivaizdu, kad didžioji dalis lėšų </w:t>
      </w:r>
      <w:r w:rsidR="00B1596C" w:rsidRPr="000D0573">
        <w:rPr>
          <w:rFonts w:eastAsia="Times New Roman" w:cs="Times New Roman"/>
          <w:szCs w:val="24"/>
        </w:rPr>
        <w:t xml:space="preserve">šiuose </w:t>
      </w:r>
      <w:r w:rsidR="00556203" w:rsidRPr="000D0573">
        <w:rPr>
          <w:rFonts w:eastAsia="Times New Roman" w:cs="Times New Roman"/>
          <w:szCs w:val="24"/>
        </w:rPr>
        <w:t xml:space="preserve">projektuose bus skiriama duomenų bazių </w:t>
      </w:r>
      <w:r w:rsidR="002A11D6" w:rsidRPr="000D0573">
        <w:rPr>
          <w:rFonts w:eastAsia="Times New Roman" w:cs="Times New Roman"/>
          <w:szCs w:val="24"/>
        </w:rPr>
        <w:t xml:space="preserve">prenumeratos </w:t>
      </w:r>
      <w:r w:rsidR="00556203" w:rsidRPr="000D0573">
        <w:rPr>
          <w:rFonts w:eastAsia="Times New Roman" w:cs="Times New Roman"/>
          <w:szCs w:val="24"/>
        </w:rPr>
        <w:t>mokesčiams. Tačiau</w:t>
      </w:r>
      <w:r w:rsidR="00B1596C" w:rsidRPr="000D0573">
        <w:rPr>
          <w:rFonts w:eastAsia="Times New Roman" w:cs="Times New Roman"/>
          <w:szCs w:val="24"/>
        </w:rPr>
        <w:t>,</w:t>
      </w:r>
      <w:r w:rsidR="00556203" w:rsidRPr="000D0573">
        <w:rPr>
          <w:rFonts w:eastAsia="Times New Roman" w:cs="Times New Roman"/>
          <w:szCs w:val="24"/>
        </w:rPr>
        <w:t xml:space="preserve"> vykdant veiklas</w:t>
      </w:r>
      <w:r w:rsidR="00B1596C" w:rsidRPr="000D0573">
        <w:rPr>
          <w:rFonts w:eastAsia="Times New Roman" w:cs="Times New Roman"/>
          <w:szCs w:val="24"/>
        </w:rPr>
        <w:t>,</w:t>
      </w:r>
      <w:r w:rsidR="00556203" w:rsidRPr="000D0573">
        <w:rPr>
          <w:rFonts w:eastAsia="Times New Roman" w:cs="Times New Roman"/>
          <w:szCs w:val="24"/>
        </w:rPr>
        <w:t xml:space="preserve"> gali kilti poreikis kataloguoti duomenų bazes, integruoti jas į esamas mokymosi </w:t>
      </w:r>
      <w:r w:rsidR="00CB49BF">
        <w:rPr>
          <w:rFonts w:eastAsia="Times New Roman" w:cs="Times New Roman"/>
          <w:szCs w:val="24"/>
        </w:rPr>
        <w:t>aplinkas</w:t>
      </w:r>
      <w:r w:rsidR="00CB49BF" w:rsidRPr="000D0573">
        <w:rPr>
          <w:rFonts w:eastAsia="Times New Roman" w:cs="Times New Roman"/>
          <w:szCs w:val="24"/>
        </w:rPr>
        <w:t xml:space="preserve"> </w:t>
      </w:r>
      <w:r w:rsidR="00556203" w:rsidRPr="000D0573">
        <w:rPr>
          <w:rFonts w:eastAsia="Times New Roman" w:cs="Times New Roman"/>
          <w:szCs w:val="24"/>
        </w:rPr>
        <w:t>ir panašioms veikloms</w:t>
      </w:r>
      <w:r w:rsidR="00B1596C" w:rsidRPr="000D0573">
        <w:rPr>
          <w:rFonts w:eastAsia="Times New Roman" w:cs="Times New Roman"/>
          <w:szCs w:val="24"/>
        </w:rPr>
        <w:t xml:space="preserve">. Todėl </w:t>
      </w:r>
      <w:r w:rsidR="00556203" w:rsidRPr="000D0573">
        <w:rPr>
          <w:rFonts w:eastAsia="Times New Roman" w:cs="Times New Roman"/>
          <w:szCs w:val="24"/>
        </w:rPr>
        <w:t xml:space="preserve">gali būti įdarbinamas aukštųjų mokyklų personalas, turintis atitinkamas kompetencijas. Kadangi prieinamumo prie tarptautinių duomenų bazių didinimas tiesiogiai susijęs su galimybe </w:t>
      </w:r>
      <w:r w:rsidR="00C725C3">
        <w:rPr>
          <w:rFonts w:eastAsia="Times New Roman" w:cs="Times New Roman"/>
          <w:szCs w:val="24"/>
        </w:rPr>
        <w:t xml:space="preserve">mokslininkams, studentams, dėstytojams </w:t>
      </w:r>
      <w:r w:rsidR="00556203" w:rsidRPr="000D0573">
        <w:rPr>
          <w:rFonts w:eastAsia="Times New Roman" w:cs="Times New Roman"/>
          <w:szCs w:val="24"/>
        </w:rPr>
        <w:t xml:space="preserve">naudotis geresnės kokybės ištekliais, </w:t>
      </w:r>
      <w:r w:rsidR="00E61E88" w:rsidRPr="000D0573">
        <w:rPr>
          <w:rFonts w:eastAsia="Times New Roman" w:cs="Times New Roman"/>
          <w:szCs w:val="24"/>
        </w:rPr>
        <w:t xml:space="preserve">šios </w:t>
      </w:r>
      <w:r w:rsidR="00556203" w:rsidRPr="000D0573">
        <w:rPr>
          <w:rFonts w:eastAsia="Times New Roman" w:cs="Times New Roman"/>
          <w:szCs w:val="24"/>
        </w:rPr>
        <w:t xml:space="preserve">veiklų grupės </w:t>
      </w:r>
      <w:r w:rsidR="00E61E88" w:rsidRPr="000D0573">
        <w:rPr>
          <w:rFonts w:eastAsia="Times New Roman" w:cs="Times New Roman"/>
          <w:szCs w:val="24"/>
        </w:rPr>
        <w:t xml:space="preserve">projektų </w:t>
      </w:r>
      <w:r w:rsidR="00556203" w:rsidRPr="000D0573">
        <w:rPr>
          <w:rFonts w:eastAsia="Times New Roman" w:cs="Times New Roman"/>
          <w:szCs w:val="24"/>
        </w:rPr>
        <w:t xml:space="preserve">įgyvendinimas prisidės prie galimybės užtikrinti geresnes mokymosi galimybes mokslo bendruomenei. </w:t>
      </w:r>
      <w:r w:rsidR="00B1596C" w:rsidRPr="000D0573">
        <w:rPr>
          <w:rFonts w:eastAsia="Times New Roman" w:cs="Times New Roman"/>
          <w:szCs w:val="24"/>
        </w:rPr>
        <w:t xml:space="preserve">Taigi </w:t>
      </w:r>
      <w:r w:rsidR="00556203" w:rsidRPr="000D0573">
        <w:rPr>
          <w:rFonts w:eastAsia="Times New Roman" w:cs="Times New Roman"/>
          <w:szCs w:val="24"/>
        </w:rPr>
        <w:t xml:space="preserve">šioje veikloje patirtos darbo užmokesčio išlaidos galėtų būti apmokamos taikant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556203" w:rsidRPr="000D0573">
        <w:rPr>
          <w:rFonts w:eastAsia="Times New Roman" w:cs="Times New Roman"/>
          <w:i/>
          <w:szCs w:val="24"/>
        </w:rPr>
        <w:t xml:space="preserve"> </w:t>
      </w:r>
      <w:r w:rsidR="00B1596C" w:rsidRPr="000D0573">
        <w:rPr>
          <w:rFonts w:eastAsia="Times New Roman" w:cs="Times New Roman"/>
          <w:szCs w:val="24"/>
        </w:rPr>
        <w:t>fiksuot</w:t>
      </w:r>
      <w:r w:rsidR="00E61E88" w:rsidRPr="000D0573">
        <w:rPr>
          <w:rFonts w:eastAsia="Times New Roman" w:cs="Times New Roman"/>
          <w:szCs w:val="24"/>
        </w:rPr>
        <w:t>uo</w:t>
      </w:r>
      <w:r w:rsidR="00B1596C" w:rsidRPr="000D0573">
        <w:rPr>
          <w:rFonts w:eastAsia="Times New Roman" w:cs="Times New Roman"/>
          <w:szCs w:val="24"/>
        </w:rPr>
        <w:t xml:space="preserve">sius </w:t>
      </w:r>
      <w:r w:rsidR="00556203" w:rsidRPr="000D0573">
        <w:rPr>
          <w:rFonts w:eastAsia="Times New Roman" w:cs="Times New Roman"/>
          <w:szCs w:val="24"/>
        </w:rPr>
        <w:t>įkainius.</w:t>
      </w:r>
    </w:p>
    <w:p w:rsidR="00A277D1" w:rsidRPr="000D0573" w:rsidRDefault="00A277D1" w:rsidP="00FD0B92">
      <w:pPr>
        <w:tabs>
          <w:tab w:val="left" w:pos="9600"/>
        </w:tabs>
        <w:spacing w:before="240"/>
        <w:ind w:right="74"/>
        <w:jc w:val="both"/>
        <w:rPr>
          <w:rFonts w:eastAsia="Times New Roman" w:cs="Arial"/>
          <w:color w:val="222222"/>
          <w:shd w:val="clear" w:color="auto" w:fill="FFFFFF"/>
        </w:rPr>
      </w:pPr>
      <w:r w:rsidRPr="000D0573">
        <w:rPr>
          <w:rFonts w:eastAsia="Times New Roman" w:cs="Times New Roman"/>
          <w:szCs w:val="24"/>
        </w:rPr>
        <w:t xml:space="preserve">Pagal priemonę </w:t>
      </w:r>
      <w:r w:rsidRPr="000D0573">
        <w:rPr>
          <w:rFonts w:eastAsia="Times New Roman" w:cs="Times New Roman"/>
          <w:b/>
          <w:szCs w:val="24"/>
        </w:rPr>
        <w:t>„Studijų prieinamumo didinimas“</w:t>
      </w:r>
      <w:r w:rsidRPr="000D0573">
        <w:rPr>
          <w:rFonts w:eastAsia="Times New Roman" w:cs="Times New Roman"/>
          <w:szCs w:val="24"/>
        </w:rPr>
        <w:t xml:space="preserve"> (Nr. 09.3.1-ESFA-V-708</w:t>
      </w:r>
      <w:r w:rsidR="00C656D9" w:rsidRPr="000D0573">
        <w:rPr>
          <w:rFonts w:eastAsia="Times New Roman" w:cs="Times New Roman"/>
          <w:bCs/>
          <w:szCs w:val="24"/>
        </w:rPr>
        <w:t xml:space="preserve">) remiama viena veiklų grupė </w:t>
      </w:r>
      <w:r w:rsidR="009E22F7" w:rsidRPr="000D0573">
        <w:rPr>
          <w:rFonts w:eastAsia="Times New Roman" w:cs="Times New Roman"/>
          <w:bCs/>
          <w:szCs w:val="24"/>
        </w:rPr>
        <w:t xml:space="preserve">– </w:t>
      </w:r>
      <w:r w:rsidR="00C656D9" w:rsidRPr="000D0573">
        <w:rPr>
          <w:color w:val="000000"/>
        </w:rPr>
        <w:t>socialinės ir finansinės paskatos bei pagalba studentams iš socialiai jautrių, socialinės atskirties, mažai atstovaujamų grupių, t.</w:t>
      </w:r>
      <w:r w:rsidR="009E22F7" w:rsidRPr="000D0573">
        <w:rPr>
          <w:color w:val="000000"/>
        </w:rPr>
        <w:t> </w:t>
      </w:r>
      <w:r w:rsidR="00C656D9" w:rsidRPr="000D0573">
        <w:rPr>
          <w:color w:val="000000"/>
        </w:rPr>
        <w:t>y. neįgaliems studentams, turintiems specialiųjų poreikių, kurie lemia mokymosi sunkumus</w:t>
      </w:r>
      <w:r w:rsidRPr="000D0573">
        <w:rPr>
          <w:rFonts w:eastAsia="Times New Roman" w:cs="Times New Roman"/>
          <w:szCs w:val="24"/>
        </w:rPr>
        <w:t>.</w:t>
      </w:r>
      <w:r w:rsidR="00C656D9" w:rsidRPr="000D0573">
        <w:rPr>
          <w:rFonts w:eastAsia="Times New Roman" w:cs="Times New Roman"/>
          <w:szCs w:val="24"/>
        </w:rPr>
        <w:t xml:space="preserve"> </w:t>
      </w:r>
      <w:r w:rsidR="00CF093D" w:rsidRPr="000D0573">
        <w:rPr>
          <w:rFonts w:eastAsia="Times New Roman" w:cs="Arial"/>
          <w:color w:val="222222"/>
          <w:shd w:val="clear" w:color="auto" w:fill="FFFFFF"/>
        </w:rPr>
        <w:t xml:space="preserve">Dėl šios veiklos finansavimo jau yra paskelbtas įsakymas ir </w:t>
      </w:r>
      <w:r w:rsidR="00E61E88" w:rsidRPr="000D0573">
        <w:rPr>
          <w:rFonts w:eastAsia="Times New Roman" w:cs="Arial"/>
          <w:color w:val="222222"/>
          <w:shd w:val="clear" w:color="auto" w:fill="FFFFFF"/>
        </w:rPr>
        <w:t xml:space="preserve">numatytas </w:t>
      </w:r>
      <w:r w:rsidR="00CF093D" w:rsidRPr="000D0573">
        <w:rPr>
          <w:rFonts w:eastAsia="Times New Roman" w:cs="Arial"/>
          <w:color w:val="222222"/>
          <w:shd w:val="clear" w:color="auto" w:fill="FFFFFF"/>
        </w:rPr>
        <w:t xml:space="preserve">projekto </w:t>
      </w:r>
      <w:r w:rsidR="00E61E88" w:rsidRPr="000D0573">
        <w:rPr>
          <w:rFonts w:eastAsia="Times New Roman" w:cs="Arial"/>
          <w:color w:val="222222"/>
          <w:shd w:val="clear" w:color="auto" w:fill="FFFFFF"/>
        </w:rPr>
        <w:t xml:space="preserve">vykdytojas – </w:t>
      </w:r>
      <w:r w:rsidR="00CF093D" w:rsidRPr="000D0573">
        <w:rPr>
          <w:rFonts w:eastAsia="Times New Roman" w:cs="Arial"/>
          <w:color w:val="222222"/>
          <w:shd w:val="clear" w:color="auto" w:fill="FFFFFF"/>
        </w:rPr>
        <w:t>Valstybinis studijų fondas.</w:t>
      </w:r>
      <w:r w:rsidR="006B0423" w:rsidRPr="000D0573">
        <w:rPr>
          <w:rFonts w:eastAsia="Times New Roman" w:cs="Arial"/>
          <w:color w:val="222222"/>
          <w:shd w:val="clear" w:color="auto" w:fill="FFFFFF"/>
        </w:rPr>
        <w:t xml:space="preserve"> Nors </w:t>
      </w:r>
      <w:r w:rsidR="00E61E88" w:rsidRPr="000D0573">
        <w:rPr>
          <w:rFonts w:eastAsia="Times New Roman" w:cs="Arial"/>
          <w:color w:val="222222"/>
          <w:shd w:val="clear" w:color="auto" w:fill="FFFFFF"/>
        </w:rPr>
        <w:t xml:space="preserve">kaip partneriai </w:t>
      </w:r>
      <w:r w:rsidR="006B0423" w:rsidRPr="000D0573">
        <w:rPr>
          <w:rFonts w:eastAsia="Times New Roman" w:cs="Arial"/>
          <w:color w:val="222222"/>
          <w:shd w:val="clear" w:color="auto" w:fill="FFFFFF"/>
        </w:rPr>
        <w:t xml:space="preserve">numatytos aukštosios mokyklos, tačiau jų funkcijos projekte apsiriboja dalyvavimu mokymuose </w:t>
      </w:r>
      <w:r w:rsidR="00E61E88" w:rsidRPr="000D0573">
        <w:rPr>
          <w:rFonts w:eastAsia="Times New Roman" w:cs="Arial"/>
          <w:color w:val="222222"/>
          <w:shd w:val="clear" w:color="auto" w:fill="FFFFFF"/>
        </w:rPr>
        <w:t xml:space="preserve">ir </w:t>
      </w:r>
      <w:r w:rsidR="006B0423" w:rsidRPr="000D0573">
        <w:rPr>
          <w:rFonts w:eastAsia="Times New Roman" w:cs="Arial"/>
          <w:color w:val="222222"/>
          <w:shd w:val="clear" w:color="auto" w:fill="FFFFFF"/>
        </w:rPr>
        <w:t xml:space="preserve">Valstybinio studijų fondo nupirktos techninės ir programinės įrangos perėmimu </w:t>
      </w:r>
      <w:r w:rsidR="00F866D0" w:rsidRPr="000D0573">
        <w:rPr>
          <w:rFonts w:eastAsia="Times New Roman" w:cs="Arial"/>
          <w:color w:val="222222"/>
          <w:shd w:val="clear" w:color="auto" w:fill="FFFFFF"/>
        </w:rPr>
        <w:t xml:space="preserve">bei </w:t>
      </w:r>
      <w:r w:rsidR="006B0423" w:rsidRPr="000D0573">
        <w:rPr>
          <w:rFonts w:eastAsia="Times New Roman" w:cs="Arial"/>
          <w:color w:val="222222"/>
          <w:shd w:val="clear" w:color="auto" w:fill="FFFFFF"/>
        </w:rPr>
        <w:t xml:space="preserve">suteikimu savo studentams naudotis. 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 </w:t>
      </w:r>
      <w:r w:rsidR="006B0423" w:rsidRPr="000D0573">
        <w:rPr>
          <w:rFonts w:eastAsia="Times New Roman" w:cs="Times New Roman"/>
          <w:szCs w:val="24"/>
        </w:rPr>
        <w:t>programoje naudojami</w:t>
      </w:r>
      <w:r w:rsidR="006B0423" w:rsidRPr="000D0573">
        <w:rPr>
          <w:rFonts w:eastAsia="Times New Roman" w:cs="Arial"/>
          <w:color w:val="222222"/>
          <w:shd w:val="clear" w:color="auto" w:fill="FFFFFF"/>
        </w:rPr>
        <w:t xml:space="preserve"> </w:t>
      </w:r>
      <w:r w:rsidR="00F866D0" w:rsidRPr="000D0573">
        <w:rPr>
          <w:rFonts w:eastAsia="Times New Roman" w:cs="Arial"/>
          <w:color w:val="222222"/>
          <w:shd w:val="clear" w:color="auto" w:fill="FFFFFF"/>
        </w:rPr>
        <w:t xml:space="preserve">fiksuotieji </w:t>
      </w:r>
      <w:r w:rsidR="006B0423" w:rsidRPr="000D0573">
        <w:rPr>
          <w:rFonts w:eastAsia="Times New Roman" w:cs="Arial"/>
          <w:color w:val="222222"/>
          <w:shd w:val="clear" w:color="auto" w:fill="FFFFFF"/>
        </w:rPr>
        <w:t xml:space="preserve">įkainiai skirti tik projektams, kuriuose numatytos aukštųjų mokyklų personalo darbo užmokesčio išlaidos, šiuo tyrimu nustatomi fiksuotieji įkainiai </w:t>
      </w:r>
      <w:r w:rsidR="00F866D0" w:rsidRPr="000D0573">
        <w:rPr>
          <w:rFonts w:eastAsia="Times New Roman" w:cs="Arial"/>
          <w:color w:val="222222"/>
          <w:shd w:val="clear" w:color="auto" w:fill="FFFFFF"/>
        </w:rPr>
        <w:t xml:space="preserve">aptariamai </w:t>
      </w:r>
      <w:r w:rsidR="006B0423" w:rsidRPr="000D0573">
        <w:rPr>
          <w:rFonts w:eastAsia="Times New Roman" w:cs="Arial"/>
          <w:color w:val="222222"/>
          <w:shd w:val="clear" w:color="auto" w:fill="FFFFFF"/>
        </w:rPr>
        <w:t>veiklai nebūt</w:t>
      </w:r>
      <w:r w:rsidR="000132E0" w:rsidRPr="000D0573">
        <w:rPr>
          <w:rFonts w:eastAsia="Times New Roman" w:cs="Arial"/>
          <w:color w:val="222222"/>
          <w:shd w:val="clear" w:color="auto" w:fill="FFFFFF"/>
        </w:rPr>
        <w:t>ų</w:t>
      </w:r>
      <w:r w:rsidR="006B0423" w:rsidRPr="000D0573">
        <w:rPr>
          <w:rFonts w:eastAsia="Times New Roman" w:cs="Arial"/>
          <w:color w:val="222222"/>
          <w:shd w:val="clear" w:color="auto" w:fill="FFFFFF"/>
        </w:rPr>
        <w:t xml:space="preserve"> taikomi.</w:t>
      </w:r>
      <w:r w:rsidR="000132E0" w:rsidRPr="000D0573">
        <w:rPr>
          <w:rFonts w:eastAsia="Times New Roman" w:cs="Arial"/>
          <w:color w:val="222222"/>
          <w:shd w:val="clear" w:color="auto" w:fill="FFFFFF"/>
        </w:rPr>
        <w:t xml:space="preserve"> </w:t>
      </w:r>
      <w:r w:rsidR="002B79A4" w:rsidRPr="000D0573">
        <w:rPr>
          <w:rFonts w:eastAsia="Times New Roman" w:cs="Arial"/>
          <w:color w:val="222222"/>
          <w:shd w:val="clear" w:color="auto" w:fill="FFFFFF"/>
        </w:rPr>
        <w:t xml:space="preserve"> </w:t>
      </w:r>
    </w:p>
    <w:p w:rsidR="00F1585E" w:rsidRPr="000D0573" w:rsidRDefault="00A32B40" w:rsidP="00FD0B92">
      <w:pPr>
        <w:tabs>
          <w:tab w:val="left" w:pos="9600"/>
        </w:tabs>
        <w:spacing w:before="240"/>
        <w:ind w:right="74"/>
        <w:jc w:val="both"/>
        <w:rPr>
          <w:rFonts w:eastAsia="Times New Roman" w:cs="Times New Roman"/>
          <w:szCs w:val="24"/>
        </w:rPr>
      </w:pPr>
      <w:r w:rsidRPr="000D0573">
        <w:rPr>
          <w:rFonts w:eastAsia="Times New Roman" w:cs="Times New Roman"/>
          <w:szCs w:val="24"/>
        </w:rPr>
        <w:t xml:space="preserve">Pagal priemonę </w:t>
      </w:r>
      <w:r w:rsidRPr="000D0573">
        <w:rPr>
          <w:rFonts w:eastAsia="Times New Roman" w:cs="Times New Roman"/>
          <w:b/>
          <w:szCs w:val="24"/>
        </w:rPr>
        <w:t>„</w:t>
      </w:r>
      <w:r w:rsidR="00FE1B71" w:rsidRPr="000D0573">
        <w:rPr>
          <w:rFonts w:eastAsia="Times New Roman" w:cs="Times New Roman"/>
          <w:b/>
          <w:szCs w:val="24"/>
        </w:rPr>
        <w:t xml:space="preserve">Studijų </w:t>
      </w:r>
      <w:proofErr w:type="spellStart"/>
      <w:r w:rsidR="00FE1B71" w:rsidRPr="000D0573">
        <w:rPr>
          <w:rFonts w:eastAsia="Times New Roman" w:cs="Times New Roman"/>
          <w:b/>
          <w:szCs w:val="24"/>
        </w:rPr>
        <w:t>tarptautiškumo</w:t>
      </w:r>
      <w:proofErr w:type="spellEnd"/>
      <w:r w:rsidR="00FE1B71" w:rsidRPr="000D0573">
        <w:rPr>
          <w:rFonts w:eastAsia="Times New Roman" w:cs="Times New Roman"/>
          <w:b/>
          <w:szCs w:val="24"/>
        </w:rPr>
        <w:t xml:space="preserve"> didinimas</w:t>
      </w:r>
      <w:r w:rsidRPr="000D0573">
        <w:rPr>
          <w:rFonts w:eastAsia="Times New Roman" w:cs="Times New Roman"/>
          <w:b/>
          <w:szCs w:val="24"/>
        </w:rPr>
        <w:t>“</w:t>
      </w:r>
      <w:r w:rsidRPr="000D0573">
        <w:rPr>
          <w:rFonts w:eastAsia="Times New Roman" w:cs="Times New Roman"/>
          <w:szCs w:val="24"/>
        </w:rPr>
        <w:t xml:space="preserve"> (Nr. 09.3.1-ESFA-V-709</w:t>
      </w:r>
      <w:r w:rsidRPr="000D0573">
        <w:rPr>
          <w:rFonts w:eastAsia="Times New Roman" w:cs="Times New Roman"/>
          <w:bCs/>
          <w:szCs w:val="24"/>
        </w:rPr>
        <w:t>)</w:t>
      </w:r>
      <w:r w:rsidR="00CB5B05" w:rsidRPr="000D0573">
        <w:rPr>
          <w:rFonts w:eastAsia="Times New Roman" w:cs="Times New Roman"/>
          <w:bCs/>
          <w:szCs w:val="24"/>
        </w:rPr>
        <w:t xml:space="preserve"> planuojama finansuoti tris veiklų grupes. Pirmoji </w:t>
      </w:r>
      <w:r w:rsidR="00CB5B05" w:rsidRPr="00CB49BF">
        <w:rPr>
          <w:rFonts w:eastAsia="Times New Roman" w:cs="Times New Roman"/>
          <w:bCs/>
          <w:szCs w:val="24"/>
        </w:rPr>
        <w:t xml:space="preserve">remiama veiklų grupė yra </w:t>
      </w:r>
      <w:r w:rsidR="00CB5B05" w:rsidRPr="00CB49BF">
        <w:rPr>
          <w:color w:val="000000"/>
        </w:rPr>
        <w:t>Lietuvos mokslo ir studijų institucijų ir užsienio šalių lituanistikos (baltistikos) centrų bendradarbiavimas</w:t>
      </w:r>
      <w:r w:rsidR="00CB5B05" w:rsidRPr="000D0573">
        <w:rPr>
          <w:color w:val="000000"/>
        </w:rPr>
        <w:t>.</w:t>
      </w:r>
      <w:r w:rsidR="0016092E" w:rsidRPr="000D0573">
        <w:rPr>
          <w:color w:val="000000"/>
        </w:rPr>
        <w:t xml:space="preserve"> Nors </w:t>
      </w:r>
      <w:r w:rsidR="00F866D0" w:rsidRPr="000D0573">
        <w:rPr>
          <w:color w:val="000000"/>
        </w:rPr>
        <w:t xml:space="preserve">dauguma </w:t>
      </w:r>
      <w:r w:rsidR="0016092E" w:rsidRPr="000D0573">
        <w:rPr>
          <w:color w:val="000000"/>
        </w:rPr>
        <w:t xml:space="preserve">veiklų bus susijusi su studentų ir aukštųjų mokyklų personalo mobilumu, tačiau bendradarbiaujant skirtingoms institucijoms gali būti </w:t>
      </w:r>
      <w:r w:rsidR="00F866D0" w:rsidRPr="000D0573">
        <w:rPr>
          <w:color w:val="000000"/>
        </w:rPr>
        <w:t xml:space="preserve">sukurta </w:t>
      </w:r>
      <w:r w:rsidR="0016092E" w:rsidRPr="000D0573">
        <w:rPr>
          <w:color w:val="000000"/>
        </w:rPr>
        <w:t xml:space="preserve">ir </w:t>
      </w:r>
      <w:r w:rsidR="00F866D0" w:rsidRPr="000D0573">
        <w:rPr>
          <w:color w:val="000000"/>
        </w:rPr>
        <w:t>intelektinių produktų</w:t>
      </w:r>
      <w:r w:rsidR="0016092E" w:rsidRPr="000D0573">
        <w:rPr>
          <w:color w:val="000000"/>
        </w:rPr>
        <w:t xml:space="preserve">. Tokių produktų pavyzdžiai galėtų būti atnaujintos studijų programos arba atskiri programų moduliai; sukurta ir aprašyta praktikų </w:t>
      </w:r>
      <w:r w:rsidR="00F866D0" w:rsidRPr="000D0573">
        <w:rPr>
          <w:color w:val="000000"/>
        </w:rPr>
        <w:t xml:space="preserve">skirtinguose </w:t>
      </w:r>
      <w:r w:rsidR="0016092E" w:rsidRPr="000D0573">
        <w:rPr>
          <w:color w:val="000000"/>
        </w:rPr>
        <w:t xml:space="preserve">centruose organizavimo sistema ir pan. </w:t>
      </w:r>
      <w:r w:rsidR="0016092E" w:rsidRPr="000D0573">
        <w:rPr>
          <w:rFonts w:eastAsia="Times New Roman" w:cs="Times New Roman"/>
          <w:szCs w:val="24"/>
        </w:rPr>
        <w:t xml:space="preserve">Todėl šioje veikloje patirtos aukštųjų mokyklų personalo darbo užmokesčio išlaidos galėtų būti apmokamos taikant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 </w:t>
      </w:r>
      <w:r w:rsidR="0016092E" w:rsidRPr="000D0573">
        <w:rPr>
          <w:rFonts w:eastAsia="Times New Roman" w:cs="Times New Roman"/>
          <w:szCs w:val="24"/>
        </w:rPr>
        <w:t>fiksuotu</w:t>
      </w:r>
      <w:r w:rsidR="00F866D0" w:rsidRPr="000D0573">
        <w:rPr>
          <w:rFonts w:eastAsia="Times New Roman" w:cs="Times New Roman"/>
          <w:szCs w:val="24"/>
        </w:rPr>
        <w:t>osius</w:t>
      </w:r>
      <w:r w:rsidR="0016092E" w:rsidRPr="000D0573">
        <w:rPr>
          <w:rFonts w:eastAsia="Times New Roman" w:cs="Times New Roman"/>
          <w:szCs w:val="24"/>
        </w:rPr>
        <w:t xml:space="preserve"> įkainius.</w:t>
      </w:r>
    </w:p>
    <w:p w:rsidR="006E0851" w:rsidRPr="000D0573" w:rsidRDefault="00F866D0" w:rsidP="00FD0B92">
      <w:pPr>
        <w:tabs>
          <w:tab w:val="left" w:pos="9600"/>
        </w:tabs>
        <w:spacing w:before="240"/>
        <w:ind w:right="74"/>
        <w:jc w:val="both"/>
        <w:rPr>
          <w:rFonts w:eastAsia="Times New Roman" w:cs="Arial"/>
          <w:color w:val="222222"/>
          <w:shd w:val="clear" w:color="auto" w:fill="FFFFFF"/>
        </w:rPr>
      </w:pPr>
      <w:r w:rsidRPr="000D0573">
        <w:rPr>
          <w:rFonts w:eastAsia="Times New Roman" w:cs="Times New Roman"/>
          <w:szCs w:val="24"/>
        </w:rPr>
        <w:t xml:space="preserve">Antroji </w:t>
      </w:r>
      <w:r w:rsidR="006E0851" w:rsidRPr="000D0573">
        <w:rPr>
          <w:rFonts w:eastAsia="Times New Roman" w:cs="Times New Roman"/>
          <w:szCs w:val="24"/>
        </w:rPr>
        <w:t>numatoma veiklų gr</w:t>
      </w:r>
      <w:r w:rsidR="00C34DEA" w:rsidRPr="000D0573">
        <w:rPr>
          <w:rFonts w:eastAsia="Times New Roman" w:cs="Times New Roman"/>
          <w:szCs w:val="24"/>
        </w:rPr>
        <w:t>upė</w:t>
      </w:r>
      <w:r w:rsidR="006E0851" w:rsidRPr="000D0573">
        <w:rPr>
          <w:rFonts w:eastAsia="Times New Roman" w:cs="Times New Roman"/>
          <w:szCs w:val="24"/>
        </w:rPr>
        <w:t xml:space="preserve"> </w:t>
      </w:r>
      <w:r w:rsidR="009E22F7" w:rsidRPr="000D0573">
        <w:rPr>
          <w:rFonts w:eastAsia="Times New Roman" w:cs="Times New Roman"/>
          <w:szCs w:val="24"/>
        </w:rPr>
        <w:t>–</w:t>
      </w:r>
      <w:r w:rsidR="006E0851" w:rsidRPr="000D0573">
        <w:rPr>
          <w:rFonts w:eastAsia="Times New Roman" w:cs="Times New Roman"/>
          <w:szCs w:val="24"/>
        </w:rPr>
        <w:t xml:space="preserve"> </w:t>
      </w:r>
      <w:r w:rsidR="006E0851" w:rsidRPr="000D0573">
        <w:rPr>
          <w:color w:val="000000"/>
        </w:rPr>
        <w:t xml:space="preserve">studentų mobilumo skatinimas (studijų pagal </w:t>
      </w:r>
      <w:r w:rsidRPr="000D0573">
        <w:rPr>
          <w:color w:val="000000"/>
        </w:rPr>
        <w:t>„</w:t>
      </w:r>
      <w:proofErr w:type="spellStart"/>
      <w:r w:rsidR="006E0851" w:rsidRPr="000D0573">
        <w:rPr>
          <w:color w:val="000000"/>
        </w:rPr>
        <w:t>Erasmus</w:t>
      </w:r>
      <w:proofErr w:type="spellEnd"/>
      <w:r w:rsidR="006E0851" w:rsidRPr="000D0573">
        <w:rPr>
          <w:color w:val="000000"/>
        </w:rPr>
        <w:t>+</w:t>
      </w:r>
      <w:r w:rsidRPr="000D0573">
        <w:rPr>
          <w:color w:val="000000"/>
        </w:rPr>
        <w:t>“</w:t>
      </w:r>
      <w:r w:rsidR="006E0851" w:rsidRPr="000D0573">
        <w:rPr>
          <w:color w:val="000000"/>
        </w:rPr>
        <w:t xml:space="preserve"> programą </w:t>
      </w:r>
      <w:r w:rsidRPr="000D0573">
        <w:rPr>
          <w:color w:val="000000"/>
        </w:rPr>
        <w:t xml:space="preserve">ir </w:t>
      </w:r>
      <w:r w:rsidR="006E0851" w:rsidRPr="000D0573">
        <w:rPr>
          <w:color w:val="000000"/>
        </w:rPr>
        <w:t xml:space="preserve">tarptautinių praktikų pagal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6E0851" w:rsidRPr="000D0573">
        <w:rPr>
          <w:color w:val="000000"/>
        </w:rPr>
        <w:t xml:space="preserve"> programą ir lituanistinėse mokyklose finansavimas) ir jungtinių studijų programų vykdymas (t. y. studentų </w:t>
      </w:r>
      <w:proofErr w:type="spellStart"/>
      <w:r w:rsidR="006E0851" w:rsidRPr="000D0573">
        <w:rPr>
          <w:color w:val="000000"/>
        </w:rPr>
        <w:t>judumas</w:t>
      </w:r>
      <w:proofErr w:type="spellEnd"/>
      <w:r w:rsidR="006E0851" w:rsidRPr="000D0573">
        <w:rPr>
          <w:color w:val="000000"/>
        </w:rPr>
        <w:t xml:space="preserve"> jungtinių studijų programose). </w:t>
      </w:r>
      <w:r w:rsidR="004A5BB7" w:rsidRPr="000D0573">
        <w:rPr>
          <w:color w:val="000000"/>
        </w:rPr>
        <w:t xml:space="preserve">Kaip ir pirmosios veiklų grupės atveju, </w:t>
      </w:r>
      <w:r w:rsidRPr="000D0573">
        <w:rPr>
          <w:color w:val="000000"/>
        </w:rPr>
        <w:t>dauguma</w:t>
      </w:r>
      <w:r w:rsidR="004A5BB7" w:rsidRPr="000D0573">
        <w:rPr>
          <w:color w:val="000000"/>
        </w:rPr>
        <w:t xml:space="preserve"> veiklų bus </w:t>
      </w:r>
      <w:r w:rsidRPr="000D0573">
        <w:rPr>
          <w:color w:val="000000"/>
        </w:rPr>
        <w:t xml:space="preserve">nukreipta </w:t>
      </w:r>
      <w:r w:rsidR="004A5BB7" w:rsidRPr="000D0573">
        <w:rPr>
          <w:color w:val="000000"/>
        </w:rPr>
        <w:t>į studentų ir aukštųjų mokyklų personalo mobilumo skatinim</w:t>
      </w:r>
      <w:r w:rsidR="00C34DEA" w:rsidRPr="000D0573">
        <w:rPr>
          <w:color w:val="000000"/>
        </w:rPr>
        <w:t xml:space="preserve">ą. </w:t>
      </w:r>
      <w:r w:rsidR="00C23D02" w:rsidRPr="000D0573">
        <w:rPr>
          <w:color w:val="000000"/>
        </w:rPr>
        <w:t>P</w:t>
      </w:r>
      <w:r w:rsidR="00C34DEA" w:rsidRPr="000D0573">
        <w:rPr>
          <w:color w:val="000000"/>
        </w:rPr>
        <w:t xml:space="preserve">riešingai </w:t>
      </w:r>
      <w:r w:rsidRPr="000D0573">
        <w:rPr>
          <w:color w:val="000000"/>
        </w:rPr>
        <w:t xml:space="preserve">negu </w:t>
      </w:r>
      <w:r w:rsidR="00C34DEA" w:rsidRPr="000D0573">
        <w:rPr>
          <w:color w:val="000000"/>
        </w:rPr>
        <w:t xml:space="preserve">pirmosios veiklų grupės atveju, aukštųjų mokyklų personalas </w:t>
      </w:r>
      <w:r w:rsidR="00C23D02" w:rsidRPr="000D0573">
        <w:rPr>
          <w:color w:val="000000"/>
        </w:rPr>
        <w:t xml:space="preserve">nebus įdarbinamas. </w:t>
      </w:r>
      <w:r w:rsidR="00C23D02" w:rsidRPr="000D0573">
        <w:rPr>
          <w:rFonts w:eastAsia="Times New Roman" w:cs="Arial"/>
          <w:color w:val="222222"/>
          <w:shd w:val="clear" w:color="auto" w:fill="FFFFFF"/>
        </w:rPr>
        <w:t xml:space="preserve">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 </w:t>
      </w:r>
      <w:r w:rsidR="00C23D02" w:rsidRPr="000D0573">
        <w:rPr>
          <w:rFonts w:eastAsia="Times New Roman" w:cs="Times New Roman"/>
          <w:i/>
          <w:szCs w:val="24"/>
        </w:rPr>
        <w:t xml:space="preserve"> </w:t>
      </w:r>
      <w:r w:rsidR="00C23D02" w:rsidRPr="000D0573">
        <w:rPr>
          <w:rFonts w:eastAsia="Times New Roman" w:cs="Times New Roman"/>
          <w:szCs w:val="24"/>
        </w:rPr>
        <w:t>programoje naudojami</w:t>
      </w:r>
      <w:r w:rsidR="00C23D0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fiksuotieji </w:t>
      </w:r>
      <w:r w:rsidR="00C23D02" w:rsidRPr="000D0573">
        <w:rPr>
          <w:rFonts w:eastAsia="Times New Roman" w:cs="Arial"/>
          <w:color w:val="222222"/>
          <w:shd w:val="clear" w:color="auto" w:fill="FFFFFF"/>
        </w:rPr>
        <w:t xml:space="preserve">įkainiai skirti tik projektams, kuriuose numatytos aukštųjų mokyklų personalo darbo užmokesčio išlaidos, šiuo tyrimu nustatomi fiksuotieji įkainiai </w:t>
      </w:r>
      <w:r w:rsidRPr="000D0573">
        <w:rPr>
          <w:rFonts w:eastAsia="Times New Roman" w:cs="Arial"/>
          <w:color w:val="222222"/>
          <w:shd w:val="clear" w:color="auto" w:fill="FFFFFF"/>
        </w:rPr>
        <w:t xml:space="preserve">aptariamai </w:t>
      </w:r>
      <w:r w:rsidR="00C23D02" w:rsidRPr="000D0573">
        <w:rPr>
          <w:rFonts w:eastAsia="Times New Roman" w:cs="Arial"/>
          <w:color w:val="222222"/>
          <w:shd w:val="clear" w:color="auto" w:fill="FFFFFF"/>
        </w:rPr>
        <w:t>veiklai nebūt</w:t>
      </w:r>
      <w:r w:rsidR="000132E0" w:rsidRPr="000D0573">
        <w:rPr>
          <w:rFonts w:eastAsia="Times New Roman" w:cs="Arial"/>
          <w:color w:val="222222"/>
          <w:shd w:val="clear" w:color="auto" w:fill="FFFFFF"/>
        </w:rPr>
        <w:t>ų</w:t>
      </w:r>
      <w:r w:rsidR="00C23D02" w:rsidRPr="000D0573">
        <w:rPr>
          <w:rFonts w:eastAsia="Times New Roman" w:cs="Arial"/>
          <w:color w:val="222222"/>
          <w:shd w:val="clear" w:color="auto" w:fill="FFFFFF"/>
        </w:rPr>
        <w:t xml:space="preserve"> taikomi.</w:t>
      </w:r>
    </w:p>
    <w:p w:rsidR="007F6CBD" w:rsidRPr="000D0573" w:rsidRDefault="007F6CBD" w:rsidP="00FD0B92">
      <w:pPr>
        <w:tabs>
          <w:tab w:val="left" w:pos="9600"/>
        </w:tabs>
        <w:spacing w:before="240"/>
        <w:ind w:right="74"/>
        <w:jc w:val="both"/>
        <w:rPr>
          <w:rFonts w:eastAsia="Times New Roman" w:cs="Times New Roman"/>
          <w:szCs w:val="24"/>
        </w:rPr>
      </w:pPr>
      <w:r w:rsidRPr="000D0573">
        <w:rPr>
          <w:rFonts w:eastAsia="Times New Roman" w:cs="Arial"/>
          <w:color w:val="222222"/>
          <w:shd w:val="clear" w:color="auto" w:fill="FFFFFF"/>
        </w:rPr>
        <w:t xml:space="preserve">Trečioji priemonės veikla yra </w:t>
      </w:r>
      <w:r w:rsidRPr="000D0573">
        <w:rPr>
          <w:color w:val="000000"/>
        </w:rPr>
        <w:t xml:space="preserve">Lietuvos aukštųjų mokyklų (tarptautinio) žinomumo ir prestižo didinimas, studijų Lietuvoje populiarinimas. </w:t>
      </w:r>
      <w:r w:rsidR="0062625B" w:rsidRPr="000D0573">
        <w:rPr>
          <w:color w:val="000000"/>
        </w:rPr>
        <w:t xml:space="preserve">Pagrindinės projektų veiklos bus pasirengimas ir dalyvavimas įvairiose su aukštuoju mokslu susijusiose parodose. Norint sėkmingai pristatyti </w:t>
      </w:r>
      <w:r w:rsidR="0062625B" w:rsidRPr="000D0573">
        <w:rPr>
          <w:color w:val="000000"/>
        </w:rPr>
        <w:lastRenderedPageBreak/>
        <w:t xml:space="preserve">mūsų aukštojo mokslo teikiamas galimybes Lietuvoje </w:t>
      </w:r>
      <w:r w:rsidR="001A09FF" w:rsidRPr="000D0573">
        <w:rPr>
          <w:color w:val="000000"/>
        </w:rPr>
        <w:t>ir užsienio šalyse, svarbu, kad</w:t>
      </w:r>
      <w:r w:rsidR="0062625B" w:rsidRPr="000D0573">
        <w:rPr>
          <w:color w:val="000000"/>
        </w:rPr>
        <w:t xml:space="preserve"> į projekto veiklų įgyvendinimą, aukštųjų mokyklų (siūlomų studijų programų) pristatymų rengimą būtų įtrauktas akademinis aukštųjų mokyklų personalas. Šie žmonės gali </w:t>
      </w:r>
      <w:r w:rsidR="002A11D6" w:rsidRPr="000D0573">
        <w:rPr>
          <w:color w:val="000000"/>
        </w:rPr>
        <w:t xml:space="preserve">geriausiai </w:t>
      </w:r>
      <w:r w:rsidR="0062625B" w:rsidRPr="000D0573">
        <w:rPr>
          <w:color w:val="000000"/>
        </w:rPr>
        <w:t xml:space="preserve">atskleisti atitinkamų studijų programų </w:t>
      </w:r>
      <w:r w:rsidR="00B948C4" w:rsidRPr="000D0573">
        <w:rPr>
          <w:color w:val="000000"/>
        </w:rPr>
        <w:t xml:space="preserve">privalumus, </w:t>
      </w:r>
      <w:r w:rsidR="0062625B" w:rsidRPr="000D0573">
        <w:rPr>
          <w:color w:val="000000"/>
        </w:rPr>
        <w:t>sudominti potencialius studentus Lietuvoje</w:t>
      </w:r>
      <w:r w:rsidR="00B948C4" w:rsidRPr="000D0573">
        <w:rPr>
          <w:color w:val="000000"/>
        </w:rPr>
        <w:t xml:space="preserve"> ir</w:t>
      </w:r>
      <w:r w:rsidR="0062625B" w:rsidRPr="000D0573">
        <w:rPr>
          <w:color w:val="000000"/>
        </w:rPr>
        <w:t xml:space="preserve"> užsienio šalyse. Todėl sėkmingas projektų įgyvendinimas bus tiesiogiai susijęs s</w:t>
      </w:r>
      <w:r w:rsidR="001A09FF" w:rsidRPr="000D0573">
        <w:rPr>
          <w:color w:val="000000"/>
        </w:rPr>
        <w:t>u naujų pristatymo būdų paieška</w:t>
      </w:r>
      <w:r w:rsidR="0062625B" w:rsidRPr="000D0573">
        <w:rPr>
          <w:color w:val="000000"/>
        </w:rPr>
        <w:t xml:space="preserve"> – </w:t>
      </w:r>
      <w:r w:rsidR="00B948C4" w:rsidRPr="000D0573">
        <w:rPr>
          <w:color w:val="000000"/>
        </w:rPr>
        <w:t>ir pagal turinį</w:t>
      </w:r>
      <w:r w:rsidR="0062625B" w:rsidRPr="000D0573">
        <w:rPr>
          <w:color w:val="000000"/>
        </w:rPr>
        <w:t xml:space="preserve">, </w:t>
      </w:r>
      <w:r w:rsidR="00B948C4" w:rsidRPr="000D0573">
        <w:rPr>
          <w:color w:val="000000"/>
        </w:rPr>
        <w:t>ir pagal formą</w:t>
      </w:r>
      <w:r w:rsidR="0062625B" w:rsidRPr="000D0573">
        <w:rPr>
          <w:color w:val="000000"/>
        </w:rPr>
        <w:t xml:space="preserve">. </w:t>
      </w:r>
      <w:r w:rsidR="00B948C4" w:rsidRPr="000D0573">
        <w:rPr>
          <w:color w:val="000000"/>
        </w:rPr>
        <w:t xml:space="preserve">Aptariami </w:t>
      </w:r>
      <w:r w:rsidR="0062625B" w:rsidRPr="000D0573">
        <w:rPr>
          <w:color w:val="000000"/>
        </w:rPr>
        <w:t xml:space="preserve">aukštųjų mokyklų arba Lietuvos aukštojo mokslo </w:t>
      </w:r>
      <w:r w:rsidR="001F3FAF" w:rsidRPr="000D0573">
        <w:rPr>
          <w:color w:val="000000"/>
        </w:rPr>
        <w:t xml:space="preserve">pristatymai atitinka intelektinio produkto sampratą, </w:t>
      </w:r>
      <w:r w:rsidR="001F3FAF" w:rsidRPr="000D0573">
        <w:rPr>
          <w:rFonts w:eastAsia="Times New Roman" w:cs="Times New Roman"/>
          <w:szCs w:val="24"/>
        </w:rPr>
        <w:t>t</w:t>
      </w:r>
      <w:r w:rsidR="0062625B" w:rsidRPr="000D0573">
        <w:rPr>
          <w:rFonts w:eastAsia="Times New Roman" w:cs="Times New Roman"/>
          <w:szCs w:val="24"/>
        </w:rPr>
        <w:t xml:space="preserve">odėl šioje veikloje patirtos aukštųjų mokyklų personalo darbo užmokesčio išlaidos galėtų būti apmokamos taikant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62625B" w:rsidRPr="000D0573">
        <w:rPr>
          <w:rFonts w:eastAsia="Times New Roman" w:cs="Times New Roman"/>
          <w:i/>
          <w:szCs w:val="24"/>
        </w:rPr>
        <w:t xml:space="preserve"> </w:t>
      </w:r>
      <w:r w:rsidR="00B948C4" w:rsidRPr="000D0573">
        <w:rPr>
          <w:rFonts w:eastAsia="Times New Roman" w:cs="Times New Roman"/>
          <w:szCs w:val="24"/>
        </w:rPr>
        <w:t xml:space="preserve">fiksuotuosius </w:t>
      </w:r>
      <w:r w:rsidR="0062625B" w:rsidRPr="000D0573">
        <w:rPr>
          <w:rFonts w:eastAsia="Times New Roman" w:cs="Times New Roman"/>
          <w:szCs w:val="24"/>
        </w:rPr>
        <w:t>įkainius.</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szCs w:val="24"/>
        </w:rPr>
        <w:t xml:space="preserve">Priemone </w:t>
      </w:r>
      <w:r w:rsidRPr="000D0573">
        <w:rPr>
          <w:rFonts w:eastAsia="Times New Roman" w:cs="Times New Roman"/>
          <w:b/>
          <w:szCs w:val="24"/>
        </w:rPr>
        <w:t>„Stebėsenos, išorinio vertinimo stiprinimas ir kvalifikacijų pripažinimas“</w:t>
      </w:r>
      <w:r w:rsidRPr="000D0573">
        <w:rPr>
          <w:rFonts w:eastAsia="Times New Roman" w:cs="Times New Roman"/>
          <w:szCs w:val="24"/>
        </w:rPr>
        <w:t xml:space="preserve"> (Nr.</w:t>
      </w:r>
      <w:r w:rsidR="009E22F7" w:rsidRPr="000D0573">
        <w:rPr>
          <w:rFonts w:eastAsia="Times New Roman" w:cs="Times New Roman"/>
          <w:szCs w:val="24"/>
        </w:rPr>
        <w:t> </w:t>
      </w:r>
      <w:r w:rsidRPr="000D0573">
        <w:rPr>
          <w:rFonts w:eastAsia="Times New Roman" w:cs="Times New Roman"/>
          <w:bCs/>
          <w:szCs w:val="24"/>
        </w:rPr>
        <w:t>09.3.2-ESFA-V-710) siekiama įgyvendinti 9.3.2 uždavinį „</w:t>
      </w:r>
      <w:r w:rsidRPr="000D0573">
        <w:rPr>
          <w:rFonts w:eastAsia="Times New Roman" w:cs="Times New Roman"/>
        </w:rPr>
        <w:t xml:space="preserve">Stiprinti aukštojo mokslo </w:t>
      </w:r>
      <w:proofErr w:type="spellStart"/>
      <w:r w:rsidRPr="000D0573">
        <w:rPr>
          <w:rFonts w:eastAsia="Times New Roman" w:cs="Times New Roman"/>
        </w:rPr>
        <w:t>stebėseną</w:t>
      </w:r>
      <w:proofErr w:type="spellEnd"/>
      <w:r w:rsidRPr="000D0573">
        <w:rPr>
          <w:rFonts w:eastAsia="Times New Roman" w:cs="Times New Roman"/>
        </w:rPr>
        <w:t xml:space="preserve">, išorinį vertinimą ir efektyvų studijų valdymą, siekiant nuolatinio studijų kokybės gerinimo“. Pagal šią priemonę planuojama finansuoti šešias veiklų grupes. </w:t>
      </w:r>
    </w:p>
    <w:p w:rsidR="00FD0B92" w:rsidRPr="000D0573" w:rsidRDefault="00B948C4"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 xml:space="preserve">Pirmoji </w:t>
      </w:r>
      <w:r w:rsidR="00FD0B92" w:rsidRPr="000D0573">
        <w:rPr>
          <w:rFonts w:eastAsia="Times New Roman" w:cs="Arial"/>
          <w:color w:val="222222"/>
          <w:shd w:val="clear" w:color="auto" w:fill="FFFFFF"/>
        </w:rPr>
        <w:t>veikla yra išorinio vertinimo (studijų programų ir institucinio), aukštųjų mokyklų įsivertinimo ir akreditacijos sistemų stiprinimas, socialinių dalininkų įsitraukimas į studijų kokybės gerinimo procesus.</w:t>
      </w:r>
      <w:r w:rsidR="00FD0B92" w:rsidRPr="000D0573">
        <w:rPr>
          <w:rFonts w:eastAsia="Times New Roman" w:cs="Arial"/>
          <w:b/>
          <w:color w:val="222222"/>
          <w:shd w:val="clear" w:color="auto" w:fill="FFFFFF"/>
        </w:rPr>
        <w:t xml:space="preserve"> </w:t>
      </w:r>
      <w:r w:rsidR="00FD0B92" w:rsidRPr="000D0573">
        <w:rPr>
          <w:rFonts w:eastAsia="Times New Roman" w:cs="Arial"/>
          <w:color w:val="222222"/>
          <w:shd w:val="clear" w:color="auto" w:fill="FFFFFF"/>
        </w:rPr>
        <w:t xml:space="preserve">Dėl šios veiklos finansavimo jau yra paskelbtas įsakymas ir </w:t>
      </w:r>
      <w:r w:rsidRPr="000D0573">
        <w:rPr>
          <w:rFonts w:eastAsia="Times New Roman" w:cs="Arial"/>
          <w:color w:val="222222"/>
          <w:shd w:val="clear" w:color="auto" w:fill="FFFFFF"/>
        </w:rPr>
        <w:t xml:space="preserve">numatytas </w:t>
      </w:r>
      <w:r w:rsidR="00FD0B92" w:rsidRPr="000D0573">
        <w:rPr>
          <w:rFonts w:eastAsia="Times New Roman" w:cs="Arial"/>
          <w:color w:val="222222"/>
          <w:shd w:val="clear" w:color="auto" w:fill="FFFFFF"/>
        </w:rPr>
        <w:t>projekto vykdytoj</w:t>
      </w:r>
      <w:r w:rsidRPr="000D0573">
        <w:rPr>
          <w:rFonts w:eastAsia="Times New Roman" w:cs="Arial"/>
          <w:color w:val="222222"/>
          <w:shd w:val="clear" w:color="auto" w:fill="FFFFFF"/>
        </w:rPr>
        <w:t>as</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 </w:t>
      </w:r>
      <w:r w:rsidR="00FD0B92" w:rsidRPr="000D0573">
        <w:rPr>
          <w:rFonts w:eastAsia="Times New Roman" w:cs="Arial"/>
          <w:color w:val="222222"/>
          <w:shd w:val="clear" w:color="auto" w:fill="FFFFFF"/>
        </w:rPr>
        <w:t>Studijų kokybės vertinimo centras</w:t>
      </w:r>
      <w:r w:rsidRPr="000D0573">
        <w:rPr>
          <w:rFonts w:eastAsia="Times New Roman" w:cs="Arial"/>
          <w:color w:val="222222"/>
          <w:shd w:val="clear" w:color="auto" w:fill="FFFFFF"/>
        </w:rPr>
        <w:t>. Partneri</w:t>
      </w:r>
      <w:r w:rsidR="002A11D6" w:rsidRPr="000D0573">
        <w:rPr>
          <w:rFonts w:eastAsia="Times New Roman" w:cs="Arial"/>
          <w:color w:val="222222"/>
          <w:shd w:val="clear" w:color="auto" w:fill="FFFFFF"/>
        </w:rPr>
        <w:t>ų</w:t>
      </w:r>
      <w:r w:rsidRPr="000D0573">
        <w:rPr>
          <w:rFonts w:eastAsia="Times New Roman" w:cs="Arial"/>
          <w:color w:val="222222"/>
          <w:shd w:val="clear" w:color="auto" w:fill="FFFFFF"/>
        </w:rPr>
        <w:t xml:space="preserve"> </w:t>
      </w:r>
      <w:r w:rsidR="002A11D6" w:rsidRPr="000D0573">
        <w:rPr>
          <w:rFonts w:eastAsia="Times New Roman" w:cs="Arial"/>
          <w:color w:val="222222"/>
          <w:shd w:val="clear" w:color="auto" w:fill="FFFFFF"/>
        </w:rPr>
        <w:t>nenumatyta</w:t>
      </w:r>
      <w:r w:rsidR="00FD0B92" w:rsidRPr="000D0573">
        <w:rPr>
          <w:rFonts w:eastAsia="Times New Roman" w:cs="Arial"/>
          <w:color w:val="222222"/>
          <w:shd w:val="clear" w:color="auto" w:fill="FFFFFF"/>
        </w:rPr>
        <w:t xml:space="preserve">. 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FD0B92" w:rsidRPr="000D0573">
        <w:rPr>
          <w:rFonts w:eastAsia="Times New Roman" w:cs="Times New Roman"/>
          <w:i/>
          <w:szCs w:val="24"/>
        </w:rPr>
        <w:t xml:space="preserve"> </w:t>
      </w:r>
      <w:r w:rsidR="00FD0B92" w:rsidRPr="000D0573">
        <w:rPr>
          <w:rFonts w:eastAsia="Times New Roman" w:cs="Times New Roman"/>
          <w:szCs w:val="24"/>
        </w:rPr>
        <w:t>programoje naudojami</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fiksuotieji </w:t>
      </w:r>
      <w:r w:rsidR="00FD0B92" w:rsidRPr="000D0573">
        <w:rPr>
          <w:rFonts w:eastAsia="Times New Roman" w:cs="Arial"/>
          <w:color w:val="222222"/>
          <w:shd w:val="clear" w:color="auto" w:fill="FFFFFF"/>
        </w:rPr>
        <w:t xml:space="preserve">įkainiai skirti tik projektams, kuriuose numatytos aukštųjų mokyklų personalo darbo užmokesčio išlaidos, </w:t>
      </w:r>
      <w:r w:rsidR="00E95296" w:rsidRPr="000D0573">
        <w:rPr>
          <w:rFonts w:eastAsia="Times New Roman" w:cs="Arial"/>
          <w:color w:val="222222"/>
          <w:shd w:val="clear" w:color="auto" w:fill="FFFFFF"/>
        </w:rPr>
        <w:t xml:space="preserve">šiuo tyrimu nustatomi </w:t>
      </w:r>
      <w:r w:rsidR="00FD0B92" w:rsidRPr="000D0573">
        <w:rPr>
          <w:rFonts w:eastAsia="Times New Roman" w:cs="Arial"/>
          <w:color w:val="222222"/>
          <w:shd w:val="clear" w:color="auto" w:fill="FFFFFF"/>
        </w:rPr>
        <w:t xml:space="preserve">fiksuotieji įkainiai </w:t>
      </w:r>
      <w:r w:rsidRPr="000D0573">
        <w:rPr>
          <w:rFonts w:eastAsia="Times New Roman" w:cs="Arial"/>
          <w:color w:val="222222"/>
          <w:shd w:val="clear" w:color="auto" w:fill="FFFFFF"/>
        </w:rPr>
        <w:t xml:space="preserve">aptariamai </w:t>
      </w:r>
      <w:r w:rsidR="00FD0B92" w:rsidRPr="000D0573">
        <w:rPr>
          <w:rFonts w:eastAsia="Times New Roman" w:cs="Arial"/>
          <w:color w:val="222222"/>
          <w:shd w:val="clear" w:color="auto" w:fill="FFFFFF"/>
        </w:rPr>
        <w:t>veiklai nebūt</w:t>
      </w:r>
      <w:r w:rsidR="000132E0" w:rsidRPr="000D0573">
        <w:rPr>
          <w:rFonts w:eastAsia="Times New Roman" w:cs="Arial"/>
          <w:color w:val="222222"/>
          <w:shd w:val="clear" w:color="auto" w:fill="FFFFFF"/>
        </w:rPr>
        <w:t>ų</w:t>
      </w:r>
      <w:r w:rsidR="00FD0B92" w:rsidRPr="000D0573">
        <w:rPr>
          <w:rFonts w:eastAsia="Times New Roman" w:cs="Arial"/>
          <w:color w:val="222222"/>
          <w:shd w:val="clear" w:color="auto" w:fill="FFFFFF"/>
        </w:rPr>
        <w:t xml:space="preserve"> taikomi.</w:t>
      </w:r>
      <w:r w:rsidR="001F4214" w:rsidRPr="000D0573">
        <w:rPr>
          <w:rFonts w:eastAsia="Times New Roman" w:cs="Arial"/>
          <w:color w:val="222222"/>
          <w:shd w:val="clear" w:color="auto" w:fill="FFFFFF"/>
        </w:rPr>
        <w:t xml:space="preserve"> </w:t>
      </w:r>
    </w:p>
    <w:p w:rsidR="00FD0B92" w:rsidRPr="000D0573" w:rsidRDefault="00B948C4"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 xml:space="preserve">Antroji </w:t>
      </w:r>
      <w:r w:rsidR="00FD0B92" w:rsidRPr="000D0573">
        <w:rPr>
          <w:rFonts w:eastAsia="Times New Roman" w:cs="Arial"/>
          <w:color w:val="222222"/>
          <w:shd w:val="clear" w:color="auto" w:fill="FFFFFF"/>
        </w:rPr>
        <w:t xml:space="preserve">veikla – užsienyje įgytų kvalifikacijų, susijusių su aukštuoju mokslu, akademinio pripažinimo sistemos </w:t>
      </w:r>
      <w:r w:rsidRPr="000D0573">
        <w:rPr>
          <w:rFonts w:eastAsia="Times New Roman" w:cs="Arial"/>
          <w:color w:val="222222"/>
          <w:shd w:val="clear" w:color="auto" w:fill="FFFFFF"/>
        </w:rPr>
        <w:t>plėtojimas</w:t>
      </w:r>
      <w:r w:rsidR="00FD0B92" w:rsidRPr="000D0573">
        <w:rPr>
          <w:rFonts w:eastAsia="Times New Roman" w:cs="Arial"/>
          <w:color w:val="222222"/>
          <w:shd w:val="clear" w:color="auto" w:fill="FFFFFF"/>
        </w:rPr>
        <w:t>.</w:t>
      </w:r>
      <w:r w:rsidR="00FD0B92" w:rsidRPr="000D0573">
        <w:rPr>
          <w:rFonts w:eastAsia="Times New Roman" w:cs="Arial"/>
          <w:b/>
          <w:color w:val="222222"/>
          <w:shd w:val="clear" w:color="auto" w:fill="FFFFFF"/>
        </w:rPr>
        <w:t xml:space="preserve"> </w:t>
      </w:r>
      <w:r w:rsidR="00FD0B92" w:rsidRPr="000D0573">
        <w:rPr>
          <w:rFonts w:eastAsia="Times New Roman" w:cs="Arial"/>
          <w:color w:val="222222"/>
          <w:shd w:val="clear" w:color="auto" w:fill="FFFFFF"/>
        </w:rPr>
        <w:t xml:space="preserve">Dėl šios veiklos finansavimo jau yra paskelbtas įsakymas ir </w:t>
      </w:r>
      <w:r w:rsidRPr="000D0573">
        <w:rPr>
          <w:rFonts w:eastAsia="Times New Roman" w:cs="Arial"/>
          <w:color w:val="222222"/>
          <w:shd w:val="clear" w:color="auto" w:fill="FFFFFF"/>
        </w:rPr>
        <w:t xml:space="preserve">numatytas </w:t>
      </w:r>
      <w:r w:rsidR="00FD0B92" w:rsidRPr="000D0573">
        <w:rPr>
          <w:rFonts w:eastAsia="Times New Roman" w:cs="Arial"/>
          <w:color w:val="222222"/>
          <w:shd w:val="clear" w:color="auto" w:fill="FFFFFF"/>
        </w:rPr>
        <w:t xml:space="preserve">projekto </w:t>
      </w:r>
      <w:r w:rsidRPr="000D0573">
        <w:rPr>
          <w:rFonts w:eastAsia="Times New Roman" w:cs="Arial"/>
          <w:color w:val="222222"/>
          <w:shd w:val="clear" w:color="auto" w:fill="FFFFFF"/>
        </w:rPr>
        <w:t xml:space="preserve">vykdytojas – </w:t>
      </w:r>
      <w:r w:rsidR="00FD0B92" w:rsidRPr="000D0573">
        <w:rPr>
          <w:rFonts w:eastAsia="Times New Roman" w:cs="Arial"/>
          <w:color w:val="222222"/>
          <w:shd w:val="clear" w:color="auto" w:fill="FFFFFF"/>
        </w:rPr>
        <w:t>Studijų kokybės vertinimo centras</w:t>
      </w:r>
      <w:r w:rsidRPr="000D0573">
        <w:rPr>
          <w:rFonts w:eastAsia="Times New Roman" w:cs="Arial"/>
          <w:color w:val="222222"/>
          <w:shd w:val="clear" w:color="auto" w:fill="FFFFFF"/>
        </w:rPr>
        <w:t>. Partneri</w:t>
      </w:r>
      <w:r w:rsidR="002A11D6" w:rsidRPr="000D0573">
        <w:rPr>
          <w:rFonts w:eastAsia="Times New Roman" w:cs="Arial"/>
          <w:color w:val="222222"/>
          <w:shd w:val="clear" w:color="auto" w:fill="FFFFFF"/>
        </w:rPr>
        <w:t>ų</w:t>
      </w:r>
      <w:r w:rsidRPr="000D0573">
        <w:rPr>
          <w:rFonts w:eastAsia="Times New Roman" w:cs="Arial"/>
          <w:color w:val="222222"/>
          <w:shd w:val="clear" w:color="auto" w:fill="FFFFFF"/>
        </w:rPr>
        <w:t xml:space="preserve"> </w:t>
      </w:r>
      <w:r w:rsidR="002A11D6" w:rsidRPr="000D0573">
        <w:rPr>
          <w:rFonts w:eastAsia="Times New Roman" w:cs="Arial"/>
          <w:color w:val="222222"/>
          <w:shd w:val="clear" w:color="auto" w:fill="FFFFFF"/>
        </w:rPr>
        <w:t>nenumatyta</w:t>
      </w:r>
      <w:r w:rsidR="00FD0B92" w:rsidRPr="000D0573">
        <w:rPr>
          <w:rFonts w:eastAsia="Times New Roman" w:cs="Arial"/>
          <w:color w:val="222222"/>
          <w:shd w:val="clear" w:color="auto" w:fill="FFFFFF"/>
        </w:rPr>
        <w:t xml:space="preserve">. 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FD0B92" w:rsidRPr="000D0573">
        <w:rPr>
          <w:rFonts w:eastAsia="Times New Roman" w:cs="Times New Roman"/>
          <w:i/>
          <w:szCs w:val="24"/>
        </w:rPr>
        <w:t xml:space="preserve"> </w:t>
      </w:r>
      <w:r w:rsidR="00FD0B92" w:rsidRPr="000D0573">
        <w:rPr>
          <w:rFonts w:eastAsia="Times New Roman" w:cs="Times New Roman"/>
          <w:szCs w:val="24"/>
        </w:rPr>
        <w:t>programoje naudojami</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fiksuotieji </w:t>
      </w:r>
      <w:r w:rsidR="00FD0B92" w:rsidRPr="000D0573">
        <w:rPr>
          <w:rFonts w:eastAsia="Times New Roman" w:cs="Arial"/>
          <w:color w:val="222222"/>
          <w:shd w:val="clear" w:color="auto" w:fill="FFFFFF"/>
        </w:rPr>
        <w:t xml:space="preserve">įkainiai skirti tik projektams, kuriuose numatytos aukštųjų mokyklų personalo darbo užmokesčio išlaidos, </w:t>
      </w:r>
      <w:r w:rsidR="00E95296" w:rsidRPr="000D0573">
        <w:rPr>
          <w:rFonts w:eastAsia="Times New Roman" w:cs="Arial"/>
          <w:color w:val="222222"/>
          <w:shd w:val="clear" w:color="auto" w:fill="FFFFFF"/>
        </w:rPr>
        <w:t xml:space="preserve">šiuo tyrimu nustatomi </w:t>
      </w:r>
      <w:r w:rsidR="00FD0B92" w:rsidRPr="000D0573">
        <w:rPr>
          <w:rFonts w:eastAsia="Times New Roman" w:cs="Arial"/>
          <w:color w:val="222222"/>
          <w:shd w:val="clear" w:color="auto" w:fill="FFFFFF"/>
        </w:rPr>
        <w:t xml:space="preserve">fiksuotieji įkainiai </w:t>
      </w:r>
      <w:r w:rsidRPr="000D0573">
        <w:rPr>
          <w:rFonts w:eastAsia="Times New Roman" w:cs="Arial"/>
          <w:color w:val="222222"/>
          <w:shd w:val="clear" w:color="auto" w:fill="FFFFFF"/>
        </w:rPr>
        <w:t xml:space="preserve">aptariamai </w:t>
      </w:r>
      <w:r w:rsidR="00FD0B92" w:rsidRPr="000D0573">
        <w:rPr>
          <w:rFonts w:eastAsia="Times New Roman" w:cs="Arial"/>
          <w:color w:val="222222"/>
          <w:shd w:val="clear" w:color="auto" w:fill="FFFFFF"/>
        </w:rPr>
        <w:t>veiklai nebūt</w:t>
      </w:r>
      <w:r w:rsidR="000132E0" w:rsidRPr="000D0573">
        <w:rPr>
          <w:rFonts w:eastAsia="Times New Roman" w:cs="Arial"/>
          <w:color w:val="222222"/>
          <w:shd w:val="clear" w:color="auto" w:fill="FFFFFF"/>
        </w:rPr>
        <w:t>ų</w:t>
      </w:r>
      <w:r w:rsidR="00FD0B92" w:rsidRPr="000D0573">
        <w:rPr>
          <w:rFonts w:eastAsia="Times New Roman" w:cs="Arial"/>
          <w:color w:val="222222"/>
          <w:shd w:val="clear" w:color="auto" w:fill="FFFFFF"/>
        </w:rPr>
        <w:t xml:space="preserve"> taikomi.</w:t>
      </w:r>
    </w:p>
    <w:p w:rsidR="00FD0B92" w:rsidRPr="000D0573" w:rsidRDefault="00B948C4"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 xml:space="preserve">Trečioji </w:t>
      </w:r>
      <w:r w:rsidR="00FD0B92" w:rsidRPr="000D0573">
        <w:rPr>
          <w:rFonts w:eastAsia="Times New Roman" w:cs="Arial"/>
          <w:color w:val="222222"/>
          <w:shd w:val="clear" w:color="auto" w:fill="FFFFFF"/>
        </w:rPr>
        <w:t>remiama veikla yra priėmimo į aukštąsias mokyklas sistemos palaikymas ir tobulinimas.</w:t>
      </w:r>
      <w:r w:rsidR="00FD0B92" w:rsidRPr="000D0573">
        <w:rPr>
          <w:rFonts w:eastAsia="Times New Roman" w:cs="Arial"/>
          <w:b/>
          <w:color w:val="222222"/>
          <w:shd w:val="clear" w:color="auto" w:fill="FFFFFF"/>
        </w:rPr>
        <w:t xml:space="preserve"> </w:t>
      </w:r>
      <w:r w:rsidR="00FD0B92" w:rsidRPr="000D0573">
        <w:rPr>
          <w:rFonts w:eastAsia="Times New Roman" w:cs="Arial"/>
          <w:color w:val="222222"/>
          <w:shd w:val="clear" w:color="auto" w:fill="FFFFFF"/>
        </w:rPr>
        <w:t xml:space="preserve">Dėl šios veiklos finansavimo jau yra paskelbtas įsakymas ir </w:t>
      </w:r>
      <w:r w:rsidRPr="000D0573">
        <w:rPr>
          <w:rFonts w:eastAsia="Times New Roman" w:cs="Arial"/>
          <w:color w:val="222222"/>
          <w:shd w:val="clear" w:color="auto" w:fill="FFFFFF"/>
        </w:rPr>
        <w:t xml:space="preserve">numatytas </w:t>
      </w:r>
      <w:r w:rsidR="00FD0B92" w:rsidRPr="000D0573">
        <w:rPr>
          <w:rFonts w:eastAsia="Times New Roman" w:cs="Arial"/>
          <w:color w:val="222222"/>
          <w:shd w:val="clear" w:color="auto" w:fill="FFFFFF"/>
        </w:rPr>
        <w:t xml:space="preserve">projekto </w:t>
      </w:r>
      <w:r w:rsidRPr="000D0573">
        <w:rPr>
          <w:rFonts w:eastAsia="Times New Roman" w:cs="Arial"/>
          <w:color w:val="222222"/>
          <w:shd w:val="clear" w:color="auto" w:fill="FFFFFF"/>
        </w:rPr>
        <w:t xml:space="preserve">vykdytojas – </w:t>
      </w:r>
      <w:r w:rsidR="00FD0B92" w:rsidRPr="000D0573">
        <w:rPr>
          <w:rFonts w:eastAsia="Times New Roman" w:cs="Arial"/>
          <w:color w:val="222222"/>
          <w:shd w:val="clear" w:color="auto" w:fill="FFFFFF"/>
        </w:rPr>
        <w:t xml:space="preserve">Lietuvos aukštųjų mokyklų asociacija </w:t>
      </w:r>
      <w:r w:rsidRPr="000D0573">
        <w:rPr>
          <w:rFonts w:eastAsia="Times New Roman" w:cs="Arial"/>
          <w:color w:val="222222"/>
          <w:shd w:val="clear" w:color="auto" w:fill="FFFFFF"/>
        </w:rPr>
        <w:t>(</w:t>
      </w:r>
      <w:r w:rsidR="00FD0B92" w:rsidRPr="000D0573">
        <w:rPr>
          <w:rFonts w:eastAsia="Times New Roman" w:cs="Arial"/>
          <w:color w:val="222222"/>
          <w:shd w:val="clear" w:color="auto" w:fill="FFFFFF"/>
        </w:rPr>
        <w:t>bendrajam priėmimui organizuoti</w:t>
      </w:r>
      <w:r w:rsidRPr="000D0573">
        <w:rPr>
          <w:rFonts w:eastAsia="Times New Roman" w:cs="Arial"/>
          <w:color w:val="222222"/>
          <w:shd w:val="clear" w:color="auto" w:fill="FFFFFF"/>
        </w:rPr>
        <w:t>).</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P</w:t>
      </w:r>
      <w:r w:rsidR="00FD0B92" w:rsidRPr="000D0573">
        <w:rPr>
          <w:rFonts w:eastAsia="Times New Roman" w:cs="Arial"/>
          <w:color w:val="222222"/>
          <w:shd w:val="clear" w:color="auto" w:fill="FFFFFF"/>
        </w:rPr>
        <w:t>artneri</w:t>
      </w:r>
      <w:r w:rsidR="002A11D6" w:rsidRPr="000D0573">
        <w:rPr>
          <w:rFonts w:eastAsia="Times New Roman" w:cs="Arial"/>
          <w:color w:val="222222"/>
          <w:shd w:val="clear" w:color="auto" w:fill="FFFFFF"/>
        </w:rPr>
        <w:t>ų</w:t>
      </w:r>
      <w:r w:rsidR="00FD0B92" w:rsidRPr="000D0573">
        <w:rPr>
          <w:rFonts w:eastAsia="Times New Roman" w:cs="Arial"/>
          <w:color w:val="222222"/>
          <w:shd w:val="clear" w:color="auto" w:fill="FFFFFF"/>
        </w:rPr>
        <w:t xml:space="preserve"> </w:t>
      </w:r>
      <w:r w:rsidR="002A11D6" w:rsidRPr="000D0573">
        <w:rPr>
          <w:rFonts w:eastAsia="Times New Roman" w:cs="Arial"/>
          <w:color w:val="222222"/>
          <w:shd w:val="clear" w:color="auto" w:fill="FFFFFF"/>
        </w:rPr>
        <w:t>nenumatyta</w:t>
      </w:r>
      <w:r w:rsidR="00FD0B92" w:rsidRPr="000D0573">
        <w:rPr>
          <w:rFonts w:eastAsia="Times New Roman" w:cs="Arial"/>
          <w:color w:val="222222"/>
          <w:shd w:val="clear" w:color="auto" w:fill="FFFFFF"/>
        </w:rPr>
        <w:t xml:space="preserve">. 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FD0B92" w:rsidRPr="000D0573">
        <w:rPr>
          <w:rFonts w:eastAsia="Times New Roman" w:cs="Times New Roman"/>
          <w:i/>
          <w:szCs w:val="24"/>
        </w:rPr>
        <w:t xml:space="preserve"> </w:t>
      </w:r>
      <w:r w:rsidR="00FD0B92" w:rsidRPr="000D0573">
        <w:rPr>
          <w:rFonts w:eastAsia="Times New Roman" w:cs="Times New Roman"/>
          <w:szCs w:val="24"/>
        </w:rPr>
        <w:t>programoje naudojami</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fiksuotieji </w:t>
      </w:r>
      <w:r w:rsidR="00FD0B92" w:rsidRPr="000D0573">
        <w:rPr>
          <w:rFonts w:eastAsia="Times New Roman" w:cs="Arial"/>
          <w:color w:val="222222"/>
          <w:shd w:val="clear" w:color="auto" w:fill="FFFFFF"/>
        </w:rPr>
        <w:t xml:space="preserve">įkainiai skirti tik projektams, kuriuose numatytos aukštųjų mokyklų personalo darbo užmokesčio išlaidos, </w:t>
      </w:r>
      <w:r w:rsidR="00E95296" w:rsidRPr="000D0573">
        <w:rPr>
          <w:rFonts w:eastAsia="Times New Roman" w:cs="Arial"/>
          <w:color w:val="222222"/>
          <w:shd w:val="clear" w:color="auto" w:fill="FFFFFF"/>
        </w:rPr>
        <w:t xml:space="preserve">šiuo tyrimu nustatomi </w:t>
      </w:r>
      <w:r w:rsidR="00FD0B92" w:rsidRPr="000D0573">
        <w:rPr>
          <w:rFonts w:eastAsia="Times New Roman" w:cs="Arial"/>
          <w:color w:val="222222"/>
          <w:shd w:val="clear" w:color="auto" w:fill="FFFFFF"/>
        </w:rPr>
        <w:t xml:space="preserve">fiksuotieji įkainiai </w:t>
      </w:r>
      <w:r w:rsidRPr="000D0573">
        <w:rPr>
          <w:rFonts w:eastAsia="Times New Roman" w:cs="Arial"/>
          <w:color w:val="222222"/>
          <w:shd w:val="clear" w:color="auto" w:fill="FFFFFF"/>
        </w:rPr>
        <w:t xml:space="preserve">aptariamai </w:t>
      </w:r>
      <w:r w:rsidR="00FD0B92" w:rsidRPr="000D0573">
        <w:rPr>
          <w:rFonts w:eastAsia="Times New Roman" w:cs="Arial"/>
          <w:color w:val="222222"/>
          <w:shd w:val="clear" w:color="auto" w:fill="FFFFFF"/>
        </w:rPr>
        <w:t>veiklai negali būti taikomi.</w:t>
      </w:r>
    </w:p>
    <w:p w:rsidR="00FD0B92" w:rsidRPr="000D0573" w:rsidRDefault="00B948C4"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 xml:space="preserve">Ketvirtąja </w:t>
      </w:r>
      <w:r w:rsidR="00FD0B92" w:rsidRPr="000D0573">
        <w:rPr>
          <w:rFonts w:eastAsia="Times New Roman" w:cs="Arial"/>
          <w:color w:val="222222"/>
          <w:shd w:val="clear" w:color="auto" w:fill="FFFFFF"/>
        </w:rPr>
        <w:t xml:space="preserve">veikla planuojama remti įrodymais ir pasiekimais grįsto valdymo ir vadybos diegimą (įrodymais grįstas sprendimų priėmimas, trūkumų ir tendencijų nustatymas, pažangos </w:t>
      </w:r>
      <w:proofErr w:type="spellStart"/>
      <w:r w:rsidR="00FD0B92" w:rsidRPr="000D0573">
        <w:rPr>
          <w:rFonts w:eastAsia="Times New Roman" w:cs="Arial"/>
          <w:color w:val="222222"/>
          <w:shd w:val="clear" w:color="auto" w:fill="FFFFFF"/>
        </w:rPr>
        <w:t>stebėsena</w:t>
      </w:r>
      <w:proofErr w:type="spellEnd"/>
      <w:r w:rsidR="00FD0B92" w:rsidRPr="000D0573">
        <w:rPr>
          <w:rFonts w:eastAsia="Times New Roman" w:cs="Arial"/>
          <w:color w:val="222222"/>
          <w:shd w:val="clear" w:color="auto" w:fill="FFFFFF"/>
        </w:rPr>
        <w:t xml:space="preserve">), aukštojo mokslo vertinimą ir </w:t>
      </w:r>
      <w:proofErr w:type="spellStart"/>
      <w:r w:rsidR="00FD0B92" w:rsidRPr="000D0573">
        <w:rPr>
          <w:rFonts w:eastAsia="Times New Roman" w:cs="Arial"/>
          <w:color w:val="222222"/>
          <w:shd w:val="clear" w:color="auto" w:fill="FFFFFF"/>
        </w:rPr>
        <w:t>stebėseną</w:t>
      </w:r>
      <w:proofErr w:type="spellEnd"/>
      <w:r w:rsidR="00FD0B92" w:rsidRPr="000D0573">
        <w:rPr>
          <w:rFonts w:eastAsia="Times New Roman" w:cs="Arial"/>
          <w:color w:val="222222"/>
          <w:shd w:val="clear" w:color="auto" w:fill="FFFFFF"/>
        </w:rPr>
        <w:t xml:space="preserve">. Pagal </w:t>
      </w:r>
      <w:r w:rsidR="00FD0B92" w:rsidRPr="00CB49BF">
        <w:rPr>
          <w:rFonts w:eastAsia="Times New Roman" w:cs="Arial"/>
          <w:color w:val="222222"/>
          <w:shd w:val="clear" w:color="auto" w:fill="FFFFFF"/>
        </w:rPr>
        <w:t xml:space="preserve">patvirtintą </w:t>
      </w:r>
      <w:r w:rsidR="00707D95" w:rsidRPr="00CB49BF">
        <w:rPr>
          <w:rFonts w:eastAsia="Times New Roman" w:cs="Arial"/>
          <w:color w:val="222222"/>
          <w:shd w:val="clear" w:color="auto" w:fill="FFFFFF"/>
        </w:rPr>
        <w:t xml:space="preserve">Projektų finansavimo sąlygų aprašą </w:t>
      </w:r>
      <w:r w:rsidR="00FD0B92" w:rsidRPr="008744DE">
        <w:rPr>
          <w:rFonts w:eastAsia="Times New Roman" w:cs="Arial"/>
          <w:color w:val="222222"/>
          <w:shd w:val="clear" w:color="auto" w:fill="FFFFFF"/>
        </w:rPr>
        <w:t>galimas pareiškėjas yra biudžetinė įstaiga Mokslo ir studijų</w:t>
      </w:r>
      <w:r w:rsidR="00FD0B92" w:rsidRPr="000D0573">
        <w:rPr>
          <w:rFonts w:eastAsia="Times New Roman" w:cs="Arial"/>
          <w:color w:val="222222"/>
          <w:shd w:val="clear" w:color="auto" w:fill="FFFFFF"/>
        </w:rPr>
        <w:t xml:space="preserve"> </w:t>
      </w:r>
      <w:proofErr w:type="spellStart"/>
      <w:r w:rsidR="00FD0B92" w:rsidRPr="000D0573">
        <w:rPr>
          <w:rFonts w:eastAsia="Times New Roman" w:cs="Arial"/>
          <w:color w:val="222222"/>
          <w:shd w:val="clear" w:color="auto" w:fill="FFFFFF"/>
        </w:rPr>
        <w:t>stebėsenos</w:t>
      </w:r>
      <w:proofErr w:type="spellEnd"/>
      <w:r w:rsidR="00FD0B92" w:rsidRPr="000D0573">
        <w:rPr>
          <w:rFonts w:eastAsia="Times New Roman" w:cs="Arial"/>
          <w:color w:val="222222"/>
          <w:shd w:val="clear" w:color="auto" w:fill="FFFFFF"/>
        </w:rPr>
        <w:t xml:space="preserve"> ir analizės centras</w:t>
      </w:r>
      <w:r w:rsidR="00707D95" w:rsidRPr="000D0573">
        <w:rPr>
          <w:rFonts w:eastAsia="Times New Roman" w:cs="Arial"/>
          <w:color w:val="222222"/>
          <w:shd w:val="clear" w:color="auto" w:fill="FFFFFF"/>
        </w:rPr>
        <w:t>. Partnerių nenumatoma</w:t>
      </w:r>
      <w:r w:rsidR="00FD0B92" w:rsidRPr="000D0573">
        <w:rPr>
          <w:rFonts w:eastAsia="Times New Roman" w:cs="Arial"/>
          <w:color w:val="222222"/>
          <w:shd w:val="clear" w:color="auto" w:fill="FFFFFF"/>
        </w:rPr>
        <w:t xml:space="preserve">. Kadangi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FD0B92" w:rsidRPr="000D0573">
        <w:rPr>
          <w:rFonts w:eastAsia="Times New Roman" w:cs="Times New Roman"/>
          <w:i/>
          <w:szCs w:val="24"/>
        </w:rPr>
        <w:t xml:space="preserve"> </w:t>
      </w:r>
      <w:r w:rsidR="00FD0B92" w:rsidRPr="000D0573">
        <w:rPr>
          <w:rFonts w:eastAsia="Times New Roman" w:cs="Times New Roman"/>
          <w:szCs w:val="24"/>
        </w:rPr>
        <w:t>programoje naudojami</w:t>
      </w:r>
      <w:r w:rsidR="00FD0B92" w:rsidRPr="000D0573">
        <w:rPr>
          <w:rFonts w:eastAsia="Times New Roman" w:cs="Arial"/>
          <w:color w:val="222222"/>
          <w:shd w:val="clear" w:color="auto" w:fill="FFFFFF"/>
        </w:rPr>
        <w:t xml:space="preserve"> </w:t>
      </w:r>
      <w:r w:rsidR="00707D95" w:rsidRPr="000D0573">
        <w:rPr>
          <w:rFonts w:eastAsia="Times New Roman" w:cs="Arial"/>
          <w:color w:val="222222"/>
          <w:shd w:val="clear" w:color="auto" w:fill="FFFFFF"/>
        </w:rPr>
        <w:t xml:space="preserve">fiksuotieji </w:t>
      </w:r>
      <w:r w:rsidR="00FD0B92" w:rsidRPr="000D0573">
        <w:rPr>
          <w:rFonts w:eastAsia="Times New Roman" w:cs="Arial"/>
          <w:color w:val="222222"/>
          <w:shd w:val="clear" w:color="auto" w:fill="FFFFFF"/>
        </w:rPr>
        <w:t xml:space="preserve">įkainiai skirti tik projektams, kuriuose numatytos aukštųjų mokyklų personalo darbo užmokesčio išlaidos, </w:t>
      </w:r>
      <w:r w:rsidR="00E95296" w:rsidRPr="000D0573">
        <w:rPr>
          <w:rFonts w:eastAsia="Times New Roman" w:cs="Arial"/>
          <w:color w:val="222222"/>
          <w:shd w:val="clear" w:color="auto" w:fill="FFFFFF"/>
        </w:rPr>
        <w:t xml:space="preserve">šiuo tyrimu nustatomi </w:t>
      </w:r>
      <w:r w:rsidR="00FD0B92" w:rsidRPr="000D0573">
        <w:rPr>
          <w:rFonts w:eastAsia="Times New Roman" w:cs="Arial"/>
          <w:color w:val="222222"/>
          <w:shd w:val="clear" w:color="auto" w:fill="FFFFFF"/>
        </w:rPr>
        <w:t xml:space="preserve">fiksuotieji įkainiai </w:t>
      </w:r>
      <w:r w:rsidR="00707D95" w:rsidRPr="000D0573">
        <w:rPr>
          <w:rFonts w:eastAsia="Times New Roman" w:cs="Arial"/>
          <w:color w:val="222222"/>
          <w:shd w:val="clear" w:color="auto" w:fill="FFFFFF"/>
        </w:rPr>
        <w:t xml:space="preserve">aptariamai </w:t>
      </w:r>
      <w:r w:rsidR="00FD0B92" w:rsidRPr="000D0573">
        <w:rPr>
          <w:rFonts w:eastAsia="Times New Roman" w:cs="Arial"/>
          <w:color w:val="222222"/>
          <w:shd w:val="clear" w:color="auto" w:fill="FFFFFF"/>
        </w:rPr>
        <w:t>veiklai nebūt</w:t>
      </w:r>
      <w:r w:rsidR="00957481" w:rsidRPr="000D0573">
        <w:rPr>
          <w:rFonts w:eastAsia="Times New Roman" w:cs="Arial"/>
          <w:color w:val="222222"/>
          <w:shd w:val="clear" w:color="auto" w:fill="FFFFFF"/>
        </w:rPr>
        <w:t>ų</w:t>
      </w:r>
      <w:r w:rsidR="00FD0B92" w:rsidRPr="000D0573">
        <w:rPr>
          <w:rFonts w:eastAsia="Times New Roman" w:cs="Arial"/>
          <w:color w:val="222222"/>
          <w:shd w:val="clear" w:color="auto" w:fill="FFFFFF"/>
        </w:rPr>
        <w:t xml:space="preserve"> taikomi.</w:t>
      </w:r>
    </w:p>
    <w:p w:rsidR="00FD0B92" w:rsidRPr="000D0573" w:rsidRDefault="0019104E"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Pagal p</w:t>
      </w:r>
      <w:r w:rsidR="00FD0B92" w:rsidRPr="000D0573">
        <w:rPr>
          <w:rFonts w:eastAsia="Times New Roman" w:cs="Arial"/>
          <w:color w:val="222222"/>
          <w:shd w:val="clear" w:color="auto" w:fill="FFFFFF"/>
        </w:rPr>
        <w:t>enkt</w:t>
      </w:r>
      <w:r w:rsidRPr="000D0573">
        <w:rPr>
          <w:rFonts w:eastAsia="Times New Roman" w:cs="Arial"/>
          <w:color w:val="222222"/>
          <w:shd w:val="clear" w:color="auto" w:fill="FFFFFF"/>
        </w:rPr>
        <w:t>ąją</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veiklą </w:t>
      </w:r>
      <w:r w:rsidR="00FD0B92" w:rsidRPr="000D0573">
        <w:rPr>
          <w:rFonts w:eastAsia="Times New Roman" w:cs="Arial"/>
          <w:color w:val="222222"/>
          <w:shd w:val="clear" w:color="auto" w:fill="FFFFFF"/>
        </w:rPr>
        <w:t>numato</w:t>
      </w:r>
      <w:r w:rsidR="003D722B" w:rsidRPr="000D0573">
        <w:rPr>
          <w:rFonts w:eastAsia="Times New Roman" w:cs="Arial"/>
          <w:color w:val="222222"/>
          <w:shd w:val="clear" w:color="auto" w:fill="FFFFFF"/>
        </w:rPr>
        <w:t>ma</w:t>
      </w:r>
      <w:r w:rsidR="00FD0B92" w:rsidRPr="000D0573">
        <w:rPr>
          <w:rFonts w:eastAsia="Times New Roman" w:cs="Arial"/>
          <w:color w:val="222222"/>
          <w:shd w:val="clear" w:color="auto" w:fill="FFFFFF"/>
        </w:rPr>
        <w:t xml:space="preserve"> finansuoti neformaliai įgytų kvalifikacijų pripažinimą, t.</w:t>
      </w:r>
      <w:r w:rsidR="003D722B" w:rsidRPr="000D0573">
        <w:rPr>
          <w:rFonts w:eastAsia="Times New Roman" w:cs="Arial"/>
          <w:color w:val="222222"/>
          <w:shd w:val="clear" w:color="auto" w:fill="FFFFFF"/>
        </w:rPr>
        <w:t> </w:t>
      </w:r>
      <w:r w:rsidR="00FD0B92" w:rsidRPr="000D0573">
        <w:rPr>
          <w:rFonts w:eastAsia="Times New Roman" w:cs="Arial"/>
          <w:color w:val="222222"/>
          <w:shd w:val="clear" w:color="auto" w:fill="FFFFFF"/>
        </w:rPr>
        <w:t xml:space="preserve">y. parengti ir įgyvendinti neformaliojo švietimo ir savišvietos būdu įgytų kompetencijų formalizavimo aukštosiose mokyklose sistemą. </w:t>
      </w:r>
      <w:r w:rsidR="001F4214" w:rsidRPr="000D0573">
        <w:rPr>
          <w:rFonts w:eastAsia="Times New Roman" w:cs="Arial"/>
          <w:color w:val="222222"/>
          <w:shd w:val="clear" w:color="auto" w:fill="FFFFFF"/>
        </w:rPr>
        <w:t xml:space="preserve">Kadangi sistemos kūrimas yra kompleksinė veikla, kurios rezultatai gali būti apčiuopiami, pavyzdžiui, </w:t>
      </w:r>
      <w:r w:rsidR="00FD0B92" w:rsidRPr="000D0573">
        <w:rPr>
          <w:rFonts w:eastAsia="Times New Roman" w:cs="Arial"/>
          <w:color w:val="222222"/>
          <w:shd w:val="clear" w:color="auto" w:fill="FFFFFF"/>
        </w:rPr>
        <w:t xml:space="preserve">būtų parengtas sistemos aprašas, gairės </w:t>
      </w:r>
      <w:r w:rsidR="00FD0B92" w:rsidRPr="000D0573">
        <w:rPr>
          <w:rFonts w:eastAsia="Times New Roman" w:cs="Arial"/>
          <w:color w:val="222222"/>
          <w:shd w:val="clear" w:color="auto" w:fill="FFFFFF"/>
        </w:rPr>
        <w:lastRenderedPageBreak/>
        <w:t>ar k</w:t>
      </w:r>
      <w:r w:rsidR="00483422" w:rsidRPr="000D0573">
        <w:rPr>
          <w:rFonts w:eastAsia="Times New Roman" w:cs="Arial"/>
          <w:color w:val="222222"/>
          <w:shd w:val="clear" w:color="auto" w:fill="FFFFFF"/>
        </w:rPr>
        <w:t>i</w:t>
      </w:r>
      <w:r w:rsidR="00FD0B92" w:rsidRPr="000D0573">
        <w:rPr>
          <w:rFonts w:eastAsia="Times New Roman" w:cs="Arial"/>
          <w:color w:val="222222"/>
          <w:shd w:val="clear" w:color="auto" w:fill="FFFFFF"/>
        </w:rPr>
        <w:t>t</w:t>
      </w:r>
      <w:r w:rsidR="00483422" w:rsidRPr="000D0573">
        <w:rPr>
          <w:rFonts w:eastAsia="Times New Roman" w:cs="Arial"/>
          <w:color w:val="222222"/>
          <w:shd w:val="clear" w:color="auto" w:fill="FFFFFF"/>
        </w:rPr>
        <w:t>a</w:t>
      </w:r>
      <w:r w:rsidR="00FD0B92" w:rsidRPr="000D0573">
        <w:rPr>
          <w:rFonts w:eastAsia="Times New Roman" w:cs="Arial"/>
          <w:color w:val="222222"/>
          <w:shd w:val="clear" w:color="auto" w:fill="FFFFFF"/>
        </w:rPr>
        <w:t xml:space="preserve"> forma aprašyta sistema, </w:t>
      </w:r>
      <w:r w:rsidR="00975ADB" w:rsidRPr="000D0573">
        <w:rPr>
          <w:rFonts w:eastAsia="Times New Roman" w:cs="Arial"/>
          <w:color w:val="222222"/>
          <w:shd w:val="clear" w:color="auto" w:fill="FFFFFF"/>
        </w:rPr>
        <w:t xml:space="preserve">veiklos rezultatai </w:t>
      </w:r>
      <w:r w:rsidR="00FD0B92" w:rsidRPr="000D0573">
        <w:rPr>
          <w:rFonts w:eastAsia="Times New Roman" w:cs="Arial"/>
          <w:color w:val="222222"/>
          <w:shd w:val="clear" w:color="auto" w:fill="FFFFFF"/>
        </w:rPr>
        <w:t>galėtų būti laikom</w:t>
      </w:r>
      <w:r w:rsidR="00975ADB" w:rsidRPr="000D0573">
        <w:rPr>
          <w:rFonts w:eastAsia="Times New Roman" w:cs="Arial"/>
          <w:color w:val="222222"/>
          <w:shd w:val="clear" w:color="auto" w:fill="FFFFFF"/>
        </w:rPr>
        <w:t>i</w:t>
      </w:r>
      <w:r w:rsidR="00FD0B92" w:rsidRPr="000D0573">
        <w:rPr>
          <w:rFonts w:eastAsia="Times New Roman" w:cs="Arial"/>
          <w:color w:val="222222"/>
          <w:shd w:val="clear" w:color="auto" w:fill="FFFFFF"/>
        </w:rPr>
        <w:t xml:space="preserve"> intelektini</w:t>
      </w:r>
      <w:r w:rsidR="00975ADB" w:rsidRPr="000D0573">
        <w:rPr>
          <w:rFonts w:eastAsia="Times New Roman" w:cs="Arial"/>
          <w:color w:val="222222"/>
          <w:shd w:val="clear" w:color="auto" w:fill="FFFFFF"/>
        </w:rPr>
        <w:t>ais</w:t>
      </w:r>
      <w:r w:rsidR="00FD0B92" w:rsidRPr="000D0573">
        <w:rPr>
          <w:rFonts w:eastAsia="Times New Roman" w:cs="Arial"/>
          <w:color w:val="222222"/>
          <w:shd w:val="clear" w:color="auto" w:fill="FFFFFF"/>
        </w:rPr>
        <w:t xml:space="preserve"> produkt</w:t>
      </w:r>
      <w:r w:rsidR="00975ADB" w:rsidRPr="000D0573">
        <w:rPr>
          <w:rFonts w:eastAsia="Times New Roman" w:cs="Arial"/>
          <w:color w:val="222222"/>
          <w:shd w:val="clear" w:color="auto" w:fill="FFFFFF"/>
        </w:rPr>
        <w:t>ais</w:t>
      </w:r>
      <w:r w:rsidR="00FD0B92" w:rsidRPr="000D0573">
        <w:rPr>
          <w:rFonts w:eastAsia="Times New Roman" w:cs="Arial"/>
          <w:color w:val="222222"/>
          <w:shd w:val="clear" w:color="auto" w:fill="FFFFFF"/>
        </w:rPr>
        <w:t xml:space="preserve">. Todėl įgyvendinant šią veiklą patirtos darbo užmokesčio išlaidos galėtų būti apmokamos taikant </w:t>
      </w:r>
      <w:r w:rsidR="003D722B" w:rsidRPr="000D0573">
        <w:rPr>
          <w:rFonts w:eastAsia="Times New Roman" w:cs="Arial"/>
          <w:color w:val="222222"/>
          <w:shd w:val="clear" w:color="auto" w:fill="FFFFFF"/>
        </w:rPr>
        <w:t>„</w:t>
      </w:r>
      <w:proofErr w:type="spellStart"/>
      <w:r w:rsidR="00FD0B92" w:rsidRPr="008744DE">
        <w:rPr>
          <w:rFonts w:eastAsia="Times New Roman" w:cs="Arial"/>
          <w:color w:val="222222"/>
          <w:shd w:val="clear" w:color="auto" w:fill="FFFFFF"/>
        </w:rPr>
        <w:t>Erasmus</w:t>
      </w:r>
      <w:proofErr w:type="spellEnd"/>
      <w:r w:rsidR="00FD0B92" w:rsidRPr="008744DE">
        <w:rPr>
          <w:rFonts w:eastAsia="Times New Roman" w:cs="Arial"/>
          <w:color w:val="222222"/>
          <w:shd w:val="clear" w:color="auto" w:fill="FFFFFF"/>
        </w:rPr>
        <w:t xml:space="preserve"> plius</w:t>
      </w:r>
      <w:r w:rsidR="003D722B" w:rsidRPr="000D0573">
        <w:rPr>
          <w:rFonts w:eastAsia="Times New Roman" w:cs="Arial"/>
          <w:color w:val="222222"/>
          <w:shd w:val="clear" w:color="auto" w:fill="FFFFFF"/>
        </w:rPr>
        <w:t>“</w:t>
      </w:r>
      <w:r w:rsidR="00FD0B92" w:rsidRPr="000D0573">
        <w:rPr>
          <w:rFonts w:eastAsia="Times New Roman" w:cs="Arial"/>
          <w:color w:val="222222"/>
          <w:shd w:val="clear" w:color="auto" w:fill="FFFFFF"/>
        </w:rPr>
        <w:t xml:space="preserve"> </w:t>
      </w:r>
      <w:r w:rsidR="003D722B" w:rsidRPr="000D0573">
        <w:rPr>
          <w:rFonts w:eastAsia="Times New Roman" w:cs="Arial"/>
          <w:color w:val="222222"/>
          <w:shd w:val="clear" w:color="auto" w:fill="FFFFFF"/>
        </w:rPr>
        <w:t xml:space="preserve">fiksuotuosius </w:t>
      </w:r>
      <w:r w:rsidR="00FD0B92" w:rsidRPr="000D0573">
        <w:rPr>
          <w:rFonts w:eastAsia="Times New Roman" w:cs="Arial"/>
          <w:color w:val="222222"/>
          <w:shd w:val="clear" w:color="auto" w:fill="FFFFFF"/>
        </w:rPr>
        <w:t>įkainius</w:t>
      </w:r>
      <w:r w:rsidR="00E97242" w:rsidRPr="000D0573">
        <w:rPr>
          <w:rFonts w:eastAsia="Times New Roman" w:cs="Arial"/>
          <w:color w:val="222222"/>
          <w:shd w:val="clear" w:color="auto" w:fill="FFFFFF"/>
        </w:rPr>
        <w:t>.</w:t>
      </w:r>
    </w:p>
    <w:p w:rsidR="00FD0B92" w:rsidRPr="000D0573" w:rsidRDefault="003D722B" w:rsidP="00FD0B92">
      <w:pPr>
        <w:tabs>
          <w:tab w:val="left" w:pos="9600"/>
        </w:tabs>
        <w:spacing w:before="240" w:after="240"/>
        <w:ind w:right="74"/>
        <w:jc w:val="both"/>
        <w:rPr>
          <w:rFonts w:eastAsia="Times New Roman" w:cs="Arial"/>
          <w:color w:val="222222"/>
          <w:shd w:val="clear" w:color="auto" w:fill="FFFFFF"/>
        </w:rPr>
      </w:pPr>
      <w:r w:rsidRPr="000D0573">
        <w:rPr>
          <w:rFonts w:eastAsia="Times New Roman" w:cs="Arial"/>
          <w:color w:val="222222"/>
          <w:shd w:val="clear" w:color="auto" w:fill="FFFFFF"/>
        </w:rPr>
        <w:t>Šešt</w:t>
      </w:r>
      <w:r w:rsidR="00E41EA3" w:rsidRPr="000D0573">
        <w:rPr>
          <w:rFonts w:eastAsia="Times New Roman" w:cs="Arial"/>
          <w:color w:val="222222"/>
          <w:shd w:val="clear" w:color="auto" w:fill="FFFFFF"/>
        </w:rPr>
        <w:t>ąja</w:t>
      </w:r>
      <w:r w:rsidRPr="000D0573">
        <w:rPr>
          <w:rFonts w:eastAsia="Times New Roman" w:cs="Arial"/>
          <w:color w:val="222222"/>
          <w:shd w:val="clear" w:color="auto" w:fill="FFFFFF"/>
        </w:rPr>
        <w:t xml:space="preserve"> </w:t>
      </w:r>
      <w:r w:rsidR="00FD0B92" w:rsidRPr="000D0573">
        <w:rPr>
          <w:rFonts w:eastAsia="Times New Roman" w:cs="Arial"/>
          <w:color w:val="222222"/>
          <w:shd w:val="clear" w:color="auto" w:fill="FFFFFF"/>
        </w:rPr>
        <w:t xml:space="preserve">veikla siekiama remti studijų ir aukštosios mokyklos valdymo, administravimo, studijų proceso organizavimą, švietimo pagalbos tobulinimą </w:t>
      </w:r>
      <w:r w:rsidRPr="000D0573">
        <w:rPr>
          <w:rFonts w:eastAsia="Times New Roman" w:cs="Arial"/>
          <w:color w:val="222222"/>
          <w:shd w:val="clear" w:color="auto" w:fill="FFFFFF"/>
        </w:rPr>
        <w:t xml:space="preserve">ir </w:t>
      </w:r>
      <w:r w:rsidR="00FD0B92" w:rsidRPr="000D0573">
        <w:rPr>
          <w:rFonts w:eastAsia="Times New Roman" w:cs="Arial"/>
          <w:color w:val="222222"/>
          <w:shd w:val="clear" w:color="auto" w:fill="FFFFFF"/>
        </w:rPr>
        <w:t xml:space="preserve">tam skirtų elektroninių priemonių taikymą. </w:t>
      </w:r>
      <w:r w:rsidR="00E97242" w:rsidRPr="000D0573">
        <w:rPr>
          <w:rFonts w:eastAsia="Times New Roman" w:cs="Arial"/>
          <w:color w:val="222222"/>
          <w:shd w:val="clear" w:color="auto" w:fill="FFFFFF"/>
        </w:rPr>
        <w:t xml:space="preserve">Projektų veiklomis bus siekiama sisteminių pokyčių, taip pat bus </w:t>
      </w:r>
      <w:r w:rsidRPr="000D0573">
        <w:rPr>
          <w:rFonts w:eastAsia="Times New Roman" w:cs="Arial"/>
          <w:color w:val="222222"/>
          <w:shd w:val="clear" w:color="auto" w:fill="FFFFFF"/>
        </w:rPr>
        <w:t>sukuriama apčiuopiamų produktų</w:t>
      </w:r>
      <w:r w:rsidR="00E9724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pavyzdžiui,</w:t>
      </w:r>
      <w:r w:rsidR="00E9724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metodikų</w:t>
      </w:r>
      <w:r w:rsidR="00E9724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gairių </w:t>
      </w:r>
      <w:r w:rsidR="00E97242" w:rsidRPr="000D0573">
        <w:rPr>
          <w:rFonts w:eastAsia="Times New Roman" w:cs="Arial"/>
          <w:color w:val="222222"/>
          <w:shd w:val="clear" w:color="auto" w:fill="FFFFFF"/>
        </w:rPr>
        <w:t>ir pan. Todėl į</w:t>
      </w:r>
      <w:r w:rsidR="00FD0B92" w:rsidRPr="000D0573">
        <w:rPr>
          <w:rFonts w:eastAsia="Times New Roman" w:cs="Arial"/>
          <w:color w:val="222222"/>
          <w:shd w:val="clear" w:color="auto" w:fill="FFFFFF"/>
        </w:rPr>
        <w:t xml:space="preserve">gyvendinant šią veiklą patirtos darbo užmokesčio išlaidos galėtų būti apmokamos taikant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FD0B92" w:rsidRPr="000D0573">
        <w:rPr>
          <w:rFonts w:eastAsia="Times New Roman" w:cs="Arial"/>
          <w:color w:val="222222"/>
          <w:shd w:val="clear" w:color="auto" w:fill="FFFFFF"/>
        </w:rPr>
        <w:t xml:space="preserve"> </w:t>
      </w:r>
      <w:r w:rsidRPr="000D0573">
        <w:rPr>
          <w:rFonts w:eastAsia="Times New Roman" w:cs="Arial"/>
          <w:color w:val="222222"/>
          <w:shd w:val="clear" w:color="auto" w:fill="FFFFFF"/>
        </w:rPr>
        <w:t xml:space="preserve">fiksuotuosius </w:t>
      </w:r>
      <w:r w:rsidR="00FD0B92" w:rsidRPr="000D0573">
        <w:rPr>
          <w:rFonts w:eastAsia="Times New Roman" w:cs="Arial"/>
          <w:color w:val="222222"/>
          <w:shd w:val="clear" w:color="auto" w:fill="FFFFFF"/>
        </w:rPr>
        <w:t>įkainius</w:t>
      </w:r>
      <w:r w:rsidR="00E97242" w:rsidRPr="000D0573">
        <w:rPr>
          <w:rFonts w:eastAsia="Times New Roman" w:cs="Arial"/>
          <w:color w:val="222222"/>
          <w:shd w:val="clear" w:color="auto" w:fill="FFFFFF"/>
        </w:rPr>
        <w:t>.</w:t>
      </w:r>
      <w:r w:rsidR="00E97242" w:rsidRPr="000D0573" w:rsidDel="00E97242">
        <w:rPr>
          <w:rFonts w:eastAsia="Times New Roman" w:cs="Arial"/>
          <w:color w:val="222222"/>
          <w:shd w:val="clear" w:color="auto" w:fill="FFFFFF"/>
        </w:rPr>
        <w:t xml:space="preserve"> </w:t>
      </w:r>
    </w:p>
    <w:p w:rsidR="00FD0B92" w:rsidRPr="000D0573" w:rsidRDefault="00FD0B92" w:rsidP="00B60D53">
      <w:pPr>
        <w:tabs>
          <w:tab w:val="left" w:pos="9600"/>
        </w:tabs>
        <w:spacing w:before="240"/>
        <w:ind w:right="74"/>
        <w:jc w:val="both"/>
        <w:rPr>
          <w:rFonts w:eastAsia="Times New Roman" w:cs="Arial"/>
          <w:b/>
          <w:color w:val="222222"/>
          <w:szCs w:val="24"/>
          <w:shd w:val="clear" w:color="auto" w:fill="FFFFFF"/>
        </w:rPr>
      </w:pPr>
      <w:r w:rsidRPr="000D0573">
        <w:rPr>
          <w:rFonts w:eastAsia="Times New Roman" w:cs="Arial"/>
          <w:color w:val="222222"/>
          <w:szCs w:val="24"/>
          <w:shd w:val="clear" w:color="auto" w:fill="FFFFFF"/>
        </w:rPr>
        <w:t xml:space="preserve">Intervencijų analizė rodo, kad </w:t>
      </w:r>
      <w:r w:rsidR="00D42B6E" w:rsidRPr="000D0573">
        <w:rPr>
          <w:rFonts w:eastAsia="Times New Roman" w:cs="Arial"/>
          <w:color w:val="222222"/>
          <w:szCs w:val="24"/>
          <w:shd w:val="clear" w:color="auto" w:fill="FFFFFF"/>
        </w:rPr>
        <w:t xml:space="preserve">visų </w:t>
      </w:r>
      <w:r w:rsidRPr="000D0573">
        <w:rPr>
          <w:rFonts w:eastAsia="Times New Roman" w:cs="Arial"/>
          <w:color w:val="222222"/>
          <w:szCs w:val="24"/>
          <w:shd w:val="clear" w:color="auto" w:fill="FFFFFF"/>
        </w:rPr>
        <w:t xml:space="preserve">priemonių veiklos yra </w:t>
      </w:r>
      <w:r w:rsidR="003D722B" w:rsidRPr="000D0573">
        <w:rPr>
          <w:rFonts w:eastAsia="Times New Roman" w:cs="Arial"/>
          <w:color w:val="222222"/>
          <w:szCs w:val="24"/>
          <w:shd w:val="clear" w:color="auto" w:fill="FFFFFF"/>
        </w:rPr>
        <w:t xml:space="preserve">nukreiptos </w:t>
      </w:r>
      <w:r w:rsidRPr="000D0573">
        <w:rPr>
          <w:rFonts w:eastAsia="Times New Roman" w:cs="Arial"/>
          <w:color w:val="222222"/>
          <w:szCs w:val="24"/>
          <w:shd w:val="clear" w:color="auto" w:fill="FFFFFF"/>
        </w:rPr>
        <w:t xml:space="preserve">į aukštojo mokslo pažangą ir modernizavimą. 2014–2020 m. programavimo laikotarpiu daug dėmesio bus skiriama studijų </w:t>
      </w:r>
      <w:r w:rsidR="00E41EA3" w:rsidRPr="000D0573">
        <w:rPr>
          <w:rFonts w:eastAsia="Times New Roman" w:cs="Arial"/>
          <w:color w:val="222222"/>
          <w:szCs w:val="24"/>
          <w:shd w:val="clear" w:color="auto" w:fill="FFFFFF"/>
        </w:rPr>
        <w:t xml:space="preserve">kokybei </w:t>
      </w:r>
      <w:r w:rsidRPr="000D0573">
        <w:rPr>
          <w:rFonts w:eastAsia="Times New Roman" w:cs="Arial"/>
          <w:color w:val="222222"/>
          <w:szCs w:val="24"/>
          <w:shd w:val="clear" w:color="auto" w:fill="FFFFFF"/>
        </w:rPr>
        <w:t xml:space="preserve">ir </w:t>
      </w:r>
      <w:r w:rsidR="00E41EA3" w:rsidRPr="000D0573">
        <w:rPr>
          <w:rFonts w:eastAsia="Times New Roman" w:cs="Arial"/>
          <w:color w:val="222222"/>
          <w:szCs w:val="24"/>
          <w:shd w:val="clear" w:color="auto" w:fill="FFFFFF"/>
        </w:rPr>
        <w:t>sistemai tobulinti</w:t>
      </w:r>
      <w:r w:rsidRPr="000D0573">
        <w:rPr>
          <w:rFonts w:eastAsia="Times New Roman" w:cs="Arial"/>
          <w:color w:val="222222"/>
          <w:szCs w:val="24"/>
          <w:shd w:val="clear" w:color="auto" w:fill="FFFFFF"/>
        </w:rPr>
        <w:t>: įtraukiant socialinius partnerius bus tobulinamas studijų turinys, teikiama metodinė pagalba aukštosioms mokykloms, rengiamos į rezultatus orientuotos studijų programos, moduliai. Tikėtina, kad studijos labiau atitiks darbo rinkos poreikius, studentai įgaus daugiau praktinių įgūdžių</w:t>
      </w:r>
      <w:r w:rsidR="00E41EA3" w:rsidRPr="000D0573">
        <w:rPr>
          <w:rFonts w:eastAsia="Times New Roman" w:cs="Arial"/>
          <w:color w:val="222222"/>
          <w:szCs w:val="24"/>
          <w:shd w:val="clear" w:color="auto" w:fill="FFFFFF"/>
        </w:rPr>
        <w:t>, jiems bus suteikta daugiau s</w:t>
      </w:r>
      <w:r w:rsidRPr="000D0573">
        <w:rPr>
          <w:rFonts w:eastAsia="Times New Roman" w:cs="Arial"/>
          <w:color w:val="222222"/>
          <w:szCs w:val="24"/>
          <w:shd w:val="clear" w:color="auto" w:fill="FFFFFF"/>
        </w:rPr>
        <w:t xml:space="preserve">u karjera susijusių paslaugų. </w:t>
      </w:r>
      <w:r w:rsidR="00E41EA3" w:rsidRPr="000D0573">
        <w:rPr>
          <w:rFonts w:eastAsia="Times New Roman" w:cs="Arial"/>
          <w:color w:val="222222"/>
          <w:szCs w:val="24"/>
          <w:shd w:val="clear" w:color="auto" w:fill="FFFFFF"/>
        </w:rPr>
        <w:t xml:space="preserve">Labai svarbu į </w:t>
      </w:r>
      <w:r w:rsidRPr="000D0573">
        <w:rPr>
          <w:rFonts w:eastAsia="Times New Roman" w:cs="Arial"/>
          <w:color w:val="222222"/>
          <w:szCs w:val="24"/>
          <w:shd w:val="clear" w:color="auto" w:fill="FFFFFF"/>
        </w:rPr>
        <w:t xml:space="preserve">šias veiklas įtraukti aukštųjų mokyklų labiausiai patyrusį ir kompetentingiausią personalą. </w:t>
      </w:r>
      <w:r w:rsidR="005D086A" w:rsidRPr="000D0573">
        <w:rPr>
          <w:rFonts w:eastAsia="Times New Roman" w:cs="Arial"/>
          <w:color w:val="222222"/>
          <w:szCs w:val="24"/>
          <w:shd w:val="clear" w:color="auto" w:fill="FFFFFF"/>
        </w:rPr>
        <w:t>Todėl</w:t>
      </w:r>
      <w:r w:rsidR="00D42B6E" w:rsidRPr="000D0573">
        <w:rPr>
          <w:rFonts w:eastAsia="Times New Roman" w:cs="Arial"/>
          <w:color w:val="222222"/>
          <w:szCs w:val="24"/>
          <w:shd w:val="clear" w:color="auto" w:fill="FFFFFF"/>
        </w:rPr>
        <w:t xml:space="preserve"> nekyla abejonių, kad visų analizuotų priemonių projektuose, </w:t>
      </w:r>
      <w:r w:rsidR="00D42B6E" w:rsidRPr="000D0573">
        <w:rPr>
          <w:rFonts w:eastAsia="Times New Roman" w:cs="Arial"/>
          <w:color w:val="222222"/>
          <w:shd w:val="clear" w:color="auto" w:fill="FFFFFF"/>
        </w:rPr>
        <w:t xml:space="preserve">kuriuose numatytos aukštųjų mokyklų personalo darbo užmokesčio išlaidos, galima </w:t>
      </w:r>
      <w:r w:rsidR="00D42B6E" w:rsidRPr="000D0573">
        <w:rPr>
          <w:rFonts w:eastAsia="Times New Roman" w:cs="Times New Roman"/>
          <w:szCs w:val="24"/>
        </w:rPr>
        <w:t xml:space="preserve">taikyti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00D42B6E" w:rsidRPr="000D0573">
        <w:rPr>
          <w:rFonts w:eastAsia="Times New Roman" w:cs="Times New Roman"/>
          <w:i/>
          <w:szCs w:val="24"/>
        </w:rPr>
        <w:t xml:space="preserve"> </w:t>
      </w:r>
      <w:r w:rsidR="00E41EA3" w:rsidRPr="000D0573">
        <w:rPr>
          <w:rFonts w:eastAsia="Times New Roman" w:cs="Times New Roman"/>
          <w:szCs w:val="24"/>
        </w:rPr>
        <w:t xml:space="preserve">fiksuotuosius </w:t>
      </w:r>
      <w:r w:rsidR="00D42B6E" w:rsidRPr="000D0573">
        <w:rPr>
          <w:rFonts w:eastAsia="Times New Roman" w:cs="Times New Roman"/>
          <w:szCs w:val="24"/>
        </w:rPr>
        <w:t>įkainius.</w:t>
      </w:r>
    </w:p>
    <w:p w:rsidR="00FD0B92" w:rsidRPr="000D0573" w:rsidRDefault="00FD0B92" w:rsidP="00FD0B92">
      <w:pPr>
        <w:keepNext/>
        <w:keepLines/>
        <w:tabs>
          <w:tab w:val="left" w:pos="907"/>
          <w:tab w:val="left" w:pos="1134"/>
          <w:tab w:val="left" w:pos="1361"/>
        </w:tabs>
        <w:spacing w:before="200" w:after="240"/>
        <w:ind w:left="680" w:firstLine="29"/>
        <w:outlineLvl w:val="2"/>
        <w:rPr>
          <w:rFonts w:eastAsia="Lucida Sans Unicode" w:cs="Times New Roman"/>
          <w:bCs/>
          <w:color w:val="00505E"/>
          <w:sz w:val="26"/>
          <w:szCs w:val="26"/>
        </w:rPr>
      </w:pPr>
      <w:bookmarkStart w:id="10" w:name="_Toc459650630"/>
      <w:bookmarkStart w:id="11" w:name="_Toc465415126"/>
      <w:r w:rsidRPr="000D0573">
        <w:rPr>
          <w:rFonts w:eastAsia="Lucida Sans Unicode" w:cs="Times New Roman"/>
          <w:bCs/>
          <w:color w:val="00505E"/>
          <w:sz w:val="26"/>
          <w:szCs w:val="26"/>
        </w:rPr>
        <w:t>II.4. Darbo užmokesčio fiksuotojo įkainio struktūra</w:t>
      </w:r>
      <w:bookmarkEnd w:id="10"/>
      <w:bookmarkEnd w:id="11"/>
    </w:p>
    <w:p w:rsidR="00FD0B92" w:rsidRPr="000D0573" w:rsidRDefault="00FD0B92" w:rsidP="00FD0B92">
      <w:pPr>
        <w:spacing w:before="240" w:after="240"/>
        <w:jc w:val="both"/>
        <w:rPr>
          <w:rFonts w:eastAsia="Times New Roman" w:cs="Times New Roman"/>
          <w:szCs w:val="24"/>
          <w:lang w:eastAsia="en-US"/>
        </w:rPr>
      </w:pPr>
      <w:r w:rsidRPr="000D0573">
        <w:rPr>
          <w:rFonts w:eastAsia="Times New Roman" w:cs="Times New Roman"/>
          <w:szCs w:val="24"/>
          <w:lang w:eastAsia="en-US"/>
        </w:rPr>
        <w:t xml:space="preserve">Įvertinus, kaip planuojamų priemonių veiklos atitinka intelektinių produktų sampratą, kitas svarbus žingsnis </w:t>
      </w:r>
      <w:r w:rsidR="006501D8" w:rsidRPr="000D0573">
        <w:rPr>
          <w:rFonts w:eastAsia="Times New Roman" w:cs="Times New Roman"/>
          <w:szCs w:val="24"/>
          <w:lang w:eastAsia="en-US"/>
        </w:rPr>
        <w:t xml:space="preserve">– </w:t>
      </w:r>
      <w:r w:rsidRPr="000D0573">
        <w:rPr>
          <w:rFonts w:eastAsia="Times New Roman" w:cs="Times New Roman"/>
          <w:szCs w:val="24"/>
          <w:lang w:eastAsia="en-US"/>
        </w:rPr>
        <w:t xml:space="preserve">palyginti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Pr="000D0573">
        <w:rPr>
          <w:rFonts w:eastAsia="Times New Roman" w:cs="Times New Roman"/>
          <w:szCs w:val="24"/>
          <w:lang w:eastAsia="en-US"/>
        </w:rPr>
        <w:t xml:space="preserve"> įkainio sandarą su Lietuvos teisės aktuose numatytomis išlaidų tinkamumo rekomendacijomis.</w:t>
      </w:r>
    </w:p>
    <w:p w:rsidR="00FD0B92" w:rsidRPr="000D0573" w:rsidRDefault="009E22F7" w:rsidP="00FD0B92">
      <w:pPr>
        <w:spacing w:before="240" w:after="240"/>
        <w:jc w:val="both"/>
        <w:rPr>
          <w:rFonts w:eastAsia="Times New Roman" w:cs="Times New Roman"/>
          <w:szCs w:val="24"/>
          <w:lang w:eastAsia="en-US"/>
        </w:rPr>
      </w:pP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w:t>
      </w:r>
      <w:r w:rsidR="00FD0B92" w:rsidRPr="000D0573">
        <w:rPr>
          <w:rFonts w:eastAsia="Times New Roman" w:cs="Times New Roman"/>
          <w:szCs w:val="24"/>
          <w:lang w:eastAsia="en-US"/>
        </w:rPr>
        <w:t xml:space="preserve"> programos pirmtakės Mokymosi visą gyvenimą programos (angl. </w:t>
      </w:r>
      <w:proofErr w:type="spellStart"/>
      <w:r w:rsidR="00FD0B92" w:rsidRPr="008744DE">
        <w:rPr>
          <w:rFonts w:eastAsia="Times New Roman" w:cs="Times New Roman"/>
          <w:i/>
          <w:szCs w:val="24"/>
          <w:lang w:eastAsia="en-US"/>
        </w:rPr>
        <w:t>Lifelong</w:t>
      </w:r>
      <w:proofErr w:type="spellEnd"/>
      <w:r w:rsidR="00FD0B92" w:rsidRPr="008744DE">
        <w:rPr>
          <w:rFonts w:eastAsia="Times New Roman" w:cs="Times New Roman"/>
          <w:i/>
          <w:szCs w:val="24"/>
          <w:lang w:eastAsia="en-US"/>
        </w:rPr>
        <w:t xml:space="preserve"> </w:t>
      </w:r>
      <w:proofErr w:type="spellStart"/>
      <w:r w:rsidR="00FD0B92" w:rsidRPr="008744DE">
        <w:rPr>
          <w:rFonts w:eastAsia="Times New Roman" w:cs="Times New Roman"/>
          <w:i/>
          <w:szCs w:val="24"/>
          <w:lang w:eastAsia="en-US"/>
        </w:rPr>
        <w:t>Learning</w:t>
      </w:r>
      <w:proofErr w:type="spellEnd"/>
      <w:r w:rsidR="00FD0B92" w:rsidRPr="008744DE">
        <w:rPr>
          <w:rFonts w:eastAsia="Times New Roman" w:cs="Times New Roman"/>
          <w:i/>
          <w:szCs w:val="24"/>
          <w:lang w:eastAsia="en-US"/>
        </w:rPr>
        <w:t xml:space="preserve"> </w:t>
      </w:r>
      <w:proofErr w:type="spellStart"/>
      <w:r w:rsidR="00FD0B92" w:rsidRPr="008744DE">
        <w:rPr>
          <w:rFonts w:eastAsia="Times New Roman" w:cs="Times New Roman"/>
          <w:i/>
          <w:szCs w:val="24"/>
          <w:lang w:eastAsia="en-US"/>
        </w:rPr>
        <w:t>Programme</w:t>
      </w:r>
      <w:proofErr w:type="spellEnd"/>
      <w:r w:rsidR="00FD0B92" w:rsidRPr="000D0573">
        <w:rPr>
          <w:rFonts w:eastAsia="Times New Roman" w:cs="Times New Roman"/>
          <w:szCs w:val="24"/>
          <w:lang w:eastAsia="en-US"/>
        </w:rPr>
        <w:t xml:space="preserve">) vadove nurodyta, kad personalo išlaidų įkainį sudaro faktinis atlyginimas, socialinio draudimo mokesčiai ir kitos </w:t>
      </w:r>
      <w:r w:rsidR="006501D8" w:rsidRPr="000D0573">
        <w:rPr>
          <w:rFonts w:eastAsia="Times New Roman" w:cs="Times New Roman"/>
          <w:szCs w:val="24"/>
          <w:lang w:eastAsia="en-US"/>
        </w:rPr>
        <w:t xml:space="preserve">privalomosios </w:t>
      </w:r>
      <w:r w:rsidR="00FD0B92" w:rsidRPr="000D0573">
        <w:rPr>
          <w:rFonts w:eastAsia="Times New Roman" w:cs="Times New Roman"/>
          <w:szCs w:val="24"/>
          <w:lang w:eastAsia="en-US"/>
        </w:rPr>
        <w:t>išlaidos, įtrauktos į atlyginimo sistemą</w:t>
      </w:r>
      <w:r w:rsidR="00FD0B92" w:rsidRPr="000D0573">
        <w:rPr>
          <w:rFonts w:eastAsia="Times New Roman" w:cs="Times New Roman"/>
          <w:szCs w:val="24"/>
          <w:vertAlign w:val="superscript"/>
          <w:lang w:eastAsia="en-US"/>
        </w:rPr>
        <w:footnoteReference w:id="8"/>
      </w:r>
      <w:r w:rsidR="00FD0B92" w:rsidRPr="000D0573">
        <w:rPr>
          <w:rFonts w:eastAsia="Times New Roman" w:cs="Times New Roman"/>
          <w:szCs w:val="24"/>
          <w:lang w:eastAsia="en-US"/>
        </w:rPr>
        <w:t xml:space="preserve">. </w:t>
      </w: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w:t>
      </w:r>
      <w:r w:rsidR="00FD0B92" w:rsidRPr="000D0573">
        <w:rPr>
          <w:rFonts w:eastAsia="Times New Roman" w:cs="Times New Roman"/>
          <w:b/>
          <w:i/>
          <w:szCs w:val="24"/>
          <w:lang w:eastAsia="en-US"/>
        </w:rPr>
        <w:t xml:space="preserve"> </w:t>
      </w:r>
      <w:r w:rsidR="00FD0B92" w:rsidRPr="000D0573">
        <w:rPr>
          <w:rFonts w:eastAsia="Times New Roman" w:cs="Times New Roman"/>
          <w:szCs w:val="24"/>
          <w:lang w:eastAsia="en-US"/>
        </w:rPr>
        <w:t>programoje vienintelė vieta, kurioje kalbama apie mokesčius, yra</w:t>
      </w:r>
      <w:r w:rsidR="00FD0B92" w:rsidRPr="000D0573">
        <w:rPr>
          <w:rFonts w:eastAsia="Times New Roman" w:cs="Times New Roman"/>
          <w:b/>
          <w:szCs w:val="24"/>
          <w:lang w:eastAsia="en-US"/>
        </w:rPr>
        <w:t xml:space="preserve"> </w:t>
      </w:r>
      <w:r w:rsidR="00FD0B92" w:rsidRPr="000D0573">
        <w:rPr>
          <w:rFonts w:eastAsia="Times New Roman" w:cs="Times New Roman"/>
          <w:szCs w:val="24"/>
          <w:lang w:eastAsia="en-US"/>
        </w:rPr>
        <w:t>Dotacijos sutarties bendrųjų sąlygų II.15.3 dalis</w:t>
      </w:r>
      <w:r w:rsidR="006501D8" w:rsidRPr="000D0573">
        <w:rPr>
          <w:rFonts w:eastAsia="Times New Roman" w:cs="Times New Roman"/>
          <w:szCs w:val="24"/>
          <w:lang w:eastAsia="en-US"/>
        </w:rPr>
        <w:t xml:space="preserve">. Joje </w:t>
      </w:r>
      <w:r w:rsidR="00FD0B92" w:rsidRPr="000D0573">
        <w:rPr>
          <w:rFonts w:eastAsia="Times New Roman" w:cs="Times New Roman"/>
          <w:szCs w:val="24"/>
          <w:lang w:eastAsia="en-US"/>
        </w:rPr>
        <w:t xml:space="preserve">teigiama, kad nacionalinė agentūra gali nutraukti sutartį arba dotacijos gavėjų dalyvavimą projekte, „jeigu dotacijos gavėjas neįvykdo savo įsipareigojimų, susijusių su socialinio draudimo įmokų arba mokesčių mokėjimu pagal šalies, kurioje jis yra įsisteigęs arba kurioje projektas yra įgyvendinamas, teisines nuostatas“. Ši nuostata įpareigoja vykdyti įsipareigojimus ir mokėti socialinio draudimo įmokas </w:t>
      </w:r>
      <w:r w:rsidR="006501D8" w:rsidRPr="000D0573">
        <w:rPr>
          <w:rFonts w:eastAsia="Times New Roman" w:cs="Times New Roman"/>
          <w:szCs w:val="24"/>
          <w:lang w:eastAsia="en-US"/>
        </w:rPr>
        <w:t xml:space="preserve">bei </w:t>
      </w:r>
      <w:r w:rsidR="00FD0B92" w:rsidRPr="000D0573">
        <w:rPr>
          <w:rFonts w:eastAsia="Times New Roman" w:cs="Times New Roman"/>
          <w:szCs w:val="24"/>
          <w:lang w:eastAsia="en-US"/>
        </w:rPr>
        <w:t xml:space="preserve">kitus susijusius mokesčius. </w:t>
      </w:r>
    </w:p>
    <w:p w:rsidR="00FD0B92" w:rsidRPr="000D0573" w:rsidRDefault="00FD0B92" w:rsidP="00FD0B92">
      <w:pPr>
        <w:spacing w:before="240" w:after="240"/>
        <w:jc w:val="both"/>
        <w:rPr>
          <w:rFonts w:eastAsia="Times New Roman" w:cs="Times New Roman"/>
          <w:szCs w:val="24"/>
          <w:lang w:eastAsia="en-US"/>
        </w:rPr>
      </w:pPr>
      <w:r w:rsidRPr="000D0573">
        <w:rPr>
          <w:rFonts w:eastAsia="Times New Roman" w:cs="Times New Roman"/>
          <w:szCs w:val="24"/>
          <w:lang w:eastAsia="en-US"/>
        </w:rPr>
        <w:t xml:space="preserve">Turint </w:t>
      </w:r>
      <w:r w:rsidR="006501D8" w:rsidRPr="000D0573">
        <w:rPr>
          <w:rFonts w:eastAsia="Times New Roman" w:cs="Times New Roman"/>
          <w:szCs w:val="24"/>
          <w:lang w:eastAsia="en-US"/>
        </w:rPr>
        <w:t>galvoje</w:t>
      </w:r>
      <w:r w:rsidRPr="000D0573">
        <w:rPr>
          <w:rFonts w:eastAsia="Times New Roman" w:cs="Times New Roman"/>
          <w:szCs w:val="24"/>
          <w:lang w:eastAsia="en-US"/>
        </w:rPr>
        <w:t xml:space="preserve">, kad Mokymosi visą gyvenimą programos veiklos tęsiamos </w:t>
      </w:r>
      <w:r w:rsidR="006501D8" w:rsidRPr="000D0573">
        <w:rPr>
          <w:rFonts w:eastAsia="Times New Roman" w:cs="Times New Roman"/>
          <w:szCs w:val="24"/>
          <w:lang w:eastAsia="en-US"/>
        </w:rPr>
        <w:t xml:space="preserve">įgyvendinant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Pr="000D0573">
        <w:rPr>
          <w:rFonts w:eastAsia="Times New Roman" w:cs="Times New Roman"/>
          <w:i/>
          <w:szCs w:val="24"/>
          <w:lang w:eastAsia="en-US"/>
        </w:rPr>
        <w:t xml:space="preserve"> </w:t>
      </w:r>
      <w:r w:rsidRPr="000D0573">
        <w:rPr>
          <w:rFonts w:eastAsia="Times New Roman" w:cs="Times New Roman"/>
          <w:szCs w:val="24"/>
          <w:lang w:eastAsia="en-US"/>
        </w:rPr>
        <w:t xml:space="preserve">programą, kad įtvirtintos nuostatos dėl įkainio struktūros nebuvo atšauktos papildomais dokumentais ir kad </w:t>
      </w:r>
      <w:r w:rsidR="009E22F7" w:rsidRPr="000D0573">
        <w:rPr>
          <w:rFonts w:eastAsia="Times New Roman" w:cs="Times New Roman"/>
        </w:rPr>
        <w:t>„</w:t>
      </w:r>
      <w:proofErr w:type="spellStart"/>
      <w:r w:rsidR="009E22F7" w:rsidRPr="000D0573">
        <w:rPr>
          <w:rFonts w:eastAsia="Times New Roman" w:cs="Times New Roman"/>
        </w:rPr>
        <w:t>Erasmus</w:t>
      </w:r>
      <w:proofErr w:type="spellEnd"/>
      <w:r w:rsidR="009E22F7" w:rsidRPr="000D0573">
        <w:rPr>
          <w:rFonts w:eastAsia="Times New Roman" w:cs="Times New Roman"/>
        </w:rPr>
        <w:t xml:space="preserve"> plius“</w:t>
      </w:r>
      <w:r w:rsidRPr="000D0573">
        <w:rPr>
          <w:rFonts w:eastAsia="Times New Roman" w:cs="Times New Roman"/>
          <w:szCs w:val="24"/>
          <w:lang w:eastAsia="en-US"/>
        </w:rPr>
        <w:t xml:space="preserve"> įkainiai nustatyti pagal Mokymosi visą gyvenimą programos projektų išlaidų istorinius duomenis, galima apibendrinti, </w:t>
      </w:r>
      <w:r w:rsidR="006501D8" w:rsidRPr="000D0573">
        <w:rPr>
          <w:rFonts w:eastAsia="Times New Roman" w:cs="Times New Roman"/>
          <w:szCs w:val="24"/>
          <w:lang w:eastAsia="en-US"/>
        </w:rPr>
        <w:t xml:space="preserve">jog </w:t>
      </w:r>
      <w:r w:rsidRPr="000D0573">
        <w:rPr>
          <w:rFonts w:eastAsia="Times New Roman" w:cs="Times New Roman"/>
          <w:szCs w:val="24"/>
          <w:lang w:eastAsia="en-US"/>
        </w:rPr>
        <w:t xml:space="preserve">abiejų programų darbo užmokesčio įkainio struktūrą sudaro faktinis atlyginimas, socialinio draudimo mokesčiai ir kiti </w:t>
      </w:r>
      <w:r w:rsidR="007F025E" w:rsidRPr="000D0573">
        <w:rPr>
          <w:rFonts w:eastAsia="Times New Roman" w:cs="Times New Roman"/>
          <w:szCs w:val="24"/>
          <w:lang w:eastAsia="en-US"/>
        </w:rPr>
        <w:t xml:space="preserve">su darbo užmokesčiu </w:t>
      </w:r>
      <w:r w:rsidRPr="000D0573">
        <w:rPr>
          <w:rFonts w:eastAsia="Times New Roman" w:cs="Times New Roman"/>
          <w:szCs w:val="24"/>
          <w:lang w:eastAsia="en-US"/>
        </w:rPr>
        <w:t>susiję mokesčiai.</w:t>
      </w:r>
    </w:p>
    <w:p w:rsidR="00FD0B92" w:rsidRPr="000D0573" w:rsidRDefault="006501D8" w:rsidP="008B6EE2">
      <w:pPr>
        <w:spacing w:before="240" w:after="240"/>
        <w:jc w:val="both"/>
        <w:rPr>
          <w:rFonts w:eastAsia="Times New Roman" w:cs="Times New Roman"/>
          <w:szCs w:val="24"/>
          <w:lang w:eastAsia="en-US"/>
        </w:rPr>
      </w:pPr>
      <w:r w:rsidRPr="000D0573">
        <w:rPr>
          <w:rFonts w:eastAsia="Times New Roman" w:cs="Times New Roman"/>
          <w:szCs w:val="24"/>
          <w:lang w:eastAsia="en-US"/>
        </w:rPr>
        <w:t xml:space="preserve">Pagal </w:t>
      </w:r>
      <w:r w:rsidR="00FD0B92" w:rsidRPr="000D0573">
        <w:rPr>
          <w:rFonts w:eastAsia="Times New Roman" w:cs="Times New Roman"/>
          <w:szCs w:val="24"/>
          <w:lang w:eastAsia="en-US"/>
        </w:rPr>
        <w:t xml:space="preserve">Rekomendacijų dėl išlaidų atitikties 140 </w:t>
      </w:r>
      <w:r w:rsidRPr="000D0573">
        <w:rPr>
          <w:rFonts w:eastAsia="Times New Roman" w:cs="Times New Roman"/>
          <w:szCs w:val="24"/>
          <w:lang w:eastAsia="en-US"/>
        </w:rPr>
        <w:t xml:space="preserve">punktą </w:t>
      </w:r>
      <w:r w:rsidR="00FD0B92" w:rsidRPr="000D0573">
        <w:rPr>
          <w:rFonts w:eastAsia="Times New Roman" w:cs="Times New Roman"/>
          <w:szCs w:val="24"/>
          <w:lang w:eastAsia="en-US"/>
        </w:rPr>
        <w:t>įpareigoja</w:t>
      </w:r>
      <w:r w:rsidRPr="000D0573">
        <w:rPr>
          <w:rFonts w:eastAsia="Times New Roman" w:cs="Times New Roman"/>
          <w:szCs w:val="24"/>
          <w:lang w:eastAsia="en-US"/>
        </w:rPr>
        <w:t>ma</w:t>
      </w:r>
      <w:r w:rsidR="00FD0B92" w:rsidRPr="000D0573">
        <w:rPr>
          <w:rFonts w:eastAsia="Times New Roman" w:cs="Times New Roman"/>
          <w:szCs w:val="24"/>
          <w:lang w:eastAsia="en-US"/>
        </w:rPr>
        <w:t xml:space="preserve"> vadovautis darbo užmokesčio samprata, kurią reglamentuoja </w:t>
      </w:r>
      <w:r w:rsidR="00461591" w:rsidRPr="000D0573">
        <w:rPr>
          <w:rFonts w:eastAsia="Times New Roman" w:cs="Times New Roman"/>
          <w:szCs w:val="24"/>
          <w:lang w:eastAsia="en-US"/>
        </w:rPr>
        <w:t>DK</w:t>
      </w:r>
      <w:r w:rsidR="00FD0B92" w:rsidRPr="000D0573">
        <w:rPr>
          <w:rFonts w:eastAsia="Times New Roman" w:cs="Times New Roman"/>
          <w:szCs w:val="24"/>
          <w:lang w:eastAsia="en-US"/>
        </w:rPr>
        <w:t xml:space="preserve"> 186 straipsnis:</w:t>
      </w:r>
    </w:p>
    <w:p w:rsidR="00FD0B92" w:rsidRPr="000D0573" w:rsidRDefault="008B6EE2" w:rsidP="00FD0B92">
      <w:pPr>
        <w:spacing w:before="240" w:after="240"/>
        <w:ind w:left="567"/>
        <w:jc w:val="both"/>
        <w:rPr>
          <w:rFonts w:eastAsia="Times New Roman" w:cs="Times New Roman"/>
          <w:szCs w:val="24"/>
          <w:lang w:eastAsia="en-US"/>
        </w:rPr>
      </w:pPr>
      <w:r w:rsidRPr="000D0573">
        <w:rPr>
          <w:rFonts w:eastAsia="Times New Roman" w:cs="Times New Roman"/>
          <w:szCs w:val="24"/>
          <w:lang w:eastAsia="en-US"/>
        </w:rPr>
        <w:lastRenderedPageBreak/>
        <w:t>„</w:t>
      </w:r>
      <w:r w:rsidR="00FD0B92" w:rsidRPr="000D0573">
        <w:rPr>
          <w:rFonts w:eastAsia="Times New Roman" w:cs="Times New Roman"/>
          <w:szCs w:val="24"/>
          <w:lang w:eastAsia="en-US"/>
        </w:rPr>
        <w:t xml:space="preserve">Darbo užmokestis – </w:t>
      </w:r>
      <w:r w:rsidR="00FD0B92" w:rsidRPr="000D0573">
        <w:rPr>
          <w:rFonts w:eastAsia="Times New Roman" w:cs="Arial"/>
          <w:szCs w:val="20"/>
          <w:shd w:val="clear" w:color="auto" w:fill="FFFFFF"/>
          <w:lang w:eastAsia="en-US"/>
        </w:rPr>
        <w:t>atlyginimas už darbą, darbuotojo atliekamą pagal darbo sutartį.</w:t>
      </w:r>
      <w:r w:rsidR="00FD0B92" w:rsidRPr="000D0573">
        <w:rPr>
          <w:rFonts w:eastAsia="Times New Roman" w:cs="Times New Roman"/>
          <w:szCs w:val="24"/>
          <w:lang w:eastAsia="en-US"/>
        </w:rPr>
        <w:t xml:space="preserve"> </w:t>
      </w:r>
      <w:r w:rsidR="00FD0B92" w:rsidRPr="000D0573">
        <w:rPr>
          <w:rFonts w:eastAsia="Times New Roman" w:cs="Arial"/>
          <w:color w:val="000000"/>
          <w:szCs w:val="20"/>
          <w:lang w:eastAsia="en-US"/>
        </w:rPr>
        <w:t xml:space="preserve">Darbo užmokestis apima pagrindinį darbo užmokestį ir visus papildomus uždarbius, bet kokiu būdu tiesiogiai darbdavio išmokamus darbuotojui už jo atliktą darbą. </w:t>
      </w:r>
      <w:r w:rsidR="005E60AE" w:rsidRPr="000D0573">
        <w:rPr>
          <w:rFonts w:eastAsia="Times New Roman" w:cs="Arial"/>
          <w:color w:val="000000"/>
          <w:szCs w:val="20"/>
          <w:lang w:eastAsia="en-US"/>
        </w:rPr>
        <w:t xml:space="preserve">[...] </w:t>
      </w:r>
      <w:r w:rsidR="00FD0B92" w:rsidRPr="000D0573">
        <w:rPr>
          <w:rFonts w:eastAsia="Times New Roman" w:cs="Arial"/>
          <w:color w:val="000000"/>
          <w:szCs w:val="20"/>
          <w:lang w:eastAsia="en-US"/>
        </w:rPr>
        <w:t>Darbo užmokestis mokamas pinigais</w:t>
      </w:r>
      <w:r w:rsidRPr="000D0573">
        <w:rPr>
          <w:rFonts w:eastAsia="Times New Roman" w:cs="Arial"/>
          <w:color w:val="000000"/>
          <w:szCs w:val="20"/>
          <w:lang w:eastAsia="en-US"/>
        </w:rPr>
        <w:t>“</w:t>
      </w:r>
      <w:r w:rsidR="00FD0B92" w:rsidRPr="000D0573">
        <w:rPr>
          <w:rFonts w:eastAsia="Times New Roman" w:cs="Times New Roman"/>
          <w:szCs w:val="24"/>
          <w:lang w:eastAsia="en-US"/>
        </w:rPr>
        <w:t>.</w:t>
      </w:r>
    </w:p>
    <w:p w:rsidR="00FD0B92" w:rsidRPr="000D0573" w:rsidRDefault="00FD0B92" w:rsidP="00FD0B92">
      <w:pPr>
        <w:tabs>
          <w:tab w:val="left" w:pos="9600"/>
        </w:tabs>
        <w:spacing w:after="240"/>
        <w:ind w:right="74"/>
        <w:jc w:val="both"/>
        <w:rPr>
          <w:rFonts w:eastAsia="Times New Roman" w:cs="Times New Roman"/>
        </w:rPr>
      </w:pPr>
      <w:r w:rsidRPr="000D0573">
        <w:rPr>
          <w:rFonts w:eastAsia="Times New Roman" w:cs="Times New Roman"/>
        </w:rPr>
        <w:t xml:space="preserve">Rekomendacijų dėl išlaidų atitikties 141 </w:t>
      </w:r>
      <w:r w:rsidR="008B6EE2" w:rsidRPr="000D0573">
        <w:rPr>
          <w:rFonts w:eastAsia="Times New Roman" w:cs="Times New Roman"/>
        </w:rPr>
        <w:t xml:space="preserve">punktu </w:t>
      </w:r>
      <w:r w:rsidRPr="000D0573">
        <w:rPr>
          <w:rFonts w:eastAsia="Times New Roman" w:cs="Times New Roman"/>
        </w:rPr>
        <w:t>nurodo</w:t>
      </w:r>
      <w:r w:rsidR="008B6EE2" w:rsidRPr="000D0573">
        <w:rPr>
          <w:rFonts w:eastAsia="Times New Roman" w:cs="Times New Roman"/>
        </w:rPr>
        <w:t>ma:</w:t>
      </w:r>
      <w:r w:rsidR="008B6EE2" w:rsidRPr="000D0573">
        <w:rPr>
          <w:rFonts w:eastAsia="Times New Roman" w:cs="Times New Roman"/>
          <w:i/>
        </w:rPr>
        <w:t xml:space="preserve"> </w:t>
      </w:r>
      <w:r w:rsidR="009E22F7" w:rsidRPr="000D0573">
        <w:rPr>
          <w:rFonts w:eastAsia="Times New Roman" w:cs="Times New Roman"/>
        </w:rPr>
        <w:t>„</w:t>
      </w:r>
      <w:r w:rsidR="008B6EE2" w:rsidRPr="000D0573">
        <w:rPr>
          <w:rFonts w:eastAsia="Times New Roman" w:cs="Times New Roman"/>
        </w:rPr>
        <w:t>T</w:t>
      </w:r>
      <w:r w:rsidRPr="000D0573">
        <w:rPr>
          <w:rFonts w:eastAsia="Times New Roman" w:cs="Times New Roman"/>
        </w:rPr>
        <w:t xml:space="preserve">inkamos finansuoti projektą vykdančių asmenų darbo užmokesčio išlaidos </w:t>
      </w:r>
      <w:r w:rsidRPr="008744DE">
        <w:rPr>
          <w:rFonts w:eastAsia="Times New Roman" w:cs="Times New Roman"/>
        </w:rPr>
        <w:t>gali apimti</w:t>
      </w:r>
      <w:r w:rsidRPr="000D0573">
        <w:rPr>
          <w:rFonts w:eastAsia="Times New Roman" w:cs="Times New Roman"/>
        </w:rPr>
        <w:t xml:space="preserve"> apskaičiuotą darbo užmokestį ir išlaidas su darbo santykiais susijusiems darbdavio įsipareigojimams (socialinio draudimo, privalomojo sveikatos draudimo mokesčius, įmokas garantiniam fondui, darbo užmokestį už kasmetines atostogas projekto vykdymo laikotarpiu, darbo užmokestį už papildomas poilsio dienas asmenims, auginantiems du ar daugiau vaikų iki 12 metų arba neįgalų vaiką iki 18 metų, kompensaciją už nepanaudotas kasmetines atostogas (išskyrus atvejus, kai išlaidos apmokamos supaprastintai), darbdavio mokamą ligos pašalpą už pirmas dvi ligos dienas)</w:t>
      </w:r>
      <w:r w:rsidR="009E22F7" w:rsidRPr="000D0573">
        <w:rPr>
          <w:rFonts w:eastAsia="Times New Roman" w:cs="Times New Roman"/>
        </w:rPr>
        <w:t>“</w:t>
      </w:r>
      <w:r w:rsidRPr="000D0573">
        <w:rPr>
          <w:rFonts w:eastAsia="Times New Roman" w:cs="Times New Roman"/>
        </w:rPr>
        <w:t xml:space="preserve">. </w:t>
      </w:r>
    </w:p>
    <w:p w:rsidR="00FD0B92" w:rsidRPr="000D0573" w:rsidRDefault="00FD0B92" w:rsidP="00FD0B92">
      <w:pPr>
        <w:tabs>
          <w:tab w:val="left" w:pos="9600"/>
        </w:tabs>
        <w:spacing w:after="240"/>
        <w:ind w:right="74"/>
        <w:jc w:val="both"/>
        <w:rPr>
          <w:rFonts w:ascii="Times New Roman" w:eastAsia="Times New Roman" w:hAnsi="Times New Roman" w:cs="Times New Roman"/>
          <w:color w:val="000000"/>
          <w:sz w:val="23"/>
          <w:szCs w:val="23"/>
        </w:rPr>
      </w:pPr>
      <w:r w:rsidRPr="000D0573">
        <w:rPr>
          <w:rFonts w:eastAsia="Times New Roman" w:cs="Times New Roman"/>
        </w:rPr>
        <w:t xml:space="preserve">Remiantis Projektų administravimo ir finansavimo taisyklių 418 </w:t>
      </w:r>
      <w:r w:rsidR="008B6EE2" w:rsidRPr="000D0573">
        <w:rPr>
          <w:rFonts w:eastAsia="Times New Roman" w:cs="Times New Roman"/>
        </w:rPr>
        <w:t xml:space="preserve">punktu </w:t>
      </w:r>
      <w:r w:rsidRPr="000D0573">
        <w:rPr>
          <w:rFonts w:eastAsia="Times New Roman" w:cs="Times New Roman"/>
        </w:rPr>
        <w:t xml:space="preserve">ir Rekomendacijų dėl išlaidų atitikties 147 </w:t>
      </w:r>
      <w:r w:rsidR="008B6EE2" w:rsidRPr="000D0573">
        <w:rPr>
          <w:rFonts w:eastAsia="Times New Roman" w:cs="Times New Roman"/>
        </w:rPr>
        <w:t>punktu</w:t>
      </w:r>
      <w:r w:rsidRPr="000D0573">
        <w:rPr>
          <w:rFonts w:eastAsia="Times New Roman" w:cs="Times New Roman"/>
        </w:rPr>
        <w:t xml:space="preserve">, darbo užmokesčio fiksuotieji įkainiai </w:t>
      </w:r>
      <w:r w:rsidRPr="000D0573">
        <w:rPr>
          <w:rFonts w:eastAsia="Times New Roman" w:cs="Times New Roman"/>
          <w:b/>
        </w:rPr>
        <w:t>negali apimti</w:t>
      </w:r>
      <w:r w:rsidRPr="000D0573">
        <w:rPr>
          <w:rFonts w:eastAsia="Times New Roman" w:cs="Times New Roman"/>
        </w:rPr>
        <w:t xml:space="preserve"> išlaidų tikslinėms atostogoms, pašalpoms (išskyrus darbdavio mokamą ligos pašalpą už pirmas dvi ligos dienas), išeitinėms išmokoms, įmokoms į pensijų ir kitus fondus (išskyrus privalomas įmokas ir darbuotojo pasirinkimu mokamą teisės aktuose nustatyto dydžio įmoką papildomai pensijai kaupti, jeigu </w:t>
      </w:r>
      <w:r w:rsidR="00CB49BF">
        <w:rPr>
          <w:rFonts w:eastAsia="Times New Roman" w:cs="Times New Roman"/>
        </w:rPr>
        <w:t xml:space="preserve">ji </w:t>
      </w:r>
      <w:r w:rsidRPr="000D0573">
        <w:rPr>
          <w:rFonts w:eastAsia="Times New Roman" w:cs="Times New Roman"/>
        </w:rPr>
        <w:t>taikoma), darbuotojui darbdavio suteikiamos naudos natūra.</w:t>
      </w:r>
      <w:r w:rsidRPr="000D0573">
        <w:rPr>
          <w:rFonts w:ascii="Times New Roman" w:eastAsia="Times New Roman" w:hAnsi="Times New Roman" w:cs="Times New Roman"/>
          <w:color w:val="000000"/>
          <w:sz w:val="23"/>
          <w:szCs w:val="23"/>
        </w:rPr>
        <w:t xml:space="preserve"> </w:t>
      </w:r>
    </w:p>
    <w:p w:rsidR="007F025E" w:rsidRPr="000D0573" w:rsidRDefault="00FD0B92" w:rsidP="00FD0B92">
      <w:pPr>
        <w:tabs>
          <w:tab w:val="left" w:pos="9600"/>
        </w:tabs>
        <w:spacing w:after="240"/>
        <w:ind w:right="74"/>
        <w:jc w:val="both"/>
        <w:rPr>
          <w:rFonts w:eastAsia="Times New Roman" w:cs="Times New Roman"/>
          <w:color w:val="000000"/>
          <w:szCs w:val="23"/>
        </w:rPr>
      </w:pPr>
      <w:r w:rsidRPr="000D0573">
        <w:rPr>
          <w:rFonts w:eastAsia="Times New Roman" w:cs="Times New Roman"/>
          <w:color w:val="000000"/>
          <w:szCs w:val="23"/>
        </w:rPr>
        <w:t xml:space="preserve">Šiame tyrime nustatomi </w:t>
      </w:r>
      <w:r w:rsidR="001A07BF" w:rsidRPr="000D0573">
        <w:rPr>
          <w:rFonts w:eastAsia="Times New Roman" w:cs="Times New Roman"/>
          <w:color w:val="000000"/>
          <w:szCs w:val="23"/>
        </w:rPr>
        <w:t xml:space="preserve">fiksuotieji </w:t>
      </w:r>
      <w:r w:rsidRPr="000D0573">
        <w:rPr>
          <w:rFonts w:eastAsia="Times New Roman" w:cs="Times New Roman"/>
          <w:color w:val="000000"/>
          <w:szCs w:val="23"/>
        </w:rPr>
        <w:t xml:space="preserve">įkainiai apima darbuotojo </w:t>
      </w:r>
      <w:r w:rsidRPr="000D0573">
        <w:rPr>
          <w:rFonts w:eastAsia="Times New Roman" w:cs="Times New Roman"/>
          <w:b/>
          <w:color w:val="000000"/>
          <w:szCs w:val="23"/>
        </w:rPr>
        <w:t>darbo užmokestį</w:t>
      </w:r>
      <w:r w:rsidR="001A07BF" w:rsidRPr="000D0573">
        <w:rPr>
          <w:rFonts w:eastAsia="Times New Roman" w:cs="Times New Roman"/>
          <w:b/>
          <w:color w:val="000000"/>
          <w:szCs w:val="23"/>
        </w:rPr>
        <w:t>,</w:t>
      </w:r>
      <w:r w:rsidR="001A07BF" w:rsidRPr="000D0573">
        <w:rPr>
          <w:rFonts w:eastAsia="Times New Roman" w:cs="Times New Roman"/>
          <w:color w:val="000000"/>
          <w:szCs w:val="23"/>
        </w:rPr>
        <w:t xml:space="preserve"> taip pat </w:t>
      </w:r>
      <w:r w:rsidRPr="000D0573">
        <w:rPr>
          <w:rFonts w:eastAsia="Times New Roman" w:cs="Times New Roman"/>
          <w:color w:val="000000"/>
          <w:szCs w:val="23"/>
        </w:rPr>
        <w:t xml:space="preserve">darbdavio mokamas </w:t>
      </w:r>
      <w:r w:rsidRPr="000D0573">
        <w:rPr>
          <w:rFonts w:eastAsia="Times New Roman" w:cs="Times New Roman"/>
          <w:b/>
          <w:color w:val="000000"/>
          <w:szCs w:val="23"/>
        </w:rPr>
        <w:t>socialinio draudimo</w:t>
      </w:r>
      <w:r w:rsidRPr="000D0573">
        <w:rPr>
          <w:rFonts w:eastAsia="Times New Roman" w:cs="Times New Roman"/>
          <w:color w:val="000000"/>
          <w:szCs w:val="23"/>
        </w:rPr>
        <w:t xml:space="preserve">, privalomojo </w:t>
      </w:r>
      <w:r w:rsidRPr="000D0573">
        <w:rPr>
          <w:rFonts w:eastAsia="Times New Roman" w:cs="Times New Roman"/>
          <w:b/>
          <w:color w:val="000000"/>
          <w:szCs w:val="23"/>
        </w:rPr>
        <w:t>sveikatos draudimo įmokas</w:t>
      </w:r>
      <w:r w:rsidRPr="000D0573">
        <w:rPr>
          <w:rFonts w:eastAsia="Times New Roman" w:cs="Times New Roman"/>
          <w:color w:val="000000"/>
          <w:szCs w:val="23"/>
        </w:rPr>
        <w:t xml:space="preserve"> </w:t>
      </w:r>
      <w:r w:rsidR="001A07BF" w:rsidRPr="000D0573">
        <w:rPr>
          <w:rFonts w:eastAsia="Times New Roman" w:cs="Times New Roman"/>
          <w:color w:val="000000"/>
          <w:szCs w:val="23"/>
        </w:rPr>
        <w:t xml:space="preserve">ir </w:t>
      </w:r>
      <w:r w:rsidRPr="000D0573">
        <w:rPr>
          <w:rFonts w:eastAsia="Times New Roman" w:cs="Times New Roman"/>
          <w:b/>
          <w:color w:val="000000"/>
          <w:szCs w:val="23"/>
        </w:rPr>
        <w:t>įmokas į garantinį fondą</w:t>
      </w:r>
      <w:r w:rsidRPr="000D0573">
        <w:rPr>
          <w:rFonts w:eastAsia="Times New Roman" w:cs="Times New Roman"/>
          <w:color w:val="000000"/>
          <w:szCs w:val="23"/>
        </w:rPr>
        <w:t xml:space="preserve">. </w:t>
      </w:r>
      <w:r w:rsidR="001A07BF" w:rsidRPr="000D0573">
        <w:rPr>
          <w:rFonts w:eastAsia="Times New Roman" w:cs="Times New Roman"/>
          <w:color w:val="000000"/>
          <w:szCs w:val="23"/>
        </w:rPr>
        <w:t>Į</w:t>
      </w:r>
      <w:r w:rsidR="007F025E" w:rsidRPr="000D0573">
        <w:rPr>
          <w:rFonts w:eastAsia="Times New Roman" w:cs="Times New Roman"/>
          <w:color w:val="000000"/>
          <w:szCs w:val="23"/>
        </w:rPr>
        <w:t xml:space="preserve"> </w:t>
      </w:r>
      <w:r w:rsidR="001A07BF" w:rsidRPr="000D0573">
        <w:rPr>
          <w:rFonts w:eastAsia="Times New Roman" w:cs="Times New Roman"/>
          <w:color w:val="000000"/>
          <w:szCs w:val="23"/>
        </w:rPr>
        <w:t xml:space="preserve">fiksuotojo </w:t>
      </w:r>
      <w:r w:rsidR="007F025E" w:rsidRPr="000D0573">
        <w:rPr>
          <w:rFonts w:eastAsia="Times New Roman" w:cs="Times New Roman"/>
          <w:color w:val="000000"/>
          <w:szCs w:val="23"/>
        </w:rPr>
        <w:t xml:space="preserve">įkainio dydį </w:t>
      </w:r>
      <w:r w:rsidR="007F025E" w:rsidRPr="000D0573">
        <w:rPr>
          <w:rFonts w:eastAsia="Times New Roman" w:cs="Times New Roman"/>
          <w:b/>
          <w:color w:val="000000"/>
          <w:szCs w:val="23"/>
        </w:rPr>
        <w:t xml:space="preserve">įskaičiuojamos </w:t>
      </w:r>
      <w:r w:rsidR="001A07BF" w:rsidRPr="000D0573">
        <w:rPr>
          <w:rFonts w:eastAsia="Times New Roman" w:cs="Times New Roman"/>
          <w:b/>
          <w:color w:val="000000"/>
          <w:szCs w:val="23"/>
        </w:rPr>
        <w:t xml:space="preserve">ir </w:t>
      </w:r>
      <w:r w:rsidR="007F025E" w:rsidRPr="000D0573">
        <w:rPr>
          <w:rFonts w:eastAsia="Times New Roman" w:cs="Times New Roman"/>
          <w:b/>
          <w:color w:val="000000"/>
          <w:szCs w:val="23"/>
        </w:rPr>
        <w:t>išlaidos kasmetinėms atostogoms</w:t>
      </w:r>
      <w:r w:rsidR="007F025E" w:rsidRPr="000D0573">
        <w:rPr>
          <w:rFonts w:eastAsia="Times New Roman" w:cs="Times New Roman"/>
          <w:color w:val="000000"/>
          <w:szCs w:val="23"/>
        </w:rPr>
        <w:t>.</w:t>
      </w:r>
      <w:r w:rsidRPr="000D0573">
        <w:rPr>
          <w:rFonts w:eastAsia="Times New Roman" w:cs="Times New Roman"/>
          <w:color w:val="000000"/>
          <w:szCs w:val="23"/>
        </w:rPr>
        <w:t xml:space="preserve"> </w:t>
      </w:r>
      <w:r w:rsidR="001A07BF" w:rsidRPr="000D0573">
        <w:rPr>
          <w:rFonts w:eastAsia="Times New Roman" w:cs="Times New Roman"/>
          <w:color w:val="000000"/>
          <w:szCs w:val="23"/>
        </w:rPr>
        <w:t>Pažymėtina</w:t>
      </w:r>
      <w:r w:rsidRPr="000D0573">
        <w:rPr>
          <w:rFonts w:eastAsia="Times New Roman" w:cs="Times New Roman"/>
          <w:color w:val="000000"/>
          <w:szCs w:val="23"/>
        </w:rPr>
        <w:t xml:space="preserve">, kad </w:t>
      </w:r>
      <w:r w:rsidR="007F025E" w:rsidRPr="000D0573">
        <w:rPr>
          <w:rFonts w:eastAsia="Times New Roman" w:cs="Times New Roman"/>
          <w:color w:val="000000"/>
          <w:szCs w:val="23"/>
        </w:rPr>
        <w:t xml:space="preserve">išlaidų kasmetinėms </w:t>
      </w:r>
      <w:r w:rsidRPr="000D0573">
        <w:rPr>
          <w:rFonts w:eastAsia="Times New Roman" w:cs="Times New Roman"/>
          <w:color w:val="000000"/>
          <w:szCs w:val="23"/>
        </w:rPr>
        <w:t>atostog</w:t>
      </w:r>
      <w:r w:rsidR="007F025E" w:rsidRPr="000D0573">
        <w:rPr>
          <w:rFonts w:eastAsia="Times New Roman" w:cs="Times New Roman"/>
          <w:color w:val="000000"/>
          <w:szCs w:val="23"/>
        </w:rPr>
        <w:t>oms</w:t>
      </w:r>
      <w:r w:rsidRPr="000D0573">
        <w:rPr>
          <w:rFonts w:eastAsia="Times New Roman" w:cs="Times New Roman"/>
          <w:color w:val="000000"/>
          <w:szCs w:val="23"/>
        </w:rPr>
        <w:t xml:space="preserve"> įtraukimas savaime yra supaprastinimas, nes </w:t>
      </w:r>
      <w:r w:rsidR="007F025E" w:rsidRPr="000D0573">
        <w:rPr>
          <w:rFonts w:eastAsia="Times New Roman" w:cs="Times New Roman"/>
          <w:color w:val="000000"/>
          <w:szCs w:val="23"/>
        </w:rPr>
        <w:t xml:space="preserve">deklaruojant </w:t>
      </w:r>
      <w:r w:rsidRPr="000D0573">
        <w:rPr>
          <w:rFonts w:eastAsia="Times New Roman" w:cs="Times New Roman"/>
          <w:color w:val="000000"/>
          <w:szCs w:val="23"/>
        </w:rPr>
        <w:t xml:space="preserve">darbo užmokestį pagal </w:t>
      </w:r>
      <w:r w:rsidR="001A07BF" w:rsidRPr="000D0573">
        <w:rPr>
          <w:rFonts w:eastAsia="Times New Roman" w:cs="Times New Roman"/>
          <w:color w:val="000000"/>
          <w:szCs w:val="23"/>
        </w:rPr>
        <w:t xml:space="preserve">fiksuotuosius </w:t>
      </w:r>
      <w:r w:rsidRPr="000D0573">
        <w:rPr>
          <w:rFonts w:eastAsia="Times New Roman" w:cs="Times New Roman"/>
          <w:color w:val="000000"/>
          <w:szCs w:val="23"/>
        </w:rPr>
        <w:t>įkainius, ne</w:t>
      </w:r>
      <w:r w:rsidR="001A07BF" w:rsidRPr="000D0573">
        <w:rPr>
          <w:rFonts w:eastAsia="Times New Roman" w:cs="Times New Roman"/>
          <w:color w:val="000000"/>
          <w:szCs w:val="23"/>
        </w:rPr>
        <w:t>be</w:t>
      </w:r>
      <w:r w:rsidRPr="000D0573">
        <w:rPr>
          <w:rFonts w:eastAsia="Times New Roman" w:cs="Times New Roman"/>
          <w:color w:val="000000"/>
          <w:szCs w:val="23"/>
        </w:rPr>
        <w:t xml:space="preserve">reikės atskirai deklaruoti </w:t>
      </w:r>
      <w:r w:rsidR="007F025E" w:rsidRPr="000D0573">
        <w:rPr>
          <w:rFonts w:eastAsia="Times New Roman" w:cs="Times New Roman"/>
          <w:color w:val="000000"/>
          <w:szCs w:val="23"/>
        </w:rPr>
        <w:t xml:space="preserve">atostoginių ar </w:t>
      </w:r>
      <w:r w:rsidRPr="000D0573">
        <w:rPr>
          <w:rFonts w:eastAsia="Times New Roman" w:cs="Times New Roman"/>
          <w:color w:val="000000"/>
          <w:szCs w:val="23"/>
        </w:rPr>
        <w:t>kompensacijų už nepanaudotas atostogas.</w:t>
      </w:r>
    </w:p>
    <w:p w:rsidR="00082DD6" w:rsidRPr="000D0573" w:rsidRDefault="008D10B5" w:rsidP="00FD0B92">
      <w:pPr>
        <w:tabs>
          <w:tab w:val="left" w:pos="9600"/>
        </w:tabs>
        <w:spacing w:after="240"/>
        <w:ind w:right="74"/>
        <w:jc w:val="both"/>
        <w:rPr>
          <w:rFonts w:eastAsia="Times New Roman" w:cs="Times New Roman"/>
          <w:color w:val="000000"/>
          <w:szCs w:val="23"/>
        </w:rPr>
      </w:pPr>
      <w:r w:rsidRPr="000D0573">
        <w:rPr>
          <w:rFonts w:eastAsia="Times New Roman" w:cs="Times New Roman"/>
          <w:color w:val="000000"/>
          <w:szCs w:val="23"/>
        </w:rPr>
        <w:t xml:space="preserve">Iš visų </w:t>
      </w:r>
      <w:r w:rsidRPr="000D0573">
        <w:rPr>
          <w:rFonts w:eastAsia="Times New Roman" w:cs="Times New Roman"/>
        </w:rPr>
        <w:t xml:space="preserve">Rekomendacijų dėl išlaidų atitikties 141 punkte nurodytų tinkamų finansuoti </w:t>
      </w:r>
      <w:r w:rsidR="00776F1C" w:rsidRPr="000D0573">
        <w:rPr>
          <w:rFonts w:eastAsia="Times New Roman" w:cs="Times New Roman"/>
        </w:rPr>
        <w:t>projektą vykdančių asmenų darbo užmokesčio išlaidų</w:t>
      </w:r>
      <w:r w:rsidRPr="000D0573">
        <w:rPr>
          <w:rFonts w:eastAsia="Times New Roman" w:cs="Times New Roman"/>
          <w:color w:val="000000"/>
          <w:szCs w:val="23"/>
        </w:rPr>
        <w:t xml:space="preserve"> </w:t>
      </w:r>
      <w:r w:rsidR="00A55A75" w:rsidRPr="000D0573">
        <w:rPr>
          <w:rFonts w:eastAsia="Times New Roman" w:cs="Times New Roman"/>
          <w:color w:val="000000"/>
          <w:szCs w:val="23"/>
        </w:rPr>
        <w:t>į</w:t>
      </w:r>
      <w:r w:rsidR="00FD0B92" w:rsidRPr="000D0573">
        <w:rPr>
          <w:rFonts w:eastAsia="Times New Roman" w:cs="Times New Roman"/>
          <w:color w:val="000000"/>
          <w:szCs w:val="23"/>
        </w:rPr>
        <w:t xml:space="preserve"> fiksuotą</w:t>
      </w:r>
      <w:r w:rsidR="001A07BF" w:rsidRPr="000D0573">
        <w:rPr>
          <w:rFonts w:eastAsia="Times New Roman" w:cs="Times New Roman"/>
          <w:color w:val="000000"/>
          <w:szCs w:val="23"/>
        </w:rPr>
        <w:t>jį</w:t>
      </w:r>
      <w:r w:rsidR="00FD0B92" w:rsidRPr="000D0573">
        <w:rPr>
          <w:rFonts w:eastAsia="Times New Roman" w:cs="Times New Roman"/>
          <w:color w:val="000000"/>
          <w:szCs w:val="23"/>
        </w:rPr>
        <w:t xml:space="preserve"> įkainį neįtraukta darbdavio mokama </w:t>
      </w:r>
      <w:r w:rsidR="00DD5672" w:rsidRPr="000D0573">
        <w:rPr>
          <w:rFonts w:eastAsia="Times New Roman" w:cs="Times New Roman"/>
          <w:color w:val="000000"/>
          <w:szCs w:val="23"/>
        </w:rPr>
        <w:t>išmoka</w:t>
      </w:r>
      <w:r w:rsidR="00FD0B92" w:rsidRPr="000D0573">
        <w:rPr>
          <w:rFonts w:eastAsia="Times New Roman" w:cs="Times New Roman"/>
          <w:color w:val="000000"/>
          <w:szCs w:val="23"/>
        </w:rPr>
        <w:t xml:space="preserve"> už dvi </w:t>
      </w:r>
      <w:r w:rsidR="001A07BF" w:rsidRPr="000D0573">
        <w:rPr>
          <w:rFonts w:eastAsia="Times New Roman" w:cs="Times New Roman"/>
          <w:color w:val="000000"/>
          <w:szCs w:val="23"/>
        </w:rPr>
        <w:t xml:space="preserve">pirmąsias </w:t>
      </w:r>
      <w:r w:rsidR="00FD0B92" w:rsidRPr="000D0573">
        <w:rPr>
          <w:rFonts w:eastAsia="Times New Roman" w:cs="Times New Roman"/>
          <w:color w:val="000000"/>
          <w:szCs w:val="23"/>
        </w:rPr>
        <w:t xml:space="preserve">ligos dienas ir </w:t>
      </w:r>
      <w:r w:rsidR="00E20421" w:rsidRPr="000D0573">
        <w:rPr>
          <w:rFonts w:eastAsia="Times New Roman" w:cs="Times New Roman"/>
          <w:color w:val="000000"/>
          <w:szCs w:val="23"/>
        </w:rPr>
        <w:t xml:space="preserve">už </w:t>
      </w:r>
      <w:r w:rsidR="00FD0B92" w:rsidRPr="000D0573">
        <w:rPr>
          <w:rFonts w:eastAsia="Times New Roman" w:cs="Times New Roman"/>
          <w:color w:val="000000"/>
          <w:szCs w:val="23"/>
        </w:rPr>
        <w:t>papildom</w:t>
      </w:r>
      <w:r w:rsidR="00E20421" w:rsidRPr="000D0573">
        <w:rPr>
          <w:rFonts w:eastAsia="Times New Roman" w:cs="Times New Roman"/>
          <w:color w:val="000000"/>
          <w:szCs w:val="23"/>
        </w:rPr>
        <w:t>a</w:t>
      </w:r>
      <w:r w:rsidR="00FD0B92" w:rsidRPr="000D0573">
        <w:rPr>
          <w:rFonts w:eastAsia="Times New Roman" w:cs="Times New Roman"/>
          <w:color w:val="000000"/>
          <w:szCs w:val="23"/>
        </w:rPr>
        <w:t>s poilsio dien</w:t>
      </w:r>
      <w:r w:rsidR="00E20421" w:rsidRPr="000D0573">
        <w:rPr>
          <w:rFonts w:eastAsia="Times New Roman" w:cs="Times New Roman"/>
          <w:color w:val="000000"/>
          <w:szCs w:val="23"/>
        </w:rPr>
        <w:t>a</w:t>
      </w:r>
      <w:r w:rsidR="00FD0B92" w:rsidRPr="000D0573">
        <w:rPr>
          <w:rFonts w:eastAsia="Times New Roman" w:cs="Times New Roman"/>
          <w:color w:val="000000"/>
          <w:szCs w:val="23"/>
        </w:rPr>
        <w:t xml:space="preserve">s asmenims, auginantiems du ar daugiau vaikų iki 12 metų arba neįgalų vaiką iki 18 metų. </w:t>
      </w:r>
      <w:r w:rsidR="00776F1C" w:rsidRPr="000D0573">
        <w:rPr>
          <w:rFonts w:eastAsia="Times New Roman" w:cs="Times New Roman"/>
          <w:color w:val="000000"/>
          <w:szCs w:val="23"/>
        </w:rPr>
        <w:t xml:space="preserve">Tyrimo vykdymo metu nėra galimybės iš anksto įvertinti ir </w:t>
      </w:r>
      <w:r w:rsidR="001A07BF" w:rsidRPr="000D0573">
        <w:rPr>
          <w:rFonts w:eastAsia="Times New Roman" w:cs="Times New Roman"/>
          <w:color w:val="000000"/>
          <w:szCs w:val="23"/>
        </w:rPr>
        <w:t>apskaičiuoti</w:t>
      </w:r>
      <w:r w:rsidR="00776F1C" w:rsidRPr="000D0573">
        <w:rPr>
          <w:rFonts w:eastAsia="Times New Roman" w:cs="Times New Roman"/>
          <w:color w:val="000000"/>
          <w:szCs w:val="23"/>
        </w:rPr>
        <w:t xml:space="preserve">, kiek gali būti tokių atvejų, kai darbuotojai galės pasinaudoti teise į minėtas išmokas. </w:t>
      </w:r>
    </w:p>
    <w:p w:rsidR="00FD0B92" w:rsidRPr="000D0573" w:rsidRDefault="002A6E7D" w:rsidP="00FD0B92">
      <w:pPr>
        <w:tabs>
          <w:tab w:val="left" w:pos="9600"/>
        </w:tabs>
        <w:spacing w:after="240"/>
        <w:ind w:right="74"/>
        <w:jc w:val="both"/>
        <w:rPr>
          <w:rFonts w:eastAsia="Times New Roman" w:cs="Times New Roman"/>
          <w:color w:val="000000"/>
          <w:szCs w:val="23"/>
        </w:rPr>
      </w:pPr>
      <w:r w:rsidRPr="000D0573">
        <w:rPr>
          <w:rFonts w:eastAsia="Times New Roman" w:cs="Times New Roman"/>
          <w:color w:val="000000"/>
          <w:szCs w:val="23"/>
        </w:rPr>
        <w:t xml:space="preserve">Remiantis </w:t>
      </w:r>
      <w:r w:rsidR="0092769E" w:rsidRPr="000D0573">
        <w:rPr>
          <w:rFonts w:eastAsia="Times New Roman" w:cs="Times New Roman"/>
          <w:color w:val="000000"/>
          <w:szCs w:val="23"/>
        </w:rPr>
        <w:t>LR ligos ir motinystės socialinio draudimo įstatymo 14 str</w:t>
      </w:r>
      <w:r w:rsidR="001A07BF" w:rsidRPr="000D0573">
        <w:rPr>
          <w:rFonts w:eastAsia="Times New Roman" w:cs="Times New Roman"/>
          <w:color w:val="000000"/>
          <w:szCs w:val="23"/>
        </w:rPr>
        <w:t xml:space="preserve">aipsnio </w:t>
      </w:r>
      <w:r w:rsidR="0092769E" w:rsidRPr="000D0573">
        <w:rPr>
          <w:rFonts w:eastAsia="Times New Roman" w:cs="Times New Roman"/>
          <w:color w:val="000000"/>
          <w:szCs w:val="23"/>
        </w:rPr>
        <w:t xml:space="preserve">1 dalimi, ligos pašalpa, kurią moka darbdavys </w:t>
      </w:r>
      <w:r w:rsidR="001A07BF" w:rsidRPr="000D0573">
        <w:rPr>
          <w:rFonts w:eastAsia="Times New Roman" w:cs="Times New Roman"/>
          <w:color w:val="000000"/>
          <w:szCs w:val="23"/>
        </w:rPr>
        <w:t xml:space="preserve">dvi </w:t>
      </w:r>
      <w:r w:rsidR="0092769E" w:rsidRPr="000D0573">
        <w:rPr>
          <w:rFonts w:eastAsia="Times New Roman" w:cs="Times New Roman"/>
          <w:color w:val="000000"/>
          <w:szCs w:val="23"/>
        </w:rPr>
        <w:t xml:space="preserve">pirmąsias kalendorines nedarbingumo dienas, negali būti mažesnė negu 80 procentų ir ne didesnė kaip 100 procentų pašalpos gavėjo vidutinio darbo užmokesčio, apskaičiuoto </w:t>
      </w:r>
      <w:r w:rsidR="001A07BF" w:rsidRPr="000D0573">
        <w:rPr>
          <w:rFonts w:eastAsia="Times New Roman" w:cs="Times New Roman"/>
          <w:color w:val="000000"/>
          <w:szCs w:val="23"/>
        </w:rPr>
        <w:t xml:space="preserve">LR </w:t>
      </w:r>
      <w:r w:rsidR="0092769E" w:rsidRPr="000D0573">
        <w:rPr>
          <w:rFonts w:eastAsia="Times New Roman" w:cs="Times New Roman"/>
          <w:color w:val="000000"/>
          <w:szCs w:val="23"/>
        </w:rPr>
        <w:t xml:space="preserve">Vyriausybės nustatyta tvarka. </w:t>
      </w:r>
      <w:r w:rsidR="00461591" w:rsidRPr="000D0573">
        <w:rPr>
          <w:rFonts w:eastAsia="Times New Roman" w:cs="Times New Roman"/>
          <w:color w:val="000000"/>
          <w:szCs w:val="23"/>
        </w:rPr>
        <w:t>DK</w:t>
      </w:r>
      <w:r w:rsidR="0092769E" w:rsidRPr="000D0573">
        <w:rPr>
          <w:rFonts w:eastAsia="Times New Roman" w:cs="Times New Roman"/>
          <w:color w:val="000000"/>
          <w:szCs w:val="23"/>
        </w:rPr>
        <w:t xml:space="preserve"> 214 str</w:t>
      </w:r>
      <w:r w:rsidR="001A07BF" w:rsidRPr="000D0573">
        <w:rPr>
          <w:rFonts w:eastAsia="Times New Roman" w:cs="Times New Roman"/>
          <w:color w:val="000000"/>
          <w:szCs w:val="23"/>
        </w:rPr>
        <w:t>aipsniu</w:t>
      </w:r>
      <w:r w:rsidR="0092769E" w:rsidRPr="000D0573">
        <w:rPr>
          <w:rFonts w:eastAsia="Times New Roman" w:cs="Times New Roman"/>
          <w:color w:val="000000"/>
          <w:szCs w:val="23"/>
        </w:rPr>
        <w:t xml:space="preserve"> nustatoma, kad už papildomas poilsio dienas asmenims, auginantiems du ar daugiau vaikų iki 12 metų arba neįgalų vaiką iki 18 metų, mokamas vidutinis darbo u</w:t>
      </w:r>
      <w:r w:rsidR="00281F8C" w:rsidRPr="000D0573">
        <w:rPr>
          <w:rFonts w:eastAsia="Times New Roman" w:cs="Times New Roman"/>
          <w:color w:val="000000"/>
          <w:szCs w:val="23"/>
        </w:rPr>
        <w:t>žmokestis</w:t>
      </w:r>
      <w:r w:rsidR="0092769E" w:rsidRPr="000D0573">
        <w:rPr>
          <w:rFonts w:eastAsia="Times New Roman" w:cs="Times New Roman"/>
          <w:color w:val="000000"/>
          <w:szCs w:val="23"/>
        </w:rPr>
        <w:t xml:space="preserve">. </w:t>
      </w:r>
      <w:r w:rsidR="004448BA" w:rsidRPr="000D0573">
        <w:rPr>
          <w:rFonts w:eastAsia="Times New Roman" w:cs="Times New Roman"/>
          <w:color w:val="000000"/>
          <w:szCs w:val="23"/>
        </w:rPr>
        <w:t>Ligos atveju darbdaviui palikta pasirinkimo galimybė, kokio dydžio pašalpą mokėti, tačiau</w:t>
      </w:r>
      <w:r w:rsidR="001A07BF" w:rsidRPr="000D0573">
        <w:rPr>
          <w:rFonts w:eastAsia="Times New Roman" w:cs="Times New Roman"/>
          <w:color w:val="000000"/>
          <w:szCs w:val="23"/>
        </w:rPr>
        <w:t>,</w:t>
      </w:r>
      <w:r w:rsidR="004448BA" w:rsidRPr="000D0573">
        <w:rPr>
          <w:rFonts w:eastAsia="Times New Roman" w:cs="Times New Roman"/>
          <w:color w:val="000000"/>
          <w:szCs w:val="23"/>
        </w:rPr>
        <w:t xml:space="preserve"> siekiant sumažinti administracinę naštą ir atsižvelgiant į tai, kad galimi skirtumai tarp 80 procentų ir 100 procentų pašalpos gavėjo vidutinio darbo užmokesčio dydžio nėra esminiai, siūloma visais atvejais traktuoti, kad pašalpa sudaro 100 procentų vidutinio darbo užmokesčio dydžio.</w:t>
      </w:r>
      <w:r w:rsidR="00A943A2" w:rsidRPr="000D0573">
        <w:rPr>
          <w:rFonts w:eastAsia="Times New Roman" w:cs="Times New Roman"/>
          <w:color w:val="000000"/>
          <w:szCs w:val="23"/>
        </w:rPr>
        <w:t xml:space="preserve"> Atkreiptinas dėmesys, kad darbuotojų ligos atvejai projektuose yra labai reti, todėl ligos pašalpos sudarys nedidelę dalį darbo </w:t>
      </w:r>
      <w:r w:rsidR="00A943A2" w:rsidRPr="000D0573">
        <w:rPr>
          <w:rFonts w:eastAsia="Times New Roman" w:cs="Times New Roman"/>
          <w:color w:val="000000"/>
          <w:szCs w:val="23"/>
        </w:rPr>
        <w:lastRenderedPageBreak/>
        <w:t>užmokesčio išlaidų.</w:t>
      </w:r>
      <w:r w:rsidR="004448BA" w:rsidRPr="000D0573">
        <w:rPr>
          <w:rFonts w:eastAsia="Times New Roman" w:cs="Times New Roman"/>
          <w:color w:val="000000"/>
          <w:szCs w:val="23"/>
        </w:rPr>
        <w:t xml:space="preserve"> </w:t>
      </w:r>
      <w:r w:rsidR="00A943A2" w:rsidRPr="000D0573">
        <w:rPr>
          <w:rFonts w:eastAsia="Times New Roman" w:cs="Times New Roman"/>
          <w:color w:val="000000"/>
          <w:szCs w:val="23"/>
        </w:rPr>
        <w:t>Atsižvelgiant į tai, kad teisės aktais numatyta prievolė darbdaviams</w:t>
      </w:r>
      <w:r w:rsidR="00A943A2" w:rsidRPr="000D0573">
        <w:rPr>
          <w:rStyle w:val="Puslapioinaosnuoroda"/>
          <w:rFonts w:eastAsia="Times New Roman" w:cs="Times New Roman"/>
          <w:color w:val="000000"/>
          <w:szCs w:val="23"/>
        </w:rPr>
        <w:footnoteReference w:id="9"/>
      </w:r>
      <w:r w:rsidR="00A943A2" w:rsidRPr="000D0573">
        <w:rPr>
          <w:rFonts w:eastAsia="Times New Roman" w:cs="Times New Roman"/>
          <w:color w:val="000000"/>
          <w:szCs w:val="23"/>
        </w:rPr>
        <w:t xml:space="preserve"> mokėti pašalpas už </w:t>
      </w:r>
      <w:r w:rsidR="00902021" w:rsidRPr="000D0573">
        <w:rPr>
          <w:rFonts w:eastAsia="Times New Roman" w:cs="Times New Roman"/>
          <w:color w:val="000000"/>
          <w:szCs w:val="23"/>
        </w:rPr>
        <w:t xml:space="preserve">pirmąsias </w:t>
      </w:r>
      <w:r w:rsidR="00A943A2" w:rsidRPr="000D0573">
        <w:rPr>
          <w:rFonts w:eastAsia="Times New Roman" w:cs="Times New Roman"/>
          <w:color w:val="000000"/>
          <w:szCs w:val="23"/>
        </w:rPr>
        <w:t>ligos dienas ir apmokėti už papildomas poilsio dienas</w:t>
      </w:r>
      <w:r w:rsidR="009D73D3" w:rsidRPr="000D0573">
        <w:rPr>
          <w:rFonts w:eastAsia="Times New Roman" w:cs="Times New Roman"/>
          <w:color w:val="000000"/>
          <w:szCs w:val="23"/>
        </w:rPr>
        <w:t xml:space="preserve"> asmenims, auginantiems du ar daugiau vaikų iki 12 metų arba neįgalų vaiką iki 18 metų</w:t>
      </w:r>
      <w:r w:rsidR="00A943A2" w:rsidRPr="000D0573">
        <w:rPr>
          <w:rFonts w:eastAsia="Times New Roman" w:cs="Times New Roman"/>
          <w:color w:val="000000"/>
          <w:szCs w:val="23"/>
        </w:rPr>
        <w:t xml:space="preserve">, </w:t>
      </w:r>
      <w:r w:rsidRPr="000D0573">
        <w:rPr>
          <w:rFonts w:eastAsia="Times New Roman" w:cs="Times New Roman"/>
          <w:color w:val="000000"/>
          <w:szCs w:val="23"/>
        </w:rPr>
        <w:t xml:space="preserve">siūloma </w:t>
      </w:r>
      <w:r w:rsidR="00902021" w:rsidRPr="000D0573">
        <w:rPr>
          <w:rFonts w:eastAsia="Times New Roman" w:cs="Times New Roman"/>
          <w:color w:val="000000"/>
          <w:szCs w:val="23"/>
        </w:rPr>
        <w:t xml:space="preserve">pirmąsias </w:t>
      </w:r>
      <w:r w:rsidRPr="000D0573">
        <w:rPr>
          <w:rFonts w:eastAsia="Times New Roman" w:cs="Times New Roman"/>
          <w:color w:val="000000"/>
          <w:szCs w:val="23"/>
        </w:rPr>
        <w:t>dvi ligos dienas ir</w:t>
      </w:r>
      <w:r w:rsidR="009D73D3" w:rsidRPr="000D0573">
        <w:rPr>
          <w:rFonts w:eastAsia="Times New Roman" w:cs="Times New Roman"/>
          <w:color w:val="000000"/>
          <w:szCs w:val="23"/>
        </w:rPr>
        <w:t xml:space="preserve"> minėtas</w:t>
      </w:r>
      <w:r w:rsidRPr="000D0573">
        <w:rPr>
          <w:rFonts w:eastAsia="Times New Roman" w:cs="Times New Roman"/>
          <w:color w:val="000000"/>
          <w:szCs w:val="23"/>
        </w:rPr>
        <w:t xml:space="preserve"> papildomas poilsio dienas </w:t>
      </w:r>
      <w:r w:rsidR="005D0547" w:rsidRPr="000D0573">
        <w:rPr>
          <w:rFonts w:eastAsia="Times New Roman" w:cs="Times New Roman"/>
          <w:color w:val="000000"/>
          <w:szCs w:val="23"/>
        </w:rPr>
        <w:t>prilyginti</w:t>
      </w:r>
      <w:r w:rsidRPr="000D0573">
        <w:rPr>
          <w:rFonts w:eastAsia="Times New Roman" w:cs="Times New Roman"/>
          <w:color w:val="000000"/>
          <w:szCs w:val="23"/>
        </w:rPr>
        <w:t xml:space="preserve"> </w:t>
      </w:r>
      <w:r w:rsidR="005D0547" w:rsidRPr="000D0573">
        <w:rPr>
          <w:rFonts w:eastAsia="Times New Roman" w:cs="Times New Roman"/>
          <w:color w:val="000000"/>
          <w:szCs w:val="23"/>
        </w:rPr>
        <w:t>dirbtoms dienoms</w:t>
      </w:r>
      <w:r w:rsidRPr="000D0573">
        <w:rPr>
          <w:rFonts w:eastAsia="Times New Roman" w:cs="Times New Roman"/>
          <w:color w:val="000000"/>
          <w:szCs w:val="23"/>
        </w:rPr>
        <w:t xml:space="preserve"> </w:t>
      </w:r>
      <w:r w:rsidR="001A07BF" w:rsidRPr="000D0573">
        <w:rPr>
          <w:rFonts w:eastAsia="Times New Roman" w:cs="Times New Roman"/>
          <w:color w:val="000000"/>
          <w:szCs w:val="23"/>
        </w:rPr>
        <w:t xml:space="preserve">ir </w:t>
      </w:r>
      <w:r w:rsidRPr="000D0573">
        <w:rPr>
          <w:rFonts w:eastAsia="Times New Roman" w:cs="Times New Roman"/>
          <w:color w:val="000000"/>
          <w:szCs w:val="23"/>
        </w:rPr>
        <w:t xml:space="preserve">kompensuoti už jas pagal </w:t>
      </w:r>
      <w:r w:rsidR="00902021" w:rsidRPr="000D0573">
        <w:rPr>
          <w:rFonts w:eastAsia="Times New Roman" w:cs="Times New Roman"/>
          <w:color w:val="000000"/>
          <w:szCs w:val="23"/>
        </w:rPr>
        <w:t xml:space="preserve">šioje tyrimo ataskaitoje </w:t>
      </w:r>
      <w:r w:rsidRPr="000D0573">
        <w:rPr>
          <w:rFonts w:eastAsia="Times New Roman" w:cs="Times New Roman"/>
          <w:color w:val="000000"/>
          <w:szCs w:val="23"/>
        </w:rPr>
        <w:t>nustatytus fiksuotuosius įkainius.</w:t>
      </w:r>
    </w:p>
    <w:p w:rsidR="00FD0B92" w:rsidRPr="000D0573" w:rsidRDefault="00FD0B92" w:rsidP="00FD0B92">
      <w:pPr>
        <w:keepNext/>
        <w:keepLines/>
        <w:tabs>
          <w:tab w:val="left" w:pos="907"/>
          <w:tab w:val="left" w:pos="1134"/>
          <w:tab w:val="left" w:pos="1361"/>
        </w:tabs>
        <w:spacing w:before="200" w:after="240"/>
        <w:ind w:left="680"/>
        <w:outlineLvl w:val="2"/>
        <w:rPr>
          <w:rFonts w:eastAsia="Lucida Sans Unicode" w:cs="Times New Roman"/>
          <w:bCs/>
          <w:color w:val="00505E"/>
          <w:sz w:val="26"/>
          <w:szCs w:val="26"/>
        </w:rPr>
      </w:pPr>
      <w:bookmarkStart w:id="12" w:name="_Toc459650631"/>
      <w:bookmarkStart w:id="13" w:name="_Toc465415127"/>
      <w:r w:rsidRPr="000D0573" w:rsidDel="0072505D">
        <w:rPr>
          <w:rFonts w:eastAsia="Lucida Sans Unicode" w:cs="Times New Roman"/>
          <w:bCs/>
          <w:color w:val="00505E"/>
          <w:sz w:val="26"/>
          <w:szCs w:val="26"/>
        </w:rPr>
        <w:t>II.</w:t>
      </w:r>
      <w:r w:rsidRPr="000D0573">
        <w:rPr>
          <w:rFonts w:eastAsia="Lucida Sans Unicode" w:cs="Times New Roman"/>
          <w:bCs/>
          <w:color w:val="00505E"/>
          <w:sz w:val="26"/>
          <w:szCs w:val="26"/>
        </w:rPr>
        <w:t>5</w:t>
      </w:r>
      <w:r w:rsidRPr="000D0573" w:rsidDel="0072505D">
        <w:rPr>
          <w:rFonts w:eastAsia="Lucida Sans Unicode" w:cs="Times New Roman"/>
          <w:bCs/>
          <w:color w:val="00505E"/>
          <w:sz w:val="26"/>
          <w:szCs w:val="26"/>
        </w:rPr>
        <w:t xml:space="preserve">. </w:t>
      </w:r>
      <w:r w:rsidR="009E22F7" w:rsidRPr="000D0573">
        <w:rPr>
          <w:rFonts w:eastAsia="Lucida Sans Unicode" w:cs="Times New Roman"/>
          <w:bCs/>
          <w:color w:val="00505E"/>
          <w:sz w:val="26"/>
          <w:szCs w:val="26"/>
        </w:rPr>
        <w:t>„</w:t>
      </w:r>
      <w:proofErr w:type="spellStart"/>
      <w:r w:rsidRPr="008744DE">
        <w:rPr>
          <w:rFonts w:eastAsia="Lucida Sans Unicode" w:cs="Times New Roman"/>
          <w:bCs/>
          <w:color w:val="00505E"/>
          <w:sz w:val="26"/>
          <w:szCs w:val="26"/>
        </w:rPr>
        <w:t>Erasmus</w:t>
      </w:r>
      <w:proofErr w:type="spellEnd"/>
      <w:r w:rsidRPr="008744DE">
        <w:rPr>
          <w:rFonts w:eastAsia="Lucida Sans Unicode" w:cs="Times New Roman"/>
          <w:bCs/>
          <w:color w:val="00505E"/>
          <w:sz w:val="26"/>
          <w:szCs w:val="26"/>
        </w:rPr>
        <w:t xml:space="preserve"> plius</w:t>
      </w:r>
      <w:r w:rsidR="009E22F7" w:rsidRPr="000D0573">
        <w:rPr>
          <w:rFonts w:eastAsia="Lucida Sans Unicode" w:cs="Times New Roman"/>
          <w:bCs/>
          <w:color w:val="00505E"/>
          <w:sz w:val="26"/>
          <w:szCs w:val="26"/>
        </w:rPr>
        <w:t>“</w:t>
      </w:r>
      <w:r w:rsidRPr="000D0573">
        <w:rPr>
          <w:rFonts w:eastAsia="Lucida Sans Unicode" w:cs="Times New Roman"/>
          <w:bCs/>
          <w:i/>
          <w:color w:val="00505E"/>
          <w:sz w:val="26"/>
          <w:szCs w:val="26"/>
        </w:rPr>
        <w:t xml:space="preserve"> </w:t>
      </w:r>
      <w:r w:rsidRPr="000D0573">
        <w:rPr>
          <w:rFonts w:eastAsia="Lucida Sans Unicode" w:cs="Times New Roman"/>
          <w:bCs/>
          <w:color w:val="00505E"/>
          <w:sz w:val="26"/>
          <w:szCs w:val="26"/>
        </w:rPr>
        <w:t>projekto komanda ir aukštųjų mokyklų darbuotojų specifika</w:t>
      </w:r>
      <w:bookmarkEnd w:id="12"/>
      <w:bookmarkEnd w:id="13"/>
    </w:p>
    <w:p w:rsidR="00FD0B92" w:rsidRPr="000D0573" w:rsidRDefault="00FD0B92" w:rsidP="00FD0B92">
      <w:pPr>
        <w:spacing w:after="240"/>
        <w:jc w:val="both"/>
        <w:rPr>
          <w:rFonts w:eastAsia="Times New Roman" w:cs="Times New Roman"/>
          <w:szCs w:val="24"/>
        </w:rPr>
      </w:pPr>
      <w:r w:rsidRPr="000D0573">
        <w:rPr>
          <w:rFonts w:eastAsia="Times New Roman" w:cs="Times New Roman"/>
          <w:szCs w:val="24"/>
        </w:rPr>
        <w:t xml:space="preserve">Nustatant </w:t>
      </w:r>
      <w:r w:rsidR="009D73D3" w:rsidRPr="000D0573">
        <w:rPr>
          <w:rFonts w:eastAsia="Times New Roman" w:cs="Times New Roman"/>
          <w:szCs w:val="24"/>
        </w:rPr>
        <w:t xml:space="preserve">fiksuotuosius </w:t>
      </w:r>
      <w:r w:rsidRPr="000D0573">
        <w:rPr>
          <w:rFonts w:eastAsia="Times New Roman" w:cs="Times New Roman"/>
          <w:szCs w:val="24"/>
        </w:rPr>
        <w:t>įkainius, svarbu identifikuoti darbuotojų kategorijas, kurioms taikomas skirtingas įkainis</w:t>
      </w:r>
      <w:r w:rsidRPr="000D0573">
        <w:rPr>
          <w:rFonts w:ascii="Calibri" w:eastAsia="Lucida Sans Unicode" w:hAnsi="Calibri" w:cs="Times New Roman"/>
          <w:sz w:val="22"/>
          <w:lang w:eastAsia="en-US"/>
        </w:rPr>
        <w:t xml:space="preserve">. </w:t>
      </w:r>
      <w:r w:rsidR="009D73D3" w:rsidRPr="000D0573">
        <w:rPr>
          <w:rFonts w:eastAsia="Times New Roman" w:cs="Times New Roman"/>
          <w:szCs w:val="24"/>
        </w:rPr>
        <w:t>Suprantama</w:t>
      </w:r>
      <w:r w:rsidRPr="000D0573">
        <w:rPr>
          <w:rFonts w:eastAsia="Times New Roman" w:cs="Times New Roman"/>
          <w:szCs w:val="24"/>
        </w:rPr>
        <w:t xml:space="preserve">, kad ne </w:t>
      </w:r>
      <w:r w:rsidR="009D73D3" w:rsidRPr="000D0573">
        <w:rPr>
          <w:rFonts w:eastAsia="Times New Roman" w:cs="Times New Roman"/>
          <w:szCs w:val="24"/>
        </w:rPr>
        <w:t>visų projekto darbuotojų indėlis yra</w:t>
      </w:r>
      <w:r w:rsidR="009D73D3" w:rsidRPr="000D0573" w:rsidDel="009D73D3">
        <w:rPr>
          <w:rFonts w:eastAsia="Times New Roman" w:cs="Times New Roman"/>
          <w:szCs w:val="24"/>
        </w:rPr>
        <w:t xml:space="preserve"> </w:t>
      </w:r>
      <w:r w:rsidRPr="000D0573">
        <w:rPr>
          <w:rFonts w:eastAsia="Times New Roman" w:cs="Times New Roman"/>
          <w:szCs w:val="24"/>
        </w:rPr>
        <w:t>vienod</w:t>
      </w:r>
      <w:r w:rsidR="009D73D3" w:rsidRPr="000D0573">
        <w:rPr>
          <w:rFonts w:eastAsia="Times New Roman" w:cs="Times New Roman"/>
          <w:szCs w:val="24"/>
        </w:rPr>
        <w:t>as</w:t>
      </w:r>
      <w:r w:rsidRPr="000D0573">
        <w:rPr>
          <w:rFonts w:eastAsia="Times New Roman" w:cs="Times New Roman"/>
          <w:szCs w:val="24"/>
        </w:rPr>
        <w:t>, todėl</w:t>
      </w:r>
      <w:r w:rsidRPr="000D0573">
        <w:rPr>
          <w:rFonts w:ascii="Calibri" w:eastAsia="Calibri" w:hAnsi="Calibri" w:cs="Times New Roman"/>
          <w:sz w:val="22"/>
          <w:szCs w:val="24"/>
          <w:lang w:eastAsia="en-US"/>
        </w:rPr>
        <w:t xml:space="preserve"> </w:t>
      </w:r>
      <w:r w:rsidRPr="000D0573">
        <w:rPr>
          <w:rFonts w:eastAsia="Times New Roman" w:cs="Times New Roman"/>
          <w:szCs w:val="24"/>
        </w:rPr>
        <w:t>darbo užmokestis diferencijuojamas.</w:t>
      </w:r>
    </w:p>
    <w:p w:rsidR="00FD0B92" w:rsidRPr="000D0573" w:rsidRDefault="009E22F7" w:rsidP="00FD0B92">
      <w:pPr>
        <w:spacing w:after="240"/>
        <w:jc w:val="both"/>
        <w:rPr>
          <w:rFonts w:eastAsia="Times New Roman" w:cs="Times New Roman"/>
          <w:szCs w:val="24"/>
          <w:highlight w:val="yellow"/>
          <w:lang w:eastAsia="en-US"/>
        </w:rPr>
      </w:pPr>
      <w:r w:rsidRPr="000D0573">
        <w:rPr>
          <w:rFonts w:eastAsia="Times New Roman" w:cs="Times New Roman"/>
          <w:szCs w:val="24"/>
        </w:rPr>
        <w:t>„</w:t>
      </w:r>
      <w:proofErr w:type="spellStart"/>
      <w:r w:rsidR="00FD0B92" w:rsidRPr="008744DE">
        <w:rPr>
          <w:rFonts w:eastAsia="Times New Roman" w:cs="Times New Roman"/>
          <w:szCs w:val="24"/>
        </w:rPr>
        <w:t>Erasmus</w:t>
      </w:r>
      <w:proofErr w:type="spellEnd"/>
      <w:r w:rsidR="00FD0B92" w:rsidRPr="008744DE">
        <w:rPr>
          <w:rFonts w:eastAsia="Times New Roman" w:cs="Times New Roman"/>
          <w:szCs w:val="24"/>
        </w:rPr>
        <w:t xml:space="preserve"> plius</w:t>
      </w:r>
      <w:r w:rsidRPr="000D0573">
        <w:rPr>
          <w:rFonts w:eastAsia="Times New Roman" w:cs="Times New Roman"/>
          <w:szCs w:val="24"/>
        </w:rPr>
        <w:t>“</w:t>
      </w:r>
      <w:r w:rsidR="00FD0B92" w:rsidRPr="000D0573">
        <w:rPr>
          <w:rFonts w:eastAsia="Times New Roman" w:cs="Times New Roman"/>
          <w:szCs w:val="24"/>
        </w:rPr>
        <w:t xml:space="preserve"> programa išskiria keturis projekto pareigų tipus ir </w:t>
      </w:r>
      <w:r w:rsidR="009D73D3" w:rsidRPr="000D0573">
        <w:rPr>
          <w:rFonts w:eastAsia="Times New Roman" w:cs="Times New Roman"/>
          <w:szCs w:val="24"/>
        </w:rPr>
        <w:t xml:space="preserve">jiems </w:t>
      </w:r>
      <w:r w:rsidR="00FD0B92" w:rsidRPr="000D0573">
        <w:rPr>
          <w:rFonts w:eastAsia="Times New Roman" w:cs="Times New Roman"/>
          <w:szCs w:val="24"/>
        </w:rPr>
        <w:t xml:space="preserve">priskiria funkcijas, kurias atlieka atskiri projekto komandos nariai ir nuo kurių priklauso įkainio dydis. Toks projekto pareigų tipų identifikavimas yra alternatyva </w:t>
      </w:r>
      <w:r w:rsidR="009D73D3" w:rsidRPr="000D0573">
        <w:rPr>
          <w:rFonts w:eastAsia="Times New Roman" w:cs="Times New Roman"/>
          <w:szCs w:val="24"/>
        </w:rPr>
        <w:t xml:space="preserve">fiksuotųjų </w:t>
      </w:r>
      <w:r w:rsidR="00FD0B92" w:rsidRPr="000D0573">
        <w:rPr>
          <w:rFonts w:eastAsia="Times New Roman" w:cs="Times New Roman"/>
          <w:szCs w:val="24"/>
        </w:rPr>
        <w:t xml:space="preserve">įkainių diferencijavimui pagal asmens pareigas pagrindinėje darbovietėje. Skiriant </w:t>
      </w:r>
      <w:r w:rsidR="009D73D3" w:rsidRPr="000D0573">
        <w:rPr>
          <w:rFonts w:eastAsia="Times New Roman" w:cs="Times New Roman"/>
          <w:szCs w:val="24"/>
        </w:rPr>
        <w:t xml:space="preserve">fiksuotąjį </w:t>
      </w:r>
      <w:r w:rsidR="00FD0B92" w:rsidRPr="000D0573">
        <w:rPr>
          <w:rFonts w:eastAsia="Times New Roman" w:cs="Times New Roman"/>
          <w:szCs w:val="24"/>
        </w:rPr>
        <w:t>įkainį pagal pareigas projekte, o ne pareigas darbovietėje, supaprastin</w:t>
      </w:r>
      <w:r w:rsidR="009D73D3" w:rsidRPr="000D0573">
        <w:rPr>
          <w:rFonts w:eastAsia="Times New Roman" w:cs="Times New Roman"/>
          <w:szCs w:val="24"/>
        </w:rPr>
        <w:t>ami</w:t>
      </w:r>
      <w:r w:rsidR="00FD0B92" w:rsidRPr="000D0573">
        <w:rPr>
          <w:rFonts w:eastAsia="Times New Roman" w:cs="Times New Roman"/>
          <w:szCs w:val="24"/>
        </w:rPr>
        <w:t xml:space="preserve"> projektų vertinimo ir administravimo </w:t>
      </w:r>
      <w:r w:rsidR="009D73D3" w:rsidRPr="000D0573">
        <w:rPr>
          <w:rFonts w:eastAsia="Times New Roman" w:cs="Times New Roman"/>
          <w:szCs w:val="24"/>
        </w:rPr>
        <w:t>procesai</w:t>
      </w:r>
      <w:r w:rsidR="00FD0B92" w:rsidRPr="000D0573">
        <w:rPr>
          <w:rFonts w:eastAsia="Times New Roman" w:cs="Times New Roman"/>
          <w:szCs w:val="24"/>
        </w:rPr>
        <w:t xml:space="preserve">, </w:t>
      </w:r>
      <w:r w:rsidR="009D73D3" w:rsidRPr="000D0573">
        <w:rPr>
          <w:rFonts w:eastAsia="Times New Roman" w:cs="Times New Roman"/>
          <w:szCs w:val="24"/>
        </w:rPr>
        <w:t xml:space="preserve">sumažinamas </w:t>
      </w:r>
      <w:r w:rsidR="00FD0B92" w:rsidRPr="000D0573">
        <w:rPr>
          <w:rFonts w:eastAsia="Times New Roman" w:cs="Times New Roman"/>
          <w:szCs w:val="24"/>
        </w:rPr>
        <w:t xml:space="preserve">pateikiamų dokumentų </w:t>
      </w:r>
      <w:r w:rsidR="009D73D3" w:rsidRPr="000D0573">
        <w:rPr>
          <w:rFonts w:eastAsia="Times New Roman" w:cs="Times New Roman"/>
          <w:szCs w:val="24"/>
        </w:rPr>
        <w:t xml:space="preserve">kiekis </w:t>
      </w:r>
      <w:r w:rsidR="00FD0B92" w:rsidRPr="000D0573">
        <w:rPr>
          <w:rFonts w:eastAsia="Times New Roman" w:cs="Times New Roman"/>
          <w:szCs w:val="24"/>
        </w:rPr>
        <w:t xml:space="preserve">ir </w:t>
      </w:r>
      <w:r w:rsidR="009D73D3" w:rsidRPr="000D0573">
        <w:rPr>
          <w:rFonts w:eastAsia="Times New Roman" w:cs="Times New Roman"/>
          <w:szCs w:val="24"/>
        </w:rPr>
        <w:t xml:space="preserve">sumažinamos </w:t>
      </w:r>
      <w:r w:rsidR="00FD0B92" w:rsidRPr="000D0573">
        <w:rPr>
          <w:rFonts w:eastAsia="Times New Roman" w:cs="Times New Roman"/>
          <w:szCs w:val="24"/>
        </w:rPr>
        <w:t xml:space="preserve">laiko </w:t>
      </w:r>
      <w:r w:rsidR="009D73D3" w:rsidRPr="000D0573">
        <w:rPr>
          <w:rFonts w:eastAsia="Times New Roman" w:cs="Times New Roman"/>
          <w:szCs w:val="24"/>
        </w:rPr>
        <w:t xml:space="preserve">sąnaudos </w:t>
      </w:r>
      <w:r w:rsidR="00FD0B92" w:rsidRPr="000D0573">
        <w:rPr>
          <w:rFonts w:eastAsia="Times New Roman" w:cs="Times New Roman"/>
          <w:szCs w:val="24"/>
        </w:rPr>
        <w:t xml:space="preserve">pareiškėjams, projektų vykdytojams ir </w:t>
      </w:r>
      <w:r w:rsidR="005A365D" w:rsidRPr="000D0573">
        <w:rPr>
          <w:rFonts w:eastAsia="Times New Roman" w:cs="Times New Roman"/>
          <w:szCs w:val="24"/>
        </w:rPr>
        <w:t xml:space="preserve">administruojančiajai </w:t>
      </w:r>
      <w:r w:rsidR="00FD0B92" w:rsidRPr="000D0573">
        <w:rPr>
          <w:rFonts w:eastAsia="Times New Roman" w:cs="Times New Roman"/>
          <w:szCs w:val="24"/>
        </w:rPr>
        <w:t xml:space="preserve">agentūrai. </w:t>
      </w:r>
    </w:p>
    <w:p w:rsidR="00FD0B92" w:rsidRPr="000D0573" w:rsidRDefault="009E22F7" w:rsidP="00FD0B92">
      <w:pPr>
        <w:tabs>
          <w:tab w:val="left" w:pos="9600"/>
        </w:tabs>
        <w:spacing w:before="240" w:after="240"/>
        <w:ind w:right="74"/>
        <w:jc w:val="both"/>
        <w:rPr>
          <w:rFonts w:eastAsia="Times New Roman" w:cs="Times New Roman"/>
        </w:rPr>
      </w:pPr>
      <w:r w:rsidRPr="000D0573">
        <w:rPr>
          <w:rFonts w:eastAsia="Times New Roman" w:cs="Times New Roman"/>
          <w:szCs w:val="24"/>
        </w:rPr>
        <w:t>„</w:t>
      </w:r>
      <w:proofErr w:type="spellStart"/>
      <w:r w:rsidRPr="000D0573">
        <w:rPr>
          <w:rFonts w:eastAsia="Times New Roman" w:cs="Times New Roman"/>
          <w:szCs w:val="24"/>
        </w:rPr>
        <w:t>Erasmus</w:t>
      </w:r>
      <w:proofErr w:type="spellEnd"/>
      <w:r w:rsidRPr="000D0573">
        <w:rPr>
          <w:rFonts w:eastAsia="Times New Roman" w:cs="Times New Roman"/>
          <w:szCs w:val="24"/>
        </w:rPr>
        <w:t xml:space="preserve"> plius“</w:t>
      </w:r>
      <w:r w:rsidR="00FD0B92" w:rsidRPr="000D0573">
        <w:rPr>
          <w:rFonts w:eastAsia="Times New Roman" w:cs="Times New Roman"/>
        </w:rPr>
        <w:t xml:space="preserve"> programos vadove </w:t>
      </w:r>
      <w:r w:rsidR="005A365D" w:rsidRPr="000D0573">
        <w:rPr>
          <w:rFonts w:eastAsia="Times New Roman" w:cs="Times New Roman"/>
        </w:rPr>
        <w:t xml:space="preserve">(p. 289) </w:t>
      </w:r>
      <w:r w:rsidR="00FD0B92" w:rsidRPr="000D0573">
        <w:rPr>
          <w:rFonts w:eastAsia="Times New Roman" w:cs="Times New Roman"/>
        </w:rPr>
        <w:t>rašoma, kad vadovas (angl.</w:t>
      </w:r>
      <w:r w:rsidR="00FD0B92" w:rsidRPr="000D0573">
        <w:rPr>
          <w:rFonts w:eastAsia="Times New Roman" w:cs="Times New Roman"/>
          <w:i/>
        </w:rPr>
        <w:t xml:space="preserve"> </w:t>
      </w:r>
      <w:proofErr w:type="spellStart"/>
      <w:r w:rsidR="005A365D" w:rsidRPr="000D0573">
        <w:rPr>
          <w:rFonts w:eastAsia="Times New Roman" w:cs="Times New Roman"/>
          <w:i/>
        </w:rPr>
        <w:t>manager</w:t>
      </w:r>
      <w:proofErr w:type="spellEnd"/>
      <w:r w:rsidR="00FD0B92" w:rsidRPr="000D0573">
        <w:rPr>
          <w:rFonts w:eastAsia="Times New Roman" w:cs="Times New Roman"/>
        </w:rPr>
        <w:t xml:space="preserve">) atlieka aukščiausias valdymo veiklas, susijusias su projekto koordinavimu. </w:t>
      </w:r>
      <w:r w:rsidR="00DA2BFD" w:rsidRPr="000D0573">
        <w:rPr>
          <w:rFonts w:eastAsia="Times New Roman" w:cs="Times New Roman"/>
        </w:rPr>
        <w:t>Pateikiami š</w:t>
      </w:r>
      <w:r w:rsidR="005A365D" w:rsidRPr="000D0573">
        <w:rPr>
          <w:rFonts w:eastAsia="Times New Roman" w:cs="MinionPro-Regular"/>
        </w:rPr>
        <w:t xml:space="preserve">iai grupei priskiriamų profesijų pavyzdžiai: </w:t>
      </w:r>
      <w:r w:rsidR="00FD0B92" w:rsidRPr="000D0573">
        <w:rPr>
          <w:rFonts w:eastAsia="Times New Roman" w:cs="Times New Roman"/>
        </w:rPr>
        <w:t xml:space="preserve">įstatymų </w:t>
      </w:r>
      <w:r w:rsidR="00DA2BFD" w:rsidRPr="000D0573">
        <w:rPr>
          <w:rFonts w:eastAsia="Times New Roman" w:cs="Times New Roman"/>
        </w:rPr>
        <w:t>leidėjas</w:t>
      </w:r>
      <w:r w:rsidR="00FD0B92" w:rsidRPr="000D0573">
        <w:rPr>
          <w:rFonts w:eastAsia="Times New Roman" w:cs="Times New Roman"/>
        </w:rPr>
        <w:t xml:space="preserve">, </w:t>
      </w:r>
      <w:r w:rsidR="00DA2BFD" w:rsidRPr="000D0573">
        <w:rPr>
          <w:rFonts w:eastAsia="Times New Roman" w:cs="Times New Roman"/>
        </w:rPr>
        <w:t xml:space="preserve">vyresnysis </w:t>
      </w:r>
      <w:r w:rsidR="00FD0B92" w:rsidRPr="000D0573">
        <w:rPr>
          <w:rFonts w:eastAsia="Times New Roman" w:cs="Times New Roman"/>
        </w:rPr>
        <w:t xml:space="preserve">valstybės </w:t>
      </w:r>
      <w:r w:rsidR="00DA2BFD" w:rsidRPr="000D0573">
        <w:rPr>
          <w:rFonts w:eastAsia="Times New Roman" w:cs="Times New Roman"/>
        </w:rPr>
        <w:t>tarnautojas</w:t>
      </w:r>
      <w:r w:rsidR="00FD0B92" w:rsidRPr="000D0573">
        <w:rPr>
          <w:rFonts w:eastAsia="Times New Roman" w:cs="Times New Roman"/>
        </w:rPr>
        <w:t xml:space="preserve">, </w:t>
      </w:r>
      <w:r w:rsidR="00DA2BFD" w:rsidRPr="000D0573">
        <w:rPr>
          <w:rFonts w:eastAsia="Times New Roman" w:cs="Times New Roman"/>
        </w:rPr>
        <w:t>vadovas</w:t>
      </w:r>
      <w:r w:rsidR="00FD0B92" w:rsidRPr="000D0573">
        <w:rPr>
          <w:rFonts w:eastAsia="Times New Roman" w:cs="Times New Roman"/>
        </w:rPr>
        <w:t xml:space="preserve">. Dėstytojai, ekspertai, tyrėjai (angl. </w:t>
      </w:r>
      <w:proofErr w:type="spellStart"/>
      <w:r w:rsidR="005A365D" w:rsidRPr="000D0573">
        <w:rPr>
          <w:rFonts w:eastAsia="Times New Roman" w:cs="Times New Roman"/>
          <w:i/>
        </w:rPr>
        <w:t>researchers</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teachers</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and</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trainers</w:t>
      </w:r>
      <w:proofErr w:type="spellEnd"/>
      <w:r w:rsidR="00FD0B92" w:rsidRPr="000D0573">
        <w:rPr>
          <w:rFonts w:eastAsia="Times New Roman" w:cs="Times New Roman"/>
        </w:rPr>
        <w:t xml:space="preserve">) paprastai atlieka akademines veiklas, siejamas su mokymo programos plėtojimu, mokymo priemonių ir metodų atnaujinimu, mokymo </w:t>
      </w:r>
      <w:r w:rsidR="005A365D" w:rsidRPr="000D0573">
        <w:rPr>
          <w:rFonts w:eastAsia="Times New Roman" w:cs="Times New Roman"/>
        </w:rPr>
        <w:t>medžiagos parengimu</w:t>
      </w:r>
      <w:r w:rsidR="00FD0B92" w:rsidRPr="000D0573">
        <w:rPr>
          <w:rFonts w:eastAsia="Times New Roman" w:cs="Times New Roman"/>
        </w:rPr>
        <w:t xml:space="preserve">. </w:t>
      </w:r>
      <w:r w:rsidR="005A365D" w:rsidRPr="000D0573">
        <w:rPr>
          <w:rFonts w:eastAsia="Times New Roman" w:cs="Times New Roman"/>
        </w:rPr>
        <w:t xml:space="preserve">Pagal programos vadovą techninis </w:t>
      </w:r>
      <w:r w:rsidR="00FD0B92" w:rsidRPr="000D0573">
        <w:rPr>
          <w:rFonts w:eastAsia="Times New Roman" w:cs="Times New Roman"/>
        </w:rPr>
        <w:t xml:space="preserve">personalas atlieka apskaitos-buhalterijos, vertimo ir kitus pagalbinius darbus. Administracinis personalas, įskaitant biuro ir klientų aptarnavimo </w:t>
      </w:r>
      <w:r w:rsidR="005A365D" w:rsidRPr="000D0573">
        <w:rPr>
          <w:rFonts w:eastAsia="Times New Roman" w:cs="Times New Roman"/>
        </w:rPr>
        <w:t>darbuotojus</w:t>
      </w:r>
      <w:r w:rsidR="00FD0B92" w:rsidRPr="000D0573">
        <w:rPr>
          <w:rFonts w:eastAsia="Times New Roman" w:cs="Times New Roman"/>
        </w:rPr>
        <w:t>, atlieka administracinius sekretoriavimo darbus.</w:t>
      </w:r>
    </w:p>
    <w:p w:rsidR="00FD0B92" w:rsidRPr="000D0573" w:rsidRDefault="009E22F7" w:rsidP="00FD0B92">
      <w:pPr>
        <w:tabs>
          <w:tab w:val="left" w:pos="9600"/>
        </w:tabs>
        <w:spacing w:before="240" w:after="240"/>
        <w:ind w:right="74"/>
        <w:jc w:val="both"/>
        <w:rPr>
          <w:rFonts w:eastAsia="Times New Roman" w:cs="Times New Roman"/>
        </w:rPr>
      </w:pPr>
      <w:r w:rsidRPr="000D0573">
        <w:rPr>
          <w:rFonts w:eastAsia="Times New Roman" w:cs="Times New Roman"/>
          <w:szCs w:val="24"/>
        </w:rPr>
        <w:t>„</w:t>
      </w:r>
      <w:proofErr w:type="spellStart"/>
      <w:r w:rsidRPr="000D0573">
        <w:rPr>
          <w:rFonts w:eastAsia="Times New Roman" w:cs="Times New Roman"/>
          <w:szCs w:val="24"/>
        </w:rPr>
        <w:t>Erasmus</w:t>
      </w:r>
      <w:proofErr w:type="spellEnd"/>
      <w:r w:rsidRPr="000D0573">
        <w:rPr>
          <w:rFonts w:eastAsia="Times New Roman" w:cs="Times New Roman"/>
          <w:szCs w:val="24"/>
        </w:rPr>
        <w:t xml:space="preserve"> plius“</w:t>
      </w:r>
      <w:r w:rsidR="00FD0B92" w:rsidRPr="000D0573">
        <w:rPr>
          <w:rFonts w:eastAsia="Times New Roman" w:cs="Times New Roman"/>
        </w:rPr>
        <w:t xml:space="preserve"> pareigybės </w:t>
      </w:r>
      <w:r w:rsidR="005A365D" w:rsidRPr="000D0573">
        <w:rPr>
          <w:rFonts w:eastAsia="Times New Roman" w:cs="Times New Roman"/>
        </w:rPr>
        <w:t xml:space="preserve">pagal </w:t>
      </w:r>
      <w:r w:rsidR="00FD0B92" w:rsidRPr="000D0573">
        <w:rPr>
          <w:rFonts w:eastAsia="Times New Roman" w:cs="Times New Roman"/>
        </w:rPr>
        <w:t xml:space="preserve">savo </w:t>
      </w:r>
      <w:r w:rsidR="005A365D" w:rsidRPr="000D0573">
        <w:rPr>
          <w:rFonts w:eastAsia="Times New Roman" w:cs="Times New Roman"/>
        </w:rPr>
        <w:t xml:space="preserve">esmę </w:t>
      </w:r>
      <w:r w:rsidR="00FD0B92" w:rsidRPr="000D0573">
        <w:rPr>
          <w:rFonts w:eastAsia="Times New Roman" w:cs="Times New Roman"/>
        </w:rPr>
        <w:t>sutampa su tarptautinio profesijų klasifikatoriaus (ISCO-08) kategorijomis</w:t>
      </w:r>
      <w:r w:rsidR="00FD0B92" w:rsidRPr="000D0573">
        <w:rPr>
          <w:rFonts w:eastAsia="Times New Roman" w:cs="Times New Roman"/>
          <w:vertAlign w:val="superscript"/>
        </w:rPr>
        <w:footnoteReference w:id="10"/>
      </w:r>
      <w:r w:rsidR="00FD0B92" w:rsidRPr="000D0573">
        <w:rPr>
          <w:rFonts w:eastAsia="Times New Roman" w:cs="Times New Roman"/>
        </w:rPr>
        <w:t xml:space="preserve">. Kodu 1 klasifikatoriuje žymimi vadovai (angl. </w:t>
      </w:r>
      <w:proofErr w:type="spellStart"/>
      <w:r w:rsidR="005A365D" w:rsidRPr="000D0573">
        <w:rPr>
          <w:rFonts w:eastAsia="Times New Roman" w:cs="Times New Roman"/>
          <w:i/>
        </w:rPr>
        <w:t>manager</w:t>
      </w:r>
      <w:proofErr w:type="spellEnd"/>
      <w:r w:rsidR="00FD0B92" w:rsidRPr="000D0573">
        <w:rPr>
          <w:rFonts w:eastAsia="Times New Roman" w:cs="Times New Roman"/>
        </w:rPr>
        <w:t>)</w:t>
      </w:r>
      <w:r w:rsidR="005A365D" w:rsidRPr="000D0573">
        <w:rPr>
          <w:rFonts w:eastAsia="Times New Roman" w:cs="Times New Roman"/>
        </w:rPr>
        <w:t>.</w:t>
      </w:r>
      <w:r w:rsidR="00FD0B92" w:rsidRPr="000D0573">
        <w:rPr>
          <w:rFonts w:eastAsia="Times New Roman" w:cs="Times New Roman"/>
        </w:rPr>
        <w:t xml:space="preserve"> </w:t>
      </w:r>
      <w:r w:rsidR="005A365D" w:rsidRPr="000D0573">
        <w:rPr>
          <w:rFonts w:eastAsia="Times New Roman" w:cs="Times New Roman"/>
        </w:rPr>
        <w:t xml:space="preserve">Kodu </w:t>
      </w:r>
      <w:r w:rsidR="00FD0B92" w:rsidRPr="000D0573">
        <w:rPr>
          <w:rFonts w:eastAsia="Times New Roman" w:cs="Times New Roman"/>
        </w:rPr>
        <w:t xml:space="preserve">2 žymimi specialistai (angl. </w:t>
      </w:r>
      <w:proofErr w:type="spellStart"/>
      <w:r w:rsidR="005A365D" w:rsidRPr="000D0573">
        <w:rPr>
          <w:rFonts w:eastAsia="Times New Roman" w:cs="Times New Roman"/>
          <w:i/>
        </w:rPr>
        <w:t>professionals</w:t>
      </w:r>
      <w:proofErr w:type="spellEnd"/>
      <w:r w:rsidR="00FD0B92" w:rsidRPr="000D0573">
        <w:rPr>
          <w:rFonts w:eastAsia="Times New Roman" w:cs="Times New Roman"/>
        </w:rPr>
        <w:t>) atitinka dėstytojų, ekspertų, tyrėjų kategoriją</w:t>
      </w:r>
      <w:r w:rsidR="005A365D" w:rsidRPr="000D0573">
        <w:rPr>
          <w:rFonts w:eastAsia="Times New Roman" w:cs="Times New Roman"/>
        </w:rPr>
        <w:t>.</w:t>
      </w:r>
      <w:r w:rsidR="00FD0B92" w:rsidRPr="000D0573">
        <w:rPr>
          <w:rFonts w:eastAsia="Times New Roman" w:cs="Times New Roman"/>
        </w:rPr>
        <w:t xml:space="preserve"> </w:t>
      </w:r>
      <w:r w:rsidR="005A365D" w:rsidRPr="000D0573">
        <w:rPr>
          <w:rFonts w:eastAsia="Times New Roman" w:cs="Times New Roman"/>
        </w:rPr>
        <w:t xml:space="preserve">Kodu </w:t>
      </w:r>
      <w:r w:rsidR="00FD0B92" w:rsidRPr="000D0573">
        <w:rPr>
          <w:rFonts w:eastAsia="Times New Roman" w:cs="Times New Roman"/>
        </w:rPr>
        <w:t xml:space="preserve">3 žymimi technikai ir jaunesnieji specialistai (angl. </w:t>
      </w:r>
      <w:proofErr w:type="spellStart"/>
      <w:r w:rsidR="005A365D" w:rsidRPr="000D0573">
        <w:rPr>
          <w:rFonts w:eastAsia="Times New Roman" w:cs="Times New Roman"/>
          <w:i/>
        </w:rPr>
        <w:t>technicians</w:t>
      </w:r>
      <w:proofErr w:type="spellEnd"/>
      <w:r w:rsidR="005A365D" w:rsidRPr="000D0573">
        <w:rPr>
          <w:rFonts w:eastAsia="Times New Roman" w:cs="Times New Roman"/>
          <w:i/>
        </w:rPr>
        <w:t xml:space="preserve"> </w:t>
      </w:r>
      <w:proofErr w:type="spellStart"/>
      <w:r w:rsidR="00FD0B92" w:rsidRPr="000D0573">
        <w:rPr>
          <w:rFonts w:eastAsia="Times New Roman" w:cs="Times New Roman"/>
          <w:i/>
        </w:rPr>
        <w:t>and</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associate</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professionals</w:t>
      </w:r>
      <w:proofErr w:type="spellEnd"/>
      <w:r w:rsidR="00FD0B92" w:rsidRPr="000D0573">
        <w:rPr>
          <w:rFonts w:eastAsia="Times New Roman" w:cs="Times New Roman"/>
        </w:rPr>
        <w:t>)</w:t>
      </w:r>
      <w:r w:rsidR="005A365D" w:rsidRPr="000D0573">
        <w:rPr>
          <w:rFonts w:eastAsia="Times New Roman" w:cs="Times New Roman"/>
        </w:rPr>
        <w:t>;</w:t>
      </w:r>
      <w:r w:rsidR="00FD0B92" w:rsidRPr="000D0573">
        <w:rPr>
          <w:rFonts w:eastAsia="Times New Roman" w:cs="Times New Roman"/>
        </w:rPr>
        <w:t xml:space="preserve"> </w:t>
      </w:r>
      <w:r w:rsidR="005A365D" w:rsidRPr="000D0573">
        <w:rPr>
          <w:rFonts w:eastAsia="Times New Roman" w:cs="Times New Roman"/>
        </w:rPr>
        <w:t>„</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005A365D" w:rsidRPr="000D0573">
        <w:rPr>
          <w:rFonts w:eastAsia="Times New Roman" w:cs="Times New Roman"/>
        </w:rPr>
        <w:t>“</w:t>
      </w:r>
      <w:r w:rsidR="00FD0B92" w:rsidRPr="000D0573">
        <w:rPr>
          <w:rFonts w:eastAsia="Times New Roman" w:cs="Times New Roman"/>
          <w:i/>
        </w:rPr>
        <w:t xml:space="preserve"> </w:t>
      </w:r>
      <w:r w:rsidR="00FD0B92" w:rsidRPr="000D0573">
        <w:rPr>
          <w:rFonts w:eastAsia="Times New Roman" w:cs="Times New Roman"/>
        </w:rPr>
        <w:t xml:space="preserve">programos vadove </w:t>
      </w:r>
      <w:r w:rsidR="005A365D" w:rsidRPr="000D0573">
        <w:rPr>
          <w:rFonts w:eastAsia="Times New Roman" w:cs="Times New Roman"/>
        </w:rPr>
        <w:t xml:space="preserve">jie </w:t>
      </w:r>
      <w:r w:rsidR="00FD0B92" w:rsidRPr="000D0573">
        <w:rPr>
          <w:rFonts w:eastAsia="Times New Roman" w:cs="Times New Roman"/>
        </w:rPr>
        <w:t>vadinami techniniu personalu arba technikais</w:t>
      </w:r>
      <w:r w:rsidR="005A365D" w:rsidRPr="000D0573">
        <w:rPr>
          <w:rFonts w:eastAsia="Times New Roman" w:cs="Times New Roman"/>
        </w:rPr>
        <w:t>.</w:t>
      </w:r>
      <w:r w:rsidR="00FD0B92" w:rsidRPr="000D0573">
        <w:rPr>
          <w:rFonts w:eastAsia="Times New Roman" w:cs="Times New Roman"/>
        </w:rPr>
        <w:t xml:space="preserve"> </w:t>
      </w:r>
      <w:r w:rsidR="005A365D" w:rsidRPr="000D0573">
        <w:rPr>
          <w:rFonts w:eastAsia="Times New Roman" w:cs="Times New Roman"/>
        </w:rPr>
        <w:t xml:space="preserve">Kodą </w:t>
      </w:r>
      <w:r w:rsidR="00FD0B92" w:rsidRPr="000D0573">
        <w:rPr>
          <w:rFonts w:eastAsia="Times New Roman" w:cs="Times New Roman"/>
        </w:rPr>
        <w:t xml:space="preserve">4 klasifikatorius priskiria tarnautojams (angl. </w:t>
      </w:r>
      <w:proofErr w:type="spellStart"/>
      <w:r w:rsidR="005A365D" w:rsidRPr="000D0573">
        <w:rPr>
          <w:rFonts w:eastAsia="Times New Roman" w:cs="Times New Roman"/>
          <w:i/>
        </w:rPr>
        <w:t>clerical</w:t>
      </w:r>
      <w:proofErr w:type="spellEnd"/>
      <w:r w:rsidR="005A365D" w:rsidRPr="000D0573">
        <w:rPr>
          <w:rFonts w:eastAsia="Times New Roman" w:cs="Times New Roman"/>
          <w:i/>
        </w:rPr>
        <w:t xml:space="preserve"> </w:t>
      </w:r>
      <w:proofErr w:type="spellStart"/>
      <w:r w:rsidR="00FD0B92" w:rsidRPr="000D0573">
        <w:rPr>
          <w:rFonts w:eastAsia="Times New Roman" w:cs="Times New Roman"/>
          <w:i/>
        </w:rPr>
        <w:t>support</w:t>
      </w:r>
      <w:proofErr w:type="spellEnd"/>
      <w:r w:rsidR="00FD0B92" w:rsidRPr="000D0573">
        <w:rPr>
          <w:rFonts w:eastAsia="Times New Roman" w:cs="Times New Roman"/>
          <w:i/>
        </w:rPr>
        <w:t xml:space="preserve"> </w:t>
      </w:r>
      <w:proofErr w:type="spellStart"/>
      <w:r w:rsidR="00FD0B92" w:rsidRPr="000D0573">
        <w:rPr>
          <w:rFonts w:eastAsia="Times New Roman" w:cs="Times New Roman"/>
          <w:i/>
        </w:rPr>
        <w:t>workers</w:t>
      </w:r>
      <w:proofErr w:type="spellEnd"/>
      <w:r w:rsidR="00FD0B92" w:rsidRPr="000D0573">
        <w:rPr>
          <w:rFonts w:eastAsia="Times New Roman" w:cs="Times New Roman"/>
        </w:rPr>
        <w:t>)</w:t>
      </w:r>
      <w:r w:rsidR="005A365D" w:rsidRPr="000D0573">
        <w:rPr>
          <w:rFonts w:eastAsia="Times New Roman" w:cs="Times New Roman"/>
        </w:rPr>
        <w:t>;</w:t>
      </w:r>
      <w:r w:rsidR="00FD0B92" w:rsidRPr="000D0573">
        <w:rPr>
          <w:rFonts w:eastAsia="Times New Roman" w:cs="Times New Roman"/>
        </w:rPr>
        <w:t xml:space="preserve"> </w:t>
      </w:r>
      <w:r w:rsidR="005A365D" w:rsidRPr="000D0573">
        <w:rPr>
          <w:rFonts w:eastAsia="Times New Roman" w:cs="Times New Roman"/>
        </w:rPr>
        <w:t>jie „</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005A365D" w:rsidRPr="000D0573">
        <w:rPr>
          <w:rFonts w:eastAsia="Times New Roman" w:cs="Times New Roman"/>
        </w:rPr>
        <w:t>“</w:t>
      </w:r>
      <w:r w:rsidR="00FD0B92" w:rsidRPr="000D0573">
        <w:rPr>
          <w:rFonts w:eastAsia="Times New Roman" w:cs="Times New Roman"/>
          <w:i/>
        </w:rPr>
        <w:t xml:space="preserve"> </w:t>
      </w:r>
      <w:r w:rsidR="00FD0B92" w:rsidRPr="000D0573">
        <w:rPr>
          <w:rFonts w:eastAsia="Times New Roman" w:cs="Times New Roman"/>
        </w:rPr>
        <w:t xml:space="preserve">programos vadove </w:t>
      </w:r>
      <w:r w:rsidR="005A365D" w:rsidRPr="000D0573">
        <w:rPr>
          <w:rFonts w:eastAsia="Times New Roman" w:cs="Times New Roman"/>
        </w:rPr>
        <w:t xml:space="preserve">įvardyti kaip </w:t>
      </w:r>
      <w:r w:rsidR="00FD0B92" w:rsidRPr="000D0573">
        <w:rPr>
          <w:rFonts w:eastAsia="Times New Roman" w:cs="Times New Roman"/>
        </w:rPr>
        <w:t xml:space="preserve">administracijos </w:t>
      </w:r>
      <w:r w:rsidR="005A365D" w:rsidRPr="000D0573">
        <w:rPr>
          <w:rFonts w:eastAsia="Times New Roman" w:cs="Times New Roman"/>
        </w:rPr>
        <w:t>personalas</w:t>
      </w:r>
      <w:r w:rsidR="00FD0B92" w:rsidRPr="000D0573">
        <w:rPr>
          <w:rFonts w:eastAsia="Times New Roman" w:cs="Times New Roman"/>
        </w:rPr>
        <w:t>.</w:t>
      </w:r>
    </w:p>
    <w:p w:rsidR="00FD0B92" w:rsidRPr="000D0573" w:rsidRDefault="009E22F7" w:rsidP="00FD0B92">
      <w:pPr>
        <w:tabs>
          <w:tab w:val="left" w:pos="9600"/>
        </w:tabs>
        <w:spacing w:before="240" w:after="240"/>
        <w:ind w:right="74"/>
        <w:jc w:val="both"/>
        <w:rPr>
          <w:rFonts w:eastAsia="Times New Roman" w:cs="Times New Roman"/>
          <w:sz w:val="20"/>
        </w:rPr>
      </w:pPr>
      <w:r w:rsidRPr="000D0573">
        <w:rPr>
          <w:rFonts w:eastAsia="Times New Roman" w:cs="Times New Roman"/>
          <w:szCs w:val="24"/>
        </w:rPr>
        <w:t>„</w:t>
      </w:r>
      <w:proofErr w:type="spellStart"/>
      <w:r w:rsidRPr="000D0573">
        <w:rPr>
          <w:rFonts w:eastAsia="Times New Roman" w:cs="Times New Roman"/>
          <w:szCs w:val="24"/>
        </w:rPr>
        <w:t>Erasmus</w:t>
      </w:r>
      <w:proofErr w:type="spellEnd"/>
      <w:r w:rsidRPr="000D0573">
        <w:rPr>
          <w:rFonts w:eastAsia="Times New Roman" w:cs="Times New Roman"/>
          <w:szCs w:val="24"/>
        </w:rPr>
        <w:t xml:space="preserve"> plius“</w:t>
      </w:r>
      <w:r w:rsidR="00FD0B92" w:rsidRPr="000D0573">
        <w:rPr>
          <w:rFonts w:eastAsia="Times New Roman" w:cs="Times New Roman"/>
          <w:szCs w:val="24"/>
        </w:rPr>
        <w:t xml:space="preserve"> programos vadove </w:t>
      </w:r>
      <w:r w:rsidR="005A365D" w:rsidRPr="000D0573">
        <w:rPr>
          <w:rFonts w:eastAsia="Times New Roman" w:cs="Times New Roman"/>
          <w:szCs w:val="24"/>
        </w:rPr>
        <w:t xml:space="preserve">perskaitę </w:t>
      </w:r>
      <w:r w:rsidR="00FD0B92" w:rsidRPr="000D0573">
        <w:rPr>
          <w:rFonts w:eastAsia="Times New Roman" w:cs="Times New Roman"/>
          <w:szCs w:val="24"/>
        </w:rPr>
        <w:t>vadovo pareigybės apibūdinimą gali</w:t>
      </w:r>
      <w:r w:rsidR="005A365D" w:rsidRPr="000D0573">
        <w:rPr>
          <w:rFonts w:eastAsia="Times New Roman" w:cs="Times New Roman"/>
          <w:szCs w:val="24"/>
        </w:rPr>
        <w:t>me</w:t>
      </w:r>
      <w:r w:rsidR="00FD0B92" w:rsidRPr="000D0573">
        <w:rPr>
          <w:rFonts w:eastAsia="Times New Roman" w:cs="Times New Roman"/>
          <w:szCs w:val="24"/>
        </w:rPr>
        <w:t xml:space="preserve"> susidaryti </w:t>
      </w:r>
      <w:r w:rsidR="005A365D" w:rsidRPr="000D0573">
        <w:rPr>
          <w:rFonts w:eastAsia="Times New Roman" w:cs="Times New Roman"/>
          <w:szCs w:val="24"/>
        </w:rPr>
        <w:t>įspūdį</w:t>
      </w:r>
      <w:r w:rsidR="00FD0B92" w:rsidRPr="000D0573">
        <w:rPr>
          <w:rFonts w:eastAsia="Times New Roman" w:cs="Times New Roman"/>
          <w:szCs w:val="24"/>
        </w:rPr>
        <w:t xml:space="preserve">, kad tai yra administracines funkcijas atliekantis projekto koordinatorius, kurio darbo užmokestis Lietuvoje paprastai padengiamas per netiesiogines išlaidas. Tačiau </w:t>
      </w:r>
      <w:r w:rsidR="005A365D" w:rsidRPr="000D0573">
        <w:rPr>
          <w:rFonts w:eastAsia="Times New Roman" w:cs="Times New Roman"/>
          <w:szCs w:val="24"/>
        </w:rPr>
        <w:t xml:space="preserve">analizuodami </w:t>
      </w:r>
      <w:r w:rsidR="00FD0B92" w:rsidRPr="000D0573">
        <w:rPr>
          <w:rFonts w:eastAsia="Times New Roman" w:cs="Times New Roman"/>
          <w:szCs w:val="24"/>
        </w:rPr>
        <w:t>profesijų klasifikatorių matome, kad vadovų grupei priskiriami kvalifikuoti specialistai, ne tik išmanantys savo sritį, bet ir vadovaujantys komandai. Remiantis klasifikatoriumi</w:t>
      </w:r>
      <w:r w:rsidR="005A365D" w:rsidRPr="000D0573">
        <w:rPr>
          <w:rFonts w:eastAsia="Times New Roman" w:cs="Times New Roman"/>
          <w:szCs w:val="24"/>
        </w:rPr>
        <w:t>,</w:t>
      </w:r>
      <w:r w:rsidR="00FD0B92" w:rsidRPr="000D0573">
        <w:rPr>
          <w:rFonts w:eastAsia="Times New Roman" w:cs="Times New Roman"/>
          <w:szCs w:val="24"/>
        </w:rPr>
        <w:t xml:space="preserve"> vadovai nustato </w:t>
      </w:r>
      <w:r w:rsidR="00FD0B92" w:rsidRPr="000D0573">
        <w:rPr>
          <w:rFonts w:eastAsia="Times New Roman" w:cs="MinionPro-Regular"/>
          <w:szCs w:val="24"/>
        </w:rPr>
        <w:t xml:space="preserve">veiklos kryptis, formuoja biudžetą ir vykdo jo kontrolę, priima įstatymus, norminius teisės aktus, </w:t>
      </w:r>
      <w:r w:rsidR="00FD0B92" w:rsidRPr="000D0573">
        <w:rPr>
          <w:rFonts w:eastAsia="Times New Roman" w:cs="MinionPro-Regular"/>
          <w:szCs w:val="24"/>
        </w:rPr>
        <w:lastRenderedPageBreak/>
        <w:t xml:space="preserve">vidaus taisykles ir atlieka jų įgyvendinimo priežiūrą; nustato ir vertina programas, strategijas bei jų įgyvendinimo procedūras, planuoja ir atlieka materialiųjų išteklių kontrolę; vykdo darbuotojų veiklos </w:t>
      </w:r>
      <w:proofErr w:type="spellStart"/>
      <w:r w:rsidR="00FD0B92" w:rsidRPr="000D0573">
        <w:rPr>
          <w:rFonts w:eastAsia="Times New Roman" w:cs="MinionPro-Regular"/>
          <w:szCs w:val="24"/>
        </w:rPr>
        <w:t>stebėseną</w:t>
      </w:r>
      <w:proofErr w:type="spellEnd"/>
      <w:r w:rsidR="00FD0B92" w:rsidRPr="000D0573">
        <w:rPr>
          <w:rFonts w:eastAsia="Times New Roman" w:cs="MinionPro-Regular"/>
          <w:szCs w:val="24"/>
        </w:rPr>
        <w:t xml:space="preserve"> ir vertinimą, planuoja ir skirsto darbus ar užduotis; atstovauja institucijai, įmonei ar jos organizaciniam vienetui ir kita</w:t>
      </w:r>
      <w:r w:rsidR="00FD0B92" w:rsidRPr="000D0573">
        <w:rPr>
          <w:rFonts w:eastAsia="Times New Roman" w:cs="MinionPro-Regular"/>
          <w:szCs w:val="24"/>
          <w:vertAlign w:val="superscript"/>
        </w:rPr>
        <w:footnoteReference w:id="11"/>
      </w:r>
      <w:r w:rsidR="00FD0B92" w:rsidRPr="000D0573">
        <w:rPr>
          <w:rFonts w:eastAsia="Times New Roman" w:cs="MinionPro-Regular"/>
          <w:szCs w:val="24"/>
        </w:rPr>
        <w:t>. Š</w:t>
      </w:r>
      <w:r w:rsidR="00FD0B92" w:rsidRPr="000D0573">
        <w:rPr>
          <w:rFonts w:eastAsia="Times New Roman" w:cs="MinionPro-Regular"/>
        </w:rPr>
        <w:t xml:space="preserve">iai grupei priskiriamų profesijų pavyzdžiai: parlamento narys, meras, ministras, ambasadorius, seniūnas, įmonės, įstaigos, organizacijos vadovas, jos struktūrinio padalinio vadovas. Dirbant projekte, </w:t>
      </w:r>
      <w:r w:rsidR="00DA2BFD" w:rsidRPr="000D0573">
        <w:rPr>
          <w:rFonts w:eastAsia="Times New Roman" w:cs="MinionPro-Regular"/>
        </w:rPr>
        <w:t>kurį įgyvendinant yra</w:t>
      </w:r>
      <w:r w:rsidR="00FD0B92" w:rsidRPr="000D0573">
        <w:rPr>
          <w:rFonts w:eastAsia="Times New Roman" w:cs="MinionPro-Regular"/>
        </w:rPr>
        <w:t xml:space="preserve"> kuriami intelektiniai produktai, taip pat reikalingas vadovaujantis asmuo, priim</w:t>
      </w:r>
      <w:r w:rsidR="005A365D" w:rsidRPr="000D0573">
        <w:rPr>
          <w:rFonts w:eastAsia="Times New Roman" w:cs="MinionPro-Regular"/>
        </w:rPr>
        <w:t>antis</w:t>
      </w:r>
      <w:r w:rsidR="00FD0B92" w:rsidRPr="000D0573">
        <w:rPr>
          <w:rFonts w:eastAsia="Times New Roman" w:cs="MinionPro-Regular"/>
        </w:rPr>
        <w:t xml:space="preserve"> strateginius sprendimus dėl veiklų, jų metu rengiamų produktų </w:t>
      </w:r>
      <w:r w:rsidR="00DA2BFD" w:rsidRPr="000D0573">
        <w:rPr>
          <w:rFonts w:eastAsia="Times New Roman" w:cs="MinionPro-Regular"/>
        </w:rPr>
        <w:t>turinio. Jis</w:t>
      </w:r>
      <w:r w:rsidR="00FD0B92" w:rsidRPr="000D0573">
        <w:rPr>
          <w:rFonts w:eastAsia="Times New Roman" w:cs="MinionPro-Regular"/>
        </w:rPr>
        <w:t xml:space="preserve"> prižiūri kitų komandos narių </w:t>
      </w:r>
      <w:r w:rsidR="007F5FBF" w:rsidRPr="000D0573">
        <w:rPr>
          <w:rFonts w:eastAsia="Times New Roman" w:cs="MinionPro-Regular"/>
        </w:rPr>
        <w:t xml:space="preserve">indėlį </w:t>
      </w:r>
      <w:r w:rsidR="00FD0B92" w:rsidRPr="000D0573">
        <w:rPr>
          <w:rFonts w:eastAsia="Times New Roman" w:cs="MinionPro-Regular"/>
        </w:rPr>
        <w:t xml:space="preserve">ir tikrina jų </w:t>
      </w:r>
      <w:r w:rsidR="00DA2BFD" w:rsidRPr="000D0573">
        <w:rPr>
          <w:rFonts w:eastAsia="Times New Roman" w:cs="MinionPro-Regular"/>
        </w:rPr>
        <w:t xml:space="preserve">darbo </w:t>
      </w:r>
      <w:r w:rsidR="00FD0B92" w:rsidRPr="000D0573">
        <w:rPr>
          <w:rFonts w:eastAsia="Times New Roman" w:cs="MinionPro-Regular"/>
        </w:rPr>
        <w:t xml:space="preserve">kokybę, </w:t>
      </w:r>
      <w:r w:rsidR="005A365D" w:rsidRPr="000D0573">
        <w:rPr>
          <w:rFonts w:eastAsia="Times New Roman" w:cs="MinionPro-Regular"/>
        </w:rPr>
        <w:t xml:space="preserve">dalijasi </w:t>
      </w:r>
      <w:r w:rsidR="00FD0B92" w:rsidRPr="000D0573">
        <w:rPr>
          <w:rFonts w:eastAsia="Times New Roman" w:cs="MinionPro-Regular"/>
        </w:rPr>
        <w:t xml:space="preserve">savo profesine patirtimi ir žiniomis. </w:t>
      </w:r>
      <w:r w:rsidR="00FD0B92" w:rsidRPr="000D0573">
        <w:rPr>
          <w:rFonts w:eastAsia="Times New Roman" w:cs="Times New Roman"/>
          <w:szCs w:val="24"/>
        </w:rPr>
        <w:t xml:space="preserve">Vadovo pareigybę šių </w:t>
      </w:r>
      <w:r w:rsidR="00DA2BFD" w:rsidRPr="000D0573">
        <w:rPr>
          <w:rFonts w:eastAsia="Times New Roman" w:cs="Times New Roman"/>
          <w:szCs w:val="24"/>
        </w:rPr>
        <w:t xml:space="preserve">fiksuotųjų </w:t>
      </w:r>
      <w:r w:rsidR="00FD0B92" w:rsidRPr="000D0573">
        <w:rPr>
          <w:rFonts w:eastAsia="Times New Roman" w:cs="Times New Roman"/>
          <w:szCs w:val="24"/>
        </w:rPr>
        <w:t xml:space="preserve">įkainių kontekste būtų tikslu vadinti </w:t>
      </w:r>
      <w:r w:rsidR="00FD0B92" w:rsidRPr="000D0573">
        <w:rPr>
          <w:rFonts w:eastAsia="Times New Roman" w:cs="Times New Roman"/>
          <w:b/>
          <w:szCs w:val="24"/>
        </w:rPr>
        <w:t>komandos-veiklos vadovu</w:t>
      </w:r>
      <w:r w:rsidR="00FD0B92" w:rsidRPr="000D0573">
        <w:rPr>
          <w:rFonts w:eastAsia="Times New Roman" w:cs="Times New Roman"/>
          <w:szCs w:val="24"/>
        </w:rPr>
        <w:t xml:space="preserve">, o tarp jam priskirtinų </w:t>
      </w:r>
      <w:r w:rsidR="00DA2BFD" w:rsidRPr="000D0573">
        <w:rPr>
          <w:rFonts w:eastAsia="Times New Roman" w:cs="Times New Roman"/>
          <w:szCs w:val="24"/>
        </w:rPr>
        <w:t xml:space="preserve">funkcijų reikėtų </w:t>
      </w:r>
      <w:r w:rsidR="00FD0B92" w:rsidRPr="000D0573">
        <w:rPr>
          <w:rFonts w:eastAsia="Times New Roman" w:cs="Times New Roman"/>
          <w:szCs w:val="24"/>
        </w:rPr>
        <w:t>paminėti valdymo veiklas, siejamas su projekto veiklų koordinavimu, atsakomybių paskirstymu, projekto darbuotojų konsultavimu ekspertin</w:t>
      </w:r>
      <w:r w:rsidR="00DA2BFD" w:rsidRPr="000D0573">
        <w:rPr>
          <w:rFonts w:eastAsia="Times New Roman" w:cs="Times New Roman"/>
          <w:szCs w:val="24"/>
        </w:rPr>
        <w:t>iu</w:t>
      </w:r>
      <w:r w:rsidR="00FD0B92" w:rsidRPr="000D0573">
        <w:rPr>
          <w:rFonts w:eastAsia="Times New Roman" w:cs="Times New Roman"/>
          <w:szCs w:val="24"/>
        </w:rPr>
        <w:t xml:space="preserve"> turinio </w:t>
      </w:r>
      <w:r w:rsidR="00DA2BFD" w:rsidRPr="000D0573">
        <w:rPr>
          <w:rFonts w:eastAsia="Times New Roman" w:cs="Times New Roman"/>
          <w:szCs w:val="24"/>
        </w:rPr>
        <w:t>aspektu</w:t>
      </w:r>
      <w:r w:rsidR="00FD0B92" w:rsidRPr="000D0573">
        <w:rPr>
          <w:rFonts w:eastAsia="Times New Roman" w:cs="Times New Roman"/>
          <w:szCs w:val="24"/>
        </w:rPr>
        <w:t>, svarbiausių sprendimų priėmimu dėl veiklų turinio.</w:t>
      </w:r>
      <w:r w:rsidR="00FD0B92" w:rsidRPr="000D0573">
        <w:rPr>
          <w:rFonts w:eastAsia="Times New Roman" w:cs="Times New Roman"/>
          <w:sz w:val="20"/>
        </w:rPr>
        <w:t xml:space="preserve"> </w:t>
      </w:r>
    </w:p>
    <w:p w:rsidR="00FD0B92" w:rsidRPr="000D0573" w:rsidRDefault="00DA2BFD" w:rsidP="00FD0B92">
      <w:pPr>
        <w:tabs>
          <w:tab w:val="left" w:pos="9600"/>
        </w:tabs>
        <w:spacing w:before="240" w:after="240"/>
        <w:ind w:right="74"/>
        <w:jc w:val="both"/>
        <w:rPr>
          <w:rFonts w:eastAsia="Times New Roman" w:cs="Times New Roman"/>
          <w:sz w:val="20"/>
        </w:rPr>
      </w:pPr>
      <w:r w:rsidRPr="000D0573">
        <w:rPr>
          <w:rFonts w:eastAsia="Times New Roman" w:cs="Times New Roman"/>
        </w:rPr>
        <w:t>Pažymėtina</w:t>
      </w:r>
      <w:r w:rsidR="00FD0B92" w:rsidRPr="000D0573">
        <w:rPr>
          <w:rFonts w:eastAsia="Times New Roman" w:cs="Times New Roman"/>
        </w:rPr>
        <w:t xml:space="preserve">, kad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00FD0B92" w:rsidRPr="000D0573">
        <w:rPr>
          <w:rFonts w:eastAsia="Times New Roman" w:cs="Times New Roman"/>
          <w:i/>
        </w:rPr>
        <w:t xml:space="preserve"> </w:t>
      </w:r>
      <w:r w:rsidR="00FD0B92" w:rsidRPr="000D0573">
        <w:rPr>
          <w:rFonts w:eastAsia="Times New Roman" w:cs="Times New Roman"/>
        </w:rPr>
        <w:t xml:space="preserve">programos </w:t>
      </w:r>
      <w:r w:rsidRPr="000D0573">
        <w:rPr>
          <w:rFonts w:eastAsia="Times New Roman" w:cs="Times New Roman"/>
        </w:rPr>
        <w:t xml:space="preserve">vadove pateikiami </w:t>
      </w:r>
      <w:r w:rsidR="00FD0B92" w:rsidRPr="000D0573">
        <w:rPr>
          <w:rFonts w:eastAsia="Times New Roman" w:cs="Times New Roman"/>
        </w:rPr>
        <w:t xml:space="preserve">ypač </w:t>
      </w:r>
      <w:r w:rsidRPr="000D0573">
        <w:rPr>
          <w:rFonts w:eastAsia="Times New Roman" w:cs="Times New Roman"/>
        </w:rPr>
        <w:t xml:space="preserve">siauri </w:t>
      </w:r>
      <w:r w:rsidR="00FD0B92" w:rsidRPr="000D0573">
        <w:rPr>
          <w:rFonts w:eastAsia="Times New Roman" w:cs="Times New Roman"/>
        </w:rPr>
        <w:t xml:space="preserve">techninio personalo funkcijų </w:t>
      </w:r>
      <w:r w:rsidRPr="000D0573">
        <w:rPr>
          <w:rFonts w:eastAsia="Times New Roman" w:cs="Times New Roman"/>
        </w:rPr>
        <w:t xml:space="preserve">pavyzdžiai </w:t>
      </w:r>
      <w:r w:rsidR="00FD0B92" w:rsidRPr="000D0573">
        <w:rPr>
          <w:rFonts w:eastAsia="Times New Roman" w:cs="Times New Roman"/>
        </w:rPr>
        <w:t xml:space="preserve">– „apskaitos-buhalterijos, vertimo ir kiti pagalbiniai darbai“. </w:t>
      </w:r>
      <w:r w:rsidRPr="000D0573">
        <w:rPr>
          <w:rFonts w:eastAsia="Times New Roman" w:cs="Times New Roman"/>
        </w:rPr>
        <w:t xml:space="preserve">Pagal </w:t>
      </w:r>
      <w:r w:rsidR="00FD0B92" w:rsidRPr="000D0573">
        <w:rPr>
          <w:rFonts w:eastAsia="Times New Roman" w:cs="Times New Roman"/>
        </w:rPr>
        <w:t xml:space="preserve">profesijų </w:t>
      </w:r>
      <w:r w:rsidRPr="000D0573">
        <w:rPr>
          <w:rFonts w:eastAsia="Times New Roman" w:cs="Times New Roman"/>
        </w:rPr>
        <w:t>klasifikatorių</w:t>
      </w:r>
      <w:r w:rsidR="00FD0B92" w:rsidRPr="000D0573">
        <w:rPr>
          <w:rFonts w:eastAsia="Times New Roman" w:cs="Times New Roman"/>
        </w:rPr>
        <w:t xml:space="preserve"> technikai ir jaunesnieji specialistai apima profesijas, kurių </w:t>
      </w:r>
      <w:r w:rsidRPr="000D0573">
        <w:rPr>
          <w:rFonts w:eastAsia="Times New Roman" w:cs="Times New Roman"/>
        </w:rPr>
        <w:t xml:space="preserve">atstovų </w:t>
      </w:r>
      <w:r w:rsidR="00FD0B92" w:rsidRPr="000D0573">
        <w:rPr>
          <w:rFonts w:eastAsia="Times New Roman" w:cs="Times New Roman"/>
        </w:rPr>
        <w:t>atliekamos užduotys paprastai yra techninis darbas</w:t>
      </w:r>
      <w:r w:rsidR="00FD0B92" w:rsidRPr="000D0573">
        <w:rPr>
          <w:rFonts w:eastAsia="Times New Roman" w:cs="MinionPro-Regular"/>
        </w:rPr>
        <w:t>, susijęs su fizinių mokslų</w:t>
      </w:r>
      <w:r w:rsidRPr="000D0573">
        <w:rPr>
          <w:rFonts w:eastAsia="Times New Roman" w:cs="MinionPro-Regular"/>
        </w:rPr>
        <w:t xml:space="preserve"> (</w:t>
      </w:r>
      <w:r w:rsidR="00FD0B92" w:rsidRPr="000D0573">
        <w:rPr>
          <w:rFonts w:eastAsia="Times New Roman" w:cs="MinionPro-Regular"/>
        </w:rPr>
        <w:t xml:space="preserve">įskaitant inžineriją </w:t>
      </w:r>
      <w:r w:rsidRPr="000D0573">
        <w:rPr>
          <w:rFonts w:eastAsia="Times New Roman" w:cs="MinionPro-Regular"/>
        </w:rPr>
        <w:t xml:space="preserve">ir </w:t>
      </w:r>
      <w:r w:rsidR="00FD0B92" w:rsidRPr="000D0573">
        <w:rPr>
          <w:rFonts w:eastAsia="Times New Roman" w:cs="MinionPro-Regular"/>
        </w:rPr>
        <w:t>technologiją</w:t>
      </w:r>
      <w:r w:rsidRPr="000D0573">
        <w:rPr>
          <w:rFonts w:eastAsia="Times New Roman" w:cs="MinionPro-Regular"/>
        </w:rPr>
        <w:t>)</w:t>
      </w:r>
      <w:r w:rsidR="00FD0B92" w:rsidRPr="000D0573">
        <w:rPr>
          <w:rFonts w:eastAsia="Times New Roman" w:cs="MinionPro-Regular"/>
        </w:rPr>
        <w:t xml:space="preserve">, gamtos mokslų </w:t>
      </w:r>
      <w:r w:rsidRPr="000D0573">
        <w:rPr>
          <w:rFonts w:eastAsia="Times New Roman" w:cs="MinionPro-Regular"/>
        </w:rPr>
        <w:t>(</w:t>
      </w:r>
      <w:r w:rsidR="00FD0B92" w:rsidRPr="000D0573">
        <w:rPr>
          <w:rFonts w:eastAsia="Times New Roman" w:cs="MinionPro-Regular"/>
        </w:rPr>
        <w:t>įskaitant medicinos profesijas</w:t>
      </w:r>
      <w:r w:rsidRPr="000D0573">
        <w:rPr>
          <w:rFonts w:eastAsia="Times New Roman" w:cs="MinionPro-Regular"/>
        </w:rPr>
        <w:t>)</w:t>
      </w:r>
      <w:r w:rsidR="00FD0B92" w:rsidRPr="000D0573">
        <w:rPr>
          <w:rFonts w:eastAsia="Times New Roman" w:cs="MinionPro-Regular"/>
        </w:rPr>
        <w:t>, socialinių ir humanitarinių mokslų koncepcijų ir metodų tyrimu ir taikymu; įvairių techninių paslaugų, susijusių su prekyba, finansais, administravimu, socialiniu darbu, teikimas ir organizavimas; techninės pagalbos teikimas meno ir pramogų srityse.</w:t>
      </w:r>
      <w:r w:rsidR="00FD0B92" w:rsidRPr="000D0573">
        <w:rPr>
          <w:rFonts w:eastAsia="Times New Roman" w:cs="MinionPro-Regular"/>
          <w:vertAlign w:val="superscript"/>
        </w:rPr>
        <w:footnoteReference w:id="12"/>
      </w:r>
      <w:r w:rsidR="00FD0B92" w:rsidRPr="000D0573">
        <w:rPr>
          <w:rFonts w:eastAsia="Times New Roman" w:cs="Times New Roman"/>
          <w:b/>
        </w:rPr>
        <w:t xml:space="preserve"> </w:t>
      </w:r>
      <w:r w:rsidR="00FD0B92" w:rsidRPr="000D0573">
        <w:rPr>
          <w:rFonts w:eastAsia="Times New Roman" w:cs="Times New Roman"/>
        </w:rPr>
        <w:t xml:space="preserve">Šiai grupei priskiriamų profesijų </w:t>
      </w:r>
      <w:r w:rsidR="00FD0B92" w:rsidRPr="000D0573">
        <w:rPr>
          <w:rFonts w:eastAsia="Times New Roman" w:cs="Times New Roman"/>
          <w:szCs w:val="24"/>
        </w:rPr>
        <w:t xml:space="preserve">pavyzdžiai: </w:t>
      </w:r>
      <w:r w:rsidR="00FD0B92" w:rsidRPr="000D0573">
        <w:rPr>
          <w:rFonts w:eastAsia="Times New Roman" w:cs="MinionPro-Regular"/>
          <w:szCs w:val="24"/>
        </w:rPr>
        <w:t xml:space="preserve">braižytojas, prokuroro, advokato ar antstolio padėjėjas, kompiuterių technikas, laborantas, </w:t>
      </w:r>
      <w:r w:rsidRPr="000D0573">
        <w:rPr>
          <w:rFonts w:eastAsia="Times New Roman" w:cs="MinionPro-Regular"/>
          <w:szCs w:val="24"/>
        </w:rPr>
        <w:t>statistikas</w:t>
      </w:r>
      <w:r w:rsidR="00FD0B92" w:rsidRPr="000D0573">
        <w:rPr>
          <w:rFonts w:eastAsia="Times New Roman" w:cs="MinionPro-Regular"/>
          <w:szCs w:val="24"/>
        </w:rPr>
        <w:t xml:space="preserve">, </w:t>
      </w:r>
      <w:r w:rsidRPr="000D0573">
        <w:rPr>
          <w:rFonts w:eastAsia="Times New Roman" w:cs="MinionPro-Regular"/>
          <w:szCs w:val="24"/>
        </w:rPr>
        <w:t>matematikas</w:t>
      </w:r>
      <w:r w:rsidR="00FD0B92" w:rsidRPr="000D0573">
        <w:rPr>
          <w:rFonts w:eastAsia="Times New Roman" w:cs="MinionPro-Regular"/>
          <w:szCs w:val="24"/>
        </w:rPr>
        <w:t>, pardavimo</w:t>
      </w:r>
      <w:r w:rsidRPr="000D0573">
        <w:rPr>
          <w:rFonts w:eastAsia="Times New Roman" w:cs="MinionPro-Regular"/>
          <w:szCs w:val="24"/>
        </w:rPr>
        <w:t xml:space="preserve"> ar </w:t>
      </w:r>
      <w:r w:rsidR="00FD0B92" w:rsidRPr="000D0573">
        <w:rPr>
          <w:rFonts w:eastAsia="Times New Roman" w:cs="MinionPro-Regular"/>
          <w:szCs w:val="24"/>
        </w:rPr>
        <w:t xml:space="preserve">pirkimo </w:t>
      </w:r>
      <w:r w:rsidRPr="000D0573">
        <w:rPr>
          <w:rFonts w:eastAsia="Times New Roman" w:cs="MinionPro-Regular"/>
          <w:szCs w:val="24"/>
        </w:rPr>
        <w:t>specialistas</w:t>
      </w:r>
      <w:r w:rsidR="00FD0B92" w:rsidRPr="000D0573">
        <w:rPr>
          <w:rFonts w:eastAsia="Times New Roman" w:cs="MinionPro-Regular"/>
          <w:szCs w:val="24"/>
        </w:rPr>
        <w:t xml:space="preserve">, konferencijų ir renginių </w:t>
      </w:r>
      <w:r w:rsidRPr="000D0573">
        <w:rPr>
          <w:rFonts w:eastAsia="Times New Roman" w:cs="MinionPro-Regular"/>
          <w:szCs w:val="24"/>
        </w:rPr>
        <w:t>planuotojas</w:t>
      </w:r>
      <w:r w:rsidR="00FD0B92" w:rsidRPr="000D0573">
        <w:rPr>
          <w:rFonts w:eastAsia="Times New Roman" w:cs="MinionPro-Regular"/>
          <w:szCs w:val="24"/>
        </w:rPr>
        <w:t xml:space="preserve">, įdarbinimo </w:t>
      </w:r>
      <w:r w:rsidRPr="000D0573">
        <w:rPr>
          <w:rFonts w:eastAsia="Times New Roman" w:cs="MinionPro-Regular"/>
          <w:szCs w:val="24"/>
        </w:rPr>
        <w:t xml:space="preserve">agentas </w:t>
      </w:r>
      <w:r w:rsidR="00FD0B92" w:rsidRPr="000D0573">
        <w:rPr>
          <w:rFonts w:eastAsia="Times New Roman" w:cs="MinionPro-Regular"/>
          <w:szCs w:val="24"/>
        </w:rPr>
        <w:t xml:space="preserve">ir darbo sutarčių </w:t>
      </w:r>
      <w:r w:rsidRPr="000D0573">
        <w:rPr>
          <w:rFonts w:eastAsia="Times New Roman" w:cs="MinionPro-Regular"/>
          <w:szCs w:val="24"/>
        </w:rPr>
        <w:t>sudarytojas</w:t>
      </w:r>
      <w:r w:rsidR="00FD0B92" w:rsidRPr="000D0573">
        <w:rPr>
          <w:rFonts w:eastAsia="Times New Roman" w:cs="MinionPro-Regular"/>
          <w:szCs w:val="24"/>
        </w:rPr>
        <w:t xml:space="preserve">, raštinės </w:t>
      </w:r>
      <w:r w:rsidRPr="000D0573">
        <w:rPr>
          <w:rFonts w:eastAsia="Times New Roman" w:cs="MinionPro-Regular"/>
          <w:szCs w:val="24"/>
        </w:rPr>
        <w:t xml:space="preserve">darbuotojas </w:t>
      </w:r>
      <w:r w:rsidR="00FD0B92" w:rsidRPr="000D0573">
        <w:rPr>
          <w:rFonts w:eastAsia="Times New Roman" w:cs="MinionPro-Regular"/>
          <w:szCs w:val="24"/>
        </w:rPr>
        <w:t>ir pan.</w:t>
      </w:r>
      <w:r w:rsidR="00FD0B92" w:rsidRPr="000D0573">
        <w:rPr>
          <w:rFonts w:eastAsia="Times New Roman" w:cs="MinionPro-Regular"/>
          <w:szCs w:val="24"/>
          <w:vertAlign w:val="superscript"/>
        </w:rPr>
        <w:footnoteReference w:id="13"/>
      </w:r>
      <w:r w:rsidR="00FD0B92" w:rsidRPr="000D0573">
        <w:rPr>
          <w:rFonts w:eastAsia="Times New Roman" w:cs="MinionPro-Regular"/>
          <w:szCs w:val="24"/>
        </w:rPr>
        <w:t xml:space="preserve"> </w:t>
      </w:r>
      <w:r w:rsidR="00FD0B92" w:rsidRPr="000D0573">
        <w:rPr>
          <w:rFonts w:eastAsia="Times New Roman" w:cs="MinionPro-Regular"/>
        </w:rPr>
        <w:t xml:space="preserve">Dirbant projekte, </w:t>
      </w:r>
      <w:r w:rsidRPr="000D0573">
        <w:rPr>
          <w:rFonts w:eastAsia="Times New Roman" w:cs="MinionPro-Regular"/>
        </w:rPr>
        <w:t>kurį įgyvendinant yra</w:t>
      </w:r>
      <w:r w:rsidR="00FD0B92" w:rsidRPr="000D0573">
        <w:rPr>
          <w:rFonts w:eastAsia="Times New Roman" w:cs="MinionPro-Regular"/>
        </w:rPr>
        <w:t xml:space="preserve"> kuriami intelektiniai produktai, reikalingi pagalbiniai darbuotojai, </w:t>
      </w:r>
      <w:r w:rsidRPr="000D0573">
        <w:rPr>
          <w:rFonts w:eastAsia="Times New Roman" w:cs="MinionPro-Regular"/>
        </w:rPr>
        <w:t>padedantys</w:t>
      </w:r>
      <w:r w:rsidR="00FD0B92" w:rsidRPr="000D0573">
        <w:rPr>
          <w:rFonts w:eastAsia="Times New Roman" w:cs="MinionPro-Regular"/>
        </w:rPr>
        <w:t xml:space="preserve"> ekspertams, renka</w:t>
      </w:r>
      <w:r w:rsidRPr="000D0573">
        <w:rPr>
          <w:rFonts w:eastAsia="Times New Roman" w:cs="MinionPro-Regular"/>
        </w:rPr>
        <w:t>ntys</w:t>
      </w:r>
      <w:r w:rsidR="00FD0B92" w:rsidRPr="000D0573">
        <w:rPr>
          <w:rFonts w:eastAsia="Times New Roman" w:cs="MinionPro-Regular"/>
        </w:rPr>
        <w:t xml:space="preserve"> </w:t>
      </w:r>
      <w:r w:rsidRPr="000D0573">
        <w:rPr>
          <w:rFonts w:eastAsia="Times New Roman" w:cs="MinionPro-Regular"/>
        </w:rPr>
        <w:t>informaciją</w:t>
      </w:r>
      <w:r w:rsidR="00FD0B92" w:rsidRPr="000D0573">
        <w:rPr>
          <w:rFonts w:eastAsia="Times New Roman" w:cs="MinionPro-Regular"/>
        </w:rPr>
        <w:t xml:space="preserve">, </w:t>
      </w:r>
      <w:r w:rsidRPr="000D0573">
        <w:rPr>
          <w:rFonts w:eastAsia="Times New Roman" w:cs="MinionPro-Regular"/>
        </w:rPr>
        <w:t xml:space="preserve">rengiantys </w:t>
      </w:r>
      <w:r w:rsidR="00FD0B92" w:rsidRPr="000D0573">
        <w:rPr>
          <w:rFonts w:eastAsia="Times New Roman" w:cs="MinionPro-Regular"/>
        </w:rPr>
        <w:t>duomenis, organizuoja</w:t>
      </w:r>
      <w:r w:rsidRPr="000D0573">
        <w:rPr>
          <w:rFonts w:eastAsia="Times New Roman" w:cs="MinionPro-Regular"/>
        </w:rPr>
        <w:t>ntys</w:t>
      </w:r>
      <w:r w:rsidR="00FD0B92" w:rsidRPr="000D0573">
        <w:rPr>
          <w:rFonts w:eastAsia="Times New Roman" w:cs="MinionPro-Regular"/>
        </w:rPr>
        <w:t xml:space="preserve"> ekspertų susitikimus ir kitaip prisideda</w:t>
      </w:r>
      <w:r w:rsidRPr="000D0573">
        <w:rPr>
          <w:rFonts w:eastAsia="Times New Roman" w:cs="MinionPro-Regular"/>
        </w:rPr>
        <w:t>ntys</w:t>
      </w:r>
      <w:r w:rsidR="00FD0B92" w:rsidRPr="000D0573">
        <w:rPr>
          <w:rFonts w:eastAsia="Times New Roman" w:cs="MinionPro-Regular"/>
        </w:rPr>
        <w:t xml:space="preserve"> prie sklandaus intelektinių užduočių atlikimo. </w:t>
      </w:r>
    </w:p>
    <w:p w:rsidR="00FD0B92" w:rsidRPr="000D0573" w:rsidRDefault="00FD0B92" w:rsidP="00FD0B92">
      <w:pPr>
        <w:tabs>
          <w:tab w:val="left" w:pos="9600"/>
        </w:tabs>
        <w:spacing w:before="240" w:after="240"/>
        <w:ind w:right="74"/>
        <w:jc w:val="both"/>
        <w:rPr>
          <w:rFonts w:eastAsia="Times New Roman" w:cs="Times New Roman"/>
          <w:szCs w:val="24"/>
        </w:rPr>
      </w:pPr>
      <w:r w:rsidRPr="000D0573">
        <w:rPr>
          <w:rFonts w:eastAsia="Times New Roman" w:cs="Times New Roman"/>
        </w:rPr>
        <w:t xml:space="preserve">Likusių dviejų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i/>
        </w:rPr>
        <w:t xml:space="preserve"> </w:t>
      </w:r>
      <w:r w:rsidRPr="000D0573">
        <w:rPr>
          <w:rFonts w:eastAsia="Times New Roman" w:cs="Times New Roman"/>
        </w:rPr>
        <w:t xml:space="preserve">personalo kategorijų – dėstytojų, ekspertų, tyrėjų ir </w:t>
      </w:r>
      <w:r w:rsidR="009B348D" w:rsidRPr="000D0573">
        <w:rPr>
          <w:rFonts w:eastAsia="Times New Roman" w:cs="Times New Roman"/>
        </w:rPr>
        <w:t>a</w:t>
      </w:r>
      <w:r w:rsidR="009B348D" w:rsidRPr="000D0573">
        <w:rPr>
          <w:rFonts w:eastAsia="Times New Roman" w:cs="Times New Roman"/>
          <w:szCs w:val="24"/>
        </w:rPr>
        <w:t xml:space="preserve">dministracijos </w:t>
      </w:r>
      <w:r w:rsidRPr="000D0573">
        <w:rPr>
          <w:rFonts w:eastAsia="Times New Roman" w:cs="Times New Roman"/>
          <w:szCs w:val="24"/>
        </w:rPr>
        <w:t xml:space="preserve">personalo – funkcijų apibūdinimai, pateikti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i/>
          <w:szCs w:val="24"/>
        </w:rPr>
        <w:t xml:space="preserve"> </w:t>
      </w:r>
      <w:r w:rsidRPr="000D0573">
        <w:rPr>
          <w:rFonts w:eastAsia="Times New Roman" w:cs="Times New Roman"/>
          <w:szCs w:val="24"/>
        </w:rPr>
        <w:t xml:space="preserve">programos vadove, atitinka profesijų klasifikatoriaus svarbiausių funkcijų aprašymus, todėl </w:t>
      </w:r>
      <w:r w:rsidR="00DA2BFD" w:rsidRPr="000D0573">
        <w:rPr>
          <w:rFonts w:eastAsia="Times New Roman" w:cs="Times New Roman"/>
          <w:szCs w:val="24"/>
        </w:rPr>
        <w:t>papildomų komentarų nepateikiama</w:t>
      </w:r>
      <w:r w:rsidRPr="000D0573">
        <w:rPr>
          <w:rFonts w:eastAsia="Times New Roman" w:cs="Times New Roman"/>
          <w:szCs w:val="24"/>
        </w:rPr>
        <w:t>.</w:t>
      </w:r>
    </w:p>
    <w:p w:rsidR="00FD0B92" w:rsidRPr="000D0573" w:rsidRDefault="00FD0B92" w:rsidP="00FD0B92">
      <w:pPr>
        <w:tabs>
          <w:tab w:val="left" w:pos="9600"/>
        </w:tabs>
        <w:spacing w:before="240" w:after="240"/>
        <w:ind w:right="74"/>
        <w:jc w:val="both"/>
        <w:rPr>
          <w:rFonts w:eastAsia="Times New Roman" w:cs="Times New Roman"/>
          <w:i/>
        </w:rPr>
      </w:pPr>
      <w:r w:rsidRPr="000D0573">
        <w:rPr>
          <w:rFonts w:eastAsia="Times New Roman" w:cs="Times New Roman"/>
          <w:i/>
        </w:rPr>
        <w:t xml:space="preserve">Aukštųjų mokyklų personalo priskyrimas </w:t>
      </w:r>
      <w:r w:rsidR="009E22F7" w:rsidRPr="000D0573">
        <w:rPr>
          <w:rFonts w:eastAsia="Times New Roman" w:cs="Times New Roman"/>
          <w:i/>
        </w:rPr>
        <w:t>„</w:t>
      </w:r>
      <w:proofErr w:type="spellStart"/>
      <w:r w:rsidRPr="000D0573">
        <w:rPr>
          <w:rFonts w:eastAsia="Times New Roman" w:cs="Times New Roman"/>
          <w:i/>
        </w:rPr>
        <w:t>Erasmus</w:t>
      </w:r>
      <w:proofErr w:type="spellEnd"/>
      <w:r w:rsidRPr="000D0573">
        <w:rPr>
          <w:rFonts w:eastAsia="Times New Roman" w:cs="Times New Roman"/>
          <w:i/>
        </w:rPr>
        <w:t xml:space="preserve"> plius</w:t>
      </w:r>
      <w:r w:rsidR="009E22F7" w:rsidRPr="000D0573">
        <w:rPr>
          <w:rFonts w:eastAsia="Times New Roman" w:cs="Times New Roman"/>
          <w:i/>
        </w:rPr>
        <w:t>“</w:t>
      </w:r>
      <w:r w:rsidRPr="000D0573">
        <w:rPr>
          <w:rFonts w:eastAsia="Times New Roman" w:cs="Times New Roman"/>
          <w:i/>
        </w:rPr>
        <w:t xml:space="preserve"> siūlomoms kategorijoms</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Prieš lyginant įkainius</w:t>
      </w:r>
      <w:r w:rsidR="009B348D" w:rsidRPr="000D0573">
        <w:rPr>
          <w:rFonts w:eastAsia="Times New Roman" w:cs="Times New Roman"/>
        </w:rPr>
        <w:t>,</w:t>
      </w:r>
      <w:r w:rsidRPr="000D0573">
        <w:rPr>
          <w:rFonts w:eastAsia="Times New Roman" w:cs="Times New Roman"/>
        </w:rPr>
        <w:t xml:space="preserve"> svarbu </w:t>
      </w:r>
      <w:r w:rsidR="009B348D" w:rsidRPr="000D0573">
        <w:rPr>
          <w:rFonts w:eastAsia="Times New Roman" w:cs="Times New Roman"/>
        </w:rPr>
        <w:t>nustatyti</w:t>
      </w:r>
      <w:r w:rsidRPr="000D0573">
        <w:rPr>
          <w:rFonts w:eastAsia="Times New Roman" w:cs="Times New Roman"/>
        </w:rPr>
        <w:t xml:space="preserve">, </w:t>
      </w:r>
      <w:r w:rsidR="009B348D" w:rsidRPr="000D0573">
        <w:rPr>
          <w:rFonts w:eastAsia="Times New Roman" w:cs="Times New Roman"/>
        </w:rPr>
        <w:t xml:space="preserve">kurios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i/>
        </w:rPr>
        <w:t xml:space="preserve"> </w:t>
      </w:r>
      <w:r w:rsidRPr="000D0573">
        <w:rPr>
          <w:rFonts w:eastAsia="Times New Roman" w:cs="Times New Roman"/>
        </w:rPr>
        <w:t>darbuotojų</w:t>
      </w:r>
      <w:r w:rsidRPr="000D0573">
        <w:rPr>
          <w:rFonts w:eastAsia="Times New Roman" w:cs="Times New Roman"/>
          <w:i/>
        </w:rPr>
        <w:t xml:space="preserve"> </w:t>
      </w:r>
      <w:r w:rsidRPr="000D0573">
        <w:rPr>
          <w:rFonts w:eastAsia="Times New Roman" w:cs="Times New Roman"/>
        </w:rPr>
        <w:t xml:space="preserve">kategorijos </w:t>
      </w:r>
      <w:r w:rsidR="009B348D" w:rsidRPr="000D0573">
        <w:rPr>
          <w:rFonts w:eastAsia="Times New Roman" w:cs="Times New Roman"/>
        </w:rPr>
        <w:t xml:space="preserve">atitinka </w:t>
      </w:r>
      <w:r w:rsidRPr="000D0573">
        <w:rPr>
          <w:rFonts w:eastAsia="Times New Roman" w:cs="Times New Roman"/>
        </w:rPr>
        <w:t xml:space="preserve">aukštųjų mokyklų personalo pareigybes. Atsižvelgiant į </w:t>
      </w:r>
      <w:r w:rsidR="009B348D" w:rsidRPr="000D0573">
        <w:rPr>
          <w:rFonts w:eastAsia="Times New Roman" w:cs="Times New Roman"/>
        </w:rPr>
        <w:t xml:space="preserve">LR švietimo ir mokslo ministerijos </w:t>
      </w:r>
      <w:r w:rsidR="00AD1BF7" w:rsidRPr="000D0573">
        <w:rPr>
          <w:rFonts w:eastAsia="Times New Roman" w:cs="Times New Roman"/>
        </w:rPr>
        <w:t xml:space="preserve">aukštajam mokslui plėtoti skirtų </w:t>
      </w:r>
      <w:r w:rsidRPr="000D0573">
        <w:rPr>
          <w:rFonts w:eastAsia="Times New Roman" w:cs="Times New Roman"/>
        </w:rPr>
        <w:t>priemonių specifiškumą</w:t>
      </w:r>
      <w:r w:rsidR="00F73AB5" w:rsidRPr="000D0573">
        <w:rPr>
          <w:rFonts w:eastAsia="Times New Roman" w:cs="Times New Roman"/>
        </w:rPr>
        <w:t xml:space="preserve"> – </w:t>
      </w:r>
      <w:r w:rsidR="00F73AB5" w:rsidRPr="000D0573">
        <w:rPr>
          <w:rFonts w:eastAsia="Times New Roman" w:cs="Arial"/>
          <w:color w:val="222222"/>
          <w:szCs w:val="24"/>
          <w:shd w:val="clear" w:color="auto" w:fill="FFFFFF"/>
        </w:rPr>
        <w:t xml:space="preserve">diegti </w:t>
      </w:r>
      <w:proofErr w:type="spellStart"/>
      <w:r w:rsidR="00F73AB5" w:rsidRPr="000D0573">
        <w:rPr>
          <w:rFonts w:eastAsia="Times New Roman" w:cs="Arial"/>
          <w:color w:val="222222"/>
          <w:szCs w:val="24"/>
          <w:shd w:val="clear" w:color="auto" w:fill="FFFFFF"/>
        </w:rPr>
        <w:t>inovatyvius</w:t>
      </w:r>
      <w:proofErr w:type="spellEnd"/>
      <w:r w:rsidR="00F73AB5" w:rsidRPr="000D0573">
        <w:rPr>
          <w:rFonts w:eastAsia="Times New Roman" w:cs="Arial"/>
          <w:color w:val="222222"/>
          <w:szCs w:val="24"/>
          <w:shd w:val="clear" w:color="auto" w:fill="FFFFFF"/>
        </w:rPr>
        <w:t xml:space="preserve"> mokymo metodus, rengti studijų aprašus, atnaujinanti</w:t>
      </w:r>
      <w:r w:rsidR="00F73AB5" w:rsidRPr="000D0573">
        <w:rPr>
          <w:rFonts w:eastAsia="Times New Roman" w:cs="Times New Roman"/>
        </w:rPr>
        <w:t xml:space="preserve"> programas</w:t>
      </w:r>
      <w:r w:rsidR="009B348D" w:rsidRPr="000D0573">
        <w:rPr>
          <w:rFonts w:eastAsia="Times New Roman" w:cs="Times New Roman"/>
        </w:rPr>
        <w:t>,</w:t>
      </w:r>
      <w:r w:rsidR="00F73AB5" w:rsidRPr="000D0573">
        <w:rPr>
          <w:rFonts w:eastAsia="Times New Roman" w:cs="Times New Roman"/>
        </w:rPr>
        <w:t xml:space="preserve"> –</w:t>
      </w:r>
      <w:r w:rsidR="009B348D" w:rsidRPr="000D0573">
        <w:rPr>
          <w:rFonts w:eastAsia="Times New Roman" w:cs="Times New Roman"/>
        </w:rPr>
        <w:t xml:space="preserve"> </w:t>
      </w:r>
      <w:r w:rsidR="00F73AB5" w:rsidRPr="000D0573">
        <w:rPr>
          <w:rFonts w:eastAsia="Times New Roman" w:cs="Times New Roman"/>
        </w:rPr>
        <w:t xml:space="preserve">pakankamai kompetencijų </w:t>
      </w:r>
      <w:r w:rsidR="009B348D" w:rsidRPr="000D0573">
        <w:rPr>
          <w:rFonts w:eastAsia="Times New Roman" w:cs="Times New Roman"/>
        </w:rPr>
        <w:t xml:space="preserve">veikloms vykdyti </w:t>
      </w:r>
      <w:r w:rsidR="00F73AB5" w:rsidRPr="000D0573">
        <w:rPr>
          <w:rFonts w:eastAsia="Times New Roman" w:cs="Times New Roman"/>
        </w:rPr>
        <w:t xml:space="preserve">turi </w:t>
      </w:r>
      <w:r w:rsidRPr="000D0573">
        <w:rPr>
          <w:rFonts w:eastAsia="Times New Roman" w:cs="Times New Roman"/>
        </w:rPr>
        <w:t>tik dėstantis (profesorius, docentas, lektorius, asistentas) ir akademinis (vyr</w:t>
      </w:r>
      <w:r w:rsidR="009B348D" w:rsidRPr="000D0573">
        <w:rPr>
          <w:rFonts w:eastAsia="Times New Roman" w:cs="Times New Roman"/>
        </w:rPr>
        <w:t>iausiasis</w:t>
      </w:r>
      <w:r w:rsidRPr="000D0573">
        <w:rPr>
          <w:rFonts w:eastAsia="Times New Roman" w:cs="Times New Roman"/>
        </w:rPr>
        <w:t xml:space="preserve"> mokslo darbuotojas, vyresnysis mokslo darbuotojas, mokslo darbuotojas, jaunesnysis mokslo </w:t>
      </w:r>
      <w:r w:rsidRPr="000D0573">
        <w:rPr>
          <w:rFonts w:eastAsia="Times New Roman" w:cs="Times New Roman"/>
        </w:rPr>
        <w:lastRenderedPageBreak/>
        <w:t>darbuotojas) personalas.</w:t>
      </w:r>
      <w:r w:rsidRPr="000D0573">
        <w:rPr>
          <w:rFonts w:eastAsia="Times New Roman" w:cs="Arial"/>
          <w:color w:val="222222"/>
          <w:szCs w:val="24"/>
          <w:shd w:val="clear" w:color="auto" w:fill="FFFFFF"/>
        </w:rPr>
        <w:t xml:space="preserve"> </w:t>
      </w:r>
      <w:r w:rsidRPr="000D0573">
        <w:rPr>
          <w:rFonts w:eastAsia="Times New Roman" w:cs="Times New Roman"/>
        </w:rPr>
        <w:t xml:space="preserve">Todėl darbo užmokesčio analizė atliekama tik minėtoms personalo pareigybėms.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Remiantis aukštųjų mokyklų kvalifikaciniais reikalavimais</w:t>
      </w:r>
      <w:r w:rsidR="00CD3721" w:rsidRPr="000D0573">
        <w:rPr>
          <w:rStyle w:val="Puslapioinaosnuoroda"/>
          <w:rFonts w:eastAsia="Times New Roman" w:cs="Times New Roman"/>
        </w:rPr>
        <w:footnoteReference w:id="14"/>
      </w:r>
      <w:r w:rsidRPr="000D0573">
        <w:rPr>
          <w:rFonts w:eastAsia="Times New Roman" w:cs="Times New Roman"/>
        </w:rPr>
        <w:t xml:space="preserve">, </w:t>
      </w:r>
      <w:r w:rsidR="009B348D" w:rsidRPr="000D0573">
        <w:rPr>
          <w:rFonts w:eastAsia="Times New Roman" w:cs="Times New Roman"/>
        </w:rPr>
        <w:t xml:space="preserve">daugiausia </w:t>
      </w:r>
      <w:r w:rsidRPr="000D0573">
        <w:rPr>
          <w:rFonts w:eastAsia="Times New Roman" w:cs="Times New Roman"/>
        </w:rPr>
        <w:t>vadovavimo patirties turi profesoriai ir docentai – šias pareigas einantys akademikai privalo vadovauti mokslo projektams, studentų moksliniams darbams, tarp reikalavimų jiems privalu įvykdyti ir po kelis organizacinio darbo atvejus per metus. Todėl profesoriai ir docentai bei atitinkamai vyriausieji ir vyresnieji mokslo darbuotojai būtų kvalifikuoti užimti komandos</w:t>
      </w:r>
      <w:r w:rsidR="007F5FBF" w:rsidRPr="000D0573">
        <w:rPr>
          <w:rFonts w:eastAsia="Times New Roman" w:cs="Times New Roman"/>
        </w:rPr>
        <w:t>-</w:t>
      </w:r>
      <w:r w:rsidRPr="000D0573">
        <w:rPr>
          <w:rFonts w:eastAsia="Times New Roman" w:cs="Times New Roman"/>
        </w:rPr>
        <w:t xml:space="preserve">veiklos vadovo pareigas. Siekiant palyginti </w:t>
      </w:r>
      <w:r w:rsidR="009E22F7" w:rsidRPr="000D0573">
        <w:rPr>
          <w:rFonts w:eastAsia="Times New Roman" w:cs="Times New Roman"/>
        </w:rPr>
        <w:t>„</w:t>
      </w:r>
      <w:proofErr w:type="spellStart"/>
      <w:r w:rsidRPr="008744DE">
        <w:rPr>
          <w:rFonts w:eastAsia="Times New Roman" w:cs="Times New Roman"/>
        </w:rPr>
        <w:t>Erasmus</w:t>
      </w:r>
      <w:proofErr w:type="spellEnd"/>
      <w:r w:rsidR="009B348D" w:rsidRPr="008744DE">
        <w:rPr>
          <w:rFonts w:eastAsia="Times New Roman" w:cs="Times New Roman"/>
        </w:rPr>
        <w:t xml:space="preserve"> plius</w:t>
      </w:r>
      <w:r w:rsidR="009E22F7" w:rsidRPr="000D0573">
        <w:rPr>
          <w:rFonts w:eastAsia="Times New Roman" w:cs="Times New Roman"/>
        </w:rPr>
        <w:t>“</w:t>
      </w:r>
      <w:r w:rsidRPr="000D0573">
        <w:rPr>
          <w:rFonts w:eastAsia="Times New Roman" w:cs="Times New Roman"/>
          <w:i/>
        </w:rPr>
        <w:t xml:space="preserve"> </w:t>
      </w:r>
      <w:r w:rsidRPr="008744DE">
        <w:rPr>
          <w:rFonts w:eastAsia="Times New Roman" w:cs="Times New Roman"/>
        </w:rPr>
        <w:t>įkainį</w:t>
      </w:r>
      <w:r w:rsidRPr="000D0573">
        <w:rPr>
          <w:rFonts w:eastAsia="Times New Roman" w:cs="Times New Roman"/>
          <w:i/>
        </w:rPr>
        <w:t xml:space="preserve"> </w:t>
      </w:r>
      <w:r w:rsidRPr="000D0573">
        <w:rPr>
          <w:rFonts w:eastAsia="Times New Roman" w:cs="Times New Roman"/>
        </w:rPr>
        <w:t>su aukštųjų mokyklų pareigybių darbo užmokesčiu, išvedamas vidurkis iš profesoriaus ir docento įkainių.</w:t>
      </w:r>
    </w:p>
    <w:p w:rsidR="00FD0B92" w:rsidRPr="000D0573" w:rsidRDefault="00FD0B92" w:rsidP="00FD0B92">
      <w:pPr>
        <w:tabs>
          <w:tab w:val="left" w:pos="9600"/>
        </w:tabs>
        <w:spacing w:before="240" w:after="240"/>
        <w:ind w:right="74"/>
        <w:jc w:val="both"/>
        <w:rPr>
          <w:rFonts w:eastAsia="Times New Roman" w:cs="Times New Roman"/>
          <w:b/>
        </w:rPr>
      </w:pPr>
      <w:r w:rsidRPr="000D0573">
        <w:rPr>
          <w:rFonts w:eastAsia="Times New Roman" w:cs="Times New Roman"/>
        </w:rPr>
        <w:t xml:space="preserve">Remiantis pareigybėms keliamais ekspertinės, mokslinės veiklos reikalavimais, dėstytojo, </w:t>
      </w:r>
      <w:r w:rsidR="008E18DA" w:rsidRPr="000D0573">
        <w:rPr>
          <w:rFonts w:eastAsia="Times New Roman" w:cs="Times New Roman"/>
        </w:rPr>
        <w:t>tyrėjo</w:t>
      </w:r>
      <w:r w:rsidRPr="000D0573">
        <w:rPr>
          <w:rFonts w:eastAsia="Times New Roman" w:cs="Times New Roman"/>
        </w:rPr>
        <w:t xml:space="preserve">, eksperto pareigas projekte galėtų </w:t>
      </w:r>
      <w:r w:rsidR="002862CD" w:rsidRPr="000D0573">
        <w:rPr>
          <w:rFonts w:eastAsia="Times New Roman" w:cs="Times New Roman"/>
        </w:rPr>
        <w:t xml:space="preserve">eiti </w:t>
      </w:r>
      <w:r w:rsidRPr="000D0573">
        <w:rPr>
          <w:rFonts w:eastAsia="Times New Roman" w:cs="Times New Roman"/>
        </w:rPr>
        <w:t xml:space="preserve">docentai ir lektoriai bei atitinkamai vyresnieji mokslo darbuotojai ir mokslo darbuotojai. </w:t>
      </w:r>
    </w:p>
    <w:p w:rsidR="00FD0B92" w:rsidRPr="000D0573" w:rsidRDefault="009B348D" w:rsidP="00FD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eastAsia="Times New Roman" w:cs="Times New Roman"/>
        </w:rPr>
      </w:pPr>
      <w:r w:rsidRPr="000D0573">
        <w:rPr>
          <w:rFonts w:eastAsia="Times New Roman" w:cs="Times New Roman"/>
        </w:rPr>
        <w:t xml:space="preserve">Tikėtina, kad kuriant </w:t>
      </w:r>
      <w:r w:rsidR="00C966FE" w:rsidRPr="000D0573">
        <w:rPr>
          <w:rFonts w:eastAsia="Times New Roman" w:cs="Times New Roman"/>
        </w:rPr>
        <w:t>intelektinius produktus</w:t>
      </w:r>
      <w:r w:rsidRPr="000D0573">
        <w:rPr>
          <w:rFonts w:eastAsia="Times New Roman" w:cs="Times New Roman"/>
        </w:rPr>
        <w:t xml:space="preserve"> bus</w:t>
      </w:r>
      <w:r w:rsidR="00FD0B92" w:rsidRPr="000D0573">
        <w:rPr>
          <w:rFonts w:eastAsia="Times New Roman" w:cs="Times New Roman"/>
        </w:rPr>
        <w:t xml:space="preserve"> didelis pagalbinio darbo poreikis – rinkti ir </w:t>
      </w:r>
      <w:r w:rsidRPr="000D0573">
        <w:rPr>
          <w:rFonts w:eastAsia="Times New Roman" w:cs="Times New Roman"/>
        </w:rPr>
        <w:t xml:space="preserve">parengti </w:t>
      </w:r>
      <w:r w:rsidR="00FD0B92" w:rsidRPr="000D0573">
        <w:rPr>
          <w:rFonts w:eastAsia="Times New Roman" w:cs="Times New Roman"/>
        </w:rPr>
        <w:t xml:space="preserve">duomenis. Gali būti reikalingas atskiras žmogus, kurio darbas </w:t>
      </w:r>
      <w:r w:rsidRPr="000D0573">
        <w:rPr>
          <w:rFonts w:eastAsia="Times New Roman" w:cs="Times New Roman"/>
        </w:rPr>
        <w:t xml:space="preserve">nebūtų </w:t>
      </w:r>
      <w:r w:rsidR="00FD0B92" w:rsidRPr="000D0573">
        <w:rPr>
          <w:rFonts w:eastAsia="Times New Roman" w:cs="Times New Roman"/>
        </w:rPr>
        <w:t xml:space="preserve">siejamas su </w:t>
      </w:r>
      <w:r w:rsidRPr="000D0573">
        <w:rPr>
          <w:rFonts w:eastAsia="Times New Roman" w:cs="Times New Roman"/>
        </w:rPr>
        <w:t xml:space="preserve">kasdienėmis </w:t>
      </w:r>
      <w:r w:rsidR="00FD0B92" w:rsidRPr="000D0573">
        <w:rPr>
          <w:rFonts w:eastAsia="Times New Roman" w:cs="Times New Roman"/>
        </w:rPr>
        <w:t xml:space="preserve">administravimo veiklomis, o </w:t>
      </w:r>
      <w:r w:rsidRPr="000D0573">
        <w:rPr>
          <w:rFonts w:eastAsia="Times New Roman" w:cs="Times New Roman"/>
        </w:rPr>
        <w:t>vien tik su</w:t>
      </w:r>
      <w:r w:rsidR="00FD0B92" w:rsidRPr="000D0573">
        <w:rPr>
          <w:rFonts w:eastAsia="Times New Roman" w:cs="Times New Roman"/>
        </w:rPr>
        <w:t xml:space="preserve"> projekto veiklų koordinavimu. Techninių darbuotojų funkcijas siūlytina interpretuoti plačiau</w:t>
      </w:r>
      <w:r w:rsidR="00FD0B92" w:rsidRPr="000D0573">
        <w:rPr>
          <w:rFonts w:eastAsia="Times New Roman" w:cs="Times New Roman"/>
          <w:b/>
        </w:rPr>
        <w:t xml:space="preserve"> </w:t>
      </w:r>
      <w:r w:rsidRPr="000D0573">
        <w:rPr>
          <w:rFonts w:eastAsia="Times New Roman" w:cs="Times New Roman"/>
        </w:rPr>
        <w:t xml:space="preserve">negu </w:t>
      </w:r>
      <w:r w:rsidR="00FD0B92" w:rsidRPr="000D0573">
        <w:rPr>
          <w:rFonts w:eastAsia="Times New Roman" w:cs="Times New Roman"/>
        </w:rPr>
        <w:t>siūlo</w:t>
      </w:r>
      <w:r w:rsidRPr="000D0573">
        <w:rPr>
          <w:rFonts w:eastAsia="Times New Roman" w:cs="Times New Roman"/>
        </w:rPr>
        <w:t>ma</w:t>
      </w:r>
      <w:r w:rsidR="00FD0B92" w:rsidRPr="000D0573">
        <w:rPr>
          <w:rFonts w:eastAsia="Times New Roman" w:cs="Times New Roman"/>
        </w:rPr>
        <w:t xml:space="preserve">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 </w:t>
      </w:r>
      <w:r w:rsidR="00FD0B92" w:rsidRPr="000D0573">
        <w:rPr>
          <w:rFonts w:eastAsia="Times New Roman" w:cs="Times New Roman"/>
        </w:rPr>
        <w:t xml:space="preserve">programos </w:t>
      </w:r>
      <w:r w:rsidRPr="000D0573">
        <w:rPr>
          <w:rFonts w:eastAsia="Times New Roman" w:cs="Times New Roman"/>
        </w:rPr>
        <w:t>vadove</w:t>
      </w:r>
      <w:r w:rsidR="00FD0B92" w:rsidRPr="000D0573">
        <w:rPr>
          <w:rFonts w:eastAsia="Times New Roman" w:cs="Times New Roman"/>
        </w:rPr>
        <w:t xml:space="preserve">. Prie techninių darbų priskirtini visi su veiklų vykdymu susiję darbai, kuriems nereikia specifinės patirties ar žinių ir kurie gali būti atlikti aukščiausio akademinio laipsnio neturinčių darbuotojų, pavyzdžiui, duomenų rinkimas ir </w:t>
      </w:r>
      <w:r w:rsidRPr="000D0573">
        <w:rPr>
          <w:rFonts w:eastAsia="Times New Roman" w:cs="Times New Roman"/>
        </w:rPr>
        <w:t>parengimas</w:t>
      </w:r>
      <w:r w:rsidR="00FD0B92" w:rsidRPr="000D0573">
        <w:rPr>
          <w:rFonts w:eastAsia="Times New Roman" w:cs="Times New Roman"/>
        </w:rPr>
        <w:t xml:space="preserve">. Minėtas funkcijas galėtų atlikti asistentai ir jaunesnieji mokslo darbuotojai, kiti aukštųjų mokyklų darbuotojai.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00FD0B92" w:rsidRPr="000D0573">
        <w:rPr>
          <w:rFonts w:eastAsia="Times New Roman" w:cs="Times New Roman"/>
          <w:i/>
        </w:rPr>
        <w:t xml:space="preserve"> </w:t>
      </w:r>
      <w:r w:rsidR="00FD0B92" w:rsidRPr="000D0573">
        <w:rPr>
          <w:rFonts w:eastAsia="Times New Roman" w:cs="Times New Roman"/>
        </w:rPr>
        <w:t>techninio darbuotojo įkainis lyginamas su asistento įkainiu.</w:t>
      </w:r>
    </w:p>
    <w:p w:rsidR="00FD0B92" w:rsidRPr="000D0573" w:rsidRDefault="009B348D" w:rsidP="00FD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eastAsia="Times New Roman" w:cs="Times New Roman"/>
        </w:rPr>
      </w:pPr>
      <w:r w:rsidRPr="000D0573">
        <w:rPr>
          <w:rFonts w:eastAsia="Times New Roman" w:cs="Times New Roman"/>
        </w:rPr>
        <w:t>Pažymėtina</w:t>
      </w:r>
      <w:r w:rsidR="00FD0B92" w:rsidRPr="000D0573">
        <w:rPr>
          <w:rFonts w:eastAsia="Times New Roman" w:cs="Times New Roman"/>
        </w:rPr>
        <w:t>, kad</w:t>
      </w:r>
      <w:r w:rsidRPr="000D0573">
        <w:rPr>
          <w:rFonts w:eastAsia="Times New Roman" w:cs="Times New Roman"/>
        </w:rPr>
        <w:t>,</w:t>
      </w:r>
      <w:r w:rsidR="00FD0B92" w:rsidRPr="000D0573">
        <w:rPr>
          <w:rFonts w:eastAsia="Times New Roman" w:cs="Times New Roman"/>
        </w:rPr>
        <w:t xml:space="preserve"> atsižvelgiant į Lietuvoje vykdomų projektų administravimo praktiką, </w:t>
      </w:r>
      <w:r w:rsidR="00FD0B92" w:rsidRPr="000D0573">
        <w:rPr>
          <w:rFonts w:eastAsia="Times New Roman" w:cs="Times New Roman"/>
          <w:b/>
        </w:rPr>
        <w:t xml:space="preserve">finansines ir administravimo </w:t>
      </w:r>
      <w:r w:rsidR="00FD0B92" w:rsidRPr="000D0573">
        <w:rPr>
          <w:rFonts w:eastAsia="Times New Roman" w:cs="Times New Roman"/>
        </w:rPr>
        <w:t>veiklas atliekančių darbuotojų atlyginimo išlaidos</w:t>
      </w:r>
      <w:r w:rsidR="00FD0B92" w:rsidRPr="000D0573">
        <w:rPr>
          <w:rFonts w:eastAsia="Times New Roman" w:cs="Times New Roman"/>
          <w:b/>
        </w:rPr>
        <w:t xml:space="preserve"> padengiamos per netiesioginių išlaidų kategoriją</w:t>
      </w:r>
      <w:r w:rsidR="00FD0B92" w:rsidRPr="000D0573">
        <w:rPr>
          <w:rFonts w:eastAsia="Times New Roman" w:cs="Times New Roman"/>
        </w:rPr>
        <w:t>, apmokant pagal kitą išlaidų supaprastinimo būdą – fiksuotąją projekto išlaidų normą (</w:t>
      </w:r>
      <w:r w:rsidR="00DC561B" w:rsidRPr="000D0573">
        <w:rPr>
          <w:rFonts w:eastAsia="Times New Roman" w:cs="Times New Roman"/>
        </w:rPr>
        <w:t xml:space="preserve">žr. </w:t>
      </w:r>
      <w:r w:rsidR="00FD0B92" w:rsidRPr="000D0573">
        <w:rPr>
          <w:rFonts w:eastAsia="Times New Roman" w:cs="Times New Roman"/>
        </w:rPr>
        <w:t xml:space="preserve">Rekomendacijų dėl projektų išlaidų atitikties 64 </w:t>
      </w:r>
      <w:r w:rsidR="00DC561B" w:rsidRPr="000D0573">
        <w:rPr>
          <w:rFonts w:eastAsia="Times New Roman" w:cs="Times New Roman"/>
        </w:rPr>
        <w:t>punktą</w:t>
      </w:r>
      <w:r w:rsidR="00FD0B92" w:rsidRPr="000D0573">
        <w:rPr>
          <w:rFonts w:eastAsia="Times New Roman" w:cs="Times New Roman"/>
        </w:rPr>
        <w:t xml:space="preserve">). Todėl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00FD0B92" w:rsidRPr="000D0573">
        <w:rPr>
          <w:rFonts w:eastAsia="Times New Roman" w:cs="Times New Roman"/>
          <w:i/>
        </w:rPr>
        <w:t xml:space="preserve"> </w:t>
      </w:r>
      <w:r w:rsidR="00FD0B92" w:rsidRPr="000D0573">
        <w:rPr>
          <w:rFonts w:eastAsia="Times New Roman" w:cs="Times New Roman"/>
        </w:rPr>
        <w:t xml:space="preserve">siūlomą </w:t>
      </w:r>
      <w:r w:rsidR="00FD0B92" w:rsidRPr="000D0573">
        <w:rPr>
          <w:rFonts w:eastAsia="Times New Roman" w:cs="Times New Roman"/>
          <w:b/>
        </w:rPr>
        <w:t>kategoriją „administratoriai“ eliminuojame</w:t>
      </w:r>
      <w:r w:rsidR="00FD0B92" w:rsidRPr="000D0573">
        <w:rPr>
          <w:rFonts w:eastAsia="Times New Roman" w:cs="Times New Roman"/>
        </w:rPr>
        <w:t>.</w:t>
      </w:r>
    </w:p>
    <w:p w:rsidR="00FD0B92" w:rsidRPr="000D0573" w:rsidRDefault="009B348D" w:rsidP="00FD0B92">
      <w:pPr>
        <w:tabs>
          <w:tab w:val="left" w:pos="9600"/>
        </w:tabs>
        <w:spacing w:before="240" w:after="240"/>
        <w:ind w:right="74"/>
        <w:jc w:val="both"/>
        <w:rPr>
          <w:rFonts w:eastAsia="Times New Roman" w:cs="Times New Roman"/>
        </w:rPr>
      </w:pPr>
      <w:r w:rsidRPr="000D0573">
        <w:rPr>
          <w:rFonts w:eastAsia="Times New Roman" w:cs="Times New Roman"/>
        </w:rPr>
        <w:t>Vadinasi</w:t>
      </w:r>
      <w:r w:rsidR="00FD0B92" w:rsidRPr="000D0573">
        <w:rPr>
          <w:rFonts w:eastAsia="Times New Roman" w:cs="Times New Roman"/>
        </w:rPr>
        <w:t>, siekiant įkainių palyginamumo, komandos</w:t>
      </w:r>
      <w:r w:rsidRPr="000D0573">
        <w:rPr>
          <w:rFonts w:eastAsia="Times New Roman" w:cs="Times New Roman"/>
        </w:rPr>
        <w:t>-</w:t>
      </w:r>
      <w:r w:rsidR="00FD0B92" w:rsidRPr="000D0573">
        <w:rPr>
          <w:rFonts w:eastAsia="Times New Roman" w:cs="Times New Roman"/>
        </w:rPr>
        <w:t>veiklos vadovo kategorijos įkainis lyginamas su profesoriaus ir docento arba atitinkamai vyriausiojo mokslo darbuotojo ir vyresniojo mokslo darbuotojo įkainių vidurkiu; dėstytojų, tyrėjų</w:t>
      </w:r>
      <w:r w:rsidR="006C7346" w:rsidRPr="000D0573">
        <w:rPr>
          <w:rFonts w:eastAsia="Times New Roman" w:cs="Times New Roman"/>
        </w:rPr>
        <w:t>, ekspertų</w:t>
      </w:r>
      <w:r w:rsidR="00FD0B92" w:rsidRPr="000D0573">
        <w:rPr>
          <w:rFonts w:eastAsia="Times New Roman" w:cs="Times New Roman"/>
        </w:rPr>
        <w:t xml:space="preserve"> įkainis – su docento ir lektoriaus arba atitinkamai vyresniojo mokslo darbuotojo ir mokslo darbuotojo įkainių vidurkiu; techninių darbuotojų – su asistento arba jaunesniojo mokslo darbuotojo. Pabrėž</w:t>
      </w:r>
      <w:r w:rsidRPr="000D0573">
        <w:rPr>
          <w:rFonts w:eastAsia="Times New Roman" w:cs="Times New Roman"/>
        </w:rPr>
        <w:t>tina</w:t>
      </w:r>
      <w:r w:rsidR="00FD0B92" w:rsidRPr="000D0573">
        <w:rPr>
          <w:rFonts w:eastAsia="Times New Roman" w:cs="Times New Roman"/>
        </w:rPr>
        <w:t>, kad toks pareigybių suskirstymas atliktas</w:t>
      </w:r>
      <w:r w:rsidRPr="000D0573">
        <w:rPr>
          <w:rFonts w:eastAsia="Times New Roman" w:cs="Times New Roman"/>
        </w:rPr>
        <w:t>,</w:t>
      </w:r>
      <w:r w:rsidR="00FD0B92" w:rsidRPr="000D0573">
        <w:rPr>
          <w:rFonts w:eastAsia="Times New Roman" w:cs="Times New Roman"/>
        </w:rPr>
        <w:t xml:space="preserve"> siekiant palyginti įkainius, o ne apriboti projektų darbuotojų pareigybes pagal laipsnį ir kvalifikaciją. Kitaip tariant, </w:t>
      </w:r>
      <w:r w:rsidR="00FD0B92" w:rsidRPr="000D0573">
        <w:rPr>
          <w:rFonts w:eastAsia="Times New Roman" w:cs="Times New Roman"/>
          <w:b/>
        </w:rPr>
        <w:t>aukštosios mokyklos gali į tam tikras pareigas projekte paskirti ir kitos kvalifikacijos darbuotojus</w:t>
      </w:r>
      <w:r w:rsidR="00FD0B92" w:rsidRPr="000D0573">
        <w:rPr>
          <w:rFonts w:eastAsia="Times New Roman" w:cs="Times New Roman"/>
        </w:rPr>
        <w:t>.</w:t>
      </w:r>
    </w:p>
    <w:p w:rsidR="00FD0B92" w:rsidRPr="000D0573" w:rsidRDefault="00FD0B92" w:rsidP="00FD0B92">
      <w:pPr>
        <w:keepNext/>
        <w:keepLines/>
        <w:tabs>
          <w:tab w:val="left" w:pos="907"/>
          <w:tab w:val="left" w:pos="1134"/>
          <w:tab w:val="left" w:pos="1361"/>
        </w:tabs>
        <w:spacing w:before="200" w:after="240"/>
        <w:ind w:left="680"/>
        <w:outlineLvl w:val="2"/>
        <w:rPr>
          <w:rFonts w:eastAsia="Times New Roman" w:cs="Times New Roman"/>
          <w:szCs w:val="24"/>
        </w:rPr>
      </w:pPr>
      <w:bookmarkStart w:id="14" w:name="_Toc459650632"/>
      <w:bookmarkStart w:id="15" w:name="_Toc465415128"/>
      <w:r w:rsidRPr="000D0573">
        <w:rPr>
          <w:rFonts w:eastAsia="Lucida Sans Unicode" w:cs="Times New Roman"/>
          <w:bCs/>
          <w:color w:val="00505E"/>
          <w:sz w:val="26"/>
          <w:szCs w:val="26"/>
        </w:rPr>
        <w:t xml:space="preserve">II.6. Aukštųjų mokyklų darbo užmokesčio analizė ir lyginimas su </w:t>
      </w:r>
      <w:r w:rsidR="009B348D" w:rsidRPr="000D0573">
        <w:rPr>
          <w:rFonts w:eastAsia="Lucida Sans Unicode" w:cs="Times New Roman"/>
          <w:bCs/>
          <w:color w:val="00505E"/>
          <w:sz w:val="26"/>
          <w:szCs w:val="26"/>
        </w:rPr>
        <w:t>„</w:t>
      </w:r>
      <w:proofErr w:type="spellStart"/>
      <w:r w:rsidRPr="008744DE">
        <w:rPr>
          <w:rFonts w:eastAsia="Lucida Sans Unicode" w:cs="Times New Roman"/>
          <w:bCs/>
          <w:color w:val="00505E"/>
          <w:sz w:val="26"/>
          <w:szCs w:val="26"/>
        </w:rPr>
        <w:t>Erasmus</w:t>
      </w:r>
      <w:proofErr w:type="spellEnd"/>
      <w:r w:rsidRPr="008744DE">
        <w:rPr>
          <w:rFonts w:eastAsia="Lucida Sans Unicode" w:cs="Times New Roman"/>
          <w:bCs/>
          <w:color w:val="00505E"/>
          <w:sz w:val="26"/>
          <w:szCs w:val="26"/>
        </w:rPr>
        <w:t xml:space="preserve"> plius</w:t>
      </w:r>
      <w:r w:rsidR="009B348D" w:rsidRPr="000D0573">
        <w:rPr>
          <w:rFonts w:eastAsia="Lucida Sans Unicode" w:cs="Times New Roman"/>
          <w:bCs/>
          <w:color w:val="00505E"/>
          <w:sz w:val="26"/>
          <w:szCs w:val="26"/>
        </w:rPr>
        <w:t>“</w:t>
      </w:r>
      <w:r w:rsidRPr="000D0573">
        <w:rPr>
          <w:rFonts w:eastAsia="Lucida Sans Unicode" w:cs="Times New Roman"/>
          <w:bCs/>
          <w:color w:val="00505E"/>
          <w:sz w:val="26"/>
          <w:szCs w:val="26"/>
        </w:rPr>
        <w:t xml:space="preserve"> įkainiais</w:t>
      </w:r>
      <w:bookmarkEnd w:id="14"/>
      <w:bookmarkEnd w:id="15"/>
    </w:p>
    <w:p w:rsidR="00FD0B92" w:rsidRPr="000D0573" w:rsidRDefault="00FD0B92" w:rsidP="00FD0B92">
      <w:pPr>
        <w:tabs>
          <w:tab w:val="left" w:pos="9600"/>
        </w:tabs>
        <w:spacing w:after="240"/>
        <w:ind w:right="74"/>
        <w:jc w:val="both"/>
        <w:rPr>
          <w:rFonts w:eastAsia="Times New Roman" w:cs="Times New Roman"/>
          <w:szCs w:val="24"/>
        </w:rPr>
      </w:pPr>
      <w:r w:rsidRPr="000D0573">
        <w:rPr>
          <w:rFonts w:eastAsia="Times New Roman" w:cs="Times New Roman"/>
          <w:szCs w:val="24"/>
        </w:rPr>
        <w:t xml:space="preserve">Siekiant pagrįsti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szCs w:val="24"/>
        </w:rPr>
        <w:t xml:space="preserve"> įkainių naudojimą, </w:t>
      </w:r>
      <w:r w:rsidR="00B5325C" w:rsidRPr="000D0573">
        <w:rPr>
          <w:rFonts w:eastAsia="Times New Roman" w:cs="Times New Roman"/>
          <w:szCs w:val="24"/>
        </w:rPr>
        <w:t xml:space="preserve">atliktas </w:t>
      </w:r>
      <w:r w:rsidRPr="000D0573">
        <w:rPr>
          <w:rFonts w:eastAsia="Times New Roman" w:cs="Times New Roman"/>
          <w:szCs w:val="24"/>
        </w:rPr>
        <w:t xml:space="preserve">Lietuvos aukštųjų mokyklų dėstytojų </w:t>
      </w:r>
      <w:r w:rsidR="00B5325C" w:rsidRPr="000D0573">
        <w:rPr>
          <w:rFonts w:eastAsia="Times New Roman" w:cs="Times New Roman"/>
          <w:szCs w:val="24"/>
        </w:rPr>
        <w:t xml:space="preserve">ir </w:t>
      </w:r>
      <w:r w:rsidRPr="000D0573">
        <w:rPr>
          <w:rFonts w:eastAsia="Times New Roman" w:cs="Times New Roman"/>
          <w:szCs w:val="24"/>
        </w:rPr>
        <w:t xml:space="preserve">mokslo darbuotojų vidutinių darbo užmokesčio dydžių palyginimas su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szCs w:val="24"/>
        </w:rPr>
        <w:t xml:space="preserve"> programoje nustatytais darbo užmokesčio fiksuotaisiais įkainiais. Šiuo skaičiavimu ir lyginimu </w:t>
      </w:r>
      <w:r w:rsidR="00B5325C" w:rsidRPr="000D0573">
        <w:rPr>
          <w:rFonts w:eastAsia="Times New Roman" w:cs="Times New Roman"/>
          <w:szCs w:val="24"/>
        </w:rPr>
        <w:lastRenderedPageBreak/>
        <w:t>tikrinome</w:t>
      </w:r>
      <w:r w:rsidRPr="000D0573">
        <w:rPr>
          <w:rFonts w:eastAsia="Times New Roman" w:cs="Times New Roman"/>
          <w:szCs w:val="24"/>
        </w:rPr>
        <w:t xml:space="preserve">, ar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Pr="000D0573">
        <w:rPr>
          <w:rFonts w:eastAsia="Times New Roman" w:cs="Times New Roman"/>
          <w:i/>
          <w:szCs w:val="24"/>
        </w:rPr>
        <w:t xml:space="preserve"> </w:t>
      </w:r>
      <w:r w:rsidRPr="000D0573">
        <w:rPr>
          <w:rFonts w:eastAsia="Times New Roman" w:cs="Times New Roman"/>
          <w:szCs w:val="24"/>
        </w:rPr>
        <w:t>įkainis nėra nepagrįstai didesnis ar</w:t>
      </w:r>
      <w:r w:rsidR="00DC561B" w:rsidRPr="000D0573">
        <w:rPr>
          <w:rFonts w:eastAsia="Times New Roman" w:cs="Times New Roman"/>
          <w:szCs w:val="24"/>
        </w:rPr>
        <w:t>ba</w:t>
      </w:r>
      <w:r w:rsidRPr="000D0573">
        <w:rPr>
          <w:rFonts w:eastAsia="Times New Roman" w:cs="Times New Roman"/>
          <w:szCs w:val="24"/>
        </w:rPr>
        <w:t xml:space="preserve"> mažesnis </w:t>
      </w:r>
      <w:r w:rsidR="00DC561B" w:rsidRPr="000D0573">
        <w:rPr>
          <w:rFonts w:eastAsia="Times New Roman" w:cs="Times New Roman"/>
          <w:szCs w:val="24"/>
        </w:rPr>
        <w:t xml:space="preserve">negu </w:t>
      </w:r>
      <w:r w:rsidRPr="000D0573">
        <w:rPr>
          <w:rFonts w:eastAsia="Times New Roman" w:cs="Times New Roman"/>
          <w:szCs w:val="24"/>
        </w:rPr>
        <w:t>moka aukštosios mokyklos.</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Užklausa dėl duomenų apie darbo užmokestį buvo išsiųsta 43 Lietuvoje veikiančioms aukštosioms mokykloms</w:t>
      </w:r>
      <w:r w:rsidRPr="000D0573">
        <w:rPr>
          <w:rFonts w:eastAsia="Times New Roman" w:cs="Times New Roman"/>
          <w:vertAlign w:val="superscript"/>
        </w:rPr>
        <w:footnoteReference w:id="15"/>
      </w:r>
      <w:r w:rsidRPr="000D0573">
        <w:rPr>
          <w:rFonts w:eastAsia="Times New Roman" w:cs="Times New Roman"/>
        </w:rPr>
        <w:t xml:space="preserve"> ir jų padaliniams (žr. sąrašą </w:t>
      </w:r>
      <w:r w:rsidR="00DC561B" w:rsidRPr="000D0573">
        <w:rPr>
          <w:rFonts w:eastAsia="Times New Roman" w:cs="Times New Roman"/>
        </w:rPr>
        <w:t xml:space="preserve">4 </w:t>
      </w:r>
      <w:r w:rsidRPr="000D0573">
        <w:rPr>
          <w:rFonts w:eastAsia="Times New Roman" w:cs="Times New Roman"/>
        </w:rPr>
        <w:t xml:space="preserve">priede). Aukštosios mokyklos buvo prašomos atsiųsti bendrąsias darbo užmokesčio tvarkas su tarnybinio atlyginimo koeficientais ar įkainiais skirtingoms personalo pareigybėms. Iš jų 27 aukštosios </w:t>
      </w:r>
      <w:r w:rsidR="00DC561B" w:rsidRPr="000D0573">
        <w:rPr>
          <w:rFonts w:eastAsia="Times New Roman" w:cs="Times New Roman"/>
        </w:rPr>
        <w:t xml:space="preserve">mokyklos </w:t>
      </w:r>
      <w:r w:rsidRPr="000D0573">
        <w:rPr>
          <w:rFonts w:eastAsia="Times New Roman" w:cs="Times New Roman"/>
        </w:rPr>
        <w:t>atsiuntė tyrimui aktualius duomenis, kurie buvo įtraukti į analizę</w:t>
      </w:r>
      <w:r w:rsidR="00B5325C" w:rsidRPr="000D0573">
        <w:rPr>
          <w:rFonts w:eastAsia="Times New Roman" w:cs="Times New Roman"/>
        </w:rPr>
        <w:t xml:space="preserve">; </w:t>
      </w:r>
      <w:r w:rsidRPr="000D0573">
        <w:rPr>
          <w:rFonts w:eastAsia="Times New Roman" w:cs="Times New Roman"/>
        </w:rPr>
        <w:t xml:space="preserve">7 atsakė, kad darbo užmokesčius personalui nustato individualiai ir </w:t>
      </w:r>
      <w:proofErr w:type="spellStart"/>
      <w:r w:rsidRPr="000D0573">
        <w:rPr>
          <w:rFonts w:eastAsia="Times New Roman" w:cs="Times New Roman"/>
        </w:rPr>
        <w:t>sistemiškų</w:t>
      </w:r>
      <w:proofErr w:type="spellEnd"/>
      <w:r w:rsidRPr="000D0573">
        <w:rPr>
          <w:rFonts w:eastAsia="Times New Roman" w:cs="Times New Roman"/>
        </w:rPr>
        <w:t xml:space="preserve"> principų netaiko</w:t>
      </w:r>
      <w:r w:rsidR="00B5325C" w:rsidRPr="000D0573">
        <w:rPr>
          <w:rFonts w:eastAsia="Times New Roman" w:cs="Times New Roman"/>
        </w:rPr>
        <w:t xml:space="preserve">; </w:t>
      </w:r>
      <w:r w:rsidRPr="000D0573">
        <w:rPr>
          <w:rFonts w:eastAsia="Times New Roman" w:cs="Times New Roman"/>
        </w:rPr>
        <w:t>2 universitetai atsisakė pateikti duomenis</w:t>
      </w:r>
      <w:r w:rsidR="00B5325C" w:rsidRPr="000D0573">
        <w:rPr>
          <w:rFonts w:eastAsia="Times New Roman" w:cs="Times New Roman"/>
        </w:rPr>
        <w:t>;</w:t>
      </w:r>
      <w:r w:rsidR="000D0573" w:rsidRPr="000D0573">
        <w:rPr>
          <w:rFonts w:eastAsia="Times New Roman" w:cs="Times New Roman"/>
        </w:rPr>
        <w:t xml:space="preserve"> </w:t>
      </w:r>
      <w:r w:rsidRPr="000D0573">
        <w:rPr>
          <w:rFonts w:eastAsia="Times New Roman" w:cs="Times New Roman"/>
        </w:rPr>
        <w:t>7</w:t>
      </w:r>
      <w:r w:rsidR="000D0573" w:rsidRPr="000D0573">
        <w:rPr>
          <w:rFonts w:eastAsia="Times New Roman" w:cs="Times New Roman"/>
        </w:rPr>
        <w:t> </w:t>
      </w:r>
      <w:r w:rsidRPr="000D0573">
        <w:rPr>
          <w:rFonts w:eastAsia="Times New Roman" w:cs="Times New Roman"/>
        </w:rPr>
        <w:t xml:space="preserve">aukštosios mokyklos į užklausą neatsiliepė.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Surinkus duomenis paaiškėjo, kad dauguma aukštųjų mokyklų darbo užmokesčius skaičiuoja pagal tarnybinio atlyginimo koeficientus. Mažesnioji dalis naudoja valandinius ar mėnesinius įkainius skirtingoms personalo kategorijoms. Tiek koeficientai, tiek įkainiai paprastai nurodomi intervalo pavidalu, </w:t>
      </w:r>
      <w:r w:rsidR="00B5325C" w:rsidRPr="000D0573">
        <w:rPr>
          <w:rFonts w:eastAsia="Times New Roman" w:cs="Times New Roman"/>
        </w:rPr>
        <w:t xml:space="preserve">nustatant </w:t>
      </w:r>
      <w:r w:rsidRPr="000D0573">
        <w:rPr>
          <w:rFonts w:eastAsia="Times New Roman" w:cs="Times New Roman"/>
        </w:rPr>
        <w:t xml:space="preserve">minimalias ir maksimalias reikšmes, </w:t>
      </w:r>
      <w:r w:rsidR="00B5325C" w:rsidRPr="000D0573">
        <w:rPr>
          <w:rFonts w:eastAsia="Times New Roman" w:cs="Times New Roman"/>
        </w:rPr>
        <w:t>pavyzdžiui</w:t>
      </w:r>
      <w:r w:rsidRPr="000D0573">
        <w:rPr>
          <w:rFonts w:eastAsia="Times New Roman" w:cs="Times New Roman"/>
        </w:rPr>
        <w:t xml:space="preserve">, profesoriui arba </w:t>
      </w:r>
      <w:r w:rsidR="00B5325C" w:rsidRPr="000D0573">
        <w:rPr>
          <w:rFonts w:eastAsia="Times New Roman" w:cs="Times New Roman"/>
        </w:rPr>
        <w:t xml:space="preserve">vyriausiajam </w:t>
      </w:r>
      <w:r w:rsidRPr="000D0573">
        <w:rPr>
          <w:rFonts w:eastAsia="Times New Roman" w:cs="Times New Roman"/>
        </w:rPr>
        <w:t xml:space="preserve">mokslo darbuotojui taikomas tarnybinio atlyginimo koeficientas svyruoja nuo 22,7 iki 40,9 </w:t>
      </w:r>
      <w:r w:rsidR="00A73491" w:rsidRPr="00CB49BF">
        <w:rPr>
          <w:rFonts w:eastAsia="Times New Roman" w:cs="Times New Roman"/>
        </w:rPr>
        <w:t>bazinės mėnesinės algos (</w:t>
      </w:r>
      <w:r w:rsidRPr="00CB49BF">
        <w:rPr>
          <w:rFonts w:eastAsia="Times New Roman" w:cs="Times New Roman"/>
        </w:rPr>
        <w:t>BMA</w:t>
      </w:r>
      <w:r w:rsidR="00A73491" w:rsidRPr="00CB49BF">
        <w:rPr>
          <w:rFonts w:eastAsia="Times New Roman" w:cs="Times New Roman"/>
        </w:rPr>
        <w:t>)</w:t>
      </w:r>
      <w:r w:rsidRPr="00CB49BF">
        <w:rPr>
          <w:rFonts w:eastAsia="Times New Roman" w:cs="Times New Roman"/>
        </w:rPr>
        <w:t xml:space="preserve">. Taip pat kai kurioms pozicijoms įkainiai skiriasi pagal darbo patirtį, </w:t>
      </w:r>
      <w:r w:rsidR="00B5325C" w:rsidRPr="008744DE">
        <w:rPr>
          <w:rFonts w:eastAsia="Times New Roman" w:cs="Times New Roman"/>
        </w:rPr>
        <w:t>pavyzdžiui</w:t>
      </w:r>
      <w:r w:rsidRPr="008744DE">
        <w:rPr>
          <w:rFonts w:eastAsia="Times New Roman" w:cs="Times New Roman"/>
        </w:rPr>
        <w:t>, profesorius</w:t>
      </w:r>
      <w:r w:rsidRPr="000D0573">
        <w:rPr>
          <w:rFonts w:eastAsia="Times New Roman" w:cs="Times New Roman"/>
        </w:rPr>
        <w:t xml:space="preserve"> iki vienų metų patirties, iki trejų metų patirties, trejų ir daugiau. Kai kuriose kolegijose </w:t>
      </w:r>
      <w:r w:rsidR="00B5325C" w:rsidRPr="000D0573">
        <w:rPr>
          <w:rFonts w:eastAsia="Times New Roman" w:cs="Times New Roman"/>
        </w:rPr>
        <w:t xml:space="preserve">docentų </w:t>
      </w:r>
      <w:r w:rsidRPr="000D0573">
        <w:rPr>
          <w:rFonts w:eastAsia="Times New Roman" w:cs="Times New Roman"/>
        </w:rPr>
        <w:t xml:space="preserve">atlyginimų koeficientai skiriasi </w:t>
      </w:r>
      <w:r w:rsidR="00B5325C" w:rsidRPr="000D0573">
        <w:rPr>
          <w:rFonts w:eastAsia="Times New Roman" w:cs="Times New Roman"/>
        </w:rPr>
        <w:t>pagal tai</w:t>
      </w:r>
      <w:r w:rsidRPr="000D0573">
        <w:rPr>
          <w:rFonts w:eastAsia="Times New Roman" w:cs="Times New Roman"/>
        </w:rPr>
        <w:t xml:space="preserve">, ar </w:t>
      </w:r>
      <w:r w:rsidR="00B5325C" w:rsidRPr="000D0573">
        <w:rPr>
          <w:rFonts w:eastAsia="Times New Roman" w:cs="Times New Roman"/>
        </w:rPr>
        <w:t xml:space="preserve">jie </w:t>
      </w:r>
      <w:r w:rsidRPr="000D0573">
        <w:rPr>
          <w:rFonts w:eastAsia="Times New Roman" w:cs="Times New Roman"/>
        </w:rPr>
        <w:t xml:space="preserve">turi mokslinį laipsnį, ar ne.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Prieš pradedant skaičiuoti vidutinius dydžius</w:t>
      </w:r>
      <w:r w:rsidR="00B5325C" w:rsidRPr="000D0573">
        <w:rPr>
          <w:rFonts w:eastAsia="Times New Roman" w:cs="Times New Roman"/>
        </w:rPr>
        <w:t>,</w:t>
      </w:r>
      <w:r w:rsidRPr="000D0573">
        <w:rPr>
          <w:rFonts w:eastAsia="Times New Roman" w:cs="Times New Roman"/>
        </w:rPr>
        <w:t xml:space="preserve"> būtina </w:t>
      </w:r>
      <w:r w:rsidR="007D046C" w:rsidRPr="000D0573">
        <w:rPr>
          <w:rFonts w:eastAsia="Times New Roman" w:cs="Times New Roman"/>
        </w:rPr>
        <w:t>perskaičiuoti</w:t>
      </w:r>
      <w:r w:rsidRPr="000D0573">
        <w:rPr>
          <w:rFonts w:eastAsia="Times New Roman" w:cs="Times New Roman"/>
        </w:rPr>
        <w:t xml:space="preserve"> įkainių tipus</w:t>
      </w:r>
      <w:r w:rsidR="00706583" w:rsidRPr="000D0573">
        <w:rPr>
          <w:rFonts w:eastAsia="Times New Roman" w:cs="Times New Roman"/>
        </w:rPr>
        <w:t>, nes vienos aukštosios mokyklos skaičiuoja valandinius darbo užmokesčio įkainius, kitos – vienos darbo dienos arba vieno mėnesio</w:t>
      </w:r>
      <w:r w:rsidR="00A73491" w:rsidRPr="000D0573">
        <w:rPr>
          <w:rFonts w:eastAsia="Times New Roman" w:cs="Times New Roman"/>
        </w:rPr>
        <w:t xml:space="preserve"> įkainius</w:t>
      </w:r>
      <w:r w:rsidR="00706583" w:rsidRPr="000D0573">
        <w:rPr>
          <w:rFonts w:eastAsia="Times New Roman" w:cs="Times New Roman"/>
        </w:rPr>
        <w:t>.</w:t>
      </w:r>
      <w:r w:rsidRPr="000D0573">
        <w:rPr>
          <w:rFonts w:eastAsia="Times New Roman" w:cs="Times New Roman"/>
        </w:rPr>
        <w:t xml:space="preserve"> </w:t>
      </w:r>
      <w:r w:rsidR="00F33777" w:rsidRPr="000D0573">
        <w:rPr>
          <w:rFonts w:eastAsia="Times New Roman" w:cs="Times New Roman"/>
        </w:rPr>
        <w:t>Skirtingo tipo įkainius ir koeficientus, nurodytus darbo užmokesčio tvarkose, nuspręsta perskaičiuoti į</w:t>
      </w:r>
      <w:r w:rsidR="00712DFA" w:rsidRPr="000D0573">
        <w:rPr>
          <w:rFonts w:eastAsia="Times New Roman" w:cs="Times New Roman"/>
        </w:rPr>
        <w:t xml:space="preserve"> vienos dienos</w:t>
      </w:r>
      <w:r w:rsidR="00F33777" w:rsidRPr="000D0573">
        <w:rPr>
          <w:rFonts w:eastAsia="Times New Roman" w:cs="Times New Roman"/>
        </w:rPr>
        <w:t xml:space="preserve"> darbo užmokesčio dydžius. </w:t>
      </w:r>
      <w:r w:rsidRPr="000D0573">
        <w:rPr>
          <w:rFonts w:eastAsia="Times New Roman" w:cs="Times New Roman"/>
        </w:rPr>
        <w:t xml:space="preserve">Kaip jau minėta </w:t>
      </w:r>
      <w:r w:rsidR="00B5325C" w:rsidRPr="000D0573">
        <w:rPr>
          <w:rFonts w:eastAsia="Times New Roman" w:cs="Times New Roman"/>
        </w:rPr>
        <w:t xml:space="preserve">šios ataskaitos </w:t>
      </w:r>
      <w:r w:rsidRPr="000D0573">
        <w:rPr>
          <w:rFonts w:eastAsia="Times New Roman" w:cs="Times New Roman"/>
        </w:rPr>
        <w:t>II.3 dalyje, projektų veiklų įgyvendinimo komandos kurs aukštos pridėtinės vertės intelektinius produktus</w:t>
      </w:r>
      <w:r w:rsidR="00B5325C" w:rsidRPr="000D0573">
        <w:rPr>
          <w:rFonts w:eastAsia="Times New Roman" w:cs="Times New Roman"/>
        </w:rPr>
        <w:t>,</w:t>
      </w:r>
      <w:r w:rsidRPr="000D0573">
        <w:rPr>
          <w:rFonts w:eastAsia="Times New Roman" w:cs="Times New Roman"/>
        </w:rPr>
        <w:t xml:space="preserve"> </w:t>
      </w:r>
      <w:r w:rsidR="00A73491" w:rsidRPr="000D0573">
        <w:rPr>
          <w:rFonts w:eastAsia="Times New Roman" w:cs="Times New Roman"/>
        </w:rPr>
        <w:t xml:space="preserve">nukreiptus </w:t>
      </w:r>
      <w:r w:rsidRPr="000D0573">
        <w:rPr>
          <w:rFonts w:eastAsia="Times New Roman" w:cs="Times New Roman"/>
        </w:rPr>
        <w:t xml:space="preserve">į aukštojo mokslo modernizavimą. Dėl šios priežasties ir dėl siekio į projektų komandas įtraukti kuo </w:t>
      </w:r>
      <w:r w:rsidR="00B5325C" w:rsidRPr="000D0573">
        <w:rPr>
          <w:rFonts w:eastAsia="Times New Roman" w:cs="Times New Roman"/>
        </w:rPr>
        <w:t xml:space="preserve">daugiau patirties </w:t>
      </w:r>
      <w:r w:rsidRPr="000D0573">
        <w:rPr>
          <w:rFonts w:eastAsia="Times New Roman" w:cs="Times New Roman"/>
        </w:rPr>
        <w:t xml:space="preserve">ir </w:t>
      </w:r>
      <w:r w:rsidR="00B5325C" w:rsidRPr="000D0573">
        <w:rPr>
          <w:rFonts w:eastAsia="Times New Roman" w:cs="Times New Roman"/>
        </w:rPr>
        <w:t xml:space="preserve">kompetencijų </w:t>
      </w:r>
      <w:r w:rsidRPr="000D0573">
        <w:rPr>
          <w:rFonts w:eastAsia="Times New Roman" w:cs="Times New Roman"/>
        </w:rPr>
        <w:t xml:space="preserve">turinčius specialistus, aukštųjų mokyklų darbo užmokesčio tvarkose intervalų pavidalu nurodyti įkainiai į skaičiavimą buvo įtraukti didžiausiais taikytinais koeficientais. Maksimalūs koeficientai buvo naudoti ir </w:t>
      </w:r>
      <w:r w:rsidR="0010028E" w:rsidRPr="000D0573">
        <w:rPr>
          <w:rFonts w:eastAsia="Times New Roman" w:cs="Times New Roman"/>
        </w:rPr>
        <w:t xml:space="preserve">atliekant skaičiavimus </w:t>
      </w:r>
      <w:r w:rsidRPr="000D0573">
        <w:rPr>
          <w:rFonts w:eastAsia="Times New Roman" w:cs="Times New Roman"/>
        </w:rPr>
        <w:t>Darbo užmokesčio fiksuotųjų įkainių dydžių mokslinių tyrimų projektuose nustatymo tyrime</w:t>
      </w:r>
      <w:r w:rsidR="009C0747" w:rsidRPr="000D0573">
        <w:rPr>
          <w:rStyle w:val="Puslapioinaosnuoroda"/>
          <w:rFonts w:eastAsia="Times New Roman" w:cs="Times New Roman"/>
        </w:rPr>
        <w:footnoteReference w:id="16"/>
      </w:r>
      <w:r w:rsidRPr="000D0573">
        <w:rPr>
          <w:rFonts w:eastAsia="Times New Roman" w:cs="Times New Roman"/>
        </w:rPr>
        <w:t>.</w:t>
      </w:r>
      <w:r w:rsidR="0010028E" w:rsidRPr="000D0573">
        <w:rPr>
          <w:rFonts w:eastAsia="Times New Roman" w:cs="Times New Roman"/>
        </w:rPr>
        <w:t xml:space="preserve"> Argumentuojama, kad minėtame tyrime bus vykdomi aukšto mokslinio lygio tyrimai.</w:t>
      </w:r>
      <w:r w:rsidRPr="000D0573">
        <w:rPr>
          <w:rFonts w:eastAsia="Times New Roman" w:cs="Times New Roman"/>
        </w:rPr>
        <w:t xml:space="preserve"> Remiantis </w:t>
      </w:r>
      <w:r w:rsidR="0010028E" w:rsidRPr="000D0573">
        <w:rPr>
          <w:rFonts w:eastAsia="Times New Roman" w:cs="Times New Roman"/>
        </w:rPr>
        <w:t xml:space="preserve">aukštųjų mokyklų </w:t>
      </w:r>
      <w:r w:rsidRPr="000D0573">
        <w:rPr>
          <w:rFonts w:eastAsia="Times New Roman" w:cs="Times New Roman"/>
        </w:rPr>
        <w:t xml:space="preserve">darbo užmokesčių tvarkomis, paprastai </w:t>
      </w:r>
      <w:r w:rsidR="00897401" w:rsidRPr="000D0573">
        <w:rPr>
          <w:rFonts w:eastAsia="Times New Roman" w:cs="Times New Roman"/>
        </w:rPr>
        <w:t xml:space="preserve">darbuotojams yra skiriami </w:t>
      </w:r>
      <w:r w:rsidRPr="000D0573">
        <w:rPr>
          <w:rFonts w:eastAsia="Times New Roman" w:cs="Times New Roman"/>
        </w:rPr>
        <w:t xml:space="preserve">priedai </w:t>
      </w:r>
      <w:r w:rsidR="009E22F7" w:rsidRPr="000D0573">
        <w:rPr>
          <w:rFonts w:eastAsia="Times New Roman" w:cs="Times New Roman"/>
        </w:rPr>
        <w:t>–</w:t>
      </w:r>
      <w:r w:rsidR="00897401" w:rsidRPr="000D0573">
        <w:rPr>
          <w:rFonts w:eastAsia="Times New Roman" w:cs="Times New Roman"/>
        </w:rPr>
        <w:t xml:space="preserve"> </w:t>
      </w:r>
      <w:r w:rsidRPr="000D0573">
        <w:rPr>
          <w:rFonts w:eastAsia="Times New Roman" w:cs="Times New Roman"/>
        </w:rPr>
        <w:t xml:space="preserve">už skubių, svarbių, darbo krūvį viršijančių, sudėtingų darbų vykdymą, </w:t>
      </w:r>
      <w:r w:rsidRPr="000D0573">
        <w:rPr>
          <w:rFonts w:eastAsia="Times New Roman" w:cs="Times New Roman"/>
          <w:szCs w:val="24"/>
        </w:rPr>
        <w:t>laikinai nesančių darbuotojų funkcijų vykdymą,</w:t>
      </w:r>
      <w:r w:rsidRPr="000D0573">
        <w:rPr>
          <w:rFonts w:eastAsia="Times New Roman" w:cs="Times New Roman"/>
        </w:rPr>
        <w:t xml:space="preserve"> vadovavimą katedrai, dalyvavimą akademinės veiklos darbo grupėse. Užduotys, kurias numato </w:t>
      </w:r>
      <w:r w:rsidR="00B5325C" w:rsidRPr="000D0573">
        <w:rPr>
          <w:rFonts w:eastAsia="Times New Roman" w:cs="Times New Roman"/>
        </w:rPr>
        <w:t xml:space="preserve">šios ataskaitos </w:t>
      </w:r>
      <w:r w:rsidRPr="000D0573">
        <w:rPr>
          <w:rFonts w:eastAsia="Times New Roman" w:cs="Times New Roman"/>
        </w:rPr>
        <w:t>II.</w:t>
      </w:r>
      <w:r w:rsidR="00C86E2F" w:rsidRPr="000D0573">
        <w:rPr>
          <w:rFonts w:eastAsia="Times New Roman" w:cs="Times New Roman"/>
        </w:rPr>
        <w:t>3</w:t>
      </w:r>
      <w:r w:rsidRPr="000D0573">
        <w:rPr>
          <w:rFonts w:eastAsia="Times New Roman" w:cs="Times New Roman"/>
        </w:rPr>
        <w:t xml:space="preserve"> skyriuje aptartos priemonės, nepatenka tarp darbų, už kurių atlikimą aukštosiose mokyklose papildomai motyvuojama. Taip </w:t>
      </w:r>
      <w:r w:rsidRPr="00CB49BF">
        <w:rPr>
          <w:rFonts w:eastAsia="Times New Roman" w:cs="Times New Roman"/>
        </w:rPr>
        <w:t xml:space="preserve">pat </w:t>
      </w:r>
      <w:r w:rsidR="00B5325C" w:rsidRPr="00CB49BF">
        <w:rPr>
          <w:rFonts w:eastAsia="Times New Roman" w:cs="Times New Roman"/>
        </w:rPr>
        <w:t>pažymėtina</w:t>
      </w:r>
      <w:r w:rsidRPr="008744DE">
        <w:rPr>
          <w:rFonts w:eastAsia="Times New Roman" w:cs="Times New Roman"/>
        </w:rPr>
        <w:t xml:space="preserve">, kad </w:t>
      </w:r>
      <w:r w:rsidR="00B5325C" w:rsidRPr="008744DE">
        <w:rPr>
          <w:rFonts w:eastAsia="Times New Roman" w:cs="Times New Roman"/>
        </w:rPr>
        <w:t xml:space="preserve">priedų dydis </w:t>
      </w:r>
      <w:r w:rsidRPr="008744DE">
        <w:rPr>
          <w:rFonts w:eastAsia="Times New Roman" w:cs="Times New Roman"/>
        </w:rPr>
        <w:t xml:space="preserve">skiriasi tarp aukštųjų mokyklų, o kartais net ir tarp </w:t>
      </w:r>
      <w:r w:rsidR="00A73491" w:rsidRPr="008744DE">
        <w:rPr>
          <w:rFonts w:eastAsia="Times New Roman" w:cs="Times New Roman"/>
        </w:rPr>
        <w:t xml:space="preserve">tos pačios aukštosios mokyklos </w:t>
      </w:r>
      <w:r w:rsidRPr="008744DE">
        <w:rPr>
          <w:rFonts w:eastAsia="Times New Roman" w:cs="Times New Roman"/>
        </w:rPr>
        <w:t xml:space="preserve">padalinių, todėl nėra galimybės </w:t>
      </w:r>
      <w:r w:rsidR="00A73491" w:rsidRPr="008744DE">
        <w:rPr>
          <w:rFonts w:eastAsia="Times New Roman" w:cs="Times New Roman"/>
        </w:rPr>
        <w:t xml:space="preserve">priedus </w:t>
      </w:r>
      <w:proofErr w:type="spellStart"/>
      <w:r w:rsidRPr="008744DE">
        <w:rPr>
          <w:rFonts w:eastAsia="Times New Roman" w:cs="Times New Roman"/>
        </w:rPr>
        <w:t>sistemiškai</w:t>
      </w:r>
      <w:proofErr w:type="spellEnd"/>
      <w:r w:rsidRPr="008744DE">
        <w:rPr>
          <w:rFonts w:eastAsia="Times New Roman" w:cs="Times New Roman"/>
        </w:rPr>
        <w:t xml:space="preserve"> panaudoti skaičiuojant </w:t>
      </w:r>
      <w:r w:rsidR="00897401" w:rsidRPr="008744DE">
        <w:rPr>
          <w:rFonts w:eastAsia="Times New Roman" w:cs="Times New Roman"/>
        </w:rPr>
        <w:t xml:space="preserve">vidutinius maksimalius aukštųjų mokyklų personalo </w:t>
      </w:r>
      <w:r w:rsidRPr="008744DE">
        <w:rPr>
          <w:rFonts w:eastAsia="Times New Roman" w:cs="Times New Roman"/>
        </w:rPr>
        <w:t>įkainius.</w:t>
      </w:r>
      <w:r w:rsidRPr="000D0573">
        <w:rPr>
          <w:rFonts w:eastAsia="Times New Roman" w:cs="Times New Roman"/>
        </w:rPr>
        <w:t xml:space="preserve"> </w:t>
      </w:r>
    </w:p>
    <w:p w:rsidR="00FD0B92" w:rsidRPr="000D0573" w:rsidRDefault="00A73491"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Siekdami palyginti Lietuvos aukštųjų mokyklų įkainius </w:t>
      </w:r>
      <w:r w:rsidR="0010028E" w:rsidRPr="000D0573">
        <w:rPr>
          <w:rFonts w:eastAsia="Times New Roman" w:cs="Times New Roman"/>
        </w:rPr>
        <w:t xml:space="preserve">su </w:t>
      </w:r>
      <w:r w:rsidR="009E22F7" w:rsidRPr="000D0573">
        <w:rPr>
          <w:rFonts w:eastAsia="Times New Roman" w:cs="Times New Roman"/>
          <w:szCs w:val="24"/>
        </w:rPr>
        <w:t>„</w:t>
      </w:r>
      <w:proofErr w:type="spellStart"/>
      <w:r w:rsidR="009E22F7" w:rsidRPr="000D0573">
        <w:rPr>
          <w:rFonts w:eastAsia="Times New Roman" w:cs="Times New Roman"/>
          <w:szCs w:val="24"/>
        </w:rPr>
        <w:t>Erasmus</w:t>
      </w:r>
      <w:proofErr w:type="spellEnd"/>
      <w:r w:rsidR="009E22F7" w:rsidRPr="000D0573">
        <w:rPr>
          <w:rFonts w:eastAsia="Times New Roman" w:cs="Times New Roman"/>
          <w:szCs w:val="24"/>
        </w:rPr>
        <w:t xml:space="preserve"> plius“</w:t>
      </w:r>
      <w:r w:rsidR="0010028E" w:rsidRPr="000D0573">
        <w:rPr>
          <w:rFonts w:eastAsia="Times New Roman" w:cs="Times New Roman"/>
        </w:rPr>
        <w:t xml:space="preserve"> programos įkainiais</w:t>
      </w:r>
      <w:r w:rsidR="00FD0B92" w:rsidRPr="000D0573">
        <w:rPr>
          <w:rFonts w:eastAsia="Times New Roman" w:cs="Times New Roman"/>
        </w:rPr>
        <w:t xml:space="preserve">, pagal aukštųjų mokyklų tvarkas </w:t>
      </w:r>
      <w:r w:rsidRPr="000D0573">
        <w:rPr>
          <w:rFonts w:eastAsia="Times New Roman" w:cs="Times New Roman"/>
        </w:rPr>
        <w:t xml:space="preserve">apskaičiavome </w:t>
      </w:r>
      <w:r w:rsidR="00712DFA" w:rsidRPr="000D0573">
        <w:rPr>
          <w:rFonts w:eastAsia="Times New Roman" w:cs="Times New Roman"/>
        </w:rPr>
        <w:t>vienos dienos</w:t>
      </w:r>
      <w:r w:rsidR="00FD0B92" w:rsidRPr="000D0573">
        <w:rPr>
          <w:rFonts w:eastAsia="Times New Roman" w:cs="Times New Roman"/>
        </w:rPr>
        <w:t xml:space="preserve"> darbo užmokesčio įkainius. Šiam </w:t>
      </w:r>
      <w:r w:rsidR="00FD0B92" w:rsidRPr="000D0573">
        <w:rPr>
          <w:rFonts w:eastAsia="Times New Roman" w:cs="Times New Roman"/>
        </w:rPr>
        <w:lastRenderedPageBreak/>
        <w:t xml:space="preserve">skaičiavimui svarbus vidutinis metinis darbo dienų skaičius. Išvedus vidurkį iš 2011–2015 m. metinio darbo dienų skaičiaus, gauta reikšmė 252 (skaičiavimas parodytas </w:t>
      </w:r>
      <w:r w:rsidR="00897401" w:rsidRPr="008744DE">
        <w:rPr>
          <w:rFonts w:eastAsia="Times New Roman" w:cs="Times New Roman"/>
        </w:rPr>
        <w:t>5</w:t>
      </w:r>
      <w:r w:rsidR="00FD0B92" w:rsidRPr="000D0573">
        <w:rPr>
          <w:rFonts w:eastAsia="Times New Roman" w:cs="Times New Roman"/>
        </w:rPr>
        <w:t xml:space="preserve"> </w:t>
      </w:r>
      <w:r w:rsidRPr="000D0573">
        <w:rPr>
          <w:rFonts w:eastAsia="Times New Roman" w:cs="Times New Roman"/>
        </w:rPr>
        <w:t xml:space="preserve">priedo </w:t>
      </w:r>
      <w:r w:rsidR="00FD0B92" w:rsidRPr="000D0573">
        <w:rPr>
          <w:rFonts w:eastAsia="Times New Roman" w:cs="Times New Roman"/>
        </w:rPr>
        <w:t xml:space="preserve">1 lentelėje). Tačiau, siekiant į </w:t>
      </w:r>
      <w:r w:rsidRPr="000D0573">
        <w:rPr>
          <w:rFonts w:eastAsia="Times New Roman" w:cs="Times New Roman"/>
        </w:rPr>
        <w:t xml:space="preserve">fiksuotąjį </w:t>
      </w:r>
      <w:r w:rsidR="00FD0B92" w:rsidRPr="000D0573">
        <w:rPr>
          <w:rFonts w:eastAsia="Times New Roman" w:cs="Times New Roman"/>
        </w:rPr>
        <w:t>įkainį įtraukti išlaidas</w:t>
      </w:r>
      <w:r w:rsidRPr="000D0573">
        <w:rPr>
          <w:rFonts w:eastAsia="Times New Roman" w:cs="Times New Roman"/>
        </w:rPr>
        <w:t>,</w:t>
      </w:r>
      <w:r w:rsidR="00FD0B92" w:rsidRPr="000D0573">
        <w:rPr>
          <w:rFonts w:eastAsia="Times New Roman" w:cs="Times New Roman"/>
        </w:rPr>
        <w:t xml:space="preserve"> skirtas at</w:t>
      </w:r>
      <w:r w:rsidR="003C1A81" w:rsidRPr="000D0573">
        <w:rPr>
          <w:rFonts w:eastAsia="Times New Roman" w:cs="Times New Roman"/>
        </w:rPr>
        <w:t>ostogų dienoms apmokėti, iš šio</w:t>
      </w:r>
      <w:r w:rsidR="00FD0B92" w:rsidRPr="000D0573">
        <w:rPr>
          <w:rFonts w:eastAsia="Times New Roman" w:cs="Times New Roman"/>
        </w:rPr>
        <w:t xml:space="preserve"> skaičiaus reikia atimti darbo dienas, praleidžiamas atostogaujant. </w:t>
      </w:r>
      <w:r w:rsidR="00461591" w:rsidRPr="000D0573">
        <w:rPr>
          <w:rFonts w:eastAsia="Times New Roman" w:cs="Times New Roman"/>
        </w:rPr>
        <w:t>DK</w:t>
      </w:r>
      <w:r w:rsidR="00FD0B92" w:rsidRPr="000D0573">
        <w:rPr>
          <w:rFonts w:eastAsia="Times New Roman" w:cs="Times New Roman"/>
        </w:rPr>
        <w:t xml:space="preserve"> 166.1 straipsnyje teigiama, kad kasmetinė minimali atostogų trukmė yra 28 kalendorinės dienos. Kasmetinių atostogų ir papildomų poilsio dienų išmokų fiksuotųjų normų nustatymo tyrime buvo atliktas kasmetinių kalendorinių atostogų dienų perskaičiavimas į darbo dienų skaičių. Esant 5 darbo dienų savaitei ir taikant metinį darbo dienų koeficientą 0,7</w:t>
      </w:r>
      <w:r w:rsidR="00D238F7" w:rsidRPr="000D0573">
        <w:rPr>
          <w:rFonts w:eastAsia="Times New Roman" w:cs="Times New Roman"/>
        </w:rPr>
        <w:t>,</w:t>
      </w:r>
      <w:r w:rsidR="00FD0B92" w:rsidRPr="000D0573">
        <w:rPr>
          <w:rFonts w:eastAsia="Times New Roman" w:cs="Times New Roman"/>
        </w:rPr>
        <w:t xml:space="preserve"> gaunamas 19,6 darbo dienų skaičius.</w:t>
      </w:r>
      <w:r w:rsidR="00FD0B92" w:rsidRPr="000D0573">
        <w:rPr>
          <w:rFonts w:eastAsia="Times New Roman" w:cs="Times New Roman"/>
          <w:vertAlign w:val="superscript"/>
        </w:rPr>
        <w:footnoteReference w:id="17"/>
      </w:r>
      <w:r w:rsidR="00FD0B92" w:rsidRPr="000D0573">
        <w:rPr>
          <w:rFonts w:eastAsia="Times New Roman" w:cs="Times New Roman"/>
        </w:rPr>
        <w:t xml:space="preserve"> Šį skaičių atėmus iš vidutinio metinio darbo dienų skaičiaus, į formulę įrašomas 232,4 dienos</w:t>
      </w:r>
      <w:r w:rsidR="009772C0" w:rsidRPr="000D0573">
        <w:rPr>
          <w:rFonts w:eastAsia="Times New Roman" w:cs="Times New Roman"/>
        </w:rPr>
        <w:t xml:space="preserve"> (skaičiavimas parodytas </w:t>
      </w:r>
      <w:r w:rsidR="00F928BA" w:rsidRPr="000D0573">
        <w:rPr>
          <w:rFonts w:eastAsia="Times New Roman" w:cs="Times New Roman"/>
        </w:rPr>
        <w:t>5</w:t>
      </w:r>
      <w:r w:rsidR="009772C0" w:rsidRPr="000D0573">
        <w:rPr>
          <w:rFonts w:eastAsia="Times New Roman" w:cs="Times New Roman"/>
        </w:rPr>
        <w:t xml:space="preserve"> priedo 2 lentelėje)</w:t>
      </w:r>
      <w:r w:rsidR="00FD0B92" w:rsidRPr="000D0573">
        <w:rPr>
          <w:rFonts w:eastAsia="Times New Roman" w:cs="Times New Roman"/>
        </w:rPr>
        <w:t>.</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Laikantis darbo užmokesčio apibrėžimo</w:t>
      </w:r>
      <w:r w:rsidR="0010028E" w:rsidRPr="000D0573">
        <w:rPr>
          <w:rFonts w:eastAsia="Times New Roman" w:cs="Times New Roman"/>
        </w:rPr>
        <w:t>,</w:t>
      </w:r>
      <w:r w:rsidRPr="000D0573">
        <w:rPr>
          <w:rFonts w:eastAsia="Times New Roman" w:cs="Times New Roman"/>
        </w:rPr>
        <w:t xml:space="preserve"> nurodyto</w:t>
      </w:r>
      <w:r w:rsidR="00A73491" w:rsidRPr="000D0573">
        <w:rPr>
          <w:rFonts w:eastAsia="Times New Roman" w:cs="Times New Roman"/>
        </w:rPr>
        <w:t xml:space="preserve"> šios ataskaitos</w:t>
      </w:r>
      <w:r w:rsidRPr="000D0573">
        <w:rPr>
          <w:rFonts w:eastAsia="Times New Roman" w:cs="Times New Roman"/>
        </w:rPr>
        <w:t xml:space="preserve"> II.</w:t>
      </w:r>
      <w:r w:rsidR="00C86E2F" w:rsidRPr="000D0573">
        <w:rPr>
          <w:rFonts w:eastAsia="Times New Roman" w:cs="Times New Roman"/>
        </w:rPr>
        <w:t>4</w:t>
      </w:r>
      <w:r w:rsidRPr="000D0573">
        <w:rPr>
          <w:rFonts w:eastAsia="Times New Roman" w:cs="Times New Roman"/>
        </w:rPr>
        <w:t xml:space="preserve"> skyriuje, tarnybinio atlyginimo koeficientus konvertuojant į</w:t>
      </w:r>
      <w:r w:rsidR="00712DFA" w:rsidRPr="000D0573">
        <w:rPr>
          <w:rFonts w:eastAsia="Times New Roman" w:cs="Times New Roman"/>
        </w:rPr>
        <w:t xml:space="preserve"> vienos dienos</w:t>
      </w:r>
      <w:r w:rsidRPr="000D0573">
        <w:rPr>
          <w:rFonts w:eastAsia="Times New Roman" w:cs="Times New Roman"/>
        </w:rPr>
        <w:t xml:space="preserve"> įkainį naudojama formulė: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D.</w:t>
      </w:r>
      <w:r w:rsidR="009E22F7" w:rsidRPr="000D0573">
        <w:rPr>
          <w:rFonts w:eastAsia="Times New Roman" w:cs="Times New Roman"/>
        </w:rPr>
        <w:t> </w:t>
      </w:r>
      <w:r w:rsidRPr="000D0573">
        <w:rPr>
          <w:rFonts w:eastAsia="Times New Roman" w:cs="Times New Roman"/>
        </w:rPr>
        <w:t>d.</w:t>
      </w:r>
      <w:r w:rsidR="009E22F7" w:rsidRPr="000D0573">
        <w:rPr>
          <w:rFonts w:eastAsia="Times New Roman" w:cs="Times New Roman"/>
        </w:rPr>
        <w:t> </w:t>
      </w:r>
      <w:proofErr w:type="spellStart"/>
      <w:r w:rsidRPr="000D0573">
        <w:rPr>
          <w:rFonts w:eastAsia="Times New Roman" w:cs="Times New Roman"/>
        </w:rPr>
        <w:t>įk</w:t>
      </w:r>
      <w:proofErr w:type="spellEnd"/>
      <w:r w:rsidRPr="000D0573">
        <w:rPr>
          <w:rFonts w:eastAsia="Times New Roman" w:cs="Times New Roman"/>
        </w:rPr>
        <w:t>.</w:t>
      </w:r>
      <w:r w:rsidR="009E22F7" w:rsidRPr="000D0573">
        <w:rPr>
          <w:rFonts w:eastAsia="Times New Roman" w:cs="Times New Roman"/>
        </w:rPr>
        <w:t> </w:t>
      </w:r>
      <w:r w:rsidRPr="000D0573">
        <w:rPr>
          <w:rFonts w:eastAsia="Times New Roman" w:cs="Times New Roman"/>
        </w:rPr>
        <w:t>=</w:t>
      </w:r>
      <w:r w:rsidR="009E22F7" w:rsidRPr="000D0573">
        <w:rPr>
          <w:rFonts w:eastAsia="Times New Roman" w:cs="Times New Roman"/>
        </w:rPr>
        <w:t> </w:t>
      </w:r>
      <w:r w:rsidRPr="000D0573">
        <w:rPr>
          <w:rFonts w:eastAsia="Times New Roman" w:cs="Times New Roman"/>
        </w:rPr>
        <w:t>(KTA</w:t>
      </w:r>
      <w:r w:rsidR="009E22F7" w:rsidRPr="000D0573">
        <w:rPr>
          <w:rFonts w:eastAsia="Times New Roman" w:cs="Times New Roman"/>
        </w:rPr>
        <w:t xml:space="preserve"> × </w:t>
      </w:r>
      <w:r w:rsidRPr="000D0573">
        <w:rPr>
          <w:rFonts w:eastAsia="Times New Roman" w:cs="Times New Roman"/>
        </w:rPr>
        <w:t>BMA</w:t>
      </w:r>
      <w:r w:rsidR="009E22F7" w:rsidRPr="000D0573">
        <w:rPr>
          <w:rFonts w:eastAsia="Times New Roman" w:cs="Times New Roman"/>
        </w:rPr>
        <w:t xml:space="preserve"> </w:t>
      </w:r>
      <w:r w:rsidRPr="000D0573">
        <w:rPr>
          <w:rFonts w:eastAsia="Times New Roman" w:cs="Times New Roman"/>
        </w:rPr>
        <w:t>+ KTA</w:t>
      </w:r>
      <w:r w:rsidR="009E22F7" w:rsidRPr="000D0573">
        <w:rPr>
          <w:rFonts w:eastAsia="Times New Roman" w:cs="Times New Roman"/>
        </w:rPr>
        <w:t xml:space="preserve"> × </w:t>
      </w:r>
      <w:r w:rsidRPr="000D0573">
        <w:rPr>
          <w:rFonts w:eastAsia="Times New Roman" w:cs="Times New Roman"/>
        </w:rPr>
        <w:t>BMA</w:t>
      </w:r>
      <w:r w:rsidR="009E22F7" w:rsidRPr="000D0573">
        <w:rPr>
          <w:rFonts w:eastAsia="Times New Roman" w:cs="Times New Roman"/>
        </w:rPr>
        <w:t xml:space="preserve"> × </w:t>
      </w:r>
      <w:r w:rsidRPr="000D0573">
        <w:rPr>
          <w:rFonts w:eastAsia="Times New Roman" w:cs="Times New Roman"/>
        </w:rPr>
        <w:t>VSDĮ</w:t>
      </w:r>
      <w:r w:rsidR="009E22F7" w:rsidRPr="000D0573">
        <w:rPr>
          <w:rFonts w:eastAsia="Times New Roman" w:cs="Times New Roman"/>
        </w:rPr>
        <w:t xml:space="preserve"> </w:t>
      </w:r>
      <w:r w:rsidRPr="000D0573">
        <w:rPr>
          <w:rFonts w:eastAsia="Times New Roman" w:cs="Times New Roman"/>
        </w:rPr>
        <w:t>+ KTA</w:t>
      </w:r>
      <w:r w:rsidR="009E22F7" w:rsidRPr="000D0573">
        <w:rPr>
          <w:rFonts w:eastAsia="Times New Roman" w:cs="Times New Roman"/>
        </w:rPr>
        <w:t xml:space="preserve"> × </w:t>
      </w:r>
      <w:r w:rsidRPr="000D0573">
        <w:rPr>
          <w:rFonts w:eastAsia="Times New Roman" w:cs="Times New Roman"/>
        </w:rPr>
        <w:t>BMA</w:t>
      </w:r>
      <w:r w:rsidR="009E22F7" w:rsidRPr="000D0573">
        <w:rPr>
          <w:rFonts w:eastAsia="Times New Roman" w:cs="Times New Roman"/>
        </w:rPr>
        <w:t xml:space="preserve"> × </w:t>
      </w:r>
      <w:r w:rsidRPr="000D0573">
        <w:rPr>
          <w:rFonts w:eastAsia="Times New Roman" w:cs="Times New Roman"/>
        </w:rPr>
        <w:t>GF)</w:t>
      </w:r>
      <w:r w:rsidR="009E22F7" w:rsidRPr="000D0573">
        <w:rPr>
          <w:rFonts w:eastAsia="Times New Roman" w:cs="Times New Roman"/>
        </w:rPr>
        <w:t xml:space="preserve"> × </w:t>
      </w:r>
      <w:r w:rsidRPr="000D0573">
        <w:rPr>
          <w:rFonts w:eastAsia="Times New Roman" w:cs="Times New Roman"/>
        </w:rPr>
        <w:t>12</w:t>
      </w:r>
      <w:r w:rsidR="009E22F7" w:rsidRPr="000D0573">
        <w:rPr>
          <w:rFonts w:eastAsia="Times New Roman" w:cs="Times New Roman"/>
        </w:rPr>
        <w:t xml:space="preserve"> </w:t>
      </w:r>
      <w:r w:rsidRPr="000D0573">
        <w:rPr>
          <w:rFonts w:eastAsia="Times New Roman" w:cs="Times New Roman"/>
        </w:rPr>
        <w:t>/</w:t>
      </w:r>
      <w:r w:rsidR="009E22F7" w:rsidRPr="000D0573">
        <w:rPr>
          <w:rFonts w:eastAsia="Times New Roman" w:cs="Times New Roman"/>
        </w:rPr>
        <w:t xml:space="preserve"> </w:t>
      </w:r>
      <w:r w:rsidRPr="000D0573">
        <w:rPr>
          <w:rFonts w:eastAsia="Times New Roman" w:cs="Times New Roman"/>
        </w:rPr>
        <w:t xml:space="preserve">232,4, </w:t>
      </w:r>
      <w:r w:rsidR="009E22F7" w:rsidRPr="000D0573">
        <w:rPr>
          <w:rFonts w:eastAsia="Times New Roman" w:cs="Times New Roman"/>
        </w:rPr>
        <w:t>kai</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KTA – tarnybinio atlyginimo koeficientas, kurį aukštosios mokyklos nustatė skirtingoms pareigybėms;</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 xml:space="preserve">BMA – </w:t>
      </w:r>
      <w:r w:rsidR="002974D2" w:rsidRPr="000D0573">
        <w:rPr>
          <w:rFonts w:eastAsia="Times New Roman" w:cs="Times New Roman"/>
        </w:rPr>
        <w:t xml:space="preserve">LR </w:t>
      </w:r>
      <w:r w:rsidRPr="000D0573">
        <w:rPr>
          <w:rFonts w:eastAsia="Times New Roman" w:cs="Times New Roman"/>
        </w:rPr>
        <w:t xml:space="preserve">Vyriausybės patvirtintas bazinės mėnesinės algos dydis (35,5 </w:t>
      </w:r>
      <w:proofErr w:type="spellStart"/>
      <w:r w:rsidRPr="000D0573">
        <w:rPr>
          <w:rFonts w:eastAsia="Times New Roman" w:cs="Times New Roman"/>
        </w:rPr>
        <w:t>Eur</w:t>
      </w:r>
      <w:proofErr w:type="spellEnd"/>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VSDĮ – darbdavio apskaičiuojamos ir mokamos valstybinio socialinio draudimo įmokos dydis (30,98 proc.</w:t>
      </w:r>
      <w:r w:rsidR="00EF03DD" w:rsidRPr="000D0573">
        <w:rPr>
          <w:rFonts w:eastAsia="Times New Roman" w:cs="Times New Roman"/>
        </w:rPr>
        <w:t xml:space="preserve"> </w:t>
      </w:r>
      <w:r w:rsidR="00B71CD4" w:rsidRPr="000D0573">
        <w:rPr>
          <w:rFonts w:eastAsia="Times New Roman" w:cs="Times New Roman"/>
        </w:rPr>
        <w:t>arba 0,3098 skaičiavimuose</w:t>
      </w:r>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GF – darbdavio apskaičiuojamos ir mokamos įmokos į garantinį fondą dydis (0,2 proc.</w:t>
      </w:r>
      <w:r w:rsidR="00255FD6" w:rsidRPr="000D0573">
        <w:rPr>
          <w:rFonts w:eastAsia="Times New Roman" w:cs="Times New Roman"/>
        </w:rPr>
        <w:t xml:space="preserve"> arba 0,002 skaičiavimuose</w:t>
      </w:r>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12 – mėnesių skaičius metuose;</w:t>
      </w:r>
    </w:p>
    <w:p w:rsidR="00FD0B92" w:rsidRPr="000D0573" w:rsidRDefault="00FD0B92" w:rsidP="00FD0B92">
      <w:pPr>
        <w:tabs>
          <w:tab w:val="left" w:pos="9600"/>
        </w:tabs>
        <w:ind w:right="74"/>
        <w:jc w:val="both"/>
        <w:rPr>
          <w:rFonts w:eastAsia="Times New Roman" w:cs="Times New Roman"/>
          <w:b/>
        </w:rPr>
      </w:pPr>
      <w:r w:rsidRPr="000D0573">
        <w:rPr>
          <w:rFonts w:eastAsia="Times New Roman" w:cs="Times New Roman"/>
        </w:rPr>
        <w:t xml:space="preserve">232,4 – vidutinis metinis darbo dienų skaičius, gautas išvedus vidurkį iš </w:t>
      </w:r>
      <w:r w:rsidR="002974D2" w:rsidRPr="000D0573">
        <w:rPr>
          <w:rFonts w:eastAsia="Times New Roman" w:cs="Times New Roman"/>
        </w:rPr>
        <w:t xml:space="preserve">penkerių </w:t>
      </w:r>
      <w:r w:rsidRPr="000D0573">
        <w:rPr>
          <w:rFonts w:eastAsia="Times New Roman" w:cs="Times New Roman"/>
        </w:rPr>
        <w:t xml:space="preserve">metų </w:t>
      </w:r>
      <w:r w:rsidR="002974D2" w:rsidRPr="000D0573">
        <w:rPr>
          <w:rFonts w:eastAsia="Times New Roman" w:cs="Times New Roman"/>
        </w:rPr>
        <w:t>(</w:t>
      </w:r>
      <w:r w:rsidRPr="000D0573">
        <w:rPr>
          <w:rFonts w:eastAsia="Times New Roman" w:cs="Times New Roman"/>
        </w:rPr>
        <w:t>2011–2015 m.</w:t>
      </w:r>
      <w:r w:rsidR="002974D2" w:rsidRPr="000D0573">
        <w:rPr>
          <w:rFonts w:eastAsia="Times New Roman" w:cs="Times New Roman"/>
        </w:rPr>
        <w:t>)</w:t>
      </w:r>
      <w:r w:rsidRPr="000D0573">
        <w:rPr>
          <w:rFonts w:eastAsia="Times New Roman" w:cs="Times New Roman"/>
        </w:rPr>
        <w:t xml:space="preserve"> metinio darbo dienų skaičiaus </w:t>
      </w:r>
      <w:r w:rsidR="004257B2" w:rsidRPr="000D0573">
        <w:rPr>
          <w:rFonts w:eastAsia="Times New Roman" w:cs="Times New Roman"/>
        </w:rPr>
        <w:t xml:space="preserve">ir iš jo atėmus dienų skaičių, gautą perskaičiuojant kalendorinių kasmetinių atostogų dienas į darbo dienas </w:t>
      </w:r>
      <w:r w:rsidRPr="000D0573">
        <w:rPr>
          <w:rFonts w:eastAsia="Times New Roman" w:cs="Times New Roman"/>
        </w:rPr>
        <w:t xml:space="preserve">(skaičiavimas parodytas </w:t>
      </w:r>
      <w:r w:rsidR="00F928BA" w:rsidRPr="000D0573">
        <w:rPr>
          <w:rFonts w:eastAsia="Times New Roman" w:cs="Times New Roman"/>
        </w:rPr>
        <w:t>5</w:t>
      </w:r>
      <w:r w:rsidRPr="000D0573">
        <w:rPr>
          <w:rFonts w:eastAsia="Times New Roman" w:cs="Times New Roman"/>
        </w:rPr>
        <w:t xml:space="preserve"> pried</w:t>
      </w:r>
      <w:r w:rsidR="004257B2" w:rsidRPr="000D0573">
        <w:rPr>
          <w:rFonts w:eastAsia="Times New Roman" w:cs="Times New Roman"/>
        </w:rPr>
        <w:t>o 2 lentelėje</w:t>
      </w:r>
      <w:r w:rsidRPr="000D0573">
        <w:rPr>
          <w:rFonts w:eastAsia="Times New Roman" w:cs="Times New Roman"/>
        </w:rPr>
        <w:t xml:space="preserve">).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Perskaičiuojant aukštųjų mokyklų darbo užmokesčio tvarkose nurodytus mėnesinius atlyginimų dydžius į dieninius naudojama formulė: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D.</w:t>
      </w:r>
      <w:r w:rsidR="009E22F7" w:rsidRPr="000D0573">
        <w:rPr>
          <w:rFonts w:eastAsia="Times New Roman" w:cs="Times New Roman"/>
        </w:rPr>
        <w:t xml:space="preserve"> </w:t>
      </w:r>
      <w:r w:rsidRPr="000D0573">
        <w:rPr>
          <w:rFonts w:eastAsia="Times New Roman" w:cs="Times New Roman"/>
        </w:rPr>
        <w:t>d.</w:t>
      </w:r>
      <w:r w:rsidR="009E22F7" w:rsidRPr="000D0573">
        <w:rPr>
          <w:rFonts w:eastAsia="Times New Roman" w:cs="Times New Roman"/>
        </w:rPr>
        <w:t xml:space="preserve"> </w:t>
      </w:r>
      <w:proofErr w:type="spellStart"/>
      <w:r w:rsidRPr="000D0573">
        <w:rPr>
          <w:rFonts w:eastAsia="Times New Roman" w:cs="Times New Roman"/>
        </w:rPr>
        <w:t>įk</w:t>
      </w:r>
      <w:proofErr w:type="spellEnd"/>
      <w:r w:rsidRPr="000D0573">
        <w:rPr>
          <w:rFonts w:eastAsia="Times New Roman" w:cs="Times New Roman"/>
        </w:rPr>
        <w:t>.</w:t>
      </w:r>
      <w:r w:rsidR="009E22F7" w:rsidRPr="000D0573">
        <w:rPr>
          <w:rFonts w:eastAsia="Times New Roman" w:cs="Times New Roman"/>
        </w:rPr>
        <w:t xml:space="preserve"> </w:t>
      </w:r>
      <w:r w:rsidRPr="000D0573">
        <w:rPr>
          <w:rFonts w:eastAsia="Times New Roman" w:cs="Times New Roman"/>
        </w:rPr>
        <w:t>=</w:t>
      </w:r>
      <w:r w:rsidR="009E22F7" w:rsidRPr="000D0573">
        <w:rPr>
          <w:rFonts w:eastAsia="Times New Roman" w:cs="Times New Roman"/>
        </w:rPr>
        <w:t xml:space="preserve"> </w:t>
      </w:r>
      <w:r w:rsidRPr="000D0573">
        <w:rPr>
          <w:rFonts w:eastAsia="Times New Roman" w:cs="Times New Roman"/>
        </w:rPr>
        <w:t>(MTA</w:t>
      </w:r>
      <w:r w:rsidR="009E22F7" w:rsidRPr="000D0573">
        <w:rPr>
          <w:rFonts w:eastAsia="Times New Roman" w:cs="Times New Roman"/>
        </w:rPr>
        <w:t xml:space="preserve"> </w:t>
      </w:r>
      <w:r w:rsidRPr="000D0573">
        <w:rPr>
          <w:rFonts w:eastAsia="Times New Roman" w:cs="Times New Roman"/>
        </w:rPr>
        <w:t>+ MTA</w:t>
      </w:r>
      <w:r w:rsidR="009E22F7" w:rsidRPr="000D0573">
        <w:rPr>
          <w:rFonts w:eastAsia="Times New Roman" w:cs="Times New Roman"/>
        </w:rPr>
        <w:t xml:space="preserve"> × </w:t>
      </w:r>
      <w:r w:rsidRPr="000D0573">
        <w:rPr>
          <w:rFonts w:eastAsia="Times New Roman" w:cs="Times New Roman"/>
        </w:rPr>
        <w:t>VSDĮ</w:t>
      </w:r>
      <w:r w:rsidRPr="000D0573" w:rsidDel="00BF2244">
        <w:rPr>
          <w:rFonts w:eastAsia="Times New Roman" w:cs="Times New Roman"/>
        </w:rPr>
        <w:t xml:space="preserve"> </w:t>
      </w:r>
      <w:r w:rsidRPr="000D0573">
        <w:rPr>
          <w:rFonts w:eastAsia="Times New Roman" w:cs="Times New Roman"/>
        </w:rPr>
        <w:t>+ MTA</w:t>
      </w:r>
      <w:r w:rsidR="009E22F7" w:rsidRPr="000D0573">
        <w:rPr>
          <w:rFonts w:eastAsia="Times New Roman" w:cs="Times New Roman"/>
        </w:rPr>
        <w:t xml:space="preserve"> × </w:t>
      </w:r>
      <w:r w:rsidRPr="000D0573">
        <w:rPr>
          <w:rFonts w:eastAsia="Times New Roman" w:cs="Times New Roman"/>
        </w:rPr>
        <w:t>GF)</w:t>
      </w:r>
      <w:r w:rsidR="009E22F7" w:rsidRPr="000D0573">
        <w:rPr>
          <w:rFonts w:eastAsia="Times New Roman" w:cs="Times New Roman"/>
        </w:rPr>
        <w:t xml:space="preserve"> × </w:t>
      </w:r>
      <w:r w:rsidRPr="000D0573">
        <w:rPr>
          <w:rFonts w:eastAsia="Times New Roman" w:cs="Times New Roman"/>
        </w:rPr>
        <w:t>12</w:t>
      </w:r>
      <w:r w:rsidR="009E22F7" w:rsidRPr="000D0573">
        <w:rPr>
          <w:rFonts w:eastAsia="Times New Roman" w:cs="Times New Roman"/>
        </w:rPr>
        <w:t xml:space="preserve"> </w:t>
      </w:r>
      <w:r w:rsidRPr="000D0573">
        <w:rPr>
          <w:rFonts w:eastAsia="Times New Roman" w:cs="Times New Roman"/>
        </w:rPr>
        <w:t>/</w:t>
      </w:r>
      <w:r w:rsidR="009E22F7" w:rsidRPr="000D0573">
        <w:rPr>
          <w:rFonts w:eastAsia="Times New Roman" w:cs="Times New Roman"/>
        </w:rPr>
        <w:t xml:space="preserve"> </w:t>
      </w:r>
      <w:r w:rsidRPr="000D0573">
        <w:rPr>
          <w:rFonts w:eastAsia="Times New Roman" w:cs="Times New Roman"/>
        </w:rPr>
        <w:t xml:space="preserve">232,4, </w:t>
      </w:r>
      <w:r w:rsidR="009E22F7" w:rsidRPr="000D0573">
        <w:rPr>
          <w:rFonts w:eastAsia="Times New Roman" w:cs="Times New Roman"/>
        </w:rPr>
        <w:t>kai</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MTA – mėnesinis tarnybinis atlyginimas (</w:t>
      </w:r>
      <w:proofErr w:type="spellStart"/>
      <w:r w:rsidRPr="000D0573">
        <w:rPr>
          <w:rFonts w:eastAsia="Times New Roman" w:cs="Times New Roman"/>
        </w:rPr>
        <w:t>Eur</w:t>
      </w:r>
      <w:proofErr w:type="spellEnd"/>
      <w:r w:rsidRPr="000D0573">
        <w:rPr>
          <w:rFonts w:eastAsia="Times New Roman" w:cs="Times New Roman"/>
        </w:rPr>
        <w:t>), nurodytas aukštųjų mokyklų darbo užmokesčio tvarkose;</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 xml:space="preserve">VSDĮ – darbdavio apskaičiuojamos ir mokamos valstybinio socialinio draudimo įmokos dydis </w:t>
      </w:r>
      <w:r w:rsidR="00255FD6" w:rsidRPr="000D0573">
        <w:rPr>
          <w:rFonts w:eastAsia="Times New Roman" w:cs="Times New Roman"/>
        </w:rPr>
        <w:t>(30,98 proc.  arba 0,3098 skaičiavimuose)</w:t>
      </w:r>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 xml:space="preserve">GF – darbdavio apskaičiuojamos ir mokamos įmokos į garantinį fondą dydis </w:t>
      </w:r>
      <w:r w:rsidR="00255FD6" w:rsidRPr="000D0573">
        <w:rPr>
          <w:rFonts w:eastAsia="Times New Roman" w:cs="Times New Roman"/>
        </w:rPr>
        <w:t>(0,2 proc. arba 0,002 skaičiavimuose)</w:t>
      </w:r>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rPr>
      </w:pPr>
      <w:r w:rsidRPr="000D0573">
        <w:rPr>
          <w:rFonts w:eastAsia="Times New Roman" w:cs="Times New Roman"/>
        </w:rPr>
        <w:t xml:space="preserve">12 – mėnesių skaičius </w:t>
      </w:r>
      <w:r w:rsidR="002974D2" w:rsidRPr="000D0573">
        <w:rPr>
          <w:rFonts w:eastAsia="Times New Roman" w:cs="Times New Roman"/>
        </w:rPr>
        <w:t>per metus</w:t>
      </w:r>
      <w:r w:rsidRPr="000D0573">
        <w:rPr>
          <w:rFonts w:eastAsia="Times New Roman" w:cs="Times New Roman"/>
        </w:rPr>
        <w:t>;</w:t>
      </w:r>
    </w:p>
    <w:p w:rsidR="00FD0B92" w:rsidRPr="000D0573" w:rsidRDefault="00FD0B92" w:rsidP="00FD0B92">
      <w:pPr>
        <w:tabs>
          <w:tab w:val="left" w:pos="9600"/>
        </w:tabs>
        <w:ind w:right="74"/>
        <w:jc w:val="both"/>
        <w:rPr>
          <w:rFonts w:eastAsia="Times New Roman" w:cs="Times New Roman"/>
          <w:b/>
        </w:rPr>
      </w:pPr>
      <w:r w:rsidRPr="000D0573">
        <w:rPr>
          <w:rFonts w:eastAsia="Times New Roman" w:cs="Times New Roman"/>
        </w:rPr>
        <w:t>232,</w:t>
      </w:r>
      <w:r w:rsidR="00C86E2F" w:rsidRPr="000D0573">
        <w:rPr>
          <w:rFonts w:eastAsia="Times New Roman" w:cs="Times New Roman"/>
        </w:rPr>
        <w:t xml:space="preserve">4 </w:t>
      </w:r>
      <w:r w:rsidRPr="000D0573">
        <w:rPr>
          <w:rFonts w:eastAsia="Times New Roman" w:cs="Times New Roman"/>
        </w:rPr>
        <w:t xml:space="preserve">– vidutinis metinis darbo dienų skaičius, gautas išvedus vidurkį iš </w:t>
      </w:r>
      <w:r w:rsidR="002974D2" w:rsidRPr="000D0573">
        <w:rPr>
          <w:rFonts w:eastAsia="Times New Roman" w:cs="Times New Roman"/>
        </w:rPr>
        <w:t xml:space="preserve">penkerių </w:t>
      </w:r>
      <w:r w:rsidRPr="000D0573">
        <w:rPr>
          <w:rFonts w:eastAsia="Times New Roman" w:cs="Times New Roman"/>
        </w:rPr>
        <w:t xml:space="preserve">metų </w:t>
      </w:r>
      <w:r w:rsidR="002974D2" w:rsidRPr="000D0573">
        <w:rPr>
          <w:rFonts w:eastAsia="Times New Roman" w:cs="Times New Roman"/>
        </w:rPr>
        <w:t>(</w:t>
      </w:r>
      <w:r w:rsidRPr="000D0573">
        <w:rPr>
          <w:rFonts w:eastAsia="Times New Roman" w:cs="Times New Roman"/>
        </w:rPr>
        <w:t>201</w:t>
      </w:r>
      <w:r w:rsidR="00255FD6" w:rsidRPr="000D0573">
        <w:rPr>
          <w:rFonts w:eastAsia="Times New Roman" w:cs="Times New Roman"/>
        </w:rPr>
        <w:t>1</w:t>
      </w:r>
      <w:r w:rsidRPr="000D0573">
        <w:rPr>
          <w:rFonts w:eastAsia="Times New Roman" w:cs="Times New Roman"/>
        </w:rPr>
        <w:t>–201</w:t>
      </w:r>
      <w:r w:rsidR="00255FD6" w:rsidRPr="000D0573">
        <w:rPr>
          <w:rFonts w:eastAsia="Times New Roman" w:cs="Times New Roman"/>
        </w:rPr>
        <w:t>5</w:t>
      </w:r>
      <w:r w:rsidRPr="000D0573">
        <w:rPr>
          <w:rFonts w:eastAsia="Times New Roman" w:cs="Times New Roman"/>
        </w:rPr>
        <w:t xml:space="preserve"> m.</w:t>
      </w:r>
      <w:r w:rsidR="002974D2" w:rsidRPr="000D0573">
        <w:rPr>
          <w:rFonts w:eastAsia="Times New Roman" w:cs="Times New Roman"/>
        </w:rPr>
        <w:t>)</w:t>
      </w:r>
      <w:r w:rsidRPr="000D0573">
        <w:rPr>
          <w:rFonts w:eastAsia="Times New Roman" w:cs="Times New Roman"/>
        </w:rPr>
        <w:t xml:space="preserve"> metinio darbo dienų skaičiaus </w:t>
      </w:r>
      <w:r w:rsidR="004257B2" w:rsidRPr="000D0573">
        <w:rPr>
          <w:rFonts w:eastAsia="Times New Roman" w:cs="Times New Roman"/>
        </w:rPr>
        <w:t xml:space="preserve">ir iš jo atėmus dienų skaičių, gautą perskaičiuojant kalendorinių kasmetinių atostogų dienas į darbo dienas </w:t>
      </w:r>
      <w:r w:rsidRPr="000D0573">
        <w:rPr>
          <w:rFonts w:eastAsia="Times New Roman" w:cs="Times New Roman"/>
        </w:rPr>
        <w:t xml:space="preserve">(skaičiavimas parodytas </w:t>
      </w:r>
      <w:r w:rsidR="003A64E4" w:rsidRPr="000D0573">
        <w:rPr>
          <w:rFonts w:eastAsia="Times New Roman" w:cs="Times New Roman"/>
        </w:rPr>
        <w:t>5</w:t>
      </w:r>
      <w:r w:rsidRPr="000D0573">
        <w:rPr>
          <w:rFonts w:eastAsia="Times New Roman" w:cs="Times New Roman"/>
        </w:rPr>
        <w:t xml:space="preserve"> pried</w:t>
      </w:r>
      <w:r w:rsidR="004257B2" w:rsidRPr="000D0573">
        <w:rPr>
          <w:rFonts w:eastAsia="Times New Roman" w:cs="Times New Roman"/>
        </w:rPr>
        <w:t>o 2</w:t>
      </w:r>
      <w:r w:rsidR="002974D2" w:rsidRPr="000D0573">
        <w:rPr>
          <w:rFonts w:eastAsia="Times New Roman" w:cs="Times New Roman"/>
        </w:rPr>
        <w:t> </w:t>
      </w:r>
      <w:r w:rsidR="004257B2" w:rsidRPr="000D0573">
        <w:rPr>
          <w:rFonts w:eastAsia="Times New Roman" w:cs="Times New Roman"/>
        </w:rPr>
        <w:t>lentelėje</w:t>
      </w:r>
      <w:r w:rsidRPr="000D0573">
        <w:rPr>
          <w:rFonts w:eastAsia="Times New Roman" w:cs="Times New Roman"/>
        </w:rPr>
        <w:t xml:space="preserve">). </w:t>
      </w:r>
    </w:p>
    <w:p w:rsidR="00FD0B92" w:rsidRPr="000D0573" w:rsidRDefault="00EB7DB7" w:rsidP="00FD0B92">
      <w:pPr>
        <w:tabs>
          <w:tab w:val="left" w:pos="9600"/>
        </w:tabs>
        <w:spacing w:before="240" w:after="240"/>
        <w:ind w:right="74"/>
        <w:jc w:val="both"/>
        <w:rPr>
          <w:rFonts w:eastAsia="Times New Roman" w:cs="Times New Roman"/>
        </w:rPr>
      </w:pPr>
      <w:r w:rsidRPr="000D0573">
        <w:rPr>
          <w:rFonts w:eastAsia="Times New Roman" w:cs="Times New Roman"/>
        </w:rPr>
        <w:lastRenderedPageBreak/>
        <w:t>Taip</w:t>
      </w:r>
      <w:r w:rsidR="00FD0B92" w:rsidRPr="000D0573">
        <w:rPr>
          <w:rFonts w:eastAsia="Times New Roman" w:cs="Times New Roman"/>
        </w:rPr>
        <w:t xml:space="preserve"> iš skirtingų aukštųjų mokyklų įkainių tipų buvo suskaičiuoti vienos darbo dienos įkainių maksimalių įkainių vidurkiai keturioms personalo darbuotojų pareigyb</w:t>
      </w:r>
      <w:r w:rsidR="0074026B" w:rsidRPr="000D0573">
        <w:rPr>
          <w:rFonts w:eastAsia="Times New Roman" w:cs="Times New Roman"/>
        </w:rPr>
        <w:t>ių poroms</w:t>
      </w:r>
      <w:r w:rsidR="00FD0B92" w:rsidRPr="000D0573">
        <w:rPr>
          <w:rFonts w:eastAsia="Times New Roman" w:cs="Times New Roman"/>
        </w:rPr>
        <w:t xml:space="preserve"> – profesoriui ir vyriausiajam mokslo darbuotojui, docentui ir vyresniajam mokslo darbuotojui, lektoriui ir mokslo darbuotojui, asistentui ir jaunesniajam mokslo darbuotojui (žr. </w:t>
      </w:r>
      <w:r w:rsidR="009E22F7" w:rsidRPr="000D0573">
        <w:rPr>
          <w:rFonts w:eastAsia="Times New Roman" w:cs="Times New Roman"/>
        </w:rPr>
        <w:t xml:space="preserve">6 </w:t>
      </w:r>
      <w:r w:rsidR="00FD0B92" w:rsidRPr="000D0573">
        <w:rPr>
          <w:rFonts w:eastAsia="Times New Roman" w:cs="Times New Roman"/>
        </w:rPr>
        <w:t xml:space="preserve">priedą). </w:t>
      </w:r>
    </w:p>
    <w:p w:rsidR="00FD0B92" w:rsidRPr="000D0573" w:rsidRDefault="00EB7DB7" w:rsidP="00FD0B92">
      <w:pPr>
        <w:tabs>
          <w:tab w:val="left" w:pos="9600"/>
        </w:tabs>
        <w:spacing w:before="240" w:after="240"/>
        <w:ind w:right="74"/>
        <w:jc w:val="both"/>
        <w:rPr>
          <w:rFonts w:eastAsia="Times New Roman" w:cs="Times New Roman"/>
        </w:rPr>
      </w:pPr>
      <w:r w:rsidRPr="000D0573">
        <w:rPr>
          <w:rFonts w:eastAsia="Times New Roman" w:cs="Times New Roman"/>
        </w:rPr>
        <w:t>A</w:t>
      </w:r>
      <w:r w:rsidR="00FD0B92" w:rsidRPr="000D0573">
        <w:rPr>
          <w:rFonts w:eastAsia="Times New Roman" w:cs="Times New Roman"/>
        </w:rPr>
        <w:t>tkreipti</w:t>
      </w:r>
      <w:r w:rsidRPr="000D0573">
        <w:rPr>
          <w:rFonts w:eastAsia="Times New Roman" w:cs="Times New Roman"/>
        </w:rPr>
        <w:t>nas</w:t>
      </w:r>
      <w:r w:rsidR="00FD0B92" w:rsidRPr="000D0573">
        <w:rPr>
          <w:rFonts w:eastAsia="Times New Roman" w:cs="Times New Roman"/>
        </w:rPr>
        <w:t xml:space="preserve"> </w:t>
      </w:r>
      <w:r w:rsidRPr="000D0573">
        <w:rPr>
          <w:rFonts w:eastAsia="Times New Roman" w:cs="Times New Roman"/>
        </w:rPr>
        <w:t>dėmesys</w:t>
      </w:r>
      <w:r w:rsidR="00FD0B92" w:rsidRPr="000D0573">
        <w:rPr>
          <w:rFonts w:eastAsia="Times New Roman" w:cs="Times New Roman"/>
        </w:rPr>
        <w:t xml:space="preserve">, kad dėstytojai ir mokslo darbuotojai yra </w:t>
      </w:r>
      <w:r w:rsidRPr="000D0573">
        <w:rPr>
          <w:rFonts w:eastAsia="Times New Roman" w:cs="Times New Roman"/>
        </w:rPr>
        <w:t xml:space="preserve">sujungti </w:t>
      </w:r>
      <w:r w:rsidR="00FD0B92" w:rsidRPr="000D0573">
        <w:rPr>
          <w:rFonts w:eastAsia="Times New Roman" w:cs="Times New Roman"/>
        </w:rPr>
        <w:t xml:space="preserve">į vieną kategoriją, nes peržiūrėjus </w:t>
      </w:r>
      <w:r w:rsidR="00255FD6" w:rsidRPr="000D0573">
        <w:rPr>
          <w:rFonts w:eastAsia="Times New Roman" w:cs="Times New Roman"/>
        </w:rPr>
        <w:t xml:space="preserve">aukštųjų mokyklų </w:t>
      </w:r>
      <w:r w:rsidR="00FD0B92" w:rsidRPr="000D0573">
        <w:rPr>
          <w:rFonts w:eastAsia="Times New Roman" w:cs="Times New Roman"/>
        </w:rPr>
        <w:t xml:space="preserve">darbo užmokesčio tvarkas pastebėta, kad tarnybinio atlyginimo koeficientų intervalai nustatomi tokie patys. Minėtoms pareigybėms </w:t>
      </w:r>
      <w:r w:rsidRPr="000D0573">
        <w:rPr>
          <w:rFonts w:eastAsia="Times New Roman" w:cs="Times New Roman"/>
        </w:rPr>
        <w:t xml:space="preserve">apskaičiuoti </w:t>
      </w:r>
      <w:r w:rsidR="00FD0B92" w:rsidRPr="000D0573">
        <w:rPr>
          <w:rFonts w:eastAsia="Times New Roman" w:cs="Times New Roman"/>
        </w:rPr>
        <w:t xml:space="preserve">dydžiai matomi 1 lentelėje, o nuoseklus skaičiavimas </w:t>
      </w:r>
      <w:r w:rsidR="004C53C8" w:rsidRPr="000D0573">
        <w:rPr>
          <w:rFonts w:eastAsia="Times New Roman" w:cs="Times New Roman"/>
        </w:rPr>
        <w:t xml:space="preserve">parodomas </w:t>
      </w:r>
      <w:r w:rsidR="009E22F7" w:rsidRPr="000D0573">
        <w:rPr>
          <w:rFonts w:eastAsia="Times New Roman" w:cs="Times New Roman"/>
        </w:rPr>
        <w:t xml:space="preserve">6 </w:t>
      </w:r>
      <w:r w:rsidR="00FD0B92" w:rsidRPr="000D0573">
        <w:rPr>
          <w:rFonts w:eastAsia="Times New Roman" w:cs="Times New Roman"/>
        </w:rPr>
        <w:t>priede.</w:t>
      </w:r>
    </w:p>
    <w:p w:rsidR="00C3213F"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Saugant aukštųjų mokyklų duomenų konfidencialumą, 1 lentelėje ir </w:t>
      </w:r>
      <w:r w:rsidR="00897401" w:rsidRPr="000D0573">
        <w:rPr>
          <w:rFonts w:eastAsia="Times New Roman" w:cs="Times New Roman"/>
        </w:rPr>
        <w:t>6</w:t>
      </w:r>
      <w:r w:rsidRPr="000D0573">
        <w:rPr>
          <w:rFonts w:eastAsia="Times New Roman" w:cs="Times New Roman"/>
        </w:rPr>
        <w:t xml:space="preserve"> priede pateikiami nuasmeninti duomenys</w:t>
      </w:r>
      <w:r w:rsidRPr="000D0573">
        <w:rPr>
          <w:rFonts w:eastAsia="Times New Roman" w:cs="Times New Roman"/>
          <w:vertAlign w:val="superscript"/>
        </w:rPr>
        <w:footnoteReference w:id="18"/>
      </w:r>
      <w:r w:rsidRPr="000D0573">
        <w:rPr>
          <w:rFonts w:eastAsia="Times New Roman" w:cs="Times New Roman"/>
        </w:rPr>
        <w:t xml:space="preserve">. </w:t>
      </w:r>
    </w:p>
    <w:p w:rsidR="00FD0B92" w:rsidRPr="000D0573" w:rsidRDefault="00FD0B92" w:rsidP="00FD0B92">
      <w:pPr>
        <w:keepNext/>
        <w:spacing w:line="240" w:lineRule="auto"/>
        <w:rPr>
          <w:rFonts w:eastAsia="Calibri" w:cs="Times New Roman"/>
          <w:b/>
          <w:bCs/>
          <w:sz w:val="22"/>
          <w:szCs w:val="18"/>
          <w:lang w:eastAsia="en-US"/>
        </w:rPr>
      </w:pPr>
      <w:r w:rsidRPr="000D0573">
        <w:rPr>
          <w:rFonts w:eastAsia="Calibri" w:cs="Times New Roman"/>
          <w:b/>
          <w:bCs/>
          <w:sz w:val="22"/>
          <w:szCs w:val="18"/>
          <w:lang w:eastAsia="en-US"/>
        </w:rPr>
        <w:fldChar w:fldCharType="begin"/>
      </w:r>
      <w:r w:rsidRPr="000D0573">
        <w:rPr>
          <w:rFonts w:eastAsia="Calibri" w:cs="Times New Roman"/>
          <w:b/>
          <w:bCs/>
          <w:sz w:val="22"/>
          <w:szCs w:val="18"/>
          <w:lang w:eastAsia="en-US"/>
        </w:rPr>
        <w:instrText xml:space="preserve"> SEQ Lentelė \* ARABIC </w:instrText>
      </w:r>
      <w:r w:rsidRPr="000D0573">
        <w:rPr>
          <w:rFonts w:eastAsia="Calibri" w:cs="Times New Roman"/>
          <w:b/>
          <w:bCs/>
          <w:sz w:val="22"/>
          <w:szCs w:val="18"/>
          <w:lang w:eastAsia="en-US"/>
        </w:rPr>
        <w:fldChar w:fldCharType="separate"/>
      </w:r>
      <w:bookmarkStart w:id="16" w:name="_Toc465415133"/>
      <w:r w:rsidR="0058292F">
        <w:rPr>
          <w:rFonts w:eastAsia="Calibri" w:cs="Times New Roman"/>
          <w:b/>
          <w:bCs/>
          <w:noProof/>
          <w:sz w:val="22"/>
          <w:szCs w:val="18"/>
          <w:lang w:eastAsia="en-US"/>
        </w:rPr>
        <w:t>1</w:t>
      </w:r>
      <w:r w:rsidRPr="000D0573">
        <w:rPr>
          <w:rFonts w:eastAsia="Calibri" w:cs="Times New Roman"/>
          <w:b/>
          <w:bCs/>
          <w:sz w:val="22"/>
          <w:szCs w:val="18"/>
          <w:lang w:eastAsia="en-US"/>
        </w:rPr>
        <w:fldChar w:fldCharType="end"/>
      </w:r>
      <w:r w:rsidRPr="000D0573">
        <w:rPr>
          <w:rFonts w:eastAsia="Calibri" w:cs="Times New Roman"/>
          <w:b/>
          <w:bCs/>
          <w:sz w:val="22"/>
          <w:szCs w:val="18"/>
          <w:lang w:eastAsia="en-US"/>
        </w:rPr>
        <w:t xml:space="preserve"> lentelė. Maksimalių darbo užmokesčio įkainių vidurkiai Lietuvos aukštosiose mokyklose (</w:t>
      </w:r>
      <w:proofErr w:type="spellStart"/>
      <w:r w:rsidR="00EB7DB7" w:rsidRPr="000D0573">
        <w:rPr>
          <w:rFonts w:eastAsia="Calibri" w:cs="Times New Roman"/>
          <w:b/>
          <w:bCs/>
          <w:sz w:val="22"/>
          <w:szCs w:val="18"/>
          <w:lang w:eastAsia="en-US"/>
        </w:rPr>
        <w:t>Eur</w:t>
      </w:r>
      <w:proofErr w:type="spellEnd"/>
      <w:r w:rsidRPr="000D0573">
        <w:rPr>
          <w:rFonts w:eastAsia="Calibri" w:cs="Times New Roman"/>
          <w:b/>
          <w:bCs/>
          <w:sz w:val="22"/>
          <w:szCs w:val="18"/>
          <w:lang w:eastAsia="en-US"/>
        </w:rPr>
        <w:t>/d.</w:t>
      </w:r>
      <w:r w:rsidR="00EB7DB7" w:rsidRPr="000D0573">
        <w:rPr>
          <w:rFonts w:eastAsia="Calibri" w:cs="Times New Roman"/>
          <w:b/>
          <w:bCs/>
          <w:sz w:val="22"/>
          <w:szCs w:val="18"/>
          <w:lang w:eastAsia="en-US"/>
        </w:rPr>
        <w:t> </w:t>
      </w:r>
      <w:r w:rsidRPr="000D0573">
        <w:rPr>
          <w:rFonts w:eastAsia="Calibri" w:cs="Times New Roman"/>
          <w:b/>
          <w:bCs/>
          <w:sz w:val="22"/>
          <w:szCs w:val="18"/>
          <w:lang w:eastAsia="en-US"/>
        </w:rPr>
        <w:t>d.)</w:t>
      </w:r>
      <w:bookmarkEnd w:id="16"/>
    </w:p>
    <w:tbl>
      <w:tblPr>
        <w:tblW w:w="10075" w:type="dxa"/>
        <w:tblInd w:w="98" w:type="dxa"/>
        <w:tblLayout w:type="fixed"/>
        <w:tblLook w:val="04A0" w:firstRow="1" w:lastRow="0" w:firstColumn="1" w:lastColumn="0" w:noHBand="0" w:noVBand="1"/>
      </w:tblPr>
      <w:tblGrid>
        <w:gridCol w:w="572"/>
        <w:gridCol w:w="1848"/>
        <w:gridCol w:w="1418"/>
        <w:gridCol w:w="1559"/>
        <w:gridCol w:w="1559"/>
        <w:gridCol w:w="1559"/>
        <w:gridCol w:w="1560"/>
      </w:tblGrid>
      <w:tr w:rsidR="00FD0B92" w:rsidRPr="000D0573" w:rsidTr="0028727B">
        <w:trPr>
          <w:trHeight w:val="1425"/>
        </w:trPr>
        <w:tc>
          <w:tcPr>
            <w:tcW w:w="572" w:type="dxa"/>
            <w:tcBorders>
              <w:top w:val="nil"/>
              <w:left w:val="single" w:sz="8" w:space="0" w:color="31869B"/>
              <w:bottom w:val="nil"/>
              <w:right w:val="single" w:sz="4" w:space="0" w:color="FFFFFF" w:themeColor="background1"/>
            </w:tcBorders>
            <w:shd w:val="clear" w:color="000000" w:fill="31869B"/>
            <w:vAlign w:val="center"/>
            <w:hideMark/>
          </w:tcPr>
          <w:p w:rsidR="00FD0B92" w:rsidRPr="000D0573" w:rsidRDefault="00FD0B92" w:rsidP="000D0573">
            <w:pPr>
              <w:spacing w:line="240" w:lineRule="auto"/>
              <w:jc w:val="center"/>
              <w:rPr>
                <w:rFonts w:eastAsia="Times New Roman" w:cs="Times New Roman"/>
                <w:color w:val="FFFFFF"/>
                <w:sz w:val="22"/>
              </w:rPr>
            </w:pPr>
            <w:r w:rsidRPr="000D0573">
              <w:rPr>
                <w:rFonts w:eastAsia="Times New Roman" w:cs="Times New Roman"/>
                <w:color w:val="FFFFFF"/>
                <w:sz w:val="22"/>
              </w:rPr>
              <w:t xml:space="preserve">Eil. </w:t>
            </w:r>
            <w:r w:rsidR="000D0573">
              <w:rPr>
                <w:rFonts w:eastAsia="Times New Roman" w:cs="Times New Roman"/>
                <w:color w:val="FFFFFF"/>
                <w:sz w:val="22"/>
              </w:rPr>
              <w:t>n</w:t>
            </w:r>
            <w:r w:rsidRPr="000D0573">
              <w:rPr>
                <w:rFonts w:eastAsia="Times New Roman" w:cs="Times New Roman"/>
                <w:color w:val="FFFFFF"/>
                <w:sz w:val="22"/>
              </w:rPr>
              <w:t>r.</w:t>
            </w:r>
          </w:p>
        </w:tc>
        <w:tc>
          <w:tcPr>
            <w:tcW w:w="1848"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31869B"/>
            <w:vAlign w:val="center"/>
            <w:hideMark/>
          </w:tcPr>
          <w:p w:rsidR="00FD0B92" w:rsidRPr="000D0573" w:rsidRDefault="00FD0B92" w:rsidP="00FD0B92">
            <w:pPr>
              <w:spacing w:line="240" w:lineRule="auto"/>
              <w:jc w:val="center"/>
              <w:rPr>
                <w:rFonts w:eastAsia="Times New Roman" w:cs="Times New Roman"/>
                <w:color w:val="FFFFFF"/>
                <w:sz w:val="22"/>
              </w:rPr>
            </w:pPr>
            <w:r w:rsidRPr="000D0573">
              <w:rPr>
                <w:rFonts w:eastAsia="Times New Roman" w:cs="Times New Roman"/>
                <w:color w:val="FFFFFF"/>
                <w:sz w:val="22"/>
              </w:rPr>
              <w:t>Aukštoji mokykla</w:t>
            </w:r>
          </w:p>
        </w:tc>
        <w:tc>
          <w:tcPr>
            <w:tcW w:w="1418"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31869B"/>
            <w:vAlign w:val="center"/>
          </w:tcPr>
          <w:p w:rsidR="00FD0B92" w:rsidRPr="000D0573" w:rsidRDefault="00FD0B92" w:rsidP="00FD0B92">
            <w:pPr>
              <w:spacing w:line="240" w:lineRule="auto"/>
              <w:jc w:val="center"/>
              <w:rPr>
                <w:rFonts w:eastAsia="Times New Roman" w:cs="Times New Roman"/>
                <w:color w:val="FFFFFF"/>
                <w:sz w:val="22"/>
              </w:rPr>
            </w:pPr>
            <w:r w:rsidRPr="000D0573">
              <w:rPr>
                <w:rFonts w:eastAsia="Times New Roman" w:cs="Times New Roman"/>
                <w:color w:val="FFFFFF"/>
                <w:sz w:val="22"/>
              </w:rPr>
              <w:t>Įkainio tipas</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31869B"/>
            <w:vAlign w:val="center"/>
            <w:hideMark/>
          </w:tcPr>
          <w:p w:rsidR="00FD0B92" w:rsidRPr="000D0573" w:rsidRDefault="00E51B62" w:rsidP="00FD0B92">
            <w:pPr>
              <w:spacing w:line="240" w:lineRule="auto"/>
              <w:jc w:val="center"/>
              <w:rPr>
                <w:rFonts w:eastAsia="Times New Roman" w:cs="Times New Roman"/>
                <w:color w:val="FFFFFF"/>
                <w:sz w:val="22"/>
              </w:rPr>
            </w:pPr>
            <w:r w:rsidRPr="000D0573">
              <w:rPr>
                <w:rFonts w:eastAsia="Times New Roman" w:cs="Times New Roman"/>
                <w:color w:val="FFFFFF"/>
                <w:sz w:val="22"/>
              </w:rPr>
              <w:t xml:space="preserve">Profesorius </w:t>
            </w:r>
            <w:r w:rsidR="00FD0B92" w:rsidRPr="000D0573">
              <w:rPr>
                <w:rFonts w:eastAsia="Times New Roman" w:cs="Times New Roman"/>
                <w:color w:val="FFFFFF"/>
                <w:sz w:val="22"/>
              </w:rPr>
              <w:t>/ vyriausias</w:t>
            </w:r>
            <w:r w:rsidRPr="000D0573">
              <w:rPr>
                <w:rFonts w:eastAsia="Times New Roman" w:cs="Times New Roman"/>
                <w:color w:val="FFFFFF"/>
                <w:sz w:val="22"/>
              </w:rPr>
              <w:t>is</w:t>
            </w:r>
            <w:r w:rsidR="00FD0B92" w:rsidRPr="000D0573">
              <w:rPr>
                <w:rFonts w:eastAsia="Times New Roman" w:cs="Times New Roman"/>
                <w:color w:val="FFFFFF"/>
                <w:sz w:val="22"/>
              </w:rPr>
              <w:t xml:space="preserve"> mokslo darbuotojas</w:t>
            </w:r>
          </w:p>
        </w:tc>
        <w:tc>
          <w:tcPr>
            <w:tcW w:w="1559" w:type="dxa"/>
            <w:tcBorders>
              <w:top w:val="nil"/>
              <w:left w:val="single" w:sz="4" w:space="0" w:color="FFFFFF" w:themeColor="background1"/>
              <w:bottom w:val="nil"/>
              <w:right w:val="single" w:sz="4" w:space="0" w:color="B7DEE8"/>
            </w:tcBorders>
            <w:shd w:val="clear" w:color="000000" w:fill="31869B"/>
            <w:vAlign w:val="center"/>
            <w:hideMark/>
          </w:tcPr>
          <w:p w:rsidR="00FD0B92" w:rsidRPr="000D0573" w:rsidRDefault="00E51B62" w:rsidP="00FD0B92">
            <w:pPr>
              <w:spacing w:line="240" w:lineRule="auto"/>
              <w:jc w:val="center"/>
              <w:rPr>
                <w:rFonts w:eastAsia="Times New Roman" w:cs="Times New Roman"/>
                <w:color w:val="FFFFFF"/>
                <w:sz w:val="22"/>
              </w:rPr>
            </w:pPr>
            <w:r w:rsidRPr="000D0573">
              <w:rPr>
                <w:rFonts w:eastAsia="Times New Roman" w:cs="Times New Roman"/>
                <w:color w:val="FFFFFF"/>
                <w:sz w:val="22"/>
              </w:rPr>
              <w:t xml:space="preserve">Docentas </w:t>
            </w:r>
            <w:r w:rsidR="00FD0B92" w:rsidRPr="000D0573">
              <w:rPr>
                <w:rFonts w:eastAsia="Times New Roman" w:cs="Times New Roman"/>
                <w:color w:val="FFFFFF"/>
                <w:sz w:val="22"/>
              </w:rPr>
              <w:t>/ vyresnysis mokslo darbuotojas</w:t>
            </w:r>
          </w:p>
        </w:tc>
        <w:tc>
          <w:tcPr>
            <w:tcW w:w="1559" w:type="dxa"/>
            <w:tcBorders>
              <w:top w:val="nil"/>
              <w:left w:val="nil"/>
              <w:bottom w:val="nil"/>
              <w:right w:val="single" w:sz="4" w:space="0" w:color="B7DEE8"/>
            </w:tcBorders>
            <w:shd w:val="clear" w:color="000000" w:fill="31869B"/>
            <w:vAlign w:val="center"/>
            <w:hideMark/>
          </w:tcPr>
          <w:p w:rsidR="00FD0B92" w:rsidRPr="000D0573" w:rsidRDefault="00E51B62" w:rsidP="00FD0B92">
            <w:pPr>
              <w:spacing w:line="240" w:lineRule="auto"/>
              <w:jc w:val="center"/>
              <w:rPr>
                <w:rFonts w:eastAsia="Times New Roman" w:cs="Times New Roman"/>
                <w:color w:val="FFFFFF"/>
                <w:sz w:val="22"/>
              </w:rPr>
            </w:pPr>
            <w:r w:rsidRPr="000D0573">
              <w:rPr>
                <w:rFonts w:eastAsia="Times New Roman" w:cs="Times New Roman"/>
                <w:color w:val="FFFFFF"/>
                <w:sz w:val="22"/>
              </w:rPr>
              <w:t xml:space="preserve">Lektorius </w:t>
            </w:r>
            <w:r w:rsidR="00FD0B92" w:rsidRPr="000D0573">
              <w:rPr>
                <w:rFonts w:eastAsia="Times New Roman" w:cs="Times New Roman"/>
                <w:color w:val="FFFFFF"/>
                <w:sz w:val="22"/>
              </w:rPr>
              <w:t>/ mokslo darbuotojas</w:t>
            </w:r>
          </w:p>
        </w:tc>
        <w:tc>
          <w:tcPr>
            <w:tcW w:w="1560" w:type="dxa"/>
            <w:tcBorders>
              <w:top w:val="nil"/>
              <w:left w:val="nil"/>
              <w:bottom w:val="nil"/>
              <w:right w:val="single" w:sz="8" w:space="0" w:color="31869B"/>
            </w:tcBorders>
            <w:shd w:val="clear" w:color="000000" w:fill="31869B"/>
            <w:vAlign w:val="center"/>
            <w:hideMark/>
          </w:tcPr>
          <w:p w:rsidR="00FD0B92" w:rsidRPr="000D0573" w:rsidRDefault="00E51B62" w:rsidP="00FD0B92">
            <w:pPr>
              <w:spacing w:line="240" w:lineRule="auto"/>
              <w:jc w:val="center"/>
              <w:rPr>
                <w:rFonts w:eastAsia="Times New Roman" w:cs="Times New Roman"/>
                <w:color w:val="FFFFFF"/>
                <w:sz w:val="22"/>
              </w:rPr>
            </w:pPr>
            <w:r w:rsidRPr="000D0573">
              <w:rPr>
                <w:rFonts w:eastAsia="Times New Roman" w:cs="Times New Roman"/>
                <w:color w:val="FFFFFF"/>
                <w:sz w:val="22"/>
              </w:rPr>
              <w:t xml:space="preserve">Asistentas </w:t>
            </w:r>
            <w:r w:rsidR="00FD0B92" w:rsidRPr="000D0573">
              <w:rPr>
                <w:rFonts w:eastAsia="Times New Roman" w:cs="Times New Roman"/>
                <w:color w:val="FFFFFF"/>
                <w:sz w:val="22"/>
              </w:rPr>
              <w:t>/ jaunesnysis mokslo darbuotojas</w:t>
            </w:r>
          </w:p>
        </w:tc>
      </w:tr>
      <w:tr w:rsidR="00FD0B92" w:rsidRPr="000D0573" w:rsidTr="0028727B">
        <w:trPr>
          <w:trHeight w:val="300"/>
        </w:trPr>
        <w:tc>
          <w:tcPr>
            <w:tcW w:w="572" w:type="dxa"/>
            <w:tcBorders>
              <w:top w:val="single" w:sz="8" w:space="0" w:color="31869B"/>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w:t>
            </w:r>
          </w:p>
        </w:tc>
        <w:tc>
          <w:tcPr>
            <w:tcW w:w="1848" w:type="dxa"/>
            <w:tcBorders>
              <w:top w:val="single" w:sz="4" w:space="0" w:color="auto"/>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single" w:sz="4" w:space="0" w:color="auto"/>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4" w:space="0" w:color="auto"/>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highlight w:val="yellow"/>
              </w:rPr>
            </w:pPr>
            <w:r w:rsidRPr="000D0573">
              <w:rPr>
                <w:rFonts w:eastAsia="Calibri" w:cs="Times New Roman"/>
                <w:sz w:val="20"/>
                <w:szCs w:val="20"/>
                <w:lang w:eastAsia="en-US"/>
              </w:rPr>
              <w:t>98,35</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64,92</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57,71</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38,47</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94,98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73,82</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56,27</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38,71</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noWrap/>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3</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94,98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4</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94,98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5</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94,98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6</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100,99</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76,95</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52,90</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33,66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7</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single" w:sz="8" w:space="0" w:color="31869B"/>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67,33</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52,90</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44,48</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39,68</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8</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127,14</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109,48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70,62</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50,67</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9</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123,36</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76,02</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57,16</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49,70</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10</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184,00</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156,00</w:t>
            </w:r>
          </w:p>
        </w:tc>
        <w:tc>
          <w:tcPr>
            <w:tcW w:w="1559"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140,00</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108,00</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11</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98,35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8"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12</w:t>
            </w:r>
            <w:r w:rsidR="00E51B62" w:rsidRPr="000D0573">
              <w:rPr>
                <w:rFonts w:eastAsia="Times New Roman" w:cs="Times New Roman"/>
                <w:sz w:val="20"/>
                <w:szCs w:val="20"/>
              </w:rPr>
              <w:t>.</w:t>
            </w:r>
          </w:p>
        </w:tc>
        <w:tc>
          <w:tcPr>
            <w:tcW w:w="1848" w:type="dxa"/>
            <w:tcBorders>
              <w:top w:val="nil"/>
              <w:left w:val="nil"/>
              <w:bottom w:val="single" w:sz="8"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U</w:t>
            </w:r>
            <w:r w:rsidR="00FD0B92" w:rsidRPr="000D0573">
              <w:rPr>
                <w:rFonts w:eastAsia="Times New Roman" w:cs="Times New Roman"/>
                <w:color w:val="000000"/>
                <w:sz w:val="20"/>
                <w:szCs w:val="20"/>
              </w:rPr>
              <w:t>niversitetas</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98,35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13</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98,35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noWrap/>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14</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74,54</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60,11</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48,09</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33,66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15</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98,35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72,38</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46,26</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36,33</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16</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89,45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63,96</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52,90</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36,07</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17</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76,95</w:t>
            </w:r>
          </w:p>
        </w:tc>
        <w:tc>
          <w:tcPr>
            <w:tcW w:w="1559" w:type="dxa"/>
            <w:tcBorders>
              <w:top w:val="nil"/>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66,37</w:t>
            </w:r>
          </w:p>
        </w:tc>
        <w:tc>
          <w:tcPr>
            <w:tcW w:w="1559"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52,90</w:t>
            </w:r>
          </w:p>
        </w:tc>
        <w:tc>
          <w:tcPr>
            <w:tcW w:w="1560" w:type="dxa"/>
            <w:tcBorders>
              <w:top w:val="single" w:sz="8" w:space="0" w:color="31869B"/>
              <w:left w:val="single" w:sz="8" w:space="0" w:color="31869B"/>
              <w:bottom w:val="single" w:sz="4" w:space="0" w:color="31869B"/>
              <w:right w:val="single" w:sz="8" w:space="0" w:color="31869B"/>
            </w:tcBorders>
            <w:shd w:val="clear" w:color="auto" w:fill="FFFFFF" w:themeFill="background1"/>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39,92</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18</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76,95</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62,52</w:t>
            </w:r>
          </w:p>
        </w:tc>
        <w:tc>
          <w:tcPr>
            <w:tcW w:w="1559"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45,69</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33,66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19</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FFFFFF" w:themeFill="background1"/>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76,13</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63,48</w:t>
            </w:r>
          </w:p>
        </w:tc>
        <w:tc>
          <w:tcPr>
            <w:tcW w:w="1559"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50,50</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39,12</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20</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r w:rsidR="00FD0B92" w:rsidRPr="000D0573">
              <w:rPr>
                <w:rFonts w:eastAsia="Times New Roman" w:cs="Times New Roman"/>
                <w:color w:val="000000"/>
                <w:sz w:val="20"/>
                <w:szCs w:val="20"/>
                <w:vertAlign w:val="superscript"/>
              </w:rPr>
              <w:footnoteReference w:id="19"/>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000000" w:fill="D9D9D9"/>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 xml:space="preserve"> </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76,95</w:t>
            </w:r>
          </w:p>
        </w:tc>
        <w:tc>
          <w:tcPr>
            <w:tcW w:w="1559"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69,73</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43,28</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21</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76,95</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76,47</w:t>
            </w:r>
          </w:p>
        </w:tc>
        <w:tc>
          <w:tcPr>
            <w:tcW w:w="1559"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58,19</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40,16</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22</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94,91</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73,79</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56,15</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38,75</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23</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r w:rsidR="00FD0B92" w:rsidRPr="000D0573">
              <w:rPr>
                <w:rFonts w:eastAsia="Times New Roman" w:cs="Times New Roman"/>
                <w:color w:val="000000"/>
                <w:sz w:val="20"/>
                <w:szCs w:val="20"/>
                <w:vertAlign w:val="superscript"/>
              </w:rPr>
              <w:footnoteReference w:id="20"/>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000000" w:fill="D9D9D9"/>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 xml:space="preserve"> </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62,52</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49,29</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39,68</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24</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r w:rsidR="00FD0B92" w:rsidRPr="000D0573">
              <w:rPr>
                <w:rFonts w:eastAsia="Times New Roman" w:cs="Times New Roman"/>
                <w:color w:val="000000"/>
                <w:sz w:val="20"/>
                <w:szCs w:val="20"/>
                <w:vertAlign w:val="superscript"/>
              </w:rPr>
              <w:footnoteReference w:id="21"/>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000000" w:fill="D9D9D9"/>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 xml:space="preserve"> </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51,73</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38,73</w:t>
            </w:r>
          </w:p>
        </w:tc>
        <w:tc>
          <w:tcPr>
            <w:tcW w:w="1560" w:type="dxa"/>
            <w:tcBorders>
              <w:top w:val="single" w:sz="8"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35,44</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lastRenderedPageBreak/>
              <w:t>25</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56,15</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56,15</w:t>
            </w:r>
          </w:p>
        </w:tc>
        <w:tc>
          <w:tcPr>
            <w:tcW w:w="1559" w:type="dxa"/>
            <w:tcBorders>
              <w:top w:val="nil"/>
              <w:left w:val="single" w:sz="8" w:space="0" w:color="31869B"/>
              <w:bottom w:val="nil"/>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56,15</w:t>
            </w:r>
          </w:p>
        </w:tc>
        <w:tc>
          <w:tcPr>
            <w:tcW w:w="1560" w:type="dxa"/>
            <w:tcBorders>
              <w:top w:val="nil"/>
              <w:left w:val="single" w:sz="8" w:space="0" w:color="31869B"/>
              <w:bottom w:val="single" w:sz="4" w:space="0" w:color="31869B"/>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56,15</w:t>
            </w:r>
          </w:p>
        </w:tc>
      </w:tr>
      <w:tr w:rsidR="00FD0B92" w:rsidRPr="000D0573" w:rsidTr="0028727B">
        <w:trPr>
          <w:trHeight w:val="300"/>
        </w:trPr>
        <w:tc>
          <w:tcPr>
            <w:tcW w:w="572" w:type="dxa"/>
            <w:tcBorders>
              <w:top w:val="nil"/>
              <w:left w:val="single" w:sz="8" w:space="0" w:color="31869B"/>
              <w:bottom w:val="single" w:sz="4" w:space="0" w:color="31869B"/>
              <w:right w:val="single" w:sz="8" w:space="0" w:color="31869B"/>
            </w:tcBorders>
            <w:shd w:val="clear" w:color="auto" w:fill="auto"/>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26</w:t>
            </w:r>
            <w:r w:rsidR="00E51B62" w:rsidRPr="000D0573">
              <w:rPr>
                <w:rFonts w:eastAsia="Times New Roman" w:cs="Times New Roman"/>
                <w:sz w:val="20"/>
                <w:szCs w:val="20"/>
              </w:rPr>
              <w:t>.</w:t>
            </w:r>
          </w:p>
        </w:tc>
        <w:tc>
          <w:tcPr>
            <w:tcW w:w="1848" w:type="dxa"/>
            <w:tcBorders>
              <w:top w:val="nil"/>
              <w:left w:val="nil"/>
              <w:bottom w:val="single" w:sz="4" w:space="0" w:color="31869B"/>
              <w:right w:val="single" w:sz="8" w:space="0" w:color="31869B"/>
            </w:tcBorders>
            <w:shd w:val="clear" w:color="auto" w:fill="auto"/>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r w:rsidR="00FD0B92" w:rsidRPr="000D0573">
              <w:rPr>
                <w:rFonts w:eastAsia="Times New Roman" w:cs="Times New Roman"/>
                <w:color w:val="000000"/>
                <w:sz w:val="20"/>
                <w:szCs w:val="20"/>
                <w:vertAlign w:val="superscript"/>
              </w:rPr>
              <w:footnoteReference w:id="22"/>
            </w:r>
          </w:p>
        </w:tc>
        <w:tc>
          <w:tcPr>
            <w:tcW w:w="1418" w:type="dxa"/>
            <w:tcBorders>
              <w:top w:val="nil"/>
              <w:left w:val="single" w:sz="8" w:space="0" w:color="31869B"/>
              <w:bottom w:val="single" w:sz="4" w:space="0" w:color="31869B"/>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62,78</w:t>
            </w:r>
          </w:p>
        </w:tc>
        <w:tc>
          <w:tcPr>
            <w:tcW w:w="1559" w:type="dxa"/>
            <w:tcBorders>
              <w:top w:val="nil"/>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56,89</w:t>
            </w:r>
          </w:p>
        </w:tc>
        <w:tc>
          <w:tcPr>
            <w:tcW w:w="1559" w:type="dxa"/>
            <w:tcBorders>
              <w:top w:val="single" w:sz="4" w:space="0" w:color="31869B"/>
              <w:left w:val="single" w:sz="8" w:space="0" w:color="31869B"/>
              <w:bottom w:val="single" w:sz="4" w:space="0" w:color="31869B"/>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37,27</w:t>
            </w:r>
          </w:p>
        </w:tc>
        <w:tc>
          <w:tcPr>
            <w:tcW w:w="1560" w:type="dxa"/>
            <w:tcBorders>
              <w:top w:val="nil"/>
              <w:left w:val="single" w:sz="8" w:space="0" w:color="31869B"/>
              <w:bottom w:val="single" w:sz="4" w:space="0" w:color="31869B"/>
              <w:right w:val="single" w:sz="8" w:space="0" w:color="31869B"/>
            </w:tcBorders>
            <w:shd w:val="clear" w:color="000000" w:fill="D9D9D9"/>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 xml:space="preserve"> </w:t>
            </w:r>
          </w:p>
        </w:tc>
      </w:tr>
      <w:tr w:rsidR="00FD0B92" w:rsidRPr="000D0573" w:rsidTr="0028727B">
        <w:trPr>
          <w:trHeight w:val="300"/>
        </w:trPr>
        <w:tc>
          <w:tcPr>
            <w:tcW w:w="572" w:type="dxa"/>
            <w:tcBorders>
              <w:top w:val="nil"/>
              <w:left w:val="single" w:sz="8" w:space="0" w:color="31869B"/>
              <w:bottom w:val="single" w:sz="4" w:space="0" w:color="012025" w:themeColor="accent5" w:themeShade="80"/>
              <w:right w:val="single" w:sz="8" w:space="0" w:color="31869B"/>
            </w:tcBorders>
            <w:shd w:val="clear" w:color="auto" w:fill="auto"/>
            <w:noWrap/>
            <w:vAlign w:val="bottom"/>
            <w:hideMark/>
          </w:tcPr>
          <w:p w:rsidR="00FD0B92" w:rsidRPr="000D0573" w:rsidRDefault="00FD0B92" w:rsidP="00FD0B92">
            <w:pPr>
              <w:spacing w:line="240" w:lineRule="auto"/>
              <w:jc w:val="center"/>
              <w:rPr>
                <w:rFonts w:eastAsia="Times New Roman" w:cs="Times New Roman"/>
                <w:sz w:val="20"/>
                <w:szCs w:val="20"/>
              </w:rPr>
            </w:pPr>
            <w:r w:rsidRPr="000D0573">
              <w:rPr>
                <w:rFonts w:eastAsia="Times New Roman" w:cs="Times New Roman"/>
                <w:sz w:val="20"/>
                <w:szCs w:val="20"/>
              </w:rPr>
              <w:t>27</w:t>
            </w:r>
            <w:r w:rsidR="00E51B62" w:rsidRPr="000D0573">
              <w:rPr>
                <w:rFonts w:eastAsia="Times New Roman" w:cs="Times New Roman"/>
                <w:sz w:val="20"/>
                <w:szCs w:val="20"/>
              </w:rPr>
              <w:t>.</w:t>
            </w:r>
          </w:p>
        </w:tc>
        <w:tc>
          <w:tcPr>
            <w:tcW w:w="1848" w:type="dxa"/>
            <w:tcBorders>
              <w:top w:val="nil"/>
              <w:left w:val="nil"/>
              <w:bottom w:val="single" w:sz="4" w:space="0" w:color="012025" w:themeColor="accent5" w:themeShade="80"/>
              <w:right w:val="single" w:sz="8" w:space="0" w:color="31869B"/>
            </w:tcBorders>
            <w:shd w:val="clear" w:color="auto" w:fill="auto"/>
            <w:noWrap/>
            <w:vAlign w:val="bottom"/>
            <w:hideMark/>
          </w:tcPr>
          <w:p w:rsidR="00FD0B92" w:rsidRPr="000D0573" w:rsidRDefault="00E51B62" w:rsidP="00FD0B92">
            <w:pPr>
              <w:spacing w:line="240" w:lineRule="auto"/>
              <w:rPr>
                <w:rFonts w:eastAsia="Times New Roman" w:cs="Times New Roman"/>
                <w:color w:val="000000"/>
                <w:sz w:val="20"/>
                <w:szCs w:val="20"/>
              </w:rPr>
            </w:pPr>
            <w:r w:rsidRPr="000D0573">
              <w:rPr>
                <w:rFonts w:eastAsia="Times New Roman" w:cs="Times New Roman"/>
                <w:color w:val="000000"/>
                <w:sz w:val="20"/>
                <w:szCs w:val="20"/>
              </w:rPr>
              <w:t>K</w:t>
            </w:r>
            <w:r w:rsidR="00FD0B92" w:rsidRPr="000D0573">
              <w:rPr>
                <w:rFonts w:eastAsia="Times New Roman" w:cs="Times New Roman"/>
                <w:color w:val="000000"/>
                <w:sz w:val="20"/>
                <w:szCs w:val="20"/>
              </w:rPr>
              <w:t>olegija</w:t>
            </w:r>
          </w:p>
        </w:tc>
        <w:tc>
          <w:tcPr>
            <w:tcW w:w="1418" w:type="dxa"/>
            <w:tcBorders>
              <w:top w:val="nil"/>
              <w:left w:val="single" w:sz="8" w:space="0" w:color="31869B"/>
              <w:bottom w:val="single" w:sz="4" w:space="0" w:color="012025" w:themeColor="accent5" w:themeShade="80"/>
              <w:right w:val="single" w:sz="8" w:space="0" w:color="31869B"/>
            </w:tcBorders>
          </w:tcPr>
          <w:p w:rsidR="00FD0B92" w:rsidRPr="000D0573" w:rsidRDefault="00FD0B92" w:rsidP="00FD0B92">
            <w:pPr>
              <w:spacing w:line="240" w:lineRule="auto"/>
              <w:jc w:val="center"/>
              <w:rPr>
                <w:rFonts w:eastAsia="Times New Roman" w:cs="Times New Roman"/>
                <w:color w:val="000000"/>
                <w:sz w:val="20"/>
                <w:szCs w:val="20"/>
              </w:rPr>
            </w:pPr>
            <w:proofErr w:type="spellStart"/>
            <w:r w:rsidRPr="000D0573">
              <w:rPr>
                <w:rFonts w:eastAsia="Times New Roman" w:cs="Times New Roman"/>
                <w:color w:val="000000"/>
                <w:sz w:val="20"/>
                <w:szCs w:val="20"/>
              </w:rPr>
              <w:t>Eur</w:t>
            </w:r>
            <w:proofErr w:type="spellEnd"/>
            <w:r w:rsidRPr="000D0573">
              <w:rPr>
                <w:rFonts w:eastAsia="Times New Roman" w:cs="Times New Roman"/>
                <w:color w:val="000000"/>
                <w:sz w:val="20"/>
                <w:szCs w:val="20"/>
              </w:rPr>
              <w:t>/d.</w:t>
            </w:r>
            <w:r w:rsidR="00E51B62" w:rsidRPr="000D0573">
              <w:rPr>
                <w:rFonts w:eastAsia="Times New Roman" w:cs="Times New Roman"/>
                <w:color w:val="000000"/>
                <w:sz w:val="20"/>
                <w:szCs w:val="20"/>
              </w:rPr>
              <w:t xml:space="preserve"> </w:t>
            </w:r>
            <w:r w:rsidRPr="000D0573">
              <w:rPr>
                <w:rFonts w:eastAsia="Times New Roman" w:cs="Times New Roman"/>
                <w:color w:val="000000"/>
                <w:sz w:val="20"/>
                <w:szCs w:val="20"/>
              </w:rPr>
              <w:t>d.</w:t>
            </w:r>
          </w:p>
        </w:tc>
        <w:tc>
          <w:tcPr>
            <w:tcW w:w="1559" w:type="dxa"/>
            <w:tcBorders>
              <w:top w:val="nil"/>
              <w:left w:val="single" w:sz="8" w:space="0" w:color="31869B"/>
              <w:bottom w:val="single" w:sz="4" w:space="0" w:color="012025" w:themeColor="accent5" w:themeShade="80"/>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113,52</w:t>
            </w:r>
          </w:p>
        </w:tc>
        <w:tc>
          <w:tcPr>
            <w:tcW w:w="1559" w:type="dxa"/>
            <w:tcBorders>
              <w:top w:val="nil"/>
              <w:left w:val="single" w:sz="8" w:space="0" w:color="31869B"/>
              <w:bottom w:val="single" w:sz="4" w:space="0" w:color="012025" w:themeColor="accent5" w:themeShade="80"/>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106,72</w:t>
            </w:r>
          </w:p>
        </w:tc>
        <w:tc>
          <w:tcPr>
            <w:tcW w:w="1559" w:type="dxa"/>
            <w:tcBorders>
              <w:top w:val="nil"/>
              <w:left w:val="single" w:sz="8" w:space="0" w:color="31869B"/>
              <w:bottom w:val="single" w:sz="4" w:space="0" w:color="012025" w:themeColor="accent5" w:themeShade="80"/>
              <w:right w:val="single" w:sz="8" w:space="0" w:color="31869B"/>
            </w:tcBorders>
            <w:shd w:val="clear" w:color="auto" w:fill="auto"/>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91,52</w:t>
            </w:r>
          </w:p>
        </w:tc>
        <w:tc>
          <w:tcPr>
            <w:tcW w:w="1560" w:type="dxa"/>
            <w:tcBorders>
              <w:top w:val="nil"/>
              <w:left w:val="single" w:sz="8" w:space="0" w:color="31869B"/>
              <w:bottom w:val="single" w:sz="4" w:space="0" w:color="012025" w:themeColor="accent5" w:themeShade="80"/>
              <w:right w:val="single" w:sz="8" w:space="0" w:color="31869B"/>
            </w:tcBorders>
            <w:shd w:val="clear" w:color="auto" w:fill="auto"/>
            <w:noWrap/>
            <w:hideMark/>
          </w:tcPr>
          <w:p w:rsidR="00FD0B92" w:rsidRPr="000D0573" w:rsidRDefault="00FD0B92" w:rsidP="00FD0B92">
            <w:pPr>
              <w:spacing w:line="240" w:lineRule="auto"/>
              <w:jc w:val="right"/>
              <w:rPr>
                <w:rFonts w:eastAsia="Times New Roman" w:cs="Times New Roman"/>
                <w:color w:val="000000"/>
                <w:sz w:val="20"/>
                <w:szCs w:val="20"/>
              </w:rPr>
            </w:pPr>
            <w:r w:rsidRPr="000D0573">
              <w:rPr>
                <w:rFonts w:eastAsia="Calibri" w:cs="Times New Roman"/>
                <w:sz w:val="20"/>
                <w:szCs w:val="20"/>
                <w:lang w:eastAsia="en-US"/>
              </w:rPr>
              <w:t>76,24</w:t>
            </w:r>
          </w:p>
        </w:tc>
      </w:tr>
      <w:tr w:rsidR="00FD0B92" w:rsidRPr="000D0573" w:rsidTr="0028727B">
        <w:trPr>
          <w:trHeight w:val="300"/>
        </w:trPr>
        <w:tc>
          <w:tcPr>
            <w:tcW w:w="3838" w:type="dxa"/>
            <w:gridSpan w:val="3"/>
            <w:tcBorders>
              <w:top w:val="single" w:sz="4" w:space="0" w:color="012025" w:themeColor="accent5" w:themeShade="80"/>
              <w:left w:val="single" w:sz="4" w:space="0" w:color="012025" w:themeColor="accent5" w:themeShade="80"/>
              <w:bottom w:val="single" w:sz="4" w:space="0" w:color="012025" w:themeColor="accent5" w:themeShade="80"/>
              <w:right w:val="single" w:sz="4" w:space="0" w:color="FFFFFF" w:themeColor="background1"/>
            </w:tcBorders>
            <w:shd w:val="clear" w:color="auto" w:fill="036575" w:themeFill="accent5" w:themeFillTint="E6"/>
            <w:noWrap/>
            <w:vAlign w:val="bottom"/>
          </w:tcPr>
          <w:p w:rsidR="00FD0B92" w:rsidRPr="000D0573" w:rsidRDefault="00FD0B92" w:rsidP="00FD0B92">
            <w:pPr>
              <w:spacing w:line="240" w:lineRule="auto"/>
              <w:jc w:val="center"/>
              <w:rPr>
                <w:rFonts w:eastAsia="Times New Roman" w:cs="Times New Roman"/>
                <w:b/>
                <w:bCs/>
                <w:color w:val="FFFFFF"/>
                <w:sz w:val="22"/>
                <w:szCs w:val="24"/>
              </w:rPr>
            </w:pPr>
            <w:r w:rsidRPr="000D0573">
              <w:rPr>
                <w:rFonts w:eastAsia="Times New Roman" w:cs="Times New Roman"/>
                <w:b/>
                <w:bCs/>
                <w:color w:val="FFFFFF"/>
                <w:sz w:val="22"/>
                <w:szCs w:val="24"/>
              </w:rPr>
              <w:t>Maksimalių įkainių vidurkiai (</w:t>
            </w:r>
            <w:proofErr w:type="spellStart"/>
            <w:r w:rsidRPr="000D0573">
              <w:rPr>
                <w:rFonts w:eastAsia="Times New Roman" w:cs="Times New Roman"/>
                <w:b/>
                <w:bCs/>
                <w:color w:val="FFFFFF"/>
                <w:sz w:val="22"/>
                <w:szCs w:val="24"/>
              </w:rPr>
              <w:t>Eur</w:t>
            </w:r>
            <w:proofErr w:type="spellEnd"/>
            <w:r w:rsidRPr="000D0573">
              <w:rPr>
                <w:rFonts w:eastAsia="Times New Roman" w:cs="Times New Roman"/>
                <w:b/>
                <w:bCs/>
                <w:color w:val="FFFFFF"/>
                <w:sz w:val="22"/>
                <w:szCs w:val="24"/>
              </w:rPr>
              <w:t>/d.</w:t>
            </w:r>
            <w:r w:rsidR="00E51B62" w:rsidRPr="000D0573">
              <w:rPr>
                <w:rFonts w:eastAsia="Times New Roman" w:cs="Times New Roman"/>
                <w:b/>
                <w:bCs/>
                <w:color w:val="FFFFFF"/>
                <w:sz w:val="22"/>
                <w:szCs w:val="24"/>
              </w:rPr>
              <w:t xml:space="preserve"> </w:t>
            </w:r>
            <w:r w:rsidRPr="000D0573">
              <w:rPr>
                <w:rFonts w:eastAsia="Times New Roman" w:cs="Times New Roman"/>
                <w:b/>
                <w:bCs/>
                <w:color w:val="FFFFFF"/>
                <w:sz w:val="22"/>
                <w:szCs w:val="24"/>
              </w:rPr>
              <w:t>d.)</w:t>
            </w:r>
          </w:p>
        </w:tc>
        <w:tc>
          <w:tcPr>
            <w:tcW w:w="1559" w:type="dxa"/>
            <w:tcBorders>
              <w:top w:val="single" w:sz="4" w:space="0" w:color="012025" w:themeColor="accent5" w:themeShade="80"/>
              <w:left w:val="single" w:sz="4" w:space="0" w:color="FFFFFF" w:themeColor="background1"/>
              <w:bottom w:val="single" w:sz="4" w:space="0" w:color="012025" w:themeColor="accent5" w:themeShade="80"/>
              <w:right w:val="single" w:sz="4" w:space="0" w:color="FFFFFF" w:themeColor="background1"/>
            </w:tcBorders>
            <w:shd w:val="clear" w:color="auto" w:fill="036575" w:themeFill="accent5" w:themeFillTint="E6"/>
            <w:noWrap/>
            <w:vAlign w:val="center"/>
          </w:tcPr>
          <w:p w:rsidR="00FD0B92" w:rsidRPr="000D0573" w:rsidRDefault="00FD0B92" w:rsidP="00FD0B92">
            <w:pPr>
              <w:spacing w:line="240" w:lineRule="auto"/>
              <w:jc w:val="right"/>
              <w:rPr>
                <w:rFonts w:eastAsia="Times New Roman" w:cs="Times New Roman"/>
                <w:b/>
                <w:bCs/>
                <w:color w:val="FFFFFF"/>
                <w:sz w:val="22"/>
                <w:szCs w:val="24"/>
              </w:rPr>
            </w:pPr>
            <w:r w:rsidRPr="000D0573">
              <w:rPr>
                <w:rFonts w:eastAsia="Times New Roman" w:cs="Times New Roman"/>
                <w:b/>
                <w:bCs/>
                <w:color w:val="FFFFFF"/>
                <w:szCs w:val="24"/>
              </w:rPr>
              <w:t>94,70</w:t>
            </w:r>
          </w:p>
        </w:tc>
        <w:tc>
          <w:tcPr>
            <w:tcW w:w="1559" w:type="dxa"/>
            <w:tcBorders>
              <w:top w:val="single" w:sz="4" w:space="0" w:color="012025" w:themeColor="accent5" w:themeShade="80"/>
              <w:left w:val="single" w:sz="4" w:space="0" w:color="FFFFFF" w:themeColor="background1"/>
              <w:bottom w:val="single" w:sz="4" w:space="0" w:color="012025" w:themeColor="accent5" w:themeShade="80"/>
              <w:right w:val="single" w:sz="4" w:space="0" w:color="FFFFFF" w:themeColor="background1"/>
            </w:tcBorders>
            <w:shd w:val="clear" w:color="auto" w:fill="036575" w:themeFill="accent5" w:themeFillTint="E6"/>
            <w:vAlign w:val="center"/>
          </w:tcPr>
          <w:p w:rsidR="00FD0B92" w:rsidRPr="000D0573" w:rsidRDefault="00FD0B92" w:rsidP="00FD0B92">
            <w:pPr>
              <w:spacing w:line="240" w:lineRule="auto"/>
              <w:jc w:val="right"/>
              <w:rPr>
                <w:rFonts w:eastAsia="Times New Roman" w:cs="Times New Roman"/>
                <w:b/>
                <w:bCs/>
                <w:color w:val="FFFFFF"/>
                <w:sz w:val="22"/>
                <w:szCs w:val="24"/>
              </w:rPr>
            </w:pPr>
            <w:r w:rsidRPr="000D0573">
              <w:rPr>
                <w:rFonts w:eastAsia="Times New Roman" w:cs="Times New Roman"/>
                <w:b/>
                <w:bCs/>
                <w:color w:val="FFFFFF"/>
                <w:szCs w:val="24"/>
              </w:rPr>
              <w:t>74,78</w:t>
            </w:r>
          </w:p>
        </w:tc>
        <w:tc>
          <w:tcPr>
            <w:tcW w:w="1559" w:type="dxa"/>
            <w:tcBorders>
              <w:top w:val="single" w:sz="4" w:space="0" w:color="012025" w:themeColor="accent5" w:themeShade="80"/>
              <w:left w:val="single" w:sz="4" w:space="0" w:color="FFFFFF" w:themeColor="background1"/>
              <w:bottom w:val="single" w:sz="4" w:space="0" w:color="012025" w:themeColor="accent5" w:themeShade="80"/>
              <w:right w:val="single" w:sz="4" w:space="0" w:color="FFFFFF" w:themeColor="background1"/>
            </w:tcBorders>
            <w:shd w:val="clear" w:color="auto" w:fill="036575" w:themeFill="accent5" w:themeFillTint="E6"/>
            <w:vAlign w:val="center"/>
          </w:tcPr>
          <w:p w:rsidR="00FD0B92" w:rsidRPr="000D0573" w:rsidRDefault="00FD0B92" w:rsidP="00FD0B92">
            <w:pPr>
              <w:spacing w:line="240" w:lineRule="auto"/>
              <w:jc w:val="right"/>
              <w:rPr>
                <w:rFonts w:eastAsia="Times New Roman" w:cs="Times New Roman"/>
                <w:b/>
                <w:bCs/>
                <w:color w:val="FFFFFF"/>
                <w:sz w:val="22"/>
                <w:szCs w:val="24"/>
              </w:rPr>
            </w:pPr>
            <w:r w:rsidRPr="000D0573">
              <w:rPr>
                <w:rFonts w:eastAsia="Times New Roman" w:cs="Times New Roman"/>
                <w:b/>
                <w:bCs/>
                <w:color w:val="FFFFFF"/>
                <w:szCs w:val="24"/>
              </w:rPr>
              <w:t>58,58</w:t>
            </w:r>
          </w:p>
        </w:tc>
        <w:tc>
          <w:tcPr>
            <w:tcW w:w="1560" w:type="dxa"/>
            <w:tcBorders>
              <w:top w:val="single" w:sz="4" w:space="0" w:color="012025" w:themeColor="accent5" w:themeShade="80"/>
              <w:left w:val="single" w:sz="4" w:space="0" w:color="FFFFFF" w:themeColor="background1"/>
              <w:bottom w:val="single" w:sz="4" w:space="0" w:color="012025" w:themeColor="accent5" w:themeShade="80"/>
              <w:right w:val="single" w:sz="4" w:space="0" w:color="012025" w:themeColor="accent5" w:themeShade="80"/>
            </w:tcBorders>
            <w:shd w:val="clear" w:color="auto" w:fill="036575" w:themeFill="accent5" w:themeFillTint="E6"/>
            <w:noWrap/>
            <w:vAlign w:val="center"/>
          </w:tcPr>
          <w:p w:rsidR="00FD0B92" w:rsidRPr="000D0573" w:rsidRDefault="00FD0B92" w:rsidP="00FD0B92">
            <w:pPr>
              <w:spacing w:line="240" w:lineRule="auto"/>
              <w:jc w:val="right"/>
              <w:rPr>
                <w:rFonts w:eastAsia="Times New Roman" w:cs="Times New Roman"/>
                <w:b/>
                <w:bCs/>
                <w:color w:val="FFFFFF"/>
                <w:sz w:val="22"/>
                <w:szCs w:val="24"/>
              </w:rPr>
            </w:pPr>
            <w:r w:rsidRPr="000D0573">
              <w:rPr>
                <w:rFonts w:eastAsia="Times New Roman" w:cs="Times New Roman"/>
                <w:b/>
                <w:bCs/>
                <w:color w:val="FFFFFF"/>
                <w:szCs w:val="24"/>
              </w:rPr>
              <w:t>44,17</w:t>
            </w:r>
          </w:p>
        </w:tc>
      </w:tr>
      <w:tr w:rsidR="00FD0B92" w:rsidRPr="000D0573" w:rsidTr="0028727B">
        <w:trPr>
          <w:trHeight w:val="300"/>
        </w:trPr>
        <w:tc>
          <w:tcPr>
            <w:tcW w:w="3838" w:type="dxa"/>
            <w:gridSpan w:val="3"/>
            <w:tcBorders>
              <w:top w:val="single" w:sz="4" w:space="0" w:color="012025" w:themeColor="accent5" w:themeShade="80"/>
              <w:left w:val="single" w:sz="8" w:space="0" w:color="31869B"/>
              <w:bottom w:val="single" w:sz="8" w:space="0" w:color="31869B"/>
              <w:right w:val="single" w:sz="8" w:space="0" w:color="31869B"/>
            </w:tcBorders>
            <w:shd w:val="clear" w:color="auto" w:fill="D3F8FE" w:themeFill="accent5" w:themeFillTint="1A"/>
            <w:noWrap/>
            <w:vAlign w:val="bottom"/>
          </w:tcPr>
          <w:p w:rsidR="00FD0B92" w:rsidRPr="000D0573" w:rsidRDefault="00FD0B92" w:rsidP="00FD0B92">
            <w:pPr>
              <w:spacing w:line="240" w:lineRule="auto"/>
              <w:jc w:val="center"/>
              <w:rPr>
                <w:rFonts w:eastAsia="Times New Roman" w:cs="Times New Roman"/>
                <w:color w:val="215967"/>
                <w:sz w:val="20"/>
                <w:szCs w:val="20"/>
              </w:rPr>
            </w:pPr>
            <w:r w:rsidRPr="000D0573">
              <w:rPr>
                <w:rFonts w:eastAsia="Times New Roman" w:cs="Times New Roman"/>
                <w:color w:val="215967"/>
                <w:sz w:val="20"/>
                <w:szCs w:val="20"/>
              </w:rPr>
              <w:t>Universitetuose (</w:t>
            </w:r>
            <w:proofErr w:type="spellStart"/>
            <w:r w:rsidRPr="000D0573">
              <w:rPr>
                <w:rFonts w:eastAsia="Times New Roman" w:cs="Times New Roman"/>
                <w:color w:val="215967"/>
                <w:sz w:val="20"/>
                <w:szCs w:val="20"/>
              </w:rPr>
              <w:t>Eur</w:t>
            </w:r>
            <w:proofErr w:type="spellEnd"/>
            <w:r w:rsidRPr="000D0573">
              <w:rPr>
                <w:rFonts w:eastAsia="Times New Roman" w:cs="Times New Roman"/>
                <w:color w:val="215967"/>
                <w:sz w:val="20"/>
                <w:szCs w:val="20"/>
              </w:rPr>
              <w:t>/d.</w:t>
            </w:r>
            <w:r w:rsidR="00E51B62" w:rsidRPr="000D0573">
              <w:rPr>
                <w:rFonts w:eastAsia="Times New Roman" w:cs="Times New Roman"/>
                <w:color w:val="215967"/>
                <w:sz w:val="20"/>
                <w:szCs w:val="20"/>
              </w:rPr>
              <w:t xml:space="preserve"> </w:t>
            </w:r>
            <w:r w:rsidRPr="000D0573">
              <w:rPr>
                <w:rFonts w:eastAsia="Times New Roman" w:cs="Times New Roman"/>
                <w:color w:val="215967"/>
                <w:sz w:val="20"/>
                <w:szCs w:val="20"/>
              </w:rPr>
              <w:t>d.)</w:t>
            </w:r>
          </w:p>
        </w:tc>
        <w:tc>
          <w:tcPr>
            <w:tcW w:w="1559" w:type="dxa"/>
            <w:tcBorders>
              <w:top w:val="single" w:sz="4" w:space="0" w:color="012025" w:themeColor="accent5" w:themeShade="80"/>
              <w:left w:val="single" w:sz="8" w:space="0" w:color="31869B"/>
              <w:bottom w:val="single" w:sz="8" w:space="0" w:color="31869B"/>
              <w:right w:val="single" w:sz="4" w:space="0" w:color="FFFFFF" w:themeColor="background1"/>
            </w:tcBorders>
            <w:shd w:val="clear" w:color="auto" w:fill="D3F8FE" w:themeFill="accent5" w:themeFillTint="1A"/>
            <w:noWrap/>
            <w:vAlign w:val="center"/>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106,48</w:t>
            </w:r>
          </w:p>
        </w:tc>
        <w:tc>
          <w:tcPr>
            <w:tcW w:w="1559" w:type="dxa"/>
            <w:tcBorders>
              <w:top w:val="single" w:sz="4" w:space="0" w:color="012025" w:themeColor="accent5" w:themeShade="80"/>
              <w:left w:val="single" w:sz="4" w:space="0" w:color="FFFFFF" w:themeColor="background1"/>
              <w:bottom w:val="single" w:sz="8" w:space="0" w:color="31869B"/>
              <w:right w:val="single" w:sz="8" w:space="0" w:color="31869B"/>
            </w:tcBorders>
            <w:shd w:val="clear" w:color="auto" w:fill="D3F8FE" w:themeFill="accent5" w:themeFillTint="1A"/>
            <w:vAlign w:val="center"/>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82,70</w:t>
            </w:r>
          </w:p>
        </w:tc>
        <w:tc>
          <w:tcPr>
            <w:tcW w:w="1559" w:type="dxa"/>
            <w:tcBorders>
              <w:top w:val="single" w:sz="4" w:space="0" w:color="012025" w:themeColor="accent5" w:themeShade="80"/>
              <w:left w:val="single" w:sz="8" w:space="0" w:color="31869B"/>
              <w:bottom w:val="single" w:sz="8" w:space="0" w:color="31869B"/>
              <w:right w:val="single" w:sz="8" w:space="0" w:color="31869B"/>
            </w:tcBorders>
            <w:shd w:val="clear" w:color="auto" w:fill="D3F8FE" w:themeFill="accent5" w:themeFillTint="1A"/>
            <w:vAlign w:val="center"/>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64,18</w:t>
            </w:r>
          </w:p>
        </w:tc>
        <w:tc>
          <w:tcPr>
            <w:tcW w:w="1560" w:type="dxa"/>
            <w:tcBorders>
              <w:top w:val="single" w:sz="4" w:space="0" w:color="012025" w:themeColor="accent5" w:themeShade="80"/>
              <w:left w:val="single" w:sz="8" w:space="0" w:color="31869B"/>
              <w:bottom w:val="single" w:sz="8" w:space="0" w:color="31869B"/>
              <w:right w:val="single" w:sz="8" w:space="0" w:color="31869B"/>
            </w:tcBorders>
            <w:shd w:val="clear" w:color="auto" w:fill="D3F8FE" w:themeFill="accent5" w:themeFillTint="1A"/>
            <w:noWrap/>
            <w:vAlign w:val="center"/>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46,64</w:t>
            </w:r>
          </w:p>
        </w:tc>
      </w:tr>
      <w:tr w:rsidR="00FD0B92" w:rsidRPr="000D0573" w:rsidTr="0028727B">
        <w:trPr>
          <w:trHeight w:val="300"/>
        </w:trPr>
        <w:tc>
          <w:tcPr>
            <w:tcW w:w="3838" w:type="dxa"/>
            <w:gridSpan w:val="3"/>
            <w:tcBorders>
              <w:top w:val="nil"/>
              <w:left w:val="single" w:sz="8" w:space="0" w:color="31869B"/>
              <w:bottom w:val="single" w:sz="8" w:space="0" w:color="31869B"/>
              <w:right w:val="single" w:sz="8" w:space="0" w:color="31869B"/>
            </w:tcBorders>
            <w:shd w:val="clear" w:color="auto" w:fill="D3F8FE" w:themeFill="accent5" w:themeFillTint="1A"/>
            <w:noWrap/>
            <w:vAlign w:val="bottom"/>
          </w:tcPr>
          <w:p w:rsidR="00FD0B92" w:rsidRPr="000D0573" w:rsidRDefault="00FD0B92" w:rsidP="00FD0B92">
            <w:pPr>
              <w:spacing w:line="240" w:lineRule="auto"/>
              <w:jc w:val="center"/>
              <w:rPr>
                <w:rFonts w:eastAsia="Times New Roman" w:cs="Times New Roman"/>
                <w:color w:val="215967"/>
                <w:sz w:val="20"/>
                <w:szCs w:val="20"/>
              </w:rPr>
            </w:pPr>
            <w:r w:rsidRPr="000D0573">
              <w:rPr>
                <w:rFonts w:eastAsia="Times New Roman" w:cs="Times New Roman"/>
                <w:color w:val="215967"/>
                <w:sz w:val="20"/>
                <w:szCs w:val="20"/>
              </w:rPr>
              <w:t>Kolegijose (</w:t>
            </w:r>
            <w:proofErr w:type="spellStart"/>
            <w:r w:rsidRPr="000D0573">
              <w:rPr>
                <w:rFonts w:eastAsia="Times New Roman" w:cs="Times New Roman"/>
                <w:color w:val="215967"/>
                <w:sz w:val="20"/>
                <w:szCs w:val="20"/>
              </w:rPr>
              <w:t>Eur</w:t>
            </w:r>
            <w:proofErr w:type="spellEnd"/>
            <w:r w:rsidRPr="000D0573">
              <w:rPr>
                <w:rFonts w:eastAsia="Times New Roman" w:cs="Times New Roman"/>
                <w:color w:val="215967"/>
                <w:sz w:val="20"/>
                <w:szCs w:val="20"/>
              </w:rPr>
              <w:t>/d.</w:t>
            </w:r>
            <w:r w:rsidR="00840C44" w:rsidRPr="000D0573">
              <w:rPr>
                <w:rFonts w:eastAsia="Times New Roman" w:cs="Times New Roman"/>
                <w:color w:val="215967"/>
                <w:sz w:val="20"/>
                <w:szCs w:val="20"/>
              </w:rPr>
              <w:t xml:space="preserve"> </w:t>
            </w:r>
            <w:r w:rsidRPr="000D0573">
              <w:rPr>
                <w:rFonts w:eastAsia="Times New Roman" w:cs="Times New Roman"/>
                <w:color w:val="215967"/>
                <w:sz w:val="20"/>
                <w:szCs w:val="20"/>
              </w:rPr>
              <w:t>d.)</w:t>
            </w:r>
          </w:p>
        </w:tc>
        <w:tc>
          <w:tcPr>
            <w:tcW w:w="1559" w:type="dxa"/>
            <w:tcBorders>
              <w:top w:val="nil"/>
              <w:left w:val="single" w:sz="8" w:space="0" w:color="31869B"/>
              <w:bottom w:val="single" w:sz="8" w:space="0" w:color="31869B"/>
              <w:right w:val="single" w:sz="8" w:space="0" w:color="31869B"/>
            </w:tcBorders>
            <w:shd w:val="clear" w:color="auto" w:fill="D3F8FE" w:themeFill="accent5" w:themeFillTint="1A"/>
            <w:noWrap/>
            <w:vAlign w:val="bottom"/>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82,92</w:t>
            </w:r>
          </w:p>
        </w:tc>
        <w:tc>
          <w:tcPr>
            <w:tcW w:w="1559" w:type="dxa"/>
            <w:tcBorders>
              <w:top w:val="nil"/>
              <w:left w:val="single" w:sz="8" w:space="0" w:color="31869B"/>
              <w:bottom w:val="single" w:sz="8" w:space="0" w:color="31869B"/>
              <w:right w:val="single" w:sz="8" w:space="0" w:color="31869B"/>
            </w:tcBorders>
            <w:shd w:val="clear" w:color="auto" w:fill="D3F8FE" w:themeFill="accent5" w:themeFillTint="1A"/>
            <w:vAlign w:val="bottom"/>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68,43</w:t>
            </w:r>
          </w:p>
        </w:tc>
        <w:tc>
          <w:tcPr>
            <w:tcW w:w="1559" w:type="dxa"/>
            <w:tcBorders>
              <w:top w:val="nil"/>
              <w:left w:val="single" w:sz="8" w:space="0" w:color="31869B"/>
              <w:bottom w:val="single" w:sz="8" w:space="0" w:color="31869B"/>
              <w:right w:val="single" w:sz="8" w:space="0" w:color="31869B"/>
            </w:tcBorders>
            <w:shd w:val="clear" w:color="auto" w:fill="D3F8FE" w:themeFill="accent5" w:themeFillTint="1A"/>
            <w:vAlign w:val="bottom"/>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54,11</w:t>
            </w:r>
          </w:p>
        </w:tc>
        <w:tc>
          <w:tcPr>
            <w:tcW w:w="1560" w:type="dxa"/>
            <w:tcBorders>
              <w:top w:val="nil"/>
              <w:left w:val="single" w:sz="8" w:space="0" w:color="31869B"/>
              <w:bottom w:val="single" w:sz="8" w:space="0" w:color="31869B"/>
              <w:right w:val="single" w:sz="8" w:space="0" w:color="31869B"/>
            </w:tcBorders>
            <w:shd w:val="clear" w:color="auto" w:fill="D3F8FE" w:themeFill="accent5" w:themeFillTint="1A"/>
            <w:noWrap/>
            <w:vAlign w:val="bottom"/>
          </w:tcPr>
          <w:p w:rsidR="00FD0B92" w:rsidRPr="000D0573" w:rsidRDefault="00FD0B92" w:rsidP="00FD0B92">
            <w:pPr>
              <w:spacing w:line="240" w:lineRule="auto"/>
              <w:jc w:val="right"/>
              <w:rPr>
                <w:rFonts w:eastAsia="Times New Roman" w:cs="Times New Roman"/>
                <w:color w:val="215967"/>
                <w:sz w:val="20"/>
                <w:szCs w:val="20"/>
              </w:rPr>
            </w:pPr>
            <w:r w:rsidRPr="000D0573">
              <w:rPr>
                <w:rFonts w:eastAsia="Times New Roman" w:cs="Times New Roman"/>
                <w:color w:val="215967"/>
                <w:sz w:val="20"/>
                <w:szCs w:val="20"/>
              </w:rPr>
              <w:t>42,04</w:t>
            </w:r>
          </w:p>
        </w:tc>
      </w:tr>
    </w:tbl>
    <w:p w:rsidR="00FD0B92" w:rsidRPr="000D0573" w:rsidRDefault="00262016"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1 </w:t>
      </w:r>
      <w:r w:rsidR="00FD0B92" w:rsidRPr="000D0573">
        <w:rPr>
          <w:rFonts w:eastAsia="Times New Roman" w:cs="Times New Roman"/>
        </w:rPr>
        <w:t xml:space="preserve">lentelėje pateikiame apskaičiuotus maksimalių darbo užmokesčio dieninius įkainius eurais keturioms dėstančio ir akademinio personalo pareigybėms. Skaičiavimo rezultatai rodo, kad </w:t>
      </w:r>
      <w:r w:rsidRPr="000D0573">
        <w:rPr>
          <w:rFonts w:eastAsia="Times New Roman" w:cs="Times New Roman"/>
        </w:rPr>
        <w:t xml:space="preserve">vienos </w:t>
      </w:r>
      <w:r w:rsidR="00FD0B92" w:rsidRPr="000D0573">
        <w:rPr>
          <w:rFonts w:eastAsia="Times New Roman" w:cs="Times New Roman"/>
        </w:rPr>
        <w:t xml:space="preserve">darbo dienos profesoriaus ir vyriausiojo mokslo darbuotojo maksimalių įkainių vidurkis yra 94,70 </w:t>
      </w:r>
      <w:proofErr w:type="spellStart"/>
      <w:r w:rsidR="00EB7DB7" w:rsidRPr="000D0573">
        <w:rPr>
          <w:rFonts w:eastAsia="Times New Roman" w:cs="Times New Roman"/>
        </w:rPr>
        <w:t>Eur</w:t>
      </w:r>
      <w:proofErr w:type="spellEnd"/>
      <w:r w:rsidR="00FD0B92" w:rsidRPr="000D0573">
        <w:rPr>
          <w:rFonts w:eastAsia="Times New Roman" w:cs="Times New Roman"/>
        </w:rPr>
        <w:t>/d.</w:t>
      </w:r>
      <w:r w:rsidR="00EB7DB7" w:rsidRPr="000D0573">
        <w:rPr>
          <w:rFonts w:eastAsia="Times New Roman" w:cs="Times New Roman"/>
        </w:rPr>
        <w:t xml:space="preserve"> </w:t>
      </w:r>
      <w:r w:rsidR="00FD0B92" w:rsidRPr="000D0573">
        <w:rPr>
          <w:rFonts w:eastAsia="Times New Roman" w:cs="Times New Roman"/>
        </w:rPr>
        <w:t xml:space="preserve">d., docento ir vyresniojo mokslo darbuotojo – 74,78 </w:t>
      </w:r>
      <w:proofErr w:type="spellStart"/>
      <w:r w:rsidR="00EB7DB7" w:rsidRPr="000D0573">
        <w:rPr>
          <w:rFonts w:eastAsia="Times New Roman" w:cs="Times New Roman"/>
        </w:rPr>
        <w:t>Eur</w:t>
      </w:r>
      <w:proofErr w:type="spellEnd"/>
      <w:r w:rsidR="00FD0B92" w:rsidRPr="000D0573">
        <w:rPr>
          <w:rFonts w:eastAsia="Times New Roman" w:cs="Times New Roman"/>
        </w:rPr>
        <w:t>/d.</w:t>
      </w:r>
      <w:r w:rsidR="00EB7DB7" w:rsidRPr="000D0573">
        <w:rPr>
          <w:rFonts w:eastAsia="Times New Roman" w:cs="Times New Roman"/>
        </w:rPr>
        <w:t xml:space="preserve"> </w:t>
      </w:r>
      <w:r w:rsidR="00FD0B92" w:rsidRPr="000D0573">
        <w:rPr>
          <w:rFonts w:eastAsia="Times New Roman" w:cs="Times New Roman"/>
        </w:rPr>
        <w:t xml:space="preserve">d., lektoriaus ir mokslo darbuotojo – 58,58 </w:t>
      </w:r>
      <w:proofErr w:type="spellStart"/>
      <w:r w:rsidR="00EB7DB7" w:rsidRPr="000D0573">
        <w:rPr>
          <w:rFonts w:eastAsia="Times New Roman" w:cs="Times New Roman"/>
        </w:rPr>
        <w:t>Eur</w:t>
      </w:r>
      <w:proofErr w:type="spellEnd"/>
      <w:r w:rsidR="00FD0B92" w:rsidRPr="000D0573">
        <w:rPr>
          <w:rFonts w:eastAsia="Times New Roman" w:cs="Times New Roman"/>
        </w:rPr>
        <w:t>/d.</w:t>
      </w:r>
      <w:r w:rsidR="00EB7DB7" w:rsidRPr="000D0573">
        <w:rPr>
          <w:rFonts w:eastAsia="Times New Roman" w:cs="Times New Roman"/>
        </w:rPr>
        <w:t xml:space="preserve"> </w:t>
      </w:r>
      <w:r w:rsidR="00FD0B92" w:rsidRPr="000D0573">
        <w:rPr>
          <w:rFonts w:eastAsia="Times New Roman" w:cs="Times New Roman"/>
        </w:rPr>
        <w:t xml:space="preserve">d., asistento ir jaunesniojo mokslo darbuotojo – 44,17 </w:t>
      </w:r>
      <w:proofErr w:type="spellStart"/>
      <w:r w:rsidR="00EB7DB7" w:rsidRPr="000D0573">
        <w:rPr>
          <w:rFonts w:eastAsia="Times New Roman" w:cs="Times New Roman"/>
        </w:rPr>
        <w:t>Eur</w:t>
      </w:r>
      <w:proofErr w:type="spellEnd"/>
      <w:r w:rsidR="00FD0B92" w:rsidRPr="000D0573">
        <w:rPr>
          <w:rFonts w:eastAsia="Times New Roman" w:cs="Times New Roman"/>
        </w:rPr>
        <w:t>/d.</w:t>
      </w:r>
      <w:r w:rsidR="00EB7DB7" w:rsidRPr="000D0573">
        <w:rPr>
          <w:rFonts w:eastAsia="Times New Roman" w:cs="Times New Roman"/>
        </w:rPr>
        <w:t xml:space="preserve"> </w:t>
      </w:r>
      <w:r w:rsidR="00FD0B92" w:rsidRPr="000D0573">
        <w:rPr>
          <w:rFonts w:eastAsia="Times New Roman" w:cs="Times New Roman"/>
        </w:rPr>
        <w:t>d.</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Kadangi </w:t>
      </w:r>
      <w:r w:rsidRPr="000D0573">
        <w:rPr>
          <w:rFonts w:eastAsia="Times New Roman" w:cs="Times New Roman"/>
          <w:b/>
        </w:rPr>
        <w:t xml:space="preserve">skaičiavimus atlikome siekdami palyginti gautus dydžius su </w:t>
      </w:r>
      <w:r w:rsidR="00EB7DB7" w:rsidRPr="000D0573">
        <w:rPr>
          <w:rFonts w:eastAsia="Times New Roman" w:cs="Times New Roman"/>
          <w:b/>
        </w:rPr>
        <w:t>„</w:t>
      </w:r>
      <w:proofErr w:type="spellStart"/>
      <w:r w:rsidRPr="008744DE">
        <w:rPr>
          <w:rFonts w:eastAsia="Times New Roman" w:cs="Times New Roman"/>
          <w:b/>
        </w:rPr>
        <w:t>Erasmus</w:t>
      </w:r>
      <w:proofErr w:type="spellEnd"/>
      <w:r w:rsidRPr="008744DE">
        <w:rPr>
          <w:rFonts w:eastAsia="Times New Roman" w:cs="Times New Roman"/>
          <w:b/>
        </w:rPr>
        <w:t xml:space="preserve"> plius</w:t>
      </w:r>
      <w:r w:rsidR="00EB7DB7" w:rsidRPr="000D0573">
        <w:rPr>
          <w:rFonts w:eastAsia="Times New Roman" w:cs="Times New Roman"/>
          <w:b/>
        </w:rPr>
        <w:t>“</w:t>
      </w:r>
      <w:r w:rsidRPr="000D0573">
        <w:rPr>
          <w:rFonts w:eastAsia="Times New Roman" w:cs="Times New Roman"/>
          <w:b/>
          <w:i/>
        </w:rPr>
        <w:t xml:space="preserve"> </w:t>
      </w:r>
      <w:r w:rsidRPr="000D0573">
        <w:rPr>
          <w:rFonts w:eastAsia="Times New Roman" w:cs="Times New Roman"/>
          <w:b/>
        </w:rPr>
        <w:t xml:space="preserve">programos dydžiais, o ne </w:t>
      </w:r>
      <w:r w:rsidR="00EB7DB7" w:rsidRPr="000D0573">
        <w:rPr>
          <w:rFonts w:eastAsia="Times New Roman" w:cs="Times New Roman"/>
          <w:b/>
        </w:rPr>
        <w:t>pagal juos</w:t>
      </w:r>
      <w:r w:rsidRPr="000D0573">
        <w:rPr>
          <w:rFonts w:eastAsia="Times New Roman" w:cs="Times New Roman"/>
          <w:b/>
        </w:rPr>
        <w:t xml:space="preserve"> nustatyti fiksuotuosius įkainius</w:t>
      </w:r>
      <w:r w:rsidRPr="000D0573">
        <w:rPr>
          <w:rFonts w:eastAsia="Times New Roman" w:cs="Times New Roman"/>
        </w:rPr>
        <w:t xml:space="preserve">, remiamės </w:t>
      </w:r>
      <w:r w:rsidR="00EB7DB7" w:rsidRPr="000D0573">
        <w:rPr>
          <w:rFonts w:eastAsia="Times New Roman" w:cs="Times New Roman"/>
        </w:rPr>
        <w:t>„</w:t>
      </w:r>
      <w:proofErr w:type="spellStart"/>
      <w:r w:rsidRPr="008744DE">
        <w:rPr>
          <w:rFonts w:eastAsia="Times New Roman" w:cs="Times New Roman"/>
        </w:rPr>
        <w:t>Erasmus</w:t>
      </w:r>
      <w:proofErr w:type="spellEnd"/>
      <w:r w:rsidRPr="008744DE">
        <w:rPr>
          <w:rFonts w:eastAsia="Times New Roman" w:cs="Times New Roman"/>
        </w:rPr>
        <w:t xml:space="preserve"> plius</w:t>
      </w:r>
      <w:r w:rsidR="00EB7DB7" w:rsidRPr="000D0573">
        <w:rPr>
          <w:rFonts w:eastAsia="Times New Roman" w:cs="Times New Roman"/>
        </w:rPr>
        <w:t>“</w:t>
      </w:r>
      <w:r w:rsidRPr="000D0573">
        <w:rPr>
          <w:rFonts w:eastAsia="Times New Roman" w:cs="Times New Roman"/>
          <w:i/>
        </w:rPr>
        <w:t xml:space="preserve"> </w:t>
      </w:r>
      <w:r w:rsidRPr="000D0573">
        <w:rPr>
          <w:rFonts w:eastAsia="Times New Roman" w:cs="Times New Roman"/>
        </w:rPr>
        <w:t>programos praktika</w:t>
      </w:r>
      <w:r w:rsidR="0024422F" w:rsidRPr="000D0573">
        <w:rPr>
          <w:rStyle w:val="Puslapioinaosnuoroda"/>
          <w:rFonts w:eastAsia="Times New Roman" w:cs="Times New Roman"/>
        </w:rPr>
        <w:footnoteReference w:id="23"/>
      </w:r>
      <w:r w:rsidRPr="000D0573">
        <w:rPr>
          <w:rFonts w:eastAsia="Times New Roman" w:cs="Times New Roman"/>
        </w:rPr>
        <w:t xml:space="preserve"> ir lyginame apskaičiuotus </w:t>
      </w:r>
      <w:r w:rsidR="002A23C3" w:rsidRPr="000D0573">
        <w:rPr>
          <w:rFonts w:eastAsia="Times New Roman" w:cs="Times New Roman"/>
        </w:rPr>
        <w:t xml:space="preserve">maksimalių </w:t>
      </w:r>
      <w:r w:rsidRPr="000D0573">
        <w:rPr>
          <w:rFonts w:eastAsia="Times New Roman" w:cs="Times New Roman"/>
        </w:rPr>
        <w:t xml:space="preserve">įkainių vidurkius su programos įkainiais, </w:t>
      </w:r>
      <w:r w:rsidR="00EB7DB7" w:rsidRPr="000D0573">
        <w:rPr>
          <w:rFonts w:eastAsia="Times New Roman" w:cs="Times New Roman"/>
        </w:rPr>
        <w:t xml:space="preserve">neskirstydami </w:t>
      </w:r>
      <w:r w:rsidRPr="000D0573">
        <w:rPr>
          <w:rFonts w:eastAsia="Times New Roman" w:cs="Times New Roman"/>
        </w:rPr>
        <w:t>universitetų ir kolegijų į dvi atskiras imtis su savais įkainiais.</w:t>
      </w:r>
    </w:p>
    <w:p w:rsidR="00FD0B92" w:rsidRPr="000D0573" w:rsidRDefault="00EB7DB7"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Siekdami </w:t>
      </w:r>
      <w:r w:rsidR="00FD0B92" w:rsidRPr="000D0573">
        <w:rPr>
          <w:rFonts w:eastAsia="Times New Roman" w:cs="Times New Roman"/>
        </w:rPr>
        <w:t xml:space="preserve">palyginti pagal darbo užmokesčio tvarkas </w:t>
      </w:r>
      <w:r w:rsidRPr="000D0573">
        <w:rPr>
          <w:rFonts w:eastAsia="Times New Roman" w:cs="Times New Roman"/>
        </w:rPr>
        <w:t xml:space="preserve">apskaičiuotus </w:t>
      </w:r>
      <w:r w:rsidR="00FD0B92" w:rsidRPr="000D0573">
        <w:rPr>
          <w:rFonts w:eastAsia="Times New Roman" w:cs="Times New Roman"/>
        </w:rPr>
        <w:t xml:space="preserve">dydžius su </w:t>
      </w:r>
      <w:r w:rsidRPr="000D0573">
        <w:rPr>
          <w:rFonts w:eastAsia="Times New Roman" w:cs="Times New Roman"/>
        </w:rPr>
        <w:t>„</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Pr="000D0573">
        <w:rPr>
          <w:rFonts w:eastAsia="Times New Roman" w:cs="Times New Roman"/>
        </w:rPr>
        <w:t>“</w:t>
      </w:r>
      <w:r w:rsidR="00FD0B92" w:rsidRPr="000D0573">
        <w:rPr>
          <w:rFonts w:eastAsia="Times New Roman" w:cs="Times New Roman"/>
        </w:rPr>
        <w:t xml:space="preserve"> dieniniais įkainiais projekto pareigų tipams, pareigybių </w:t>
      </w:r>
      <w:r w:rsidR="008B4AEE" w:rsidRPr="000D0573">
        <w:rPr>
          <w:rFonts w:eastAsia="Times New Roman" w:cs="Times New Roman"/>
        </w:rPr>
        <w:t xml:space="preserve">įkainius suskirstome </w:t>
      </w:r>
      <w:r w:rsidRPr="000D0573">
        <w:rPr>
          <w:rFonts w:eastAsia="Times New Roman" w:cs="Times New Roman"/>
        </w:rPr>
        <w:t xml:space="preserve">šios ataskaitos </w:t>
      </w:r>
      <w:r w:rsidR="00FD0B92" w:rsidRPr="000D0573">
        <w:rPr>
          <w:rFonts w:eastAsia="Times New Roman" w:cs="Times New Roman"/>
        </w:rPr>
        <w:t>II.5 poskyryje aprašytu būdu.</w:t>
      </w:r>
    </w:p>
    <w:p w:rsidR="00FD0B92" w:rsidRPr="000D0573" w:rsidRDefault="00FD0B92" w:rsidP="00FD0B92">
      <w:pPr>
        <w:keepNext/>
        <w:spacing w:line="240" w:lineRule="auto"/>
        <w:jc w:val="both"/>
        <w:rPr>
          <w:rFonts w:eastAsia="Calibri" w:cs="Times New Roman"/>
          <w:b/>
          <w:bCs/>
          <w:sz w:val="22"/>
          <w:szCs w:val="18"/>
          <w:lang w:eastAsia="en-US"/>
        </w:rPr>
      </w:pPr>
      <w:r w:rsidRPr="000D0573">
        <w:rPr>
          <w:rFonts w:eastAsia="Calibri" w:cs="Times New Roman"/>
          <w:b/>
          <w:bCs/>
          <w:sz w:val="22"/>
          <w:szCs w:val="18"/>
          <w:lang w:eastAsia="en-US"/>
        </w:rPr>
        <w:fldChar w:fldCharType="begin"/>
      </w:r>
      <w:r w:rsidRPr="000D0573">
        <w:rPr>
          <w:rFonts w:eastAsia="Calibri" w:cs="Times New Roman"/>
          <w:b/>
          <w:bCs/>
          <w:sz w:val="22"/>
          <w:szCs w:val="18"/>
          <w:lang w:eastAsia="en-US"/>
        </w:rPr>
        <w:instrText xml:space="preserve"> SEQ Lentelė \* ARABIC </w:instrText>
      </w:r>
      <w:r w:rsidRPr="000D0573">
        <w:rPr>
          <w:rFonts w:eastAsia="Calibri" w:cs="Times New Roman"/>
          <w:b/>
          <w:bCs/>
          <w:sz w:val="22"/>
          <w:szCs w:val="18"/>
          <w:lang w:eastAsia="en-US"/>
        </w:rPr>
        <w:fldChar w:fldCharType="separate"/>
      </w:r>
      <w:bookmarkStart w:id="17" w:name="_Toc465415134"/>
      <w:r w:rsidR="0058292F">
        <w:rPr>
          <w:rFonts w:eastAsia="Calibri" w:cs="Times New Roman"/>
          <w:b/>
          <w:bCs/>
          <w:noProof/>
          <w:sz w:val="22"/>
          <w:szCs w:val="18"/>
          <w:lang w:eastAsia="en-US"/>
        </w:rPr>
        <w:t>2</w:t>
      </w:r>
      <w:r w:rsidRPr="000D0573">
        <w:rPr>
          <w:rFonts w:eastAsia="Calibri" w:cs="Times New Roman"/>
          <w:b/>
          <w:bCs/>
          <w:sz w:val="22"/>
          <w:szCs w:val="18"/>
          <w:lang w:eastAsia="en-US"/>
        </w:rPr>
        <w:fldChar w:fldCharType="end"/>
      </w:r>
      <w:r w:rsidRPr="000D0573">
        <w:rPr>
          <w:rFonts w:eastAsia="Calibri" w:cs="Times New Roman"/>
          <w:b/>
          <w:bCs/>
          <w:sz w:val="22"/>
          <w:szCs w:val="18"/>
          <w:lang w:eastAsia="en-US"/>
        </w:rPr>
        <w:t xml:space="preserve"> lentelė. </w:t>
      </w:r>
      <w:r w:rsidR="004E0950" w:rsidRPr="000D0573">
        <w:rPr>
          <w:rFonts w:eastAsia="Calibri" w:cs="Times New Roman"/>
          <w:b/>
          <w:bCs/>
          <w:sz w:val="22"/>
          <w:szCs w:val="18"/>
          <w:lang w:eastAsia="en-US"/>
        </w:rPr>
        <w:t>„</w:t>
      </w:r>
      <w:proofErr w:type="spellStart"/>
      <w:r w:rsidRPr="000D0573">
        <w:rPr>
          <w:rFonts w:eastAsia="Calibri" w:cs="Times New Roman"/>
          <w:b/>
          <w:bCs/>
          <w:sz w:val="22"/>
          <w:szCs w:val="18"/>
          <w:lang w:eastAsia="en-US"/>
        </w:rPr>
        <w:t>Erasmus</w:t>
      </w:r>
      <w:proofErr w:type="spellEnd"/>
      <w:r w:rsidRPr="000D0573">
        <w:rPr>
          <w:rFonts w:eastAsia="Calibri" w:cs="Times New Roman"/>
          <w:b/>
          <w:bCs/>
          <w:sz w:val="22"/>
          <w:szCs w:val="18"/>
          <w:lang w:eastAsia="en-US"/>
        </w:rPr>
        <w:t xml:space="preserve"> plius</w:t>
      </w:r>
      <w:r w:rsidR="004E0950" w:rsidRPr="000D0573">
        <w:rPr>
          <w:rFonts w:eastAsia="Calibri" w:cs="Times New Roman"/>
          <w:b/>
          <w:bCs/>
          <w:sz w:val="22"/>
          <w:szCs w:val="18"/>
          <w:lang w:eastAsia="en-US"/>
        </w:rPr>
        <w:t>“</w:t>
      </w:r>
      <w:r w:rsidRPr="000D0573">
        <w:rPr>
          <w:rFonts w:eastAsia="Calibri" w:cs="Times New Roman"/>
          <w:b/>
          <w:bCs/>
          <w:sz w:val="22"/>
          <w:szCs w:val="18"/>
          <w:lang w:eastAsia="en-US"/>
        </w:rPr>
        <w:t xml:space="preserve"> ir pagal darbo užmokesčio tvarkas apskaičiuotų įkainių palyginimas (</w:t>
      </w:r>
      <w:proofErr w:type="spellStart"/>
      <w:r w:rsidRPr="000D0573">
        <w:rPr>
          <w:rFonts w:eastAsia="Calibri" w:cs="Times New Roman"/>
          <w:b/>
          <w:bCs/>
          <w:sz w:val="22"/>
          <w:szCs w:val="18"/>
          <w:lang w:eastAsia="en-US"/>
        </w:rPr>
        <w:t>Eur</w:t>
      </w:r>
      <w:proofErr w:type="spellEnd"/>
      <w:r w:rsidRPr="000D0573">
        <w:rPr>
          <w:rFonts w:eastAsia="Calibri" w:cs="Times New Roman"/>
          <w:b/>
          <w:bCs/>
          <w:sz w:val="22"/>
          <w:szCs w:val="18"/>
          <w:lang w:eastAsia="en-US"/>
        </w:rPr>
        <w:t>/d.</w:t>
      </w:r>
      <w:r w:rsidR="00840C44" w:rsidRPr="000D0573">
        <w:rPr>
          <w:rFonts w:eastAsia="Calibri" w:cs="Times New Roman"/>
          <w:b/>
          <w:bCs/>
          <w:sz w:val="22"/>
          <w:szCs w:val="18"/>
          <w:lang w:eastAsia="en-US"/>
        </w:rPr>
        <w:t xml:space="preserve"> </w:t>
      </w:r>
      <w:r w:rsidRPr="000D0573">
        <w:rPr>
          <w:rFonts w:eastAsia="Calibri" w:cs="Times New Roman"/>
          <w:b/>
          <w:bCs/>
          <w:sz w:val="22"/>
          <w:szCs w:val="18"/>
          <w:lang w:eastAsia="en-US"/>
        </w:rPr>
        <w:t>d.)</w:t>
      </w:r>
      <w:bookmarkEnd w:id="17"/>
    </w:p>
    <w:tbl>
      <w:tblPr>
        <w:tblW w:w="9139" w:type="dxa"/>
        <w:tblInd w:w="103" w:type="dxa"/>
        <w:tblLook w:val="04A0" w:firstRow="1" w:lastRow="0" w:firstColumn="1" w:lastColumn="0" w:noHBand="0" w:noVBand="1"/>
      </w:tblPr>
      <w:tblGrid>
        <w:gridCol w:w="572"/>
        <w:gridCol w:w="3520"/>
        <w:gridCol w:w="1685"/>
        <w:gridCol w:w="1653"/>
        <w:gridCol w:w="1709"/>
      </w:tblGrid>
      <w:tr w:rsidR="00FD0B92" w:rsidRPr="000D0573" w:rsidTr="00FD0B92">
        <w:trPr>
          <w:trHeight w:val="510"/>
        </w:trPr>
        <w:tc>
          <w:tcPr>
            <w:tcW w:w="572" w:type="dxa"/>
            <w:tcBorders>
              <w:top w:val="single" w:sz="4" w:space="0" w:color="215967"/>
              <w:left w:val="single" w:sz="4" w:space="0" w:color="215967"/>
              <w:bottom w:val="single" w:sz="4" w:space="0" w:color="215967"/>
              <w:right w:val="single" w:sz="4" w:space="0" w:color="B7DEE8"/>
            </w:tcBorders>
            <w:shd w:val="clear" w:color="auto" w:fill="036575" w:themeFill="accent5" w:themeFillTint="E6"/>
          </w:tcPr>
          <w:p w:rsidR="00FD0B92" w:rsidRPr="000D0573" w:rsidRDefault="00FD0B92" w:rsidP="004E0950">
            <w:pPr>
              <w:spacing w:line="240" w:lineRule="auto"/>
              <w:jc w:val="center"/>
              <w:rPr>
                <w:rFonts w:eastAsia="Times New Roman" w:cs="Times New Roman"/>
                <w:b/>
                <w:bCs/>
                <w:color w:val="FFFFFF"/>
                <w:sz w:val="20"/>
                <w:szCs w:val="20"/>
              </w:rPr>
            </w:pPr>
            <w:r w:rsidRPr="000D0573">
              <w:rPr>
                <w:rFonts w:eastAsia="Times New Roman" w:cs="Times New Roman"/>
                <w:b/>
                <w:bCs/>
                <w:color w:val="FFFFFF"/>
                <w:sz w:val="20"/>
                <w:szCs w:val="20"/>
              </w:rPr>
              <w:t xml:space="preserve">Eil. </w:t>
            </w:r>
            <w:r w:rsidR="004E0950" w:rsidRPr="000D0573">
              <w:rPr>
                <w:rFonts w:eastAsia="Times New Roman" w:cs="Times New Roman"/>
                <w:b/>
                <w:bCs/>
                <w:color w:val="FFFFFF"/>
                <w:sz w:val="20"/>
                <w:szCs w:val="20"/>
              </w:rPr>
              <w:t>nr</w:t>
            </w:r>
            <w:r w:rsidRPr="000D0573">
              <w:rPr>
                <w:rFonts w:eastAsia="Times New Roman" w:cs="Times New Roman"/>
                <w:b/>
                <w:bCs/>
                <w:color w:val="FFFFFF"/>
                <w:sz w:val="20"/>
                <w:szCs w:val="20"/>
              </w:rPr>
              <w:t>.</w:t>
            </w:r>
          </w:p>
        </w:tc>
        <w:tc>
          <w:tcPr>
            <w:tcW w:w="3520" w:type="dxa"/>
            <w:tcBorders>
              <w:top w:val="single" w:sz="4" w:space="0" w:color="215967"/>
              <w:left w:val="single" w:sz="4" w:space="0" w:color="215967"/>
              <w:bottom w:val="single" w:sz="4" w:space="0" w:color="215967"/>
              <w:right w:val="single" w:sz="4" w:space="0" w:color="B7DEE8"/>
            </w:tcBorders>
            <w:shd w:val="clear" w:color="auto" w:fill="036575" w:themeFill="accent5" w:themeFillTint="E6"/>
            <w:vAlign w:val="center"/>
            <w:hideMark/>
          </w:tcPr>
          <w:p w:rsidR="00FD0B92" w:rsidRPr="000D0573" w:rsidRDefault="00840C44" w:rsidP="00FD0B92">
            <w:pPr>
              <w:spacing w:line="240" w:lineRule="auto"/>
              <w:jc w:val="center"/>
              <w:rPr>
                <w:rFonts w:eastAsia="Times New Roman" w:cs="Times New Roman"/>
                <w:b/>
                <w:bCs/>
                <w:color w:val="FFFFFF"/>
                <w:sz w:val="20"/>
                <w:szCs w:val="20"/>
              </w:rPr>
            </w:pPr>
            <w:r w:rsidRPr="000D0573">
              <w:rPr>
                <w:rFonts w:eastAsia="Times New Roman" w:cs="Times New Roman"/>
                <w:b/>
                <w:bCs/>
                <w:color w:val="FFFFFF"/>
                <w:sz w:val="20"/>
                <w:szCs w:val="20"/>
              </w:rPr>
              <w:t xml:space="preserve">Darbo </w:t>
            </w:r>
            <w:r w:rsidR="00FD0B92" w:rsidRPr="000D0573">
              <w:rPr>
                <w:rFonts w:eastAsia="Times New Roman" w:cs="Times New Roman"/>
                <w:b/>
                <w:bCs/>
                <w:color w:val="FFFFFF"/>
                <w:sz w:val="20"/>
                <w:szCs w:val="20"/>
              </w:rPr>
              <w:t>užmokesčio</w:t>
            </w:r>
            <w:r w:rsidR="00FD0B92" w:rsidRPr="000D0573">
              <w:rPr>
                <w:rFonts w:eastAsia="Times New Roman" w:cs="Times New Roman"/>
                <w:b/>
                <w:bCs/>
                <w:color w:val="FFFFFF"/>
                <w:sz w:val="20"/>
                <w:szCs w:val="20"/>
              </w:rPr>
              <w:br/>
              <w:t>įkainio tipas</w:t>
            </w:r>
          </w:p>
        </w:tc>
        <w:tc>
          <w:tcPr>
            <w:tcW w:w="1685" w:type="dxa"/>
            <w:tcBorders>
              <w:top w:val="single" w:sz="4" w:space="0" w:color="215967"/>
              <w:left w:val="nil"/>
              <w:bottom w:val="single" w:sz="4" w:space="0" w:color="215967"/>
              <w:right w:val="single" w:sz="4" w:space="0" w:color="B7DEE8"/>
            </w:tcBorders>
            <w:shd w:val="clear" w:color="auto" w:fill="036575" w:themeFill="accent5" w:themeFillTint="E6"/>
            <w:vAlign w:val="center"/>
            <w:hideMark/>
          </w:tcPr>
          <w:p w:rsidR="00FD0B92" w:rsidRPr="000D0573" w:rsidRDefault="00840C44" w:rsidP="00840C44">
            <w:pPr>
              <w:spacing w:line="240" w:lineRule="auto"/>
              <w:jc w:val="center"/>
              <w:rPr>
                <w:rFonts w:eastAsia="Times New Roman" w:cs="Times New Roman"/>
                <w:b/>
                <w:bCs/>
                <w:color w:val="FFFFFF"/>
                <w:sz w:val="20"/>
                <w:szCs w:val="20"/>
              </w:rPr>
            </w:pPr>
            <w:r w:rsidRPr="000D0573">
              <w:rPr>
                <w:rFonts w:eastAsia="Times New Roman" w:cs="Times New Roman"/>
                <w:b/>
                <w:bCs/>
                <w:color w:val="FFFFFF"/>
                <w:sz w:val="20"/>
                <w:szCs w:val="20"/>
              </w:rPr>
              <w:t>K</w:t>
            </w:r>
            <w:r w:rsidR="00FD0B92" w:rsidRPr="000D0573">
              <w:rPr>
                <w:rFonts w:eastAsia="Times New Roman" w:cs="Times New Roman"/>
                <w:b/>
                <w:bCs/>
                <w:color w:val="FFFFFF"/>
                <w:sz w:val="20"/>
                <w:szCs w:val="20"/>
              </w:rPr>
              <w:t>omandos</w:t>
            </w:r>
            <w:r w:rsidRPr="000D0573">
              <w:rPr>
                <w:rFonts w:eastAsia="Times New Roman" w:cs="Times New Roman"/>
                <w:b/>
                <w:bCs/>
                <w:color w:val="FFFFFF"/>
                <w:sz w:val="20"/>
                <w:szCs w:val="20"/>
              </w:rPr>
              <w:t>-</w:t>
            </w:r>
            <w:r w:rsidR="00FD0B92" w:rsidRPr="000D0573">
              <w:rPr>
                <w:rFonts w:eastAsia="Times New Roman" w:cs="Times New Roman"/>
                <w:b/>
                <w:bCs/>
                <w:color w:val="FFFFFF"/>
                <w:sz w:val="20"/>
                <w:szCs w:val="20"/>
              </w:rPr>
              <w:t xml:space="preserve">veiklos vadovas </w:t>
            </w:r>
          </w:p>
        </w:tc>
        <w:tc>
          <w:tcPr>
            <w:tcW w:w="1653" w:type="dxa"/>
            <w:tcBorders>
              <w:top w:val="single" w:sz="4" w:space="0" w:color="215967"/>
              <w:left w:val="nil"/>
              <w:bottom w:val="single" w:sz="4" w:space="0" w:color="215967"/>
              <w:right w:val="single" w:sz="4" w:space="0" w:color="B7DEE8"/>
            </w:tcBorders>
            <w:shd w:val="clear" w:color="auto" w:fill="036575" w:themeFill="accent5" w:themeFillTint="E6"/>
            <w:vAlign w:val="center"/>
            <w:hideMark/>
          </w:tcPr>
          <w:p w:rsidR="00FD0B92" w:rsidRPr="000D0573" w:rsidRDefault="00840C44" w:rsidP="00FD0B92">
            <w:pPr>
              <w:spacing w:line="240" w:lineRule="auto"/>
              <w:jc w:val="center"/>
              <w:rPr>
                <w:rFonts w:eastAsia="Times New Roman" w:cs="Times New Roman"/>
                <w:b/>
                <w:bCs/>
                <w:color w:val="FFFFFF"/>
                <w:sz w:val="20"/>
                <w:szCs w:val="20"/>
              </w:rPr>
            </w:pPr>
            <w:r w:rsidRPr="000D0573">
              <w:rPr>
                <w:rFonts w:eastAsia="Times New Roman" w:cs="Times New Roman"/>
                <w:b/>
                <w:bCs/>
                <w:color w:val="FFFFFF"/>
                <w:sz w:val="20"/>
                <w:szCs w:val="20"/>
              </w:rPr>
              <w:t>Dėstytojas</w:t>
            </w:r>
            <w:r w:rsidR="00FD0B92" w:rsidRPr="000D0573">
              <w:rPr>
                <w:rFonts w:eastAsia="Times New Roman" w:cs="Times New Roman"/>
                <w:b/>
                <w:bCs/>
                <w:color w:val="FFFFFF"/>
                <w:sz w:val="20"/>
                <w:szCs w:val="20"/>
              </w:rPr>
              <w:t>, ekspertas, tyrėjas</w:t>
            </w:r>
          </w:p>
        </w:tc>
        <w:tc>
          <w:tcPr>
            <w:tcW w:w="1709" w:type="dxa"/>
            <w:tcBorders>
              <w:top w:val="single" w:sz="4" w:space="0" w:color="215967"/>
              <w:left w:val="nil"/>
              <w:bottom w:val="single" w:sz="4" w:space="0" w:color="215967"/>
              <w:right w:val="single" w:sz="4" w:space="0" w:color="215967"/>
            </w:tcBorders>
            <w:shd w:val="clear" w:color="auto" w:fill="036575" w:themeFill="accent5" w:themeFillTint="E6"/>
            <w:vAlign w:val="center"/>
            <w:hideMark/>
          </w:tcPr>
          <w:p w:rsidR="00FD0B92" w:rsidRPr="000D0573" w:rsidRDefault="00840C44" w:rsidP="00FD0B92">
            <w:pPr>
              <w:spacing w:line="240" w:lineRule="auto"/>
              <w:jc w:val="center"/>
              <w:rPr>
                <w:rFonts w:eastAsia="Times New Roman" w:cs="Times New Roman"/>
                <w:b/>
                <w:bCs/>
                <w:color w:val="FFFFFF"/>
                <w:sz w:val="20"/>
                <w:szCs w:val="20"/>
              </w:rPr>
            </w:pPr>
            <w:r w:rsidRPr="000D0573">
              <w:rPr>
                <w:rFonts w:eastAsia="Times New Roman" w:cs="Times New Roman"/>
                <w:b/>
                <w:bCs/>
                <w:color w:val="FFFFFF"/>
                <w:sz w:val="20"/>
                <w:szCs w:val="20"/>
              </w:rPr>
              <w:t>Techninis</w:t>
            </w:r>
            <w:r w:rsidR="00FD0B92" w:rsidRPr="000D0573">
              <w:rPr>
                <w:rFonts w:eastAsia="Times New Roman" w:cs="Times New Roman"/>
                <w:b/>
                <w:bCs/>
                <w:color w:val="FFFFFF"/>
                <w:sz w:val="20"/>
                <w:szCs w:val="20"/>
              </w:rPr>
              <w:br/>
              <w:t xml:space="preserve"> darbuotojas</w:t>
            </w:r>
          </w:p>
        </w:tc>
      </w:tr>
      <w:tr w:rsidR="00FD0B92" w:rsidRPr="000D0573" w:rsidTr="00890BE4">
        <w:trPr>
          <w:trHeight w:val="548"/>
        </w:trPr>
        <w:tc>
          <w:tcPr>
            <w:tcW w:w="572" w:type="dxa"/>
            <w:tcBorders>
              <w:top w:val="nil"/>
              <w:left w:val="single" w:sz="4" w:space="0" w:color="31869B"/>
              <w:bottom w:val="single" w:sz="4" w:space="0" w:color="31869B"/>
              <w:right w:val="single" w:sz="4" w:space="0" w:color="31869B"/>
            </w:tcBorders>
            <w:vAlign w:val="center"/>
          </w:tcPr>
          <w:p w:rsidR="00FD0B92" w:rsidRPr="000D0573" w:rsidRDefault="00FD0B92" w:rsidP="00FD0B92">
            <w:pPr>
              <w:spacing w:line="240" w:lineRule="auto"/>
              <w:jc w:val="center"/>
              <w:rPr>
                <w:rFonts w:eastAsia="Times New Roman" w:cs="Times New Roman"/>
                <w:iCs/>
                <w:sz w:val="20"/>
                <w:szCs w:val="20"/>
              </w:rPr>
            </w:pPr>
            <w:r w:rsidRPr="000D0573">
              <w:rPr>
                <w:rFonts w:eastAsia="Times New Roman" w:cs="Times New Roman"/>
                <w:iCs/>
                <w:sz w:val="20"/>
                <w:szCs w:val="20"/>
              </w:rPr>
              <w:t>1.</w:t>
            </w:r>
          </w:p>
        </w:tc>
        <w:tc>
          <w:tcPr>
            <w:tcW w:w="3520" w:type="dxa"/>
            <w:tcBorders>
              <w:top w:val="nil"/>
              <w:left w:val="single" w:sz="4" w:space="0" w:color="31869B"/>
              <w:bottom w:val="single" w:sz="4" w:space="0" w:color="31869B"/>
              <w:right w:val="single" w:sz="4" w:space="0" w:color="31869B"/>
            </w:tcBorders>
            <w:shd w:val="clear" w:color="auto" w:fill="auto"/>
            <w:vAlign w:val="center"/>
            <w:hideMark/>
          </w:tcPr>
          <w:p w:rsidR="00FD0B92" w:rsidRPr="000D0573" w:rsidRDefault="00840C44" w:rsidP="00FD0B92">
            <w:pPr>
              <w:spacing w:line="240" w:lineRule="auto"/>
              <w:jc w:val="center"/>
              <w:rPr>
                <w:rFonts w:eastAsia="Times New Roman" w:cs="Times New Roman"/>
                <w:i/>
                <w:iCs/>
                <w:sz w:val="20"/>
                <w:szCs w:val="20"/>
              </w:rPr>
            </w:pPr>
            <w:r w:rsidRPr="000D0573">
              <w:rPr>
                <w:rFonts w:eastAsia="Times New Roman" w:cs="Times New Roman"/>
                <w:iCs/>
                <w:sz w:val="20"/>
                <w:szCs w:val="20"/>
              </w:rPr>
              <w:t>„</w:t>
            </w:r>
            <w:proofErr w:type="spellStart"/>
            <w:r w:rsidR="00FD0B92" w:rsidRPr="008744DE">
              <w:rPr>
                <w:rFonts w:eastAsia="Times New Roman" w:cs="Times New Roman"/>
                <w:iCs/>
                <w:sz w:val="20"/>
                <w:szCs w:val="20"/>
              </w:rPr>
              <w:t>Erasmus</w:t>
            </w:r>
            <w:proofErr w:type="spellEnd"/>
            <w:r w:rsidR="00FD0B92" w:rsidRPr="008744DE">
              <w:rPr>
                <w:rFonts w:eastAsia="Times New Roman" w:cs="Times New Roman"/>
                <w:iCs/>
                <w:sz w:val="20"/>
                <w:szCs w:val="20"/>
              </w:rPr>
              <w:t xml:space="preserve"> plius</w:t>
            </w:r>
            <w:r w:rsidRPr="000D0573">
              <w:rPr>
                <w:rFonts w:eastAsia="Times New Roman" w:cs="Times New Roman"/>
                <w:iCs/>
                <w:sz w:val="20"/>
                <w:szCs w:val="20"/>
              </w:rPr>
              <w:t>“</w:t>
            </w:r>
            <w:r w:rsidR="00FD0B92" w:rsidRPr="000D0573">
              <w:rPr>
                <w:rFonts w:eastAsia="Times New Roman" w:cs="Times New Roman"/>
                <w:sz w:val="20"/>
                <w:szCs w:val="20"/>
              </w:rPr>
              <w:t xml:space="preserve"> dieniniai įkainiai</w:t>
            </w:r>
          </w:p>
        </w:tc>
        <w:tc>
          <w:tcPr>
            <w:tcW w:w="1685"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88</w:t>
            </w:r>
          </w:p>
        </w:tc>
        <w:tc>
          <w:tcPr>
            <w:tcW w:w="1653"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74</w:t>
            </w:r>
          </w:p>
        </w:tc>
        <w:tc>
          <w:tcPr>
            <w:tcW w:w="1709"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55</w:t>
            </w:r>
          </w:p>
        </w:tc>
      </w:tr>
      <w:tr w:rsidR="00FD0B92" w:rsidRPr="000D0573" w:rsidTr="00890BE4">
        <w:trPr>
          <w:trHeight w:val="799"/>
        </w:trPr>
        <w:tc>
          <w:tcPr>
            <w:tcW w:w="572" w:type="dxa"/>
            <w:tcBorders>
              <w:top w:val="nil"/>
              <w:left w:val="single" w:sz="4" w:space="0" w:color="31869B"/>
              <w:bottom w:val="single" w:sz="4" w:space="0" w:color="31869B"/>
              <w:right w:val="single" w:sz="4" w:space="0" w:color="31869B"/>
            </w:tcBorders>
            <w:vAlign w:val="center"/>
          </w:tcPr>
          <w:p w:rsidR="00FD0B92" w:rsidRPr="000D0573" w:rsidRDefault="00FD0B92" w:rsidP="00FD0B92">
            <w:pPr>
              <w:spacing w:line="240" w:lineRule="auto"/>
              <w:jc w:val="center"/>
              <w:rPr>
                <w:rFonts w:eastAsia="Times New Roman" w:cs="Times New Roman"/>
                <w:color w:val="000000"/>
                <w:sz w:val="20"/>
                <w:szCs w:val="20"/>
              </w:rPr>
            </w:pPr>
            <w:r w:rsidRPr="000D0573">
              <w:rPr>
                <w:rFonts w:eastAsia="Times New Roman" w:cs="Times New Roman"/>
                <w:color w:val="000000"/>
                <w:sz w:val="20"/>
                <w:szCs w:val="20"/>
              </w:rPr>
              <w:t>2.</w:t>
            </w:r>
          </w:p>
        </w:tc>
        <w:tc>
          <w:tcPr>
            <w:tcW w:w="3520" w:type="dxa"/>
            <w:tcBorders>
              <w:top w:val="nil"/>
              <w:left w:val="single" w:sz="4" w:space="0" w:color="31869B"/>
              <w:bottom w:val="single" w:sz="4" w:space="0" w:color="31869B"/>
              <w:right w:val="single" w:sz="4" w:space="0" w:color="31869B"/>
            </w:tcBorders>
            <w:shd w:val="clear" w:color="auto" w:fill="auto"/>
            <w:vAlign w:val="center"/>
            <w:hideMark/>
          </w:tcPr>
          <w:p w:rsidR="00FD0B92" w:rsidRPr="000D0573" w:rsidRDefault="00840C44" w:rsidP="00FD0B92">
            <w:pPr>
              <w:spacing w:line="240" w:lineRule="auto"/>
              <w:jc w:val="center"/>
              <w:rPr>
                <w:rFonts w:eastAsia="Times New Roman" w:cs="Times New Roman"/>
                <w:color w:val="000000"/>
                <w:sz w:val="20"/>
                <w:szCs w:val="20"/>
              </w:rPr>
            </w:pPr>
            <w:r w:rsidRPr="000D0573">
              <w:rPr>
                <w:rFonts w:eastAsia="Times New Roman" w:cs="Times New Roman"/>
                <w:color w:val="000000"/>
                <w:sz w:val="20"/>
                <w:szCs w:val="20"/>
              </w:rPr>
              <w:t xml:space="preserve">Dieniniai </w:t>
            </w:r>
            <w:r w:rsidR="00FD0B92" w:rsidRPr="000D0573">
              <w:rPr>
                <w:rFonts w:eastAsia="Times New Roman" w:cs="Times New Roman"/>
                <w:color w:val="000000"/>
                <w:sz w:val="20"/>
                <w:szCs w:val="20"/>
              </w:rPr>
              <w:t>įkainiai pagal aukštųjų mokyklų darbo užmokesčio tvarkas</w:t>
            </w:r>
          </w:p>
        </w:tc>
        <w:tc>
          <w:tcPr>
            <w:tcW w:w="1685"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84,74</w:t>
            </w:r>
          </w:p>
        </w:tc>
        <w:tc>
          <w:tcPr>
            <w:tcW w:w="1653"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66,68</w:t>
            </w:r>
          </w:p>
        </w:tc>
        <w:tc>
          <w:tcPr>
            <w:tcW w:w="1709" w:type="dxa"/>
            <w:tcBorders>
              <w:top w:val="nil"/>
              <w:left w:val="nil"/>
              <w:bottom w:val="single" w:sz="4" w:space="0" w:color="31869B"/>
              <w:right w:val="single" w:sz="4" w:space="0" w:color="31869B"/>
            </w:tcBorders>
            <w:shd w:val="clear" w:color="auto" w:fill="auto"/>
            <w:vAlign w:val="center"/>
            <w:hideMark/>
          </w:tcPr>
          <w:p w:rsidR="00FD0B92" w:rsidRPr="000D0573" w:rsidRDefault="00FD0B92" w:rsidP="00FD0B92">
            <w:pPr>
              <w:spacing w:line="240" w:lineRule="auto"/>
              <w:jc w:val="center"/>
              <w:rPr>
                <w:rFonts w:eastAsia="Times New Roman" w:cs="Times New Roman"/>
                <w:color w:val="000000"/>
                <w:sz w:val="20"/>
              </w:rPr>
            </w:pPr>
            <w:r w:rsidRPr="000D0573">
              <w:rPr>
                <w:rFonts w:eastAsia="Times New Roman" w:cs="Times New Roman"/>
                <w:color w:val="000000"/>
                <w:sz w:val="20"/>
              </w:rPr>
              <w:t>44,17</w:t>
            </w:r>
          </w:p>
        </w:tc>
      </w:tr>
    </w:tbl>
    <w:p w:rsidR="00FD0B92" w:rsidRPr="000D0573" w:rsidRDefault="004E0950"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Palyginę </w:t>
      </w:r>
      <w:r w:rsidR="00FD0B92" w:rsidRPr="000D0573">
        <w:rPr>
          <w:rFonts w:eastAsia="Times New Roman" w:cs="Times New Roman"/>
        </w:rPr>
        <w:t xml:space="preserve">apskaičiuotus aukštųjų mokyklų įkainius su </w:t>
      </w:r>
      <w:r w:rsidRPr="000D0573">
        <w:rPr>
          <w:rFonts w:eastAsia="Times New Roman" w:cs="Times New Roman"/>
        </w:rPr>
        <w:t>„</w:t>
      </w:r>
      <w:proofErr w:type="spellStart"/>
      <w:r w:rsidRPr="000D0573">
        <w:rPr>
          <w:rFonts w:eastAsia="Times New Roman" w:cs="Times New Roman"/>
        </w:rPr>
        <w:t>Erasmus</w:t>
      </w:r>
      <w:proofErr w:type="spellEnd"/>
      <w:r w:rsidRPr="000D0573">
        <w:rPr>
          <w:rFonts w:eastAsia="Times New Roman" w:cs="Times New Roman"/>
        </w:rPr>
        <w:t xml:space="preserve"> plius“ </w:t>
      </w:r>
      <w:r w:rsidR="00FD0B92" w:rsidRPr="000D0573">
        <w:rPr>
          <w:rFonts w:eastAsia="Times New Roman" w:cs="Times New Roman"/>
        </w:rPr>
        <w:t>fiksuotaisiais įkainiais</w:t>
      </w:r>
      <w:r w:rsidR="008B4AEE" w:rsidRPr="000D0573">
        <w:rPr>
          <w:rFonts w:eastAsia="Times New Roman" w:cs="Times New Roman"/>
        </w:rPr>
        <w:t>,</w:t>
      </w:r>
      <w:r w:rsidR="00FD0B92" w:rsidRPr="000D0573">
        <w:rPr>
          <w:rFonts w:eastAsia="Times New Roman" w:cs="Times New Roman"/>
        </w:rPr>
        <w:t xml:space="preserve"> matome, kad </w:t>
      </w:r>
      <w:r w:rsidR="008B4AEE" w:rsidRPr="000D0573">
        <w:rPr>
          <w:rFonts w:eastAsia="Times New Roman" w:cs="Times New Roman"/>
        </w:rPr>
        <w:t>komandos-veiklos vadovui „</w:t>
      </w:r>
      <w:proofErr w:type="spellStart"/>
      <w:r w:rsidR="008B4AEE" w:rsidRPr="000D0573">
        <w:rPr>
          <w:rFonts w:eastAsia="Times New Roman" w:cs="Times New Roman"/>
        </w:rPr>
        <w:t>Erasmus</w:t>
      </w:r>
      <w:proofErr w:type="spellEnd"/>
      <w:r w:rsidR="008B4AEE" w:rsidRPr="000D0573">
        <w:rPr>
          <w:rFonts w:eastAsia="Times New Roman" w:cs="Times New Roman"/>
        </w:rPr>
        <w:t xml:space="preserve"> plius“ programoje taikytini </w:t>
      </w:r>
      <w:r w:rsidR="00FD0B92" w:rsidRPr="000D0573">
        <w:rPr>
          <w:rFonts w:eastAsia="Times New Roman" w:cs="Times New Roman"/>
        </w:rPr>
        <w:t xml:space="preserve">dieniniai įkainiai yra 3,26 </w:t>
      </w:r>
      <w:proofErr w:type="spellStart"/>
      <w:r w:rsidR="00FD0B92" w:rsidRPr="000D0573">
        <w:rPr>
          <w:rFonts w:eastAsia="Times New Roman" w:cs="Times New Roman"/>
        </w:rPr>
        <w:t>Eur</w:t>
      </w:r>
      <w:proofErr w:type="spellEnd"/>
      <w:r w:rsidR="00FD0B92" w:rsidRPr="000D0573">
        <w:rPr>
          <w:rFonts w:eastAsia="Times New Roman" w:cs="Times New Roman"/>
        </w:rPr>
        <w:t xml:space="preserve"> (3,7 proc.) didesni </w:t>
      </w:r>
      <w:r w:rsidR="008B4AEE" w:rsidRPr="000D0573">
        <w:rPr>
          <w:rFonts w:eastAsia="Times New Roman" w:cs="Times New Roman"/>
        </w:rPr>
        <w:t xml:space="preserve">negu </w:t>
      </w:r>
      <w:r w:rsidR="00FD0B92" w:rsidRPr="000D0573">
        <w:rPr>
          <w:rFonts w:eastAsia="Times New Roman" w:cs="Times New Roman"/>
        </w:rPr>
        <w:t>vidutiniai maksimalūs dieniniai įkainiai</w:t>
      </w:r>
      <w:r w:rsidR="008B4AEE" w:rsidRPr="000D0573">
        <w:rPr>
          <w:rFonts w:eastAsia="Times New Roman" w:cs="Times New Roman"/>
        </w:rPr>
        <w:t>,</w:t>
      </w:r>
      <w:r w:rsidR="00FD0B92" w:rsidRPr="000D0573">
        <w:rPr>
          <w:rFonts w:eastAsia="Times New Roman" w:cs="Times New Roman"/>
        </w:rPr>
        <w:t xml:space="preserve"> apskaičiuoti pagal aukštųjų mokyklų darbo užmokesčio tvarkas. Dėstytojams, ekspertams, tyrėjams</w:t>
      </w:r>
      <w:r w:rsidR="00CB49BF">
        <w:rPr>
          <w:rFonts w:eastAsia="Times New Roman" w:cs="Times New Roman"/>
        </w:rPr>
        <w:t xml:space="preserve"> </w:t>
      </w:r>
      <w:r w:rsidR="00CB49BF" w:rsidRPr="000D0573">
        <w:rPr>
          <w:rFonts w:eastAsia="Times New Roman" w:cs="Times New Roman"/>
        </w:rPr>
        <w:t>„</w:t>
      </w:r>
      <w:proofErr w:type="spellStart"/>
      <w:r w:rsidR="00CB49BF" w:rsidRPr="000D0573">
        <w:rPr>
          <w:rFonts w:eastAsia="Times New Roman" w:cs="Times New Roman"/>
        </w:rPr>
        <w:t>Erasmus</w:t>
      </w:r>
      <w:proofErr w:type="spellEnd"/>
      <w:r w:rsidR="00CB49BF" w:rsidRPr="000D0573">
        <w:rPr>
          <w:rFonts w:eastAsia="Times New Roman" w:cs="Times New Roman"/>
        </w:rPr>
        <w:t xml:space="preserve"> plius“</w:t>
      </w:r>
      <w:r w:rsidR="00FD0B92" w:rsidRPr="000D0573">
        <w:rPr>
          <w:rFonts w:eastAsia="Times New Roman" w:cs="Times New Roman"/>
        </w:rPr>
        <w:t xml:space="preserve"> </w:t>
      </w:r>
      <w:r w:rsidR="00CB49BF">
        <w:rPr>
          <w:rFonts w:eastAsia="Times New Roman" w:cs="Times New Roman"/>
        </w:rPr>
        <w:t xml:space="preserve">įkainiai didesni 7,32 </w:t>
      </w:r>
      <w:proofErr w:type="spellStart"/>
      <w:r w:rsidR="00CB49BF">
        <w:rPr>
          <w:rFonts w:eastAsia="Times New Roman" w:cs="Times New Roman"/>
        </w:rPr>
        <w:t>Eur</w:t>
      </w:r>
      <w:proofErr w:type="spellEnd"/>
      <w:r w:rsidR="00CB49BF">
        <w:rPr>
          <w:rFonts w:eastAsia="Times New Roman" w:cs="Times New Roman"/>
        </w:rPr>
        <w:t xml:space="preserve"> (9,9 proc.)</w:t>
      </w:r>
      <w:r w:rsidR="00CB49BF" w:rsidRPr="00CB49BF">
        <w:rPr>
          <w:rFonts w:eastAsia="Times New Roman" w:cs="Times New Roman"/>
        </w:rPr>
        <w:t xml:space="preserve"> </w:t>
      </w:r>
      <w:r w:rsidR="00CB49BF" w:rsidRPr="000D0573">
        <w:rPr>
          <w:rFonts w:eastAsia="Times New Roman" w:cs="Times New Roman"/>
        </w:rPr>
        <w:t>negu apskaičiuotieji pagal aukštųjų mokyklų darbo užmokesčio tvarkas</w:t>
      </w:r>
      <w:r w:rsidR="00CB49BF">
        <w:rPr>
          <w:rFonts w:eastAsia="Times New Roman" w:cs="Times New Roman"/>
        </w:rPr>
        <w:t>. T</w:t>
      </w:r>
      <w:r w:rsidR="00E12009">
        <w:rPr>
          <w:rFonts w:eastAsia="Times New Roman" w:cs="Times New Roman"/>
        </w:rPr>
        <w:t>echniniams darbuotojams</w:t>
      </w:r>
      <w:r w:rsidR="00FD0B92" w:rsidRPr="000D0573">
        <w:rPr>
          <w:rFonts w:eastAsia="Times New Roman" w:cs="Times New Roman"/>
        </w:rPr>
        <w:t xml:space="preserve"> </w:t>
      </w:r>
      <w:r w:rsidR="00CB49BF" w:rsidRPr="000D0573">
        <w:rPr>
          <w:rFonts w:eastAsia="Times New Roman" w:cs="Times New Roman"/>
        </w:rPr>
        <w:t>„</w:t>
      </w:r>
      <w:proofErr w:type="spellStart"/>
      <w:r w:rsidR="00CB49BF" w:rsidRPr="000D0573">
        <w:rPr>
          <w:rFonts w:eastAsia="Times New Roman" w:cs="Times New Roman"/>
        </w:rPr>
        <w:t>Erasmus</w:t>
      </w:r>
      <w:proofErr w:type="spellEnd"/>
      <w:r w:rsidR="00CB49BF" w:rsidRPr="000D0573">
        <w:rPr>
          <w:rFonts w:eastAsia="Times New Roman" w:cs="Times New Roman"/>
        </w:rPr>
        <w:t xml:space="preserve"> plius“ </w:t>
      </w:r>
      <w:r w:rsidR="00CB49BF">
        <w:rPr>
          <w:rFonts w:eastAsia="Times New Roman" w:cs="Times New Roman"/>
        </w:rPr>
        <w:t>įkainiai didesni</w:t>
      </w:r>
      <w:r w:rsidR="00CB49BF" w:rsidRPr="000D0573">
        <w:rPr>
          <w:rFonts w:eastAsia="Times New Roman" w:cs="Times New Roman"/>
        </w:rPr>
        <w:t xml:space="preserve"> </w:t>
      </w:r>
      <w:r w:rsidR="00FD0B92" w:rsidRPr="000D0573">
        <w:rPr>
          <w:rFonts w:eastAsia="Times New Roman" w:cs="Times New Roman"/>
        </w:rPr>
        <w:t xml:space="preserve">10,83 </w:t>
      </w:r>
      <w:proofErr w:type="spellStart"/>
      <w:r w:rsidR="00FD0B92" w:rsidRPr="000D0573">
        <w:rPr>
          <w:rFonts w:eastAsia="Times New Roman" w:cs="Times New Roman"/>
        </w:rPr>
        <w:t>Eur</w:t>
      </w:r>
      <w:proofErr w:type="spellEnd"/>
      <w:r w:rsidR="00FD0B92" w:rsidRPr="000D0573">
        <w:rPr>
          <w:rFonts w:eastAsia="Times New Roman" w:cs="Times New Roman"/>
        </w:rPr>
        <w:t xml:space="preserve"> (19,7</w:t>
      </w:r>
      <w:r w:rsidRPr="000D0573">
        <w:rPr>
          <w:rFonts w:eastAsia="Times New Roman" w:cs="Times New Roman"/>
        </w:rPr>
        <w:t> </w:t>
      </w:r>
      <w:r w:rsidR="00FD0B92" w:rsidRPr="000D0573">
        <w:rPr>
          <w:rFonts w:eastAsia="Times New Roman" w:cs="Times New Roman"/>
        </w:rPr>
        <w:t xml:space="preserve">proc.) (žr. </w:t>
      </w:r>
      <w:r w:rsidR="008B4AEE" w:rsidRPr="000D0573">
        <w:rPr>
          <w:rFonts w:eastAsia="Times New Roman" w:cs="Times New Roman"/>
        </w:rPr>
        <w:t>7 </w:t>
      </w:r>
      <w:r w:rsidR="00FD0B92" w:rsidRPr="000D0573">
        <w:rPr>
          <w:rFonts w:eastAsia="Times New Roman" w:cs="Times New Roman"/>
        </w:rPr>
        <w:t xml:space="preserve">priedą). Apibendrinant galima teigti, kad šie įkainiai yra gana </w:t>
      </w:r>
      <w:r w:rsidR="008B4AEE" w:rsidRPr="000D0573">
        <w:rPr>
          <w:rFonts w:eastAsia="Times New Roman" w:cs="Times New Roman"/>
        </w:rPr>
        <w:t>panašūs. Skirtumai</w:t>
      </w:r>
      <w:r w:rsidR="00FD0B92" w:rsidRPr="000D0573">
        <w:rPr>
          <w:rFonts w:eastAsia="Times New Roman" w:cs="Times New Roman"/>
        </w:rPr>
        <w:t xml:space="preserve">, turint </w:t>
      </w:r>
      <w:r w:rsidR="008B4AEE" w:rsidRPr="000D0573">
        <w:rPr>
          <w:rFonts w:eastAsia="Times New Roman" w:cs="Times New Roman"/>
        </w:rPr>
        <w:t>galvoje</w:t>
      </w:r>
      <w:r w:rsidR="00FD0B92" w:rsidRPr="000D0573">
        <w:rPr>
          <w:rFonts w:eastAsia="Times New Roman" w:cs="Times New Roman"/>
        </w:rPr>
        <w:t>, kad lyginami dieniniai įkainiai</w:t>
      </w:r>
      <w:r w:rsidR="00727995" w:rsidRPr="000D0573">
        <w:rPr>
          <w:rFonts w:eastAsia="Times New Roman" w:cs="Times New Roman"/>
        </w:rPr>
        <w:t xml:space="preserve"> ir kad į </w:t>
      </w:r>
      <w:r w:rsidR="0024422F" w:rsidRPr="000D0573">
        <w:rPr>
          <w:rFonts w:eastAsia="Times New Roman" w:cs="Times New Roman"/>
        </w:rPr>
        <w:t xml:space="preserve">aukštųjų mokyklų personalo vidutinių maksimalių </w:t>
      </w:r>
      <w:r w:rsidR="00727995" w:rsidRPr="000D0573">
        <w:rPr>
          <w:rFonts w:eastAsia="Times New Roman" w:cs="Times New Roman"/>
        </w:rPr>
        <w:t xml:space="preserve">įkainių skaičiavimą neįtraukti priedai, </w:t>
      </w:r>
      <w:r w:rsidR="008B4AEE" w:rsidRPr="000D0573">
        <w:rPr>
          <w:rFonts w:eastAsia="Times New Roman" w:cs="Times New Roman"/>
        </w:rPr>
        <w:t xml:space="preserve">kurie </w:t>
      </w:r>
      <w:r w:rsidR="00727995" w:rsidRPr="000D0573">
        <w:rPr>
          <w:rFonts w:eastAsia="Times New Roman" w:cs="Times New Roman"/>
        </w:rPr>
        <w:t xml:space="preserve">aukštosios mokyklos personalui </w:t>
      </w:r>
      <w:r w:rsidR="008B4AEE" w:rsidRPr="000D0573">
        <w:rPr>
          <w:rFonts w:eastAsia="Times New Roman" w:cs="Times New Roman"/>
        </w:rPr>
        <w:t xml:space="preserve">įprastai priskaičiuojami </w:t>
      </w:r>
      <w:r w:rsidR="00727995" w:rsidRPr="000D0573">
        <w:rPr>
          <w:rFonts w:eastAsia="Times New Roman" w:cs="Times New Roman"/>
        </w:rPr>
        <w:t xml:space="preserve">kiekvieną mėnesį prie bazinio atlyginimo, </w:t>
      </w:r>
      <w:r w:rsidR="00FD0B92" w:rsidRPr="000D0573">
        <w:rPr>
          <w:rFonts w:eastAsia="Times New Roman" w:cs="Times New Roman"/>
        </w:rPr>
        <w:t xml:space="preserve"> yra toleruotini</w:t>
      </w:r>
      <w:r w:rsidR="008B4AEE" w:rsidRPr="000D0573">
        <w:rPr>
          <w:rFonts w:eastAsia="Times New Roman" w:cs="Times New Roman"/>
        </w:rPr>
        <w:t xml:space="preserve">. Taigi </w:t>
      </w:r>
      <w:r w:rsidR="00FD0B92" w:rsidRPr="000D0573">
        <w:rPr>
          <w:rFonts w:eastAsia="Times New Roman" w:cs="Times New Roman"/>
        </w:rPr>
        <w:t xml:space="preserve">siūloma </w:t>
      </w:r>
      <w:r w:rsidR="008B4AEE" w:rsidRPr="000D0573">
        <w:rPr>
          <w:rFonts w:eastAsia="Times New Roman" w:cs="Times New Roman"/>
        </w:rPr>
        <w:t>„</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008B4AEE" w:rsidRPr="000D0573">
        <w:rPr>
          <w:rFonts w:eastAsia="Times New Roman" w:cs="Times New Roman"/>
        </w:rPr>
        <w:t>“</w:t>
      </w:r>
      <w:r w:rsidR="00FD0B92" w:rsidRPr="000D0573">
        <w:rPr>
          <w:rFonts w:eastAsia="Times New Roman" w:cs="Times New Roman"/>
        </w:rPr>
        <w:t xml:space="preserve"> įkainius naudoti kaip fiksuot</w:t>
      </w:r>
      <w:r w:rsidR="00364C36" w:rsidRPr="000D0573">
        <w:rPr>
          <w:rFonts w:eastAsia="Times New Roman" w:cs="Times New Roman"/>
        </w:rPr>
        <w:t>uosius</w:t>
      </w:r>
      <w:r w:rsidR="00FD0B92" w:rsidRPr="000D0573">
        <w:rPr>
          <w:rFonts w:eastAsia="Times New Roman" w:cs="Times New Roman"/>
        </w:rPr>
        <w:t xml:space="preserve"> įkain</w:t>
      </w:r>
      <w:r w:rsidR="00364C36" w:rsidRPr="000D0573">
        <w:rPr>
          <w:rFonts w:eastAsia="Times New Roman" w:cs="Times New Roman"/>
        </w:rPr>
        <w:t>ius</w:t>
      </w:r>
      <w:r w:rsidR="008B4AEE" w:rsidRPr="000D0573">
        <w:rPr>
          <w:rFonts w:eastAsia="Times New Roman" w:cs="Times New Roman"/>
        </w:rPr>
        <w:t>,</w:t>
      </w:r>
      <w:r w:rsidR="00FD0B92" w:rsidRPr="000D0573">
        <w:rPr>
          <w:rFonts w:eastAsia="Times New Roman" w:cs="Times New Roman"/>
        </w:rPr>
        <w:t xml:space="preserve"> įgyvendinant </w:t>
      </w:r>
      <w:r w:rsidR="00727995" w:rsidRPr="000D0573">
        <w:rPr>
          <w:rFonts w:eastAsia="Times New Roman" w:cs="Times New Roman"/>
          <w:szCs w:val="24"/>
        </w:rPr>
        <w:t xml:space="preserve">9 prioriteto „Visuomenės švietimas ir žmogiškųjų išteklių potencialo didinimas“ dviejų uždavinių </w:t>
      </w:r>
      <w:r w:rsidR="00A0625F" w:rsidRPr="000D0573">
        <w:rPr>
          <w:rFonts w:eastAsia="Times New Roman" w:cs="Times New Roman"/>
          <w:szCs w:val="24"/>
        </w:rPr>
        <w:t xml:space="preserve">(9.3.1 – </w:t>
      </w:r>
      <w:r w:rsidR="00727995" w:rsidRPr="000D0573">
        <w:rPr>
          <w:rFonts w:eastAsia="Times New Roman" w:cs="Times New Roman"/>
          <w:szCs w:val="24"/>
        </w:rPr>
        <w:t xml:space="preserve">„Siekiant geresnės studijų atitikties darbo rinkos ir visuomenės poreikiams, gerinti </w:t>
      </w:r>
      <w:r w:rsidR="00727995" w:rsidRPr="000D0573">
        <w:rPr>
          <w:rFonts w:eastAsia="Times New Roman" w:cs="Times New Roman"/>
          <w:szCs w:val="24"/>
        </w:rPr>
        <w:lastRenderedPageBreak/>
        <w:t>studijų kokybę ir didinti studijų prieinamumą“</w:t>
      </w:r>
      <w:r w:rsidR="008B4AEE" w:rsidRPr="000D0573">
        <w:rPr>
          <w:rFonts w:eastAsia="Times New Roman" w:cs="Times New Roman"/>
          <w:szCs w:val="24"/>
        </w:rPr>
        <w:t xml:space="preserve"> </w:t>
      </w:r>
      <w:r w:rsidR="00727995" w:rsidRPr="000D0573">
        <w:rPr>
          <w:rFonts w:eastAsia="Times New Roman" w:cs="Times New Roman"/>
          <w:szCs w:val="24"/>
        </w:rPr>
        <w:t xml:space="preserve">ir </w:t>
      </w:r>
      <w:r w:rsidR="00A0625F" w:rsidRPr="000D0573">
        <w:rPr>
          <w:rFonts w:eastAsia="Times New Roman" w:cs="Times New Roman"/>
          <w:szCs w:val="24"/>
        </w:rPr>
        <w:t xml:space="preserve">9.3.2 – </w:t>
      </w:r>
      <w:r w:rsidR="00727995" w:rsidRPr="000D0573">
        <w:rPr>
          <w:rFonts w:eastAsia="Times New Roman" w:cs="Times New Roman"/>
          <w:szCs w:val="24"/>
        </w:rPr>
        <w:t xml:space="preserve">„Stiprinti aukštojo mokslo </w:t>
      </w:r>
      <w:proofErr w:type="spellStart"/>
      <w:r w:rsidR="00727995" w:rsidRPr="000D0573">
        <w:rPr>
          <w:rFonts w:eastAsia="Times New Roman" w:cs="Times New Roman"/>
          <w:szCs w:val="24"/>
        </w:rPr>
        <w:t>stebėseną</w:t>
      </w:r>
      <w:proofErr w:type="spellEnd"/>
      <w:r w:rsidR="00727995" w:rsidRPr="000D0573">
        <w:rPr>
          <w:rFonts w:eastAsia="Times New Roman" w:cs="Times New Roman"/>
          <w:szCs w:val="24"/>
        </w:rPr>
        <w:t>, išorinį vertinimą ir efektyvų studijų valdymą, siekiant nuolatinio studijų kokybės gerinimo“</w:t>
      </w:r>
      <w:r w:rsidR="008B4AEE" w:rsidRPr="000D0573">
        <w:rPr>
          <w:rFonts w:eastAsia="Times New Roman" w:cs="Times New Roman"/>
          <w:szCs w:val="24"/>
        </w:rPr>
        <w:t xml:space="preserve">) – </w:t>
      </w:r>
      <w:r w:rsidR="00727995" w:rsidRPr="000D0573">
        <w:rPr>
          <w:rFonts w:eastAsia="Times New Roman" w:cs="Times New Roman"/>
          <w:szCs w:val="24"/>
        </w:rPr>
        <w:t>priemonių projektus</w:t>
      </w:r>
      <w:r w:rsidR="00FD0B92" w:rsidRPr="000D0573">
        <w:rPr>
          <w:rFonts w:eastAsia="Times New Roman" w:cs="Times New Roman"/>
        </w:rPr>
        <w:t>.</w:t>
      </w:r>
    </w:p>
    <w:p w:rsidR="00FD0B92" w:rsidRPr="000D0573" w:rsidRDefault="00FD0B92" w:rsidP="00FD0B92">
      <w:pPr>
        <w:keepNext/>
        <w:keepLines/>
        <w:tabs>
          <w:tab w:val="left" w:pos="907"/>
          <w:tab w:val="left" w:pos="1134"/>
          <w:tab w:val="left" w:pos="1361"/>
        </w:tabs>
        <w:spacing w:before="200" w:after="240"/>
        <w:ind w:left="680" w:firstLine="29"/>
        <w:outlineLvl w:val="2"/>
        <w:rPr>
          <w:rFonts w:eastAsia="Lucida Sans Unicode" w:cs="Times New Roman"/>
          <w:bCs/>
          <w:color w:val="00505E"/>
          <w:sz w:val="26"/>
          <w:szCs w:val="26"/>
        </w:rPr>
      </w:pPr>
      <w:bookmarkStart w:id="18" w:name="_Toc459650633"/>
      <w:bookmarkStart w:id="19" w:name="_Toc465415129"/>
      <w:r w:rsidRPr="000D0573">
        <w:rPr>
          <w:rFonts w:eastAsia="Lucida Sans Unicode" w:cs="Times New Roman"/>
          <w:bCs/>
          <w:color w:val="00505E"/>
          <w:sz w:val="26"/>
          <w:szCs w:val="26"/>
        </w:rPr>
        <w:t>II.7. Laiko vieneto pasirinkimas</w:t>
      </w:r>
      <w:bookmarkEnd w:id="18"/>
      <w:bookmarkEnd w:id="19"/>
    </w:p>
    <w:p w:rsidR="00FD0B92" w:rsidRPr="000D0573" w:rsidRDefault="00FD0B92" w:rsidP="00FD0B92">
      <w:pPr>
        <w:tabs>
          <w:tab w:val="left" w:pos="9600"/>
        </w:tabs>
        <w:spacing w:before="240" w:after="240"/>
        <w:ind w:right="74"/>
        <w:jc w:val="both"/>
        <w:rPr>
          <w:rFonts w:eastAsia="Calibri" w:cs="Times New Roman"/>
          <w:noProof/>
          <w:lang w:eastAsia="en-US"/>
        </w:rPr>
      </w:pPr>
      <w:r w:rsidRPr="000D0573">
        <w:rPr>
          <w:rFonts w:eastAsia="Times New Roman" w:cs="Times New Roman"/>
        </w:rPr>
        <w:t xml:space="preserve">Darbo užmokesčio fiksuotieji įkainiai gali būti nustatomi </w:t>
      </w:r>
      <w:r w:rsidR="00A46055" w:rsidRPr="000D0573">
        <w:rPr>
          <w:rFonts w:eastAsia="Times New Roman" w:cs="Times New Roman"/>
        </w:rPr>
        <w:t>vienai</w:t>
      </w:r>
      <w:r w:rsidRPr="000D0573">
        <w:rPr>
          <w:rFonts w:eastAsia="Times New Roman" w:cs="Times New Roman"/>
        </w:rPr>
        <w:t xml:space="preserve"> darbo dienai, kaip šiuo atveju </w:t>
      </w:r>
      <w:r w:rsidR="00D40967" w:rsidRPr="000D0573">
        <w:rPr>
          <w:rFonts w:eastAsia="Times New Roman" w:cs="Times New Roman"/>
        </w:rPr>
        <w:t>yra „</w:t>
      </w:r>
      <w:proofErr w:type="spellStart"/>
      <w:r w:rsidR="00D40967" w:rsidRPr="000D0573">
        <w:rPr>
          <w:rFonts w:eastAsia="Times New Roman" w:cs="Times New Roman"/>
        </w:rPr>
        <w:t>Erasmus</w:t>
      </w:r>
      <w:proofErr w:type="spellEnd"/>
      <w:r w:rsidR="00D40967" w:rsidRPr="000D0573">
        <w:rPr>
          <w:rFonts w:eastAsia="Times New Roman" w:cs="Times New Roman"/>
        </w:rPr>
        <w:t xml:space="preserve"> plius“ </w:t>
      </w:r>
      <w:r w:rsidRPr="000D0573">
        <w:rPr>
          <w:rFonts w:eastAsia="Times New Roman" w:cs="Times New Roman"/>
        </w:rPr>
        <w:t xml:space="preserve"> programoje, taip pat mėnesiui arba vienai darbo valandai. </w:t>
      </w:r>
      <w:r w:rsidRPr="000D0573">
        <w:rPr>
          <w:rFonts w:eastAsia="Calibri" w:cs="Times New Roman"/>
          <w:noProof/>
          <w:lang w:eastAsia="en-US"/>
        </w:rPr>
        <w:t>Darbo dienos įkainio taikymą sunkina galim</w:t>
      </w:r>
      <w:r w:rsidR="00D40967" w:rsidRPr="000D0573">
        <w:rPr>
          <w:rFonts w:eastAsia="Calibri" w:cs="Times New Roman"/>
          <w:noProof/>
          <w:lang w:eastAsia="en-US"/>
        </w:rPr>
        <w:t>à</w:t>
      </w:r>
      <w:r w:rsidRPr="000D0573">
        <w:rPr>
          <w:rFonts w:eastAsia="Calibri" w:cs="Times New Roman"/>
          <w:noProof/>
          <w:lang w:eastAsia="en-US"/>
        </w:rPr>
        <w:t xml:space="preserve"> skirtinga įvairių darbuotojų darbo dienos trukmė ir darbo dienos trukmės sutrumpinimas dienomis prieš valstybines šventes. </w:t>
      </w:r>
      <w:r w:rsidRPr="000D0573">
        <w:rPr>
          <w:rFonts w:eastAsia="Times New Roman" w:cs="Times New Roman"/>
        </w:rPr>
        <w:t xml:space="preserve">Taip pat </w:t>
      </w:r>
      <w:r w:rsidR="002F1EA0" w:rsidRPr="000D0573">
        <w:rPr>
          <w:rFonts w:eastAsia="Times New Roman" w:cs="Times New Roman"/>
        </w:rPr>
        <w:t>daugelis</w:t>
      </w:r>
      <w:r w:rsidRPr="000D0573">
        <w:rPr>
          <w:rFonts w:eastAsia="Times New Roman" w:cs="Times New Roman"/>
        </w:rPr>
        <w:t xml:space="preserve"> projekto komandos nari</w:t>
      </w:r>
      <w:r w:rsidR="002F1EA0" w:rsidRPr="000D0573">
        <w:rPr>
          <w:rFonts w:eastAsia="Times New Roman" w:cs="Times New Roman"/>
        </w:rPr>
        <w:t>ų</w:t>
      </w:r>
      <w:r w:rsidRPr="000D0573">
        <w:rPr>
          <w:rFonts w:eastAsia="Times New Roman" w:cs="Times New Roman"/>
        </w:rPr>
        <w:t xml:space="preserve"> projektuose gali dirbti ne </w:t>
      </w:r>
      <w:r w:rsidR="00D40967" w:rsidRPr="000D0573">
        <w:rPr>
          <w:rFonts w:eastAsia="Times New Roman" w:cs="Times New Roman"/>
        </w:rPr>
        <w:t xml:space="preserve">visą </w:t>
      </w:r>
      <w:r w:rsidRPr="000D0573">
        <w:rPr>
          <w:rFonts w:eastAsia="Times New Roman" w:cs="Times New Roman"/>
        </w:rPr>
        <w:t>darbo dieną, todėl</w:t>
      </w:r>
      <w:r w:rsidR="00D40967" w:rsidRPr="000D0573">
        <w:rPr>
          <w:rFonts w:eastAsia="Times New Roman" w:cs="Times New Roman"/>
        </w:rPr>
        <w:t>,</w:t>
      </w:r>
      <w:r w:rsidRPr="000D0573">
        <w:rPr>
          <w:rFonts w:eastAsia="Times New Roman" w:cs="Times New Roman"/>
        </w:rPr>
        <w:t xml:space="preserve"> taikant dieninį įkainį</w:t>
      </w:r>
      <w:r w:rsidR="00D40967" w:rsidRPr="000D0573">
        <w:rPr>
          <w:rFonts w:eastAsia="Times New Roman" w:cs="Times New Roman"/>
        </w:rPr>
        <w:t>,</w:t>
      </w:r>
      <w:r w:rsidRPr="000D0573">
        <w:rPr>
          <w:rFonts w:eastAsia="Times New Roman" w:cs="Times New Roman"/>
        </w:rPr>
        <w:t xml:space="preserve"> darbo užmokesčio išlaidų suma turėtų būti perskaičiuojama proporcingai, atsižvelgiant į dirbtą valandų skaičių.</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Mėnesinius darbo užmokesčio fiksuotuosius įkainius mokslininkams ir tyrėjams 2012–2014 m. taikė Lietuvos mokslo taryba. Praktika parodė, kad </w:t>
      </w:r>
      <w:r w:rsidR="00D40967" w:rsidRPr="000D0573">
        <w:rPr>
          <w:rFonts w:eastAsia="Times New Roman" w:cs="Times New Roman"/>
        </w:rPr>
        <w:t xml:space="preserve">nėra patogu naudoti mėnesinius </w:t>
      </w:r>
      <w:r w:rsidRPr="000D0573">
        <w:rPr>
          <w:rFonts w:eastAsia="Times New Roman" w:cs="Times New Roman"/>
        </w:rPr>
        <w:t xml:space="preserve">darbo užmokesčio </w:t>
      </w:r>
      <w:r w:rsidR="00D40967" w:rsidRPr="000D0573">
        <w:rPr>
          <w:rFonts w:eastAsia="Times New Roman" w:cs="Times New Roman"/>
        </w:rPr>
        <w:t>dydžius</w:t>
      </w:r>
      <w:r w:rsidRPr="000D0573">
        <w:rPr>
          <w:rFonts w:eastAsia="Times New Roman" w:cs="Times New Roman"/>
        </w:rPr>
        <w:t>. Darbuotojui susirgus ar išėjus kasmetinių atostogų</w:t>
      </w:r>
      <w:r w:rsidR="00D40967" w:rsidRPr="000D0573">
        <w:rPr>
          <w:rFonts w:eastAsia="Times New Roman" w:cs="Times New Roman"/>
        </w:rPr>
        <w:t>,</w:t>
      </w:r>
      <w:r w:rsidRPr="000D0573">
        <w:rPr>
          <w:rFonts w:eastAsia="Times New Roman" w:cs="Times New Roman"/>
        </w:rPr>
        <w:t xml:space="preserve"> pagal fiksuotuosius įkainius apmokama darbo užmokesčio suma turi būti perskaičiuojama</w:t>
      </w:r>
      <w:r w:rsidR="00D40967" w:rsidRPr="000D0573">
        <w:rPr>
          <w:rFonts w:eastAsia="Times New Roman" w:cs="Times New Roman"/>
        </w:rPr>
        <w:t>,</w:t>
      </w:r>
      <w:r w:rsidRPr="000D0573">
        <w:rPr>
          <w:rFonts w:eastAsia="Times New Roman" w:cs="Times New Roman"/>
        </w:rPr>
        <w:t xml:space="preserve"> atsižvelgiant į konkretaus mėnesio kintamą darbo dienų skaičių. </w:t>
      </w:r>
    </w:p>
    <w:p w:rsidR="00FD0B92" w:rsidRPr="000D0573" w:rsidRDefault="00FD0B92" w:rsidP="00FD0B92">
      <w:pPr>
        <w:tabs>
          <w:tab w:val="left" w:pos="9600"/>
        </w:tabs>
        <w:spacing w:before="240" w:after="240"/>
        <w:ind w:right="74"/>
        <w:jc w:val="both"/>
        <w:rPr>
          <w:rFonts w:eastAsia="Times New Roman" w:cs="Times New Roman"/>
        </w:rPr>
      </w:pPr>
      <w:r w:rsidRPr="000D0573">
        <w:rPr>
          <w:rFonts w:eastAsia="Times New Roman" w:cs="Times New Roman"/>
        </w:rPr>
        <w:t xml:space="preserve">Valandinis darbo užmokestis yra smulkus įkainis, kurį paprasčiau taikyti projektų vykdytojams deklaruojant faktiškai dirbtų valandų skaičių. Toks įkainis patrauklus, kai reikia samdyti ekspertus trumpoms konsultacijoms. </w:t>
      </w:r>
      <w:r w:rsidR="00D40967" w:rsidRPr="000D0573">
        <w:rPr>
          <w:rFonts w:eastAsia="Times New Roman" w:cs="Times New Roman"/>
        </w:rPr>
        <w:t>Pažymėtina</w:t>
      </w:r>
      <w:r w:rsidRPr="000D0573">
        <w:rPr>
          <w:rFonts w:eastAsia="Times New Roman" w:cs="Times New Roman"/>
        </w:rPr>
        <w:t>, kad Lietuvos mokslo taryba 2014 m. spalio 27</w:t>
      </w:r>
      <w:r w:rsidR="00D40967" w:rsidRPr="000D0573">
        <w:rPr>
          <w:rFonts w:eastAsia="Times New Roman" w:cs="Times New Roman"/>
        </w:rPr>
        <w:t> </w:t>
      </w:r>
      <w:r w:rsidRPr="000D0573">
        <w:rPr>
          <w:rFonts w:eastAsia="Times New Roman" w:cs="Times New Roman"/>
        </w:rPr>
        <w:t>d. perėjo nuo mėnesinių prie valandinių fiksuotųjų įkainių</w:t>
      </w:r>
      <w:r w:rsidR="00D40967" w:rsidRPr="000D0573">
        <w:rPr>
          <w:rFonts w:eastAsia="Times New Roman" w:cs="Times New Roman"/>
        </w:rPr>
        <w:t>,</w:t>
      </w:r>
      <w:r w:rsidRPr="000D0573">
        <w:rPr>
          <w:rFonts w:eastAsia="Times New Roman" w:cs="Times New Roman"/>
        </w:rPr>
        <w:t xml:space="preserve"> išmokant darbo užmokestį mokslinių tyrimų projektų vykdytojams</w:t>
      </w:r>
      <w:r w:rsidRPr="000D0573">
        <w:rPr>
          <w:rFonts w:eastAsia="Times New Roman" w:cs="Times New Roman"/>
          <w:vertAlign w:val="superscript"/>
        </w:rPr>
        <w:footnoteReference w:id="24"/>
      </w:r>
      <w:r w:rsidRPr="000D0573">
        <w:rPr>
          <w:rFonts w:eastAsia="Times New Roman" w:cs="Times New Roman"/>
        </w:rPr>
        <w:t>. Taikyti valandinius įkainius rekomenduojama ir Rekomendacijų dėl išlaidų atitikties 166 punkte. Atsižvelgiant į visų laiko vienetų naudojimo privalumus ir trūkumus, valandinis laiko vieneto pasirinkimas yra tinkamiausias aukštųjų mokyklų darbuotojams, įgyvendinantiems projektus.</w:t>
      </w:r>
    </w:p>
    <w:p w:rsidR="00FD0B92" w:rsidRDefault="00FD0B92" w:rsidP="00FD0B92">
      <w:pPr>
        <w:tabs>
          <w:tab w:val="left" w:pos="9600"/>
        </w:tabs>
        <w:spacing w:after="240"/>
        <w:ind w:right="74"/>
        <w:jc w:val="both"/>
        <w:rPr>
          <w:rFonts w:eastAsia="Times New Roman" w:cs="Times New Roman"/>
        </w:rPr>
      </w:pPr>
      <w:r w:rsidRPr="000D0573">
        <w:rPr>
          <w:rFonts w:eastAsia="Times New Roman" w:cs="Times New Roman"/>
        </w:rPr>
        <w:t xml:space="preserve">Siekiant perskaičiuoti </w:t>
      </w:r>
      <w:r w:rsidR="00D40967" w:rsidRPr="000D0573">
        <w:rPr>
          <w:rFonts w:eastAsia="Times New Roman" w:cs="Times New Roman"/>
        </w:rPr>
        <w:t>„</w:t>
      </w:r>
      <w:proofErr w:type="spellStart"/>
      <w:r w:rsidR="00D40967" w:rsidRPr="000D0573">
        <w:rPr>
          <w:rFonts w:eastAsia="Times New Roman" w:cs="Times New Roman"/>
        </w:rPr>
        <w:t>Erasmus</w:t>
      </w:r>
      <w:proofErr w:type="spellEnd"/>
      <w:r w:rsidR="00D40967" w:rsidRPr="000D0573">
        <w:rPr>
          <w:rFonts w:eastAsia="Times New Roman" w:cs="Times New Roman"/>
        </w:rPr>
        <w:t xml:space="preserve"> plius“ </w:t>
      </w:r>
      <w:r w:rsidRPr="000D0573">
        <w:rPr>
          <w:rFonts w:eastAsia="Times New Roman" w:cs="Times New Roman"/>
        </w:rPr>
        <w:t xml:space="preserve">įkainių išraiškas į valandinius įkainius, naudojama formulė </w:t>
      </w:r>
      <w:proofErr w:type="spellStart"/>
      <w:r w:rsidRPr="000D0573">
        <w:rPr>
          <w:rFonts w:eastAsia="Times New Roman" w:cs="Times New Roman"/>
          <w:b/>
        </w:rPr>
        <w:t>ERASM</w:t>
      </w:r>
      <w:r w:rsidRPr="000D0573">
        <w:rPr>
          <w:rFonts w:eastAsia="Times New Roman" w:cs="Times New Roman"/>
          <w:b/>
          <w:vertAlign w:val="subscript"/>
        </w:rPr>
        <w:t>val</w:t>
      </w:r>
      <w:proofErr w:type="spellEnd"/>
      <w:r w:rsidRPr="000D0573">
        <w:rPr>
          <w:rFonts w:eastAsia="Times New Roman" w:cs="Times New Roman"/>
          <w:b/>
          <w:vertAlign w:val="subscript"/>
        </w:rPr>
        <w:t>.</w:t>
      </w:r>
      <w:r w:rsidR="00D40967" w:rsidRPr="000D0573">
        <w:rPr>
          <w:rFonts w:eastAsia="Times New Roman" w:cs="Times New Roman"/>
          <w:b/>
          <w:vertAlign w:val="subscript"/>
        </w:rPr>
        <w:t xml:space="preserve"> </w:t>
      </w:r>
      <w:r w:rsidRPr="000D0573">
        <w:rPr>
          <w:rFonts w:eastAsia="Times New Roman" w:cs="Times New Roman"/>
          <w:b/>
        </w:rPr>
        <w:t>=</w:t>
      </w:r>
      <w:r w:rsidRPr="000D0573" w:rsidDel="00E70412">
        <w:rPr>
          <w:rFonts w:eastAsia="Times New Roman" w:cs="Times New Roman"/>
          <w:b/>
        </w:rPr>
        <w:t xml:space="preserve"> </w:t>
      </w:r>
      <w:proofErr w:type="spellStart"/>
      <w:r w:rsidRPr="000D0573">
        <w:rPr>
          <w:rFonts w:eastAsia="Times New Roman" w:cs="Times New Roman"/>
          <w:b/>
        </w:rPr>
        <w:t>ERASM</w:t>
      </w:r>
      <w:r w:rsidRPr="000D0573">
        <w:rPr>
          <w:rFonts w:eastAsia="Times New Roman" w:cs="Times New Roman"/>
          <w:b/>
          <w:vertAlign w:val="subscript"/>
        </w:rPr>
        <w:t>dien</w:t>
      </w:r>
      <w:proofErr w:type="spellEnd"/>
      <w:r w:rsidRPr="000D0573">
        <w:rPr>
          <w:rFonts w:eastAsia="Times New Roman" w:cs="Times New Roman"/>
          <w:b/>
          <w:vertAlign w:val="subscript"/>
        </w:rPr>
        <w:t>.</w:t>
      </w:r>
      <w:r w:rsidR="00D40967" w:rsidRPr="000D0573">
        <w:rPr>
          <w:rFonts w:eastAsia="Times New Roman" w:cs="Times New Roman"/>
          <w:b/>
          <w:vertAlign w:val="subscript"/>
        </w:rPr>
        <w:t xml:space="preserve"> </w:t>
      </w:r>
      <w:r w:rsidRPr="000D0573">
        <w:rPr>
          <w:rFonts w:eastAsia="Times New Roman" w:cs="Times New Roman"/>
          <w:b/>
        </w:rPr>
        <w:t>/</w:t>
      </w:r>
      <w:r w:rsidR="00D40967" w:rsidRPr="000D0573">
        <w:rPr>
          <w:rFonts w:eastAsia="Times New Roman" w:cs="Times New Roman"/>
          <w:b/>
        </w:rPr>
        <w:t xml:space="preserve"> </w:t>
      </w:r>
      <w:r w:rsidRPr="000D0573">
        <w:rPr>
          <w:rFonts w:eastAsia="Times New Roman" w:cs="Times New Roman"/>
          <w:b/>
        </w:rPr>
        <w:t>8</w:t>
      </w:r>
      <w:r w:rsidRPr="000D0573">
        <w:rPr>
          <w:rFonts w:eastAsia="Times New Roman" w:cs="Times New Roman"/>
        </w:rPr>
        <w:t xml:space="preserve">. </w:t>
      </w:r>
      <w:r w:rsidR="00D40967" w:rsidRPr="000D0573">
        <w:rPr>
          <w:rFonts w:eastAsia="Times New Roman" w:cs="Times New Roman"/>
        </w:rPr>
        <w:t>„</w:t>
      </w:r>
      <w:proofErr w:type="spellStart"/>
      <w:r w:rsidR="00D40967" w:rsidRPr="000D0573">
        <w:rPr>
          <w:rFonts w:eastAsia="Times New Roman" w:cs="Times New Roman"/>
        </w:rPr>
        <w:t>Erasmus</w:t>
      </w:r>
      <w:proofErr w:type="spellEnd"/>
      <w:r w:rsidR="00D40967" w:rsidRPr="000D0573">
        <w:rPr>
          <w:rFonts w:eastAsia="Times New Roman" w:cs="Times New Roman"/>
        </w:rPr>
        <w:t xml:space="preserve"> plius“ </w:t>
      </w:r>
      <w:r w:rsidRPr="000D0573">
        <w:rPr>
          <w:rFonts w:eastAsia="Times New Roman" w:cs="Times New Roman"/>
        </w:rPr>
        <w:t xml:space="preserve">dieninis įkainis </w:t>
      </w:r>
      <w:r w:rsidR="00D40967" w:rsidRPr="000D0573">
        <w:rPr>
          <w:rFonts w:eastAsia="Times New Roman" w:cs="Times New Roman"/>
        </w:rPr>
        <w:t xml:space="preserve">dalijamas </w:t>
      </w:r>
      <w:r w:rsidRPr="000D0573">
        <w:rPr>
          <w:rFonts w:eastAsia="Times New Roman" w:cs="Times New Roman"/>
        </w:rPr>
        <w:t xml:space="preserve">iš aštuonių valandų. Aštuonios valandos pasirinktos kaip universali </w:t>
      </w:r>
      <w:r w:rsidR="00461591" w:rsidRPr="000D0573">
        <w:rPr>
          <w:rFonts w:eastAsia="Times New Roman" w:cs="Times New Roman"/>
        </w:rPr>
        <w:t>DK</w:t>
      </w:r>
      <w:r w:rsidRPr="000D0573">
        <w:rPr>
          <w:rFonts w:eastAsia="Times New Roman" w:cs="Times New Roman"/>
        </w:rPr>
        <w:t xml:space="preserve"> 144 straipsnio 2 punkte nurodyta </w:t>
      </w:r>
      <w:r w:rsidR="00D40967" w:rsidRPr="000D0573">
        <w:rPr>
          <w:rFonts w:eastAsia="Times New Roman" w:cs="Times New Roman"/>
        </w:rPr>
        <w:t xml:space="preserve">kasdienė </w:t>
      </w:r>
      <w:r w:rsidRPr="000D0573">
        <w:rPr>
          <w:rFonts w:eastAsia="Times New Roman" w:cs="Times New Roman"/>
        </w:rPr>
        <w:t>darbo trukmė</w:t>
      </w:r>
      <w:r w:rsidRPr="000D0573">
        <w:rPr>
          <w:rFonts w:eastAsia="Times New Roman" w:cs="Times New Roman"/>
          <w:vertAlign w:val="superscript"/>
        </w:rPr>
        <w:footnoteReference w:id="25"/>
      </w:r>
      <w:r w:rsidRPr="000D0573">
        <w:rPr>
          <w:rFonts w:eastAsia="Times New Roman" w:cs="Times New Roman"/>
        </w:rPr>
        <w:t xml:space="preserve">. Perskaičiavimas parodytas </w:t>
      </w:r>
      <w:r w:rsidR="00D40967" w:rsidRPr="000D0573">
        <w:rPr>
          <w:rFonts w:eastAsia="Times New Roman" w:cs="Times New Roman"/>
        </w:rPr>
        <w:t xml:space="preserve">8 </w:t>
      </w:r>
      <w:r w:rsidRPr="000D0573">
        <w:rPr>
          <w:rFonts w:eastAsia="Times New Roman" w:cs="Times New Roman"/>
        </w:rPr>
        <w:t>priede.</w:t>
      </w:r>
    </w:p>
    <w:p w:rsidR="009C7251" w:rsidRPr="000D0573" w:rsidRDefault="009C7251" w:rsidP="00FD0B92">
      <w:pPr>
        <w:tabs>
          <w:tab w:val="left" w:pos="9600"/>
        </w:tabs>
        <w:spacing w:after="240"/>
        <w:ind w:right="74"/>
        <w:jc w:val="both"/>
        <w:rPr>
          <w:rFonts w:eastAsia="Times New Roman" w:cs="Times New Roman"/>
          <w:b/>
        </w:rPr>
      </w:pPr>
    </w:p>
    <w:p w:rsidR="00FD0B92" w:rsidRPr="000D0573" w:rsidRDefault="00FD0B92" w:rsidP="00FD0B92">
      <w:pPr>
        <w:keepNext/>
        <w:keepLines/>
        <w:spacing w:before="200" w:after="360"/>
        <w:ind w:left="680" w:hanging="680"/>
        <w:outlineLvl w:val="1"/>
        <w:rPr>
          <w:rFonts w:eastAsia="Lucida Sans Unicode" w:cs="Times New Roman"/>
          <w:caps/>
          <w:color w:val="00505E"/>
          <w:sz w:val="45"/>
          <w:szCs w:val="45"/>
        </w:rPr>
      </w:pPr>
      <w:bookmarkStart w:id="21" w:name="_Toc459650634"/>
      <w:bookmarkStart w:id="22" w:name="_Toc465415130"/>
      <w:r w:rsidRPr="000D0573">
        <w:rPr>
          <w:rFonts w:eastAsia="Lucida Sans Unicode" w:cs="Times New Roman"/>
          <w:color w:val="00505E"/>
          <w:sz w:val="45"/>
          <w:szCs w:val="45"/>
        </w:rPr>
        <w:t>III.</w:t>
      </w:r>
      <w:r w:rsidRPr="000D0573">
        <w:rPr>
          <w:rFonts w:eastAsia="Lucida Sans Unicode" w:cs="Times New Roman"/>
          <w:caps/>
          <w:color w:val="00505E"/>
          <w:sz w:val="45"/>
          <w:szCs w:val="45"/>
        </w:rPr>
        <w:t xml:space="preserve"> Tyrimo rezultatai</w:t>
      </w:r>
      <w:bookmarkEnd w:id="21"/>
      <w:bookmarkEnd w:id="22"/>
    </w:p>
    <w:p w:rsidR="00FD0B92" w:rsidRPr="000D0573" w:rsidRDefault="00FD0B92" w:rsidP="00FD0B92">
      <w:pPr>
        <w:tabs>
          <w:tab w:val="left" w:pos="9600"/>
        </w:tabs>
        <w:spacing w:before="240" w:line="240" w:lineRule="auto"/>
        <w:ind w:right="74"/>
        <w:jc w:val="both"/>
        <w:rPr>
          <w:rFonts w:eastAsia="Times New Roman" w:cs="Times New Roman"/>
        </w:rPr>
      </w:pPr>
      <w:r w:rsidRPr="000D0573">
        <w:rPr>
          <w:rFonts w:eastAsia="Times New Roman" w:cs="Times New Roman"/>
          <w:b/>
          <w:bCs/>
          <w:sz w:val="22"/>
          <w:szCs w:val="18"/>
        </w:rPr>
        <w:fldChar w:fldCharType="begin"/>
      </w:r>
      <w:r w:rsidRPr="000D0573">
        <w:rPr>
          <w:rFonts w:eastAsia="Times New Roman" w:cs="Times New Roman"/>
          <w:b/>
          <w:bCs/>
          <w:sz w:val="22"/>
          <w:szCs w:val="18"/>
        </w:rPr>
        <w:instrText xml:space="preserve"> SEQ Lentelė \* ARABIC </w:instrText>
      </w:r>
      <w:r w:rsidRPr="000D0573">
        <w:rPr>
          <w:rFonts w:eastAsia="Times New Roman" w:cs="Times New Roman"/>
          <w:b/>
          <w:bCs/>
          <w:sz w:val="22"/>
          <w:szCs w:val="18"/>
        </w:rPr>
        <w:fldChar w:fldCharType="separate"/>
      </w:r>
      <w:bookmarkStart w:id="23" w:name="_Toc465415135"/>
      <w:r w:rsidR="0058292F">
        <w:rPr>
          <w:rFonts w:eastAsia="Times New Roman" w:cs="Times New Roman"/>
          <w:b/>
          <w:bCs/>
          <w:noProof/>
          <w:sz w:val="22"/>
          <w:szCs w:val="18"/>
        </w:rPr>
        <w:t>3</w:t>
      </w:r>
      <w:r w:rsidRPr="000D0573">
        <w:rPr>
          <w:rFonts w:eastAsia="Times New Roman" w:cs="Times New Roman"/>
          <w:b/>
          <w:bCs/>
          <w:noProof/>
          <w:sz w:val="22"/>
          <w:szCs w:val="18"/>
        </w:rPr>
        <w:fldChar w:fldCharType="end"/>
      </w:r>
      <w:r w:rsidRPr="000D0573">
        <w:rPr>
          <w:rFonts w:eastAsia="Times New Roman" w:cs="Times New Roman"/>
          <w:bCs/>
          <w:sz w:val="22"/>
          <w:szCs w:val="18"/>
        </w:rPr>
        <w:t xml:space="preserve"> </w:t>
      </w:r>
      <w:r w:rsidRPr="000D0573">
        <w:rPr>
          <w:rFonts w:eastAsia="Times New Roman" w:cs="Times New Roman"/>
          <w:b/>
          <w:bCs/>
          <w:sz w:val="22"/>
          <w:szCs w:val="18"/>
        </w:rPr>
        <w:t>lentelė. Aukštųjų mokyklų personalo, vykdančio projektą, darbo užmokesčio išlaidų fiksuotieji įkainiai (</w:t>
      </w:r>
      <w:proofErr w:type="spellStart"/>
      <w:r w:rsidRPr="000D0573">
        <w:rPr>
          <w:rFonts w:eastAsia="Times New Roman" w:cs="Times New Roman"/>
          <w:b/>
          <w:bCs/>
          <w:sz w:val="22"/>
          <w:szCs w:val="18"/>
        </w:rPr>
        <w:t>Eur</w:t>
      </w:r>
      <w:proofErr w:type="spellEnd"/>
      <w:r w:rsidRPr="000D0573">
        <w:rPr>
          <w:rFonts w:eastAsia="Times New Roman" w:cs="Times New Roman"/>
          <w:b/>
          <w:bCs/>
          <w:sz w:val="22"/>
          <w:szCs w:val="18"/>
        </w:rPr>
        <w:t>/val.)</w:t>
      </w:r>
      <w:bookmarkEnd w:id="23"/>
    </w:p>
    <w:tbl>
      <w:tblPr>
        <w:tblStyle w:val="TableGrid11"/>
        <w:tblW w:w="10031" w:type="dxa"/>
        <w:tblLook w:val="04A0" w:firstRow="1" w:lastRow="0" w:firstColumn="1" w:lastColumn="0" w:noHBand="0" w:noVBand="1"/>
      </w:tblPr>
      <w:tblGrid>
        <w:gridCol w:w="2093"/>
        <w:gridCol w:w="5812"/>
        <w:gridCol w:w="2126"/>
      </w:tblGrid>
      <w:tr w:rsidR="00FD0B92" w:rsidRPr="000D0573" w:rsidTr="00006E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036575" w:themeFill="accent5" w:themeFillTint="E6"/>
          </w:tcPr>
          <w:p w:rsidR="00FD0B92" w:rsidRPr="000D0573" w:rsidRDefault="00FD0B92" w:rsidP="00FD0B92">
            <w:pPr>
              <w:spacing w:before="120" w:after="120"/>
              <w:jc w:val="center"/>
              <w:rPr>
                <w:rFonts w:cs="Times New Roman"/>
                <w:color w:val="FFFFFF"/>
              </w:rPr>
            </w:pPr>
            <w:r w:rsidRPr="000D0573">
              <w:rPr>
                <w:rFonts w:cs="Times New Roman"/>
                <w:color w:val="FFFFFF"/>
                <w:szCs w:val="24"/>
              </w:rPr>
              <w:t>Projekto pareigų tipas</w:t>
            </w:r>
          </w:p>
        </w:tc>
        <w:tc>
          <w:tcPr>
            <w:tcW w:w="5812" w:type="dxa"/>
            <w:shd w:val="clear" w:color="auto" w:fill="036575" w:themeFill="accent5" w:themeFillTint="E6"/>
          </w:tcPr>
          <w:p w:rsidR="00FD0B92" w:rsidRPr="000D0573" w:rsidRDefault="00FD0B92" w:rsidP="00FD0B92">
            <w:pP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color w:val="FFFFFF"/>
              </w:rPr>
            </w:pPr>
            <w:r w:rsidRPr="000D0573">
              <w:rPr>
                <w:rFonts w:cs="Times New Roman"/>
                <w:color w:val="FFFFFF"/>
              </w:rPr>
              <w:t xml:space="preserve">Atliekamų funkcijų </w:t>
            </w:r>
            <w:r w:rsidRPr="000D0573">
              <w:rPr>
                <w:rFonts w:cs="Times New Roman"/>
                <w:color w:val="FFFFFF"/>
                <w:szCs w:val="24"/>
              </w:rPr>
              <w:t>vykdant projektą</w:t>
            </w:r>
            <w:r w:rsidRPr="000D0573">
              <w:rPr>
                <w:rFonts w:cs="Times New Roman"/>
                <w:color w:val="FFFFFF"/>
              </w:rPr>
              <w:t xml:space="preserve"> pavyzdžiai</w:t>
            </w:r>
          </w:p>
        </w:tc>
        <w:tc>
          <w:tcPr>
            <w:tcW w:w="2126" w:type="dxa"/>
            <w:shd w:val="clear" w:color="auto" w:fill="036575" w:themeFill="accent5" w:themeFillTint="E6"/>
          </w:tcPr>
          <w:p w:rsidR="00FD0B92" w:rsidRPr="000D0573" w:rsidRDefault="00FD0B92" w:rsidP="00FD0B92">
            <w:pP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color w:val="FFFFFF"/>
              </w:rPr>
            </w:pPr>
            <w:r w:rsidRPr="000D0573">
              <w:rPr>
                <w:rFonts w:cs="Times New Roman"/>
                <w:color w:val="FFFFFF"/>
              </w:rPr>
              <w:t>Fiksuotasis įkainis (</w:t>
            </w:r>
            <w:proofErr w:type="spellStart"/>
            <w:r w:rsidRPr="000D0573">
              <w:rPr>
                <w:rFonts w:cs="Times New Roman"/>
                <w:color w:val="FFFFFF"/>
              </w:rPr>
              <w:t>Eur</w:t>
            </w:r>
            <w:proofErr w:type="spellEnd"/>
            <w:r w:rsidRPr="000D0573">
              <w:rPr>
                <w:rFonts w:cs="Times New Roman"/>
                <w:color w:val="FFFFFF"/>
              </w:rPr>
              <w:t>/val.)</w:t>
            </w:r>
          </w:p>
        </w:tc>
      </w:tr>
      <w:tr w:rsidR="00FD0B92" w:rsidRPr="000D0573" w:rsidTr="00006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D0B92" w:rsidRPr="000D0573" w:rsidRDefault="0061121C" w:rsidP="00EB7DB7">
            <w:pPr>
              <w:spacing w:before="120" w:after="120"/>
              <w:rPr>
                <w:rFonts w:cs="Times New Roman"/>
                <w:sz w:val="20"/>
              </w:rPr>
            </w:pPr>
            <w:r w:rsidRPr="000D0573">
              <w:rPr>
                <w:rFonts w:cs="Times New Roman"/>
                <w:bCs/>
                <w:sz w:val="20"/>
              </w:rPr>
              <w:t>K</w:t>
            </w:r>
            <w:r w:rsidR="00FD0B92" w:rsidRPr="000D0573">
              <w:rPr>
                <w:rFonts w:cs="Times New Roman"/>
                <w:bCs/>
                <w:sz w:val="20"/>
              </w:rPr>
              <w:t>omandos</w:t>
            </w:r>
            <w:r w:rsidR="00EB7DB7" w:rsidRPr="000D0573">
              <w:rPr>
                <w:rFonts w:cs="Times New Roman"/>
                <w:bCs/>
                <w:sz w:val="20"/>
              </w:rPr>
              <w:t>-</w:t>
            </w:r>
            <w:r w:rsidR="00FD0B92" w:rsidRPr="000D0573">
              <w:rPr>
                <w:rFonts w:cs="Times New Roman"/>
                <w:bCs/>
                <w:sz w:val="20"/>
              </w:rPr>
              <w:t xml:space="preserve">veiklos </w:t>
            </w:r>
            <w:r w:rsidR="00FD0B92" w:rsidRPr="000D0573">
              <w:rPr>
                <w:rFonts w:cs="Times New Roman"/>
                <w:bCs/>
                <w:sz w:val="20"/>
              </w:rPr>
              <w:lastRenderedPageBreak/>
              <w:t>vadovas</w:t>
            </w:r>
          </w:p>
        </w:tc>
        <w:tc>
          <w:tcPr>
            <w:tcW w:w="5812" w:type="dxa"/>
          </w:tcPr>
          <w:p w:rsidR="00FD0B92" w:rsidRPr="000D0573" w:rsidRDefault="00BA23F7" w:rsidP="00BA23F7">
            <w:pPr>
              <w:spacing w:before="120" w:after="120"/>
              <w:cnfStyle w:val="000000100000" w:firstRow="0" w:lastRow="0" w:firstColumn="0" w:lastColumn="0" w:oddVBand="0" w:evenVBand="0" w:oddHBand="1" w:evenHBand="0" w:firstRowFirstColumn="0" w:firstRowLastColumn="0" w:lastRowFirstColumn="0" w:lastRowLastColumn="0"/>
              <w:rPr>
                <w:rFonts w:cs="Times New Roman"/>
                <w:sz w:val="16"/>
              </w:rPr>
            </w:pPr>
            <w:r w:rsidRPr="000D0573">
              <w:rPr>
                <w:rFonts w:cs="MinionPro-Regular"/>
                <w:sz w:val="20"/>
              </w:rPr>
              <w:lastRenderedPageBreak/>
              <w:t>A</w:t>
            </w:r>
            <w:r w:rsidR="00FD0B92" w:rsidRPr="000D0573">
              <w:rPr>
                <w:rFonts w:cs="MinionPro-Regular"/>
                <w:sz w:val="20"/>
              </w:rPr>
              <w:t>tlieka v</w:t>
            </w:r>
            <w:r w:rsidR="00FD0B92" w:rsidRPr="000D0573">
              <w:rPr>
                <w:rFonts w:cs="Times New Roman"/>
                <w:sz w:val="20"/>
                <w:szCs w:val="24"/>
              </w:rPr>
              <w:t xml:space="preserve">aldymo veiklas, </w:t>
            </w:r>
            <w:r w:rsidR="006C39FC" w:rsidRPr="000D0573">
              <w:rPr>
                <w:rFonts w:cs="Times New Roman"/>
                <w:sz w:val="20"/>
                <w:szCs w:val="24"/>
              </w:rPr>
              <w:t xml:space="preserve">susijusias </w:t>
            </w:r>
            <w:r w:rsidR="00FD0B92" w:rsidRPr="000D0573">
              <w:rPr>
                <w:rFonts w:cs="Times New Roman"/>
                <w:sz w:val="20"/>
                <w:szCs w:val="24"/>
              </w:rPr>
              <w:t xml:space="preserve">su projekto veiklų koordinavimu, atsakomybių paskirstymu, </w:t>
            </w:r>
            <w:r w:rsidR="00375D54" w:rsidRPr="000D0573">
              <w:rPr>
                <w:rFonts w:cs="MinionPro-Regular"/>
                <w:sz w:val="20"/>
              </w:rPr>
              <w:t xml:space="preserve">kitų komandos narių </w:t>
            </w:r>
            <w:r w:rsidRPr="000D0573">
              <w:rPr>
                <w:rFonts w:cs="MinionPro-Regular"/>
                <w:sz w:val="20"/>
              </w:rPr>
              <w:lastRenderedPageBreak/>
              <w:t xml:space="preserve">indėlio </w:t>
            </w:r>
            <w:r w:rsidR="00375D54" w:rsidRPr="000D0573">
              <w:rPr>
                <w:rFonts w:cs="MinionPro-Regular"/>
                <w:sz w:val="20"/>
              </w:rPr>
              <w:t xml:space="preserve">priežiūra ir jų </w:t>
            </w:r>
            <w:r w:rsidRPr="000D0573">
              <w:rPr>
                <w:rFonts w:cs="MinionPro-Regular"/>
                <w:sz w:val="20"/>
              </w:rPr>
              <w:t xml:space="preserve">darbo </w:t>
            </w:r>
            <w:r w:rsidR="00375D54" w:rsidRPr="000D0573">
              <w:rPr>
                <w:rFonts w:cs="MinionPro-Regular"/>
                <w:sz w:val="20"/>
              </w:rPr>
              <w:t xml:space="preserve">kokybės patikra, </w:t>
            </w:r>
            <w:r w:rsidR="00FD0B92" w:rsidRPr="000D0573">
              <w:rPr>
                <w:rFonts w:cs="Times New Roman"/>
                <w:sz w:val="20"/>
                <w:szCs w:val="24"/>
              </w:rPr>
              <w:t>projekto darbuotojų konsultavimu ekspertin</w:t>
            </w:r>
            <w:r w:rsidR="006C39FC" w:rsidRPr="000D0573">
              <w:rPr>
                <w:rFonts w:cs="Times New Roman"/>
                <w:sz w:val="20"/>
                <w:szCs w:val="24"/>
              </w:rPr>
              <w:t>iu</w:t>
            </w:r>
            <w:r w:rsidR="00FD0B92" w:rsidRPr="000D0573">
              <w:rPr>
                <w:rFonts w:cs="Times New Roman"/>
                <w:sz w:val="20"/>
                <w:szCs w:val="24"/>
              </w:rPr>
              <w:t xml:space="preserve"> turinio </w:t>
            </w:r>
            <w:r w:rsidR="006C39FC" w:rsidRPr="000D0573">
              <w:rPr>
                <w:rFonts w:cs="Times New Roman"/>
                <w:sz w:val="20"/>
                <w:szCs w:val="24"/>
              </w:rPr>
              <w:t>aspektu</w:t>
            </w:r>
            <w:r w:rsidR="00FD0B92" w:rsidRPr="000D0573">
              <w:rPr>
                <w:rFonts w:cs="Times New Roman"/>
                <w:sz w:val="20"/>
                <w:szCs w:val="24"/>
              </w:rPr>
              <w:t xml:space="preserve">, svarbiausių sprendimų priėmimu dėl veiklų </w:t>
            </w:r>
            <w:r w:rsidR="00375D54" w:rsidRPr="000D0573">
              <w:rPr>
                <w:rFonts w:cs="Times New Roman"/>
                <w:sz w:val="20"/>
                <w:szCs w:val="24"/>
              </w:rPr>
              <w:t xml:space="preserve">ir produktų </w:t>
            </w:r>
            <w:r w:rsidR="00FD0B92" w:rsidRPr="000D0573">
              <w:rPr>
                <w:rFonts w:cs="Times New Roman"/>
                <w:sz w:val="20"/>
                <w:szCs w:val="24"/>
              </w:rPr>
              <w:t>turinio.</w:t>
            </w:r>
            <w:r w:rsidR="00FD0B92" w:rsidRPr="000D0573">
              <w:rPr>
                <w:rFonts w:cs="Times New Roman"/>
                <w:sz w:val="16"/>
              </w:rPr>
              <w:t xml:space="preserve"> </w:t>
            </w:r>
          </w:p>
        </w:tc>
        <w:tc>
          <w:tcPr>
            <w:tcW w:w="2126" w:type="dxa"/>
            <w:shd w:val="clear" w:color="auto" w:fill="D3F8FE" w:themeFill="accent5" w:themeFillTint="1A"/>
          </w:tcPr>
          <w:p w:rsidR="00FD0B92" w:rsidRPr="000D0573" w:rsidRDefault="00FD0B92" w:rsidP="00FD0B92">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D0573">
              <w:rPr>
                <w:rFonts w:cs="Times New Roman"/>
                <w:sz w:val="20"/>
                <w:szCs w:val="20"/>
              </w:rPr>
              <w:lastRenderedPageBreak/>
              <w:t>11</w:t>
            </w:r>
          </w:p>
        </w:tc>
      </w:tr>
      <w:tr w:rsidR="00FD0B92" w:rsidRPr="000D0573" w:rsidTr="00006E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D0B92" w:rsidRPr="000D0573" w:rsidRDefault="002567E1" w:rsidP="00FD0B92">
            <w:pPr>
              <w:spacing w:before="120" w:after="120"/>
              <w:rPr>
                <w:rFonts w:cs="Times New Roman"/>
                <w:sz w:val="20"/>
              </w:rPr>
            </w:pPr>
            <w:r w:rsidRPr="000D0573">
              <w:rPr>
                <w:rFonts w:cs="Times New Roman"/>
                <w:bCs/>
                <w:sz w:val="20"/>
              </w:rPr>
              <w:lastRenderedPageBreak/>
              <w:t>D</w:t>
            </w:r>
            <w:r w:rsidR="00FD0B92" w:rsidRPr="000D0573">
              <w:rPr>
                <w:rFonts w:cs="Times New Roman"/>
                <w:bCs/>
                <w:sz w:val="20"/>
              </w:rPr>
              <w:t xml:space="preserve">ėstytojas, </w:t>
            </w:r>
            <w:r w:rsidR="0061121C" w:rsidRPr="000D0573">
              <w:rPr>
                <w:rFonts w:cs="Times New Roman"/>
                <w:bCs/>
                <w:sz w:val="20"/>
              </w:rPr>
              <w:t xml:space="preserve"> </w:t>
            </w:r>
            <w:r w:rsidR="00FD0B92" w:rsidRPr="000D0573">
              <w:rPr>
                <w:rFonts w:cs="Times New Roman"/>
                <w:bCs/>
                <w:sz w:val="20"/>
              </w:rPr>
              <w:t>ekspertas, tyrėjas</w:t>
            </w:r>
          </w:p>
        </w:tc>
        <w:tc>
          <w:tcPr>
            <w:tcW w:w="5812" w:type="dxa"/>
          </w:tcPr>
          <w:p w:rsidR="00FD0B92" w:rsidRPr="000D0573" w:rsidRDefault="00FD0B92" w:rsidP="00BA23F7">
            <w:pPr>
              <w:spacing w:before="120" w:after="120"/>
              <w:cnfStyle w:val="000000010000" w:firstRow="0" w:lastRow="0" w:firstColumn="0" w:lastColumn="0" w:oddVBand="0" w:evenVBand="0" w:oddHBand="0" w:evenHBand="1" w:firstRowFirstColumn="0" w:firstRowLastColumn="0" w:lastRowFirstColumn="0" w:lastRowLastColumn="0"/>
              <w:rPr>
                <w:rFonts w:cs="Times New Roman"/>
                <w:sz w:val="20"/>
              </w:rPr>
            </w:pPr>
            <w:r w:rsidRPr="000D0573">
              <w:rPr>
                <w:rFonts w:cs="Times New Roman"/>
                <w:sz w:val="20"/>
              </w:rPr>
              <w:t xml:space="preserve">Atlieka akademines veiklas, </w:t>
            </w:r>
            <w:r w:rsidR="00BA23F7" w:rsidRPr="000D0573">
              <w:rPr>
                <w:rFonts w:cs="Times New Roman"/>
                <w:sz w:val="20"/>
                <w:szCs w:val="24"/>
              </w:rPr>
              <w:t xml:space="preserve">susijusias </w:t>
            </w:r>
            <w:r w:rsidRPr="000D0573">
              <w:rPr>
                <w:rFonts w:cs="Times New Roman"/>
                <w:sz w:val="20"/>
              </w:rPr>
              <w:t xml:space="preserve">su mokymo </w:t>
            </w:r>
            <w:r w:rsidR="00BA23F7" w:rsidRPr="000D0573">
              <w:rPr>
                <w:rFonts w:cs="Times New Roman"/>
                <w:sz w:val="20"/>
              </w:rPr>
              <w:t xml:space="preserve">programų </w:t>
            </w:r>
            <w:r w:rsidRPr="000D0573">
              <w:rPr>
                <w:rFonts w:cs="Times New Roman"/>
                <w:sz w:val="20"/>
              </w:rPr>
              <w:t xml:space="preserve">plėtojimu, mokymo priemonių ir metodų atnaujinimu, mokymo </w:t>
            </w:r>
            <w:r w:rsidR="006C39FC" w:rsidRPr="000D0573">
              <w:rPr>
                <w:rFonts w:cs="Times New Roman"/>
                <w:sz w:val="20"/>
              </w:rPr>
              <w:t>medžiagos parengimu</w:t>
            </w:r>
            <w:r w:rsidRPr="000D0573">
              <w:rPr>
                <w:rFonts w:cs="Times New Roman"/>
                <w:sz w:val="20"/>
              </w:rPr>
              <w:t>; rengia išvadas ir rekomendacijas.</w:t>
            </w:r>
          </w:p>
        </w:tc>
        <w:tc>
          <w:tcPr>
            <w:tcW w:w="2126" w:type="dxa"/>
            <w:shd w:val="clear" w:color="auto" w:fill="D3F8FE" w:themeFill="accent5" w:themeFillTint="1A"/>
          </w:tcPr>
          <w:p w:rsidR="00FD0B92" w:rsidRPr="000D0573" w:rsidRDefault="00FD0B92" w:rsidP="00FD0B92">
            <w:pPr>
              <w:spacing w:before="120" w:after="120"/>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D0573">
              <w:rPr>
                <w:rFonts w:cs="Times New Roman"/>
                <w:sz w:val="20"/>
                <w:szCs w:val="20"/>
              </w:rPr>
              <w:t>9,25</w:t>
            </w:r>
          </w:p>
        </w:tc>
      </w:tr>
      <w:tr w:rsidR="00FD0B92" w:rsidRPr="000D0573" w:rsidTr="00006E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D0B92" w:rsidRPr="000D0573" w:rsidRDefault="0061121C" w:rsidP="00FD0B92">
            <w:pPr>
              <w:spacing w:before="120" w:after="120"/>
              <w:rPr>
                <w:rFonts w:cs="Times New Roman"/>
                <w:sz w:val="20"/>
              </w:rPr>
            </w:pPr>
            <w:r w:rsidRPr="000D0573">
              <w:rPr>
                <w:rFonts w:cs="Times New Roman"/>
                <w:bCs/>
                <w:sz w:val="20"/>
              </w:rPr>
              <w:t>T</w:t>
            </w:r>
            <w:r w:rsidR="00FD0B92" w:rsidRPr="000D0573">
              <w:rPr>
                <w:rFonts w:cs="Times New Roman"/>
                <w:bCs/>
                <w:sz w:val="20"/>
              </w:rPr>
              <w:t>echninis darbuotojas</w:t>
            </w:r>
          </w:p>
        </w:tc>
        <w:tc>
          <w:tcPr>
            <w:tcW w:w="5812" w:type="dxa"/>
          </w:tcPr>
          <w:p w:rsidR="00FD0B92" w:rsidRPr="000D0573" w:rsidRDefault="00BA23F7" w:rsidP="00BA23F7">
            <w:pPr>
              <w:spacing w:before="120" w:after="120"/>
              <w:cnfStyle w:val="000000100000" w:firstRow="0" w:lastRow="0" w:firstColumn="0" w:lastColumn="0" w:oddVBand="0" w:evenVBand="0" w:oddHBand="1" w:evenHBand="0" w:firstRowFirstColumn="0" w:firstRowLastColumn="0" w:lastRowFirstColumn="0" w:lastRowLastColumn="0"/>
              <w:rPr>
                <w:rFonts w:cs="Times New Roman"/>
                <w:sz w:val="20"/>
              </w:rPr>
            </w:pPr>
            <w:r w:rsidRPr="000D0573">
              <w:rPr>
                <w:rFonts w:cs="Times New Roman"/>
                <w:sz w:val="20"/>
              </w:rPr>
              <w:t>P</w:t>
            </w:r>
            <w:r w:rsidR="006C39FC" w:rsidRPr="000D0573">
              <w:rPr>
                <w:rFonts w:cs="Times New Roman"/>
                <w:sz w:val="20"/>
              </w:rPr>
              <w:t>adeda</w:t>
            </w:r>
            <w:r w:rsidR="00FD0B92" w:rsidRPr="000D0573">
              <w:rPr>
                <w:rFonts w:cs="Times New Roman"/>
                <w:sz w:val="20"/>
              </w:rPr>
              <w:t xml:space="preserve"> ekspertams, </w:t>
            </w:r>
            <w:r w:rsidR="006C39FC" w:rsidRPr="000D0573">
              <w:rPr>
                <w:rFonts w:cs="Times New Roman"/>
                <w:sz w:val="20"/>
              </w:rPr>
              <w:t>renka informaciją</w:t>
            </w:r>
            <w:r w:rsidR="00FD0B92" w:rsidRPr="000D0573">
              <w:rPr>
                <w:rFonts w:cs="Times New Roman"/>
                <w:sz w:val="20"/>
              </w:rPr>
              <w:t xml:space="preserve">, </w:t>
            </w:r>
            <w:r w:rsidR="006C39FC" w:rsidRPr="000D0573">
              <w:rPr>
                <w:rFonts w:cs="Times New Roman"/>
                <w:sz w:val="20"/>
              </w:rPr>
              <w:t xml:space="preserve">rengia </w:t>
            </w:r>
            <w:r w:rsidR="00FD0B92" w:rsidRPr="000D0573">
              <w:rPr>
                <w:rFonts w:cs="Times New Roman"/>
                <w:sz w:val="20"/>
              </w:rPr>
              <w:t xml:space="preserve">duomenis, </w:t>
            </w:r>
            <w:r w:rsidR="006C39FC" w:rsidRPr="000D0573">
              <w:rPr>
                <w:rFonts w:cs="Times New Roman"/>
                <w:sz w:val="20"/>
              </w:rPr>
              <w:t xml:space="preserve">organizuoja </w:t>
            </w:r>
            <w:r w:rsidR="00FD0B92" w:rsidRPr="000D0573">
              <w:rPr>
                <w:rFonts w:cs="Times New Roman"/>
                <w:sz w:val="20"/>
              </w:rPr>
              <w:t xml:space="preserve">ekspertų susitikimus ir kitaip prisideda prie sklandaus intelektinių užduočių atlikimo. </w:t>
            </w:r>
          </w:p>
        </w:tc>
        <w:tc>
          <w:tcPr>
            <w:tcW w:w="2126" w:type="dxa"/>
            <w:shd w:val="clear" w:color="auto" w:fill="D3F8FE" w:themeFill="accent5" w:themeFillTint="1A"/>
          </w:tcPr>
          <w:p w:rsidR="00FD0B92" w:rsidRPr="000D0573" w:rsidRDefault="00FD0B92" w:rsidP="00FD0B92">
            <w:pPr>
              <w:spacing w:before="120" w:after="12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D0573">
              <w:rPr>
                <w:rFonts w:cs="Times New Roman"/>
                <w:sz w:val="20"/>
                <w:szCs w:val="20"/>
              </w:rPr>
              <w:t>6,75</w:t>
            </w:r>
          </w:p>
        </w:tc>
      </w:tr>
      <w:tr w:rsidR="00FD0B92" w:rsidRPr="000D0573" w:rsidTr="00006E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D0B92" w:rsidRPr="000D0573" w:rsidRDefault="00FD0B92" w:rsidP="00FD0B92">
            <w:pPr>
              <w:spacing w:before="120" w:after="120"/>
              <w:rPr>
                <w:rFonts w:cs="Times New Roman"/>
                <w:bCs/>
                <w:sz w:val="20"/>
              </w:rPr>
            </w:pPr>
            <w:r w:rsidRPr="000D0573">
              <w:rPr>
                <w:rFonts w:cs="Times New Roman"/>
                <w:bCs/>
                <w:sz w:val="20"/>
              </w:rPr>
              <w:t xml:space="preserve">Administratorius </w:t>
            </w:r>
          </w:p>
        </w:tc>
        <w:tc>
          <w:tcPr>
            <w:tcW w:w="5812" w:type="dxa"/>
          </w:tcPr>
          <w:p w:rsidR="00FD0B92" w:rsidRPr="000D0573" w:rsidRDefault="006C39FC" w:rsidP="006C39FC">
            <w:pPr>
              <w:spacing w:before="120" w:after="120"/>
              <w:cnfStyle w:val="000000010000" w:firstRow="0" w:lastRow="0" w:firstColumn="0" w:lastColumn="0" w:oddVBand="0" w:evenVBand="0" w:oddHBand="0" w:evenHBand="1" w:firstRowFirstColumn="0" w:firstRowLastColumn="0" w:lastRowFirstColumn="0" w:lastRowLastColumn="0"/>
              <w:rPr>
                <w:rFonts w:cs="Times New Roman"/>
                <w:sz w:val="20"/>
              </w:rPr>
            </w:pPr>
            <w:r w:rsidRPr="000D0573">
              <w:rPr>
                <w:rFonts w:cs="Times New Roman"/>
                <w:sz w:val="20"/>
              </w:rPr>
              <w:t>Tvarko b</w:t>
            </w:r>
            <w:r w:rsidR="00FD0B92" w:rsidRPr="000D0573">
              <w:rPr>
                <w:rFonts w:cs="Times New Roman"/>
                <w:sz w:val="20"/>
              </w:rPr>
              <w:t>uhalterij</w:t>
            </w:r>
            <w:r w:rsidRPr="000D0573">
              <w:rPr>
                <w:rFonts w:cs="Times New Roman"/>
                <w:sz w:val="20"/>
              </w:rPr>
              <w:t>ą</w:t>
            </w:r>
            <w:r w:rsidR="00FD0B92" w:rsidRPr="000D0573">
              <w:rPr>
                <w:rFonts w:cs="Times New Roman"/>
                <w:sz w:val="20"/>
              </w:rPr>
              <w:t xml:space="preserve">, </w:t>
            </w:r>
            <w:r w:rsidRPr="000D0573">
              <w:rPr>
                <w:rFonts w:cs="Times New Roman"/>
                <w:sz w:val="20"/>
              </w:rPr>
              <w:t>rengia dokumentus</w:t>
            </w:r>
            <w:r w:rsidR="00FD0B92" w:rsidRPr="000D0573">
              <w:rPr>
                <w:rFonts w:cs="Times New Roman"/>
                <w:sz w:val="20"/>
              </w:rPr>
              <w:t xml:space="preserve">, </w:t>
            </w:r>
            <w:r w:rsidRPr="000D0573">
              <w:rPr>
                <w:rFonts w:cs="Times New Roman"/>
                <w:sz w:val="20"/>
              </w:rPr>
              <w:t>renka parašus</w:t>
            </w:r>
            <w:r w:rsidR="00FD0B92" w:rsidRPr="000D0573">
              <w:rPr>
                <w:rFonts w:cs="Times New Roman"/>
                <w:sz w:val="20"/>
              </w:rPr>
              <w:t xml:space="preserve">, </w:t>
            </w:r>
            <w:r w:rsidRPr="000D0573">
              <w:rPr>
                <w:rFonts w:cs="Times New Roman"/>
                <w:sz w:val="20"/>
              </w:rPr>
              <w:t>informuoja susijusius asmenis</w:t>
            </w:r>
            <w:r w:rsidR="00FD0B92" w:rsidRPr="000D0573">
              <w:rPr>
                <w:rFonts w:cs="Times New Roman"/>
                <w:sz w:val="20"/>
              </w:rPr>
              <w:t xml:space="preserve">, </w:t>
            </w:r>
            <w:r w:rsidRPr="000D0573">
              <w:rPr>
                <w:rFonts w:cs="Times New Roman"/>
                <w:sz w:val="20"/>
              </w:rPr>
              <w:t>organizuoja susitikimus ir</w:t>
            </w:r>
            <w:r w:rsidR="00FD0B92" w:rsidRPr="000D0573">
              <w:rPr>
                <w:rFonts w:cs="Times New Roman"/>
                <w:sz w:val="20"/>
              </w:rPr>
              <w:t xml:space="preserve"> kt.</w:t>
            </w:r>
          </w:p>
        </w:tc>
        <w:tc>
          <w:tcPr>
            <w:tcW w:w="2126" w:type="dxa"/>
            <w:shd w:val="clear" w:color="auto" w:fill="D3F8FE" w:themeFill="accent5" w:themeFillTint="1A"/>
          </w:tcPr>
          <w:p w:rsidR="00FD0B92" w:rsidRPr="000D0573" w:rsidRDefault="00FD0B92" w:rsidP="00FD0B92">
            <w:pPr>
              <w:spacing w:before="120" w:after="120"/>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D0573">
              <w:rPr>
                <w:rFonts w:cs="Times New Roman"/>
                <w:sz w:val="20"/>
                <w:szCs w:val="20"/>
              </w:rPr>
              <w:t>Apmokama per netiesiogines išlaidas</w:t>
            </w:r>
          </w:p>
        </w:tc>
      </w:tr>
    </w:tbl>
    <w:p w:rsidR="00FD0B92" w:rsidRPr="000D0573" w:rsidRDefault="00FD0B92" w:rsidP="00FD0B92">
      <w:pPr>
        <w:keepNext/>
        <w:keepLines/>
        <w:spacing w:before="200" w:after="360"/>
        <w:ind w:left="680" w:hanging="680"/>
        <w:outlineLvl w:val="1"/>
        <w:rPr>
          <w:rFonts w:eastAsia="Lucida Sans Unicode" w:cs="Times New Roman"/>
          <w:caps/>
          <w:color w:val="00505E"/>
          <w:sz w:val="45"/>
          <w:szCs w:val="45"/>
        </w:rPr>
      </w:pPr>
      <w:bookmarkStart w:id="24" w:name="_Toc459650635"/>
      <w:bookmarkStart w:id="25" w:name="_Toc465415131"/>
      <w:r w:rsidRPr="000D0573">
        <w:rPr>
          <w:rFonts w:eastAsia="Lucida Sans Unicode" w:cs="Times New Roman"/>
          <w:caps/>
          <w:color w:val="00505E"/>
          <w:sz w:val="45"/>
          <w:szCs w:val="45"/>
        </w:rPr>
        <w:t>IV. Fiksuotųjų įkainių taikymas</w:t>
      </w:r>
      <w:bookmarkEnd w:id="24"/>
      <w:bookmarkEnd w:id="25"/>
    </w:p>
    <w:p w:rsidR="00FD0B92" w:rsidRPr="000D0573" w:rsidRDefault="00FD0B92" w:rsidP="00FD0B92">
      <w:pPr>
        <w:tabs>
          <w:tab w:val="left" w:pos="9600"/>
        </w:tabs>
        <w:spacing w:before="120" w:after="240"/>
        <w:ind w:right="74"/>
        <w:jc w:val="both"/>
        <w:rPr>
          <w:rFonts w:eastAsia="Times New Roman" w:cs="Times New Roman"/>
        </w:rPr>
      </w:pPr>
      <w:r w:rsidRPr="000D0573">
        <w:rPr>
          <w:rFonts w:eastAsia="Times New Roman" w:cs="Times New Roman"/>
        </w:rPr>
        <w:t xml:space="preserve">Darbo užmokestis apskaičiuojamas dauginant tam tikro projekto pareigų tipo įkainį iš dirbtų valandų skaičiaus. </w:t>
      </w:r>
    </w:p>
    <w:p w:rsidR="00FD0B92" w:rsidRPr="000D0573" w:rsidRDefault="00FD0B92" w:rsidP="00FD0B92">
      <w:pPr>
        <w:tabs>
          <w:tab w:val="left" w:pos="9600"/>
        </w:tabs>
        <w:spacing w:before="120" w:after="240"/>
        <w:ind w:right="74"/>
        <w:jc w:val="both"/>
        <w:rPr>
          <w:rFonts w:eastAsia="Times New Roman" w:cs="Times New Roman"/>
        </w:rPr>
      </w:pPr>
      <w:r w:rsidRPr="000D0573">
        <w:rPr>
          <w:rFonts w:eastAsia="Times New Roman" w:cs="Times New Roman"/>
        </w:rPr>
        <w:t xml:space="preserve">Nustatyti </w:t>
      </w:r>
      <w:r w:rsidR="00BA23F7" w:rsidRPr="000D0573">
        <w:rPr>
          <w:rFonts w:eastAsia="Times New Roman" w:cs="Times New Roman"/>
        </w:rPr>
        <w:t xml:space="preserve">fiksuotieji </w:t>
      </w:r>
      <w:r w:rsidRPr="000D0573">
        <w:rPr>
          <w:rFonts w:eastAsia="Times New Roman" w:cs="Times New Roman"/>
        </w:rPr>
        <w:t xml:space="preserve">įkainiai apima faktinį atlyginimą, darbdavio įmokas į socialinio draudimo </w:t>
      </w:r>
      <w:r w:rsidR="004C53C8" w:rsidRPr="000D0573">
        <w:rPr>
          <w:rFonts w:eastAsia="Times New Roman" w:cs="Times New Roman"/>
        </w:rPr>
        <w:t xml:space="preserve">fondą </w:t>
      </w:r>
      <w:r w:rsidRPr="000D0573">
        <w:rPr>
          <w:rFonts w:eastAsia="Times New Roman" w:cs="Times New Roman"/>
        </w:rPr>
        <w:t>ir į garantinį fond</w:t>
      </w:r>
      <w:r w:rsidR="004C53C8" w:rsidRPr="000D0573">
        <w:rPr>
          <w:rFonts w:eastAsia="Times New Roman" w:cs="Times New Roman"/>
        </w:rPr>
        <w:t xml:space="preserve">ą, taip pat </w:t>
      </w:r>
      <w:r w:rsidR="008846F8" w:rsidRPr="000D0573">
        <w:rPr>
          <w:rFonts w:eastAsia="Times New Roman" w:cs="Times New Roman"/>
        </w:rPr>
        <w:t>išlaidas</w:t>
      </w:r>
      <w:r w:rsidRPr="000D0573">
        <w:rPr>
          <w:rFonts w:eastAsia="Times New Roman" w:cs="Times New Roman"/>
        </w:rPr>
        <w:t xml:space="preserve"> kasmetin</w:t>
      </w:r>
      <w:r w:rsidR="008846F8" w:rsidRPr="000D0573">
        <w:rPr>
          <w:rFonts w:eastAsia="Times New Roman" w:cs="Times New Roman"/>
        </w:rPr>
        <w:t>ėms</w:t>
      </w:r>
      <w:r w:rsidRPr="000D0573">
        <w:rPr>
          <w:rFonts w:eastAsia="Times New Roman" w:cs="Times New Roman"/>
        </w:rPr>
        <w:t xml:space="preserve"> atostog</w:t>
      </w:r>
      <w:r w:rsidR="008846F8" w:rsidRPr="000D0573">
        <w:rPr>
          <w:rFonts w:eastAsia="Times New Roman" w:cs="Times New Roman"/>
        </w:rPr>
        <w:t>oms</w:t>
      </w:r>
      <w:r w:rsidRPr="000D0573">
        <w:rPr>
          <w:rFonts w:eastAsia="Times New Roman" w:cs="Times New Roman"/>
        </w:rPr>
        <w:t xml:space="preserve">. </w:t>
      </w:r>
      <w:r w:rsidRPr="000D0573">
        <w:rPr>
          <w:rFonts w:eastAsia="Times New Roman" w:cs="Times New Roman"/>
          <w:color w:val="000000"/>
          <w:szCs w:val="23"/>
        </w:rPr>
        <w:t xml:space="preserve">Į </w:t>
      </w:r>
      <w:r w:rsidR="00BA23F7" w:rsidRPr="000D0573">
        <w:rPr>
          <w:rFonts w:eastAsia="Times New Roman" w:cs="Times New Roman"/>
          <w:color w:val="000000"/>
          <w:szCs w:val="23"/>
        </w:rPr>
        <w:t xml:space="preserve">fiksuotąjį </w:t>
      </w:r>
      <w:r w:rsidRPr="000D0573">
        <w:rPr>
          <w:rFonts w:eastAsia="Times New Roman" w:cs="Times New Roman"/>
          <w:color w:val="000000"/>
          <w:szCs w:val="23"/>
        </w:rPr>
        <w:t xml:space="preserve">įkainį neįtraukta darbdavio mokama pašalpa už dvi </w:t>
      </w:r>
      <w:r w:rsidR="00BA23F7" w:rsidRPr="000D0573">
        <w:rPr>
          <w:rFonts w:eastAsia="Times New Roman" w:cs="Times New Roman"/>
          <w:color w:val="000000"/>
          <w:szCs w:val="23"/>
        </w:rPr>
        <w:t xml:space="preserve">pirmąsias </w:t>
      </w:r>
      <w:r w:rsidRPr="000D0573">
        <w:rPr>
          <w:rFonts w:eastAsia="Times New Roman" w:cs="Times New Roman"/>
          <w:color w:val="000000"/>
          <w:szCs w:val="23"/>
        </w:rPr>
        <w:t>ligos dienas ir papildomos poilsio dienos asmenims, auginantiems du ar daugiau vaikų iki 12 metų arba neįgalų vaiką iki 18 metų</w:t>
      </w:r>
      <w:r w:rsidR="00432FC1" w:rsidRPr="000D0573">
        <w:rPr>
          <w:rFonts w:eastAsia="Times New Roman" w:cs="Times New Roman"/>
          <w:color w:val="000000"/>
          <w:szCs w:val="23"/>
        </w:rPr>
        <w:t>, todėl projekto vykdytojai, deklaruodami išlaidas minėtoms išmokoms</w:t>
      </w:r>
      <w:r w:rsidR="00BA23F7" w:rsidRPr="000D0573">
        <w:rPr>
          <w:rFonts w:eastAsia="Times New Roman" w:cs="Times New Roman"/>
          <w:color w:val="000000"/>
          <w:szCs w:val="23"/>
        </w:rPr>
        <w:t>,</w:t>
      </w:r>
      <w:r w:rsidR="00432FC1" w:rsidRPr="000D0573">
        <w:rPr>
          <w:rFonts w:eastAsia="Times New Roman" w:cs="Times New Roman"/>
          <w:color w:val="000000"/>
          <w:szCs w:val="23"/>
        </w:rPr>
        <w:t xml:space="preserve"> </w:t>
      </w:r>
      <w:r w:rsidR="004C53C8" w:rsidRPr="000D0573">
        <w:rPr>
          <w:rFonts w:eastAsia="Times New Roman" w:cs="Times New Roman"/>
        </w:rPr>
        <w:t xml:space="preserve">rekomenduojamos </w:t>
      </w:r>
      <w:r w:rsidR="00432FC1" w:rsidRPr="000D0573">
        <w:rPr>
          <w:rFonts w:eastAsia="Times New Roman" w:cs="Times New Roman"/>
        </w:rPr>
        <w:t>pažymos dėl aukštųjų mokyklų personalo, vykdančio projektą, darbo užmokesčio išlaidų apskaičiavimo</w:t>
      </w:r>
      <w:r w:rsidR="004C53C8" w:rsidRPr="000D0573">
        <w:rPr>
          <w:rFonts w:eastAsia="Times New Roman" w:cs="Times New Roman"/>
        </w:rPr>
        <w:t>,</w:t>
      </w:r>
      <w:r w:rsidR="00432FC1" w:rsidRPr="000D0573">
        <w:rPr>
          <w:rFonts w:eastAsia="Times New Roman" w:cs="Times New Roman"/>
        </w:rPr>
        <w:t xml:space="preserve"> taikant fiksuotuosius įkainius</w:t>
      </w:r>
      <w:r w:rsidR="004C53C8" w:rsidRPr="000D0573">
        <w:rPr>
          <w:rFonts w:eastAsia="Times New Roman" w:cs="Times New Roman"/>
        </w:rPr>
        <w:t>,</w:t>
      </w:r>
      <w:r w:rsidR="00432FC1" w:rsidRPr="000D0573">
        <w:rPr>
          <w:rFonts w:eastAsia="Times New Roman" w:cs="Times New Roman"/>
        </w:rPr>
        <w:t xml:space="preserve"> formos </w:t>
      </w:r>
      <w:r w:rsidR="004C53C8" w:rsidRPr="000D0573">
        <w:rPr>
          <w:rFonts w:eastAsia="Times New Roman" w:cs="Times New Roman"/>
        </w:rPr>
        <w:t>(</w:t>
      </w:r>
      <w:r w:rsidR="001E0404">
        <w:rPr>
          <w:rFonts w:eastAsia="Times New Roman" w:cs="Times New Roman"/>
        </w:rPr>
        <w:t>10</w:t>
      </w:r>
      <w:r w:rsidR="004C53C8" w:rsidRPr="000D0573">
        <w:rPr>
          <w:rFonts w:eastAsia="Times New Roman" w:cs="Times New Roman"/>
        </w:rPr>
        <w:t xml:space="preserve"> priedas) </w:t>
      </w:r>
      <w:r w:rsidR="00432FC1" w:rsidRPr="000D0573">
        <w:rPr>
          <w:rFonts w:eastAsia="Times New Roman" w:cs="Times New Roman"/>
        </w:rPr>
        <w:t xml:space="preserve">5 stulpelyje šias dienas turi žymėti kaip faktiškai dirbtas. </w:t>
      </w:r>
      <w:r w:rsidR="00432FC1" w:rsidRPr="000D0573" w:rsidDel="00432FC1">
        <w:rPr>
          <w:rFonts w:eastAsia="Times New Roman" w:cs="Times New Roman"/>
          <w:color w:val="000000"/>
          <w:szCs w:val="23"/>
        </w:rPr>
        <w:t xml:space="preserve"> </w:t>
      </w:r>
    </w:p>
    <w:p w:rsidR="00FD0B92" w:rsidRPr="000D0573" w:rsidRDefault="00BA23F7" w:rsidP="0024422F">
      <w:pPr>
        <w:spacing w:before="240" w:after="240"/>
        <w:jc w:val="both"/>
        <w:rPr>
          <w:rFonts w:eastAsia="Times New Roman" w:cs="Times New Roman"/>
          <w:szCs w:val="24"/>
        </w:rPr>
      </w:pPr>
      <w:r w:rsidRPr="000D0573">
        <w:rPr>
          <w:rFonts w:eastAsia="Times New Roman" w:cs="Times New Roman"/>
          <w:szCs w:val="24"/>
        </w:rPr>
        <w:t xml:space="preserve">Fiksuotieji </w:t>
      </w:r>
      <w:r w:rsidR="00FD0B92" w:rsidRPr="000D0573">
        <w:rPr>
          <w:rFonts w:eastAsia="Times New Roman" w:cs="Times New Roman"/>
          <w:szCs w:val="24"/>
        </w:rPr>
        <w:t xml:space="preserve">įkainiai gali būti taikomi </w:t>
      </w:r>
      <w:r w:rsidR="00FD0B92" w:rsidRPr="000D0573">
        <w:rPr>
          <w:rFonts w:eastAsia="Times New Roman" w:cs="Times New Roman"/>
          <w:b/>
          <w:szCs w:val="24"/>
        </w:rPr>
        <w:t>aukštųjų mokyklų personalui</w:t>
      </w:r>
      <w:r w:rsidR="00FD0B92" w:rsidRPr="000D0573">
        <w:rPr>
          <w:rFonts w:eastAsia="Times New Roman" w:cs="Times New Roman"/>
          <w:szCs w:val="24"/>
        </w:rPr>
        <w:t xml:space="preserve">, dirbančiam projektuose, </w:t>
      </w:r>
      <w:r w:rsidRPr="000D0573">
        <w:rPr>
          <w:rFonts w:eastAsia="Times New Roman" w:cs="Times New Roman"/>
          <w:szCs w:val="24"/>
        </w:rPr>
        <w:t>kuriuos įgyvendinant yra</w:t>
      </w:r>
      <w:r w:rsidR="00FD0B92" w:rsidRPr="000D0573">
        <w:rPr>
          <w:rFonts w:eastAsia="Times New Roman" w:cs="Times New Roman"/>
          <w:szCs w:val="24"/>
        </w:rPr>
        <w:t xml:space="preserve"> kuriami </w:t>
      </w:r>
      <w:r w:rsidR="00FD0B92" w:rsidRPr="000D0573">
        <w:rPr>
          <w:rFonts w:eastAsia="Times New Roman" w:cs="Times New Roman"/>
          <w:b/>
          <w:szCs w:val="24"/>
        </w:rPr>
        <w:t>intelektiniai produktai</w:t>
      </w:r>
      <w:r w:rsidR="00FD0B92" w:rsidRPr="000D0573">
        <w:rPr>
          <w:rFonts w:eastAsia="Times New Roman" w:cs="Times New Roman"/>
          <w:szCs w:val="24"/>
        </w:rPr>
        <w:t>.</w:t>
      </w:r>
    </w:p>
    <w:p w:rsidR="00FD0B92" w:rsidRPr="000D0573" w:rsidRDefault="00FD0B92" w:rsidP="00FD0B92">
      <w:pPr>
        <w:spacing w:before="240" w:after="240"/>
        <w:jc w:val="both"/>
        <w:rPr>
          <w:rFonts w:eastAsia="Times New Roman" w:cs="Times New Roman"/>
          <w:szCs w:val="24"/>
        </w:rPr>
      </w:pPr>
      <w:r w:rsidRPr="000D0573">
        <w:rPr>
          <w:rFonts w:eastAsia="Times New Roman" w:cs="Times New Roman"/>
          <w:szCs w:val="24"/>
        </w:rPr>
        <w:t>Nustatyti fiksuotųjų įkainių dydžiai yra maksimalūs. Pareiškėjas, teikdamas paraišką dėl projekto finansavimo, gali nusimatyti mažesnius įkainius.</w:t>
      </w:r>
    </w:p>
    <w:p w:rsidR="00FD0B92" w:rsidRPr="000D0573" w:rsidRDefault="007F6D65" w:rsidP="00FD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eastAsia="Times New Roman" w:cs="Times New Roman"/>
          <w:szCs w:val="24"/>
        </w:rPr>
      </w:pPr>
      <w:r w:rsidRPr="000D0573">
        <w:rPr>
          <w:rFonts w:eastAsia="Times New Roman" w:cs="Times New Roman"/>
          <w:color w:val="222222"/>
          <w:szCs w:val="24"/>
          <w:lang w:eastAsia="en-US"/>
        </w:rPr>
        <w:t xml:space="preserve">Nustatyti </w:t>
      </w:r>
      <w:r w:rsidR="00BA23F7" w:rsidRPr="000D0573">
        <w:rPr>
          <w:rFonts w:eastAsia="Times New Roman" w:cs="Times New Roman"/>
          <w:color w:val="222222"/>
          <w:szCs w:val="24"/>
          <w:lang w:eastAsia="en-US"/>
        </w:rPr>
        <w:t xml:space="preserve">fiksuotieji </w:t>
      </w:r>
      <w:r w:rsidRPr="000D0573">
        <w:rPr>
          <w:rFonts w:eastAsia="Times New Roman" w:cs="Times New Roman"/>
          <w:color w:val="222222"/>
          <w:szCs w:val="24"/>
          <w:lang w:eastAsia="en-US"/>
        </w:rPr>
        <w:t>įkainiai taikomi nuo tyrimo ataskaitos įsigaliojimo datos, t. y. nuo tos dienos, kai ja</w:t>
      </w:r>
      <w:r w:rsidR="00EF21A6">
        <w:rPr>
          <w:rFonts w:eastAsia="Times New Roman" w:cs="Times New Roman"/>
          <w:color w:val="222222"/>
          <w:szCs w:val="24"/>
          <w:lang w:eastAsia="en-US"/>
        </w:rPr>
        <w:t>i</w:t>
      </w:r>
      <w:r w:rsidRPr="000D0573">
        <w:rPr>
          <w:rFonts w:eastAsia="Times New Roman" w:cs="Times New Roman"/>
          <w:color w:val="222222"/>
          <w:szCs w:val="24"/>
          <w:lang w:eastAsia="en-US"/>
        </w:rPr>
        <w:t xml:space="preserve"> pritaria </w:t>
      </w:r>
      <w:r w:rsidR="004C53C8" w:rsidRPr="000D0573">
        <w:rPr>
          <w:rFonts w:eastAsia="Times New Roman" w:cs="Times New Roman"/>
          <w:color w:val="222222"/>
          <w:szCs w:val="24"/>
          <w:lang w:eastAsia="en-US"/>
        </w:rPr>
        <w:t>LR</w:t>
      </w:r>
      <w:r w:rsidRPr="000D0573">
        <w:rPr>
          <w:rFonts w:eastAsia="Times New Roman" w:cs="Times New Roman"/>
          <w:color w:val="222222"/>
          <w:szCs w:val="24"/>
          <w:lang w:eastAsia="en-US"/>
        </w:rPr>
        <w:t xml:space="preserve"> finansų ministerija. Šioje tyrimo ataskaitoje nustatyti fiksuotųjų įkainių dydžiai keičiami tyrimo ataskaitą išdėstant nauja redakcija ir įsigalioja nuo naujos redakcijos įsigaliojimo dienos, t. y. nuo tos dienos, kai jai pritaria </w:t>
      </w:r>
      <w:r w:rsidR="004C53C8" w:rsidRPr="000D0573">
        <w:rPr>
          <w:rFonts w:eastAsia="Times New Roman" w:cs="Times New Roman"/>
          <w:color w:val="222222"/>
          <w:szCs w:val="24"/>
          <w:lang w:eastAsia="en-US"/>
        </w:rPr>
        <w:t>LR</w:t>
      </w:r>
      <w:r w:rsidRPr="000D0573">
        <w:rPr>
          <w:rFonts w:eastAsia="Times New Roman" w:cs="Times New Roman"/>
          <w:color w:val="222222"/>
          <w:szCs w:val="24"/>
          <w:lang w:eastAsia="en-US"/>
        </w:rPr>
        <w:t xml:space="preserve"> finansų ministerija.</w:t>
      </w:r>
    </w:p>
    <w:p w:rsidR="00FD0B92" w:rsidRPr="000D0573" w:rsidRDefault="00FD0B92" w:rsidP="00FD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eastAsia="Times New Roman" w:cs="Times New Roman"/>
        </w:rPr>
      </w:pPr>
      <w:r w:rsidRPr="008744DE">
        <w:rPr>
          <w:rFonts w:eastAsia="Times New Roman" w:cs="Times New Roman"/>
        </w:rPr>
        <w:t>Įkainiai nustatyti</w:t>
      </w:r>
      <w:r w:rsidR="00643F37" w:rsidRPr="000D0573">
        <w:rPr>
          <w:rFonts w:eastAsia="Times New Roman" w:cs="Times New Roman"/>
        </w:rPr>
        <w:t>,</w:t>
      </w:r>
      <w:r w:rsidRPr="008744DE">
        <w:rPr>
          <w:rFonts w:eastAsia="Times New Roman" w:cs="Times New Roman"/>
        </w:rPr>
        <w:t xml:space="preserve"> </w:t>
      </w:r>
      <w:r w:rsidR="00643F37" w:rsidRPr="008744DE">
        <w:rPr>
          <w:rFonts w:eastAsia="Times New Roman" w:cs="Times New Roman"/>
        </w:rPr>
        <w:t>remiantis</w:t>
      </w:r>
      <w:r w:rsidR="00643F37" w:rsidRPr="000D0573">
        <w:rPr>
          <w:rFonts w:eastAsia="Times New Roman" w:cs="Times New Roman"/>
          <w:color w:val="222222"/>
          <w:szCs w:val="24"/>
          <w:lang w:eastAsia="en-US"/>
        </w:rPr>
        <w:t xml:space="preserve"> </w:t>
      </w:r>
      <w:r w:rsidR="004C53C8" w:rsidRPr="008744DE">
        <w:rPr>
          <w:rFonts w:eastAsia="Times New Roman" w:cs="Times New Roman"/>
          <w:color w:val="222222"/>
          <w:szCs w:val="24"/>
          <w:lang w:eastAsia="en-US"/>
        </w:rPr>
        <w:t>„</w:t>
      </w:r>
      <w:proofErr w:type="spellStart"/>
      <w:r w:rsidR="004C53C8" w:rsidRPr="008744DE">
        <w:rPr>
          <w:rFonts w:eastAsia="Times New Roman" w:cs="Times New Roman"/>
          <w:color w:val="222222"/>
          <w:szCs w:val="24"/>
          <w:lang w:eastAsia="en-US"/>
        </w:rPr>
        <w:t>Erasmus</w:t>
      </w:r>
      <w:proofErr w:type="spellEnd"/>
      <w:r w:rsidR="004C53C8" w:rsidRPr="008744DE">
        <w:rPr>
          <w:rFonts w:eastAsia="Times New Roman" w:cs="Times New Roman"/>
          <w:color w:val="222222"/>
          <w:szCs w:val="24"/>
          <w:lang w:eastAsia="en-US"/>
        </w:rPr>
        <w:t xml:space="preserve"> plius“</w:t>
      </w:r>
      <w:r w:rsidR="004C53C8" w:rsidRPr="000D0573">
        <w:rPr>
          <w:rFonts w:eastAsia="Times New Roman" w:cs="Times New Roman"/>
        </w:rPr>
        <w:t xml:space="preserve"> </w:t>
      </w:r>
      <w:r w:rsidRPr="000D0573">
        <w:rPr>
          <w:rFonts w:eastAsia="Times New Roman" w:cs="Times New Roman"/>
          <w:color w:val="222222"/>
          <w:szCs w:val="24"/>
          <w:lang w:eastAsia="en-US"/>
        </w:rPr>
        <w:t>dienini</w:t>
      </w:r>
      <w:r w:rsidR="00643F37" w:rsidRPr="000D0573">
        <w:rPr>
          <w:rFonts w:eastAsia="Times New Roman" w:cs="Times New Roman"/>
          <w:color w:val="222222"/>
          <w:szCs w:val="24"/>
          <w:lang w:eastAsia="en-US"/>
        </w:rPr>
        <w:t>u</w:t>
      </w:r>
      <w:r w:rsidRPr="000D0573">
        <w:rPr>
          <w:rFonts w:eastAsia="Times New Roman" w:cs="Times New Roman"/>
          <w:color w:val="222222"/>
          <w:szCs w:val="24"/>
          <w:lang w:eastAsia="en-US"/>
        </w:rPr>
        <w:t xml:space="preserve"> </w:t>
      </w:r>
      <w:r w:rsidR="00643F37" w:rsidRPr="000D0573">
        <w:rPr>
          <w:rFonts w:eastAsia="Times New Roman" w:cs="Times New Roman"/>
          <w:color w:val="222222"/>
          <w:szCs w:val="24"/>
          <w:lang w:eastAsia="en-US"/>
        </w:rPr>
        <w:t>įkainiu</w:t>
      </w:r>
      <w:r w:rsidRPr="000D0573">
        <w:rPr>
          <w:rFonts w:eastAsia="Times New Roman" w:cs="Times New Roman"/>
          <w:color w:val="222222"/>
          <w:szCs w:val="24"/>
          <w:lang w:eastAsia="en-US"/>
        </w:rPr>
        <w:t>, kurį galima pa</w:t>
      </w:r>
      <w:r w:rsidR="00643F37" w:rsidRPr="000D0573">
        <w:rPr>
          <w:rFonts w:eastAsia="Times New Roman" w:cs="Times New Roman"/>
          <w:color w:val="222222"/>
          <w:szCs w:val="24"/>
          <w:lang w:eastAsia="en-US"/>
        </w:rPr>
        <w:t>si</w:t>
      </w:r>
      <w:r w:rsidRPr="000D0573">
        <w:rPr>
          <w:rFonts w:eastAsia="Times New Roman" w:cs="Times New Roman"/>
          <w:color w:val="222222"/>
          <w:szCs w:val="24"/>
          <w:lang w:eastAsia="en-US"/>
        </w:rPr>
        <w:t xml:space="preserve">tikrinti </w:t>
      </w:r>
      <w:r w:rsidR="00643F37" w:rsidRPr="000D0573">
        <w:rPr>
          <w:rFonts w:eastAsia="Times New Roman" w:cs="Times New Roman"/>
        </w:rPr>
        <w:t>„</w:t>
      </w:r>
      <w:proofErr w:type="spellStart"/>
      <w:r w:rsidR="00643F37" w:rsidRPr="000D0573">
        <w:rPr>
          <w:rFonts w:eastAsia="Times New Roman" w:cs="Times New Roman"/>
        </w:rPr>
        <w:t>Erasmus</w:t>
      </w:r>
      <w:proofErr w:type="spellEnd"/>
      <w:r w:rsidR="00643F37" w:rsidRPr="000D0573">
        <w:rPr>
          <w:rFonts w:eastAsia="Times New Roman" w:cs="Times New Roman"/>
        </w:rPr>
        <w:t xml:space="preserve"> plius“</w:t>
      </w:r>
      <w:r w:rsidRPr="000D0573">
        <w:rPr>
          <w:rFonts w:eastAsia="Times New Roman" w:cs="Times New Roman"/>
          <w:color w:val="222222"/>
          <w:szCs w:val="24"/>
          <w:lang w:eastAsia="en-US"/>
        </w:rPr>
        <w:t xml:space="preserve"> programos vadove (</w:t>
      </w:r>
      <w:proofErr w:type="spellStart"/>
      <w:r w:rsidR="00B47EDB">
        <w:fldChar w:fldCharType="begin"/>
      </w:r>
      <w:r w:rsidR="00B47EDB">
        <w:instrText xml:space="preserve"> HYPERLINK "http://ec.europa.eu/programmes/erasmus-plus/documents/erasmus-plus-programme-guide_en.pdf" </w:instrText>
      </w:r>
      <w:r w:rsidR="00B47EDB">
        <w:fldChar w:fldCharType="separate"/>
      </w:r>
      <w:r w:rsidRPr="000D0573">
        <w:rPr>
          <w:rFonts w:eastAsia="Times New Roman" w:cs="Helvetica"/>
          <w:color w:val="0000FF"/>
          <w:szCs w:val="18"/>
          <w:u w:val="single"/>
          <w:shd w:val="clear" w:color="auto" w:fill="FEFEFE"/>
        </w:rPr>
        <w:t>European</w:t>
      </w:r>
      <w:proofErr w:type="spellEnd"/>
      <w:r w:rsidRPr="000D0573">
        <w:rPr>
          <w:rFonts w:eastAsia="Times New Roman" w:cs="Helvetica"/>
          <w:color w:val="0000FF"/>
          <w:szCs w:val="18"/>
          <w:u w:val="single"/>
          <w:shd w:val="clear" w:color="auto" w:fill="FEFEFE"/>
        </w:rPr>
        <w:t xml:space="preserve"> </w:t>
      </w:r>
      <w:proofErr w:type="spellStart"/>
      <w:r w:rsidRPr="000D0573">
        <w:rPr>
          <w:rFonts w:eastAsia="Times New Roman" w:cs="Helvetica"/>
          <w:color w:val="0000FF"/>
          <w:szCs w:val="18"/>
          <w:u w:val="single"/>
          <w:shd w:val="clear" w:color="auto" w:fill="FEFEFE"/>
        </w:rPr>
        <w:t>Commission</w:t>
      </w:r>
      <w:proofErr w:type="spellEnd"/>
      <w:r w:rsidRPr="000D0573">
        <w:rPr>
          <w:rFonts w:eastAsia="Times New Roman" w:cs="Helvetica"/>
          <w:color w:val="0000FF"/>
          <w:szCs w:val="18"/>
          <w:u w:val="single"/>
          <w:shd w:val="clear" w:color="auto" w:fill="FEFEFE"/>
        </w:rPr>
        <w:t>, „</w:t>
      </w:r>
      <w:proofErr w:type="spellStart"/>
      <w:r w:rsidRPr="000D0573">
        <w:rPr>
          <w:rFonts w:eastAsia="Times New Roman" w:cs="Helvetica"/>
          <w:color w:val="0000FF"/>
          <w:szCs w:val="18"/>
          <w:u w:val="single"/>
          <w:shd w:val="clear" w:color="auto" w:fill="FEFEFE"/>
        </w:rPr>
        <w:t>Erasmus</w:t>
      </w:r>
      <w:proofErr w:type="spellEnd"/>
      <w:r w:rsidRPr="000D0573">
        <w:rPr>
          <w:rFonts w:eastAsia="Times New Roman" w:cs="Helvetica"/>
          <w:color w:val="0000FF"/>
          <w:szCs w:val="18"/>
          <w:u w:val="single"/>
          <w:shd w:val="clear" w:color="auto" w:fill="FEFEFE"/>
        </w:rPr>
        <w:t xml:space="preserve">+ </w:t>
      </w:r>
      <w:proofErr w:type="spellStart"/>
      <w:r w:rsidRPr="000D0573">
        <w:rPr>
          <w:rFonts w:eastAsia="Times New Roman" w:cs="Helvetica"/>
          <w:color w:val="0000FF"/>
          <w:szCs w:val="18"/>
          <w:u w:val="single"/>
          <w:shd w:val="clear" w:color="auto" w:fill="FEFEFE"/>
        </w:rPr>
        <w:t>Programme</w:t>
      </w:r>
      <w:proofErr w:type="spellEnd"/>
      <w:r w:rsidRPr="000D0573">
        <w:rPr>
          <w:rFonts w:eastAsia="Times New Roman" w:cs="Helvetica"/>
          <w:color w:val="0000FF"/>
          <w:szCs w:val="18"/>
          <w:u w:val="single"/>
          <w:shd w:val="clear" w:color="auto" w:fill="FEFEFE"/>
        </w:rPr>
        <w:t xml:space="preserve"> </w:t>
      </w:r>
      <w:proofErr w:type="spellStart"/>
      <w:r w:rsidRPr="000D0573">
        <w:rPr>
          <w:rFonts w:eastAsia="Times New Roman" w:cs="Helvetica"/>
          <w:color w:val="0000FF"/>
          <w:szCs w:val="18"/>
          <w:u w:val="single"/>
          <w:shd w:val="clear" w:color="auto" w:fill="FEFEFE"/>
        </w:rPr>
        <w:t>Guide</w:t>
      </w:r>
      <w:proofErr w:type="spellEnd"/>
      <w:r w:rsidRPr="000D0573">
        <w:rPr>
          <w:rFonts w:eastAsia="Times New Roman" w:cs="Helvetica"/>
          <w:color w:val="0000FF"/>
          <w:szCs w:val="18"/>
          <w:u w:val="single"/>
          <w:shd w:val="clear" w:color="auto" w:fill="FEFEFE"/>
        </w:rPr>
        <w:t xml:space="preserve">“, </w:t>
      </w:r>
      <w:proofErr w:type="spellStart"/>
      <w:r w:rsidRPr="000D0573">
        <w:rPr>
          <w:rFonts w:eastAsia="Times New Roman" w:cs="Helvetica"/>
          <w:color w:val="0000FF"/>
          <w:szCs w:val="18"/>
          <w:u w:val="single"/>
          <w:shd w:val="clear" w:color="auto" w:fill="FEFEFE"/>
        </w:rPr>
        <w:t>Version</w:t>
      </w:r>
      <w:proofErr w:type="spellEnd"/>
      <w:r w:rsidRPr="000D0573">
        <w:rPr>
          <w:rFonts w:eastAsia="Times New Roman" w:cs="Helvetica"/>
          <w:color w:val="0000FF"/>
          <w:szCs w:val="18"/>
          <w:u w:val="single"/>
          <w:shd w:val="clear" w:color="auto" w:fill="FEFEFE"/>
        </w:rPr>
        <w:t xml:space="preserve"> 2, 2016</w:t>
      </w:r>
      <w:r w:rsidR="00B47EDB">
        <w:rPr>
          <w:rFonts w:eastAsia="Times New Roman" w:cs="Helvetica"/>
          <w:color w:val="0000FF"/>
          <w:szCs w:val="18"/>
          <w:u w:val="single"/>
          <w:shd w:val="clear" w:color="auto" w:fill="FEFEFE"/>
        </w:rPr>
        <w:fldChar w:fldCharType="end"/>
      </w:r>
      <w:r w:rsidRPr="000D0573">
        <w:rPr>
          <w:rFonts w:eastAsia="Times New Roman" w:cs="Times New Roman"/>
          <w:color w:val="222222"/>
          <w:szCs w:val="24"/>
          <w:lang w:eastAsia="en-US"/>
        </w:rPr>
        <w:t xml:space="preserve">). Įkainiai perskaičiuojami, pasikeitus </w:t>
      </w:r>
      <w:r w:rsidR="004C53C8" w:rsidRPr="008744DE">
        <w:rPr>
          <w:rFonts w:eastAsia="Times New Roman" w:cs="Times New Roman"/>
          <w:color w:val="222222"/>
          <w:szCs w:val="24"/>
          <w:lang w:eastAsia="en-US"/>
        </w:rPr>
        <w:t>„</w:t>
      </w:r>
      <w:proofErr w:type="spellStart"/>
      <w:r w:rsidR="004C53C8" w:rsidRPr="008744DE">
        <w:rPr>
          <w:rFonts w:eastAsia="Times New Roman" w:cs="Times New Roman"/>
          <w:color w:val="222222"/>
          <w:szCs w:val="24"/>
          <w:lang w:eastAsia="en-US"/>
        </w:rPr>
        <w:t>Erasmus</w:t>
      </w:r>
      <w:proofErr w:type="spellEnd"/>
      <w:r w:rsidR="004C53C8" w:rsidRPr="008744DE">
        <w:rPr>
          <w:rFonts w:eastAsia="Times New Roman" w:cs="Times New Roman"/>
          <w:color w:val="222222"/>
          <w:szCs w:val="24"/>
          <w:lang w:eastAsia="en-US"/>
        </w:rPr>
        <w:t xml:space="preserve"> plius“</w:t>
      </w:r>
      <w:r w:rsidRPr="008744DE">
        <w:rPr>
          <w:rFonts w:eastAsia="Times New Roman" w:cs="Times New Roman"/>
        </w:rPr>
        <w:t xml:space="preserve"> įkainiams</w:t>
      </w:r>
      <w:r w:rsidR="00643F37" w:rsidRPr="000D0573">
        <w:rPr>
          <w:rFonts w:eastAsia="Times New Roman" w:cs="Times New Roman"/>
          <w:color w:val="222222"/>
          <w:szCs w:val="24"/>
          <w:lang w:eastAsia="en-US"/>
        </w:rPr>
        <w:t>,</w:t>
      </w:r>
      <w:r w:rsidRPr="000D0573">
        <w:rPr>
          <w:rFonts w:eastAsia="Times New Roman" w:cs="Times New Roman"/>
          <w:color w:val="222222"/>
          <w:szCs w:val="24"/>
          <w:lang w:eastAsia="en-US"/>
        </w:rPr>
        <w:t xml:space="preserve"> taikomiems Lietuvai. Paskelbus naujus, pakeistus </w:t>
      </w:r>
      <w:r w:rsidR="004C53C8" w:rsidRPr="000D0573">
        <w:rPr>
          <w:rFonts w:eastAsia="Times New Roman" w:cs="Times New Roman"/>
        </w:rPr>
        <w:t>„</w:t>
      </w:r>
      <w:proofErr w:type="spellStart"/>
      <w:r w:rsidR="004C53C8" w:rsidRPr="000D0573">
        <w:rPr>
          <w:rFonts w:eastAsia="Times New Roman" w:cs="Times New Roman"/>
        </w:rPr>
        <w:t>Erasmus</w:t>
      </w:r>
      <w:proofErr w:type="spellEnd"/>
      <w:r w:rsidR="004C53C8" w:rsidRPr="000D0573">
        <w:rPr>
          <w:rFonts w:eastAsia="Times New Roman" w:cs="Times New Roman"/>
        </w:rPr>
        <w:t xml:space="preserve"> plius“</w:t>
      </w:r>
      <w:r w:rsidRPr="000D0573">
        <w:rPr>
          <w:rFonts w:eastAsia="Times New Roman" w:cs="Times New Roman"/>
          <w:i/>
          <w:color w:val="222222"/>
          <w:szCs w:val="24"/>
          <w:lang w:eastAsia="en-US"/>
        </w:rPr>
        <w:t xml:space="preserve"> </w:t>
      </w:r>
      <w:r w:rsidRPr="000D0573">
        <w:rPr>
          <w:rFonts w:eastAsia="Times New Roman" w:cs="Times New Roman"/>
          <w:color w:val="222222"/>
          <w:szCs w:val="24"/>
          <w:lang w:eastAsia="en-US"/>
        </w:rPr>
        <w:t>dieninius</w:t>
      </w:r>
      <w:r w:rsidRPr="000D0573">
        <w:rPr>
          <w:rFonts w:eastAsia="Times New Roman" w:cs="Times New Roman"/>
          <w:i/>
          <w:color w:val="222222"/>
          <w:szCs w:val="24"/>
          <w:lang w:eastAsia="en-US"/>
        </w:rPr>
        <w:t xml:space="preserve"> </w:t>
      </w:r>
      <w:r w:rsidRPr="000D0573">
        <w:rPr>
          <w:rFonts w:eastAsia="Times New Roman" w:cs="Times New Roman"/>
          <w:color w:val="222222"/>
          <w:szCs w:val="24"/>
          <w:lang w:eastAsia="en-US"/>
        </w:rPr>
        <w:t xml:space="preserve">įkainius, juos reikėtų paversti į valandinius </w:t>
      </w:r>
      <w:r w:rsidR="00643F37" w:rsidRPr="000D0573">
        <w:rPr>
          <w:rFonts w:eastAsia="Times New Roman" w:cs="Times New Roman"/>
          <w:color w:val="222222"/>
          <w:szCs w:val="24"/>
          <w:lang w:eastAsia="en-US"/>
        </w:rPr>
        <w:t xml:space="preserve">įkainius </w:t>
      </w:r>
      <w:r w:rsidRPr="000D0573">
        <w:rPr>
          <w:rFonts w:eastAsia="Times New Roman" w:cs="Times New Roman"/>
          <w:color w:val="222222"/>
          <w:szCs w:val="24"/>
          <w:lang w:eastAsia="en-US"/>
        </w:rPr>
        <w:t xml:space="preserve">pagal šią formulę: </w:t>
      </w:r>
      <w:proofErr w:type="spellStart"/>
      <w:r w:rsidRPr="000D0573">
        <w:rPr>
          <w:rFonts w:eastAsia="Times New Roman" w:cs="Times New Roman"/>
        </w:rPr>
        <w:t>ERASM</w:t>
      </w:r>
      <w:r w:rsidRPr="000D0573">
        <w:rPr>
          <w:rFonts w:eastAsia="Times New Roman" w:cs="Times New Roman"/>
          <w:vertAlign w:val="subscript"/>
        </w:rPr>
        <w:t>val</w:t>
      </w:r>
      <w:proofErr w:type="spellEnd"/>
      <w:r w:rsidRPr="000D0573">
        <w:rPr>
          <w:rFonts w:eastAsia="Times New Roman" w:cs="Times New Roman"/>
          <w:vertAlign w:val="subscript"/>
        </w:rPr>
        <w:t>.</w:t>
      </w:r>
      <w:r w:rsidR="004C53C8" w:rsidRPr="000D0573">
        <w:rPr>
          <w:rFonts w:eastAsia="Times New Roman" w:cs="Times New Roman"/>
          <w:vertAlign w:val="subscript"/>
        </w:rPr>
        <w:t xml:space="preserve"> </w:t>
      </w:r>
      <w:r w:rsidRPr="000D0573">
        <w:rPr>
          <w:rFonts w:eastAsia="Times New Roman" w:cs="Times New Roman"/>
        </w:rPr>
        <w:t xml:space="preserve">= </w:t>
      </w:r>
      <w:proofErr w:type="spellStart"/>
      <w:r w:rsidRPr="000D0573">
        <w:rPr>
          <w:rFonts w:eastAsia="Times New Roman" w:cs="Times New Roman"/>
        </w:rPr>
        <w:t>ERASM</w:t>
      </w:r>
      <w:r w:rsidRPr="000D0573">
        <w:rPr>
          <w:rFonts w:eastAsia="Times New Roman" w:cs="Times New Roman"/>
          <w:vertAlign w:val="subscript"/>
        </w:rPr>
        <w:t>dien</w:t>
      </w:r>
      <w:proofErr w:type="spellEnd"/>
      <w:r w:rsidRPr="000D0573">
        <w:rPr>
          <w:rFonts w:eastAsia="Times New Roman" w:cs="Times New Roman"/>
          <w:vertAlign w:val="subscript"/>
        </w:rPr>
        <w:t>.</w:t>
      </w:r>
      <w:r w:rsidRPr="000D0573">
        <w:rPr>
          <w:rFonts w:eastAsia="Times New Roman" w:cs="Times New Roman"/>
        </w:rPr>
        <w:t xml:space="preserve"> /</w:t>
      </w:r>
      <w:r w:rsidR="00643F37" w:rsidRPr="000D0573">
        <w:rPr>
          <w:rFonts w:eastAsia="Times New Roman" w:cs="Times New Roman"/>
        </w:rPr>
        <w:t xml:space="preserve"> </w:t>
      </w:r>
      <w:r w:rsidRPr="000D0573">
        <w:rPr>
          <w:rFonts w:eastAsia="Times New Roman" w:cs="Times New Roman"/>
        </w:rPr>
        <w:t>8.</w:t>
      </w:r>
      <w:r w:rsidRPr="000D0573">
        <w:rPr>
          <w:rFonts w:eastAsia="Times New Roman" w:cs="Times New Roman"/>
          <w:vertAlign w:val="superscript"/>
        </w:rPr>
        <w:footnoteReference w:id="26"/>
      </w:r>
      <w:r w:rsidR="00135249" w:rsidRPr="000D0573">
        <w:rPr>
          <w:rFonts w:eastAsia="Times New Roman" w:cs="Times New Roman"/>
        </w:rPr>
        <w:t xml:space="preserve"> </w:t>
      </w:r>
    </w:p>
    <w:p w:rsidR="00FD0B92" w:rsidRPr="000D0573" w:rsidRDefault="00643F37" w:rsidP="00FD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eastAsia="Times New Roman" w:cs="Times New Roman"/>
          <w:color w:val="222222"/>
          <w:szCs w:val="24"/>
          <w:lang w:eastAsia="en-US"/>
        </w:rPr>
      </w:pPr>
      <w:r w:rsidRPr="000D0573">
        <w:rPr>
          <w:rFonts w:eastAsia="Times New Roman" w:cs="Times New Roman"/>
          <w:color w:val="222222"/>
          <w:szCs w:val="24"/>
          <w:lang w:eastAsia="en-US"/>
        </w:rPr>
        <w:t xml:space="preserve">Toliau pateikiamos </w:t>
      </w:r>
      <w:r w:rsidR="00FD0B92" w:rsidRPr="000D0573">
        <w:rPr>
          <w:rFonts w:eastAsia="Times New Roman" w:cs="Times New Roman"/>
          <w:color w:val="222222"/>
          <w:szCs w:val="24"/>
          <w:lang w:eastAsia="en-US"/>
        </w:rPr>
        <w:t>kel</w:t>
      </w:r>
      <w:r w:rsidRPr="000D0573">
        <w:rPr>
          <w:rFonts w:eastAsia="Times New Roman" w:cs="Times New Roman"/>
          <w:color w:val="222222"/>
          <w:szCs w:val="24"/>
          <w:lang w:eastAsia="en-US"/>
        </w:rPr>
        <w:t>ios</w:t>
      </w:r>
      <w:r w:rsidR="00FD0B92" w:rsidRPr="000D0573">
        <w:rPr>
          <w:rFonts w:eastAsia="Times New Roman" w:cs="Times New Roman"/>
          <w:color w:val="222222"/>
          <w:szCs w:val="24"/>
          <w:lang w:eastAsia="en-US"/>
        </w:rPr>
        <w:t xml:space="preserve"> </w:t>
      </w:r>
      <w:r w:rsidRPr="000D0573">
        <w:rPr>
          <w:rFonts w:eastAsia="Times New Roman" w:cs="Times New Roman"/>
          <w:color w:val="222222"/>
          <w:szCs w:val="24"/>
          <w:lang w:eastAsia="en-US"/>
        </w:rPr>
        <w:t xml:space="preserve">rekomendacijos dėl </w:t>
      </w:r>
      <w:r w:rsidR="00FD0B92" w:rsidRPr="000D0573">
        <w:rPr>
          <w:rFonts w:eastAsia="Times New Roman" w:cs="Times New Roman"/>
          <w:color w:val="222222"/>
          <w:szCs w:val="24"/>
          <w:lang w:eastAsia="en-US"/>
        </w:rPr>
        <w:t xml:space="preserve">aukštųjų mokyklų personalo </w:t>
      </w:r>
      <w:r w:rsidRPr="000D0573">
        <w:rPr>
          <w:rFonts w:eastAsia="Times New Roman" w:cs="Times New Roman"/>
          <w:color w:val="222222"/>
          <w:szCs w:val="24"/>
          <w:lang w:eastAsia="en-US"/>
        </w:rPr>
        <w:t xml:space="preserve">priskyrimo </w:t>
      </w:r>
      <w:r w:rsidR="00FD0B92" w:rsidRPr="000D0573">
        <w:rPr>
          <w:rFonts w:eastAsia="Times New Roman" w:cs="Times New Roman"/>
          <w:color w:val="222222"/>
          <w:szCs w:val="24"/>
          <w:lang w:eastAsia="en-US"/>
        </w:rPr>
        <w:t xml:space="preserve">projekto pareigybėms. </w:t>
      </w:r>
    </w:p>
    <w:p w:rsidR="00FD0B92" w:rsidRPr="000D0573" w:rsidRDefault="00FD0B92" w:rsidP="00FD0B92">
      <w:pPr>
        <w:numPr>
          <w:ilvl w:val="0"/>
          <w:numId w:val="2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850" w:hanging="357"/>
        <w:jc w:val="both"/>
        <w:rPr>
          <w:rFonts w:eastAsia="Times New Roman" w:cs="Times New Roman"/>
          <w:color w:val="222222"/>
          <w:szCs w:val="24"/>
          <w:lang w:eastAsia="en-US"/>
        </w:rPr>
      </w:pPr>
      <w:r w:rsidRPr="000D0573">
        <w:rPr>
          <w:rFonts w:eastAsia="Times New Roman" w:cs="Times New Roman"/>
          <w:color w:val="222222"/>
          <w:szCs w:val="24"/>
          <w:lang w:eastAsia="en-US"/>
        </w:rPr>
        <w:lastRenderedPageBreak/>
        <w:t xml:space="preserve">Projektui, kuriame planuojama įgyvendinti vienarūšes veiklas </w:t>
      </w:r>
      <w:r w:rsidR="00643F37" w:rsidRPr="000D0573">
        <w:rPr>
          <w:rFonts w:eastAsia="Times New Roman" w:cs="Times New Roman"/>
          <w:color w:val="222222"/>
          <w:szCs w:val="24"/>
          <w:lang w:eastAsia="en-US"/>
        </w:rPr>
        <w:t>(</w:t>
      </w:r>
      <w:r w:rsidRPr="000D0573">
        <w:rPr>
          <w:rFonts w:eastAsia="Times New Roman" w:cs="Times New Roman"/>
          <w:color w:val="222222"/>
          <w:szCs w:val="24"/>
          <w:lang w:eastAsia="en-US"/>
        </w:rPr>
        <w:t>pvz., studijų programos atnaujinimas ir jos bandomasis įgyvendinimas</w:t>
      </w:r>
      <w:r w:rsidR="00643F37" w:rsidRPr="000D0573">
        <w:rPr>
          <w:rFonts w:eastAsia="Times New Roman" w:cs="Times New Roman"/>
          <w:color w:val="222222"/>
          <w:szCs w:val="24"/>
          <w:lang w:eastAsia="en-US"/>
        </w:rPr>
        <w:t>)</w:t>
      </w:r>
      <w:r w:rsidRPr="000D0573">
        <w:rPr>
          <w:rFonts w:eastAsia="Times New Roman" w:cs="Times New Roman"/>
          <w:color w:val="222222"/>
          <w:szCs w:val="24"/>
          <w:lang w:eastAsia="en-US"/>
        </w:rPr>
        <w:t xml:space="preserve">, rekomenduojama skirti ne daugiau kaip vieną </w:t>
      </w:r>
      <w:r w:rsidRPr="000D0573">
        <w:rPr>
          <w:rFonts w:eastAsia="Times New Roman" w:cs="Times New Roman"/>
          <w:b/>
          <w:color w:val="222222"/>
          <w:szCs w:val="24"/>
          <w:lang w:eastAsia="en-US"/>
        </w:rPr>
        <w:t>komandos-veiklos vadovą</w:t>
      </w:r>
      <w:r w:rsidRPr="000D0573">
        <w:rPr>
          <w:rFonts w:eastAsia="Times New Roman" w:cs="Times New Roman"/>
          <w:color w:val="222222"/>
          <w:szCs w:val="24"/>
          <w:lang w:eastAsia="en-US"/>
        </w:rPr>
        <w:t xml:space="preserve">. Jeigu projekto veiklos skiriasi </w:t>
      </w:r>
      <w:r w:rsidR="00643F37" w:rsidRPr="000D0573">
        <w:rPr>
          <w:rFonts w:eastAsia="Times New Roman" w:cs="Times New Roman"/>
          <w:color w:val="222222"/>
          <w:szCs w:val="24"/>
          <w:lang w:eastAsia="en-US"/>
        </w:rPr>
        <w:t xml:space="preserve">pagal turinį </w:t>
      </w:r>
      <w:r w:rsidRPr="000D0573">
        <w:rPr>
          <w:rFonts w:eastAsia="Times New Roman" w:cs="Times New Roman"/>
          <w:color w:val="222222"/>
          <w:szCs w:val="24"/>
          <w:lang w:eastAsia="en-US"/>
        </w:rPr>
        <w:t xml:space="preserve">ar </w:t>
      </w:r>
      <w:r w:rsidR="00643F37" w:rsidRPr="000D0573">
        <w:rPr>
          <w:rFonts w:eastAsia="Times New Roman" w:cs="Times New Roman"/>
          <w:color w:val="222222"/>
          <w:szCs w:val="24"/>
          <w:lang w:eastAsia="en-US"/>
        </w:rPr>
        <w:t>sritį</w:t>
      </w:r>
      <w:r w:rsidRPr="000D0573">
        <w:rPr>
          <w:rFonts w:eastAsia="Times New Roman" w:cs="Times New Roman"/>
          <w:color w:val="222222"/>
          <w:szCs w:val="24"/>
          <w:lang w:eastAsia="en-US"/>
        </w:rPr>
        <w:t xml:space="preserve">, skirtingoms veikloms galima skirti ne daugiau kaip vieną komandos-veiklos vadovą vienai veiklai ar vienarūšių veiklų grupei. </w:t>
      </w:r>
      <w:r w:rsidR="00643F37" w:rsidRPr="000D0573">
        <w:rPr>
          <w:rFonts w:eastAsia="Times New Roman" w:cs="Times New Roman"/>
          <w:color w:val="222222"/>
          <w:szCs w:val="24"/>
          <w:lang w:eastAsia="en-US"/>
        </w:rPr>
        <w:t xml:space="preserve">Neatsižvelgiant į tai, </w:t>
      </w:r>
      <w:r w:rsidRPr="000D0573">
        <w:rPr>
          <w:rFonts w:eastAsia="Times New Roman" w:cs="Times New Roman"/>
          <w:color w:val="222222"/>
          <w:szCs w:val="24"/>
          <w:lang w:eastAsia="en-US"/>
        </w:rPr>
        <w:t>pagal kurią priemonę finansuojamas projektas, šią funkciją atliekantis asmuo bus atsakingas už veiklų</w:t>
      </w:r>
      <w:r w:rsidR="00643F37" w:rsidRPr="000D0573">
        <w:rPr>
          <w:rFonts w:eastAsia="Times New Roman" w:cs="Times New Roman"/>
          <w:color w:val="222222"/>
          <w:szCs w:val="24"/>
          <w:lang w:eastAsia="en-US"/>
        </w:rPr>
        <w:t>, susijusių su turiniu,</w:t>
      </w:r>
      <w:r w:rsidRPr="000D0573">
        <w:rPr>
          <w:rFonts w:eastAsia="Times New Roman" w:cs="Times New Roman"/>
          <w:color w:val="222222"/>
          <w:szCs w:val="24"/>
          <w:lang w:eastAsia="en-US"/>
        </w:rPr>
        <w:t xml:space="preserve"> dalį, veiklų paskirstymą projekto komandai, išteklių planavimą, svarbiausių turinio sprendimų priėmimą ir veiklos rezultatų kokybę.</w:t>
      </w:r>
    </w:p>
    <w:p w:rsidR="00FD0B92" w:rsidRPr="000D0573" w:rsidRDefault="00FD0B92" w:rsidP="00FD0B92">
      <w:pPr>
        <w:numPr>
          <w:ilvl w:val="0"/>
          <w:numId w:val="2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850" w:hanging="357"/>
        <w:jc w:val="both"/>
        <w:rPr>
          <w:rFonts w:eastAsia="Times New Roman" w:cs="Times New Roman"/>
        </w:rPr>
      </w:pPr>
      <w:r w:rsidRPr="000D0573">
        <w:rPr>
          <w:rFonts w:eastAsia="Times New Roman" w:cs="Times New Roman"/>
        </w:rPr>
        <w:t xml:space="preserve">Daugelyje projektų </w:t>
      </w:r>
      <w:r w:rsidRPr="000D0573">
        <w:rPr>
          <w:rFonts w:eastAsia="Times New Roman" w:cs="Times New Roman"/>
          <w:b/>
        </w:rPr>
        <w:t>dėstytojas, tyrėjas</w:t>
      </w:r>
      <w:r w:rsidR="00165E3F" w:rsidRPr="000D0573">
        <w:rPr>
          <w:rFonts w:eastAsia="Times New Roman" w:cs="Times New Roman"/>
          <w:b/>
        </w:rPr>
        <w:t xml:space="preserve"> ir </w:t>
      </w:r>
      <w:r w:rsidRPr="000D0573">
        <w:rPr>
          <w:rFonts w:eastAsia="Times New Roman" w:cs="Times New Roman"/>
          <w:b/>
        </w:rPr>
        <w:t>ekspertas</w:t>
      </w:r>
      <w:r w:rsidRPr="000D0573">
        <w:rPr>
          <w:rFonts w:eastAsia="Times New Roman" w:cs="Times New Roman"/>
        </w:rPr>
        <w:t xml:space="preserve"> būtų pagrindinė veiklas vykdančio personalo kategorija, </w:t>
      </w:r>
      <w:r w:rsidR="00165E3F" w:rsidRPr="000D0573">
        <w:rPr>
          <w:rFonts w:eastAsia="Times New Roman" w:cs="Times New Roman"/>
        </w:rPr>
        <w:t xml:space="preserve">kuriai priskiriami darbuotojai </w:t>
      </w:r>
      <w:r w:rsidRPr="000D0573">
        <w:rPr>
          <w:rFonts w:eastAsia="Times New Roman" w:cs="Times New Roman"/>
        </w:rPr>
        <w:t xml:space="preserve">atliekanti pagrindines intelektines užduotis. </w:t>
      </w:r>
      <w:r w:rsidR="00643F37" w:rsidRPr="000D0573">
        <w:rPr>
          <w:rFonts w:eastAsia="Times New Roman" w:cs="Times New Roman"/>
        </w:rPr>
        <w:t xml:space="preserve">Atsižvelgiant į </w:t>
      </w:r>
      <w:r w:rsidRPr="000D0573">
        <w:rPr>
          <w:rFonts w:eastAsia="Times New Roman" w:cs="Times New Roman"/>
        </w:rPr>
        <w:t>priemon</w:t>
      </w:r>
      <w:r w:rsidR="00643F37" w:rsidRPr="000D0573">
        <w:rPr>
          <w:rFonts w:eastAsia="Times New Roman" w:cs="Times New Roman"/>
        </w:rPr>
        <w:t>ę</w:t>
      </w:r>
      <w:r w:rsidRPr="000D0573">
        <w:rPr>
          <w:rFonts w:eastAsia="Times New Roman" w:cs="Times New Roman"/>
        </w:rPr>
        <w:t xml:space="preserve"> ir</w:t>
      </w:r>
      <w:r w:rsidR="00643F37" w:rsidRPr="000D0573">
        <w:rPr>
          <w:rFonts w:eastAsia="Times New Roman" w:cs="Times New Roman"/>
        </w:rPr>
        <w:t xml:space="preserve"> (ar)</w:t>
      </w:r>
      <w:r w:rsidRPr="000D0573">
        <w:rPr>
          <w:rFonts w:eastAsia="Times New Roman" w:cs="Times New Roman"/>
        </w:rPr>
        <w:t xml:space="preserve"> projekto </w:t>
      </w:r>
      <w:r w:rsidR="00643F37" w:rsidRPr="000D0573">
        <w:rPr>
          <w:rFonts w:eastAsia="Times New Roman" w:cs="Times New Roman"/>
        </w:rPr>
        <w:t>specifiką</w:t>
      </w:r>
      <w:r w:rsidRPr="000D0573">
        <w:rPr>
          <w:rFonts w:eastAsia="Times New Roman" w:cs="Times New Roman"/>
        </w:rPr>
        <w:t xml:space="preserve">, </w:t>
      </w:r>
      <w:r w:rsidR="00643F37" w:rsidRPr="000D0573">
        <w:rPr>
          <w:rFonts w:eastAsia="Times New Roman" w:cs="Times New Roman"/>
        </w:rPr>
        <w:t xml:space="preserve">svarbiausios </w:t>
      </w:r>
      <w:r w:rsidRPr="000D0573">
        <w:rPr>
          <w:rFonts w:eastAsia="Times New Roman" w:cs="Times New Roman"/>
        </w:rPr>
        <w:t>šios personalo kategorijos darbuotojų funkcijos galėtų būti: studijų programų atnaujinimas; dėstymas; strateginių dokumentų rengimas; metodinės</w:t>
      </w:r>
      <w:r w:rsidR="00643F37" w:rsidRPr="000D0573">
        <w:rPr>
          <w:rFonts w:eastAsia="Times New Roman" w:cs="Times New Roman"/>
        </w:rPr>
        <w:t xml:space="preserve"> ir </w:t>
      </w:r>
      <w:r w:rsidRPr="000D0573">
        <w:rPr>
          <w:rFonts w:eastAsia="Times New Roman" w:cs="Times New Roman"/>
        </w:rPr>
        <w:t xml:space="preserve">mokomosios medžiagos rengimas; įvairių su studijų kokybės </w:t>
      </w:r>
      <w:r w:rsidR="00643F37" w:rsidRPr="000D0573">
        <w:rPr>
          <w:rFonts w:eastAsia="Times New Roman" w:cs="Times New Roman"/>
        </w:rPr>
        <w:t xml:space="preserve">gerinimu </w:t>
      </w:r>
      <w:r w:rsidRPr="000D0573">
        <w:rPr>
          <w:rFonts w:eastAsia="Times New Roman" w:cs="Times New Roman"/>
        </w:rPr>
        <w:t>susijusių dokumentų</w:t>
      </w:r>
      <w:r w:rsidR="00643F37" w:rsidRPr="000D0573">
        <w:rPr>
          <w:rFonts w:eastAsia="Times New Roman" w:cs="Times New Roman"/>
        </w:rPr>
        <w:t xml:space="preserve"> ir </w:t>
      </w:r>
      <w:r w:rsidRPr="000D0573">
        <w:rPr>
          <w:rFonts w:eastAsia="Times New Roman" w:cs="Times New Roman"/>
        </w:rPr>
        <w:t xml:space="preserve">tvarkų rengimas; rekomendacijų rengimas. Šis </w:t>
      </w:r>
      <w:r w:rsidRPr="00CB49BF">
        <w:rPr>
          <w:rFonts w:eastAsia="Times New Roman" w:cs="Times New Roman"/>
        </w:rPr>
        <w:t xml:space="preserve">sąrašas nėra baigtinis – rengiant paraiškas gali atsirasti ir kitokių funkcijų poreikis, </w:t>
      </w:r>
      <w:r w:rsidR="00643F37" w:rsidRPr="00CB49BF">
        <w:rPr>
          <w:rFonts w:eastAsia="Times New Roman" w:cs="Times New Roman"/>
        </w:rPr>
        <w:t>tačiau jis</w:t>
      </w:r>
      <w:r w:rsidR="00643F37" w:rsidRPr="008744DE">
        <w:rPr>
          <w:rFonts w:eastAsia="Times New Roman" w:cs="Times New Roman"/>
        </w:rPr>
        <w:t xml:space="preserve"> </w:t>
      </w:r>
      <w:r w:rsidRPr="008744DE">
        <w:rPr>
          <w:rFonts w:eastAsia="Times New Roman" w:cs="Times New Roman"/>
        </w:rPr>
        <w:t>turi</w:t>
      </w:r>
      <w:r w:rsidRPr="000D0573">
        <w:rPr>
          <w:rFonts w:eastAsia="Times New Roman" w:cs="Times New Roman"/>
        </w:rPr>
        <w:t xml:space="preserve"> būti tinkamai pagrįstas.</w:t>
      </w:r>
    </w:p>
    <w:p w:rsidR="00FD0B92" w:rsidRPr="000D0573" w:rsidRDefault="00FD0B92" w:rsidP="00FD0B92">
      <w:pPr>
        <w:numPr>
          <w:ilvl w:val="0"/>
          <w:numId w:val="2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850" w:hanging="357"/>
        <w:jc w:val="both"/>
        <w:rPr>
          <w:rFonts w:eastAsia="Times New Roman" w:cs="Times New Roman"/>
        </w:rPr>
      </w:pPr>
      <w:r w:rsidRPr="000D0573">
        <w:rPr>
          <w:rFonts w:eastAsia="Times New Roman" w:cs="Times New Roman"/>
        </w:rPr>
        <w:t xml:space="preserve">Kai </w:t>
      </w:r>
      <w:r w:rsidR="00165E3F" w:rsidRPr="000D0573">
        <w:rPr>
          <w:rFonts w:eastAsia="Times New Roman" w:cs="Times New Roman"/>
        </w:rPr>
        <w:t xml:space="preserve">kuriose </w:t>
      </w:r>
      <w:r w:rsidRPr="000D0573">
        <w:rPr>
          <w:rFonts w:eastAsia="Times New Roman" w:cs="Times New Roman"/>
        </w:rPr>
        <w:t xml:space="preserve">priemonėse </w:t>
      </w:r>
      <w:r w:rsidR="00165E3F" w:rsidRPr="000D0573">
        <w:rPr>
          <w:rFonts w:eastAsia="Times New Roman" w:cs="Times New Roman"/>
        </w:rPr>
        <w:t xml:space="preserve">ir (ar) kai kuriuose </w:t>
      </w:r>
      <w:r w:rsidRPr="000D0573">
        <w:rPr>
          <w:rFonts w:eastAsia="Times New Roman" w:cs="Times New Roman"/>
        </w:rPr>
        <w:t xml:space="preserve">projektuose gali atsirasti didelės patirties nereikalaujančių užduočių, kurias galėtų </w:t>
      </w:r>
      <w:r w:rsidR="00BA6A90" w:rsidRPr="000D0573">
        <w:rPr>
          <w:rFonts w:eastAsia="Times New Roman" w:cs="Times New Roman"/>
        </w:rPr>
        <w:t xml:space="preserve">atlikti </w:t>
      </w:r>
      <w:r w:rsidRPr="000D0573">
        <w:rPr>
          <w:rFonts w:eastAsia="Times New Roman" w:cs="Times New Roman"/>
        </w:rPr>
        <w:t xml:space="preserve">ne eksperto lygmens darbuotojai, o </w:t>
      </w:r>
      <w:r w:rsidRPr="000D0573">
        <w:rPr>
          <w:rFonts w:eastAsia="Times New Roman" w:cs="Times New Roman"/>
          <w:b/>
        </w:rPr>
        <w:t>techniniai darbuotojai</w:t>
      </w:r>
      <w:r w:rsidRPr="000D0573">
        <w:rPr>
          <w:rFonts w:eastAsia="Times New Roman" w:cs="Times New Roman"/>
        </w:rPr>
        <w:t xml:space="preserve">. </w:t>
      </w:r>
      <w:r w:rsidR="00A87C87" w:rsidRPr="000D0573">
        <w:rPr>
          <w:rFonts w:eastAsia="Times New Roman" w:cs="Times New Roman"/>
        </w:rPr>
        <w:t>T</w:t>
      </w:r>
      <w:r w:rsidRPr="000D0573">
        <w:rPr>
          <w:rFonts w:eastAsia="Times New Roman" w:cs="Times New Roman"/>
        </w:rPr>
        <w:t>echninių darbuotojų funkcijų pavyzdžiai</w:t>
      </w:r>
      <w:r w:rsidR="00165E3F" w:rsidRPr="000D0573">
        <w:rPr>
          <w:rFonts w:eastAsia="Times New Roman" w:cs="Times New Roman"/>
        </w:rPr>
        <w:t>:</w:t>
      </w:r>
      <w:r w:rsidRPr="000D0573">
        <w:rPr>
          <w:rFonts w:eastAsia="Times New Roman" w:cs="Times New Roman"/>
        </w:rPr>
        <w:t xml:space="preserve"> </w:t>
      </w:r>
      <w:r w:rsidR="00165E3F" w:rsidRPr="000D0573">
        <w:rPr>
          <w:rFonts w:eastAsia="Times New Roman" w:cs="Times New Roman"/>
        </w:rPr>
        <w:t xml:space="preserve">pagalba </w:t>
      </w:r>
      <w:r w:rsidRPr="000D0573">
        <w:rPr>
          <w:rFonts w:eastAsia="Times New Roman" w:cs="Times New Roman"/>
        </w:rPr>
        <w:t>ekspertams</w:t>
      </w:r>
      <w:r w:rsidR="00BA6A90" w:rsidRPr="000D0573">
        <w:rPr>
          <w:rFonts w:eastAsia="Times New Roman" w:cs="Times New Roman"/>
        </w:rPr>
        <w:t xml:space="preserve">; </w:t>
      </w:r>
      <w:r w:rsidR="00534C9F" w:rsidRPr="000D0573">
        <w:rPr>
          <w:rFonts w:eastAsia="Times New Roman" w:cs="Times New Roman"/>
        </w:rPr>
        <w:t>išorės ekspertų</w:t>
      </w:r>
      <w:r w:rsidR="00783546" w:rsidRPr="000D0573">
        <w:rPr>
          <w:rFonts w:eastAsia="Times New Roman" w:cs="Times New Roman"/>
        </w:rPr>
        <w:t>, tinkamų socialinių partnerių</w:t>
      </w:r>
      <w:r w:rsidR="00534C9F" w:rsidRPr="000D0573">
        <w:rPr>
          <w:rFonts w:eastAsia="Times New Roman" w:cs="Times New Roman"/>
        </w:rPr>
        <w:t xml:space="preserve"> </w:t>
      </w:r>
      <w:r w:rsidR="00165E3F" w:rsidRPr="000D0573">
        <w:rPr>
          <w:rFonts w:eastAsia="Times New Roman" w:cs="Times New Roman"/>
        </w:rPr>
        <w:t>paieškos</w:t>
      </w:r>
      <w:r w:rsidR="00BA6A90" w:rsidRPr="000D0573">
        <w:rPr>
          <w:rFonts w:eastAsia="Times New Roman" w:cs="Times New Roman"/>
        </w:rPr>
        <w:t xml:space="preserve">; </w:t>
      </w:r>
      <w:r w:rsidRPr="000D0573">
        <w:rPr>
          <w:rFonts w:eastAsia="Times New Roman" w:cs="Times New Roman"/>
        </w:rPr>
        <w:t>smulkių užduočių atlikimas pagal parengtas gaires</w:t>
      </w:r>
      <w:r w:rsidR="00BA6A90" w:rsidRPr="000D0573">
        <w:rPr>
          <w:rFonts w:eastAsia="Times New Roman" w:cs="Times New Roman"/>
        </w:rPr>
        <w:t xml:space="preserve">; </w:t>
      </w:r>
      <w:r w:rsidRPr="000D0573">
        <w:rPr>
          <w:rFonts w:eastAsia="Times New Roman" w:cs="Times New Roman"/>
        </w:rPr>
        <w:t>duomenų rinkimas ir apdorojimas</w:t>
      </w:r>
      <w:r w:rsidR="00BA6A90" w:rsidRPr="000D0573">
        <w:rPr>
          <w:rFonts w:eastAsia="Times New Roman" w:cs="Times New Roman"/>
        </w:rPr>
        <w:t xml:space="preserve">; </w:t>
      </w:r>
      <w:r w:rsidRPr="000D0573">
        <w:rPr>
          <w:rFonts w:eastAsia="Times New Roman" w:cs="Times New Roman"/>
        </w:rPr>
        <w:t>informacijos paieška ir atranka</w:t>
      </w:r>
      <w:r w:rsidR="00BA6A90" w:rsidRPr="000D0573">
        <w:rPr>
          <w:rFonts w:eastAsia="Times New Roman" w:cs="Times New Roman"/>
        </w:rPr>
        <w:t xml:space="preserve"> </w:t>
      </w:r>
      <w:r w:rsidRPr="000D0573">
        <w:rPr>
          <w:rFonts w:eastAsia="Times New Roman" w:cs="Times New Roman"/>
        </w:rPr>
        <w:t>(pvz., statistika, įvairios duomenų bazės, literatūra). Šis funkcijų sąrašas taip pat nėra baigtinis – rengiant paraiškas</w:t>
      </w:r>
      <w:r w:rsidR="00165E3F" w:rsidRPr="000D0573">
        <w:rPr>
          <w:rFonts w:eastAsia="Times New Roman" w:cs="Times New Roman"/>
        </w:rPr>
        <w:t>,</w:t>
      </w:r>
      <w:r w:rsidRPr="000D0573">
        <w:rPr>
          <w:rFonts w:eastAsia="Times New Roman" w:cs="Times New Roman"/>
        </w:rPr>
        <w:t xml:space="preserve"> projektų įgyvendinimo kryptys </w:t>
      </w:r>
      <w:r w:rsidR="00165E3F" w:rsidRPr="000D0573">
        <w:rPr>
          <w:rFonts w:eastAsia="Times New Roman" w:cs="Times New Roman"/>
        </w:rPr>
        <w:t xml:space="preserve">taps </w:t>
      </w:r>
      <w:r w:rsidRPr="000D0573">
        <w:rPr>
          <w:rFonts w:eastAsia="Times New Roman" w:cs="Times New Roman"/>
        </w:rPr>
        <w:t xml:space="preserve">konkretesnės, todėl gali atsirasti ir </w:t>
      </w:r>
      <w:r w:rsidR="00165E3F" w:rsidRPr="000D0573">
        <w:rPr>
          <w:rFonts w:eastAsia="Times New Roman" w:cs="Times New Roman"/>
        </w:rPr>
        <w:t xml:space="preserve">kitų </w:t>
      </w:r>
      <w:r w:rsidRPr="000D0573">
        <w:rPr>
          <w:rFonts w:eastAsia="Times New Roman" w:cs="Times New Roman"/>
        </w:rPr>
        <w:t xml:space="preserve">pagalbinių funkcijų poreikis. Atkreipiame dėmesį, kad iš techninio personalo kategorijos, </w:t>
      </w:r>
      <w:r w:rsidR="00BA6A90" w:rsidRPr="000D0573">
        <w:rPr>
          <w:rFonts w:eastAsia="Times New Roman" w:cs="Times New Roman"/>
        </w:rPr>
        <w:t xml:space="preserve">kitaip negu </w:t>
      </w:r>
      <w:r w:rsidRPr="000D0573">
        <w:rPr>
          <w:rFonts w:eastAsia="Times New Roman" w:cs="Times New Roman"/>
        </w:rPr>
        <w:t xml:space="preserve">nurodoma </w:t>
      </w:r>
      <w:r w:rsidR="00BA6A90" w:rsidRPr="000D0573">
        <w:rPr>
          <w:rFonts w:eastAsia="Times New Roman" w:cs="Times New Roman"/>
        </w:rPr>
        <w:t>„</w:t>
      </w:r>
      <w:proofErr w:type="spellStart"/>
      <w:r w:rsidR="00BA6A90" w:rsidRPr="000D0573">
        <w:rPr>
          <w:rFonts w:eastAsia="Times New Roman" w:cs="Times New Roman"/>
        </w:rPr>
        <w:t>Erasmus</w:t>
      </w:r>
      <w:proofErr w:type="spellEnd"/>
      <w:r w:rsidR="00BA6A90" w:rsidRPr="000D0573">
        <w:rPr>
          <w:rFonts w:eastAsia="Times New Roman" w:cs="Times New Roman"/>
        </w:rPr>
        <w:t xml:space="preserve"> plius“ </w:t>
      </w:r>
      <w:r w:rsidRPr="000D0573">
        <w:rPr>
          <w:rFonts w:eastAsia="Times New Roman" w:cs="Times New Roman"/>
        </w:rPr>
        <w:t xml:space="preserve">vadove, pašaliname finansininkus, kurie Lietuvoje </w:t>
      </w:r>
      <w:r w:rsidR="00BA6A90" w:rsidRPr="000D0573">
        <w:rPr>
          <w:rFonts w:eastAsia="Times New Roman" w:cs="Times New Roman"/>
        </w:rPr>
        <w:t xml:space="preserve">įgyvendinamuose </w:t>
      </w:r>
      <w:r w:rsidRPr="000D0573">
        <w:rPr>
          <w:rFonts w:eastAsia="Times New Roman" w:cs="Times New Roman"/>
        </w:rPr>
        <w:t>projektuose yra priskiriami administraciniam personalui ir jų išlaidos apmokomos taikant vienodo dydžio normą.</w:t>
      </w:r>
    </w:p>
    <w:p w:rsidR="00FD0B92" w:rsidRPr="000D0573" w:rsidRDefault="00FD0B92" w:rsidP="00FD0B92">
      <w:pPr>
        <w:tabs>
          <w:tab w:val="left" w:pos="9600"/>
        </w:tabs>
        <w:spacing w:before="240" w:after="240"/>
        <w:ind w:right="74"/>
        <w:jc w:val="both"/>
        <w:rPr>
          <w:rFonts w:eastAsia="Times New Roman" w:cs="Times New Roman"/>
          <w:szCs w:val="24"/>
        </w:rPr>
      </w:pPr>
      <w:r w:rsidRPr="000D0573">
        <w:rPr>
          <w:rFonts w:eastAsia="Times New Roman" w:cs="Times New Roman"/>
          <w:szCs w:val="24"/>
        </w:rPr>
        <w:t xml:space="preserve">Už tyrimo ataskaitos atnaujinimą yra atsakinga </w:t>
      </w:r>
      <w:r w:rsidR="00BA6A90" w:rsidRPr="000D0573">
        <w:rPr>
          <w:rFonts w:eastAsia="Times New Roman" w:cs="Times New Roman"/>
          <w:szCs w:val="24"/>
        </w:rPr>
        <w:t>LR</w:t>
      </w:r>
      <w:r w:rsidRPr="000D0573">
        <w:rPr>
          <w:rFonts w:eastAsia="Times New Roman" w:cs="Times New Roman"/>
          <w:szCs w:val="24"/>
        </w:rPr>
        <w:t xml:space="preserve"> švietimo ir mokslo ministerija.</w:t>
      </w:r>
    </w:p>
    <w:p w:rsidR="00BA6A90" w:rsidRPr="000D0573" w:rsidRDefault="00BA6A90" w:rsidP="00FD0B92">
      <w:pPr>
        <w:tabs>
          <w:tab w:val="left" w:pos="9600"/>
        </w:tabs>
        <w:spacing w:before="240" w:after="240"/>
        <w:ind w:right="74"/>
        <w:jc w:val="both"/>
        <w:rPr>
          <w:rFonts w:eastAsia="Times New Roman" w:cs="Times New Roman"/>
          <w:szCs w:val="24"/>
        </w:rPr>
      </w:pPr>
      <w:r w:rsidRPr="000D0573">
        <w:rPr>
          <w:rFonts w:eastAsia="Times New Roman" w:cs="Times New Roman"/>
          <w:szCs w:val="24"/>
        </w:rPr>
        <w:t xml:space="preserve">Projekto vykdytojas, teikdamas </w:t>
      </w:r>
      <w:r w:rsidR="00FD0B92" w:rsidRPr="000D0573">
        <w:rPr>
          <w:rFonts w:eastAsia="Times New Roman" w:cs="Times New Roman"/>
          <w:szCs w:val="24"/>
        </w:rPr>
        <w:t xml:space="preserve">mokėjimo prašymus išlaidoms, kurioms taikomi fiksuotieji įkainiai, pagrįsti, neteikia išlaidų pagrindimo ir jų apmokėjimo įrodymo dokumentų. </w:t>
      </w:r>
    </w:p>
    <w:p w:rsidR="00FD0B92" w:rsidRPr="000D0573" w:rsidRDefault="00BA6A90" w:rsidP="00FD0B92">
      <w:pPr>
        <w:tabs>
          <w:tab w:val="left" w:pos="9600"/>
        </w:tabs>
        <w:spacing w:before="240" w:after="240"/>
        <w:ind w:right="74"/>
        <w:jc w:val="both"/>
        <w:rPr>
          <w:rFonts w:eastAsia="Times New Roman" w:cs="Times New Roman"/>
          <w:szCs w:val="24"/>
        </w:rPr>
      </w:pPr>
      <w:r w:rsidRPr="000D0573">
        <w:rPr>
          <w:rFonts w:eastAsia="Times New Roman" w:cs="Times New Roman"/>
          <w:szCs w:val="24"/>
        </w:rPr>
        <w:t xml:space="preserve">Toliau išvardijami rekomenduojami dokumentai, įrodantys, kad yra pasiektas fiksuotųjų </w:t>
      </w:r>
      <w:r w:rsidR="00FD0B92" w:rsidRPr="000D0573">
        <w:rPr>
          <w:rFonts w:eastAsia="Times New Roman" w:cs="Times New Roman"/>
          <w:szCs w:val="24"/>
        </w:rPr>
        <w:t xml:space="preserve">įkainių </w:t>
      </w:r>
      <w:r w:rsidRPr="000D0573">
        <w:rPr>
          <w:rFonts w:eastAsia="Times New Roman" w:cs="Times New Roman"/>
          <w:szCs w:val="24"/>
        </w:rPr>
        <w:t>kiekybinis rezultatas</w:t>
      </w:r>
      <w:r w:rsidR="00FD0B92" w:rsidRPr="000D0573">
        <w:rPr>
          <w:rFonts w:eastAsia="Times New Roman" w:cs="Times New Roman"/>
          <w:szCs w:val="24"/>
        </w:rPr>
        <w:t xml:space="preserve"> (įgyvendinančiajai institucijai </w:t>
      </w:r>
      <w:r w:rsidRPr="000D0573">
        <w:rPr>
          <w:rFonts w:eastAsia="Times New Roman" w:cs="Times New Roman"/>
          <w:szCs w:val="24"/>
        </w:rPr>
        <w:t xml:space="preserve">paliekama teisė </w:t>
      </w:r>
      <w:r w:rsidR="00FD0B92" w:rsidRPr="000D0573">
        <w:rPr>
          <w:rFonts w:eastAsia="Times New Roman" w:cs="Times New Roman"/>
          <w:szCs w:val="24"/>
        </w:rPr>
        <w:t xml:space="preserve">prašyti papildomų dokumentų, susijusių su darbo užmokesčio priskaitymu ir išmokėjimu): </w:t>
      </w:r>
    </w:p>
    <w:p w:rsidR="00FD0B92" w:rsidRPr="000D0573" w:rsidRDefault="00FD0B92" w:rsidP="00FD0B92">
      <w:pPr>
        <w:numPr>
          <w:ilvl w:val="0"/>
          <w:numId w:val="21"/>
        </w:numPr>
        <w:tabs>
          <w:tab w:val="left" w:pos="9600"/>
        </w:tabs>
        <w:spacing w:before="240" w:after="240"/>
        <w:ind w:left="851" w:right="74"/>
        <w:jc w:val="both"/>
        <w:rPr>
          <w:rFonts w:eastAsia="Times New Roman" w:cs="Times New Roman"/>
          <w:szCs w:val="24"/>
        </w:rPr>
      </w:pPr>
      <w:r w:rsidRPr="000D0573">
        <w:rPr>
          <w:rFonts w:eastAsia="Times New Roman" w:cs="Times New Roman"/>
          <w:szCs w:val="24"/>
        </w:rPr>
        <w:t>suvestinė pažyma dėl aukštųjų mokyklų personalo, vykdančio projektą, darbo užmokesčio išlaidų apskaičiavimo</w:t>
      </w:r>
      <w:r w:rsidR="00BA6A90" w:rsidRPr="000D0573">
        <w:rPr>
          <w:rFonts w:eastAsia="Times New Roman" w:cs="Times New Roman"/>
          <w:szCs w:val="24"/>
        </w:rPr>
        <w:t>,</w:t>
      </w:r>
      <w:r w:rsidRPr="000D0573">
        <w:rPr>
          <w:rFonts w:eastAsia="Times New Roman" w:cs="Times New Roman"/>
          <w:szCs w:val="24"/>
        </w:rPr>
        <w:t xml:space="preserve"> taikant fiksuotuosius įkainius (tyrimo ataskaitos </w:t>
      </w:r>
      <w:r w:rsidR="001E0404">
        <w:rPr>
          <w:rFonts w:eastAsia="Times New Roman" w:cs="Times New Roman"/>
          <w:szCs w:val="24"/>
        </w:rPr>
        <w:t>10</w:t>
      </w:r>
      <w:r w:rsidR="00BA6A90" w:rsidRPr="000D0573">
        <w:rPr>
          <w:rFonts w:eastAsia="Times New Roman" w:cs="Times New Roman"/>
          <w:szCs w:val="24"/>
        </w:rPr>
        <w:t> </w:t>
      </w:r>
      <w:r w:rsidRPr="000D0573">
        <w:rPr>
          <w:rFonts w:eastAsia="Times New Roman" w:cs="Times New Roman"/>
          <w:szCs w:val="24"/>
        </w:rPr>
        <w:t xml:space="preserve">priedas); </w:t>
      </w:r>
    </w:p>
    <w:p w:rsidR="00FD0B92" w:rsidRPr="000D0573" w:rsidRDefault="00FD0B92" w:rsidP="00FD0B92">
      <w:pPr>
        <w:numPr>
          <w:ilvl w:val="0"/>
          <w:numId w:val="21"/>
        </w:numPr>
        <w:tabs>
          <w:tab w:val="left" w:pos="9600"/>
        </w:tabs>
        <w:spacing w:before="240" w:after="240"/>
        <w:ind w:left="851" w:right="74"/>
        <w:jc w:val="both"/>
        <w:rPr>
          <w:rFonts w:eastAsia="Times New Roman" w:cs="Times New Roman"/>
          <w:szCs w:val="24"/>
        </w:rPr>
      </w:pPr>
      <w:r w:rsidRPr="000D0573">
        <w:rPr>
          <w:rFonts w:eastAsia="Times New Roman" w:cs="Times New Roman"/>
          <w:szCs w:val="24"/>
        </w:rPr>
        <w:t xml:space="preserve">dokumentai, kuriuose </w:t>
      </w:r>
      <w:r w:rsidR="00BA6A90" w:rsidRPr="000D0573">
        <w:rPr>
          <w:rFonts w:eastAsia="Times New Roman" w:cs="Times New Roman"/>
          <w:szCs w:val="24"/>
        </w:rPr>
        <w:t xml:space="preserve">nustatoma </w:t>
      </w:r>
      <w:r w:rsidRPr="000D0573">
        <w:rPr>
          <w:rFonts w:eastAsia="Times New Roman" w:cs="Times New Roman"/>
          <w:szCs w:val="24"/>
        </w:rPr>
        <w:t xml:space="preserve">asmens darbo projekte funkcijos (pareigybė) ir trukmė (valandos) </w:t>
      </w:r>
      <w:r w:rsidR="00A0625F" w:rsidRPr="000D0573">
        <w:rPr>
          <w:rFonts w:eastAsia="Times New Roman" w:cs="Times New Roman"/>
          <w:szCs w:val="24"/>
        </w:rPr>
        <w:t>(pvz.,</w:t>
      </w:r>
      <w:r w:rsidRPr="000D0573">
        <w:rPr>
          <w:rFonts w:eastAsia="Times New Roman" w:cs="Times New Roman"/>
          <w:szCs w:val="24"/>
        </w:rPr>
        <w:t xml:space="preserve"> darbo sutarčių kopijos arba jų išrašai</w:t>
      </w:r>
      <w:r w:rsidR="00A0625F" w:rsidRPr="000D0573">
        <w:rPr>
          <w:rFonts w:eastAsia="Times New Roman" w:cs="Times New Roman"/>
          <w:szCs w:val="24"/>
        </w:rPr>
        <w:t>)</w:t>
      </w:r>
      <w:r w:rsidRPr="000D0573">
        <w:rPr>
          <w:rFonts w:eastAsia="Times New Roman" w:cs="Times New Roman"/>
          <w:szCs w:val="24"/>
        </w:rPr>
        <w:t>;</w:t>
      </w:r>
    </w:p>
    <w:p w:rsidR="00FD0B92" w:rsidRPr="000D0573" w:rsidRDefault="00BA6A90" w:rsidP="00FD0B92">
      <w:pPr>
        <w:numPr>
          <w:ilvl w:val="0"/>
          <w:numId w:val="21"/>
        </w:numPr>
        <w:tabs>
          <w:tab w:val="left" w:pos="9600"/>
        </w:tabs>
        <w:spacing w:before="240" w:after="240"/>
        <w:ind w:left="851" w:right="74"/>
        <w:jc w:val="both"/>
        <w:rPr>
          <w:rFonts w:eastAsia="Times New Roman" w:cs="Times New Roman"/>
        </w:rPr>
      </w:pPr>
      <w:r w:rsidRPr="000D0573">
        <w:rPr>
          <w:rFonts w:eastAsia="Times New Roman" w:cs="Times New Roman"/>
          <w:szCs w:val="24"/>
        </w:rPr>
        <w:t xml:space="preserve">įgyvendinant projektą ar atliekant veiklą </w:t>
      </w:r>
      <w:r w:rsidR="00FD0B92" w:rsidRPr="000D0573">
        <w:rPr>
          <w:rFonts w:eastAsia="Times New Roman" w:cs="Times New Roman"/>
          <w:szCs w:val="24"/>
        </w:rPr>
        <w:t>sukurtas produktas</w:t>
      </w:r>
      <w:r w:rsidRPr="000D0573">
        <w:rPr>
          <w:rFonts w:eastAsia="Times New Roman" w:cs="Times New Roman"/>
          <w:szCs w:val="24"/>
        </w:rPr>
        <w:t xml:space="preserve"> arba </w:t>
      </w:r>
      <w:r w:rsidR="00FD0B92" w:rsidRPr="000D0573">
        <w:rPr>
          <w:rFonts w:eastAsia="Times New Roman" w:cs="Times New Roman"/>
          <w:szCs w:val="24"/>
        </w:rPr>
        <w:t>rezultatas (pvz., parengta metodika</w:t>
      </w:r>
      <w:r w:rsidRPr="000D0573">
        <w:rPr>
          <w:rFonts w:eastAsia="Times New Roman" w:cs="Times New Roman"/>
          <w:szCs w:val="24"/>
        </w:rPr>
        <w:t xml:space="preserve">, </w:t>
      </w:r>
      <w:r w:rsidR="00FD0B92" w:rsidRPr="000D0573">
        <w:rPr>
          <w:rFonts w:eastAsia="Times New Roman" w:cs="Times New Roman"/>
          <w:szCs w:val="24"/>
        </w:rPr>
        <w:t>atnaujinta studijų programa ir pan.).</w:t>
      </w:r>
    </w:p>
    <w:p w:rsidR="00FD0B92" w:rsidRPr="000D0573" w:rsidRDefault="00FD0B92" w:rsidP="00964A9D">
      <w:pPr>
        <w:spacing w:after="200"/>
        <w:rPr>
          <w:rFonts w:eastAsia="Lucida Sans Unicode" w:cs="Times New Roman"/>
          <w:caps/>
          <w:color w:val="00505E"/>
          <w:sz w:val="45"/>
          <w:szCs w:val="45"/>
        </w:rPr>
      </w:pPr>
      <w:r w:rsidRPr="000D0573">
        <w:rPr>
          <w:rFonts w:eastAsia="Times New Roman" w:cs="Times New Roman"/>
        </w:rPr>
        <w:br w:type="page"/>
      </w:r>
      <w:bookmarkStart w:id="26" w:name="_Toc459650636"/>
      <w:bookmarkStart w:id="27" w:name="_Toc465415132"/>
      <w:bookmarkStart w:id="28" w:name="_GoBack"/>
      <w:bookmarkEnd w:id="28"/>
      <w:r w:rsidRPr="000D0573">
        <w:rPr>
          <w:rFonts w:eastAsia="Lucida Sans Unicode" w:cs="Times New Roman"/>
          <w:caps/>
          <w:color w:val="00505E"/>
          <w:sz w:val="45"/>
          <w:szCs w:val="45"/>
        </w:rPr>
        <w:lastRenderedPageBreak/>
        <w:t>PRIEDAI</w:t>
      </w:r>
      <w:bookmarkEnd w:id="26"/>
      <w:bookmarkEnd w:id="27"/>
    </w:p>
    <w:p w:rsidR="00FD0B92" w:rsidRPr="000D0573" w:rsidRDefault="00FD0B92" w:rsidP="00FD0B92">
      <w:pPr>
        <w:tabs>
          <w:tab w:val="left" w:pos="9600"/>
        </w:tabs>
        <w:spacing w:after="240"/>
        <w:ind w:left="505" w:right="74"/>
        <w:jc w:val="both"/>
        <w:rPr>
          <w:rFonts w:eastAsia="Times New Roman" w:cs="Times New Roman"/>
        </w:rPr>
      </w:pPr>
      <w:r w:rsidRPr="000D0573">
        <w:rPr>
          <w:rFonts w:eastAsia="Times New Roman" w:cs="Times New Roman"/>
        </w:rPr>
        <w:t xml:space="preserve">1 priedas – </w:t>
      </w:r>
      <w:r w:rsidR="007E2C90" w:rsidRPr="000D0573">
        <w:rPr>
          <w:rFonts w:eastAsia="Times New Roman" w:cs="Times New Roman"/>
        </w:rPr>
        <w:t xml:space="preserve">Aukštųjų </w:t>
      </w:r>
      <w:r w:rsidR="000F44FB" w:rsidRPr="000D0573">
        <w:rPr>
          <w:rFonts w:eastAsia="Times New Roman" w:cs="Times New Roman"/>
        </w:rPr>
        <w:t>mokyklų dokumentų, kuriais remiantis atlikti darbo užmokesčio skaičiavimai, sąrašas</w:t>
      </w:r>
    </w:p>
    <w:p w:rsidR="00FD0B92" w:rsidRPr="000D0573" w:rsidRDefault="007E2C90" w:rsidP="00FD0B92">
      <w:pPr>
        <w:tabs>
          <w:tab w:val="left" w:pos="9600"/>
        </w:tabs>
        <w:spacing w:after="240"/>
        <w:ind w:left="505" w:right="74"/>
        <w:jc w:val="both"/>
        <w:rPr>
          <w:rFonts w:eastAsia="Times New Roman" w:cs="Times New Roman"/>
        </w:rPr>
      </w:pPr>
      <w:r w:rsidRPr="000D0573">
        <w:rPr>
          <w:rFonts w:eastAsia="Times New Roman" w:cs="Times New Roman"/>
        </w:rPr>
        <w:t>2 priedas – A</w:t>
      </w:r>
      <w:r w:rsidR="00FD0B92" w:rsidRPr="000D0573">
        <w:rPr>
          <w:rFonts w:eastAsia="Times New Roman" w:cs="Times New Roman"/>
        </w:rPr>
        <w:t>ukštųjų mokyklų kvalifikacinių reikalavimų tvarkų sąrašas</w:t>
      </w:r>
    </w:p>
    <w:p w:rsidR="00FD0B92" w:rsidRPr="000D0573" w:rsidRDefault="00FD0B92" w:rsidP="00FD0B92">
      <w:pPr>
        <w:tabs>
          <w:tab w:val="left" w:pos="9600"/>
        </w:tabs>
        <w:spacing w:after="240"/>
        <w:ind w:left="505" w:right="74"/>
        <w:jc w:val="both"/>
        <w:rPr>
          <w:rFonts w:eastAsia="Times New Roman" w:cs="Times New Roman"/>
        </w:rPr>
      </w:pPr>
      <w:r w:rsidRPr="000D0573">
        <w:rPr>
          <w:rFonts w:eastAsia="Times New Roman" w:cs="Times New Roman"/>
        </w:rPr>
        <w:t xml:space="preserve">3 priedas – </w:t>
      </w:r>
      <w:r w:rsidR="00EB7DB7" w:rsidRPr="000D0573">
        <w:rPr>
          <w:rFonts w:eastAsia="Times New Roman" w:cs="Times New Roman"/>
        </w:rPr>
        <w:t>„</w:t>
      </w:r>
      <w:proofErr w:type="spellStart"/>
      <w:r w:rsidR="000F44FB" w:rsidRPr="008744DE">
        <w:rPr>
          <w:rFonts w:eastAsia="Times New Roman" w:cs="Times New Roman"/>
        </w:rPr>
        <w:t>Erasmus</w:t>
      </w:r>
      <w:proofErr w:type="spellEnd"/>
      <w:r w:rsidR="000F44FB" w:rsidRPr="008744DE">
        <w:rPr>
          <w:rFonts w:eastAsia="Times New Roman" w:cs="Times New Roman"/>
        </w:rPr>
        <w:t xml:space="preserve"> plius</w:t>
      </w:r>
      <w:r w:rsidR="00EB7DB7" w:rsidRPr="000D0573">
        <w:rPr>
          <w:rFonts w:eastAsia="Times New Roman" w:cs="Times New Roman"/>
        </w:rPr>
        <w:t>“</w:t>
      </w:r>
      <w:r w:rsidR="000F44FB" w:rsidRPr="000D0573">
        <w:rPr>
          <w:rFonts w:eastAsia="Times New Roman" w:cs="Times New Roman"/>
          <w:i/>
        </w:rPr>
        <w:t xml:space="preserve"> </w:t>
      </w:r>
      <w:r w:rsidR="000F44FB" w:rsidRPr="000D0573">
        <w:rPr>
          <w:rFonts w:eastAsia="Times New Roman" w:cs="Times New Roman"/>
        </w:rPr>
        <w:t>programos dieniniai įkainiai, skirti darbuotojams</w:t>
      </w:r>
      <w:r w:rsidR="00EB7DB7" w:rsidRPr="000D0573">
        <w:rPr>
          <w:rFonts w:eastAsia="Times New Roman" w:cs="Times New Roman"/>
        </w:rPr>
        <w:t>,</w:t>
      </w:r>
      <w:r w:rsidR="000F44FB" w:rsidRPr="000D0573">
        <w:rPr>
          <w:rFonts w:eastAsia="Times New Roman" w:cs="Times New Roman"/>
        </w:rPr>
        <w:t xml:space="preserve"> vykdantiems projektus, kuriuose kuriami intelektiniai produktai</w:t>
      </w:r>
    </w:p>
    <w:p w:rsidR="00FD0B92" w:rsidRPr="000D0573" w:rsidRDefault="00E76DBE" w:rsidP="00FD0B92">
      <w:pPr>
        <w:tabs>
          <w:tab w:val="left" w:pos="9600"/>
        </w:tabs>
        <w:spacing w:after="240"/>
        <w:ind w:left="505" w:right="74"/>
        <w:jc w:val="both"/>
        <w:rPr>
          <w:rFonts w:eastAsia="Times New Roman" w:cs="Times New Roman"/>
        </w:rPr>
      </w:pPr>
      <w:r w:rsidRPr="008744DE">
        <w:rPr>
          <w:rFonts w:eastAsia="Times New Roman" w:cs="Times New Roman"/>
        </w:rPr>
        <w:t>4</w:t>
      </w:r>
      <w:r w:rsidR="00FD0B92" w:rsidRPr="000D0573">
        <w:rPr>
          <w:rFonts w:eastAsia="Times New Roman" w:cs="Times New Roman"/>
        </w:rPr>
        <w:t xml:space="preserve"> priedas – </w:t>
      </w:r>
      <w:r w:rsidR="00CB49BF" w:rsidRPr="00CB49BF">
        <w:rPr>
          <w:rFonts w:eastAsia="Times New Roman" w:cs="Times New Roman"/>
        </w:rPr>
        <w:t>Lietuvos aukštųjų mokyklų, kurioms buvo išsiųsta užklausa dėl duomenų apie darbo užmokestį, sąrašas</w:t>
      </w:r>
    </w:p>
    <w:p w:rsidR="00FD0B92" w:rsidRPr="000D0573" w:rsidRDefault="00E76DBE" w:rsidP="00FD0B92">
      <w:pPr>
        <w:tabs>
          <w:tab w:val="left" w:pos="9600"/>
        </w:tabs>
        <w:spacing w:after="240"/>
        <w:ind w:left="505" w:right="74"/>
        <w:jc w:val="both"/>
        <w:rPr>
          <w:rFonts w:eastAsia="Times New Roman" w:cs="Times New Roman"/>
        </w:rPr>
      </w:pPr>
      <w:r w:rsidRPr="000D0573">
        <w:rPr>
          <w:rFonts w:eastAsia="Times New Roman" w:cs="Times New Roman"/>
        </w:rPr>
        <w:t>5</w:t>
      </w:r>
      <w:r w:rsidR="00FD0B92" w:rsidRPr="000D0573">
        <w:rPr>
          <w:rFonts w:eastAsia="Times New Roman" w:cs="Times New Roman"/>
        </w:rPr>
        <w:t xml:space="preserve"> priedas – Metinių d</w:t>
      </w:r>
      <w:r w:rsidR="00095D07" w:rsidRPr="000D0573">
        <w:rPr>
          <w:rFonts w:eastAsia="Times New Roman" w:cs="Times New Roman"/>
        </w:rPr>
        <w:t xml:space="preserve">arbo dienų skaičiaus vidurkio </w:t>
      </w:r>
      <w:r w:rsidR="00FD0B92" w:rsidRPr="000D0573">
        <w:rPr>
          <w:rFonts w:eastAsia="Times New Roman" w:cs="Times New Roman"/>
        </w:rPr>
        <w:t>skaičiavimas</w:t>
      </w:r>
    </w:p>
    <w:p w:rsidR="00FD0B92" w:rsidRPr="000D0573" w:rsidRDefault="00E76DBE" w:rsidP="00FD0B92">
      <w:pPr>
        <w:tabs>
          <w:tab w:val="left" w:pos="9600"/>
        </w:tabs>
        <w:spacing w:after="240"/>
        <w:ind w:left="505" w:right="74"/>
        <w:jc w:val="both"/>
        <w:rPr>
          <w:rFonts w:eastAsia="Times New Roman" w:cs="Times New Roman"/>
        </w:rPr>
      </w:pPr>
      <w:r w:rsidRPr="000D0573">
        <w:rPr>
          <w:rFonts w:eastAsia="Times New Roman" w:cs="Times New Roman"/>
        </w:rPr>
        <w:t>6</w:t>
      </w:r>
      <w:r w:rsidR="00FD0B92" w:rsidRPr="000D0573">
        <w:rPr>
          <w:rFonts w:eastAsia="Times New Roman" w:cs="Times New Roman"/>
        </w:rPr>
        <w:t xml:space="preserve"> priedas – Darbo užmokesčio skaičiavimas</w:t>
      </w:r>
      <w:r w:rsidR="00EB7DB7" w:rsidRPr="000D0573">
        <w:rPr>
          <w:rFonts w:eastAsia="Times New Roman" w:cs="Times New Roman"/>
        </w:rPr>
        <w:t>,</w:t>
      </w:r>
      <w:r w:rsidR="00FD0B92" w:rsidRPr="000D0573">
        <w:rPr>
          <w:rFonts w:eastAsia="Times New Roman" w:cs="Times New Roman"/>
        </w:rPr>
        <w:t xml:space="preserve"> remiantis aukštųjų mokyklų darbo užmokesčio tvarkomis</w:t>
      </w:r>
    </w:p>
    <w:p w:rsidR="00FD0B92" w:rsidRPr="000D0573" w:rsidRDefault="00E76DBE" w:rsidP="00FD0B92">
      <w:pPr>
        <w:tabs>
          <w:tab w:val="left" w:pos="9600"/>
        </w:tabs>
        <w:spacing w:after="240"/>
        <w:ind w:left="505" w:right="74"/>
        <w:jc w:val="both"/>
        <w:rPr>
          <w:rFonts w:eastAsia="Times New Roman" w:cs="Times New Roman"/>
        </w:rPr>
      </w:pPr>
      <w:r w:rsidRPr="000D0573">
        <w:rPr>
          <w:rFonts w:eastAsia="Times New Roman" w:cs="Times New Roman"/>
        </w:rPr>
        <w:t>7</w:t>
      </w:r>
      <w:r w:rsidR="00FD0B92" w:rsidRPr="000D0573">
        <w:rPr>
          <w:rFonts w:eastAsia="Times New Roman" w:cs="Times New Roman"/>
        </w:rPr>
        <w:t xml:space="preserve"> priedas – </w:t>
      </w:r>
      <w:r w:rsidR="00EB7DB7" w:rsidRPr="000D0573">
        <w:rPr>
          <w:rFonts w:eastAsia="Times New Roman" w:cs="Times New Roman"/>
        </w:rPr>
        <w:t>„</w:t>
      </w:r>
      <w:proofErr w:type="spellStart"/>
      <w:r w:rsidR="00FD0B92" w:rsidRPr="008744DE">
        <w:rPr>
          <w:rFonts w:eastAsia="Times New Roman" w:cs="Times New Roman"/>
        </w:rPr>
        <w:t>Erasmus</w:t>
      </w:r>
      <w:proofErr w:type="spellEnd"/>
      <w:r w:rsidR="00FD0B92" w:rsidRPr="008744DE">
        <w:rPr>
          <w:rFonts w:eastAsia="Times New Roman" w:cs="Times New Roman"/>
        </w:rPr>
        <w:t xml:space="preserve"> plius</w:t>
      </w:r>
      <w:r w:rsidR="00EB7DB7" w:rsidRPr="000D0573">
        <w:rPr>
          <w:rFonts w:eastAsia="Times New Roman" w:cs="Times New Roman"/>
        </w:rPr>
        <w:t>“</w:t>
      </w:r>
      <w:r w:rsidR="00FD0B92" w:rsidRPr="000D0573">
        <w:rPr>
          <w:rFonts w:eastAsia="Times New Roman" w:cs="Times New Roman"/>
        </w:rPr>
        <w:t xml:space="preserve"> ir </w:t>
      </w:r>
      <w:r w:rsidR="00095D07" w:rsidRPr="000D0573">
        <w:rPr>
          <w:rFonts w:eastAsia="Times New Roman" w:cs="Times New Roman"/>
        </w:rPr>
        <w:t>pagal darbo užmokesčio tvarkas apskaičiuotų įkainių palyginimas</w:t>
      </w:r>
    </w:p>
    <w:p w:rsidR="00FD0B92" w:rsidRPr="000D0573" w:rsidRDefault="00E76DBE" w:rsidP="00FD0B92">
      <w:pPr>
        <w:tabs>
          <w:tab w:val="left" w:pos="9600"/>
        </w:tabs>
        <w:spacing w:after="240"/>
        <w:ind w:left="505" w:right="74"/>
        <w:jc w:val="both"/>
        <w:rPr>
          <w:rFonts w:eastAsia="Times New Roman" w:cs="Times New Roman"/>
        </w:rPr>
      </w:pPr>
      <w:r w:rsidRPr="000D0573">
        <w:rPr>
          <w:rFonts w:eastAsia="Times New Roman" w:cs="Times New Roman"/>
        </w:rPr>
        <w:t>8</w:t>
      </w:r>
      <w:r w:rsidR="00FD0B92" w:rsidRPr="000D0573">
        <w:rPr>
          <w:rFonts w:eastAsia="Times New Roman" w:cs="Times New Roman"/>
        </w:rPr>
        <w:t xml:space="preserve"> priedas – </w:t>
      </w:r>
      <w:r w:rsidR="00EB7DB7" w:rsidRPr="000D0573">
        <w:rPr>
          <w:rFonts w:eastAsia="Times New Roman" w:cs="Times New Roman"/>
        </w:rPr>
        <w:t>„</w:t>
      </w:r>
      <w:proofErr w:type="spellStart"/>
      <w:r w:rsidR="00EB7DB7" w:rsidRPr="000D0573">
        <w:rPr>
          <w:rFonts w:eastAsia="Times New Roman" w:cs="Times New Roman"/>
        </w:rPr>
        <w:t>Erasmus</w:t>
      </w:r>
      <w:proofErr w:type="spellEnd"/>
      <w:r w:rsidR="00EB7DB7" w:rsidRPr="000D0573">
        <w:rPr>
          <w:rFonts w:eastAsia="Times New Roman" w:cs="Times New Roman"/>
        </w:rPr>
        <w:t xml:space="preserve"> plius“ </w:t>
      </w:r>
      <w:r w:rsidR="00FD0B92" w:rsidRPr="000D0573">
        <w:rPr>
          <w:rFonts w:eastAsia="Times New Roman" w:cs="Times New Roman"/>
        </w:rPr>
        <w:t>įkainių perskaičiavimas į valandinius įkainius</w:t>
      </w:r>
      <w:r w:rsidR="00350A5E">
        <w:rPr>
          <w:rFonts w:eastAsia="Times New Roman" w:cs="Times New Roman"/>
        </w:rPr>
        <w:t xml:space="preserve"> (</w:t>
      </w:r>
      <w:proofErr w:type="spellStart"/>
      <w:r w:rsidR="00350A5E">
        <w:rPr>
          <w:rFonts w:eastAsia="Times New Roman" w:cs="Times New Roman"/>
        </w:rPr>
        <w:t>Eur</w:t>
      </w:r>
      <w:proofErr w:type="spellEnd"/>
      <w:r w:rsidR="00350A5E">
        <w:rPr>
          <w:rFonts w:eastAsia="Times New Roman" w:cs="Times New Roman"/>
        </w:rPr>
        <w:t>)</w:t>
      </w:r>
    </w:p>
    <w:p w:rsidR="002E5FE8" w:rsidRDefault="00E76DBE" w:rsidP="00095D07">
      <w:pPr>
        <w:tabs>
          <w:tab w:val="left" w:pos="9600"/>
        </w:tabs>
        <w:spacing w:after="240"/>
        <w:ind w:left="505" w:right="74"/>
        <w:jc w:val="both"/>
        <w:rPr>
          <w:rFonts w:eastAsia="Times New Roman" w:cs="Times New Roman"/>
        </w:rPr>
      </w:pPr>
      <w:r w:rsidRPr="000D0573">
        <w:rPr>
          <w:rFonts w:eastAsia="Times New Roman" w:cs="Times New Roman"/>
        </w:rPr>
        <w:t>9</w:t>
      </w:r>
      <w:r w:rsidR="00FD0B92" w:rsidRPr="000D0573">
        <w:rPr>
          <w:rFonts w:eastAsia="Times New Roman" w:cs="Times New Roman"/>
        </w:rPr>
        <w:t xml:space="preserve"> priedas – Rekomenduojama pažymos dėl aukštųjų mokyklų </w:t>
      </w:r>
      <w:r w:rsidR="00253F2D" w:rsidRPr="000D0573">
        <w:rPr>
          <w:rFonts w:eastAsia="Times New Roman" w:cs="Times New Roman"/>
        </w:rPr>
        <w:t xml:space="preserve">personalo, vykdančio projektą, </w:t>
      </w:r>
      <w:r w:rsidR="00FD0B92" w:rsidRPr="000D0573">
        <w:rPr>
          <w:rFonts w:eastAsia="Times New Roman" w:cs="Times New Roman"/>
        </w:rPr>
        <w:t xml:space="preserve">darbo užmokesčio </w:t>
      </w:r>
      <w:r w:rsidR="00253F2D" w:rsidRPr="000D0573">
        <w:rPr>
          <w:rFonts w:eastAsia="Times New Roman" w:cs="Times New Roman"/>
        </w:rPr>
        <w:t xml:space="preserve">išlaidų </w:t>
      </w:r>
      <w:r w:rsidR="00FD0B92" w:rsidRPr="000D0573">
        <w:rPr>
          <w:rFonts w:eastAsia="Times New Roman" w:cs="Times New Roman"/>
        </w:rPr>
        <w:t>apskaičiavimo</w:t>
      </w:r>
      <w:r w:rsidR="00EB7DB7" w:rsidRPr="000D0573">
        <w:rPr>
          <w:rFonts w:eastAsia="Times New Roman" w:cs="Times New Roman"/>
        </w:rPr>
        <w:t>,</w:t>
      </w:r>
      <w:r w:rsidR="00FD0B92" w:rsidRPr="000D0573">
        <w:rPr>
          <w:rFonts w:eastAsia="Times New Roman" w:cs="Times New Roman"/>
        </w:rPr>
        <w:t xml:space="preserve"> taikan</w:t>
      </w:r>
      <w:r w:rsidR="00095D07" w:rsidRPr="000D0573">
        <w:rPr>
          <w:rFonts w:eastAsia="Times New Roman" w:cs="Times New Roman"/>
        </w:rPr>
        <w:t>t fiksuotuosius įkainius</w:t>
      </w:r>
      <w:r w:rsidR="00EB7DB7" w:rsidRPr="000D0573">
        <w:rPr>
          <w:rFonts w:eastAsia="Times New Roman" w:cs="Times New Roman"/>
        </w:rPr>
        <w:t>,</w:t>
      </w:r>
      <w:r w:rsidR="00095D07" w:rsidRPr="000D0573">
        <w:rPr>
          <w:rFonts w:eastAsia="Times New Roman" w:cs="Times New Roman"/>
        </w:rPr>
        <w:t xml:space="preserve"> forma</w:t>
      </w:r>
      <w:r w:rsidR="006F06A7">
        <w:rPr>
          <w:rFonts w:eastAsia="Times New Roman" w:cs="Times New Roman"/>
        </w:rPr>
        <w:t xml:space="preserve"> (pildymo pavyzdys)</w:t>
      </w:r>
    </w:p>
    <w:p w:rsidR="006F06A7" w:rsidRPr="000D0573" w:rsidRDefault="006F06A7" w:rsidP="00095D07">
      <w:pPr>
        <w:tabs>
          <w:tab w:val="left" w:pos="9600"/>
        </w:tabs>
        <w:spacing w:after="240"/>
        <w:ind w:left="505" w:right="74"/>
        <w:jc w:val="both"/>
        <w:rPr>
          <w:rFonts w:eastAsia="Times New Roman" w:cs="Times New Roman"/>
        </w:rPr>
      </w:pPr>
      <w:r>
        <w:rPr>
          <w:rFonts w:eastAsia="Times New Roman" w:cs="Times New Roman"/>
        </w:rPr>
        <w:t xml:space="preserve">10 priedas - </w:t>
      </w:r>
      <w:r w:rsidRPr="000D0573">
        <w:rPr>
          <w:rFonts w:eastAsia="Times New Roman" w:cs="Times New Roman"/>
        </w:rPr>
        <w:t>Rekomenduojama pažymos dėl aukštųjų mokyklų personalo, vykdančio projektą, darbo užmokesčio išlaidų apskaičiavimo, taikant fiksuotuosius įkainius, forma</w:t>
      </w:r>
    </w:p>
    <w:sectPr w:rsidR="006F06A7" w:rsidRPr="000D0573" w:rsidSect="007A5EC3">
      <w:footerReference w:type="default" r:id="rId9"/>
      <w:type w:val="continuous"/>
      <w:pgSz w:w="11906" w:h="16838"/>
      <w:pgMar w:top="568" w:right="743" w:bottom="522" w:left="1077" w:header="907" w:footer="39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DB" w:rsidRDefault="00B47EDB" w:rsidP="00CC0457">
      <w:r>
        <w:separator/>
      </w:r>
    </w:p>
    <w:p w:rsidR="00B47EDB" w:rsidRDefault="00B47EDB"/>
    <w:p w:rsidR="00B47EDB" w:rsidRDefault="00B47EDB"/>
    <w:p w:rsidR="00B47EDB" w:rsidRDefault="00B47EDB"/>
    <w:p w:rsidR="00B47EDB" w:rsidRDefault="00B47EDB"/>
  </w:endnote>
  <w:endnote w:type="continuationSeparator" w:id="0">
    <w:p w:rsidR="00B47EDB" w:rsidRDefault="00B47EDB" w:rsidP="00CC0457">
      <w:r>
        <w:continuationSeparator/>
      </w:r>
    </w:p>
    <w:p w:rsidR="00B47EDB" w:rsidRDefault="00B47EDB"/>
    <w:p w:rsidR="00B47EDB" w:rsidRDefault="00B47EDB"/>
    <w:p w:rsidR="00B47EDB" w:rsidRDefault="00B47EDB"/>
    <w:p w:rsidR="00B47EDB" w:rsidRDefault="00B47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Italianno">
    <w:panose1 w:val="00000000000000000000"/>
    <w:charset w:val="00"/>
    <w:family w:val="modern"/>
    <w:notTrueType/>
    <w:pitch w:val="variable"/>
    <w:sig w:usb0="800000AF" w:usb1="5000204B" w:usb2="00000000" w:usb3="00000000" w:csb0="00000093"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egoe Print">
    <w:panose1 w:val="02000600000000000000"/>
    <w:charset w:val="BA"/>
    <w:family w:val="auto"/>
    <w:pitch w:val="variable"/>
    <w:sig w:usb0="0000028F"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Verdana,Bold">
    <w:altName w:val="Arial"/>
    <w:panose1 w:val="00000000000000000000"/>
    <w:charset w:val="00"/>
    <w:family w:val="swiss"/>
    <w:notTrueType/>
    <w:pitch w:val="default"/>
    <w:sig w:usb0="00000001" w:usb1="00000000" w:usb2="00000000" w:usb3="00000000" w:csb0="00000003" w:csb1="00000000"/>
  </w:font>
  <w:font w:name="MinionPro-Regular">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DB" w:rsidRPr="0002237F" w:rsidRDefault="00B47EDB" w:rsidP="002E2340">
    <w:pPr>
      <w:pStyle w:val="Porat"/>
      <w:rPr>
        <w:sz w:val="20"/>
        <w:szCs w:val="20"/>
      </w:rPr>
    </w:pPr>
    <w:r w:rsidRPr="0002237F">
      <w:rPr>
        <w:rFonts w:asciiTheme="majorHAnsi" w:eastAsiaTheme="majorEastAsia" w:hAnsiTheme="majorHAnsi" w:cstheme="majorBidi"/>
        <w:sz w:val="20"/>
        <w:szCs w:val="20"/>
      </w:rPr>
      <w:ptab w:relativeTo="margin" w:alignment="right" w:leader="none"/>
    </w:r>
    <w:r w:rsidRPr="0002237F">
      <w:rPr>
        <w:rFonts w:asciiTheme="minorHAnsi" w:hAnsiTheme="minorHAnsi"/>
        <w:sz w:val="20"/>
        <w:szCs w:val="20"/>
      </w:rPr>
      <w:fldChar w:fldCharType="begin"/>
    </w:r>
    <w:r w:rsidRPr="0002237F">
      <w:rPr>
        <w:sz w:val="20"/>
        <w:szCs w:val="20"/>
      </w:rPr>
      <w:instrText xml:space="preserve"> PAGE   \* MERGEFORMAT </w:instrText>
    </w:r>
    <w:r w:rsidRPr="0002237F">
      <w:rPr>
        <w:rFonts w:asciiTheme="minorHAnsi" w:hAnsiTheme="minorHAnsi"/>
        <w:sz w:val="20"/>
        <w:szCs w:val="20"/>
      </w:rPr>
      <w:fldChar w:fldCharType="separate"/>
    </w:r>
    <w:r w:rsidR="00964A9D" w:rsidRPr="00964A9D">
      <w:rPr>
        <w:rFonts w:asciiTheme="majorHAnsi" w:eastAsiaTheme="majorEastAsia" w:hAnsiTheme="majorHAnsi" w:cstheme="majorBidi"/>
        <w:noProof/>
        <w:sz w:val="20"/>
        <w:szCs w:val="20"/>
      </w:rPr>
      <w:t>22</w:t>
    </w:r>
    <w:r w:rsidRPr="0002237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DB" w:rsidRDefault="00B47EDB" w:rsidP="00CC0457">
      <w:r>
        <w:separator/>
      </w:r>
    </w:p>
  </w:footnote>
  <w:footnote w:type="continuationSeparator" w:id="0">
    <w:p w:rsidR="00B47EDB" w:rsidRDefault="00B47EDB" w:rsidP="00CC0457">
      <w:r>
        <w:continuationSeparator/>
      </w:r>
    </w:p>
  </w:footnote>
  <w:footnote w:type="continuationNotice" w:id="1">
    <w:p w:rsidR="00B47EDB" w:rsidRDefault="00B47EDB"/>
  </w:footnote>
  <w:footnote w:id="2">
    <w:p w:rsidR="00B47EDB" w:rsidRPr="00803108" w:rsidRDefault="00B47EDB" w:rsidP="00D82012">
      <w:pPr>
        <w:pStyle w:val="Puslapioinaostekstas"/>
        <w:spacing w:line="240" w:lineRule="auto"/>
        <w:jc w:val="both"/>
        <w:rPr>
          <w:rFonts w:asciiTheme="majorHAnsi" w:hAnsiTheme="majorHAnsi"/>
        </w:rPr>
      </w:pPr>
      <w:r w:rsidRPr="00803108">
        <w:rPr>
          <w:rStyle w:val="Puslapioinaosnuoroda"/>
        </w:rPr>
        <w:footnoteRef/>
      </w:r>
      <w:r w:rsidRPr="00803108">
        <w:t xml:space="preserve"> </w:t>
      </w:r>
      <w:r w:rsidRPr="00803108">
        <w:rPr>
          <w:rFonts w:asciiTheme="majorHAnsi" w:eastAsia="Times New Roman" w:hAnsiTheme="majorHAnsi" w:cs="Times New Roman"/>
        </w:rPr>
        <w:t>Projektų administravimo ir finansavimo taisyklių 425.2 punkte teigiama, kad pagal fiksuotuosius įkainius apmokamos išlaidos yra tinkamos finansuoti, jei nustatytos „Lietuvos Respublikos ar ES teisės aktuose ar kituose dokumentuose galiojančia supaprastinto išlaidų apmokėjimo schema, jeigu ji bus taikoma panašiems projektams ir panašiems projektų vykdytojams“.</w:t>
      </w:r>
    </w:p>
  </w:footnote>
  <w:footnote w:id="3">
    <w:p w:rsidR="00B47EDB" w:rsidRDefault="00B47EDB" w:rsidP="00687FD9">
      <w:pPr>
        <w:pStyle w:val="Puslapioinaostekstas"/>
        <w:jc w:val="both"/>
      </w:pPr>
      <w:r>
        <w:rPr>
          <w:rStyle w:val="Puslapioinaosnuoroda"/>
        </w:rPr>
        <w:footnoteRef/>
      </w:r>
      <w:r>
        <w:t xml:space="preserve"> </w:t>
      </w:r>
      <w:proofErr w:type="gramStart"/>
      <w:r>
        <w:rPr>
          <w:rFonts w:asciiTheme="majorHAnsi" w:hAnsiTheme="majorHAnsi" w:cs="Segoe Print"/>
          <w:lang w:val="en-GB"/>
        </w:rPr>
        <w:t>„</w:t>
      </w:r>
      <w:r w:rsidRPr="00D742EF">
        <w:rPr>
          <w:rFonts w:asciiTheme="majorHAnsi" w:hAnsiTheme="majorHAnsi" w:cs="Segoe Print"/>
          <w:lang w:val="en-GB"/>
        </w:rPr>
        <w:t>Do's and Don'ts for Applicants.</w:t>
      </w:r>
      <w:proofErr w:type="gramEnd"/>
      <w:r w:rsidRPr="00D742EF">
        <w:rPr>
          <w:rFonts w:asciiTheme="majorHAnsi" w:hAnsiTheme="majorHAnsi" w:cs="Segoe Print"/>
          <w:lang w:val="en-GB"/>
        </w:rPr>
        <w:t xml:space="preserve"> Strategic Partnerships for Higher Education in Erasmus+</w:t>
      </w:r>
      <w:r>
        <w:rPr>
          <w:rFonts w:asciiTheme="majorHAnsi" w:hAnsiTheme="majorHAnsi" w:cs="Segoe Print"/>
          <w:lang w:val="en-GB"/>
        </w:rPr>
        <w:t>“</w:t>
      </w:r>
      <w:r w:rsidRPr="00D742EF">
        <w:rPr>
          <w:rFonts w:asciiTheme="majorHAnsi" w:hAnsiTheme="majorHAnsi" w:cs="Segoe Print"/>
          <w:lang w:val="en-GB"/>
        </w:rPr>
        <w:t xml:space="preserve">, Version 1.2, </w:t>
      </w:r>
      <w:r>
        <w:rPr>
          <w:rFonts w:asciiTheme="majorHAnsi" w:hAnsiTheme="majorHAnsi" w:cs="Segoe Print"/>
          <w:lang w:val="en-GB"/>
        </w:rPr>
        <w:t>November 2015</w:t>
      </w:r>
      <w:r w:rsidRPr="00315392">
        <w:rPr>
          <w:rFonts w:asciiTheme="majorHAnsi" w:hAnsiTheme="majorHAnsi" w:cs="Segoe Print"/>
          <w:lang w:val="en-GB"/>
        </w:rPr>
        <w:t>.</w:t>
      </w:r>
    </w:p>
  </w:footnote>
  <w:footnote w:id="4">
    <w:p w:rsidR="00B47EDB" w:rsidRPr="00520D76" w:rsidRDefault="00B47EDB" w:rsidP="00D82012">
      <w:pPr>
        <w:pStyle w:val="Puslapioinaostekstas"/>
        <w:spacing w:line="240" w:lineRule="auto"/>
        <w:jc w:val="both"/>
        <w:rPr>
          <w:rFonts w:asciiTheme="majorHAnsi" w:hAnsiTheme="majorHAnsi"/>
        </w:rPr>
      </w:pPr>
      <w:r w:rsidRPr="00520D76">
        <w:rPr>
          <w:rStyle w:val="Puslapioinaosnuoroda"/>
          <w:rFonts w:asciiTheme="majorHAnsi" w:hAnsiTheme="majorHAnsi"/>
        </w:rPr>
        <w:footnoteRef/>
      </w:r>
      <w:r w:rsidRPr="00520D76">
        <w:rPr>
          <w:rFonts w:asciiTheme="majorHAnsi" w:hAnsiTheme="majorHAnsi"/>
        </w:rPr>
        <w:t xml:space="preserve"> </w:t>
      </w:r>
      <w:r w:rsidRPr="00520D76">
        <w:rPr>
          <w:rFonts w:asciiTheme="majorHAnsi" w:hAnsiTheme="majorHAnsi"/>
        </w:rPr>
        <w:t xml:space="preserve">Mokymosi visą gyvenimą programa (angl. </w:t>
      </w:r>
      <w:proofErr w:type="spellStart"/>
      <w:r w:rsidRPr="00520D76">
        <w:rPr>
          <w:rFonts w:asciiTheme="majorHAnsi" w:hAnsiTheme="majorHAnsi"/>
          <w:i/>
        </w:rPr>
        <w:t>Lifelong</w:t>
      </w:r>
      <w:proofErr w:type="spellEnd"/>
      <w:r w:rsidRPr="00520D76">
        <w:rPr>
          <w:rFonts w:asciiTheme="majorHAnsi" w:hAnsiTheme="majorHAnsi"/>
          <w:i/>
        </w:rPr>
        <w:t xml:space="preserve"> </w:t>
      </w:r>
      <w:proofErr w:type="spellStart"/>
      <w:r w:rsidRPr="00520D76">
        <w:rPr>
          <w:rFonts w:asciiTheme="majorHAnsi" w:hAnsiTheme="majorHAnsi"/>
          <w:i/>
        </w:rPr>
        <w:t>Learning</w:t>
      </w:r>
      <w:proofErr w:type="spellEnd"/>
      <w:r w:rsidRPr="00520D76">
        <w:rPr>
          <w:rFonts w:asciiTheme="majorHAnsi" w:hAnsiTheme="majorHAnsi"/>
          <w:i/>
        </w:rPr>
        <w:t xml:space="preserve"> </w:t>
      </w:r>
      <w:proofErr w:type="spellStart"/>
      <w:r w:rsidRPr="00520D76">
        <w:rPr>
          <w:rFonts w:asciiTheme="majorHAnsi" w:hAnsiTheme="majorHAnsi"/>
          <w:i/>
        </w:rPr>
        <w:t>Programme</w:t>
      </w:r>
      <w:proofErr w:type="spellEnd"/>
      <w:r w:rsidRPr="00520D76">
        <w:rPr>
          <w:rFonts w:asciiTheme="majorHAnsi" w:hAnsiTheme="majorHAnsi"/>
        </w:rPr>
        <w:t xml:space="preserve">) </w:t>
      </w:r>
      <w:r>
        <w:rPr>
          <w:rFonts w:asciiTheme="majorHAnsi" w:hAnsiTheme="majorHAnsi"/>
        </w:rPr>
        <w:t xml:space="preserve">buvo sukurta, siekiant paskatinti žmones įsitraukti į mokymosi veiklas bet kuriame gyvenimo etape ir plėtoti švietimą bei mokymąsi Europoje. Programa buvo įgyvendinama 2007–2013 m., jai buvo skirtas 7 mlrd. </w:t>
      </w:r>
      <w:proofErr w:type="spellStart"/>
      <w:r>
        <w:rPr>
          <w:rFonts w:asciiTheme="majorHAnsi" w:hAnsiTheme="majorHAnsi"/>
        </w:rPr>
        <w:t>Eur</w:t>
      </w:r>
      <w:proofErr w:type="spellEnd"/>
      <w:r>
        <w:rPr>
          <w:rFonts w:asciiTheme="majorHAnsi" w:hAnsiTheme="majorHAnsi"/>
        </w:rPr>
        <w:t xml:space="preserve"> biudžetas. Šios programos veiklos tęsiamos „</w:t>
      </w:r>
      <w:proofErr w:type="spellStart"/>
      <w:r>
        <w:rPr>
          <w:rFonts w:asciiTheme="majorHAnsi" w:hAnsiTheme="majorHAnsi"/>
        </w:rPr>
        <w:t>Erasmus</w:t>
      </w:r>
      <w:proofErr w:type="spellEnd"/>
      <w:r>
        <w:rPr>
          <w:rFonts w:asciiTheme="majorHAnsi" w:hAnsiTheme="majorHAnsi"/>
        </w:rPr>
        <w:t xml:space="preserve"> plius“ programoje 2014–2020 m., &lt;</w:t>
      </w:r>
      <w:r w:rsidRPr="00520D76">
        <w:rPr>
          <w:rFonts w:asciiTheme="majorHAnsi" w:hAnsiTheme="majorHAnsi"/>
        </w:rPr>
        <w:t>http://ec.europa.eu/education/tools/llp_en.htm</w:t>
      </w:r>
      <w:r>
        <w:rPr>
          <w:rFonts w:asciiTheme="majorHAnsi" w:hAnsiTheme="majorHAnsi"/>
        </w:rPr>
        <w:t>&gt;.</w:t>
      </w:r>
    </w:p>
  </w:footnote>
  <w:footnote w:id="5">
    <w:p w:rsidR="00B47EDB" w:rsidRPr="00E1127B" w:rsidRDefault="00B47EDB" w:rsidP="00D82012">
      <w:pPr>
        <w:pStyle w:val="Puslapioinaostekstas"/>
        <w:spacing w:line="240" w:lineRule="auto"/>
        <w:jc w:val="both"/>
        <w:rPr>
          <w:rFonts w:asciiTheme="majorHAnsi" w:hAnsiTheme="majorHAnsi"/>
        </w:rPr>
      </w:pPr>
      <w:r w:rsidRPr="00E1127B">
        <w:rPr>
          <w:rStyle w:val="Puslapioinaosnuoroda"/>
          <w:rFonts w:asciiTheme="majorHAnsi" w:hAnsiTheme="majorHAnsi"/>
        </w:rPr>
        <w:footnoteRef/>
      </w:r>
      <w:r w:rsidRPr="00E1127B">
        <w:rPr>
          <w:rFonts w:asciiTheme="majorHAnsi" w:hAnsiTheme="majorHAnsi"/>
        </w:rPr>
        <w:t xml:space="preserve"> </w:t>
      </w:r>
      <w:r w:rsidRPr="000F643B">
        <w:rPr>
          <w:rFonts w:asciiTheme="majorHAnsi" w:hAnsiTheme="majorHAnsi"/>
          <w:lang w:val="en-GB"/>
        </w:rPr>
        <w:t xml:space="preserve">European Commission, Directorate-General for Employment, Social Affairs and Inclusion, </w:t>
      </w:r>
      <w:r>
        <w:rPr>
          <w:rFonts w:asciiTheme="majorHAnsi" w:hAnsiTheme="majorHAnsi"/>
          <w:lang w:val="en-GB"/>
        </w:rPr>
        <w:t>„</w:t>
      </w:r>
      <w:r w:rsidRPr="000F643B">
        <w:rPr>
          <w:rFonts w:asciiTheme="majorHAnsi" w:hAnsiTheme="majorHAnsi"/>
          <w:lang w:val="en-GB"/>
        </w:rPr>
        <w:t>The use of lump sums, the reimbursements on the basis of unit costs and the flat-rate financing under the Erasmus+ Programme</w:t>
      </w:r>
      <w:r>
        <w:rPr>
          <w:rFonts w:asciiTheme="majorHAnsi" w:hAnsiTheme="majorHAnsi"/>
          <w:lang w:val="en-GB"/>
        </w:rPr>
        <w:t>“</w:t>
      </w:r>
      <w:r w:rsidRPr="000F643B">
        <w:rPr>
          <w:rFonts w:asciiTheme="majorHAnsi" w:hAnsiTheme="majorHAnsi"/>
          <w:lang w:val="en-GB"/>
        </w:rPr>
        <w:t>, C(2013)8550 of 4 December, 2013, Annex VIII.</w:t>
      </w:r>
    </w:p>
  </w:footnote>
  <w:footnote w:id="6">
    <w:p w:rsidR="00B47EDB" w:rsidRPr="000E016B" w:rsidRDefault="00B47EDB" w:rsidP="00D82012">
      <w:pPr>
        <w:tabs>
          <w:tab w:val="left" w:pos="9600"/>
        </w:tabs>
        <w:spacing w:line="240" w:lineRule="auto"/>
        <w:ind w:right="74"/>
        <w:jc w:val="both"/>
        <w:rPr>
          <w:rFonts w:asciiTheme="majorHAnsi" w:eastAsia="Times New Roman" w:hAnsiTheme="majorHAnsi" w:cs="Times New Roman"/>
          <w:sz w:val="20"/>
          <w:szCs w:val="20"/>
          <w:lang w:val="en-GB"/>
        </w:rPr>
      </w:pPr>
      <w:r w:rsidRPr="00D742EF">
        <w:rPr>
          <w:rStyle w:val="Puslapioinaosnuoroda"/>
          <w:rFonts w:asciiTheme="majorHAnsi" w:hAnsiTheme="majorHAnsi"/>
          <w:sz w:val="20"/>
          <w:szCs w:val="20"/>
        </w:rPr>
        <w:footnoteRef/>
      </w:r>
      <w:r w:rsidRPr="00D742EF">
        <w:rPr>
          <w:rFonts w:asciiTheme="majorHAnsi" w:hAnsiTheme="majorHAnsi"/>
          <w:sz w:val="20"/>
          <w:szCs w:val="20"/>
        </w:rPr>
        <w:t xml:space="preserve"> </w:t>
      </w:r>
      <w:proofErr w:type="gramStart"/>
      <w:r>
        <w:rPr>
          <w:rFonts w:asciiTheme="majorHAnsi" w:hAnsiTheme="majorHAnsi" w:cs="Segoe Print"/>
          <w:sz w:val="20"/>
          <w:szCs w:val="20"/>
          <w:lang w:val="en-GB"/>
        </w:rPr>
        <w:t>„</w:t>
      </w:r>
      <w:r w:rsidRPr="00D742EF">
        <w:rPr>
          <w:rFonts w:asciiTheme="majorHAnsi" w:hAnsiTheme="majorHAnsi" w:cs="Segoe Print"/>
          <w:sz w:val="20"/>
          <w:szCs w:val="20"/>
          <w:lang w:val="en-GB"/>
        </w:rPr>
        <w:t>Do's and Don'ts for Applicants.</w:t>
      </w:r>
      <w:proofErr w:type="gramEnd"/>
      <w:r w:rsidRPr="00D742EF">
        <w:rPr>
          <w:rFonts w:asciiTheme="majorHAnsi" w:hAnsiTheme="majorHAnsi" w:cs="Segoe Print"/>
          <w:sz w:val="20"/>
          <w:szCs w:val="20"/>
          <w:lang w:val="en-GB"/>
        </w:rPr>
        <w:t xml:space="preserve"> </w:t>
      </w:r>
      <w:proofErr w:type="gramStart"/>
      <w:r w:rsidRPr="00D742EF">
        <w:rPr>
          <w:rFonts w:asciiTheme="majorHAnsi" w:hAnsiTheme="majorHAnsi" w:cs="Segoe Print"/>
          <w:sz w:val="20"/>
          <w:szCs w:val="20"/>
          <w:lang w:val="en-GB"/>
        </w:rPr>
        <w:t>Strategic Partnerships for Higher Education in Erasmus+</w:t>
      </w:r>
      <w:r>
        <w:rPr>
          <w:rFonts w:asciiTheme="majorHAnsi" w:hAnsiTheme="majorHAnsi" w:cs="Segoe Print"/>
          <w:sz w:val="20"/>
          <w:szCs w:val="20"/>
          <w:lang w:val="en-GB"/>
        </w:rPr>
        <w:t>“</w:t>
      </w:r>
      <w:r w:rsidRPr="00D742EF">
        <w:rPr>
          <w:rFonts w:asciiTheme="majorHAnsi" w:hAnsiTheme="majorHAnsi" w:cs="Segoe Print"/>
          <w:sz w:val="20"/>
          <w:szCs w:val="20"/>
          <w:lang w:val="en-GB"/>
        </w:rPr>
        <w:t xml:space="preserve">, Version 1.2, </w:t>
      </w:r>
      <w:r w:rsidRPr="00315392">
        <w:rPr>
          <w:rFonts w:asciiTheme="majorHAnsi" w:hAnsiTheme="majorHAnsi" w:cs="Segoe Print"/>
          <w:sz w:val="20"/>
          <w:szCs w:val="20"/>
          <w:lang w:val="en-GB"/>
        </w:rPr>
        <w:t>November 2015, 12.</w:t>
      </w:r>
      <w:proofErr w:type="gramEnd"/>
    </w:p>
  </w:footnote>
  <w:footnote w:id="7">
    <w:p w:rsidR="00B47EDB" w:rsidRPr="00D742EF" w:rsidRDefault="00B47EDB" w:rsidP="00D82012">
      <w:pPr>
        <w:pStyle w:val="Puslapioinaostekstas"/>
        <w:spacing w:line="240" w:lineRule="auto"/>
        <w:rPr>
          <w:rFonts w:asciiTheme="majorHAnsi" w:hAnsiTheme="majorHAnsi"/>
        </w:rPr>
      </w:pPr>
      <w:r w:rsidRPr="00E875AF">
        <w:rPr>
          <w:rStyle w:val="Puslapioinaosnuoroda"/>
          <w:rFonts w:asciiTheme="majorHAnsi" w:hAnsiTheme="majorHAnsi"/>
        </w:rPr>
        <w:footnoteRef/>
      </w:r>
      <w:r w:rsidRPr="009913DB">
        <w:rPr>
          <w:rFonts w:asciiTheme="majorHAnsi" w:hAnsiTheme="majorHAnsi"/>
        </w:rPr>
        <w:t xml:space="preserve"> </w:t>
      </w:r>
      <w:r w:rsidRPr="009913DB">
        <w:rPr>
          <w:rFonts w:asciiTheme="majorHAnsi" w:hAnsiTheme="majorHAnsi"/>
        </w:rPr>
        <w:t>Ten pat.</w:t>
      </w:r>
    </w:p>
  </w:footnote>
  <w:footnote w:id="8">
    <w:p w:rsidR="00B47EDB" w:rsidRPr="00257EE8" w:rsidRDefault="00B47EDB" w:rsidP="00D82012">
      <w:pPr>
        <w:autoSpaceDE w:val="0"/>
        <w:autoSpaceDN w:val="0"/>
        <w:adjustRightInd w:val="0"/>
        <w:spacing w:line="240" w:lineRule="auto"/>
        <w:rPr>
          <w:rFonts w:asciiTheme="majorHAnsi" w:hAnsiTheme="majorHAnsi" w:cs="Verdana,Bold"/>
          <w:bCs/>
          <w:sz w:val="20"/>
          <w:szCs w:val="20"/>
        </w:rPr>
      </w:pPr>
      <w:r w:rsidRPr="00257EE8">
        <w:rPr>
          <w:rStyle w:val="Puslapioinaosnuoroda"/>
          <w:rFonts w:asciiTheme="majorHAnsi" w:hAnsiTheme="majorHAnsi"/>
          <w:sz w:val="20"/>
          <w:szCs w:val="20"/>
        </w:rPr>
        <w:footnoteRef/>
      </w:r>
      <w:r w:rsidRPr="00257EE8">
        <w:rPr>
          <w:rFonts w:asciiTheme="majorHAnsi" w:hAnsiTheme="majorHAnsi"/>
          <w:sz w:val="20"/>
          <w:szCs w:val="20"/>
        </w:rPr>
        <w:t xml:space="preserve"> </w:t>
      </w:r>
      <w:r w:rsidRPr="00257EE8">
        <w:rPr>
          <w:rFonts w:asciiTheme="majorHAnsi" w:hAnsiTheme="majorHAnsi" w:cs="Verdana,Bold"/>
          <w:bCs/>
          <w:sz w:val="20"/>
          <w:szCs w:val="20"/>
        </w:rPr>
        <w:t xml:space="preserve">Europos Komisija, </w:t>
      </w:r>
      <w:r>
        <w:rPr>
          <w:rFonts w:asciiTheme="majorHAnsi" w:hAnsiTheme="majorHAnsi" w:cs="Verdana,Bold"/>
          <w:bCs/>
          <w:sz w:val="20"/>
          <w:szCs w:val="20"/>
        </w:rPr>
        <w:t>„</w:t>
      </w:r>
      <w:r w:rsidRPr="00257EE8">
        <w:rPr>
          <w:rFonts w:asciiTheme="majorHAnsi" w:hAnsiTheme="majorHAnsi" w:cs="Verdana,Bold"/>
          <w:bCs/>
          <w:sz w:val="20"/>
          <w:szCs w:val="20"/>
        </w:rPr>
        <w:t>Mokymosi visą gyvenimą programos vadovas</w:t>
      </w:r>
      <w:r>
        <w:rPr>
          <w:rFonts w:asciiTheme="majorHAnsi" w:hAnsiTheme="majorHAnsi" w:cs="Verdana,Bold"/>
          <w:bCs/>
          <w:sz w:val="20"/>
          <w:szCs w:val="20"/>
        </w:rPr>
        <w:t>“</w:t>
      </w:r>
      <w:r w:rsidRPr="00257EE8">
        <w:rPr>
          <w:rFonts w:asciiTheme="majorHAnsi" w:hAnsiTheme="majorHAnsi" w:cs="Verdana,Bold"/>
          <w:bCs/>
          <w:sz w:val="20"/>
          <w:szCs w:val="20"/>
        </w:rPr>
        <w:t>. I dalis. Bendrosios nuostatos, 2013 m.</w:t>
      </w:r>
      <w:r>
        <w:rPr>
          <w:rFonts w:asciiTheme="majorHAnsi" w:hAnsiTheme="majorHAnsi" w:cs="Verdana,Bold"/>
          <w:bCs/>
          <w:sz w:val="20"/>
          <w:szCs w:val="20"/>
        </w:rPr>
        <w:t>,</w:t>
      </w:r>
      <w:r w:rsidRPr="00257EE8">
        <w:rPr>
          <w:rFonts w:asciiTheme="majorHAnsi" w:hAnsiTheme="majorHAnsi" w:cs="Verdana,Bold"/>
          <w:bCs/>
          <w:sz w:val="20"/>
          <w:szCs w:val="20"/>
        </w:rPr>
        <w:t xml:space="preserve"> </w:t>
      </w:r>
      <w:r>
        <w:rPr>
          <w:rFonts w:asciiTheme="majorHAnsi" w:hAnsiTheme="majorHAnsi" w:cs="Verdana,Bold"/>
          <w:bCs/>
          <w:sz w:val="20"/>
          <w:szCs w:val="20"/>
        </w:rPr>
        <w:t xml:space="preserve">p. </w:t>
      </w:r>
      <w:r w:rsidRPr="00257EE8">
        <w:rPr>
          <w:rFonts w:asciiTheme="majorHAnsi" w:hAnsiTheme="majorHAnsi" w:cs="Verdana,Bold"/>
          <w:bCs/>
          <w:sz w:val="20"/>
          <w:szCs w:val="20"/>
        </w:rPr>
        <w:t>43</w:t>
      </w:r>
      <w:r>
        <w:rPr>
          <w:rFonts w:asciiTheme="majorHAnsi" w:hAnsiTheme="majorHAnsi" w:cs="Verdana,Bold"/>
          <w:bCs/>
          <w:sz w:val="20"/>
          <w:szCs w:val="20"/>
        </w:rPr>
        <w:t>–</w:t>
      </w:r>
      <w:r w:rsidRPr="00257EE8">
        <w:rPr>
          <w:rFonts w:asciiTheme="majorHAnsi" w:hAnsiTheme="majorHAnsi" w:cs="Verdana,Bold"/>
          <w:bCs/>
          <w:sz w:val="20"/>
          <w:szCs w:val="20"/>
        </w:rPr>
        <w:t>44.</w:t>
      </w:r>
    </w:p>
  </w:footnote>
  <w:footnote w:id="9">
    <w:p w:rsidR="00B47EDB" w:rsidRDefault="00B47EDB">
      <w:pPr>
        <w:pStyle w:val="Puslapioinaostekstas"/>
      </w:pPr>
      <w:r>
        <w:rPr>
          <w:rStyle w:val="Puslapioinaosnuoroda"/>
        </w:rPr>
        <w:footnoteRef/>
      </w:r>
      <w:r>
        <w:t xml:space="preserve"> </w:t>
      </w:r>
      <w:r>
        <w:t>Projekto įgyvendinimo atveju darbdaviu laikomas projekto vykdytojas arba projekto partneris.</w:t>
      </w:r>
    </w:p>
  </w:footnote>
  <w:footnote w:id="10">
    <w:p w:rsidR="00B47EDB" w:rsidRPr="00A95BD5" w:rsidRDefault="00B47EDB" w:rsidP="00D82012">
      <w:pPr>
        <w:pStyle w:val="Puslapioinaostekstas"/>
        <w:spacing w:line="240" w:lineRule="auto"/>
        <w:rPr>
          <w:rFonts w:asciiTheme="majorHAnsi" w:hAnsiTheme="majorHAnsi"/>
        </w:rPr>
      </w:pPr>
      <w:r w:rsidRPr="00A95BD5">
        <w:rPr>
          <w:rStyle w:val="Puslapioinaosnuoroda"/>
          <w:rFonts w:asciiTheme="majorHAnsi" w:hAnsiTheme="majorHAnsi"/>
        </w:rPr>
        <w:footnoteRef/>
      </w:r>
      <w:r w:rsidRPr="00A95BD5">
        <w:rPr>
          <w:rFonts w:asciiTheme="majorHAnsi" w:hAnsiTheme="majorHAnsi"/>
        </w:rPr>
        <w:t xml:space="preserve"> </w:t>
      </w:r>
      <w:r w:rsidRPr="00A95BD5">
        <w:rPr>
          <w:rFonts w:asciiTheme="majorHAnsi" w:hAnsiTheme="majorHAnsi"/>
          <w:lang w:val="en-GB"/>
        </w:rPr>
        <w:t xml:space="preserve">International Labour Organization, </w:t>
      </w:r>
      <w:r>
        <w:rPr>
          <w:rFonts w:asciiTheme="majorHAnsi" w:hAnsiTheme="majorHAnsi"/>
          <w:lang w:val="en-GB"/>
        </w:rPr>
        <w:t>„</w:t>
      </w:r>
      <w:r w:rsidRPr="00A95BD5">
        <w:rPr>
          <w:rFonts w:asciiTheme="majorHAnsi" w:hAnsiTheme="majorHAnsi"/>
          <w:lang w:val="en-GB"/>
        </w:rPr>
        <w:t>Resolution Concerning Updating the International Standard Classification of Occupations</w:t>
      </w:r>
      <w:r>
        <w:rPr>
          <w:rFonts w:asciiTheme="majorHAnsi" w:hAnsiTheme="majorHAnsi"/>
          <w:lang w:val="en-GB"/>
        </w:rPr>
        <w:t>“</w:t>
      </w:r>
      <w:r w:rsidRPr="00A95BD5">
        <w:rPr>
          <w:rFonts w:asciiTheme="majorHAnsi" w:hAnsiTheme="majorHAnsi"/>
          <w:lang w:val="en-GB"/>
        </w:rPr>
        <w:t xml:space="preserve"> Annex </w:t>
      </w:r>
      <w:r>
        <w:rPr>
          <w:rFonts w:asciiTheme="majorHAnsi" w:hAnsiTheme="majorHAnsi"/>
          <w:lang w:val="en-GB"/>
        </w:rPr>
        <w:t>„</w:t>
      </w:r>
      <w:r w:rsidRPr="00A95BD5">
        <w:rPr>
          <w:rFonts w:asciiTheme="majorHAnsi" w:hAnsiTheme="majorHAnsi"/>
          <w:lang w:val="en-GB"/>
        </w:rPr>
        <w:t>ISCO-08 Structure, Group Titles and Codes</w:t>
      </w:r>
      <w:r>
        <w:rPr>
          <w:rFonts w:asciiTheme="majorHAnsi" w:hAnsiTheme="majorHAnsi"/>
          <w:lang w:val="en-GB"/>
        </w:rPr>
        <w:t>“</w:t>
      </w:r>
      <w:r w:rsidRPr="00A95BD5">
        <w:rPr>
          <w:rFonts w:asciiTheme="majorHAnsi" w:hAnsiTheme="majorHAnsi"/>
          <w:lang w:val="en-GB"/>
        </w:rPr>
        <w:t>, &lt;http://www.ilo.org/public/english/bureau/stat/isco/docs/resol08.pdf&gt;</w:t>
      </w:r>
      <w:r>
        <w:rPr>
          <w:rFonts w:asciiTheme="majorHAnsi" w:hAnsiTheme="majorHAnsi"/>
          <w:lang w:val="en-GB"/>
        </w:rPr>
        <w:t>.</w:t>
      </w:r>
    </w:p>
  </w:footnote>
  <w:footnote w:id="11">
    <w:p w:rsidR="00B47EDB" w:rsidRPr="00375350" w:rsidRDefault="00B47EDB" w:rsidP="00D82012">
      <w:pPr>
        <w:pStyle w:val="Puslapioinaostekstas"/>
        <w:spacing w:line="240" w:lineRule="auto"/>
        <w:rPr>
          <w:rFonts w:asciiTheme="majorHAnsi" w:hAnsiTheme="majorHAnsi"/>
        </w:rPr>
      </w:pPr>
      <w:r w:rsidRPr="00375350">
        <w:rPr>
          <w:rStyle w:val="Puslapioinaosnuoroda"/>
          <w:rFonts w:asciiTheme="majorHAnsi" w:hAnsiTheme="majorHAnsi"/>
        </w:rPr>
        <w:footnoteRef/>
      </w:r>
      <w:r w:rsidRPr="00375350">
        <w:rPr>
          <w:rFonts w:asciiTheme="majorHAnsi" w:hAnsiTheme="majorHAnsi"/>
        </w:rPr>
        <w:t xml:space="preserve"> </w:t>
      </w:r>
      <w:r w:rsidRPr="00375350">
        <w:rPr>
          <w:rFonts w:asciiTheme="majorHAnsi" w:hAnsiTheme="majorHAnsi"/>
        </w:rPr>
        <w:t xml:space="preserve">„ISCO-08 </w:t>
      </w:r>
      <w:proofErr w:type="spellStart"/>
      <w:r w:rsidRPr="00375350">
        <w:rPr>
          <w:rFonts w:asciiTheme="majorHAnsi" w:hAnsiTheme="majorHAnsi"/>
        </w:rPr>
        <w:t>Group</w:t>
      </w:r>
      <w:proofErr w:type="spellEnd"/>
      <w:r w:rsidRPr="00375350">
        <w:rPr>
          <w:rFonts w:asciiTheme="majorHAnsi" w:hAnsiTheme="majorHAnsi"/>
        </w:rPr>
        <w:t xml:space="preserve"> </w:t>
      </w:r>
      <w:proofErr w:type="spellStart"/>
      <w:r w:rsidRPr="00375350">
        <w:rPr>
          <w:rFonts w:asciiTheme="majorHAnsi" w:hAnsiTheme="majorHAnsi"/>
        </w:rPr>
        <w:t>definitions</w:t>
      </w:r>
      <w:proofErr w:type="spellEnd"/>
      <w:r w:rsidRPr="00375350">
        <w:rPr>
          <w:rFonts w:asciiTheme="majorHAnsi" w:hAnsiTheme="majorHAnsi"/>
        </w:rPr>
        <w:t xml:space="preserve"> </w:t>
      </w:r>
      <w:proofErr w:type="spellStart"/>
      <w:r w:rsidRPr="00375350">
        <w:rPr>
          <w:rFonts w:asciiTheme="majorHAnsi" w:hAnsiTheme="majorHAnsi"/>
        </w:rPr>
        <w:t>final</w:t>
      </w:r>
      <w:proofErr w:type="spellEnd"/>
      <w:r w:rsidRPr="00375350">
        <w:rPr>
          <w:rFonts w:asciiTheme="majorHAnsi" w:hAnsiTheme="majorHAnsi"/>
        </w:rPr>
        <w:t xml:space="preserve"> </w:t>
      </w:r>
      <w:proofErr w:type="spellStart"/>
      <w:r w:rsidRPr="00375350">
        <w:rPr>
          <w:rFonts w:asciiTheme="majorHAnsi" w:hAnsiTheme="majorHAnsi"/>
        </w:rPr>
        <w:t>draft</w:t>
      </w:r>
      <w:proofErr w:type="spellEnd"/>
      <w:r w:rsidRPr="00375350">
        <w:rPr>
          <w:rFonts w:asciiTheme="majorHAnsi" w:hAnsiTheme="majorHAnsi"/>
        </w:rPr>
        <w:t>“, 7 p.</w:t>
      </w:r>
      <w:r>
        <w:rPr>
          <w:rFonts w:asciiTheme="majorHAnsi" w:hAnsiTheme="majorHAnsi"/>
        </w:rPr>
        <w:t>,</w:t>
      </w:r>
      <w:r w:rsidRPr="00375350">
        <w:rPr>
          <w:rFonts w:asciiTheme="majorHAnsi" w:hAnsiTheme="majorHAnsi"/>
        </w:rPr>
        <w:t xml:space="preserve"> &lt;http://www.ilo.org/public/english/bureau/stat/isco/isco08/index.htm&gt;</w:t>
      </w:r>
      <w:r>
        <w:rPr>
          <w:rFonts w:asciiTheme="majorHAnsi" w:hAnsiTheme="majorHAnsi"/>
        </w:rPr>
        <w:t>.</w:t>
      </w:r>
    </w:p>
  </w:footnote>
  <w:footnote w:id="12">
    <w:p w:rsidR="00B47EDB" w:rsidRPr="00375350" w:rsidRDefault="00B47EDB" w:rsidP="00D82012">
      <w:pPr>
        <w:pStyle w:val="Puslapioinaostekstas"/>
        <w:spacing w:line="240" w:lineRule="auto"/>
        <w:rPr>
          <w:rFonts w:asciiTheme="majorHAnsi" w:hAnsiTheme="majorHAnsi"/>
        </w:rPr>
      </w:pPr>
      <w:r w:rsidRPr="00375350">
        <w:rPr>
          <w:rStyle w:val="Puslapioinaosnuoroda"/>
          <w:rFonts w:asciiTheme="majorHAnsi" w:hAnsiTheme="majorHAnsi"/>
        </w:rPr>
        <w:footnoteRef/>
      </w:r>
      <w:r w:rsidRPr="00375350">
        <w:rPr>
          <w:rFonts w:asciiTheme="majorHAnsi" w:hAnsiTheme="majorHAnsi"/>
        </w:rPr>
        <w:t xml:space="preserve"> </w:t>
      </w:r>
      <w:r w:rsidRPr="00375350">
        <w:rPr>
          <w:rFonts w:asciiTheme="majorHAnsi" w:hAnsiTheme="majorHAnsi"/>
        </w:rPr>
        <w:t xml:space="preserve">„ISCO-08 </w:t>
      </w:r>
      <w:proofErr w:type="spellStart"/>
      <w:r w:rsidRPr="00375350">
        <w:rPr>
          <w:rFonts w:asciiTheme="majorHAnsi" w:hAnsiTheme="majorHAnsi"/>
        </w:rPr>
        <w:t>Group</w:t>
      </w:r>
      <w:proofErr w:type="spellEnd"/>
      <w:r w:rsidRPr="00375350">
        <w:rPr>
          <w:rFonts w:asciiTheme="majorHAnsi" w:hAnsiTheme="majorHAnsi"/>
        </w:rPr>
        <w:t xml:space="preserve"> </w:t>
      </w:r>
      <w:proofErr w:type="spellStart"/>
      <w:r w:rsidRPr="00375350">
        <w:rPr>
          <w:rFonts w:asciiTheme="majorHAnsi" w:hAnsiTheme="majorHAnsi"/>
        </w:rPr>
        <w:t>definitions</w:t>
      </w:r>
      <w:proofErr w:type="spellEnd"/>
      <w:r w:rsidRPr="00375350">
        <w:rPr>
          <w:rFonts w:asciiTheme="majorHAnsi" w:hAnsiTheme="majorHAnsi"/>
        </w:rPr>
        <w:t xml:space="preserve"> </w:t>
      </w:r>
      <w:proofErr w:type="spellStart"/>
      <w:r w:rsidRPr="00375350">
        <w:rPr>
          <w:rFonts w:asciiTheme="majorHAnsi" w:hAnsiTheme="majorHAnsi"/>
        </w:rPr>
        <w:t>final</w:t>
      </w:r>
      <w:proofErr w:type="spellEnd"/>
      <w:r w:rsidRPr="00375350">
        <w:rPr>
          <w:rFonts w:asciiTheme="majorHAnsi" w:hAnsiTheme="majorHAnsi"/>
        </w:rPr>
        <w:t xml:space="preserve"> </w:t>
      </w:r>
      <w:proofErr w:type="spellStart"/>
      <w:r w:rsidRPr="00375350">
        <w:rPr>
          <w:rFonts w:asciiTheme="majorHAnsi" w:hAnsiTheme="majorHAnsi"/>
        </w:rPr>
        <w:t>draft</w:t>
      </w:r>
      <w:proofErr w:type="spellEnd"/>
      <w:r w:rsidRPr="00375350">
        <w:rPr>
          <w:rFonts w:asciiTheme="majorHAnsi" w:hAnsiTheme="majorHAnsi"/>
        </w:rPr>
        <w:t>“, 180 p.</w:t>
      </w:r>
      <w:r>
        <w:rPr>
          <w:rFonts w:asciiTheme="majorHAnsi" w:hAnsiTheme="majorHAnsi"/>
        </w:rPr>
        <w:t xml:space="preserve">, </w:t>
      </w:r>
      <w:r w:rsidRPr="00375350">
        <w:rPr>
          <w:rFonts w:asciiTheme="majorHAnsi" w:hAnsiTheme="majorHAnsi"/>
        </w:rPr>
        <w:t xml:space="preserve"> &lt;http://www.ilo.org/public/english/bureau/stat/isco/isco08/index.htm&gt;</w:t>
      </w:r>
      <w:r>
        <w:rPr>
          <w:rFonts w:asciiTheme="majorHAnsi" w:hAnsiTheme="majorHAnsi"/>
        </w:rPr>
        <w:t>.</w:t>
      </w:r>
    </w:p>
  </w:footnote>
  <w:footnote w:id="13">
    <w:p w:rsidR="00B47EDB" w:rsidRDefault="00B47EDB" w:rsidP="00D82012">
      <w:pPr>
        <w:pStyle w:val="Puslapioinaostekstas"/>
        <w:spacing w:line="240" w:lineRule="auto"/>
      </w:pPr>
      <w:r w:rsidRPr="00375350">
        <w:rPr>
          <w:rStyle w:val="Puslapioinaosnuoroda"/>
          <w:rFonts w:asciiTheme="majorHAnsi" w:hAnsiTheme="majorHAnsi"/>
        </w:rPr>
        <w:footnoteRef/>
      </w:r>
      <w:r w:rsidRPr="00375350">
        <w:rPr>
          <w:rFonts w:asciiTheme="majorHAnsi" w:hAnsiTheme="majorHAnsi"/>
        </w:rPr>
        <w:t xml:space="preserve"> </w:t>
      </w:r>
      <w:r w:rsidRPr="00375350">
        <w:rPr>
          <w:rFonts w:asciiTheme="majorHAnsi" w:hAnsiTheme="majorHAnsi"/>
        </w:rPr>
        <w:t xml:space="preserve">„ISCO-08 </w:t>
      </w:r>
      <w:proofErr w:type="spellStart"/>
      <w:r w:rsidRPr="00375350">
        <w:rPr>
          <w:rFonts w:asciiTheme="majorHAnsi" w:hAnsiTheme="majorHAnsi"/>
        </w:rPr>
        <w:t>Structure</w:t>
      </w:r>
      <w:proofErr w:type="spellEnd"/>
      <w:r w:rsidRPr="00375350">
        <w:rPr>
          <w:rFonts w:asciiTheme="majorHAnsi" w:hAnsiTheme="majorHAnsi"/>
        </w:rPr>
        <w:t>“</w:t>
      </w:r>
      <w:r>
        <w:rPr>
          <w:rFonts w:asciiTheme="majorHAnsi" w:hAnsiTheme="majorHAnsi"/>
        </w:rPr>
        <w:t>,</w:t>
      </w:r>
      <w:r w:rsidRPr="00375350">
        <w:rPr>
          <w:rFonts w:asciiTheme="majorHAnsi" w:hAnsiTheme="majorHAnsi"/>
        </w:rPr>
        <w:t xml:space="preserve"> &lt;http://www.ilo.org/public/english/bureau/stat/isco/isco08/index.htm&gt;</w:t>
      </w:r>
      <w:r>
        <w:rPr>
          <w:rFonts w:asciiTheme="majorHAnsi" w:hAnsiTheme="majorHAnsi"/>
        </w:rPr>
        <w:t>.</w:t>
      </w:r>
    </w:p>
  </w:footnote>
  <w:footnote w:id="14">
    <w:p w:rsidR="00B47EDB" w:rsidRDefault="00B47EDB" w:rsidP="00D82012">
      <w:pPr>
        <w:pStyle w:val="Puslapioinaostekstas"/>
        <w:spacing w:line="240" w:lineRule="auto"/>
      </w:pPr>
      <w:r>
        <w:rPr>
          <w:rStyle w:val="Puslapioinaosnuoroda"/>
        </w:rPr>
        <w:footnoteRef/>
      </w:r>
      <w:r>
        <w:t xml:space="preserve"> </w:t>
      </w:r>
      <w:r>
        <w:rPr>
          <w:rFonts w:eastAsia="Times New Roman" w:cs="Times New Roman"/>
        </w:rPr>
        <w:t>Aukštųjų mokyklų kvalifikacinių reikalavimų tvarkų sąrašas nurodytas 2 priede.</w:t>
      </w:r>
    </w:p>
  </w:footnote>
  <w:footnote w:id="15">
    <w:p w:rsidR="00B47EDB" w:rsidRDefault="00B47EDB" w:rsidP="00D82012">
      <w:pPr>
        <w:pStyle w:val="Text"/>
        <w:spacing w:after="0" w:line="240" w:lineRule="auto"/>
        <w:ind w:left="0"/>
        <w:rPr>
          <w:noProof w:val="0"/>
        </w:rPr>
      </w:pPr>
      <w:r w:rsidRPr="008800E6">
        <w:rPr>
          <w:rStyle w:val="Puslapioinaosnuoroda"/>
          <w:sz w:val="20"/>
        </w:rPr>
        <w:footnoteRef/>
      </w:r>
      <w:r w:rsidRPr="008800E6">
        <w:rPr>
          <w:sz w:val="20"/>
        </w:rPr>
        <w:t xml:space="preserve"> </w:t>
      </w:r>
      <w:r w:rsidRPr="008800E6">
        <w:rPr>
          <w:noProof w:val="0"/>
          <w:sz w:val="20"/>
        </w:rPr>
        <w:t>Aukštosios mokyklos ir jų padaliniai laikomi aukštosiomis mokyklomis, jei organizuoja bendrąjį studentų priėmimą</w:t>
      </w:r>
      <w:r>
        <w:rPr>
          <w:noProof w:val="0"/>
          <w:sz w:val="20"/>
        </w:rPr>
        <w:t xml:space="preserve"> per LAMA BPO</w:t>
      </w:r>
      <w:r w:rsidRPr="008800E6">
        <w:rPr>
          <w:noProof w:val="0"/>
          <w:sz w:val="20"/>
        </w:rPr>
        <w:t>.</w:t>
      </w:r>
    </w:p>
  </w:footnote>
  <w:footnote w:id="16">
    <w:p w:rsidR="00B47EDB" w:rsidRDefault="00B47EDB" w:rsidP="00D82012">
      <w:pPr>
        <w:pStyle w:val="Puslapioinaostekstas"/>
        <w:spacing w:line="240" w:lineRule="auto"/>
      </w:pPr>
      <w:r>
        <w:rPr>
          <w:rStyle w:val="Puslapioinaosnuoroda"/>
        </w:rPr>
        <w:footnoteRef/>
      </w:r>
      <w:r>
        <w:t xml:space="preserve"> </w:t>
      </w:r>
      <w:r w:rsidRPr="009C0747">
        <w:t>Darbo užmokesčio fiksuotųjų įkainių dydžių mokslinių tyr</w:t>
      </w:r>
      <w:r>
        <w:t>imų projektuose nustatymo tyrimas, &lt;</w:t>
      </w:r>
      <w:r w:rsidRPr="00552B74">
        <w:t>http://www.esinvesticijos.lt/docview/?url=/uploads/documents/docs/229_64323e50c938a747c323ac191542cba5.doc</w:t>
      </w:r>
      <w:r>
        <w:t>&gt;.</w:t>
      </w:r>
    </w:p>
  </w:footnote>
  <w:footnote w:id="17">
    <w:p w:rsidR="00B47EDB" w:rsidRPr="00DB666C" w:rsidRDefault="00B47EDB" w:rsidP="00D82012">
      <w:pPr>
        <w:pStyle w:val="Puslapioinaostekstas"/>
        <w:spacing w:line="240" w:lineRule="auto"/>
        <w:rPr>
          <w:rFonts w:asciiTheme="majorHAnsi" w:hAnsiTheme="majorHAnsi"/>
        </w:rPr>
      </w:pPr>
      <w:r>
        <w:rPr>
          <w:rStyle w:val="Puslapioinaosnuoroda"/>
        </w:rPr>
        <w:footnoteRef/>
      </w:r>
      <w:r>
        <w:t xml:space="preserve"> </w:t>
      </w:r>
      <w:r w:rsidRPr="00DB666C">
        <w:rPr>
          <w:rFonts w:asciiTheme="majorHAnsi" w:hAnsiTheme="majorHAnsi"/>
        </w:rPr>
        <w:t>Kasmetinių atostogų ir papildomų poilsio dienų išmokų fiksuotųjų normų nustatymo tyrimas, 2 lentelė</w:t>
      </w:r>
      <w:r>
        <w:rPr>
          <w:rFonts w:asciiTheme="majorHAnsi" w:hAnsiTheme="majorHAnsi"/>
        </w:rPr>
        <w:t>,</w:t>
      </w:r>
      <w:r w:rsidRPr="00DB666C">
        <w:rPr>
          <w:rFonts w:asciiTheme="majorHAnsi" w:hAnsiTheme="majorHAnsi"/>
        </w:rPr>
        <w:t xml:space="preserve"> &lt;http://www.esinvesticijos.lt/docview/?url=/uploads/documents/docs/3692_053a96949f3fd2d7861a18f1edf649c3.doc&gt;</w:t>
      </w:r>
      <w:r>
        <w:rPr>
          <w:rFonts w:asciiTheme="majorHAnsi" w:hAnsiTheme="majorHAnsi"/>
        </w:rPr>
        <w:t>.</w:t>
      </w:r>
    </w:p>
  </w:footnote>
  <w:footnote w:id="18">
    <w:p w:rsidR="00B47EDB" w:rsidRPr="005C0167" w:rsidRDefault="00B47EDB" w:rsidP="00D82012">
      <w:pPr>
        <w:pStyle w:val="Puslapioinaostekstas"/>
        <w:spacing w:line="240" w:lineRule="auto"/>
        <w:rPr>
          <w:rFonts w:asciiTheme="majorHAnsi" w:hAnsiTheme="majorHAnsi"/>
        </w:rPr>
      </w:pPr>
      <w:r w:rsidRPr="005C0167">
        <w:rPr>
          <w:rStyle w:val="Puslapioinaosnuoroda"/>
          <w:rFonts w:asciiTheme="majorHAnsi" w:hAnsiTheme="majorHAnsi"/>
        </w:rPr>
        <w:footnoteRef/>
      </w:r>
      <w:r w:rsidRPr="005C0167">
        <w:rPr>
          <w:rFonts w:asciiTheme="majorHAnsi" w:hAnsiTheme="majorHAnsi"/>
        </w:rPr>
        <w:t xml:space="preserve"> </w:t>
      </w:r>
      <w:r>
        <w:rPr>
          <w:rFonts w:asciiTheme="majorHAnsi" w:hAnsiTheme="majorHAnsi"/>
        </w:rPr>
        <w:t xml:space="preserve">Visi </w:t>
      </w:r>
      <w:r>
        <w:rPr>
          <w:rFonts w:asciiTheme="majorHAnsi" w:eastAsia="Times New Roman" w:hAnsiTheme="majorHAnsi" w:cs="Times New Roman"/>
        </w:rPr>
        <w:t>d</w:t>
      </w:r>
      <w:r w:rsidRPr="005C0167">
        <w:rPr>
          <w:rFonts w:asciiTheme="majorHAnsi" w:eastAsia="Times New Roman" w:hAnsiTheme="majorHAnsi" w:cs="Times New Roman"/>
        </w:rPr>
        <w:t>uomenys</w:t>
      </w:r>
      <w:r>
        <w:rPr>
          <w:rFonts w:asciiTheme="majorHAnsi" w:eastAsia="Times New Roman" w:hAnsiTheme="majorHAnsi" w:cs="Times New Roman"/>
        </w:rPr>
        <w:t>, išskyrus Lietuvos sveikatos mokslų universiteto dokumentus,</w:t>
      </w:r>
      <w:r w:rsidRPr="005C0167">
        <w:rPr>
          <w:rFonts w:asciiTheme="majorHAnsi" w:eastAsia="Times New Roman" w:hAnsiTheme="majorHAnsi" w:cs="Times New Roman"/>
        </w:rPr>
        <w:t xml:space="preserve"> </w:t>
      </w:r>
      <w:r>
        <w:rPr>
          <w:rFonts w:asciiTheme="majorHAnsi" w:eastAsia="Times New Roman" w:hAnsiTheme="majorHAnsi" w:cs="Times New Roman"/>
        </w:rPr>
        <w:t>prieinami tyrimo užsakovui – LR š</w:t>
      </w:r>
      <w:r w:rsidRPr="005C0167">
        <w:rPr>
          <w:rFonts w:asciiTheme="majorHAnsi" w:eastAsia="Times New Roman" w:hAnsiTheme="majorHAnsi" w:cs="Times New Roman"/>
        </w:rPr>
        <w:t>vietimo ir mokslo ministerijai.</w:t>
      </w:r>
    </w:p>
  </w:footnote>
  <w:footnote w:id="19">
    <w:p w:rsidR="00B47EDB" w:rsidRPr="008417C9" w:rsidRDefault="00B47EDB" w:rsidP="00D82012">
      <w:pPr>
        <w:pStyle w:val="Puslapioinaostekstas"/>
        <w:spacing w:line="240" w:lineRule="auto"/>
        <w:rPr>
          <w:rFonts w:asciiTheme="majorHAnsi" w:hAnsiTheme="majorHAnsi"/>
        </w:rPr>
      </w:pPr>
      <w:r w:rsidRPr="008417C9">
        <w:rPr>
          <w:rStyle w:val="Puslapioinaosnuoroda"/>
          <w:rFonts w:asciiTheme="majorHAnsi" w:hAnsiTheme="majorHAnsi"/>
        </w:rPr>
        <w:footnoteRef/>
      </w:r>
      <w:r w:rsidRPr="008417C9">
        <w:rPr>
          <w:rFonts w:asciiTheme="majorHAnsi" w:hAnsiTheme="majorHAnsi"/>
        </w:rPr>
        <w:t xml:space="preserve"> </w:t>
      </w:r>
      <w:r w:rsidRPr="008417C9">
        <w:rPr>
          <w:rFonts w:asciiTheme="majorHAnsi" w:hAnsiTheme="majorHAnsi"/>
        </w:rPr>
        <w:t>Šioje kolegijoje nėra profesoriaus</w:t>
      </w:r>
      <w:r>
        <w:rPr>
          <w:rFonts w:asciiTheme="majorHAnsi" w:hAnsiTheme="majorHAnsi"/>
        </w:rPr>
        <w:t xml:space="preserve"> </w:t>
      </w:r>
      <w:r w:rsidRPr="008417C9">
        <w:rPr>
          <w:rFonts w:asciiTheme="majorHAnsi" w:hAnsiTheme="majorHAnsi"/>
        </w:rPr>
        <w:t>/</w:t>
      </w:r>
      <w:r>
        <w:rPr>
          <w:rFonts w:asciiTheme="majorHAnsi" w:hAnsiTheme="majorHAnsi"/>
        </w:rPr>
        <w:t xml:space="preserve"> </w:t>
      </w:r>
      <w:r w:rsidRPr="008417C9">
        <w:rPr>
          <w:rFonts w:asciiTheme="majorHAnsi" w:hAnsiTheme="majorHAnsi"/>
        </w:rPr>
        <w:t>vyriausiojo mokslo darbuotojo pareigybės.</w:t>
      </w:r>
    </w:p>
  </w:footnote>
  <w:footnote w:id="20">
    <w:p w:rsidR="00B47EDB" w:rsidRPr="008417C9" w:rsidRDefault="00B47EDB" w:rsidP="00D82012">
      <w:pPr>
        <w:pStyle w:val="Puslapioinaostekstas"/>
        <w:spacing w:line="240" w:lineRule="auto"/>
        <w:rPr>
          <w:rFonts w:asciiTheme="majorHAnsi" w:hAnsiTheme="majorHAnsi"/>
        </w:rPr>
      </w:pPr>
      <w:r w:rsidRPr="008417C9">
        <w:rPr>
          <w:rStyle w:val="Puslapioinaosnuoroda"/>
          <w:rFonts w:asciiTheme="majorHAnsi" w:hAnsiTheme="majorHAnsi"/>
        </w:rPr>
        <w:footnoteRef/>
      </w:r>
      <w:r w:rsidRPr="008417C9">
        <w:rPr>
          <w:rFonts w:asciiTheme="majorHAnsi" w:hAnsiTheme="majorHAnsi"/>
        </w:rPr>
        <w:t xml:space="preserve"> </w:t>
      </w:r>
      <w:r w:rsidRPr="008417C9">
        <w:rPr>
          <w:rFonts w:asciiTheme="majorHAnsi" w:hAnsiTheme="majorHAnsi"/>
        </w:rPr>
        <w:t>Šioje kolegijoje nėra profesoriaus</w:t>
      </w:r>
      <w:r>
        <w:rPr>
          <w:rFonts w:asciiTheme="majorHAnsi" w:hAnsiTheme="majorHAnsi"/>
        </w:rPr>
        <w:t xml:space="preserve"> </w:t>
      </w:r>
      <w:r w:rsidRPr="008417C9">
        <w:rPr>
          <w:rFonts w:asciiTheme="majorHAnsi" w:hAnsiTheme="majorHAnsi"/>
        </w:rPr>
        <w:t>/</w:t>
      </w:r>
      <w:r>
        <w:rPr>
          <w:rFonts w:asciiTheme="majorHAnsi" w:hAnsiTheme="majorHAnsi"/>
        </w:rPr>
        <w:t xml:space="preserve"> </w:t>
      </w:r>
      <w:r w:rsidRPr="008417C9">
        <w:rPr>
          <w:rFonts w:asciiTheme="majorHAnsi" w:hAnsiTheme="majorHAnsi"/>
        </w:rPr>
        <w:t>vyriausiojo mokslo darbuotojo pareigybės.</w:t>
      </w:r>
    </w:p>
  </w:footnote>
  <w:footnote w:id="21">
    <w:p w:rsidR="00B47EDB" w:rsidRPr="008417C9" w:rsidRDefault="00B47EDB" w:rsidP="00D82012">
      <w:pPr>
        <w:pStyle w:val="Puslapioinaostekstas"/>
        <w:spacing w:line="240" w:lineRule="auto"/>
        <w:rPr>
          <w:rFonts w:asciiTheme="majorHAnsi" w:hAnsiTheme="majorHAnsi"/>
        </w:rPr>
      </w:pPr>
      <w:r w:rsidRPr="008417C9">
        <w:rPr>
          <w:rStyle w:val="Puslapioinaosnuoroda"/>
          <w:rFonts w:asciiTheme="majorHAnsi" w:hAnsiTheme="majorHAnsi"/>
        </w:rPr>
        <w:footnoteRef/>
      </w:r>
      <w:r w:rsidRPr="008417C9">
        <w:rPr>
          <w:rFonts w:asciiTheme="majorHAnsi" w:hAnsiTheme="majorHAnsi"/>
        </w:rPr>
        <w:t xml:space="preserve"> </w:t>
      </w:r>
      <w:r w:rsidRPr="008417C9">
        <w:rPr>
          <w:rFonts w:asciiTheme="majorHAnsi" w:hAnsiTheme="majorHAnsi"/>
        </w:rPr>
        <w:t>Šioje kolegijoje nėra profesoriaus</w:t>
      </w:r>
      <w:r>
        <w:rPr>
          <w:rFonts w:asciiTheme="majorHAnsi" w:hAnsiTheme="majorHAnsi"/>
        </w:rPr>
        <w:t xml:space="preserve"> </w:t>
      </w:r>
      <w:r w:rsidRPr="008417C9">
        <w:rPr>
          <w:rFonts w:asciiTheme="majorHAnsi" w:hAnsiTheme="majorHAnsi"/>
        </w:rPr>
        <w:t>/</w:t>
      </w:r>
      <w:r>
        <w:rPr>
          <w:rFonts w:asciiTheme="majorHAnsi" w:hAnsiTheme="majorHAnsi"/>
        </w:rPr>
        <w:t xml:space="preserve"> </w:t>
      </w:r>
      <w:r w:rsidRPr="008417C9">
        <w:rPr>
          <w:rFonts w:asciiTheme="majorHAnsi" w:hAnsiTheme="majorHAnsi"/>
        </w:rPr>
        <w:t>vyriausiojo mokslo darbuotojo pareigybės.</w:t>
      </w:r>
    </w:p>
  </w:footnote>
  <w:footnote w:id="22">
    <w:p w:rsidR="00B47EDB" w:rsidRDefault="00B47EDB" w:rsidP="00D82012">
      <w:pPr>
        <w:pStyle w:val="Puslapioinaostekstas"/>
        <w:spacing w:line="240" w:lineRule="auto"/>
      </w:pPr>
      <w:r w:rsidRPr="008417C9">
        <w:rPr>
          <w:rStyle w:val="Puslapioinaosnuoroda"/>
          <w:rFonts w:asciiTheme="majorHAnsi" w:hAnsiTheme="majorHAnsi"/>
        </w:rPr>
        <w:footnoteRef/>
      </w:r>
      <w:r w:rsidRPr="008417C9">
        <w:rPr>
          <w:rFonts w:asciiTheme="majorHAnsi" w:hAnsiTheme="majorHAnsi"/>
        </w:rPr>
        <w:t xml:space="preserve"> </w:t>
      </w:r>
      <w:r w:rsidRPr="008417C9">
        <w:rPr>
          <w:rFonts w:asciiTheme="majorHAnsi" w:hAnsiTheme="majorHAnsi"/>
        </w:rPr>
        <w:t>Šioje kolegijoje nėra asistento</w:t>
      </w:r>
      <w:r>
        <w:rPr>
          <w:rFonts w:asciiTheme="majorHAnsi" w:hAnsiTheme="majorHAnsi"/>
        </w:rPr>
        <w:t xml:space="preserve"> </w:t>
      </w:r>
      <w:r w:rsidRPr="008417C9">
        <w:rPr>
          <w:rFonts w:asciiTheme="majorHAnsi" w:hAnsiTheme="majorHAnsi"/>
        </w:rPr>
        <w:t>/</w:t>
      </w:r>
      <w:r>
        <w:rPr>
          <w:rFonts w:asciiTheme="majorHAnsi" w:hAnsiTheme="majorHAnsi"/>
        </w:rPr>
        <w:t xml:space="preserve"> </w:t>
      </w:r>
      <w:r w:rsidRPr="008417C9">
        <w:rPr>
          <w:rFonts w:asciiTheme="majorHAnsi" w:hAnsiTheme="majorHAnsi"/>
        </w:rPr>
        <w:t>jaunesniojo</w:t>
      </w:r>
      <w:r>
        <w:rPr>
          <w:rFonts w:asciiTheme="majorHAnsi" w:hAnsiTheme="majorHAnsi"/>
        </w:rPr>
        <w:t xml:space="preserve"> </w:t>
      </w:r>
      <w:r w:rsidRPr="008417C9">
        <w:rPr>
          <w:rFonts w:asciiTheme="majorHAnsi" w:hAnsiTheme="majorHAnsi"/>
        </w:rPr>
        <w:t>mokslo darbuotojo pareigybės.</w:t>
      </w:r>
    </w:p>
  </w:footnote>
  <w:footnote w:id="23">
    <w:p w:rsidR="00B47EDB" w:rsidRDefault="00B47EDB">
      <w:pPr>
        <w:pStyle w:val="Puslapioinaostekstas"/>
      </w:pPr>
      <w:r>
        <w:rPr>
          <w:rStyle w:val="Puslapioinaosnuoroda"/>
        </w:rPr>
        <w:footnoteRef/>
      </w:r>
      <w:r>
        <w:t xml:space="preserve"> </w:t>
      </w:r>
      <w:r>
        <w:t>„</w:t>
      </w:r>
      <w:proofErr w:type="spellStart"/>
      <w:r w:rsidRPr="008744DE">
        <w:t>Erasmus</w:t>
      </w:r>
      <w:proofErr w:type="spellEnd"/>
      <w:r w:rsidRPr="008744DE">
        <w:t xml:space="preserve"> plius</w:t>
      </w:r>
      <w:r>
        <w:t>“ programoje įkainis neskirstomas pagal aukštosios mokyklos tipą ir visoms aukštosioms mokykloms yra vienodas.</w:t>
      </w:r>
    </w:p>
  </w:footnote>
  <w:footnote w:id="24">
    <w:p w:rsidR="00B47EDB" w:rsidRPr="009B4489" w:rsidRDefault="00B47EDB" w:rsidP="00D82012">
      <w:pPr>
        <w:pStyle w:val="Puslapioinaostekstas"/>
        <w:spacing w:line="240" w:lineRule="auto"/>
        <w:rPr>
          <w:rFonts w:asciiTheme="majorHAnsi" w:hAnsiTheme="majorHAnsi"/>
        </w:rPr>
      </w:pPr>
      <w:r>
        <w:rPr>
          <w:rStyle w:val="Puslapioinaosnuoroda"/>
        </w:rPr>
        <w:footnoteRef/>
      </w:r>
      <w:r>
        <w:t xml:space="preserve"> </w:t>
      </w:r>
      <w:r>
        <w:rPr>
          <w:rFonts w:asciiTheme="majorHAnsi" w:hAnsiTheme="majorHAnsi"/>
        </w:rPr>
        <w:t>Darbo užmokesčio fiksuotųjų įkainių dydžių mokslinių tyrimų projektuose nustatymo tyrimo ataskaita, &lt;</w:t>
      </w:r>
      <w:r w:rsidRPr="00F14939">
        <w:rPr>
          <w:rFonts w:asciiTheme="majorHAnsi" w:hAnsiTheme="majorHAnsi"/>
        </w:rPr>
        <w:t>http://www.esinvesticijos.lt/docview/?url=/uploads/documents/docs/865_3820241940ad0397b853d1d698284ca3.doc</w:t>
      </w:r>
      <w:r>
        <w:rPr>
          <w:rFonts w:asciiTheme="majorHAnsi" w:hAnsiTheme="majorHAnsi"/>
        </w:rPr>
        <w:t>&gt;.</w:t>
      </w:r>
    </w:p>
  </w:footnote>
  <w:footnote w:id="25">
    <w:p w:rsidR="00B47EDB" w:rsidRPr="00502F8E" w:rsidRDefault="00B47EDB" w:rsidP="00D82012">
      <w:pPr>
        <w:pStyle w:val="Puslapioinaostekstas"/>
        <w:spacing w:line="240" w:lineRule="auto"/>
        <w:jc w:val="both"/>
        <w:rPr>
          <w:rFonts w:asciiTheme="majorHAnsi" w:hAnsiTheme="majorHAnsi"/>
        </w:rPr>
      </w:pPr>
      <w:r w:rsidRPr="00502F8E">
        <w:rPr>
          <w:rStyle w:val="Puslapioinaosnuoroda"/>
          <w:rFonts w:asciiTheme="majorHAnsi" w:hAnsiTheme="majorHAnsi"/>
        </w:rPr>
        <w:footnoteRef/>
      </w:r>
      <w:r w:rsidRPr="00502F8E">
        <w:rPr>
          <w:rFonts w:asciiTheme="majorHAnsi" w:hAnsiTheme="majorHAnsi"/>
        </w:rPr>
        <w:t xml:space="preserve"> </w:t>
      </w:r>
      <w:bookmarkStart w:id="20" w:name="X7a338b16309c4d3caa35b5e7417d9b64"/>
      <w:r w:rsidRPr="00502F8E">
        <w:rPr>
          <w:rFonts w:asciiTheme="majorHAnsi" w:hAnsiTheme="majorHAnsi"/>
          <w:shd w:val="clear" w:color="auto" w:fill="FFFFFF"/>
        </w:rPr>
        <w:t>Kasdien</w:t>
      </w:r>
      <w:r>
        <w:rPr>
          <w:rFonts w:asciiTheme="majorHAnsi" w:hAnsiTheme="majorHAnsi"/>
          <w:shd w:val="clear" w:color="auto" w:fill="FFFFFF"/>
        </w:rPr>
        <w:t>ė</w:t>
      </w:r>
      <w:r w:rsidRPr="00502F8E">
        <w:rPr>
          <w:rFonts w:asciiTheme="majorHAnsi" w:hAnsiTheme="majorHAnsi"/>
          <w:shd w:val="clear" w:color="auto" w:fill="FFFFFF"/>
        </w:rPr>
        <w:t xml:space="preserve"> darbo laiko trukmė neturi viršyti aštuonių darbo valandų. Išimtis gali nustatyti įstatymai, </w:t>
      </w:r>
      <w:r>
        <w:rPr>
          <w:rFonts w:asciiTheme="majorHAnsi" w:hAnsiTheme="majorHAnsi"/>
          <w:shd w:val="clear" w:color="auto" w:fill="FFFFFF"/>
        </w:rPr>
        <w:t xml:space="preserve">LR </w:t>
      </w:r>
      <w:r w:rsidRPr="00502F8E">
        <w:rPr>
          <w:rFonts w:asciiTheme="majorHAnsi" w:hAnsiTheme="majorHAnsi"/>
          <w:shd w:val="clear" w:color="auto" w:fill="FFFFFF"/>
        </w:rPr>
        <w:t>Vyriausybės nutarimai ir kolektyvinės sutartys (</w:t>
      </w:r>
      <w:r>
        <w:rPr>
          <w:rFonts w:asciiTheme="majorHAnsi" w:hAnsiTheme="majorHAnsi"/>
          <w:shd w:val="clear" w:color="auto" w:fill="FFFFFF"/>
        </w:rPr>
        <w:t>LR darbo kodeksas</w:t>
      </w:r>
      <w:r w:rsidRPr="00502F8E">
        <w:rPr>
          <w:rFonts w:asciiTheme="majorHAnsi" w:hAnsiTheme="majorHAnsi"/>
          <w:shd w:val="clear" w:color="auto" w:fill="FFFFFF"/>
        </w:rPr>
        <w:t>).</w:t>
      </w:r>
      <w:bookmarkEnd w:id="20"/>
    </w:p>
  </w:footnote>
  <w:footnote w:id="26">
    <w:p w:rsidR="00B47EDB" w:rsidRPr="00502F8E" w:rsidRDefault="00B47EDB" w:rsidP="00D82012">
      <w:pPr>
        <w:pStyle w:val="Puslapioinaostekstas"/>
        <w:spacing w:line="240" w:lineRule="auto"/>
        <w:rPr>
          <w:rFonts w:asciiTheme="majorHAnsi" w:hAnsiTheme="majorHAnsi"/>
        </w:rPr>
      </w:pPr>
      <w:r w:rsidRPr="00502F8E">
        <w:rPr>
          <w:rStyle w:val="Puslapioinaosnuoroda"/>
          <w:rFonts w:asciiTheme="majorHAnsi" w:hAnsiTheme="majorHAnsi"/>
        </w:rPr>
        <w:footnoteRef/>
      </w:r>
      <w:r w:rsidRPr="00502F8E">
        <w:rPr>
          <w:rFonts w:asciiTheme="majorHAnsi" w:hAnsiTheme="majorHAnsi"/>
        </w:rPr>
        <w:t xml:space="preserve"> </w:t>
      </w:r>
      <w:r w:rsidRPr="00502F8E">
        <w:rPr>
          <w:rFonts w:asciiTheme="majorHAnsi" w:hAnsiTheme="majorHAnsi"/>
        </w:rPr>
        <w:t xml:space="preserve">Šioje formulėje </w:t>
      </w:r>
      <w:proofErr w:type="spellStart"/>
      <w:r w:rsidRPr="00502F8E">
        <w:rPr>
          <w:rFonts w:asciiTheme="majorHAnsi" w:hAnsiTheme="majorHAnsi"/>
        </w:rPr>
        <w:t>ERASM</w:t>
      </w:r>
      <w:r w:rsidRPr="00502F8E">
        <w:rPr>
          <w:rFonts w:asciiTheme="majorHAnsi" w:hAnsiTheme="majorHAnsi"/>
          <w:vertAlign w:val="subscript"/>
        </w:rPr>
        <w:t>dien</w:t>
      </w:r>
      <w:proofErr w:type="spellEnd"/>
      <w:r w:rsidRPr="00502F8E">
        <w:rPr>
          <w:rFonts w:asciiTheme="majorHAnsi" w:hAnsiTheme="majorHAnsi"/>
          <w:vertAlign w:val="subscript"/>
        </w:rPr>
        <w:t>.</w:t>
      </w:r>
      <w:r w:rsidRPr="00502F8E">
        <w:rPr>
          <w:rFonts w:asciiTheme="majorHAnsi" w:hAnsiTheme="majorHAnsi"/>
        </w:rPr>
        <w:t xml:space="preserve"> – tai atskiros personalo kategorijos įkainis, nurodytas </w:t>
      </w:r>
      <w:r>
        <w:rPr>
          <w:rFonts w:eastAsia="Times New Roman" w:cs="Times New Roman"/>
        </w:rPr>
        <w:t>„</w:t>
      </w:r>
      <w:proofErr w:type="spellStart"/>
      <w:r w:rsidRPr="00212C31">
        <w:rPr>
          <w:rFonts w:eastAsia="Times New Roman" w:cs="Times New Roman"/>
        </w:rPr>
        <w:t>Erasmus</w:t>
      </w:r>
      <w:proofErr w:type="spellEnd"/>
      <w:r w:rsidRPr="00212C31">
        <w:rPr>
          <w:rFonts w:eastAsia="Times New Roman" w:cs="Times New Roman"/>
        </w:rPr>
        <w:t xml:space="preserve"> plius</w:t>
      </w:r>
      <w:r>
        <w:rPr>
          <w:rFonts w:eastAsia="Times New Roman" w:cs="Times New Roman"/>
        </w:rPr>
        <w:t xml:space="preserve">“ </w:t>
      </w:r>
      <w:r w:rsidRPr="00502F8E">
        <w:rPr>
          <w:rFonts w:asciiTheme="majorHAnsi" w:hAnsiTheme="majorHAnsi"/>
        </w:rPr>
        <w:t xml:space="preserve">programos vadovo </w:t>
      </w:r>
      <w:r>
        <w:rPr>
          <w:rFonts w:asciiTheme="majorHAnsi" w:hAnsiTheme="majorHAnsi"/>
        </w:rPr>
        <w:t xml:space="preserve">p. </w:t>
      </w:r>
      <w:r w:rsidRPr="00502F8E">
        <w:rPr>
          <w:rFonts w:asciiTheme="majorHAnsi" w:hAnsiTheme="majorHAnsi"/>
        </w:rPr>
        <w:t>122</w:t>
      </w:r>
      <w:r>
        <w:rPr>
          <w:rFonts w:asciiTheme="majorHAnsi" w:hAnsiTheme="majorHAnsi"/>
        </w:rPr>
        <w:t>.</w:t>
      </w:r>
      <w:r w:rsidRPr="00502F8E">
        <w:rPr>
          <w:rFonts w:asciiTheme="majorHAnsi" w:hAnsiTheme="majorHAnsi"/>
        </w:rPr>
        <w:t xml:space="preserve"> Perskaičiavimas parodytas </w:t>
      </w:r>
      <w:r>
        <w:rPr>
          <w:rFonts w:asciiTheme="majorHAnsi" w:hAnsiTheme="majorHAnsi"/>
        </w:rPr>
        <w:t xml:space="preserve">8 </w:t>
      </w:r>
      <w:r w:rsidRPr="00502F8E">
        <w:rPr>
          <w:rFonts w:asciiTheme="majorHAnsi" w:hAnsiTheme="majorHAnsi"/>
        </w:rPr>
        <w:t xml:space="preserve">priede.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31C"/>
    <w:multiLevelType w:val="hybridMultilevel"/>
    <w:tmpl w:val="FCBC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A5732"/>
    <w:multiLevelType w:val="hybridMultilevel"/>
    <w:tmpl w:val="DAE296F4"/>
    <w:lvl w:ilvl="0" w:tplc="8B5489C6">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326F15"/>
    <w:multiLevelType w:val="hybridMultilevel"/>
    <w:tmpl w:val="173A8DDE"/>
    <w:lvl w:ilvl="0" w:tplc="19A8BF1C">
      <w:start w:val="1"/>
      <w:numFmt w:val="upperRoman"/>
      <w:lvlText w:val="%1."/>
      <w:lvlJc w:val="left"/>
      <w:pPr>
        <w:ind w:left="1440"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FA5F92"/>
    <w:multiLevelType w:val="hybridMultilevel"/>
    <w:tmpl w:val="60949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50C216C"/>
    <w:multiLevelType w:val="hybridMultilevel"/>
    <w:tmpl w:val="822E8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57C57AF"/>
    <w:multiLevelType w:val="hybridMultilevel"/>
    <w:tmpl w:val="461CFE3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6197E13"/>
    <w:multiLevelType w:val="hybridMultilevel"/>
    <w:tmpl w:val="E654A4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455877"/>
    <w:multiLevelType w:val="hybridMultilevel"/>
    <w:tmpl w:val="C0C86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22B7A0F"/>
    <w:multiLevelType w:val="hybridMultilevel"/>
    <w:tmpl w:val="CF0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E1EA7"/>
    <w:multiLevelType w:val="hybridMultilevel"/>
    <w:tmpl w:val="690E9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5CE158C"/>
    <w:multiLevelType w:val="hybridMultilevel"/>
    <w:tmpl w:val="8F9E1A38"/>
    <w:lvl w:ilvl="0" w:tplc="1802706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2CAA2FAD"/>
    <w:multiLevelType w:val="hybridMultilevel"/>
    <w:tmpl w:val="C764C2EC"/>
    <w:lvl w:ilvl="0" w:tplc="CAE2C0BE">
      <w:start w:val="2"/>
      <w:numFmt w:val="upp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nsid w:val="3257004B"/>
    <w:multiLevelType w:val="hybridMultilevel"/>
    <w:tmpl w:val="FC945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95A6683"/>
    <w:multiLevelType w:val="hybridMultilevel"/>
    <w:tmpl w:val="F528A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BDB7831"/>
    <w:multiLevelType w:val="hybridMultilevel"/>
    <w:tmpl w:val="4D18F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1376E"/>
    <w:multiLevelType w:val="hybridMultilevel"/>
    <w:tmpl w:val="8CBEFDD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nsid w:val="438D2F18"/>
    <w:multiLevelType w:val="hybridMultilevel"/>
    <w:tmpl w:val="B650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0074C"/>
    <w:multiLevelType w:val="hybridMultilevel"/>
    <w:tmpl w:val="5D841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406D09"/>
    <w:multiLevelType w:val="hybridMultilevel"/>
    <w:tmpl w:val="856C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D454F"/>
    <w:multiLevelType w:val="hybridMultilevel"/>
    <w:tmpl w:val="7E305D44"/>
    <w:lvl w:ilvl="0" w:tplc="2780AF32">
      <w:start w:val="2"/>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DF1642C"/>
    <w:multiLevelType w:val="hybridMultilevel"/>
    <w:tmpl w:val="27D21428"/>
    <w:lvl w:ilvl="0" w:tplc="570A98CA">
      <w:start w:val="1"/>
      <w:numFmt w:val="decimal"/>
      <w:lvlText w:val="%1)"/>
      <w:lvlJc w:val="left"/>
      <w:pPr>
        <w:ind w:left="1554" w:hanging="4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nsid w:val="51C77868"/>
    <w:multiLevelType w:val="hybridMultilevel"/>
    <w:tmpl w:val="DBC6C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221701B"/>
    <w:multiLevelType w:val="hybridMultilevel"/>
    <w:tmpl w:val="278C9834"/>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23">
    <w:nsid w:val="53B91A14"/>
    <w:multiLevelType w:val="hybridMultilevel"/>
    <w:tmpl w:val="688C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45252"/>
    <w:multiLevelType w:val="hybridMultilevel"/>
    <w:tmpl w:val="BFF821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66240F9"/>
    <w:multiLevelType w:val="hybridMultilevel"/>
    <w:tmpl w:val="9466B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B947474"/>
    <w:multiLevelType w:val="hybridMultilevel"/>
    <w:tmpl w:val="3FC82B14"/>
    <w:lvl w:ilvl="0" w:tplc="7BD4D50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nsid w:val="5D0260DA"/>
    <w:multiLevelType w:val="multilevel"/>
    <w:tmpl w:val="6FB280C4"/>
    <w:lvl w:ilvl="0">
      <w:start w:val="1"/>
      <w:numFmt w:val="decimal"/>
      <w:pStyle w:val="Antrat2"/>
      <w:lvlText w:val="%1."/>
      <w:lvlJc w:val="left"/>
      <w:pPr>
        <w:tabs>
          <w:tab w:val="num" w:pos="680"/>
        </w:tabs>
        <w:ind w:left="680" w:hanging="680"/>
      </w:pPr>
      <w:rPr>
        <w:rFonts w:ascii="Lucida Sans Unicode" w:eastAsia="Lucida Sans Unicode" w:hAnsi="Lucida Sans Unicode" w:cstheme="majorBidi"/>
      </w:rPr>
    </w:lvl>
    <w:lvl w:ilvl="1">
      <w:start w:val="1"/>
      <w:numFmt w:val="decimal"/>
      <w:pStyle w:val="Antrat3"/>
      <w:lvlText w:val="%1.%2."/>
      <w:lvlJc w:val="left"/>
      <w:pPr>
        <w:tabs>
          <w:tab w:val="num" w:pos="680"/>
        </w:tabs>
        <w:ind w:left="680" w:hanging="680"/>
      </w:pPr>
      <w:rPr>
        <w:rFonts w:hint="default"/>
        <w:b w:val="0"/>
      </w:rPr>
    </w:lvl>
    <w:lvl w:ilvl="2">
      <w:start w:val="1"/>
      <w:numFmt w:val="decimal"/>
      <w:pStyle w:val="Antrat4"/>
      <w:lvlText w:val="%1.%2.%3."/>
      <w:lvlJc w:val="left"/>
      <w:pPr>
        <w:tabs>
          <w:tab w:val="num" w:pos="680"/>
        </w:tabs>
        <w:ind w:left="680" w:hanging="680"/>
      </w:pPr>
      <w:rPr>
        <w:rFonts w:hint="default"/>
      </w:rPr>
    </w:lvl>
    <w:lvl w:ilvl="3">
      <w:start w:val="1"/>
      <w:numFmt w:val="decimal"/>
      <w:pStyle w:val="Antrat5"/>
      <w:lvlText w:val="%1.%2.%3.%4."/>
      <w:lvlJc w:val="left"/>
      <w:pPr>
        <w:tabs>
          <w:tab w:val="num" w:pos="680"/>
        </w:tabs>
        <w:ind w:left="680" w:hanging="680"/>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680"/>
        </w:tabs>
        <w:ind w:left="680" w:hanging="680"/>
      </w:pPr>
      <w:rPr>
        <w:rFonts w:hint="default"/>
      </w:rPr>
    </w:lvl>
    <w:lvl w:ilvl="6">
      <w:start w:val="1"/>
      <w:numFmt w:val="decimal"/>
      <w:lvlText w:val="%1.%2.%3.%4.%5.%6.%7."/>
      <w:lvlJc w:val="left"/>
      <w:pPr>
        <w:tabs>
          <w:tab w:val="num" w:pos="680"/>
        </w:tabs>
        <w:ind w:left="680" w:hanging="680"/>
      </w:pPr>
      <w:rPr>
        <w:rFonts w:hint="default"/>
      </w:rPr>
    </w:lvl>
    <w:lvl w:ilvl="7">
      <w:start w:val="1"/>
      <w:numFmt w:val="decimal"/>
      <w:lvlText w:val="%1.%2.%3.%4.%5.%6.%7.%8."/>
      <w:lvlJc w:val="left"/>
      <w:pPr>
        <w:tabs>
          <w:tab w:val="num" w:pos="680"/>
        </w:tabs>
        <w:ind w:left="680" w:hanging="680"/>
      </w:pPr>
      <w:rPr>
        <w:rFonts w:hint="default"/>
      </w:rPr>
    </w:lvl>
    <w:lvl w:ilvl="8">
      <w:start w:val="1"/>
      <w:numFmt w:val="decimal"/>
      <w:lvlText w:val="%1.%2.%3.%4.%5.%6.%7.%8.%9."/>
      <w:lvlJc w:val="left"/>
      <w:pPr>
        <w:tabs>
          <w:tab w:val="num" w:pos="680"/>
        </w:tabs>
        <w:ind w:left="680" w:hanging="680"/>
      </w:pPr>
      <w:rPr>
        <w:rFonts w:hint="default"/>
      </w:rPr>
    </w:lvl>
  </w:abstractNum>
  <w:abstractNum w:abstractNumId="28">
    <w:nsid w:val="5E036308"/>
    <w:multiLevelType w:val="hybridMultilevel"/>
    <w:tmpl w:val="CC568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E215CC9"/>
    <w:multiLevelType w:val="hybridMultilevel"/>
    <w:tmpl w:val="CF406FB4"/>
    <w:lvl w:ilvl="0" w:tplc="2780AF32">
      <w:start w:val="2"/>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5302F1E"/>
    <w:multiLevelType w:val="hybridMultilevel"/>
    <w:tmpl w:val="D76E3B40"/>
    <w:lvl w:ilvl="0" w:tplc="18027062">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nsid w:val="6A36677E"/>
    <w:multiLevelType w:val="hybridMultilevel"/>
    <w:tmpl w:val="44062B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nsid w:val="6BD17C03"/>
    <w:multiLevelType w:val="hybridMultilevel"/>
    <w:tmpl w:val="86E69A3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D145E31"/>
    <w:multiLevelType w:val="hybridMultilevel"/>
    <w:tmpl w:val="A2FAB9FC"/>
    <w:lvl w:ilvl="0" w:tplc="18027062">
      <w:numFmt w:val="bullet"/>
      <w:lvlText w:val="-"/>
      <w:lvlJc w:val="left"/>
      <w:pPr>
        <w:ind w:left="1854" w:hanging="360"/>
      </w:pPr>
      <w:rPr>
        <w:rFonts w:ascii="Times New Roman" w:eastAsia="Times New Roman"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4">
    <w:nsid w:val="73735678"/>
    <w:multiLevelType w:val="hybridMultilevel"/>
    <w:tmpl w:val="422CF138"/>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5">
    <w:nsid w:val="75547938"/>
    <w:multiLevelType w:val="hybridMultilevel"/>
    <w:tmpl w:val="636CB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7264D60"/>
    <w:multiLevelType w:val="hybridMultilevel"/>
    <w:tmpl w:val="365E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E00579"/>
    <w:multiLevelType w:val="hybridMultilevel"/>
    <w:tmpl w:val="5B8ED27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8"/>
  </w:num>
  <w:num w:numId="6">
    <w:abstractNumId w:val="16"/>
  </w:num>
  <w:num w:numId="7">
    <w:abstractNumId w:val="36"/>
  </w:num>
  <w:num w:numId="8">
    <w:abstractNumId w:val="30"/>
  </w:num>
  <w:num w:numId="9">
    <w:abstractNumId w:val="18"/>
  </w:num>
  <w:num w:numId="10">
    <w:abstractNumId w:val="14"/>
  </w:num>
  <w:num w:numId="11">
    <w:abstractNumId w:val="22"/>
  </w:num>
  <w:num w:numId="12">
    <w:abstractNumId w:val="0"/>
  </w:num>
  <w:num w:numId="13">
    <w:abstractNumId w:val="11"/>
  </w:num>
  <w:num w:numId="14">
    <w:abstractNumId w:val="2"/>
  </w:num>
  <w:num w:numId="15">
    <w:abstractNumId w:val="12"/>
  </w:num>
  <w:num w:numId="16">
    <w:abstractNumId w:val="13"/>
  </w:num>
  <w:num w:numId="17">
    <w:abstractNumId w:val="28"/>
  </w:num>
  <w:num w:numId="18">
    <w:abstractNumId w:val="15"/>
  </w:num>
  <w:num w:numId="19">
    <w:abstractNumId w:val="20"/>
  </w:num>
  <w:num w:numId="20">
    <w:abstractNumId w:val="33"/>
  </w:num>
  <w:num w:numId="21">
    <w:abstractNumId w:val="10"/>
  </w:num>
  <w:num w:numId="22">
    <w:abstractNumId w:val="1"/>
  </w:num>
  <w:num w:numId="23">
    <w:abstractNumId w:val="7"/>
  </w:num>
  <w:num w:numId="24">
    <w:abstractNumId w:val="17"/>
  </w:num>
  <w:num w:numId="25">
    <w:abstractNumId w:val="6"/>
  </w:num>
  <w:num w:numId="26">
    <w:abstractNumId w:val="35"/>
  </w:num>
  <w:num w:numId="27">
    <w:abstractNumId w:val="32"/>
  </w:num>
  <w:num w:numId="28">
    <w:abstractNumId w:val="37"/>
  </w:num>
  <w:num w:numId="29">
    <w:abstractNumId w:val="5"/>
  </w:num>
  <w:num w:numId="30">
    <w:abstractNumId w:val="21"/>
  </w:num>
  <w:num w:numId="31">
    <w:abstractNumId w:val="4"/>
  </w:num>
  <w:num w:numId="32">
    <w:abstractNumId w:val="9"/>
  </w:num>
  <w:num w:numId="33">
    <w:abstractNumId w:val="25"/>
  </w:num>
  <w:num w:numId="34">
    <w:abstractNumId w:val="34"/>
  </w:num>
  <w:num w:numId="35">
    <w:abstractNumId w:val="19"/>
  </w:num>
  <w:num w:numId="36">
    <w:abstractNumId w:val="29"/>
  </w:num>
  <w:num w:numId="37">
    <w:abstractNumId w:val="3"/>
  </w:num>
  <w:num w:numId="3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B9"/>
    <w:rsid w:val="000012AB"/>
    <w:rsid w:val="00002ECC"/>
    <w:rsid w:val="000037E7"/>
    <w:rsid w:val="0000447F"/>
    <w:rsid w:val="00004754"/>
    <w:rsid w:val="00004913"/>
    <w:rsid w:val="000050AF"/>
    <w:rsid w:val="000062D4"/>
    <w:rsid w:val="00006592"/>
    <w:rsid w:val="00006EEB"/>
    <w:rsid w:val="0000717B"/>
    <w:rsid w:val="00010243"/>
    <w:rsid w:val="000103FC"/>
    <w:rsid w:val="00010635"/>
    <w:rsid w:val="0001092A"/>
    <w:rsid w:val="00010B0F"/>
    <w:rsid w:val="000118F6"/>
    <w:rsid w:val="00012046"/>
    <w:rsid w:val="000132E0"/>
    <w:rsid w:val="00014DAF"/>
    <w:rsid w:val="00015AD2"/>
    <w:rsid w:val="00016D4C"/>
    <w:rsid w:val="00017D49"/>
    <w:rsid w:val="00020C80"/>
    <w:rsid w:val="0002145C"/>
    <w:rsid w:val="00021707"/>
    <w:rsid w:val="000219FE"/>
    <w:rsid w:val="0002237F"/>
    <w:rsid w:val="0002282A"/>
    <w:rsid w:val="00022E22"/>
    <w:rsid w:val="0002459E"/>
    <w:rsid w:val="0002465D"/>
    <w:rsid w:val="00024C5A"/>
    <w:rsid w:val="00025EC9"/>
    <w:rsid w:val="000262DB"/>
    <w:rsid w:val="00026C88"/>
    <w:rsid w:val="00027189"/>
    <w:rsid w:val="0002769E"/>
    <w:rsid w:val="00027A5A"/>
    <w:rsid w:val="00030FAC"/>
    <w:rsid w:val="00031AD0"/>
    <w:rsid w:val="00034535"/>
    <w:rsid w:val="00035074"/>
    <w:rsid w:val="000354E8"/>
    <w:rsid w:val="0003615D"/>
    <w:rsid w:val="000364F9"/>
    <w:rsid w:val="00040614"/>
    <w:rsid w:val="0004439F"/>
    <w:rsid w:val="00044BA4"/>
    <w:rsid w:val="00045146"/>
    <w:rsid w:val="00050015"/>
    <w:rsid w:val="000515A7"/>
    <w:rsid w:val="00051962"/>
    <w:rsid w:val="00051AF2"/>
    <w:rsid w:val="00051F72"/>
    <w:rsid w:val="000545C4"/>
    <w:rsid w:val="00054F79"/>
    <w:rsid w:val="00054FF6"/>
    <w:rsid w:val="00055462"/>
    <w:rsid w:val="00055B2B"/>
    <w:rsid w:val="00055F98"/>
    <w:rsid w:val="000563B2"/>
    <w:rsid w:val="000564FD"/>
    <w:rsid w:val="00056658"/>
    <w:rsid w:val="00057501"/>
    <w:rsid w:val="00057BA2"/>
    <w:rsid w:val="00062193"/>
    <w:rsid w:val="00062E5A"/>
    <w:rsid w:val="00063B56"/>
    <w:rsid w:val="000640A8"/>
    <w:rsid w:val="000640AE"/>
    <w:rsid w:val="00064176"/>
    <w:rsid w:val="00064C51"/>
    <w:rsid w:val="00065433"/>
    <w:rsid w:val="00065957"/>
    <w:rsid w:val="00065C67"/>
    <w:rsid w:val="00066808"/>
    <w:rsid w:val="00067BAC"/>
    <w:rsid w:val="000718D5"/>
    <w:rsid w:val="00072EE3"/>
    <w:rsid w:val="00072F78"/>
    <w:rsid w:val="00073D69"/>
    <w:rsid w:val="000755ED"/>
    <w:rsid w:val="000756FB"/>
    <w:rsid w:val="00075A95"/>
    <w:rsid w:val="00077C91"/>
    <w:rsid w:val="00080103"/>
    <w:rsid w:val="0008139E"/>
    <w:rsid w:val="000819E7"/>
    <w:rsid w:val="00081B92"/>
    <w:rsid w:val="00082B60"/>
    <w:rsid w:val="00082DD6"/>
    <w:rsid w:val="00082E39"/>
    <w:rsid w:val="00084488"/>
    <w:rsid w:val="0008476A"/>
    <w:rsid w:val="0008571E"/>
    <w:rsid w:val="00085B07"/>
    <w:rsid w:val="00085B26"/>
    <w:rsid w:val="00085C6A"/>
    <w:rsid w:val="00085FE3"/>
    <w:rsid w:val="00086058"/>
    <w:rsid w:val="00086DAF"/>
    <w:rsid w:val="00087A8F"/>
    <w:rsid w:val="00087C56"/>
    <w:rsid w:val="00090437"/>
    <w:rsid w:val="00091986"/>
    <w:rsid w:val="00092477"/>
    <w:rsid w:val="00092DFF"/>
    <w:rsid w:val="00093A1D"/>
    <w:rsid w:val="00094A82"/>
    <w:rsid w:val="0009500A"/>
    <w:rsid w:val="00095160"/>
    <w:rsid w:val="00095A2E"/>
    <w:rsid w:val="00095D07"/>
    <w:rsid w:val="0009644F"/>
    <w:rsid w:val="000979A2"/>
    <w:rsid w:val="000A0269"/>
    <w:rsid w:val="000A0A27"/>
    <w:rsid w:val="000A128F"/>
    <w:rsid w:val="000A1EB4"/>
    <w:rsid w:val="000A31BF"/>
    <w:rsid w:val="000A3DCD"/>
    <w:rsid w:val="000A4E10"/>
    <w:rsid w:val="000B0B7D"/>
    <w:rsid w:val="000B0E7C"/>
    <w:rsid w:val="000B146A"/>
    <w:rsid w:val="000B1735"/>
    <w:rsid w:val="000B2112"/>
    <w:rsid w:val="000B29DC"/>
    <w:rsid w:val="000B2CF8"/>
    <w:rsid w:val="000B2E8D"/>
    <w:rsid w:val="000B2F0A"/>
    <w:rsid w:val="000B3AC3"/>
    <w:rsid w:val="000B4956"/>
    <w:rsid w:val="000B532E"/>
    <w:rsid w:val="000B72E4"/>
    <w:rsid w:val="000C0270"/>
    <w:rsid w:val="000C0383"/>
    <w:rsid w:val="000C11A7"/>
    <w:rsid w:val="000C135B"/>
    <w:rsid w:val="000C17B3"/>
    <w:rsid w:val="000C1C0A"/>
    <w:rsid w:val="000C1D1B"/>
    <w:rsid w:val="000C25EA"/>
    <w:rsid w:val="000C2741"/>
    <w:rsid w:val="000C3892"/>
    <w:rsid w:val="000C38B9"/>
    <w:rsid w:val="000C3CF4"/>
    <w:rsid w:val="000C4DDE"/>
    <w:rsid w:val="000D0573"/>
    <w:rsid w:val="000D1A51"/>
    <w:rsid w:val="000D1B78"/>
    <w:rsid w:val="000D2C32"/>
    <w:rsid w:val="000D4314"/>
    <w:rsid w:val="000D4DC4"/>
    <w:rsid w:val="000D5475"/>
    <w:rsid w:val="000D662B"/>
    <w:rsid w:val="000D6E37"/>
    <w:rsid w:val="000D7D21"/>
    <w:rsid w:val="000E0D18"/>
    <w:rsid w:val="000E13B2"/>
    <w:rsid w:val="000E14AF"/>
    <w:rsid w:val="000E1F44"/>
    <w:rsid w:val="000E23C6"/>
    <w:rsid w:val="000E4AEB"/>
    <w:rsid w:val="000E5392"/>
    <w:rsid w:val="000E55DD"/>
    <w:rsid w:val="000E6C40"/>
    <w:rsid w:val="000E7888"/>
    <w:rsid w:val="000E7C24"/>
    <w:rsid w:val="000F0B6B"/>
    <w:rsid w:val="000F2D94"/>
    <w:rsid w:val="000F2ED6"/>
    <w:rsid w:val="000F3245"/>
    <w:rsid w:val="000F3552"/>
    <w:rsid w:val="000F44FB"/>
    <w:rsid w:val="000F4A90"/>
    <w:rsid w:val="000F4C5B"/>
    <w:rsid w:val="000F5D98"/>
    <w:rsid w:val="000F5E9B"/>
    <w:rsid w:val="0010028E"/>
    <w:rsid w:val="00100CCA"/>
    <w:rsid w:val="0010182F"/>
    <w:rsid w:val="00101862"/>
    <w:rsid w:val="00102529"/>
    <w:rsid w:val="00102714"/>
    <w:rsid w:val="00102CDF"/>
    <w:rsid w:val="00103340"/>
    <w:rsid w:val="001035A8"/>
    <w:rsid w:val="00103704"/>
    <w:rsid w:val="00103DB7"/>
    <w:rsid w:val="00104433"/>
    <w:rsid w:val="0010477F"/>
    <w:rsid w:val="00105106"/>
    <w:rsid w:val="00105224"/>
    <w:rsid w:val="0010556A"/>
    <w:rsid w:val="00107E8B"/>
    <w:rsid w:val="0011032D"/>
    <w:rsid w:val="0011033C"/>
    <w:rsid w:val="00110D3A"/>
    <w:rsid w:val="00111B98"/>
    <w:rsid w:val="001120AB"/>
    <w:rsid w:val="00112710"/>
    <w:rsid w:val="001140D3"/>
    <w:rsid w:val="00114FD6"/>
    <w:rsid w:val="00117563"/>
    <w:rsid w:val="00117FFC"/>
    <w:rsid w:val="00120124"/>
    <w:rsid w:val="0012070B"/>
    <w:rsid w:val="00120F42"/>
    <w:rsid w:val="00122D27"/>
    <w:rsid w:val="001236A5"/>
    <w:rsid w:val="00125348"/>
    <w:rsid w:val="00125FE9"/>
    <w:rsid w:val="001260A0"/>
    <w:rsid w:val="0013045E"/>
    <w:rsid w:val="00130958"/>
    <w:rsid w:val="001309D4"/>
    <w:rsid w:val="0013154C"/>
    <w:rsid w:val="00131756"/>
    <w:rsid w:val="001317C6"/>
    <w:rsid w:val="00135249"/>
    <w:rsid w:val="00135418"/>
    <w:rsid w:val="0013646A"/>
    <w:rsid w:val="001375A9"/>
    <w:rsid w:val="00137B09"/>
    <w:rsid w:val="00141485"/>
    <w:rsid w:val="00143197"/>
    <w:rsid w:val="00143A92"/>
    <w:rsid w:val="001448ED"/>
    <w:rsid w:val="00145329"/>
    <w:rsid w:val="00145448"/>
    <w:rsid w:val="001456AF"/>
    <w:rsid w:val="00146242"/>
    <w:rsid w:val="00146AB1"/>
    <w:rsid w:val="0014727A"/>
    <w:rsid w:val="001479CA"/>
    <w:rsid w:val="00147A56"/>
    <w:rsid w:val="00147FDC"/>
    <w:rsid w:val="00150491"/>
    <w:rsid w:val="001508BA"/>
    <w:rsid w:val="00151772"/>
    <w:rsid w:val="001517C0"/>
    <w:rsid w:val="00151C15"/>
    <w:rsid w:val="00151C7A"/>
    <w:rsid w:val="001521E6"/>
    <w:rsid w:val="00153630"/>
    <w:rsid w:val="00153A24"/>
    <w:rsid w:val="00153B4B"/>
    <w:rsid w:val="00153BF7"/>
    <w:rsid w:val="00154633"/>
    <w:rsid w:val="0015494B"/>
    <w:rsid w:val="00156A26"/>
    <w:rsid w:val="00156D22"/>
    <w:rsid w:val="0015701F"/>
    <w:rsid w:val="001572D0"/>
    <w:rsid w:val="00157882"/>
    <w:rsid w:val="00160814"/>
    <w:rsid w:val="0016092E"/>
    <w:rsid w:val="00160DC5"/>
    <w:rsid w:val="00160FE5"/>
    <w:rsid w:val="001632B1"/>
    <w:rsid w:val="00163673"/>
    <w:rsid w:val="0016413A"/>
    <w:rsid w:val="00164DC4"/>
    <w:rsid w:val="00165382"/>
    <w:rsid w:val="00165630"/>
    <w:rsid w:val="00165E3F"/>
    <w:rsid w:val="001662E4"/>
    <w:rsid w:val="001702A4"/>
    <w:rsid w:val="00170961"/>
    <w:rsid w:val="00171506"/>
    <w:rsid w:val="0017152B"/>
    <w:rsid w:val="00171A2E"/>
    <w:rsid w:val="00171BDF"/>
    <w:rsid w:val="00172B5E"/>
    <w:rsid w:val="00172E68"/>
    <w:rsid w:val="001745BF"/>
    <w:rsid w:val="00174E31"/>
    <w:rsid w:val="0017526A"/>
    <w:rsid w:val="001758D8"/>
    <w:rsid w:val="001762CC"/>
    <w:rsid w:val="00176F03"/>
    <w:rsid w:val="0017710A"/>
    <w:rsid w:val="00177F70"/>
    <w:rsid w:val="00180ABF"/>
    <w:rsid w:val="0018189C"/>
    <w:rsid w:val="00181BC9"/>
    <w:rsid w:val="00184CF4"/>
    <w:rsid w:val="001853C3"/>
    <w:rsid w:val="00185494"/>
    <w:rsid w:val="00186BD0"/>
    <w:rsid w:val="00186E31"/>
    <w:rsid w:val="0018730F"/>
    <w:rsid w:val="00187E9C"/>
    <w:rsid w:val="00190458"/>
    <w:rsid w:val="00190B40"/>
    <w:rsid w:val="00190E17"/>
    <w:rsid w:val="0019104E"/>
    <w:rsid w:val="001916C1"/>
    <w:rsid w:val="001917B5"/>
    <w:rsid w:val="00191C61"/>
    <w:rsid w:val="00192696"/>
    <w:rsid w:val="0019272C"/>
    <w:rsid w:val="00192EC0"/>
    <w:rsid w:val="0019457F"/>
    <w:rsid w:val="00195070"/>
    <w:rsid w:val="00195253"/>
    <w:rsid w:val="0019590B"/>
    <w:rsid w:val="00196670"/>
    <w:rsid w:val="0019742B"/>
    <w:rsid w:val="001A07BF"/>
    <w:rsid w:val="001A083E"/>
    <w:rsid w:val="001A09FF"/>
    <w:rsid w:val="001A0E1D"/>
    <w:rsid w:val="001A11E6"/>
    <w:rsid w:val="001A134F"/>
    <w:rsid w:val="001A2A9B"/>
    <w:rsid w:val="001A35C3"/>
    <w:rsid w:val="001A3D36"/>
    <w:rsid w:val="001A42DF"/>
    <w:rsid w:val="001A473A"/>
    <w:rsid w:val="001A5482"/>
    <w:rsid w:val="001A714B"/>
    <w:rsid w:val="001B1179"/>
    <w:rsid w:val="001B11C1"/>
    <w:rsid w:val="001B3420"/>
    <w:rsid w:val="001B47E5"/>
    <w:rsid w:val="001B4977"/>
    <w:rsid w:val="001B5038"/>
    <w:rsid w:val="001B791B"/>
    <w:rsid w:val="001B7B40"/>
    <w:rsid w:val="001C049B"/>
    <w:rsid w:val="001C05D4"/>
    <w:rsid w:val="001C0CB8"/>
    <w:rsid w:val="001C1ECD"/>
    <w:rsid w:val="001C2D55"/>
    <w:rsid w:val="001C445A"/>
    <w:rsid w:val="001C5D67"/>
    <w:rsid w:val="001C603C"/>
    <w:rsid w:val="001C6FCA"/>
    <w:rsid w:val="001C70B1"/>
    <w:rsid w:val="001C75E5"/>
    <w:rsid w:val="001C79C9"/>
    <w:rsid w:val="001D0F82"/>
    <w:rsid w:val="001D21FB"/>
    <w:rsid w:val="001D3925"/>
    <w:rsid w:val="001D3E95"/>
    <w:rsid w:val="001D446E"/>
    <w:rsid w:val="001D4919"/>
    <w:rsid w:val="001D4E46"/>
    <w:rsid w:val="001D513F"/>
    <w:rsid w:val="001D5598"/>
    <w:rsid w:val="001D6556"/>
    <w:rsid w:val="001D6F5E"/>
    <w:rsid w:val="001E0404"/>
    <w:rsid w:val="001E11A2"/>
    <w:rsid w:val="001E166F"/>
    <w:rsid w:val="001E17DD"/>
    <w:rsid w:val="001E17FF"/>
    <w:rsid w:val="001E2363"/>
    <w:rsid w:val="001E2CB0"/>
    <w:rsid w:val="001E3432"/>
    <w:rsid w:val="001E371A"/>
    <w:rsid w:val="001E4538"/>
    <w:rsid w:val="001E4640"/>
    <w:rsid w:val="001E5511"/>
    <w:rsid w:val="001E666B"/>
    <w:rsid w:val="001E6B49"/>
    <w:rsid w:val="001E6CC1"/>
    <w:rsid w:val="001E7292"/>
    <w:rsid w:val="001F0D6E"/>
    <w:rsid w:val="001F138C"/>
    <w:rsid w:val="001F1BF9"/>
    <w:rsid w:val="001F1C1E"/>
    <w:rsid w:val="001F252C"/>
    <w:rsid w:val="001F274C"/>
    <w:rsid w:val="001F2EA6"/>
    <w:rsid w:val="001F33E3"/>
    <w:rsid w:val="001F3A9B"/>
    <w:rsid w:val="001F3FAF"/>
    <w:rsid w:val="001F4214"/>
    <w:rsid w:val="001F51C3"/>
    <w:rsid w:val="001F51F9"/>
    <w:rsid w:val="001F5648"/>
    <w:rsid w:val="001F5726"/>
    <w:rsid w:val="001F69CF"/>
    <w:rsid w:val="001F6AA4"/>
    <w:rsid w:val="001F6C0B"/>
    <w:rsid w:val="001F6F06"/>
    <w:rsid w:val="001F7B58"/>
    <w:rsid w:val="001F7EE8"/>
    <w:rsid w:val="0020064B"/>
    <w:rsid w:val="00200667"/>
    <w:rsid w:val="002008E3"/>
    <w:rsid w:val="00200D10"/>
    <w:rsid w:val="00200FDE"/>
    <w:rsid w:val="002012DA"/>
    <w:rsid w:val="002023D5"/>
    <w:rsid w:val="00202B53"/>
    <w:rsid w:val="002032D4"/>
    <w:rsid w:val="00203885"/>
    <w:rsid w:val="00203CFF"/>
    <w:rsid w:val="002051EC"/>
    <w:rsid w:val="00205227"/>
    <w:rsid w:val="00205900"/>
    <w:rsid w:val="00205930"/>
    <w:rsid w:val="00205CDB"/>
    <w:rsid w:val="0020657A"/>
    <w:rsid w:val="002068CD"/>
    <w:rsid w:val="0020729A"/>
    <w:rsid w:val="002076C8"/>
    <w:rsid w:val="00207BAA"/>
    <w:rsid w:val="00207E80"/>
    <w:rsid w:val="00210BD1"/>
    <w:rsid w:val="002112F9"/>
    <w:rsid w:val="002115AA"/>
    <w:rsid w:val="002119CE"/>
    <w:rsid w:val="00212420"/>
    <w:rsid w:val="00213948"/>
    <w:rsid w:val="00214889"/>
    <w:rsid w:val="00214F53"/>
    <w:rsid w:val="00216556"/>
    <w:rsid w:val="00216B16"/>
    <w:rsid w:val="00216B75"/>
    <w:rsid w:val="00216D51"/>
    <w:rsid w:val="0021715C"/>
    <w:rsid w:val="00217CE0"/>
    <w:rsid w:val="0022032B"/>
    <w:rsid w:val="00220537"/>
    <w:rsid w:val="00220779"/>
    <w:rsid w:val="00221819"/>
    <w:rsid w:val="00221CFD"/>
    <w:rsid w:val="00222B6B"/>
    <w:rsid w:val="00223EA4"/>
    <w:rsid w:val="002240F5"/>
    <w:rsid w:val="00224A9F"/>
    <w:rsid w:val="00224C0A"/>
    <w:rsid w:val="00224ED8"/>
    <w:rsid w:val="00225164"/>
    <w:rsid w:val="0022541A"/>
    <w:rsid w:val="002255B3"/>
    <w:rsid w:val="002257BD"/>
    <w:rsid w:val="00225F47"/>
    <w:rsid w:val="00226EF1"/>
    <w:rsid w:val="002271EE"/>
    <w:rsid w:val="00227536"/>
    <w:rsid w:val="00227538"/>
    <w:rsid w:val="00230079"/>
    <w:rsid w:val="0023113C"/>
    <w:rsid w:val="002312CD"/>
    <w:rsid w:val="00232350"/>
    <w:rsid w:val="00232863"/>
    <w:rsid w:val="002336A1"/>
    <w:rsid w:val="00233C43"/>
    <w:rsid w:val="00233C69"/>
    <w:rsid w:val="0023411C"/>
    <w:rsid w:val="00234916"/>
    <w:rsid w:val="00234B24"/>
    <w:rsid w:val="00235324"/>
    <w:rsid w:val="0023599B"/>
    <w:rsid w:val="00235B7B"/>
    <w:rsid w:val="00236714"/>
    <w:rsid w:val="002373B3"/>
    <w:rsid w:val="00237762"/>
    <w:rsid w:val="00237C6B"/>
    <w:rsid w:val="00237E78"/>
    <w:rsid w:val="00240A28"/>
    <w:rsid w:val="0024259B"/>
    <w:rsid w:val="002433C5"/>
    <w:rsid w:val="0024422F"/>
    <w:rsid w:val="002452FF"/>
    <w:rsid w:val="0024558D"/>
    <w:rsid w:val="002455B0"/>
    <w:rsid w:val="002467D7"/>
    <w:rsid w:val="00246A0C"/>
    <w:rsid w:val="00246DD1"/>
    <w:rsid w:val="00250A65"/>
    <w:rsid w:val="00251C38"/>
    <w:rsid w:val="0025213D"/>
    <w:rsid w:val="002524BE"/>
    <w:rsid w:val="00252B78"/>
    <w:rsid w:val="002533F2"/>
    <w:rsid w:val="00253414"/>
    <w:rsid w:val="00253952"/>
    <w:rsid w:val="00253F2D"/>
    <w:rsid w:val="00254974"/>
    <w:rsid w:val="00255550"/>
    <w:rsid w:val="00255D00"/>
    <w:rsid w:val="00255FD6"/>
    <w:rsid w:val="00256471"/>
    <w:rsid w:val="002567E1"/>
    <w:rsid w:val="0025683E"/>
    <w:rsid w:val="00256BE4"/>
    <w:rsid w:val="00256C11"/>
    <w:rsid w:val="00261BD5"/>
    <w:rsid w:val="00262016"/>
    <w:rsid w:val="00262232"/>
    <w:rsid w:val="00262E7C"/>
    <w:rsid w:val="00262FED"/>
    <w:rsid w:val="0026323C"/>
    <w:rsid w:val="00263933"/>
    <w:rsid w:val="002644FC"/>
    <w:rsid w:val="002647DD"/>
    <w:rsid w:val="00265004"/>
    <w:rsid w:val="00265C24"/>
    <w:rsid w:val="002678A1"/>
    <w:rsid w:val="00271216"/>
    <w:rsid w:val="002714DD"/>
    <w:rsid w:val="00272009"/>
    <w:rsid w:val="00272538"/>
    <w:rsid w:val="0027262D"/>
    <w:rsid w:val="00272EA5"/>
    <w:rsid w:val="00273319"/>
    <w:rsid w:val="002733AD"/>
    <w:rsid w:val="00273FF6"/>
    <w:rsid w:val="00274033"/>
    <w:rsid w:val="00274892"/>
    <w:rsid w:val="00274FA1"/>
    <w:rsid w:val="00275065"/>
    <w:rsid w:val="002755A7"/>
    <w:rsid w:val="00276098"/>
    <w:rsid w:val="002762B9"/>
    <w:rsid w:val="00277267"/>
    <w:rsid w:val="0028117F"/>
    <w:rsid w:val="0028135B"/>
    <w:rsid w:val="00281BF2"/>
    <w:rsid w:val="00281F8C"/>
    <w:rsid w:val="002823C9"/>
    <w:rsid w:val="00282923"/>
    <w:rsid w:val="00282FF3"/>
    <w:rsid w:val="00283736"/>
    <w:rsid w:val="00283A2A"/>
    <w:rsid w:val="00283BE0"/>
    <w:rsid w:val="00284235"/>
    <w:rsid w:val="002844EF"/>
    <w:rsid w:val="002862CD"/>
    <w:rsid w:val="00286850"/>
    <w:rsid w:val="00286917"/>
    <w:rsid w:val="00286B77"/>
    <w:rsid w:val="00286C49"/>
    <w:rsid w:val="0028727B"/>
    <w:rsid w:val="002873D2"/>
    <w:rsid w:val="00291020"/>
    <w:rsid w:val="00291713"/>
    <w:rsid w:val="0029174C"/>
    <w:rsid w:val="00291B8B"/>
    <w:rsid w:val="0029282E"/>
    <w:rsid w:val="002929A6"/>
    <w:rsid w:val="0029508D"/>
    <w:rsid w:val="00295265"/>
    <w:rsid w:val="002974D2"/>
    <w:rsid w:val="002A11D6"/>
    <w:rsid w:val="002A1261"/>
    <w:rsid w:val="002A194E"/>
    <w:rsid w:val="002A1BA0"/>
    <w:rsid w:val="002A23C3"/>
    <w:rsid w:val="002A359C"/>
    <w:rsid w:val="002A3C69"/>
    <w:rsid w:val="002A47CC"/>
    <w:rsid w:val="002A4E61"/>
    <w:rsid w:val="002A4EFE"/>
    <w:rsid w:val="002A512A"/>
    <w:rsid w:val="002A5B9C"/>
    <w:rsid w:val="002A6E7D"/>
    <w:rsid w:val="002A7313"/>
    <w:rsid w:val="002B0212"/>
    <w:rsid w:val="002B08A3"/>
    <w:rsid w:val="002B0AC5"/>
    <w:rsid w:val="002B15AF"/>
    <w:rsid w:val="002B1A2A"/>
    <w:rsid w:val="002B264B"/>
    <w:rsid w:val="002B3494"/>
    <w:rsid w:val="002B3537"/>
    <w:rsid w:val="002B3A64"/>
    <w:rsid w:val="002B4136"/>
    <w:rsid w:val="002B41B5"/>
    <w:rsid w:val="002B51BE"/>
    <w:rsid w:val="002B5770"/>
    <w:rsid w:val="002B5D9E"/>
    <w:rsid w:val="002B7451"/>
    <w:rsid w:val="002B7516"/>
    <w:rsid w:val="002B79A4"/>
    <w:rsid w:val="002C05FF"/>
    <w:rsid w:val="002C0A51"/>
    <w:rsid w:val="002C0E9E"/>
    <w:rsid w:val="002C1A0B"/>
    <w:rsid w:val="002C25B9"/>
    <w:rsid w:val="002C42DE"/>
    <w:rsid w:val="002C4CC3"/>
    <w:rsid w:val="002C4FD0"/>
    <w:rsid w:val="002C53F7"/>
    <w:rsid w:val="002C5522"/>
    <w:rsid w:val="002C5ADC"/>
    <w:rsid w:val="002C6EFC"/>
    <w:rsid w:val="002C77A6"/>
    <w:rsid w:val="002C788A"/>
    <w:rsid w:val="002C7EFD"/>
    <w:rsid w:val="002C7F37"/>
    <w:rsid w:val="002D0021"/>
    <w:rsid w:val="002D2812"/>
    <w:rsid w:val="002D2F13"/>
    <w:rsid w:val="002D30A6"/>
    <w:rsid w:val="002D46B1"/>
    <w:rsid w:val="002D46F1"/>
    <w:rsid w:val="002D48C3"/>
    <w:rsid w:val="002D48ED"/>
    <w:rsid w:val="002D5F24"/>
    <w:rsid w:val="002D6057"/>
    <w:rsid w:val="002D7B2A"/>
    <w:rsid w:val="002E1B07"/>
    <w:rsid w:val="002E2340"/>
    <w:rsid w:val="002E2A95"/>
    <w:rsid w:val="002E354D"/>
    <w:rsid w:val="002E3B90"/>
    <w:rsid w:val="002E4712"/>
    <w:rsid w:val="002E57EC"/>
    <w:rsid w:val="002E5FE8"/>
    <w:rsid w:val="002F1EA0"/>
    <w:rsid w:val="002F2427"/>
    <w:rsid w:val="002F3398"/>
    <w:rsid w:val="002F3F32"/>
    <w:rsid w:val="002F4B05"/>
    <w:rsid w:val="002F4C33"/>
    <w:rsid w:val="002F521B"/>
    <w:rsid w:val="002F5BE6"/>
    <w:rsid w:val="002F6300"/>
    <w:rsid w:val="002F6710"/>
    <w:rsid w:val="00300EF0"/>
    <w:rsid w:val="00301258"/>
    <w:rsid w:val="0030159B"/>
    <w:rsid w:val="003027A5"/>
    <w:rsid w:val="00302F44"/>
    <w:rsid w:val="00303146"/>
    <w:rsid w:val="00303422"/>
    <w:rsid w:val="003038B8"/>
    <w:rsid w:val="00304702"/>
    <w:rsid w:val="00304C58"/>
    <w:rsid w:val="003076E7"/>
    <w:rsid w:val="00311097"/>
    <w:rsid w:val="00311305"/>
    <w:rsid w:val="00311F9E"/>
    <w:rsid w:val="0031222E"/>
    <w:rsid w:val="00312866"/>
    <w:rsid w:val="00313A13"/>
    <w:rsid w:val="00313EF6"/>
    <w:rsid w:val="003152E4"/>
    <w:rsid w:val="0031629B"/>
    <w:rsid w:val="00316638"/>
    <w:rsid w:val="00316EF1"/>
    <w:rsid w:val="0032019F"/>
    <w:rsid w:val="00320E65"/>
    <w:rsid w:val="00321085"/>
    <w:rsid w:val="00322243"/>
    <w:rsid w:val="0032241E"/>
    <w:rsid w:val="00322952"/>
    <w:rsid w:val="00324393"/>
    <w:rsid w:val="00325C56"/>
    <w:rsid w:val="00327081"/>
    <w:rsid w:val="00327815"/>
    <w:rsid w:val="00330A5F"/>
    <w:rsid w:val="00331C84"/>
    <w:rsid w:val="003325E9"/>
    <w:rsid w:val="003329B1"/>
    <w:rsid w:val="00332BDE"/>
    <w:rsid w:val="003334E3"/>
    <w:rsid w:val="00333DD6"/>
    <w:rsid w:val="003348FA"/>
    <w:rsid w:val="00336D97"/>
    <w:rsid w:val="0033710C"/>
    <w:rsid w:val="0033730D"/>
    <w:rsid w:val="00337802"/>
    <w:rsid w:val="003403F3"/>
    <w:rsid w:val="00340C60"/>
    <w:rsid w:val="0034198E"/>
    <w:rsid w:val="00341BCD"/>
    <w:rsid w:val="003429B7"/>
    <w:rsid w:val="00343F0F"/>
    <w:rsid w:val="00345098"/>
    <w:rsid w:val="00345EE9"/>
    <w:rsid w:val="00346087"/>
    <w:rsid w:val="003469C4"/>
    <w:rsid w:val="00346B96"/>
    <w:rsid w:val="00347AC1"/>
    <w:rsid w:val="00347AD0"/>
    <w:rsid w:val="00347B54"/>
    <w:rsid w:val="00347C38"/>
    <w:rsid w:val="00347FCB"/>
    <w:rsid w:val="003509B1"/>
    <w:rsid w:val="00350A5E"/>
    <w:rsid w:val="00351E5C"/>
    <w:rsid w:val="003535EB"/>
    <w:rsid w:val="00353967"/>
    <w:rsid w:val="003543E9"/>
    <w:rsid w:val="003548ED"/>
    <w:rsid w:val="00354C3A"/>
    <w:rsid w:val="003551C6"/>
    <w:rsid w:val="00356A02"/>
    <w:rsid w:val="00360885"/>
    <w:rsid w:val="00360CA5"/>
    <w:rsid w:val="0036177F"/>
    <w:rsid w:val="00361DD8"/>
    <w:rsid w:val="00363061"/>
    <w:rsid w:val="00363088"/>
    <w:rsid w:val="00363094"/>
    <w:rsid w:val="00363114"/>
    <w:rsid w:val="00363950"/>
    <w:rsid w:val="00364AAB"/>
    <w:rsid w:val="00364C36"/>
    <w:rsid w:val="00364F4E"/>
    <w:rsid w:val="00365534"/>
    <w:rsid w:val="003658DC"/>
    <w:rsid w:val="0036595E"/>
    <w:rsid w:val="00366DAD"/>
    <w:rsid w:val="00366F0D"/>
    <w:rsid w:val="0036746B"/>
    <w:rsid w:val="00371736"/>
    <w:rsid w:val="00371E65"/>
    <w:rsid w:val="00372AE5"/>
    <w:rsid w:val="003732FD"/>
    <w:rsid w:val="003745EB"/>
    <w:rsid w:val="00374A4D"/>
    <w:rsid w:val="00374C2C"/>
    <w:rsid w:val="00374DA8"/>
    <w:rsid w:val="00375A4F"/>
    <w:rsid w:val="00375CCB"/>
    <w:rsid w:val="00375D54"/>
    <w:rsid w:val="0037741A"/>
    <w:rsid w:val="00377B03"/>
    <w:rsid w:val="003803E4"/>
    <w:rsid w:val="00380B0B"/>
    <w:rsid w:val="0038222E"/>
    <w:rsid w:val="00382361"/>
    <w:rsid w:val="003837E4"/>
    <w:rsid w:val="00383F7F"/>
    <w:rsid w:val="003844DD"/>
    <w:rsid w:val="00384F3C"/>
    <w:rsid w:val="00385C5D"/>
    <w:rsid w:val="00385D31"/>
    <w:rsid w:val="0039000B"/>
    <w:rsid w:val="00390A61"/>
    <w:rsid w:val="00391840"/>
    <w:rsid w:val="003918B8"/>
    <w:rsid w:val="003920A6"/>
    <w:rsid w:val="00393BD3"/>
    <w:rsid w:val="003941C2"/>
    <w:rsid w:val="00394CFB"/>
    <w:rsid w:val="0039517E"/>
    <w:rsid w:val="003959D6"/>
    <w:rsid w:val="003965E0"/>
    <w:rsid w:val="003966BE"/>
    <w:rsid w:val="00397485"/>
    <w:rsid w:val="0039789E"/>
    <w:rsid w:val="00397A5B"/>
    <w:rsid w:val="00397B2D"/>
    <w:rsid w:val="00397D6C"/>
    <w:rsid w:val="003A043B"/>
    <w:rsid w:val="003A0D85"/>
    <w:rsid w:val="003A13A2"/>
    <w:rsid w:val="003A2B8B"/>
    <w:rsid w:val="003A30DB"/>
    <w:rsid w:val="003A33AC"/>
    <w:rsid w:val="003A4046"/>
    <w:rsid w:val="003A5343"/>
    <w:rsid w:val="003A599B"/>
    <w:rsid w:val="003A64E4"/>
    <w:rsid w:val="003A6FCB"/>
    <w:rsid w:val="003A719E"/>
    <w:rsid w:val="003B0399"/>
    <w:rsid w:val="003B04A6"/>
    <w:rsid w:val="003B0C65"/>
    <w:rsid w:val="003B1025"/>
    <w:rsid w:val="003B1A32"/>
    <w:rsid w:val="003B2181"/>
    <w:rsid w:val="003B23A6"/>
    <w:rsid w:val="003B2CBD"/>
    <w:rsid w:val="003B2CD8"/>
    <w:rsid w:val="003B3C7A"/>
    <w:rsid w:val="003B3CA2"/>
    <w:rsid w:val="003B52DE"/>
    <w:rsid w:val="003B5993"/>
    <w:rsid w:val="003B66F2"/>
    <w:rsid w:val="003B7174"/>
    <w:rsid w:val="003B795E"/>
    <w:rsid w:val="003B7C01"/>
    <w:rsid w:val="003C015E"/>
    <w:rsid w:val="003C01F0"/>
    <w:rsid w:val="003C06D1"/>
    <w:rsid w:val="003C0739"/>
    <w:rsid w:val="003C076D"/>
    <w:rsid w:val="003C09A0"/>
    <w:rsid w:val="003C1A81"/>
    <w:rsid w:val="003C1F07"/>
    <w:rsid w:val="003C2112"/>
    <w:rsid w:val="003C396D"/>
    <w:rsid w:val="003C39A0"/>
    <w:rsid w:val="003C4A65"/>
    <w:rsid w:val="003C4BC0"/>
    <w:rsid w:val="003C6262"/>
    <w:rsid w:val="003C7248"/>
    <w:rsid w:val="003C75BA"/>
    <w:rsid w:val="003D000E"/>
    <w:rsid w:val="003D10EE"/>
    <w:rsid w:val="003D18D3"/>
    <w:rsid w:val="003D1A89"/>
    <w:rsid w:val="003D1B05"/>
    <w:rsid w:val="003D223A"/>
    <w:rsid w:val="003D26AA"/>
    <w:rsid w:val="003D5010"/>
    <w:rsid w:val="003D52DD"/>
    <w:rsid w:val="003D5406"/>
    <w:rsid w:val="003D583C"/>
    <w:rsid w:val="003D67F7"/>
    <w:rsid w:val="003D722B"/>
    <w:rsid w:val="003E1BAF"/>
    <w:rsid w:val="003E1DD0"/>
    <w:rsid w:val="003E237A"/>
    <w:rsid w:val="003E2839"/>
    <w:rsid w:val="003E3021"/>
    <w:rsid w:val="003E42B8"/>
    <w:rsid w:val="003E4618"/>
    <w:rsid w:val="003E619A"/>
    <w:rsid w:val="003E63F6"/>
    <w:rsid w:val="003E6BBF"/>
    <w:rsid w:val="003E7292"/>
    <w:rsid w:val="003E7293"/>
    <w:rsid w:val="003F1020"/>
    <w:rsid w:val="003F1537"/>
    <w:rsid w:val="003F1DDA"/>
    <w:rsid w:val="003F1F17"/>
    <w:rsid w:val="003F3184"/>
    <w:rsid w:val="003F3BB5"/>
    <w:rsid w:val="003F48FA"/>
    <w:rsid w:val="003F76EC"/>
    <w:rsid w:val="003F7DB3"/>
    <w:rsid w:val="00401547"/>
    <w:rsid w:val="0040192F"/>
    <w:rsid w:val="00401FFF"/>
    <w:rsid w:val="004021A9"/>
    <w:rsid w:val="00402284"/>
    <w:rsid w:val="00403156"/>
    <w:rsid w:val="00403C6E"/>
    <w:rsid w:val="00404D66"/>
    <w:rsid w:val="00404F81"/>
    <w:rsid w:val="00405108"/>
    <w:rsid w:val="0040519F"/>
    <w:rsid w:val="00406564"/>
    <w:rsid w:val="00407204"/>
    <w:rsid w:val="00410500"/>
    <w:rsid w:val="00411228"/>
    <w:rsid w:val="004119EA"/>
    <w:rsid w:val="004127E8"/>
    <w:rsid w:val="004140BF"/>
    <w:rsid w:val="00414669"/>
    <w:rsid w:val="00414B29"/>
    <w:rsid w:val="00416FFE"/>
    <w:rsid w:val="00420A49"/>
    <w:rsid w:val="004222DE"/>
    <w:rsid w:val="00422A43"/>
    <w:rsid w:val="004231B8"/>
    <w:rsid w:val="00424D7D"/>
    <w:rsid w:val="00425218"/>
    <w:rsid w:val="004257B2"/>
    <w:rsid w:val="004260AE"/>
    <w:rsid w:val="004262FB"/>
    <w:rsid w:val="00426B4C"/>
    <w:rsid w:val="00426C7B"/>
    <w:rsid w:val="0042751B"/>
    <w:rsid w:val="00427B04"/>
    <w:rsid w:val="00427C81"/>
    <w:rsid w:val="00427E9A"/>
    <w:rsid w:val="0043069F"/>
    <w:rsid w:val="004306CD"/>
    <w:rsid w:val="00431076"/>
    <w:rsid w:val="0043136C"/>
    <w:rsid w:val="00431D34"/>
    <w:rsid w:val="004323A8"/>
    <w:rsid w:val="00432EF0"/>
    <w:rsid w:val="00432FC1"/>
    <w:rsid w:val="00434B7D"/>
    <w:rsid w:val="004362CA"/>
    <w:rsid w:val="00437998"/>
    <w:rsid w:val="00437D33"/>
    <w:rsid w:val="00440087"/>
    <w:rsid w:val="00440248"/>
    <w:rsid w:val="00440646"/>
    <w:rsid w:val="00440ED2"/>
    <w:rsid w:val="00441D8C"/>
    <w:rsid w:val="00441EFA"/>
    <w:rsid w:val="00442473"/>
    <w:rsid w:val="0044255B"/>
    <w:rsid w:val="00443224"/>
    <w:rsid w:val="00444201"/>
    <w:rsid w:val="0044475F"/>
    <w:rsid w:val="004448BA"/>
    <w:rsid w:val="00445282"/>
    <w:rsid w:val="00445698"/>
    <w:rsid w:val="0044647B"/>
    <w:rsid w:val="00446E16"/>
    <w:rsid w:val="004474FF"/>
    <w:rsid w:val="00447FDE"/>
    <w:rsid w:val="004510B1"/>
    <w:rsid w:val="0045113E"/>
    <w:rsid w:val="004515D2"/>
    <w:rsid w:val="004537A5"/>
    <w:rsid w:val="00453858"/>
    <w:rsid w:val="00455293"/>
    <w:rsid w:val="0045659B"/>
    <w:rsid w:val="004569C8"/>
    <w:rsid w:val="00457325"/>
    <w:rsid w:val="00457428"/>
    <w:rsid w:val="0046062D"/>
    <w:rsid w:val="00461591"/>
    <w:rsid w:val="00461A46"/>
    <w:rsid w:val="00461DD6"/>
    <w:rsid w:val="004625CA"/>
    <w:rsid w:val="004626F1"/>
    <w:rsid w:val="00463EEC"/>
    <w:rsid w:val="00464284"/>
    <w:rsid w:val="0046447F"/>
    <w:rsid w:val="0046484D"/>
    <w:rsid w:val="00465FE7"/>
    <w:rsid w:val="00466CC9"/>
    <w:rsid w:val="00467B23"/>
    <w:rsid w:val="00467F4F"/>
    <w:rsid w:val="004702EA"/>
    <w:rsid w:val="00470729"/>
    <w:rsid w:val="00470A2F"/>
    <w:rsid w:val="00471316"/>
    <w:rsid w:val="00471AD2"/>
    <w:rsid w:val="00471CEA"/>
    <w:rsid w:val="00472352"/>
    <w:rsid w:val="00472DA7"/>
    <w:rsid w:val="004732A7"/>
    <w:rsid w:val="00473CB9"/>
    <w:rsid w:val="004746C9"/>
    <w:rsid w:val="00474D4D"/>
    <w:rsid w:val="004760F3"/>
    <w:rsid w:val="00476C55"/>
    <w:rsid w:val="00477E6D"/>
    <w:rsid w:val="00481301"/>
    <w:rsid w:val="00483422"/>
    <w:rsid w:val="00483965"/>
    <w:rsid w:val="004842B7"/>
    <w:rsid w:val="00484331"/>
    <w:rsid w:val="00484486"/>
    <w:rsid w:val="00484E11"/>
    <w:rsid w:val="00485181"/>
    <w:rsid w:val="00486557"/>
    <w:rsid w:val="00486737"/>
    <w:rsid w:val="00486C67"/>
    <w:rsid w:val="00487692"/>
    <w:rsid w:val="00492367"/>
    <w:rsid w:val="00492623"/>
    <w:rsid w:val="0049407C"/>
    <w:rsid w:val="00494B15"/>
    <w:rsid w:val="00494DCE"/>
    <w:rsid w:val="00495279"/>
    <w:rsid w:val="0049566B"/>
    <w:rsid w:val="00495773"/>
    <w:rsid w:val="004959CE"/>
    <w:rsid w:val="00496DA6"/>
    <w:rsid w:val="004A080C"/>
    <w:rsid w:val="004A0E0F"/>
    <w:rsid w:val="004A0F68"/>
    <w:rsid w:val="004A126A"/>
    <w:rsid w:val="004A1E48"/>
    <w:rsid w:val="004A1F0D"/>
    <w:rsid w:val="004A251D"/>
    <w:rsid w:val="004A3EBC"/>
    <w:rsid w:val="004A41E6"/>
    <w:rsid w:val="004A489F"/>
    <w:rsid w:val="004A4948"/>
    <w:rsid w:val="004A5ADD"/>
    <w:rsid w:val="004A5BB7"/>
    <w:rsid w:val="004A71EC"/>
    <w:rsid w:val="004A7708"/>
    <w:rsid w:val="004B18DB"/>
    <w:rsid w:val="004B18FC"/>
    <w:rsid w:val="004B1B21"/>
    <w:rsid w:val="004B2488"/>
    <w:rsid w:val="004B2F0C"/>
    <w:rsid w:val="004B3463"/>
    <w:rsid w:val="004B3BC3"/>
    <w:rsid w:val="004B4136"/>
    <w:rsid w:val="004B437C"/>
    <w:rsid w:val="004B46DA"/>
    <w:rsid w:val="004B49A5"/>
    <w:rsid w:val="004B6E6C"/>
    <w:rsid w:val="004B7E5E"/>
    <w:rsid w:val="004C06A4"/>
    <w:rsid w:val="004C070C"/>
    <w:rsid w:val="004C0C22"/>
    <w:rsid w:val="004C0D5C"/>
    <w:rsid w:val="004C194D"/>
    <w:rsid w:val="004C1E4B"/>
    <w:rsid w:val="004C4B95"/>
    <w:rsid w:val="004C5260"/>
    <w:rsid w:val="004C53C8"/>
    <w:rsid w:val="004C56B3"/>
    <w:rsid w:val="004C5EE7"/>
    <w:rsid w:val="004C726F"/>
    <w:rsid w:val="004D0748"/>
    <w:rsid w:val="004D104F"/>
    <w:rsid w:val="004D183F"/>
    <w:rsid w:val="004D2019"/>
    <w:rsid w:val="004D3936"/>
    <w:rsid w:val="004D5BE2"/>
    <w:rsid w:val="004D6C49"/>
    <w:rsid w:val="004D6EB5"/>
    <w:rsid w:val="004D7A5F"/>
    <w:rsid w:val="004E0950"/>
    <w:rsid w:val="004E098F"/>
    <w:rsid w:val="004E134D"/>
    <w:rsid w:val="004E1BB6"/>
    <w:rsid w:val="004E2695"/>
    <w:rsid w:val="004E44E1"/>
    <w:rsid w:val="004E4758"/>
    <w:rsid w:val="004E47E0"/>
    <w:rsid w:val="004E4ADB"/>
    <w:rsid w:val="004E4FF0"/>
    <w:rsid w:val="004E5FC1"/>
    <w:rsid w:val="004E6E07"/>
    <w:rsid w:val="004F112E"/>
    <w:rsid w:val="004F1B7C"/>
    <w:rsid w:val="004F2996"/>
    <w:rsid w:val="004F2D15"/>
    <w:rsid w:val="004F3A93"/>
    <w:rsid w:val="004F4FB9"/>
    <w:rsid w:val="004F6848"/>
    <w:rsid w:val="00500C8A"/>
    <w:rsid w:val="0050192A"/>
    <w:rsid w:val="0050209A"/>
    <w:rsid w:val="005028B8"/>
    <w:rsid w:val="00502907"/>
    <w:rsid w:val="00502BD6"/>
    <w:rsid w:val="00502C52"/>
    <w:rsid w:val="005034EB"/>
    <w:rsid w:val="00503605"/>
    <w:rsid w:val="00503C46"/>
    <w:rsid w:val="005040A5"/>
    <w:rsid w:val="005047D1"/>
    <w:rsid w:val="005047EC"/>
    <w:rsid w:val="00504BB3"/>
    <w:rsid w:val="005058B5"/>
    <w:rsid w:val="00505FC2"/>
    <w:rsid w:val="0050666E"/>
    <w:rsid w:val="0050699A"/>
    <w:rsid w:val="00506C06"/>
    <w:rsid w:val="00507BCA"/>
    <w:rsid w:val="00507DDB"/>
    <w:rsid w:val="00510C01"/>
    <w:rsid w:val="0051130E"/>
    <w:rsid w:val="00511343"/>
    <w:rsid w:val="00511F29"/>
    <w:rsid w:val="00513AC9"/>
    <w:rsid w:val="00513D4E"/>
    <w:rsid w:val="0051516F"/>
    <w:rsid w:val="00515EB1"/>
    <w:rsid w:val="005168D0"/>
    <w:rsid w:val="00516AA9"/>
    <w:rsid w:val="00516B22"/>
    <w:rsid w:val="00516C41"/>
    <w:rsid w:val="00517055"/>
    <w:rsid w:val="00517636"/>
    <w:rsid w:val="0051785C"/>
    <w:rsid w:val="0052006B"/>
    <w:rsid w:val="005220DE"/>
    <w:rsid w:val="005226F4"/>
    <w:rsid w:val="00523206"/>
    <w:rsid w:val="00523CF5"/>
    <w:rsid w:val="00524064"/>
    <w:rsid w:val="0052564A"/>
    <w:rsid w:val="005259C8"/>
    <w:rsid w:val="0052662E"/>
    <w:rsid w:val="00526A4D"/>
    <w:rsid w:val="005277E5"/>
    <w:rsid w:val="0052792E"/>
    <w:rsid w:val="005310E9"/>
    <w:rsid w:val="00533483"/>
    <w:rsid w:val="005338BD"/>
    <w:rsid w:val="00533DC2"/>
    <w:rsid w:val="005346AB"/>
    <w:rsid w:val="00534C9F"/>
    <w:rsid w:val="005351DE"/>
    <w:rsid w:val="005355D3"/>
    <w:rsid w:val="00536711"/>
    <w:rsid w:val="00537936"/>
    <w:rsid w:val="00540029"/>
    <w:rsid w:val="00540A27"/>
    <w:rsid w:val="00540AE7"/>
    <w:rsid w:val="00540E82"/>
    <w:rsid w:val="00541850"/>
    <w:rsid w:val="00542001"/>
    <w:rsid w:val="005428A2"/>
    <w:rsid w:val="0054478B"/>
    <w:rsid w:val="005465C7"/>
    <w:rsid w:val="005505F3"/>
    <w:rsid w:val="00550660"/>
    <w:rsid w:val="005508EA"/>
    <w:rsid w:val="00550A31"/>
    <w:rsid w:val="00550FE0"/>
    <w:rsid w:val="00551C63"/>
    <w:rsid w:val="00551C7F"/>
    <w:rsid w:val="00552B74"/>
    <w:rsid w:val="0055349D"/>
    <w:rsid w:val="005554F1"/>
    <w:rsid w:val="00556203"/>
    <w:rsid w:val="00556A7B"/>
    <w:rsid w:val="00556E1B"/>
    <w:rsid w:val="00557A2F"/>
    <w:rsid w:val="005601E6"/>
    <w:rsid w:val="00560FBA"/>
    <w:rsid w:val="005613C7"/>
    <w:rsid w:val="00561827"/>
    <w:rsid w:val="0056204C"/>
    <w:rsid w:val="0056216E"/>
    <w:rsid w:val="00562850"/>
    <w:rsid w:val="005635E3"/>
    <w:rsid w:val="00564D85"/>
    <w:rsid w:val="005650D0"/>
    <w:rsid w:val="00565B2A"/>
    <w:rsid w:val="00566674"/>
    <w:rsid w:val="00567287"/>
    <w:rsid w:val="00567780"/>
    <w:rsid w:val="0057064D"/>
    <w:rsid w:val="00572D2E"/>
    <w:rsid w:val="00574268"/>
    <w:rsid w:val="0057503A"/>
    <w:rsid w:val="0057539A"/>
    <w:rsid w:val="00575D25"/>
    <w:rsid w:val="00576512"/>
    <w:rsid w:val="00580045"/>
    <w:rsid w:val="00581468"/>
    <w:rsid w:val="00582114"/>
    <w:rsid w:val="0058292F"/>
    <w:rsid w:val="00582A3C"/>
    <w:rsid w:val="005830DF"/>
    <w:rsid w:val="0058361A"/>
    <w:rsid w:val="00583B5D"/>
    <w:rsid w:val="00584377"/>
    <w:rsid w:val="00584542"/>
    <w:rsid w:val="0058479F"/>
    <w:rsid w:val="00585BD7"/>
    <w:rsid w:val="00586638"/>
    <w:rsid w:val="00587E6F"/>
    <w:rsid w:val="0059017B"/>
    <w:rsid w:val="00592335"/>
    <w:rsid w:val="005932E5"/>
    <w:rsid w:val="00593B79"/>
    <w:rsid w:val="0059480A"/>
    <w:rsid w:val="00595D01"/>
    <w:rsid w:val="00595DEA"/>
    <w:rsid w:val="0059674C"/>
    <w:rsid w:val="00596A3E"/>
    <w:rsid w:val="00596D6D"/>
    <w:rsid w:val="005975CC"/>
    <w:rsid w:val="005A0ADB"/>
    <w:rsid w:val="005A1389"/>
    <w:rsid w:val="005A1414"/>
    <w:rsid w:val="005A15AD"/>
    <w:rsid w:val="005A16D6"/>
    <w:rsid w:val="005A1BD0"/>
    <w:rsid w:val="005A23D0"/>
    <w:rsid w:val="005A2BF7"/>
    <w:rsid w:val="005A365D"/>
    <w:rsid w:val="005A3C7C"/>
    <w:rsid w:val="005A56C7"/>
    <w:rsid w:val="005A6443"/>
    <w:rsid w:val="005A6B9D"/>
    <w:rsid w:val="005A6BFE"/>
    <w:rsid w:val="005B0416"/>
    <w:rsid w:val="005B20EE"/>
    <w:rsid w:val="005B2B8F"/>
    <w:rsid w:val="005B2D0C"/>
    <w:rsid w:val="005B3F83"/>
    <w:rsid w:val="005B4A53"/>
    <w:rsid w:val="005B5D68"/>
    <w:rsid w:val="005B6939"/>
    <w:rsid w:val="005C03E0"/>
    <w:rsid w:val="005C0406"/>
    <w:rsid w:val="005C0F56"/>
    <w:rsid w:val="005C1307"/>
    <w:rsid w:val="005C1762"/>
    <w:rsid w:val="005C1C13"/>
    <w:rsid w:val="005C1E96"/>
    <w:rsid w:val="005C23DE"/>
    <w:rsid w:val="005C276E"/>
    <w:rsid w:val="005C3654"/>
    <w:rsid w:val="005C3BAA"/>
    <w:rsid w:val="005C4BDD"/>
    <w:rsid w:val="005C4CFE"/>
    <w:rsid w:val="005C532D"/>
    <w:rsid w:val="005C542E"/>
    <w:rsid w:val="005C5CF3"/>
    <w:rsid w:val="005C5D66"/>
    <w:rsid w:val="005C73E5"/>
    <w:rsid w:val="005D0547"/>
    <w:rsid w:val="005D086A"/>
    <w:rsid w:val="005D0D1A"/>
    <w:rsid w:val="005D0EE7"/>
    <w:rsid w:val="005D1B96"/>
    <w:rsid w:val="005D2BAA"/>
    <w:rsid w:val="005D3C1E"/>
    <w:rsid w:val="005D4675"/>
    <w:rsid w:val="005D4A67"/>
    <w:rsid w:val="005D53E9"/>
    <w:rsid w:val="005D569B"/>
    <w:rsid w:val="005D64BD"/>
    <w:rsid w:val="005D67DA"/>
    <w:rsid w:val="005D6DEB"/>
    <w:rsid w:val="005D6F71"/>
    <w:rsid w:val="005E08EA"/>
    <w:rsid w:val="005E0F62"/>
    <w:rsid w:val="005E1CCB"/>
    <w:rsid w:val="005E2D6D"/>
    <w:rsid w:val="005E2F01"/>
    <w:rsid w:val="005E4BD5"/>
    <w:rsid w:val="005E4DD0"/>
    <w:rsid w:val="005E5EDF"/>
    <w:rsid w:val="005E60AE"/>
    <w:rsid w:val="005E6278"/>
    <w:rsid w:val="005E66C1"/>
    <w:rsid w:val="005E6F85"/>
    <w:rsid w:val="005E7F71"/>
    <w:rsid w:val="005F0555"/>
    <w:rsid w:val="005F300D"/>
    <w:rsid w:val="005F4027"/>
    <w:rsid w:val="005F416B"/>
    <w:rsid w:val="005F4681"/>
    <w:rsid w:val="005F5771"/>
    <w:rsid w:val="005F62FF"/>
    <w:rsid w:val="005F6696"/>
    <w:rsid w:val="005F6836"/>
    <w:rsid w:val="005F6D1A"/>
    <w:rsid w:val="005F6D38"/>
    <w:rsid w:val="005F7BD5"/>
    <w:rsid w:val="005F7D1C"/>
    <w:rsid w:val="0060055F"/>
    <w:rsid w:val="00600AFD"/>
    <w:rsid w:val="006010AB"/>
    <w:rsid w:val="0060290D"/>
    <w:rsid w:val="00602BB1"/>
    <w:rsid w:val="00602F45"/>
    <w:rsid w:val="006038A4"/>
    <w:rsid w:val="00603F70"/>
    <w:rsid w:val="0060432D"/>
    <w:rsid w:val="00606141"/>
    <w:rsid w:val="0061121C"/>
    <w:rsid w:val="00612D07"/>
    <w:rsid w:val="00614415"/>
    <w:rsid w:val="0061468F"/>
    <w:rsid w:val="00614A8C"/>
    <w:rsid w:val="00614BF4"/>
    <w:rsid w:val="00614F52"/>
    <w:rsid w:val="006159B2"/>
    <w:rsid w:val="00615BC1"/>
    <w:rsid w:val="00615BCD"/>
    <w:rsid w:val="00615C10"/>
    <w:rsid w:val="00615CBE"/>
    <w:rsid w:val="006166E6"/>
    <w:rsid w:val="0061680E"/>
    <w:rsid w:val="00616946"/>
    <w:rsid w:val="006177F0"/>
    <w:rsid w:val="00617DC0"/>
    <w:rsid w:val="00621BA9"/>
    <w:rsid w:val="00623920"/>
    <w:rsid w:val="00623A01"/>
    <w:rsid w:val="0062405C"/>
    <w:rsid w:val="00624E28"/>
    <w:rsid w:val="0062516B"/>
    <w:rsid w:val="0062625B"/>
    <w:rsid w:val="00626F27"/>
    <w:rsid w:val="0062735A"/>
    <w:rsid w:val="00627760"/>
    <w:rsid w:val="006305B6"/>
    <w:rsid w:val="00630705"/>
    <w:rsid w:val="006317AD"/>
    <w:rsid w:val="00631EF4"/>
    <w:rsid w:val="00634A65"/>
    <w:rsid w:val="00634C1C"/>
    <w:rsid w:val="00635322"/>
    <w:rsid w:val="00635CC0"/>
    <w:rsid w:val="00635D9E"/>
    <w:rsid w:val="006363A0"/>
    <w:rsid w:val="006367C1"/>
    <w:rsid w:val="00636D50"/>
    <w:rsid w:val="00636F9F"/>
    <w:rsid w:val="0064040E"/>
    <w:rsid w:val="00640448"/>
    <w:rsid w:val="00641848"/>
    <w:rsid w:val="00643454"/>
    <w:rsid w:val="00643F37"/>
    <w:rsid w:val="006442DA"/>
    <w:rsid w:val="00644437"/>
    <w:rsid w:val="00644F11"/>
    <w:rsid w:val="006450C5"/>
    <w:rsid w:val="0064514D"/>
    <w:rsid w:val="00645613"/>
    <w:rsid w:val="006459FA"/>
    <w:rsid w:val="0064644F"/>
    <w:rsid w:val="00646618"/>
    <w:rsid w:val="00647074"/>
    <w:rsid w:val="00647108"/>
    <w:rsid w:val="00647FFC"/>
    <w:rsid w:val="006501D8"/>
    <w:rsid w:val="00650827"/>
    <w:rsid w:val="00650BCD"/>
    <w:rsid w:val="00650EB3"/>
    <w:rsid w:val="00651DBD"/>
    <w:rsid w:val="006525D1"/>
    <w:rsid w:val="00652A5D"/>
    <w:rsid w:val="00654818"/>
    <w:rsid w:val="00655128"/>
    <w:rsid w:val="00656AAF"/>
    <w:rsid w:val="00656B6F"/>
    <w:rsid w:val="00657F22"/>
    <w:rsid w:val="00661346"/>
    <w:rsid w:val="0066402D"/>
    <w:rsid w:val="006640D6"/>
    <w:rsid w:val="00664CC4"/>
    <w:rsid w:val="00664CE5"/>
    <w:rsid w:val="00665215"/>
    <w:rsid w:val="0066592D"/>
    <w:rsid w:val="0066619B"/>
    <w:rsid w:val="00666E31"/>
    <w:rsid w:val="00667C7F"/>
    <w:rsid w:val="006704E3"/>
    <w:rsid w:val="006707D4"/>
    <w:rsid w:val="00670ABE"/>
    <w:rsid w:val="00671665"/>
    <w:rsid w:val="00671DDC"/>
    <w:rsid w:val="006729E0"/>
    <w:rsid w:val="00672DD0"/>
    <w:rsid w:val="0067300B"/>
    <w:rsid w:val="00673330"/>
    <w:rsid w:val="00673644"/>
    <w:rsid w:val="00674387"/>
    <w:rsid w:val="00675D9E"/>
    <w:rsid w:val="00680230"/>
    <w:rsid w:val="00680A48"/>
    <w:rsid w:val="00680B6E"/>
    <w:rsid w:val="00680DA2"/>
    <w:rsid w:val="00682952"/>
    <w:rsid w:val="006829A1"/>
    <w:rsid w:val="0068394B"/>
    <w:rsid w:val="006858B8"/>
    <w:rsid w:val="00685DF3"/>
    <w:rsid w:val="0068612C"/>
    <w:rsid w:val="00686365"/>
    <w:rsid w:val="00686820"/>
    <w:rsid w:val="006869AE"/>
    <w:rsid w:val="00687044"/>
    <w:rsid w:val="006877A5"/>
    <w:rsid w:val="00687F66"/>
    <w:rsid w:val="00687FD9"/>
    <w:rsid w:val="006903F6"/>
    <w:rsid w:val="0069094B"/>
    <w:rsid w:val="00691078"/>
    <w:rsid w:val="00691360"/>
    <w:rsid w:val="00691A11"/>
    <w:rsid w:val="006920B3"/>
    <w:rsid w:val="00692772"/>
    <w:rsid w:val="00693B5D"/>
    <w:rsid w:val="00695B4E"/>
    <w:rsid w:val="006970CE"/>
    <w:rsid w:val="00697332"/>
    <w:rsid w:val="006A17B3"/>
    <w:rsid w:val="006A17EA"/>
    <w:rsid w:val="006A272B"/>
    <w:rsid w:val="006A317C"/>
    <w:rsid w:val="006A35FB"/>
    <w:rsid w:val="006A4AD5"/>
    <w:rsid w:val="006A5073"/>
    <w:rsid w:val="006A6D73"/>
    <w:rsid w:val="006A6EC9"/>
    <w:rsid w:val="006A7769"/>
    <w:rsid w:val="006A77F9"/>
    <w:rsid w:val="006A7929"/>
    <w:rsid w:val="006B0095"/>
    <w:rsid w:val="006B0423"/>
    <w:rsid w:val="006B0B46"/>
    <w:rsid w:val="006B0CC4"/>
    <w:rsid w:val="006B1D9C"/>
    <w:rsid w:val="006B1DFE"/>
    <w:rsid w:val="006B2EE4"/>
    <w:rsid w:val="006B2FF7"/>
    <w:rsid w:val="006B443F"/>
    <w:rsid w:val="006B4A1A"/>
    <w:rsid w:val="006B623A"/>
    <w:rsid w:val="006B770F"/>
    <w:rsid w:val="006C0383"/>
    <w:rsid w:val="006C0B1A"/>
    <w:rsid w:val="006C1CEA"/>
    <w:rsid w:val="006C2155"/>
    <w:rsid w:val="006C25F9"/>
    <w:rsid w:val="006C39FC"/>
    <w:rsid w:val="006C3AC4"/>
    <w:rsid w:val="006C3AF5"/>
    <w:rsid w:val="006C4588"/>
    <w:rsid w:val="006C4B06"/>
    <w:rsid w:val="006C4C7B"/>
    <w:rsid w:val="006C4E5A"/>
    <w:rsid w:val="006C68A5"/>
    <w:rsid w:val="006C7346"/>
    <w:rsid w:val="006C7373"/>
    <w:rsid w:val="006D0584"/>
    <w:rsid w:val="006D0CFF"/>
    <w:rsid w:val="006D108A"/>
    <w:rsid w:val="006D165A"/>
    <w:rsid w:val="006D1B3B"/>
    <w:rsid w:val="006D1D9F"/>
    <w:rsid w:val="006D2D45"/>
    <w:rsid w:val="006D36AC"/>
    <w:rsid w:val="006D36CD"/>
    <w:rsid w:val="006D3913"/>
    <w:rsid w:val="006D3EB2"/>
    <w:rsid w:val="006D4254"/>
    <w:rsid w:val="006D43BD"/>
    <w:rsid w:val="006D48BA"/>
    <w:rsid w:val="006D619C"/>
    <w:rsid w:val="006D61EC"/>
    <w:rsid w:val="006D73F0"/>
    <w:rsid w:val="006D7998"/>
    <w:rsid w:val="006D7D01"/>
    <w:rsid w:val="006E0147"/>
    <w:rsid w:val="006E067B"/>
    <w:rsid w:val="006E0851"/>
    <w:rsid w:val="006E0F24"/>
    <w:rsid w:val="006E21FF"/>
    <w:rsid w:val="006E238E"/>
    <w:rsid w:val="006E3411"/>
    <w:rsid w:val="006E5547"/>
    <w:rsid w:val="006E5BEE"/>
    <w:rsid w:val="006E6A3F"/>
    <w:rsid w:val="006F0548"/>
    <w:rsid w:val="006F06A7"/>
    <w:rsid w:val="006F0C25"/>
    <w:rsid w:val="006F20AC"/>
    <w:rsid w:val="006F24FD"/>
    <w:rsid w:val="006F31CC"/>
    <w:rsid w:val="006F3F85"/>
    <w:rsid w:val="006F42EC"/>
    <w:rsid w:val="006F455C"/>
    <w:rsid w:val="006F482B"/>
    <w:rsid w:val="006F4B5F"/>
    <w:rsid w:val="006F5402"/>
    <w:rsid w:val="006F5577"/>
    <w:rsid w:val="006F6D3B"/>
    <w:rsid w:val="006F7595"/>
    <w:rsid w:val="00701A90"/>
    <w:rsid w:val="00702FA9"/>
    <w:rsid w:val="007037C3"/>
    <w:rsid w:val="00704268"/>
    <w:rsid w:val="0070472F"/>
    <w:rsid w:val="00706583"/>
    <w:rsid w:val="00707D33"/>
    <w:rsid w:val="00707D95"/>
    <w:rsid w:val="00707E11"/>
    <w:rsid w:val="0071007F"/>
    <w:rsid w:val="007101C6"/>
    <w:rsid w:val="00710B74"/>
    <w:rsid w:val="0071122C"/>
    <w:rsid w:val="007116A3"/>
    <w:rsid w:val="00711BF0"/>
    <w:rsid w:val="00711FC4"/>
    <w:rsid w:val="0071227F"/>
    <w:rsid w:val="007129DD"/>
    <w:rsid w:val="00712DFA"/>
    <w:rsid w:val="007132C4"/>
    <w:rsid w:val="007156BC"/>
    <w:rsid w:val="00715B0A"/>
    <w:rsid w:val="00715E22"/>
    <w:rsid w:val="0071630B"/>
    <w:rsid w:val="00716FA2"/>
    <w:rsid w:val="00717055"/>
    <w:rsid w:val="0071714E"/>
    <w:rsid w:val="0072000A"/>
    <w:rsid w:val="00720ACE"/>
    <w:rsid w:val="00720B0D"/>
    <w:rsid w:val="0072163A"/>
    <w:rsid w:val="00721CB9"/>
    <w:rsid w:val="00722012"/>
    <w:rsid w:val="00722B65"/>
    <w:rsid w:val="00722EE3"/>
    <w:rsid w:val="007236C4"/>
    <w:rsid w:val="0072421B"/>
    <w:rsid w:val="0072505D"/>
    <w:rsid w:val="00725F8B"/>
    <w:rsid w:val="007267BA"/>
    <w:rsid w:val="007271C1"/>
    <w:rsid w:val="00727995"/>
    <w:rsid w:val="00727D47"/>
    <w:rsid w:val="00730A7E"/>
    <w:rsid w:val="00730D5B"/>
    <w:rsid w:val="007313EB"/>
    <w:rsid w:val="00731BC0"/>
    <w:rsid w:val="00732023"/>
    <w:rsid w:val="00732DCC"/>
    <w:rsid w:val="00734098"/>
    <w:rsid w:val="007345E5"/>
    <w:rsid w:val="007346B9"/>
    <w:rsid w:val="007349AE"/>
    <w:rsid w:val="00735169"/>
    <w:rsid w:val="00737632"/>
    <w:rsid w:val="0074026B"/>
    <w:rsid w:val="007403D0"/>
    <w:rsid w:val="00742DCE"/>
    <w:rsid w:val="007446C0"/>
    <w:rsid w:val="00744D74"/>
    <w:rsid w:val="0074573D"/>
    <w:rsid w:val="00746BD4"/>
    <w:rsid w:val="007474BE"/>
    <w:rsid w:val="00753149"/>
    <w:rsid w:val="0075354B"/>
    <w:rsid w:val="007545C7"/>
    <w:rsid w:val="00755F9F"/>
    <w:rsid w:val="00756174"/>
    <w:rsid w:val="007569FA"/>
    <w:rsid w:val="00757AD0"/>
    <w:rsid w:val="00757B4A"/>
    <w:rsid w:val="00760ABC"/>
    <w:rsid w:val="0076107B"/>
    <w:rsid w:val="00761ECC"/>
    <w:rsid w:val="00762078"/>
    <w:rsid w:val="00763660"/>
    <w:rsid w:val="00764100"/>
    <w:rsid w:val="007649EF"/>
    <w:rsid w:val="007650DC"/>
    <w:rsid w:val="00765469"/>
    <w:rsid w:val="00765AA6"/>
    <w:rsid w:val="0076655C"/>
    <w:rsid w:val="0076667A"/>
    <w:rsid w:val="007701A0"/>
    <w:rsid w:val="00771F5A"/>
    <w:rsid w:val="00773AEC"/>
    <w:rsid w:val="00776F1C"/>
    <w:rsid w:val="00777619"/>
    <w:rsid w:val="0077788E"/>
    <w:rsid w:val="00777A67"/>
    <w:rsid w:val="00777E2D"/>
    <w:rsid w:val="0078158B"/>
    <w:rsid w:val="00781B98"/>
    <w:rsid w:val="00781C77"/>
    <w:rsid w:val="00781D5E"/>
    <w:rsid w:val="00782383"/>
    <w:rsid w:val="0078287F"/>
    <w:rsid w:val="0078332C"/>
    <w:rsid w:val="00783546"/>
    <w:rsid w:val="00784474"/>
    <w:rsid w:val="00785F3D"/>
    <w:rsid w:val="00786B37"/>
    <w:rsid w:val="00786C26"/>
    <w:rsid w:val="00787B0B"/>
    <w:rsid w:val="007912F2"/>
    <w:rsid w:val="00791F4D"/>
    <w:rsid w:val="00792A94"/>
    <w:rsid w:val="00794D74"/>
    <w:rsid w:val="007952CB"/>
    <w:rsid w:val="0079554B"/>
    <w:rsid w:val="007959D6"/>
    <w:rsid w:val="00796329"/>
    <w:rsid w:val="00796B71"/>
    <w:rsid w:val="007970C1"/>
    <w:rsid w:val="00797350"/>
    <w:rsid w:val="007A0528"/>
    <w:rsid w:val="007A279E"/>
    <w:rsid w:val="007A3138"/>
    <w:rsid w:val="007A34D6"/>
    <w:rsid w:val="007A3E18"/>
    <w:rsid w:val="007A43C0"/>
    <w:rsid w:val="007A46EE"/>
    <w:rsid w:val="007A4EA0"/>
    <w:rsid w:val="007A5793"/>
    <w:rsid w:val="007A5EC3"/>
    <w:rsid w:val="007A6413"/>
    <w:rsid w:val="007B00A2"/>
    <w:rsid w:val="007B0323"/>
    <w:rsid w:val="007B048B"/>
    <w:rsid w:val="007B0E87"/>
    <w:rsid w:val="007B0FED"/>
    <w:rsid w:val="007B176F"/>
    <w:rsid w:val="007B1A41"/>
    <w:rsid w:val="007B1F84"/>
    <w:rsid w:val="007B1FBE"/>
    <w:rsid w:val="007B2228"/>
    <w:rsid w:val="007B2A9C"/>
    <w:rsid w:val="007B3092"/>
    <w:rsid w:val="007B4503"/>
    <w:rsid w:val="007B457A"/>
    <w:rsid w:val="007B4993"/>
    <w:rsid w:val="007B49F7"/>
    <w:rsid w:val="007B4F06"/>
    <w:rsid w:val="007B50C0"/>
    <w:rsid w:val="007B57DD"/>
    <w:rsid w:val="007B5EA7"/>
    <w:rsid w:val="007B6315"/>
    <w:rsid w:val="007B7A5F"/>
    <w:rsid w:val="007C0AC9"/>
    <w:rsid w:val="007C1F9D"/>
    <w:rsid w:val="007C2BF2"/>
    <w:rsid w:val="007C4071"/>
    <w:rsid w:val="007C5865"/>
    <w:rsid w:val="007C60CE"/>
    <w:rsid w:val="007C6131"/>
    <w:rsid w:val="007C69C6"/>
    <w:rsid w:val="007C78B1"/>
    <w:rsid w:val="007C7D04"/>
    <w:rsid w:val="007D0443"/>
    <w:rsid w:val="007D046C"/>
    <w:rsid w:val="007D111A"/>
    <w:rsid w:val="007D1698"/>
    <w:rsid w:val="007D1F01"/>
    <w:rsid w:val="007D22D6"/>
    <w:rsid w:val="007D2C48"/>
    <w:rsid w:val="007D3C50"/>
    <w:rsid w:val="007D414B"/>
    <w:rsid w:val="007D42B0"/>
    <w:rsid w:val="007D4F81"/>
    <w:rsid w:val="007D5C64"/>
    <w:rsid w:val="007D5F39"/>
    <w:rsid w:val="007D617B"/>
    <w:rsid w:val="007D6291"/>
    <w:rsid w:val="007D6981"/>
    <w:rsid w:val="007D74B6"/>
    <w:rsid w:val="007D7824"/>
    <w:rsid w:val="007E086C"/>
    <w:rsid w:val="007E0945"/>
    <w:rsid w:val="007E1035"/>
    <w:rsid w:val="007E235F"/>
    <w:rsid w:val="007E2C90"/>
    <w:rsid w:val="007E306B"/>
    <w:rsid w:val="007E3363"/>
    <w:rsid w:val="007E3485"/>
    <w:rsid w:val="007E3BE5"/>
    <w:rsid w:val="007E410A"/>
    <w:rsid w:val="007E4C61"/>
    <w:rsid w:val="007E5F43"/>
    <w:rsid w:val="007E7704"/>
    <w:rsid w:val="007E78AB"/>
    <w:rsid w:val="007F025E"/>
    <w:rsid w:val="007F05D3"/>
    <w:rsid w:val="007F0E7F"/>
    <w:rsid w:val="007F168C"/>
    <w:rsid w:val="007F20BE"/>
    <w:rsid w:val="007F28A7"/>
    <w:rsid w:val="007F2A32"/>
    <w:rsid w:val="007F2E11"/>
    <w:rsid w:val="007F3AE2"/>
    <w:rsid w:val="007F479B"/>
    <w:rsid w:val="007F558C"/>
    <w:rsid w:val="007F5E27"/>
    <w:rsid w:val="007F5FBF"/>
    <w:rsid w:val="007F6CBD"/>
    <w:rsid w:val="007F6D65"/>
    <w:rsid w:val="007F7A1F"/>
    <w:rsid w:val="008001A8"/>
    <w:rsid w:val="00800CE4"/>
    <w:rsid w:val="008018B8"/>
    <w:rsid w:val="00801C21"/>
    <w:rsid w:val="00801FB8"/>
    <w:rsid w:val="0080247B"/>
    <w:rsid w:val="00803108"/>
    <w:rsid w:val="00804B94"/>
    <w:rsid w:val="00804C6F"/>
    <w:rsid w:val="0080568C"/>
    <w:rsid w:val="00805D8B"/>
    <w:rsid w:val="00805F74"/>
    <w:rsid w:val="00807BA0"/>
    <w:rsid w:val="00807D24"/>
    <w:rsid w:val="00807E04"/>
    <w:rsid w:val="00807E11"/>
    <w:rsid w:val="00810600"/>
    <w:rsid w:val="0081134A"/>
    <w:rsid w:val="008117D1"/>
    <w:rsid w:val="008125B1"/>
    <w:rsid w:val="00812DD0"/>
    <w:rsid w:val="008134E6"/>
    <w:rsid w:val="008141A9"/>
    <w:rsid w:val="0081495F"/>
    <w:rsid w:val="00814C48"/>
    <w:rsid w:val="00815AE3"/>
    <w:rsid w:val="00815DA3"/>
    <w:rsid w:val="0081631E"/>
    <w:rsid w:val="008168B7"/>
    <w:rsid w:val="0082113F"/>
    <w:rsid w:val="00821852"/>
    <w:rsid w:val="00822688"/>
    <w:rsid w:val="00824783"/>
    <w:rsid w:val="00824A9B"/>
    <w:rsid w:val="00824BE8"/>
    <w:rsid w:val="008255C6"/>
    <w:rsid w:val="00826F54"/>
    <w:rsid w:val="00827C4F"/>
    <w:rsid w:val="00827C6F"/>
    <w:rsid w:val="00827E07"/>
    <w:rsid w:val="008308E3"/>
    <w:rsid w:val="00830948"/>
    <w:rsid w:val="0083243C"/>
    <w:rsid w:val="00832925"/>
    <w:rsid w:val="00832A9C"/>
    <w:rsid w:val="00832AA7"/>
    <w:rsid w:val="00832E90"/>
    <w:rsid w:val="00834A01"/>
    <w:rsid w:val="00834A0F"/>
    <w:rsid w:val="00834B9B"/>
    <w:rsid w:val="008372F7"/>
    <w:rsid w:val="008378A0"/>
    <w:rsid w:val="008402A0"/>
    <w:rsid w:val="00840686"/>
    <w:rsid w:val="00840938"/>
    <w:rsid w:val="00840C44"/>
    <w:rsid w:val="00840D67"/>
    <w:rsid w:val="00841543"/>
    <w:rsid w:val="00841CAA"/>
    <w:rsid w:val="00843899"/>
    <w:rsid w:val="00843EF0"/>
    <w:rsid w:val="008446AB"/>
    <w:rsid w:val="0084517F"/>
    <w:rsid w:val="0084543A"/>
    <w:rsid w:val="0084584B"/>
    <w:rsid w:val="00845E10"/>
    <w:rsid w:val="00846CB2"/>
    <w:rsid w:val="008470A2"/>
    <w:rsid w:val="00847231"/>
    <w:rsid w:val="00847369"/>
    <w:rsid w:val="00851045"/>
    <w:rsid w:val="0085118B"/>
    <w:rsid w:val="00851387"/>
    <w:rsid w:val="00851D54"/>
    <w:rsid w:val="008527BF"/>
    <w:rsid w:val="00853318"/>
    <w:rsid w:val="00854419"/>
    <w:rsid w:val="00854492"/>
    <w:rsid w:val="00854ABE"/>
    <w:rsid w:val="00855594"/>
    <w:rsid w:val="0085595B"/>
    <w:rsid w:val="00856270"/>
    <w:rsid w:val="00856D55"/>
    <w:rsid w:val="00860E63"/>
    <w:rsid w:val="008615A2"/>
    <w:rsid w:val="00862729"/>
    <w:rsid w:val="0086297D"/>
    <w:rsid w:val="00862F89"/>
    <w:rsid w:val="008646FA"/>
    <w:rsid w:val="00866FD0"/>
    <w:rsid w:val="008673B7"/>
    <w:rsid w:val="00867D0B"/>
    <w:rsid w:val="00867EEF"/>
    <w:rsid w:val="00867FBC"/>
    <w:rsid w:val="00870B80"/>
    <w:rsid w:val="00870F77"/>
    <w:rsid w:val="00871E70"/>
    <w:rsid w:val="00874463"/>
    <w:rsid w:val="008744DE"/>
    <w:rsid w:val="00875573"/>
    <w:rsid w:val="008757E0"/>
    <w:rsid w:val="00876326"/>
    <w:rsid w:val="0087655C"/>
    <w:rsid w:val="0087716D"/>
    <w:rsid w:val="00877A8A"/>
    <w:rsid w:val="00880D62"/>
    <w:rsid w:val="00882926"/>
    <w:rsid w:val="00882982"/>
    <w:rsid w:val="00883DFF"/>
    <w:rsid w:val="00884258"/>
    <w:rsid w:val="008846F8"/>
    <w:rsid w:val="00884941"/>
    <w:rsid w:val="00885376"/>
    <w:rsid w:val="00886988"/>
    <w:rsid w:val="00890BE4"/>
    <w:rsid w:val="00890FB5"/>
    <w:rsid w:val="0089102D"/>
    <w:rsid w:val="008918F6"/>
    <w:rsid w:val="008919AF"/>
    <w:rsid w:val="00892304"/>
    <w:rsid w:val="0089466F"/>
    <w:rsid w:val="0089605D"/>
    <w:rsid w:val="0089695A"/>
    <w:rsid w:val="00896F18"/>
    <w:rsid w:val="008970B2"/>
    <w:rsid w:val="00897401"/>
    <w:rsid w:val="00897EC3"/>
    <w:rsid w:val="008A05B6"/>
    <w:rsid w:val="008A15EA"/>
    <w:rsid w:val="008A1A2E"/>
    <w:rsid w:val="008A26D3"/>
    <w:rsid w:val="008A2BFC"/>
    <w:rsid w:val="008A2F99"/>
    <w:rsid w:val="008A3CF9"/>
    <w:rsid w:val="008A4393"/>
    <w:rsid w:val="008A43C6"/>
    <w:rsid w:val="008A4CBB"/>
    <w:rsid w:val="008A4FBB"/>
    <w:rsid w:val="008A6E25"/>
    <w:rsid w:val="008A771D"/>
    <w:rsid w:val="008A7A73"/>
    <w:rsid w:val="008B032D"/>
    <w:rsid w:val="008B04EF"/>
    <w:rsid w:val="008B0811"/>
    <w:rsid w:val="008B0902"/>
    <w:rsid w:val="008B17F2"/>
    <w:rsid w:val="008B2D4C"/>
    <w:rsid w:val="008B3448"/>
    <w:rsid w:val="008B3567"/>
    <w:rsid w:val="008B431E"/>
    <w:rsid w:val="008B44D7"/>
    <w:rsid w:val="008B4AEE"/>
    <w:rsid w:val="008B59A5"/>
    <w:rsid w:val="008B5DED"/>
    <w:rsid w:val="008B6824"/>
    <w:rsid w:val="008B6EE2"/>
    <w:rsid w:val="008B794B"/>
    <w:rsid w:val="008C02D9"/>
    <w:rsid w:val="008C0B2B"/>
    <w:rsid w:val="008C0C99"/>
    <w:rsid w:val="008C2238"/>
    <w:rsid w:val="008C24E9"/>
    <w:rsid w:val="008C2F7B"/>
    <w:rsid w:val="008C3387"/>
    <w:rsid w:val="008C442D"/>
    <w:rsid w:val="008C45F3"/>
    <w:rsid w:val="008C48F7"/>
    <w:rsid w:val="008C6111"/>
    <w:rsid w:val="008C6C83"/>
    <w:rsid w:val="008C74A0"/>
    <w:rsid w:val="008C79DB"/>
    <w:rsid w:val="008D0346"/>
    <w:rsid w:val="008D074C"/>
    <w:rsid w:val="008D0E78"/>
    <w:rsid w:val="008D10B5"/>
    <w:rsid w:val="008D3813"/>
    <w:rsid w:val="008D3850"/>
    <w:rsid w:val="008D4783"/>
    <w:rsid w:val="008D57C5"/>
    <w:rsid w:val="008D657D"/>
    <w:rsid w:val="008D66DE"/>
    <w:rsid w:val="008D7330"/>
    <w:rsid w:val="008D746F"/>
    <w:rsid w:val="008D7952"/>
    <w:rsid w:val="008E18DA"/>
    <w:rsid w:val="008E18E5"/>
    <w:rsid w:val="008E1D7D"/>
    <w:rsid w:val="008E3936"/>
    <w:rsid w:val="008E3BCC"/>
    <w:rsid w:val="008E3D9F"/>
    <w:rsid w:val="008E3E7E"/>
    <w:rsid w:val="008E416C"/>
    <w:rsid w:val="008E43AC"/>
    <w:rsid w:val="008E4D01"/>
    <w:rsid w:val="008E6D2B"/>
    <w:rsid w:val="008E6D36"/>
    <w:rsid w:val="008E7816"/>
    <w:rsid w:val="008E7B61"/>
    <w:rsid w:val="008F03EC"/>
    <w:rsid w:val="008F0D0D"/>
    <w:rsid w:val="008F0F6B"/>
    <w:rsid w:val="008F172F"/>
    <w:rsid w:val="008F1D94"/>
    <w:rsid w:val="008F250C"/>
    <w:rsid w:val="008F37E7"/>
    <w:rsid w:val="008F3DB5"/>
    <w:rsid w:val="008F4301"/>
    <w:rsid w:val="008F4F0B"/>
    <w:rsid w:val="008F5D04"/>
    <w:rsid w:val="008F629C"/>
    <w:rsid w:val="008F64EF"/>
    <w:rsid w:val="008F7C6C"/>
    <w:rsid w:val="00900168"/>
    <w:rsid w:val="0090084B"/>
    <w:rsid w:val="00901352"/>
    <w:rsid w:val="00901913"/>
    <w:rsid w:val="00901CFC"/>
    <w:rsid w:val="00902021"/>
    <w:rsid w:val="00902503"/>
    <w:rsid w:val="009028CB"/>
    <w:rsid w:val="00902C0C"/>
    <w:rsid w:val="00902C17"/>
    <w:rsid w:val="00902D62"/>
    <w:rsid w:val="0090325B"/>
    <w:rsid w:val="009048D4"/>
    <w:rsid w:val="00904A8B"/>
    <w:rsid w:val="009079C9"/>
    <w:rsid w:val="00911525"/>
    <w:rsid w:val="00911A11"/>
    <w:rsid w:val="009129E3"/>
    <w:rsid w:val="009140C2"/>
    <w:rsid w:val="0091457B"/>
    <w:rsid w:val="00916194"/>
    <w:rsid w:val="00917478"/>
    <w:rsid w:val="0092048B"/>
    <w:rsid w:val="00920E49"/>
    <w:rsid w:val="00920F45"/>
    <w:rsid w:val="00921787"/>
    <w:rsid w:val="00921B8A"/>
    <w:rsid w:val="009223E5"/>
    <w:rsid w:val="0092287E"/>
    <w:rsid w:val="00922DB5"/>
    <w:rsid w:val="00922E5B"/>
    <w:rsid w:val="009234EA"/>
    <w:rsid w:val="009254EC"/>
    <w:rsid w:val="00925859"/>
    <w:rsid w:val="00926ACA"/>
    <w:rsid w:val="009270CE"/>
    <w:rsid w:val="00927660"/>
    <w:rsid w:val="0092769E"/>
    <w:rsid w:val="00927BD9"/>
    <w:rsid w:val="00931615"/>
    <w:rsid w:val="009345BF"/>
    <w:rsid w:val="00934958"/>
    <w:rsid w:val="00935871"/>
    <w:rsid w:val="00935949"/>
    <w:rsid w:val="00936D8D"/>
    <w:rsid w:val="009371B7"/>
    <w:rsid w:val="00937316"/>
    <w:rsid w:val="00937E4A"/>
    <w:rsid w:val="00941BCB"/>
    <w:rsid w:val="00941E90"/>
    <w:rsid w:val="009425C1"/>
    <w:rsid w:val="009427A3"/>
    <w:rsid w:val="00943140"/>
    <w:rsid w:val="00944176"/>
    <w:rsid w:val="00944B18"/>
    <w:rsid w:val="00945CC9"/>
    <w:rsid w:val="009464CA"/>
    <w:rsid w:val="0094661B"/>
    <w:rsid w:val="00947DF2"/>
    <w:rsid w:val="009503BB"/>
    <w:rsid w:val="00950568"/>
    <w:rsid w:val="00950661"/>
    <w:rsid w:val="00952F35"/>
    <w:rsid w:val="0095351B"/>
    <w:rsid w:val="00955DFE"/>
    <w:rsid w:val="0095637D"/>
    <w:rsid w:val="00956808"/>
    <w:rsid w:val="00956D69"/>
    <w:rsid w:val="00957481"/>
    <w:rsid w:val="00957687"/>
    <w:rsid w:val="00960672"/>
    <w:rsid w:val="00961460"/>
    <w:rsid w:val="00962188"/>
    <w:rsid w:val="00962427"/>
    <w:rsid w:val="00962C02"/>
    <w:rsid w:val="00963D13"/>
    <w:rsid w:val="00964370"/>
    <w:rsid w:val="00964A9D"/>
    <w:rsid w:val="0096547E"/>
    <w:rsid w:val="00966BB0"/>
    <w:rsid w:val="009679C8"/>
    <w:rsid w:val="00970342"/>
    <w:rsid w:val="00970DF2"/>
    <w:rsid w:val="00971984"/>
    <w:rsid w:val="00971ACE"/>
    <w:rsid w:val="00973413"/>
    <w:rsid w:val="00973F65"/>
    <w:rsid w:val="00975ADB"/>
    <w:rsid w:val="009764AD"/>
    <w:rsid w:val="00976685"/>
    <w:rsid w:val="00976864"/>
    <w:rsid w:val="009772C0"/>
    <w:rsid w:val="00977420"/>
    <w:rsid w:val="0097777D"/>
    <w:rsid w:val="009777A8"/>
    <w:rsid w:val="0098007C"/>
    <w:rsid w:val="009808DA"/>
    <w:rsid w:val="00981439"/>
    <w:rsid w:val="00981A2A"/>
    <w:rsid w:val="00982F84"/>
    <w:rsid w:val="0098318B"/>
    <w:rsid w:val="009831F0"/>
    <w:rsid w:val="00983FC4"/>
    <w:rsid w:val="0098443B"/>
    <w:rsid w:val="009847B2"/>
    <w:rsid w:val="00984CBE"/>
    <w:rsid w:val="00984CEC"/>
    <w:rsid w:val="00985BEA"/>
    <w:rsid w:val="009862DF"/>
    <w:rsid w:val="00986EA5"/>
    <w:rsid w:val="00991041"/>
    <w:rsid w:val="0099241C"/>
    <w:rsid w:val="009926D8"/>
    <w:rsid w:val="00993009"/>
    <w:rsid w:val="00994126"/>
    <w:rsid w:val="00994C12"/>
    <w:rsid w:val="009955BB"/>
    <w:rsid w:val="00995860"/>
    <w:rsid w:val="0099598C"/>
    <w:rsid w:val="0099787D"/>
    <w:rsid w:val="009A1BEC"/>
    <w:rsid w:val="009A1D9B"/>
    <w:rsid w:val="009A2220"/>
    <w:rsid w:val="009A2FDC"/>
    <w:rsid w:val="009A32C8"/>
    <w:rsid w:val="009A38A5"/>
    <w:rsid w:val="009A483A"/>
    <w:rsid w:val="009A54AC"/>
    <w:rsid w:val="009A5F8F"/>
    <w:rsid w:val="009A6001"/>
    <w:rsid w:val="009A67AF"/>
    <w:rsid w:val="009A6F56"/>
    <w:rsid w:val="009B0557"/>
    <w:rsid w:val="009B0C1C"/>
    <w:rsid w:val="009B28D1"/>
    <w:rsid w:val="009B348D"/>
    <w:rsid w:val="009B3649"/>
    <w:rsid w:val="009B369F"/>
    <w:rsid w:val="009B3A55"/>
    <w:rsid w:val="009B519C"/>
    <w:rsid w:val="009B55F7"/>
    <w:rsid w:val="009B5D5C"/>
    <w:rsid w:val="009B6280"/>
    <w:rsid w:val="009B6440"/>
    <w:rsid w:val="009B701A"/>
    <w:rsid w:val="009B717C"/>
    <w:rsid w:val="009B7B05"/>
    <w:rsid w:val="009C0374"/>
    <w:rsid w:val="009C0747"/>
    <w:rsid w:val="009C0933"/>
    <w:rsid w:val="009C0A0B"/>
    <w:rsid w:val="009C14DC"/>
    <w:rsid w:val="009C1514"/>
    <w:rsid w:val="009C19FB"/>
    <w:rsid w:val="009C236C"/>
    <w:rsid w:val="009C2510"/>
    <w:rsid w:val="009C34ED"/>
    <w:rsid w:val="009C3CA5"/>
    <w:rsid w:val="009C4A4D"/>
    <w:rsid w:val="009C7251"/>
    <w:rsid w:val="009C79D4"/>
    <w:rsid w:val="009D086D"/>
    <w:rsid w:val="009D099B"/>
    <w:rsid w:val="009D0D96"/>
    <w:rsid w:val="009D0FD5"/>
    <w:rsid w:val="009D1DB5"/>
    <w:rsid w:val="009D34DC"/>
    <w:rsid w:val="009D48A5"/>
    <w:rsid w:val="009D4C1A"/>
    <w:rsid w:val="009D4E32"/>
    <w:rsid w:val="009D5285"/>
    <w:rsid w:val="009D5B34"/>
    <w:rsid w:val="009D6757"/>
    <w:rsid w:val="009D73D3"/>
    <w:rsid w:val="009D7ECE"/>
    <w:rsid w:val="009E01D1"/>
    <w:rsid w:val="009E069D"/>
    <w:rsid w:val="009E0B34"/>
    <w:rsid w:val="009E120F"/>
    <w:rsid w:val="009E15C1"/>
    <w:rsid w:val="009E2199"/>
    <w:rsid w:val="009E22F7"/>
    <w:rsid w:val="009E2BD4"/>
    <w:rsid w:val="009E49F9"/>
    <w:rsid w:val="009E4DB3"/>
    <w:rsid w:val="009E52B0"/>
    <w:rsid w:val="009E5414"/>
    <w:rsid w:val="009E5735"/>
    <w:rsid w:val="009E5F8F"/>
    <w:rsid w:val="009E643D"/>
    <w:rsid w:val="009E65FC"/>
    <w:rsid w:val="009E6AC8"/>
    <w:rsid w:val="009E6D62"/>
    <w:rsid w:val="009E70AD"/>
    <w:rsid w:val="009E732A"/>
    <w:rsid w:val="009E7A00"/>
    <w:rsid w:val="009F038C"/>
    <w:rsid w:val="009F044F"/>
    <w:rsid w:val="009F12D6"/>
    <w:rsid w:val="009F1812"/>
    <w:rsid w:val="009F1FB0"/>
    <w:rsid w:val="009F293B"/>
    <w:rsid w:val="009F4015"/>
    <w:rsid w:val="009F57FF"/>
    <w:rsid w:val="009F58AB"/>
    <w:rsid w:val="009F6D61"/>
    <w:rsid w:val="009F786A"/>
    <w:rsid w:val="009F7BBA"/>
    <w:rsid w:val="00A00630"/>
    <w:rsid w:val="00A006D7"/>
    <w:rsid w:val="00A0073D"/>
    <w:rsid w:val="00A00803"/>
    <w:rsid w:val="00A00C8D"/>
    <w:rsid w:val="00A039AC"/>
    <w:rsid w:val="00A042AB"/>
    <w:rsid w:val="00A04605"/>
    <w:rsid w:val="00A04856"/>
    <w:rsid w:val="00A0485C"/>
    <w:rsid w:val="00A05D56"/>
    <w:rsid w:val="00A05F21"/>
    <w:rsid w:val="00A0625F"/>
    <w:rsid w:val="00A0628F"/>
    <w:rsid w:val="00A065AA"/>
    <w:rsid w:val="00A067B2"/>
    <w:rsid w:val="00A071E4"/>
    <w:rsid w:val="00A0779C"/>
    <w:rsid w:val="00A0782A"/>
    <w:rsid w:val="00A07886"/>
    <w:rsid w:val="00A10DD5"/>
    <w:rsid w:val="00A11535"/>
    <w:rsid w:val="00A11E65"/>
    <w:rsid w:val="00A12664"/>
    <w:rsid w:val="00A1267E"/>
    <w:rsid w:val="00A12AC2"/>
    <w:rsid w:val="00A139BB"/>
    <w:rsid w:val="00A13C7C"/>
    <w:rsid w:val="00A14C1E"/>
    <w:rsid w:val="00A15459"/>
    <w:rsid w:val="00A15947"/>
    <w:rsid w:val="00A16F4F"/>
    <w:rsid w:val="00A17214"/>
    <w:rsid w:val="00A17DAD"/>
    <w:rsid w:val="00A200D6"/>
    <w:rsid w:val="00A2039F"/>
    <w:rsid w:val="00A20B00"/>
    <w:rsid w:val="00A219D1"/>
    <w:rsid w:val="00A21DD6"/>
    <w:rsid w:val="00A21FEE"/>
    <w:rsid w:val="00A234CC"/>
    <w:rsid w:val="00A237AE"/>
    <w:rsid w:val="00A252F5"/>
    <w:rsid w:val="00A2548C"/>
    <w:rsid w:val="00A254B4"/>
    <w:rsid w:val="00A257D7"/>
    <w:rsid w:val="00A257ED"/>
    <w:rsid w:val="00A257EF"/>
    <w:rsid w:val="00A2605B"/>
    <w:rsid w:val="00A277D1"/>
    <w:rsid w:val="00A31101"/>
    <w:rsid w:val="00A3154F"/>
    <w:rsid w:val="00A32533"/>
    <w:rsid w:val="00A32B40"/>
    <w:rsid w:val="00A32E2A"/>
    <w:rsid w:val="00A33E63"/>
    <w:rsid w:val="00A3446F"/>
    <w:rsid w:val="00A35411"/>
    <w:rsid w:val="00A35727"/>
    <w:rsid w:val="00A35864"/>
    <w:rsid w:val="00A35BBD"/>
    <w:rsid w:val="00A35CBD"/>
    <w:rsid w:val="00A3608F"/>
    <w:rsid w:val="00A365CA"/>
    <w:rsid w:val="00A37D30"/>
    <w:rsid w:val="00A37F37"/>
    <w:rsid w:val="00A40729"/>
    <w:rsid w:val="00A413A7"/>
    <w:rsid w:val="00A41ADD"/>
    <w:rsid w:val="00A41B3A"/>
    <w:rsid w:val="00A42851"/>
    <w:rsid w:val="00A429A6"/>
    <w:rsid w:val="00A44ADA"/>
    <w:rsid w:val="00A46055"/>
    <w:rsid w:val="00A46FC8"/>
    <w:rsid w:val="00A476DC"/>
    <w:rsid w:val="00A47744"/>
    <w:rsid w:val="00A47859"/>
    <w:rsid w:val="00A479DC"/>
    <w:rsid w:val="00A47B20"/>
    <w:rsid w:val="00A50437"/>
    <w:rsid w:val="00A5049B"/>
    <w:rsid w:val="00A51F99"/>
    <w:rsid w:val="00A53167"/>
    <w:rsid w:val="00A53602"/>
    <w:rsid w:val="00A53873"/>
    <w:rsid w:val="00A541DC"/>
    <w:rsid w:val="00A55403"/>
    <w:rsid w:val="00A55A75"/>
    <w:rsid w:val="00A56881"/>
    <w:rsid w:val="00A624A0"/>
    <w:rsid w:val="00A624F6"/>
    <w:rsid w:val="00A629A8"/>
    <w:rsid w:val="00A62E31"/>
    <w:rsid w:val="00A65056"/>
    <w:rsid w:val="00A65C95"/>
    <w:rsid w:val="00A65E95"/>
    <w:rsid w:val="00A671BB"/>
    <w:rsid w:val="00A709EC"/>
    <w:rsid w:val="00A71000"/>
    <w:rsid w:val="00A71121"/>
    <w:rsid w:val="00A71896"/>
    <w:rsid w:val="00A71AF8"/>
    <w:rsid w:val="00A73364"/>
    <w:rsid w:val="00A73491"/>
    <w:rsid w:val="00A74AE3"/>
    <w:rsid w:val="00A75CBD"/>
    <w:rsid w:val="00A7600E"/>
    <w:rsid w:val="00A777A0"/>
    <w:rsid w:val="00A803F4"/>
    <w:rsid w:val="00A83CE4"/>
    <w:rsid w:val="00A8441F"/>
    <w:rsid w:val="00A84F88"/>
    <w:rsid w:val="00A85185"/>
    <w:rsid w:val="00A87135"/>
    <w:rsid w:val="00A87C87"/>
    <w:rsid w:val="00A87F11"/>
    <w:rsid w:val="00A900BA"/>
    <w:rsid w:val="00A90A9E"/>
    <w:rsid w:val="00A92365"/>
    <w:rsid w:val="00A926F8"/>
    <w:rsid w:val="00A92C0E"/>
    <w:rsid w:val="00A92CFD"/>
    <w:rsid w:val="00A93EE3"/>
    <w:rsid w:val="00A940F2"/>
    <w:rsid w:val="00A943A2"/>
    <w:rsid w:val="00A94F83"/>
    <w:rsid w:val="00A95C60"/>
    <w:rsid w:val="00AA0136"/>
    <w:rsid w:val="00AA06F4"/>
    <w:rsid w:val="00AA1952"/>
    <w:rsid w:val="00AA4F04"/>
    <w:rsid w:val="00AA5191"/>
    <w:rsid w:val="00AA5CE8"/>
    <w:rsid w:val="00AA6CAF"/>
    <w:rsid w:val="00AA729F"/>
    <w:rsid w:val="00AA7981"/>
    <w:rsid w:val="00AA7A21"/>
    <w:rsid w:val="00AB0813"/>
    <w:rsid w:val="00AB2169"/>
    <w:rsid w:val="00AB24BD"/>
    <w:rsid w:val="00AB2B58"/>
    <w:rsid w:val="00AB3994"/>
    <w:rsid w:val="00AB61C3"/>
    <w:rsid w:val="00AB6251"/>
    <w:rsid w:val="00AB721D"/>
    <w:rsid w:val="00AB75F8"/>
    <w:rsid w:val="00AB7951"/>
    <w:rsid w:val="00AB7DD7"/>
    <w:rsid w:val="00AC1EAC"/>
    <w:rsid w:val="00AC214B"/>
    <w:rsid w:val="00AC271E"/>
    <w:rsid w:val="00AC27A7"/>
    <w:rsid w:val="00AC3644"/>
    <w:rsid w:val="00AC49E9"/>
    <w:rsid w:val="00AC58F4"/>
    <w:rsid w:val="00AC5DE9"/>
    <w:rsid w:val="00AC63D2"/>
    <w:rsid w:val="00AC66D1"/>
    <w:rsid w:val="00AC7B9D"/>
    <w:rsid w:val="00AD0054"/>
    <w:rsid w:val="00AD047B"/>
    <w:rsid w:val="00AD1793"/>
    <w:rsid w:val="00AD1BF7"/>
    <w:rsid w:val="00AD2D49"/>
    <w:rsid w:val="00AD2F75"/>
    <w:rsid w:val="00AD3A8B"/>
    <w:rsid w:val="00AD3BBD"/>
    <w:rsid w:val="00AD50D3"/>
    <w:rsid w:val="00AD7216"/>
    <w:rsid w:val="00AE0635"/>
    <w:rsid w:val="00AE0649"/>
    <w:rsid w:val="00AE0E71"/>
    <w:rsid w:val="00AE274D"/>
    <w:rsid w:val="00AE286A"/>
    <w:rsid w:val="00AE32FD"/>
    <w:rsid w:val="00AE626D"/>
    <w:rsid w:val="00AE6546"/>
    <w:rsid w:val="00AE697B"/>
    <w:rsid w:val="00AE7B6E"/>
    <w:rsid w:val="00AE7B99"/>
    <w:rsid w:val="00AF078C"/>
    <w:rsid w:val="00AF0EBF"/>
    <w:rsid w:val="00AF379D"/>
    <w:rsid w:val="00AF38BD"/>
    <w:rsid w:val="00AF3EE0"/>
    <w:rsid w:val="00AF4569"/>
    <w:rsid w:val="00AF50E1"/>
    <w:rsid w:val="00AF658E"/>
    <w:rsid w:val="00AF6EDE"/>
    <w:rsid w:val="00B00618"/>
    <w:rsid w:val="00B01047"/>
    <w:rsid w:val="00B012AE"/>
    <w:rsid w:val="00B01B2E"/>
    <w:rsid w:val="00B01E08"/>
    <w:rsid w:val="00B02D3C"/>
    <w:rsid w:val="00B06BE8"/>
    <w:rsid w:val="00B071D6"/>
    <w:rsid w:val="00B0728F"/>
    <w:rsid w:val="00B077C9"/>
    <w:rsid w:val="00B07AE1"/>
    <w:rsid w:val="00B102BE"/>
    <w:rsid w:val="00B11614"/>
    <w:rsid w:val="00B1185B"/>
    <w:rsid w:val="00B12065"/>
    <w:rsid w:val="00B122BD"/>
    <w:rsid w:val="00B12387"/>
    <w:rsid w:val="00B13699"/>
    <w:rsid w:val="00B13A18"/>
    <w:rsid w:val="00B13F3F"/>
    <w:rsid w:val="00B13FE5"/>
    <w:rsid w:val="00B15020"/>
    <w:rsid w:val="00B1524D"/>
    <w:rsid w:val="00B1596C"/>
    <w:rsid w:val="00B15C64"/>
    <w:rsid w:val="00B20D50"/>
    <w:rsid w:val="00B21021"/>
    <w:rsid w:val="00B21298"/>
    <w:rsid w:val="00B2188F"/>
    <w:rsid w:val="00B2236F"/>
    <w:rsid w:val="00B226BE"/>
    <w:rsid w:val="00B22819"/>
    <w:rsid w:val="00B22EB9"/>
    <w:rsid w:val="00B234BA"/>
    <w:rsid w:val="00B24058"/>
    <w:rsid w:val="00B24082"/>
    <w:rsid w:val="00B24842"/>
    <w:rsid w:val="00B24BE5"/>
    <w:rsid w:val="00B2543F"/>
    <w:rsid w:val="00B2577F"/>
    <w:rsid w:val="00B30DC7"/>
    <w:rsid w:val="00B3194F"/>
    <w:rsid w:val="00B31A1E"/>
    <w:rsid w:val="00B31B26"/>
    <w:rsid w:val="00B323BC"/>
    <w:rsid w:val="00B34DD2"/>
    <w:rsid w:val="00B35331"/>
    <w:rsid w:val="00B353F3"/>
    <w:rsid w:val="00B35784"/>
    <w:rsid w:val="00B3610A"/>
    <w:rsid w:val="00B364F3"/>
    <w:rsid w:val="00B37A95"/>
    <w:rsid w:val="00B37E51"/>
    <w:rsid w:val="00B40482"/>
    <w:rsid w:val="00B41635"/>
    <w:rsid w:val="00B41850"/>
    <w:rsid w:val="00B41F0E"/>
    <w:rsid w:val="00B42D64"/>
    <w:rsid w:val="00B44ECF"/>
    <w:rsid w:val="00B45540"/>
    <w:rsid w:val="00B46C71"/>
    <w:rsid w:val="00B47C12"/>
    <w:rsid w:val="00B47EDB"/>
    <w:rsid w:val="00B5062E"/>
    <w:rsid w:val="00B50AC6"/>
    <w:rsid w:val="00B50E99"/>
    <w:rsid w:val="00B511AA"/>
    <w:rsid w:val="00B51C7E"/>
    <w:rsid w:val="00B526F4"/>
    <w:rsid w:val="00B5325C"/>
    <w:rsid w:val="00B537B6"/>
    <w:rsid w:val="00B53A08"/>
    <w:rsid w:val="00B53C9C"/>
    <w:rsid w:val="00B54719"/>
    <w:rsid w:val="00B554E8"/>
    <w:rsid w:val="00B55597"/>
    <w:rsid w:val="00B55862"/>
    <w:rsid w:val="00B55AE6"/>
    <w:rsid w:val="00B5681E"/>
    <w:rsid w:val="00B575D9"/>
    <w:rsid w:val="00B5791F"/>
    <w:rsid w:val="00B60D53"/>
    <w:rsid w:val="00B6183B"/>
    <w:rsid w:val="00B62243"/>
    <w:rsid w:val="00B626A6"/>
    <w:rsid w:val="00B64090"/>
    <w:rsid w:val="00B65341"/>
    <w:rsid w:val="00B65699"/>
    <w:rsid w:val="00B710CC"/>
    <w:rsid w:val="00B71153"/>
    <w:rsid w:val="00B71179"/>
    <w:rsid w:val="00B71351"/>
    <w:rsid w:val="00B717C3"/>
    <w:rsid w:val="00B719AB"/>
    <w:rsid w:val="00B719B7"/>
    <w:rsid w:val="00B71B81"/>
    <w:rsid w:val="00B71CD4"/>
    <w:rsid w:val="00B71F6D"/>
    <w:rsid w:val="00B71FB2"/>
    <w:rsid w:val="00B7270F"/>
    <w:rsid w:val="00B727D1"/>
    <w:rsid w:val="00B72AA1"/>
    <w:rsid w:val="00B73A51"/>
    <w:rsid w:val="00B74BEB"/>
    <w:rsid w:val="00B76004"/>
    <w:rsid w:val="00B769B8"/>
    <w:rsid w:val="00B76A6F"/>
    <w:rsid w:val="00B7716A"/>
    <w:rsid w:val="00B77B58"/>
    <w:rsid w:val="00B806F8"/>
    <w:rsid w:val="00B8270A"/>
    <w:rsid w:val="00B83606"/>
    <w:rsid w:val="00B8384B"/>
    <w:rsid w:val="00B84778"/>
    <w:rsid w:val="00B84E71"/>
    <w:rsid w:val="00B855F1"/>
    <w:rsid w:val="00B85D54"/>
    <w:rsid w:val="00B87626"/>
    <w:rsid w:val="00B90BE9"/>
    <w:rsid w:val="00B9109B"/>
    <w:rsid w:val="00B91BAB"/>
    <w:rsid w:val="00B91FDC"/>
    <w:rsid w:val="00B92B6B"/>
    <w:rsid w:val="00B941A5"/>
    <w:rsid w:val="00B948C4"/>
    <w:rsid w:val="00B94F03"/>
    <w:rsid w:val="00B96F44"/>
    <w:rsid w:val="00B976A6"/>
    <w:rsid w:val="00B97966"/>
    <w:rsid w:val="00B97FEC"/>
    <w:rsid w:val="00BA1B3F"/>
    <w:rsid w:val="00BA1D51"/>
    <w:rsid w:val="00BA23F7"/>
    <w:rsid w:val="00BA39CB"/>
    <w:rsid w:val="00BA4655"/>
    <w:rsid w:val="00BA5018"/>
    <w:rsid w:val="00BA5849"/>
    <w:rsid w:val="00BA5D08"/>
    <w:rsid w:val="00BA5DD9"/>
    <w:rsid w:val="00BA6A90"/>
    <w:rsid w:val="00BA73D5"/>
    <w:rsid w:val="00BA7C3D"/>
    <w:rsid w:val="00BB0085"/>
    <w:rsid w:val="00BB146E"/>
    <w:rsid w:val="00BB1D67"/>
    <w:rsid w:val="00BB21A2"/>
    <w:rsid w:val="00BB2E18"/>
    <w:rsid w:val="00BB30D2"/>
    <w:rsid w:val="00BB3C64"/>
    <w:rsid w:val="00BB3F8B"/>
    <w:rsid w:val="00BB6F37"/>
    <w:rsid w:val="00BB70C7"/>
    <w:rsid w:val="00BB7975"/>
    <w:rsid w:val="00BC0171"/>
    <w:rsid w:val="00BC081A"/>
    <w:rsid w:val="00BC12F1"/>
    <w:rsid w:val="00BC1A44"/>
    <w:rsid w:val="00BC1CB8"/>
    <w:rsid w:val="00BC1EC9"/>
    <w:rsid w:val="00BC316D"/>
    <w:rsid w:val="00BC3967"/>
    <w:rsid w:val="00BC3B69"/>
    <w:rsid w:val="00BD1CA3"/>
    <w:rsid w:val="00BD21EE"/>
    <w:rsid w:val="00BD24A0"/>
    <w:rsid w:val="00BD3292"/>
    <w:rsid w:val="00BD40D5"/>
    <w:rsid w:val="00BD466B"/>
    <w:rsid w:val="00BD4796"/>
    <w:rsid w:val="00BD4812"/>
    <w:rsid w:val="00BD4877"/>
    <w:rsid w:val="00BD4A1C"/>
    <w:rsid w:val="00BD4ACA"/>
    <w:rsid w:val="00BD61D1"/>
    <w:rsid w:val="00BD7A2E"/>
    <w:rsid w:val="00BE0BA3"/>
    <w:rsid w:val="00BE0FFA"/>
    <w:rsid w:val="00BE20DC"/>
    <w:rsid w:val="00BE2211"/>
    <w:rsid w:val="00BE28D5"/>
    <w:rsid w:val="00BE37EA"/>
    <w:rsid w:val="00BE3DB3"/>
    <w:rsid w:val="00BE4100"/>
    <w:rsid w:val="00BE4F79"/>
    <w:rsid w:val="00BE567B"/>
    <w:rsid w:val="00BE6C1C"/>
    <w:rsid w:val="00BE6F12"/>
    <w:rsid w:val="00BE76BA"/>
    <w:rsid w:val="00BE774D"/>
    <w:rsid w:val="00BF0103"/>
    <w:rsid w:val="00BF31CD"/>
    <w:rsid w:val="00BF32C9"/>
    <w:rsid w:val="00BF3B30"/>
    <w:rsid w:val="00BF3CEB"/>
    <w:rsid w:val="00BF4252"/>
    <w:rsid w:val="00BF58C7"/>
    <w:rsid w:val="00C00D86"/>
    <w:rsid w:val="00C00D97"/>
    <w:rsid w:val="00C00F76"/>
    <w:rsid w:val="00C0117F"/>
    <w:rsid w:val="00C0186B"/>
    <w:rsid w:val="00C01A41"/>
    <w:rsid w:val="00C030B7"/>
    <w:rsid w:val="00C03158"/>
    <w:rsid w:val="00C04AD6"/>
    <w:rsid w:val="00C06437"/>
    <w:rsid w:val="00C070C4"/>
    <w:rsid w:val="00C10CE9"/>
    <w:rsid w:val="00C11349"/>
    <w:rsid w:val="00C11480"/>
    <w:rsid w:val="00C131A0"/>
    <w:rsid w:val="00C13F00"/>
    <w:rsid w:val="00C143DC"/>
    <w:rsid w:val="00C1525B"/>
    <w:rsid w:val="00C17276"/>
    <w:rsid w:val="00C17510"/>
    <w:rsid w:val="00C17B9E"/>
    <w:rsid w:val="00C21FCB"/>
    <w:rsid w:val="00C23D02"/>
    <w:rsid w:val="00C23E38"/>
    <w:rsid w:val="00C24342"/>
    <w:rsid w:val="00C2451B"/>
    <w:rsid w:val="00C259CD"/>
    <w:rsid w:val="00C2739B"/>
    <w:rsid w:val="00C2770F"/>
    <w:rsid w:val="00C2771C"/>
    <w:rsid w:val="00C27B68"/>
    <w:rsid w:val="00C27FA6"/>
    <w:rsid w:val="00C30432"/>
    <w:rsid w:val="00C304E9"/>
    <w:rsid w:val="00C3110E"/>
    <w:rsid w:val="00C31728"/>
    <w:rsid w:val="00C31B28"/>
    <w:rsid w:val="00C3213F"/>
    <w:rsid w:val="00C32357"/>
    <w:rsid w:val="00C32DB0"/>
    <w:rsid w:val="00C33A34"/>
    <w:rsid w:val="00C33E00"/>
    <w:rsid w:val="00C344F0"/>
    <w:rsid w:val="00C349B6"/>
    <w:rsid w:val="00C349D9"/>
    <w:rsid w:val="00C34DEA"/>
    <w:rsid w:val="00C34FF4"/>
    <w:rsid w:val="00C3585A"/>
    <w:rsid w:val="00C35B31"/>
    <w:rsid w:val="00C3652F"/>
    <w:rsid w:val="00C368BE"/>
    <w:rsid w:val="00C36EE4"/>
    <w:rsid w:val="00C36FB7"/>
    <w:rsid w:val="00C37B4A"/>
    <w:rsid w:val="00C4038E"/>
    <w:rsid w:val="00C40C39"/>
    <w:rsid w:val="00C40C6C"/>
    <w:rsid w:val="00C40E3A"/>
    <w:rsid w:val="00C40EA7"/>
    <w:rsid w:val="00C41505"/>
    <w:rsid w:val="00C42738"/>
    <w:rsid w:val="00C44B7C"/>
    <w:rsid w:val="00C45571"/>
    <w:rsid w:val="00C46C8B"/>
    <w:rsid w:val="00C5130F"/>
    <w:rsid w:val="00C51F7C"/>
    <w:rsid w:val="00C5308B"/>
    <w:rsid w:val="00C53409"/>
    <w:rsid w:val="00C53C9D"/>
    <w:rsid w:val="00C54000"/>
    <w:rsid w:val="00C54123"/>
    <w:rsid w:val="00C54B0A"/>
    <w:rsid w:val="00C557CC"/>
    <w:rsid w:val="00C559BC"/>
    <w:rsid w:val="00C55B4B"/>
    <w:rsid w:val="00C564E3"/>
    <w:rsid w:val="00C56F5F"/>
    <w:rsid w:val="00C57CA1"/>
    <w:rsid w:val="00C60CD7"/>
    <w:rsid w:val="00C61082"/>
    <w:rsid w:val="00C61316"/>
    <w:rsid w:val="00C615B9"/>
    <w:rsid w:val="00C618B2"/>
    <w:rsid w:val="00C61FDA"/>
    <w:rsid w:val="00C624AB"/>
    <w:rsid w:val="00C629E6"/>
    <w:rsid w:val="00C62CA3"/>
    <w:rsid w:val="00C62DB3"/>
    <w:rsid w:val="00C62F41"/>
    <w:rsid w:val="00C637D0"/>
    <w:rsid w:val="00C642B3"/>
    <w:rsid w:val="00C65333"/>
    <w:rsid w:val="00C656D9"/>
    <w:rsid w:val="00C658B0"/>
    <w:rsid w:val="00C66AB8"/>
    <w:rsid w:val="00C66D39"/>
    <w:rsid w:val="00C67E59"/>
    <w:rsid w:val="00C704AC"/>
    <w:rsid w:val="00C70596"/>
    <w:rsid w:val="00C71E3B"/>
    <w:rsid w:val="00C725C3"/>
    <w:rsid w:val="00C73AC8"/>
    <w:rsid w:val="00C73C8A"/>
    <w:rsid w:val="00C745F7"/>
    <w:rsid w:val="00C763C6"/>
    <w:rsid w:val="00C766D7"/>
    <w:rsid w:val="00C76A3A"/>
    <w:rsid w:val="00C7769D"/>
    <w:rsid w:val="00C778B4"/>
    <w:rsid w:val="00C778BC"/>
    <w:rsid w:val="00C77FF8"/>
    <w:rsid w:val="00C81435"/>
    <w:rsid w:val="00C81BD0"/>
    <w:rsid w:val="00C82726"/>
    <w:rsid w:val="00C829BE"/>
    <w:rsid w:val="00C84285"/>
    <w:rsid w:val="00C84EC1"/>
    <w:rsid w:val="00C853AA"/>
    <w:rsid w:val="00C85BB8"/>
    <w:rsid w:val="00C85E4A"/>
    <w:rsid w:val="00C862BC"/>
    <w:rsid w:val="00C865B5"/>
    <w:rsid w:val="00C86BBC"/>
    <w:rsid w:val="00C86D99"/>
    <w:rsid w:val="00C86E2F"/>
    <w:rsid w:val="00C87124"/>
    <w:rsid w:val="00C8716D"/>
    <w:rsid w:val="00C87527"/>
    <w:rsid w:val="00C87980"/>
    <w:rsid w:val="00C90DCB"/>
    <w:rsid w:val="00C911B1"/>
    <w:rsid w:val="00C9165C"/>
    <w:rsid w:val="00C93C59"/>
    <w:rsid w:val="00C94289"/>
    <w:rsid w:val="00C949D7"/>
    <w:rsid w:val="00C95402"/>
    <w:rsid w:val="00C96440"/>
    <w:rsid w:val="00C966FE"/>
    <w:rsid w:val="00C97043"/>
    <w:rsid w:val="00C97A8B"/>
    <w:rsid w:val="00CA0715"/>
    <w:rsid w:val="00CA0F4C"/>
    <w:rsid w:val="00CA1CCE"/>
    <w:rsid w:val="00CA377F"/>
    <w:rsid w:val="00CA4115"/>
    <w:rsid w:val="00CA440D"/>
    <w:rsid w:val="00CA454E"/>
    <w:rsid w:val="00CA678B"/>
    <w:rsid w:val="00CA7D9C"/>
    <w:rsid w:val="00CA7F22"/>
    <w:rsid w:val="00CB0A68"/>
    <w:rsid w:val="00CB1D79"/>
    <w:rsid w:val="00CB2C63"/>
    <w:rsid w:val="00CB49BF"/>
    <w:rsid w:val="00CB5201"/>
    <w:rsid w:val="00CB5B05"/>
    <w:rsid w:val="00CB6456"/>
    <w:rsid w:val="00CB65C7"/>
    <w:rsid w:val="00CB72E6"/>
    <w:rsid w:val="00CB79AD"/>
    <w:rsid w:val="00CC0457"/>
    <w:rsid w:val="00CC0709"/>
    <w:rsid w:val="00CC09E6"/>
    <w:rsid w:val="00CC1E2B"/>
    <w:rsid w:val="00CC2DCE"/>
    <w:rsid w:val="00CC3097"/>
    <w:rsid w:val="00CC357F"/>
    <w:rsid w:val="00CC3AA1"/>
    <w:rsid w:val="00CC3B91"/>
    <w:rsid w:val="00CC4380"/>
    <w:rsid w:val="00CC467F"/>
    <w:rsid w:val="00CC49C2"/>
    <w:rsid w:val="00CC5362"/>
    <w:rsid w:val="00CC5380"/>
    <w:rsid w:val="00CC72BA"/>
    <w:rsid w:val="00CC7AE9"/>
    <w:rsid w:val="00CD144F"/>
    <w:rsid w:val="00CD275C"/>
    <w:rsid w:val="00CD2A64"/>
    <w:rsid w:val="00CD2CB5"/>
    <w:rsid w:val="00CD3721"/>
    <w:rsid w:val="00CD5062"/>
    <w:rsid w:val="00CD6FFD"/>
    <w:rsid w:val="00CD71EF"/>
    <w:rsid w:val="00CD7BBB"/>
    <w:rsid w:val="00CE0B2F"/>
    <w:rsid w:val="00CE0CF5"/>
    <w:rsid w:val="00CE2333"/>
    <w:rsid w:val="00CE2AE1"/>
    <w:rsid w:val="00CE2C9A"/>
    <w:rsid w:val="00CE2E7F"/>
    <w:rsid w:val="00CE3635"/>
    <w:rsid w:val="00CE3F69"/>
    <w:rsid w:val="00CE4136"/>
    <w:rsid w:val="00CE4D6E"/>
    <w:rsid w:val="00CE62C6"/>
    <w:rsid w:val="00CF093D"/>
    <w:rsid w:val="00CF1850"/>
    <w:rsid w:val="00CF18A0"/>
    <w:rsid w:val="00CF237B"/>
    <w:rsid w:val="00CF2869"/>
    <w:rsid w:val="00CF397A"/>
    <w:rsid w:val="00CF3A20"/>
    <w:rsid w:val="00CF46DD"/>
    <w:rsid w:val="00CF4848"/>
    <w:rsid w:val="00CF4A7A"/>
    <w:rsid w:val="00CF5A12"/>
    <w:rsid w:val="00CF7086"/>
    <w:rsid w:val="00D000F7"/>
    <w:rsid w:val="00D00273"/>
    <w:rsid w:val="00D00FCE"/>
    <w:rsid w:val="00D014A1"/>
    <w:rsid w:val="00D01A3E"/>
    <w:rsid w:val="00D03931"/>
    <w:rsid w:val="00D0403B"/>
    <w:rsid w:val="00D0424D"/>
    <w:rsid w:val="00D04AA3"/>
    <w:rsid w:val="00D05D0A"/>
    <w:rsid w:val="00D068C3"/>
    <w:rsid w:val="00D076D5"/>
    <w:rsid w:val="00D07DC0"/>
    <w:rsid w:val="00D115CC"/>
    <w:rsid w:val="00D116B7"/>
    <w:rsid w:val="00D118AF"/>
    <w:rsid w:val="00D13A3A"/>
    <w:rsid w:val="00D150AF"/>
    <w:rsid w:val="00D15F75"/>
    <w:rsid w:val="00D160A2"/>
    <w:rsid w:val="00D1671C"/>
    <w:rsid w:val="00D16FEB"/>
    <w:rsid w:val="00D20844"/>
    <w:rsid w:val="00D22B16"/>
    <w:rsid w:val="00D23890"/>
    <w:rsid w:val="00D238F7"/>
    <w:rsid w:val="00D23E72"/>
    <w:rsid w:val="00D243F5"/>
    <w:rsid w:val="00D2441E"/>
    <w:rsid w:val="00D261F8"/>
    <w:rsid w:val="00D269E2"/>
    <w:rsid w:val="00D26F35"/>
    <w:rsid w:val="00D270D1"/>
    <w:rsid w:val="00D27241"/>
    <w:rsid w:val="00D30576"/>
    <w:rsid w:val="00D30BCE"/>
    <w:rsid w:val="00D3467B"/>
    <w:rsid w:val="00D346F4"/>
    <w:rsid w:val="00D36A00"/>
    <w:rsid w:val="00D40173"/>
    <w:rsid w:val="00D406DF"/>
    <w:rsid w:val="00D40967"/>
    <w:rsid w:val="00D414C4"/>
    <w:rsid w:val="00D42ADB"/>
    <w:rsid w:val="00D42B6E"/>
    <w:rsid w:val="00D42CA0"/>
    <w:rsid w:val="00D44057"/>
    <w:rsid w:val="00D44E94"/>
    <w:rsid w:val="00D45393"/>
    <w:rsid w:val="00D46C3B"/>
    <w:rsid w:val="00D47310"/>
    <w:rsid w:val="00D478E1"/>
    <w:rsid w:val="00D47941"/>
    <w:rsid w:val="00D503CB"/>
    <w:rsid w:val="00D5046C"/>
    <w:rsid w:val="00D5079F"/>
    <w:rsid w:val="00D509A2"/>
    <w:rsid w:val="00D50F69"/>
    <w:rsid w:val="00D52EA3"/>
    <w:rsid w:val="00D53377"/>
    <w:rsid w:val="00D538DB"/>
    <w:rsid w:val="00D53E03"/>
    <w:rsid w:val="00D5460F"/>
    <w:rsid w:val="00D554D3"/>
    <w:rsid w:val="00D5595E"/>
    <w:rsid w:val="00D5614F"/>
    <w:rsid w:val="00D56AA0"/>
    <w:rsid w:val="00D56BCC"/>
    <w:rsid w:val="00D56EAC"/>
    <w:rsid w:val="00D57930"/>
    <w:rsid w:val="00D6039E"/>
    <w:rsid w:val="00D61B7B"/>
    <w:rsid w:val="00D6223F"/>
    <w:rsid w:val="00D6284B"/>
    <w:rsid w:val="00D63861"/>
    <w:rsid w:val="00D63DA7"/>
    <w:rsid w:val="00D64AA9"/>
    <w:rsid w:val="00D6598E"/>
    <w:rsid w:val="00D65CED"/>
    <w:rsid w:val="00D671F4"/>
    <w:rsid w:val="00D67F13"/>
    <w:rsid w:val="00D71779"/>
    <w:rsid w:val="00D72F9E"/>
    <w:rsid w:val="00D737D9"/>
    <w:rsid w:val="00D74472"/>
    <w:rsid w:val="00D757AE"/>
    <w:rsid w:val="00D75BBA"/>
    <w:rsid w:val="00D75C09"/>
    <w:rsid w:val="00D75CFE"/>
    <w:rsid w:val="00D75FB0"/>
    <w:rsid w:val="00D7698C"/>
    <w:rsid w:val="00D806CB"/>
    <w:rsid w:val="00D80E88"/>
    <w:rsid w:val="00D82012"/>
    <w:rsid w:val="00D82BE3"/>
    <w:rsid w:val="00D84049"/>
    <w:rsid w:val="00D84BAE"/>
    <w:rsid w:val="00D85234"/>
    <w:rsid w:val="00D873B5"/>
    <w:rsid w:val="00D876C8"/>
    <w:rsid w:val="00D907DB"/>
    <w:rsid w:val="00D90DE8"/>
    <w:rsid w:val="00D90F87"/>
    <w:rsid w:val="00D91411"/>
    <w:rsid w:val="00D921A2"/>
    <w:rsid w:val="00D92BA7"/>
    <w:rsid w:val="00D92C7A"/>
    <w:rsid w:val="00D93060"/>
    <w:rsid w:val="00D94268"/>
    <w:rsid w:val="00D95093"/>
    <w:rsid w:val="00D953AF"/>
    <w:rsid w:val="00D96AA7"/>
    <w:rsid w:val="00D97702"/>
    <w:rsid w:val="00D97DA6"/>
    <w:rsid w:val="00DA04EA"/>
    <w:rsid w:val="00DA10FE"/>
    <w:rsid w:val="00DA12DF"/>
    <w:rsid w:val="00DA1C0C"/>
    <w:rsid w:val="00DA2A9C"/>
    <w:rsid w:val="00DA2BFD"/>
    <w:rsid w:val="00DA301F"/>
    <w:rsid w:val="00DA3731"/>
    <w:rsid w:val="00DA474C"/>
    <w:rsid w:val="00DA500F"/>
    <w:rsid w:val="00DA6774"/>
    <w:rsid w:val="00DB264C"/>
    <w:rsid w:val="00DB4AAE"/>
    <w:rsid w:val="00DB60BA"/>
    <w:rsid w:val="00DB6798"/>
    <w:rsid w:val="00DB6B1A"/>
    <w:rsid w:val="00DB73EB"/>
    <w:rsid w:val="00DC05D1"/>
    <w:rsid w:val="00DC14E3"/>
    <w:rsid w:val="00DC1573"/>
    <w:rsid w:val="00DC48D0"/>
    <w:rsid w:val="00DC4E56"/>
    <w:rsid w:val="00DC533E"/>
    <w:rsid w:val="00DC561B"/>
    <w:rsid w:val="00DC7814"/>
    <w:rsid w:val="00DC7C2E"/>
    <w:rsid w:val="00DD0BF5"/>
    <w:rsid w:val="00DD20ED"/>
    <w:rsid w:val="00DD233F"/>
    <w:rsid w:val="00DD2699"/>
    <w:rsid w:val="00DD31AA"/>
    <w:rsid w:val="00DD3AC0"/>
    <w:rsid w:val="00DD4EA3"/>
    <w:rsid w:val="00DD5672"/>
    <w:rsid w:val="00DD5ED2"/>
    <w:rsid w:val="00DD5F0B"/>
    <w:rsid w:val="00DD6323"/>
    <w:rsid w:val="00DD687C"/>
    <w:rsid w:val="00DD6AA6"/>
    <w:rsid w:val="00DD7DCC"/>
    <w:rsid w:val="00DE128F"/>
    <w:rsid w:val="00DE16EB"/>
    <w:rsid w:val="00DE19C9"/>
    <w:rsid w:val="00DE2902"/>
    <w:rsid w:val="00DE2C32"/>
    <w:rsid w:val="00DE3375"/>
    <w:rsid w:val="00DE43AE"/>
    <w:rsid w:val="00DE4563"/>
    <w:rsid w:val="00DE45B2"/>
    <w:rsid w:val="00DE476F"/>
    <w:rsid w:val="00DE531B"/>
    <w:rsid w:val="00DE562B"/>
    <w:rsid w:val="00DE6073"/>
    <w:rsid w:val="00DE622C"/>
    <w:rsid w:val="00DE70FE"/>
    <w:rsid w:val="00DF0738"/>
    <w:rsid w:val="00DF16BD"/>
    <w:rsid w:val="00DF1B7B"/>
    <w:rsid w:val="00DF1D3E"/>
    <w:rsid w:val="00DF1E63"/>
    <w:rsid w:val="00DF21FE"/>
    <w:rsid w:val="00DF3833"/>
    <w:rsid w:val="00DF46A7"/>
    <w:rsid w:val="00DF48D3"/>
    <w:rsid w:val="00DF49FC"/>
    <w:rsid w:val="00DF6398"/>
    <w:rsid w:val="00DF6538"/>
    <w:rsid w:val="00DF6668"/>
    <w:rsid w:val="00DF680C"/>
    <w:rsid w:val="00DF7713"/>
    <w:rsid w:val="00DF7726"/>
    <w:rsid w:val="00E00479"/>
    <w:rsid w:val="00E01E13"/>
    <w:rsid w:val="00E02979"/>
    <w:rsid w:val="00E02B6C"/>
    <w:rsid w:val="00E02BAF"/>
    <w:rsid w:val="00E03036"/>
    <w:rsid w:val="00E03804"/>
    <w:rsid w:val="00E0465D"/>
    <w:rsid w:val="00E04D8C"/>
    <w:rsid w:val="00E05A0E"/>
    <w:rsid w:val="00E0623E"/>
    <w:rsid w:val="00E067B3"/>
    <w:rsid w:val="00E06C7B"/>
    <w:rsid w:val="00E101BC"/>
    <w:rsid w:val="00E10559"/>
    <w:rsid w:val="00E10E6C"/>
    <w:rsid w:val="00E114D7"/>
    <w:rsid w:val="00E12009"/>
    <w:rsid w:val="00E12863"/>
    <w:rsid w:val="00E13270"/>
    <w:rsid w:val="00E137C5"/>
    <w:rsid w:val="00E14908"/>
    <w:rsid w:val="00E151B1"/>
    <w:rsid w:val="00E16025"/>
    <w:rsid w:val="00E1709E"/>
    <w:rsid w:val="00E17B18"/>
    <w:rsid w:val="00E20421"/>
    <w:rsid w:val="00E209DE"/>
    <w:rsid w:val="00E20E35"/>
    <w:rsid w:val="00E21F0C"/>
    <w:rsid w:val="00E231C7"/>
    <w:rsid w:val="00E24489"/>
    <w:rsid w:val="00E25DF6"/>
    <w:rsid w:val="00E269B9"/>
    <w:rsid w:val="00E270D8"/>
    <w:rsid w:val="00E27B0B"/>
    <w:rsid w:val="00E319A4"/>
    <w:rsid w:val="00E32D17"/>
    <w:rsid w:val="00E33637"/>
    <w:rsid w:val="00E348F0"/>
    <w:rsid w:val="00E359A7"/>
    <w:rsid w:val="00E35A20"/>
    <w:rsid w:val="00E35DCC"/>
    <w:rsid w:val="00E36295"/>
    <w:rsid w:val="00E36AC5"/>
    <w:rsid w:val="00E36C79"/>
    <w:rsid w:val="00E36F27"/>
    <w:rsid w:val="00E4003E"/>
    <w:rsid w:val="00E40423"/>
    <w:rsid w:val="00E405A1"/>
    <w:rsid w:val="00E41AEB"/>
    <w:rsid w:val="00E41DD2"/>
    <w:rsid w:val="00E41EA3"/>
    <w:rsid w:val="00E42327"/>
    <w:rsid w:val="00E43C09"/>
    <w:rsid w:val="00E43D44"/>
    <w:rsid w:val="00E43DD1"/>
    <w:rsid w:val="00E43E07"/>
    <w:rsid w:val="00E4492F"/>
    <w:rsid w:val="00E46C31"/>
    <w:rsid w:val="00E47814"/>
    <w:rsid w:val="00E50F10"/>
    <w:rsid w:val="00E5100E"/>
    <w:rsid w:val="00E51B62"/>
    <w:rsid w:val="00E52506"/>
    <w:rsid w:val="00E5343D"/>
    <w:rsid w:val="00E54ABA"/>
    <w:rsid w:val="00E54CBF"/>
    <w:rsid w:val="00E54D5A"/>
    <w:rsid w:val="00E54DF8"/>
    <w:rsid w:val="00E566B5"/>
    <w:rsid w:val="00E57281"/>
    <w:rsid w:val="00E575A2"/>
    <w:rsid w:val="00E57D12"/>
    <w:rsid w:val="00E61E88"/>
    <w:rsid w:val="00E6259B"/>
    <w:rsid w:val="00E629F4"/>
    <w:rsid w:val="00E62BF3"/>
    <w:rsid w:val="00E62FD9"/>
    <w:rsid w:val="00E64114"/>
    <w:rsid w:val="00E64947"/>
    <w:rsid w:val="00E65C69"/>
    <w:rsid w:val="00E66558"/>
    <w:rsid w:val="00E666BF"/>
    <w:rsid w:val="00E66AE9"/>
    <w:rsid w:val="00E70412"/>
    <w:rsid w:val="00E71035"/>
    <w:rsid w:val="00E713AC"/>
    <w:rsid w:val="00E71C49"/>
    <w:rsid w:val="00E72667"/>
    <w:rsid w:val="00E72832"/>
    <w:rsid w:val="00E729D6"/>
    <w:rsid w:val="00E72D52"/>
    <w:rsid w:val="00E72E03"/>
    <w:rsid w:val="00E73499"/>
    <w:rsid w:val="00E736D4"/>
    <w:rsid w:val="00E73ACE"/>
    <w:rsid w:val="00E73D58"/>
    <w:rsid w:val="00E7421B"/>
    <w:rsid w:val="00E764F2"/>
    <w:rsid w:val="00E76ABF"/>
    <w:rsid w:val="00E76CB6"/>
    <w:rsid w:val="00E76DBE"/>
    <w:rsid w:val="00E7704C"/>
    <w:rsid w:val="00E77625"/>
    <w:rsid w:val="00E80A3D"/>
    <w:rsid w:val="00E80BA2"/>
    <w:rsid w:val="00E80C36"/>
    <w:rsid w:val="00E80CC3"/>
    <w:rsid w:val="00E81414"/>
    <w:rsid w:val="00E81EA6"/>
    <w:rsid w:val="00E82126"/>
    <w:rsid w:val="00E83415"/>
    <w:rsid w:val="00E8446D"/>
    <w:rsid w:val="00E846FE"/>
    <w:rsid w:val="00E84C8B"/>
    <w:rsid w:val="00E85319"/>
    <w:rsid w:val="00E873F2"/>
    <w:rsid w:val="00E90A4F"/>
    <w:rsid w:val="00E9179E"/>
    <w:rsid w:val="00E9197A"/>
    <w:rsid w:val="00E919F3"/>
    <w:rsid w:val="00E91E5E"/>
    <w:rsid w:val="00E921C8"/>
    <w:rsid w:val="00E927E5"/>
    <w:rsid w:val="00E92842"/>
    <w:rsid w:val="00E930F8"/>
    <w:rsid w:val="00E9315F"/>
    <w:rsid w:val="00E9504F"/>
    <w:rsid w:val="00E95296"/>
    <w:rsid w:val="00E95A62"/>
    <w:rsid w:val="00E95ECA"/>
    <w:rsid w:val="00E95F2A"/>
    <w:rsid w:val="00E97242"/>
    <w:rsid w:val="00EA0983"/>
    <w:rsid w:val="00EA10E5"/>
    <w:rsid w:val="00EA15A2"/>
    <w:rsid w:val="00EA175E"/>
    <w:rsid w:val="00EA2107"/>
    <w:rsid w:val="00EA2606"/>
    <w:rsid w:val="00EA280E"/>
    <w:rsid w:val="00EA3006"/>
    <w:rsid w:val="00EA3161"/>
    <w:rsid w:val="00EA33A6"/>
    <w:rsid w:val="00EA43BB"/>
    <w:rsid w:val="00EA692D"/>
    <w:rsid w:val="00EA76FF"/>
    <w:rsid w:val="00EA7DE6"/>
    <w:rsid w:val="00EA7E56"/>
    <w:rsid w:val="00EB0D73"/>
    <w:rsid w:val="00EB1284"/>
    <w:rsid w:val="00EB23AE"/>
    <w:rsid w:val="00EB2E2C"/>
    <w:rsid w:val="00EB4B5D"/>
    <w:rsid w:val="00EB5090"/>
    <w:rsid w:val="00EB53E6"/>
    <w:rsid w:val="00EB5553"/>
    <w:rsid w:val="00EB5D4B"/>
    <w:rsid w:val="00EB66B4"/>
    <w:rsid w:val="00EB797E"/>
    <w:rsid w:val="00EB7DB7"/>
    <w:rsid w:val="00EC0CBE"/>
    <w:rsid w:val="00EC3893"/>
    <w:rsid w:val="00EC3AA7"/>
    <w:rsid w:val="00EC3C02"/>
    <w:rsid w:val="00EC4239"/>
    <w:rsid w:val="00EC4E82"/>
    <w:rsid w:val="00EC5065"/>
    <w:rsid w:val="00EC5078"/>
    <w:rsid w:val="00EC5588"/>
    <w:rsid w:val="00EC5B82"/>
    <w:rsid w:val="00EC695D"/>
    <w:rsid w:val="00EC6A3B"/>
    <w:rsid w:val="00EC7357"/>
    <w:rsid w:val="00ED019E"/>
    <w:rsid w:val="00ED1012"/>
    <w:rsid w:val="00ED12D7"/>
    <w:rsid w:val="00ED13CC"/>
    <w:rsid w:val="00ED19E8"/>
    <w:rsid w:val="00ED1DAD"/>
    <w:rsid w:val="00ED1F21"/>
    <w:rsid w:val="00ED2632"/>
    <w:rsid w:val="00ED2E3D"/>
    <w:rsid w:val="00ED30FB"/>
    <w:rsid w:val="00ED3512"/>
    <w:rsid w:val="00ED4AC8"/>
    <w:rsid w:val="00ED6696"/>
    <w:rsid w:val="00ED70E2"/>
    <w:rsid w:val="00EE022B"/>
    <w:rsid w:val="00EE14C7"/>
    <w:rsid w:val="00EE2544"/>
    <w:rsid w:val="00EE330F"/>
    <w:rsid w:val="00EE3334"/>
    <w:rsid w:val="00EE4791"/>
    <w:rsid w:val="00EE4917"/>
    <w:rsid w:val="00EE4FD3"/>
    <w:rsid w:val="00EE547D"/>
    <w:rsid w:val="00EE5717"/>
    <w:rsid w:val="00EE5E1D"/>
    <w:rsid w:val="00EE61FD"/>
    <w:rsid w:val="00EE66CB"/>
    <w:rsid w:val="00EE6BEA"/>
    <w:rsid w:val="00EE728C"/>
    <w:rsid w:val="00EE7A2A"/>
    <w:rsid w:val="00EF03DD"/>
    <w:rsid w:val="00EF0409"/>
    <w:rsid w:val="00EF1A76"/>
    <w:rsid w:val="00EF1D8A"/>
    <w:rsid w:val="00EF216F"/>
    <w:rsid w:val="00EF21A6"/>
    <w:rsid w:val="00EF2259"/>
    <w:rsid w:val="00EF29B0"/>
    <w:rsid w:val="00EF29E5"/>
    <w:rsid w:val="00EF351C"/>
    <w:rsid w:val="00EF4FBE"/>
    <w:rsid w:val="00EF515C"/>
    <w:rsid w:val="00EF5951"/>
    <w:rsid w:val="00EF5EB8"/>
    <w:rsid w:val="00EF5F19"/>
    <w:rsid w:val="00EF5F87"/>
    <w:rsid w:val="00EF60FF"/>
    <w:rsid w:val="00EF64C1"/>
    <w:rsid w:val="00EF792E"/>
    <w:rsid w:val="00F00114"/>
    <w:rsid w:val="00F01314"/>
    <w:rsid w:val="00F02644"/>
    <w:rsid w:val="00F02709"/>
    <w:rsid w:val="00F03E7E"/>
    <w:rsid w:val="00F043CE"/>
    <w:rsid w:val="00F04EA2"/>
    <w:rsid w:val="00F05110"/>
    <w:rsid w:val="00F05CD9"/>
    <w:rsid w:val="00F0653F"/>
    <w:rsid w:val="00F070D0"/>
    <w:rsid w:val="00F07CEE"/>
    <w:rsid w:val="00F1032D"/>
    <w:rsid w:val="00F103FE"/>
    <w:rsid w:val="00F10CE3"/>
    <w:rsid w:val="00F1190E"/>
    <w:rsid w:val="00F11FA3"/>
    <w:rsid w:val="00F1235C"/>
    <w:rsid w:val="00F1243A"/>
    <w:rsid w:val="00F12C6D"/>
    <w:rsid w:val="00F135D2"/>
    <w:rsid w:val="00F13D54"/>
    <w:rsid w:val="00F13E49"/>
    <w:rsid w:val="00F140B4"/>
    <w:rsid w:val="00F14C2A"/>
    <w:rsid w:val="00F14E64"/>
    <w:rsid w:val="00F15121"/>
    <w:rsid w:val="00F1585E"/>
    <w:rsid w:val="00F16DE3"/>
    <w:rsid w:val="00F1759C"/>
    <w:rsid w:val="00F17657"/>
    <w:rsid w:val="00F20D53"/>
    <w:rsid w:val="00F210B6"/>
    <w:rsid w:val="00F2151A"/>
    <w:rsid w:val="00F229E4"/>
    <w:rsid w:val="00F2332E"/>
    <w:rsid w:val="00F23732"/>
    <w:rsid w:val="00F24339"/>
    <w:rsid w:val="00F24706"/>
    <w:rsid w:val="00F24E47"/>
    <w:rsid w:val="00F25C63"/>
    <w:rsid w:val="00F26035"/>
    <w:rsid w:val="00F262E0"/>
    <w:rsid w:val="00F30126"/>
    <w:rsid w:val="00F31F70"/>
    <w:rsid w:val="00F31FB1"/>
    <w:rsid w:val="00F32180"/>
    <w:rsid w:val="00F33777"/>
    <w:rsid w:val="00F33C36"/>
    <w:rsid w:val="00F33DEC"/>
    <w:rsid w:val="00F34102"/>
    <w:rsid w:val="00F34A6C"/>
    <w:rsid w:val="00F36A9A"/>
    <w:rsid w:val="00F36F8D"/>
    <w:rsid w:val="00F377DE"/>
    <w:rsid w:val="00F37AAA"/>
    <w:rsid w:val="00F40092"/>
    <w:rsid w:val="00F4015C"/>
    <w:rsid w:val="00F4087B"/>
    <w:rsid w:val="00F40C82"/>
    <w:rsid w:val="00F40DD6"/>
    <w:rsid w:val="00F42503"/>
    <w:rsid w:val="00F4463E"/>
    <w:rsid w:val="00F44839"/>
    <w:rsid w:val="00F45618"/>
    <w:rsid w:val="00F45D8E"/>
    <w:rsid w:val="00F4617A"/>
    <w:rsid w:val="00F4635E"/>
    <w:rsid w:val="00F46E0F"/>
    <w:rsid w:val="00F50011"/>
    <w:rsid w:val="00F504BE"/>
    <w:rsid w:val="00F506EB"/>
    <w:rsid w:val="00F506EC"/>
    <w:rsid w:val="00F512A5"/>
    <w:rsid w:val="00F512F2"/>
    <w:rsid w:val="00F51D0E"/>
    <w:rsid w:val="00F51D44"/>
    <w:rsid w:val="00F5231F"/>
    <w:rsid w:val="00F5235F"/>
    <w:rsid w:val="00F5249D"/>
    <w:rsid w:val="00F53761"/>
    <w:rsid w:val="00F53EDA"/>
    <w:rsid w:val="00F567AA"/>
    <w:rsid w:val="00F5696B"/>
    <w:rsid w:val="00F56DD3"/>
    <w:rsid w:val="00F60A3C"/>
    <w:rsid w:val="00F60DCD"/>
    <w:rsid w:val="00F613AF"/>
    <w:rsid w:val="00F62E7C"/>
    <w:rsid w:val="00F6442B"/>
    <w:rsid w:val="00F64704"/>
    <w:rsid w:val="00F64750"/>
    <w:rsid w:val="00F64815"/>
    <w:rsid w:val="00F66AA3"/>
    <w:rsid w:val="00F67C35"/>
    <w:rsid w:val="00F705BE"/>
    <w:rsid w:val="00F70655"/>
    <w:rsid w:val="00F71599"/>
    <w:rsid w:val="00F71827"/>
    <w:rsid w:val="00F719A1"/>
    <w:rsid w:val="00F71D8E"/>
    <w:rsid w:val="00F72389"/>
    <w:rsid w:val="00F73AB5"/>
    <w:rsid w:val="00F73D4D"/>
    <w:rsid w:val="00F73FF3"/>
    <w:rsid w:val="00F742C8"/>
    <w:rsid w:val="00F75109"/>
    <w:rsid w:val="00F75DCB"/>
    <w:rsid w:val="00F75DE8"/>
    <w:rsid w:val="00F75F23"/>
    <w:rsid w:val="00F76F15"/>
    <w:rsid w:val="00F77379"/>
    <w:rsid w:val="00F80081"/>
    <w:rsid w:val="00F80260"/>
    <w:rsid w:val="00F80686"/>
    <w:rsid w:val="00F8213F"/>
    <w:rsid w:val="00F82763"/>
    <w:rsid w:val="00F83EB9"/>
    <w:rsid w:val="00F84812"/>
    <w:rsid w:val="00F8508C"/>
    <w:rsid w:val="00F852E5"/>
    <w:rsid w:val="00F85B03"/>
    <w:rsid w:val="00F86051"/>
    <w:rsid w:val="00F866D0"/>
    <w:rsid w:val="00F86B0B"/>
    <w:rsid w:val="00F86DC3"/>
    <w:rsid w:val="00F8744D"/>
    <w:rsid w:val="00F87DED"/>
    <w:rsid w:val="00F907C1"/>
    <w:rsid w:val="00F91254"/>
    <w:rsid w:val="00F91324"/>
    <w:rsid w:val="00F928BA"/>
    <w:rsid w:val="00F93E4F"/>
    <w:rsid w:val="00F94045"/>
    <w:rsid w:val="00F94FE2"/>
    <w:rsid w:val="00F9540F"/>
    <w:rsid w:val="00F96891"/>
    <w:rsid w:val="00F96B95"/>
    <w:rsid w:val="00F96D1D"/>
    <w:rsid w:val="00F97A15"/>
    <w:rsid w:val="00FA0C44"/>
    <w:rsid w:val="00FA1FA0"/>
    <w:rsid w:val="00FA449B"/>
    <w:rsid w:val="00FA63F0"/>
    <w:rsid w:val="00FA6909"/>
    <w:rsid w:val="00FA69C7"/>
    <w:rsid w:val="00FA6B0F"/>
    <w:rsid w:val="00FB02C0"/>
    <w:rsid w:val="00FB13EB"/>
    <w:rsid w:val="00FB2EC6"/>
    <w:rsid w:val="00FB3970"/>
    <w:rsid w:val="00FB4076"/>
    <w:rsid w:val="00FB4874"/>
    <w:rsid w:val="00FB510B"/>
    <w:rsid w:val="00FB6615"/>
    <w:rsid w:val="00FB7583"/>
    <w:rsid w:val="00FC132E"/>
    <w:rsid w:val="00FC16CD"/>
    <w:rsid w:val="00FC21E2"/>
    <w:rsid w:val="00FC25A3"/>
    <w:rsid w:val="00FC281C"/>
    <w:rsid w:val="00FC2E87"/>
    <w:rsid w:val="00FC4885"/>
    <w:rsid w:val="00FC4C3F"/>
    <w:rsid w:val="00FC5E99"/>
    <w:rsid w:val="00FC6983"/>
    <w:rsid w:val="00FC7137"/>
    <w:rsid w:val="00FC7DB1"/>
    <w:rsid w:val="00FC7E0E"/>
    <w:rsid w:val="00FC7E8C"/>
    <w:rsid w:val="00FD0B92"/>
    <w:rsid w:val="00FD0BA3"/>
    <w:rsid w:val="00FD116B"/>
    <w:rsid w:val="00FD1171"/>
    <w:rsid w:val="00FD2394"/>
    <w:rsid w:val="00FD2F9E"/>
    <w:rsid w:val="00FD3E7D"/>
    <w:rsid w:val="00FD59DC"/>
    <w:rsid w:val="00FD6340"/>
    <w:rsid w:val="00FD67AD"/>
    <w:rsid w:val="00FD6A0F"/>
    <w:rsid w:val="00FD7A06"/>
    <w:rsid w:val="00FE05A6"/>
    <w:rsid w:val="00FE0C4F"/>
    <w:rsid w:val="00FE0DAB"/>
    <w:rsid w:val="00FE19FD"/>
    <w:rsid w:val="00FE1B03"/>
    <w:rsid w:val="00FE1B71"/>
    <w:rsid w:val="00FE2DBF"/>
    <w:rsid w:val="00FE390E"/>
    <w:rsid w:val="00FE3AAB"/>
    <w:rsid w:val="00FE3E0D"/>
    <w:rsid w:val="00FE458E"/>
    <w:rsid w:val="00FE564D"/>
    <w:rsid w:val="00FE68C2"/>
    <w:rsid w:val="00FE6FBB"/>
    <w:rsid w:val="00FE755D"/>
    <w:rsid w:val="00FF0157"/>
    <w:rsid w:val="00FF09D7"/>
    <w:rsid w:val="00FF203A"/>
    <w:rsid w:val="00FF2058"/>
    <w:rsid w:val="00FF4038"/>
    <w:rsid w:val="00FF4050"/>
    <w:rsid w:val="00FF4296"/>
    <w:rsid w:val="00FF5722"/>
    <w:rsid w:val="00FF6255"/>
    <w:rsid w:val="00FF6AB9"/>
    <w:rsid w:val="00FF7392"/>
    <w:rsid w:val="00FF78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35C"/>
    <w:pPr>
      <w:spacing w:after="0"/>
    </w:pPr>
    <w:rPr>
      <w:rFonts w:ascii="Cambria" w:hAnsi="Cambria"/>
      <w:sz w:val="24"/>
    </w:rPr>
  </w:style>
  <w:style w:type="paragraph" w:styleId="Antrat1">
    <w:name w:val="heading 1"/>
    <w:basedOn w:val="prastasis"/>
    <w:next w:val="Text"/>
    <w:link w:val="Antrat1Diagrama"/>
    <w:uiPriority w:val="9"/>
    <w:qFormat/>
    <w:rsid w:val="00F20D53"/>
    <w:pPr>
      <w:keepNext/>
      <w:keepLines/>
      <w:spacing w:before="240" w:after="480"/>
      <w:outlineLvl w:val="0"/>
    </w:pPr>
    <w:rPr>
      <w:rFonts w:eastAsiaTheme="majorEastAsia" w:cstheme="majorBidi"/>
      <w:bCs/>
      <w:caps/>
      <w:color w:val="175F6E"/>
      <w:sz w:val="45"/>
      <w:szCs w:val="28"/>
    </w:rPr>
  </w:style>
  <w:style w:type="paragraph" w:styleId="Antrat2">
    <w:name w:val="heading 2"/>
    <w:basedOn w:val="Antrat1"/>
    <w:next w:val="Text"/>
    <w:link w:val="Antrat2Diagrama"/>
    <w:uiPriority w:val="9"/>
    <w:unhideWhenUsed/>
    <w:qFormat/>
    <w:rsid w:val="00664CE5"/>
    <w:pPr>
      <w:numPr>
        <w:numId w:val="1"/>
      </w:numPr>
      <w:spacing w:before="200" w:after="360"/>
      <w:outlineLvl w:val="1"/>
    </w:pPr>
    <w:rPr>
      <w:rFonts w:eastAsia="Lucida Sans Unicode"/>
      <w:bCs w:val="0"/>
      <w:color w:val="00505E"/>
      <w:szCs w:val="45"/>
    </w:rPr>
  </w:style>
  <w:style w:type="paragraph" w:styleId="Antrat3">
    <w:name w:val="heading 3"/>
    <w:basedOn w:val="Antrat2"/>
    <w:next w:val="Text"/>
    <w:link w:val="Antrat3Diagrama"/>
    <w:unhideWhenUsed/>
    <w:qFormat/>
    <w:rsid w:val="005058B5"/>
    <w:pPr>
      <w:numPr>
        <w:ilvl w:val="1"/>
      </w:numPr>
      <w:tabs>
        <w:tab w:val="left" w:pos="907"/>
        <w:tab w:val="left" w:pos="1134"/>
        <w:tab w:val="left" w:pos="1361"/>
      </w:tabs>
      <w:spacing w:after="240"/>
      <w:outlineLvl w:val="2"/>
    </w:pPr>
    <w:rPr>
      <w:bCs/>
      <w:caps w:val="0"/>
      <w:sz w:val="26"/>
      <w:szCs w:val="26"/>
    </w:rPr>
  </w:style>
  <w:style w:type="paragraph" w:styleId="Antrat4">
    <w:name w:val="heading 4"/>
    <w:basedOn w:val="Antrat3"/>
    <w:next w:val="Text"/>
    <w:link w:val="Antrat4Diagrama"/>
    <w:unhideWhenUsed/>
    <w:qFormat/>
    <w:rsid w:val="005058B5"/>
    <w:pPr>
      <w:numPr>
        <w:ilvl w:val="2"/>
      </w:numPr>
      <w:outlineLvl w:val="3"/>
    </w:pPr>
  </w:style>
  <w:style w:type="paragraph" w:styleId="Antrat5">
    <w:name w:val="heading 5"/>
    <w:basedOn w:val="Antrat4"/>
    <w:next w:val="Text"/>
    <w:link w:val="Antrat5Diagrama"/>
    <w:unhideWhenUsed/>
    <w:qFormat/>
    <w:rsid w:val="008F5D04"/>
    <w:pPr>
      <w:numPr>
        <w:ilvl w:val="3"/>
      </w:numPr>
      <w:spacing w:after="120"/>
      <w:outlineLvl w:val="4"/>
    </w:pPr>
    <w:rPr>
      <w:rFonts w:eastAsiaTheme="majorEastAsia"/>
      <w:sz w:val="24"/>
    </w:rPr>
  </w:style>
  <w:style w:type="paragraph" w:styleId="Antrat6">
    <w:name w:val="heading 6"/>
    <w:basedOn w:val="prastasis"/>
    <w:next w:val="Text"/>
    <w:link w:val="Antrat6Diagrama"/>
    <w:uiPriority w:val="9"/>
    <w:unhideWhenUsed/>
    <w:qFormat/>
    <w:rsid w:val="00F20D53"/>
    <w:pPr>
      <w:outlineLvl w:val="5"/>
    </w:pPr>
    <w:rPr>
      <w:rFonts w:eastAsiaTheme="majorEastAsia" w:cstheme="majorBidi"/>
      <w:bCs/>
      <w:color w:val="00505E"/>
      <w:szCs w:val="26"/>
    </w:rPr>
  </w:style>
  <w:style w:type="paragraph" w:styleId="Antrat7">
    <w:name w:val="heading 7"/>
    <w:basedOn w:val="Text"/>
    <w:next w:val="Text"/>
    <w:link w:val="Antrat7Diagrama"/>
    <w:uiPriority w:val="9"/>
    <w:unhideWhenUsed/>
    <w:qFormat/>
    <w:rsid w:val="00F20D53"/>
    <w:pPr>
      <w:spacing w:before="120" w:after="120"/>
      <w:outlineLvl w:val="6"/>
    </w:pPr>
    <w:rPr>
      <w:rFonts w:eastAsiaTheme="majorEastAsia" w:cstheme="majorBidi"/>
      <w:b/>
      <w:iCs/>
      <w:sz w:val="20"/>
    </w:rPr>
  </w:style>
  <w:style w:type="paragraph" w:styleId="Antrat8">
    <w:name w:val="heading 8"/>
    <w:basedOn w:val="prastasis"/>
    <w:next w:val="prastasis"/>
    <w:link w:val="Antrat8Diagrama"/>
    <w:uiPriority w:val="9"/>
    <w:unhideWhenUsed/>
    <w:qFormat/>
    <w:rsid w:val="00F20D53"/>
    <w:pPr>
      <w:keepNext/>
      <w:keepLines/>
      <w:spacing w:before="200"/>
      <w:outlineLvl w:val="7"/>
    </w:pPr>
    <w:rPr>
      <w:rFonts w:eastAsiaTheme="majorEastAsia"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20D53"/>
    <w:pPr>
      <w:keepNext/>
      <w:keepLines/>
      <w:spacing w:before="200"/>
      <w:outlineLvl w:val="8"/>
    </w:pPr>
    <w:rPr>
      <w:rFonts w:eastAsiaTheme="majorEastAsia"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20D53"/>
    <w:pPr>
      <w:spacing w:after="0"/>
    </w:pPr>
    <w:rPr>
      <w:rFonts w:ascii="Cambria" w:hAnsi="Cambria"/>
      <w:lang w:val="en-US" w:eastAsia="ja-JP"/>
    </w:rPr>
  </w:style>
  <w:style w:type="character" w:customStyle="1" w:styleId="BetarpDiagrama">
    <w:name w:val="Be tarpų Diagrama"/>
    <w:basedOn w:val="Numatytasispastraiposriftas"/>
    <w:link w:val="Betarp"/>
    <w:uiPriority w:val="1"/>
    <w:rsid w:val="00F20D53"/>
    <w:rPr>
      <w:rFonts w:ascii="Cambria" w:hAnsi="Cambria"/>
      <w:lang w:val="en-US" w:eastAsia="ja-JP"/>
    </w:rPr>
  </w:style>
  <w:style w:type="paragraph" w:styleId="Debesliotekstas">
    <w:name w:val="Balloon Text"/>
    <w:basedOn w:val="prastasis"/>
    <w:link w:val="DebesliotekstasDiagrama"/>
    <w:uiPriority w:val="99"/>
    <w:semiHidden/>
    <w:unhideWhenUsed/>
    <w:rsid w:val="00CC04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457"/>
    <w:rPr>
      <w:rFonts w:ascii="Tahoma" w:hAnsi="Tahoma" w:cs="Tahoma"/>
      <w:sz w:val="16"/>
      <w:szCs w:val="16"/>
    </w:rPr>
  </w:style>
  <w:style w:type="paragraph" w:styleId="Antrats">
    <w:name w:val="header"/>
    <w:basedOn w:val="prastasis"/>
    <w:link w:val="AntratsDiagrama"/>
    <w:uiPriority w:val="99"/>
    <w:unhideWhenUsed/>
    <w:rsid w:val="00CC0457"/>
    <w:pPr>
      <w:tabs>
        <w:tab w:val="center" w:pos="4819"/>
        <w:tab w:val="right" w:pos="9638"/>
      </w:tabs>
    </w:pPr>
  </w:style>
  <w:style w:type="character" w:customStyle="1" w:styleId="AntratsDiagrama">
    <w:name w:val="Antraštės Diagrama"/>
    <w:basedOn w:val="Numatytasispastraiposriftas"/>
    <w:link w:val="Antrats"/>
    <w:uiPriority w:val="99"/>
    <w:rsid w:val="00CC0457"/>
  </w:style>
  <w:style w:type="paragraph" w:styleId="Porat">
    <w:name w:val="footer"/>
    <w:basedOn w:val="prastasis"/>
    <w:link w:val="PoratDiagrama"/>
    <w:uiPriority w:val="99"/>
    <w:unhideWhenUsed/>
    <w:rsid w:val="00CC0457"/>
    <w:pPr>
      <w:tabs>
        <w:tab w:val="center" w:pos="4819"/>
        <w:tab w:val="right" w:pos="9638"/>
      </w:tabs>
    </w:pPr>
  </w:style>
  <w:style w:type="character" w:customStyle="1" w:styleId="PoratDiagrama">
    <w:name w:val="Poraštė Diagrama"/>
    <w:basedOn w:val="Numatytasispastraiposriftas"/>
    <w:link w:val="Porat"/>
    <w:uiPriority w:val="99"/>
    <w:rsid w:val="00CC0457"/>
  </w:style>
  <w:style w:type="character" w:styleId="Vietosrezervavimoenklotekstas">
    <w:name w:val="Placeholder Text"/>
    <w:basedOn w:val="Numatytasispastraiposriftas"/>
    <w:uiPriority w:val="99"/>
    <w:semiHidden/>
    <w:rsid w:val="00D47310"/>
    <w:rPr>
      <w:color w:val="808080"/>
    </w:rPr>
  </w:style>
  <w:style w:type="character" w:customStyle="1" w:styleId="Antrat1Diagrama">
    <w:name w:val="Antraštė 1 Diagrama"/>
    <w:basedOn w:val="Numatytasispastraiposriftas"/>
    <w:link w:val="Antrat1"/>
    <w:uiPriority w:val="9"/>
    <w:rsid w:val="00F20D53"/>
    <w:rPr>
      <w:rFonts w:ascii="Cambria" w:eastAsiaTheme="majorEastAsia" w:hAnsi="Cambria" w:cstheme="majorBidi"/>
      <w:bCs/>
      <w:caps/>
      <w:color w:val="175F6E"/>
      <w:sz w:val="45"/>
      <w:szCs w:val="28"/>
    </w:rPr>
  </w:style>
  <w:style w:type="character" w:customStyle="1" w:styleId="Antrat2Diagrama">
    <w:name w:val="Antraštė 2 Diagrama"/>
    <w:basedOn w:val="Numatytasispastraiposriftas"/>
    <w:link w:val="Antrat2"/>
    <w:uiPriority w:val="9"/>
    <w:rsid w:val="00664CE5"/>
    <w:rPr>
      <w:rFonts w:ascii="Cambria" w:eastAsia="Lucida Sans Unicode" w:hAnsi="Cambria" w:cstheme="majorBidi"/>
      <w:caps/>
      <w:color w:val="00505E"/>
      <w:sz w:val="45"/>
      <w:szCs w:val="45"/>
    </w:rPr>
  </w:style>
  <w:style w:type="character" w:customStyle="1" w:styleId="Antrat3Diagrama">
    <w:name w:val="Antraštė 3 Diagrama"/>
    <w:basedOn w:val="Numatytasispastraiposriftas"/>
    <w:link w:val="Antrat3"/>
    <w:rsid w:val="005058B5"/>
    <w:rPr>
      <w:rFonts w:ascii="Cambria" w:eastAsia="Lucida Sans Unicode" w:hAnsi="Cambria" w:cstheme="majorBidi"/>
      <w:bCs/>
      <w:color w:val="00505E"/>
      <w:sz w:val="26"/>
      <w:szCs w:val="26"/>
    </w:rPr>
  </w:style>
  <w:style w:type="paragraph" w:styleId="Antrinispavadinimas">
    <w:name w:val="Subtitle"/>
    <w:basedOn w:val="prastasis"/>
    <w:next w:val="prastasis"/>
    <w:link w:val="AntrinispavadinimasDiagrama"/>
    <w:uiPriority w:val="11"/>
    <w:qFormat/>
    <w:rsid w:val="00F20D53"/>
    <w:pPr>
      <w:numPr>
        <w:ilvl w:val="1"/>
      </w:numPr>
    </w:pPr>
    <w:rPr>
      <w:rFonts w:eastAsiaTheme="majorEastAsia" w:cstheme="majorBidi"/>
      <w:iCs/>
      <w:caps/>
      <w:color w:val="175F6E"/>
      <w:spacing w:val="15"/>
      <w:sz w:val="45"/>
      <w:szCs w:val="24"/>
    </w:rPr>
  </w:style>
  <w:style w:type="character" w:customStyle="1" w:styleId="AntrinispavadinimasDiagrama">
    <w:name w:val="Antrinis pavadinimas Diagrama"/>
    <w:basedOn w:val="Numatytasispastraiposriftas"/>
    <w:link w:val="Antrinispavadinimas"/>
    <w:uiPriority w:val="11"/>
    <w:rsid w:val="00F20D53"/>
    <w:rPr>
      <w:rFonts w:ascii="Cambria" w:eastAsiaTheme="majorEastAsia" w:hAnsi="Cambria" w:cstheme="majorBidi"/>
      <w:iCs/>
      <w:caps/>
      <w:color w:val="175F6E"/>
      <w:spacing w:val="15"/>
      <w:sz w:val="45"/>
      <w:szCs w:val="24"/>
    </w:rPr>
  </w:style>
  <w:style w:type="paragraph" w:customStyle="1" w:styleId="Subtitlewhite">
    <w:name w:val="Subtitle white"/>
    <w:basedOn w:val="Antrinispavadinimas"/>
    <w:link w:val="SubtitlewhiteChar"/>
    <w:qFormat/>
    <w:rsid w:val="00F20D53"/>
    <w:rPr>
      <w:color w:val="FFFFFF" w:themeColor="background1"/>
      <w:sz w:val="52"/>
    </w:rPr>
  </w:style>
  <w:style w:type="paragraph" w:styleId="Pavadinimas">
    <w:name w:val="Title"/>
    <w:basedOn w:val="prastasis"/>
    <w:next w:val="prastasis"/>
    <w:link w:val="PavadinimasDiagrama"/>
    <w:uiPriority w:val="10"/>
    <w:qFormat/>
    <w:rsid w:val="00F20D53"/>
    <w:pPr>
      <w:contextualSpacing/>
    </w:pPr>
    <w:rPr>
      <w:rFonts w:eastAsiaTheme="majorEastAsia" w:cstheme="majorBidi"/>
      <w:caps/>
      <w:color w:val="175F6E"/>
      <w:spacing w:val="15"/>
      <w:kern w:val="28"/>
      <w:sz w:val="52"/>
      <w:szCs w:val="52"/>
    </w:rPr>
  </w:style>
  <w:style w:type="character" w:customStyle="1" w:styleId="SubtitlewhiteChar">
    <w:name w:val="Subtitle white Char"/>
    <w:basedOn w:val="AntrinispavadinimasDiagrama"/>
    <w:link w:val="Subtitlewhite"/>
    <w:rsid w:val="00F20D53"/>
    <w:rPr>
      <w:rFonts w:ascii="Cambria" w:eastAsiaTheme="majorEastAsia" w:hAnsi="Cambria" w:cstheme="majorBidi"/>
      <w:iCs/>
      <w:caps/>
      <w:color w:val="FFFFFF" w:themeColor="background1"/>
      <w:spacing w:val="15"/>
      <w:sz w:val="52"/>
      <w:szCs w:val="24"/>
    </w:rPr>
  </w:style>
  <w:style w:type="character" w:customStyle="1" w:styleId="PavadinimasDiagrama">
    <w:name w:val="Pavadinimas Diagrama"/>
    <w:basedOn w:val="Numatytasispastraiposriftas"/>
    <w:link w:val="Pavadinimas"/>
    <w:uiPriority w:val="10"/>
    <w:rsid w:val="00F20D53"/>
    <w:rPr>
      <w:rFonts w:ascii="Cambria" w:eastAsiaTheme="majorEastAsia" w:hAnsi="Cambria" w:cstheme="majorBidi"/>
      <w:caps/>
      <w:color w:val="175F6E"/>
      <w:spacing w:val="15"/>
      <w:kern w:val="28"/>
      <w:sz w:val="52"/>
      <w:szCs w:val="52"/>
    </w:rPr>
  </w:style>
  <w:style w:type="paragraph" w:styleId="Sraopastraipa">
    <w:name w:val="List Paragraph"/>
    <w:basedOn w:val="prastasis"/>
    <w:uiPriority w:val="34"/>
    <w:qFormat/>
    <w:rsid w:val="00F20D53"/>
    <w:pPr>
      <w:contextualSpacing/>
    </w:pPr>
  </w:style>
  <w:style w:type="paragraph" w:customStyle="1" w:styleId="Text">
    <w:name w:val="Text"/>
    <w:basedOn w:val="prastasis"/>
    <w:link w:val="TextChar"/>
    <w:qFormat/>
    <w:rsid w:val="00BF31CD"/>
    <w:pPr>
      <w:tabs>
        <w:tab w:val="left" w:pos="9600"/>
      </w:tabs>
      <w:spacing w:after="240"/>
      <w:ind w:left="505" w:right="74"/>
      <w:jc w:val="both"/>
    </w:pPr>
    <w:rPr>
      <w:noProof/>
    </w:rPr>
  </w:style>
  <w:style w:type="paragraph" w:customStyle="1" w:styleId="HeaderText">
    <w:name w:val="Header Text"/>
    <w:basedOn w:val="Antrats"/>
    <w:link w:val="HeaderTextChar"/>
    <w:qFormat/>
    <w:rsid w:val="001E11A2"/>
    <w:pPr>
      <w:tabs>
        <w:tab w:val="clear" w:pos="4819"/>
        <w:tab w:val="clear" w:pos="9638"/>
        <w:tab w:val="right" w:pos="10086"/>
      </w:tabs>
    </w:pPr>
    <w:rPr>
      <w:bCs/>
      <w:caps/>
      <w:color w:val="9A9A9A" w:themeColor="text2"/>
      <w:sz w:val="16"/>
      <w:szCs w:val="28"/>
    </w:rPr>
  </w:style>
  <w:style w:type="character" w:customStyle="1" w:styleId="TextChar">
    <w:name w:val="Text Char"/>
    <w:basedOn w:val="Numatytasispastraiposriftas"/>
    <w:link w:val="Text"/>
    <w:rsid w:val="00BF31CD"/>
    <w:rPr>
      <w:noProof/>
      <w:sz w:val="24"/>
    </w:rPr>
  </w:style>
  <w:style w:type="paragraph" w:customStyle="1" w:styleId="TextWhite">
    <w:name w:val="Text White"/>
    <w:basedOn w:val="Text"/>
    <w:link w:val="TextWhiteChar"/>
    <w:qFormat/>
    <w:rsid w:val="00F20D53"/>
    <w:pPr>
      <w:ind w:left="0"/>
    </w:pPr>
    <w:rPr>
      <w:color w:val="FFFFFF" w:themeColor="background1"/>
      <w:sz w:val="32"/>
    </w:rPr>
  </w:style>
  <w:style w:type="character" w:customStyle="1" w:styleId="HeaderTextChar">
    <w:name w:val="Header Text Char"/>
    <w:basedOn w:val="AntratsDiagrama"/>
    <w:link w:val="HeaderText"/>
    <w:rsid w:val="001E11A2"/>
    <w:rPr>
      <w:bCs/>
      <w:caps/>
      <w:color w:val="9A9A9A" w:themeColor="text2"/>
      <w:sz w:val="16"/>
      <w:szCs w:val="28"/>
    </w:rPr>
  </w:style>
  <w:style w:type="paragraph" w:customStyle="1" w:styleId="TextWhiteUP">
    <w:name w:val="Text White UP"/>
    <w:basedOn w:val="prastasis"/>
    <w:link w:val="TextWhiteUPChar"/>
    <w:autoRedefine/>
    <w:qFormat/>
    <w:rsid w:val="00F20D53"/>
    <w:rPr>
      <w:caps/>
      <w:color w:val="FFFFFF" w:themeColor="background1"/>
      <w:sz w:val="32"/>
    </w:rPr>
  </w:style>
  <w:style w:type="character" w:customStyle="1" w:styleId="TextWhiteChar">
    <w:name w:val="Text White Char"/>
    <w:basedOn w:val="Numatytasispastraiposriftas"/>
    <w:link w:val="TextWhite"/>
    <w:rsid w:val="00F20D53"/>
    <w:rPr>
      <w:rFonts w:ascii="Cambria" w:hAnsi="Cambria"/>
      <w:noProof/>
      <w:color w:val="FFFFFF" w:themeColor="background1"/>
      <w:sz w:val="32"/>
    </w:rPr>
  </w:style>
  <w:style w:type="character" w:customStyle="1" w:styleId="TextWhiteUPChar">
    <w:name w:val="Text White UP Char"/>
    <w:basedOn w:val="TextWhiteChar"/>
    <w:link w:val="TextWhiteUP"/>
    <w:rsid w:val="00F20D53"/>
    <w:rPr>
      <w:rFonts w:ascii="Cambria" w:hAnsi="Cambria"/>
      <w:caps/>
      <w:noProof/>
      <w:color w:val="FFFFFF" w:themeColor="background1"/>
      <w:sz w:val="32"/>
    </w:rPr>
  </w:style>
  <w:style w:type="paragraph" w:styleId="Turinioantrat">
    <w:name w:val="TOC Heading"/>
    <w:basedOn w:val="Antrat1"/>
    <w:next w:val="prastasis"/>
    <w:uiPriority w:val="39"/>
    <w:unhideWhenUsed/>
    <w:qFormat/>
    <w:rsid w:val="00C349B6"/>
    <w:pPr>
      <w:spacing w:before="360"/>
      <w:outlineLvl w:val="9"/>
    </w:pPr>
    <w:rPr>
      <w:color w:val="00505E"/>
      <w:lang w:val="en-US" w:eastAsia="ja-JP"/>
    </w:rPr>
  </w:style>
  <w:style w:type="paragraph" w:styleId="Turinys1">
    <w:name w:val="toc 1"/>
    <w:basedOn w:val="prastasis"/>
    <w:next w:val="prastasis"/>
    <w:autoRedefine/>
    <w:uiPriority w:val="39"/>
    <w:unhideWhenUsed/>
    <w:rsid w:val="00F20D53"/>
    <w:pPr>
      <w:tabs>
        <w:tab w:val="right" w:leader="dot" w:pos="10076"/>
      </w:tabs>
      <w:spacing w:after="100"/>
    </w:pPr>
    <w:rPr>
      <w:color w:val="343435"/>
      <w:sz w:val="22"/>
    </w:rPr>
  </w:style>
  <w:style w:type="character" w:styleId="Hipersaitas">
    <w:name w:val="Hyperlink"/>
    <w:basedOn w:val="Numatytasispastraiposriftas"/>
    <w:uiPriority w:val="99"/>
    <w:unhideWhenUsed/>
    <w:rsid w:val="00333DD6"/>
    <w:rPr>
      <w:color w:val="0000FF" w:themeColor="hyperlink"/>
      <w:u w:val="single"/>
    </w:rPr>
  </w:style>
  <w:style w:type="paragraph" w:styleId="Turinys2">
    <w:name w:val="toc 2"/>
    <w:basedOn w:val="prastasis"/>
    <w:next w:val="prastasis"/>
    <w:autoRedefine/>
    <w:uiPriority w:val="39"/>
    <w:unhideWhenUsed/>
    <w:rsid w:val="00F20D53"/>
    <w:pPr>
      <w:tabs>
        <w:tab w:val="left" w:pos="794"/>
        <w:tab w:val="right" w:leader="dot" w:pos="10076"/>
      </w:tabs>
      <w:spacing w:after="100"/>
      <w:ind w:left="397"/>
    </w:pPr>
    <w:rPr>
      <w:color w:val="343435"/>
      <w:sz w:val="22"/>
    </w:rPr>
  </w:style>
  <w:style w:type="character" w:customStyle="1" w:styleId="Antrat4Diagrama">
    <w:name w:val="Antraštė 4 Diagrama"/>
    <w:basedOn w:val="Numatytasispastraiposriftas"/>
    <w:link w:val="Antrat4"/>
    <w:rsid w:val="005058B5"/>
    <w:rPr>
      <w:rFonts w:ascii="Cambria" w:eastAsia="Lucida Sans Unicode" w:hAnsi="Cambria" w:cstheme="majorBidi"/>
      <w:bCs/>
      <w:color w:val="00505E"/>
      <w:sz w:val="26"/>
      <w:szCs w:val="26"/>
    </w:rPr>
  </w:style>
  <w:style w:type="paragraph" w:styleId="Turinys3">
    <w:name w:val="toc 3"/>
    <w:basedOn w:val="prastasis"/>
    <w:next w:val="prastasis"/>
    <w:autoRedefine/>
    <w:uiPriority w:val="39"/>
    <w:unhideWhenUsed/>
    <w:rsid w:val="00F20D53"/>
    <w:pPr>
      <w:tabs>
        <w:tab w:val="left" w:pos="1418"/>
        <w:tab w:val="left" w:pos="1531"/>
        <w:tab w:val="right" w:leader="dot" w:pos="10076"/>
      </w:tabs>
      <w:spacing w:after="100"/>
      <w:ind w:left="794"/>
    </w:pPr>
    <w:rPr>
      <w:color w:val="343435"/>
      <w:sz w:val="22"/>
    </w:rPr>
  </w:style>
  <w:style w:type="table" w:styleId="Lentelstinklelis">
    <w:name w:val="Table Grid"/>
    <w:basedOn w:val="prastojilentel"/>
    <w:uiPriority w:val="59"/>
    <w:rsid w:val="008A2BF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Antrat">
    <w:name w:val="caption"/>
    <w:aliases w:val="Table caption,paveikslas,Paveikslo pavadinimas,TabelOverskrift"/>
    <w:basedOn w:val="prastasis"/>
    <w:next w:val="prastasis"/>
    <w:link w:val="AntratDiagrama"/>
    <w:uiPriority w:val="35"/>
    <w:unhideWhenUsed/>
    <w:qFormat/>
    <w:rsid w:val="00F20D53"/>
    <w:rPr>
      <w:b/>
      <w:bCs/>
      <w:sz w:val="22"/>
      <w:szCs w:val="18"/>
    </w:rPr>
  </w:style>
  <w:style w:type="paragraph" w:styleId="Iliustracijsraas">
    <w:name w:val="table of figures"/>
    <w:basedOn w:val="prastasis"/>
    <w:next w:val="prastasis"/>
    <w:uiPriority w:val="99"/>
    <w:unhideWhenUsed/>
    <w:rsid w:val="00614BF4"/>
    <w:pPr>
      <w:ind w:left="505"/>
    </w:pPr>
  </w:style>
  <w:style w:type="table" w:styleId="1vidutinisspalvinimas3parykinimas">
    <w:name w:val="Medium Shading 1 Accent 3"/>
    <w:basedOn w:val="prastojilentel"/>
    <w:uiPriority w:val="63"/>
    <w:rsid w:val="008D7330"/>
    <w:pPr>
      <w:spacing w:after="0" w:line="240" w:lineRule="auto"/>
    </w:pPr>
    <w:tblPr>
      <w:tblStyleRowBandSize w:val="1"/>
      <w:tblStyleColBandSize w:val="1"/>
      <w:tbl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single" w:sz="8" w:space="0" w:color="C3D1D8" w:themeColor="accent3" w:themeTint="BF"/>
      </w:tblBorders>
    </w:tblPr>
    <w:tblStylePr w:type="firstRow">
      <w:pPr>
        <w:spacing w:before="0" w:after="0" w:line="240" w:lineRule="auto"/>
      </w:pPr>
      <w:rPr>
        <w:b/>
        <w:bCs/>
        <w:color w:val="FFFFFF" w:themeColor="background1"/>
      </w:rPr>
      <w:tblPr/>
      <w:tcPr>
        <w:tc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shd w:val="clear" w:color="auto" w:fill="AFC3CB" w:themeFill="accent3"/>
      </w:tcPr>
    </w:tblStylePr>
    <w:tblStylePr w:type="lastRow">
      <w:pPr>
        <w:spacing w:before="0" w:after="0" w:line="240" w:lineRule="auto"/>
      </w:pPr>
      <w:rPr>
        <w:b/>
        <w:bCs/>
      </w:rPr>
      <w:tblPr/>
      <w:tcPr>
        <w:tcBorders>
          <w:top w:val="double" w:sz="6"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3" w:themeFillTint="3F"/>
      </w:tcPr>
    </w:tblStylePr>
    <w:tblStylePr w:type="band1Horz">
      <w:tblPr/>
      <w:tcPr>
        <w:tcBorders>
          <w:insideH w:val="nil"/>
          <w:insideV w:val="nil"/>
        </w:tcBorders>
        <w:shd w:val="clear" w:color="auto" w:fill="EBF0F2" w:themeFill="accent3" w:themeFillTint="3F"/>
      </w:tcPr>
    </w:tblStylePr>
    <w:tblStylePr w:type="band2Horz">
      <w:tblPr/>
      <w:tcPr>
        <w:tcBorders>
          <w:insideH w:val="nil"/>
          <w:insideV w:val="nil"/>
        </w:tcBorders>
      </w:tcPr>
    </w:tblStylePr>
  </w:style>
  <w:style w:type="table" w:customStyle="1" w:styleId="VPVILentele1">
    <w:name w:val="VPVI Lentele 1"/>
    <w:basedOn w:val="Lentelstinklelis"/>
    <w:uiPriority w:val="99"/>
    <w:rsid w:val="009E49F9"/>
    <w:pPr>
      <w:spacing w:line="276" w:lineRule="auto"/>
      <w:contextualSpacing/>
    </w:pPr>
    <w:rPr>
      <w:sz w:val="20"/>
    </w:rPr>
    <w:tblPr>
      <w:tblInd w:w="142" w:type="dxa"/>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0" w:beforeAutospacing="0" w:afterLines="0" w:after="0" w:afterAutospacing="0" w:line="276" w:lineRule="auto"/>
        <w:ind w:leftChars="0" w:left="0" w:rightChars="0" w:right="0"/>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0" w:beforeAutospacing="0" w:afterLines="0" w:after="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0" w:beforeAutospacing="0" w:afterLines="0" w:after="0" w:afterAutospacing="0" w:line="276" w:lineRule="auto"/>
        <w:ind w:firstLineChars="0" w:firstLine="0"/>
        <w:jc w:val="left"/>
      </w:pPr>
      <w:rPr>
        <w:rFonts w:asciiTheme="minorHAnsi" w:hAnsiTheme="minorHAnsi"/>
        <w:b w:val="0"/>
        <w:sz w:val="20"/>
      </w:rPr>
    </w:tblStylePr>
    <w:tblStylePr w:type="neCell">
      <w:pPr>
        <w:wordWrap/>
        <w:spacing w:beforeLines="0" w:before="0" w:beforeAutospacing="0" w:afterLines="0" w:after="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Theme="minorHAnsi" w:hAnsiTheme="minorHAnsi"/>
        <w:sz w:val="18"/>
      </w:rPr>
    </w:tblStylePr>
    <w:tblStylePr w:type="swCell">
      <w:pPr>
        <w:jc w:val="left"/>
      </w:pPr>
      <w:rPr>
        <w:rFonts w:asciiTheme="minorHAnsi" w:hAnsiTheme="minorHAnsi"/>
        <w:sz w:val="18"/>
      </w:rPr>
    </w:tblStylePr>
  </w:style>
  <w:style w:type="paragraph" w:styleId="Dokumentoinaostekstas">
    <w:name w:val="endnote text"/>
    <w:basedOn w:val="prastasis"/>
    <w:link w:val="DokumentoinaostekstasDiagrama"/>
    <w:uiPriority w:val="99"/>
    <w:semiHidden/>
    <w:unhideWhenUsed/>
    <w:rsid w:val="003348FA"/>
    <w:rPr>
      <w:sz w:val="20"/>
      <w:szCs w:val="20"/>
    </w:rPr>
  </w:style>
  <w:style w:type="paragraph" w:customStyle="1" w:styleId="ListParagraph2">
    <w:name w:val="List Paragraph 2"/>
    <w:basedOn w:val="Sraopastraipa"/>
    <w:qFormat/>
    <w:rsid w:val="00F20D53"/>
    <w:rPr>
      <w:bCs/>
      <w:sz w:val="20"/>
      <w:szCs w:val="20"/>
    </w:rPr>
  </w:style>
  <w:style w:type="character" w:customStyle="1" w:styleId="DokumentoinaostekstasDiagrama">
    <w:name w:val="Dokumento išnašos tekstas Diagrama"/>
    <w:basedOn w:val="Numatytasispastraiposriftas"/>
    <w:link w:val="Dokumentoinaostekstas"/>
    <w:uiPriority w:val="99"/>
    <w:semiHidden/>
    <w:rsid w:val="003348FA"/>
    <w:rPr>
      <w:sz w:val="20"/>
      <w:szCs w:val="20"/>
    </w:rPr>
  </w:style>
  <w:style w:type="table" w:customStyle="1" w:styleId="VPVILentele2">
    <w:name w:val="VPVI Lentele 2"/>
    <w:basedOn w:val="VPVILentele1"/>
    <w:uiPriority w:val="99"/>
    <w:rsid w:val="009E49F9"/>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0" w:beforeAutospacing="0" w:afterLines="0" w:after="0" w:afterAutospacing="0" w:line="276" w:lineRule="auto"/>
        <w:ind w:leftChars="0" w:left="0" w:rightChars="0" w:right="0"/>
        <w:jc w:val="left"/>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0" w:beforeAutospacing="0" w:afterLines="0" w:after="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0" w:beforeAutospacing="0" w:afterLines="0" w:after="0" w:afterAutospacing="0" w:line="276" w:lineRule="auto"/>
        <w:ind w:firstLineChars="0" w:firstLine="0"/>
        <w:jc w:val="left"/>
      </w:pPr>
      <w:rPr>
        <w:rFonts w:asciiTheme="minorHAnsi" w:hAnsiTheme="minorHAnsi"/>
        <w:b w:val="0"/>
        <w:sz w:val="20"/>
      </w:rPr>
    </w:tblStylePr>
    <w:tblStylePr w:type="neCell">
      <w:pPr>
        <w:wordWrap/>
        <w:spacing w:beforeLines="0" w:before="0" w:beforeAutospacing="0" w:afterLines="0" w:after="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Italianno" w:hAnsi="Italianno"/>
        <w:sz w:val="18"/>
      </w:rPr>
    </w:tblStylePr>
    <w:tblStylePr w:type="swCell">
      <w:pPr>
        <w:jc w:val="left"/>
      </w:pPr>
      <w:rPr>
        <w:rFonts w:ascii="Italianno" w:hAnsi="Italianno"/>
        <w:sz w:val="18"/>
      </w:rPr>
    </w:tblStylePr>
  </w:style>
  <w:style w:type="character" w:customStyle="1" w:styleId="Antrat5Diagrama">
    <w:name w:val="Antraštė 5 Diagrama"/>
    <w:basedOn w:val="Numatytasispastraiposriftas"/>
    <w:link w:val="Antrat5"/>
    <w:rsid w:val="005058B5"/>
    <w:rPr>
      <w:rFonts w:ascii="Cambria" w:eastAsiaTheme="majorEastAsia" w:hAnsi="Cambria" w:cstheme="majorBidi"/>
      <w:bCs/>
      <w:color w:val="00505E"/>
      <w:sz w:val="24"/>
      <w:szCs w:val="26"/>
    </w:rPr>
  </w:style>
  <w:style w:type="character" w:customStyle="1" w:styleId="Antrat6Diagrama">
    <w:name w:val="Antraštė 6 Diagrama"/>
    <w:basedOn w:val="Numatytasispastraiposriftas"/>
    <w:link w:val="Antrat6"/>
    <w:uiPriority w:val="9"/>
    <w:rsid w:val="00F20D53"/>
    <w:rPr>
      <w:rFonts w:ascii="Cambria" w:eastAsiaTheme="majorEastAsia" w:hAnsi="Cambria" w:cstheme="majorBidi"/>
      <w:bCs/>
      <w:color w:val="00505E"/>
      <w:sz w:val="24"/>
      <w:szCs w:val="26"/>
    </w:rPr>
  </w:style>
  <w:style w:type="paragraph" w:styleId="Turinys4">
    <w:name w:val="toc 4"/>
    <w:basedOn w:val="prastasis"/>
    <w:next w:val="prastasis"/>
    <w:autoRedefine/>
    <w:uiPriority w:val="39"/>
    <w:unhideWhenUsed/>
    <w:rsid w:val="00F20D53"/>
    <w:pPr>
      <w:tabs>
        <w:tab w:val="left" w:pos="2041"/>
        <w:tab w:val="left" w:pos="2155"/>
        <w:tab w:val="right" w:leader="dot" w:pos="10076"/>
      </w:tabs>
      <w:spacing w:after="100"/>
      <w:ind w:left="1191"/>
    </w:pPr>
    <w:rPr>
      <w:noProof/>
      <w:color w:val="343435"/>
      <w:sz w:val="22"/>
    </w:rPr>
  </w:style>
  <w:style w:type="paragraph" w:styleId="Indeksas1">
    <w:name w:val="index 1"/>
    <w:basedOn w:val="prastasis"/>
    <w:next w:val="prastasis"/>
    <w:autoRedefine/>
    <w:uiPriority w:val="99"/>
    <w:semiHidden/>
    <w:unhideWhenUsed/>
    <w:rsid w:val="00427E9A"/>
    <w:pPr>
      <w:ind w:left="240" w:hanging="240"/>
    </w:pPr>
  </w:style>
  <w:style w:type="paragraph" w:styleId="Turinys5">
    <w:name w:val="toc 5"/>
    <w:basedOn w:val="prastasis"/>
    <w:next w:val="prastasis"/>
    <w:autoRedefine/>
    <w:uiPriority w:val="39"/>
    <w:unhideWhenUsed/>
    <w:rsid w:val="00F20D53"/>
    <w:pPr>
      <w:tabs>
        <w:tab w:val="left" w:pos="2722"/>
        <w:tab w:val="left" w:pos="2835"/>
        <w:tab w:val="right" w:leader="dot" w:pos="10076"/>
      </w:tabs>
      <w:spacing w:after="100"/>
      <w:ind w:left="1588"/>
    </w:pPr>
    <w:rPr>
      <w:color w:val="343435"/>
      <w:sz w:val="22"/>
    </w:rPr>
  </w:style>
  <w:style w:type="character" w:customStyle="1" w:styleId="Antrat7Diagrama">
    <w:name w:val="Antraštė 7 Diagrama"/>
    <w:basedOn w:val="Numatytasispastraiposriftas"/>
    <w:link w:val="Antrat7"/>
    <w:uiPriority w:val="9"/>
    <w:rsid w:val="00F20D53"/>
    <w:rPr>
      <w:rFonts w:ascii="Cambria" w:eastAsiaTheme="majorEastAsia" w:hAnsi="Cambria" w:cstheme="majorBidi"/>
      <w:b/>
      <w:iCs/>
      <w:noProof/>
      <w:sz w:val="20"/>
    </w:rPr>
  </w:style>
  <w:style w:type="character" w:styleId="Rykuspabraukimas">
    <w:name w:val="Intense Emphasis"/>
    <w:basedOn w:val="Numatytasispastraiposriftas"/>
    <w:uiPriority w:val="21"/>
    <w:qFormat/>
    <w:rsid w:val="00B71153"/>
    <w:rPr>
      <w:b/>
      <w:bCs/>
      <w:i/>
      <w:iCs/>
      <w:color w:val="175F6E"/>
    </w:rPr>
  </w:style>
  <w:style w:type="paragraph" w:styleId="Iskirtacitata">
    <w:name w:val="Intense Quote"/>
    <w:basedOn w:val="prastasis"/>
    <w:next w:val="prastasis"/>
    <w:link w:val="IskirtacitataDiagrama"/>
    <w:uiPriority w:val="30"/>
    <w:qFormat/>
    <w:rsid w:val="00B71153"/>
    <w:pPr>
      <w:pBdr>
        <w:bottom w:val="single" w:sz="4" w:space="4" w:color="175F6E"/>
      </w:pBdr>
      <w:spacing w:before="200" w:after="280"/>
      <w:ind w:left="936" w:right="936"/>
    </w:pPr>
    <w:rPr>
      <w:b/>
      <w:bCs/>
      <w:i/>
      <w:iCs/>
      <w:color w:val="175F6E"/>
    </w:rPr>
  </w:style>
  <w:style w:type="character" w:customStyle="1" w:styleId="IskirtacitataDiagrama">
    <w:name w:val="Išskirta citata Diagrama"/>
    <w:basedOn w:val="Numatytasispastraiposriftas"/>
    <w:link w:val="Iskirtacitata"/>
    <w:uiPriority w:val="30"/>
    <w:rsid w:val="00B71153"/>
    <w:rPr>
      <w:b/>
      <w:bCs/>
      <w:i/>
      <w:iCs/>
      <w:color w:val="175F6E"/>
      <w:sz w:val="24"/>
    </w:rPr>
  </w:style>
  <w:style w:type="character" w:styleId="Nerykinuoroda">
    <w:name w:val="Subtle Reference"/>
    <w:basedOn w:val="Numatytasispastraiposriftas"/>
    <w:uiPriority w:val="31"/>
    <w:qFormat/>
    <w:rsid w:val="00B71153"/>
    <w:rPr>
      <w:smallCaps/>
      <w:color w:val="175F6E"/>
      <w:u w:val="single"/>
    </w:rPr>
  </w:style>
  <w:style w:type="character" w:styleId="Rykinuoroda">
    <w:name w:val="Intense Reference"/>
    <w:basedOn w:val="Numatytasispastraiposriftas"/>
    <w:uiPriority w:val="32"/>
    <w:qFormat/>
    <w:rsid w:val="00B71153"/>
    <w:rPr>
      <w:b/>
      <w:bCs/>
      <w:smallCaps/>
      <w:color w:val="175F6E"/>
      <w:spacing w:val="5"/>
      <w:u w:val="single"/>
    </w:rPr>
  </w:style>
  <w:style w:type="paragraph" w:styleId="Puslapioinaostekstas">
    <w:name w:val="footnote text"/>
    <w:aliases w:val="Footnote Text Char Char,Footnote,Footnote Text Char Char Char Char Char Char,Footnote Text Char Char Char Char Char,Footnote text,fn,Footnote Text Blue,Footnote Text Blue Char Char Char Char,stile 1,Footnote1,Footnote2,Footnote3"/>
    <w:basedOn w:val="prastasis"/>
    <w:link w:val="PuslapioinaostekstasDiagrama"/>
    <w:uiPriority w:val="99"/>
    <w:unhideWhenUsed/>
    <w:rsid w:val="00120F42"/>
    <w:rPr>
      <w:sz w:val="20"/>
      <w:szCs w:val="20"/>
    </w:rPr>
  </w:style>
  <w:style w:type="character" w:customStyle="1" w:styleId="PuslapioinaostekstasDiagrama">
    <w:name w:val="Puslapio išnašos tekstas Diagrama"/>
    <w:aliases w:val="Footnote Text Char Char Diagrama,Footnote Diagrama,Footnote Text Char Char Char Char Char Char Diagrama,Footnote Text Char Char Char Char Char Diagrama,Footnote text Diagrama,fn Diagrama,Footnote Text Blue Diagrama"/>
    <w:basedOn w:val="Numatytasispastraiposriftas"/>
    <w:link w:val="Puslapioinaostekstas"/>
    <w:uiPriority w:val="99"/>
    <w:rsid w:val="00120F42"/>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120F42"/>
    <w:rPr>
      <w:vertAlign w:val="superscript"/>
    </w:rPr>
  </w:style>
  <w:style w:type="character" w:styleId="Dokumentoinaosnumeris">
    <w:name w:val="endnote reference"/>
    <w:basedOn w:val="Numatytasispastraiposriftas"/>
    <w:uiPriority w:val="99"/>
    <w:semiHidden/>
    <w:unhideWhenUsed/>
    <w:rsid w:val="003348FA"/>
    <w:rPr>
      <w:vertAlign w:val="superscript"/>
    </w:rPr>
  </w:style>
  <w:style w:type="table" w:styleId="viesusisspalvinimas">
    <w:name w:val="Light Shading"/>
    <w:basedOn w:val="prastojilentel"/>
    <w:uiPriority w:val="60"/>
    <w:rsid w:val="005901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3parykinimas">
    <w:name w:val="Light Shading Accent 3"/>
    <w:basedOn w:val="prastojilentel"/>
    <w:uiPriority w:val="60"/>
    <w:rsid w:val="00403156"/>
    <w:pPr>
      <w:spacing w:after="0" w:line="240" w:lineRule="auto"/>
    </w:pPr>
    <w:rPr>
      <w:color w:val="7597A5" w:themeColor="accent3" w:themeShade="BF"/>
    </w:rPr>
    <w:tblPr>
      <w:tblStyleRowBandSize w:val="1"/>
      <w:tblStyleColBandSize w:val="1"/>
      <w:tblBorders>
        <w:top w:val="single" w:sz="8" w:space="0" w:color="AFC3CB" w:themeColor="accent3"/>
        <w:bottom w:val="single" w:sz="8" w:space="0" w:color="AFC3CB" w:themeColor="accent3"/>
      </w:tblBorders>
    </w:tblPr>
    <w:tblStylePr w:type="fir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la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3" w:themeFillTint="3F"/>
      </w:tcPr>
    </w:tblStylePr>
    <w:tblStylePr w:type="band1Horz">
      <w:tblPr/>
      <w:tcPr>
        <w:tcBorders>
          <w:left w:val="nil"/>
          <w:right w:val="nil"/>
          <w:insideH w:val="nil"/>
          <w:insideV w:val="nil"/>
        </w:tcBorders>
        <w:shd w:val="clear" w:color="auto" w:fill="EBF0F2" w:themeFill="accent3" w:themeFillTint="3F"/>
      </w:tcPr>
    </w:tblStylePr>
  </w:style>
  <w:style w:type="character" w:customStyle="1" w:styleId="Antrat8Diagrama">
    <w:name w:val="Antraštė 8 Diagrama"/>
    <w:basedOn w:val="Numatytasispastraiposriftas"/>
    <w:link w:val="Antrat8"/>
    <w:uiPriority w:val="9"/>
    <w:rsid w:val="00F20D53"/>
    <w:rPr>
      <w:rFonts w:ascii="Cambria" w:eastAsiaTheme="majorEastAsia" w:hAnsi="Cambria"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F20D53"/>
    <w:rPr>
      <w:rFonts w:ascii="Cambria" w:eastAsiaTheme="majorEastAsia" w:hAnsi="Cambria" w:cstheme="majorBidi"/>
      <w:i/>
      <w:iCs/>
      <w:color w:val="404040" w:themeColor="text1" w:themeTint="BF"/>
      <w:sz w:val="20"/>
      <w:szCs w:val="20"/>
    </w:rPr>
  </w:style>
  <w:style w:type="character" w:styleId="Nerykuspabraukimas">
    <w:name w:val="Subtle Emphasis"/>
    <w:basedOn w:val="Numatytasispastraiposriftas"/>
    <w:uiPriority w:val="19"/>
    <w:qFormat/>
    <w:rsid w:val="00F20D53"/>
    <w:rPr>
      <w:i/>
      <w:iCs/>
      <w:color w:val="808080" w:themeColor="text1" w:themeTint="7F"/>
    </w:rPr>
  </w:style>
  <w:style w:type="character" w:styleId="Emfaz">
    <w:name w:val="Emphasis"/>
    <w:basedOn w:val="Numatytasispastraiposriftas"/>
    <w:uiPriority w:val="20"/>
    <w:qFormat/>
    <w:rsid w:val="00F20D53"/>
    <w:rPr>
      <w:i/>
      <w:iCs/>
    </w:rPr>
  </w:style>
  <w:style w:type="character" w:styleId="Grietas">
    <w:name w:val="Strong"/>
    <w:basedOn w:val="Numatytasispastraiposriftas"/>
    <w:uiPriority w:val="22"/>
    <w:qFormat/>
    <w:rsid w:val="00F20D53"/>
    <w:rPr>
      <w:b/>
      <w:bCs/>
    </w:rPr>
  </w:style>
  <w:style w:type="paragraph" w:styleId="Citata">
    <w:name w:val="Quote"/>
    <w:basedOn w:val="prastasis"/>
    <w:next w:val="prastasis"/>
    <w:link w:val="CitataDiagrama"/>
    <w:uiPriority w:val="29"/>
    <w:qFormat/>
    <w:rsid w:val="00F20D53"/>
    <w:rPr>
      <w:i/>
      <w:iCs/>
      <w:color w:val="000000" w:themeColor="text1"/>
    </w:rPr>
  </w:style>
  <w:style w:type="character" w:customStyle="1" w:styleId="CitataDiagrama">
    <w:name w:val="Citata Diagrama"/>
    <w:basedOn w:val="Numatytasispastraiposriftas"/>
    <w:link w:val="Citata"/>
    <w:uiPriority w:val="29"/>
    <w:rsid w:val="00F20D53"/>
    <w:rPr>
      <w:rFonts w:ascii="Cambria" w:hAnsi="Cambria"/>
      <w:i/>
      <w:iCs/>
      <w:color w:val="000000" w:themeColor="text1"/>
      <w:sz w:val="24"/>
    </w:rPr>
  </w:style>
  <w:style w:type="character" w:styleId="Knygospavadinimas">
    <w:name w:val="Book Title"/>
    <w:basedOn w:val="Numatytasispastraiposriftas"/>
    <w:uiPriority w:val="33"/>
    <w:qFormat/>
    <w:rsid w:val="00F20D53"/>
    <w:rPr>
      <w:b/>
      <w:bCs/>
      <w:smallCaps/>
      <w:spacing w:val="5"/>
    </w:rPr>
  </w:style>
  <w:style w:type="table" w:styleId="viesusspalvinimas1parykinimas">
    <w:name w:val="Light Shading Accent 1"/>
    <w:basedOn w:val="prastojilentel"/>
    <w:uiPriority w:val="60"/>
    <w:rsid w:val="008A2BFC"/>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viesusspalvinimas2parykinimas">
    <w:name w:val="Light Shading Accent 2"/>
    <w:basedOn w:val="prastojilentel"/>
    <w:uiPriority w:val="60"/>
    <w:rsid w:val="00FE755D"/>
    <w:pPr>
      <w:spacing w:after="0" w:line="240" w:lineRule="auto"/>
    </w:pPr>
    <w:rPr>
      <w:color w:val="D98B05" w:themeColor="accent2" w:themeShade="BF"/>
    </w:rPr>
    <w:tblPr>
      <w:tblStyleRowBandSize w:val="1"/>
      <w:tblStyleColBandSize w:val="1"/>
      <w:tblBorders>
        <w:top w:val="single" w:sz="8" w:space="0" w:color="FAB02F" w:themeColor="accent2"/>
        <w:bottom w:val="single" w:sz="8" w:space="0" w:color="FAB02F" w:themeColor="accent2"/>
      </w:tblBorders>
    </w:tblPr>
    <w:tblStylePr w:type="fir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la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B" w:themeFill="accent2" w:themeFillTint="3F"/>
      </w:tcPr>
    </w:tblStylePr>
    <w:tblStylePr w:type="band1Horz">
      <w:tblPr/>
      <w:tcPr>
        <w:tcBorders>
          <w:left w:val="nil"/>
          <w:right w:val="nil"/>
          <w:insideH w:val="nil"/>
          <w:insideV w:val="nil"/>
        </w:tcBorders>
        <w:shd w:val="clear" w:color="auto" w:fill="FDEBCB" w:themeFill="accent2" w:themeFillTint="3F"/>
      </w:tcPr>
    </w:tblStylePr>
  </w:style>
  <w:style w:type="table" w:styleId="viesusspalvinimas4parykinimas">
    <w:name w:val="Light Shading Accent 4"/>
    <w:basedOn w:val="prastojilentel"/>
    <w:uiPriority w:val="60"/>
    <w:rsid w:val="00FE755D"/>
    <w:pPr>
      <w:spacing w:after="0" w:line="240" w:lineRule="auto"/>
    </w:pPr>
    <w:rPr>
      <w:color w:val="244C56" w:themeColor="accent4" w:themeShade="BF"/>
    </w:rPr>
    <w:tblPr>
      <w:tblStyleRowBandSize w:val="1"/>
      <w:tblStyleColBandSize w:val="1"/>
      <w:tblBorders>
        <w:top w:val="single" w:sz="8" w:space="0" w:color="306673" w:themeColor="accent4"/>
        <w:bottom w:val="single" w:sz="8" w:space="0" w:color="306673" w:themeColor="accent4"/>
      </w:tblBorders>
    </w:tblPr>
    <w:tblStylePr w:type="fir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la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EE5" w:themeFill="accent4" w:themeFillTint="3F"/>
      </w:tcPr>
    </w:tblStylePr>
    <w:tblStylePr w:type="band1Horz">
      <w:tblPr/>
      <w:tcPr>
        <w:tcBorders>
          <w:left w:val="nil"/>
          <w:right w:val="nil"/>
          <w:insideH w:val="nil"/>
          <w:insideV w:val="nil"/>
        </w:tcBorders>
        <w:shd w:val="clear" w:color="auto" w:fill="C2DEE5" w:themeFill="accent4" w:themeFillTint="3F"/>
      </w:tcPr>
    </w:tblStylePr>
  </w:style>
  <w:style w:type="table" w:styleId="viesusspalvinimas5parykinimas">
    <w:name w:val="Light Shading Accent 5"/>
    <w:basedOn w:val="prastojilentel"/>
    <w:uiPriority w:val="60"/>
    <w:rsid w:val="00FE755D"/>
    <w:pPr>
      <w:spacing w:after="0" w:line="240" w:lineRule="auto"/>
    </w:pPr>
    <w:rPr>
      <w:color w:val="013138" w:themeColor="accent5" w:themeShade="BF"/>
    </w:rPr>
    <w:tblPr>
      <w:tblStyleRowBandSize w:val="1"/>
      <w:tblStyleColBandSize w:val="1"/>
      <w:tblBorders>
        <w:top w:val="single" w:sz="8" w:space="0" w:color="02424C" w:themeColor="accent5"/>
        <w:bottom w:val="single" w:sz="8" w:space="0" w:color="02424C" w:themeColor="accent5"/>
      </w:tblBorders>
    </w:tblPr>
    <w:tblStylePr w:type="fir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la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EEFC" w:themeFill="accent5" w:themeFillTint="3F"/>
      </w:tcPr>
    </w:tblStylePr>
    <w:tblStylePr w:type="band1Horz">
      <w:tblPr/>
      <w:tcPr>
        <w:tcBorders>
          <w:left w:val="nil"/>
          <w:right w:val="nil"/>
          <w:insideH w:val="nil"/>
          <w:insideV w:val="nil"/>
        </w:tcBorders>
        <w:shd w:val="clear" w:color="auto" w:fill="96EEFC" w:themeFill="accent5" w:themeFillTint="3F"/>
      </w:tcPr>
    </w:tblStylePr>
  </w:style>
  <w:style w:type="table" w:styleId="viesusspalvinimas6parykinimas">
    <w:name w:val="Light Shading Accent 6"/>
    <w:basedOn w:val="prastojilentel"/>
    <w:uiPriority w:val="60"/>
    <w:rsid w:val="00FE755D"/>
    <w:pPr>
      <w:spacing w:after="0" w:line="240" w:lineRule="auto"/>
    </w:pPr>
    <w:rPr>
      <w:color w:val="FCB54D" w:themeColor="accent6" w:themeShade="BF"/>
    </w:rPr>
    <w:tblPr>
      <w:tblStyleRowBandSize w:val="1"/>
      <w:tblStyleColBandSize w:val="1"/>
      <w:tblBorders>
        <w:top w:val="single" w:sz="8" w:space="0" w:color="FEE3BB" w:themeColor="accent6"/>
        <w:bottom w:val="single" w:sz="8" w:space="0" w:color="FEE3BB" w:themeColor="accent6"/>
      </w:tblBorders>
    </w:tblPr>
    <w:tblStylePr w:type="fir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la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ED" w:themeFill="accent6" w:themeFillTint="3F"/>
      </w:tcPr>
    </w:tblStylePr>
    <w:tblStylePr w:type="band1Horz">
      <w:tblPr/>
      <w:tcPr>
        <w:tcBorders>
          <w:left w:val="nil"/>
          <w:right w:val="nil"/>
          <w:insideH w:val="nil"/>
          <w:insideV w:val="nil"/>
        </w:tcBorders>
        <w:shd w:val="clear" w:color="auto" w:fill="FEF7ED" w:themeFill="accent6" w:themeFillTint="3F"/>
      </w:tcPr>
    </w:tblStylePr>
  </w:style>
  <w:style w:type="table" w:styleId="viesussraas">
    <w:name w:val="Light List"/>
    <w:basedOn w:val="prastojilentel"/>
    <w:uiPriority w:val="61"/>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tblBorders>
    </w:tblPr>
    <w:tblStylePr w:type="firstRow">
      <w:pPr>
        <w:spacing w:before="0" w:after="0" w:line="240" w:lineRule="auto"/>
      </w:pPr>
      <w:rPr>
        <w:b/>
        <w:bCs/>
        <w:color w:val="FFFFFF" w:themeColor="background1"/>
      </w:rPr>
      <w:tblPr/>
      <w:tcPr>
        <w:shd w:val="clear" w:color="auto" w:fill="FDCF85" w:themeFill="accent1"/>
      </w:tcPr>
    </w:tblStylePr>
    <w:tblStylePr w:type="lastRow">
      <w:pPr>
        <w:spacing w:before="0" w:after="0" w:line="240" w:lineRule="auto"/>
      </w:pPr>
      <w:rPr>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tcBorders>
      </w:tcPr>
    </w:tblStylePr>
    <w:tblStylePr w:type="firstCol">
      <w:rPr>
        <w:b/>
        <w:bCs/>
      </w:rPr>
    </w:tblStylePr>
    <w:tblStylePr w:type="lastCol">
      <w:rPr>
        <w:b/>
        <w:bCs/>
      </w:r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style>
  <w:style w:type="table" w:styleId="viesussraas2parykinimas">
    <w:name w:val="Light List Accent 2"/>
    <w:basedOn w:val="prastojilentel"/>
    <w:uiPriority w:val="61"/>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tblBorders>
    </w:tblPr>
    <w:tblStylePr w:type="firstRow">
      <w:pPr>
        <w:spacing w:before="0" w:after="0" w:line="240" w:lineRule="auto"/>
      </w:pPr>
      <w:rPr>
        <w:b/>
        <w:bCs/>
        <w:color w:val="FFFFFF" w:themeColor="background1"/>
      </w:rPr>
      <w:tblPr/>
      <w:tcPr>
        <w:shd w:val="clear" w:color="auto" w:fill="FAB02F" w:themeFill="accent2"/>
      </w:tcPr>
    </w:tblStylePr>
    <w:tblStylePr w:type="lastRow">
      <w:pPr>
        <w:spacing w:before="0" w:after="0" w:line="240" w:lineRule="auto"/>
      </w:pPr>
      <w:rPr>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tcBorders>
      </w:tcPr>
    </w:tblStylePr>
    <w:tblStylePr w:type="firstCol">
      <w:rPr>
        <w:b/>
        <w:bCs/>
      </w:rPr>
    </w:tblStylePr>
    <w:tblStylePr w:type="lastCol">
      <w:rPr>
        <w:b/>
        <w:bCs/>
      </w:r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style>
  <w:style w:type="table" w:styleId="viesussraas3parykinimas">
    <w:name w:val="Light List Accent 3"/>
    <w:basedOn w:val="prastojilentel"/>
    <w:uiPriority w:val="61"/>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tblBorders>
    </w:tblPr>
    <w:tblStylePr w:type="firstRow">
      <w:pPr>
        <w:spacing w:before="0" w:after="0" w:line="240" w:lineRule="auto"/>
      </w:pPr>
      <w:rPr>
        <w:b/>
        <w:bCs/>
        <w:color w:val="FFFFFF" w:themeColor="background1"/>
      </w:rPr>
      <w:tblPr/>
      <w:tcPr>
        <w:shd w:val="clear" w:color="auto" w:fill="AFC3CB" w:themeFill="accent3"/>
      </w:tcPr>
    </w:tblStylePr>
    <w:tblStylePr w:type="lastRow">
      <w:pPr>
        <w:spacing w:before="0" w:after="0" w:line="240" w:lineRule="auto"/>
      </w:pPr>
      <w:rPr>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tcBorders>
      </w:tcPr>
    </w:tblStylePr>
    <w:tblStylePr w:type="firstCol">
      <w:rPr>
        <w:b/>
        <w:bCs/>
      </w:rPr>
    </w:tblStylePr>
    <w:tblStylePr w:type="lastCol">
      <w:rPr>
        <w:b/>
        <w:bCs/>
      </w:r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style>
  <w:style w:type="table" w:styleId="viesustinklelis3parykinimas">
    <w:name w:val="Light Grid Accent 3"/>
    <w:basedOn w:val="prastojilentel"/>
    <w:uiPriority w:val="62"/>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insideH w:val="single" w:sz="8" w:space="0" w:color="AFC3CB" w:themeColor="accent3"/>
        <w:insideV w:val="single" w:sz="8" w:space="0" w:color="AFC3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18" w:space="0" w:color="AFC3CB" w:themeColor="accent3"/>
          <w:right w:val="single" w:sz="8" w:space="0" w:color="AFC3CB" w:themeColor="accent3"/>
          <w:insideH w:val="nil"/>
          <w:insideV w:val="single" w:sz="8" w:space="0" w:color="AFC3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insideH w:val="nil"/>
          <w:insideV w:val="single" w:sz="8" w:space="0" w:color="AFC3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shd w:val="clear" w:color="auto" w:fill="EBF0F2" w:themeFill="accent3" w:themeFillTint="3F"/>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shd w:val="clear" w:color="auto" w:fill="EBF0F2" w:themeFill="accent3" w:themeFillTint="3F"/>
      </w:tcPr>
    </w:tblStylePr>
    <w:tblStylePr w:type="band2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tcPr>
    </w:tblStylePr>
  </w:style>
  <w:style w:type="table" w:styleId="viesustinklelis2parykinimas">
    <w:name w:val="Light Grid Accent 2"/>
    <w:basedOn w:val="prastojilentel"/>
    <w:uiPriority w:val="62"/>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insideH w:val="single" w:sz="8" w:space="0" w:color="FAB02F" w:themeColor="accent2"/>
        <w:insideV w:val="single" w:sz="8" w:space="0" w:color="FAB0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18" w:space="0" w:color="FAB02F" w:themeColor="accent2"/>
          <w:right w:val="single" w:sz="8" w:space="0" w:color="FAB02F" w:themeColor="accent2"/>
          <w:insideH w:val="nil"/>
          <w:insideV w:val="single" w:sz="8" w:space="0" w:color="FAB0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insideH w:val="nil"/>
          <w:insideV w:val="single" w:sz="8" w:space="0" w:color="FAB0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shd w:val="clear" w:color="auto" w:fill="FDEBCB" w:themeFill="accent2" w:themeFillTint="3F"/>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shd w:val="clear" w:color="auto" w:fill="FDEBCB" w:themeFill="accent2" w:themeFillTint="3F"/>
      </w:tcPr>
    </w:tblStylePr>
    <w:tblStylePr w:type="band2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tcPr>
    </w:tblStylePr>
  </w:style>
  <w:style w:type="table" w:styleId="viesustinklelis1parykinimas">
    <w:name w:val="Light Grid Accent 1"/>
    <w:basedOn w:val="prastojilentel"/>
    <w:uiPriority w:val="62"/>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insideH w:val="single" w:sz="8" w:space="0" w:color="FDCF85" w:themeColor="accent1"/>
        <w:insideV w:val="single" w:sz="8" w:space="0" w:color="FDCF8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18" w:space="0" w:color="FDCF85" w:themeColor="accent1"/>
          <w:right w:val="single" w:sz="8" w:space="0" w:color="FDCF85" w:themeColor="accent1"/>
          <w:insideH w:val="nil"/>
          <w:insideV w:val="single" w:sz="8" w:space="0" w:color="FDCF8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insideH w:val="nil"/>
          <w:insideV w:val="single" w:sz="8" w:space="0" w:color="FDCF8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shd w:val="clear" w:color="auto" w:fill="FEF3E0" w:themeFill="accent1" w:themeFillTint="3F"/>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shd w:val="clear" w:color="auto" w:fill="FEF3E0" w:themeFill="accent1" w:themeFillTint="3F"/>
      </w:tcPr>
    </w:tblStylePr>
    <w:tblStylePr w:type="band2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tcPr>
    </w:tblStylePr>
  </w:style>
  <w:style w:type="table" w:styleId="viesustinklelis">
    <w:name w:val="Light Grid"/>
    <w:basedOn w:val="prastojilentel"/>
    <w:uiPriority w:val="62"/>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sraas6parykinimas">
    <w:name w:val="Light List Accent 6"/>
    <w:basedOn w:val="prastojilentel"/>
    <w:uiPriority w:val="61"/>
    <w:rsid w:val="00FE755D"/>
    <w:pPr>
      <w:spacing w:after="0" w:line="240" w:lineRule="auto"/>
    </w:pPr>
    <w:tblPr>
      <w:tblStyleRowBandSize w:val="1"/>
      <w:tblStyleColBandSize w:val="1"/>
      <w:tblBorders>
        <w:top w:val="single" w:sz="8" w:space="0" w:color="FEE3BB" w:themeColor="accent6"/>
        <w:left w:val="single" w:sz="8" w:space="0" w:color="FEE3BB" w:themeColor="accent6"/>
        <w:bottom w:val="single" w:sz="8" w:space="0" w:color="FEE3BB" w:themeColor="accent6"/>
        <w:right w:val="single" w:sz="8" w:space="0" w:color="FEE3BB" w:themeColor="accent6"/>
      </w:tblBorders>
    </w:tblPr>
    <w:tblStylePr w:type="firstRow">
      <w:pPr>
        <w:spacing w:before="0" w:after="0" w:line="240" w:lineRule="auto"/>
      </w:pPr>
      <w:rPr>
        <w:b/>
        <w:bCs/>
        <w:color w:val="FFFFFF" w:themeColor="background1"/>
      </w:rPr>
      <w:tblPr/>
      <w:tcPr>
        <w:shd w:val="clear" w:color="auto" w:fill="FEE3BB" w:themeFill="accent6"/>
      </w:tcPr>
    </w:tblStylePr>
    <w:tblStylePr w:type="lastRow">
      <w:pPr>
        <w:spacing w:before="0" w:after="0" w:line="240" w:lineRule="auto"/>
      </w:pPr>
      <w:rPr>
        <w:b/>
        <w:bCs/>
      </w:rPr>
      <w:tblPr/>
      <w:tcPr>
        <w:tcBorders>
          <w:top w:val="double" w:sz="6" w:space="0" w:color="FEE3BB" w:themeColor="accent6"/>
          <w:left w:val="single" w:sz="8" w:space="0" w:color="FEE3BB" w:themeColor="accent6"/>
          <w:bottom w:val="single" w:sz="8" w:space="0" w:color="FEE3BB" w:themeColor="accent6"/>
          <w:right w:val="single" w:sz="8" w:space="0" w:color="FEE3BB" w:themeColor="accent6"/>
        </w:tcBorders>
      </w:tcPr>
    </w:tblStylePr>
    <w:tblStylePr w:type="firstCol">
      <w:rPr>
        <w:b/>
        <w:bCs/>
      </w:rPr>
    </w:tblStylePr>
    <w:tblStylePr w:type="lastCol">
      <w:rPr>
        <w:b/>
        <w:bCs/>
      </w:rPr>
    </w:tblStylePr>
    <w:tblStylePr w:type="band1Vert">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tblStylePr w:type="band1Horz">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style>
  <w:style w:type="table" w:styleId="viesussraas5parykinimas">
    <w:name w:val="Light List Accent 5"/>
    <w:basedOn w:val="prastojilentel"/>
    <w:uiPriority w:val="61"/>
    <w:rsid w:val="00FE755D"/>
    <w:pPr>
      <w:spacing w:after="0" w:line="240" w:lineRule="auto"/>
    </w:pPr>
    <w:tblPr>
      <w:tblStyleRowBandSize w:val="1"/>
      <w:tblStyleColBandSize w:val="1"/>
      <w:tblBorders>
        <w:top w:val="single" w:sz="8" w:space="0" w:color="02424C" w:themeColor="accent5"/>
        <w:left w:val="single" w:sz="8" w:space="0" w:color="02424C" w:themeColor="accent5"/>
        <w:bottom w:val="single" w:sz="8" w:space="0" w:color="02424C" w:themeColor="accent5"/>
        <w:right w:val="single" w:sz="8" w:space="0" w:color="02424C" w:themeColor="accent5"/>
      </w:tblBorders>
    </w:tblPr>
    <w:tblStylePr w:type="firstRow">
      <w:pPr>
        <w:spacing w:before="0" w:after="0" w:line="240" w:lineRule="auto"/>
      </w:pPr>
      <w:rPr>
        <w:b/>
        <w:bCs/>
        <w:color w:val="FFFFFF" w:themeColor="background1"/>
      </w:rPr>
      <w:tblPr/>
      <w:tcPr>
        <w:shd w:val="clear" w:color="auto" w:fill="02424C" w:themeFill="accent5"/>
      </w:tcPr>
    </w:tblStylePr>
    <w:tblStylePr w:type="lastRow">
      <w:pPr>
        <w:spacing w:before="0" w:after="0" w:line="240" w:lineRule="auto"/>
      </w:pPr>
      <w:rPr>
        <w:b/>
        <w:bCs/>
      </w:rPr>
      <w:tblPr/>
      <w:tcPr>
        <w:tcBorders>
          <w:top w:val="double" w:sz="6" w:space="0" w:color="02424C" w:themeColor="accent5"/>
          <w:left w:val="single" w:sz="8" w:space="0" w:color="02424C" w:themeColor="accent5"/>
          <w:bottom w:val="single" w:sz="8" w:space="0" w:color="02424C" w:themeColor="accent5"/>
          <w:right w:val="single" w:sz="8" w:space="0" w:color="02424C" w:themeColor="accent5"/>
        </w:tcBorders>
      </w:tcPr>
    </w:tblStylePr>
    <w:tblStylePr w:type="firstCol">
      <w:rPr>
        <w:b/>
        <w:bCs/>
      </w:rPr>
    </w:tblStylePr>
    <w:tblStylePr w:type="lastCol">
      <w:rPr>
        <w:b/>
        <w:bCs/>
      </w:rPr>
    </w:tblStylePr>
    <w:tblStylePr w:type="band1Vert">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tblStylePr w:type="band1Horz">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style>
  <w:style w:type="table" w:styleId="viesussraas4parykinimas">
    <w:name w:val="Light List Accent 4"/>
    <w:basedOn w:val="prastojilentel"/>
    <w:uiPriority w:val="61"/>
    <w:rsid w:val="00FE755D"/>
    <w:pPr>
      <w:spacing w:after="0" w:line="240" w:lineRule="auto"/>
    </w:pPr>
    <w:tblPr>
      <w:tblStyleRowBandSize w:val="1"/>
      <w:tblStyleColBandSize w:val="1"/>
      <w:tblBorders>
        <w:top w:val="single" w:sz="8" w:space="0" w:color="306673" w:themeColor="accent4"/>
        <w:left w:val="single" w:sz="8" w:space="0" w:color="306673" w:themeColor="accent4"/>
        <w:bottom w:val="single" w:sz="8" w:space="0" w:color="306673" w:themeColor="accent4"/>
        <w:right w:val="single" w:sz="8" w:space="0" w:color="306673" w:themeColor="accent4"/>
      </w:tblBorders>
    </w:tblPr>
    <w:tblStylePr w:type="firstRow">
      <w:pPr>
        <w:spacing w:before="0" w:after="0" w:line="240" w:lineRule="auto"/>
      </w:pPr>
      <w:rPr>
        <w:b/>
        <w:bCs/>
        <w:color w:val="FFFFFF" w:themeColor="background1"/>
      </w:rPr>
      <w:tblPr/>
      <w:tcPr>
        <w:shd w:val="clear" w:color="auto" w:fill="306673" w:themeFill="accent4"/>
      </w:tcPr>
    </w:tblStylePr>
    <w:tblStylePr w:type="lastRow">
      <w:pPr>
        <w:spacing w:before="0" w:after="0" w:line="240" w:lineRule="auto"/>
      </w:pPr>
      <w:rPr>
        <w:b/>
        <w:bCs/>
      </w:rPr>
      <w:tblPr/>
      <w:tcPr>
        <w:tcBorders>
          <w:top w:val="double" w:sz="6" w:space="0" w:color="306673" w:themeColor="accent4"/>
          <w:left w:val="single" w:sz="8" w:space="0" w:color="306673" w:themeColor="accent4"/>
          <w:bottom w:val="single" w:sz="8" w:space="0" w:color="306673" w:themeColor="accent4"/>
          <w:right w:val="single" w:sz="8" w:space="0" w:color="306673" w:themeColor="accent4"/>
        </w:tcBorders>
      </w:tcPr>
    </w:tblStylePr>
    <w:tblStylePr w:type="firstCol">
      <w:rPr>
        <w:b/>
        <w:bCs/>
      </w:rPr>
    </w:tblStylePr>
    <w:tblStylePr w:type="lastCol">
      <w:rPr>
        <w:b/>
        <w:bCs/>
      </w:rPr>
    </w:tblStylePr>
    <w:tblStylePr w:type="band1Vert">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tblStylePr w:type="band1Horz">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style>
  <w:style w:type="character" w:customStyle="1" w:styleId="AntratDiagrama">
    <w:name w:val="Antraštė Diagrama"/>
    <w:aliases w:val="Table caption Diagrama,paveikslas Diagrama,Paveikslo pavadinimas Diagrama,TabelOverskrift Diagrama"/>
    <w:link w:val="Antrat"/>
    <w:locked/>
    <w:rsid w:val="0037741A"/>
    <w:rPr>
      <w:rFonts w:ascii="Cambria" w:hAnsi="Cambria"/>
      <w:b/>
      <w:bCs/>
      <w:szCs w:val="18"/>
    </w:rPr>
  </w:style>
  <w:style w:type="paragraph" w:styleId="prastasistinklapis">
    <w:name w:val="Normal (Web)"/>
    <w:basedOn w:val="prastasis"/>
    <w:rsid w:val="0037741A"/>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styleId="Komentaronuoroda">
    <w:name w:val="annotation reference"/>
    <w:basedOn w:val="Numatytasispastraiposriftas"/>
    <w:uiPriority w:val="99"/>
    <w:semiHidden/>
    <w:rsid w:val="0037741A"/>
    <w:rPr>
      <w:sz w:val="16"/>
      <w:szCs w:val="16"/>
    </w:rPr>
  </w:style>
  <w:style w:type="paragraph" w:styleId="Komentarotekstas">
    <w:name w:val="annotation text"/>
    <w:basedOn w:val="prastasis"/>
    <w:link w:val="KomentarotekstasDiagrama"/>
    <w:uiPriority w:val="99"/>
    <w:rsid w:val="0037741A"/>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37741A"/>
    <w:rPr>
      <w:rFonts w:ascii="Cambria" w:eastAsia="Times New Roman" w:hAnsi="Cambria" w:cs="Times New Roman"/>
      <w:sz w:val="20"/>
      <w:szCs w:val="20"/>
    </w:rPr>
  </w:style>
  <w:style w:type="paragraph" w:styleId="Paprastasistekstas">
    <w:name w:val="Plain Text"/>
    <w:basedOn w:val="prastasis"/>
    <w:link w:val="PaprastasistekstasDiagrama"/>
    <w:rsid w:val="00D85234"/>
    <w:pPr>
      <w:spacing w:line="240" w:lineRule="auto"/>
    </w:pPr>
    <w:rPr>
      <w:rFonts w:ascii="Courier New" w:eastAsia="Times New Roman" w:hAnsi="Courier New" w:cs="Times New Roman"/>
      <w:sz w:val="20"/>
      <w:szCs w:val="20"/>
      <w:lang w:eastAsia="en-US"/>
    </w:rPr>
  </w:style>
  <w:style w:type="character" w:customStyle="1" w:styleId="PaprastasistekstasDiagrama">
    <w:name w:val="Paprastasis tekstas Diagrama"/>
    <w:basedOn w:val="Numatytasispastraiposriftas"/>
    <w:link w:val="Paprastasistekstas"/>
    <w:rsid w:val="00D85234"/>
    <w:rPr>
      <w:rFonts w:ascii="Courier New" w:eastAsia="Times New Roman" w:hAnsi="Courier New"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BE0FFA"/>
    <w:pPr>
      <w:spacing w:line="240" w:lineRule="auto"/>
    </w:pPr>
    <w:rPr>
      <w:rFonts w:eastAsiaTheme="minorEastAsia" w:cstheme="minorBidi"/>
      <w:b/>
      <w:bCs/>
    </w:rPr>
  </w:style>
  <w:style w:type="character" w:customStyle="1" w:styleId="KomentarotemaDiagrama">
    <w:name w:val="Komentaro tema Diagrama"/>
    <w:basedOn w:val="KomentarotekstasDiagrama"/>
    <w:link w:val="Komentarotema"/>
    <w:uiPriority w:val="99"/>
    <w:semiHidden/>
    <w:rsid w:val="00BE0FFA"/>
    <w:rPr>
      <w:rFonts w:ascii="Cambria" w:eastAsia="Times New Roman" w:hAnsi="Cambria" w:cs="Times New Roman"/>
      <w:b/>
      <w:bCs/>
      <w:sz w:val="20"/>
      <w:szCs w:val="20"/>
    </w:rPr>
  </w:style>
  <w:style w:type="paragraph" w:customStyle="1" w:styleId="Default">
    <w:name w:val="Default"/>
    <w:rsid w:val="00EF351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Numatytasispastraiposriftas"/>
    <w:rsid w:val="00D554D3"/>
  </w:style>
  <w:style w:type="paragraph" w:styleId="Pagrindiniotekstotrauka">
    <w:name w:val="Body Text Indent"/>
    <w:basedOn w:val="prastasis"/>
    <w:link w:val="PagrindiniotekstotraukaDiagrama"/>
    <w:uiPriority w:val="99"/>
    <w:rsid w:val="00680DA2"/>
    <w:pPr>
      <w:spacing w:before="120" w:line="240" w:lineRule="auto"/>
      <w:ind w:left="4536"/>
      <w:jc w:val="center"/>
    </w:pPr>
    <w:rPr>
      <w:rFonts w:ascii="Times New Roman" w:eastAsia="Times New Roman" w:hAnsi="Times New Roman" w:cs="Times New Roman"/>
      <w:sz w:val="22"/>
      <w:szCs w:val="20"/>
    </w:rPr>
  </w:style>
  <w:style w:type="character" w:customStyle="1" w:styleId="PagrindiniotekstotraukaDiagrama">
    <w:name w:val="Pagrindinio teksto įtrauka Diagrama"/>
    <w:basedOn w:val="Numatytasispastraiposriftas"/>
    <w:link w:val="Pagrindiniotekstotrauka"/>
    <w:uiPriority w:val="99"/>
    <w:rsid w:val="00680DA2"/>
    <w:rPr>
      <w:rFonts w:ascii="Times New Roman" w:eastAsia="Times New Roman" w:hAnsi="Times New Roman" w:cs="Times New Roman"/>
      <w:szCs w:val="20"/>
    </w:rPr>
  </w:style>
  <w:style w:type="paragraph" w:customStyle="1" w:styleId="normal-p">
    <w:name w:val="normal-p"/>
    <w:basedOn w:val="prastasis"/>
    <w:rsid w:val="00DE16EB"/>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normal-h">
    <w:name w:val="normal-h"/>
    <w:basedOn w:val="Numatytasispastraiposriftas"/>
    <w:rsid w:val="00DE16EB"/>
  </w:style>
  <w:style w:type="paragraph" w:customStyle="1" w:styleId="doc-ti">
    <w:name w:val="doc-ti"/>
    <w:basedOn w:val="prastasis"/>
    <w:rsid w:val="00086058"/>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styleId="Pataisymai">
    <w:name w:val="Revision"/>
    <w:hidden/>
    <w:uiPriority w:val="99"/>
    <w:semiHidden/>
    <w:rsid w:val="006A317C"/>
    <w:pPr>
      <w:spacing w:after="0" w:line="240" w:lineRule="auto"/>
    </w:pPr>
    <w:rPr>
      <w:rFonts w:ascii="Cambria" w:hAnsi="Cambria"/>
      <w:sz w:val="24"/>
    </w:rPr>
  </w:style>
  <w:style w:type="character" w:styleId="Perirtashipersaitas">
    <w:name w:val="FollowedHyperlink"/>
    <w:basedOn w:val="Numatytasispastraiposriftas"/>
    <w:uiPriority w:val="99"/>
    <w:semiHidden/>
    <w:unhideWhenUsed/>
    <w:rsid w:val="005932E5"/>
    <w:rPr>
      <w:color w:val="800080" w:themeColor="followedHyperlink"/>
      <w:u w:val="single"/>
    </w:rPr>
  </w:style>
  <w:style w:type="numbering" w:customStyle="1" w:styleId="NoList1">
    <w:name w:val="No List1"/>
    <w:next w:val="Sraonra"/>
    <w:uiPriority w:val="99"/>
    <w:semiHidden/>
    <w:unhideWhenUsed/>
    <w:rsid w:val="00FD0B92"/>
  </w:style>
  <w:style w:type="table" w:customStyle="1" w:styleId="TableGrid1">
    <w:name w:val="Table Grid1"/>
    <w:basedOn w:val="prastojilentel"/>
    <w:next w:val="Lentelstinklelis"/>
    <w:uiPriority w:val="59"/>
    <w:rsid w:val="00FD0B9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D0B92"/>
    <w:pPr>
      <w:spacing w:after="0" w:line="240" w:lineRule="auto"/>
    </w:pPr>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mbria" w:hAnsi="Cambria"/>
      </w:rPr>
    </w:tblStylePr>
    <w:tblStylePr w:type="lastRow">
      <w:rPr>
        <w:rFonts w:ascii="Cambria" w:hAnsi="Cambria"/>
      </w:rPr>
    </w:tblStylePr>
    <w:tblStylePr w:type="firstCol">
      <w:rPr>
        <w:rFonts w:ascii="Cambria" w:hAnsi="Cambria"/>
      </w:rPr>
    </w:tblStylePr>
    <w:tblStylePr w:type="lastCol">
      <w:rPr>
        <w:rFonts w:ascii="Cambria" w:hAnsi="Cambria"/>
      </w:rPr>
    </w:tblStylePr>
    <w:tblStylePr w:type="band1Vert">
      <w:rPr>
        <w:rFonts w:ascii="Cambria" w:hAnsi="Cambria"/>
      </w:rPr>
    </w:tblStylePr>
    <w:tblStylePr w:type="band2Vert">
      <w:rPr>
        <w:rFonts w:ascii="Cambria" w:hAnsi="Cambria"/>
      </w:rPr>
    </w:tblStylePr>
    <w:tblStylePr w:type="band1Horz">
      <w:rPr>
        <w:rFonts w:ascii="Cambria" w:hAnsi="Cambria"/>
      </w:rPr>
    </w:tblStylePr>
    <w:tblStylePr w:type="band2Horz">
      <w:rPr>
        <w:rFonts w:ascii="Cambria" w:hAnsi="Cambria"/>
      </w:rPr>
    </w:tblStylePr>
  </w:style>
  <w:style w:type="paragraph" w:customStyle="1" w:styleId="Footersubtitle">
    <w:name w:val="Footer subtitle"/>
    <w:basedOn w:val="Porat"/>
    <w:rsid w:val="00F14E64"/>
    <w:pPr>
      <w:tabs>
        <w:tab w:val="clear" w:pos="4819"/>
        <w:tab w:val="clear" w:pos="9638"/>
        <w:tab w:val="center" w:pos="4153"/>
        <w:tab w:val="right" w:pos="8306"/>
      </w:tabs>
      <w:spacing w:line="240" w:lineRule="auto"/>
      <w:ind w:left="1620" w:right="1156"/>
      <w:jc w:val="center"/>
    </w:pPr>
    <w:rPr>
      <w:rFonts w:ascii="Verdana" w:eastAsia="Times New Roman" w:hAnsi="Verdana" w:cs="Times New Roman"/>
      <w:color w:val="39435A"/>
      <w:sz w:val="18"/>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35C"/>
    <w:pPr>
      <w:spacing w:after="0"/>
    </w:pPr>
    <w:rPr>
      <w:rFonts w:ascii="Cambria" w:hAnsi="Cambria"/>
      <w:sz w:val="24"/>
    </w:rPr>
  </w:style>
  <w:style w:type="paragraph" w:styleId="Antrat1">
    <w:name w:val="heading 1"/>
    <w:basedOn w:val="prastasis"/>
    <w:next w:val="Text"/>
    <w:link w:val="Antrat1Diagrama"/>
    <w:uiPriority w:val="9"/>
    <w:qFormat/>
    <w:rsid w:val="00F20D53"/>
    <w:pPr>
      <w:keepNext/>
      <w:keepLines/>
      <w:spacing w:before="240" w:after="480"/>
      <w:outlineLvl w:val="0"/>
    </w:pPr>
    <w:rPr>
      <w:rFonts w:eastAsiaTheme="majorEastAsia" w:cstheme="majorBidi"/>
      <w:bCs/>
      <w:caps/>
      <w:color w:val="175F6E"/>
      <w:sz w:val="45"/>
      <w:szCs w:val="28"/>
    </w:rPr>
  </w:style>
  <w:style w:type="paragraph" w:styleId="Antrat2">
    <w:name w:val="heading 2"/>
    <w:basedOn w:val="Antrat1"/>
    <w:next w:val="Text"/>
    <w:link w:val="Antrat2Diagrama"/>
    <w:uiPriority w:val="9"/>
    <w:unhideWhenUsed/>
    <w:qFormat/>
    <w:rsid w:val="00664CE5"/>
    <w:pPr>
      <w:numPr>
        <w:numId w:val="1"/>
      </w:numPr>
      <w:spacing w:before="200" w:after="360"/>
      <w:outlineLvl w:val="1"/>
    </w:pPr>
    <w:rPr>
      <w:rFonts w:eastAsia="Lucida Sans Unicode"/>
      <w:bCs w:val="0"/>
      <w:color w:val="00505E"/>
      <w:szCs w:val="45"/>
    </w:rPr>
  </w:style>
  <w:style w:type="paragraph" w:styleId="Antrat3">
    <w:name w:val="heading 3"/>
    <w:basedOn w:val="Antrat2"/>
    <w:next w:val="Text"/>
    <w:link w:val="Antrat3Diagrama"/>
    <w:unhideWhenUsed/>
    <w:qFormat/>
    <w:rsid w:val="005058B5"/>
    <w:pPr>
      <w:numPr>
        <w:ilvl w:val="1"/>
      </w:numPr>
      <w:tabs>
        <w:tab w:val="left" w:pos="907"/>
        <w:tab w:val="left" w:pos="1134"/>
        <w:tab w:val="left" w:pos="1361"/>
      </w:tabs>
      <w:spacing w:after="240"/>
      <w:outlineLvl w:val="2"/>
    </w:pPr>
    <w:rPr>
      <w:bCs/>
      <w:caps w:val="0"/>
      <w:sz w:val="26"/>
      <w:szCs w:val="26"/>
    </w:rPr>
  </w:style>
  <w:style w:type="paragraph" w:styleId="Antrat4">
    <w:name w:val="heading 4"/>
    <w:basedOn w:val="Antrat3"/>
    <w:next w:val="Text"/>
    <w:link w:val="Antrat4Diagrama"/>
    <w:unhideWhenUsed/>
    <w:qFormat/>
    <w:rsid w:val="005058B5"/>
    <w:pPr>
      <w:numPr>
        <w:ilvl w:val="2"/>
      </w:numPr>
      <w:outlineLvl w:val="3"/>
    </w:pPr>
  </w:style>
  <w:style w:type="paragraph" w:styleId="Antrat5">
    <w:name w:val="heading 5"/>
    <w:basedOn w:val="Antrat4"/>
    <w:next w:val="Text"/>
    <w:link w:val="Antrat5Diagrama"/>
    <w:unhideWhenUsed/>
    <w:qFormat/>
    <w:rsid w:val="008F5D04"/>
    <w:pPr>
      <w:numPr>
        <w:ilvl w:val="3"/>
      </w:numPr>
      <w:spacing w:after="120"/>
      <w:outlineLvl w:val="4"/>
    </w:pPr>
    <w:rPr>
      <w:rFonts w:eastAsiaTheme="majorEastAsia"/>
      <w:sz w:val="24"/>
    </w:rPr>
  </w:style>
  <w:style w:type="paragraph" w:styleId="Antrat6">
    <w:name w:val="heading 6"/>
    <w:basedOn w:val="prastasis"/>
    <w:next w:val="Text"/>
    <w:link w:val="Antrat6Diagrama"/>
    <w:uiPriority w:val="9"/>
    <w:unhideWhenUsed/>
    <w:qFormat/>
    <w:rsid w:val="00F20D53"/>
    <w:pPr>
      <w:outlineLvl w:val="5"/>
    </w:pPr>
    <w:rPr>
      <w:rFonts w:eastAsiaTheme="majorEastAsia" w:cstheme="majorBidi"/>
      <w:bCs/>
      <w:color w:val="00505E"/>
      <w:szCs w:val="26"/>
    </w:rPr>
  </w:style>
  <w:style w:type="paragraph" w:styleId="Antrat7">
    <w:name w:val="heading 7"/>
    <w:basedOn w:val="Text"/>
    <w:next w:val="Text"/>
    <w:link w:val="Antrat7Diagrama"/>
    <w:uiPriority w:val="9"/>
    <w:unhideWhenUsed/>
    <w:qFormat/>
    <w:rsid w:val="00F20D53"/>
    <w:pPr>
      <w:spacing w:before="120" w:after="120"/>
      <w:outlineLvl w:val="6"/>
    </w:pPr>
    <w:rPr>
      <w:rFonts w:eastAsiaTheme="majorEastAsia" w:cstheme="majorBidi"/>
      <w:b/>
      <w:iCs/>
      <w:sz w:val="20"/>
    </w:rPr>
  </w:style>
  <w:style w:type="paragraph" w:styleId="Antrat8">
    <w:name w:val="heading 8"/>
    <w:basedOn w:val="prastasis"/>
    <w:next w:val="prastasis"/>
    <w:link w:val="Antrat8Diagrama"/>
    <w:uiPriority w:val="9"/>
    <w:unhideWhenUsed/>
    <w:qFormat/>
    <w:rsid w:val="00F20D53"/>
    <w:pPr>
      <w:keepNext/>
      <w:keepLines/>
      <w:spacing w:before="200"/>
      <w:outlineLvl w:val="7"/>
    </w:pPr>
    <w:rPr>
      <w:rFonts w:eastAsiaTheme="majorEastAsia"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F20D53"/>
    <w:pPr>
      <w:keepNext/>
      <w:keepLines/>
      <w:spacing w:before="200"/>
      <w:outlineLvl w:val="8"/>
    </w:pPr>
    <w:rPr>
      <w:rFonts w:eastAsiaTheme="majorEastAsia"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20D53"/>
    <w:pPr>
      <w:spacing w:after="0"/>
    </w:pPr>
    <w:rPr>
      <w:rFonts w:ascii="Cambria" w:hAnsi="Cambria"/>
      <w:lang w:val="en-US" w:eastAsia="ja-JP"/>
    </w:rPr>
  </w:style>
  <w:style w:type="character" w:customStyle="1" w:styleId="BetarpDiagrama">
    <w:name w:val="Be tarpų Diagrama"/>
    <w:basedOn w:val="Numatytasispastraiposriftas"/>
    <w:link w:val="Betarp"/>
    <w:uiPriority w:val="1"/>
    <w:rsid w:val="00F20D53"/>
    <w:rPr>
      <w:rFonts w:ascii="Cambria" w:hAnsi="Cambria"/>
      <w:lang w:val="en-US" w:eastAsia="ja-JP"/>
    </w:rPr>
  </w:style>
  <w:style w:type="paragraph" w:styleId="Debesliotekstas">
    <w:name w:val="Balloon Text"/>
    <w:basedOn w:val="prastasis"/>
    <w:link w:val="DebesliotekstasDiagrama"/>
    <w:uiPriority w:val="99"/>
    <w:semiHidden/>
    <w:unhideWhenUsed/>
    <w:rsid w:val="00CC04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457"/>
    <w:rPr>
      <w:rFonts w:ascii="Tahoma" w:hAnsi="Tahoma" w:cs="Tahoma"/>
      <w:sz w:val="16"/>
      <w:szCs w:val="16"/>
    </w:rPr>
  </w:style>
  <w:style w:type="paragraph" w:styleId="Antrats">
    <w:name w:val="header"/>
    <w:basedOn w:val="prastasis"/>
    <w:link w:val="AntratsDiagrama"/>
    <w:uiPriority w:val="99"/>
    <w:unhideWhenUsed/>
    <w:rsid w:val="00CC0457"/>
    <w:pPr>
      <w:tabs>
        <w:tab w:val="center" w:pos="4819"/>
        <w:tab w:val="right" w:pos="9638"/>
      </w:tabs>
    </w:pPr>
  </w:style>
  <w:style w:type="character" w:customStyle="1" w:styleId="AntratsDiagrama">
    <w:name w:val="Antraštės Diagrama"/>
    <w:basedOn w:val="Numatytasispastraiposriftas"/>
    <w:link w:val="Antrats"/>
    <w:uiPriority w:val="99"/>
    <w:rsid w:val="00CC0457"/>
  </w:style>
  <w:style w:type="paragraph" w:styleId="Porat">
    <w:name w:val="footer"/>
    <w:basedOn w:val="prastasis"/>
    <w:link w:val="PoratDiagrama"/>
    <w:uiPriority w:val="99"/>
    <w:unhideWhenUsed/>
    <w:rsid w:val="00CC0457"/>
    <w:pPr>
      <w:tabs>
        <w:tab w:val="center" w:pos="4819"/>
        <w:tab w:val="right" w:pos="9638"/>
      </w:tabs>
    </w:pPr>
  </w:style>
  <w:style w:type="character" w:customStyle="1" w:styleId="PoratDiagrama">
    <w:name w:val="Poraštė Diagrama"/>
    <w:basedOn w:val="Numatytasispastraiposriftas"/>
    <w:link w:val="Porat"/>
    <w:uiPriority w:val="99"/>
    <w:rsid w:val="00CC0457"/>
  </w:style>
  <w:style w:type="character" w:styleId="Vietosrezervavimoenklotekstas">
    <w:name w:val="Placeholder Text"/>
    <w:basedOn w:val="Numatytasispastraiposriftas"/>
    <w:uiPriority w:val="99"/>
    <w:semiHidden/>
    <w:rsid w:val="00D47310"/>
    <w:rPr>
      <w:color w:val="808080"/>
    </w:rPr>
  </w:style>
  <w:style w:type="character" w:customStyle="1" w:styleId="Antrat1Diagrama">
    <w:name w:val="Antraštė 1 Diagrama"/>
    <w:basedOn w:val="Numatytasispastraiposriftas"/>
    <w:link w:val="Antrat1"/>
    <w:uiPriority w:val="9"/>
    <w:rsid w:val="00F20D53"/>
    <w:rPr>
      <w:rFonts w:ascii="Cambria" w:eastAsiaTheme="majorEastAsia" w:hAnsi="Cambria" w:cstheme="majorBidi"/>
      <w:bCs/>
      <w:caps/>
      <w:color w:val="175F6E"/>
      <w:sz w:val="45"/>
      <w:szCs w:val="28"/>
    </w:rPr>
  </w:style>
  <w:style w:type="character" w:customStyle="1" w:styleId="Antrat2Diagrama">
    <w:name w:val="Antraštė 2 Diagrama"/>
    <w:basedOn w:val="Numatytasispastraiposriftas"/>
    <w:link w:val="Antrat2"/>
    <w:uiPriority w:val="9"/>
    <w:rsid w:val="00664CE5"/>
    <w:rPr>
      <w:rFonts w:ascii="Cambria" w:eastAsia="Lucida Sans Unicode" w:hAnsi="Cambria" w:cstheme="majorBidi"/>
      <w:caps/>
      <w:color w:val="00505E"/>
      <w:sz w:val="45"/>
      <w:szCs w:val="45"/>
    </w:rPr>
  </w:style>
  <w:style w:type="character" w:customStyle="1" w:styleId="Antrat3Diagrama">
    <w:name w:val="Antraštė 3 Diagrama"/>
    <w:basedOn w:val="Numatytasispastraiposriftas"/>
    <w:link w:val="Antrat3"/>
    <w:rsid w:val="005058B5"/>
    <w:rPr>
      <w:rFonts w:ascii="Cambria" w:eastAsia="Lucida Sans Unicode" w:hAnsi="Cambria" w:cstheme="majorBidi"/>
      <w:bCs/>
      <w:color w:val="00505E"/>
      <w:sz w:val="26"/>
      <w:szCs w:val="26"/>
    </w:rPr>
  </w:style>
  <w:style w:type="paragraph" w:styleId="Antrinispavadinimas">
    <w:name w:val="Subtitle"/>
    <w:basedOn w:val="prastasis"/>
    <w:next w:val="prastasis"/>
    <w:link w:val="AntrinispavadinimasDiagrama"/>
    <w:uiPriority w:val="11"/>
    <w:qFormat/>
    <w:rsid w:val="00F20D53"/>
    <w:pPr>
      <w:numPr>
        <w:ilvl w:val="1"/>
      </w:numPr>
    </w:pPr>
    <w:rPr>
      <w:rFonts w:eastAsiaTheme="majorEastAsia" w:cstheme="majorBidi"/>
      <w:iCs/>
      <w:caps/>
      <w:color w:val="175F6E"/>
      <w:spacing w:val="15"/>
      <w:sz w:val="45"/>
      <w:szCs w:val="24"/>
    </w:rPr>
  </w:style>
  <w:style w:type="character" w:customStyle="1" w:styleId="AntrinispavadinimasDiagrama">
    <w:name w:val="Antrinis pavadinimas Diagrama"/>
    <w:basedOn w:val="Numatytasispastraiposriftas"/>
    <w:link w:val="Antrinispavadinimas"/>
    <w:uiPriority w:val="11"/>
    <w:rsid w:val="00F20D53"/>
    <w:rPr>
      <w:rFonts w:ascii="Cambria" w:eastAsiaTheme="majorEastAsia" w:hAnsi="Cambria" w:cstheme="majorBidi"/>
      <w:iCs/>
      <w:caps/>
      <w:color w:val="175F6E"/>
      <w:spacing w:val="15"/>
      <w:sz w:val="45"/>
      <w:szCs w:val="24"/>
    </w:rPr>
  </w:style>
  <w:style w:type="paragraph" w:customStyle="1" w:styleId="Subtitlewhite">
    <w:name w:val="Subtitle white"/>
    <w:basedOn w:val="Antrinispavadinimas"/>
    <w:link w:val="SubtitlewhiteChar"/>
    <w:qFormat/>
    <w:rsid w:val="00F20D53"/>
    <w:rPr>
      <w:color w:val="FFFFFF" w:themeColor="background1"/>
      <w:sz w:val="52"/>
    </w:rPr>
  </w:style>
  <w:style w:type="paragraph" w:styleId="Pavadinimas">
    <w:name w:val="Title"/>
    <w:basedOn w:val="prastasis"/>
    <w:next w:val="prastasis"/>
    <w:link w:val="PavadinimasDiagrama"/>
    <w:uiPriority w:val="10"/>
    <w:qFormat/>
    <w:rsid w:val="00F20D53"/>
    <w:pPr>
      <w:contextualSpacing/>
    </w:pPr>
    <w:rPr>
      <w:rFonts w:eastAsiaTheme="majorEastAsia" w:cstheme="majorBidi"/>
      <w:caps/>
      <w:color w:val="175F6E"/>
      <w:spacing w:val="15"/>
      <w:kern w:val="28"/>
      <w:sz w:val="52"/>
      <w:szCs w:val="52"/>
    </w:rPr>
  </w:style>
  <w:style w:type="character" w:customStyle="1" w:styleId="SubtitlewhiteChar">
    <w:name w:val="Subtitle white Char"/>
    <w:basedOn w:val="AntrinispavadinimasDiagrama"/>
    <w:link w:val="Subtitlewhite"/>
    <w:rsid w:val="00F20D53"/>
    <w:rPr>
      <w:rFonts w:ascii="Cambria" w:eastAsiaTheme="majorEastAsia" w:hAnsi="Cambria" w:cstheme="majorBidi"/>
      <w:iCs/>
      <w:caps/>
      <w:color w:val="FFFFFF" w:themeColor="background1"/>
      <w:spacing w:val="15"/>
      <w:sz w:val="52"/>
      <w:szCs w:val="24"/>
    </w:rPr>
  </w:style>
  <w:style w:type="character" w:customStyle="1" w:styleId="PavadinimasDiagrama">
    <w:name w:val="Pavadinimas Diagrama"/>
    <w:basedOn w:val="Numatytasispastraiposriftas"/>
    <w:link w:val="Pavadinimas"/>
    <w:uiPriority w:val="10"/>
    <w:rsid w:val="00F20D53"/>
    <w:rPr>
      <w:rFonts w:ascii="Cambria" w:eastAsiaTheme="majorEastAsia" w:hAnsi="Cambria" w:cstheme="majorBidi"/>
      <w:caps/>
      <w:color w:val="175F6E"/>
      <w:spacing w:val="15"/>
      <w:kern w:val="28"/>
      <w:sz w:val="52"/>
      <w:szCs w:val="52"/>
    </w:rPr>
  </w:style>
  <w:style w:type="paragraph" w:styleId="Sraopastraipa">
    <w:name w:val="List Paragraph"/>
    <w:basedOn w:val="prastasis"/>
    <w:uiPriority w:val="34"/>
    <w:qFormat/>
    <w:rsid w:val="00F20D53"/>
    <w:pPr>
      <w:contextualSpacing/>
    </w:pPr>
  </w:style>
  <w:style w:type="paragraph" w:customStyle="1" w:styleId="Text">
    <w:name w:val="Text"/>
    <w:basedOn w:val="prastasis"/>
    <w:link w:val="TextChar"/>
    <w:qFormat/>
    <w:rsid w:val="00BF31CD"/>
    <w:pPr>
      <w:tabs>
        <w:tab w:val="left" w:pos="9600"/>
      </w:tabs>
      <w:spacing w:after="240"/>
      <w:ind w:left="505" w:right="74"/>
      <w:jc w:val="both"/>
    </w:pPr>
    <w:rPr>
      <w:noProof/>
    </w:rPr>
  </w:style>
  <w:style w:type="paragraph" w:customStyle="1" w:styleId="HeaderText">
    <w:name w:val="Header Text"/>
    <w:basedOn w:val="Antrats"/>
    <w:link w:val="HeaderTextChar"/>
    <w:qFormat/>
    <w:rsid w:val="001E11A2"/>
    <w:pPr>
      <w:tabs>
        <w:tab w:val="clear" w:pos="4819"/>
        <w:tab w:val="clear" w:pos="9638"/>
        <w:tab w:val="right" w:pos="10086"/>
      </w:tabs>
    </w:pPr>
    <w:rPr>
      <w:bCs/>
      <w:caps/>
      <w:color w:val="9A9A9A" w:themeColor="text2"/>
      <w:sz w:val="16"/>
      <w:szCs w:val="28"/>
    </w:rPr>
  </w:style>
  <w:style w:type="character" w:customStyle="1" w:styleId="TextChar">
    <w:name w:val="Text Char"/>
    <w:basedOn w:val="Numatytasispastraiposriftas"/>
    <w:link w:val="Text"/>
    <w:rsid w:val="00BF31CD"/>
    <w:rPr>
      <w:noProof/>
      <w:sz w:val="24"/>
    </w:rPr>
  </w:style>
  <w:style w:type="paragraph" w:customStyle="1" w:styleId="TextWhite">
    <w:name w:val="Text White"/>
    <w:basedOn w:val="Text"/>
    <w:link w:val="TextWhiteChar"/>
    <w:qFormat/>
    <w:rsid w:val="00F20D53"/>
    <w:pPr>
      <w:ind w:left="0"/>
    </w:pPr>
    <w:rPr>
      <w:color w:val="FFFFFF" w:themeColor="background1"/>
      <w:sz w:val="32"/>
    </w:rPr>
  </w:style>
  <w:style w:type="character" w:customStyle="1" w:styleId="HeaderTextChar">
    <w:name w:val="Header Text Char"/>
    <w:basedOn w:val="AntratsDiagrama"/>
    <w:link w:val="HeaderText"/>
    <w:rsid w:val="001E11A2"/>
    <w:rPr>
      <w:bCs/>
      <w:caps/>
      <w:color w:val="9A9A9A" w:themeColor="text2"/>
      <w:sz w:val="16"/>
      <w:szCs w:val="28"/>
    </w:rPr>
  </w:style>
  <w:style w:type="paragraph" w:customStyle="1" w:styleId="TextWhiteUP">
    <w:name w:val="Text White UP"/>
    <w:basedOn w:val="prastasis"/>
    <w:link w:val="TextWhiteUPChar"/>
    <w:autoRedefine/>
    <w:qFormat/>
    <w:rsid w:val="00F20D53"/>
    <w:rPr>
      <w:caps/>
      <w:color w:val="FFFFFF" w:themeColor="background1"/>
      <w:sz w:val="32"/>
    </w:rPr>
  </w:style>
  <w:style w:type="character" w:customStyle="1" w:styleId="TextWhiteChar">
    <w:name w:val="Text White Char"/>
    <w:basedOn w:val="Numatytasispastraiposriftas"/>
    <w:link w:val="TextWhite"/>
    <w:rsid w:val="00F20D53"/>
    <w:rPr>
      <w:rFonts w:ascii="Cambria" w:hAnsi="Cambria"/>
      <w:noProof/>
      <w:color w:val="FFFFFF" w:themeColor="background1"/>
      <w:sz w:val="32"/>
    </w:rPr>
  </w:style>
  <w:style w:type="character" w:customStyle="1" w:styleId="TextWhiteUPChar">
    <w:name w:val="Text White UP Char"/>
    <w:basedOn w:val="TextWhiteChar"/>
    <w:link w:val="TextWhiteUP"/>
    <w:rsid w:val="00F20D53"/>
    <w:rPr>
      <w:rFonts w:ascii="Cambria" w:hAnsi="Cambria"/>
      <w:caps/>
      <w:noProof/>
      <w:color w:val="FFFFFF" w:themeColor="background1"/>
      <w:sz w:val="32"/>
    </w:rPr>
  </w:style>
  <w:style w:type="paragraph" w:styleId="Turinioantrat">
    <w:name w:val="TOC Heading"/>
    <w:basedOn w:val="Antrat1"/>
    <w:next w:val="prastasis"/>
    <w:uiPriority w:val="39"/>
    <w:unhideWhenUsed/>
    <w:qFormat/>
    <w:rsid w:val="00C349B6"/>
    <w:pPr>
      <w:spacing w:before="360"/>
      <w:outlineLvl w:val="9"/>
    </w:pPr>
    <w:rPr>
      <w:color w:val="00505E"/>
      <w:lang w:val="en-US" w:eastAsia="ja-JP"/>
    </w:rPr>
  </w:style>
  <w:style w:type="paragraph" w:styleId="Turinys1">
    <w:name w:val="toc 1"/>
    <w:basedOn w:val="prastasis"/>
    <w:next w:val="prastasis"/>
    <w:autoRedefine/>
    <w:uiPriority w:val="39"/>
    <w:unhideWhenUsed/>
    <w:rsid w:val="00F20D53"/>
    <w:pPr>
      <w:tabs>
        <w:tab w:val="right" w:leader="dot" w:pos="10076"/>
      </w:tabs>
      <w:spacing w:after="100"/>
    </w:pPr>
    <w:rPr>
      <w:color w:val="343435"/>
      <w:sz w:val="22"/>
    </w:rPr>
  </w:style>
  <w:style w:type="character" w:styleId="Hipersaitas">
    <w:name w:val="Hyperlink"/>
    <w:basedOn w:val="Numatytasispastraiposriftas"/>
    <w:uiPriority w:val="99"/>
    <w:unhideWhenUsed/>
    <w:rsid w:val="00333DD6"/>
    <w:rPr>
      <w:color w:val="0000FF" w:themeColor="hyperlink"/>
      <w:u w:val="single"/>
    </w:rPr>
  </w:style>
  <w:style w:type="paragraph" w:styleId="Turinys2">
    <w:name w:val="toc 2"/>
    <w:basedOn w:val="prastasis"/>
    <w:next w:val="prastasis"/>
    <w:autoRedefine/>
    <w:uiPriority w:val="39"/>
    <w:unhideWhenUsed/>
    <w:rsid w:val="00F20D53"/>
    <w:pPr>
      <w:tabs>
        <w:tab w:val="left" w:pos="794"/>
        <w:tab w:val="right" w:leader="dot" w:pos="10076"/>
      </w:tabs>
      <w:spacing w:after="100"/>
      <w:ind w:left="397"/>
    </w:pPr>
    <w:rPr>
      <w:color w:val="343435"/>
      <w:sz w:val="22"/>
    </w:rPr>
  </w:style>
  <w:style w:type="character" w:customStyle="1" w:styleId="Antrat4Diagrama">
    <w:name w:val="Antraštė 4 Diagrama"/>
    <w:basedOn w:val="Numatytasispastraiposriftas"/>
    <w:link w:val="Antrat4"/>
    <w:rsid w:val="005058B5"/>
    <w:rPr>
      <w:rFonts w:ascii="Cambria" w:eastAsia="Lucida Sans Unicode" w:hAnsi="Cambria" w:cstheme="majorBidi"/>
      <w:bCs/>
      <w:color w:val="00505E"/>
      <w:sz w:val="26"/>
      <w:szCs w:val="26"/>
    </w:rPr>
  </w:style>
  <w:style w:type="paragraph" w:styleId="Turinys3">
    <w:name w:val="toc 3"/>
    <w:basedOn w:val="prastasis"/>
    <w:next w:val="prastasis"/>
    <w:autoRedefine/>
    <w:uiPriority w:val="39"/>
    <w:unhideWhenUsed/>
    <w:rsid w:val="00F20D53"/>
    <w:pPr>
      <w:tabs>
        <w:tab w:val="left" w:pos="1418"/>
        <w:tab w:val="left" w:pos="1531"/>
        <w:tab w:val="right" w:leader="dot" w:pos="10076"/>
      </w:tabs>
      <w:spacing w:after="100"/>
      <w:ind w:left="794"/>
    </w:pPr>
    <w:rPr>
      <w:color w:val="343435"/>
      <w:sz w:val="22"/>
    </w:rPr>
  </w:style>
  <w:style w:type="table" w:styleId="Lentelstinklelis">
    <w:name w:val="Table Grid"/>
    <w:basedOn w:val="prastojilentel"/>
    <w:uiPriority w:val="59"/>
    <w:rsid w:val="008A2BF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styleId="Antrat">
    <w:name w:val="caption"/>
    <w:aliases w:val="Table caption,paveikslas,Paveikslo pavadinimas,TabelOverskrift"/>
    <w:basedOn w:val="prastasis"/>
    <w:next w:val="prastasis"/>
    <w:link w:val="AntratDiagrama"/>
    <w:uiPriority w:val="35"/>
    <w:unhideWhenUsed/>
    <w:qFormat/>
    <w:rsid w:val="00F20D53"/>
    <w:rPr>
      <w:b/>
      <w:bCs/>
      <w:sz w:val="22"/>
      <w:szCs w:val="18"/>
    </w:rPr>
  </w:style>
  <w:style w:type="paragraph" w:styleId="Iliustracijsraas">
    <w:name w:val="table of figures"/>
    <w:basedOn w:val="prastasis"/>
    <w:next w:val="prastasis"/>
    <w:uiPriority w:val="99"/>
    <w:unhideWhenUsed/>
    <w:rsid w:val="00614BF4"/>
    <w:pPr>
      <w:ind w:left="505"/>
    </w:pPr>
  </w:style>
  <w:style w:type="table" w:styleId="1vidutinisspalvinimas3parykinimas">
    <w:name w:val="Medium Shading 1 Accent 3"/>
    <w:basedOn w:val="prastojilentel"/>
    <w:uiPriority w:val="63"/>
    <w:rsid w:val="008D7330"/>
    <w:pPr>
      <w:spacing w:after="0" w:line="240" w:lineRule="auto"/>
    </w:pPr>
    <w:tblPr>
      <w:tblStyleRowBandSize w:val="1"/>
      <w:tblStyleColBandSize w:val="1"/>
      <w:tbl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single" w:sz="8" w:space="0" w:color="C3D1D8" w:themeColor="accent3" w:themeTint="BF"/>
      </w:tblBorders>
    </w:tblPr>
    <w:tblStylePr w:type="firstRow">
      <w:pPr>
        <w:spacing w:before="0" w:after="0" w:line="240" w:lineRule="auto"/>
      </w:pPr>
      <w:rPr>
        <w:b/>
        <w:bCs/>
        <w:color w:val="FFFFFF" w:themeColor="background1"/>
      </w:rPr>
      <w:tblPr/>
      <w:tcPr>
        <w:tcBorders>
          <w:top w:val="single" w:sz="8"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shd w:val="clear" w:color="auto" w:fill="AFC3CB" w:themeFill="accent3"/>
      </w:tcPr>
    </w:tblStylePr>
    <w:tblStylePr w:type="lastRow">
      <w:pPr>
        <w:spacing w:before="0" w:after="0" w:line="240" w:lineRule="auto"/>
      </w:pPr>
      <w:rPr>
        <w:b/>
        <w:bCs/>
      </w:rPr>
      <w:tblPr/>
      <w:tcPr>
        <w:tcBorders>
          <w:top w:val="double" w:sz="6" w:space="0" w:color="C3D1D8" w:themeColor="accent3" w:themeTint="BF"/>
          <w:left w:val="single" w:sz="8" w:space="0" w:color="C3D1D8" w:themeColor="accent3" w:themeTint="BF"/>
          <w:bottom w:val="single" w:sz="8" w:space="0" w:color="C3D1D8" w:themeColor="accent3" w:themeTint="BF"/>
          <w:right w:val="single" w:sz="8" w:space="0" w:color="C3D1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3" w:themeFillTint="3F"/>
      </w:tcPr>
    </w:tblStylePr>
    <w:tblStylePr w:type="band1Horz">
      <w:tblPr/>
      <w:tcPr>
        <w:tcBorders>
          <w:insideH w:val="nil"/>
          <w:insideV w:val="nil"/>
        </w:tcBorders>
        <w:shd w:val="clear" w:color="auto" w:fill="EBF0F2" w:themeFill="accent3" w:themeFillTint="3F"/>
      </w:tcPr>
    </w:tblStylePr>
    <w:tblStylePr w:type="band2Horz">
      <w:tblPr/>
      <w:tcPr>
        <w:tcBorders>
          <w:insideH w:val="nil"/>
          <w:insideV w:val="nil"/>
        </w:tcBorders>
      </w:tcPr>
    </w:tblStylePr>
  </w:style>
  <w:style w:type="table" w:customStyle="1" w:styleId="VPVILentele1">
    <w:name w:val="VPVI Lentele 1"/>
    <w:basedOn w:val="Lentelstinklelis"/>
    <w:uiPriority w:val="99"/>
    <w:rsid w:val="009E49F9"/>
    <w:pPr>
      <w:spacing w:line="276" w:lineRule="auto"/>
      <w:contextualSpacing/>
    </w:pPr>
    <w:rPr>
      <w:sz w:val="20"/>
    </w:rPr>
    <w:tblPr>
      <w:tblInd w:w="142" w:type="dxa"/>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0" w:beforeAutospacing="0" w:afterLines="0" w:after="0" w:afterAutospacing="0" w:line="276" w:lineRule="auto"/>
        <w:ind w:leftChars="0" w:left="0" w:rightChars="0" w:right="0"/>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0" w:beforeAutospacing="0" w:afterLines="0" w:after="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0" w:beforeAutospacing="0" w:afterLines="0" w:after="0" w:afterAutospacing="0" w:line="276" w:lineRule="auto"/>
        <w:ind w:firstLineChars="0" w:firstLine="0"/>
        <w:jc w:val="left"/>
      </w:pPr>
      <w:rPr>
        <w:rFonts w:asciiTheme="minorHAnsi" w:hAnsiTheme="minorHAnsi"/>
        <w:b w:val="0"/>
        <w:sz w:val="20"/>
      </w:rPr>
    </w:tblStylePr>
    <w:tblStylePr w:type="neCell">
      <w:pPr>
        <w:wordWrap/>
        <w:spacing w:beforeLines="0" w:before="0" w:beforeAutospacing="0" w:afterLines="0" w:after="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Theme="minorHAnsi" w:hAnsiTheme="minorHAnsi"/>
        <w:sz w:val="18"/>
      </w:rPr>
    </w:tblStylePr>
    <w:tblStylePr w:type="swCell">
      <w:pPr>
        <w:jc w:val="left"/>
      </w:pPr>
      <w:rPr>
        <w:rFonts w:asciiTheme="minorHAnsi" w:hAnsiTheme="minorHAnsi"/>
        <w:sz w:val="18"/>
      </w:rPr>
    </w:tblStylePr>
  </w:style>
  <w:style w:type="paragraph" w:styleId="Dokumentoinaostekstas">
    <w:name w:val="endnote text"/>
    <w:basedOn w:val="prastasis"/>
    <w:link w:val="DokumentoinaostekstasDiagrama"/>
    <w:uiPriority w:val="99"/>
    <w:semiHidden/>
    <w:unhideWhenUsed/>
    <w:rsid w:val="003348FA"/>
    <w:rPr>
      <w:sz w:val="20"/>
      <w:szCs w:val="20"/>
    </w:rPr>
  </w:style>
  <w:style w:type="paragraph" w:customStyle="1" w:styleId="ListParagraph2">
    <w:name w:val="List Paragraph 2"/>
    <w:basedOn w:val="Sraopastraipa"/>
    <w:qFormat/>
    <w:rsid w:val="00F20D53"/>
    <w:rPr>
      <w:bCs/>
      <w:sz w:val="20"/>
      <w:szCs w:val="20"/>
    </w:rPr>
  </w:style>
  <w:style w:type="character" w:customStyle="1" w:styleId="DokumentoinaostekstasDiagrama">
    <w:name w:val="Dokumento išnašos tekstas Diagrama"/>
    <w:basedOn w:val="Numatytasispastraiposriftas"/>
    <w:link w:val="Dokumentoinaostekstas"/>
    <w:uiPriority w:val="99"/>
    <w:semiHidden/>
    <w:rsid w:val="003348FA"/>
    <w:rPr>
      <w:sz w:val="20"/>
      <w:szCs w:val="20"/>
    </w:rPr>
  </w:style>
  <w:style w:type="table" w:customStyle="1" w:styleId="VPVILentele2">
    <w:name w:val="VPVI Lentele 2"/>
    <w:basedOn w:val="VPVILentele1"/>
    <w:uiPriority w:val="99"/>
    <w:rsid w:val="009E49F9"/>
    <w:tblPr/>
    <w:tblStylePr w:type="firstRow">
      <w:pPr>
        <w:wordWrap/>
        <w:spacing w:line="276" w:lineRule="auto"/>
        <w:jc w:val="center"/>
      </w:pPr>
      <w:rPr>
        <w:rFonts w:asciiTheme="minorHAnsi" w:hAnsiTheme="minorHAnsi"/>
        <w:b/>
        <w:sz w:val="22"/>
      </w:rPr>
      <w:tblPr/>
      <w:tcPr>
        <w:shd w:val="clear" w:color="auto" w:fill="00505E"/>
      </w:tcPr>
    </w:tblStylePr>
    <w:tblStylePr w:type="lastRow">
      <w:pPr>
        <w:wordWrap/>
        <w:spacing w:beforeLines="0" w:before="0" w:beforeAutospacing="0" w:afterLines="0" w:after="0" w:afterAutospacing="0" w:line="276" w:lineRule="auto"/>
        <w:ind w:leftChars="0" w:left="0" w:rightChars="0" w:right="0"/>
        <w:jc w:val="left"/>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firstCol">
      <w:pPr>
        <w:wordWrap/>
        <w:spacing w:line="276" w:lineRule="auto"/>
        <w:jc w:val="left"/>
      </w:pPr>
      <w:rPr>
        <w:rFonts w:asciiTheme="minorHAnsi" w:hAnsiTheme="minorHAnsi"/>
      </w:rPr>
    </w:tblStylePr>
    <w:tblStylePr w:type="lastCol">
      <w:pPr>
        <w:wordWrap/>
        <w:spacing w:line="276" w:lineRule="auto"/>
        <w:jc w:val="left"/>
      </w:pPr>
      <w:rPr>
        <w:rFonts w:asciiTheme="minorHAnsi" w:hAnsiTheme="minorHAnsi"/>
      </w:rPr>
    </w:tblStylePr>
    <w:tblStylePr w:type="band1Vert">
      <w:pPr>
        <w:jc w:val="left"/>
      </w:pPr>
      <w:rPr>
        <w:rFonts w:asciiTheme="minorHAnsi" w:hAnsiTheme="minorHAnsi"/>
      </w:rPr>
    </w:tblStylePr>
    <w:tblStylePr w:type="band2Vert">
      <w:pPr>
        <w:jc w:val="left"/>
      </w:pPr>
      <w:rPr>
        <w:rFonts w:asciiTheme="minorHAnsi" w:hAnsiTheme="minorHAnsi"/>
      </w:rPr>
    </w:tblStylePr>
    <w:tblStylePr w:type="band1Horz">
      <w:pPr>
        <w:wordWrap/>
        <w:spacing w:beforeLines="0" w:before="0" w:beforeAutospacing="0" w:afterLines="0" w:after="0" w:afterAutospacing="0" w:line="276" w:lineRule="auto"/>
        <w:jc w:val="left"/>
      </w:pPr>
      <w:rPr>
        <w:rFonts w:asciiTheme="minorHAnsi" w:hAnsiTheme="minorHAnsi"/>
        <w:b w:val="0"/>
        <w:sz w:val="20"/>
      </w:rPr>
      <w:tblPr/>
      <w:tcPr>
        <w:shd w:val="clear" w:color="auto" w:fill="F6E2A3"/>
      </w:tcPr>
    </w:tblStylePr>
    <w:tblStylePr w:type="band2Horz">
      <w:pPr>
        <w:wordWrap/>
        <w:spacing w:beforeLines="0" w:before="0" w:beforeAutospacing="0" w:afterLines="0" w:after="0" w:afterAutospacing="0" w:line="276" w:lineRule="auto"/>
        <w:ind w:firstLineChars="0" w:firstLine="0"/>
        <w:jc w:val="left"/>
      </w:pPr>
      <w:rPr>
        <w:rFonts w:asciiTheme="minorHAnsi" w:hAnsiTheme="minorHAnsi"/>
        <w:b w:val="0"/>
        <w:sz w:val="20"/>
      </w:rPr>
    </w:tblStylePr>
    <w:tblStylePr w:type="neCell">
      <w:pPr>
        <w:wordWrap/>
        <w:spacing w:beforeLines="0" w:before="0" w:beforeAutospacing="0" w:afterLines="0" w:after="0" w:afterAutospacing="0" w:line="276" w:lineRule="auto"/>
        <w:contextualSpacing/>
        <w:jc w:val="center"/>
      </w:pPr>
      <w:rPr>
        <w:rFonts w:asciiTheme="minorHAnsi" w:hAnsiTheme="minorHAnsi"/>
        <w:sz w:val="22"/>
      </w:rPr>
    </w:tblStylePr>
    <w:tblStylePr w:type="nwCell">
      <w:pPr>
        <w:jc w:val="left"/>
      </w:pPr>
      <w:rPr>
        <w:rFonts w:asciiTheme="minorHAnsi" w:hAnsiTheme="minorHAnsi"/>
      </w:rPr>
    </w:tblStylePr>
    <w:tblStylePr w:type="seCell">
      <w:pPr>
        <w:jc w:val="left"/>
      </w:pPr>
      <w:rPr>
        <w:rFonts w:ascii="Italianno" w:hAnsi="Italianno"/>
        <w:sz w:val="18"/>
      </w:rPr>
    </w:tblStylePr>
    <w:tblStylePr w:type="swCell">
      <w:pPr>
        <w:jc w:val="left"/>
      </w:pPr>
      <w:rPr>
        <w:rFonts w:ascii="Italianno" w:hAnsi="Italianno"/>
        <w:sz w:val="18"/>
      </w:rPr>
    </w:tblStylePr>
  </w:style>
  <w:style w:type="character" w:customStyle="1" w:styleId="Antrat5Diagrama">
    <w:name w:val="Antraštė 5 Diagrama"/>
    <w:basedOn w:val="Numatytasispastraiposriftas"/>
    <w:link w:val="Antrat5"/>
    <w:rsid w:val="005058B5"/>
    <w:rPr>
      <w:rFonts w:ascii="Cambria" w:eastAsiaTheme="majorEastAsia" w:hAnsi="Cambria" w:cstheme="majorBidi"/>
      <w:bCs/>
      <w:color w:val="00505E"/>
      <w:sz w:val="24"/>
      <w:szCs w:val="26"/>
    </w:rPr>
  </w:style>
  <w:style w:type="character" w:customStyle="1" w:styleId="Antrat6Diagrama">
    <w:name w:val="Antraštė 6 Diagrama"/>
    <w:basedOn w:val="Numatytasispastraiposriftas"/>
    <w:link w:val="Antrat6"/>
    <w:uiPriority w:val="9"/>
    <w:rsid w:val="00F20D53"/>
    <w:rPr>
      <w:rFonts w:ascii="Cambria" w:eastAsiaTheme="majorEastAsia" w:hAnsi="Cambria" w:cstheme="majorBidi"/>
      <w:bCs/>
      <w:color w:val="00505E"/>
      <w:sz w:val="24"/>
      <w:szCs w:val="26"/>
    </w:rPr>
  </w:style>
  <w:style w:type="paragraph" w:styleId="Turinys4">
    <w:name w:val="toc 4"/>
    <w:basedOn w:val="prastasis"/>
    <w:next w:val="prastasis"/>
    <w:autoRedefine/>
    <w:uiPriority w:val="39"/>
    <w:unhideWhenUsed/>
    <w:rsid w:val="00F20D53"/>
    <w:pPr>
      <w:tabs>
        <w:tab w:val="left" w:pos="2041"/>
        <w:tab w:val="left" w:pos="2155"/>
        <w:tab w:val="right" w:leader="dot" w:pos="10076"/>
      </w:tabs>
      <w:spacing w:after="100"/>
      <w:ind w:left="1191"/>
    </w:pPr>
    <w:rPr>
      <w:noProof/>
      <w:color w:val="343435"/>
      <w:sz w:val="22"/>
    </w:rPr>
  </w:style>
  <w:style w:type="paragraph" w:styleId="Indeksas1">
    <w:name w:val="index 1"/>
    <w:basedOn w:val="prastasis"/>
    <w:next w:val="prastasis"/>
    <w:autoRedefine/>
    <w:uiPriority w:val="99"/>
    <w:semiHidden/>
    <w:unhideWhenUsed/>
    <w:rsid w:val="00427E9A"/>
    <w:pPr>
      <w:ind w:left="240" w:hanging="240"/>
    </w:pPr>
  </w:style>
  <w:style w:type="paragraph" w:styleId="Turinys5">
    <w:name w:val="toc 5"/>
    <w:basedOn w:val="prastasis"/>
    <w:next w:val="prastasis"/>
    <w:autoRedefine/>
    <w:uiPriority w:val="39"/>
    <w:unhideWhenUsed/>
    <w:rsid w:val="00F20D53"/>
    <w:pPr>
      <w:tabs>
        <w:tab w:val="left" w:pos="2722"/>
        <w:tab w:val="left" w:pos="2835"/>
        <w:tab w:val="right" w:leader="dot" w:pos="10076"/>
      </w:tabs>
      <w:spacing w:after="100"/>
      <w:ind w:left="1588"/>
    </w:pPr>
    <w:rPr>
      <w:color w:val="343435"/>
      <w:sz w:val="22"/>
    </w:rPr>
  </w:style>
  <w:style w:type="character" w:customStyle="1" w:styleId="Antrat7Diagrama">
    <w:name w:val="Antraštė 7 Diagrama"/>
    <w:basedOn w:val="Numatytasispastraiposriftas"/>
    <w:link w:val="Antrat7"/>
    <w:uiPriority w:val="9"/>
    <w:rsid w:val="00F20D53"/>
    <w:rPr>
      <w:rFonts w:ascii="Cambria" w:eastAsiaTheme="majorEastAsia" w:hAnsi="Cambria" w:cstheme="majorBidi"/>
      <w:b/>
      <w:iCs/>
      <w:noProof/>
      <w:sz w:val="20"/>
    </w:rPr>
  </w:style>
  <w:style w:type="character" w:styleId="Rykuspabraukimas">
    <w:name w:val="Intense Emphasis"/>
    <w:basedOn w:val="Numatytasispastraiposriftas"/>
    <w:uiPriority w:val="21"/>
    <w:qFormat/>
    <w:rsid w:val="00B71153"/>
    <w:rPr>
      <w:b/>
      <w:bCs/>
      <w:i/>
      <w:iCs/>
      <w:color w:val="175F6E"/>
    </w:rPr>
  </w:style>
  <w:style w:type="paragraph" w:styleId="Iskirtacitata">
    <w:name w:val="Intense Quote"/>
    <w:basedOn w:val="prastasis"/>
    <w:next w:val="prastasis"/>
    <w:link w:val="IskirtacitataDiagrama"/>
    <w:uiPriority w:val="30"/>
    <w:qFormat/>
    <w:rsid w:val="00B71153"/>
    <w:pPr>
      <w:pBdr>
        <w:bottom w:val="single" w:sz="4" w:space="4" w:color="175F6E"/>
      </w:pBdr>
      <w:spacing w:before="200" w:after="280"/>
      <w:ind w:left="936" w:right="936"/>
    </w:pPr>
    <w:rPr>
      <w:b/>
      <w:bCs/>
      <w:i/>
      <w:iCs/>
      <w:color w:val="175F6E"/>
    </w:rPr>
  </w:style>
  <w:style w:type="character" w:customStyle="1" w:styleId="IskirtacitataDiagrama">
    <w:name w:val="Išskirta citata Diagrama"/>
    <w:basedOn w:val="Numatytasispastraiposriftas"/>
    <w:link w:val="Iskirtacitata"/>
    <w:uiPriority w:val="30"/>
    <w:rsid w:val="00B71153"/>
    <w:rPr>
      <w:b/>
      <w:bCs/>
      <w:i/>
      <w:iCs/>
      <w:color w:val="175F6E"/>
      <w:sz w:val="24"/>
    </w:rPr>
  </w:style>
  <w:style w:type="character" w:styleId="Nerykinuoroda">
    <w:name w:val="Subtle Reference"/>
    <w:basedOn w:val="Numatytasispastraiposriftas"/>
    <w:uiPriority w:val="31"/>
    <w:qFormat/>
    <w:rsid w:val="00B71153"/>
    <w:rPr>
      <w:smallCaps/>
      <w:color w:val="175F6E"/>
      <w:u w:val="single"/>
    </w:rPr>
  </w:style>
  <w:style w:type="character" w:styleId="Rykinuoroda">
    <w:name w:val="Intense Reference"/>
    <w:basedOn w:val="Numatytasispastraiposriftas"/>
    <w:uiPriority w:val="32"/>
    <w:qFormat/>
    <w:rsid w:val="00B71153"/>
    <w:rPr>
      <w:b/>
      <w:bCs/>
      <w:smallCaps/>
      <w:color w:val="175F6E"/>
      <w:spacing w:val="5"/>
      <w:u w:val="single"/>
    </w:rPr>
  </w:style>
  <w:style w:type="paragraph" w:styleId="Puslapioinaostekstas">
    <w:name w:val="footnote text"/>
    <w:aliases w:val="Footnote Text Char Char,Footnote,Footnote Text Char Char Char Char Char Char,Footnote Text Char Char Char Char Char,Footnote text,fn,Footnote Text Blue,Footnote Text Blue Char Char Char Char,stile 1,Footnote1,Footnote2,Footnote3"/>
    <w:basedOn w:val="prastasis"/>
    <w:link w:val="PuslapioinaostekstasDiagrama"/>
    <w:uiPriority w:val="99"/>
    <w:unhideWhenUsed/>
    <w:rsid w:val="00120F42"/>
    <w:rPr>
      <w:sz w:val="20"/>
      <w:szCs w:val="20"/>
    </w:rPr>
  </w:style>
  <w:style w:type="character" w:customStyle="1" w:styleId="PuslapioinaostekstasDiagrama">
    <w:name w:val="Puslapio išnašos tekstas Diagrama"/>
    <w:aliases w:val="Footnote Text Char Char Diagrama,Footnote Diagrama,Footnote Text Char Char Char Char Char Char Diagrama,Footnote Text Char Char Char Char Char Diagrama,Footnote text Diagrama,fn Diagrama,Footnote Text Blue Diagrama"/>
    <w:basedOn w:val="Numatytasispastraiposriftas"/>
    <w:link w:val="Puslapioinaostekstas"/>
    <w:uiPriority w:val="99"/>
    <w:rsid w:val="00120F42"/>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120F42"/>
    <w:rPr>
      <w:vertAlign w:val="superscript"/>
    </w:rPr>
  </w:style>
  <w:style w:type="character" w:styleId="Dokumentoinaosnumeris">
    <w:name w:val="endnote reference"/>
    <w:basedOn w:val="Numatytasispastraiposriftas"/>
    <w:uiPriority w:val="99"/>
    <w:semiHidden/>
    <w:unhideWhenUsed/>
    <w:rsid w:val="003348FA"/>
    <w:rPr>
      <w:vertAlign w:val="superscript"/>
    </w:rPr>
  </w:style>
  <w:style w:type="table" w:styleId="viesusisspalvinimas">
    <w:name w:val="Light Shading"/>
    <w:basedOn w:val="prastojilentel"/>
    <w:uiPriority w:val="60"/>
    <w:rsid w:val="005901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3parykinimas">
    <w:name w:val="Light Shading Accent 3"/>
    <w:basedOn w:val="prastojilentel"/>
    <w:uiPriority w:val="60"/>
    <w:rsid w:val="00403156"/>
    <w:pPr>
      <w:spacing w:after="0" w:line="240" w:lineRule="auto"/>
    </w:pPr>
    <w:rPr>
      <w:color w:val="7597A5" w:themeColor="accent3" w:themeShade="BF"/>
    </w:rPr>
    <w:tblPr>
      <w:tblStyleRowBandSize w:val="1"/>
      <w:tblStyleColBandSize w:val="1"/>
      <w:tblBorders>
        <w:top w:val="single" w:sz="8" w:space="0" w:color="AFC3CB" w:themeColor="accent3"/>
        <w:bottom w:val="single" w:sz="8" w:space="0" w:color="AFC3CB" w:themeColor="accent3"/>
      </w:tblBorders>
    </w:tblPr>
    <w:tblStylePr w:type="fir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lastRow">
      <w:pPr>
        <w:spacing w:before="0" w:after="0" w:line="240" w:lineRule="auto"/>
      </w:pPr>
      <w:rPr>
        <w:b/>
        <w:bCs/>
      </w:rPr>
      <w:tblPr/>
      <w:tcPr>
        <w:tcBorders>
          <w:top w:val="single" w:sz="8" w:space="0" w:color="AFC3CB" w:themeColor="accent3"/>
          <w:left w:val="nil"/>
          <w:bottom w:val="single" w:sz="8" w:space="0" w:color="AFC3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3" w:themeFillTint="3F"/>
      </w:tcPr>
    </w:tblStylePr>
    <w:tblStylePr w:type="band1Horz">
      <w:tblPr/>
      <w:tcPr>
        <w:tcBorders>
          <w:left w:val="nil"/>
          <w:right w:val="nil"/>
          <w:insideH w:val="nil"/>
          <w:insideV w:val="nil"/>
        </w:tcBorders>
        <w:shd w:val="clear" w:color="auto" w:fill="EBF0F2" w:themeFill="accent3" w:themeFillTint="3F"/>
      </w:tcPr>
    </w:tblStylePr>
  </w:style>
  <w:style w:type="character" w:customStyle="1" w:styleId="Antrat8Diagrama">
    <w:name w:val="Antraštė 8 Diagrama"/>
    <w:basedOn w:val="Numatytasispastraiposriftas"/>
    <w:link w:val="Antrat8"/>
    <w:uiPriority w:val="9"/>
    <w:rsid w:val="00F20D53"/>
    <w:rPr>
      <w:rFonts w:ascii="Cambria" w:eastAsiaTheme="majorEastAsia" w:hAnsi="Cambria"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F20D53"/>
    <w:rPr>
      <w:rFonts w:ascii="Cambria" w:eastAsiaTheme="majorEastAsia" w:hAnsi="Cambria" w:cstheme="majorBidi"/>
      <w:i/>
      <w:iCs/>
      <w:color w:val="404040" w:themeColor="text1" w:themeTint="BF"/>
      <w:sz w:val="20"/>
      <w:szCs w:val="20"/>
    </w:rPr>
  </w:style>
  <w:style w:type="character" w:styleId="Nerykuspabraukimas">
    <w:name w:val="Subtle Emphasis"/>
    <w:basedOn w:val="Numatytasispastraiposriftas"/>
    <w:uiPriority w:val="19"/>
    <w:qFormat/>
    <w:rsid w:val="00F20D53"/>
    <w:rPr>
      <w:i/>
      <w:iCs/>
      <w:color w:val="808080" w:themeColor="text1" w:themeTint="7F"/>
    </w:rPr>
  </w:style>
  <w:style w:type="character" w:styleId="Emfaz">
    <w:name w:val="Emphasis"/>
    <w:basedOn w:val="Numatytasispastraiposriftas"/>
    <w:uiPriority w:val="20"/>
    <w:qFormat/>
    <w:rsid w:val="00F20D53"/>
    <w:rPr>
      <w:i/>
      <w:iCs/>
    </w:rPr>
  </w:style>
  <w:style w:type="character" w:styleId="Grietas">
    <w:name w:val="Strong"/>
    <w:basedOn w:val="Numatytasispastraiposriftas"/>
    <w:uiPriority w:val="22"/>
    <w:qFormat/>
    <w:rsid w:val="00F20D53"/>
    <w:rPr>
      <w:b/>
      <w:bCs/>
    </w:rPr>
  </w:style>
  <w:style w:type="paragraph" w:styleId="Citata">
    <w:name w:val="Quote"/>
    <w:basedOn w:val="prastasis"/>
    <w:next w:val="prastasis"/>
    <w:link w:val="CitataDiagrama"/>
    <w:uiPriority w:val="29"/>
    <w:qFormat/>
    <w:rsid w:val="00F20D53"/>
    <w:rPr>
      <w:i/>
      <w:iCs/>
      <w:color w:val="000000" w:themeColor="text1"/>
    </w:rPr>
  </w:style>
  <w:style w:type="character" w:customStyle="1" w:styleId="CitataDiagrama">
    <w:name w:val="Citata Diagrama"/>
    <w:basedOn w:val="Numatytasispastraiposriftas"/>
    <w:link w:val="Citata"/>
    <w:uiPriority w:val="29"/>
    <w:rsid w:val="00F20D53"/>
    <w:rPr>
      <w:rFonts w:ascii="Cambria" w:hAnsi="Cambria"/>
      <w:i/>
      <w:iCs/>
      <w:color w:val="000000" w:themeColor="text1"/>
      <w:sz w:val="24"/>
    </w:rPr>
  </w:style>
  <w:style w:type="character" w:styleId="Knygospavadinimas">
    <w:name w:val="Book Title"/>
    <w:basedOn w:val="Numatytasispastraiposriftas"/>
    <w:uiPriority w:val="33"/>
    <w:qFormat/>
    <w:rsid w:val="00F20D53"/>
    <w:rPr>
      <w:b/>
      <w:bCs/>
      <w:smallCaps/>
      <w:spacing w:val="5"/>
    </w:rPr>
  </w:style>
  <w:style w:type="table" w:styleId="viesusspalvinimas1parykinimas">
    <w:name w:val="Light Shading Accent 1"/>
    <w:basedOn w:val="prastojilentel"/>
    <w:uiPriority w:val="60"/>
    <w:rsid w:val="008A2BFC"/>
    <w:pPr>
      <w:spacing w:after="0" w:line="240" w:lineRule="auto"/>
    </w:pPr>
    <w:rPr>
      <w:color w:val="FBA925" w:themeColor="accent1" w:themeShade="BF"/>
    </w:rPr>
    <w:tblPr>
      <w:tblStyleRowBandSize w:val="1"/>
      <w:tblStyleColBandSize w:val="1"/>
      <w:tblBorders>
        <w:top w:val="single" w:sz="8" w:space="0" w:color="FDCF85" w:themeColor="accent1"/>
        <w:bottom w:val="single" w:sz="8" w:space="0" w:color="FDCF85" w:themeColor="accent1"/>
      </w:tblBorders>
    </w:tblPr>
    <w:tblStylePr w:type="fir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lastRow">
      <w:pPr>
        <w:spacing w:before="0" w:after="0" w:line="240" w:lineRule="auto"/>
      </w:pPr>
      <w:rPr>
        <w:b/>
        <w:bCs/>
      </w:rPr>
      <w:tblPr/>
      <w:tcPr>
        <w:tcBorders>
          <w:top w:val="single" w:sz="8" w:space="0" w:color="FDCF85" w:themeColor="accent1"/>
          <w:left w:val="nil"/>
          <w:bottom w:val="single" w:sz="8" w:space="0" w:color="FDCF8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E0" w:themeFill="accent1" w:themeFillTint="3F"/>
      </w:tcPr>
    </w:tblStylePr>
    <w:tblStylePr w:type="band1Horz">
      <w:tblPr/>
      <w:tcPr>
        <w:tcBorders>
          <w:left w:val="nil"/>
          <w:right w:val="nil"/>
          <w:insideH w:val="nil"/>
          <w:insideV w:val="nil"/>
        </w:tcBorders>
        <w:shd w:val="clear" w:color="auto" w:fill="FEF3E0" w:themeFill="accent1" w:themeFillTint="3F"/>
      </w:tcPr>
    </w:tblStylePr>
  </w:style>
  <w:style w:type="table" w:styleId="viesusspalvinimas2parykinimas">
    <w:name w:val="Light Shading Accent 2"/>
    <w:basedOn w:val="prastojilentel"/>
    <w:uiPriority w:val="60"/>
    <w:rsid w:val="00FE755D"/>
    <w:pPr>
      <w:spacing w:after="0" w:line="240" w:lineRule="auto"/>
    </w:pPr>
    <w:rPr>
      <w:color w:val="D98B05" w:themeColor="accent2" w:themeShade="BF"/>
    </w:rPr>
    <w:tblPr>
      <w:tblStyleRowBandSize w:val="1"/>
      <w:tblStyleColBandSize w:val="1"/>
      <w:tblBorders>
        <w:top w:val="single" w:sz="8" w:space="0" w:color="FAB02F" w:themeColor="accent2"/>
        <w:bottom w:val="single" w:sz="8" w:space="0" w:color="FAB02F" w:themeColor="accent2"/>
      </w:tblBorders>
    </w:tblPr>
    <w:tblStylePr w:type="fir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lastRow">
      <w:pPr>
        <w:spacing w:before="0" w:after="0" w:line="240" w:lineRule="auto"/>
      </w:pPr>
      <w:rPr>
        <w:b/>
        <w:bCs/>
      </w:rPr>
      <w:tblPr/>
      <w:tcPr>
        <w:tcBorders>
          <w:top w:val="single" w:sz="8" w:space="0" w:color="FAB02F" w:themeColor="accent2"/>
          <w:left w:val="nil"/>
          <w:bottom w:val="single" w:sz="8" w:space="0" w:color="FAB0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B" w:themeFill="accent2" w:themeFillTint="3F"/>
      </w:tcPr>
    </w:tblStylePr>
    <w:tblStylePr w:type="band1Horz">
      <w:tblPr/>
      <w:tcPr>
        <w:tcBorders>
          <w:left w:val="nil"/>
          <w:right w:val="nil"/>
          <w:insideH w:val="nil"/>
          <w:insideV w:val="nil"/>
        </w:tcBorders>
        <w:shd w:val="clear" w:color="auto" w:fill="FDEBCB" w:themeFill="accent2" w:themeFillTint="3F"/>
      </w:tcPr>
    </w:tblStylePr>
  </w:style>
  <w:style w:type="table" w:styleId="viesusspalvinimas4parykinimas">
    <w:name w:val="Light Shading Accent 4"/>
    <w:basedOn w:val="prastojilentel"/>
    <w:uiPriority w:val="60"/>
    <w:rsid w:val="00FE755D"/>
    <w:pPr>
      <w:spacing w:after="0" w:line="240" w:lineRule="auto"/>
    </w:pPr>
    <w:rPr>
      <w:color w:val="244C56" w:themeColor="accent4" w:themeShade="BF"/>
    </w:rPr>
    <w:tblPr>
      <w:tblStyleRowBandSize w:val="1"/>
      <w:tblStyleColBandSize w:val="1"/>
      <w:tblBorders>
        <w:top w:val="single" w:sz="8" w:space="0" w:color="306673" w:themeColor="accent4"/>
        <w:bottom w:val="single" w:sz="8" w:space="0" w:color="306673" w:themeColor="accent4"/>
      </w:tblBorders>
    </w:tblPr>
    <w:tblStylePr w:type="fir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lastRow">
      <w:pPr>
        <w:spacing w:before="0" w:after="0" w:line="240" w:lineRule="auto"/>
      </w:pPr>
      <w:rPr>
        <w:b/>
        <w:bCs/>
      </w:rPr>
      <w:tblPr/>
      <w:tcPr>
        <w:tcBorders>
          <w:top w:val="single" w:sz="8" w:space="0" w:color="306673" w:themeColor="accent4"/>
          <w:left w:val="nil"/>
          <w:bottom w:val="single" w:sz="8" w:space="0" w:color="3066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EE5" w:themeFill="accent4" w:themeFillTint="3F"/>
      </w:tcPr>
    </w:tblStylePr>
    <w:tblStylePr w:type="band1Horz">
      <w:tblPr/>
      <w:tcPr>
        <w:tcBorders>
          <w:left w:val="nil"/>
          <w:right w:val="nil"/>
          <w:insideH w:val="nil"/>
          <w:insideV w:val="nil"/>
        </w:tcBorders>
        <w:shd w:val="clear" w:color="auto" w:fill="C2DEE5" w:themeFill="accent4" w:themeFillTint="3F"/>
      </w:tcPr>
    </w:tblStylePr>
  </w:style>
  <w:style w:type="table" w:styleId="viesusspalvinimas5parykinimas">
    <w:name w:val="Light Shading Accent 5"/>
    <w:basedOn w:val="prastojilentel"/>
    <w:uiPriority w:val="60"/>
    <w:rsid w:val="00FE755D"/>
    <w:pPr>
      <w:spacing w:after="0" w:line="240" w:lineRule="auto"/>
    </w:pPr>
    <w:rPr>
      <w:color w:val="013138" w:themeColor="accent5" w:themeShade="BF"/>
    </w:rPr>
    <w:tblPr>
      <w:tblStyleRowBandSize w:val="1"/>
      <w:tblStyleColBandSize w:val="1"/>
      <w:tblBorders>
        <w:top w:val="single" w:sz="8" w:space="0" w:color="02424C" w:themeColor="accent5"/>
        <w:bottom w:val="single" w:sz="8" w:space="0" w:color="02424C" w:themeColor="accent5"/>
      </w:tblBorders>
    </w:tblPr>
    <w:tblStylePr w:type="fir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lastRow">
      <w:pPr>
        <w:spacing w:before="0" w:after="0" w:line="240" w:lineRule="auto"/>
      </w:pPr>
      <w:rPr>
        <w:b/>
        <w:bCs/>
      </w:rPr>
      <w:tblPr/>
      <w:tcPr>
        <w:tcBorders>
          <w:top w:val="single" w:sz="8" w:space="0" w:color="02424C" w:themeColor="accent5"/>
          <w:left w:val="nil"/>
          <w:bottom w:val="single" w:sz="8" w:space="0" w:color="0242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EEFC" w:themeFill="accent5" w:themeFillTint="3F"/>
      </w:tcPr>
    </w:tblStylePr>
    <w:tblStylePr w:type="band1Horz">
      <w:tblPr/>
      <w:tcPr>
        <w:tcBorders>
          <w:left w:val="nil"/>
          <w:right w:val="nil"/>
          <w:insideH w:val="nil"/>
          <w:insideV w:val="nil"/>
        </w:tcBorders>
        <w:shd w:val="clear" w:color="auto" w:fill="96EEFC" w:themeFill="accent5" w:themeFillTint="3F"/>
      </w:tcPr>
    </w:tblStylePr>
  </w:style>
  <w:style w:type="table" w:styleId="viesusspalvinimas6parykinimas">
    <w:name w:val="Light Shading Accent 6"/>
    <w:basedOn w:val="prastojilentel"/>
    <w:uiPriority w:val="60"/>
    <w:rsid w:val="00FE755D"/>
    <w:pPr>
      <w:spacing w:after="0" w:line="240" w:lineRule="auto"/>
    </w:pPr>
    <w:rPr>
      <w:color w:val="FCB54D" w:themeColor="accent6" w:themeShade="BF"/>
    </w:rPr>
    <w:tblPr>
      <w:tblStyleRowBandSize w:val="1"/>
      <w:tblStyleColBandSize w:val="1"/>
      <w:tblBorders>
        <w:top w:val="single" w:sz="8" w:space="0" w:color="FEE3BB" w:themeColor="accent6"/>
        <w:bottom w:val="single" w:sz="8" w:space="0" w:color="FEE3BB" w:themeColor="accent6"/>
      </w:tblBorders>
    </w:tblPr>
    <w:tblStylePr w:type="fir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lastRow">
      <w:pPr>
        <w:spacing w:before="0" w:after="0" w:line="240" w:lineRule="auto"/>
      </w:pPr>
      <w:rPr>
        <w:b/>
        <w:bCs/>
      </w:rPr>
      <w:tblPr/>
      <w:tcPr>
        <w:tcBorders>
          <w:top w:val="single" w:sz="8" w:space="0" w:color="FEE3BB" w:themeColor="accent6"/>
          <w:left w:val="nil"/>
          <w:bottom w:val="single" w:sz="8" w:space="0" w:color="FEE3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ED" w:themeFill="accent6" w:themeFillTint="3F"/>
      </w:tcPr>
    </w:tblStylePr>
    <w:tblStylePr w:type="band1Horz">
      <w:tblPr/>
      <w:tcPr>
        <w:tcBorders>
          <w:left w:val="nil"/>
          <w:right w:val="nil"/>
          <w:insideH w:val="nil"/>
          <w:insideV w:val="nil"/>
        </w:tcBorders>
        <w:shd w:val="clear" w:color="auto" w:fill="FEF7ED" w:themeFill="accent6" w:themeFillTint="3F"/>
      </w:tcPr>
    </w:tblStylePr>
  </w:style>
  <w:style w:type="table" w:styleId="viesussraas">
    <w:name w:val="Light List"/>
    <w:basedOn w:val="prastojilentel"/>
    <w:uiPriority w:val="61"/>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tblBorders>
    </w:tblPr>
    <w:tblStylePr w:type="firstRow">
      <w:pPr>
        <w:spacing w:before="0" w:after="0" w:line="240" w:lineRule="auto"/>
      </w:pPr>
      <w:rPr>
        <w:b/>
        <w:bCs/>
        <w:color w:val="FFFFFF" w:themeColor="background1"/>
      </w:rPr>
      <w:tblPr/>
      <w:tcPr>
        <w:shd w:val="clear" w:color="auto" w:fill="FDCF85" w:themeFill="accent1"/>
      </w:tcPr>
    </w:tblStylePr>
    <w:tblStylePr w:type="lastRow">
      <w:pPr>
        <w:spacing w:before="0" w:after="0" w:line="240" w:lineRule="auto"/>
      </w:pPr>
      <w:rPr>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tcBorders>
      </w:tcPr>
    </w:tblStylePr>
    <w:tblStylePr w:type="firstCol">
      <w:rPr>
        <w:b/>
        <w:bCs/>
      </w:rPr>
    </w:tblStylePr>
    <w:tblStylePr w:type="lastCol">
      <w:rPr>
        <w:b/>
        <w:bCs/>
      </w:r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style>
  <w:style w:type="table" w:styleId="viesussraas2parykinimas">
    <w:name w:val="Light List Accent 2"/>
    <w:basedOn w:val="prastojilentel"/>
    <w:uiPriority w:val="61"/>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tblBorders>
    </w:tblPr>
    <w:tblStylePr w:type="firstRow">
      <w:pPr>
        <w:spacing w:before="0" w:after="0" w:line="240" w:lineRule="auto"/>
      </w:pPr>
      <w:rPr>
        <w:b/>
        <w:bCs/>
        <w:color w:val="FFFFFF" w:themeColor="background1"/>
      </w:rPr>
      <w:tblPr/>
      <w:tcPr>
        <w:shd w:val="clear" w:color="auto" w:fill="FAB02F" w:themeFill="accent2"/>
      </w:tcPr>
    </w:tblStylePr>
    <w:tblStylePr w:type="lastRow">
      <w:pPr>
        <w:spacing w:before="0" w:after="0" w:line="240" w:lineRule="auto"/>
      </w:pPr>
      <w:rPr>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tcBorders>
      </w:tcPr>
    </w:tblStylePr>
    <w:tblStylePr w:type="firstCol">
      <w:rPr>
        <w:b/>
        <w:bCs/>
      </w:rPr>
    </w:tblStylePr>
    <w:tblStylePr w:type="lastCol">
      <w:rPr>
        <w:b/>
        <w:bCs/>
      </w:r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style>
  <w:style w:type="table" w:styleId="viesussraas3parykinimas">
    <w:name w:val="Light List Accent 3"/>
    <w:basedOn w:val="prastojilentel"/>
    <w:uiPriority w:val="61"/>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tblBorders>
    </w:tblPr>
    <w:tblStylePr w:type="firstRow">
      <w:pPr>
        <w:spacing w:before="0" w:after="0" w:line="240" w:lineRule="auto"/>
      </w:pPr>
      <w:rPr>
        <w:b/>
        <w:bCs/>
        <w:color w:val="FFFFFF" w:themeColor="background1"/>
      </w:rPr>
      <w:tblPr/>
      <w:tcPr>
        <w:shd w:val="clear" w:color="auto" w:fill="AFC3CB" w:themeFill="accent3"/>
      </w:tcPr>
    </w:tblStylePr>
    <w:tblStylePr w:type="lastRow">
      <w:pPr>
        <w:spacing w:before="0" w:after="0" w:line="240" w:lineRule="auto"/>
      </w:pPr>
      <w:rPr>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tcBorders>
      </w:tcPr>
    </w:tblStylePr>
    <w:tblStylePr w:type="firstCol">
      <w:rPr>
        <w:b/>
        <w:bCs/>
      </w:rPr>
    </w:tblStylePr>
    <w:tblStylePr w:type="lastCol">
      <w:rPr>
        <w:b/>
        <w:bCs/>
      </w:r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style>
  <w:style w:type="table" w:styleId="viesustinklelis3parykinimas">
    <w:name w:val="Light Grid Accent 3"/>
    <w:basedOn w:val="prastojilentel"/>
    <w:uiPriority w:val="62"/>
    <w:rsid w:val="00FE755D"/>
    <w:pPr>
      <w:spacing w:after="0" w:line="240" w:lineRule="auto"/>
    </w:pPr>
    <w:tblPr>
      <w:tblStyleRowBandSize w:val="1"/>
      <w:tblStyleColBandSize w:val="1"/>
      <w:tblBorders>
        <w:top w:val="single" w:sz="8" w:space="0" w:color="AFC3CB" w:themeColor="accent3"/>
        <w:left w:val="single" w:sz="8" w:space="0" w:color="AFC3CB" w:themeColor="accent3"/>
        <w:bottom w:val="single" w:sz="8" w:space="0" w:color="AFC3CB" w:themeColor="accent3"/>
        <w:right w:val="single" w:sz="8" w:space="0" w:color="AFC3CB" w:themeColor="accent3"/>
        <w:insideH w:val="single" w:sz="8" w:space="0" w:color="AFC3CB" w:themeColor="accent3"/>
        <w:insideV w:val="single" w:sz="8" w:space="0" w:color="AFC3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18" w:space="0" w:color="AFC3CB" w:themeColor="accent3"/>
          <w:right w:val="single" w:sz="8" w:space="0" w:color="AFC3CB" w:themeColor="accent3"/>
          <w:insideH w:val="nil"/>
          <w:insideV w:val="single" w:sz="8" w:space="0" w:color="AFC3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CB" w:themeColor="accent3"/>
          <w:left w:val="single" w:sz="8" w:space="0" w:color="AFC3CB" w:themeColor="accent3"/>
          <w:bottom w:val="single" w:sz="8" w:space="0" w:color="AFC3CB" w:themeColor="accent3"/>
          <w:right w:val="single" w:sz="8" w:space="0" w:color="AFC3CB" w:themeColor="accent3"/>
          <w:insideH w:val="nil"/>
          <w:insideV w:val="single" w:sz="8" w:space="0" w:color="AFC3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tcPr>
    </w:tblStylePr>
    <w:tblStylePr w:type="band1Vert">
      <w:tblPr/>
      <w:tcPr>
        <w:tcBorders>
          <w:top w:val="single" w:sz="8" w:space="0" w:color="AFC3CB" w:themeColor="accent3"/>
          <w:left w:val="single" w:sz="8" w:space="0" w:color="AFC3CB" w:themeColor="accent3"/>
          <w:bottom w:val="single" w:sz="8" w:space="0" w:color="AFC3CB" w:themeColor="accent3"/>
          <w:right w:val="single" w:sz="8" w:space="0" w:color="AFC3CB" w:themeColor="accent3"/>
        </w:tcBorders>
        <w:shd w:val="clear" w:color="auto" w:fill="EBF0F2" w:themeFill="accent3" w:themeFillTint="3F"/>
      </w:tcPr>
    </w:tblStylePr>
    <w:tblStylePr w:type="band1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shd w:val="clear" w:color="auto" w:fill="EBF0F2" w:themeFill="accent3" w:themeFillTint="3F"/>
      </w:tcPr>
    </w:tblStylePr>
    <w:tblStylePr w:type="band2Horz">
      <w:tblPr/>
      <w:tcPr>
        <w:tcBorders>
          <w:top w:val="single" w:sz="8" w:space="0" w:color="AFC3CB" w:themeColor="accent3"/>
          <w:left w:val="single" w:sz="8" w:space="0" w:color="AFC3CB" w:themeColor="accent3"/>
          <w:bottom w:val="single" w:sz="8" w:space="0" w:color="AFC3CB" w:themeColor="accent3"/>
          <w:right w:val="single" w:sz="8" w:space="0" w:color="AFC3CB" w:themeColor="accent3"/>
          <w:insideV w:val="single" w:sz="8" w:space="0" w:color="AFC3CB" w:themeColor="accent3"/>
        </w:tcBorders>
      </w:tcPr>
    </w:tblStylePr>
  </w:style>
  <w:style w:type="table" w:styleId="viesustinklelis2parykinimas">
    <w:name w:val="Light Grid Accent 2"/>
    <w:basedOn w:val="prastojilentel"/>
    <w:uiPriority w:val="62"/>
    <w:rsid w:val="00FE755D"/>
    <w:pPr>
      <w:spacing w:after="0" w:line="240" w:lineRule="auto"/>
    </w:pPr>
    <w:tblPr>
      <w:tblStyleRowBandSize w:val="1"/>
      <w:tblStyleColBandSize w:val="1"/>
      <w:tblBorders>
        <w:top w:val="single" w:sz="8" w:space="0" w:color="FAB02F" w:themeColor="accent2"/>
        <w:left w:val="single" w:sz="8" w:space="0" w:color="FAB02F" w:themeColor="accent2"/>
        <w:bottom w:val="single" w:sz="8" w:space="0" w:color="FAB02F" w:themeColor="accent2"/>
        <w:right w:val="single" w:sz="8" w:space="0" w:color="FAB02F" w:themeColor="accent2"/>
        <w:insideH w:val="single" w:sz="8" w:space="0" w:color="FAB02F" w:themeColor="accent2"/>
        <w:insideV w:val="single" w:sz="8" w:space="0" w:color="FAB0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18" w:space="0" w:color="FAB02F" w:themeColor="accent2"/>
          <w:right w:val="single" w:sz="8" w:space="0" w:color="FAB02F" w:themeColor="accent2"/>
          <w:insideH w:val="nil"/>
          <w:insideV w:val="single" w:sz="8" w:space="0" w:color="FAB0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02F" w:themeColor="accent2"/>
          <w:left w:val="single" w:sz="8" w:space="0" w:color="FAB02F" w:themeColor="accent2"/>
          <w:bottom w:val="single" w:sz="8" w:space="0" w:color="FAB02F" w:themeColor="accent2"/>
          <w:right w:val="single" w:sz="8" w:space="0" w:color="FAB02F" w:themeColor="accent2"/>
          <w:insideH w:val="nil"/>
          <w:insideV w:val="single" w:sz="8" w:space="0" w:color="FAB0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tcPr>
    </w:tblStylePr>
    <w:tblStylePr w:type="band1Vert">
      <w:tblPr/>
      <w:tcPr>
        <w:tcBorders>
          <w:top w:val="single" w:sz="8" w:space="0" w:color="FAB02F" w:themeColor="accent2"/>
          <w:left w:val="single" w:sz="8" w:space="0" w:color="FAB02F" w:themeColor="accent2"/>
          <w:bottom w:val="single" w:sz="8" w:space="0" w:color="FAB02F" w:themeColor="accent2"/>
          <w:right w:val="single" w:sz="8" w:space="0" w:color="FAB02F" w:themeColor="accent2"/>
        </w:tcBorders>
        <w:shd w:val="clear" w:color="auto" w:fill="FDEBCB" w:themeFill="accent2" w:themeFillTint="3F"/>
      </w:tcPr>
    </w:tblStylePr>
    <w:tblStylePr w:type="band1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shd w:val="clear" w:color="auto" w:fill="FDEBCB" w:themeFill="accent2" w:themeFillTint="3F"/>
      </w:tcPr>
    </w:tblStylePr>
    <w:tblStylePr w:type="band2Horz">
      <w:tblPr/>
      <w:tcPr>
        <w:tcBorders>
          <w:top w:val="single" w:sz="8" w:space="0" w:color="FAB02F" w:themeColor="accent2"/>
          <w:left w:val="single" w:sz="8" w:space="0" w:color="FAB02F" w:themeColor="accent2"/>
          <w:bottom w:val="single" w:sz="8" w:space="0" w:color="FAB02F" w:themeColor="accent2"/>
          <w:right w:val="single" w:sz="8" w:space="0" w:color="FAB02F" w:themeColor="accent2"/>
          <w:insideV w:val="single" w:sz="8" w:space="0" w:color="FAB02F" w:themeColor="accent2"/>
        </w:tcBorders>
      </w:tcPr>
    </w:tblStylePr>
  </w:style>
  <w:style w:type="table" w:styleId="viesustinklelis1parykinimas">
    <w:name w:val="Light Grid Accent 1"/>
    <w:basedOn w:val="prastojilentel"/>
    <w:uiPriority w:val="62"/>
    <w:rsid w:val="00FE755D"/>
    <w:pPr>
      <w:spacing w:after="0" w:line="240" w:lineRule="auto"/>
    </w:pPr>
    <w:tblPr>
      <w:tblStyleRowBandSize w:val="1"/>
      <w:tblStyleColBandSize w:val="1"/>
      <w:tblBorders>
        <w:top w:val="single" w:sz="8" w:space="0" w:color="FDCF85" w:themeColor="accent1"/>
        <w:left w:val="single" w:sz="8" w:space="0" w:color="FDCF85" w:themeColor="accent1"/>
        <w:bottom w:val="single" w:sz="8" w:space="0" w:color="FDCF85" w:themeColor="accent1"/>
        <w:right w:val="single" w:sz="8" w:space="0" w:color="FDCF85" w:themeColor="accent1"/>
        <w:insideH w:val="single" w:sz="8" w:space="0" w:color="FDCF85" w:themeColor="accent1"/>
        <w:insideV w:val="single" w:sz="8" w:space="0" w:color="FDCF8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18" w:space="0" w:color="FDCF85" w:themeColor="accent1"/>
          <w:right w:val="single" w:sz="8" w:space="0" w:color="FDCF85" w:themeColor="accent1"/>
          <w:insideH w:val="nil"/>
          <w:insideV w:val="single" w:sz="8" w:space="0" w:color="FDCF8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85" w:themeColor="accent1"/>
          <w:left w:val="single" w:sz="8" w:space="0" w:color="FDCF85" w:themeColor="accent1"/>
          <w:bottom w:val="single" w:sz="8" w:space="0" w:color="FDCF85" w:themeColor="accent1"/>
          <w:right w:val="single" w:sz="8" w:space="0" w:color="FDCF85" w:themeColor="accent1"/>
          <w:insideH w:val="nil"/>
          <w:insideV w:val="single" w:sz="8" w:space="0" w:color="FDCF8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tcPr>
    </w:tblStylePr>
    <w:tblStylePr w:type="band1Vert">
      <w:tblPr/>
      <w:tcPr>
        <w:tcBorders>
          <w:top w:val="single" w:sz="8" w:space="0" w:color="FDCF85" w:themeColor="accent1"/>
          <w:left w:val="single" w:sz="8" w:space="0" w:color="FDCF85" w:themeColor="accent1"/>
          <w:bottom w:val="single" w:sz="8" w:space="0" w:color="FDCF85" w:themeColor="accent1"/>
          <w:right w:val="single" w:sz="8" w:space="0" w:color="FDCF85" w:themeColor="accent1"/>
        </w:tcBorders>
        <w:shd w:val="clear" w:color="auto" w:fill="FEF3E0" w:themeFill="accent1" w:themeFillTint="3F"/>
      </w:tcPr>
    </w:tblStylePr>
    <w:tblStylePr w:type="band1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shd w:val="clear" w:color="auto" w:fill="FEF3E0" w:themeFill="accent1" w:themeFillTint="3F"/>
      </w:tcPr>
    </w:tblStylePr>
    <w:tblStylePr w:type="band2Horz">
      <w:tblPr/>
      <w:tcPr>
        <w:tcBorders>
          <w:top w:val="single" w:sz="8" w:space="0" w:color="FDCF85" w:themeColor="accent1"/>
          <w:left w:val="single" w:sz="8" w:space="0" w:color="FDCF85" w:themeColor="accent1"/>
          <w:bottom w:val="single" w:sz="8" w:space="0" w:color="FDCF85" w:themeColor="accent1"/>
          <w:right w:val="single" w:sz="8" w:space="0" w:color="FDCF85" w:themeColor="accent1"/>
          <w:insideV w:val="single" w:sz="8" w:space="0" w:color="FDCF85" w:themeColor="accent1"/>
        </w:tcBorders>
      </w:tcPr>
    </w:tblStylePr>
  </w:style>
  <w:style w:type="table" w:styleId="viesustinklelis">
    <w:name w:val="Light Grid"/>
    <w:basedOn w:val="prastojilentel"/>
    <w:uiPriority w:val="62"/>
    <w:rsid w:val="00FE75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sraas6parykinimas">
    <w:name w:val="Light List Accent 6"/>
    <w:basedOn w:val="prastojilentel"/>
    <w:uiPriority w:val="61"/>
    <w:rsid w:val="00FE755D"/>
    <w:pPr>
      <w:spacing w:after="0" w:line="240" w:lineRule="auto"/>
    </w:pPr>
    <w:tblPr>
      <w:tblStyleRowBandSize w:val="1"/>
      <w:tblStyleColBandSize w:val="1"/>
      <w:tblBorders>
        <w:top w:val="single" w:sz="8" w:space="0" w:color="FEE3BB" w:themeColor="accent6"/>
        <w:left w:val="single" w:sz="8" w:space="0" w:color="FEE3BB" w:themeColor="accent6"/>
        <w:bottom w:val="single" w:sz="8" w:space="0" w:color="FEE3BB" w:themeColor="accent6"/>
        <w:right w:val="single" w:sz="8" w:space="0" w:color="FEE3BB" w:themeColor="accent6"/>
      </w:tblBorders>
    </w:tblPr>
    <w:tblStylePr w:type="firstRow">
      <w:pPr>
        <w:spacing w:before="0" w:after="0" w:line="240" w:lineRule="auto"/>
      </w:pPr>
      <w:rPr>
        <w:b/>
        <w:bCs/>
        <w:color w:val="FFFFFF" w:themeColor="background1"/>
      </w:rPr>
      <w:tblPr/>
      <w:tcPr>
        <w:shd w:val="clear" w:color="auto" w:fill="FEE3BB" w:themeFill="accent6"/>
      </w:tcPr>
    </w:tblStylePr>
    <w:tblStylePr w:type="lastRow">
      <w:pPr>
        <w:spacing w:before="0" w:after="0" w:line="240" w:lineRule="auto"/>
      </w:pPr>
      <w:rPr>
        <w:b/>
        <w:bCs/>
      </w:rPr>
      <w:tblPr/>
      <w:tcPr>
        <w:tcBorders>
          <w:top w:val="double" w:sz="6" w:space="0" w:color="FEE3BB" w:themeColor="accent6"/>
          <w:left w:val="single" w:sz="8" w:space="0" w:color="FEE3BB" w:themeColor="accent6"/>
          <w:bottom w:val="single" w:sz="8" w:space="0" w:color="FEE3BB" w:themeColor="accent6"/>
          <w:right w:val="single" w:sz="8" w:space="0" w:color="FEE3BB" w:themeColor="accent6"/>
        </w:tcBorders>
      </w:tcPr>
    </w:tblStylePr>
    <w:tblStylePr w:type="firstCol">
      <w:rPr>
        <w:b/>
        <w:bCs/>
      </w:rPr>
    </w:tblStylePr>
    <w:tblStylePr w:type="lastCol">
      <w:rPr>
        <w:b/>
        <w:bCs/>
      </w:rPr>
    </w:tblStylePr>
    <w:tblStylePr w:type="band1Vert">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tblStylePr w:type="band1Horz">
      <w:tblPr/>
      <w:tcPr>
        <w:tcBorders>
          <w:top w:val="single" w:sz="8" w:space="0" w:color="FEE3BB" w:themeColor="accent6"/>
          <w:left w:val="single" w:sz="8" w:space="0" w:color="FEE3BB" w:themeColor="accent6"/>
          <w:bottom w:val="single" w:sz="8" w:space="0" w:color="FEE3BB" w:themeColor="accent6"/>
          <w:right w:val="single" w:sz="8" w:space="0" w:color="FEE3BB" w:themeColor="accent6"/>
        </w:tcBorders>
      </w:tcPr>
    </w:tblStylePr>
  </w:style>
  <w:style w:type="table" w:styleId="viesussraas5parykinimas">
    <w:name w:val="Light List Accent 5"/>
    <w:basedOn w:val="prastojilentel"/>
    <w:uiPriority w:val="61"/>
    <w:rsid w:val="00FE755D"/>
    <w:pPr>
      <w:spacing w:after="0" w:line="240" w:lineRule="auto"/>
    </w:pPr>
    <w:tblPr>
      <w:tblStyleRowBandSize w:val="1"/>
      <w:tblStyleColBandSize w:val="1"/>
      <w:tblBorders>
        <w:top w:val="single" w:sz="8" w:space="0" w:color="02424C" w:themeColor="accent5"/>
        <w:left w:val="single" w:sz="8" w:space="0" w:color="02424C" w:themeColor="accent5"/>
        <w:bottom w:val="single" w:sz="8" w:space="0" w:color="02424C" w:themeColor="accent5"/>
        <w:right w:val="single" w:sz="8" w:space="0" w:color="02424C" w:themeColor="accent5"/>
      </w:tblBorders>
    </w:tblPr>
    <w:tblStylePr w:type="firstRow">
      <w:pPr>
        <w:spacing w:before="0" w:after="0" w:line="240" w:lineRule="auto"/>
      </w:pPr>
      <w:rPr>
        <w:b/>
        <w:bCs/>
        <w:color w:val="FFFFFF" w:themeColor="background1"/>
      </w:rPr>
      <w:tblPr/>
      <w:tcPr>
        <w:shd w:val="clear" w:color="auto" w:fill="02424C" w:themeFill="accent5"/>
      </w:tcPr>
    </w:tblStylePr>
    <w:tblStylePr w:type="lastRow">
      <w:pPr>
        <w:spacing w:before="0" w:after="0" w:line="240" w:lineRule="auto"/>
      </w:pPr>
      <w:rPr>
        <w:b/>
        <w:bCs/>
      </w:rPr>
      <w:tblPr/>
      <w:tcPr>
        <w:tcBorders>
          <w:top w:val="double" w:sz="6" w:space="0" w:color="02424C" w:themeColor="accent5"/>
          <w:left w:val="single" w:sz="8" w:space="0" w:color="02424C" w:themeColor="accent5"/>
          <w:bottom w:val="single" w:sz="8" w:space="0" w:color="02424C" w:themeColor="accent5"/>
          <w:right w:val="single" w:sz="8" w:space="0" w:color="02424C" w:themeColor="accent5"/>
        </w:tcBorders>
      </w:tcPr>
    </w:tblStylePr>
    <w:tblStylePr w:type="firstCol">
      <w:rPr>
        <w:b/>
        <w:bCs/>
      </w:rPr>
    </w:tblStylePr>
    <w:tblStylePr w:type="lastCol">
      <w:rPr>
        <w:b/>
        <w:bCs/>
      </w:rPr>
    </w:tblStylePr>
    <w:tblStylePr w:type="band1Vert">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tblStylePr w:type="band1Horz">
      <w:tblPr/>
      <w:tcPr>
        <w:tcBorders>
          <w:top w:val="single" w:sz="8" w:space="0" w:color="02424C" w:themeColor="accent5"/>
          <w:left w:val="single" w:sz="8" w:space="0" w:color="02424C" w:themeColor="accent5"/>
          <w:bottom w:val="single" w:sz="8" w:space="0" w:color="02424C" w:themeColor="accent5"/>
          <w:right w:val="single" w:sz="8" w:space="0" w:color="02424C" w:themeColor="accent5"/>
        </w:tcBorders>
      </w:tcPr>
    </w:tblStylePr>
  </w:style>
  <w:style w:type="table" w:styleId="viesussraas4parykinimas">
    <w:name w:val="Light List Accent 4"/>
    <w:basedOn w:val="prastojilentel"/>
    <w:uiPriority w:val="61"/>
    <w:rsid w:val="00FE755D"/>
    <w:pPr>
      <w:spacing w:after="0" w:line="240" w:lineRule="auto"/>
    </w:pPr>
    <w:tblPr>
      <w:tblStyleRowBandSize w:val="1"/>
      <w:tblStyleColBandSize w:val="1"/>
      <w:tblBorders>
        <w:top w:val="single" w:sz="8" w:space="0" w:color="306673" w:themeColor="accent4"/>
        <w:left w:val="single" w:sz="8" w:space="0" w:color="306673" w:themeColor="accent4"/>
        <w:bottom w:val="single" w:sz="8" w:space="0" w:color="306673" w:themeColor="accent4"/>
        <w:right w:val="single" w:sz="8" w:space="0" w:color="306673" w:themeColor="accent4"/>
      </w:tblBorders>
    </w:tblPr>
    <w:tblStylePr w:type="firstRow">
      <w:pPr>
        <w:spacing w:before="0" w:after="0" w:line="240" w:lineRule="auto"/>
      </w:pPr>
      <w:rPr>
        <w:b/>
        <w:bCs/>
        <w:color w:val="FFFFFF" w:themeColor="background1"/>
      </w:rPr>
      <w:tblPr/>
      <w:tcPr>
        <w:shd w:val="clear" w:color="auto" w:fill="306673" w:themeFill="accent4"/>
      </w:tcPr>
    </w:tblStylePr>
    <w:tblStylePr w:type="lastRow">
      <w:pPr>
        <w:spacing w:before="0" w:after="0" w:line="240" w:lineRule="auto"/>
      </w:pPr>
      <w:rPr>
        <w:b/>
        <w:bCs/>
      </w:rPr>
      <w:tblPr/>
      <w:tcPr>
        <w:tcBorders>
          <w:top w:val="double" w:sz="6" w:space="0" w:color="306673" w:themeColor="accent4"/>
          <w:left w:val="single" w:sz="8" w:space="0" w:color="306673" w:themeColor="accent4"/>
          <w:bottom w:val="single" w:sz="8" w:space="0" w:color="306673" w:themeColor="accent4"/>
          <w:right w:val="single" w:sz="8" w:space="0" w:color="306673" w:themeColor="accent4"/>
        </w:tcBorders>
      </w:tcPr>
    </w:tblStylePr>
    <w:tblStylePr w:type="firstCol">
      <w:rPr>
        <w:b/>
        <w:bCs/>
      </w:rPr>
    </w:tblStylePr>
    <w:tblStylePr w:type="lastCol">
      <w:rPr>
        <w:b/>
        <w:bCs/>
      </w:rPr>
    </w:tblStylePr>
    <w:tblStylePr w:type="band1Vert">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tblStylePr w:type="band1Horz">
      <w:tblPr/>
      <w:tcPr>
        <w:tcBorders>
          <w:top w:val="single" w:sz="8" w:space="0" w:color="306673" w:themeColor="accent4"/>
          <w:left w:val="single" w:sz="8" w:space="0" w:color="306673" w:themeColor="accent4"/>
          <w:bottom w:val="single" w:sz="8" w:space="0" w:color="306673" w:themeColor="accent4"/>
          <w:right w:val="single" w:sz="8" w:space="0" w:color="306673" w:themeColor="accent4"/>
        </w:tcBorders>
      </w:tcPr>
    </w:tblStylePr>
  </w:style>
  <w:style w:type="character" w:customStyle="1" w:styleId="AntratDiagrama">
    <w:name w:val="Antraštė Diagrama"/>
    <w:aliases w:val="Table caption Diagrama,paveikslas Diagrama,Paveikslo pavadinimas Diagrama,TabelOverskrift Diagrama"/>
    <w:link w:val="Antrat"/>
    <w:locked/>
    <w:rsid w:val="0037741A"/>
    <w:rPr>
      <w:rFonts w:ascii="Cambria" w:hAnsi="Cambria"/>
      <w:b/>
      <w:bCs/>
      <w:szCs w:val="18"/>
    </w:rPr>
  </w:style>
  <w:style w:type="paragraph" w:styleId="prastasistinklapis">
    <w:name w:val="Normal (Web)"/>
    <w:basedOn w:val="prastasis"/>
    <w:rsid w:val="0037741A"/>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styleId="Komentaronuoroda">
    <w:name w:val="annotation reference"/>
    <w:basedOn w:val="Numatytasispastraiposriftas"/>
    <w:uiPriority w:val="99"/>
    <w:semiHidden/>
    <w:rsid w:val="0037741A"/>
    <w:rPr>
      <w:sz w:val="16"/>
      <w:szCs w:val="16"/>
    </w:rPr>
  </w:style>
  <w:style w:type="paragraph" w:styleId="Komentarotekstas">
    <w:name w:val="annotation text"/>
    <w:basedOn w:val="prastasis"/>
    <w:link w:val="KomentarotekstasDiagrama"/>
    <w:uiPriority w:val="99"/>
    <w:rsid w:val="0037741A"/>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37741A"/>
    <w:rPr>
      <w:rFonts w:ascii="Cambria" w:eastAsia="Times New Roman" w:hAnsi="Cambria" w:cs="Times New Roman"/>
      <w:sz w:val="20"/>
      <w:szCs w:val="20"/>
    </w:rPr>
  </w:style>
  <w:style w:type="paragraph" w:styleId="Paprastasistekstas">
    <w:name w:val="Plain Text"/>
    <w:basedOn w:val="prastasis"/>
    <w:link w:val="PaprastasistekstasDiagrama"/>
    <w:rsid w:val="00D85234"/>
    <w:pPr>
      <w:spacing w:line="240" w:lineRule="auto"/>
    </w:pPr>
    <w:rPr>
      <w:rFonts w:ascii="Courier New" w:eastAsia="Times New Roman" w:hAnsi="Courier New" w:cs="Times New Roman"/>
      <w:sz w:val="20"/>
      <w:szCs w:val="20"/>
      <w:lang w:eastAsia="en-US"/>
    </w:rPr>
  </w:style>
  <w:style w:type="character" w:customStyle="1" w:styleId="PaprastasistekstasDiagrama">
    <w:name w:val="Paprastasis tekstas Diagrama"/>
    <w:basedOn w:val="Numatytasispastraiposriftas"/>
    <w:link w:val="Paprastasistekstas"/>
    <w:rsid w:val="00D85234"/>
    <w:rPr>
      <w:rFonts w:ascii="Courier New" w:eastAsia="Times New Roman" w:hAnsi="Courier New"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BE0FFA"/>
    <w:pPr>
      <w:spacing w:line="240" w:lineRule="auto"/>
    </w:pPr>
    <w:rPr>
      <w:rFonts w:eastAsiaTheme="minorEastAsia" w:cstheme="minorBidi"/>
      <w:b/>
      <w:bCs/>
    </w:rPr>
  </w:style>
  <w:style w:type="character" w:customStyle="1" w:styleId="KomentarotemaDiagrama">
    <w:name w:val="Komentaro tema Diagrama"/>
    <w:basedOn w:val="KomentarotekstasDiagrama"/>
    <w:link w:val="Komentarotema"/>
    <w:uiPriority w:val="99"/>
    <w:semiHidden/>
    <w:rsid w:val="00BE0FFA"/>
    <w:rPr>
      <w:rFonts w:ascii="Cambria" w:eastAsia="Times New Roman" w:hAnsi="Cambria" w:cs="Times New Roman"/>
      <w:b/>
      <w:bCs/>
      <w:sz w:val="20"/>
      <w:szCs w:val="20"/>
    </w:rPr>
  </w:style>
  <w:style w:type="paragraph" w:customStyle="1" w:styleId="Default">
    <w:name w:val="Default"/>
    <w:rsid w:val="00EF351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Numatytasispastraiposriftas"/>
    <w:rsid w:val="00D554D3"/>
  </w:style>
  <w:style w:type="paragraph" w:styleId="Pagrindiniotekstotrauka">
    <w:name w:val="Body Text Indent"/>
    <w:basedOn w:val="prastasis"/>
    <w:link w:val="PagrindiniotekstotraukaDiagrama"/>
    <w:uiPriority w:val="99"/>
    <w:rsid w:val="00680DA2"/>
    <w:pPr>
      <w:spacing w:before="120" w:line="240" w:lineRule="auto"/>
      <w:ind w:left="4536"/>
      <w:jc w:val="center"/>
    </w:pPr>
    <w:rPr>
      <w:rFonts w:ascii="Times New Roman" w:eastAsia="Times New Roman" w:hAnsi="Times New Roman" w:cs="Times New Roman"/>
      <w:sz w:val="22"/>
      <w:szCs w:val="20"/>
    </w:rPr>
  </w:style>
  <w:style w:type="character" w:customStyle="1" w:styleId="PagrindiniotekstotraukaDiagrama">
    <w:name w:val="Pagrindinio teksto įtrauka Diagrama"/>
    <w:basedOn w:val="Numatytasispastraiposriftas"/>
    <w:link w:val="Pagrindiniotekstotrauka"/>
    <w:uiPriority w:val="99"/>
    <w:rsid w:val="00680DA2"/>
    <w:rPr>
      <w:rFonts w:ascii="Times New Roman" w:eastAsia="Times New Roman" w:hAnsi="Times New Roman" w:cs="Times New Roman"/>
      <w:szCs w:val="20"/>
    </w:rPr>
  </w:style>
  <w:style w:type="paragraph" w:customStyle="1" w:styleId="normal-p">
    <w:name w:val="normal-p"/>
    <w:basedOn w:val="prastasis"/>
    <w:rsid w:val="00DE16EB"/>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normal-h">
    <w:name w:val="normal-h"/>
    <w:basedOn w:val="Numatytasispastraiposriftas"/>
    <w:rsid w:val="00DE16EB"/>
  </w:style>
  <w:style w:type="paragraph" w:customStyle="1" w:styleId="doc-ti">
    <w:name w:val="doc-ti"/>
    <w:basedOn w:val="prastasis"/>
    <w:rsid w:val="00086058"/>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styleId="Pataisymai">
    <w:name w:val="Revision"/>
    <w:hidden/>
    <w:uiPriority w:val="99"/>
    <w:semiHidden/>
    <w:rsid w:val="006A317C"/>
    <w:pPr>
      <w:spacing w:after="0" w:line="240" w:lineRule="auto"/>
    </w:pPr>
    <w:rPr>
      <w:rFonts w:ascii="Cambria" w:hAnsi="Cambria"/>
      <w:sz w:val="24"/>
    </w:rPr>
  </w:style>
  <w:style w:type="character" w:styleId="Perirtashipersaitas">
    <w:name w:val="FollowedHyperlink"/>
    <w:basedOn w:val="Numatytasispastraiposriftas"/>
    <w:uiPriority w:val="99"/>
    <w:semiHidden/>
    <w:unhideWhenUsed/>
    <w:rsid w:val="005932E5"/>
    <w:rPr>
      <w:color w:val="800080" w:themeColor="followedHyperlink"/>
      <w:u w:val="single"/>
    </w:rPr>
  </w:style>
  <w:style w:type="numbering" w:customStyle="1" w:styleId="NoList1">
    <w:name w:val="No List1"/>
    <w:next w:val="Sraonra"/>
    <w:uiPriority w:val="99"/>
    <w:semiHidden/>
    <w:unhideWhenUsed/>
    <w:rsid w:val="00FD0B92"/>
  </w:style>
  <w:style w:type="table" w:customStyle="1" w:styleId="TableGrid1">
    <w:name w:val="Table Grid1"/>
    <w:basedOn w:val="prastojilentel"/>
    <w:next w:val="Lentelstinklelis"/>
    <w:uiPriority w:val="59"/>
    <w:rsid w:val="00FD0B9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D0B92"/>
    <w:pPr>
      <w:spacing w:after="0" w:line="240" w:lineRule="auto"/>
    </w:pPr>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mbria" w:hAnsi="Cambria"/>
      </w:rPr>
    </w:tblStylePr>
    <w:tblStylePr w:type="lastRow">
      <w:rPr>
        <w:rFonts w:ascii="Cambria" w:hAnsi="Cambria"/>
      </w:rPr>
    </w:tblStylePr>
    <w:tblStylePr w:type="firstCol">
      <w:rPr>
        <w:rFonts w:ascii="Cambria" w:hAnsi="Cambria"/>
      </w:rPr>
    </w:tblStylePr>
    <w:tblStylePr w:type="lastCol">
      <w:rPr>
        <w:rFonts w:ascii="Cambria" w:hAnsi="Cambria"/>
      </w:rPr>
    </w:tblStylePr>
    <w:tblStylePr w:type="band1Vert">
      <w:rPr>
        <w:rFonts w:ascii="Cambria" w:hAnsi="Cambria"/>
      </w:rPr>
    </w:tblStylePr>
    <w:tblStylePr w:type="band2Vert">
      <w:rPr>
        <w:rFonts w:ascii="Cambria" w:hAnsi="Cambria"/>
      </w:rPr>
    </w:tblStylePr>
    <w:tblStylePr w:type="band1Horz">
      <w:rPr>
        <w:rFonts w:ascii="Cambria" w:hAnsi="Cambria"/>
      </w:rPr>
    </w:tblStylePr>
    <w:tblStylePr w:type="band2Horz">
      <w:rPr>
        <w:rFonts w:ascii="Cambria" w:hAnsi="Cambria"/>
      </w:rPr>
    </w:tblStylePr>
  </w:style>
  <w:style w:type="paragraph" w:customStyle="1" w:styleId="Footersubtitle">
    <w:name w:val="Footer subtitle"/>
    <w:basedOn w:val="Porat"/>
    <w:rsid w:val="00F14E64"/>
    <w:pPr>
      <w:tabs>
        <w:tab w:val="clear" w:pos="4819"/>
        <w:tab w:val="clear" w:pos="9638"/>
        <w:tab w:val="center" w:pos="4153"/>
        <w:tab w:val="right" w:pos="8306"/>
      </w:tabs>
      <w:spacing w:line="240" w:lineRule="auto"/>
      <w:ind w:left="1620" w:right="1156"/>
      <w:jc w:val="center"/>
    </w:pPr>
    <w:rPr>
      <w:rFonts w:ascii="Verdana" w:eastAsia="Times New Roman" w:hAnsi="Verdana" w:cs="Times New Roman"/>
      <w:color w:val="39435A"/>
      <w:sz w:val="18"/>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3540">
      <w:bodyDiv w:val="1"/>
      <w:marLeft w:val="0"/>
      <w:marRight w:val="0"/>
      <w:marTop w:val="0"/>
      <w:marBottom w:val="0"/>
      <w:divBdr>
        <w:top w:val="none" w:sz="0" w:space="0" w:color="auto"/>
        <w:left w:val="none" w:sz="0" w:space="0" w:color="auto"/>
        <w:bottom w:val="none" w:sz="0" w:space="0" w:color="auto"/>
        <w:right w:val="none" w:sz="0" w:space="0" w:color="auto"/>
      </w:divBdr>
    </w:div>
    <w:div w:id="421335792">
      <w:bodyDiv w:val="1"/>
      <w:marLeft w:val="0"/>
      <w:marRight w:val="0"/>
      <w:marTop w:val="0"/>
      <w:marBottom w:val="0"/>
      <w:divBdr>
        <w:top w:val="none" w:sz="0" w:space="0" w:color="auto"/>
        <w:left w:val="none" w:sz="0" w:space="0" w:color="auto"/>
        <w:bottom w:val="none" w:sz="0" w:space="0" w:color="auto"/>
        <w:right w:val="none" w:sz="0" w:space="0" w:color="auto"/>
      </w:divBdr>
    </w:div>
    <w:div w:id="521213249">
      <w:bodyDiv w:val="1"/>
      <w:marLeft w:val="0"/>
      <w:marRight w:val="0"/>
      <w:marTop w:val="0"/>
      <w:marBottom w:val="0"/>
      <w:divBdr>
        <w:top w:val="none" w:sz="0" w:space="0" w:color="auto"/>
        <w:left w:val="none" w:sz="0" w:space="0" w:color="auto"/>
        <w:bottom w:val="none" w:sz="0" w:space="0" w:color="auto"/>
        <w:right w:val="none" w:sz="0" w:space="0" w:color="auto"/>
      </w:divBdr>
    </w:div>
    <w:div w:id="768743065">
      <w:bodyDiv w:val="1"/>
      <w:marLeft w:val="0"/>
      <w:marRight w:val="0"/>
      <w:marTop w:val="0"/>
      <w:marBottom w:val="0"/>
      <w:divBdr>
        <w:top w:val="none" w:sz="0" w:space="0" w:color="auto"/>
        <w:left w:val="none" w:sz="0" w:space="0" w:color="auto"/>
        <w:bottom w:val="none" w:sz="0" w:space="0" w:color="auto"/>
        <w:right w:val="none" w:sz="0" w:space="0" w:color="auto"/>
      </w:divBdr>
    </w:div>
    <w:div w:id="876819094">
      <w:bodyDiv w:val="1"/>
      <w:marLeft w:val="0"/>
      <w:marRight w:val="0"/>
      <w:marTop w:val="0"/>
      <w:marBottom w:val="0"/>
      <w:divBdr>
        <w:top w:val="none" w:sz="0" w:space="0" w:color="auto"/>
        <w:left w:val="none" w:sz="0" w:space="0" w:color="auto"/>
        <w:bottom w:val="none" w:sz="0" w:space="0" w:color="auto"/>
        <w:right w:val="none" w:sz="0" w:space="0" w:color="auto"/>
      </w:divBdr>
    </w:div>
    <w:div w:id="946890147">
      <w:bodyDiv w:val="1"/>
      <w:marLeft w:val="0"/>
      <w:marRight w:val="0"/>
      <w:marTop w:val="0"/>
      <w:marBottom w:val="0"/>
      <w:divBdr>
        <w:top w:val="none" w:sz="0" w:space="0" w:color="auto"/>
        <w:left w:val="none" w:sz="0" w:space="0" w:color="auto"/>
        <w:bottom w:val="none" w:sz="0" w:space="0" w:color="auto"/>
        <w:right w:val="none" w:sz="0" w:space="0" w:color="auto"/>
      </w:divBdr>
    </w:div>
    <w:div w:id="967592871">
      <w:bodyDiv w:val="1"/>
      <w:marLeft w:val="0"/>
      <w:marRight w:val="0"/>
      <w:marTop w:val="0"/>
      <w:marBottom w:val="0"/>
      <w:divBdr>
        <w:top w:val="none" w:sz="0" w:space="0" w:color="auto"/>
        <w:left w:val="none" w:sz="0" w:space="0" w:color="auto"/>
        <w:bottom w:val="none" w:sz="0" w:space="0" w:color="auto"/>
        <w:right w:val="none" w:sz="0" w:space="0" w:color="auto"/>
      </w:divBdr>
    </w:div>
    <w:div w:id="1071200856">
      <w:bodyDiv w:val="1"/>
      <w:marLeft w:val="0"/>
      <w:marRight w:val="0"/>
      <w:marTop w:val="0"/>
      <w:marBottom w:val="0"/>
      <w:divBdr>
        <w:top w:val="none" w:sz="0" w:space="0" w:color="auto"/>
        <w:left w:val="none" w:sz="0" w:space="0" w:color="auto"/>
        <w:bottom w:val="none" w:sz="0" w:space="0" w:color="auto"/>
        <w:right w:val="none" w:sz="0" w:space="0" w:color="auto"/>
      </w:divBdr>
    </w:div>
    <w:div w:id="1085228714">
      <w:bodyDiv w:val="1"/>
      <w:marLeft w:val="0"/>
      <w:marRight w:val="0"/>
      <w:marTop w:val="0"/>
      <w:marBottom w:val="0"/>
      <w:divBdr>
        <w:top w:val="none" w:sz="0" w:space="0" w:color="auto"/>
        <w:left w:val="none" w:sz="0" w:space="0" w:color="auto"/>
        <w:bottom w:val="none" w:sz="0" w:space="0" w:color="auto"/>
        <w:right w:val="none" w:sz="0" w:space="0" w:color="auto"/>
      </w:divBdr>
    </w:div>
    <w:div w:id="1131288762">
      <w:bodyDiv w:val="1"/>
      <w:marLeft w:val="0"/>
      <w:marRight w:val="0"/>
      <w:marTop w:val="0"/>
      <w:marBottom w:val="0"/>
      <w:divBdr>
        <w:top w:val="none" w:sz="0" w:space="0" w:color="auto"/>
        <w:left w:val="none" w:sz="0" w:space="0" w:color="auto"/>
        <w:bottom w:val="none" w:sz="0" w:space="0" w:color="auto"/>
        <w:right w:val="none" w:sz="0" w:space="0" w:color="auto"/>
      </w:divBdr>
    </w:div>
    <w:div w:id="1207835121">
      <w:bodyDiv w:val="1"/>
      <w:marLeft w:val="0"/>
      <w:marRight w:val="0"/>
      <w:marTop w:val="0"/>
      <w:marBottom w:val="0"/>
      <w:divBdr>
        <w:top w:val="none" w:sz="0" w:space="0" w:color="auto"/>
        <w:left w:val="none" w:sz="0" w:space="0" w:color="auto"/>
        <w:bottom w:val="none" w:sz="0" w:space="0" w:color="auto"/>
        <w:right w:val="none" w:sz="0" w:space="0" w:color="auto"/>
      </w:divBdr>
    </w:div>
    <w:div w:id="1338538898">
      <w:bodyDiv w:val="1"/>
      <w:marLeft w:val="0"/>
      <w:marRight w:val="0"/>
      <w:marTop w:val="0"/>
      <w:marBottom w:val="0"/>
      <w:divBdr>
        <w:top w:val="none" w:sz="0" w:space="0" w:color="auto"/>
        <w:left w:val="none" w:sz="0" w:space="0" w:color="auto"/>
        <w:bottom w:val="none" w:sz="0" w:space="0" w:color="auto"/>
        <w:right w:val="none" w:sz="0" w:space="0" w:color="auto"/>
      </w:divBdr>
    </w:div>
    <w:div w:id="1422533116">
      <w:bodyDiv w:val="1"/>
      <w:marLeft w:val="0"/>
      <w:marRight w:val="0"/>
      <w:marTop w:val="0"/>
      <w:marBottom w:val="0"/>
      <w:divBdr>
        <w:top w:val="none" w:sz="0" w:space="0" w:color="auto"/>
        <w:left w:val="none" w:sz="0" w:space="0" w:color="auto"/>
        <w:bottom w:val="none" w:sz="0" w:space="0" w:color="auto"/>
        <w:right w:val="none" w:sz="0" w:space="0" w:color="auto"/>
      </w:divBdr>
    </w:div>
    <w:div w:id="1626228177">
      <w:bodyDiv w:val="1"/>
      <w:marLeft w:val="0"/>
      <w:marRight w:val="0"/>
      <w:marTop w:val="0"/>
      <w:marBottom w:val="0"/>
      <w:divBdr>
        <w:top w:val="none" w:sz="0" w:space="0" w:color="auto"/>
        <w:left w:val="none" w:sz="0" w:space="0" w:color="auto"/>
        <w:bottom w:val="none" w:sz="0" w:space="0" w:color="auto"/>
        <w:right w:val="none" w:sz="0" w:space="0" w:color="auto"/>
      </w:divBdr>
    </w:div>
    <w:div w:id="1678074724">
      <w:bodyDiv w:val="1"/>
      <w:marLeft w:val="0"/>
      <w:marRight w:val="0"/>
      <w:marTop w:val="0"/>
      <w:marBottom w:val="0"/>
      <w:divBdr>
        <w:top w:val="none" w:sz="0" w:space="0" w:color="auto"/>
        <w:left w:val="none" w:sz="0" w:space="0" w:color="auto"/>
        <w:bottom w:val="none" w:sz="0" w:space="0" w:color="auto"/>
        <w:right w:val="none" w:sz="0" w:space="0" w:color="auto"/>
      </w:divBdr>
    </w:div>
    <w:div w:id="1768111154">
      <w:bodyDiv w:val="1"/>
      <w:marLeft w:val="0"/>
      <w:marRight w:val="0"/>
      <w:marTop w:val="0"/>
      <w:marBottom w:val="0"/>
      <w:divBdr>
        <w:top w:val="none" w:sz="0" w:space="0" w:color="auto"/>
        <w:left w:val="none" w:sz="0" w:space="0" w:color="auto"/>
        <w:bottom w:val="none" w:sz="0" w:space="0" w:color="auto"/>
        <w:right w:val="none" w:sz="0" w:space="0" w:color="auto"/>
      </w:divBdr>
    </w:div>
    <w:div w:id="1802840415">
      <w:bodyDiv w:val="1"/>
      <w:marLeft w:val="0"/>
      <w:marRight w:val="0"/>
      <w:marTop w:val="0"/>
      <w:marBottom w:val="0"/>
      <w:divBdr>
        <w:top w:val="none" w:sz="0" w:space="0" w:color="auto"/>
        <w:left w:val="none" w:sz="0" w:space="0" w:color="auto"/>
        <w:bottom w:val="none" w:sz="0" w:space="0" w:color="auto"/>
        <w:right w:val="none" w:sz="0" w:space="0" w:color="auto"/>
      </w:divBdr>
    </w:div>
    <w:div w:id="1896625677">
      <w:bodyDiv w:val="1"/>
      <w:marLeft w:val="0"/>
      <w:marRight w:val="0"/>
      <w:marTop w:val="0"/>
      <w:marBottom w:val="0"/>
      <w:divBdr>
        <w:top w:val="none" w:sz="0" w:space="0" w:color="auto"/>
        <w:left w:val="none" w:sz="0" w:space="0" w:color="auto"/>
        <w:bottom w:val="none" w:sz="0" w:space="0" w:color="auto"/>
        <w:right w:val="none" w:sz="0" w:space="0" w:color="auto"/>
      </w:divBdr>
    </w:div>
    <w:div w:id="2032487287">
      <w:bodyDiv w:val="1"/>
      <w:marLeft w:val="0"/>
      <w:marRight w:val="0"/>
      <w:marTop w:val="0"/>
      <w:marBottom w:val="0"/>
      <w:divBdr>
        <w:top w:val="none" w:sz="0" w:space="0" w:color="auto"/>
        <w:left w:val="none" w:sz="0" w:space="0" w:color="auto"/>
        <w:bottom w:val="none" w:sz="0" w:space="0" w:color="auto"/>
        <w:right w:val="none" w:sz="0" w:space="0" w:color="auto"/>
      </w:divBdr>
    </w:div>
    <w:div w:id="20994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VPVI.dotx" TargetMode="External"/></Relationships>
</file>

<file path=word/theme/theme1.xml><?xml version="1.0" encoding="utf-8"?>
<a:theme xmlns:a="http://schemas.openxmlformats.org/drawingml/2006/main" name="Office Theme">
  <a:themeElements>
    <a:clrScheme name="Custom Palete 1">
      <a:dk1>
        <a:sysClr val="windowText" lastClr="000000"/>
      </a:dk1>
      <a:lt1>
        <a:sysClr val="window" lastClr="FFFFFF"/>
      </a:lt1>
      <a:dk2>
        <a:srgbClr val="9A9A9A"/>
      </a:dk2>
      <a:lt2>
        <a:srgbClr val="FFFFFF"/>
      </a:lt2>
      <a:accent1>
        <a:srgbClr val="FDCF85"/>
      </a:accent1>
      <a:accent2>
        <a:srgbClr val="FAB02F"/>
      </a:accent2>
      <a:accent3>
        <a:srgbClr val="AFC3CB"/>
      </a:accent3>
      <a:accent4>
        <a:srgbClr val="306673"/>
      </a:accent4>
      <a:accent5>
        <a:srgbClr val="02424C"/>
      </a:accent5>
      <a:accent6>
        <a:srgbClr val="FEE3BB"/>
      </a:accent6>
      <a:hlink>
        <a:srgbClr val="0000FF"/>
      </a:hlink>
      <a:folHlink>
        <a:srgbClr val="800080"/>
      </a:folHlink>
    </a:clrScheme>
    <a:fontScheme name="VPVI">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A04E7-1976-4B6C-9B20-8A4E7FB5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VPVI</Template>
  <TotalTime>2</TotalTime>
  <Pages>23</Pages>
  <Words>41750</Words>
  <Characters>23799</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Aukštųjų mokyklų personalo, vykdančio projektą, darbo užmokesčio išlaidų FIKSUOTŲJŲ ĮKAINIŲ NUSTATYMO tyrimo ATASKAITA</vt:lpstr>
    </vt:vector>
  </TitlesOfParts>
  <Company>Overt Technologies Ltd</Company>
  <LinksUpToDate>false</LinksUpToDate>
  <CharactersWithSpaces>65419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Vilma Ulkienė</cp:lastModifiedBy>
  <cp:revision>3</cp:revision>
  <cp:lastPrinted>2016-11-21T11:57:00Z</cp:lastPrinted>
  <dcterms:created xsi:type="dcterms:W3CDTF">2016-11-21T12:18:00Z</dcterms:created>
  <dcterms:modified xsi:type="dcterms:W3CDTF">2016-11-21T12:19:00Z</dcterms:modified>
</cp:coreProperties>
</file>