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1F" w:rsidRPr="003776F9" w:rsidRDefault="0018441F" w:rsidP="000B03EE">
      <w:pPr>
        <w:pStyle w:val="BodyText"/>
        <w:spacing w:after="0" w:line="240" w:lineRule="auto"/>
        <w:jc w:val="center"/>
        <w:rPr>
          <w:rFonts w:ascii="Times New Roman" w:hAnsi="Times New Roman"/>
          <w:b/>
          <w:sz w:val="24"/>
          <w:szCs w:val="24"/>
        </w:rPr>
      </w:pPr>
      <w:r w:rsidRPr="003776F9">
        <w:rPr>
          <w:rFonts w:ascii="Times New Roman" w:hAnsi="Times New Roman"/>
          <w:b/>
          <w:sz w:val="24"/>
          <w:szCs w:val="24"/>
        </w:rPr>
        <w:t xml:space="preserve">2014–2020 M. EUROPOS SĄJUNGOS FONDŲ INVESTICIJŲ VEIKSMŲ PROGRAMOS </w:t>
      </w:r>
      <w:r w:rsidR="00EE247F" w:rsidRPr="003776F9">
        <w:rPr>
          <w:rFonts w:ascii="Times New Roman" w:hAnsi="Times New Roman"/>
          <w:b/>
          <w:sz w:val="24"/>
          <w:szCs w:val="24"/>
        </w:rPr>
        <w:t xml:space="preserve">7 </w:t>
      </w:r>
      <w:r w:rsidRPr="003776F9">
        <w:rPr>
          <w:rFonts w:ascii="Times New Roman" w:hAnsi="Times New Roman"/>
          <w:b/>
          <w:sz w:val="24"/>
          <w:szCs w:val="24"/>
        </w:rPr>
        <w:t>PRIORITETO „</w:t>
      </w:r>
      <w:r w:rsidR="00EE247F" w:rsidRPr="003776F9">
        <w:rPr>
          <w:rFonts w:ascii="Times New Roman" w:hAnsi="Times New Roman"/>
          <w:b/>
          <w:sz w:val="24"/>
          <w:szCs w:val="24"/>
        </w:rPr>
        <w:t>KOKYBIŠKO UŽIMTUMO IR DALYVAVIMO DARBO RINKOJE SKATINIMAS</w:t>
      </w:r>
      <w:r w:rsidRPr="003776F9">
        <w:rPr>
          <w:rFonts w:ascii="Times New Roman" w:hAnsi="Times New Roman"/>
          <w:b/>
          <w:sz w:val="24"/>
          <w:szCs w:val="24"/>
        </w:rPr>
        <w:t>“</w:t>
      </w:r>
    </w:p>
    <w:p w:rsidR="00CB7A52" w:rsidRPr="003776F9" w:rsidRDefault="00CB7A52" w:rsidP="000B03EE">
      <w:pPr>
        <w:pStyle w:val="BodyText"/>
        <w:spacing w:after="0" w:line="240" w:lineRule="auto"/>
        <w:jc w:val="center"/>
        <w:rPr>
          <w:rFonts w:ascii="Times New Roman" w:hAnsi="Times New Roman"/>
          <w:b/>
          <w:sz w:val="24"/>
          <w:szCs w:val="24"/>
        </w:rPr>
      </w:pPr>
      <w:r w:rsidRPr="003776F9">
        <w:rPr>
          <w:rFonts w:ascii="Times New Roman" w:hAnsi="Times New Roman"/>
          <w:b/>
          <w:sz w:val="24"/>
          <w:szCs w:val="24"/>
        </w:rPr>
        <w:t>PRIEMON</w:t>
      </w:r>
      <w:r w:rsidR="0018441F" w:rsidRPr="003776F9">
        <w:rPr>
          <w:rFonts w:ascii="Times New Roman" w:hAnsi="Times New Roman"/>
          <w:b/>
          <w:sz w:val="24"/>
          <w:szCs w:val="24"/>
        </w:rPr>
        <w:t>ĖS</w:t>
      </w:r>
      <w:r w:rsidR="00DE5F65" w:rsidRPr="003776F9">
        <w:rPr>
          <w:rFonts w:ascii="Times New Roman" w:hAnsi="Times New Roman"/>
          <w:b/>
          <w:sz w:val="24"/>
          <w:szCs w:val="24"/>
        </w:rPr>
        <w:t xml:space="preserve"> </w:t>
      </w:r>
      <w:r w:rsidR="0018441F" w:rsidRPr="003776F9">
        <w:rPr>
          <w:rFonts w:ascii="Times New Roman" w:hAnsi="Times New Roman"/>
          <w:b/>
          <w:sz w:val="24"/>
          <w:szCs w:val="24"/>
        </w:rPr>
        <w:t xml:space="preserve">NR. </w:t>
      </w:r>
      <w:r w:rsidR="00D142E1" w:rsidRPr="003776F9">
        <w:rPr>
          <w:rFonts w:ascii="Times New Roman" w:hAnsi="Times New Roman"/>
          <w:b/>
          <w:sz w:val="24"/>
          <w:szCs w:val="24"/>
        </w:rPr>
        <w:t>07.1.1-CPVA-V-304</w:t>
      </w:r>
      <w:r w:rsidR="00DE5F65" w:rsidRPr="003776F9">
        <w:rPr>
          <w:rFonts w:ascii="Times New Roman" w:hAnsi="Times New Roman"/>
          <w:b/>
          <w:sz w:val="24"/>
          <w:szCs w:val="24"/>
        </w:rPr>
        <w:t xml:space="preserve"> </w:t>
      </w:r>
      <w:r w:rsidR="00331537" w:rsidRPr="003776F9">
        <w:rPr>
          <w:rFonts w:ascii="Times New Roman" w:hAnsi="Times New Roman"/>
          <w:b/>
          <w:sz w:val="24"/>
          <w:szCs w:val="24"/>
        </w:rPr>
        <w:t>PROJEKTŲ FINANSAVIMO SĄLYGŲ APRAŠO</w:t>
      </w:r>
      <w:r w:rsidRPr="003776F9">
        <w:rPr>
          <w:rFonts w:ascii="Times New Roman" w:hAnsi="Times New Roman"/>
          <w:b/>
          <w:sz w:val="24"/>
          <w:szCs w:val="24"/>
        </w:rPr>
        <w:t xml:space="preserve"> (</w:t>
      </w:r>
      <w:r w:rsidR="000E4D84" w:rsidRPr="003776F9">
        <w:rPr>
          <w:rFonts w:ascii="Times New Roman" w:hAnsi="Times New Roman"/>
          <w:b/>
          <w:sz w:val="24"/>
          <w:szCs w:val="24"/>
        </w:rPr>
        <w:t xml:space="preserve">TOLIAU - </w:t>
      </w:r>
      <w:r w:rsidR="00331537" w:rsidRPr="003776F9">
        <w:rPr>
          <w:rFonts w:ascii="Times New Roman" w:hAnsi="Times New Roman"/>
          <w:b/>
          <w:sz w:val="24"/>
          <w:szCs w:val="24"/>
        </w:rPr>
        <w:t>A</w:t>
      </w:r>
      <w:r w:rsidR="000E4D84" w:rsidRPr="003776F9">
        <w:rPr>
          <w:rFonts w:ascii="Times New Roman" w:hAnsi="Times New Roman"/>
          <w:b/>
          <w:sz w:val="24"/>
          <w:szCs w:val="24"/>
        </w:rPr>
        <w:t>PRAŠAS</w:t>
      </w:r>
      <w:r w:rsidRPr="003776F9">
        <w:rPr>
          <w:rFonts w:ascii="Times New Roman" w:hAnsi="Times New Roman"/>
          <w:b/>
          <w:sz w:val="24"/>
          <w:szCs w:val="24"/>
        </w:rPr>
        <w:t xml:space="preserve">) </w:t>
      </w:r>
    </w:p>
    <w:p w:rsidR="008E1855" w:rsidRPr="003776F9" w:rsidRDefault="008E1855" w:rsidP="000B03EE">
      <w:pPr>
        <w:pStyle w:val="BodyText"/>
        <w:spacing w:after="0" w:line="240" w:lineRule="auto"/>
        <w:jc w:val="center"/>
        <w:rPr>
          <w:b/>
          <w:sz w:val="24"/>
          <w:szCs w:val="24"/>
        </w:rPr>
      </w:pPr>
      <w:r w:rsidRPr="003776F9">
        <w:rPr>
          <w:rFonts w:ascii="Times New Roman" w:hAnsi="Times New Roman"/>
          <w:b/>
          <w:sz w:val="24"/>
          <w:szCs w:val="24"/>
        </w:rPr>
        <w:t xml:space="preserve">DERINIMO PAŽYMA </w:t>
      </w:r>
      <w:r w:rsidR="00C0463D" w:rsidRPr="003776F9">
        <w:rPr>
          <w:rFonts w:ascii="Times New Roman" w:hAnsi="Times New Roman"/>
          <w:b/>
          <w:sz w:val="24"/>
          <w:szCs w:val="24"/>
        </w:rPr>
        <w:t xml:space="preserve">NR. </w:t>
      </w:r>
      <w:r w:rsidR="00331537" w:rsidRPr="003776F9">
        <w:rPr>
          <w:rFonts w:ascii="Times New Roman" w:hAnsi="Times New Roman"/>
          <w:b/>
          <w:sz w:val="24"/>
          <w:szCs w:val="24"/>
        </w:rPr>
        <w:t>1</w:t>
      </w:r>
    </w:p>
    <w:tbl>
      <w:tblPr>
        <w:tblpPr w:leftFromText="180" w:rightFromText="180" w:vertAnchor="text" w:horzAnchor="margin" w:tblpY="530"/>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394"/>
        <w:gridCol w:w="5513"/>
      </w:tblGrid>
      <w:tr w:rsidR="008E1855" w:rsidRPr="003776F9" w:rsidTr="008150E7">
        <w:tc>
          <w:tcPr>
            <w:tcW w:w="3085" w:type="dxa"/>
          </w:tcPr>
          <w:p w:rsidR="008E1855" w:rsidRPr="003776F9" w:rsidRDefault="008E1855" w:rsidP="000B03EE">
            <w:pPr>
              <w:spacing w:after="0" w:line="240" w:lineRule="auto"/>
              <w:jc w:val="center"/>
              <w:rPr>
                <w:rFonts w:ascii="Times New Roman" w:hAnsi="Times New Roman"/>
                <w:b/>
                <w:sz w:val="24"/>
                <w:szCs w:val="24"/>
              </w:rPr>
            </w:pPr>
            <w:r w:rsidRPr="003776F9">
              <w:rPr>
                <w:rFonts w:ascii="Times New Roman" w:hAnsi="Times New Roman"/>
                <w:b/>
                <w:sz w:val="24"/>
                <w:szCs w:val="24"/>
              </w:rPr>
              <w:t>Institucijos pavadinimas, rašto data ir numeris</w:t>
            </w:r>
          </w:p>
        </w:tc>
        <w:tc>
          <w:tcPr>
            <w:tcW w:w="6394" w:type="dxa"/>
          </w:tcPr>
          <w:p w:rsidR="008E1855" w:rsidRPr="003776F9" w:rsidRDefault="008E1855" w:rsidP="000B03EE">
            <w:pPr>
              <w:spacing w:after="0" w:line="240" w:lineRule="auto"/>
              <w:jc w:val="center"/>
              <w:rPr>
                <w:rFonts w:ascii="Times New Roman" w:hAnsi="Times New Roman"/>
                <w:b/>
                <w:sz w:val="24"/>
                <w:szCs w:val="24"/>
              </w:rPr>
            </w:pPr>
            <w:r w:rsidRPr="003776F9">
              <w:rPr>
                <w:rFonts w:ascii="Times New Roman" w:hAnsi="Times New Roman"/>
                <w:b/>
                <w:sz w:val="24"/>
                <w:szCs w:val="24"/>
              </w:rPr>
              <w:t>Pastabos ir pasiūlymai</w:t>
            </w:r>
          </w:p>
        </w:tc>
        <w:tc>
          <w:tcPr>
            <w:tcW w:w="5513" w:type="dxa"/>
          </w:tcPr>
          <w:p w:rsidR="008E1855" w:rsidRPr="003776F9" w:rsidRDefault="008E1855" w:rsidP="000B03EE">
            <w:pPr>
              <w:spacing w:after="0" w:line="240" w:lineRule="auto"/>
              <w:jc w:val="center"/>
              <w:rPr>
                <w:rFonts w:ascii="Times New Roman" w:hAnsi="Times New Roman"/>
                <w:b/>
                <w:sz w:val="24"/>
                <w:szCs w:val="24"/>
              </w:rPr>
            </w:pPr>
            <w:r w:rsidRPr="003776F9">
              <w:rPr>
                <w:rFonts w:ascii="Times New Roman" w:hAnsi="Times New Roman"/>
                <w:b/>
                <w:sz w:val="24"/>
                <w:szCs w:val="24"/>
              </w:rPr>
              <w:t>Žyma apie priimtas ir nepriimtas (nurodyti motyvus) pastabas ir pasiūlymus</w:t>
            </w:r>
          </w:p>
        </w:tc>
      </w:tr>
      <w:tr w:rsidR="008E1855" w:rsidRPr="003776F9" w:rsidTr="008150E7">
        <w:tc>
          <w:tcPr>
            <w:tcW w:w="3085" w:type="dxa"/>
          </w:tcPr>
          <w:p w:rsidR="0018441F" w:rsidRPr="003776F9" w:rsidRDefault="0018441F" w:rsidP="00F316B4">
            <w:pPr>
              <w:spacing w:after="0" w:line="240" w:lineRule="auto"/>
              <w:rPr>
                <w:rFonts w:ascii="Times New Roman" w:hAnsi="Times New Roman"/>
                <w:sz w:val="24"/>
                <w:szCs w:val="24"/>
              </w:rPr>
            </w:pPr>
            <w:r w:rsidRPr="003776F9">
              <w:rPr>
                <w:rFonts w:ascii="Times New Roman" w:hAnsi="Times New Roman"/>
                <w:sz w:val="24"/>
                <w:szCs w:val="24"/>
              </w:rPr>
              <w:t>Centrinė projektų valdymo agentūra, 2015-0</w:t>
            </w:r>
            <w:r w:rsidR="004A41C0" w:rsidRPr="003776F9">
              <w:rPr>
                <w:rFonts w:ascii="Times New Roman" w:hAnsi="Times New Roman"/>
                <w:sz w:val="24"/>
                <w:szCs w:val="24"/>
              </w:rPr>
              <w:t>8</w:t>
            </w:r>
            <w:r w:rsidRPr="003776F9">
              <w:rPr>
                <w:rFonts w:ascii="Times New Roman" w:hAnsi="Times New Roman"/>
                <w:sz w:val="24"/>
                <w:szCs w:val="24"/>
              </w:rPr>
              <w:t>-</w:t>
            </w:r>
            <w:r w:rsidR="00B022C2" w:rsidRPr="003776F9">
              <w:rPr>
                <w:rFonts w:ascii="Times New Roman" w:hAnsi="Times New Roman"/>
                <w:sz w:val="24"/>
                <w:szCs w:val="24"/>
              </w:rPr>
              <w:t>0</w:t>
            </w:r>
            <w:r w:rsidR="009A76E4" w:rsidRPr="003776F9">
              <w:rPr>
                <w:rFonts w:ascii="Times New Roman" w:hAnsi="Times New Roman"/>
                <w:sz w:val="24"/>
                <w:szCs w:val="24"/>
              </w:rPr>
              <w:t>6 rašt</w:t>
            </w:r>
            <w:r w:rsidR="00FA52CA" w:rsidRPr="003776F9">
              <w:rPr>
                <w:rFonts w:ascii="Times New Roman" w:hAnsi="Times New Roman"/>
                <w:sz w:val="24"/>
                <w:szCs w:val="24"/>
              </w:rPr>
              <w:t>as</w:t>
            </w:r>
            <w:r w:rsidR="009A76E4" w:rsidRPr="003776F9">
              <w:rPr>
                <w:rFonts w:ascii="Times New Roman" w:hAnsi="Times New Roman"/>
                <w:sz w:val="24"/>
                <w:szCs w:val="24"/>
              </w:rPr>
              <w:t xml:space="preserve"> Nr. 2015/2-6201</w:t>
            </w:r>
          </w:p>
          <w:p w:rsidR="008E1855" w:rsidRPr="003776F9" w:rsidRDefault="008E1855" w:rsidP="009E4DF1">
            <w:pPr>
              <w:spacing w:after="0" w:line="240" w:lineRule="auto"/>
              <w:rPr>
                <w:rFonts w:ascii="Times New Roman" w:hAnsi="Times New Roman"/>
                <w:sz w:val="24"/>
                <w:szCs w:val="24"/>
              </w:rPr>
            </w:pPr>
          </w:p>
        </w:tc>
        <w:tc>
          <w:tcPr>
            <w:tcW w:w="6394" w:type="dxa"/>
          </w:tcPr>
          <w:p w:rsidR="00EE247F" w:rsidRPr="003776F9" w:rsidRDefault="00434199" w:rsidP="004860C7">
            <w:pPr>
              <w:tabs>
                <w:tab w:val="left" w:pos="330"/>
              </w:tabs>
              <w:spacing w:after="0" w:line="240" w:lineRule="auto"/>
              <w:jc w:val="both"/>
              <w:rPr>
                <w:rFonts w:ascii="Times New Roman" w:hAnsi="Times New Roman"/>
                <w:color w:val="000000"/>
                <w:sz w:val="24"/>
                <w:szCs w:val="24"/>
                <w:lang w:eastAsia="lt-LT"/>
              </w:rPr>
            </w:pPr>
            <w:r w:rsidRPr="003776F9">
              <w:rPr>
                <w:rFonts w:ascii="Times New Roman" w:hAnsi="Times New Roman"/>
                <w:sz w:val="24"/>
                <w:szCs w:val="24"/>
              </w:rPr>
              <w:t xml:space="preserve">1. </w:t>
            </w:r>
            <w:r w:rsidR="00BC6487" w:rsidRPr="003776F9">
              <w:rPr>
                <w:rFonts w:ascii="Times New Roman" w:hAnsi="Times New Roman"/>
                <w:sz w:val="24"/>
                <w:szCs w:val="24"/>
              </w:rPr>
              <w:t>Rekomenduojama</w:t>
            </w:r>
            <w:r w:rsidR="00EE247F" w:rsidRPr="003776F9">
              <w:rPr>
                <w:rFonts w:ascii="Times New Roman" w:hAnsi="Times New Roman"/>
                <w:sz w:val="24"/>
                <w:szCs w:val="24"/>
              </w:rPr>
              <w:t xml:space="preserve"> Apraše atsisakyti reikalavimo atlikti tik vienos rinkodaros plane nurodytos alternatyvos analizę, vietoj jo nustatant reikalavimą projekto alternatyvas nagrinėti vadovaujantis </w:t>
            </w:r>
            <w:r w:rsidR="000938C7" w:rsidRPr="003776F9">
              <w:rPr>
                <w:rFonts w:ascii="Times New Roman" w:hAnsi="Times New Roman"/>
                <w:sz w:val="24"/>
                <w:szCs w:val="24"/>
              </w:rPr>
              <w:t>Optimalios projekto įgyvendinimo alternatyvos pasirinkimo kokybės vertinimo metodika, patvirtinta 2014–2020 metų Europos Sąjungos struktūrinių fondų investicijų veiksmų programos valdymo komiteto 2014 m. spalio 13 d. posėdžio sprendimu protokolas Nr. 35 (toliau – Optimalios projekto įgyvendinimo alternatyvos pasirinkimo kokybės vertinimo metodika</w:t>
            </w:r>
            <w:r w:rsidR="00EE247F" w:rsidRPr="003776F9">
              <w:rPr>
                <w:rFonts w:ascii="Times New Roman" w:hAnsi="Times New Roman"/>
                <w:sz w:val="24"/>
                <w:szCs w:val="24"/>
              </w:rPr>
              <w:t xml:space="preserve">  (atitinkamai turi būti patikslintas Aprašo 24.1.1. </w:t>
            </w:r>
            <w:r w:rsidR="007A3A2B" w:rsidRPr="003776F9">
              <w:rPr>
                <w:rFonts w:ascii="Times New Roman" w:hAnsi="Times New Roman"/>
                <w:sz w:val="24"/>
                <w:szCs w:val="24"/>
              </w:rPr>
              <w:t>papunktis</w:t>
            </w:r>
            <w:r w:rsidR="00285B59" w:rsidRPr="003776F9">
              <w:rPr>
                <w:rFonts w:ascii="Times New Roman" w:hAnsi="Times New Roman"/>
                <w:sz w:val="24"/>
                <w:szCs w:val="24"/>
              </w:rPr>
              <w:t xml:space="preserve"> (dabartinio Aprašo 25.1.1.1. papunktis)</w:t>
            </w:r>
            <w:r w:rsidR="00EE247F" w:rsidRPr="003776F9">
              <w:rPr>
                <w:rFonts w:ascii="Times New Roman" w:hAnsi="Times New Roman"/>
                <w:sz w:val="24"/>
                <w:szCs w:val="24"/>
              </w:rPr>
              <w:t>, Aprašo 1 priedo 7.1.4</w:t>
            </w:r>
            <w:r w:rsidR="006F4AD4" w:rsidRPr="003776F9">
              <w:rPr>
                <w:rFonts w:ascii="Times New Roman" w:hAnsi="Times New Roman"/>
                <w:sz w:val="24"/>
                <w:szCs w:val="24"/>
              </w:rPr>
              <w:t>.</w:t>
            </w:r>
            <w:r w:rsidR="00EE247F" w:rsidRPr="003776F9">
              <w:rPr>
                <w:rFonts w:ascii="Times New Roman" w:hAnsi="Times New Roman"/>
                <w:sz w:val="24"/>
                <w:szCs w:val="24"/>
              </w:rPr>
              <w:t xml:space="preserve"> p</w:t>
            </w:r>
            <w:r w:rsidR="00C96F15" w:rsidRPr="003776F9">
              <w:rPr>
                <w:rFonts w:ascii="Times New Roman" w:hAnsi="Times New Roman"/>
                <w:sz w:val="24"/>
                <w:szCs w:val="24"/>
              </w:rPr>
              <w:t>apunktis</w:t>
            </w:r>
            <w:r w:rsidR="00EE247F" w:rsidRPr="003776F9">
              <w:rPr>
                <w:rFonts w:ascii="Times New Roman" w:hAnsi="Times New Roman"/>
                <w:sz w:val="24"/>
                <w:szCs w:val="24"/>
              </w:rPr>
              <w:t>)</w:t>
            </w:r>
            <w:r w:rsidR="00EE247F" w:rsidRPr="003776F9">
              <w:rPr>
                <w:rFonts w:ascii="Times New Roman" w:hAnsi="Times New Roman"/>
                <w:color w:val="000000"/>
                <w:sz w:val="24"/>
                <w:szCs w:val="24"/>
                <w:lang w:eastAsia="lt-LT"/>
              </w:rPr>
              <w:t>, nes:</w:t>
            </w:r>
          </w:p>
          <w:p w:rsidR="00EE247F" w:rsidRPr="003776F9" w:rsidRDefault="00EE247F" w:rsidP="004860C7">
            <w:pPr>
              <w:pStyle w:val="ListParagraph"/>
              <w:numPr>
                <w:ilvl w:val="0"/>
                <w:numId w:val="9"/>
              </w:numPr>
              <w:tabs>
                <w:tab w:val="left" w:pos="330"/>
              </w:tabs>
              <w:spacing w:after="0" w:line="240" w:lineRule="auto"/>
              <w:ind w:left="0" w:hanging="284"/>
              <w:jc w:val="both"/>
              <w:rPr>
                <w:rFonts w:ascii="Times New Roman" w:hAnsi="Times New Roman"/>
                <w:sz w:val="24"/>
                <w:szCs w:val="24"/>
                <w:lang w:eastAsia="lt-LT"/>
              </w:rPr>
            </w:pPr>
            <w:r w:rsidRPr="003776F9">
              <w:rPr>
                <w:rFonts w:ascii="Times New Roman" w:hAnsi="Times New Roman"/>
                <w:sz w:val="24"/>
                <w:szCs w:val="24"/>
                <w:lang w:eastAsia="lt-LT"/>
              </w:rPr>
              <w:t>pagal Integruotų teritorijų vystymo programų rengimo ir įgyvendinimo gairių, patvirtintų Lietuvos Respublikos vidaus reikalų ministro 2014 m. liepos 11 d. įsakymu Nr. 1V- 480, 6 priedą nėra privaloma atlikti projekto, finansuojamo pagal 2014–2020 metų Europos Sąjungos struktūrinių fondų investicijų veiksmų programą, įgyvendinimo alternatyvų analizę, todėl alternatyvos gali būti neišnagrinėtos;</w:t>
            </w:r>
          </w:p>
          <w:p w:rsidR="00EE247F" w:rsidRPr="003776F9" w:rsidRDefault="00EE247F" w:rsidP="004860C7">
            <w:pPr>
              <w:pStyle w:val="ListParagraph"/>
              <w:numPr>
                <w:ilvl w:val="0"/>
                <w:numId w:val="9"/>
              </w:numPr>
              <w:tabs>
                <w:tab w:val="left" w:pos="330"/>
              </w:tabs>
              <w:spacing w:after="0" w:line="240" w:lineRule="auto"/>
              <w:ind w:left="0" w:hanging="284"/>
              <w:jc w:val="both"/>
              <w:rPr>
                <w:rFonts w:ascii="Times New Roman" w:hAnsi="Times New Roman"/>
                <w:sz w:val="24"/>
                <w:szCs w:val="24"/>
                <w:lang w:eastAsia="lt-LT"/>
              </w:rPr>
            </w:pPr>
            <w:r w:rsidRPr="003776F9">
              <w:rPr>
                <w:rFonts w:ascii="Times New Roman" w:hAnsi="Times New Roman"/>
                <w:sz w:val="24"/>
                <w:szCs w:val="24"/>
                <w:lang w:eastAsia="lt-LT"/>
              </w:rPr>
              <w:t xml:space="preserve">rinkodaros planas nėra dokumentas, kuriame būtų išanalizuotos ir palygintos tarpusavyje skirtingos projekto įgyvendinimo alternatyvos, siekiančios to paties projekto tikslo, o tik parodoma, koks galėtų būti vienas iš projekto įgyvendinimo variantų (alternatyvų). </w:t>
            </w:r>
          </w:p>
          <w:p w:rsidR="00D60CBE" w:rsidRPr="003776F9" w:rsidRDefault="00EE247F" w:rsidP="004860C7">
            <w:pPr>
              <w:tabs>
                <w:tab w:val="left" w:pos="330"/>
              </w:tabs>
              <w:spacing w:after="0" w:line="240" w:lineRule="auto"/>
              <w:jc w:val="both"/>
              <w:rPr>
                <w:rFonts w:ascii="Times New Roman" w:hAnsi="Times New Roman"/>
                <w:sz w:val="24"/>
                <w:szCs w:val="24"/>
                <w:lang w:eastAsia="lt-LT"/>
              </w:rPr>
            </w:pPr>
            <w:r w:rsidRPr="003776F9">
              <w:rPr>
                <w:rFonts w:ascii="Times New Roman" w:hAnsi="Times New Roman"/>
                <w:sz w:val="24"/>
                <w:szCs w:val="24"/>
                <w:lang w:eastAsia="lt-LT"/>
              </w:rPr>
              <w:t xml:space="preserve">Jei alternatyvų analizė nėra atlikta priemonės ar strategijos lygmenyje, alternatyvų analizė turi būti atliekama projekto </w:t>
            </w:r>
            <w:r w:rsidRPr="003776F9">
              <w:rPr>
                <w:rFonts w:ascii="Times New Roman" w:hAnsi="Times New Roman"/>
                <w:sz w:val="24"/>
                <w:szCs w:val="24"/>
                <w:lang w:eastAsia="lt-LT"/>
              </w:rPr>
              <w:lastRenderedPageBreak/>
              <w:t>lygmenyje.</w:t>
            </w:r>
            <w:r w:rsidR="00B1196A" w:rsidRPr="003776F9">
              <w:rPr>
                <w:rFonts w:ascii="Times New Roman" w:hAnsi="Times New Roman"/>
                <w:sz w:val="24"/>
                <w:szCs w:val="24"/>
                <w:lang w:eastAsia="lt-LT"/>
              </w:rPr>
              <w:t xml:space="preserve"> </w:t>
            </w:r>
          </w:p>
        </w:tc>
        <w:tc>
          <w:tcPr>
            <w:tcW w:w="5513" w:type="dxa"/>
          </w:tcPr>
          <w:p w:rsidR="008150E7" w:rsidRPr="003776F9" w:rsidRDefault="00434199" w:rsidP="009E4DF1">
            <w:pPr>
              <w:spacing w:after="0" w:line="240" w:lineRule="auto"/>
              <w:jc w:val="both"/>
              <w:rPr>
                <w:rFonts w:ascii="Times New Roman" w:hAnsi="Times New Roman"/>
                <w:b/>
                <w:sz w:val="24"/>
                <w:szCs w:val="24"/>
              </w:rPr>
            </w:pPr>
            <w:r w:rsidRPr="003776F9">
              <w:rPr>
                <w:rFonts w:ascii="Times New Roman" w:hAnsi="Times New Roman"/>
                <w:b/>
                <w:sz w:val="24"/>
                <w:szCs w:val="24"/>
              </w:rPr>
              <w:lastRenderedPageBreak/>
              <w:t>Atsižvelgta.</w:t>
            </w:r>
          </w:p>
          <w:p w:rsidR="00434199" w:rsidRPr="003776F9" w:rsidRDefault="001A2EAB" w:rsidP="009E4DF1">
            <w:pPr>
              <w:spacing w:after="0" w:line="240" w:lineRule="auto"/>
              <w:jc w:val="both"/>
              <w:rPr>
                <w:rFonts w:ascii="Times New Roman" w:hAnsi="Times New Roman"/>
                <w:sz w:val="24"/>
                <w:szCs w:val="24"/>
              </w:rPr>
            </w:pPr>
            <w:r w:rsidRPr="003776F9">
              <w:rPr>
                <w:rFonts w:ascii="Times New Roman" w:hAnsi="Times New Roman"/>
                <w:sz w:val="24"/>
                <w:szCs w:val="24"/>
              </w:rPr>
              <w:t>Pakoreguot</w:t>
            </w:r>
            <w:r w:rsidR="00285B59" w:rsidRPr="003776F9">
              <w:rPr>
                <w:rFonts w:ascii="Times New Roman" w:hAnsi="Times New Roman"/>
                <w:sz w:val="24"/>
                <w:szCs w:val="24"/>
              </w:rPr>
              <w:t>as</w:t>
            </w:r>
            <w:r w:rsidRPr="003776F9">
              <w:rPr>
                <w:rFonts w:ascii="Times New Roman" w:hAnsi="Times New Roman"/>
                <w:sz w:val="24"/>
                <w:szCs w:val="24"/>
              </w:rPr>
              <w:t xml:space="preserve"> Aprašo 2</w:t>
            </w:r>
            <w:r w:rsidR="007D5A72" w:rsidRPr="003776F9">
              <w:rPr>
                <w:rFonts w:ascii="Times New Roman" w:hAnsi="Times New Roman"/>
                <w:sz w:val="24"/>
                <w:szCs w:val="24"/>
              </w:rPr>
              <w:t>5</w:t>
            </w:r>
            <w:r w:rsidRPr="003776F9">
              <w:rPr>
                <w:rFonts w:ascii="Times New Roman" w:hAnsi="Times New Roman"/>
                <w:sz w:val="24"/>
                <w:szCs w:val="24"/>
              </w:rPr>
              <w:t xml:space="preserve">.1.1.1. </w:t>
            </w:r>
            <w:r w:rsidR="00FA52CA" w:rsidRPr="003776F9">
              <w:rPr>
                <w:rFonts w:ascii="Times New Roman" w:hAnsi="Times New Roman"/>
                <w:sz w:val="24"/>
                <w:szCs w:val="24"/>
              </w:rPr>
              <w:t>papunktis</w:t>
            </w:r>
            <w:r w:rsidR="000938C7" w:rsidRPr="003776F9">
              <w:rPr>
                <w:rFonts w:ascii="Times New Roman" w:hAnsi="Times New Roman"/>
                <w:sz w:val="24"/>
                <w:szCs w:val="24"/>
              </w:rPr>
              <w:t xml:space="preserve"> </w:t>
            </w:r>
            <w:r w:rsidR="00285B59" w:rsidRPr="003776F9">
              <w:rPr>
                <w:rFonts w:ascii="Times New Roman" w:hAnsi="Times New Roman"/>
                <w:sz w:val="24"/>
                <w:szCs w:val="24"/>
              </w:rPr>
              <w:t xml:space="preserve"> </w:t>
            </w:r>
            <w:r w:rsidR="00285B59" w:rsidRPr="003776F9">
              <w:rPr>
                <w:rFonts w:ascii="Times New Roman" w:hAnsi="Times New Roman"/>
                <w:sz w:val="24"/>
                <w:szCs w:val="24"/>
              </w:rPr>
              <w:t>kad investicijų projekte pareiškėjas turi išnagrinėti projekto alternatyvas vadovaujantis Optimalios projekto įgyvendinimo alternatyvos pasirinkimo kokybės vertinimo metodika</w:t>
            </w:r>
            <w:r w:rsidR="00285B59" w:rsidRPr="003776F9">
              <w:rPr>
                <w:rFonts w:ascii="Times New Roman" w:hAnsi="Times New Roman"/>
                <w:sz w:val="24"/>
                <w:szCs w:val="24"/>
              </w:rPr>
              <w:t xml:space="preserve">.  </w:t>
            </w:r>
            <w:r w:rsidR="000938C7" w:rsidRPr="003776F9">
              <w:rPr>
                <w:rFonts w:ascii="Times New Roman" w:hAnsi="Times New Roman"/>
                <w:sz w:val="24"/>
                <w:szCs w:val="24"/>
              </w:rPr>
              <w:t>Aprašo 1 priedo 7.1.4</w:t>
            </w:r>
            <w:r w:rsidR="00CB0A70" w:rsidRPr="003776F9">
              <w:rPr>
                <w:rFonts w:ascii="Times New Roman" w:hAnsi="Times New Roman"/>
                <w:sz w:val="24"/>
                <w:szCs w:val="24"/>
              </w:rPr>
              <w:t>.</w:t>
            </w:r>
            <w:r w:rsidR="000938C7" w:rsidRPr="003776F9">
              <w:rPr>
                <w:rFonts w:ascii="Times New Roman" w:hAnsi="Times New Roman"/>
                <w:sz w:val="24"/>
                <w:szCs w:val="24"/>
              </w:rPr>
              <w:t xml:space="preserve"> p</w:t>
            </w:r>
            <w:r w:rsidR="00285B59" w:rsidRPr="003776F9">
              <w:rPr>
                <w:rFonts w:ascii="Times New Roman" w:hAnsi="Times New Roman"/>
                <w:sz w:val="24"/>
                <w:szCs w:val="24"/>
              </w:rPr>
              <w:t>apunktyje išbrauktas žodis „Netaikoma“.</w:t>
            </w:r>
          </w:p>
          <w:p w:rsidR="000855B1" w:rsidRPr="003776F9" w:rsidRDefault="000855B1" w:rsidP="009E4DF1">
            <w:pPr>
              <w:spacing w:after="0" w:line="240" w:lineRule="auto"/>
              <w:jc w:val="both"/>
              <w:rPr>
                <w:rFonts w:ascii="Times New Roman" w:hAnsi="Times New Roman"/>
                <w:color w:val="FF0000"/>
                <w:sz w:val="24"/>
                <w:szCs w:val="24"/>
              </w:rPr>
            </w:pPr>
          </w:p>
        </w:tc>
      </w:tr>
      <w:tr w:rsidR="008E1855" w:rsidRPr="003776F9" w:rsidTr="008150E7">
        <w:tc>
          <w:tcPr>
            <w:tcW w:w="3085" w:type="dxa"/>
          </w:tcPr>
          <w:p w:rsidR="008E1855" w:rsidRPr="003776F9" w:rsidRDefault="008E1855" w:rsidP="00F316B4">
            <w:pPr>
              <w:spacing w:after="0" w:line="240" w:lineRule="auto"/>
              <w:rPr>
                <w:rFonts w:ascii="Times New Roman" w:hAnsi="Times New Roman"/>
                <w:sz w:val="24"/>
                <w:szCs w:val="24"/>
              </w:rPr>
            </w:pPr>
          </w:p>
        </w:tc>
        <w:tc>
          <w:tcPr>
            <w:tcW w:w="6394" w:type="dxa"/>
          </w:tcPr>
          <w:p w:rsidR="00434199" w:rsidRPr="003776F9" w:rsidRDefault="00FD473C" w:rsidP="00D72E7F">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2. Rekomenduojam</w:t>
            </w:r>
            <w:r w:rsidR="00BC6487" w:rsidRPr="003776F9">
              <w:rPr>
                <w:rFonts w:ascii="Times New Roman" w:hAnsi="Times New Roman"/>
                <w:sz w:val="24"/>
                <w:szCs w:val="24"/>
              </w:rPr>
              <w:t>a</w:t>
            </w:r>
            <w:r w:rsidRPr="003776F9">
              <w:rPr>
                <w:rFonts w:ascii="Times New Roman" w:hAnsi="Times New Roman"/>
                <w:sz w:val="24"/>
                <w:szCs w:val="24"/>
              </w:rPr>
              <w:t xml:space="preserve"> patikslinti Aprašo 24.2</w:t>
            </w:r>
            <w:r w:rsidR="00285B59" w:rsidRPr="003776F9">
              <w:rPr>
                <w:rFonts w:ascii="Times New Roman" w:hAnsi="Times New Roman"/>
                <w:sz w:val="24"/>
                <w:szCs w:val="24"/>
              </w:rPr>
              <w:t>.</w:t>
            </w:r>
            <w:r w:rsidRPr="003776F9">
              <w:rPr>
                <w:rFonts w:ascii="Times New Roman" w:hAnsi="Times New Roman"/>
                <w:sz w:val="24"/>
                <w:szCs w:val="24"/>
              </w:rPr>
              <w:t xml:space="preserve"> p</w:t>
            </w:r>
            <w:r w:rsidR="00C96F15" w:rsidRPr="003776F9">
              <w:rPr>
                <w:rFonts w:ascii="Times New Roman" w:hAnsi="Times New Roman"/>
                <w:sz w:val="24"/>
                <w:szCs w:val="24"/>
              </w:rPr>
              <w:t>apunktį</w:t>
            </w:r>
            <w:r w:rsidR="00CD7461" w:rsidRPr="003776F9">
              <w:rPr>
                <w:rFonts w:ascii="Times New Roman" w:hAnsi="Times New Roman"/>
                <w:sz w:val="24"/>
                <w:szCs w:val="24"/>
              </w:rPr>
              <w:t xml:space="preserve"> (dabartinio Aprašo 25.1.1.2. papunktį)</w:t>
            </w:r>
            <w:r w:rsidRPr="003776F9">
              <w:rPr>
                <w:rFonts w:ascii="Times New Roman" w:hAnsi="Times New Roman"/>
                <w:sz w:val="24"/>
                <w:szCs w:val="24"/>
              </w:rPr>
              <w:t>, nurodant, kad kai planuojamos kompleksinės investicijos į pastatą (energijos efektyvumą didinančios priemonės ir kultūros infrastruktūros atnaujinimas), turėtų būti rengiamas vienas investicijų projektas visam projektui pagal Investicijų projektų, kuriems siekiama gauti finansavimą iš Europos Sąjungos struktūrinės paramos ir/ar valstybės biudžeto lėšų, rengimo metodiką</w:t>
            </w:r>
            <w:r w:rsidR="00C96F15" w:rsidRPr="003776F9">
              <w:rPr>
                <w:rFonts w:ascii="Times New Roman" w:hAnsi="Times New Roman"/>
                <w:sz w:val="24"/>
                <w:szCs w:val="24"/>
              </w:rPr>
              <w:t xml:space="preserve">, patvirtintą VŠĮ Centrinės projektų valdymo agentūros direktoriaus 2014 m. gruodžio 31 d. įsakymu Nr. 2014/8-337 </w:t>
            </w:r>
            <w:r w:rsidR="000938C7" w:rsidRPr="003776F9">
              <w:rPr>
                <w:rFonts w:ascii="Times New Roman" w:hAnsi="Times New Roman"/>
                <w:sz w:val="24"/>
                <w:szCs w:val="24"/>
              </w:rPr>
              <w:t>„</w:t>
            </w:r>
            <w:proofErr w:type="spellStart"/>
            <w:r w:rsidR="00751EE7" w:rsidRPr="003776F9">
              <w:rPr>
                <w:rFonts w:ascii="Times New Roman" w:hAnsi="Times New Roman"/>
                <w:sz w:val="24"/>
                <w:szCs w:val="24"/>
                <w:lang w:val="en-US"/>
              </w:rPr>
              <w:t>Dėl</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viešojo</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ir</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privataus</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sektorių</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partnerystės</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projektų</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rengimo</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ir</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įgyvendinimo</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metodinių</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rekomendacijų</w:t>
            </w:r>
            <w:proofErr w:type="spellEnd"/>
            <w:r w:rsidR="00751EE7" w:rsidRPr="003776F9">
              <w:rPr>
                <w:rFonts w:ascii="Times New Roman" w:hAnsi="Times New Roman"/>
                <w:sz w:val="24"/>
                <w:szCs w:val="24"/>
                <w:lang w:val="en-US"/>
              </w:rPr>
              <w:t xml:space="preserve"> </w:t>
            </w:r>
            <w:proofErr w:type="spellStart"/>
            <w:r w:rsidR="00751EE7" w:rsidRPr="003776F9">
              <w:rPr>
                <w:rFonts w:ascii="Times New Roman" w:hAnsi="Times New Roman"/>
                <w:sz w:val="24"/>
                <w:szCs w:val="24"/>
                <w:lang w:val="en-US"/>
              </w:rPr>
              <w:t>patvirtinimo</w:t>
            </w:r>
            <w:proofErr w:type="spellEnd"/>
            <w:r w:rsidR="00751EE7" w:rsidRPr="003776F9">
              <w:rPr>
                <w:rFonts w:ascii="Times New Roman" w:hAnsi="Times New Roman"/>
                <w:sz w:val="24"/>
                <w:szCs w:val="24"/>
              </w:rPr>
              <w:t>“</w:t>
            </w:r>
            <w:r w:rsidRPr="003776F9">
              <w:rPr>
                <w:rFonts w:ascii="Times New Roman" w:hAnsi="Times New Roman"/>
                <w:sz w:val="24"/>
                <w:szCs w:val="24"/>
              </w:rPr>
              <w:t>. Investicijų projekte turi būti aiškiai išskirti investavimo į energijos efektyvumą didinančios priemones ir  kultūros infrastruktūros modernizavimą tikslai bei, atitinkamai, atskirtos investavimo lėšos.</w:t>
            </w:r>
          </w:p>
        </w:tc>
        <w:tc>
          <w:tcPr>
            <w:tcW w:w="5513" w:type="dxa"/>
          </w:tcPr>
          <w:p w:rsidR="00665C34" w:rsidRPr="003776F9" w:rsidRDefault="0081132F" w:rsidP="009E4DF1">
            <w:pPr>
              <w:spacing w:after="0" w:line="240" w:lineRule="auto"/>
              <w:jc w:val="both"/>
              <w:rPr>
                <w:rFonts w:ascii="Times New Roman" w:hAnsi="Times New Roman"/>
                <w:b/>
                <w:sz w:val="24"/>
                <w:szCs w:val="24"/>
              </w:rPr>
            </w:pPr>
            <w:r w:rsidRPr="003776F9">
              <w:rPr>
                <w:rFonts w:ascii="Times New Roman" w:hAnsi="Times New Roman"/>
                <w:b/>
                <w:sz w:val="24"/>
                <w:szCs w:val="24"/>
              </w:rPr>
              <w:t>Atsižvelgta.</w:t>
            </w:r>
          </w:p>
          <w:p w:rsidR="0081132F" w:rsidRPr="003776F9" w:rsidRDefault="0081132F" w:rsidP="009E4DF1">
            <w:pPr>
              <w:spacing w:after="0" w:line="240" w:lineRule="auto"/>
              <w:jc w:val="both"/>
              <w:rPr>
                <w:rFonts w:ascii="Times New Roman" w:hAnsi="Times New Roman"/>
                <w:sz w:val="24"/>
                <w:szCs w:val="24"/>
              </w:rPr>
            </w:pPr>
            <w:r w:rsidRPr="003776F9">
              <w:rPr>
                <w:rFonts w:ascii="Times New Roman" w:hAnsi="Times New Roman"/>
                <w:sz w:val="24"/>
                <w:szCs w:val="24"/>
              </w:rPr>
              <w:t>Pakoreguotas Aprašo 2</w:t>
            </w:r>
            <w:r w:rsidR="007D5A72" w:rsidRPr="003776F9">
              <w:rPr>
                <w:rFonts w:ascii="Times New Roman" w:hAnsi="Times New Roman"/>
                <w:sz w:val="24"/>
                <w:szCs w:val="24"/>
              </w:rPr>
              <w:t>5</w:t>
            </w:r>
            <w:r w:rsidRPr="003776F9">
              <w:rPr>
                <w:rFonts w:ascii="Times New Roman" w:hAnsi="Times New Roman"/>
                <w:sz w:val="24"/>
                <w:szCs w:val="24"/>
              </w:rPr>
              <w:t>.1.1.2. p</w:t>
            </w:r>
            <w:r w:rsidR="00FA52CA" w:rsidRPr="003776F9">
              <w:rPr>
                <w:rFonts w:ascii="Times New Roman" w:hAnsi="Times New Roman"/>
                <w:sz w:val="24"/>
                <w:szCs w:val="24"/>
              </w:rPr>
              <w:t>apunktis</w:t>
            </w:r>
            <w:r w:rsidRPr="003776F9">
              <w:rPr>
                <w:rFonts w:ascii="Times New Roman" w:hAnsi="Times New Roman"/>
                <w:sz w:val="24"/>
                <w:szCs w:val="24"/>
              </w:rPr>
              <w:t>, kad kai investicijos į energijos vartojimo efektyvumą didinančias priemones sudaro 20 proc. ar daugiau pastato atnaujinimui planuojamos investicijų sumos, o energijos vartojimo audite nurodytas investicijų į energijos vartojimo efektyvumą didinančių priemonių atsipirkimo laikotarpis atitinka Viešųjų pastatų energinio efektyvumo didinimo programoje, patvirtintoje Lietuvos Respublikos Vyriausybės 2014 m. lapkričio 26 d. nutarimu Nr. 1328 „Dėl viešųjų pastatų energinio efektyvumo didinimo programos patvirtinimo“, nurodytą atsipirkimo laikotarpį, turi būti rengiamas investicijų projektas, kuriame išskiriamos 2 investavimo kryptys.</w:t>
            </w:r>
          </w:p>
        </w:tc>
      </w:tr>
      <w:tr w:rsidR="000F7125" w:rsidRPr="003776F9" w:rsidTr="008150E7">
        <w:tc>
          <w:tcPr>
            <w:tcW w:w="3085" w:type="dxa"/>
          </w:tcPr>
          <w:p w:rsidR="000F7125" w:rsidRPr="003776F9" w:rsidRDefault="000F7125" w:rsidP="00F316B4">
            <w:pPr>
              <w:spacing w:after="0" w:line="240" w:lineRule="auto"/>
              <w:rPr>
                <w:rFonts w:ascii="Times New Roman" w:hAnsi="Times New Roman"/>
                <w:sz w:val="24"/>
                <w:szCs w:val="24"/>
              </w:rPr>
            </w:pPr>
          </w:p>
        </w:tc>
        <w:tc>
          <w:tcPr>
            <w:tcW w:w="6394" w:type="dxa"/>
          </w:tcPr>
          <w:p w:rsidR="000F7125" w:rsidRPr="003776F9" w:rsidRDefault="00D72E7F" w:rsidP="00D72E7F">
            <w:pPr>
              <w:pStyle w:val="ListParagraph"/>
              <w:tabs>
                <w:tab w:val="left" w:pos="314"/>
              </w:tabs>
              <w:spacing w:after="0" w:line="240" w:lineRule="auto"/>
              <w:ind w:left="0"/>
              <w:jc w:val="both"/>
              <w:rPr>
                <w:rFonts w:ascii="Times New Roman" w:hAnsi="Times New Roman"/>
                <w:sz w:val="24"/>
                <w:szCs w:val="24"/>
              </w:rPr>
            </w:pPr>
            <w:r w:rsidRPr="003776F9">
              <w:rPr>
                <w:rFonts w:ascii="Times New Roman" w:hAnsi="Times New Roman"/>
                <w:sz w:val="24"/>
                <w:szCs w:val="24"/>
              </w:rPr>
              <w:t>3.</w:t>
            </w:r>
            <w:r w:rsidR="008F122B" w:rsidRPr="003776F9">
              <w:rPr>
                <w:rFonts w:ascii="Times New Roman" w:hAnsi="Times New Roman"/>
                <w:sz w:val="24"/>
                <w:szCs w:val="24"/>
              </w:rPr>
              <w:t>Siūloma atsisakyti nuostatos dėl investicijų projekto parengimo sumos dydžio ribojimo, kadangi nėra oficialių duomenų, kuriais būtų galima pagrįsti investicijų projektų parengimo išlaidų ribojimą (Aprašo 35 p</w:t>
            </w:r>
            <w:r w:rsidR="00C96F15" w:rsidRPr="003776F9">
              <w:rPr>
                <w:rFonts w:ascii="Times New Roman" w:hAnsi="Times New Roman"/>
                <w:sz w:val="24"/>
                <w:szCs w:val="24"/>
              </w:rPr>
              <w:t>unktas</w:t>
            </w:r>
            <w:r w:rsidR="008E3017" w:rsidRPr="003776F9">
              <w:rPr>
                <w:rFonts w:ascii="Times New Roman" w:hAnsi="Times New Roman"/>
                <w:sz w:val="24"/>
                <w:szCs w:val="24"/>
              </w:rPr>
              <w:t>, dabartinio Aprašo 37 punktas</w:t>
            </w:r>
            <w:r w:rsidR="008F122B" w:rsidRPr="003776F9">
              <w:rPr>
                <w:rFonts w:ascii="Times New Roman" w:hAnsi="Times New Roman"/>
                <w:sz w:val="24"/>
                <w:szCs w:val="24"/>
              </w:rPr>
              <w:t xml:space="preserve">). </w:t>
            </w:r>
          </w:p>
        </w:tc>
        <w:tc>
          <w:tcPr>
            <w:tcW w:w="5513" w:type="dxa"/>
          </w:tcPr>
          <w:p w:rsidR="000F7125" w:rsidRPr="003776F9" w:rsidRDefault="00066F2E"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066F2E" w:rsidRPr="003776F9" w:rsidRDefault="00066F2E" w:rsidP="009E4DF1">
            <w:pPr>
              <w:spacing w:after="0" w:line="240" w:lineRule="auto"/>
              <w:jc w:val="both"/>
              <w:rPr>
                <w:rFonts w:ascii="Times New Roman" w:hAnsi="Times New Roman"/>
                <w:sz w:val="24"/>
                <w:szCs w:val="24"/>
              </w:rPr>
            </w:pPr>
            <w:r w:rsidRPr="003776F9">
              <w:rPr>
                <w:rFonts w:ascii="Times New Roman" w:hAnsi="Times New Roman"/>
                <w:sz w:val="24"/>
                <w:szCs w:val="24"/>
              </w:rPr>
              <w:t>Aprašo 3</w:t>
            </w:r>
            <w:r w:rsidR="007D5A72" w:rsidRPr="003776F9">
              <w:rPr>
                <w:rFonts w:ascii="Times New Roman" w:hAnsi="Times New Roman"/>
                <w:sz w:val="24"/>
                <w:szCs w:val="24"/>
              </w:rPr>
              <w:t>7</w:t>
            </w:r>
            <w:r w:rsidRPr="003776F9">
              <w:rPr>
                <w:rFonts w:ascii="Times New Roman" w:hAnsi="Times New Roman"/>
                <w:sz w:val="24"/>
                <w:szCs w:val="24"/>
              </w:rPr>
              <w:t xml:space="preserve"> p</w:t>
            </w:r>
            <w:r w:rsidR="00A77DA3" w:rsidRPr="003776F9">
              <w:rPr>
                <w:rFonts w:ascii="Times New Roman" w:hAnsi="Times New Roman"/>
                <w:sz w:val="24"/>
                <w:szCs w:val="24"/>
              </w:rPr>
              <w:t>unkte</w:t>
            </w:r>
            <w:r w:rsidRPr="003776F9">
              <w:rPr>
                <w:rFonts w:ascii="Times New Roman" w:hAnsi="Times New Roman"/>
                <w:sz w:val="24"/>
                <w:szCs w:val="24"/>
              </w:rPr>
              <w:t xml:space="preserve"> numatytam investicijų projektų parengimo išlaidų ribojimo pagrindimui </w:t>
            </w:r>
            <w:r w:rsidR="00A77DA3" w:rsidRPr="003776F9">
              <w:rPr>
                <w:rFonts w:ascii="Times New Roman" w:hAnsi="Times New Roman"/>
                <w:sz w:val="24"/>
                <w:szCs w:val="24"/>
              </w:rPr>
              <w:t xml:space="preserve">Lietuvos Respublikos kultūros ministerija (toliau – </w:t>
            </w:r>
            <w:r w:rsidRPr="003776F9">
              <w:rPr>
                <w:rFonts w:ascii="Times New Roman" w:hAnsi="Times New Roman"/>
                <w:sz w:val="24"/>
                <w:szCs w:val="24"/>
              </w:rPr>
              <w:t>Ministerija</w:t>
            </w:r>
            <w:r w:rsidR="00A77DA3" w:rsidRPr="003776F9">
              <w:rPr>
                <w:rFonts w:ascii="Times New Roman" w:hAnsi="Times New Roman"/>
                <w:sz w:val="24"/>
                <w:szCs w:val="24"/>
              </w:rPr>
              <w:t>)</w:t>
            </w:r>
            <w:r w:rsidRPr="003776F9">
              <w:rPr>
                <w:rFonts w:ascii="Times New Roman" w:hAnsi="Times New Roman"/>
                <w:sz w:val="24"/>
                <w:szCs w:val="24"/>
              </w:rPr>
              <w:t xml:space="preserve"> atliko investicijų projektų rengimo ir konsultavimo paslaugas teikiančių įmonių apklausą</w:t>
            </w:r>
            <w:r w:rsidR="00D0507C" w:rsidRPr="003776F9">
              <w:rPr>
                <w:rFonts w:ascii="Times New Roman" w:hAnsi="Times New Roman"/>
                <w:sz w:val="24"/>
                <w:szCs w:val="24"/>
              </w:rPr>
              <w:t>. Todėl Apraše numatytas ribojimas pagrindžiamas oficialiais duomenimis.</w:t>
            </w:r>
          </w:p>
        </w:tc>
      </w:tr>
      <w:tr w:rsidR="008F122B" w:rsidRPr="003776F9" w:rsidTr="008150E7">
        <w:tc>
          <w:tcPr>
            <w:tcW w:w="3085" w:type="dxa"/>
          </w:tcPr>
          <w:p w:rsidR="008F122B" w:rsidRPr="003776F9" w:rsidRDefault="008F122B" w:rsidP="00F316B4">
            <w:pPr>
              <w:spacing w:after="0" w:line="240" w:lineRule="auto"/>
              <w:rPr>
                <w:rFonts w:ascii="Times New Roman" w:hAnsi="Times New Roman"/>
                <w:sz w:val="24"/>
                <w:szCs w:val="24"/>
              </w:rPr>
            </w:pPr>
          </w:p>
        </w:tc>
        <w:tc>
          <w:tcPr>
            <w:tcW w:w="6394" w:type="dxa"/>
          </w:tcPr>
          <w:p w:rsidR="008F122B" w:rsidRPr="003776F9" w:rsidRDefault="00066F2E" w:rsidP="004860C7">
            <w:pPr>
              <w:pStyle w:val="ListParagraph"/>
              <w:tabs>
                <w:tab w:val="left" w:pos="330"/>
              </w:tabs>
              <w:spacing w:after="0" w:line="240" w:lineRule="auto"/>
              <w:ind w:left="0"/>
              <w:jc w:val="both"/>
              <w:rPr>
                <w:rFonts w:ascii="Times New Roman" w:hAnsi="Times New Roman"/>
                <w:sz w:val="24"/>
                <w:szCs w:val="24"/>
              </w:rPr>
            </w:pPr>
            <w:r w:rsidRPr="003776F9">
              <w:rPr>
                <w:rFonts w:ascii="Times New Roman" w:hAnsi="Times New Roman"/>
                <w:sz w:val="24"/>
                <w:szCs w:val="24"/>
              </w:rPr>
              <w:t xml:space="preserve">4. </w:t>
            </w:r>
            <w:r w:rsidR="00FE0657" w:rsidRPr="003776F9">
              <w:rPr>
                <w:rFonts w:ascii="Times New Roman" w:hAnsi="Times New Roman"/>
                <w:sz w:val="24"/>
                <w:szCs w:val="24"/>
              </w:rPr>
              <w:t>El</w:t>
            </w:r>
            <w:r w:rsidR="00E217B7" w:rsidRPr="003776F9">
              <w:rPr>
                <w:rFonts w:ascii="Times New Roman" w:hAnsi="Times New Roman"/>
                <w:sz w:val="24"/>
                <w:szCs w:val="24"/>
              </w:rPr>
              <w:t>ektroniniu</w:t>
            </w:r>
            <w:r w:rsidR="00FE0657" w:rsidRPr="003776F9">
              <w:rPr>
                <w:rFonts w:ascii="Times New Roman" w:hAnsi="Times New Roman"/>
                <w:sz w:val="24"/>
                <w:szCs w:val="24"/>
              </w:rPr>
              <w:t xml:space="preserve"> paštu p</w:t>
            </w:r>
            <w:r w:rsidRPr="003776F9">
              <w:rPr>
                <w:rFonts w:ascii="Times New Roman" w:hAnsi="Times New Roman"/>
                <w:sz w:val="24"/>
                <w:szCs w:val="24"/>
              </w:rPr>
              <w:t xml:space="preserve">ateikti </w:t>
            </w:r>
            <w:r w:rsidR="00E217B7" w:rsidRPr="003776F9">
              <w:rPr>
                <w:rFonts w:ascii="Times New Roman" w:hAnsi="Times New Roman"/>
                <w:sz w:val="24"/>
                <w:szCs w:val="24"/>
              </w:rPr>
              <w:t>pa</w:t>
            </w:r>
            <w:r w:rsidRPr="003776F9">
              <w:rPr>
                <w:rFonts w:ascii="Times New Roman" w:hAnsi="Times New Roman"/>
                <w:sz w:val="24"/>
                <w:szCs w:val="24"/>
              </w:rPr>
              <w:t>siūly</w:t>
            </w:r>
            <w:r w:rsidR="008F122B" w:rsidRPr="003776F9">
              <w:rPr>
                <w:rFonts w:ascii="Times New Roman" w:hAnsi="Times New Roman"/>
                <w:sz w:val="24"/>
                <w:szCs w:val="24"/>
              </w:rPr>
              <w:t>mai dėl techninio pobūdžio aspektų korekcijų.</w:t>
            </w:r>
          </w:p>
        </w:tc>
        <w:tc>
          <w:tcPr>
            <w:tcW w:w="5513" w:type="dxa"/>
          </w:tcPr>
          <w:p w:rsidR="008F122B" w:rsidRPr="003776F9" w:rsidRDefault="008F122B" w:rsidP="009E4DF1">
            <w:pPr>
              <w:spacing w:after="0" w:line="240" w:lineRule="auto"/>
              <w:jc w:val="both"/>
              <w:rPr>
                <w:rFonts w:ascii="Times New Roman" w:hAnsi="Times New Roman"/>
                <w:b/>
                <w:sz w:val="24"/>
                <w:szCs w:val="24"/>
              </w:rPr>
            </w:pPr>
            <w:r w:rsidRPr="003776F9">
              <w:rPr>
                <w:rFonts w:ascii="Times New Roman" w:hAnsi="Times New Roman"/>
                <w:b/>
                <w:sz w:val="24"/>
                <w:szCs w:val="24"/>
              </w:rPr>
              <w:t>Atsižvelgta.</w:t>
            </w:r>
          </w:p>
          <w:p w:rsidR="00066F2E" w:rsidRPr="003776F9" w:rsidRDefault="00066F2E"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Pakoreguoti </w:t>
            </w:r>
            <w:r w:rsidR="00BE4619" w:rsidRPr="003776F9">
              <w:rPr>
                <w:rFonts w:ascii="Times New Roman" w:hAnsi="Times New Roman"/>
                <w:sz w:val="24"/>
                <w:szCs w:val="24"/>
              </w:rPr>
              <w:t xml:space="preserve">atitinkami </w:t>
            </w:r>
            <w:r w:rsidRPr="003776F9">
              <w:rPr>
                <w:rFonts w:ascii="Times New Roman" w:hAnsi="Times New Roman"/>
                <w:sz w:val="24"/>
                <w:szCs w:val="24"/>
              </w:rPr>
              <w:t>Aprašo punktai</w:t>
            </w:r>
            <w:r w:rsidR="00BE4619" w:rsidRPr="003776F9">
              <w:rPr>
                <w:rFonts w:ascii="Times New Roman" w:hAnsi="Times New Roman"/>
                <w:sz w:val="24"/>
                <w:szCs w:val="24"/>
              </w:rPr>
              <w:t xml:space="preserve"> ir priedai.</w:t>
            </w:r>
          </w:p>
        </w:tc>
      </w:tr>
      <w:tr w:rsidR="008E1855" w:rsidRPr="003776F9" w:rsidTr="008150E7">
        <w:tc>
          <w:tcPr>
            <w:tcW w:w="3085" w:type="dxa"/>
          </w:tcPr>
          <w:p w:rsidR="008E1855" w:rsidRPr="003776F9" w:rsidRDefault="00DE5F65" w:rsidP="00F316B4">
            <w:pPr>
              <w:spacing w:after="0" w:line="240" w:lineRule="auto"/>
              <w:rPr>
                <w:rFonts w:ascii="Times New Roman" w:hAnsi="Times New Roman"/>
                <w:sz w:val="24"/>
                <w:szCs w:val="24"/>
              </w:rPr>
            </w:pPr>
            <w:r w:rsidRPr="003776F9">
              <w:rPr>
                <w:rFonts w:ascii="Times New Roman" w:hAnsi="Times New Roman"/>
                <w:sz w:val="24"/>
                <w:szCs w:val="24"/>
              </w:rPr>
              <w:t>Lietuvos Respublikos energetikos ministerija, 2015-0</w:t>
            </w:r>
            <w:r w:rsidR="00A02330" w:rsidRPr="003776F9">
              <w:rPr>
                <w:rFonts w:ascii="Times New Roman" w:hAnsi="Times New Roman"/>
                <w:sz w:val="24"/>
                <w:szCs w:val="24"/>
              </w:rPr>
              <w:t>8-04</w:t>
            </w:r>
            <w:r w:rsidRPr="003776F9">
              <w:rPr>
                <w:rFonts w:ascii="Times New Roman" w:hAnsi="Times New Roman"/>
                <w:sz w:val="24"/>
                <w:szCs w:val="24"/>
              </w:rPr>
              <w:t xml:space="preserve"> rašt</w:t>
            </w:r>
            <w:r w:rsidR="00D64EE5" w:rsidRPr="003776F9">
              <w:rPr>
                <w:rFonts w:ascii="Times New Roman" w:hAnsi="Times New Roman"/>
                <w:sz w:val="24"/>
                <w:szCs w:val="24"/>
              </w:rPr>
              <w:t>as</w:t>
            </w:r>
            <w:r w:rsidRPr="003776F9">
              <w:rPr>
                <w:rFonts w:ascii="Times New Roman" w:hAnsi="Times New Roman"/>
                <w:sz w:val="24"/>
                <w:szCs w:val="24"/>
              </w:rPr>
              <w:t xml:space="preserve"> Nr. (18.</w:t>
            </w:r>
            <w:r w:rsidR="00A02330" w:rsidRPr="003776F9">
              <w:rPr>
                <w:rFonts w:ascii="Times New Roman" w:hAnsi="Times New Roman"/>
                <w:sz w:val="24"/>
                <w:szCs w:val="24"/>
              </w:rPr>
              <w:t>9-17)3-2165</w:t>
            </w:r>
          </w:p>
        </w:tc>
        <w:tc>
          <w:tcPr>
            <w:tcW w:w="6394" w:type="dxa"/>
          </w:tcPr>
          <w:p w:rsidR="008150E7" w:rsidRPr="003776F9" w:rsidRDefault="00D876DC" w:rsidP="004860C7">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1</w:t>
            </w:r>
            <w:r w:rsidR="00DE5F65" w:rsidRPr="003776F9">
              <w:rPr>
                <w:rFonts w:ascii="Times New Roman" w:hAnsi="Times New Roman"/>
                <w:sz w:val="24"/>
                <w:szCs w:val="24"/>
              </w:rPr>
              <w:t xml:space="preserve">. </w:t>
            </w:r>
            <w:r w:rsidR="006558CA" w:rsidRPr="003776F9">
              <w:rPr>
                <w:rFonts w:ascii="Times New Roman" w:hAnsi="Times New Roman"/>
                <w:sz w:val="24"/>
                <w:szCs w:val="24"/>
              </w:rPr>
              <w:t xml:space="preserve"> Siūlytume atsisakyti „didelės apimties projekto“ sąvokos, kadangi ji yra apibrėžta </w:t>
            </w:r>
            <w:r w:rsidR="009B0BA7" w:rsidRPr="003776F9">
              <w:rPr>
                <w:rFonts w:ascii="Times New Roman" w:hAnsi="Times New Roman"/>
                <w:sz w:val="24"/>
                <w:szCs w:val="24"/>
              </w:rPr>
              <w:t>Aprašo</w:t>
            </w:r>
            <w:r w:rsidR="009B0BA7" w:rsidRPr="003776F9">
              <w:rPr>
                <w:rFonts w:ascii="Times New Roman" w:hAnsi="Times New Roman"/>
                <w:sz w:val="24"/>
                <w:szCs w:val="24"/>
              </w:rPr>
              <w:t xml:space="preserve"> </w:t>
            </w:r>
            <w:r w:rsidR="006558CA" w:rsidRPr="003776F9">
              <w:rPr>
                <w:rFonts w:ascii="Times New Roman" w:hAnsi="Times New Roman"/>
                <w:sz w:val="24"/>
                <w:szCs w:val="24"/>
              </w:rPr>
              <w:t xml:space="preserve">projekto 2.2. </w:t>
            </w:r>
            <w:r w:rsidR="00E217B7" w:rsidRPr="003776F9">
              <w:rPr>
                <w:rFonts w:ascii="Times New Roman" w:hAnsi="Times New Roman"/>
                <w:sz w:val="24"/>
                <w:szCs w:val="24"/>
              </w:rPr>
              <w:t xml:space="preserve">ppapunktyje </w:t>
            </w:r>
            <w:r w:rsidR="006558CA" w:rsidRPr="003776F9">
              <w:rPr>
                <w:rFonts w:ascii="Times New Roman" w:hAnsi="Times New Roman"/>
                <w:sz w:val="24"/>
                <w:szCs w:val="24"/>
              </w:rPr>
              <w:t xml:space="preserve">minimose </w:t>
            </w:r>
            <w:r w:rsidR="009934D6" w:rsidRPr="003776F9">
              <w:rPr>
                <w:rFonts w:ascii="Times New Roman" w:hAnsi="Times New Roman"/>
                <w:color w:val="000000"/>
                <w:sz w:val="24"/>
                <w:szCs w:val="24"/>
              </w:rPr>
              <w:t xml:space="preserve">Atsakomybės ir funkcijų paskirstymo tarp institucijų, įgyvendinant 2014–2020 metų Europos Sąjungos fondų </w:t>
            </w:r>
            <w:r w:rsidR="009934D6" w:rsidRPr="003776F9">
              <w:rPr>
                <w:rFonts w:ascii="Times New Roman" w:hAnsi="Times New Roman"/>
                <w:color w:val="000000"/>
                <w:sz w:val="24"/>
                <w:szCs w:val="24"/>
              </w:rPr>
              <w:lastRenderedPageBreak/>
              <w:t>investic</w:t>
            </w:r>
            <w:r w:rsidR="009934D6" w:rsidRPr="003776F9">
              <w:rPr>
                <w:rFonts w:ascii="Times New Roman" w:hAnsi="Times New Roman"/>
                <w:color w:val="000000"/>
                <w:sz w:val="24"/>
                <w:szCs w:val="24"/>
              </w:rPr>
              <w:t>ijų veiksmų programą, taisyklėse</w:t>
            </w:r>
            <w:r w:rsidR="009934D6" w:rsidRPr="003776F9">
              <w:rPr>
                <w:rFonts w:ascii="Times New Roman" w:hAnsi="Times New Roman"/>
                <w:color w:val="000000"/>
                <w:sz w:val="24"/>
                <w:szCs w:val="24"/>
              </w:rPr>
              <w:t>, patvirtintos</w:t>
            </w:r>
            <w:r w:rsidR="009934D6" w:rsidRPr="003776F9">
              <w:rPr>
                <w:rFonts w:ascii="Times New Roman" w:hAnsi="Times New Roman"/>
                <w:color w:val="000000"/>
                <w:sz w:val="24"/>
                <w:szCs w:val="24"/>
              </w:rPr>
              <w:t>e</w:t>
            </w:r>
            <w:r w:rsidR="009934D6" w:rsidRPr="003776F9">
              <w:rPr>
                <w:rFonts w:ascii="Times New Roman" w:hAnsi="Times New Roman"/>
                <w:color w:val="000000"/>
                <w:sz w:val="24"/>
                <w:szCs w:val="24"/>
              </w:rPr>
              <w:t xml:space="preserve"> Lietuvos Respublikos Vyriausybės 2014 m. birželio 4 d. nutarimu Nr. 528 „Dėl Atsakomybės ir funkcijų paskirstymo tarp institucijų, įgyvendinant 2014–2020 metų Europos Sąjungos fondų investicijų veiksmų programą“ </w:t>
            </w:r>
            <w:r w:rsidR="006558CA" w:rsidRPr="003776F9">
              <w:rPr>
                <w:rFonts w:ascii="Times New Roman" w:hAnsi="Times New Roman"/>
                <w:sz w:val="24"/>
                <w:szCs w:val="24"/>
              </w:rPr>
              <w:t xml:space="preserve"> (</w:t>
            </w:r>
            <w:r w:rsidR="00FD72F1" w:rsidRPr="003776F9">
              <w:rPr>
                <w:rFonts w:ascii="Times New Roman" w:hAnsi="Times New Roman"/>
                <w:sz w:val="24"/>
                <w:szCs w:val="24"/>
              </w:rPr>
              <w:t>Aprašo</w:t>
            </w:r>
            <w:r w:rsidR="006558CA" w:rsidRPr="003776F9">
              <w:rPr>
                <w:rFonts w:ascii="Times New Roman" w:hAnsi="Times New Roman"/>
                <w:sz w:val="24"/>
                <w:szCs w:val="24"/>
              </w:rPr>
              <w:t xml:space="preserve"> 4.4. </w:t>
            </w:r>
            <w:r w:rsidR="00DD0197" w:rsidRPr="003776F9">
              <w:rPr>
                <w:rFonts w:ascii="Times New Roman" w:hAnsi="Times New Roman"/>
                <w:sz w:val="24"/>
                <w:szCs w:val="24"/>
              </w:rPr>
              <w:t>papunktis</w:t>
            </w:r>
            <w:r w:rsidR="006558CA" w:rsidRPr="003776F9">
              <w:rPr>
                <w:rFonts w:ascii="Times New Roman" w:hAnsi="Times New Roman"/>
                <w:sz w:val="24"/>
                <w:szCs w:val="24"/>
              </w:rPr>
              <w:t>)</w:t>
            </w:r>
            <w:r w:rsidR="000868CA" w:rsidRPr="003776F9">
              <w:rPr>
                <w:rFonts w:ascii="Times New Roman" w:hAnsi="Times New Roman"/>
                <w:sz w:val="24"/>
                <w:szCs w:val="24"/>
              </w:rPr>
              <w:t>.</w:t>
            </w:r>
          </w:p>
        </w:tc>
        <w:tc>
          <w:tcPr>
            <w:tcW w:w="5513" w:type="dxa"/>
          </w:tcPr>
          <w:p w:rsidR="00A724B3" w:rsidRPr="003776F9" w:rsidRDefault="00A724B3" w:rsidP="009E4DF1">
            <w:pPr>
              <w:spacing w:after="0" w:line="240" w:lineRule="auto"/>
              <w:jc w:val="both"/>
              <w:rPr>
                <w:rFonts w:ascii="Times New Roman" w:hAnsi="Times New Roman"/>
                <w:b/>
                <w:sz w:val="24"/>
                <w:szCs w:val="24"/>
              </w:rPr>
            </w:pPr>
            <w:r w:rsidRPr="003776F9">
              <w:rPr>
                <w:rFonts w:ascii="Times New Roman" w:hAnsi="Times New Roman"/>
                <w:b/>
                <w:sz w:val="24"/>
                <w:szCs w:val="24"/>
              </w:rPr>
              <w:lastRenderedPageBreak/>
              <w:t>Atsižvelgta.</w:t>
            </w:r>
          </w:p>
          <w:p w:rsidR="00DE5F65" w:rsidRPr="003776F9" w:rsidRDefault="00FD72F1" w:rsidP="009E4DF1">
            <w:pPr>
              <w:spacing w:after="0" w:line="240" w:lineRule="auto"/>
              <w:jc w:val="both"/>
              <w:rPr>
                <w:rFonts w:ascii="Times New Roman" w:hAnsi="Times New Roman"/>
                <w:sz w:val="24"/>
                <w:szCs w:val="24"/>
              </w:rPr>
            </w:pPr>
            <w:r w:rsidRPr="003776F9">
              <w:rPr>
                <w:rFonts w:ascii="Times New Roman" w:hAnsi="Times New Roman"/>
                <w:sz w:val="24"/>
                <w:szCs w:val="24"/>
              </w:rPr>
              <w:t>Apraš</w:t>
            </w:r>
            <w:r w:rsidR="00A724B3" w:rsidRPr="003776F9">
              <w:rPr>
                <w:rFonts w:ascii="Times New Roman" w:hAnsi="Times New Roman"/>
                <w:sz w:val="24"/>
                <w:szCs w:val="24"/>
              </w:rPr>
              <w:t xml:space="preserve">e išbraukta „didelės apimties projekto“ sąvoka, tačiau siekiant Aprašo nuostatų aiškumo, Aprašo 19 punktas papildytas išnaša su nuoroda, kokiame </w:t>
            </w:r>
            <w:r w:rsidR="00A724B3" w:rsidRPr="003776F9">
              <w:rPr>
                <w:rFonts w:ascii="Times New Roman" w:hAnsi="Times New Roman"/>
                <w:sz w:val="24"/>
                <w:szCs w:val="24"/>
              </w:rPr>
              <w:lastRenderedPageBreak/>
              <w:t xml:space="preserve">dokumente ši sąvoka yra apibrėžta. </w:t>
            </w:r>
          </w:p>
        </w:tc>
      </w:tr>
      <w:tr w:rsidR="00EE4C0E" w:rsidRPr="003776F9" w:rsidTr="008150E7">
        <w:tc>
          <w:tcPr>
            <w:tcW w:w="3085" w:type="dxa"/>
          </w:tcPr>
          <w:p w:rsidR="00EE4C0E" w:rsidRPr="003776F9" w:rsidRDefault="00EE4C0E" w:rsidP="00F316B4">
            <w:pPr>
              <w:spacing w:after="0" w:line="240" w:lineRule="auto"/>
              <w:rPr>
                <w:rFonts w:ascii="Times New Roman" w:hAnsi="Times New Roman"/>
                <w:sz w:val="24"/>
                <w:szCs w:val="24"/>
              </w:rPr>
            </w:pPr>
          </w:p>
        </w:tc>
        <w:tc>
          <w:tcPr>
            <w:tcW w:w="6394" w:type="dxa"/>
          </w:tcPr>
          <w:p w:rsidR="003E5182" w:rsidRPr="003776F9" w:rsidRDefault="000868CA" w:rsidP="00D72E7F">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2. Siūlytume numatyti ilgiausią galimą projektų įgyvendinimo trukmę</w:t>
            </w:r>
            <w:r w:rsidR="005A7D5F" w:rsidRPr="003776F9">
              <w:rPr>
                <w:rFonts w:ascii="Times New Roman" w:hAnsi="Times New Roman"/>
                <w:sz w:val="24"/>
                <w:szCs w:val="24"/>
              </w:rPr>
              <w:t>.</w:t>
            </w:r>
          </w:p>
        </w:tc>
        <w:tc>
          <w:tcPr>
            <w:tcW w:w="5513" w:type="dxa"/>
          </w:tcPr>
          <w:p w:rsidR="000868CA" w:rsidRPr="003776F9" w:rsidRDefault="000868CA"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D611A3" w:rsidRPr="003776F9" w:rsidRDefault="00A77DA3"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Vadovaujantis </w:t>
            </w:r>
            <w:r w:rsidR="00A536F9" w:rsidRPr="003776F9">
              <w:rPr>
                <w:rFonts w:ascii="Times New Roman" w:hAnsi="Times New Roman"/>
                <w:sz w:val="24"/>
                <w:szCs w:val="24"/>
              </w:rPr>
              <w:t>P</w:t>
            </w:r>
            <w:r w:rsidR="000868CA" w:rsidRPr="003776F9">
              <w:rPr>
                <w:rFonts w:ascii="Times New Roman" w:hAnsi="Times New Roman"/>
                <w:sz w:val="24"/>
                <w:szCs w:val="24"/>
              </w:rPr>
              <w:t xml:space="preserve">avyzdine </w:t>
            </w:r>
            <w:r w:rsidR="006D37E1" w:rsidRPr="003776F9">
              <w:rPr>
                <w:rFonts w:ascii="Times New Roman" w:hAnsi="Times New Roman"/>
                <w:sz w:val="24"/>
                <w:szCs w:val="24"/>
              </w:rPr>
              <w:t xml:space="preserve"> </w:t>
            </w:r>
            <w:r w:rsidR="00A536F9" w:rsidRPr="003776F9">
              <w:rPr>
                <w:rFonts w:ascii="Times New Roman" w:hAnsi="Times New Roman"/>
                <w:sz w:val="24"/>
                <w:szCs w:val="24"/>
              </w:rPr>
              <w:t>Projektų finansavimo sąlygų a</w:t>
            </w:r>
            <w:r w:rsidR="006D37E1" w:rsidRPr="003776F9">
              <w:rPr>
                <w:rFonts w:ascii="Times New Roman" w:hAnsi="Times New Roman"/>
                <w:sz w:val="24"/>
                <w:szCs w:val="24"/>
              </w:rPr>
              <w:t xml:space="preserve">prašo </w:t>
            </w:r>
            <w:r w:rsidR="000868CA" w:rsidRPr="003776F9">
              <w:rPr>
                <w:rFonts w:ascii="Times New Roman" w:hAnsi="Times New Roman"/>
                <w:sz w:val="24"/>
                <w:szCs w:val="24"/>
              </w:rPr>
              <w:t>forma,</w:t>
            </w:r>
            <w:r w:rsidR="00A536F9" w:rsidRPr="003776F9">
              <w:rPr>
                <w:rFonts w:ascii="Times New Roman" w:hAnsi="Times New Roman"/>
                <w:sz w:val="24"/>
                <w:szCs w:val="24"/>
              </w:rPr>
              <w:t xml:space="preserve"> patvirtinta 2014–2020 metų Europos Sąjungos struktūrinės paramos administravimo darbo grupės, sudarytos Lietuvos Respublikos finansų ministro 2013 m. liepos 11 d. įsakymu Nr. 1K-243 „Dėl darbo grupės sudarymo“, 2014 m. lapkričio 14 d. posėdžio protokolu Nr. 11</w:t>
            </w:r>
            <w:r w:rsidR="00E113E6" w:rsidRPr="003776F9">
              <w:rPr>
                <w:rFonts w:ascii="Times New Roman" w:hAnsi="Times New Roman"/>
                <w:sz w:val="24"/>
                <w:szCs w:val="24"/>
              </w:rPr>
              <w:t xml:space="preserve"> (toliau – Pavyzdinė aprašo forma)</w:t>
            </w:r>
            <w:r w:rsidR="00A536F9" w:rsidRPr="003776F9">
              <w:rPr>
                <w:rFonts w:ascii="Times New Roman" w:hAnsi="Times New Roman"/>
                <w:sz w:val="24"/>
                <w:szCs w:val="24"/>
              </w:rPr>
              <w:t>,</w:t>
            </w:r>
            <w:r w:rsidR="000868CA" w:rsidRPr="003776F9">
              <w:rPr>
                <w:rFonts w:ascii="Times New Roman" w:hAnsi="Times New Roman"/>
                <w:sz w:val="24"/>
                <w:szCs w:val="24"/>
              </w:rPr>
              <w:t xml:space="preserve"> Ministerija reng</w:t>
            </w:r>
            <w:r w:rsidR="006D37E1" w:rsidRPr="003776F9">
              <w:rPr>
                <w:rFonts w:ascii="Times New Roman" w:hAnsi="Times New Roman"/>
                <w:sz w:val="24"/>
                <w:szCs w:val="24"/>
              </w:rPr>
              <w:t>d</w:t>
            </w:r>
            <w:r w:rsidR="000868CA" w:rsidRPr="003776F9">
              <w:rPr>
                <w:rFonts w:ascii="Times New Roman" w:hAnsi="Times New Roman"/>
                <w:sz w:val="24"/>
                <w:szCs w:val="24"/>
              </w:rPr>
              <w:t xml:space="preserve">ama </w:t>
            </w:r>
            <w:r w:rsidR="006D37E1" w:rsidRPr="003776F9">
              <w:rPr>
                <w:rFonts w:ascii="Times New Roman" w:hAnsi="Times New Roman"/>
                <w:sz w:val="24"/>
                <w:szCs w:val="24"/>
              </w:rPr>
              <w:t xml:space="preserve"> Aprašą </w:t>
            </w:r>
            <w:r w:rsidR="000868CA" w:rsidRPr="003776F9">
              <w:rPr>
                <w:rFonts w:ascii="Times New Roman" w:hAnsi="Times New Roman"/>
                <w:sz w:val="24"/>
                <w:szCs w:val="24"/>
              </w:rPr>
              <w:t>pasirenka, kokią formuluotę nurodyti: projektų įgyvendinimo trukmės ar projektų veiklų pabaigos. Atsižvelgiant į priemonės lėšomis finansuotinų projektų specifiškumą, negalima visiems projektams nustatyti vieningo</w:t>
            </w:r>
            <w:r w:rsidR="00E5026D" w:rsidRPr="003776F9">
              <w:rPr>
                <w:rFonts w:ascii="Times New Roman" w:hAnsi="Times New Roman"/>
                <w:sz w:val="24"/>
                <w:szCs w:val="24"/>
              </w:rPr>
              <w:t>s projektų įgyvendinimo trukmės, todėl nustatoma data, iki kada turi būti baigtos</w:t>
            </w:r>
            <w:r w:rsidR="000868CA" w:rsidRPr="003776F9">
              <w:rPr>
                <w:rFonts w:ascii="Times New Roman" w:hAnsi="Times New Roman"/>
                <w:sz w:val="24"/>
                <w:szCs w:val="24"/>
              </w:rPr>
              <w:t xml:space="preserve"> </w:t>
            </w:r>
            <w:r w:rsidR="00E5026D" w:rsidRPr="003776F9">
              <w:rPr>
                <w:rFonts w:ascii="Times New Roman" w:hAnsi="Times New Roman"/>
                <w:sz w:val="24"/>
                <w:szCs w:val="24"/>
              </w:rPr>
              <w:t>projekto veiklos.</w:t>
            </w:r>
          </w:p>
        </w:tc>
      </w:tr>
      <w:tr w:rsidR="00C360A7" w:rsidRPr="003776F9" w:rsidTr="008150E7">
        <w:tc>
          <w:tcPr>
            <w:tcW w:w="3085" w:type="dxa"/>
          </w:tcPr>
          <w:p w:rsidR="00C360A7" w:rsidRPr="003776F9" w:rsidRDefault="00C360A7" w:rsidP="00F316B4">
            <w:pPr>
              <w:spacing w:after="0" w:line="240" w:lineRule="auto"/>
              <w:rPr>
                <w:rFonts w:ascii="Times New Roman" w:hAnsi="Times New Roman"/>
                <w:sz w:val="24"/>
                <w:szCs w:val="24"/>
              </w:rPr>
            </w:pPr>
          </w:p>
        </w:tc>
        <w:tc>
          <w:tcPr>
            <w:tcW w:w="6394" w:type="dxa"/>
          </w:tcPr>
          <w:p w:rsidR="00C360A7" w:rsidRPr="003776F9" w:rsidRDefault="003D6864" w:rsidP="006E7EA1">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3. </w:t>
            </w:r>
            <w:r w:rsidRPr="003776F9">
              <w:rPr>
                <w:rFonts w:ascii="Times New Roman" w:hAnsi="Times New Roman"/>
                <w:sz w:val="24"/>
                <w:szCs w:val="24"/>
                <w:lang w:bidi="en-US"/>
              </w:rPr>
              <w:t xml:space="preserve">Vadovaujantis 2015 m. gegužės 6 d. Lietuvos Respublikos finansų ministro įsakymu Nr. 1K-160 patvirtintu Projektų administravimo ir finansavimo taisyklių pakeitimu, pagal </w:t>
            </w:r>
            <w:r w:rsidRPr="003776F9">
              <w:rPr>
                <w:rFonts w:ascii="Times New Roman" w:hAnsi="Times New Roman"/>
                <w:color w:val="000000"/>
                <w:sz w:val="24"/>
                <w:szCs w:val="24"/>
              </w:rPr>
              <w:t>67</w:t>
            </w:r>
            <w:r w:rsidRPr="003776F9">
              <w:rPr>
                <w:rFonts w:ascii="Times New Roman" w:hAnsi="Times New Roman"/>
                <w:color w:val="000000"/>
                <w:sz w:val="24"/>
                <w:szCs w:val="24"/>
                <w:vertAlign w:val="superscript"/>
              </w:rPr>
              <w:t>1</w:t>
            </w:r>
            <w:r w:rsidRPr="003776F9">
              <w:rPr>
                <w:rFonts w:ascii="Times New Roman" w:hAnsi="Times New Roman"/>
                <w:sz w:val="24"/>
                <w:szCs w:val="24"/>
                <w:lang w:bidi="en-US"/>
              </w:rPr>
              <w:t xml:space="preserve"> punktą siūlytume nuorodą „</w:t>
            </w:r>
            <w:hyperlink r:id="rId8" w:history="1">
              <w:r w:rsidRPr="003776F9">
                <w:rPr>
                  <w:rStyle w:val="Hyperlink"/>
                  <w:rFonts w:ascii="Times New Roman" w:hAnsi="Times New Roman"/>
                  <w:sz w:val="24"/>
                  <w:szCs w:val="24"/>
                  <w:lang w:bidi="en-US"/>
                </w:rPr>
                <w:t>www.esinvesticijos.lt</w:t>
              </w:r>
            </w:hyperlink>
            <w:r w:rsidRPr="003776F9">
              <w:rPr>
                <w:rFonts w:ascii="Times New Roman" w:hAnsi="Times New Roman"/>
                <w:sz w:val="24"/>
                <w:szCs w:val="24"/>
                <w:lang w:bidi="en-US"/>
              </w:rPr>
              <w:t>“ patikslinti į „</w:t>
            </w:r>
            <w:hyperlink r:id="rId9" w:history="1">
              <w:r w:rsidRPr="003776F9">
                <w:rPr>
                  <w:rStyle w:val="Hyperlink"/>
                  <w:rFonts w:ascii="Times New Roman" w:hAnsi="Times New Roman"/>
                  <w:sz w:val="24"/>
                  <w:szCs w:val="24"/>
                  <w:lang w:bidi="en-US"/>
                </w:rPr>
                <w:t>www.finmin.lt</w:t>
              </w:r>
            </w:hyperlink>
            <w:r w:rsidRPr="003776F9">
              <w:rPr>
                <w:rStyle w:val="Hyperlink"/>
                <w:rFonts w:ascii="Times New Roman" w:hAnsi="Times New Roman"/>
                <w:sz w:val="24"/>
                <w:szCs w:val="24"/>
                <w:lang w:bidi="en-US"/>
              </w:rPr>
              <w:t>“</w:t>
            </w:r>
            <w:r w:rsidRPr="003776F9">
              <w:rPr>
                <w:rFonts w:ascii="Times New Roman" w:hAnsi="Times New Roman"/>
                <w:sz w:val="24"/>
                <w:szCs w:val="24"/>
                <w:lang w:bidi="en-US"/>
              </w:rPr>
              <w:t xml:space="preserve"> (</w:t>
            </w:r>
            <w:r w:rsidR="00EC3310" w:rsidRPr="003776F9">
              <w:rPr>
                <w:rFonts w:ascii="Times New Roman" w:hAnsi="Times New Roman"/>
                <w:sz w:val="24"/>
                <w:szCs w:val="24"/>
              </w:rPr>
              <w:t>Aprašo</w:t>
            </w:r>
            <w:r w:rsidRPr="003776F9">
              <w:rPr>
                <w:rFonts w:ascii="Times New Roman" w:hAnsi="Times New Roman"/>
                <w:sz w:val="24"/>
                <w:szCs w:val="24"/>
                <w:lang w:bidi="en-US"/>
              </w:rPr>
              <w:t xml:space="preserve"> 24.1. </w:t>
            </w:r>
            <w:r w:rsidR="00DD0197" w:rsidRPr="003776F9">
              <w:rPr>
                <w:rFonts w:ascii="Times New Roman" w:hAnsi="Times New Roman"/>
                <w:sz w:val="24"/>
                <w:szCs w:val="24"/>
                <w:lang w:bidi="en-US"/>
              </w:rPr>
              <w:t>papunktis</w:t>
            </w:r>
            <w:r w:rsidR="006E7EA1" w:rsidRPr="003776F9">
              <w:rPr>
                <w:rFonts w:ascii="Times New Roman" w:hAnsi="Times New Roman"/>
                <w:sz w:val="24"/>
                <w:szCs w:val="24"/>
                <w:lang w:bidi="en-US"/>
              </w:rPr>
              <w:t>, dabartinio Aprašo 25.1.1. papunktis)</w:t>
            </w:r>
            <w:r w:rsidR="00633B7F" w:rsidRPr="003776F9">
              <w:rPr>
                <w:rFonts w:ascii="Times New Roman" w:hAnsi="Times New Roman"/>
                <w:sz w:val="24"/>
                <w:szCs w:val="24"/>
                <w:lang w:bidi="en-US"/>
              </w:rPr>
              <w:t>.</w:t>
            </w:r>
          </w:p>
        </w:tc>
        <w:tc>
          <w:tcPr>
            <w:tcW w:w="5513" w:type="dxa"/>
          </w:tcPr>
          <w:p w:rsidR="003D6864" w:rsidRPr="003776F9" w:rsidRDefault="003D6864" w:rsidP="009E4DF1">
            <w:pPr>
              <w:spacing w:after="0" w:line="240" w:lineRule="auto"/>
              <w:jc w:val="both"/>
              <w:rPr>
                <w:rFonts w:ascii="Times New Roman" w:hAnsi="Times New Roman"/>
                <w:b/>
                <w:sz w:val="24"/>
                <w:szCs w:val="24"/>
              </w:rPr>
            </w:pPr>
            <w:r w:rsidRPr="003776F9">
              <w:rPr>
                <w:rFonts w:ascii="Times New Roman" w:hAnsi="Times New Roman"/>
                <w:b/>
                <w:sz w:val="24"/>
                <w:szCs w:val="24"/>
              </w:rPr>
              <w:t>Atsižvelgta.</w:t>
            </w:r>
          </w:p>
          <w:p w:rsidR="00C360A7" w:rsidRPr="003776F9" w:rsidRDefault="003D6864" w:rsidP="009E4DF1">
            <w:pPr>
              <w:spacing w:after="0" w:line="240" w:lineRule="auto"/>
              <w:jc w:val="both"/>
              <w:rPr>
                <w:rFonts w:ascii="Times New Roman" w:hAnsi="Times New Roman"/>
                <w:b/>
                <w:sz w:val="24"/>
                <w:szCs w:val="24"/>
              </w:rPr>
            </w:pPr>
            <w:r w:rsidRPr="003776F9">
              <w:rPr>
                <w:rFonts w:ascii="Times New Roman" w:hAnsi="Times New Roman"/>
                <w:sz w:val="24"/>
                <w:szCs w:val="24"/>
              </w:rPr>
              <w:t>Pakoreguot</w:t>
            </w:r>
            <w:r w:rsidR="001874FC" w:rsidRPr="003776F9">
              <w:rPr>
                <w:rFonts w:ascii="Times New Roman" w:hAnsi="Times New Roman"/>
                <w:sz w:val="24"/>
                <w:szCs w:val="24"/>
              </w:rPr>
              <w:t>i</w:t>
            </w:r>
            <w:r w:rsidRPr="003776F9">
              <w:rPr>
                <w:rFonts w:ascii="Times New Roman" w:hAnsi="Times New Roman"/>
                <w:sz w:val="24"/>
                <w:szCs w:val="24"/>
              </w:rPr>
              <w:t xml:space="preserve"> Aprašo </w:t>
            </w:r>
            <w:r w:rsidR="00674F58" w:rsidRPr="003776F9">
              <w:rPr>
                <w:rFonts w:ascii="Times New Roman" w:hAnsi="Times New Roman"/>
                <w:sz w:val="24"/>
                <w:szCs w:val="24"/>
              </w:rPr>
              <w:t>25.1.1. ir 40.1.</w:t>
            </w:r>
            <w:r w:rsidRPr="003776F9">
              <w:rPr>
                <w:rFonts w:ascii="Times New Roman" w:hAnsi="Times New Roman"/>
                <w:sz w:val="24"/>
                <w:szCs w:val="24"/>
              </w:rPr>
              <w:t xml:space="preserve"> </w:t>
            </w:r>
            <w:r w:rsidR="001874FC" w:rsidRPr="003776F9">
              <w:rPr>
                <w:rFonts w:ascii="Times New Roman" w:hAnsi="Times New Roman"/>
                <w:sz w:val="24"/>
                <w:szCs w:val="24"/>
              </w:rPr>
              <w:t>papunkčiai</w:t>
            </w:r>
            <w:r w:rsidRPr="003776F9">
              <w:rPr>
                <w:rFonts w:ascii="Times New Roman" w:hAnsi="Times New Roman"/>
                <w:sz w:val="24"/>
                <w:szCs w:val="24"/>
              </w:rPr>
              <w:t>.</w:t>
            </w:r>
          </w:p>
        </w:tc>
      </w:tr>
      <w:tr w:rsidR="00F42969" w:rsidRPr="003776F9" w:rsidTr="008150E7">
        <w:tc>
          <w:tcPr>
            <w:tcW w:w="3085" w:type="dxa"/>
          </w:tcPr>
          <w:p w:rsidR="00F42969" w:rsidRPr="003776F9" w:rsidRDefault="00F42969" w:rsidP="009E4DF1">
            <w:pPr>
              <w:spacing w:after="0" w:line="240" w:lineRule="auto"/>
              <w:rPr>
                <w:rFonts w:ascii="Times New Roman" w:hAnsi="Times New Roman"/>
                <w:sz w:val="24"/>
                <w:szCs w:val="24"/>
              </w:rPr>
            </w:pPr>
          </w:p>
        </w:tc>
        <w:tc>
          <w:tcPr>
            <w:tcW w:w="6394" w:type="dxa"/>
          </w:tcPr>
          <w:p w:rsidR="00F42969" w:rsidRPr="003776F9" w:rsidRDefault="00D72E7F" w:rsidP="00BA2FF7">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4.  </w:t>
            </w:r>
            <w:r w:rsidR="00F42969" w:rsidRPr="003776F9">
              <w:rPr>
                <w:rFonts w:ascii="Times New Roman" w:hAnsi="Times New Roman"/>
                <w:sz w:val="24"/>
                <w:szCs w:val="24"/>
              </w:rPr>
              <w:t>Atkreipiame dėmesį, kad neigiamo atsakymo iš UAB „Viešųjų investicijų plėtros agentūros“</w:t>
            </w:r>
            <w:r w:rsidR="00F42969" w:rsidRPr="003776F9">
              <w:rPr>
                <w:rFonts w:ascii="Times New Roman" w:hAnsi="Times New Roman"/>
                <w:i/>
                <w:sz w:val="24"/>
                <w:szCs w:val="24"/>
              </w:rPr>
              <w:t xml:space="preserve"> </w:t>
            </w:r>
            <w:r w:rsidR="00F42969" w:rsidRPr="003776F9">
              <w:rPr>
                <w:rFonts w:ascii="Times New Roman" w:hAnsi="Times New Roman"/>
                <w:sz w:val="24"/>
                <w:szCs w:val="24"/>
              </w:rPr>
              <w:t xml:space="preserve">dėl finansavimo iš Energijos efektyvumo fondo, finansuojamo Europos regioninės plėtros fondo lėšomis, atveju, pastatų valdytojai, kurių pastatai </w:t>
            </w:r>
            <w:r w:rsidR="00F42969" w:rsidRPr="003776F9">
              <w:rPr>
                <w:rFonts w:ascii="Times New Roman" w:hAnsi="Times New Roman"/>
                <w:sz w:val="24"/>
                <w:szCs w:val="24"/>
              </w:rPr>
              <w:lastRenderedPageBreak/>
              <w:t>įtraukti į Lietuvos Respublikos energetikos ministro įsakymu kasmet tvirtinamą Tinkamų atnaujinti pastatų sąrašą, turi teisę kreiptis finansavimo grąžintinos subsidijos būdu į Lietuvos Respublikos energetikos ministeriją. Todėl siūlome tai numatyti projektų finansavimo sąlygų aprašuose.</w:t>
            </w:r>
            <w:r w:rsidR="00EC793E" w:rsidRPr="003776F9">
              <w:rPr>
                <w:rFonts w:ascii="Times New Roman" w:hAnsi="Times New Roman"/>
                <w:sz w:val="24"/>
                <w:szCs w:val="24"/>
              </w:rPr>
              <w:t xml:space="preserve"> (Aprašo 24.1.3.2., </w:t>
            </w:r>
            <w:r w:rsidR="00EC793E" w:rsidRPr="003776F9">
              <w:rPr>
                <w:rStyle w:val="CommentReference"/>
                <w:rFonts w:ascii="Times New Roman" w:hAnsi="Times New Roman"/>
                <w:sz w:val="24"/>
                <w:szCs w:val="24"/>
              </w:rPr>
              <w:t xml:space="preserve">36.1., 37.5 </w:t>
            </w:r>
            <w:r w:rsidR="00DD0197" w:rsidRPr="003776F9">
              <w:rPr>
                <w:rStyle w:val="CommentReference"/>
                <w:rFonts w:ascii="Times New Roman" w:hAnsi="Times New Roman"/>
                <w:sz w:val="24"/>
                <w:szCs w:val="24"/>
              </w:rPr>
              <w:t>papunkčiai</w:t>
            </w:r>
            <w:r w:rsidR="00BA2FF7" w:rsidRPr="003776F9">
              <w:rPr>
                <w:rStyle w:val="CommentReference"/>
                <w:rFonts w:ascii="Times New Roman" w:hAnsi="Times New Roman"/>
                <w:sz w:val="24"/>
                <w:szCs w:val="24"/>
              </w:rPr>
              <w:t>, dabartinio Aprašo 25.1.3. papunktis, 38 punktas, 40.5. papunktis</w:t>
            </w:r>
            <w:r w:rsidR="00EC793E" w:rsidRPr="003776F9">
              <w:rPr>
                <w:rStyle w:val="CommentReference"/>
                <w:rFonts w:ascii="Times New Roman" w:hAnsi="Times New Roman"/>
                <w:sz w:val="24"/>
                <w:szCs w:val="24"/>
              </w:rPr>
              <w:t>).</w:t>
            </w:r>
            <w:r w:rsidR="00E505FB" w:rsidRPr="003776F9">
              <w:rPr>
                <w:rStyle w:val="CommentReference"/>
                <w:rFonts w:ascii="Times New Roman" w:hAnsi="Times New Roman"/>
                <w:sz w:val="24"/>
                <w:szCs w:val="24"/>
              </w:rPr>
              <w:t xml:space="preserve"> </w:t>
            </w:r>
          </w:p>
        </w:tc>
        <w:tc>
          <w:tcPr>
            <w:tcW w:w="5513" w:type="dxa"/>
          </w:tcPr>
          <w:p w:rsidR="006C3AA6" w:rsidRPr="003776F9" w:rsidRDefault="006C3AA6" w:rsidP="009E4DF1">
            <w:pPr>
              <w:spacing w:after="0" w:line="240" w:lineRule="auto"/>
              <w:jc w:val="both"/>
              <w:rPr>
                <w:rFonts w:ascii="Times New Roman" w:hAnsi="Times New Roman"/>
                <w:b/>
                <w:sz w:val="24"/>
                <w:szCs w:val="24"/>
              </w:rPr>
            </w:pPr>
            <w:r w:rsidRPr="003776F9">
              <w:rPr>
                <w:rFonts w:ascii="Times New Roman" w:hAnsi="Times New Roman"/>
                <w:b/>
                <w:sz w:val="24"/>
                <w:szCs w:val="24"/>
              </w:rPr>
              <w:lastRenderedPageBreak/>
              <w:t>Neatsižvelgta.</w:t>
            </w:r>
          </w:p>
          <w:p w:rsidR="00F42969" w:rsidRPr="003776F9" w:rsidRDefault="006C3AA6"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Grąžintinos subsidijos klausimas turėtų būti sprendžiamas ministerijų lygmeniu planuojant konkretaus projekto finansavimo šaltinius. Tinkamai </w:t>
            </w:r>
            <w:r w:rsidRPr="003776F9">
              <w:rPr>
                <w:rFonts w:ascii="Times New Roman" w:hAnsi="Times New Roman"/>
                <w:sz w:val="24"/>
                <w:szCs w:val="24"/>
              </w:rPr>
              <w:lastRenderedPageBreak/>
              <w:t xml:space="preserve">suorientuoti pareiškėją yra sudėtinga, nes Tinkamų atnaujinti pastatų sąrašas </w:t>
            </w:r>
            <w:r w:rsidR="00E858FA" w:rsidRPr="003776F9">
              <w:rPr>
                <w:rFonts w:ascii="Times New Roman" w:hAnsi="Times New Roman"/>
                <w:sz w:val="24"/>
                <w:szCs w:val="24"/>
              </w:rPr>
              <w:t xml:space="preserve">keičiasi </w:t>
            </w:r>
            <w:r w:rsidRPr="003776F9">
              <w:rPr>
                <w:rFonts w:ascii="Times New Roman" w:hAnsi="Times New Roman"/>
                <w:sz w:val="24"/>
                <w:szCs w:val="24"/>
              </w:rPr>
              <w:t xml:space="preserve">kasmet, </w:t>
            </w:r>
            <w:r w:rsidR="00E858FA" w:rsidRPr="003776F9">
              <w:rPr>
                <w:rFonts w:ascii="Times New Roman" w:hAnsi="Times New Roman"/>
                <w:sz w:val="24"/>
                <w:szCs w:val="24"/>
              </w:rPr>
              <w:t xml:space="preserve">nėra aiškumo, </w:t>
            </w:r>
            <w:r w:rsidRPr="003776F9">
              <w:rPr>
                <w:rFonts w:ascii="Times New Roman" w:hAnsi="Times New Roman"/>
                <w:sz w:val="24"/>
                <w:szCs w:val="24"/>
              </w:rPr>
              <w:t xml:space="preserve">ar </w:t>
            </w:r>
            <w:r w:rsidR="00E858FA" w:rsidRPr="003776F9">
              <w:rPr>
                <w:rFonts w:ascii="Times New Roman" w:hAnsi="Times New Roman"/>
                <w:sz w:val="24"/>
                <w:szCs w:val="24"/>
              </w:rPr>
              <w:t>konkretus projektas</w:t>
            </w:r>
            <w:r w:rsidRPr="003776F9">
              <w:rPr>
                <w:rFonts w:ascii="Times New Roman" w:hAnsi="Times New Roman"/>
                <w:sz w:val="24"/>
                <w:szCs w:val="24"/>
              </w:rPr>
              <w:t xml:space="preserve"> bus </w:t>
            </w:r>
            <w:r w:rsidR="00E858FA" w:rsidRPr="003776F9">
              <w:rPr>
                <w:rFonts w:ascii="Times New Roman" w:hAnsi="Times New Roman"/>
                <w:sz w:val="24"/>
                <w:szCs w:val="24"/>
              </w:rPr>
              <w:t xml:space="preserve">ir kada </w:t>
            </w:r>
            <w:r w:rsidRPr="003776F9">
              <w:rPr>
                <w:rFonts w:ascii="Times New Roman" w:hAnsi="Times New Roman"/>
                <w:sz w:val="24"/>
                <w:szCs w:val="24"/>
              </w:rPr>
              <w:t xml:space="preserve">į jį įtrauktas, todėl tokia nuostata neturėtų būti minima Apraše. </w:t>
            </w:r>
            <w:r w:rsidR="00E858FA" w:rsidRPr="003776F9">
              <w:rPr>
                <w:rFonts w:ascii="Times New Roman" w:hAnsi="Times New Roman"/>
                <w:sz w:val="24"/>
                <w:szCs w:val="24"/>
              </w:rPr>
              <w:t>Taip pat</w:t>
            </w:r>
            <w:r w:rsidRPr="003776F9">
              <w:rPr>
                <w:rFonts w:ascii="Times New Roman" w:hAnsi="Times New Roman"/>
                <w:sz w:val="24"/>
                <w:szCs w:val="24"/>
              </w:rPr>
              <w:t>, nėra aiškus subsidijos ir grąžintinos subsidijos derinimo mechanizmas.</w:t>
            </w:r>
          </w:p>
        </w:tc>
      </w:tr>
      <w:tr w:rsidR="00F42969" w:rsidRPr="003776F9" w:rsidTr="008150E7">
        <w:tc>
          <w:tcPr>
            <w:tcW w:w="3085" w:type="dxa"/>
          </w:tcPr>
          <w:p w:rsidR="00F42969" w:rsidRPr="003776F9" w:rsidRDefault="00F42969" w:rsidP="009E4DF1">
            <w:pPr>
              <w:spacing w:after="0" w:line="240" w:lineRule="auto"/>
              <w:rPr>
                <w:rFonts w:ascii="Times New Roman" w:hAnsi="Times New Roman"/>
                <w:sz w:val="24"/>
                <w:szCs w:val="24"/>
              </w:rPr>
            </w:pPr>
          </w:p>
        </w:tc>
        <w:tc>
          <w:tcPr>
            <w:tcW w:w="6394" w:type="dxa"/>
          </w:tcPr>
          <w:p w:rsidR="00F42969" w:rsidRPr="003776F9" w:rsidRDefault="00607556" w:rsidP="007E1836">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5. </w:t>
            </w:r>
            <w:r w:rsidR="00F42969" w:rsidRPr="003776F9">
              <w:rPr>
                <w:rFonts w:ascii="Times New Roman" w:hAnsi="Times New Roman"/>
                <w:sz w:val="24"/>
                <w:szCs w:val="24"/>
              </w:rPr>
              <w:t>Atkreipiame dėmesį, kad planuoti investicijas į energijos vartojimo efektyvumą didinančias priemones pagal Veiksmų programos 4 prioriteto „Energijos efektyvumo ir atsinaujinančių išteklių energijos gamybos ir naudojimo skatinimas“ Nr. 04.3.1-VIPA-V-101 priemonę „Valstybei nuosavybės teise priklausančių pastatų atnaujinimas“, galės tik pastatai esantys Lietuvos Respublikos energetikos ministro įsakymu kasmet tvirtinamame Tinkamų atnaujinti pastatų sąraše.</w:t>
            </w:r>
            <w:r w:rsidR="000D4610" w:rsidRPr="003776F9">
              <w:rPr>
                <w:rFonts w:ascii="Times New Roman" w:hAnsi="Times New Roman"/>
                <w:sz w:val="24"/>
                <w:szCs w:val="24"/>
              </w:rPr>
              <w:t xml:space="preserve"> (Aprašo 24.1.3.3. p</w:t>
            </w:r>
            <w:r w:rsidR="00DD0197" w:rsidRPr="003776F9">
              <w:rPr>
                <w:rFonts w:ascii="Times New Roman" w:hAnsi="Times New Roman"/>
                <w:sz w:val="24"/>
                <w:szCs w:val="24"/>
              </w:rPr>
              <w:t>apunktis</w:t>
            </w:r>
            <w:r w:rsidR="007E1836" w:rsidRPr="003776F9">
              <w:rPr>
                <w:rFonts w:ascii="Times New Roman" w:hAnsi="Times New Roman"/>
                <w:sz w:val="24"/>
                <w:szCs w:val="24"/>
              </w:rPr>
              <w:t>, dabartinio Aprašo 25.1.1.2. papunktis)</w:t>
            </w:r>
            <w:r w:rsidR="000D4610" w:rsidRPr="003776F9">
              <w:rPr>
                <w:rFonts w:ascii="Times New Roman" w:hAnsi="Times New Roman"/>
                <w:sz w:val="24"/>
                <w:szCs w:val="24"/>
              </w:rPr>
              <w:t>.</w:t>
            </w:r>
          </w:p>
        </w:tc>
        <w:tc>
          <w:tcPr>
            <w:tcW w:w="5513" w:type="dxa"/>
          </w:tcPr>
          <w:p w:rsidR="00397430" w:rsidRPr="003776F9" w:rsidRDefault="00397430" w:rsidP="00F316B4">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397430" w:rsidRPr="003776F9" w:rsidRDefault="00397430" w:rsidP="009E4DF1">
            <w:pPr>
              <w:spacing w:after="0" w:line="240" w:lineRule="auto"/>
              <w:jc w:val="both"/>
              <w:rPr>
                <w:rFonts w:ascii="Times New Roman" w:hAnsi="Times New Roman"/>
                <w:sz w:val="24"/>
                <w:szCs w:val="24"/>
              </w:rPr>
            </w:pPr>
            <w:r w:rsidRPr="003776F9">
              <w:rPr>
                <w:rFonts w:ascii="Times New Roman" w:hAnsi="Times New Roman"/>
                <w:sz w:val="24"/>
                <w:szCs w:val="24"/>
              </w:rPr>
              <w:t>Ž</w:t>
            </w:r>
            <w:r w:rsidR="00DD0197" w:rsidRPr="003776F9">
              <w:rPr>
                <w:rFonts w:ascii="Times New Roman" w:hAnsi="Times New Roman"/>
                <w:sz w:val="24"/>
                <w:szCs w:val="24"/>
              </w:rPr>
              <w:t>iūrėti</w:t>
            </w:r>
            <w:r w:rsidRPr="003776F9">
              <w:rPr>
                <w:rFonts w:ascii="Times New Roman" w:hAnsi="Times New Roman"/>
                <w:sz w:val="24"/>
                <w:szCs w:val="24"/>
              </w:rPr>
              <w:t xml:space="preserve"> atsakymą į  4 pastabą. </w:t>
            </w:r>
          </w:p>
          <w:p w:rsidR="00F42969" w:rsidRPr="003776F9" w:rsidRDefault="00F42969" w:rsidP="009E4DF1">
            <w:pPr>
              <w:spacing w:after="0" w:line="240" w:lineRule="auto"/>
              <w:jc w:val="both"/>
              <w:rPr>
                <w:rFonts w:ascii="Times New Roman" w:hAnsi="Times New Roman"/>
                <w:sz w:val="24"/>
                <w:szCs w:val="24"/>
              </w:rPr>
            </w:pPr>
          </w:p>
        </w:tc>
      </w:tr>
      <w:tr w:rsidR="00F42969" w:rsidRPr="003776F9" w:rsidTr="008150E7">
        <w:tc>
          <w:tcPr>
            <w:tcW w:w="3085" w:type="dxa"/>
          </w:tcPr>
          <w:p w:rsidR="00F42969" w:rsidRPr="003776F9" w:rsidRDefault="00F42969" w:rsidP="009E4DF1">
            <w:pPr>
              <w:spacing w:after="0" w:line="240" w:lineRule="auto"/>
              <w:rPr>
                <w:rFonts w:ascii="Times New Roman" w:hAnsi="Times New Roman"/>
                <w:sz w:val="24"/>
                <w:szCs w:val="24"/>
              </w:rPr>
            </w:pPr>
          </w:p>
        </w:tc>
        <w:tc>
          <w:tcPr>
            <w:tcW w:w="6394" w:type="dxa"/>
          </w:tcPr>
          <w:p w:rsidR="00F42969" w:rsidRPr="003776F9" w:rsidRDefault="00607556" w:rsidP="002E5E98">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6. </w:t>
            </w:r>
            <w:r w:rsidR="00F42969" w:rsidRPr="003776F9">
              <w:rPr>
                <w:rFonts w:ascii="Times New Roman" w:hAnsi="Times New Roman"/>
                <w:sz w:val="24"/>
                <w:szCs w:val="24"/>
              </w:rPr>
              <w:t>Prašytume patikslinti, kad energijos vartojimo auditas turi būti parengtas ne anksčiau kaip 2014 m. sausio 1 d.</w:t>
            </w:r>
            <w:r w:rsidR="009514CF" w:rsidRPr="003776F9">
              <w:rPr>
                <w:rFonts w:ascii="Times New Roman" w:hAnsi="Times New Roman"/>
                <w:sz w:val="24"/>
                <w:szCs w:val="24"/>
              </w:rPr>
              <w:t xml:space="preserve"> (Aprašo 24.2. </w:t>
            </w:r>
            <w:r w:rsidR="00DD0197" w:rsidRPr="003776F9">
              <w:rPr>
                <w:rFonts w:ascii="Times New Roman" w:hAnsi="Times New Roman"/>
                <w:sz w:val="24"/>
                <w:szCs w:val="24"/>
              </w:rPr>
              <w:t>papunktis</w:t>
            </w:r>
            <w:r w:rsidR="002E5E98" w:rsidRPr="003776F9">
              <w:rPr>
                <w:rFonts w:ascii="Times New Roman" w:hAnsi="Times New Roman"/>
                <w:sz w:val="24"/>
                <w:szCs w:val="24"/>
              </w:rPr>
              <w:t>, dabartinio Aprašo 25.1.3. papunktis)</w:t>
            </w:r>
            <w:r w:rsidR="009514CF" w:rsidRPr="003776F9">
              <w:rPr>
                <w:rFonts w:ascii="Times New Roman" w:hAnsi="Times New Roman"/>
                <w:sz w:val="24"/>
                <w:szCs w:val="24"/>
              </w:rPr>
              <w:t>.</w:t>
            </w:r>
          </w:p>
        </w:tc>
        <w:tc>
          <w:tcPr>
            <w:tcW w:w="5513" w:type="dxa"/>
          </w:tcPr>
          <w:p w:rsidR="00E54267" w:rsidRPr="003776F9" w:rsidRDefault="00E54267" w:rsidP="00F316B4">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F42969" w:rsidRPr="003776F9" w:rsidRDefault="00E54267"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Reikalavimai, susiję su priemonės Nr. 04.3.1-FM-F-105 „Energijos vartojimo efektyvumo didinimas viešojoje infrastruktūroje“  finansavimo sąlygomis, turėtų būti nurodomi tik tos priemonės projektų finansavimo sąlygų apraše. </w:t>
            </w:r>
          </w:p>
        </w:tc>
      </w:tr>
      <w:tr w:rsidR="00F42969" w:rsidRPr="003776F9" w:rsidTr="008150E7">
        <w:tc>
          <w:tcPr>
            <w:tcW w:w="3085" w:type="dxa"/>
          </w:tcPr>
          <w:p w:rsidR="00F42969" w:rsidRPr="003776F9" w:rsidRDefault="00F42969" w:rsidP="009E4DF1">
            <w:pPr>
              <w:spacing w:after="0" w:line="240" w:lineRule="auto"/>
              <w:rPr>
                <w:rFonts w:ascii="Times New Roman" w:hAnsi="Times New Roman"/>
                <w:sz w:val="24"/>
                <w:szCs w:val="24"/>
              </w:rPr>
            </w:pPr>
          </w:p>
        </w:tc>
        <w:tc>
          <w:tcPr>
            <w:tcW w:w="6394" w:type="dxa"/>
          </w:tcPr>
          <w:p w:rsidR="00F42969" w:rsidRPr="003776F9" w:rsidRDefault="00607556" w:rsidP="004860C7">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7. </w:t>
            </w:r>
            <w:r w:rsidR="00F42969" w:rsidRPr="003776F9">
              <w:rPr>
                <w:rFonts w:ascii="Times New Roman" w:hAnsi="Times New Roman"/>
                <w:sz w:val="24"/>
                <w:szCs w:val="24"/>
              </w:rPr>
              <w:t xml:space="preserve">Rekomenduojame patikslinti </w:t>
            </w:r>
            <w:r w:rsidR="00EB7863" w:rsidRPr="003776F9">
              <w:rPr>
                <w:rFonts w:ascii="Times New Roman" w:hAnsi="Times New Roman"/>
                <w:sz w:val="24"/>
                <w:szCs w:val="24"/>
              </w:rPr>
              <w:t>Aprašo 32</w:t>
            </w:r>
            <w:r w:rsidR="00F42969" w:rsidRPr="003776F9">
              <w:rPr>
                <w:rFonts w:ascii="Times New Roman" w:hAnsi="Times New Roman"/>
                <w:sz w:val="24"/>
                <w:szCs w:val="24"/>
              </w:rPr>
              <w:t xml:space="preserve"> punkto </w:t>
            </w:r>
            <w:r w:rsidR="002E5E98" w:rsidRPr="003776F9">
              <w:rPr>
                <w:rFonts w:ascii="Times New Roman" w:hAnsi="Times New Roman"/>
                <w:sz w:val="24"/>
                <w:szCs w:val="24"/>
              </w:rPr>
              <w:t xml:space="preserve">(dabartinio Aprašo 34 punkto) </w:t>
            </w:r>
            <w:r w:rsidR="00F42969" w:rsidRPr="003776F9">
              <w:rPr>
                <w:rFonts w:ascii="Times New Roman" w:hAnsi="Times New Roman"/>
                <w:sz w:val="24"/>
                <w:szCs w:val="24"/>
              </w:rPr>
              <w:t>formuluotę, kadangi  nėra pakankamai aišku, ar projekto vykdytojo ir (ar) partnerio lėšų dalis gali viršyti</w:t>
            </w:r>
            <w:r w:rsidR="009514CF" w:rsidRPr="003776F9">
              <w:rPr>
                <w:rFonts w:ascii="Times New Roman" w:hAnsi="Times New Roman"/>
                <w:sz w:val="24"/>
                <w:szCs w:val="24"/>
              </w:rPr>
              <w:t xml:space="preserve"> bendrą projekto išlaidų vertę.</w:t>
            </w:r>
          </w:p>
        </w:tc>
        <w:tc>
          <w:tcPr>
            <w:tcW w:w="5513" w:type="dxa"/>
          </w:tcPr>
          <w:p w:rsidR="00F42969" w:rsidRPr="003776F9" w:rsidRDefault="00D53A0B" w:rsidP="00F316B4">
            <w:pPr>
              <w:spacing w:after="0" w:line="240" w:lineRule="auto"/>
              <w:jc w:val="both"/>
              <w:rPr>
                <w:rFonts w:ascii="Times New Roman" w:hAnsi="Times New Roman"/>
                <w:b/>
                <w:sz w:val="24"/>
                <w:szCs w:val="24"/>
              </w:rPr>
            </w:pPr>
            <w:r w:rsidRPr="003776F9">
              <w:rPr>
                <w:rFonts w:ascii="Times New Roman" w:hAnsi="Times New Roman"/>
                <w:b/>
                <w:sz w:val="24"/>
                <w:szCs w:val="24"/>
              </w:rPr>
              <w:t>Atsižvelgta.</w:t>
            </w:r>
          </w:p>
          <w:p w:rsidR="00D53A0B" w:rsidRPr="003776F9" w:rsidRDefault="00D53A0B" w:rsidP="009E4DF1">
            <w:pPr>
              <w:spacing w:after="0" w:line="240" w:lineRule="auto"/>
              <w:jc w:val="both"/>
              <w:rPr>
                <w:rFonts w:ascii="Times New Roman" w:hAnsi="Times New Roman"/>
                <w:sz w:val="24"/>
                <w:szCs w:val="24"/>
              </w:rPr>
            </w:pPr>
            <w:r w:rsidRPr="003776F9">
              <w:rPr>
                <w:rFonts w:ascii="Times New Roman" w:hAnsi="Times New Roman"/>
                <w:sz w:val="24"/>
                <w:szCs w:val="24"/>
              </w:rPr>
              <w:t>Pakoreguota Aprašo 34 punkto formuluotė.</w:t>
            </w:r>
          </w:p>
        </w:tc>
      </w:tr>
      <w:tr w:rsidR="00F42969" w:rsidRPr="003776F9" w:rsidTr="008150E7">
        <w:tc>
          <w:tcPr>
            <w:tcW w:w="3085" w:type="dxa"/>
          </w:tcPr>
          <w:p w:rsidR="00F42969" w:rsidRPr="003776F9" w:rsidRDefault="00F42969" w:rsidP="009E4DF1">
            <w:pPr>
              <w:tabs>
                <w:tab w:val="left" w:pos="567"/>
              </w:tabs>
              <w:spacing w:after="0" w:line="240" w:lineRule="auto"/>
              <w:rPr>
                <w:rFonts w:ascii="Times New Roman" w:hAnsi="Times New Roman"/>
                <w:sz w:val="24"/>
                <w:szCs w:val="24"/>
              </w:rPr>
            </w:pPr>
          </w:p>
        </w:tc>
        <w:tc>
          <w:tcPr>
            <w:tcW w:w="6394" w:type="dxa"/>
          </w:tcPr>
          <w:p w:rsidR="00F42969" w:rsidRPr="003776F9" w:rsidRDefault="00607556" w:rsidP="00CD2BF3">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8. </w:t>
            </w:r>
            <w:r w:rsidR="00F42969" w:rsidRPr="003776F9">
              <w:rPr>
                <w:rFonts w:ascii="Times New Roman" w:hAnsi="Times New Roman"/>
                <w:sz w:val="24"/>
                <w:szCs w:val="24"/>
              </w:rPr>
              <w:t xml:space="preserve">Atkreipiame dėmesį, kad Lietuvos Respublikos energetikos ministerija taip pat planuoja finansuoti investicijų projekto parengimo išlaidas, todėl siūlytume numatyti sąlygą, kad, jei investicijų projektas finansuojamas Lietuvos Respublikos energetikos ministerijos priemonių lėšomis, jos nėra laikomos </w:t>
            </w:r>
            <w:r w:rsidR="00F42969" w:rsidRPr="003776F9">
              <w:rPr>
                <w:rFonts w:ascii="Times New Roman" w:hAnsi="Times New Roman"/>
                <w:sz w:val="24"/>
                <w:szCs w:val="24"/>
              </w:rPr>
              <w:lastRenderedPageBreak/>
              <w:t>tinkamomis finansuoti išlaidomis</w:t>
            </w:r>
            <w:r w:rsidRPr="003776F9">
              <w:rPr>
                <w:rFonts w:ascii="Times New Roman" w:hAnsi="Times New Roman"/>
                <w:sz w:val="24"/>
                <w:szCs w:val="24"/>
              </w:rPr>
              <w:t xml:space="preserve"> (</w:t>
            </w:r>
            <w:r w:rsidR="00B76C76" w:rsidRPr="003776F9">
              <w:rPr>
                <w:rFonts w:ascii="Times New Roman" w:hAnsi="Times New Roman"/>
                <w:sz w:val="24"/>
                <w:szCs w:val="24"/>
              </w:rPr>
              <w:t>Aprašo</w:t>
            </w:r>
            <w:r w:rsidRPr="003776F9">
              <w:rPr>
                <w:rFonts w:ascii="Times New Roman" w:hAnsi="Times New Roman"/>
                <w:sz w:val="24"/>
                <w:szCs w:val="24"/>
              </w:rPr>
              <w:t xml:space="preserve"> 35 punktas</w:t>
            </w:r>
            <w:r w:rsidR="00CD2BF3" w:rsidRPr="003776F9">
              <w:rPr>
                <w:rFonts w:ascii="Times New Roman" w:hAnsi="Times New Roman"/>
                <w:sz w:val="24"/>
                <w:szCs w:val="24"/>
              </w:rPr>
              <w:t>, dabartinio Aprašo 37 punktas)</w:t>
            </w:r>
            <w:r w:rsidR="00AE43CE" w:rsidRPr="003776F9">
              <w:rPr>
                <w:rFonts w:ascii="Times New Roman" w:hAnsi="Times New Roman"/>
                <w:sz w:val="24"/>
                <w:szCs w:val="24"/>
              </w:rPr>
              <w:t>.</w:t>
            </w:r>
          </w:p>
        </w:tc>
        <w:tc>
          <w:tcPr>
            <w:tcW w:w="5513" w:type="dxa"/>
          </w:tcPr>
          <w:p w:rsidR="00484E8C" w:rsidRPr="003776F9" w:rsidRDefault="00484E8C" w:rsidP="009E4DF1">
            <w:pPr>
              <w:spacing w:after="0" w:line="240" w:lineRule="auto"/>
              <w:jc w:val="both"/>
              <w:rPr>
                <w:rFonts w:ascii="Times New Roman" w:hAnsi="Times New Roman"/>
                <w:b/>
                <w:sz w:val="24"/>
                <w:szCs w:val="24"/>
              </w:rPr>
            </w:pPr>
            <w:r w:rsidRPr="003776F9">
              <w:rPr>
                <w:rFonts w:ascii="Times New Roman" w:hAnsi="Times New Roman"/>
                <w:b/>
                <w:sz w:val="24"/>
                <w:szCs w:val="24"/>
              </w:rPr>
              <w:lastRenderedPageBreak/>
              <w:t xml:space="preserve">Neatsižvelgta. </w:t>
            </w:r>
          </w:p>
          <w:p w:rsidR="00F42969" w:rsidRPr="003776F9" w:rsidRDefault="00AD0082"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Siūloma nuostata yra perteklinė. Investicijų projekto parengimo išlaidos gali būti finansuojamos tiek priemonės Nr. 07.1.1-CPVA-V-304, tiek ir priemonės Nr. 04.3.1-FM-F-105 lėšomis, todėl investicijų </w:t>
            </w:r>
            <w:r w:rsidRPr="003776F9">
              <w:rPr>
                <w:rFonts w:ascii="Times New Roman" w:hAnsi="Times New Roman"/>
                <w:sz w:val="24"/>
                <w:szCs w:val="24"/>
              </w:rPr>
              <w:lastRenderedPageBreak/>
              <w:t xml:space="preserve">projekto finansavimo šaltinis bus nustatomas kiekvieno konkretaus projekto lygmeniu. </w:t>
            </w:r>
          </w:p>
        </w:tc>
      </w:tr>
      <w:tr w:rsidR="00607556" w:rsidRPr="003776F9" w:rsidTr="007F7234">
        <w:trPr>
          <w:trHeight w:val="892"/>
        </w:trPr>
        <w:tc>
          <w:tcPr>
            <w:tcW w:w="3085" w:type="dxa"/>
          </w:tcPr>
          <w:p w:rsidR="00607556" w:rsidRPr="003776F9" w:rsidRDefault="00607556" w:rsidP="009E4DF1">
            <w:pPr>
              <w:tabs>
                <w:tab w:val="left" w:pos="567"/>
              </w:tabs>
              <w:spacing w:after="0" w:line="240" w:lineRule="auto"/>
              <w:rPr>
                <w:rStyle w:val="CommentReference"/>
                <w:rFonts w:ascii="Times New Roman" w:hAnsi="Times New Roman"/>
                <w:sz w:val="24"/>
                <w:szCs w:val="24"/>
              </w:rPr>
            </w:pPr>
          </w:p>
        </w:tc>
        <w:tc>
          <w:tcPr>
            <w:tcW w:w="6394" w:type="dxa"/>
          </w:tcPr>
          <w:p w:rsidR="00607556" w:rsidRPr="003776F9" w:rsidRDefault="00B9414E" w:rsidP="008D058F">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9. </w:t>
            </w:r>
            <w:r w:rsidR="00607556" w:rsidRPr="003776F9">
              <w:rPr>
                <w:rFonts w:ascii="Times New Roman" w:hAnsi="Times New Roman"/>
                <w:sz w:val="24"/>
                <w:szCs w:val="24"/>
              </w:rPr>
              <w:t>Atsižvelgiant į tai, kad šiame punkte apribojama investicijų projekto didžiausia galima finansuoti suma, siūlome įvertinti galimybę numatyti ir rinkodaros plano, jeigu jis būtų pateikiamas atskirai nuo investicijų projekto, didžiausią galimą finansuoti sumą (</w:t>
            </w:r>
            <w:r w:rsidR="00B76C76" w:rsidRPr="003776F9">
              <w:rPr>
                <w:rFonts w:ascii="Times New Roman" w:hAnsi="Times New Roman"/>
                <w:sz w:val="24"/>
                <w:szCs w:val="24"/>
              </w:rPr>
              <w:t>Aprašo</w:t>
            </w:r>
            <w:r w:rsidR="00B76C76" w:rsidRPr="003776F9">
              <w:rPr>
                <w:rFonts w:ascii="Times New Roman" w:hAnsi="Times New Roman"/>
                <w:sz w:val="24"/>
                <w:szCs w:val="24"/>
              </w:rPr>
              <w:t xml:space="preserve"> </w:t>
            </w:r>
            <w:r w:rsidR="00607556" w:rsidRPr="003776F9">
              <w:rPr>
                <w:rFonts w:ascii="Times New Roman" w:hAnsi="Times New Roman"/>
                <w:sz w:val="24"/>
                <w:szCs w:val="24"/>
              </w:rPr>
              <w:t>35 punktas</w:t>
            </w:r>
            <w:r w:rsidR="008D058F" w:rsidRPr="003776F9">
              <w:rPr>
                <w:rFonts w:ascii="Times New Roman" w:hAnsi="Times New Roman"/>
                <w:sz w:val="24"/>
                <w:szCs w:val="24"/>
              </w:rPr>
              <w:t>, dabartinio Aprašo 37 punktas)</w:t>
            </w:r>
            <w:r w:rsidR="00607556" w:rsidRPr="003776F9">
              <w:rPr>
                <w:rFonts w:ascii="Times New Roman" w:hAnsi="Times New Roman"/>
                <w:sz w:val="24"/>
                <w:szCs w:val="24"/>
              </w:rPr>
              <w:t>.</w:t>
            </w:r>
          </w:p>
        </w:tc>
        <w:tc>
          <w:tcPr>
            <w:tcW w:w="5513" w:type="dxa"/>
          </w:tcPr>
          <w:p w:rsidR="00607556" w:rsidRPr="003776F9" w:rsidRDefault="00607556"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484E8C" w:rsidRPr="003776F9" w:rsidRDefault="00484E8C" w:rsidP="009E4DF1">
            <w:pPr>
              <w:spacing w:after="0" w:line="240" w:lineRule="auto"/>
              <w:jc w:val="both"/>
              <w:rPr>
                <w:rFonts w:ascii="Times New Roman" w:hAnsi="Times New Roman"/>
                <w:sz w:val="24"/>
                <w:szCs w:val="24"/>
              </w:rPr>
            </w:pPr>
            <w:r w:rsidRPr="003776F9">
              <w:rPr>
                <w:rFonts w:ascii="Times New Roman" w:hAnsi="Times New Roman"/>
                <w:sz w:val="24"/>
                <w:szCs w:val="24"/>
              </w:rPr>
              <w:t>Apraše nėra tikslinga nustatyti rinkodaros plano parengimo išlaidų ribojimo, nes ri</w:t>
            </w:r>
            <w:r w:rsidR="00F316B4" w:rsidRPr="003776F9">
              <w:rPr>
                <w:rFonts w:ascii="Times New Roman" w:hAnsi="Times New Roman"/>
                <w:sz w:val="24"/>
                <w:szCs w:val="24"/>
              </w:rPr>
              <w:t>n</w:t>
            </w:r>
            <w:r w:rsidRPr="003776F9">
              <w:rPr>
                <w:rFonts w:ascii="Times New Roman" w:hAnsi="Times New Roman"/>
                <w:sz w:val="24"/>
                <w:szCs w:val="24"/>
              </w:rPr>
              <w:t>kodaros planai jau yra parengti ir įvertinti, o išlaidos patirtos.</w:t>
            </w:r>
          </w:p>
        </w:tc>
      </w:tr>
      <w:tr w:rsidR="00F42969" w:rsidRPr="003776F9" w:rsidTr="008150E7">
        <w:tc>
          <w:tcPr>
            <w:tcW w:w="3085" w:type="dxa"/>
          </w:tcPr>
          <w:p w:rsidR="00F42969" w:rsidRPr="003776F9" w:rsidRDefault="00F42969" w:rsidP="009E4DF1">
            <w:pPr>
              <w:tabs>
                <w:tab w:val="left" w:pos="567"/>
              </w:tabs>
              <w:spacing w:after="0" w:line="240" w:lineRule="auto"/>
              <w:rPr>
                <w:rStyle w:val="CommentReference"/>
                <w:rFonts w:ascii="Times New Roman" w:hAnsi="Times New Roman"/>
                <w:sz w:val="24"/>
                <w:szCs w:val="24"/>
              </w:rPr>
            </w:pPr>
          </w:p>
        </w:tc>
        <w:tc>
          <w:tcPr>
            <w:tcW w:w="6394" w:type="dxa"/>
          </w:tcPr>
          <w:p w:rsidR="00F42969" w:rsidRPr="003776F9" w:rsidRDefault="00B9414E" w:rsidP="002E5E98">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10. </w:t>
            </w:r>
            <w:r w:rsidR="00F42969" w:rsidRPr="003776F9">
              <w:rPr>
                <w:rFonts w:ascii="Times New Roman" w:hAnsi="Times New Roman"/>
                <w:sz w:val="24"/>
                <w:szCs w:val="24"/>
              </w:rPr>
              <w:t xml:space="preserve">Prašytume papildyti punktą „36.2. </w:t>
            </w:r>
            <w:r w:rsidR="00F42969" w:rsidRPr="003776F9">
              <w:rPr>
                <w:rFonts w:ascii="Times New Roman" w:hAnsi="Times New Roman"/>
                <w:strike/>
                <w:sz w:val="24"/>
                <w:szCs w:val="24"/>
              </w:rPr>
              <w:t>energetinis</w:t>
            </w:r>
            <w:r w:rsidR="00F42969" w:rsidRPr="003776F9">
              <w:rPr>
                <w:rFonts w:ascii="Times New Roman" w:hAnsi="Times New Roman"/>
                <w:sz w:val="24"/>
                <w:szCs w:val="24"/>
              </w:rPr>
              <w:t xml:space="preserve"> energijos vartojimo auditas ir investicijų projektas parodė, kad investicijų atsipirkimo laikotarpis neatitinka Viešųjų pastatų energinio efektyvumo didinimo programoje nurodyto atsipirkimo laikotarpio ir todėl buvo nuspręsta </w:t>
            </w:r>
            <w:r w:rsidR="00F42969" w:rsidRPr="003776F9">
              <w:rPr>
                <w:rFonts w:ascii="Times New Roman" w:hAnsi="Times New Roman"/>
                <w:strike/>
                <w:sz w:val="24"/>
                <w:szCs w:val="24"/>
              </w:rPr>
              <w:t>nerengti energijos vartojimo efektyvumą didinančių priemonių investicijų projekto bei</w:t>
            </w:r>
            <w:r w:rsidR="00F42969" w:rsidRPr="003776F9">
              <w:rPr>
                <w:rFonts w:ascii="Times New Roman" w:hAnsi="Times New Roman"/>
                <w:sz w:val="24"/>
                <w:szCs w:val="24"/>
              </w:rPr>
              <w:t xml:space="preserve"> nesikreipti finansavimo į UAB „Viešųjų investicijų plėtros agentūrą“ pagal priemonę Nr. 04.3.1-FM-F-105 „Energijos vartojimo efektyvumo didinimas viešojoje infrastruktūroje“  arba į Lietuvos Respublikos energetikos ministeriją pagal priemonę Nr. 04.3.1-VIPA-V-101 „Valstybei nuosavybės teise priklausančių pastatų atnaujinimas“, jei energi</w:t>
            </w:r>
            <w:bookmarkStart w:id="0" w:name="_GoBack"/>
            <w:bookmarkEnd w:id="0"/>
            <w:r w:rsidR="00F42969" w:rsidRPr="003776F9">
              <w:rPr>
                <w:rFonts w:ascii="Times New Roman" w:hAnsi="Times New Roman"/>
                <w:sz w:val="24"/>
                <w:szCs w:val="24"/>
              </w:rPr>
              <w:t>jos vartojimo auditas ir investicijų projektas parodė, kad</w:t>
            </w:r>
            <w:r w:rsidR="00F42969" w:rsidRPr="003776F9">
              <w:rPr>
                <w:sz w:val="24"/>
                <w:szCs w:val="24"/>
              </w:rPr>
              <w:t xml:space="preserve"> k</w:t>
            </w:r>
            <w:r w:rsidR="00F42969" w:rsidRPr="003776F9">
              <w:rPr>
                <w:rFonts w:ascii="Times New Roman" w:hAnsi="Times New Roman"/>
                <w:sz w:val="24"/>
                <w:szCs w:val="24"/>
              </w:rPr>
              <w:t>iekvienos projekte pasirinktos įgyvendinti energijos efektyvumo didinimo priemonės paprastasis atsipirkimo laikas neatitinka priemonės Nr. 04.3.1-VIPA-V-101 projektų atrankos kriterijuose nurodyto paprastojo atsipirkimo laiko</w:t>
            </w:r>
            <w:r w:rsidR="00C60DFF" w:rsidRPr="003776F9">
              <w:rPr>
                <w:rFonts w:ascii="Times New Roman" w:hAnsi="Times New Roman"/>
                <w:sz w:val="24"/>
                <w:szCs w:val="24"/>
              </w:rPr>
              <w:t xml:space="preserve">“ (Aprašo 36.2. </w:t>
            </w:r>
            <w:r w:rsidR="006070B3" w:rsidRPr="003776F9">
              <w:rPr>
                <w:rFonts w:ascii="Times New Roman" w:hAnsi="Times New Roman"/>
                <w:sz w:val="24"/>
                <w:szCs w:val="24"/>
              </w:rPr>
              <w:t>papunktis</w:t>
            </w:r>
            <w:r w:rsidR="00A929E0" w:rsidRPr="003776F9">
              <w:rPr>
                <w:rFonts w:ascii="Times New Roman" w:hAnsi="Times New Roman"/>
                <w:sz w:val="24"/>
                <w:szCs w:val="24"/>
              </w:rPr>
              <w:t>, dabartinio Aprašo 38 punktas)</w:t>
            </w:r>
            <w:r w:rsidR="00C60DFF" w:rsidRPr="003776F9">
              <w:rPr>
                <w:rFonts w:ascii="Times New Roman" w:hAnsi="Times New Roman"/>
                <w:sz w:val="24"/>
                <w:szCs w:val="24"/>
              </w:rPr>
              <w:t>.</w:t>
            </w:r>
          </w:p>
        </w:tc>
        <w:tc>
          <w:tcPr>
            <w:tcW w:w="5513" w:type="dxa"/>
          </w:tcPr>
          <w:p w:rsidR="00FE3753" w:rsidRPr="003776F9" w:rsidRDefault="00FE3753"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FE3753" w:rsidRPr="003776F9" w:rsidRDefault="00FE3753" w:rsidP="009E4DF1">
            <w:pPr>
              <w:spacing w:after="0" w:line="240" w:lineRule="auto"/>
              <w:jc w:val="both"/>
              <w:rPr>
                <w:rFonts w:ascii="Times New Roman" w:hAnsi="Times New Roman"/>
                <w:sz w:val="24"/>
                <w:szCs w:val="24"/>
              </w:rPr>
            </w:pPr>
            <w:r w:rsidRPr="003776F9">
              <w:rPr>
                <w:rFonts w:ascii="Times New Roman" w:hAnsi="Times New Roman"/>
                <w:sz w:val="24"/>
                <w:szCs w:val="24"/>
              </w:rPr>
              <w:t>Ž</w:t>
            </w:r>
            <w:r w:rsidR="006070B3" w:rsidRPr="003776F9">
              <w:rPr>
                <w:rFonts w:ascii="Times New Roman" w:hAnsi="Times New Roman"/>
                <w:sz w:val="24"/>
                <w:szCs w:val="24"/>
              </w:rPr>
              <w:t>iūrėti</w:t>
            </w:r>
            <w:r w:rsidRPr="003776F9">
              <w:rPr>
                <w:rFonts w:ascii="Times New Roman" w:hAnsi="Times New Roman"/>
                <w:sz w:val="24"/>
                <w:szCs w:val="24"/>
              </w:rPr>
              <w:t xml:space="preserve"> atsakymą į 4 pastabą. </w:t>
            </w:r>
          </w:p>
          <w:p w:rsidR="00FE3753" w:rsidRPr="003776F9" w:rsidRDefault="00FE3753"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Taip pat pastebėtina, kad sprendimą rengti investicijų projektą, kuriame išskiriamos 2 investavimo kryptis, lems energijos vartojimo audito išvada. </w:t>
            </w:r>
          </w:p>
          <w:p w:rsidR="00F42969" w:rsidRPr="003776F9" w:rsidRDefault="00FE3753" w:rsidP="009E4DF1">
            <w:pPr>
              <w:spacing w:after="0" w:line="240" w:lineRule="auto"/>
              <w:jc w:val="both"/>
              <w:rPr>
                <w:rFonts w:ascii="Times New Roman" w:hAnsi="Times New Roman"/>
                <w:sz w:val="24"/>
                <w:szCs w:val="24"/>
              </w:rPr>
            </w:pPr>
            <w:r w:rsidRPr="003776F9">
              <w:rPr>
                <w:rFonts w:ascii="Times New Roman" w:hAnsi="Times New Roman"/>
                <w:sz w:val="24"/>
                <w:szCs w:val="24"/>
              </w:rPr>
              <w:t>Tai pat buvo pakeista 38 punkto formuluotė, nurodant, kad „Pagal Aprašą energijos vartojimo audito ir pastato energinio naudingumo sertifikato išlaidos laikomos netinkamomis finansuoti, kai investicijos į energijos vartojimo efektyvumą didinančias priemones sudaro mažiau nei 20 proc. pastato atnaujinimui planuojamos investicijų sumos.“.</w:t>
            </w:r>
          </w:p>
        </w:tc>
      </w:tr>
      <w:tr w:rsidR="00F42969" w:rsidRPr="003776F9" w:rsidTr="009030A0">
        <w:trPr>
          <w:trHeight w:val="947"/>
        </w:trPr>
        <w:tc>
          <w:tcPr>
            <w:tcW w:w="3085" w:type="dxa"/>
          </w:tcPr>
          <w:p w:rsidR="00F42969" w:rsidRPr="003776F9" w:rsidRDefault="00F42969" w:rsidP="009E4DF1">
            <w:pPr>
              <w:tabs>
                <w:tab w:val="left" w:pos="567"/>
              </w:tabs>
              <w:spacing w:after="0" w:line="240" w:lineRule="auto"/>
              <w:rPr>
                <w:rStyle w:val="CommentReference"/>
                <w:rFonts w:ascii="Times New Roman" w:hAnsi="Times New Roman"/>
                <w:sz w:val="24"/>
                <w:szCs w:val="24"/>
              </w:rPr>
            </w:pPr>
          </w:p>
        </w:tc>
        <w:tc>
          <w:tcPr>
            <w:tcW w:w="6394" w:type="dxa"/>
          </w:tcPr>
          <w:p w:rsidR="00F42969" w:rsidRPr="003776F9" w:rsidRDefault="00B9414E" w:rsidP="004860C7">
            <w:pPr>
              <w:tabs>
                <w:tab w:val="left" w:pos="330"/>
              </w:tabs>
              <w:spacing w:after="0" w:line="240" w:lineRule="auto"/>
              <w:jc w:val="both"/>
              <w:rPr>
                <w:rFonts w:ascii="Times New Roman" w:hAnsi="Times New Roman"/>
                <w:sz w:val="24"/>
                <w:szCs w:val="24"/>
              </w:rPr>
            </w:pPr>
            <w:r w:rsidRPr="003776F9">
              <w:rPr>
                <w:rFonts w:ascii="Times New Roman" w:hAnsi="Times New Roman"/>
                <w:sz w:val="24"/>
                <w:szCs w:val="24"/>
              </w:rPr>
              <w:t xml:space="preserve">11. </w:t>
            </w:r>
            <w:r w:rsidR="00F42969" w:rsidRPr="003776F9">
              <w:rPr>
                <w:rFonts w:ascii="Times New Roman" w:hAnsi="Times New Roman"/>
                <w:sz w:val="24"/>
                <w:szCs w:val="24"/>
              </w:rPr>
              <w:t>Prašytume „energetinio audito“ sąvoką patikslinti į „energijos vartojimo auditą“</w:t>
            </w:r>
            <w:r w:rsidR="00D32C45" w:rsidRPr="003776F9">
              <w:rPr>
                <w:rFonts w:ascii="Times New Roman" w:hAnsi="Times New Roman"/>
                <w:sz w:val="24"/>
                <w:szCs w:val="24"/>
              </w:rPr>
              <w:t xml:space="preserve"> (Aprašo </w:t>
            </w:r>
            <w:r w:rsidR="00D32C45" w:rsidRPr="003776F9">
              <w:rPr>
                <w:rStyle w:val="CommentReference"/>
                <w:rFonts w:ascii="Times New Roman" w:hAnsi="Times New Roman"/>
                <w:sz w:val="24"/>
                <w:szCs w:val="24"/>
              </w:rPr>
              <w:t xml:space="preserve">24.2, 36, 36.2, 37.5 </w:t>
            </w:r>
            <w:r w:rsidR="006070B3" w:rsidRPr="003776F9">
              <w:rPr>
                <w:rStyle w:val="CommentReference"/>
                <w:rFonts w:ascii="Times New Roman" w:hAnsi="Times New Roman"/>
                <w:sz w:val="24"/>
                <w:szCs w:val="24"/>
              </w:rPr>
              <w:t>papunkčiai</w:t>
            </w:r>
            <w:r w:rsidR="003B1713" w:rsidRPr="003776F9">
              <w:rPr>
                <w:rStyle w:val="CommentReference"/>
                <w:rFonts w:ascii="Times New Roman" w:hAnsi="Times New Roman"/>
                <w:sz w:val="24"/>
                <w:szCs w:val="24"/>
              </w:rPr>
              <w:t xml:space="preserve">,  </w:t>
            </w:r>
            <w:r w:rsidR="003B1713" w:rsidRPr="003776F9">
              <w:rPr>
                <w:rStyle w:val="CommentReference"/>
                <w:rFonts w:ascii="Times New Roman" w:hAnsi="Times New Roman"/>
                <w:sz w:val="24"/>
                <w:szCs w:val="24"/>
              </w:rPr>
              <w:t>dabartinio Aprašo 25.1.3. papunktis, 38 punktas, 40.5. papunktis</w:t>
            </w:r>
            <w:r w:rsidR="00D32C45" w:rsidRPr="003776F9">
              <w:rPr>
                <w:rStyle w:val="CommentReference"/>
                <w:rFonts w:ascii="Times New Roman" w:hAnsi="Times New Roman"/>
                <w:sz w:val="24"/>
                <w:szCs w:val="24"/>
              </w:rPr>
              <w:t>).</w:t>
            </w:r>
          </w:p>
        </w:tc>
        <w:tc>
          <w:tcPr>
            <w:tcW w:w="5513" w:type="dxa"/>
          </w:tcPr>
          <w:p w:rsidR="00F42969" w:rsidRPr="003776F9" w:rsidRDefault="00D32C45" w:rsidP="009E4DF1">
            <w:pPr>
              <w:spacing w:after="0" w:line="240" w:lineRule="auto"/>
              <w:jc w:val="both"/>
              <w:rPr>
                <w:rFonts w:ascii="Times New Roman" w:hAnsi="Times New Roman"/>
                <w:b/>
                <w:sz w:val="24"/>
                <w:szCs w:val="24"/>
              </w:rPr>
            </w:pPr>
            <w:r w:rsidRPr="003776F9">
              <w:rPr>
                <w:rFonts w:ascii="Times New Roman" w:hAnsi="Times New Roman"/>
                <w:b/>
                <w:sz w:val="24"/>
                <w:szCs w:val="24"/>
              </w:rPr>
              <w:t>Atsižvelgta.</w:t>
            </w:r>
          </w:p>
          <w:p w:rsidR="00D32C45" w:rsidRPr="003776F9" w:rsidRDefault="00D32C45"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Pakoreguoti susiję Aprašo </w:t>
            </w:r>
            <w:r w:rsidR="006070B3" w:rsidRPr="003776F9">
              <w:rPr>
                <w:rFonts w:ascii="Times New Roman" w:hAnsi="Times New Roman"/>
                <w:sz w:val="24"/>
                <w:szCs w:val="24"/>
              </w:rPr>
              <w:t>papunkčiai.</w:t>
            </w:r>
          </w:p>
        </w:tc>
      </w:tr>
      <w:tr w:rsidR="003D6864" w:rsidRPr="003776F9" w:rsidTr="008150E7">
        <w:tc>
          <w:tcPr>
            <w:tcW w:w="3085" w:type="dxa"/>
          </w:tcPr>
          <w:p w:rsidR="003D6864" w:rsidRPr="003776F9" w:rsidRDefault="009030A0" w:rsidP="00F316B4">
            <w:pPr>
              <w:spacing w:after="0" w:line="240" w:lineRule="auto"/>
              <w:rPr>
                <w:rFonts w:ascii="Times New Roman" w:hAnsi="Times New Roman"/>
                <w:sz w:val="24"/>
                <w:szCs w:val="24"/>
              </w:rPr>
            </w:pPr>
            <w:r w:rsidRPr="003776F9">
              <w:rPr>
                <w:rFonts w:ascii="Times New Roman" w:hAnsi="Times New Roman"/>
                <w:sz w:val="24"/>
                <w:szCs w:val="24"/>
              </w:rPr>
              <w:t xml:space="preserve">UAB Viešųjų investicijų </w:t>
            </w:r>
            <w:r w:rsidRPr="003776F9">
              <w:rPr>
                <w:rFonts w:ascii="Times New Roman" w:hAnsi="Times New Roman"/>
                <w:sz w:val="24"/>
                <w:szCs w:val="24"/>
              </w:rPr>
              <w:lastRenderedPageBreak/>
              <w:t>plėtros agentūra, 2015-07-30 rašt</w:t>
            </w:r>
            <w:r w:rsidR="00D64EE5" w:rsidRPr="003776F9">
              <w:rPr>
                <w:rFonts w:ascii="Times New Roman" w:hAnsi="Times New Roman"/>
                <w:sz w:val="24"/>
                <w:szCs w:val="24"/>
              </w:rPr>
              <w:t>as</w:t>
            </w:r>
            <w:r w:rsidRPr="003776F9">
              <w:rPr>
                <w:rFonts w:ascii="Times New Roman" w:hAnsi="Times New Roman"/>
                <w:sz w:val="24"/>
                <w:szCs w:val="24"/>
              </w:rPr>
              <w:t xml:space="preserve"> Nr. 2015/2-268</w:t>
            </w:r>
          </w:p>
        </w:tc>
        <w:tc>
          <w:tcPr>
            <w:tcW w:w="6394" w:type="dxa"/>
          </w:tcPr>
          <w:p w:rsidR="003D6864" w:rsidRPr="003776F9" w:rsidRDefault="001E3EA3" w:rsidP="004860C7">
            <w:pPr>
              <w:pStyle w:val="ListParagraph"/>
              <w:numPr>
                <w:ilvl w:val="0"/>
                <w:numId w:val="12"/>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color w:val="000000" w:themeColor="text1"/>
                <w:sz w:val="24"/>
                <w:szCs w:val="24"/>
              </w:rPr>
              <w:lastRenderedPageBreak/>
              <w:t>Apraše</w:t>
            </w:r>
            <w:r w:rsidRPr="003776F9">
              <w:rPr>
                <w:rFonts w:ascii="Times New Roman" w:hAnsi="Times New Roman"/>
                <w:color w:val="000000" w:themeColor="text1"/>
                <w:sz w:val="24"/>
                <w:szCs w:val="24"/>
              </w:rPr>
              <w:t xml:space="preserve"> </w:t>
            </w:r>
            <w:r w:rsidR="00D76DE6" w:rsidRPr="003776F9">
              <w:rPr>
                <w:rFonts w:ascii="Times New Roman" w:hAnsi="Times New Roman"/>
                <w:color w:val="000000" w:themeColor="text1"/>
                <w:sz w:val="24"/>
                <w:szCs w:val="24"/>
              </w:rPr>
              <w:t xml:space="preserve">naudojamą sąvoką „energetinis auditas“ tikslinga </w:t>
            </w:r>
            <w:r w:rsidR="00D76DE6" w:rsidRPr="003776F9">
              <w:rPr>
                <w:rFonts w:ascii="Times New Roman" w:hAnsi="Times New Roman"/>
                <w:color w:val="000000" w:themeColor="text1"/>
                <w:sz w:val="24"/>
                <w:szCs w:val="24"/>
              </w:rPr>
              <w:lastRenderedPageBreak/>
              <w:t xml:space="preserve">pakeisti į „energijos vartojimo audito ataskaita“ bei nurodyti, kad ataskaita turi būti parengta pagal </w:t>
            </w:r>
            <w:r w:rsidR="006070B3" w:rsidRPr="003776F9">
              <w:t xml:space="preserve"> </w:t>
            </w:r>
            <w:r w:rsidR="006070B3" w:rsidRPr="003776F9">
              <w:rPr>
                <w:rFonts w:ascii="Times New Roman" w:hAnsi="Times New Roman"/>
                <w:sz w:val="24"/>
                <w:szCs w:val="24"/>
              </w:rPr>
              <w:t>Išsamiojo energijos, energijos išteklių ir šalto vandens vartojimo audito atlikimo viešojo naudojimo paskirties pastatuose metodiką</w:t>
            </w:r>
            <w:r w:rsidR="006070B3" w:rsidRPr="003776F9">
              <w:t xml:space="preserve">, patvirtintą </w:t>
            </w:r>
            <w:r w:rsidR="00D76DE6" w:rsidRPr="003776F9">
              <w:rPr>
                <w:rFonts w:ascii="Times New Roman" w:hAnsi="Times New Roman"/>
                <w:color w:val="000000" w:themeColor="text1"/>
                <w:sz w:val="24"/>
                <w:szCs w:val="24"/>
              </w:rPr>
              <w:t>L</w:t>
            </w:r>
            <w:r w:rsidR="006070B3" w:rsidRPr="003776F9">
              <w:rPr>
                <w:rFonts w:ascii="Times New Roman" w:hAnsi="Times New Roman"/>
                <w:color w:val="000000" w:themeColor="text1"/>
                <w:sz w:val="24"/>
                <w:szCs w:val="24"/>
              </w:rPr>
              <w:t>ietuvos Respublikos</w:t>
            </w:r>
            <w:r w:rsidR="00D76DE6" w:rsidRPr="003776F9">
              <w:rPr>
                <w:rFonts w:ascii="Times New Roman" w:hAnsi="Times New Roman"/>
                <w:color w:val="000000" w:themeColor="text1"/>
                <w:sz w:val="24"/>
                <w:szCs w:val="24"/>
              </w:rPr>
              <w:t xml:space="preserve"> </w:t>
            </w:r>
            <w:r w:rsidR="006070B3" w:rsidRPr="003776F9">
              <w:rPr>
                <w:rFonts w:ascii="Times New Roman" w:hAnsi="Times New Roman"/>
                <w:color w:val="000000" w:themeColor="text1"/>
                <w:sz w:val="24"/>
                <w:szCs w:val="24"/>
              </w:rPr>
              <w:t>ū</w:t>
            </w:r>
            <w:r w:rsidR="00D76DE6" w:rsidRPr="003776F9">
              <w:rPr>
                <w:rFonts w:ascii="Times New Roman" w:hAnsi="Times New Roman"/>
                <w:color w:val="000000" w:themeColor="text1"/>
                <w:sz w:val="24"/>
                <w:szCs w:val="24"/>
              </w:rPr>
              <w:t>kio ministro 2008 m. balandžio 29 d. įsakymu Nr. 4-184 „Dėl išsamiojo energijos, energijos išteklių ir šalto vandens vartojimo audito atlikimo viešojo naudojimo paskirties pastatuose metodikos patvirtinimo“</w:t>
            </w:r>
            <w:r w:rsidR="006070B3" w:rsidRPr="003776F9">
              <w:rPr>
                <w:rFonts w:ascii="Times New Roman" w:hAnsi="Times New Roman"/>
                <w:color w:val="000000" w:themeColor="text1"/>
                <w:sz w:val="24"/>
                <w:szCs w:val="24"/>
              </w:rPr>
              <w:t>.</w:t>
            </w:r>
          </w:p>
        </w:tc>
        <w:tc>
          <w:tcPr>
            <w:tcW w:w="5513" w:type="dxa"/>
          </w:tcPr>
          <w:p w:rsidR="003D6864" w:rsidRPr="003776F9" w:rsidRDefault="00CE406C" w:rsidP="009E4DF1">
            <w:pPr>
              <w:spacing w:after="0" w:line="240" w:lineRule="auto"/>
              <w:jc w:val="both"/>
              <w:rPr>
                <w:rFonts w:ascii="Times New Roman" w:hAnsi="Times New Roman"/>
                <w:b/>
                <w:sz w:val="24"/>
                <w:szCs w:val="24"/>
              </w:rPr>
            </w:pPr>
            <w:r w:rsidRPr="003776F9">
              <w:rPr>
                <w:rFonts w:ascii="Times New Roman" w:hAnsi="Times New Roman"/>
                <w:b/>
                <w:sz w:val="24"/>
                <w:szCs w:val="24"/>
              </w:rPr>
              <w:lastRenderedPageBreak/>
              <w:t>Atsižvelgta iš dalies.</w:t>
            </w:r>
          </w:p>
          <w:p w:rsidR="00CE406C" w:rsidRPr="003776F9" w:rsidRDefault="00CE406C" w:rsidP="009E4DF1">
            <w:pPr>
              <w:spacing w:after="0" w:line="240" w:lineRule="auto"/>
              <w:jc w:val="both"/>
              <w:rPr>
                <w:rFonts w:ascii="Times New Roman" w:hAnsi="Times New Roman"/>
                <w:sz w:val="24"/>
                <w:szCs w:val="24"/>
              </w:rPr>
            </w:pPr>
            <w:r w:rsidRPr="003776F9">
              <w:rPr>
                <w:rFonts w:ascii="Times New Roman" w:hAnsi="Times New Roman"/>
                <w:sz w:val="24"/>
                <w:szCs w:val="24"/>
              </w:rPr>
              <w:lastRenderedPageBreak/>
              <w:t>Sąvoka „Energinis auditas“ pakeista į sąvoką „energijos vartojimo auditas“.</w:t>
            </w:r>
          </w:p>
          <w:p w:rsidR="00CE406C" w:rsidRPr="003776F9" w:rsidRDefault="00CE406C" w:rsidP="009E4DF1">
            <w:pPr>
              <w:spacing w:after="0" w:line="240" w:lineRule="auto"/>
              <w:jc w:val="both"/>
              <w:rPr>
                <w:rFonts w:ascii="Times New Roman" w:hAnsi="Times New Roman"/>
                <w:sz w:val="24"/>
                <w:szCs w:val="24"/>
              </w:rPr>
            </w:pPr>
            <w:r w:rsidRPr="003776F9">
              <w:rPr>
                <w:rFonts w:ascii="Times New Roman" w:hAnsi="Times New Roman"/>
                <w:sz w:val="24"/>
                <w:szCs w:val="24"/>
              </w:rPr>
              <w:t>Siūloma nuostata dėl reikalavimo ataskaitai yra perteklinė, nes reikalavimai, susiję su priemonės Nr. 04.3.1-FM-F-105 „Energijos vartojimo efektyvumo didinimas viešojoje infrastruktūroje“  finansavimo sąlygomis, turėtų būti nurodomi tik tos priemonės projektų finansavimo sąlygų apraše.</w:t>
            </w:r>
          </w:p>
        </w:tc>
      </w:tr>
      <w:tr w:rsidR="003D6864" w:rsidRPr="003776F9" w:rsidTr="008150E7">
        <w:tc>
          <w:tcPr>
            <w:tcW w:w="3085" w:type="dxa"/>
          </w:tcPr>
          <w:p w:rsidR="003D6864" w:rsidRPr="003776F9" w:rsidRDefault="003D6864" w:rsidP="00F316B4">
            <w:pPr>
              <w:spacing w:after="0" w:line="240" w:lineRule="auto"/>
              <w:rPr>
                <w:rFonts w:ascii="Times New Roman" w:hAnsi="Times New Roman"/>
                <w:sz w:val="24"/>
                <w:szCs w:val="24"/>
              </w:rPr>
            </w:pPr>
          </w:p>
        </w:tc>
        <w:tc>
          <w:tcPr>
            <w:tcW w:w="6394" w:type="dxa"/>
          </w:tcPr>
          <w:p w:rsidR="00D76DE6" w:rsidRPr="003776F9" w:rsidRDefault="00D76DE6" w:rsidP="004860C7">
            <w:pPr>
              <w:tabs>
                <w:tab w:val="left" w:pos="330"/>
              </w:tabs>
              <w:spacing w:after="0" w:line="240" w:lineRule="auto"/>
              <w:jc w:val="both"/>
              <w:rPr>
                <w:rFonts w:ascii="Times New Roman" w:hAnsi="Times New Roman"/>
                <w:color w:val="000000" w:themeColor="text1"/>
                <w:sz w:val="24"/>
                <w:szCs w:val="24"/>
              </w:rPr>
            </w:pPr>
            <w:r w:rsidRPr="003776F9">
              <w:rPr>
                <w:rFonts w:ascii="Times New Roman" w:hAnsi="Times New Roman"/>
                <w:sz w:val="24"/>
                <w:szCs w:val="24"/>
              </w:rPr>
              <w:t xml:space="preserve">2. </w:t>
            </w:r>
            <w:r w:rsidRPr="003776F9">
              <w:rPr>
                <w:rFonts w:ascii="Times New Roman" w:hAnsi="Times New Roman"/>
                <w:color w:val="000000" w:themeColor="text1"/>
                <w:sz w:val="24"/>
                <w:szCs w:val="24"/>
              </w:rPr>
              <w:t xml:space="preserve"> </w:t>
            </w:r>
            <w:r w:rsidR="004E6803" w:rsidRPr="003776F9">
              <w:rPr>
                <w:rFonts w:ascii="Times New Roman" w:hAnsi="Times New Roman"/>
                <w:color w:val="000000" w:themeColor="text1"/>
                <w:sz w:val="24"/>
                <w:szCs w:val="24"/>
              </w:rPr>
              <w:t>S</w:t>
            </w:r>
            <w:r w:rsidRPr="003776F9">
              <w:rPr>
                <w:rFonts w:ascii="Times New Roman" w:hAnsi="Times New Roman"/>
                <w:color w:val="000000" w:themeColor="text1"/>
                <w:sz w:val="24"/>
                <w:szCs w:val="24"/>
              </w:rPr>
              <w:t xml:space="preserve">iūlome </w:t>
            </w:r>
            <w:r w:rsidR="001E3EA3" w:rsidRPr="003776F9">
              <w:rPr>
                <w:rFonts w:ascii="Times New Roman" w:hAnsi="Times New Roman"/>
                <w:color w:val="000000" w:themeColor="text1"/>
                <w:sz w:val="24"/>
                <w:szCs w:val="24"/>
              </w:rPr>
              <w:t>Aprašo</w:t>
            </w:r>
            <w:r w:rsidR="001E3EA3" w:rsidRPr="003776F9">
              <w:rPr>
                <w:rFonts w:ascii="Times New Roman" w:hAnsi="Times New Roman"/>
                <w:color w:val="000000" w:themeColor="text1"/>
                <w:sz w:val="24"/>
                <w:szCs w:val="24"/>
              </w:rPr>
              <w:t xml:space="preserve"> </w:t>
            </w:r>
            <w:r w:rsidRPr="003776F9">
              <w:rPr>
                <w:rFonts w:ascii="Times New Roman" w:hAnsi="Times New Roman"/>
                <w:color w:val="000000" w:themeColor="text1"/>
                <w:sz w:val="24"/>
                <w:szCs w:val="24"/>
              </w:rPr>
              <w:t xml:space="preserve">21 punkte </w:t>
            </w:r>
            <w:r w:rsidR="008D058F" w:rsidRPr="003776F9">
              <w:rPr>
                <w:rFonts w:ascii="Times New Roman" w:hAnsi="Times New Roman"/>
                <w:color w:val="000000" w:themeColor="text1"/>
                <w:sz w:val="24"/>
                <w:szCs w:val="24"/>
              </w:rPr>
              <w:t xml:space="preserve">(dabartinio Aprašo 22 punkte) </w:t>
            </w:r>
            <w:r w:rsidRPr="003776F9">
              <w:rPr>
                <w:rFonts w:ascii="Times New Roman" w:hAnsi="Times New Roman"/>
                <w:color w:val="000000" w:themeColor="text1"/>
                <w:sz w:val="24"/>
                <w:szCs w:val="24"/>
              </w:rPr>
              <w:t>pakeisti „&lt;...</w:t>
            </w:r>
            <w:r w:rsidRPr="003776F9">
              <w:rPr>
                <w:rFonts w:ascii="Times New Roman" w:hAnsi="Times New Roman"/>
                <w:i/>
                <w:color w:val="000000" w:themeColor="text1"/>
                <w:sz w:val="24"/>
                <w:szCs w:val="24"/>
              </w:rPr>
              <w:t>projekto vykdymo laikotarpis</w:t>
            </w:r>
            <w:r w:rsidRPr="003776F9">
              <w:rPr>
                <w:rFonts w:ascii="Times New Roman" w:hAnsi="Times New Roman"/>
                <w:color w:val="000000" w:themeColor="text1"/>
                <w:sz w:val="24"/>
                <w:szCs w:val="24"/>
              </w:rPr>
              <w:t>...&gt;“ į „&lt;...</w:t>
            </w:r>
            <w:r w:rsidRPr="003776F9">
              <w:rPr>
                <w:rFonts w:ascii="Times New Roman" w:hAnsi="Times New Roman"/>
                <w:i/>
                <w:color w:val="000000" w:themeColor="text1"/>
                <w:sz w:val="24"/>
                <w:szCs w:val="24"/>
              </w:rPr>
              <w:t>projekto veiklų vykdymo laikotarpį</w:t>
            </w:r>
            <w:r w:rsidRPr="003776F9">
              <w:rPr>
                <w:rFonts w:ascii="Times New Roman" w:hAnsi="Times New Roman"/>
                <w:color w:val="000000" w:themeColor="text1"/>
                <w:sz w:val="24"/>
                <w:szCs w:val="24"/>
              </w:rPr>
              <w:t xml:space="preserve">...&gt;“, kadangi </w:t>
            </w:r>
            <w:r w:rsidR="001E3EA3" w:rsidRPr="003776F9">
              <w:rPr>
                <w:rFonts w:ascii="Times New Roman" w:hAnsi="Times New Roman"/>
                <w:color w:val="000000" w:themeColor="text1"/>
                <w:sz w:val="24"/>
                <w:szCs w:val="24"/>
              </w:rPr>
              <w:t>Aprašo</w:t>
            </w:r>
            <w:r w:rsidR="001E3EA3" w:rsidRPr="003776F9">
              <w:rPr>
                <w:rFonts w:ascii="Times New Roman" w:hAnsi="Times New Roman"/>
                <w:color w:val="000000" w:themeColor="text1"/>
                <w:sz w:val="24"/>
                <w:szCs w:val="24"/>
              </w:rPr>
              <w:t xml:space="preserve"> </w:t>
            </w:r>
            <w:r w:rsidRPr="003776F9">
              <w:rPr>
                <w:rFonts w:ascii="Times New Roman" w:hAnsi="Times New Roman"/>
                <w:color w:val="000000" w:themeColor="text1"/>
                <w:sz w:val="24"/>
                <w:szCs w:val="24"/>
              </w:rPr>
              <w:t>20 punkte</w:t>
            </w:r>
            <w:r w:rsidR="008D058F" w:rsidRPr="003776F9">
              <w:rPr>
                <w:rFonts w:ascii="Times New Roman" w:hAnsi="Times New Roman"/>
                <w:color w:val="000000" w:themeColor="text1"/>
                <w:sz w:val="24"/>
                <w:szCs w:val="24"/>
              </w:rPr>
              <w:t xml:space="preserve"> (dabartinio Aprašo 21 punkte)</w:t>
            </w:r>
            <w:r w:rsidRPr="003776F9">
              <w:rPr>
                <w:rFonts w:ascii="Times New Roman" w:hAnsi="Times New Roman"/>
                <w:color w:val="000000" w:themeColor="text1"/>
                <w:sz w:val="24"/>
                <w:szCs w:val="24"/>
              </w:rPr>
              <w:t xml:space="preserve"> nurodoma jog „&lt;...</w:t>
            </w:r>
            <w:r w:rsidRPr="003776F9">
              <w:rPr>
                <w:rFonts w:ascii="Times New Roman" w:hAnsi="Times New Roman"/>
                <w:i/>
                <w:color w:val="000000" w:themeColor="text1"/>
                <w:sz w:val="24"/>
                <w:szCs w:val="24"/>
              </w:rPr>
              <w:t>projektų veiklos turi būti baigtos</w:t>
            </w:r>
            <w:r w:rsidRPr="003776F9">
              <w:rPr>
                <w:rFonts w:ascii="Times New Roman" w:hAnsi="Times New Roman"/>
                <w:color w:val="000000" w:themeColor="text1"/>
                <w:sz w:val="24"/>
                <w:szCs w:val="24"/>
              </w:rPr>
              <w:t>...&gt;“.</w:t>
            </w:r>
          </w:p>
          <w:p w:rsidR="003D6864" w:rsidRPr="003776F9" w:rsidRDefault="003D6864" w:rsidP="004860C7">
            <w:pPr>
              <w:tabs>
                <w:tab w:val="left" w:pos="330"/>
              </w:tabs>
              <w:spacing w:after="0" w:line="240" w:lineRule="auto"/>
              <w:jc w:val="both"/>
              <w:rPr>
                <w:rFonts w:ascii="Times New Roman" w:hAnsi="Times New Roman"/>
                <w:sz w:val="24"/>
                <w:szCs w:val="24"/>
              </w:rPr>
            </w:pPr>
          </w:p>
        </w:tc>
        <w:tc>
          <w:tcPr>
            <w:tcW w:w="5513" w:type="dxa"/>
          </w:tcPr>
          <w:p w:rsidR="003D6864" w:rsidRPr="003776F9" w:rsidRDefault="00D35F09"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D35F09" w:rsidRPr="003776F9" w:rsidRDefault="00D35F09" w:rsidP="002157F2">
            <w:pPr>
              <w:spacing w:after="0" w:line="240" w:lineRule="auto"/>
              <w:jc w:val="both"/>
              <w:rPr>
                <w:rFonts w:ascii="Times New Roman" w:hAnsi="Times New Roman"/>
                <w:sz w:val="24"/>
                <w:szCs w:val="24"/>
              </w:rPr>
            </w:pPr>
            <w:r w:rsidRPr="003776F9">
              <w:rPr>
                <w:rFonts w:ascii="Times New Roman" w:hAnsi="Times New Roman"/>
                <w:sz w:val="24"/>
                <w:szCs w:val="24"/>
              </w:rPr>
              <w:t xml:space="preserve">Aprašo </w:t>
            </w:r>
            <w:r w:rsidR="008D058F" w:rsidRPr="003776F9">
              <w:rPr>
                <w:rFonts w:ascii="Times New Roman" w:hAnsi="Times New Roman"/>
                <w:sz w:val="24"/>
                <w:szCs w:val="24"/>
              </w:rPr>
              <w:t xml:space="preserve">22 </w:t>
            </w:r>
            <w:r w:rsidRPr="003776F9">
              <w:rPr>
                <w:rFonts w:ascii="Times New Roman" w:hAnsi="Times New Roman"/>
                <w:sz w:val="24"/>
                <w:szCs w:val="24"/>
              </w:rPr>
              <w:t xml:space="preserve">punkto formuluotė atitinka </w:t>
            </w:r>
            <w:r w:rsidR="002157F2" w:rsidRPr="003776F9">
              <w:rPr>
                <w:rFonts w:ascii="Times New Roman" w:hAnsi="Times New Roman"/>
                <w:sz w:val="24"/>
                <w:szCs w:val="24"/>
              </w:rPr>
              <w:t>Pavyzdinės</w:t>
            </w:r>
            <w:r w:rsidRPr="003776F9">
              <w:rPr>
                <w:rFonts w:ascii="Times New Roman" w:hAnsi="Times New Roman"/>
                <w:sz w:val="24"/>
                <w:szCs w:val="24"/>
              </w:rPr>
              <w:t xml:space="preserve"> aprašo</w:t>
            </w:r>
            <w:r w:rsidR="002157F2" w:rsidRPr="003776F9">
              <w:rPr>
                <w:rFonts w:ascii="Times New Roman" w:hAnsi="Times New Roman"/>
                <w:sz w:val="24"/>
                <w:szCs w:val="24"/>
              </w:rPr>
              <w:t xml:space="preserve"> formos</w:t>
            </w:r>
            <w:r w:rsidRPr="003776F9">
              <w:rPr>
                <w:rFonts w:ascii="Times New Roman" w:hAnsi="Times New Roman"/>
                <w:sz w:val="24"/>
                <w:szCs w:val="24"/>
              </w:rPr>
              <w:t xml:space="preserve"> formuluotę.</w:t>
            </w:r>
          </w:p>
        </w:tc>
      </w:tr>
      <w:tr w:rsidR="003D6864" w:rsidRPr="003776F9" w:rsidTr="008150E7">
        <w:tc>
          <w:tcPr>
            <w:tcW w:w="3085" w:type="dxa"/>
          </w:tcPr>
          <w:p w:rsidR="003D6864" w:rsidRPr="003776F9" w:rsidRDefault="003D6864" w:rsidP="00F316B4">
            <w:pPr>
              <w:spacing w:after="0" w:line="240" w:lineRule="auto"/>
              <w:rPr>
                <w:rFonts w:ascii="Times New Roman" w:hAnsi="Times New Roman"/>
                <w:sz w:val="24"/>
                <w:szCs w:val="24"/>
              </w:rPr>
            </w:pPr>
          </w:p>
        </w:tc>
        <w:tc>
          <w:tcPr>
            <w:tcW w:w="6394" w:type="dxa"/>
          </w:tcPr>
          <w:p w:rsidR="00D76DE6" w:rsidRPr="003776F9" w:rsidRDefault="00D76DE6" w:rsidP="004860C7">
            <w:pPr>
              <w:pStyle w:val="ListParagraph"/>
              <w:numPr>
                <w:ilvl w:val="0"/>
                <w:numId w:val="13"/>
              </w:numPr>
              <w:tabs>
                <w:tab w:val="left" w:pos="330"/>
              </w:tabs>
              <w:spacing w:after="0" w:line="240" w:lineRule="auto"/>
              <w:ind w:left="0" w:firstLine="0"/>
              <w:jc w:val="both"/>
              <w:rPr>
                <w:rFonts w:ascii="Times New Roman" w:hAnsi="Times New Roman"/>
                <w:color w:val="000000" w:themeColor="text1"/>
                <w:sz w:val="24"/>
                <w:szCs w:val="24"/>
              </w:rPr>
            </w:pPr>
            <w:r w:rsidRPr="003776F9">
              <w:rPr>
                <w:rFonts w:ascii="Times New Roman" w:hAnsi="Times New Roman"/>
                <w:color w:val="000000" w:themeColor="text1"/>
                <w:sz w:val="24"/>
                <w:szCs w:val="24"/>
              </w:rPr>
              <w:t xml:space="preserve">Siūlome papildyti </w:t>
            </w:r>
            <w:r w:rsidR="001E3EA3" w:rsidRPr="003776F9">
              <w:rPr>
                <w:rFonts w:ascii="Times New Roman" w:hAnsi="Times New Roman"/>
                <w:color w:val="000000" w:themeColor="text1"/>
                <w:sz w:val="24"/>
                <w:szCs w:val="24"/>
              </w:rPr>
              <w:t>Aprašą</w:t>
            </w:r>
            <w:r w:rsidR="001E3EA3" w:rsidRPr="003776F9">
              <w:rPr>
                <w:rFonts w:ascii="Times New Roman" w:hAnsi="Times New Roman"/>
                <w:color w:val="000000" w:themeColor="text1"/>
                <w:sz w:val="24"/>
                <w:szCs w:val="24"/>
              </w:rPr>
              <w:t xml:space="preserve"> </w:t>
            </w:r>
            <w:r w:rsidRPr="003776F9">
              <w:rPr>
                <w:rFonts w:ascii="Times New Roman" w:hAnsi="Times New Roman"/>
                <w:color w:val="000000" w:themeColor="text1"/>
                <w:sz w:val="24"/>
                <w:szCs w:val="24"/>
              </w:rPr>
              <w:t>nurodant laikotarpį, kada projektų veiklos gali būti pradėtos.</w:t>
            </w:r>
          </w:p>
          <w:p w:rsidR="003D6864" w:rsidRPr="003776F9" w:rsidRDefault="003D6864" w:rsidP="004860C7">
            <w:pPr>
              <w:tabs>
                <w:tab w:val="left" w:pos="330"/>
              </w:tabs>
              <w:spacing w:after="0" w:line="240" w:lineRule="auto"/>
              <w:jc w:val="both"/>
              <w:rPr>
                <w:rFonts w:ascii="Times New Roman" w:hAnsi="Times New Roman"/>
                <w:sz w:val="24"/>
                <w:szCs w:val="24"/>
              </w:rPr>
            </w:pPr>
          </w:p>
        </w:tc>
        <w:tc>
          <w:tcPr>
            <w:tcW w:w="5513" w:type="dxa"/>
          </w:tcPr>
          <w:p w:rsidR="001B6AA0" w:rsidRPr="003776F9" w:rsidRDefault="001B6AA0"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3D6864" w:rsidRPr="003776F9" w:rsidRDefault="00974B7A" w:rsidP="00974B7A">
            <w:pPr>
              <w:spacing w:after="0" w:line="240" w:lineRule="auto"/>
              <w:jc w:val="both"/>
              <w:rPr>
                <w:rFonts w:ascii="Times New Roman" w:hAnsi="Times New Roman"/>
                <w:sz w:val="24"/>
                <w:szCs w:val="24"/>
              </w:rPr>
            </w:pPr>
            <w:r w:rsidRPr="003776F9">
              <w:rPr>
                <w:rFonts w:ascii="Times New Roman" w:hAnsi="Times New Roman"/>
                <w:sz w:val="24"/>
                <w:szCs w:val="24"/>
              </w:rPr>
              <w:t>Pagal Aprašą tnkama projektų veiklos pradžios data</w:t>
            </w:r>
            <w:r w:rsidR="001B6AA0" w:rsidRPr="003776F9">
              <w:rPr>
                <w:rFonts w:ascii="Times New Roman" w:hAnsi="Times New Roman"/>
                <w:sz w:val="24"/>
                <w:szCs w:val="24"/>
              </w:rPr>
              <w:t xml:space="preserve"> </w:t>
            </w:r>
            <w:r w:rsidRPr="003776F9">
              <w:rPr>
                <w:rFonts w:ascii="Times New Roman" w:hAnsi="Times New Roman"/>
                <w:sz w:val="24"/>
                <w:szCs w:val="24"/>
              </w:rPr>
              <w:t>atitinka</w:t>
            </w:r>
            <w:r w:rsidR="001B6AA0" w:rsidRPr="003776F9">
              <w:rPr>
                <w:rFonts w:ascii="Times New Roman" w:hAnsi="Times New Roman"/>
                <w:sz w:val="24"/>
                <w:szCs w:val="24"/>
              </w:rPr>
              <w:t xml:space="preserve"> </w:t>
            </w:r>
            <w:r w:rsidR="00F00CC7" w:rsidRPr="003776F9">
              <w:rPr>
                <w:rFonts w:ascii="Times New Roman" w:hAnsi="Times New Roman"/>
                <w:sz w:val="24"/>
                <w:szCs w:val="24"/>
              </w:rPr>
              <w:t xml:space="preserve"> </w:t>
            </w:r>
            <w:r w:rsidR="00F00CC7" w:rsidRPr="003776F9">
              <w:rPr>
                <w:rFonts w:ascii="Times New Roman" w:hAnsi="Times New Roman"/>
                <w:sz w:val="24"/>
                <w:szCs w:val="24"/>
              </w:rPr>
              <w:t>Projektų administravimo ir finansavimo taisykl</w:t>
            </w:r>
            <w:r w:rsidRPr="003776F9">
              <w:rPr>
                <w:rFonts w:ascii="Times New Roman" w:hAnsi="Times New Roman"/>
                <w:sz w:val="24"/>
                <w:szCs w:val="24"/>
              </w:rPr>
              <w:t>ių</w:t>
            </w:r>
            <w:r w:rsidR="00F00CC7" w:rsidRPr="003776F9">
              <w:rPr>
                <w:rFonts w:ascii="Times New Roman" w:hAnsi="Times New Roman"/>
                <w:sz w:val="24"/>
                <w:szCs w:val="24"/>
              </w:rPr>
              <w:t>, patvirtint</w:t>
            </w:r>
            <w:r w:rsidRPr="003776F9">
              <w:rPr>
                <w:rFonts w:ascii="Times New Roman" w:hAnsi="Times New Roman"/>
                <w:sz w:val="24"/>
                <w:szCs w:val="24"/>
              </w:rPr>
              <w:t>ų</w:t>
            </w:r>
            <w:r w:rsidR="00F00CC7" w:rsidRPr="003776F9">
              <w:rPr>
                <w:rFonts w:ascii="Times New Roman" w:hAnsi="Times New Roman"/>
                <w:sz w:val="24"/>
                <w:szCs w:val="24"/>
              </w:rPr>
              <w:t xml:space="preserve"> Lietuvos Respublikos finansų ministro 2014 m. spalio 8 d. įsakymu Nr. 1K-316 „Dėl Projektų administravimo ir finansavimo taisyklių patvirtinimo“ (toliau – Projektų taisyklės)</w:t>
            </w:r>
            <w:r w:rsidRPr="003776F9">
              <w:rPr>
                <w:rFonts w:ascii="Times New Roman" w:hAnsi="Times New Roman"/>
                <w:sz w:val="24"/>
                <w:szCs w:val="24"/>
              </w:rPr>
              <w:t xml:space="preserve"> nuostatas,</w:t>
            </w:r>
            <w:r w:rsidR="001B6AA0" w:rsidRPr="003776F9">
              <w:rPr>
                <w:rFonts w:ascii="Times New Roman" w:hAnsi="Times New Roman"/>
                <w:sz w:val="24"/>
                <w:szCs w:val="24"/>
              </w:rPr>
              <w:t xml:space="preserve"> </w:t>
            </w:r>
            <w:r w:rsidRPr="003776F9">
              <w:rPr>
                <w:rFonts w:ascii="Times New Roman" w:hAnsi="Times New Roman"/>
                <w:sz w:val="24"/>
                <w:szCs w:val="24"/>
              </w:rPr>
              <w:t xml:space="preserve">o </w:t>
            </w:r>
            <w:r w:rsidR="001B6AA0" w:rsidRPr="003776F9">
              <w:rPr>
                <w:rFonts w:ascii="Times New Roman" w:hAnsi="Times New Roman"/>
                <w:sz w:val="24"/>
                <w:szCs w:val="24"/>
              </w:rPr>
              <w:t xml:space="preserve">Aprašas parengtas vadovaujantis </w:t>
            </w:r>
            <w:r w:rsidR="002157F2" w:rsidRPr="003776F9">
              <w:rPr>
                <w:rFonts w:ascii="Times New Roman" w:hAnsi="Times New Roman"/>
                <w:sz w:val="24"/>
                <w:szCs w:val="24"/>
              </w:rPr>
              <w:t>P</w:t>
            </w:r>
            <w:r w:rsidR="001B6AA0" w:rsidRPr="003776F9">
              <w:rPr>
                <w:rFonts w:ascii="Times New Roman" w:hAnsi="Times New Roman"/>
                <w:sz w:val="24"/>
                <w:szCs w:val="24"/>
              </w:rPr>
              <w:t>avyzdin</w:t>
            </w:r>
            <w:r w:rsidR="002157F2" w:rsidRPr="003776F9">
              <w:rPr>
                <w:rFonts w:ascii="Times New Roman" w:hAnsi="Times New Roman"/>
                <w:sz w:val="24"/>
                <w:szCs w:val="24"/>
              </w:rPr>
              <w:t>e a</w:t>
            </w:r>
            <w:r w:rsidR="008C5032" w:rsidRPr="003776F9">
              <w:rPr>
                <w:rFonts w:ascii="Times New Roman" w:hAnsi="Times New Roman"/>
                <w:sz w:val="24"/>
                <w:szCs w:val="24"/>
              </w:rPr>
              <w:t>prašo</w:t>
            </w:r>
            <w:r w:rsidR="002157F2" w:rsidRPr="003776F9">
              <w:rPr>
                <w:rFonts w:ascii="Times New Roman" w:hAnsi="Times New Roman"/>
                <w:sz w:val="24"/>
                <w:szCs w:val="24"/>
              </w:rPr>
              <w:t xml:space="preserve"> forma</w:t>
            </w:r>
            <w:r w:rsidRPr="003776F9">
              <w:rPr>
                <w:rFonts w:ascii="Times New Roman" w:hAnsi="Times New Roman"/>
                <w:sz w:val="24"/>
                <w:szCs w:val="24"/>
              </w:rPr>
              <w:t>.</w:t>
            </w:r>
            <w:r w:rsidR="001B6AA0" w:rsidRPr="003776F9">
              <w:rPr>
                <w:rFonts w:ascii="Times New Roman" w:hAnsi="Times New Roman"/>
                <w:sz w:val="24"/>
                <w:szCs w:val="24"/>
              </w:rPr>
              <w:t xml:space="preserve"> </w:t>
            </w:r>
            <w:r w:rsidRPr="003776F9">
              <w:rPr>
                <w:rFonts w:ascii="Times New Roman" w:hAnsi="Times New Roman"/>
                <w:sz w:val="24"/>
                <w:szCs w:val="24"/>
              </w:rPr>
              <w:t>Todėl</w:t>
            </w:r>
            <w:r w:rsidR="001B6AA0" w:rsidRPr="003776F9">
              <w:rPr>
                <w:rFonts w:ascii="Times New Roman" w:hAnsi="Times New Roman"/>
                <w:sz w:val="24"/>
                <w:szCs w:val="24"/>
              </w:rPr>
              <w:t xml:space="preserve"> </w:t>
            </w:r>
            <w:r w:rsidRPr="003776F9">
              <w:rPr>
                <w:rFonts w:ascii="Times New Roman" w:hAnsi="Times New Roman"/>
                <w:sz w:val="24"/>
                <w:szCs w:val="24"/>
              </w:rPr>
              <w:t xml:space="preserve">atitinkami </w:t>
            </w:r>
            <w:r w:rsidR="001B6AA0" w:rsidRPr="003776F9">
              <w:rPr>
                <w:rFonts w:ascii="Times New Roman" w:hAnsi="Times New Roman"/>
                <w:sz w:val="24"/>
                <w:szCs w:val="24"/>
              </w:rPr>
              <w:t xml:space="preserve">papildomi Projektų taisyklių punktai </w:t>
            </w:r>
            <w:r w:rsidRPr="003776F9">
              <w:rPr>
                <w:rFonts w:ascii="Times New Roman" w:hAnsi="Times New Roman"/>
                <w:sz w:val="24"/>
                <w:szCs w:val="24"/>
              </w:rPr>
              <w:t xml:space="preserve">į </w:t>
            </w:r>
            <w:r w:rsidR="001B6AA0" w:rsidRPr="003776F9">
              <w:rPr>
                <w:rFonts w:ascii="Times New Roman" w:hAnsi="Times New Roman"/>
                <w:sz w:val="24"/>
                <w:szCs w:val="24"/>
              </w:rPr>
              <w:t>Apraš</w:t>
            </w:r>
            <w:r w:rsidRPr="003776F9">
              <w:rPr>
                <w:rFonts w:ascii="Times New Roman" w:hAnsi="Times New Roman"/>
                <w:sz w:val="24"/>
                <w:szCs w:val="24"/>
              </w:rPr>
              <w:t>ą</w:t>
            </w:r>
            <w:r w:rsidR="001B6AA0" w:rsidRPr="003776F9">
              <w:rPr>
                <w:rFonts w:ascii="Times New Roman" w:hAnsi="Times New Roman"/>
                <w:sz w:val="24"/>
                <w:szCs w:val="24"/>
              </w:rPr>
              <w:t xml:space="preserve"> nėra perkeliami ir cituojami.</w:t>
            </w:r>
          </w:p>
        </w:tc>
      </w:tr>
      <w:tr w:rsidR="003D6864" w:rsidRPr="003776F9" w:rsidTr="008150E7">
        <w:tc>
          <w:tcPr>
            <w:tcW w:w="3085" w:type="dxa"/>
          </w:tcPr>
          <w:p w:rsidR="003D6864" w:rsidRPr="003776F9" w:rsidRDefault="003D6864" w:rsidP="00F316B4">
            <w:pPr>
              <w:spacing w:after="0" w:line="240" w:lineRule="auto"/>
              <w:rPr>
                <w:rFonts w:ascii="Times New Roman" w:hAnsi="Times New Roman"/>
                <w:sz w:val="24"/>
                <w:szCs w:val="24"/>
              </w:rPr>
            </w:pPr>
          </w:p>
        </w:tc>
        <w:tc>
          <w:tcPr>
            <w:tcW w:w="6394" w:type="dxa"/>
          </w:tcPr>
          <w:p w:rsidR="003D6864" w:rsidRPr="003776F9" w:rsidRDefault="005361C8" w:rsidP="004860C7">
            <w:pPr>
              <w:pStyle w:val="ListParagraph"/>
              <w:numPr>
                <w:ilvl w:val="0"/>
                <w:numId w:val="13"/>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sz w:val="24"/>
                <w:szCs w:val="24"/>
              </w:rPr>
              <w:t xml:space="preserve">Atsižvelgiant į tai, kad rengiamas </w:t>
            </w:r>
            <w:r w:rsidR="0077020D" w:rsidRPr="003776F9">
              <w:rPr>
                <w:rFonts w:ascii="Times New Roman" w:hAnsi="Times New Roman"/>
                <w:sz w:val="24"/>
                <w:szCs w:val="24"/>
              </w:rPr>
              <w:t xml:space="preserve">Lietuvos Respublikos </w:t>
            </w:r>
            <w:r w:rsidRPr="003776F9">
              <w:rPr>
                <w:rFonts w:ascii="Times New Roman" w:hAnsi="Times New Roman"/>
                <w:sz w:val="24"/>
                <w:szCs w:val="24"/>
              </w:rPr>
              <w:t xml:space="preserve">Vyriausybės 2014 m. lapkričio 26 d. nutarimo Nr. 1328 pakeitimas, kuriuo bus keičiama Viešųjų pastatų energetinio efektyvumo didinimo programa (toliau – Programa) ir vienas iš pakeitimo aspektų - bus nurodoma, kokios alternatyvos turi būti išnagrinėtos investicijų projekte, įgyvendinant viešųjų pastatų energinio efektyvumo didinimą, ir, kad projekto energijos </w:t>
            </w:r>
            <w:r w:rsidRPr="003776F9">
              <w:rPr>
                <w:rFonts w:ascii="Times New Roman" w:hAnsi="Times New Roman"/>
                <w:sz w:val="24"/>
                <w:szCs w:val="24"/>
              </w:rPr>
              <w:lastRenderedPageBreak/>
              <w:t xml:space="preserve">vartojimo efektyvumą didinančios priemonės gali būti finansuojamos Agentūros, rekomenduojame papildyti </w:t>
            </w:r>
            <w:r w:rsidR="001E3EA3" w:rsidRPr="003776F9">
              <w:rPr>
                <w:rFonts w:ascii="Times New Roman" w:hAnsi="Times New Roman"/>
                <w:sz w:val="24"/>
                <w:szCs w:val="24"/>
              </w:rPr>
              <w:t>Aprašo</w:t>
            </w:r>
            <w:r w:rsidR="001E3EA3" w:rsidRPr="003776F9">
              <w:rPr>
                <w:rFonts w:ascii="Times New Roman" w:hAnsi="Times New Roman"/>
                <w:sz w:val="24"/>
                <w:szCs w:val="24"/>
              </w:rPr>
              <w:t xml:space="preserve"> </w:t>
            </w:r>
            <w:r w:rsidRPr="003776F9">
              <w:rPr>
                <w:rFonts w:ascii="Times New Roman" w:hAnsi="Times New Roman"/>
                <w:sz w:val="24"/>
                <w:szCs w:val="24"/>
              </w:rPr>
              <w:t>24.4</w:t>
            </w:r>
            <w:r w:rsidR="000949F0" w:rsidRPr="003776F9">
              <w:rPr>
                <w:rFonts w:ascii="Times New Roman" w:hAnsi="Times New Roman"/>
                <w:sz w:val="24"/>
                <w:szCs w:val="24"/>
              </w:rPr>
              <w:t>.</w:t>
            </w:r>
            <w:r w:rsidRPr="003776F9">
              <w:rPr>
                <w:rFonts w:ascii="Times New Roman" w:hAnsi="Times New Roman"/>
                <w:sz w:val="24"/>
                <w:szCs w:val="24"/>
              </w:rPr>
              <w:t xml:space="preserve"> </w:t>
            </w:r>
            <w:r w:rsidR="0077020D" w:rsidRPr="003776F9">
              <w:rPr>
                <w:rFonts w:ascii="Times New Roman" w:hAnsi="Times New Roman"/>
                <w:sz w:val="24"/>
                <w:szCs w:val="24"/>
              </w:rPr>
              <w:t>papunktį</w:t>
            </w:r>
            <w:r w:rsidR="000949F0" w:rsidRPr="003776F9">
              <w:rPr>
                <w:rFonts w:ascii="Times New Roman" w:hAnsi="Times New Roman"/>
                <w:sz w:val="24"/>
                <w:szCs w:val="24"/>
              </w:rPr>
              <w:t xml:space="preserve"> (dabartinio Aprašo 25.2. papunktį)</w:t>
            </w:r>
            <w:r w:rsidR="0077020D" w:rsidRPr="003776F9">
              <w:rPr>
                <w:rFonts w:ascii="Times New Roman" w:hAnsi="Times New Roman"/>
                <w:sz w:val="24"/>
                <w:szCs w:val="24"/>
              </w:rPr>
              <w:t xml:space="preserve"> </w:t>
            </w:r>
            <w:r w:rsidRPr="003776F9">
              <w:rPr>
                <w:rFonts w:ascii="Times New Roman" w:hAnsi="Times New Roman"/>
                <w:sz w:val="24"/>
                <w:szCs w:val="24"/>
              </w:rPr>
              <w:t>taip: „&lt;..iki projektinio pasiūlymo pateikimo Ministerijai, pareiškėjas taip pat turi būti parengęs energijos vartojimo efektyvumo didinančių priemonių investicijų projektą, kuris turi remtis atnaujinamo pastato energijos vartojimo audito rezultatais, pagal Investicijų projektų metodiką ir (arba) Viešųjų pastatų energinio efektyvumo didinimo programą ir gavęs UAB „Viešųjų investicijų plėtros agentūra“ išvadą...&gt;“.</w:t>
            </w:r>
          </w:p>
        </w:tc>
        <w:tc>
          <w:tcPr>
            <w:tcW w:w="5513" w:type="dxa"/>
          </w:tcPr>
          <w:p w:rsidR="000B4D02" w:rsidRPr="003776F9" w:rsidRDefault="00D321E4" w:rsidP="009E4DF1">
            <w:pPr>
              <w:spacing w:after="0" w:line="240" w:lineRule="auto"/>
              <w:jc w:val="both"/>
              <w:rPr>
                <w:rFonts w:ascii="Times New Roman" w:hAnsi="Times New Roman"/>
                <w:b/>
                <w:sz w:val="24"/>
                <w:szCs w:val="24"/>
              </w:rPr>
            </w:pPr>
            <w:r w:rsidRPr="003776F9">
              <w:rPr>
                <w:rFonts w:ascii="Times New Roman" w:hAnsi="Times New Roman"/>
                <w:b/>
                <w:sz w:val="24"/>
                <w:szCs w:val="24"/>
              </w:rPr>
              <w:lastRenderedPageBreak/>
              <w:t xml:space="preserve">Atsižvelgta iš dalies. </w:t>
            </w:r>
          </w:p>
          <w:p w:rsidR="003D6864" w:rsidRPr="003776F9" w:rsidRDefault="000B4D02"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Aprašo 25.1.3. </w:t>
            </w:r>
            <w:r w:rsidR="00CA6043" w:rsidRPr="003776F9">
              <w:rPr>
                <w:rFonts w:ascii="Times New Roman" w:hAnsi="Times New Roman"/>
                <w:sz w:val="24"/>
                <w:szCs w:val="24"/>
              </w:rPr>
              <w:t xml:space="preserve">papunktyje </w:t>
            </w:r>
            <w:r w:rsidRPr="003776F9">
              <w:rPr>
                <w:rFonts w:ascii="Times New Roman" w:hAnsi="Times New Roman"/>
                <w:sz w:val="24"/>
                <w:szCs w:val="24"/>
              </w:rPr>
              <w:t>nurodytos sąlygos, kada rengiamas</w:t>
            </w:r>
            <w:r w:rsidR="00D321E4" w:rsidRPr="003776F9">
              <w:rPr>
                <w:rFonts w:ascii="Times New Roman" w:hAnsi="Times New Roman"/>
                <w:sz w:val="24"/>
                <w:szCs w:val="24"/>
              </w:rPr>
              <w:t xml:space="preserve"> bendras </w:t>
            </w:r>
            <w:r w:rsidRPr="003776F9">
              <w:rPr>
                <w:rFonts w:ascii="Times New Roman" w:hAnsi="Times New Roman"/>
                <w:sz w:val="24"/>
                <w:szCs w:val="24"/>
              </w:rPr>
              <w:t>investicijų projektas</w:t>
            </w:r>
            <w:r w:rsidR="00D321E4" w:rsidRPr="003776F9">
              <w:rPr>
                <w:rFonts w:ascii="Times New Roman" w:hAnsi="Times New Roman"/>
                <w:sz w:val="24"/>
                <w:szCs w:val="24"/>
              </w:rPr>
              <w:t xml:space="preserve">, apimantis 2 investavimo kryptis. </w:t>
            </w:r>
            <w:r w:rsidRPr="003776F9">
              <w:rPr>
                <w:rFonts w:ascii="Times New Roman" w:hAnsi="Times New Roman"/>
                <w:sz w:val="24"/>
                <w:szCs w:val="24"/>
              </w:rPr>
              <w:t xml:space="preserve">Reikalavimai, susiję su priemonės Nr. 04.3.1-FM-F-105 „Energijos vartojimo efektyvumo didinimas viešojoje infrastruktūroje“  finansavimo sąlygomis, turėtų būti nurodomi tik tos </w:t>
            </w:r>
            <w:r w:rsidRPr="003776F9">
              <w:rPr>
                <w:rFonts w:ascii="Times New Roman" w:hAnsi="Times New Roman"/>
                <w:sz w:val="24"/>
                <w:szCs w:val="24"/>
              </w:rPr>
              <w:lastRenderedPageBreak/>
              <w:t xml:space="preserve">priemonės projektų finansavimo sąlygų apraše. Apraše pateikiama nuoroda į priemonės Nr. 04.3.1-FM-F-105 finansavimo sąlygas. </w:t>
            </w:r>
          </w:p>
        </w:tc>
      </w:tr>
      <w:tr w:rsidR="00FD7850" w:rsidRPr="003776F9" w:rsidTr="008150E7">
        <w:tc>
          <w:tcPr>
            <w:tcW w:w="3085" w:type="dxa"/>
          </w:tcPr>
          <w:p w:rsidR="00FD7850" w:rsidRPr="003776F9" w:rsidRDefault="00FD7850" w:rsidP="00F316B4">
            <w:pPr>
              <w:spacing w:after="0" w:line="240" w:lineRule="auto"/>
              <w:rPr>
                <w:rFonts w:ascii="Times New Roman" w:hAnsi="Times New Roman"/>
                <w:sz w:val="24"/>
                <w:szCs w:val="24"/>
              </w:rPr>
            </w:pPr>
          </w:p>
        </w:tc>
        <w:tc>
          <w:tcPr>
            <w:tcW w:w="6394" w:type="dxa"/>
          </w:tcPr>
          <w:p w:rsidR="00FD7850" w:rsidRPr="003776F9" w:rsidRDefault="001E3EA3" w:rsidP="004860C7">
            <w:pPr>
              <w:pStyle w:val="ListParagraph"/>
              <w:numPr>
                <w:ilvl w:val="0"/>
                <w:numId w:val="13"/>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sz w:val="24"/>
                <w:szCs w:val="24"/>
              </w:rPr>
              <w:t>Aprašo</w:t>
            </w:r>
            <w:r w:rsidRPr="003776F9">
              <w:rPr>
                <w:rFonts w:ascii="Times New Roman" w:hAnsi="Times New Roman"/>
                <w:sz w:val="24"/>
                <w:szCs w:val="24"/>
              </w:rPr>
              <w:t xml:space="preserve"> </w:t>
            </w:r>
            <w:r w:rsidR="00FF185E" w:rsidRPr="003776F9">
              <w:rPr>
                <w:rFonts w:ascii="Times New Roman" w:hAnsi="Times New Roman"/>
                <w:sz w:val="24"/>
                <w:szCs w:val="24"/>
              </w:rPr>
              <w:t xml:space="preserve">24.1.4 </w:t>
            </w:r>
            <w:r w:rsidR="0077020D" w:rsidRPr="003776F9">
              <w:rPr>
                <w:rFonts w:ascii="Times New Roman" w:hAnsi="Times New Roman"/>
                <w:sz w:val="24"/>
                <w:szCs w:val="24"/>
              </w:rPr>
              <w:t xml:space="preserve">papunktyje </w:t>
            </w:r>
            <w:r w:rsidR="00FF185E" w:rsidRPr="003776F9">
              <w:rPr>
                <w:rFonts w:ascii="Times New Roman" w:hAnsi="Times New Roman"/>
                <w:sz w:val="24"/>
                <w:szCs w:val="24"/>
              </w:rPr>
              <w:t xml:space="preserve">nurodoma, kad „&lt;...investicijų projektas, į kurį netraukiamos planuojamos investicijos, susijusios su energijos vartojimo efektyvumą didinančiomis priemonėmis, rengiamas tais atvejais, kai pareiškėjas yra gavęs UAB „Viešųjų investicijų plėtros agentūra“ išvadą dėl energijos vartojimo efektyvumą didinančių priemonių projekto finansavimo. Tokiu atveju rengiami atskiri investicijų projektai...&gt;. Atkreipiame Jūsų dėmesį, kad investicijų projektas, susijęs su energijos vartojimo efektyvumą didinančiomis priemonėmis, yra vienas iš privalomų 2015 m. gegužės 22 d. Agentūros generalinio direktoriaus įsakymu Nr. 2015/9-16 patvirtintos Centrinės valdžios viešojo pastato atnaujinimo (modernizavimo) paskolos paraiškos (toliau – Paskolos paraiška) priedų, kuris teikiamas su Paskolos paraiška. Gavus Agentūros išvadą dėl finansavimo, pakartotinai investicijų projektas tai daliai nerengiamas. Siekiant proceso aiškumo, rekomenduojame </w:t>
            </w:r>
            <w:r w:rsidR="009B0BA7" w:rsidRPr="003776F9">
              <w:rPr>
                <w:rFonts w:ascii="Times New Roman" w:hAnsi="Times New Roman"/>
                <w:sz w:val="24"/>
                <w:szCs w:val="24"/>
              </w:rPr>
              <w:t>Aprašo</w:t>
            </w:r>
            <w:r w:rsidR="009B0BA7" w:rsidRPr="003776F9">
              <w:rPr>
                <w:rFonts w:ascii="Times New Roman" w:hAnsi="Times New Roman"/>
                <w:sz w:val="24"/>
                <w:szCs w:val="24"/>
              </w:rPr>
              <w:t xml:space="preserve"> </w:t>
            </w:r>
            <w:r w:rsidR="00FF185E" w:rsidRPr="003776F9">
              <w:rPr>
                <w:rFonts w:ascii="Times New Roman" w:hAnsi="Times New Roman"/>
                <w:sz w:val="24"/>
                <w:szCs w:val="24"/>
              </w:rPr>
              <w:t xml:space="preserve">24.1.4 </w:t>
            </w:r>
            <w:r w:rsidR="0077020D" w:rsidRPr="003776F9">
              <w:rPr>
                <w:rFonts w:ascii="Times New Roman" w:hAnsi="Times New Roman"/>
                <w:sz w:val="24"/>
                <w:szCs w:val="24"/>
              </w:rPr>
              <w:t xml:space="preserve">papunktį </w:t>
            </w:r>
            <w:r w:rsidR="00FF185E" w:rsidRPr="003776F9">
              <w:rPr>
                <w:rFonts w:ascii="Times New Roman" w:hAnsi="Times New Roman"/>
                <w:sz w:val="24"/>
                <w:szCs w:val="24"/>
              </w:rPr>
              <w:t xml:space="preserve">tikslinti taip „ &lt;...jei pareiškėjas yra gavęs UAB „Viešųjų investicijų plėtros agentūra“ išvadą dėl energijos vartojimo efektyvumą didinančių priemonių projekto finansavimo, turi parengti atskirą investicijų projektą, į kurį netraukiamos planuojamos investicijos, </w:t>
            </w:r>
            <w:r w:rsidR="00FF185E" w:rsidRPr="003776F9">
              <w:rPr>
                <w:rFonts w:ascii="Times New Roman" w:hAnsi="Times New Roman"/>
                <w:sz w:val="24"/>
                <w:szCs w:val="24"/>
              </w:rPr>
              <w:lastRenderedPageBreak/>
              <w:t>susijusios su energijos vartojimo efektyvumą didinančiomis priemonėmis...&gt;“.</w:t>
            </w:r>
          </w:p>
        </w:tc>
        <w:tc>
          <w:tcPr>
            <w:tcW w:w="5513" w:type="dxa"/>
          </w:tcPr>
          <w:p w:rsidR="000949F0" w:rsidRPr="003776F9" w:rsidRDefault="000949F0" w:rsidP="000949F0">
            <w:pPr>
              <w:spacing w:after="0" w:line="240" w:lineRule="auto"/>
              <w:jc w:val="both"/>
              <w:rPr>
                <w:rFonts w:ascii="Times New Roman" w:hAnsi="Times New Roman"/>
                <w:b/>
                <w:sz w:val="24"/>
                <w:szCs w:val="24"/>
              </w:rPr>
            </w:pPr>
            <w:r w:rsidRPr="003776F9">
              <w:rPr>
                <w:rFonts w:ascii="Times New Roman" w:hAnsi="Times New Roman"/>
                <w:b/>
                <w:sz w:val="24"/>
                <w:szCs w:val="24"/>
              </w:rPr>
              <w:lastRenderedPageBreak/>
              <w:t xml:space="preserve">Atsižvelgta iš dalies. </w:t>
            </w:r>
          </w:p>
          <w:p w:rsidR="00D321E4" w:rsidRPr="003776F9" w:rsidRDefault="00D321E4" w:rsidP="009E4DF1">
            <w:pPr>
              <w:tabs>
                <w:tab w:val="left" w:pos="1134"/>
                <w:tab w:val="left" w:pos="1560"/>
              </w:tabs>
              <w:spacing w:after="0" w:line="240" w:lineRule="auto"/>
              <w:jc w:val="both"/>
              <w:rPr>
                <w:rFonts w:ascii="Times New Roman" w:hAnsi="Times New Roman"/>
                <w:sz w:val="24"/>
                <w:szCs w:val="24"/>
              </w:rPr>
            </w:pPr>
            <w:r w:rsidRPr="003776F9">
              <w:rPr>
                <w:rFonts w:ascii="Times New Roman" w:hAnsi="Times New Roman"/>
                <w:sz w:val="24"/>
                <w:szCs w:val="24"/>
              </w:rPr>
              <w:t xml:space="preserve">Ši nuostata Apraše pakeista kita, atsižvelgiant į vykusio suinteresuotų institucijų dėl </w:t>
            </w:r>
            <w:r w:rsidR="00831E52" w:rsidRPr="003776F9">
              <w:rPr>
                <w:rFonts w:ascii="Times New Roman" w:hAnsi="Times New Roman"/>
                <w:sz w:val="24"/>
                <w:szCs w:val="24"/>
              </w:rPr>
              <w:t>energijos efektyvumo priemonių</w:t>
            </w:r>
            <w:r w:rsidRPr="003776F9">
              <w:rPr>
                <w:rFonts w:ascii="Times New Roman" w:hAnsi="Times New Roman"/>
                <w:sz w:val="24"/>
                <w:szCs w:val="24"/>
              </w:rPr>
              <w:t xml:space="preserve"> ir subsidijos derinimo susitikimo rezultatus, todėl pastaba tapo neaktuali. Apraše </w:t>
            </w:r>
            <w:r w:rsidR="00831E52" w:rsidRPr="003776F9">
              <w:rPr>
                <w:rFonts w:ascii="Times New Roman" w:hAnsi="Times New Roman"/>
                <w:sz w:val="24"/>
                <w:szCs w:val="24"/>
              </w:rPr>
              <w:t>pakoreguotas 25.1.3.</w:t>
            </w:r>
            <w:r w:rsidR="009D5665" w:rsidRPr="003776F9">
              <w:rPr>
                <w:rFonts w:ascii="Times New Roman" w:hAnsi="Times New Roman"/>
                <w:sz w:val="24"/>
                <w:szCs w:val="24"/>
              </w:rPr>
              <w:t xml:space="preserve"> </w:t>
            </w:r>
            <w:r w:rsidR="000E7603" w:rsidRPr="003776F9">
              <w:rPr>
                <w:rFonts w:ascii="Times New Roman" w:hAnsi="Times New Roman"/>
                <w:sz w:val="24"/>
                <w:szCs w:val="24"/>
              </w:rPr>
              <w:t xml:space="preserve">papunktis </w:t>
            </w:r>
            <w:r w:rsidRPr="003776F9">
              <w:rPr>
                <w:rFonts w:ascii="Times New Roman" w:hAnsi="Times New Roman"/>
                <w:sz w:val="24"/>
                <w:szCs w:val="24"/>
              </w:rPr>
              <w:t>„kai investicijos į energijos vartojimo efektyvumą didinančias priemones sudaro 20 proc. ar daugiau pastato atnaujinimui planuojamos investicijų sumos, o energijos vartojimo audite nurodytas investicijų į energijos vartojimo efektyvumą didinančių priemonių atsipirkimo laikotarpis atitinka Viešųjų pastatų energinio</w:t>
            </w:r>
            <w:r w:rsidR="000949F0" w:rsidRPr="003776F9">
              <w:rPr>
                <w:rFonts w:ascii="Times New Roman" w:hAnsi="Times New Roman"/>
                <w:sz w:val="24"/>
                <w:szCs w:val="24"/>
              </w:rPr>
              <w:t xml:space="preserve"> efektyvumo didinimo programoje</w:t>
            </w:r>
            <w:r w:rsidRPr="003776F9">
              <w:rPr>
                <w:rFonts w:ascii="Times New Roman" w:hAnsi="Times New Roman"/>
                <w:sz w:val="24"/>
                <w:szCs w:val="24"/>
              </w:rPr>
              <w:t xml:space="preserve"> nurodytą atsipirkimo laikotarpį, turi būti rengiamas investicijų projektas, kuriame išskiriamos 2 investavimo kryptys (investicijos išskirtos į energijos vartojimo efektyvumą didinančias priemones ir kultūros infrastruktūros atnaujinimo priemones).</w:t>
            </w:r>
            <w:r w:rsidR="000949F0" w:rsidRPr="003776F9">
              <w:rPr>
                <w:rFonts w:ascii="Times New Roman" w:hAnsi="Times New Roman"/>
                <w:sz w:val="24"/>
                <w:szCs w:val="24"/>
              </w:rPr>
              <w:t>“.</w:t>
            </w:r>
          </w:p>
          <w:p w:rsidR="00FD7850" w:rsidRPr="003776F9" w:rsidRDefault="00FD7850" w:rsidP="009E4DF1">
            <w:pPr>
              <w:spacing w:after="0" w:line="240" w:lineRule="auto"/>
              <w:jc w:val="both"/>
              <w:rPr>
                <w:rFonts w:ascii="Times New Roman" w:hAnsi="Times New Roman"/>
                <w:sz w:val="24"/>
                <w:szCs w:val="24"/>
              </w:rPr>
            </w:pPr>
          </w:p>
        </w:tc>
      </w:tr>
      <w:tr w:rsidR="00FD7850" w:rsidRPr="003776F9" w:rsidTr="008150E7">
        <w:tc>
          <w:tcPr>
            <w:tcW w:w="3085" w:type="dxa"/>
          </w:tcPr>
          <w:p w:rsidR="00FD7850" w:rsidRPr="003776F9" w:rsidRDefault="00FD7850" w:rsidP="00F316B4">
            <w:pPr>
              <w:spacing w:after="0" w:line="240" w:lineRule="auto"/>
              <w:rPr>
                <w:rFonts w:ascii="Times New Roman" w:hAnsi="Times New Roman"/>
                <w:sz w:val="24"/>
                <w:szCs w:val="24"/>
              </w:rPr>
            </w:pPr>
          </w:p>
        </w:tc>
        <w:tc>
          <w:tcPr>
            <w:tcW w:w="6394" w:type="dxa"/>
          </w:tcPr>
          <w:p w:rsidR="00FD7850" w:rsidRPr="003776F9" w:rsidRDefault="00A41929" w:rsidP="004860C7">
            <w:pPr>
              <w:pStyle w:val="ListParagraph"/>
              <w:numPr>
                <w:ilvl w:val="0"/>
                <w:numId w:val="13"/>
              </w:numPr>
              <w:tabs>
                <w:tab w:val="left" w:pos="330"/>
              </w:tabs>
              <w:spacing w:after="0" w:line="240" w:lineRule="auto"/>
              <w:ind w:left="0" w:firstLine="0"/>
              <w:jc w:val="both"/>
              <w:rPr>
                <w:rFonts w:ascii="Times New Roman" w:hAnsi="Times New Roman"/>
                <w:color w:val="000000" w:themeColor="text1"/>
                <w:sz w:val="24"/>
                <w:szCs w:val="24"/>
              </w:rPr>
            </w:pPr>
            <w:r w:rsidRPr="003776F9">
              <w:rPr>
                <w:rFonts w:ascii="Times New Roman" w:hAnsi="Times New Roman"/>
                <w:color w:val="000000" w:themeColor="text1"/>
                <w:sz w:val="24"/>
                <w:szCs w:val="24"/>
              </w:rPr>
              <w:t xml:space="preserve">Rekomenduojame </w:t>
            </w:r>
            <w:r w:rsidR="007A0FC5" w:rsidRPr="003776F9">
              <w:rPr>
                <w:rFonts w:ascii="Times New Roman" w:hAnsi="Times New Roman"/>
                <w:color w:val="000000" w:themeColor="text1"/>
                <w:sz w:val="24"/>
                <w:szCs w:val="24"/>
              </w:rPr>
              <w:t>Apraše</w:t>
            </w:r>
            <w:r w:rsidR="007A0FC5" w:rsidRPr="003776F9">
              <w:rPr>
                <w:rFonts w:ascii="Times New Roman" w:hAnsi="Times New Roman"/>
                <w:color w:val="000000" w:themeColor="text1"/>
                <w:sz w:val="24"/>
                <w:szCs w:val="24"/>
              </w:rPr>
              <w:t xml:space="preserve"> </w:t>
            </w:r>
            <w:r w:rsidRPr="003776F9">
              <w:rPr>
                <w:rFonts w:ascii="Times New Roman" w:hAnsi="Times New Roman"/>
                <w:color w:val="000000" w:themeColor="text1"/>
                <w:sz w:val="24"/>
                <w:szCs w:val="24"/>
              </w:rPr>
              <w:t>nurodyti detaliau, kokios gali būti energijos vartojimo efektyvumo didinimo priemonės arba papildyti nuoroda į Programą.</w:t>
            </w:r>
          </w:p>
        </w:tc>
        <w:tc>
          <w:tcPr>
            <w:tcW w:w="5513" w:type="dxa"/>
          </w:tcPr>
          <w:p w:rsidR="00FD7850" w:rsidRPr="003776F9" w:rsidRDefault="00A24C90" w:rsidP="009E4DF1">
            <w:pPr>
              <w:spacing w:after="0" w:line="240" w:lineRule="auto"/>
              <w:jc w:val="both"/>
              <w:rPr>
                <w:rFonts w:ascii="Times New Roman" w:hAnsi="Times New Roman"/>
                <w:sz w:val="24"/>
                <w:szCs w:val="24"/>
              </w:rPr>
            </w:pPr>
            <w:r w:rsidRPr="003776F9">
              <w:rPr>
                <w:rFonts w:ascii="Times New Roman" w:hAnsi="Times New Roman"/>
                <w:b/>
                <w:sz w:val="24"/>
                <w:szCs w:val="24"/>
              </w:rPr>
              <w:t>Neatsižvelgta</w:t>
            </w:r>
            <w:r w:rsidRPr="003776F9">
              <w:rPr>
                <w:rFonts w:ascii="Times New Roman" w:hAnsi="Times New Roman"/>
                <w:sz w:val="24"/>
                <w:szCs w:val="24"/>
              </w:rPr>
              <w:t>.</w:t>
            </w:r>
          </w:p>
          <w:p w:rsidR="00A24C90" w:rsidRPr="003776F9" w:rsidRDefault="00A24C90" w:rsidP="009E4DF1">
            <w:pPr>
              <w:tabs>
                <w:tab w:val="left" w:pos="1134"/>
                <w:tab w:val="left" w:pos="1560"/>
              </w:tabs>
              <w:spacing w:after="0" w:line="240" w:lineRule="auto"/>
              <w:jc w:val="both"/>
              <w:rPr>
                <w:rFonts w:ascii="Times New Roman" w:hAnsi="Times New Roman"/>
                <w:sz w:val="24"/>
                <w:szCs w:val="24"/>
              </w:rPr>
            </w:pPr>
            <w:r w:rsidRPr="003776F9">
              <w:rPr>
                <w:rFonts w:ascii="Times New Roman" w:hAnsi="Times New Roman"/>
                <w:sz w:val="24"/>
                <w:szCs w:val="24"/>
              </w:rPr>
              <w:t xml:space="preserve">Reikalavimai, susiję su priemonės Nr. 04.3.1-FM-F-105 „Energijos vartojimo efektyvumo didinimas viešojoje infrastruktūroje“  finansavimo sąlygomis, turėtų būti nurodomi tik tos priemonės projektų finansavimo sąlygų apraše. Apraše pateikiama nuoroda į priemonės Nr. 04.3.1-FM-F-105 finansavimo sąlygas. </w:t>
            </w:r>
          </w:p>
        </w:tc>
      </w:tr>
      <w:tr w:rsidR="00FD7850" w:rsidRPr="003776F9" w:rsidTr="008150E7">
        <w:tc>
          <w:tcPr>
            <w:tcW w:w="3085" w:type="dxa"/>
          </w:tcPr>
          <w:p w:rsidR="00FD7850" w:rsidRPr="003776F9" w:rsidRDefault="00FD7850" w:rsidP="00F316B4">
            <w:pPr>
              <w:spacing w:after="0" w:line="240" w:lineRule="auto"/>
              <w:rPr>
                <w:rFonts w:ascii="Times New Roman" w:hAnsi="Times New Roman"/>
                <w:sz w:val="24"/>
                <w:szCs w:val="24"/>
              </w:rPr>
            </w:pPr>
          </w:p>
        </w:tc>
        <w:tc>
          <w:tcPr>
            <w:tcW w:w="6394" w:type="dxa"/>
          </w:tcPr>
          <w:p w:rsidR="00FD7850" w:rsidRPr="003776F9" w:rsidRDefault="007E6D4C" w:rsidP="007025BD">
            <w:pPr>
              <w:pStyle w:val="ListParagraph"/>
              <w:numPr>
                <w:ilvl w:val="0"/>
                <w:numId w:val="13"/>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color w:val="000000" w:themeColor="text1"/>
                <w:sz w:val="24"/>
                <w:szCs w:val="24"/>
              </w:rPr>
              <w:t xml:space="preserve">Siūlome patikslinti </w:t>
            </w:r>
            <w:r w:rsidR="007A0FC5" w:rsidRPr="003776F9">
              <w:rPr>
                <w:rFonts w:ascii="Times New Roman" w:hAnsi="Times New Roman"/>
                <w:color w:val="000000" w:themeColor="text1"/>
                <w:sz w:val="24"/>
                <w:szCs w:val="24"/>
              </w:rPr>
              <w:t>Aprašo</w:t>
            </w:r>
            <w:r w:rsidR="007A0FC5" w:rsidRPr="003776F9">
              <w:rPr>
                <w:rFonts w:ascii="Times New Roman" w:hAnsi="Times New Roman"/>
                <w:color w:val="000000" w:themeColor="text1"/>
                <w:sz w:val="24"/>
                <w:szCs w:val="24"/>
              </w:rPr>
              <w:t xml:space="preserve"> </w:t>
            </w:r>
            <w:r w:rsidRPr="003776F9">
              <w:rPr>
                <w:rFonts w:ascii="Times New Roman" w:hAnsi="Times New Roman"/>
                <w:color w:val="000000" w:themeColor="text1"/>
                <w:sz w:val="24"/>
                <w:szCs w:val="24"/>
              </w:rPr>
              <w:t xml:space="preserve">32 </w:t>
            </w:r>
            <w:r w:rsidR="0077020D" w:rsidRPr="003776F9">
              <w:rPr>
                <w:rFonts w:ascii="Times New Roman" w:hAnsi="Times New Roman"/>
                <w:color w:val="000000" w:themeColor="text1"/>
                <w:sz w:val="24"/>
                <w:szCs w:val="24"/>
              </w:rPr>
              <w:t>punkt</w:t>
            </w:r>
            <w:r w:rsidR="007025BD" w:rsidRPr="003776F9">
              <w:rPr>
                <w:rFonts w:ascii="Times New Roman" w:hAnsi="Times New Roman"/>
                <w:color w:val="000000" w:themeColor="text1"/>
                <w:sz w:val="24"/>
                <w:szCs w:val="24"/>
              </w:rPr>
              <w:t>ą</w:t>
            </w:r>
            <w:r w:rsidR="003E65D9" w:rsidRPr="003776F9">
              <w:rPr>
                <w:rFonts w:ascii="Times New Roman" w:hAnsi="Times New Roman"/>
                <w:color w:val="000000" w:themeColor="text1"/>
                <w:sz w:val="24"/>
                <w:szCs w:val="24"/>
              </w:rPr>
              <w:t xml:space="preserve"> (dabartinio Aprašo 34 punktą)</w:t>
            </w:r>
            <w:r w:rsidRPr="003776F9">
              <w:rPr>
                <w:rFonts w:ascii="Times New Roman" w:hAnsi="Times New Roman"/>
                <w:color w:val="000000" w:themeColor="text1"/>
                <w:sz w:val="24"/>
                <w:szCs w:val="24"/>
              </w:rPr>
              <w:t xml:space="preserve">, nenurodant maksimalios projekto vykdytojo ir (ar) partnerio lėšų sumos dydžio, kadangi įžvelgiame riziką, jog, jei projekte bus įgyvendinamos energijos efektyvumą didinančios priemonės, kurias dengs projekto vykdytojas ir (ar) partneris savo lėšomis, išlaidos už šias priemones gali viršyti </w:t>
            </w:r>
            <w:r w:rsidRPr="003776F9">
              <w:rPr>
                <w:rFonts w:ascii="Times New Roman" w:hAnsi="Times New Roman"/>
                <w:color w:val="000000" w:themeColor="text1"/>
                <w:sz w:val="24"/>
                <w:szCs w:val="24"/>
                <w:lang w:val="en-US"/>
              </w:rPr>
              <w:t xml:space="preserve">5 </w:t>
            </w:r>
            <w:proofErr w:type="spellStart"/>
            <w:r w:rsidRPr="003776F9">
              <w:rPr>
                <w:rFonts w:ascii="Times New Roman" w:hAnsi="Times New Roman"/>
                <w:color w:val="000000" w:themeColor="text1"/>
                <w:sz w:val="24"/>
                <w:szCs w:val="24"/>
                <w:lang w:val="en-US"/>
              </w:rPr>
              <w:t>mln</w:t>
            </w:r>
            <w:proofErr w:type="spellEnd"/>
            <w:r w:rsidRPr="003776F9">
              <w:rPr>
                <w:rFonts w:ascii="Times New Roman" w:hAnsi="Times New Roman"/>
                <w:color w:val="000000" w:themeColor="text1"/>
                <w:sz w:val="24"/>
                <w:szCs w:val="24"/>
                <w:lang w:val="en-US"/>
              </w:rPr>
              <w:t xml:space="preserve">. </w:t>
            </w:r>
            <w:proofErr w:type="spellStart"/>
            <w:r w:rsidRPr="003776F9">
              <w:rPr>
                <w:rFonts w:ascii="Times New Roman" w:hAnsi="Times New Roman"/>
                <w:color w:val="000000" w:themeColor="text1"/>
                <w:sz w:val="24"/>
                <w:szCs w:val="24"/>
                <w:lang w:val="en-US"/>
              </w:rPr>
              <w:t>Eur</w:t>
            </w:r>
            <w:proofErr w:type="spellEnd"/>
            <w:r w:rsidRPr="003776F9">
              <w:rPr>
                <w:rFonts w:ascii="Times New Roman" w:hAnsi="Times New Roman"/>
                <w:color w:val="000000" w:themeColor="text1"/>
                <w:sz w:val="24"/>
                <w:szCs w:val="24"/>
                <w:lang w:val="en-US"/>
              </w:rPr>
              <w:t xml:space="preserve"> </w:t>
            </w:r>
            <w:proofErr w:type="spellStart"/>
            <w:r w:rsidRPr="003776F9">
              <w:rPr>
                <w:rFonts w:ascii="Times New Roman" w:hAnsi="Times New Roman"/>
                <w:color w:val="000000" w:themeColor="text1"/>
                <w:sz w:val="24"/>
                <w:szCs w:val="24"/>
                <w:lang w:val="en-US"/>
              </w:rPr>
              <w:t>tinkam</w:t>
            </w:r>
            <w:proofErr w:type="spellEnd"/>
            <w:r w:rsidRPr="003776F9">
              <w:rPr>
                <w:rFonts w:ascii="Times New Roman" w:hAnsi="Times New Roman"/>
                <w:color w:val="000000" w:themeColor="text1"/>
                <w:sz w:val="24"/>
                <w:szCs w:val="24"/>
              </w:rPr>
              <w:t>ų finansuoti išlaidų sumą.</w:t>
            </w:r>
            <w:r w:rsidR="00D820CB" w:rsidRPr="003776F9">
              <w:rPr>
                <w:rFonts w:ascii="Times New Roman" w:hAnsi="Times New Roman"/>
                <w:color w:val="000000" w:themeColor="text1"/>
                <w:sz w:val="24"/>
                <w:szCs w:val="24"/>
              </w:rPr>
              <w:t xml:space="preserve"> </w:t>
            </w:r>
          </w:p>
        </w:tc>
        <w:tc>
          <w:tcPr>
            <w:tcW w:w="5513" w:type="dxa"/>
          </w:tcPr>
          <w:p w:rsidR="00FD7850" w:rsidRPr="003776F9" w:rsidRDefault="007015FA" w:rsidP="009E4DF1">
            <w:pPr>
              <w:spacing w:after="0" w:line="240" w:lineRule="auto"/>
              <w:jc w:val="both"/>
              <w:rPr>
                <w:rFonts w:ascii="Times New Roman" w:hAnsi="Times New Roman"/>
                <w:b/>
                <w:sz w:val="24"/>
                <w:szCs w:val="24"/>
              </w:rPr>
            </w:pPr>
            <w:r w:rsidRPr="003776F9">
              <w:rPr>
                <w:rFonts w:ascii="Times New Roman" w:hAnsi="Times New Roman"/>
                <w:b/>
                <w:sz w:val="24"/>
                <w:szCs w:val="24"/>
              </w:rPr>
              <w:t>Atsižvelgta.</w:t>
            </w:r>
          </w:p>
          <w:p w:rsidR="007015FA" w:rsidRPr="003776F9" w:rsidRDefault="00BA7052" w:rsidP="00BA7052">
            <w:pPr>
              <w:spacing w:after="0" w:line="240" w:lineRule="auto"/>
              <w:jc w:val="both"/>
              <w:rPr>
                <w:rFonts w:ascii="Times New Roman" w:hAnsi="Times New Roman"/>
                <w:sz w:val="24"/>
                <w:szCs w:val="24"/>
              </w:rPr>
            </w:pPr>
            <w:r w:rsidRPr="003776F9">
              <w:rPr>
                <w:rFonts w:ascii="Times New Roman" w:hAnsi="Times New Roman"/>
                <w:sz w:val="24"/>
                <w:szCs w:val="24"/>
              </w:rPr>
              <w:t>Pakoreguoti</w:t>
            </w:r>
            <w:r w:rsidR="007015FA" w:rsidRPr="003776F9">
              <w:rPr>
                <w:rFonts w:ascii="Times New Roman" w:hAnsi="Times New Roman"/>
                <w:sz w:val="24"/>
                <w:szCs w:val="24"/>
              </w:rPr>
              <w:t xml:space="preserve"> Aprašo 3</w:t>
            </w:r>
            <w:r w:rsidR="007025BD" w:rsidRPr="003776F9">
              <w:rPr>
                <w:rFonts w:ascii="Times New Roman" w:hAnsi="Times New Roman"/>
                <w:sz w:val="24"/>
                <w:szCs w:val="24"/>
              </w:rPr>
              <w:t>3 ir 34</w:t>
            </w:r>
            <w:r w:rsidR="007015FA" w:rsidRPr="003776F9">
              <w:rPr>
                <w:rFonts w:ascii="Times New Roman" w:hAnsi="Times New Roman"/>
                <w:sz w:val="24"/>
                <w:szCs w:val="24"/>
              </w:rPr>
              <w:t xml:space="preserve"> punkta</w:t>
            </w:r>
            <w:r w:rsidR="007025BD" w:rsidRPr="003776F9">
              <w:rPr>
                <w:rFonts w:ascii="Times New Roman" w:hAnsi="Times New Roman"/>
                <w:sz w:val="24"/>
                <w:szCs w:val="24"/>
              </w:rPr>
              <w:t>i</w:t>
            </w:r>
            <w:r w:rsidR="007015FA" w:rsidRPr="003776F9">
              <w:rPr>
                <w:rFonts w:ascii="Times New Roman" w:hAnsi="Times New Roman"/>
                <w:sz w:val="24"/>
                <w:szCs w:val="24"/>
              </w:rPr>
              <w:t>.</w:t>
            </w:r>
          </w:p>
        </w:tc>
      </w:tr>
      <w:tr w:rsidR="00FD7850" w:rsidRPr="003776F9" w:rsidTr="008150E7">
        <w:tc>
          <w:tcPr>
            <w:tcW w:w="3085" w:type="dxa"/>
          </w:tcPr>
          <w:p w:rsidR="00FD7850" w:rsidRPr="003776F9" w:rsidRDefault="00FD7850" w:rsidP="00F316B4">
            <w:pPr>
              <w:spacing w:after="0" w:line="240" w:lineRule="auto"/>
              <w:rPr>
                <w:rFonts w:ascii="Times New Roman" w:hAnsi="Times New Roman"/>
                <w:sz w:val="24"/>
                <w:szCs w:val="24"/>
              </w:rPr>
            </w:pPr>
          </w:p>
        </w:tc>
        <w:tc>
          <w:tcPr>
            <w:tcW w:w="6394" w:type="dxa"/>
          </w:tcPr>
          <w:p w:rsidR="00FD7850" w:rsidRPr="003776F9" w:rsidRDefault="00D820CB" w:rsidP="004860C7">
            <w:pPr>
              <w:pStyle w:val="ListParagraph"/>
              <w:numPr>
                <w:ilvl w:val="0"/>
                <w:numId w:val="13"/>
              </w:numPr>
              <w:tabs>
                <w:tab w:val="left" w:pos="330"/>
              </w:tabs>
              <w:spacing w:after="0" w:line="240" w:lineRule="auto"/>
              <w:ind w:left="0" w:firstLine="0"/>
              <w:jc w:val="both"/>
              <w:rPr>
                <w:rFonts w:ascii="Times New Roman" w:hAnsi="Times New Roman"/>
                <w:color w:val="000000" w:themeColor="text1"/>
                <w:sz w:val="24"/>
                <w:szCs w:val="24"/>
              </w:rPr>
            </w:pPr>
            <w:r w:rsidRPr="003776F9">
              <w:rPr>
                <w:rFonts w:ascii="Times New Roman" w:hAnsi="Times New Roman"/>
                <w:color w:val="000000" w:themeColor="text1"/>
                <w:sz w:val="24"/>
                <w:szCs w:val="24"/>
              </w:rPr>
              <w:t xml:space="preserve">Atsižvelgiant į </w:t>
            </w:r>
            <w:r w:rsidR="009E4DF1" w:rsidRPr="003776F9">
              <w:rPr>
                <w:rFonts w:ascii="Times New Roman" w:eastAsia="Times New Roman" w:hAnsi="Times New Roman"/>
                <w:sz w:val="24"/>
                <w:szCs w:val="24"/>
                <w:lang w:eastAsia="lt-LT"/>
              </w:rPr>
              <w:t xml:space="preserve">2014–2020 m. Rekomendacijomis dėl projektų išlaidų atitikties Europos Sąjungos struktūrinių fondų reikalavimams, </w:t>
            </w:r>
            <w:r w:rsidR="009E4DF1" w:rsidRPr="003776F9">
              <w:rPr>
                <w:rFonts w:ascii="Times New Roman" w:hAnsi="Times New Roman"/>
                <w:sz w:val="24"/>
                <w:szCs w:val="24"/>
              </w:rPr>
              <w:t xml:space="preserve">patvirtintomis Žmogiškųjų išteklių plėtros veiksmų programos, Ekonomikos augimo veiksmų programos, Sanglaudos skatinimo veiksmų programos ir 2014–2020 metų Europos Sąjungos fondų investicijų veiksmų programos valdymo komitetų 2014 m. liepos 4 d. protokolu Nr. 34 </w:t>
            </w:r>
            <w:r w:rsidRPr="003776F9">
              <w:rPr>
                <w:rFonts w:ascii="Times New Roman" w:hAnsi="Times New Roman"/>
                <w:color w:val="000000" w:themeColor="text1"/>
                <w:sz w:val="24"/>
                <w:szCs w:val="24"/>
              </w:rPr>
              <w:t xml:space="preserve">, 12 punktą, siūlome </w:t>
            </w:r>
            <w:r w:rsidR="007A0FC5" w:rsidRPr="003776F9">
              <w:rPr>
                <w:rFonts w:ascii="Times New Roman" w:hAnsi="Times New Roman"/>
                <w:color w:val="000000" w:themeColor="text1"/>
                <w:sz w:val="24"/>
                <w:szCs w:val="24"/>
              </w:rPr>
              <w:t>Apraše</w:t>
            </w:r>
            <w:r w:rsidR="007A0FC5" w:rsidRPr="003776F9">
              <w:rPr>
                <w:rFonts w:ascii="Times New Roman" w:hAnsi="Times New Roman"/>
                <w:color w:val="000000" w:themeColor="text1"/>
                <w:sz w:val="24"/>
                <w:szCs w:val="24"/>
              </w:rPr>
              <w:t xml:space="preserve"> </w:t>
            </w:r>
            <w:r w:rsidRPr="003776F9">
              <w:rPr>
                <w:rFonts w:ascii="Times New Roman" w:hAnsi="Times New Roman"/>
                <w:color w:val="000000" w:themeColor="text1"/>
                <w:sz w:val="24"/>
                <w:szCs w:val="24"/>
              </w:rPr>
              <w:t xml:space="preserve">nurodyti, kad Projekto vykdytojo ar partnerio sumokamas pirkimo ir (arba) importo PVM laikomas tinkamomis finansuoti išlaidomis tuo atveju, jei projekto vykdytojas ar partneris teisės aktų nustatyta tvarka neturi galimybės jo įtraukti į PVM atskaitą. </w:t>
            </w:r>
          </w:p>
        </w:tc>
        <w:tc>
          <w:tcPr>
            <w:tcW w:w="5513" w:type="dxa"/>
          </w:tcPr>
          <w:p w:rsidR="00D616E6" w:rsidRPr="003776F9" w:rsidRDefault="00D616E6"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FD7850" w:rsidRPr="003776F9" w:rsidRDefault="00626A5C" w:rsidP="009E4DF1">
            <w:pPr>
              <w:spacing w:after="0" w:line="240" w:lineRule="auto"/>
              <w:jc w:val="both"/>
              <w:rPr>
                <w:rFonts w:ascii="Times New Roman" w:hAnsi="Times New Roman"/>
                <w:sz w:val="24"/>
                <w:szCs w:val="24"/>
              </w:rPr>
            </w:pPr>
            <w:r w:rsidRPr="003776F9">
              <w:rPr>
                <w:rFonts w:ascii="Times New Roman" w:hAnsi="Times New Roman"/>
                <w:sz w:val="24"/>
                <w:szCs w:val="24"/>
              </w:rPr>
              <w:t>Siūloma nuostata yra nurodyta ir</w:t>
            </w:r>
            <w:r w:rsidRPr="003776F9">
              <w:rPr>
                <w:rFonts w:ascii="Times New Roman" w:hAnsi="Times New Roman"/>
                <w:sz w:val="24"/>
                <w:szCs w:val="24"/>
              </w:rPr>
              <w:t xml:space="preserve"> atitinka Projektų taisyklių nuostatas, o Aprašas parengtas vadovaujantis Pavyzdine aprašo forma. Todėl </w:t>
            </w:r>
            <w:r w:rsidR="00974B7A" w:rsidRPr="003776F9">
              <w:rPr>
                <w:rFonts w:ascii="Times New Roman" w:hAnsi="Times New Roman"/>
                <w:sz w:val="24"/>
                <w:szCs w:val="24"/>
              </w:rPr>
              <w:t xml:space="preserve">atitinkami </w:t>
            </w:r>
            <w:r w:rsidRPr="003776F9">
              <w:rPr>
                <w:rFonts w:ascii="Times New Roman" w:hAnsi="Times New Roman"/>
                <w:sz w:val="24"/>
                <w:szCs w:val="24"/>
              </w:rPr>
              <w:t>papildomi Projektų taisyklių punktai į Aprašą nėra perkeliami ir cituojami.</w:t>
            </w:r>
          </w:p>
        </w:tc>
      </w:tr>
      <w:tr w:rsidR="00FD7850" w:rsidRPr="003776F9" w:rsidTr="008150E7">
        <w:tc>
          <w:tcPr>
            <w:tcW w:w="3085" w:type="dxa"/>
          </w:tcPr>
          <w:p w:rsidR="00FD7850" w:rsidRPr="003776F9" w:rsidRDefault="00FD7850" w:rsidP="00F316B4">
            <w:pPr>
              <w:spacing w:after="0" w:line="240" w:lineRule="auto"/>
              <w:rPr>
                <w:rFonts w:ascii="Times New Roman" w:hAnsi="Times New Roman"/>
                <w:sz w:val="24"/>
                <w:szCs w:val="24"/>
              </w:rPr>
            </w:pPr>
          </w:p>
        </w:tc>
        <w:tc>
          <w:tcPr>
            <w:tcW w:w="6394" w:type="dxa"/>
          </w:tcPr>
          <w:p w:rsidR="00FD7850" w:rsidRPr="003776F9" w:rsidRDefault="005D1468" w:rsidP="004860C7">
            <w:pPr>
              <w:pStyle w:val="ListParagraph"/>
              <w:numPr>
                <w:ilvl w:val="0"/>
                <w:numId w:val="13"/>
              </w:numPr>
              <w:tabs>
                <w:tab w:val="left" w:pos="330"/>
              </w:tabs>
              <w:spacing w:after="0" w:line="240" w:lineRule="auto"/>
              <w:ind w:left="0" w:firstLine="0"/>
              <w:jc w:val="both"/>
              <w:rPr>
                <w:rFonts w:ascii="Times New Roman" w:hAnsi="Times New Roman"/>
                <w:color w:val="000000" w:themeColor="text1"/>
                <w:sz w:val="24"/>
                <w:szCs w:val="24"/>
              </w:rPr>
            </w:pPr>
            <w:r w:rsidRPr="003776F9">
              <w:rPr>
                <w:rFonts w:ascii="Times New Roman" w:hAnsi="Times New Roman"/>
                <w:color w:val="000000" w:themeColor="text1"/>
                <w:sz w:val="24"/>
                <w:szCs w:val="24"/>
              </w:rPr>
              <w:t xml:space="preserve">Siūlome patikslinti </w:t>
            </w:r>
            <w:r w:rsidR="00A80EA4" w:rsidRPr="003776F9">
              <w:rPr>
                <w:rFonts w:ascii="Times New Roman" w:hAnsi="Times New Roman"/>
                <w:color w:val="000000" w:themeColor="text1"/>
                <w:sz w:val="24"/>
                <w:szCs w:val="24"/>
              </w:rPr>
              <w:t>Aprašo</w:t>
            </w:r>
            <w:r w:rsidR="00A80EA4" w:rsidRPr="003776F9">
              <w:rPr>
                <w:rFonts w:ascii="Times New Roman" w:hAnsi="Times New Roman"/>
                <w:color w:val="000000" w:themeColor="text1"/>
                <w:sz w:val="24"/>
                <w:szCs w:val="24"/>
              </w:rPr>
              <w:t xml:space="preserve"> </w:t>
            </w:r>
            <w:r w:rsidRPr="003776F9">
              <w:rPr>
                <w:rFonts w:ascii="Times New Roman" w:hAnsi="Times New Roman"/>
                <w:color w:val="000000" w:themeColor="text1"/>
                <w:sz w:val="24"/>
                <w:szCs w:val="24"/>
                <w:lang w:val="en-US"/>
              </w:rPr>
              <w:t>36</w:t>
            </w:r>
            <w:r w:rsidRPr="003776F9">
              <w:rPr>
                <w:rFonts w:ascii="Times New Roman" w:hAnsi="Times New Roman"/>
                <w:color w:val="000000" w:themeColor="text1"/>
                <w:sz w:val="24"/>
                <w:szCs w:val="24"/>
              </w:rPr>
              <w:t xml:space="preserve"> punktą</w:t>
            </w:r>
            <w:r w:rsidR="00626A5C" w:rsidRPr="003776F9">
              <w:rPr>
                <w:rFonts w:ascii="Times New Roman" w:hAnsi="Times New Roman"/>
                <w:color w:val="000000" w:themeColor="text1"/>
                <w:sz w:val="24"/>
                <w:szCs w:val="24"/>
              </w:rPr>
              <w:t xml:space="preserve"> (dabartinio Aprašo 38 punktą)</w:t>
            </w:r>
            <w:r w:rsidRPr="003776F9">
              <w:rPr>
                <w:rFonts w:ascii="Times New Roman" w:hAnsi="Times New Roman"/>
                <w:color w:val="000000" w:themeColor="text1"/>
                <w:sz w:val="24"/>
                <w:szCs w:val="24"/>
              </w:rPr>
              <w:t xml:space="preserve"> nurodant, kad ir energetinio sertifikato išlaidos yra </w:t>
            </w:r>
            <w:r w:rsidRPr="003776F9">
              <w:rPr>
                <w:rFonts w:ascii="Times New Roman" w:hAnsi="Times New Roman"/>
                <w:color w:val="000000" w:themeColor="text1"/>
                <w:sz w:val="24"/>
                <w:szCs w:val="24"/>
              </w:rPr>
              <w:lastRenderedPageBreak/>
              <w:t>laikomos tinkamomis finansuoti.</w:t>
            </w:r>
          </w:p>
        </w:tc>
        <w:tc>
          <w:tcPr>
            <w:tcW w:w="5513" w:type="dxa"/>
          </w:tcPr>
          <w:p w:rsidR="00FD7850" w:rsidRPr="003776F9" w:rsidRDefault="002B171C" w:rsidP="009E4DF1">
            <w:pPr>
              <w:spacing w:after="0" w:line="240" w:lineRule="auto"/>
              <w:jc w:val="both"/>
              <w:rPr>
                <w:rFonts w:ascii="Times New Roman" w:hAnsi="Times New Roman"/>
                <w:sz w:val="24"/>
                <w:szCs w:val="24"/>
              </w:rPr>
            </w:pPr>
            <w:r w:rsidRPr="003776F9">
              <w:rPr>
                <w:rFonts w:ascii="Times New Roman" w:hAnsi="Times New Roman"/>
                <w:b/>
                <w:sz w:val="24"/>
                <w:szCs w:val="24"/>
              </w:rPr>
              <w:lastRenderedPageBreak/>
              <w:t>Atsižvelgta</w:t>
            </w:r>
            <w:r w:rsidRPr="003776F9">
              <w:rPr>
                <w:rFonts w:ascii="Times New Roman" w:hAnsi="Times New Roman"/>
                <w:sz w:val="24"/>
                <w:szCs w:val="24"/>
              </w:rPr>
              <w:t>.</w:t>
            </w:r>
          </w:p>
          <w:p w:rsidR="002B171C" w:rsidRPr="003776F9" w:rsidRDefault="002B171C" w:rsidP="009E4DF1">
            <w:pPr>
              <w:spacing w:after="0" w:line="240" w:lineRule="auto"/>
              <w:jc w:val="both"/>
              <w:rPr>
                <w:rFonts w:ascii="Times New Roman" w:hAnsi="Times New Roman"/>
                <w:sz w:val="24"/>
                <w:szCs w:val="24"/>
              </w:rPr>
            </w:pPr>
            <w:r w:rsidRPr="003776F9">
              <w:rPr>
                <w:rFonts w:ascii="Times New Roman" w:hAnsi="Times New Roman"/>
                <w:sz w:val="24"/>
                <w:szCs w:val="24"/>
              </w:rPr>
              <w:t xml:space="preserve">Pakoreguotas Aprašo 38 punktas, nurodant, kokiais </w:t>
            </w:r>
            <w:r w:rsidRPr="003776F9">
              <w:rPr>
                <w:rFonts w:ascii="Times New Roman" w:hAnsi="Times New Roman"/>
                <w:sz w:val="24"/>
                <w:szCs w:val="24"/>
              </w:rPr>
              <w:lastRenderedPageBreak/>
              <w:t xml:space="preserve">atvejais </w:t>
            </w:r>
            <w:r w:rsidR="00626A5C" w:rsidRPr="003776F9">
              <w:rPr>
                <w:rFonts w:ascii="Times New Roman" w:hAnsi="Times New Roman"/>
                <w:sz w:val="24"/>
                <w:szCs w:val="24"/>
              </w:rPr>
              <w:t xml:space="preserve">pagal Aprašą </w:t>
            </w:r>
            <w:r w:rsidRPr="003776F9">
              <w:rPr>
                <w:rFonts w:ascii="Times New Roman" w:hAnsi="Times New Roman"/>
                <w:sz w:val="24"/>
                <w:szCs w:val="24"/>
              </w:rPr>
              <w:t xml:space="preserve">energinio sertifikato išlaidos nėra tinkamos </w:t>
            </w:r>
            <w:r w:rsidR="00626A5C" w:rsidRPr="003776F9">
              <w:rPr>
                <w:rFonts w:ascii="Times New Roman" w:hAnsi="Times New Roman"/>
                <w:sz w:val="24"/>
                <w:szCs w:val="24"/>
              </w:rPr>
              <w:t>finansuoti (nesant punkte nurodytų aplinkybių, energinio sertifikato išlaidos laikomos tinkamomis finansuoti).</w:t>
            </w:r>
          </w:p>
        </w:tc>
      </w:tr>
      <w:tr w:rsidR="00FD7850" w:rsidRPr="003776F9" w:rsidTr="008150E7">
        <w:tc>
          <w:tcPr>
            <w:tcW w:w="3085" w:type="dxa"/>
          </w:tcPr>
          <w:p w:rsidR="00FD7850" w:rsidRPr="003776F9" w:rsidRDefault="008A6024" w:rsidP="00F316B4">
            <w:pPr>
              <w:spacing w:after="0" w:line="240" w:lineRule="auto"/>
              <w:rPr>
                <w:rFonts w:ascii="Times New Roman" w:hAnsi="Times New Roman"/>
                <w:sz w:val="24"/>
                <w:szCs w:val="24"/>
              </w:rPr>
            </w:pPr>
            <w:r w:rsidRPr="003776F9">
              <w:rPr>
                <w:rFonts w:ascii="Times New Roman" w:hAnsi="Times New Roman"/>
                <w:sz w:val="24"/>
                <w:szCs w:val="24"/>
              </w:rPr>
              <w:lastRenderedPageBreak/>
              <w:t>Lietuvos Respublikos ūkio ministerija, 2015-08-05 rašt</w:t>
            </w:r>
            <w:r w:rsidR="00D64EE5" w:rsidRPr="003776F9">
              <w:rPr>
                <w:rFonts w:ascii="Times New Roman" w:hAnsi="Times New Roman"/>
                <w:sz w:val="24"/>
                <w:szCs w:val="24"/>
              </w:rPr>
              <w:t>as</w:t>
            </w:r>
            <w:r w:rsidRPr="003776F9">
              <w:rPr>
                <w:rFonts w:ascii="Times New Roman" w:hAnsi="Times New Roman"/>
                <w:sz w:val="24"/>
                <w:szCs w:val="24"/>
              </w:rPr>
              <w:t xml:space="preserve"> Nr. (19.4-52)-3-4107</w:t>
            </w:r>
          </w:p>
        </w:tc>
        <w:tc>
          <w:tcPr>
            <w:tcW w:w="6394" w:type="dxa"/>
          </w:tcPr>
          <w:p w:rsidR="00FD7850" w:rsidRPr="003776F9" w:rsidRDefault="000B5223" w:rsidP="004860C7">
            <w:pPr>
              <w:pStyle w:val="ListParagraph"/>
              <w:numPr>
                <w:ilvl w:val="0"/>
                <w:numId w:val="14"/>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sz w:val="24"/>
                <w:szCs w:val="24"/>
              </w:rPr>
              <w:t>Atsižvelgiant į tai, kad projektus bus galima įgyvendinti su</w:t>
            </w:r>
            <w:r w:rsidR="00546B28" w:rsidRPr="003776F9">
              <w:rPr>
                <w:rFonts w:ascii="Times New Roman" w:hAnsi="Times New Roman"/>
                <w:sz w:val="24"/>
                <w:szCs w:val="24"/>
              </w:rPr>
              <w:t xml:space="preserve"> partneriais, siūlome Aprašą papildyti punktu „Partneriams keliami tie patys reikalavimai kaip ir pareiškėjui. Atsakomybė už projekto įgyvendinimą tenka pareiškėjui“.</w:t>
            </w:r>
          </w:p>
        </w:tc>
        <w:tc>
          <w:tcPr>
            <w:tcW w:w="5513" w:type="dxa"/>
          </w:tcPr>
          <w:p w:rsidR="00FD7850" w:rsidRPr="003776F9" w:rsidRDefault="009D2E9C" w:rsidP="009E4DF1">
            <w:pPr>
              <w:spacing w:after="0" w:line="240" w:lineRule="auto"/>
              <w:jc w:val="both"/>
              <w:rPr>
                <w:rFonts w:ascii="Times New Roman" w:hAnsi="Times New Roman"/>
                <w:b/>
                <w:sz w:val="24"/>
                <w:szCs w:val="24"/>
              </w:rPr>
            </w:pPr>
            <w:r w:rsidRPr="003776F9">
              <w:rPr>
                <w:rFonts w:ascii="Times New Roman" w:hAnsi="Times New Roman"/>
                <w:b/>
                <w:sz w:val="24"/>
                <w:szCs w:val="24"/>
              </w:rPr>
              <w:t>Atsižvelgta.</w:t>
            </w:r>
          </w:p>
          <w:p w:rsidR="009D2E9C" w:rsidRPr="003776F9" w:rsidRDefault="009D2E9C" w:rsidP="009E4DF1">
            <w:pPr>
              <w:spacing w:after="0" w:line="240" w:lineRule="auto"/>
              <w:jc w:val="both"/>
              <w:rPr>
                <w:rFonts w:ascii="Times New Roman" w:hAnsi="Times New Roman"/>
                <w:sz w:val="24"/>
                <w:szCs w:val="24"/>
              </w:rPr>
            </w:pPr>
            <w:r w:rsidRPr="003776F9">
              <w:rPr>
                <w:rFonts w:ascii="Times New Roman" w:hAnsi="Times New Roman"/>
                <w:sz w:val="24"/>
                <w:szCs w:val="24"/>
              </w:rPr>
              <w:t>Aprašas papildytas 1</w:t>
            </w:r>
            <w:r w:rsidR="00544E78" w:rsidRPr="003776F9">
              <w:rPr>
                <w:rFonts w:ascii="Times New Roman" w:hAnsi="Times New Roman"/>
                <w:sz w:val="24"/>
                <w:szCs w:val="24"/>
              </w:rPr>
              <w:t>5</w:t>
            </w:r>
            <w:r w:rsidRPr="003776F9">
              <w:rPr>
                <w:rFonts w:ascii="Times New Roman" w:hAnsi="Times New Roman"/>
                <w:sz w:val="24"/>
                <w:szCs w:val="24"/>
              </w:rPr>
              <w:t xml:space="preserve"> punktu.</w:t>
            </w:r>
          </w:p>
        </w:tc>
      </w:tr>
      <w:tr w:rsidR="00FD7850" w:rsidRPr="003776F9" w:rsidTr="008150E7">
        <w:tc>
          <w:tcPr>
            <w:tcW w:w="3085" w:type="dxa"/>
          </w:tcPr>
          <w:p w:rsidR="00FD7850" w:rsidRPr="003776F9" w:rsidRDefault="00FD7850" w:rsidP="00F316B4">
            <w:pPr>
              <w:spacing w:after="0" w:line="240" w:lineRule="auto"/>
              <w:rPr>
                <w:rFonts w:ascii="Times New Roman" w:hAnsi="Times New Roman"/>
                <w:sz w:val="24"/>
                <w:szCs w:val="24"/>
              </w:rPr>
            </w:pPr>
          </w:p>
        </w:tc>
        <w:tc>
          <w:tcPr>
            <w:tcW w:w="6394" w:type="dxa"/>
          </w:tcPr>
          <w:p w:rsidR="00FD7850" w:rsidRPr="003776F9" w:rsidRDefault="000B5223" w:rsidP="004860C7">
            <w:pPr>
              <w:pStyle w:val="ListParagraph"/>
              <w:numPr>
                <w:ilvl w:val="0"/>
                <w:numId w:val="14"/>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sz w:val="24"/>
                <w:szCs w:val="24"/>
              </w:rPr>
              <w:t>Siūlome įtraukti punktą, nurodantį nuo kada projekto išlaidos laikomos tinkamomis finansuoti.</w:t>
            </w:r>
          </w:p>
        </w:tc>
        <w:tc>
          <w:tcPr>
            <w:tcW w:w="5513" w:type="dxa"/>
          </w:tcPr>
          <w:p w:rsidR="00FD7850" w:rsidRPr="003776F9" w:rsidRDefault="000B5223"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0B5223" w:rsidRPr="003776F9" w:rsidRDefault="000B5223" w:rsidP="004253C5">
            <w:pPr>
              <w:spacing w:after="0" w:line="240" w:lineRule="auto"/>
              <w:jc w:val="both"/>
              <w:rPr>
                <w:rFonts w:ascii="Times New Roman" w:hAnsi="Times New Roman"/>
                <w:sz w:val="24"/>
                <w:szCs w:val="24"/>
              </w:rPr>
            </w:pPr>
            <w:r w:rsidRPr="003776F9">
              <w:rPr>
                <w:rFonts w:ascii="Times New Roman" w:hAnsi="Times New Roman"/>
                <w:sz w:val="24"/>
                <w:szCs w:val="24"/>
              </w:rPr>
              <w:t>Pagal Aprašą  projektų išlaidų tinkamumo finansuoti laikotarpis atitinka Projektų</w:t>
            </w:r>
            <w:r w:rsidR="004253C5" w:rsidRPr="003776F9">
              <w:rPr>
                <w:rFonts w:ascii="Times New Roman" w:hAnsi="Times New Roman"/>
                <w:sz w:val="24"/>
                <w:szCs w:val="24"/>
              </w:rPr>
              <w:t xml:space="preserve"> taisyklių nuostatas</w:t>
            </w:r>
            <w:r w:rsidR="00EB5B5C" w:rsidRPr="003776F9">
              <w:rPr>
                <w:rFonts w:ascii="Times New Roman" w:hAnsi="Times New Roman"/>
                <w:sz w:val="24"/>
                <w:szCs w:val="24"/>
              </w:rPr>
              <w:t>, todėl</w:t>
            </w:r>
            <w:r w:rsidRPr="003776F9">
              <w:rPr>
                <w:rFonts w:ascii="Times New Roman" w:hAnsi="Times New Roman"/>
                <w:sz w:val="24"/>
                <w:szCs w:val="24"/>
              </w:rPr>
              <w:t xml:space="preserve"> </w:t>
            </w:r>
            <w:r w:rsidR="004253C5" w:rsidRPr="003776F9">
              <w:rPr>
                <w:rFonts w:ascii="Times New Roman" w:hAnsi="Times New Roman"/>
                <w:sz w:val="24"/>
                <w:szCs w:val="24"/>
              </w:rPr>
              <w:t xml:space="preserve">atitinkami </w:t>
            </w:r>
            <w:r w:rsidRPr="003776F9">
              <w:rPr>
                <w:rFonts w:ascii="Times New Roman" w:hAnsi="Times New Roman"/>
                <w:sz w:val="24"/>
                <w:szCs w:val="24"/>
              </w:rPr>
              <w:t xml:space="preserve">Projektų taisyklių punktai </w:t>
            </w:r>
            <w:r w:rsidR="004253C5" w:rsidRPr="003776F9">
              <w:rPr>
                <w:rFonts w:ascii="Times New Roman" w:hAnsi="Times New Roman"/>
                <w:sz w:val="24"/>
                <w:szCs w:val="24"/>
              </w:rPr>
              <w:t xml:space="preserve">į </w:t>
            </w:r>
            <w:r w:rsidRPr="003776F9">
              <w:rPr>
                <w:rFonts w:ascii="Times New Roman" w:hAnsi="Times New Roman"/>
                <w:sz w:val="24"/>
                <w:szCs w:val="24"/>
              </w:rPr>
              <w:t>Apraš</w:t>
            </w:r>
            <w:r w:rsidR="004253C5" w:rsidRPr="003776F9">
              <w:rPr>
                <w:rFonts w:ascii="Times New Roman" w:hAnsi="Times New Roman"/>
                <w:sz w:val="24"/>
                <w:szCs w:val="24"/>
              </w:rPr>
              <w:t>ą</w:t>
            </w:r>
            <w:r w:rsidRPr="003776F9">
              <w:rPr>
                <w:rFonts w:ascii="Times New Roman" w:hAnsi="Times New Roman"/>
                <w:sz w:val="24"/>
                <w:szCs w:val="24"/>
              </w:rPr>
              <w:t xml:space="preserve"> nėra perkeliami ir cituojami.</w:t>
            </w:r>
          </w:p>
        </w:tc>
      </w:tr>
      <w:tr w:rsidR="00FD7850" w:rsidRPr="003776F9" w:rsidTr="008150E7">
        <w:tc>
          <w:tcPr>
            <w:tcW w:w="3085" w:type="dxa"/>
          </w:tcPr>
          <w:p w:rsidR="00FD7850" w:rsidRPr="003776F9" w:rsidRDefault="00FD7850" w:rsidP="00F316B4">
            <w:pPr>
              <w:spacing w:after="0" w:line="240" w:lineRule="auto"/>
              <w:rPr>
                <w:rFonts w:ascii="Times New Roman" w:hAnsi="Times New Roman"/>
                <w:sz w:val="24"/>
                <w:szCs w:val="24"/>
              </w:rPr>
            </w:pPr>
          </w:p>
        </w:tc>
        <w:tc>
          <w:tcPr>
            <w:tcW w:w="6394" w:type="dxa"/>
          </w:tcPr>
          <w:p w:rsidR="00FD7850" w:rsidRPr="003776F9" w:rsidRDefault="00622E60" w:rsidP="00622E60">
            <w:pPr>
              <w:pStyle w:val="ListParagraph"/>
              <w:numPr>
                <w:ilvl w:val="0"/>
                <w:numId w:val="14"/>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sz w:val="24"/>
                <w:szCs w:val="24"/>
              </w:rPr>
              <w:t>Apraše</w:t>
            </w:r>
            <w:r w:rsidR="006B7834" w:rsidRPr="003776F9">
              <w:rPr>
                <w:rFonts w:ascii="Times New Roman" w:hAnsi="Times New Roman"/>
                <w:sz w:val="24"/>
                <w:szCs w:val="24"/>
              </w:rPr>
              <w:t xml:space="preserve"> nurodoma, kad finansuojamiems projektams įgyvendinti bus sudaromos dvišalės sutartys. Siūlome Apraše įtraukti punktą apie sutarčių keitimo tvarką</w:t>
            </w:r>
            <w:r w:rsidRPr="003776F9">
              <w:rPr>
                <w:rFonts w:ascii="Times New Roman" w:hAnsi="Times New Roman"/>
                <w:sz w:val="24"/>
                <w:szCs w:val="24"/>
              </w:rPr>
              <w:t xml:space="preserve"> (</w:t>
            </w:r>
            <w:r w:rsidRPr="003776F9">
              <w:rPr>
                <w:rFonts w:ascii="Times New Roman" w:hAnsi="Times New Roman"/>
                <w:sz w:val="24"/>
                <w:szCs w:val="24"/>
              </w:rPr>
              <w:t>Aprašo 54 punkt</w:t>
            </w:r>
            <w:r w:rsidRPr="003776F9">
              <w:rPr>
                <w:rFonts w:ascii="Times New Roman" w:hAnsi="Times New Roman"/>
                <w:sz w:val="24"/>
                <w:szCs w:val="24"/>
              </w:rPr>
              <w:t>as, dabartinis Aprašo 57 punktas).</w:t>
            </w:r>
          </w:p>
        </w:tc>
        <w:tc>
          <w:tcPr>
            <w:tcW w:w="5513" w:type="dxa"/>
          </w:tcPr>
          <w:p w:rsidR="00FD7850" w:rsidRPr="003776F9" w:rsidRDefault="006B7834"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6B7834" w:rsidRPr="003776F9" w:rsidRDefault="006B7834" w:rsidP="00A12ABC">
            <w:pPr>
              <w:spacing w:after="0" w:line="240" w:lineRule="auto"/>
              <w:jc w:val="both"/>
              <w:rPr>
                <w:rFonts w:ascii="Times New Roman" w:hAnsi="Times New Roman"/>
                <w:sz w:val="24"/>
                <w:szCs w:val="24"/>
              </w:rPr>
            </w:pPr>
            <w:r w:rsidRPr="003776F9">
              <w:rPr>
                <w:rFonts w:ascii="Times New Roman" w:hAnsi="Times New Roman"/>
                <w:sz w:val="24"/>
                <w:szCs w:val="24"/>
              </w:rPr>
              <w:t>Sutarčių keitimo tvarka</w:t>
            </w:r>
            <w:r w:rsidR="001B6AA0" w:rsidRPr="003776F9">
              <w:rPr>
                <w:rFonts w:ascii="Times New Roman" w:hAnsi="Times New Roman"/>
                <w:sz w:val="24"/>
                <w:szCs w:val="24"/>
              </w:rPr>
              <w:t xml:space="preserve"> </w:t>
            </w:r>
            <w:r w:rsidR="00A70BD9" w:rsidRPr="003776F9">
              <w:rPr>
                <w:rFonts w:ascii="Times New Roman" w:hAnsi="Times New Roman"/>
                <w:sz w:val="24"/>
                <w:szCs w:val="24"/>
              </w:rPr>
              <w:t xml:space="preserve">atitinka </w:t>
            </w:r>
            <w:r w:rsidRPr="003776F9">
              <w:rPr>
                <w:rFonts w:ascii="Times New Roman" w:hAnsi="Times New Roman"/>
                <w:sz w:val="24"/>
                <w:szCs w:val="24"/>
              </w:rPr>
              <w:t>Projektų taisykl</w:t>
            </w:r>
            <w:r w:rsidR="00A70BD9" w:rsidRPr="003776F9">
              <w:rPr>
                <w:rFonts w:ascii="Times New Roman" w:hAnsi="Times New Roman"/>
                <w:sz w:val="24"/>
                <w:szCs w:val="24"/>
              </w:rPr>
              <w:t>ių nuostatas</w:t>
            </w:r>
            <w:r w:rsidR="00A12ABC" w:rsidRPr="003776F9">
              <w:rPr>
                <w:rFonts w:ascii="Times New Roman" w:hAnsi="Times New Roman"/>
                <w:sz w:val="24"/>
                <w:szCs w:val="24"/>
              </w:rPr>
              <w:t>,</w:t>
            </w:r>
            <w:r w:rsidRPr="003776F9">
              <w:rPr>
                <w:rFonts w:ascii="Times New Roman" w:hAnsi="Times New Roman"/>
                <w:sz w:val="24"/>
                <w:szCs w:val="24"/>
              </w:rPr>
              <w:t xml:space="preserve"> </w:t>
            </w:r>
            <w:r w:rsidR="00A12ABC" w:rsidRPr="003776F9">
              <w:rPr>
                <w:rFonts w:ascii="Times New Roman" w:hAnsi="Times New Roman"/>
                <w:sz w:val="24"/>
                <w:szCs w:val="24"/>
              </w:rPr>
              <w:t xml:space="preserve">o </w:t>
            </w:r>
            <w:r w:rsidRPr="003776F9">
              <w:rPr>
                <w:rFonts w:ascii="Times New Roman" w:hAnsi="Times New Roman"/>
                <w:sz w:val="24"/>
                <w:szCs w:val="24"/>
              </w:rPr>
              <w:t>A</w:t>
            </w:r>
            <w:r w:rsidR="002157F2" w:rsidRPr="003776F9">
              <w:rPr>
                <w:rFonts w:ascii="Times New Roman" w:hAnsi="Times New Roman"/>
                <w:sz w:val="24"/>
                <w:szCs w:val="24"/>
              </w:rPr>
              <w:t>prašas parengtas vadovaujantis P</w:t>
            </w:r>
            <w:r w:rsidRPr="003776F9">
              <w:rPr>
                <w:rFonts w:ascii="Times New Roman" w:hAnsi="Times New Roman"/>
                <w:sz w:val="24"/>
                <w:szCs w:val="24"/>
              </w:rPr>
              <w:t>avyzdi</w:t>
            </w:r>
            <w:r w:rsidR="002157F2" w:rsidRPr="003776F9">
              <w:rPr>
                <w:rFonts w:ascii="Times New Roman" w:hAnsi="Times New Roman"/>
                <w:sz w:val="24"/>
                <w:szCs w:val="24"/>
              </w:rPr>
              <w:t>ne</w:t>
            </w:r>
            <w:r w:rsidRPr="003776F9">
              <w:rPr>
                <w:rFonts w:ascii="Times New Roman" w:hAnsi="Times New Roman"/>
                <w:sz w:val="24"/>
                <w:szCs w:val="24"/>
              </w:rPr>
              <w:t xml:space="preserve"> </w:t>
            </w:r>
            <w:r w:rsidR="002157F2" w:rsidRPr="003776F9">
              <w:rPr>
                <w:rFonts w:ascii="Times New Roman" w:hAnsi="Times New Roman"/>
                <w:sz w:val="24"/>
                <w:szCs w:val="24"/>
              </w:rPr>
              <w:t>a</w:t>
            </w:r>
            <w:r w:rsidRPr="003776F9">
              <w:rPr>
                <w:rFonts w:ascii="Times New Roman" w:hAnsi="Times New Roman"/>
                <w:sz w:val="24"/>
                <w:szCs w:val="24"/>
              </w:rPr>
              <w:t>praš</w:t>
            </w:r>
            <w:r w:rsidR="002157F2" w:rsidRPr="003776F9">
              <w:rPr>
                <w:rFonts w:ascii="Times New Roman" w:hAnsi="Times New Roman"/>
                <w:sz w:val="24"/>
                <w:szCs w:val="24"/>
              </w:rPr>
              <w:t>o forma</w:t>
            </w:r>
            <w:r w:rsidR="00A12ABC" w:rsidRPr="003776F9">
              <w:rPr>
                <w:rFonts w:ascii="Times New Roman" w:hAnsi="Times New Roman"/>
                <w:sz w:val="24"/>
                <w:szCs w:val="24"/>
              </w:rPr>
              <w:t>.</w:t>
            </w:r>
            <w:r w:rsidR="00A70BD9" w:rsidRPr="003776F9">
              <w:rPr>
                <w:rFonts w:ascii="Times New Roman" w:hAnsi="Times New Roman"/>
                <w:sz w:val="24"/>
                <w:szCs w:val="24"/>
              </w:rPr>
              <w:t xml:space="preserve"> </w:t>
            </w:r>
            <w:r w:rsidR="00A12ABC" w:rsidRPr="003776F9">
              <w:rPr>
                <w:rFonts w:ascii="Times New Roman" w:hAnsi="Times New Roman"/>
                <w:sz w:val="24"/>
                <w:szCs w:val="24"/>
              </w:rPr>
              <w:t xml:space="preserve">Todėl </w:t>
            </w:r>
            <w:r w:rsidRPr="003776F9">
              <w:rPr>
                <w:rFonts w:ascii="Times New Roman" w:hAnsi="Times New Roman"/>
                <w:sz w:val="24"/>
                <w:szCs w:val="24"/>
              </w:rPr>
              <w:t xml:space="preserve">papildomi Projektų taisyklių punktai </w:t>
            </w:r>
            <w:r w:rsidR="00622E60" w:rsidRPr="003776F9">
              <w:rPr>
                <w:rFonts w:ascii="Times New Roman" w:hAnsi="Times New Roman"/>
                <w:sz w:val="24"/>
                <w:szCs w:val="24"/>
              </w:rPr>
              <w:t xml:space="preserve">į </w:t>
            </w:r>
            <w:r w:rsidRPr="003776F9">
              <w:rPr>
                <w:rFonts w:ascii="Times New Roman" w:hAnsi="Times New Roman"/>
                <w:sz w:val="24"/>
                <w:szCs w:val="24"/>
              </w:rPr>
              <w:t>Apraš</w:t>
            </w:r>
            <w:r w:rsidR="00622E60" w:rsidRPr="003776F9">
              <w:rPr>
                <w:rFonts w:ascii="Times New Roman" w:hAnsi="Times New Roman"/>
                <w:sz w:val="24"/>
                <w:szCs w:val="24"/>
              </w:rPr>
              <w:t>ą</w:t>
            </w:r>
            <w:r w:rsidRPr="003776F9">
              <w:rPr>
                <w:rFonts w:ascii="Times New Roman" w:hAnsi="Times New Roman"/>
                <w:sz w:val="24"/>
                <w:szCs w:val="24"/>
              </w:rPr>
              <w:t xml:space="preserve"> nėra perkeliami ir cituojami.</w:t>
            </w:r>
          </w:p>
        </w:tc>
      </w:tr>
      <w:tr w:rsidR="00FD7850" w:rsidRPr="003776F9" w:rsidTr="008150E7">
        <w:tc>
          <w:tcPr>
            <w:tcW w:w="3085" w:type="dxa"/>
          </w:tcPr>
          <w:p w:rsidR="00FD7850" w:rsidRPr="003776F9" w:rsidRDefault="003D3B8E" w:rsidP="00F316B4">
            <w:pPr>
              <w:spacing w:after="0" w:line="240" w:lineRule="auto"/>
              <w:rPr>
                <w:rFonts w:ascii="Times New Roman" w:hAnsi="Times New Roman"/>
                <w:sz w:val="24"/>
                <w:szCs w:val="24"/>
              </w:rPr>
            </w:pPr>
            <w:r w:rsidRPr="003776F9">
              <w:rPr>
                <w:rFonts w:ascii="Times New Roman" w:hAnsi="Times New Roman"/>
                <w:sz w:val="24"/>
                <w:szCs w:val="24"/>
              </w:rPr>
              <w:t>UAB „Teisa“, 2015-07-31 rašt</w:t>
            </w:r>
            <w:r w:rsidR="00D64EE5" w:rsidRPr="003776F9">
              <w:rPr>
                <w:rFonts w:ascii="Times New Roman" w:hAnsi="Times New Roman"/>
                <w:sz w:val="24"/>
                <w:szCs w:val="24"/>
              </w:rPr>
              <w:t>as</w:t>
            </w:r>
            <w:r w:rsidRPr="003776F9">
              <w:rPr>
                <w:rFonts w:ascii="Times New Roman" w:hAnsi="Times New Roman"/>
                <w:sz w:val="24"/>
                <w:szCs w:val="24"/>
              </w:rPr>
              <w:t xml:space="preserve"> Nr. S-1533.</w:t>
            </w:r>
          </w:p>
        </w:tc>
        <w:tc>
          <w:tcPr>
            <w:tcW w:w="6394" w:type="dxa"/>
          </w:tcPr>
          <w:p w:rsidR="00FD7850" w:rsidRPr="003776F9" w:rsidRDefault="00ED659B" w:rsidP="007807E8">
            <w:pPr>
              <w:pStyle w:val="ListParagraph"/>
              <w:numPr>
                <w:ilvl w:val="0"/>
                <w:numId w:val="15"/>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sz w:val="24"/>
                <w:szCs w:val="24"/>
              </w:rPr>
              <w:t xml:space="preserve">Rekomenduojama pakoreguoti </w:t>
            </w:r>
            <w:r w:rsidR="007807E8" w:rsidRPr="003776F9">
              <w:rPr>
                <w:rFonts w:ascii="Times New Roman" w:hAnsi="Times New Roman"/>
                <w:sz w:val="24"/>
                <w:szCs w:val="24"/>
              </w:rPr>
              <w:t xml:space="preserve">Apraše </w:t>
            </w:r>
            <w:r w:rsidRPr="003776F9">
              <w:rPr>
                <w:rFonts w:ascii="Times New Roman" w:hAnsi="Times New Roman"/>
                <w:sz w:val="24"/>
                <w:szCs w:val="24"/>
              </w:rPr>
              <w:t xml:space="preserve">nurodytą </w:t>
            </w:r>
            <w:r w:rsidRPr="003776F9">
              <w:rPr>
                <w:rFonts w:ascii="Times New Roman" w:eastAsia="Times New Roman" w:hAnsi="Times New Roman"/>
                <w:sz w:val="24"/>
                <w:szCs w:val="24"/>
                <w:lang w:eastAsia="lt-LT"/>
              </w:rPr>
              <w:t>didžiausią projektui galimą skirti finansavimo lėšų sumą</w:t>
            </w:r>
            <w:r w:rsidR="007807E8" w:rsidRPr="003776F9">
              <w:rPr>
                <w:rFonts w:ascii="Times New Roman" w:eastAsia="Times New Roman" w:hAnsi="Times New Roman"/>
                <w:sz w:val="24"/>
                <w:szCs w:val="24"/>
                <w:lang w:eastAsia="lt-LT"/>
              </w:rPr>
              <w:t xml:space="preserve"> (</w:t>
            </w:r>
            <w:r w:rsidR="007807E8" w:rsidRPr="003776F9">
              <w:rPr>
                <w:rFonts w:ascii="Times New Roman" w:hAnsi="Times New Roman"/>
                <w:sz w:val="24"/>
                <w:szCs w:val="24"/>
              </w:rPr>
              <w:t>Aprašo 29</w:t>
            </w:r>
            <w:r w:rsidR="007807E8" w:rsidRPr="003776F9">
              <w:rPr>
                <w:rFonts w:ascii="Times New Roman" w:hAnsi="Times New Roman"/>
                <w:sz w:val="24"/>
                <w:szCs w:val="24"/>
              </w:rPr>
              <w:t xml:space="preserve"> punktas</w:t>
            </w:r>
            <w:r w:rsidR="00B537A6" w:rsidRPr="003776F9">
              <w:rPr>
                <w:rFonts w:ascii="Times New Roman" w:hAnsi="Times New Roman"/>
                <w:sz w:val="24"/>
                <w:szCs w:val="24"/>
              </w:rPr>
              <w:t>, dabartinis Aprašo 30 punktas).</w:t>
            </w:r>
          </w:p>
        </w:tc>
        <w:tc>
          <w:tcPr>
            <w:tcW w:w="5513" w:type="dxa"/>
          </w:tcPr>
          <w:p w:rsidR="00ED659B" w:rsidRPr="003776F9" w:rsidRDefault="00ED659B" w:rsidP="009E4DF1">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FD7850" w:rsidRPr="003776F9" w:rsidRDefault="000B03EE" w:rsidP="009E4DF1">
            <w:pPr>
              <w:tabs>
                <w:tab w:val="left" w:pos="993"/>
              </w:tabs>
              <w:spacing w:after="0" w:line="240" w:lineRule="auto"/>
              <w:jc w:val="both"/>
              <w:rPr>
                <w:rFonts w:ascii="Times New Roman" w:hAnsi="Times New Roman"/>
                <w:sz w:val="24"/>
                <w:szCs w:val="24"/>
              </w:rPr>
            </w:pPr>
            <w:r w:rsidRPr="003776F9">
              <w:rPr>
                <w:rFonts w:ascii="Times New Roman" w:hAnsi="Times New Roman"/>
                <w:sz w:val="24"/>
                <w:szCs w:val="24"/>
              </w:rPr>
              <w:t>Vadovaujantis</w:t>
            </w:r>
            <w:r w:rsidRPr="003776F9">
              <w:t xml:space="preserve"> </w:t>
            </w:r>
            <w:r w:rsidRPr="003776F9">
              <w:rPr>
                <w:rFonts w:ascii="Times New Roman" w:hAnsi="Times New Roman"/>
                <w:sz w:val="24"/>
                <w:szCs w:val="24"/>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 </w:t>
            </w:r>
            <w:r w:rsidR="00F01414" w:rsidRPr="003776F9">
              <w:rPr>
                <w:rFonts w:ascii="Times New Roman" w:hAnsi="Times New Roman"/>
                <w:sz w:val="24"/>
                <w:szCs w:val="24"/>
              </w:rPr>
              <w:t xml:space="preserve">Vadovaujantis Europos Komisijos 2015 m. vasario 5 d. informacinio pranešimo nuostatomis, mažos apimties infrastruktūros projektai suprantami kaip projektai, kurių bendra projekto vertė yra iki 5 </w:t>
            </w:r>
            <w:r w:rsidR="00F01414" w:rsidRPr="003776F9">
              <w:rPr>
                <w:rFonts w:ascii="Times New Roman" w:hAnsi="Times New Roman"/>
                <w:sz w:val="24"/>
                <w:szCs w:val="24"/>
              </w:rPr>
              <w:lastRenderedPageBreak/>
              <w:t xml:space="preserve">mln. </w:t>
            </w:r>
            <w:r w:rsidR="007659D3" w:rsidRPr="003776F9">
              <w:rPr>
                <w:rFonts w:ascii="Times New Roman" w:hAnsi="Times New Roman"/>
                <w:sz w:val="24"/>
                <w:szCs w:val="24"/>
              </w:rPr>
              <w:t>e</w:t>
            </w:r>
            <w:r w:rsidR="00F01414" w:rsidRPr="003776F9">
              <w:rPr>
                <w:rFonts w:ascii="Times New Roman" w:hAnsi="Times New Roman"/>
                <w:sz w:val="24"/>
                <w:szCs w:val="24"/>
              </w:rPr>
              <w:t>urų.</w:t>
            </w:r>
            <w:r w:rsidR="007659D3" w:rsidRPr="003776F9">
              <w:rPr>
                <w:rFonts w:ascii="Times New Roman" w:hAnsi="Times New Roman"/>
                <w:sz w:val="24"/>
                <w:szCs w:val="24"/>
              </w:rPr>
              <w:t xml:space="preserve"> </w:t>
            </w:r>
          </w:p>
        </w:tc>
      </w:tr>
      <w:tr w:rsidR="00FD7850" w:rsidRPr="009F35FC" w:rsidTr="008150E7">
        <w:tc>
          <w:tcPr>
            <w:tcW w:w="3085" w:type="dxa"/>
          </w:tcPr>
          <w:p w:rsidR="00FD7850" w:rsidRPr="003776F9" w:rsidRDefault="00FD7850" w:rsidP="00A377C4">
            <w:pPr>
              <w:spacing w:after="0" w:line="240" w:lineRule="auto"/>
              <w:rPr>
                <w:rFonts w:ascii="Times New Roman" w:hAnsi="Times New Roman"/>
                <w:sz w:val="24"/>
                <w:szCs w:val="24"/>
              </w:rPr>
            </w:pPr>
          </w:p>
        </w:tc>
        <w:tc>
          <w:tcPr>
            <w:tcW w:w="6394" w:type="dxa"/>
          </w:tcPr>
          <w:p w:rsidR="00FD7850" w:rsidRPr="003776F9" w:rsidRDefault="00F255A1" w:rsidP="00A377C4">
            <w:pPr>
              <w:pStyle w:val="ListParagraph"/>
              <w:numPr>
                <w:ilvl w:val="0"/>
                <w:numId w:val="15"/>
              </w:numPr>
              <w:tabs>
                <w:tab w:val="left" w:pos="330"/>
              </w:tabs>
              <w:spacing w:after="0" w:line="240" w:lineRule="auto"/>
              <w:ind w:left="0" w:firstLine="0"/>
              <w:jc w:val="both"/>
              <w:rPr>
                <w:rFonts w:ascii="Times New Roman" w:hAnsi="Times New Roman"/>
                <w:sz w:val="24"/>
                <w:szCs w:val="24"/>
              </w:rPr>
            </w:pPr>
            <w:r w:rsidRPr="003776F9">
              <w:rPr>
                <w:rFonts w:ascii="Times New Roman" w:hAnsi="Times New Roman"/>
                <w:sz w:val="24"/>
                <w:szCs w:val="24"/>
              </w:rPr>
              <w:t>Pastebėta, kad Apraše nėra įvardinta data, nuo kada yra tinkamos finansuoti patirtos išlaidos, bei nuo kada Projektas gali būti pradėtas įgyvendinti. Rekomenduojame į Aprašą įtraukti tinkamų finansuoti išlaidų laikotarpį.</w:t>
            </w:r>
          </w:p>
        </w:tc>
        <w:tc>
          <w:tcPr>
            <w:tcW w:w="5513" w:type="dxa"/>
          </w:tcPr>
          <w:p w:rsidR="00F255A1" w:rsidRPr="003776F9" w:rsidRDefault="00F255A1" w:rsidP="00A377C4">
            <w:pPr>
              <w:spacing w:after="0" w:line="240" w:lineRule="auto"/>
              <w:jc w:val="both"/>
              <w:rPr>
                <w:rFonts w:ascii="Times New Roman" w:hAnsi="Times New Roman"/>
                <w:b/>
                <w:sz w:val="24"/>
                <w:szCs w:val="24"/>
              </w:rPr>
            </w:pPr>
            <w:r w:rsidRPr="003776F9">
              <w:rPr>
                <w:rFonts w:ascii="Times New Roman" w:hAnsi="Times New Roman"/>
                <w:b/>
                <w:sz w:val="24"/>
                <w:szCs w:val="24"/>
              </w:rPr>
              <w:t>Neatsižvelgta.</w:t>
            </w:r>
          </w:p>
          <w:p w:rsidR="00FD7850" w:rsidRPr="003776F9" w:rsidRDefault="00F255A1" w:rsidP="007807E8">
            <w:pPr>
              <w:spacing w:after="0" w:line="240" w:lineRule="auto"/>
              <w:jc w:val="both"/>
            </w:pPr>
            <w:r w:rsidRPr="003776F9">
              <w:rPr>
                <w:rFonts w:ascii="Times New Roman" w:hAnsi="Times New Roman"/>
                <w:sz w:val="24"/>
                <w:szCs w:val="24"/>
              </w:rPr>
              <w:t>Pagal Aprašą  projektų išlaidų tinkamumo finansuoti laikotarpis ir galima projektų veiklų pradžia atitinka Projektų taisyklių nuostatas</w:t>
            </w:r>
            <w:r w:rsidR="00A377C4" w:rsidRPr="003776F9">
              <w:rPr>
                <w:rFonts w:ascii="Times New Roman" w:hAnsi="Times New Roman"/>
                <w:sz w:val="24"/>
                <w:szCs w:val="24"/>
              </w:rPr>
              <w:t>,</w:t>
            </w:r>
            <w:r w:rsidRPr="003776F9">
              <w:rPr>
                <w:rFonts w:ascii="Times New Roman" w:hAnsi="Times New Roman"/>
                <w:sz w:val="24"/>
                <w:szCs w:val="24"/>
              </w:rPr>
              <w:t xml:space="preserve"> </w:t>
            </w:r>
            <w:r w:rsidR="00A377C4" w:rsidRPr="003776F9">
              <w:rPr>
                <w:rFonts w:ascii="Times New Roman" w:hAnsi="Times New Roman"/>
                <w:sz w:val="24"/>
                <w:szCs w:val="24"/>
              </w:rPr>
              <w:t xml:space="preserve">todėl </w:t>
            </w:r>
            <w:r w:rsidR="00A12ABC" w:rsidRPr="003776F9">
              <w:rPr>
                <w:rFonts w:ascii="Times New Roman" w:hAnsi="Times New Roman"/>
                <w:sz w:val="24"/>
                <w:szCs w:val="24"/>
              </w:rPr>
              <w:t xml:space="preserve">atitinkami </w:t>
            </w:r>
            <w:r w:rsidR="00A377C4" w:rsidRPr="003776F9">
              <w:rPr>
                <w:rFonts w:ascii="Times New Roman" w:hAnsi="Times New Roman"/>
                <w:sz w:val="24"/>
                <w:szCs w:val="24"/>
              </w:rPr>
              <w:t>Projektų taisyklių punktai į Aprašą</w:t>
            </w:r>
            <w:r w:rsidR="00A377C4" w:rsidRPr="003776F9">
              <w:rPr>
                <w:rFonts w:ascii="Times New Roman" w:hAnsi="Times New Roman"/>
                <w:sz w:val="24"/>
                <w:szCs w:val="24"/>
              </w:rPr>
              <w:t xml:space="preserve"> nėra perkeliami ir cituojami.</w:t>
            </w:r>
          </w:p>
        </w:tc>
      </w:tr>
    </w:tbl>
    <w:p w:rsidR="008E1855" w:rsidRPr="009F35FC" w:rsidRDefault="008E1855" w:rsidP="00A377C4">
      <w:pPr>
        <w:spacing w:after="0" w:line="240" w:lineRule="auto"/>
        <w:rPr>
          <w:sz w:val="24"/>
          <w:szCs w:val="24"/>
        </w:rPr>
      </w:pPr>
    </w:p>
    <w:sectPr w:rsidR="008E1855" w:rsidRPr="009F35FC" w:rsidSect="003C03F9">
      <w:headerReference w:type="default" r:id="rId10"/>
      <w:footerReference w:type="defaul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67" w:rsidRDefault="009A1B67" w:rsidP="00A75058">
      <w:pPr>
        <w:spacing w:after="0" w:line="240" w:lineRule="auto"/>
      </w:pPr>
      <w:r>
        <w:separator/>
      </w:r>
    </w:p>
  </w:endnote>
  <w:endnote w:type="continuationSeparator" w:id="0">
    <w:p w:rsidR="009A1B67" w:rsidRDefault="009A1B67" w:rsidP="00A7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58" w:rsidRPr="00BF3706" w:rsidRDefault="00645B14">
    <w:pPr>
      <w:pStyle w:val="Footer"/>
      <w:jc w:val="center"/>
      <w:rPr>
        <w:rFonts w:ascii="Times New Roman" w:hAnsi="Times New Roman"/>
      </w:rPr>
    </w:pPr>
    <w:r w:rsidRPr="00BF3706">
      <w:rPr>
        <w:rFonts w:ascii="Times New Roman" w:hAnsi="Times New Roman"/>
      </w:rPr>
      <w:fldChar w:fldCharType="begin"/>
    </w:r>
    <w:r w:rsidR="00A75058" w:rsidRPr="00BF3706">
      <w:rPr>
        <w:rFonts w:ascii="Times New Roman" w:hAnsi="Times New Roman"/>
      </w:rPr>
      <w:instrText xml:space="preserve"> PAGE   \* MERGEFORMAT </w:instrText>
    </w:r>
    <w:r w:rsidRPr="00BF3706">
      <w:rPr>
        <w:rFonts w:ascii="Times New Roman" w:hAnsi="Times New Roman"/>
      </w:rPr>
      <w:fldChar w:fldCharType="separate"/>
    </w:r>
    <w:r w:rsidR="003776F9">
      <w:rPr>
        <w:rFonts w:ascii="Times New Roman" w:hAnsi="Times New Roman"/>
        <w:noProof/>
      </w:rPr>
      <w:t>10</w:t>
    </w:r>
    <w:r w:rsidRPr="00BF3706">
      <w:rPr>
        <w:rFonts w:ascii="Times New Roman" w:hAnsi="Times New Roman"/>
        <w:noProof/>
      </w:rPr>
      <w:fldChar w:fldCharType="end"/>
    </w:r>
  </w:p>
  <w:p w:rsidR="00A75058" w:rsidRDefault="00A7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67" w:rsidRDefault="009A1B67" w:rsidP="00A75058">
      <w:pPr>
        <w:spacing w:after="0" w:line="240" w:lineRule="auto"/>
      </w:pPr>
      <w:r>
        <w:separator/>
      </w:r>
    </w:p>
  </w:footnote>
  <w:footnote w:type="continuationSeparator" w:id="0">
    <w:p w:rsidR="009A1B67" w:rsidRDefault="009A1B67" w:rsidP="00A7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F9" w:rsidRDefault="003C03F9">
    <w:pPr>
      <w:pStyle w:val="Header"/>
      <w:jc w:val="center"/>
    </w:pPr>
  </w:p>
  <w:p w:rsidR="003C03F9" w:rsidRDefault="003C0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9B7"/>
    <w:multiLevelType w:val="hybridMultilevel"/>
    <w:tmpl w:val="11344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1FCC118B"/>
    <w:multiLevelType w:val="hybridMultilevel"/>
    <w:tmpl w:val="904AE27A"/>
    <w:lvl w:ilvl="0" w:tplc="FFD415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22F672A7"/>
    <w:multiLevelType w:val="hybridMultilevel"/>
    <w:tmpl w:val="EBA6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3439E"/>
    <w:multiLevelType w:val="hybridMultilevel"/>
    <w:tmpl w:val="2C342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7953D5E"/>
    <w:multiLevelType w:val="hybridMultilevel"/>
    <w:tmpl w:val="E9D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40F94"/>
    <w:multiLevelType w:val="hybridMultilevel"/>
    <w:tmpl w:val="99142616"/>
    <w:lvl w:ilvl="0" w:tplc="2292860A">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6">
    <w:nsid w:val="40BB0E63"/>
    <w:multiLevelType w:val="hybridMultilevel"/>
    <w:tmpl w:val="8682C89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4D8A6A95"/>
    <w:multiLevelType w:val="hybridMultilevel"/>
    <w:tmpl w:val="C7861166"/>
    <w:lvl w:ilvl="0" w:tplc="D6761EA6">
      <w:start w:val="1"/>
      <w:numFmt w:val="decimal"/>
      <w:lvlText w:val="%1."/>
      <w:lvlJc w:val="left"/>
      <w:pPr>
        <w:ind w:left="644"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50A80381"/>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52C3576F"/>
    <w:multiLevelType w:val="hybridMultilevel"/>
    <w:tmpl w:val="86447C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0764A22"/>
    <w:multiLevelType w:val="hybridMultilevel"/>
    <w:tmpl w:val="2448431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60846171"/>
    <w:multiLevelType w:val="hybridMultilevel"/>
    <w:tmpl w:val="727451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14B4137"/>
    <w:multiLevelType w:val="hybridMultilevel"/>
    <w:tmpl w:val="F3407ABA"/>
    <w:lvl w:ilvl="0" w:tplc="926CB4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19B203E"/>
    <w:multiLevelType w:val="hybridMultilevel"/>
    <w:tmpl w:val="097AFFF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nsid w:val="71A11021"/>
    <w:multiLevelType w:val="hybridMultilevel"/>
    <w:tmpl w:val="6D9EDDE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3CB7C11"/>
    <w:multiLevelType w:val="hybridMultilevel"/>
    <w:tmpl w:val="B00A0622"/>
    <w:lvl w:ilvl="0" w:tplc="D72EBB4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7"/>
  </w:num>
  <w:num w:numId="5">
    <w:abstractNumId w:val="10"/>
  </w:num>
  <w:num w:numId="6">
    <w:abstractNumId w:val="11"/>
  </w:num>
  <w:num w:numId="7">
    <w:abstractNumId w:val="3"/>
  </w:num>
  <w:num w:numId="8">
    <w:abstractNumId w:val="9"/>
  </w:num>
  <w:num w:numId="9">
    <w:abstractNumId w:val="5"/>
  </w:num>
  <w:num w:numId="10">
    <w:abstractNumId w:val="1"/>
  </w:num>
  <w:num w:numId="11">
    <w:abstractNumId w:val="12"/>
  </w:num>
  <w:num w:numId="12">
    <w:abstractNumId w:val="15"/>
  </w:num>
  <w:num w:numId="13">
    <w:abstractNumId w:val="14"/>
  </w:num>
  <w:num w:numId="14">
    <w:abstractNumId w:val="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E2"/>
    <w:rsid w:val="00012351"/>
    <w:rsid w:val="0001322A"/>
    <w:rsid w:val="00014346"/>
    <w:rsid w:val="00016525"/>
    <w:rsid w:val="00031747"/>
    <w:rsid w:val="00042C69"/>
    <w:rsid w:val="00066F2E"/>
    <w:rsid w:val="000855B1"/>
    <w:rsid w:val="000868CA"/>
    <w:rsid w:val="0009003B"/>
    <w:rsid w:val="000938C7"/>
    <w:rsid w:val="00094923"/>
    <w:rsid w:val="000949F0"/>
    <w:rsid w:val="000B03EE"/>
    <w:rsid w:val="000B4D02"/>
    <w:rsid w:val="000B5223"/>
    <w:rsid w:val="000C1C76"/>
    <w:rsid w:val="000C484A"/>
    <w:rsid w:val="000D1FD4"/>
    <w:rsid w:val="000D4610"/>
    <w:rsid w:val="000E05B7"/>
    <w:rsid w:val="000E212F"/>
    <w:rsid w:val="000E4D84"/>
    <w:rsid w:val="000E7603"/>
    <w:rsid w:val="000F39E3"/>
    <w:rsid w:val="000F7125"/>
    <w:rsid w:val="00100C07"/>
    <w:rsid w:val="00101855"/>
    <w:rsid w:val="00111509"/>
    <w:rsid w:val="00114EA9"/>
    <w:rsid w:val="0015248B"/>
    <w:rsid w:val="00153518"/>
    <w:rsid w:val="00161538"/>
    <w:rsid w:val="0018441F"/>
    <w:rsid w:val="001874FC"/>
    <w:rsid w:val="001A2EAB"/>
    <w:rsid w:val="001A30FA"/>
    <w:rsid w:val="001B6AA0"/>
    <w:rsid w:val="001C14FD"/>
    <w:rsid w:val="001C1FD9"/>
    <w:rsid w:val="001C43FE"/>
    <w:rsid w:val="001D4B11"/>
    <w:rsid w:val="001D5834"/>
    <w:rsid w:val="001E271B"/>
    <w:rsid w:val="001E2C1E"/>
    <w:rsid w:val="001E3EA3"/>
    <w:rsid w:val="001E3F89"/>
    <w:rsid w:val="001F0F96"/>
    <w:rsid w:val="001F4C5E"/>
    <w:rsid w:val="001F5921"/>
    <w:rsid w:val="001F6B00"/>
    <w:rsid w:val="002157F2"/>
    <w:rsid w:val="002436BC"/>
    <w:rsid w:val="002536A7"/>
    <w:rsid w:val="00255FB9"/>
    <w:rsid w:val="002621AA"/>
    <w:rsid w:val="00264925"/>
    <w:rsid w:val="00264EBD"/>
    <w:rsid w:val="002761F7"/>
    <w:rsid w:val="00276EF4"/>
    <w:rsid w:val="0028248B"/>
    <w:rsid w:val="00285B59"/>
    <w:rsid w:val="0029458E"/>
    <w:rsid w:val="002B171C"/>
    <w:rsid w:val="002B190D"/>
    <w:rsid w:val="002B3ED4"/>
    <w:rsid w:val="002C5C39"/>
    <w:rsid w:val="002D26F8"/>
    <w:rsid w:val="002D43F1"/>
    <w:rsid w:val="002D4D89"/>
    <w:rsid w:val="002D4F6A"/>
    <w:rsid w:val="002D6224"/>
    <w:rsid w:val="002E5E98"/>
    <w:rsid w:val="002F0F15"/>
    <w:rsid w:val="002F149B"/>
    <w:rsid w:val="002F4D8A"/>
    <w:rsid w:val="003149C9"/>
    <w:rsid w:val="00331537"/>
    <w:rsid w:val="00333C7B"/>
    <w:rsid w:val="00351C4F"/>
    <w:rsid w:val="00352257"/>
    <w:rsid w:val="00355D1F"/>
    <w:rsid w:val="003776F9"/>
    <w:rsid w:val="00395CFA"/>
    <w:rsid w:val="003964EE"/>
    <w:rsid w:val="00397430"/>
    <w:rsid w:val="003B1713"/>
    <w:rsid w:val="003B50E9"/>
    <w:rsid w:val="003C03F9"/>
    <w:rsid w:val="003C0680"/>
    <w:rsid w:val="003D3B8E"/>
    <w:rsid w:val="003D6864"/>
    <w:rsid w:val="003E09B4"/>
    <w:rsid w:val="003E5182"/>
    <w:rsid w:val="003E518B"/>
    <w:rsid w:val="003E5B25"/>
    <w:rsid w:val="003E613E"/>
    <w:rsid w:val="003E65D9"/>
    <w:rsid w:val="003F7CD1"/>
    <w:rsid w:val="00403560"/>
    <w:rsid w:val="00414548"/>
    <w:rsid w:val="004253C5"/>
    <w:rsid w:val="00433B5F"/>
    <w:rsid w:val="00433FE2"/>
    <w:rsid w:val="00434199"/>
    <w:rsid w:val="00436038"/>
    <w:rsid w:val="004653CE"/>
    <w:rsid w:val="0048131D"/>
    <w:rsid w:val="00484E8C"/>
    <w:rsid w:val="004860C7"/>
    <w:rsid w:val="004904D3"/>
    <w:rsid w:val="004A41C0"/>
    <w:rsid w:val="004A62AD"/>
    <w:rsid w:val="004B2D97"/>
    <w:rsid w:val="004B422A"/>
    <w:rsid w:val="004C6962"/>
    <w:rsid w:val="004D7641"/>
    <w:rsid w:val="004E6803"/>
    <w:rsid w:val="004F46B2"/>
    <w:rsid w:val="00506CC9"/>
    <w:rsid w:val="0051204C"/>
    <w:rsid w:val="00522EFA"/>
    <w:rsid w:val="00525E47"/>
    <w:rsid w:val="005319A7"/>
    <w:rsid w:val="005341C6"/>
    <w:rsid w:val="005361C8"/>
    <w:rsid w:val="005423AC"/>
    <w:rsid w:val="00544E78"/>
    <w:rsid w:val="00546B28"/>
    <w:rsid w:val="00547254"/>
    <w:rsid w:val="005477BF"/>
    <w:rsid w:val="00566496"/>
    <w:rsid w:val="005677DD"/>
    <w:rsid w:val="005705A6"/>
    <w:rsid w:val="005849E5"/>
    <w:rsid w:val="00584C71"/>
    <w:rsid w:val="00591D46"/>
    <w:rsid w:val="005A6CC1"/>
    <w:rsid w:val="005A6EC3"/>
    <w:rsid w:val="005A7D5F"/>
    <w:rsid w:val="005C2B5B"/>
    <w:rsid w:val="005D1468"/>
    <w:rsid w:val="005E1F0D"/>
    <w:rsid w:val="005E51CD"/>
    <w:rsid w:val="005F144D"/>
    <w:rsid w:val="006070B3"/>
    <w:rsid w:val="00607556"/>
    <w:rsid w:val="00610FCA"/>
    <w:rsid w:val="00622E60"/>
    <w:rsid w:val="00626A5C"/>
    <w:rsid w:val="00633B7F"/>
    <w:rsid w:val="00633CF5"/>
    <w:rsid w:val="00645B14"/>
    <w:rsid w:val="00647946"/>
    <w:rsid w:val="00652393"/>
    <w:rsid w:val="006558CA"/>
    <w:rsid w:val="00665C34"/>
    <w:rsid w:val="00674F58"/>
    <w:rsid w:val="00676521"/>
    <w:rsid w:val="00680393"/>
    <w:rsid w:val="006861C2"/>
    <w:rsid w:val="0068661E"/>
    <w:rsid w:val="00692CC6"/>
    <w:rsid w:val="00692FED"/>
    <w:rsid w:val="00697907"/>
    <w:rsid w:val="00697964"/>
    <w:rsid w:val="006A026C"/>
    <w:rsid w:val="006A34AE"/>
    <w:rsid w:val="006A6949"/>
    <w:rsid w:val="006B11A1"/>
    <w:rsid w:val="006B250E"/>
    <w:rsid w:val="006B4600"/>
    <w:rsid w:val="006B7834"/>
    <w:rsid w:val="006C3AA6"/>
    <w:rsid w:val="006D37E1"/>
    <w:rsid w:val="006E7EA1"/>
    <w:rsid w:val="006F4AD4"/>
    <w:rsid w:val="00700009"/>
    <w:rsid w:val="007015FA"/>
    <w:rsid w:val="007025BD"/>
    <w:rsid w:val="007048C4"/>
    <w:rsid w:val="0071085C"/>
    <w:rsid w:val="007146D5"/>
    <w:rsid w:val="007148A1"/>
    <w:rsid w:val="00720182"/>
    <w:rsid w:val="00727FDA"/>
    <w:rsid w:val="0073642D"/>
    <w:rsid w:val="00737CFE"/>
    <w:rsid w:val="00743DA2"/>
    <w:rsid w:val="00747EEE"/>
    <w:rsid w:val="00751EE7"/>
    <w:rsid w:val="007659D3"/>
    <w:rsid w:val="0077020D"/>
    <w:rsid w:val="00774853"/>
    <w:rsid w:val="007776F6"/>
    <w:rsid w:val="007807E8"/>
    <w:rsid w:val="00782FAA"/>
    <w:rsid w:val="00784A95"/>
    <w:rsid w:val="00785FFD"/>
    <w:rsid w:val="00791D4D"/>
    <w:rsid w:val="007939B9"/>
    <w:rsid w:val="007A0A2C"/>
    <w:rsid w:val="007A0FC5"/>
    <w:rsid w:val="007A21DF"/>
    <w:rsid w:val="007A3A2B"/>
    <w:rsid w:val="007C4523"/>
    <w:rsid w:val="007D5A72"/>
    <w:rsid w:val="007E1315"/>
    <w:rsid w:val="007E1836"/>
    <w:rsid w:val="007E6D4C"/>
    <w:rsid w:val="007F01B5"/>
    <w:rsid w:val="007F30D5"/>
    <w:rsid w:val="007F7234"/>
    <w:rsid w:val="00805002"/>
    <w:rsid w:val="0081132F"/>
    <w:rsid w:val="008125E4"/>
    <w:rsid w:val="00814A96"/>
    <w:rsid w:val="008150E7"/>
    <w:rsid w:val="00817627"/>
    <w:rsid w:val="008272C1"/>
    <w:rsid w:val="00827D06"/>
    <w:rsid w:val="00831E52"/>
    <w:rsid w:val="00832762"/>
    <w:rsid w:val="008426DC"/>
    <w:rsid w:val="0085200C"/>
    <w:rsid w:val="008614AD"/>
    <w:rsid w:val="008752BF"/>
    <w:rsid w:val="0088019E"/>
    <w:rsid w:val="008804FD"/>
    <w:rsid w:val="008823FD"/>
    <w:rsid w:val="008846C1"/>
    <w:rsid w:val="0088485D"/>
    <w:rsid w:val="008A4050"/>
    <w:rsid w:val="008A6024"/>
    <w:rsid w:val="008B45F3"/>
    <w:rsid w:val="008C5032"/>
    <w:rsid w:val="008D058F"/>
    <w:rsid w:val="008E1855"/>
    <w:rsid w:val="008E2030"/>
    <w:rsid w:val="008E3017"/>
    <w:rsid w:val="008F122B"/>
    <w:rsid w:val="008F1BEE"/>
    <w:rsid w:val="009030A0"/>
    <w:rsid w:val="00907AD6"/>
    <w:rsid w:val="00912B66"/>
    <w:rsid w:val="0091786E"/>
    <w:rsid w:val="00937323"/>
    <w:rsid w:val="00947696"/>
    <w:rsid w:val="009514CF"/>
    <w:rsid w:val="00953E90"/>
    <w:rsid w:val="009559C1"/>
    <w:rsid w:val="00957A65"/>
    <w:rsid w:val="009700D4"/>
    <w:rsid w:val="00972B94"/>
    <w:rsid w:val="00972CE8"/>
    <w:rsid w:val="00974B7A"/>
    <w:rsid w:val="009806A5"/>
    <w:rsid w:val="00980E9F"/>
    <w:rsid w:val="00982C01"/>
    <w:rsid w:val="00983036"/>
    <w:rsid w:val="00983896"/>
    <w:rsid w:val="009921DD"/>
    <w:rsid w:val="009934D6"/>
    <w:rsid w:val="009A1B67"/>
    <w:rsid w:val="009A5C91"/>
    <w:rsid w:val="009A6CB2"/>
    <w:rsid w:val="009A7033"/>
    <w:rsid w:val="009A735B"/>
    <w:rsid w:val="009A76E4"/>
    <w:rsid w:val="009B0BA7"/>
    <w:rsid w:val="009D2E9C"/>
    <w:rsid w:val="009D4340"/>
    <w:rsid w:val="009D5665"/>
    <w:rsid w:val="009D6962"/>
    <w:rsid w:val="009E4DF1"/>
    <w:rsid w:val="009F35FC"/>
    <w:rsid w:val="009F4360"/>
    <w:rsid w:val="00A00088"/>
    <w:rsid w:val="00A02330"/>
    <w:rsid w:val="00A04F52"/>
    <w:rsid w:val="00A12ABC"/>
    <w:rsid w:val="00A13D9D"/>
    <w:rsid w:val="00A17BA7"/>
    <w:rsid w:val="00A20C8E"/>
    <w:rsid w:val="00A21E8D"/>
    <w:rsid w:val="00A24C90"/>
    <w:rsid w:val="00A377C4"/>
    <w:rsid w:val="00A4189D"/>
    <w:rsid w:val="00A41929"/>
    <w:rsid w:val="00A47876"/>
    <w:rsid w:val="00A50F20"/>
    <w:rsid w:val="00A536F9"/>
    <w:rsid w:val="00A56BD8"/>
    <w:rsid w:val="00A627B9"/>
    <w:rsid w:val="00A64E71"/>
    <w:rsid w:val="00A65B65"/>
    <w:rsid w:val="00A70B21"/>
    <w:rsid w:val="00A70BD9"/>
    <w:rsid w:val="00A724B3"/>
    <w:rsid w:val="00A75058"/>
    <w:rsid w:val="00A77DA3"/>
    <w:rsid w:val="00A80EA4"/>
    <w:rsid w:val="00A929E0"/>
    <w:rsid w:val="00AA248C"/>
    <w:rsid w:val="00AA670A"/>
    <w:rsid w:val="00AB164F"/>
    <w:rsid w:val="00AC3FDF"/>
    <w:rsid w:val="00AD0082"/>
    <w:rsid w:val="00AD470F"/>
    <w:rsid w:val="00AE43CE"/>
    <w:rsid w:val="00B022C2"/>
    <w:rsid w:val="00B02E43"/>
    <w:rsid w:val="00B03BAC"/>
    <w:rsid w:val="00B1196A"/>
    <w:rsid w:val="00B14832"/>
    <w:rsid w:val="00B14876"/>
    <w:rsid w:val="00B16635"/>
    <w:rsid w:val="00B3007B"/>
    <w:rsid w:val="00B3186B"/>
    <w:rsid w:val="00B35AC3"/>
    <w:rsid w:val="00B36E68"/>
    <w:rsid w:val="00B461B8"/>
    <w:rsid w:val="00B537A6"/>
    <w:rsid w:val="00B57C22"/>
    <w:rsid w:val="00B76C76"/>
    <w:rsid w:val="00B82BF6"/>
    <w:rsid w:val="00B9414E"/>
    <w:rsid w:val="00B94B2E"/>
    <w:rsid w:val="00BA27DA"/>
    <w:rsid w:val="00BA2FF7"/>
    <w:rsid w:val="00BA7052"/>
    <w:rsid w:val="00BB3EF2"/>
    <w:rsid w:val="00BB75E5"/>
    <w:rsid w:val="00BC4E35"/>
    <w:rsid w:val="00BC6487"/>
    <w:rsid w:val="00BD5B64"/>
    <w:rsid w:val="00BD72B7"/>
    <w:rsid w:val="00BE4619"/>
    <w:rsid w:val="00BE52CD"/>
    <w:rsid w:val="00BF3706"/>
    <w:rsid w:val="00C0463D"/>
    <w:rsid w:val="00C064E8"/>
    <w:rsid w:val="00C17221"/>
    <w:rsid w:val="00C25688"/>
    <w:rsid w:val="00C360A7"/>
    <w:rsid w:val="00C55D4E"/>
    <w:rsid w:val="00C60DFF"/>
    <w:rsid w:val="00C86173"/>
    <w:rsid w:val="00C95B52"/>
    <w:rsid w:val="00C968F5"/>
    <w:rsid w:val="00C96F15"/>
    <w:rsid w:val="00CA41C0"/>
    <w:rsid w:val="00CA4A01"/>
    <w:rsid w:val="00CA6043"/>
    <w:rsid w:val="00CB0A70"/>
    <w:rsid w:val="00CB28CC"/>
    <w:rsid w:val="00CB5495"/>
    <w:rsid w:val="00CB5C8E"/>
    <w:rsid w:val="00CB7A52"/>
    <w:rsid w:val="00CD2BF3"/>
    <w:rsid w:val="00CD7461"/>
    <w:rsid w:val="00CE406C"/>
    <w:rsid w:val="00CF227F"/>
    <w:rsid w:val="00D0161D"/>
    <w:rsid w:val="00D04DDB"/>
    <w:rsid w:val="00D0507C"/>
    <w:rsid w:val="00D05D54"/>
    <w:rsid w:val="00D142E1"/>
    <w:rsid w:val="00D17B1D"/>
    <w:rsid w:val="00D26F80"/>
    <w:rsid w:val="00D321E4"/>
    <w:rsid w:val="00D32850"/>
    <w:rsid w:val="00D32C45"/>
    <w:rsid w:val="00D33FBF"/>
    <w:rsid w:val="00D35F09"/>
    <w:rsid w:val="00D4263B"/>
    <w:rsid w:val="00D53A0B"/>
    <w:rsid w:val="00D57AFB"/>
    <w:rsid w:val="00D60CBE"/>
    <w:rsid w:val="00D611A3"/>
    <w:rsid w:val="00D616E6"/>
    <w:rsid w:val="00D64EE5"/>
    <w:rsid w:val="00D66C32"/>
    <w:rsid w:val="00D711CA"/>
    <w:rsid w:val="00D72E7F"/>
    <w:rsid w:val="00D76DE6"/>
    <w:rsid w:val="00D81517"/>
    <w:rsid w:val="00D820CB"/>
    <w:rsid w:val="00D876DC"/>
    <w:rsid w:val="00D941DF"/>
    <w:rsid w:val="00DA384D"/>
    <w:rsid w:val="00DA5414"/>
    <w:rsid w:val="00DB0C3C"/>
    <w:rsid w:val="00DC4166"/>
    <w:rsid w:val="00DC6E85"/>
    <w:rsid w:val="00DD0197"/>
    <w:rsid w:val="00DE375E"/>
    <w:rsid w:val="00DE5431"/>
    <w:rsid w:val="00DE5F65"/>
    <w:rsid w:val="00DF55CE"/>
    <w:rsid w:val="00E112DE"/>
    <w:rsid w:val="00E113E6"/>
    <w:rsid w:val="00E217B7"/>
    <w:rsid w:val="00E32F0F"/>
    <w:rsid w:val="00E5026D"/>
    <w:rsid w:val="00E505FB"/>
    <w:rsid w:val="00E54115"/>
    <w:rsid w:val="00E54267"/>
    <w:rsid w:val="00E61B95"/>
    <w:rsid w:val="00E65F9E"/>
    <w:rsid w:val="00E713C0"/>
    <w:rsid w:val="00E748B0"/>
    <w:rsid w:val="00E858FA"/>
    <w:rsid w:val="00E96D4D"/>
    <w:rsid w:val="00EA2990"/>
    <w:rsid w:val="00EB2AEB"/>
    <w:rsid w:val="00EB5B5C"/>
    <w:rsid w:val="00EB7863"/>
    <w:rsid w:val="00EC3310"/>
    <w:rsid w:val="00EC686C"/>
    <w:rsid w:val="00EC793E"/>
    <w:rsid w:val="00ED659B"/>
    <w:rsid w:val="00EE247F"/>
    <w:rsid w:val="00EE3486"/>
    <w:rsid w:val="00EE4C0E"/>
    <w:rsid w:val="00EF349B"/>
    <w:rsid w:val="00EF4266"/>
    <w:rsid w:val="00EF69FD"/>
    <w:rsid w:val="00F00CC7"/>
    <w:rsid w:val="00F01414"/>
    <w:rsid w:val="00F2084D"/>
    <w:rsid w:val="00F255A1"/>
    <w:rsid w:val="00F316B4"/>
    <w:rsid w:val="00F40F39"/>
    <w:rsid w:val="00F42969"/>
    <w:rsid w:val="00F84786"/>
    <w:rsid w:val="00FA4999"/>
    <w:rsid w:val="00FA52CA"/>
    <w:rsid w:val="00FA5677"/>
    <w:rsid w:val="00FB250B"/>
    <w:rsid w:val="00FC709A"/>
    <w:rsid w:val="00FD4183"/>
    <w:rsid w:val="00FD43D5"/>
    <w:rsid w:val="00FD473C"/>
    <w:rsid w:val="00FD72F1"/>
    <w:rsid w:val="00FD7850"/>
    <w:rsid w:val="00FE0657"/>
    <w:rsid w:val="00FE3753"/>
    <w:rsid w:val="00FF185E"/>
    <w:rsid w:val="00FF23B9"/>
    <w:rsid w:val="00FF3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A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C1E"/>
    <w:rPr>
      <w:rFonts w:ascii="Tahoma" w:hAnsi="Tahoma" w:cs="Tahoma"/>
      <w:sz w:val="16"/>
      <w:szCs w:val="16"/>
    </w:rPr>
  </w:style>
  <w:style w:type="character" w:customStyle="1" w:styleId="BalloonTextChar">
    <w:name w:val="Balloon Text Char"/>
    <w:link w:val="BalloonText"/>
    <w:uiPriority w:val="99"/>
    <w:semiHidden/>
    <w:locked/>
    <w:rsid w:val="009559C1"/>
    <w:rPr>
      <w:rFonts w:ascii="Times New Roman" w:hAnsi="Times New Roman" w:cs="Times New Roman"/>
      <w:sz w:val="2"/>
      <w:lang w:eastAsia="en-US"/>
    </w:rPr>
  </w:style>
  <w:style w:type="paragraph" w:styleId="BodyText">
    <w:name w:val="Body Text"/>
    <w:basedOn w:val="Normal"/>
    <w:link w:val="BodyTextChar"/>
    <w:uiPriority w:val="99"/>
    <w:semiHidden/>
    <w:rsid w:val="00433FE2"/>
    <w:pPr>
      <w:spacing w:after="120"/>
    </w:pPr>
  </w:style>
  <w:style w:type="character" w:customStyle="1" w:styleId="BodyTextChar">
    <w:name w:val="Body Text Char"/>
    <w:link w:val="BodyText"/>
    <w:uiPriority w:val="99"/>
    <w:semiHidden/>
    <w:locked/>
    <w:rsid w:val="00433FE2"/>
    <w:rPr>
      <w:rFonts w:cs="Times New Roman"/>
    </w:rPr>
  </w:style>
  <w:style w:type="table" w:styleId="TableGrid">
    <w:name w:val="Table Grid"/>
    <w:basedOn w:val="TableNormal"/>
    <w:uiPriority w:val="99"/>
    <w:rsid w:val="00433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58"/>
    <w:pPr>
      <w:tabs>
        <w:tab w:val="center" w:pos="4819"/>
        <w:tab w:val="right" w:pos="9638"/>
      </w:tabs>
    </w:pPr>
  </w:style>
  <w:style w:type="character" w:customStyle="1" w:styleId="HeaderChar">
    <w:name w:val="Header Char"/>
    <w:link w:val="Header"/>
    <w:uiPriority w:val="99"/>
    <w:rsid w:val="00A75058"/>
    <w:rPr>
      <w:lang w:eastAsia="en-US"/>
    </w:rPr>
  </w:style>
  <w:style w:type="paragraph" w:styleId="Footer">
    <w:name w:val="footer"/>
    <w:basedOn w:val="Normal"/>
    <w:link w:val="FooterChar"/>
    <w:uiPriority w:val="99"/>
    <w:unhideWhenUsed/>
    <w:rsid w:val="00A75058"/>
    <w:pPr>
      <w:tabs>
        <w:tab w:val="center" w:pos="4819"/>
        <w:tab w:val="right" w:pos="9638"/>
      </w:tabs>
    </w:pPr>
  </w:style>
  <w:style w:type="character" w:customStyle="1" w:styleId="FooterChar">
    <w:name w:val="Footer Char"/>
    <w:link w:val="Footer"/>
    <w:uiPriority w:val="99"/>
    <w:rsid w:val="00A75058"/>
    <w:rPr>
      <w:lang w:eastAsia="en-US"/>
    </w:rPr>
  </w:style>
  <w:style w:type="character" w:styleId="CommentReference">
    <w:name w:val="annotation reference"/>
    <w:basedOn w:val="DefaultParagraphFont"/>
    <w:semiHidden/>
    <w:unhideWhenUsed/>
    <w:rsid w:val="006A6949"/>
    <w:rPr>
      <w:sz w:val="16"/>
      <w:szCs w:val="16"/>
    </w:rPr>
  </w:style>
  <w:style w:type="paragraph" w:styleId="CommentText">
    <w:name w:val="annotation text"/>
    <w:basedOn w:val="Normal"/>
    <w:link w:val="CommentTextChar"/>
    <w:uiPriority w:val="99"/>
    <w:semiHidden/>
    <w:unhideWhenUsed/>
    <w:rsid w:val="006A6949"/>
    <w:pPr>
      <w:spacing w:line="240" w:lineRule="auto"/>
    </w:pPr>
    <w:rPr>
      <w:sz w:val="20"/>
      <w:szCs w:val="20"/>
    </w:rPr>
  </w:style>
  <w:style w:type="character" w:customStyle="1" w:styleId="CommentTextChar">
    <w:name w:val="Comment Text Char"/>
    <w:basedOn w:val="DefaultParagraphFont"/>
    <w:link w:val="CommentText"/>
    <w:uiPriority w:val="99"/>
    <w:semiHidden/>
    <w:rsid w:val="006A6949"/>
    <w:rPr>
      <w:lang w:eastAsia="en-US"/>
    </w:rPr>
  </w:style>
  <w:style w:type="paragraph" w:styleId="CommentSubject">
    <w:name w:val="annotation subject"/>
    <w:basedOn w:val="CommentText"/>
    <w:next w:val="CommentText"/>
    <w:link w:val="CommentSubjectChar"/>
    <w:uiPriority w:val="99"/>
    <w:semiHidden/>
    <w:unhideWhenUsed/>
    <w:rsid w:val="006A6949"/>
    <w:rPr>
      <w:b/>
      <w:bCs/>
    </w:rPr>
  </w:style>
  <w:style w:type="character" w:customStyle="1" w:styleId="CommentSubjectChar">
    <w:name w:val="Comment Subject Char"/>
    <w:basedOn w:val="CommentTextChar"/>
    <w:link w:val="CommentSubject"/>
    <w:uiPriority w:val="99"/>
    <w:semiHidden/>
    <w:rsid w:val="006A6949"/>
    <w:rPr>
      <w:b/>
      <w:bCs/>
      <w:lang w:eastAsia="en-US"/>
    </w:rPr>
  </w:style>
  <w:style w:type="paragraph" w:styleId="ListParagraph">
    <w:name w:val="List Paragraph"/>
    <w:basedOn w:val="Normal"/>
    <w:uiPriority w:val="34"/>
    <w:qFormat/>
    <w:rsid w:val="0018441F"/>
    <w:pPr>
      <w:ind w:left="720"/>
      <w:contextualSpacing/>
    </w:pPr>
  </w:style>
  <w:style w:type="character" w:styleId="Hyperlink">
    <w:name w:val="Hyperlink"/>
    <w:basedOn w:val="DefaultParagraphFont"/>
    <w:uiPriority w:val="99"/>
    <w:unhideWhenUsed/>
    <w:rsid w:val="003D6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2392">
      <w:marLeft w:val="225"/>
      <w:marRight w:val="225"/>
      <w:marTop w:val="0"/>
      <w:marBottom w:val="0"/>
      <w:divBdr>
        <w:top w:val="none" w:sz="0" w:space="0" w:color="auto"/>
        <w:left w:val="none" w:sz="0" w:space="0" w:color="auto"/>
        <w:bottom w:val="none" w:sz="0" w:space="0" w:color="auto"/>
        <w:right w:val="none" w:sz="0" w:space="0" w:color="auto"/>
      </w:divBdr>
    </w:div>
    <w:div w:id="392312393">
      <w:marLeft w:val="0"/>
      <w:marRight w:val="0"/>
      <w:marTop w:val="0"/>
      <w:marBottom w:val="0"/>
      <w:divBdr>
        <w:top w:val="none" w:sz="0" w:space="0" w:color="auto"/>
        <w:left w:val="none" w:sz="0" w:space="0" w:color="auto"/>
        <w:bottom w:val="none" w:sz="0" w:space="0" w:color="auto"/>
        <w:right w:val="none" w:sz="0" w:space="0" w:color="auto"/>
      </w:divBdr>
    </w:div>
    <w:div w:id="392312394">
      <w:marLeft w:val="0"/>
      <w:marRight w:val="0"/>
      <w:marTop w:val="0"/>
      <w:marBottom w:val="0"/>
      <w:divBdr>
        <w:top w:val="none" w:sz="0" w:space="0" w:color="auto"/>
        <w:left w:val="none" w:sz="0" w:space="0" w:color="auto"/>
        <w:bottom w:val="none" w:sz="0" w:space="0" w:color="auto"/>
        <w:right w:val="none" w:sz="0" w:space="0" w:color="auto"/>
      </w:divBdr>
    </w:div>
    <w:div w:id="392312395">
      <w:marLeft w:val="0"/>
      <w:marRight w:val="0"/>
      <w:marTop w:val="0"/>
      <w:marBottom w:val="0"/>
      <w:divBdr>
        <w:top w:val="none" w:sz="0" w:space="0" w:color="auto"/>
        <w:left w:val="none" w:sz="0" w:space="0" w:color="auto"/>
        <w:bottom w:val="none" w:sz="0" w:space="0" w:color="auto"/>
        <w:right w:val="none" w:sz="0" w:space="0" w:color="auto"/>
      </w:divBdr>
    </w:div>
    <w:div w:id="392312396">
      <w:marLeft w:val="0"/>
      <w:marRight w:val="0"/>
      <w:marTop w:val="0"/>
      <w:marBottom w:val="0"/>
      <w:divBdr>
        <w:top w:val="none" w:sz="0" w:space="0" w:color="auto"/>
        <w:left w:val="none" w:sz="0" w:space="0" w:color="auto"/>
        <w:bottom w:val="none" w:sz="0" w:space="0" w:color="auto"/>
        <w:right w:val="none" w:sz="0" w:space="0" w:color="auto"/>
      </w:divBdr>
    </w:div>
    <w:div w:id="8664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2609</Words>
  <Characters>19524</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DERINIMO PAŽYMA</vt:lpstr>
    </vt:vector>
  </TitlesOfParts>
  <Company/>
  <LinksUpToDate>false</LinksUpToDate>
  <CharactersWithSpaces>22089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creator>Vilma Mociūnaitė</dc:creator>
  <cp:lastModifiedBy>Dovilė Jaugaitė</cp:lastModifiedBy>
  <cp:revision>67</cp:revision>
  <cp:lastPrinted>2015-08-18T07:36:00Z</cp:lastPrinted>
  <dcterms:created xsi:type="dcterms:W3CDTF">2015-08-18T14:35:00Z</dcterms:created>
  <dcterms:modified xsi:type="dcterms:W3CDTF">2015-08-19T13:15:00Z</dcterms:modified>
</cp:coreProperties>
</file>