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0DB61" w14:textId="5C17B448" w:rsidR="00A46918" w:rsidRDefault="007141A3" w:rsidP="00A46918">
      <w:pPr>
        <w:spacing w:after="0" w:line="240" w:lineRule="auto"/>
        <w:ind w:left="5670"/>
        <w:rPr>
          <w:rFonts w:ascii="Times New Roman" w:eastAsia="Calibri" w:hAnsi="Times New Roman" w:cs="Times New Roman"/>
          <w:sz w:val="18"/>
          <w:szCs w:val="24"/>
        </w:rPr>
      </w:pPr>
      <w:bookmarkStart w:id="0" w:name="_GoBack"/>
      <w:bookmarkEnd w:id="0"/>
      <w:r>
        <w:rPr>
          <w:rFonts w:ascii="Times New Roman" w:eastAsia="Calibri" w:hAnsi="Times New Roman" w:cs="Times New Roman"/>
          <w:sz w:val="18"/>
          <w:szCs w:val="24"/>
        </w:rPr>
        <w:t>Lietuvos Respublikos ūkio ministerija</w:t>
      </w:r>
    </w:p>
    <w:p w14:paraId="79CC1B06" w14:textId="4C63DDA1" w:rsidR="00A46918" w:rsidRPr="00A46918" w:rsidRDefault="00A46918" w:rsidP="00A46918">
      <w:pPr>
        <w:spacing w:after="0" w:line="240" w:lineRule="auto"/>
        <w:ind w:left="5670"/>
        <w:rPr>
          <w:rFonts w:ascii="Times New Roman" w:eastAsia="Calibri" w:hAnsi="Times New Roman" w:cs="Times New Roman"/>
          <w:sz w:val="18"/>
          <w:szCs w:val="24"/>
        </w:rPr>
      </w:pPr>
      <w:r>
        <w:rPr>
          <w:rFonts w:ascii="Times New Roman" w:eastAsia="Calibri" w:hAnsi="Times New Roman" w:cs="Times New Roman"/>
          <w:sz w:val="18"/>
          <w:szCs w:val="24"/>
        </w:rPr>
        <w:t xml:space="preserve">2016 m. </w:t>
      </w:r>
      <w:r w:rsidRPr="002F7C31">
        <w:rPr>
          <w:rFonts w:ascii="Times New Roman" w:eastAsia="Calibri" w:hAnsi="Times New Roman" w:cs="Times New Roman"/>
          <w:sz w:val="18"/>
          <w:szCs w:val="24"/>
        </w:rPr>
        <w:t xml:space="preserve">lapkričio </w:t>
      </w:r>
      <w:r w:rsidR="002F7C31" w:rsidRPr="002F7C31">
        <w:rPr>
          <w:rFonts w:ascii="Times New Roman" w:eastAsia="Calibri" w:hAnsi="Times New Roman" w:cs="Times New Roman"/>
          <w:sz w:val="18"/>
          <w:szCs w:val="24"/>
        </w:rPr>
        <w:t>28</w:t>
      </w:r>
      <w:r w:rsidRPr="002F7C31">
        <w:rPr>
          <w:rFonts w:ascii="Times New Roman" w:eastAsia="Calibri" w:hAnsi="Times New Roman" w:cs="Times New Roman"/>
          <w:sz w:val="18"/>
          <w:szCs w:val="24"/>
        </w:rPr>
        <w:t xml:space="preserve"> d.</w:t>
      </w:r>
      <w:r>
        <w:rPr>
          <w:rFonts w:ascii="Times New Roman" w:eastAsia="Calibri" w:hAnsi="Times New Roman" w:cs="Times New Roman"/>
          <w:sz w:val="18"/>
          <w:szCs w:val="24"/>
        </w:rPr>
        <w:t xml:space="preserve"> </w:t>
      </w:r>
      <w:r w:rsidRPr="00A46918">
        <w:rPr>
          <w:rFonts w:ascii="Times New Roman" w:eastAsia="Calibri" w:hAnsi="Times New Roman" w:cs="Times New Roman"/>
          <w:sz w:val="18"/>
          <w:szCs w:val="24"/>
        </w:rPr>
        <w:t>Techninių galimybių studijų parengimo, mokslinių tyrimų ir eksperimentinės plėtros paslaugų už inovacinius čekius fiksuotųjų sumų nustatymo tyrimo ataskaita</w:t>
      </w:r>
    </w:p>
    <w:p w14:paraId="6DA94E6F" w14:textId="1F98ABA7" w:rsidR="00A46918" w:rsidRDefault="00A46918" w:rsidP="009D452D">
      <w:pPr>
        <w:spacing w:after="0" w:line="240" w:lineRule="auto"/>
        <w:jc w:val="center"/>
        <w:rPr>
          <w:rFonts w:ascii="Times New Roman" w:eastAsia="Calibri" w:hAnsi="Times New Roman" w:cs="Times New Roman"/>
          <w:b/>
          <w:sz w:val="24"/>
          <w:szCs w:val="24"/>
        </w:rPr>
      </w:pPr>
    </w:p>
    <w:p w14:paraId="3EFDE26F" w14:textId="77777777" w:rsidR="00A46918" w:rsidRPr="009D452D" w:rsidRDefault="00A46918" w:rsidP="009D452D">
      <w:pPr>
        <w:spacing w:after="0" w:line="240" w:lineRule="auto"/>
        <w:jc w:val="center"/>
        <w:rPr>
          <w:rFonts w:ascii="Times New Roman" w:eastAsia="Calibri" w:hAnsi="Times New Roman" w:cs="Times New Roman"/>
          <w:b/>
          <w:sz w:val="24"/>
          <w:szCs w:val="24"/>
        </w:rPr>
      </w:pPr>
    </w:p>
    <w:p w14:paraId="3BA51B1D" w14:textId="3C11FBF1" w:rsidR="004949D6" w:rsidRPr="009D452D" w:rsidRDefault="007141A3" w:rsidP="009D452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Lietuvos Respublikos ūkio ministerija</w:t>
      </w:r>
    </w:p>
    <w:p w14:paraId="05A230AB" w14:textId="77777777" w:rsidR="004949D6" w:rsidRPr="009D452D" w:rsidRDefault="004949D6" w:rsidP="009D452D">
      <w:pPr>
        <w:spacing w:after="0" w:line="240" w:lineRule="auto"/>
        <w:jc w:val="center"/>
        <w:rPr>
          <w:rFonts w:ascii="Times New Roman" w:eastAsia="Calibri" w:hAnsi="Times New Roman" w:cs="Times New Roman"/>
          <w:b/>
          <w:sz w:val="24"/>
          <w:szCs w:val="24"/>
        </w:rPr>
      </w:pPr>
    </w:p>
    <w:p w14:paraId="1B3BD003" w14:textId="6270AA00" w:rsidR="00F52349" w:rsidRPr="009D452D" w:rsidRDefault="006F030D" w:rsidP="009D452D">
      <w:pPr>
        <w:spacing w:after="0" w:line="240" w:lineRule="auto"/>
        <w:jc w:val="center"/>
        <w:rPr>
          <w:rFonts w:ascii="Times New Roman" w:eastAsia="Calibri" w:hAnsi="Times New Roman" w:cs="Times New Roman"/>
          <w:b/>
          <w:sz w:val="24"/>
          <w:szCs w:val="24"/>
        </w:rPr>
      </w:pPr>
      <w:r w:rsidRPr="009D452D">
        <w:rPr>
          <w:rFonts w:ascii="Times New Roman" w:eastAsia="Calibri" w:hAnsi="Times New Roman" w:cs="Times New Roman"/>
          <w:b/>
          <w:sz w:val="24"/>
          <w:szCs w:val="24"/>
        </w:rPr>
        <w:t xml:space="preserve">TECHNINIŲ GALIMYBIŲ STUDIJŲ PARENGIMO, MOKSLINIŲ TYRIMŲ IR EKSPERIMENTINĖS PLĖTROS PASLAUGŲ UŽ INOVACINIUS ČEKIUS FIKSUOTŲJŲ SUMŲ NUSTATYMO </w:t>
      </w:r>
      <w:r w:rsidR="00827BE4" w:rsidRPr="009D452D">
        <w:rPr>
          <w:rFonts w:ascii="Times New Roman" w:eastAsia="Calibri" w:hAnsi="Times New Roman" w:cs="Times New Roman"/>
          <w:b/>
          <w:sz w:val="24"/>
          <w:szCs w:val="24"/>
        </w:rPr>
        <w:t xml:space="preserve">TYRIMO </w:t>
      </w:r>
      <w:r w:rsidR="00F61CB4">
        <w:rPr>
          <w:rFonts w:ascii="Times New Roman" w:eastAsia="Calibri" w:hAnsi="Times New Roman" w:cs="Times New Roman"/>
          <w:b/>
          <w:sz w:val="24"/>
          <w:szCs w:val="24"/>
        </w:rPr>
        <w:t>ATASKAITA</w:t>
      </w:r>
    </w:p>
    <w:p w14:paraId="470EC20B" w14:textId="77777777" w:rsidR="009D452D" w:rsidRDefault="009D452D" w:rsidP="009D452D">
      <w:pPr>
        <w:spacing w:after="0" w:line="240" w:lineRule="auto"/>
        <w:jc w:val="center"/>
        <w:rPr>
          <w:rFonts w:ascii="Times New Roman" w:eastAsia="Calibri" w:hAnsi="Times New Roman" w:cs="Times New Roman"/>
          <w:b/>
          <w:sz w:val="24"/>
          <w:szCs w:val="24"/>
        </w:rPr>
      </w:pPr>
    </w:p>
    <w:p w14:paraId="60A7CD0B" w14:textId="0D5E7A9F" w:rsidR="00827BE4" w:rsidRPr="009D452D" w:rsidRDefault="004949D6" w:rsidP="009D452D">
      <w:pPr>
        <w:spacing w:after="0" w:line="240" w:lineRule="auto"/>
        <w:jc w:val="center"/>
        <w:rPr>
          <w:rFonts w:ascii="Times New Roman" w:eastAsia="Calibri" w:hAnsi="Times New Roman" w:cs="Times New Roman"/>
          <w:b/>
          <w:sz w:val="24"/>
          <w:szCs w:val="24"/>
        </w:rPr>
      </w:pPr>
      <w:r w:rsidRPr="009D452D">
        <w:rPr>
          <w:rFonts w:ascii="Times New Roman" w:eastAsia="Calibri" w:hAnsi="Times New Roman" w:cs="Times New Roman"/>
          <w:b/>
          <w:sz w:val="24"/>
          <w:szCs w:val="24"/>
        </w:rPr>
        <w:t xml:space="preserve">2016 m. </w:t>
      </w:r>
      <w:r w:rsidRPr="002F7C31">
        <w:rPr>
          <w:rFonts w:ascii="Times New Roman" w:eastAsia="Calibri" w:hAnsi="Times New Roman" w:cs="Times New Roman"/>
          <w:b/>
          <w:sz w:val="24"/>
          <w:szCs w:val="24"/>
        </w:rPr>
        <w:t xml:space="preserve">lapkričio </w:t>
      </w:r>
      <w:r w:rsidR="002F7C31" w:rsidRPr="002F7C31">
        <w:rPr>
          <w:rFonts w:ascii="Times New Roman" w:eastAsia="Calibri" w:hAnsi="Times New Roman" w:cs="Times New Roman"/>
          <w:b/>
          <w:sz w:val="24"/>
          <w:szCs w:val="24"/>
        </w:rPr>
        <w:t>28</w:t>
      </w:r>
      <w:r w:rsidRPr="002F7C31">
        <w:rPr>
          <w:rFonts w:ascii="Times New Roman" w:eastAsia="Calibri" w:hAnsi="Times New Roman" w:cs="Times New Roman"/>
          <w:b/>
          <w:sz w:val="24"/>
          <w:szCs w:val="24"/>
        </w:rPr>
        <w:t xml:space="preserve"> d.</w:t>
      </w:r>
    </w:p>
    <w:p w14:paraId="696B80B6" w14:textId="4DE52425" w:rsidR="004949D6" w:rsidRDefault="004949D6" w:rsidP="009D452D">
      <w:pPr>
        <w:spacing w:after="0" w:line="240" w:lineRule="auto"/>
        <w:jc w:val="center"/>
        <w:rPr>
          <w:rFonts w:ascii="Times New Roman" w:hAnsi="Times New Roman" w:cs="Times New Roman"/>
          <w:b/>
          <w:sz w:val="24"/>
          <w:szCs w:val="24"/>
        </w:rPr>
      </w:pPr>
    </w:p>
    <w:p w14:paraId="6AA89155" w14:textId="77777777" w:rsidR="009D452D" w:rsidRPr="009D452D" w:rsidRDefault="009D452D" w:rsidP="009D452D">
      <w:pPr>
        <w:spacing w:after="0" w:line="240" w:lineRule="auto"/>
        <w:jc w:val="center"/>
        <w:rPr>
          <w:rFonts w:ascii="Times New Roman" w:hAnsi="Times New Roman" w:cs="Times New Roman"/>
          <w:b/>
          <w:sz w:val="24"/>
          <w:szCs w:val="24"/>
        </w:rPr>
      </w:pPr>
    </w:p>
    <w:p w14:paraId="2D18ADC1" w14:textId="65720D90" w:rsidR="004949D6" w:rsidRDefault="004949D6" w:rsidP="009D452D">
      <w:pPr>
        <w:spacing w:after="0" w:line="240" w:lineRule="auto"/>
        <w:jc w:val="center"/>
        <w:rPr>
          <w:rFonts w:ascii="Times New Roman" w:hAnsi="Times New Roman" w:cs="Times New Roman"/>
          <w:b/>
          <w:sz w:val="24"/>
          <w:szCs w:val="24"/>
        </w:rPr>
      </w:pPr>
      <w:r w:rsidRPr="009D452D">
        <w:rPr>
          <w:rFonts w:ascii="Times New Roman" w:hAnsi="Times New Roman" w:cs="Times New Roman"/>
          <w:b/>
          <w:sz w:val="24"/>
          <w:szCs w:val="24"/>
        </w:rPr>
        <w:t xml:space="preserve">I. ĮVADAS </w:t>
      </w:r>
    </w:p>
    <w:p w14:paraId="637F487E" w14:textId="77777777" w:rsidR="009D452D" w:rsidRPr="009D452D" w:rsidRDefault="009D452D" w:rsidP="009D452D">
      <w:pPr>
        <w:spacing w:after="0" w:line="240" w:lineRule="auto"/>
        <w:jc w:val="center"/>
        <w:rPr>
          <w:rFonts w:ascii="Times New Roman" w:hAnsi="Times New Roman" w:cs="Times New Roman"/>
          <w:b/>
          <w:sz w:val="24"/>
          <w:szCs w:val="24"/>
        </w:rPr>
      </w:pPr>
    </w:p>
    <w:p w14:paraId="5FC60789" w14:textId="6877EC06"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1. Techninių galimybių studijų parengimo bei mokslinių tyrimų ir eksperimentinės plėtros paslaugų inovacinio čekio fiksuotosios sumos nustatymo tyrimu siekiama nustatyti 2014–2020 m. Europos Sąjungos (toliau – ES) struktūrinių fondų investicijų veiksmų programos 1 prioriteto „Mokslinių tyrimų, eksperimentinės plėtros ir inovacijų skatinimas“ priemonės Nr. 01.2.1-MITA-K-824 „Inovaciniai čekiai“ (toliau – Priemonė) projektų tinkamų finansuoti išlaidų</w:t>
      </w:r>
      <w:r w:rsidR="00652CEB">
        <w:rPr>
          <w:rFonts w:ascii="Times New Roman" w:hAnsi="Times New Roman" w:cs="Times New Roman"/>
          <w:sz w:val="24"/>
          <w:szCs w:val="24"/>
        </w:rPr>
        <w:t xml:space="preserve"> maksimalią</w:t>
      </w:r>
      <w:r w:rsidRPr="004E65A5">
        <w:rPr>
          <w:rFonts w:ascii="Times New Roman" w:hAnsi="Times New Roman" w:cs="Times New Roman"/>
          <w:sz w:val="24"/>
          <w:szCs w:val="24"/>
        </w:rPr>
        <w:t xml:space="preserve"> fiksuotąją sumą. Šis tyrimas gali būti taikomas įgyvendinant ir </w:t>
      </w:r>
      <w:r w:rsidR="001C36F3">
        <w:rPr>
          <w:rFonts w:ascii="Times New Roman" w:hAnsi="Times New Roman" w:cs="Times New Roman"/>
          <w:sz w:val="24"/>
          <w:szCs w:val="24"/>
        </w:rPr>
        <w:t>kitas priemones, pagal kurias finansuojami techninių galimybių studijų parengimo įsigijimo iš mokslo ir studijų institucijų išlaidos bei ankstyvosios stadijos mokslinių tyrimų ir eksperimentinės plėtros paslaugų įsigijimo iš mokslo ir studijų institucijų išlaidos.</w:t>
      </w:r>
    </w:p>
    <w:p w14:paraId="4B1BF9CC"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2. Pagal Priemonę tinkamos finansuoti veiklos yra:</w:t>
      </w:r>
    </w:p>
    <w:p w14:paraId="0B4AD796"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2.1. inovacinių čekių, skirtų techninėms galimybių studijoms atlikti, teikimas;</w:t>
      </w:r>
    </w:p>
    <w:p w14:paraId="513D4C1D"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2.2. inovacinių čekių, skirtų ankstyvosios stadijos mokslinių tyrimų ir eksperimentinės  (socialinės, kultūrinės) plėtros (toliau – MTEP) projektams, teikimas.</w:t>
      </w:r>
    </w:p>
    <w:p w14:paraId="379DDE56"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 xml:space="preserve">3. Vadovaujantis Projektų administravimo ir finansavimo taisyklių, patvirtintų Lietuvos Respublikos finansų ministro 2014 m. spalio 8 d. įsakymu Nr. 1K-316 „Dėl projektų administravimo ir finansavimo taisyklių patvirtinimo“ (toliau – Projektų administravimo ir finansavimo taisyklės), 356 p. „dotacijos išmokamos taikant tik supaprastintą išlaidų apmokėjimą &lt;...&gt;“. Įgyvendinant Priemonę visuotinės dotacijos būdu numatoma taikyti supaprastintą techninių galimybių studijų parengimo, mokslinių tyrimų ir eksperimentinės plėtros projektų išlaidų apmokėjimą siekiant sumažinti administracinę naštą projektų vykdytojams ir įgyvendinančiajai institucijai. </w:t>
      </w:r>
    </w:p>
    <w:p w14:paraId="3E674F00"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4. Tyrime vartojamos sąvokos:</w:t>
      </w:r>
    </w:p>
    <w:p w14:paraId="1C4E90F6"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 xml:space="preserve">4.1. </w:t>
      </w:r>
      <w:r w:rsidRPr="004E65A5">
        <w:rPr>
          <w:rFonts w:ascii="Times New Roman" w:hAnsi="Times New Roman" w:cs="Times New Roman"/>
          <w:b/>
          <w:sz w:val="24"/>
          <w:szCs w:val="24"/>
        </w:rPr>
        <w:t>Eksperimentinė plėtra</w:t>
      </w:r>
      <w:r w:rsidRPr="004E65A5">
        <w:rPr>
          <w:rFonts w:ascii="Times New Roman" w:hAnsi="Times New Roman" w:cs="Times New Roman"/>
          <w:sz w:val="24"/>
          <w:szCs w:val="24"/>
        </w:rPr>
        <w:t xml:space="preserve"> – atitinka bandomosios taikomosios veiklos sąvoką, kuri apibrėžta 2014 m. birželio 17 d. Komisijos reglamento (ES) Nr. 651/2014, kuriuo tam tikrų kategorijų pagalba skelbiama suderinama su vidaus rinka taikant Sutarties 107 ir 108 straipsnius (OL 2014 L 187, p. 1) (toliau – Bendrasis bendrosios išimties reglamentas) 2 straipsnio 86 punkte.</w:t>
      </w:r>
    </w:p>
    <w:p w14:paraId="0D1BFEAB"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 xml:space="preserve">4.2. </w:t>
      </w:r>
      <w:r w:rsidRPr="004E65A5">
        <w:rPr>
          <w:rFonts w:ascii="Times New Roman" w:hAnsi="Times New Roman" w:cs="Times New Roman"/>
          <w:b/>
          <w:sz w:val="24"/>
          <w:szCs w:val="24"/>
        </w:rPr>
        <w:t>Inovacinis čekis</w:t>
      </w:r>
      <w:r w:rsidRPr="004E65A5">
        <w:rPr>
          <w:rFonts w:ascii="Times New Roman" w:hAnsi="Times New Roman" w:cs="Times New Roman"/>
          <w:sz w:val="24"/>
          <w:szCs w:val="24"/>
        </w:rPr>
        <w:t xml:space="preserve"> – kaip ši sąvoka apibrėžta 2014–2020 metų Europos Sąjungos fondų investicijų veiksmų programos 1 prioriteto „Mokslinių tyrimų, eksperimentinės plėtros ir inovacijų skatinimas“ priemonės Nr. 01.2.1-MITA-K-824 „Inovaciniai čekiai“ projektų finansavimo sąlygų apraše.</w:t>
      </w:r>
    </w:p>
    <w:p w14:paraId="06059CAC"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 xml:space="preserve">4.3. </w:t>
      </w:r>
      <w:r w:rsidRPr="004E65A5">
        <w:rPr>
          <w:rFonts w:ascii="Times New Roman" w:hAnsi="Times New Roman" w:cs="Times New Roman"/>
          <w:b/>
          <w:sz w:val="24"/>
          <w:szCs w:val="24"/>
        </w:rPr>
        <w:t>Moksliniai tyrimai</w:t>
      </w:r>
      <w:r w:rsidRPr="004E65A5">
        <w:rPr>
          <w:rFonts w:ascii="Times New Roman" w:hAnsi="Times New Roman" w:cs="Times New Roman"/>
          <w:sz w:val="24"/>
          <w:szCs w:val="24"/>
        </w:rPr>
        <w:t xml:space="preserve"> – atitinka pramoninių tyrimų sąvoką, kuri apibrėžta Bendrojo bendrosios išimties reglamento 2 straipsnio 85 punkte.</w:t>
      </w:r>
    </w:p>
    <w:p w14:paraId="20582EF4"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 xml:space="preserve">4.4. </w:t>
      </w:r>
      <w:r w:rsidRPr="004E65A5">
        <w:rPr>
          <w:rFonts w:ascii="Times New Roman" w:hAnsi="Times New Roman" w:cs="Times New Roman"/>
          <w:b/>
          <w:sz w:val="24"/>
          <w:szCs w:val="24"/>
        </w:rPr>
        <w:t>Mokslo ir studijų institucija</w:t>
      </w:r>
      <w:r w:rsidRPr="004E65A5">
        <w:rPr>
          <w:rFonts w:ascii="Times New Roman" w:hAnsi="Times New Roman" w:cs="Times New Roman"/>
          <w:sz w:val="24"/>
          <w:szCs w:val="24"/>
        </w:rPr>
        <w:t xml:space="preserve"> – kaip ši sąvoka apibrėžta Lietuvos Respublikos mokslo ir studijų įstatyme.</w:t>
      </w:r>
    </w:p>
    <w:p w14:paraId="720E1084" w14:textId="0437F4B3" w:rsidR="004949D6" w:rsidRPr="004E65A5" w:rsidRDefault="00973129" w:rsidP="009D452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4.5</w:t>
      </w:r>
      <w:r w:rsidR="004949D6" w:rsidRPr="004E65A5">
        <w:rPr>
          <w:rFonts w:ascii="Times New Roman" w:hAnsi="Times New Roman" w:cs="Times New Roman"/>
          <w:sz w:val="24"/>
          <w:szCs w:val="24"/>
        </w:rPr>
        <w:t xml:space="preserve">. </w:t>
      </w:r>
      <w:r w:rsidR="004949D6" w:rsidRPr="004E65A5">
        <w:rPr>
          <w:rFonts w:ascii="Times New Roman" w:hAnsi="Times New Roman" w:cs="Times New Roman"/>
          <w:b/>
          <w:sz w:val="24"/>
          <w:szCs w:val="24"/>
        </w:rPr>
        <w:t>Sumanios specializacijos prioritetai</w:t>
      </w:r>
      <w:r w:rsidR="004949D6" w:rsidRPr="004E65A5">
        <w:rPr>
          <w:rFonts w:ascii="Times New Roman" w:hAnsi="Times New Roman" w:cs="Times New Roman"/>
          <w:sz w:val="24"/>
          <w:szCs w:val="24"/>
        </w:rPr>
        <w:t xml:space="preserve"> – kaip ši sąvoka apibrėžta Prioritetinių mokslinių tyrimų ir eksperimentinės (socialinės, kultūrinės) plėtros ir inovacijų raidos (Sumanios specializacijos) krypčių ir jų prioritetų įgyvendinimo programoje, patvirtintoje Lietuvos Respublikos Vyriausybės 2014 m. balandžio 30 d. nutarimu Nr. 411 „Dėl prioritetinių mokslinių </w:t>
      </w:r>
      <w:r w:rsidR="004949D6" w:rsidRPr="004E65A5">
        <w:rPr>
          <w:rFonts w:ascii="Times New Roman" w:hAnsi="Times New Roman" w:cs="Times New Roman"/>
          <w:sz w:val="24"/>
          <w:szCs w:val="24"/>
        </w:rPr>
        <w:lastRenderedPageBreak/>
        <w:t>tyrimų ir eksperimentinės (socialinės, kultūrinės) plėtros ir inovacijų raidos (sumanios specializacijos) krypčių ir jų prioritetų įgyvendinimo programos patvirtinimo“.</w:t>
      </w:r>
    </w:p>
    <w:p w14:paraId="209C9BE7" w14:textId="54FA09CD" w:rsidR="004949D6" w:rsidRPr="004E65A5" w:rsidRDefault="00973129" w:rsidP="009D452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4.6</w:t>
      </w:r>
      <w:r w:rsidR="004949D6" w:rsidRPr="004E65A5">
        <w:rPr>
          <w:rFonts w:ascii="Times New Roman" w:hAnsi="Times New Roman" w:cs="Times New Roman"/>
          <w:sz w:val="24"/>
          <w:szCs w:val="24"/>
        </w:rPr>
        <w:t xml:space="preserve">. </w:t>
      </w:r>
      <w:r w:rsidR="004949D6" w:rsidRPr="004E65A5">
        <w:rPr>
          <w:rFonts w:ascii="Times New Roman" w:hAnsi="Times New Roman" w:cs="Times New Roman"/>
          <w:b/>
          <w:sz w:val="24"/>
          <w:szCs w:val="24"/>
        </w:rPr>
        <w:t>Techninė galimybių studija</w:t>
      </w:r>
      <w:r w:rsidR="004949D6" w:rsidRPr="004E65A5">
        <w:rPr>
          <w:rFonts w:ascii="Times New Roman" w:hAnsi="Times New Roman" w:cs="Times New Roman"/>
          <w:sz w:val="24"/>
          <w:szCs w:val="24"/>
        </w:rPr>
        <w:t xml:space="preserve"> – atitinka galimybių studijos sąvoką, kuri apibrėžta Bendrojo bendrosios išimties reglamento 2 straipsnio 87 punkte.</w:t>
      </w:r>
    </w:p>
    <w:p w14:paraId="3315C1D0"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4.7. Kitos tyrime vartojamos sąvokos atitinka 2014–2020 m. ES struktūrinių fondų investicijų administravimą reglamentuojančius teisės aktus.</w:t>
      </w:r>
    </w:p>
    <w:p w14:paraId="64B91AAF"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5. Tyrimas atliktas šiais etapais:</w:t>
      </w:r>
    </w:p>
    <w:p w14:paraId="2C418869"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5.1. Identifikuoti istorinių duomenų šaltiniai (VP2-1.3-ŪM-05-K priemonės „Inočekiai LT“ 2012–2014 m. projektų istoriniai duomenys).</w:t>
      </w:r>
    </w:p>
    <w:p w14:paraId="691B0001" w14:textId="569F3846"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5.2. Atlikta istorinių duomenų analizė ir skaičiavima</w:t>
      </w:r>
      <w:r w:rsidR="00B10373">
        <w:rPr>
          <w:rFonts w:ascii="Times New Roman" w:hAnsi="Times New Roman" w:cs="Times New Roman"/>
          <w:sz w:val="24"/>
          <w:szCs w:val="24"/>
        </w:rPr>
        <w:t>i analizuojant įgyvendintus projektus</w:t>
      </w:r>
      <w:r w:rsidR="00B10373" w:rsidRPr="00B10373">
        <w:rPr>
          <w:rFonts w:ascii="Times New Roman" w:hAnsi="Times New Roman" w:cs="Times New Roman"/>
          <w:sz w:val="24"/>
          <w:szCs w:val="24"/>
        </w:rPr>
        <w:t xml:space="preserve">, remiantis komerciniais pasiūlymais, projektų vykdytojų sutartimis su mokslo ir studijų institucijomis </w:t>
      </w:r>
      <w:r w:rsidR="00B10373">
        <w:rPr>
          <w:rFonts w:ascii="Times New Roman" w:hAnsi="Times New Roman" w:cs="Times New Roman"/>
          <w:sz w:val="24"/>
          <w:szCs w:val="24"/>
        </w:rPr>
        <w:t xml:space="preserve">bei </w:t>
      </w:r>
      <w:r w:rsidR="00B10373" w:rsidRPr="00B10373">
        <w:rPr>
          <w:rFonts w:ascii="Times New Roman" w:hAnsi="Times New Roman" w:cs="Times New Roman"/>
          <w:sz w:val="24"/>
          <w:szCs w:val="24"/>
        </w:rPr>
        <w:t>tikrinant projektų vykdytojų realias išlaidas projektams įgyvendinti</w:t>
      </w:r>
      <w:r w:rsidR="00B10373">
        <w:rPr>
          <w:rFonts w:ascii="Times New Roman" w:hAnsi="Times New Roman" w:cs="Times New Roman"/>
          <w:sz w:val="24"/>
          <w:szCs w:val="24"/>
        </w:rPr>
        <w:t>.</w:t>
      </w:r>
    </w:p>
    <w:p w14:paraId="4BDC1ABA" w14:textId="77777777" w:rsidR="004949D6" w:rsidRPr="004E65A5"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5.3. Nustatyti fiksuotųjų sumų dydžiai.</w:t>
      </w:r>
    </w:p>
    <w:p w14:paraId="39C7634E" w14:textId="55FA2EC8" w:rsidR="004949D6" w:rsidRPr="009D452D" w:rsidRDefault="004949D6" w:rsidP="009D452D">
      <w:pPr>
        <w:spacing w:after="0" w:line="240" w:lineRule="auto"/>
        <w:ind w:firstLine="1296"/>
        <w:jc w:val="both"/>
        <w:rPr>
          <w:rFonts w:ascii="Times New Roman" w:hAnsi="Times New Roman" w:cs="Times New Roman"/>
          <w:sz w:val="24"/>
          <w:szCs w:val="24"/>
        </w:rPr>
      </w:pPr>
      <w:r w:rsidRPr="004E65A5">
        <w:rPr>
          <w:rFonts w:ascii="Times New Roman" w:hAnsi="Times New Roman" w:cs="Times New Roman"/>
          <w:sz w:val="24"/>
          <w:szCs w:val="24"/>
        </w:rPr>
        <w:t>6. Tyrimą atliko Mokslo, inovacijų ir technologijų agentūra 2016 m. vasario–spalio mėn.</w:t>
      </w:r>
    </w:p>
    <w:p w14:paraId="00C62AF6" w14:textId="3C1F6AEE" w:rsidR="004949D6" w:rsidRDefault="004949D6" w:rsidP="009D452D">
      <w:pPr>
        <w:spacing w:after="0" w:line="240" w:lineRule="auto"/>
        <w:jc w:val="both"/>
        <w:rPr>
          <w:rFonts w:ascii="Times New Roman" w:hAnsi="Times New Roman" w:cs="Times New Roman"/>
          <w:sz w:val="24"/>
          <w:szCs w:val="24"/>
        </w:rPr>
      </w:pPr>
    </w:p>
    <w:p w14:paraId="1C55EDBA" w14:textId="77777777" w:rsidR="009D452D" w:rsidRPr="009D452D" w:rsidRDefault="009D452D" w:rsidP="009D452D">
      <w:pPr>
        <w:spacing w:after="0" w:line="240" w:lineRule="auto"/>
        <w:jc w:val="both"/>
        <w:rPr>
          <w:rFonts w:ascii="Times New Roman" w:hAnsi="Times New Roman" w:cs="Times New Roman"/>
          <w:sz w:val="24"/>
          <w:szCs w:val="24"/>
        </w:rPr>
      </w:pPr>
    </w:p>
    <w:p w14:paraId="4444041B" w14:textId="566961C5" w:rsidR="004949D6" w:rsidRDefault="004949D6" w:rsidP="009D452D">
      <w:pPr>
        <w:spacing w:after="0" w:line="240" w:lineRule="auto"/>
        <w:jc w:val="center"/>
        <w:rPr>
          <w:rFonts w:ascii="Times New Roman" w:hAnsi="Times New Roman" w:cs="Times New Roman"/>
          <w:b/>
          <w:sz w:val="24"/>
          <w:szCs w:val="24"/>
        </w:rPr>
      </w:pPr>
      <w:r w:rsidRPr="009D452D">
        <w:rPr>
          <w:rFonts w:ascii="Times New Roman" w:hAnsi="Times New Roman" w:cs="Times New Roman"/>
          <w:b/>
          <w:sz w:val="24"/>
          <w:szCs w:val="24"/>
        </w:rPr>
        <w:t>II. TYRIMO METODIKA</w:t>
      </w:r>
    </w:p>
    <w:p w14:paraId="23D8B9B5" w14:textId="77777777" w:rsidR="009D452D" w:rsidRPr="009D452D" w:rsidRDefault="009D452D" w:rsidP="009D452D">
      <w:pPr>
        <w:spacing w:after="0" w:line="240" w:lineRule="auto"/>
        <w:jc w:val="center"/>
        <w:rPr>
          <w:rFonts w:ascii="Times New Roman" w:hAnsi="Times New Roman" w:cs="Times New Roman"/>
          <w:b/>
          <w:sz w:val="24"/>
          <w:szCs w:val="24"/>
        </w:rPr>
      </w:pPr>
    </w:p>
    <w:p w14:paraId="134E7DA5" w14:textId="1736BE62" w:rsidR="00D34948" w:rsidRPr="009D452D" w:rsidRDefault="00973129" w:rsidP="009D452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w:t>
      </w:r>
      <w:r w:rsidR="00837EB6" w:rsidRPr="009D452D">
        <w:rPr>
          <w:rFonts w:ascii="Times New Roman" w:hAnsi="Times New Roman" w:cs="Times New Roman"/>
          <w:sz w:val="24"/>
          <w:szCs w:val="24"/>
        </w:rPr>
        <w:t xml:space="preserve">. </w:t>
      </w:r>
      <w:r w:rsidR="00D34948" w:rsidRPr="009D452D">
        <w:rPr>
          <w:rFonts w:ascii="Times New Roman" w:hAnsi="Times New Roman" w:cs="Times New Roman"/>
          <w:sz w:val="24"/>
          <w:szCs w:val="24"/>
        </w:rPr>
        <w:t>2007–2013 m. ES struktūrinės paramos programavimo laikotarpiu buvo įgyvendinama Ekonomikos augimo veiksmų programos VP2-1.3-ŪM-05-K įgyvendinimo priemonė „Inočekiai LT“</w:t>
      </w:r>
      <w:r w:rsidR="00012CE6">
        <w:rPr>
          <w:rFonts w:ascii="Times New Roman" w:hAnsi="Times New Roman" w:cs="Times New Roman"/>
          <w:sz w:val="24"/>
          <w:szCs w:val="24"/>
        </w:rPr>
        <w:t xml:space="preserve"> </w:t>
      </w:r>
      <w:r w:rsidR="00012CE6" w:rsidRPr="009D452D">
        <w:rPr>
          <w:rFonts w:ascii="Times New Roman" w:hAnsi="Times New Roman" w:cs="Times New Roman"/>
          <w:sz w:val="24"/>
          <w:szCs w:val="24"/>
        </w:rPr>
        <w:t>(finansuotos veiklos: techninių galimybių studijų parengimas, mokslinių tyrimų ir eksperimentinės plėtros paslaugų teikimas)</w:t>
      </w:r>
      <w:r w:rsidR="00D34948" w:rsidRPr="009D452D">
        <w:rPr>
          <w:rFonts w:ascii="Times New Roman" w:hAnsi="Times New Roman" w:cs="Times New Roman"/>
          <w:sz w:val="24"/>
          <w:szCs w:val="24"/>
        </w:rPr>
        <w:t>, pagal kurią išlaidos projektų vykdytojams buvo apmokamos taikant fiksuotąją sumą, kurios dydis kiekvienam projektui buvo nustatomas tinkamumo finansuoti vertinimo metu. 2014–2020 m. programavimo laikotarpiu iš Europos regioninės plėtros fondo finansuojamų projektų atveju nėra numatyta galimybė fiksuotosios sumos dydį nustatyti tinkamumo finansuoti vertinimo metu. Vadovaujantis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Projektų administravimo ir finansavimo taisyklių 425.1 p., būtina atlikti reprezentatyvų tyrimą, kurio rezultatų pagrindu būtų nustatyti supaprastintai apmokami išlaidų dydžiai, šiuo atveju – fiksuotosios sumos.</w:t>
      </w:r>
    </w:p>
    <w:p w14:paraId="77571134" w14:textId="0AA0DF69" w:rsidR="00DD3471" w:rsidRPr="009D452D" w:rsidRDefault="00973129" w:rsidP="009D452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8</w:t>
      </w:r>
      <w:r w:rsidR="00D34948" w:rsidRPr="009D452D">
        <w:rPr>
          <w:rFonts w:ascii="Times New Roman" w:hAnsi="Times New Roman" w:cs="Times New Roman"/>
          <w:sz w:val="24"/>
          <w:szCs w:val="24"/>
        </w:rPr>
        <w:t xml:space="preserve">. </w:t>
      </w:r>
      <w:r w:rsidR="00827BE4" w:rsidRPr="009D452D">
        <w:rPr>
          <w:rFonts w:ascii="Times New Roman" w:hAnsi="Times New Roman" w:cs="Times New Roman"/>
          <w:sz w:val="24"/>
          <w:szCs w:val="24"/>
        </w:rPr>
        <w:t xml:space="preserve">Nustatant fiksuotąsias sumas naudojamas </w:t>
      </w:r>
      <w:r w:rsidR="00E15E95" w:rsidRPr="009D452D">
        <w:rPr>
          <w:rFonts w:ascii="Times New Roman" w:hAnsi="Times New Roman" w:cs="Times New Roman"/>
          <w:sz w:val="24"/>
          <w:szCs w:val="24"/>
        </w:rPr>
        <w:t xml:space="preserve">pagal </w:t>
      </w:r>
      <w:r w:rsidR="00827BE4" w:rsidRPr="009D452D">
        <w:rPr>
          <w:rFonts w:ascii="Times New Roman" w:hAnsi="Times New Roman" w:cs="Times New Roman"/>
          <w:sz w:val="24"/>
          <w:szCs w:val="24"/>
        </w:rPr>
        <w:t>priemon</w:t>
      </w:r>
      <w:r w:rsidR="00E15E95" w:rsidRPr="009D452D">
        <w:rPr>
          <w:rFonts w:ascii="Times New Roman" w:hAnsi="Times New Roman" w:cs="Times New Roman"/>
          <w:sz w:val="24"/>
          <w:szCs w:val="24"/>
        </w:rPr>
        <w:t>ę</w:t>
      </w:r>
      <w:r w:rsidR="00827BE4" w:rsidRPr="009D452D">
        <w:rPr>
          <w:rFonts w:ascii="Times New Roman" w:hAnsi="Times New Roman" w:cs="Times New Roman"/>
          <w:sz w:val="24"/>
          <w:szCs w:val="24"/>
        </w:rPr>
        <w:t xml:space="preserve"> VP2-1.3-ŪM-05-K „Inočekiai LT“ finansuotų projektų istorinių duomenų analizės metodas. Pagal VP2-1.3-ŪM-05-K priemonę „Inočekiai LT“ kvietimai teikti paraiškas buvo skelbiami 2012 m., 2013 m. ir 2014 m. Finansavimas buvo skirtas 776 projektams, kurių bendra vertė (skirtas finansavimas ir privatus projektų vykdytojų indėlis) buvo 4.332.012,78 Eur. Tinkamos finansuoti išlaidos buvo nustatomos</w:t>
      </w:r>
      <w:r w:rsidR="001A02CC" w:rsidRPr="009D452D">
        <w:rPr>
          <w:rFonts w:ascii="Times New Roman" w:hAnsi="Times New Roman" w:cs="Times New Roman"/>
          <w:sz w:val="24"/>
          <w:szCs w:val="24"/>
        </w:rPr>
        <w:t xml:space="preserve"> </w:t>
      </w:r>
      <w:r w:rsidR="000C2A89" w:rsidRPr="009D452D">
        <w:rPr>
          <w:rFonts w:ascii="Times New Roman" w:hAnsi="Times New Roman" w:cs="Times New Roman"/>
          <w:sz w:val="24"/>
          <w:szCs w:val="24"/>
        </w:rPr>
        <w:t>paraiškų</w:t>
      </w:r>
      <w:r w:rsidR="001A02CC" w:rsidRPr="009D452D">
        <w:rPr>
          <w:rFonts w:ascii="Times New Roman" w:hAnsi="Times New Roman" w:cs="Times New Roman"/>
          <w:sz w:val="24"/>
          <w:szCs w:val="24"/>
        </w:rPr>
        <w:t xml:space="preserve"> vertinimo metu</w:t>
      </w:r>
      <w:r w:rsidR="00827BE4" w:rsidRPr="009D452D">
        <w:rPr>
          <w:rFonts w:ascii="Times New Roman" w:hAnsi="Times New Roman" w:cs="Times New Roman"/>
          <w:sz w:val="24"/>
          <w:szCs w:val="24"/>
        </w:rPr>
        <w:t xml:space="preserve"> remiantis projektų vykdytojų pateiktais pagrindžiančiais dokumentais: mokslo ir studijų institucijų komerciniais pasiūlymais, nuorodomis į rinkoje galiojančias kainas, darbo užmokesčio suvestinėmis ir atlikus vertinimo procedūras nustatytos kaip fiksuotosios sumos projektų finansavi</w:t>
      </w:r>
      <w:r w:rsidR="00DD3471" w:rsidRPr="009D452D">
        <w:rPr>
          <w:rFonts w:ascii="Times New Roman" w:hAnsi="Times New Roman" w:cs="Times New Roman"/>
          <w:sz w:val="24"/>
          <w:szCs w:val="24"/>
        </w:rPr>
        <w:t>mo ir administravimo sutartyse.</w:t>
      </w:r>
    </w:p>
    <w:p w14:paraId="2EE125E6" w14:textId="4A600DB6" w:rsidR="00ED7288" w:rsidRPr="009D452D" w:rsidRDefault="00973129" w:rsidP="009D452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9</w:t>
      </w:r>
      <w:r w:rsidR="00ED7288" w:rsidRPr="009D452D">
        <w:rPr>
          <w:rFonts w:ascii="Times New Roman" w:hAnsi="Times New Roman" w:cs="Times New Roman"/>
          <w:sz w:val="24"/>
          <w:szCs w:val="24"/>
        </w:rPr>
        <w:t>. 2007–2013 m. periodu buvo galimybė fiksuotąsias sumas nustatyti individualiai projektų tinkamumo finansuoti vertinimo metu. 2007 – 2013 m. laikotarpiu esant ribotai bendrai projekto v</w:t>
      </w:r>
      <w:r w:rsidR="00730A80">
        <w:rPr>
          <w:rFonts w:ascii="Times New Roman" w:hAnsi="Times New Roman" w:cs="Times New Roman"/>
          <w:sz w:val="24"/>
          <w:szCs w:val="24"/>
        </w:rPr>
        <w:t xml:space="preserve">ertei, projektai buvo </w:t>
      </w:r>
      <w:r w:rsidR="00ED7288" w:rsidRPr="009D452D">
        <w:rPr>
          <w:rFonts w:ascii="Times New Roman" w:hAnsi="Times New Roman" w:cs="Times New Roman"/>
          <w:sz w:val="24"/>
          <w:szCs w:val="24"/>
        </w:rPr>
        <w:t>įgyvendinti, todėl galima daryti išvadą, kad nustatyta projekto tinkamų finansuoti išlaidų suma buvo pakankama projektų rezultatams pasiekti ir 2014–2020 m. programavimo laikotarpiu nustatant fiksuotąsias sumas galima remtis tomis pačiomis prielaidomis kaip ir 2007–2013 m. programavimo laikotarpiu, o fiksuotosios sumos gali būti skaičiuojamos remiantis tokių projektų istoriniais duomenimis.</w:t>
      </w:r>
    </w:p>
    <w:p w14:paraId="78A9CF9F" w14:textId="58A77AC9" w:rsidR="00ED7288" w:rsidRPr="009D452D" w:rsidRDefault="00973129" w:rsidP="009D452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10</w:t>
      </w:r>
      <w:r w:rsidR="00ED7288" w:rsidRPr="009D452D">
        <w:rPr>
          <w:rFonts w:ascii="Times New Roman" w:hAnsi="Times New Roman" w:cs="Times New Roman"/>
          <w:sz w:val="24"/>
          <w:szCs w:val="24"/>
        </w:rPr>
        <w:t xml:space="preserve">. Istorinių duomenų analizės metodas, nustatant fiksuotąsias sumas, lyginant su kitais metodais, įvardintais Projektų administravimo ir finansavimo taisyklių 425 p., t. y. (1) atlikto reprezentatyvaus tyrimo metodas, kai yra įvertinamos vidutinės rinkos kainos, statistiniai </w:t>
      </w:r>
      <w:r w:rsidR="00ED7288" w:rsidRPr="009D452D">
        <w:rPr>
          <w:rFonts w:ascii="Times New Roman" w:hAnsi="Times New Roman" w:cs="Times New Roman"/>
          <w:sz w:val="24"/>
          <w:szCs w:val="24"/>
        </w:rPr>
        <w:lastRenderedPageBreak/>
        <w:t>duomenys, projektų istoriniai duomenys, kurie yra patikimi ir gali būti patikrinami, ar kiti duomenys, (2) Lietuvos Respublikos ar ES teisės aktuose ar kituose dokumentuose galiojančia supaprastinto išlaidų apmokėjimo schema, jeigu ji bus taikoma panašiems projektams ir panašiems projektų vykdytojams arba (3) projekto tinkamumo finansuoti vertinimo metu, yra racionaliausias. Projektų administravimo ir finansavimo taisyklėse numatytas (2) metodas netinkamas, nes Lietuvos Respublikos ar ES teisės aktuose ar kituose dokumentuose galiojančios supaprastintos išlaidų apmokėjimo schemos, taikomos panašiems projektams, nėra</w:t>
      </w:r>
      <w:r w:rsidR="00012CE6">
        <w:rPr>
          <w:rFonts w:ascii="Times New Roman" w:hAnsi="Times New Roman" w:cs="Times New Roman"/>
          <w:sz w:val="24"/>
          <w:szCs w:val="24"/>
        </w:rPr>
        <w:t>, o</w:t>
      </w:r>
      <w:r w:rsidR="00ED7288" w:rsidRPr="009D452D">
        <w:rPr>
          <w:rFonts w:ascii="Times New Roman" w:hAnsi="Times New Roman" w:cs="Times New Roman"/>
          <w:sz w:val="24"/>
          <w:szCs w:val="24"/>
        </w:rPr>
        <w:t xml:space="preserve"> (3) metodas netinkamas</w:t>
      </w:r>
      <w:r w:rsidR="00012CE6">
        <w:rPr>
          <w:rFonts w:ascii="Times New Roman" w:hAnsi="Times New Roman" w:cs="Times New Roman"/>
          <w:sz w:val="24"/>
          <w:szCs w:val="24"/>
        </w:rPr>
        <w:t>,</w:t>
      </w:r>
      <w:r w:rsidR="00ED7288" w:rsidRPr="009D452D">
        <w:rPr>
          <w:rFonts w:ascii="Times New Roman" w:hAnsi="Times New Roman" w:cs="Times New Roman"/>
          <w:sz w:val="24"/>
          <w:szCs w:val="24"/>
        </w:rPr>
        <w:t xml:space="preserve"> nes 2014–2020 m. programavimo laikotarpiu iš Europos regioninės plėtros fondo finansuojamų projektų atveju nėra numatyta galimybė fiksuotosios sumos dydį nustatyti  tinkamumo finansuoti vertinimo metu.</w:t>
      </w:r>
    </w:p>
    <w:p w14:paraId="4302BCE3" w14:textId="74303574" w:rsidR="00FD194D" w:rsidRPr="009D452D"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11</w:t>
      </w:r>
      <w:r w:rsidR="00837EB6" w:rsidRPr="009D452D">
        <w:rPr>
          <w:rFonts w:ascii="Times New Roman" w:hAnsi="Times New Roman" w:cs="Times New Roman"/>
          <w:sz w:val="24"/>
          <w:szCs w:val="24"/>
        </w:rPr>
        <w:t xml:space="preserve">. </w:t>
      </w:r>
      <w:r w:rsidR="00FD194D" w:rsidRPr="009D452D">
        <w:rPr>
          <w:rFonts w:ascii="Times New Roman" w:hAnsi="Times New Roman" w:cs="Times New Roman"/>
          <w:sz w:val="24"/>
          <w:szCs w:val="24"/>
        </w:rPr>
        <w:t>Pagal 2014–2020 m. Europos Sąjungos struktūrinių fondų investicijų veiksmų programos 1 prioriteto „Mokslinių tyrimų, eksperimentinės plėtros ir inovacijų skatinimas“ priemonę Nr. 01.2.1-MITA-K-824 „Inovaciniai čekiai“ numatomos finansuoti veiklos (išlaidų kategorijos), kurioms nustatomos fiksuotosios sumos:</w:t>
      </w:r>
    </w:p>
    <w:p w14:paraId="0901B65F" w14:textId="21A6E72C" w:rsidR="00FD194D" w:rsidRPr="009D452D" w:rsidRDefault="00837EB6" w:rsidP="009D452D">
      <w:pPr>
        <w:pStyle w:val="Sraopastraipa"/>
        <w:numPr>
          <w:ilvl w:val="0"/>
          <w:numId w:val="2"/>
        </w:numPr>
        <w:spacing w:after="0" w:line="240" w:lineRule="auto"/>
        <w:jc w:val="both"/>
        <w:rPr>
          <w:rFonts w:ascii="Times New Roman" w:hAnsi="Times New Roman" w:cs="Times New Roman"/>
          <w:sz w:val="24"/>
          <w:szCs w:val="24"/>
        </w:rPr>
      </w:pPr>
      <w:r w:rsidRPr="009D452D">
        <w:rPr>
          <w:rFonts w:ascii="Times New Roman" w:hAnsi="Times New Roman" w:cs="Times New Roman"/>
          <w:sz w:val="24"/>
          <w:szCs w:val="24"/>
        </w:rPr>
        <w:t xml:space="preserve">techninių galimybių studijų parengimo </w:t>
      </w:r>
      <w:r w:rsidR="00E9483B" w:rsidRPr="009D452D">
        <w:rPr>
          <w:rFonts w:ascii="Times New Roman" w:hAnsi="Times New Roman" w:cs="Times New Roman"/>
          <w:sz w:val="24"/>
          <w:szCs w:val="24"/>
        </w:rPr>
        <w:t xml:space="preserve">įsigijimo </w:t>
      </w:r>
      <w:r w:rsidR="00FD194D" w:rsidRPr="009D452D">
        <w:rPr>
          <w:rFonts w:ascii="Times New Roman" w:hAnsi="Times New Roman" w:cs="Times New Roman"/>
          <w:sz w:val="24"/>
          <w:szCs w:val="24"/>
        </w:rPr>
        <w:t>iš mokslo ir studijų institucijų išlaidos</w:t>
      </w:r>
      <w:r w:rsidR="003E7C07" w:rsidRPr="009D452D">
        <w:rPr>
          <w:rFonts w:ascii="Times New Roman" w:hAnsi="Times New Roman" w:cs="Times New Roman"/>
          <w:sz w:val="24"/>
          <w:szCs w:val="24"/>
        </w:rPr>
        <w:t xml:space="preserve"> (toliau – 1 išlaidų kategorija)</w:t>
      </w:r>
      <w:r w:rsidR="00FD194D" w:rsidRPr="009D452D">
        <w:rPr>
          <w:rFonts w:ascii="Times New Roman" w:hAnsi="Times New Roman" w:cs="Times New Roman"/>
          <w:sz w:val="24"/>
          <w:szCs w:val="24"/>
        </w:rPr>
        <w:t>;</w:t>
      </w:r>
    </w:p>
    <w:p w14:paraId="59EB183C" w14:textId="278F7A28" w:rsidR="00FD194D" w:rsidRPr="009D452D" w:rsidRDefault="00837EB6" w:rsidP="009D452D">
      <w:pPr>
        <w:pStyle w:val="Sraopastraipa"/>
        <w:numPr>
          <w:ilvl w:val="0"/>
          <w:numId w:val="2"/>
        </w:numPr>
        <w:spacing w:after="0" w:line="240" w:lineRule="auto"/>
        <w:jc w:val="both"/>
        <w:rPr>
          <w:rFonts w:ascii="Times New Roman" w:hAnsi="Times New Roman" w:cs="Times New Roman"/>
          <w:sz w:val="24"/>
          <w:szCs w:val="24"/>
        </w:rPr>
      </w:pPr>
      <w:r w:rsidRPr="009D452D">
        <w:rPr>
          <w:rFonts w:ascii="Times New Roman" w:hAnsi="Times New Roman" w:cs="Times New Roman"/>
          <w:sz w:val="24"/>
          <w:szCs w:val="24"/>
        </w:rPr>
        <w:t xml:space="preserve">ankstyvosios stadijos MTEP paslaugų įsigijimo iš </w:t>
      </w:r>
      <w:r w:rsidR="00ED281C" w:rsidRPr="009D452D">
        <w:rPr>
          <w:rFonts w:ascii="Times New Roman" w:hAnsi="Times New Roman" w:cs="Times New Roman"/>
          <w:sz w:val="24"/>
          <w:szCs w:val="24"/>
        </w:rPr>
        <w:t>mokslo ir studijų institucijų išlaidos</w:t>
      </w:r>
      <w:r w:rsidR="003E7C07" w:rsidRPr="009D452D">
        <w:rPr>
          <w:rFonts w:ascii="Times New Roman" w:hAnsi="Times New Roman" w:cs="Times New Roman"/>
          <w:sz w:val="24"/>
          <w:szCs w:val="24"/>
        </w:rPr>
        <w:t xml:space="preserve"> (toliau – 2 išlaidų kategorija)</w:t>
      </w:r>
      <w:r w:rsidR="00ED281C" w:rsidRPr="009D452D">
        <w:rPr>
          <w:rFonts w:ascii="Times New Roman" w:hAnsi="Times New Roman" w:cs="Times New Roman"/>
          <w:sz w:val="24"/>
          <w:szCs w:val="24"/>
        </w:rPr>
        <w:t>.</w:t>
      </w:r>
      <w:r w:rsidR="00100070" w:rsidRPr="009D452D">
        <w:rPr>
          <w:rFonts w:ascii="Times New Roman" w:hAnsi="Times New Roman" w:cs="Times New Roman"/>
          <w:sz w:val="24"/>
          <w:szCs w:val="24"/>
        </w:rPr>
        <w:t xml:space="preserve"> </w:t>
      </w:r>
    </w:p>
    <w:p w14:paraId="50FF08EB" w14:textId="137C135A" w:rsidR="00827BE4"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12</w:t>
      </w:r>
      <w:r w:rsidR="00075EDE" w:rsidRPr="009D452D">
        <w:rPr>
          <w:rFonts w:ascii="Times New Roman" w:hAnsi="Times New Roman" w:cs="Times New Roman"/>
          <w:sz w:val="24"/>
          <w:szCs w:val="24"/>
        </w:rPr>
        <w:t xml:space="preserve">. </w:t>
      </w:r>
      <w:r w:rsidR="00827BE4" w:rsidRPr="009D452D">
        <w:rPr>
          <w:rFonts w:ascii="Times New Roman" w:hAnsi="Times New Roman" w:cs="Times New Roman"/>
          <w:sz w:val="24"/>
          <w:szCs w:val="24"/>
        </w:rPr>
        <w:t>Vadovaujantis Fiksuotųjų dydžių nustatymo tyrimo imties pakankamumo ir reprezentatyvumo vertinimo gairėmis, kurioms pritarta Lietuvos Respublikos finansų ministro 2013 m. liepos 11 d. įsakymu Nr. 1K-243 „Dėl darbo grupės sudarymo“, 2016 m. vasario 26 d. posėdžio protokolu Nr. 25</w:t>
      </w:r>
      <w:r w:rsidR="00075EDE" w:rsidRPr="009D452D">
        <w:rPr>
          <w:rFonts w:ascii="Times New Roman" w:hAnsi="Times New Roman" w:cs="Times New Roman"/>
          <w:sz w:val="24"/>
          <w:szCs w:val="24"/>
        </w:rPr>
        <w:t xml:space="preserve"> (toliau – Gairės)</w:t>
      </w:r>
      <w:r w:rsidR="00827BE4" w:rsidRPr="009D452D">
        <w:rPr>
          <w:rFonts w:ascii="Times New Roman" w:hAnsi="Times New Roman" w:cs="Times New Roman"/>
          <w:sz w:val="24"/>
          <w:szCs w:val="24"/>
        </w:rPr>
        <w:t>, tiriant istorinius duomenis iš anksčiau įgyvendintų projektų, populiacij</w:t>
      </w:r>
      <w:r w:rsidR="00314ECF" w:rsidRPr="009D452D">
        <w:rPr>
          <w:rFonts w:ascii="Times New Roman" w:hAnsi="Times New Roman" w:cs="Times New Roman"/>
          <w:sz w:val="24"/>
          <w:szCs w:val="24"/>
        </w:rPr>
        <w:t>os išlaidų kategorijoms sudaromos</w:t>
      </w:r>
      <w:r w:rsidR="00827BE4" w:rsidRPr="009D452D">
        <w:rPr>
          <w:rFonts w:ascii="Times New Roman" w:hAnsi="Times New Roman" w:cs="Times New Roman"/>
          <w:sz w:val="24"/>
          <w:szCs w:val="24"/>
        </w:rPr>
        <w:t xml:space="preserve"> iš </w:t>
      </w:r>
      <w:r w:rsidR="00FB47A5" w:rsidRPr="009D452D">
        <w:rPr>
          <w:rFonts w:ascii="Times New Roman" w:hAnsi="Times New Roman" w:cs="Times New Roman"/>
          <w:sz w:val="24"/>
          <w:szCs w:val="24"/>
        </w:rPr>
        <w:t>projektų duomenų, t. y. kvietimo Nr.</w:t>
      </w:r>
      <w:r w:rsidR="00FF1D30" w:rsidRPr="009D452D">
        <w:rPr>
          <w:rFonts w:ascii="Times New Roman" w:hAnsi="Times New Roman" w:cs="Times New Roman"/>
          <w:sz w:val="24"/>
          <w:szCs w:val="24"/>
        </w:rPr>
        <w:t xml:space="preserve"> VP2-1.3-ŪM-05-K-01 (2012 m.), VP2-1.3-ŪM-05-K-02 (2013 m.), </w:t>
      </w:r>
      <w:r w:rsidR="00FB47A5" w:rsidRPr="009D452D">
        <w:rPr>
          <w:rFonts w:ascii="Times New Roman" w:hAnsi="Times New Roman" w:cs="Times New Roman"/>
          <w:sz w:val="24"/>
          <w:szCs w:val="24"/>
        </w:rPr>
        <w:t xml:space="preserve">VP2-1.3-ŪM-05-K-03 (2014 m.) ir </w:t>
      </w:r>
      <w:r w:rsidR="00A005F6" w:rsidRPr="009D452D">
        <w:rPr>
          <w:rFonts w:ascii="Times New Roman" w:hAnsi="Times New Roman" w:cs="Times New Roman"/>
          <w:sz w:val="24"/>
          <w:szCs w:val="24"/>
        </w:rPr>
        <w:t>prisideda prie Prioritetinių mokslinių tyrimų ir eksperimentinės (socialinės, kultūrinės) plėtros ir inovacijų raidos (sumaniosios specializacijos) krypčių ir jų prioritetų įgyvendinimo programos, atitikdami bent vieno konkretaus prioriteto veiksmų plane nustatytą bent vieną prioriteto tematinį specifiškumą,</w:t>
      </w:r>
      <w:r w:rsidR="004F38C1" w:rsidRPr="009D452D">
        <w:rPr>
          <w:rFonts w:ascii="Times New Roman" w:hAnsi="Times New Roman" w:cs="Times New Roman"/>
          <w:sz w:val="24"/>
          <w:szCs w:val="24"/>
        </w:rPr>
        <w:t xml:space="preserve"> kadangi pagal priemonę Nr. 01.2.1-MITA-K-824 „Inovaciniai čekiai“ numatoma, kad vienas iš reikalavimų projektams būtų atitikimas Sumanios specializacijos</w:t>
      </w:r>
      <w:r w:rsidR="00A005F6" w:rsidRPr="009D452D">
        <w:rPr>
          <w:rFonts w:ascii="Times New Roman" w:hAnsi="Times New Roman" w:cs="Times New Roman"/>
          <w:sz w:val="24"/>
          <w:szCs w:val="24"/>
        </w:rPr>
        <w:t xml:space="preserve"> prioritetų bent vienam tematiniam specifiškumui </w:t>
      </w:r>
      <w:r w:rsidR="004F38C1" w:rsidRPr="009D452D">
        <w:rPr>
          <w:rFonts w:ascii="Times New Roman" w:hAnsi="Times New Roman" w:cs="Times New Roman"/>
          <w:sz w:val="24"/>
          <w:szCs w:val="24"/>
        </w:rPr>
        <w:t>ir tokiu būdu sudaroma populiacija labiausiai atitiktų būsimos priemonės projektų požymius. Iš 776 projektų, kurie buvo finansuoti pagal priemonę VP2-1.3-ŪM-05-K „Inočekiai LT“, Sumani</w:t>
      </w:r>
      <w:r w:rsidR="005B1CFB" w:rsidRPr="009D452D">
        <w:rPr>
          <w:rFonts w:ascii="Times New Roman" w:hAnsi="Times New Roman" w:cs="Times New Roman"/>
          <w:sz w:val="24"/>
          <w:szCs w:val="24"/>
        </w:rPr>
        <w:t>os specializacijos prioritetų bent vieną tematinį specifiškumą</w:t>
      </w:r>
      <w:r w:rsidR="004F38C1" w:rsidRPr="009D452D">
        <w:rPr>
          <w:rFonts w:ascii="Times New Roman" w:hAnsi="Times New Roman" w:cs="Times New Roman"/>
          <w:sz w:val="24"/>
          <w:szCs w:val="24"/>
        </w:rPr>
        <w:t xml:space="preserve"> atitiko </w:t>
      </w:r>
      <w:r w:rsidR="00D179D1" w:rsidRPr="009D452D">
        <w:rPr>
          <w:rFonts w:ascii="Times New Roman" w:hAnsi="Times New Roman" w:cs="Times New Roman"/>
          <w:sz w:val="24"/>
          <w:szCs w:val="24"/>
        </w:rPr>
        <w:t>676</w:t>
      </w:r>
      <w:r w:rsidR="004F38C1" w:rsidRPr="009D452D">
        <w:rPr>
          <w:rFonts w:ascii="Times New Roman" w:hAnsi="Times New Roman" w:cs="Times New Roman"/>
          <w:sz w:val="24"/>
          <w:szCs w:val="24"/>
        </w:rPr>
        <w:t xml:space="preserve"> projektai.</w:t>
      </w:r>
    </w:p>
    <w:p w14:paraId="19B323C7" w14:textId="69CFAA26" w:rsidR="009D452D" w:rsidRPr="009D452D" w:rsidRDefault="009D452D" w:rsidP="009D452D">
      <w:pPr>
        <w:spacing w:after="0" w:line="240" w:lineRule="auto"/>
        <w:jc w:val="both"/>
        <w:rPr>
          <w:rFonts w:ascii="Times New Roman" w:hAnsi="Times New Roman" w:cs="Times New Roman"/>
          <w:sz w:val="24"/>
          <w:szCs w:val="24"/>
        </w:rPr>
      </w:pPr>
      <w:r w:rsidRPr="009D452D">
        <w:rPr>
          <w:rFonts w:ascii="Times New Roman" w:hAnsi="Times New Roman" w:cs="Times New Roman"/>
          <w:i/>
          <w:sz w:val="24"/>
          <w:szCs w:val="24"/>
        </w:rPr>
        <w:tab/>
      </w:r>
      <w:r w:rsidR="00DC758A" w:rsidRPr="009D452D">
        <w:rPr>
          <w:rFonts w:ascii="Times New Roman" w:hAnsi="Times New Roman" w:cs="Times New Roman"/>
          <w:i/>
          <w:sz w:val="24"/>
          <w:szCs w:val="24"/>
          <w:u w:val="single"/>
        </w:rPr>
        <w:t>Populiacija</w:t>
      </w:r>
      <w:r w:rsidR="003E7C07" w:rsidRPr="009D452D">
        <w:rPr>
          <w:rFonts w:ascii="Times New Roman" w:hAnsi="Times New Roman" w:cs="Times New Roman"/>
          <w:i/>
          <w:sz w:val="24"/>
          <w:szCs w:val="24"/>
          <w:u w:val="single"/>
        </w:rPr>
        <w:t xml:space="preserve"> (1 išlaidų kategorija)</w:t>
      </w:r>
      <w:r w:rsidR="00DC758A" w:rsidRPr="009D452D">
        <w:rPr>
          <w:rFonts w:ascii="Times New Roman" w:hAnsi="Times New Roman" w:cs="Times New Roman"/>
          <w:i/>
          <w:sz w:val="24"/>
          <w:szCs w:val="24"/>
          <w:u w:val="single"/>
        </w:rPr>
        <w:t>:</w:t>
      </w:r>
      <w:r w:rsidR="00DC758A" w:rsidRPr="009D452D">
        <w:rPr>
          <w:rFonts w:ascii="Times New Roman" w:hAnsi="Times New Roman" w:cs="Times New Roman"/>
          <w:sz w:val="24"/>
          <w:szCs w:val="24"/>
        </w:rPr>
        <w:t xml:space="preserve"> </w:t>
      </w:r>
      <w:r w:rsidR="00D179D1" w:rsidRPr="009D452D">
        <w:rPr>
          <w:rFonts w:ascii="Times New Roman" w:hAnsi="Times New Roman" w:cs="Times New Roman"/>
          <w:sz w:val="24"/>
          <w:szCs w:val="24"/>
        </w:rPr>
        <w:t>127</w:t>
      </w:r>
      <w:r w:rsidR="00DC758A" w:rsidRPr="009D452D">
        <w:rPr>
          <w:rFonts w:ascii="Times New Roman" w:hAnsi="Times New Roman" w:cs="Times New Roman"/>
          <w:sz w:val="24"/>
          <w:szCs w:val="24"/>
        </w:rPr>
        <w:t>.</w:t>
      </w:r>
    </w:p>
    <w:p w14:paraId="522C363E" w14:textId="008A3CC0" w:rsidR="003E7C07" w:rsidRPr="009D452D" w:rsidRDefault="009D452D" w:rsidP="009D452D">
      <w:pPr>
        <w:spacing w:after="0" w:line="240" w:lineRule="auto"/>
        <w:jc w:val="both"/>
        <w:rPr>
          <w:rFonts w:ascii="Times New Roman" w:hAnsi="Times New Roman" w:cs="Times New Roman"/>
          <w:sz w:val="24"/>
          <w:szCs w:val="24"/>
        </w:rPr>
      </w:pPr>
      <w:r w:rsidRPr="009D452D">
        <w:rPr>
          <w:rFonts w:ascii="Times New Roman" w:hAnsi="Times New Roman" w:cs="Times New Roman"/>
          <w:i/>
          <w:sz w:val="24"/>
          <w:szCs w:val="24"/>
        </w:rPr>
        <w:tab/>
      </w:r>
      <w:r w:rsidR="003E7C07" w:rsidRPr="009D452D">
        <w:rPr>
          <w:rFonts w:ascii="Times New Roman" w:hAnsi="Times New Roman" w:cs="Times New Roman"/>
          <w:i/>
          <w:sz w:val="24"/>
          <w:szCs w:val="24"/>
          <w:u w:val="single"/>
        </w:rPr>
        <w:t>Populiacija (2 išlaidų kategorija):</w:t>
      </w:r>
      <w:r w:rsidR="003E7C07" w:rsidRPr="009D452D">
        <w:rPr>
          <w:rFonts w:ascii="Times New Roman" w:hAnsi="Times New Roman" w:cs="Times New Roman"/>
          <w:sz w:val="24"/>
          <w:szCs w:val="24"/>
        </w:rPr>
        <w:t xml:space="preserve"> </w:t>
      </w:r>
      <w:r w:rsidR="00D179D1" w:rsidRPr="009D452D">
        <w:rPr>
          <w:rFonts w:ascii="Times New Roman" w:hAnsi="Times New Roman" w:cs="Times New Roman"/>
          <w:sz w:val="24"/>
          <w:szCs w:val="24"/>
        </w:rPr>
        <w:t>549</w:t>
      </w:r>
      <w:r w:rsidR="003E7C07" w:rsidRPr="009D452D">
        <w:rPr>
          <w:rFonts w:ascii="Times New Roman" w:hAnsi="Times New Roman" w:cs="Times New Roman"/>
          <w:sz w:val="24"/>
          <w:szCs w:val="24"/>
        </w:rPr>
        <w:t>.</w:t>
      </w:r>
    </w:p>
    <w:p w14:paraId="015ABB83" w14:textId="6F9F6C3F" w:rsidR="006B66D1" w:rsidRPr="009D452D"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13</w:t>
      </w:r>
      <w:r w:rsidR="006B66D1" w:rsidRPr="009D452D">
        <w:rPr>
          <w:rFonts w:ascii="Times New Roman" w:hAnsi="Times New Roman" w:cs="Times New Roman"/>
          <w:sz w:val="24"/>
          <w:szCs w:val="24"/>
        </w:rPr>
        <w:t>. Skaičiavimo metodu, atsižvelgiant į netolygiai išsidėsčiusius tinkamų finansuoti išlaidų dydžius bei siekiant eliminuoti kraštutinių reikšmių (didžiausių ir mažiausių) įtaką, pasirinkta mediana. Mediana geriau nei vidurkis atskleidžia duomenų padėtį eilutėje, kurioje yra išskirčių, nes mediana, skirtingai nei vidurkis, „nesislenka“ link ekstremalių variacinės eilutės reikšmių (išskirčių).</w:t>
      </w:r>
    </w:p>
    <w:p w14:paraId="44D91450" w14:textId="0FC5539A" w:rsidR="003E7C07" w:rsidRPr="009D452D"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w:t>
      </w:r>
      <w:r w:rsidR="002263C9" w:rsidRPr="009D452D">
        <w:rPr>
          <w:rFonts w:ascii="Times New Roman" w:hAnsi="Times New Roman" w:cs="Times New Roman"/>
          <w:sz w:val="24"/>
          <w:szCs w:val="24"/>
        </w:rPr>
        <w:t>4. Tyrimas vykdytas dviem etapais: (1)</w:t>
      </w:r>
      <w:r w:rsidR="003B76C1" w:rsidRPr="009D452D">
        <w:rPr>
          <w:rFonts w:ascii="Times New Roman" w:hAnsi="Times New Roman" w:cs="Times New Roman"/>
          <w:sz w:val="24"/>
          <w:szCs w:val="24"/>
        </w:rPr>
        <w:t xml:space="preserve"> atlikta įgyvendintų projektų analizė, remiantis komerciniais pasiūlymais, projektų vykdytojų sutartimis su mokslo ir studijų institucijomis ir (2) </w:t>
      </w:r>
      <w:r w:rsidR="00D500A5" w:rsidRPr="009D452D">
        <w:rPr>
          <w:rFonts w:ascii="Times New Roman" w:hAnsi="Times New Roman" w:cs="Times New Roman"/>
          <w:sz w:val="24"/>
          <w:szCs w:val="24"/>
        </w:rPr>
        <w:t xml:space="preserve">tikrinant </w:t>
      </w:r>
      <w:r w:rsidR="003B76C1" w:rsidRPr="009D452D">
        <w:rPr>
          <w:rFonts w:ascii="Times New Roman" w:hAnsi="Times New Roman" w:cs="Times New Roman"/>
          <w:sz w:val="24"/>
          <w:szCs w:val="24"/>
        </w:rPr>
        <w:t>projektų vykdytojų realias išlaidas projektams įgyvendinti, t. y. tikrinami išlaidas pagrindžiantys (sąskaitos-faktūros) ir jų apmokėjimą patvirtinantys (banko sąskaitos išrašai) dokumentai.</w:t>
      </w:r>
    </w:p>
    <w:p w14:paraId="5A388716" w14:textId="440620A5" w:rsidR="009D631B" w:rsidRPr="009D452D"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w:t>
      </w:r>
      <w:r w:rsidR="00606DCF" w:rsidRPr="009D452D">
        <w:rPr>
          <w:rFonts w:ascii="Times New Roman" w:hAnsi="Times New Roman" w:cs="Times New Roman"/>
          <w:sz w:val="24"/>
          <w:szCs w:val="24"/>
        </w:rPr>
        <w:t>4.1</w:t>
      </w:r>
      <w:r w:rsidR="009D631B" w:rsidRPr="009D452D">
        <w:rPr>
          <w:rFonts w:ascii="Times New Roman" w:hAnsi="Times New Roman" w:cs="Times New Roman"/>
          <w:sz w:val="24"/>
          <w:szCs w:val="24"/>
        </w:rPr>
        <w:t>. Pirmojo tyrimo vykdymo etapo metu surinkti ir susisteminti duomenys apie projektų tinkamas finansuoti išlaidas pagal VP2-1.3-ŪM-05-K priemonę „Inočekiai LT“</w:t>
      </w:r>
      <w:r w:rsidR="007E4A4B" w:rsidRPr="009D452D">
        <w:rPr>
          <w:rFonts w:ascii="Times New Roman" w:hAnsi="Times New Roman" w:cs="Times New Roman"/>
          <w:sz w:val="24"/>
          <w:szCs w:val="24"/>
        </w:rPr>
        <w:t>, remiantis komerciniais pasiūlymais ir projektų vykdytojų sutartimis su mokslo ir studijų institucijomis</w:t>
      </w:r>
      <w:r w:rsidR="009D631B" w:rsidRPr="009D452D">
        <w:rPr>
          <w:rFonts w:ascii="Times New Roman" w:hAnsi="Times New Roman" w:cs="Times New Roman"/>
          <w:sz w:val="24"/>
          <w:szCs w:val="24"/>
        </w:rPr>
        <w:t>.</w:t>
      </w:r>
      <w:r w:rsidR="000B7A01" w:rsidRPr="009D452D">
        <w:rPr>
          <w:rFonts w:ascii="Times New Roman" w:hAnsi="Times New Roman" w:cs="Times New Roman"/>
          <w:sz w:val="24"/>
          <w:szCs w:val="24"/>
        </w:rPr>
        <w:t xml:space="preserve"> 1 ir 2 i</w:t>
      </w:r>
      <w:r w:rsidR="003558BA">
        <w:rPr>
          <w:rFonts w:ascii="Times New Roman" w:hAnsi="Times New Roman" w:cs="Times New Roman"/>
          <w:sz w:val="24"/>
          <w:szCs w:val="24"/>
        </w:rPr>
        <w:t>šlaidų kategorijoms suskaičiuotos bendros</w:t>
      </w:r>
      <w:r w:rsidR="000B7A01" w:rsidRPr="009D452D">
        <w:rPr>
          <w:rFonts w:ascii="Times New Roman" w:hAnsi="Times New Roman" w:cs="Times New Roman"/>
          <w:sz w:val="24"/>
          <w:szCs w:val="24"/>
        </w:rPr>
        <w:t xml:space="preserve"> tinkamų finansuoti išlaidų vidutinė</w:t>
      </w:r>
      <w:r w:rsidR="003558BA">
        <w:rPr>
          <w:rFonts w:ascii="Times New Roman" w:hAnsi="Times New Roman" w:cs="Times New Roman"/>
          <w:sz w:val="24"/>
          <w:szCs w:val="24"/>
        </w:rPr>
        <w:t>s</w:t>
      </w:r>
      <w:r w:rsidR="000B7A01" w:rsidRPr="009D452D">
        <w:rPr>
          <w:rFonts w:ascii="Times New Roman" w:hAnsi="Times New Roman" w:cs="Times New Roman"/>
          <w:sz w:val="24"/>
          <w:szCs w:val="24"/>
        </w:rPr>
        <w:t xml:space="preserve"> reikšmė</w:t>
      </w:r>
      <w:r w:rsidR="003558BA">
        <w:rPr>
          <w:rFonts w:ascii="Times New Roman" w:hAnsi="Times New Roman" w:cs="Times New Roman"/>
          <w:sz w:val="24"/>
          <w:szCs w:val="24"/>
        </w:rPr>
        <w:t>s (medianos</w:t>
      </w:r>
      <w:r w:rsidR="000B7A01" w:rsidRPr="009D452D">
        <w:rPr>
          <w:rFonts w:ascii="Times New Roman" w:hAnsi="Times New Roman" w:cs="Times New Roman"/>
          <w:sz w:val="24"/>
          <w:szCs w:val="24"/>
        </w:rPr>
        <w:t>)</w:t>
      </w:r>
      <w:r w:rsidR="00012CE6">
        <w:rPr>
          <w:rFonts w:ascii="Times New Roman" w:hAnsi="Times New Roman" w:cs="Times New Roman"/>
          <w:sz w:val="24"/>
          <w:szCs w:val="24"/>
        </w:rPr>
        <w:t>,</w:t>
      </w:r>
      <w:r w:rsidR="000B7A01" w:rsidRPr="009D452D">
        <w:rPr>
          <w:rFonts w:ascii="Times New Roman" w:hAnsi="Times New Roman" w:cs="Times New Roman"/>
          <w:sz w:val="24"/>
          <w:szCs w:val="24"/>
        </w:rPr>
        <w:t xml:space="preserve"> kai pridėtinės vertės mokestis (toliau – PVM) yra netinkamas finansuoti ir kai PVM yra tinkamas finansuoti. </w:t>
      </w:r>
      <w:r w:rsidR="00132EF5" w:rsidRPr="009D452D">
        <w:rPr>
          <w:rFonts w:ascii="Times New Roman" w:hAnsi="Times New Roman" w:cs="Times New Roman"/>
          <w:sz w:val="24"/>
          <w:szCs w:val="24"/>
        </w:rPr>
        <w:t>Pirmojo tyrimo vykdymo etapo metu</w:t>
      </w:r>
      <w:r w:rsidR="00A136A8" w:rsidRPr="009D452D">
        <w:rPr>
          <w:rFonts w:ascii="Times New Roman" w:hAnsi="Times New Roman" w:cs="Times New Roman"/>
          <w:sz w:val="24"/>
          <w:szCs w:val="24"/>
        </w:rPr>
        <w:t xml:space="preserve"> imtis atitinka populiaciją, t. y.</w:t>
      </w:r>
      <w:r w:rsidR="00C2443C" w:rsidRPr="009D452D">
        <w:rPr>
          <w:rFonts w:ascii="Times New Roman" w:hAnsi="Times New Roman" w:cs="Times New Roman"/>
          <w:sz w:val="24"/>
          <w:szCs w:val="24"/>
        </w:rPr>
        <w:t xml:space="preserve"> 1 išlaidų kategorijos imtis 127</w:t>
      </w:r>
      <w:r w:rsidR="00A136A8" w:rsidRPr="009D452D">
        <w:rPr>
          <w:rFonts w:ascii="Times New Roman" w:hAnsi="Times New Roman" w:cs="Times New Roman"/>
          <w:sz w:val="24"/>
          <w:szCs w:val="24"/>
        </w:rPr>
        <w:t xml:space="preserve"> projektai, 2 išl</w:t>
      </w:r>
      <w:r w:rsidR="00C2443C" w:rsidRPr="009D452D">
        <w:rPr>
          <w:rFonts w:ascii="Times New Roman" w:hAnsi="Times New Roman" w:cs="Times New Roman"/>
          <w:sz w:val="24"/>
          <w:szCs w:val="24"/>
        </w:rPr>
        <w:t>aidų kategorijos – 549</w:t>
      </w:r>
      <w:r w:rsidR="00A136A8" w:rsidRPr="009D452D">
        <w:rPr>
          <w:rFonts w:ascii="Times New Roman" w:hAnsi="Times New Roman" w:cs="Times New Roman"/>
          <w:sz w:val="24"/>
          <w:szCs w:val="24"/>
        </w:rPr>
        <w:t xml:space="preserve"> projektų.</w:t>
      </w:r>
      <w:r w:rsidR="00132EF5" w:rsidRPr="009D452D">
        <w:rPr>
          <w:rFonts w:ascii="Times New Roman" w:hAnsi="Times New Roman" w:cs="Times New Roman"/>
          <w:sz w:val="24"/>
          <w:szCs w:val="24"/>
        </w:rPr>
        <w:t xml:space="preserve"> </w:t>
      </w:r>
      <w:r w:rsidR="000B7A01" w:rsidRPr="009D452D">
        <w:rPr>
          <w:rFonts w:ascii="Times New Roman" w:hAnsi="Times New Roman" w:cs="Times New Roman"/>
          <w:sz w:val="24"/>
          <w:szCs w:val="24"/>
        </w:rPr>
        <w:t>Apibendrinti</w:t>
      </w:r>
      <w:r w:rsidR="001D65BC" w:rsidRPr="009D452D">
        <w:rPr>
          <w:rFonts w:ascii="Times New Roman" w:hAnsi="Times New Roman" w:cs="Times New Roman"/>
          <w:sz w:val="24"/>
          <w:szCs w:val="24"/>
        </w:rPr>
        <w:t xml:space="preserve"> </w:t>
      </w:r>
      <w:r w:rsidR="000B7A01" w:rsidRPr="009D452D">
        <w:rPr>
          <w:rFonts w:ascii="Times New Roman" w:hAnsi="Times New Roman" w:cs="Times New Roman"/>
          <w:sz w:val="24"/>
          <w:szCs w:val="24"/>
        </w:rPr>
        <w:t xml:space="preserve">skaičiavimo rezultatai </w:t>
      </w:r>
      <w:r w:rsidR="00DB57EA" w:rsidRPr="009D452D">
        <w:rPr>
          <w:rFonts w:ascii="Times New Roman" w:hAnsi="Times New Roman" w:cs="Times New Roman"/>
          <w:sz w:val="24"/>
          <w:szCs w:val="24"/>
        </w:rPr>
        <w:t>pateikti 1 lentelėje</w:t>
      </w:r>
      <w:r w:rsidR="00BD4334" w:rsidRPr="009D452D">
        <w:rPr>
          <w:rFonts w:ascii="Times New Roman" w:hAnsi="Times New Roman" w:cs="Times New Roman"/>
          <w:sz w:val="24"/>
          <w:szCs w:val="24"/>
        </w:rPr>
        <w:t xml:space="preserve"> (detalūs skaičiavimai pateikti 1 priede, siekiant išlaikyti pateiktų duomenų konfidencialumą, projekto vykdytojams suteikti unikalūs numeriai – „1E-ID“)</w:t>
      </w:r>
    </w:p>
    <w:p w14:paraId="755C7454" w14:textId="0F4EA3FA" w:rsidR="009D452D" w:rsidRDefault="009D452D" w:rsidP="009D452D">
      <w:pPr>
        <w:spacing w:after="0" w:line="240" w:lineRule="auto"/>
        <w:jc w:val="center"/>
        <w:rPr>
          <w:rFonts w:ascii="Times New Roman" w:hAnsi="Times New Roman" w:cs="Times New Roman"/>
          <w:b/>
          <w:sz w:val="24"/>
          <w:szCs w:val="24"/>
        </w:rPr>
      </w:pPr>
    </w:p>
    <w:p w14:paraId="56F55B60" w14:textId="30D0B0FE" w:rsidR="00A94B55" w:rsidRDefault="00A94B55" w:rsidP="009D452D">
      <w:pPr>
        <w:spacing w:after="0" w:line="240" w:lineRule="auto"/>
        <w:jc w:val="center"/>
        <w:rPr>
          <w:rFonts w:ascii="Times New Roman" w:hAnsi="Times New Roman" w:cs="Times New Roman"/>
          <w:b/>
          <w:sz w:val="24"/>
          <w:szCs w:val="24"/>
        </w:rPr>
      </w:pPr>
    </w:p>
    <w:p w14:paraId="5122BED6" w14:textId="033235CF" w:rsidR="00A94B55" w:rsidRDefault="00A94B55" w:rsidP="009D452D">
      <w:pPr>
        <w:spacing w:after="0" w:line="240" w:lineRule="auto"/>
        <w:jc w:val="center"/>
        <w:rPr>
          <w:rFonts w:ascii="Times New Roman" w:hAnsi="Times New Roman" w:cs="Times New Roman"/>
          <w:b/>
          <w:sz w:val="24"/>
          <w:szCs w:val="24"/>
        </w:rPr>
      </w:pPr>
    </w:p>
    <w:p w14:paraId="3846EB84" w14:textId="77777777" w:rsidR="00A94B55" w:rsidRDefault="00A94B55" w:rsidP="009D452D">
      <w:pPr>
        <w:spacing w:after="0" w:line="240" w:lineRule="auto"/>
        <w:jc w:val="center"/>
        <w:rPr>
          <w:rFonts w:ascii="Times New Roman" w:hAnsi="Times New Roman" w:cs="Times New Roman"/>
          <w:b/>
          <w:sz w:val="24"/>
          <w:szCs w:val="24"/>
        </w:rPr>
      </w:pPr>
    </w:p>
    <w:p w14:paraId="605A1D8B" w14:textId="420FDB4A" w:rsidR="00DB57EA" w:rsidRPr="009D452D" w:rsidRDefault="00B35CF3" w:rsidP="009D452D">
      <w:pPr>
        <w:spacing w:after="0" w:line="240" w:lineRule="auto"/>
        <w:jc w:val="center"/>
        <w:rPr>
          <w:rFonts w:ascii="Times New Roman" w:hAnsi="Times New Roman" w:cs="Times New Roman"/>
          <w:sz w:val="24"/>
          <w:szCs w:val="24"/>
        </w:rPr>
      </w:pPr>
      <w:r w:rsidRPr="009D452D">
        <w:rPr>
          <w:rFonts w:ascii="Times New Roman" w:hAnsi="Times New Roman" w:cs="Times New Roman"/>
          <w:b/>
          <w:sz w:val="24"/>
          <w:szCs w:val="24"/>
        </w:rPr>
        <w:t>1 lentelė.</w:t>
      </w:r>
      <w:r w:rsidRPr="009D452D">
        <w:rPr>
          <w:rFonts w:ascii="Times New Roman" w:hAnsi="Times New Roman" w:cs="Times New Roman"/>
          <w:sz w:val="24"/>
          <w:szCs w:val="24"/>
        </w:rPr>
        <w:t xml:space="preserve"> Apibendrinti fiksuotųjų sumų skaičiavimo rezultatai.</w:t>
      </w:r>
    </w:p>
    <w:tbl>
      <w:tblPr>
        <w:tblW w:w="8926" w:type="dxa"/>
        <w:jc w:val="center"/>
        <w:tblLook w:val="04A0" w:firstRow="1" w:lastRow="0" w:firstColumn="1" w:lastColumn="0" w:noHBand="0" w:noVBand="1"/>
      </w:tblPr>
      <w:tblGrid>
        <w:gridCol w:w="1720"/>
        <w:gridCol w:w="3237"/>
        <w:gridCol w:w="2126"/>
        <w:gridCol w:w="1843"/>
      </w:tblGrid>
      <w:tr w:rsidR="000C224B" w:rsidRPr="009D452D" w14:paraId="39474978" w14:textId="77777777" w:rsidTr="000C224B">
        <w:trPr>
          <w:trHeight w:val="495"/>
          <w:jc w:val="center"/>
        </w:trPr>
        <w:tc>
          <w:tcPr>
            <w:tcW w:w="172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800F051" w14:textId="77777777" w:rsidR="000C224B" w:rsidRPr="009D452D" w:rsidRDefault="000C224B" w:rsidP="009D452D">
            <w:pPr>
              <w:spacing w:after="0" w:line="240" w:lineRule="auto"/>
              <w:rPr>
                <w:rFonts w:ascii="Times New Roman" w:eastAsia="Times New Roman" w:hAnsi="Times New Roman" w:cs="Times New Roman"/>
                <w:color w:val="000000"/>
                <w:sz w:val="24"/>
                <w:szCs w:val="24"/>
                <w:lang w:eastAsia="lt-LT"/>
              </w:rPr>
            </w:pPr>
            <w:r w:rsidRPr="009D452D">
              <w:rPr>
                <w:rFonts w:ascii="Times New Roman" w:eastAsia="Times New Roman" w:hAnsi="Times New Roman" w:cs="Times New Roman"/>
                <w:color w:val="000000"/>
                <w:sz w:val="24"/>
                <w:szCs w:val="24"/>
                <w:lang w:eastAsia="lt-LT"/>
              </w:rPr>
              <w:t> </w:t>
            </w:r>
          </w:p>
        </w:tc>
        <w:tc>
          <w:tcPr>
            <w:tcW w:w="3237" w:type="dxa"/>
            <w:tcBorders>
              <w:top w:val="single" w:sz="4" w:space="0" w:color="auto"/>
              <w:left w:val="nil"/>
              <w:bottom w:val="single" w:sz="4" w:space="0" w:color="auto"/>
              <w:right w:val="single" w:sz="4" w:space="0" w:color="auto"/>
            </w:tcBorders>
            <w:shd w:val="clear" w:color="000000" w:fill="000000"/>
            <w:noWrap/>
            <w:vAlign w:val="center"/>
            <w:hideMark/>
          </w:tcPr>
          <w:p w14:paraId="67102565" w14:textId="77777777" w:rsidR="000C224B" w:rsidRPr="009D452D" w:rsidRDefault="000C224B" w:rsidP="009D452D">
            <w:pPr>
              <w:spacing w:after="0" w:line="240" w:lineRule="auto"/>
              <w:jc w:val="center"/>
              <w:rPr>
                <w:rFonts w:ascii="Times New Roman" w:eastAsia="Times New Roman" w:hAnsi="Times New Roman" w:cs="Times New Roman"/>
                <w:color w:val="FFFFFF"/>
                <w:sz w:val="24"/>
                <w:szCs w:val="24"/>
                <w:lang w:eastAsia="lt-LT"/>
              </w:rPr>
            </w:pPr>
            <w:r w:rsidRPr="009D452D">
              <w:rPr>
                <w:rFonts w:ascii="Times New Roman" w:eastAsia="Times New Roman" w:hAnsi="Times New Roman" w:cs="Times New Roman"/>
                <w:color w:val="FFFFFF"/>
                <w:sz w:val="24"/>
                <w:szCs w:val="24"/>
                <w:lang w:eastAsia="lt-LT"/>
              </w:rPr>
              <w:t>Išlaidų kategorija</w:t>
            </w:r>
          </w:p>
        </w:tc>
        <w:tc>
          <w:tcPr>
            <w:tcW w:w="2126" w:type="dxa"/>
            <w:tcBorders>
              <w:top w:val="single" w:sz="4" w:space="0" w:color="auto"/>
              <w:left w:val="nil"/>
              <w:bottom w:val="single" w:sz="4" w:space="0" w:color="auto"/>
              <w:right w:val="single" w:sz="4" w:space="0" w:color="auto"/>
            </w:tcBorders>
            <w:shd w:val="clear" w:color="000000" w:fill="000000"/>
            <w:noWrap/>
            <w:vAlign w:val="center"/>
            <w:hideMark/>
          </w:tcPr>
          <w:p w14:paraId="717788F4" w14:textId="37EF20A0" w:rsidR="000C224B" w:rsidRPr="009D452D" w:rsidRDefault="000C224B" w:rsidP="009D452D">
            <w:pPr>
              <w:spacing w:after="0" w:line="240" w:lineRule="auto"/>
              <w:jc w:val="center"/>
              <w:rPr>
                <w:rFonts w:ascii="Times New Roman" w:eastAsia="Times New Roman" w:hAnsi="Times New Roman" w:cs="Times New Roman"/>
                <w:color w:val="FFFFFF"/>
                <w:sz w:val="24"/>
                <w:szCs w:val="24"/>
                <w:lang w:eastAsia="lt-LT"/>
              </w:rPr>
            </w:pPr>
            <w:r w:rsidRPr="009D452D">
              <w:rPr>
                <w:rFonts w:ascii="Times New Roman" w:eastAsia="Times New Roman" w:hAnsi="Times New Roman" w:cs="Times New Roman"/>
                <w:color w:val="FFFFFF"/>
                <w:sz w:val="24"/>
                <w:szCs w:val="24"/>
                <w:lang w:eastAsia="lt-LT"/>
              </w:rPr>
              <w:t>Fiksuotoji suma, kai PVM yra netinkamas finansuoti</w:t>
            </w:r>
          </w:p>
        </w:tc>
        <w:tc>
          <w:tcPr>
            <w:tcW w:w="1843" w:type="dxa"/>
            <w:tcBorders>
              <w:top w:val="single" w:sz="4" w:space="0" w:color="auto"/>
              <w:left w:val="nil"/>
              <w:bottom w:val="single" w:sz="4" w:space="0" w:color="auto"/>
              <w:right w:val="single" w:sz="4" w:space="0" w:color="auto"/>
            </w:tcBorders>
            <w:shd w:val="clear" w:color="000000" w:fill="000000"/>
            <w:noWrap/>
            <w:vAlign w:val="center"/>
            <w:hideMark/>
          </w:tcPr>
          <w:p w14:paraId="11CDDCBF" w14:textId="0819AFEA" w:rsidR="000C224B" w:rsidRPr="009D452D" w:rsidRDefault="000C224B" w:rsidP="009D452D">
            <w:pPr>
              <w:spacing w:after="0" w:line="240" w:lineRule="auto"/>
              <w:jc w:val="center"/>
              <w:rPr>
                <w:rFonts w:ascii="Times New Roman" w:eastAsia="Times New Roman" w:hAnsi="Times New Roman" w:cs="Times New Roman"/>
                <w:color w:val="FFFFFF"/>
                <w:sz w:val="24"/>
                <w:szCs w:val="24"/>
                <w:lang w:eastAsia="lt-LT"/>
              </w:rPr>
            </w:pPr>
            <w:r w:rsidRPr="009D452D">
              <w:rPr>
                <w:rFonts w:ascii="Times New Roman" w:eastAsia="Times New Roman" w:hAnsi="Times New Roman" w:cs="Times New Roman"/>
                <w:color w:val="FFFFFF"/>
                <w:sz w:val="24"/>
                <w:szCs w:val="24"/>
                <w:lang w:eastAsia="lt-LT"/>
              </w:rPr>
              <w:t>Fiksuotoji suma, kai PVM yra tinkamas finansuoti</w:t>
            </w:r>
          </w:p>
        </w:tc>
      </w:tr>
      <w:tr w:rsidR="000C224B" w:rsidRPr="009D452D" w14:paraId="658DE615" w14:textId="77777777" w:rsidTr="00970972">
        <w:trPr>
          <w:trHeight w:val="900"/>
          <w:jc w:val="center"/>
        </w:trPr>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7EDA5BC7" w14:textId="0DDB19BA" w:rsidR="000C224B" w:rsidRPr="009D452D" w:rsidRDefault="000C224B" w:rsidP="009D452D">
            <w:pPr>
              <w:spacing w:after="0" w:line="240" w:lineRule="auto"/>
              <w:jc w:val="center"/>
              <w:rPr>
                <w:rFonts w:ascii="Times New Roman" w:eastAsia="Times New Roman" w:hAnsi="Times New Roman" w:cs="Times New Roman"/>
                <w:color w:val="000000"/>
                <w:sz w:val="24"/>
                <w:szCs w:val="24"/>
                <w:lang w:eastAsia="lt-LT"/>
              </w:rPr>
            </w:pPr>
            <w:r w:rsidRPr="009D452D">
              <w:rPr>
                <w:rFonts w:ascii="Times New Roman" w:eastAsia="Times New Roman" w:hAnsi="Times New Roman" w:cs="Times New Roman"/>
                <w:color w:val="000000"/>
                <w:sz w:val="24"/>
                <w:szCs w:val="24"/>
                <w:lang w:eastAsia="lt-LT"/>
              </w:rPr>
              <w:t>Išlaidos, nustatytos pirmojo tyrimo vykdymo etapo metu, Eur.</w:t>
            </w:r>
          </w:p>
        </w:tc>
        <w:tc>
          <w:tcPr>
            <w:tcW w:w="3237" w:type="dxa"/>
            <w:tcBorders>
              <w:top w:val="nil"/>
              <w:left w:val="nil"/>
              <w:bottom w:val="single" w:sz="4" w:space="0" w:color="auto"/>
              <w:right w:val="single" w:sz="4" w:space="0" w:color="auto"/>
            </w:tcBorders>
            <w:shd w:val="clear" w:color="auto" w:fill="auto"/>
            <w:vAlign w:val="center"/>
            <w:hideMark/>
          </w:tcPr>
          <w:p w14:paraId="19FFE3AC" w14:textId="77777777" w:rsidR="000C224B" w:rsidRPr="009D452D" w:rsidRDefault="000C224B" w:rsidP="009D452D">
            <w:pPr>
              <w:spacing w:after="0" w:line="240" w:lineRule="auto"/>
              <w:rPr>
                <w:rFonts w:ascii="Times New Roman" w:eastAsia="Times New Roman" w:hAnsi="Times New Roman" w:cs="Times New Roman"/>
                <w:color w:val="000000"/>
                <w:sz w:val="24"/>
                <w:szCs w:val="24"/>
                <w:lang w:eastAsia="lt-LT"/>
              </w:rPr>
            </w:pPr>
            <w:r w:rsidRPr="009D452D">
              <w:rPr>
                <w:rFonts w:ascii="Times New Roman" w:eastAsia="Times New Roman" w:hAnsi="Times New Roman" w:cs="Times New Roman"/>
                <w:color w:val="000000"/>
                <w:sz w:val="24"/>
                <w:szCs w:val="24"/>
                <w:lang w:eastAsia="lt-LT"/>
              </w:rPr>
              <w:t>Techninių galimybių studijų (</w:t>
            </w:r>
            <w:r w:rsidRPr="009D452D">
              <w:rPr>
                <w:rFonts w:ascii="Times New Roman" w:eastAsia="Times New Roman" w:hAnsi="Times New Roman" w:cs="Times New Roman"/>
                <w:b/>
                <w:bCs/>
                <w:color w:val="000000"/>
                <w:sz w:val="24"/>
                <w:szCs w:val="24"/>
                <w:lang w:eastAsia="lt-LT"/>
              </w:rPr>
              <w:t>TGS</w:t>
            </w:r>
            <w:r w:rsidRPr="009D452D">
              <w:rPr>
                <w:rFonts w:ascii="Times New Roman" w:eastAsia="Times New Roman" w:hAnsi="Times New Roman" w:cs="Times New Roman"/>
                <w:color w:val="000000"/>
                <w:sz w:val="24"/>
                <w:szCs w:val="24"/>
                <w:lang w:eastAsia="lt-LT"/>
              </w:rPr>
              <w:t>) parengimo įsigijimo iš mokslo ir studijų institucijų išlaidos</w:t>
            </w:r>
          </w:p>
        </w:tc>
        <w:tc>
          <w:tcPr>
            <w:tcW w:w="2126" w:type="dxa"/>
            <w:tcBorders>
              <w:top w:val="nil"/>
              <w:left w:val="nil"/>
              <w:bottom w:val="single" w:sz="4" w:space="0" w:color="auto"/>
              <w:right w:val="single" w:sz="4" w:space="0" w:color="auto"/>
            </w:tcBorders>
            <w:shd w:val="clear" w:color="auto" w:fill="auto"/>
            <w:noWrap/>
            <w:vAlign w:val="center"/>
            <w:hideMark/>
          </w:tcPr>
          <w:p w14:paraId="08CDF310" w14:textId="320BC137" w:rsidR="000C224B" w:rsidRPr="009D452D" w:rsidRDefault="0009091E" w:rsidP="009D452D">
            <w:pPr>
              <w:spacing w:after="0" w:line="240" w:lineRule="auto"/>
              <w:jc w:val="center"/>
              <w:rPr>
                <w:rFonts w:ascii="Times New Roman" w:eastAsia="Times New Roman" w:hAnsi="Times New Roman" w:cs="Times New Roman"/>
                <w:b/>
                <w:bCs/>
                <w:color w:val="000000"/>
                <w:sz w:val="24"/>
                <w:szCs w:val="24"/>
                <w:highlight w:val="yellow"/>
                <w:lang w:eastAsia="lt-LT"/>
              </w:rPr>
            </w:pPr>
            <w:r w:rsidRPr="009D452D">
              <w:rPr>
                <w:rFonts w:ascii="Times New Roman" w:eastAsia="Times New Roman" w:hAnsi="Times New Roman" w:cs="Times New Roman"/>
                <w:b/>
                <w:bCs/>
                <w:color w:val="000000"/>
                <w:sz w:val="24"/>
                <w:szCs w:val="24"/>
                <w:lang w:eastAsia="lt-LT"/>
              </w:rPr>
              <w:t>4576,00</w:t>
            </w:r>
          </w:p>
        </w:tc>
        <w:tc>
          <w:tcPr>
            <w:tcW w:w="1843" w:type="dxa"/>
            <w:tcBorders>
              <w:top w:val="nil"/>
              <w:left w:val="nil"/>
              <w:bottom w:val="single" w:sz="4" w:space="0" w:color="auto"/>
              <w:right w:val="single" w:sz="4" w:space="0" w:color="auto"/>
            </w:tcBorders>
            <w:shd w:val="clear" w:color="auto" w:fill="auto"/>
            <w:noWrap/>
            <w:vAlign w:val="center"/>
            <w:hideMark/>
          </w:tcPr>
          <w:p w14:paraId="5FF25B6B" w14:textId="3DC5BA25" w:rsidR="000C224B" w:rsidRPr="009D452D" w:rsidRDefault="0009091E" w:rsidP="009D452D">
            <w:pPr>
              <w:spacing w:after="0" w:line="240" w:lineRule="auto"/>
              <w:jc w:val="center"/>
              <w:rPr>
                <w:rFonts w:ascii="Times New Roman" w:eastAsia="Times New Roman" w:hAnsi="Times New Roman" w:cs="Times New Roman"/>
                <w:b/>
                <w:color w:val="000000"/>
                <w:sz w:val="24"/>
                <w:szCs w:val="24"/>
                <w:highlight w:val="yellow"/>
                <w:lang w:eastAsia="lt-LT"/>
              </w:rPr>
            </w:pPr>
            <w:r w:rsidRPr="009D452D">
              <w:rPr>
                <w:rFonts w:ascii="Times New Roman" w:eastAsia="Times New Roman" w:hAnsi="Times New Roman" w:cs="Times New Roman"/>
                <w:b/>
                <w:color w:val="000000"/>
                <w:sz w:val="24"/>
                <w:szCs w:val="24"/>
                <w:lang w:eastAsia="lt-LT"/>
              </w:rPr>
              <w:t>5536.96</w:t>
            </w:r>
          </w:p>
        </w:tc>
      </w:tr>
      <w:tr w:rsidR="000C224B" w:rsidRPr="009D452D" w14:paraId="06DB6A1C" w14:textId="77777777" w:rsidTr="00970972">
        <w:trPr>
          <w:trHeight w:val="900"/>
          <w:jc w:val="center"/>
        </w:trPr>
        <w:tc>
          <w:tcPr>
            <w:tcW w:w="1720" w:type="dxa"/>
            <w:vMerge/>
            <w:tcBorders>
              <w:top w:val="nil"/>
              <w:left w:val="single" w:sz="4" w:space="0" w:color="auto"/>
              <w:bottom w:val="single" w:sz="4" w:space="0" w:color="auto"/>
              <w:right w:val="single" w:sz="4" w:space="0" w:color="auto"/>
            </w:tcBorders>
            <w:shd w:val="clear" w:color="auto" w:fill="auto"/>
            <w:vAlign w:val="center"/>
            <w:hideMark/>
          </w:tcPr>
          <w:p w14:paraId="0FC08FDE" w14:textId="77777777" w:rsidR="000C224B" w:rsidRPr="009D452D" w:rsidRDefault="000C224B" w:rsidP="009D452D">
            <w:pPr>
              <w:spacing w:after="0" w:line="240" w:lineRule="auto"/>
              <w:jc w:val="center"/>
              <w:rPr>
                <w:rFonts w:ascii="Times New Roman" w:eastAsia="Times New Roman" w:hAnsi="Times New Roman" w:cs="Times New Roman"/>
                <w:color w:val="000000"/>
                <w:sz w:val="24"/>
                <w:szCs w:val="24"/>
                <w:lang w:eastAsia="lt-LT"/>
              </w:rPr>
            </w:pPr>
          </w:p>
        </w:tc>
        <w:tc>
          <w:tcPr>
            <w:tcW w:w="3237" w:type="dxa"/>
            <w:tcBorders>
              <w:top w:val="nil"/>
              <w:left w:val="nil"/>
              <w:bottom w:val="single" w:sz="4" w:space="0" w:color="auto"/>
              <w:right w:val="single" w:sz="4" w:space="0" w:color="auto"/>
            </w:tcBorders>
            <w:shd w:val="clear" w:color="auto" w:fill="auto"/>
            <w:vAlign w:val="center"/>
            <w:hideMark/>
          </w:tcPr>
          <w:p w14:paraId="695C0220" w14:textId="77777777" w:rsidR="000C224B" w:rsidRPr="009D452D" w:rsidRDefault="000C224B" w:rsidP="009D452D">
            <w:pPr>
              <w:spacing w:after="0" w:line="240" w:lineRule="auto"/>
              <w:rPr>
                <w:rFonts w:ascii="Times New Roman" w:eastAsia="Times New Roman" w:hAnsi="Times New Roman" w:cs="Times New Roman"/>
                <w:color w:val="000000"/>
                <w:sz w:val="24"/>
                <w:szCs w:val="24"/>
                <w:lang w:eastAsia="lt-LT"/>
              </w:rPr>
            </w:pPr>
            <w:r w:rsidRPr="009D452D">
              <w:rPr>
                <w:rFonts w:ascii="Times New Roman" w:eastAsia="Times New Roman" w:hAnsi="Times New Roman" w:cs="Times New Roman"/>
                <w:color w:val="000000"/>
                <w:sz w:val="24"/>
                <w:szCs w:val="24"/>
                <w:lang w:eastAsia="lt-LT"/>
              </w:rPr>
              <w:t xml:space="preserve">Ankstyvosios stadijos </w:t>
            </w:r>
            <w:r w:rsidRPr="009D452D">
              <w:rPr>
                <w:rFonts w:ascii="Times New Roman" w:eastAsia="Times New Roman" w:hAnsi="Times New Roman" w:cs="Times New Roman"/>
                <w:b/>
                <w:bCs/>
                <w:color w:val="000000"/>
                <w:sz w:val="24"/>
                <w:szCs w:val="24"/>
                <w:lang w:eastAsia="lt-LT"/>
              </w:rPr>
              <w:t>MTEP</w:t>
            </w:r>
            <w:r w:rsidRPr="009D452D">
              <w:rPr>
                <w:rFonts w:ascii="Times New Roman" w:eastAsia="Times New Roman" w:hAnsi="Times New Roman" w:cs="Times New Roman"/>
                <w:color w:val="000000"/>
                <w:sz w:val="24"/>
                <w:szCs w:val="24"/>
                <w:lang w:eastAsia="lt-LT"/>
              </w:rPr>
              <w:t xml:space="preserve"> paslaugų įsigijimo iš mokslo ir studijų institucijų išlaidos</w:t>
            </w:r>
          </w:p>
        </w:tc>
        <w:tc>
          <w:tcPr>
            <w:tcW w:w="2126" w:type="dxa"/>
            <w:tcBorders>
              <w:top w:val="nil"/>
              <w:left w:val="nil"/>
              <w:bottom w:val="single" w:sz="4" w:space="0" w:color="auto"/>
              <w:right w:val="single" w:sz="4" w:space="0" w:color="auto"/>
            </w:tcBorders>
            <w:shd w:val="clear" w:color="auto" w:fill="auto"/>
            <w:noWrap/>
            <w:vAlign w:val="center"/>
            <w:hideMark/>
          </w:tcPr>
          <w:p w14:paraId="09CA7499" w14:textId="7E2C9D48" w:rsidR="000C224B" w:rsidRPr="009D452D" w:rsidRDefault="0009091E" w:rsidP="009D452D">
            <w:pPr>
              <w:spacing w:after="0" w:line="240" w:lineRule="auto"/>
              <w:jc w:val="center"/>
              <w:rPr>
                <w:rFonts w:ascii="Times New Roman" w:eastAsia="Times New Roman" w:hAnsi="Times New Roman" w:cs="Times New Roman"/>
                <w:b/>
                <w:bCs/>
                <w:color w:val="000000"/>
                <w:sz w:val="24"/>
                <w:szCs w:val="24"/>
                <w:highlight w:val="yellow"/>
                <w:lang w:eastAsia="lt-LT"/>
              </w:rPr>
            </w:pPr>
            <w:r w:rsidRPr="009D452D">
              <w:rPr>
                <w:rFonts w:ascii="Times New Roman" w:eastAsia="Times New Roman" w:hAnsi="Times New Roman" w:cs="Times New Roman"/>
                <w:b/>
                <w:bCs/>
                <w:color w:val="000000"/>
                <w:sz w:val="24"/>
                <w:szCs w:val="24"/>
                <w:lang w:eastAsia="lt-LT"/>
              </w:rPr>
              <w:t>4609,59</w:t>
            </w:r>
          </w:p>
        </w:tc>
        <w:tc>
          <w:tcPr>
            <w:tcW w:w="1843" w:type="dxa"/>
            <w:tcBorders>
              <w:top w:val="nil"/>
              <w:left w:val="nil"/>
              <w:bottom w:val="single" w:sz="4" w:space="0" w:color="auto"/>
              <w:right w:val="single" w:sz="4" w:space="0" w:color="auto"/>
            </w:tcBorders>
            <w:shd w:val="clear" w:color="auto" w:fill="auto"/>
            <w:noWrap/>
            <w:vAlign w:val="center"/>
            <w:hideMark/>
          </w:tcPr>
          <w:p w14:paraId="36E7C56F" w14:textId="35E4A150" w:rsidR="000C224B" w:rsidRPr="009D452D" w:rsidRDefault="0009091E" w:rsidP="009D452D">
            <w:pPr>
              <w:spacing w:after="0" w:line="240" w:lineRule="auto"/>
              <w:jc w:val="center"/>
              <w:rPr>
                <w:rFonts w:ascii="Times New Roman" w:eastAsia="Times New Roman" w:hAnsi="Times New Roman" w:cs="Times New Roman"/>
                <w:b/>
                <w:color w:val="000000"/>
                <w:sz w:val="24"/>
                <w:szCs w:val="24"/>
                <w:highlight w:val="yellow"/>
                <w:lang w:eastAsia="lt-LT"/>
              </w:rPr>
            </w:pPr>
            <w:r w:rsidRPr="009D452D">
              <w:rPr>
                <w:rFonts w:ascii="Times New Roman" w:eastAsia="Times New Roman" w:hAnsi="Times New Roman" w:cs="Times New Roman"/>
                <w:b/>
                <w:color w:val="000000"/>
                <w:sz w:val="24"/>
                <w:szCs w:val="24"/>
                <w:lang w:eastAsia="lt-LT"/>
              </w:rPr>
              <w:t>5577.60</w:t>
            </w:r>
          </w:p>
        </w:tc>
      </w:tr>
    </w:tbl>
    <w:p w14:paraId="08EB440D" w14:textId="77777777" w:rsidR="00B35CF3" w:rsidRPr="009D452D" w:rsidRDefault="00B35CF3" w:rsidP="009D452D">
      <w:pPr>
        <w:spacing w:after="0" w:line="240" w:lineRule="auto"/>
        <w:jc w:val="center"/>
        <w:rPr>
          <w:rFonts w:ascii="Times New Roman" w:hAnsi="Times New Roman" w:cs="Times New Roman"/>
          <w:sz w:val="24"/>
          <w:szCs w:val="24"/>
        </w:rPr>
      </w:pPr>
    </w:p>
    <w:p w14:paraId="7AD114C6" w14:textId="71F9E71F" w:rsidR="00D57CD9" w:rsidRPr="009D452D"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w:t>
      </w:r>
      <w:r w:rsidR="00606DCF" w:rsidRPr="009D452D">
        <w:rPr>
          <w:rFonts w:ascii="Times New Roman" w:hAnsi="Times New Roman" w:cs="Times New Roman"/>
          <w:sz w:val="24"/>
          <w:szCs w:val="24"/>
        </w:rPr>
        <w:t>4.2</w:t>
      </w:r>
      <w:r w:rsidR="00D57CD9" w:rsidRPr="009D452D">
        <w:rPr>
          <w:rFonts w:ascii="Times New Roman" w:hAnsi="Times New Roman" w:cs="Times New Roman"/>
          <w:sz w:val="24"/>
          <w:szCs w:val="24"/>
        </w:rPr>
        <w:t xml:space="preserve">. </w:t>
      </w:r>
      <w:r w:rsidR="00606DCF" w:rsidRPr="009D452D">
        <w:rPr>
          <w:rFonts w:ascii="Times New Roman" w:hAnsi="Times New Roman" w:cs="Times New Roman"/>
          <w:sz w:val="24"/>
          <w:szCs w:val="24"/>
        </w:rPr>
        <w:t xml:space="preserve">Antrojo tyrimo vykdymo etapo metu, </w:t>
      </w:r>
      <w:r w:rsidR="00D57CD9" w:rsidRPr="009D452D">
        <w:rPr>
          <w:rFonts w:ascii="Times New Roman" w:hAnsi="Times New Roman" w:cs="Times New Roman"/>
          <w:sz w:val="24"/>
          <w:szCs w:val="24"/>
        </w:rPr>
        <w:t>Tyrimo metodu pasirinktas istorinių duomenų patikrinimo metodas, tikrinant atsitiktinės atrankos būdu parinktų projektų vykdytojų realias išlaidas projektams įgyvendinti, t. y. tikrinam</w:t>
      </w:r>
      <w:r w:rsidR="00512144" w:rsidRPr="009D452D">
        <w:rPr>
          <w:rFonts w:ascii="Times New Roman" w:hAnsi="Times New Roman" w:cs="Times New Roman"/>
          <w:sz w:val="24"/>
          <w:szCs w:val="24"/>
        </w:rPr>
        <w:t>i</w:t>
      </w:r>
      <w:r w:rsidR="004B2A95" w:rsidRPr="009D452D">
        <w:rPr>
          <w:rFonts w:ascii="Times New Roman" w:hAnsi="Times New Roman" w:cs="Times New Roman"/>
          <w:sz w:val="24"/>
          <w:szCs w:val="24"/>
        </w:rPr>
        <w:t xml:space="preserve"> išlaidas pagrindžiantys</w:t>
      </w:r>
      <w:r w:rsidR="006772F6" w:rsidRPr="009D452D">
        <w:rPr>
          <w:rFonts w:ascii="Times New Roman" w:hAnsi="Times New Roman" w:cs="Times New Roman"/>
          <w:sz w:val="24"/>
          <w:szCs w:val="24"/>
        </w:rPr>
        <w:t xml:space="preserve"> (sąskaitos-faktūros) ir jų apmokėjimą patvirtinantys (banko </w:t>
      </w:r>
      <w:r w:rsidR="00FE62E4" w:rsidRPr="009D452D">
        <w:rPr>
          <w:rFonts w:ascii="Times New Roman" w:hAnsi="Times New Roman" w:cs="Times New Roman"/>
          <w:sz w:val="24"/>
          <w:szCs w:val="24"/>
        </w:rPr>
        <w:t xml:space="preserve">sąskaitos </w:t>
      </w:r>
      <w:r w:rsidR="006772F6" w:rsidRPr="009D452D">
        <w:rPr>
          <w:rFonts w:ascii="Times New Roman" w:hAnsi="Times New Roman" w:cs="Times New Roman"/>
          <w:sz w:val="24"/>
          <w:szCs w:val="24"/>
        </w:rPr>
        <w:t>išrašai)</w:t>
      </w:r>
      <w:r w:rsidR="004B2A95" w:rsidRPr="009D452D">
        <w:rPr>
          <w:rFonts w:ascii="Times New Roman" w:hAnsi="Times New Roman" w:cs="Times New Roman"/>
          <w:sz w:val="24"/>
          <w:szCs w:val="24"/>
        </w:rPr>
        <w:t xml:space="preserve"> dokumentai</w:t>
      </w:r>
      <w:r w:rsidR="00EB553B" w:rsidRPr="009D452D">
        <w:rPr>
          <w:rFonts w:ascii="Times New Roman" w:hAnsi="Times New Roman" w:cs="Times New Roman"/>
          <w:sz w:val="24"/>
          <w:szCs w:val="24"/>
        </w:rPr>
        <w:t>.</w:t>
      </w:r>
    </w:p>
    <w:p w14:paraId="4216DD2D" w14:textId="63A4B715" w:rsidR="00B31CDB" w:rsidRPr="009D452D"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w:t>
      </w:r>
      <w:r w:rsidR="00606DCF" w:rsidRPr="009D452D">
        <w:rPr>
          <w:rFonts w:ascii="Times New Roman" w:hAnsi="Times New Roman" w:cs="Times New Roman"/>
          <w:sz w:val="24"/>
          <w:szCs w:val="24"/>
        </w:rPr>
        <w:t>4.2.1</w:t>
      </w:r>
      <w:r w:rsidR="00075EDE" w:rsidRPr="009D452D">
        <w:rPr>
          <w:rFonts w:ascii="Times New Roman" w:hAnsi="Times New Roman" w:cs="Times New Roman"/>
          <w:sz w:val="24"/>
          <w:szCs w:val="24"/>
        </w:rPr>
        <w:t xml:space="preserve">. Imties dydis nustatomas Gairėse rekomenduojama imties skaičiuokle </w:t>
      </w:r>
      <w:r w:rsidR="00075EDE" w:rsidRPr="004C7563">
        <w:rPr>
          <w:rFonts w:ascii="Times New Roman" w:hAnsi="Times New Roman" w:cs="Times New Roman"/>
          <w:sz w:val="24"/>
          <w:szCs w:val="24"/>
        </w:rPr>
        <w:t>http://www.apklausos.lt/imties-dydis</w:t>
      </w:r>
      <w:r w:rsidR="00075EDE" w:rsidRPr="009D452D">
        <w:rPr>
          <w:rFonts w:ascii="Times New Roman" w:hAnsi="Times New Roman" w:cs="Times New Roman"/>
          <w:sz w:val="24"/>
          <w:szCs w:val="24"/>
        </w:rPr>
        <w:t>. Naudojamas pasikliovimo lygmuo: 95%, paklaida 10%. Gairėse rekomenduojama, kad paklaida neviršytų 10 procentų. 10 procentų paklaida pasirinkta</w:t>
      </w:r>
      <w:r w:rsidR="00F60BD9" w:rsidRPr="009D452D">
        <w:rPr>
          <w:rFonts w:ascii="Times New Roman" w:hAnsi="Times New Roman" w:cs="Times New Roman"/>
          <w:sz w:val="24"/>
          <w:szCs w:val="24"/>
        </w:rPr>
        <w:t xml:space="preserve"> atsižvelgiant į </w:t>
      </w:r>
      <w:r w:rsidR="00604BB1" w:rsidRPr="009D452D">
        <w:rPr>
          <w:rFonts w:ascii="Times New Roman" w:hAnsi="Times New Roman" w:cs="Times New Roman"/>
          <w:sz w:val="24"/>
          <w:szCs w:val="24"/>
        </w:rPr>
        <w:t xml:space="preserve">tai, kad </w:t>
      </w:r>
      <w:r w:rsidR="00944415" w:rsidRPr="009D452D">
        <w:rPr>
          <w:rFonts w:ascii="Times New Roman" w:hAnsi="Times New Roman" w:cs="Times New Roman"/>
          <w:sz w:val="24"/>
          <w:szCs w:val="24"/>
        </w:rPr>
        <w:t>p</w:t>
      </w:r>
      <w:r w:rsidR="00604BB1" w:rsidRPr="009D452D">
        <w:rPr>
          <w:rFonts w:ascii="Times New Roman" w:hAnsi="Times New Roman" w:cs="Times New Roman"/>
          <w:sz w:val="24"/>
          <w:szCs w:val="24"/>
        </w:rPr>
        <w:t>rojektams</w:t>
      </w:r>
      <w:r w:rsidR="007919C1" w:rsidRPr="009D452D">
        <w:rPr>
          <w:rFonts w:ascii="Times New Roman" w:hAnsi="Times New Roman" w:cs="Times New Roman"/>
          <w:sz w:val="24"/>
          <w:szCs w:val="24"/>
        </w:rPr>
        <w:t>,</w:t>
      </w:r>
      <w:r w:rsidR="00604BB1" w:rsidRPr="009D452D">
        <w:rPr>
          <w:rFonts w:ascii="Times New Roman" w:hAnsi="Times New Roman" w:cs="Times New Roman"/>
          <w:sz w:val="24"/>
          <w:szCs w:val="24"/>
        </w:rPr>
        <w:t xml:space="preserve"> įgyvendintiems pagal VP2-1.3-ŪM-05-K priemonę „Inočekiai LT“ nebuvo taikomi tęstinumo reikalavimai, </w:t>
      </w:r>
      <w:r w:rsidR="00E87907" w:rsidRPr="009D452D">
        <w:rPr>
          <w:rFonts w:ascii="Times New Roman" w:hAnsi="Times New Roman" w:cs="Times New Roman"/>
          <w:sz w:val="24"/>
          <w:szCs w:val="24"/>
        </w:rPr>
        <w:t xml:space="preserve">projektų vykdytojai įgyvendinančiajai institucijai neteikė projektų išlaidų pagrindimo ir išlaidų apmokėjimo įrodymo dokumentų išlaidoms, traukiamoms į apskaitą pagal fiksuotąsias sumas, pagrįsti. </w:t>
      </w:r>
      <w:r w:rsidR="00944415" w:rsidRPr="009D452D">
        <w:rPr>
          <w:rFonts w:ascii="Times New Roman" w:hAnsi="Times New Roman" w:cs="Times New Roman"/>
          <w:sz w:val="24"/>
          <w:szCs w:val="24"/>
        </w:rPr>
        <w:t xml:space="preserve">Dėl šios priežasties dalis pareiškėjų gali atsisakyti bendradarbiauti ir nepateikti projektų išlaidas pagrindžiančių dokumentų. </w:t>
      </w:r>
      <w:r w:rsidR="003C048F" w:rsidRPr="009D452D">
        <w:rPr>
          <w:rFonts w:ascii="Times New Roman" w:hAnsi="Times New Roman" w:cs="Times New Roman"/>
          <w:sz w:val="24"/>
          <w:szCs w:val="24"/>
        </w:rPr>
        <w:t>A</w:t>
      </w:r>
      <w:r w:rsidR="00944415" w:rsidRPr="009D452D">
        <w:rPr>
          <w:rFonts w:ascii="Times New Roman" w:hAnsi="Times New Roman" w:cs="Times New Roman"/>
          <w:sz w:val="24"/>
          <w:szCs w:val="24"/>
        </w:rPr>
        <w:t>tlikus įgyvendintų projektų analizę</w:t>
      </w:r>
      <w:r w:rsidR="00F51512" w:rsidRPr="009D452D">
        <w:rPr>
          <w:rFonts w:ascii="Times New Roman" w:hAnsi="Times New Roman" w:cs="Times New Roman"/>
          <w:sz w:val="24"/>
          <w:szCs w:val="24"/>
        </w:rPr>
        <w:t xml:space="preserve"> pirmojo tyrimo vykdymo etapo metu</w:t>
      </w:r>
      <w:r w:rsidR="00944415" w:rsidRPr="009D452D">
        <w:rPr>
          <w:rFonts w:ascii="Times New Roman" w:hAnsi="Times New Roman" w:cs="Times New Roman"/>
          <w:sz w:val="24"/>
          <w:szCs w:val="24"/>
        </w:rPr>
        <w:t xml:space="preserve">, skaičiuojant projektų verčių medianą ji </w:t>
      </w:r>
      <w:r w:rsidR="00D76257">
        <w:rPr>
          <w:rFonts w:ascii="Times New Roman" w:hAnsi="Times New Roman" w:cs="Times New Roman"/>
          <w:sz w:val="24"/>
          <w:szCs w:val="24"/>
        </w:rPr>
        <w:t xml:space="preserve">artima </w:t>
      </w:r>
      <w:r w:rsidR="00944415" w:rsidRPr="009D452D">
        <w:rPr>
          <w:rFonts w:ascii="Times New Roman" w:hAnsi="Times New Roman" w:cs="Times New Roman"/>
          <w:sz w:val="24"/>
          <w:szCs w:val="24"/>
        </w:rPr>
        <w:t>maksimalia</w:t>
      </w:r>
      <w:r w:rsidR="00D76257">
        <w:rPr>
          <w:rFonts w:ascii="Times New Roman" w:hAnsi="Times New Roman" w:cs="Times New Roman"/>
          <w:sz w:val="24"/>
          <w:szCs w:val="24"/>
        </w:rPr>
        <w:t>i</w:t>
      </w:r>
      <w:r w:rsidR="00944415" w:rsidRPr="009D452D">
        <w:rPr>
          <w:rFonts w:ascii="Times New Roman" w:hAnsi="Times New Roman" w:cs="Times New Roman"/>
          <w:sz w:val="24"/>
          <w:szCs w:val="24"/>
        </w:rPr>
        <w:t xml:space="preserve"> nustatyta</w:t>
      </w:r>
      <w:r w:rsidR="00D76257">
        <w:rPr>
          <w:rFonts w:ascii="Times New Roman" w:hAnsi="Times New Roman" w:cs="Times New Roman"/>
          <w:sz w:val="24"/>
          <w:szCs w:val="24"/>
        </w:rPr>
        <w:t>i</w:t>
      </w:r>
      <w:r w:rsidR="00944415" w:rsidRPr="009D452D">
        <w:rPr>
          <w:rFonts w:ascii="Times New Roman" w:hAnsi="Times New Roman" w:cs="Times New Roman"/>
          <w:sz w:val="24"/>
          <w:szCs w:val="24"/>
        </w:rPr>
        <w:t xml:space="preserve"> </w:t>
      </w:r>
      <w:r w:rsidR="00D76257" w:rsidRPr="009D452D">
        <w:rPr>
          <w:rFonts w:ascii="Times New Roman" w:hAnsi="Times New Roman" w:cs="Times New Roman"/>
          <w:sz w:val="24"/>
          <w:szCs w:val="24"/>
        </w:rPr>
        <w:t>fiksuotaja</w:t>
      </w:r>
      <w:r w:rsidR="00D76257">
        <w:rPr>
          <w:rFonts w:ascii="Times New Roman" w:hAnsi="Times New Roman" w:cs="Times New Roman"/>
          <w:sz w:val="24"/>
          <w:szCs w:val="24"/>
        </w:rPr>
        <w:t>i</w:t>
      </w:r>
      <w:r w:rsidR="00944415" w:rsidRPr="009D452D">
        <w:rPr>
          <w:rFonts w:ascii="Times New Roman" w:hAnsi="Times New Roman" w:cs="Times New Roman"/>
          <w:sz w:val="24"/>
          <w:szCs w:val="24"/>
        </w:rPr>
        <w:t xml:space="preserve"> suma</w:t>
      </w:r>
      <w:r w:rsidR="00D76257">
        <w:rPr>
          <w:rFonts w:ascii="Times New Roman" w:hAnsi="Times New Roman" w:cs="Times New Roman"/>
          <w:sz w:val="24"/>
          <w:szCs w:val="24"/>
        </w:rPr>
        <w:t>i</w:t>
      </w:r>
      <w:r w:rsidR="00944415" w:rsidRPr="009D452D">
        <w:rPr>
          <w:rFonts w:ascii="Times New Roman" w:hAnsi="Times New Roman" w:cs="Times New Roman"/>
          <w:sz w:val="24"/>
          <w:szCs w:val="24"/>
        </w:rPr>
        <w:t xml:space="preserve"> ir darytina prielaida, kad tikrinant realias projektų vykdytojų išlaidas tyrimo metu nustatoma fiksuotoji suma nesikeis.</w:t>
      </w:r>
      <w:r w:rsidR="00FE62E4" w:rsidRPr="009D452D">
        <w:rPr>
          <w:rFonts w:ascii="Times New Roman" w:hAnsi="Times New Roman" w:cs="Times New Roman"/>
          <w:sz w:val="24"/>
          <w:szCs w:val="24"/>
        </w:rPr>
        <w:t xml:space="preserve"> </w:t>
      </w:r>
      <w:r w:rsidR="003C048F" w:rsidRPr="009D452D">
        <w:rPr>
          <w:rFonts w:ascii="Times New Roman" w:hAnsi="Times New Roman" w:cs="Times New Roman"/>
          <w:sz w:val="24"/>
          <w:szCs w:val="24"/>
        </w:rPr>
        <w:t xml:space="preserve">Jeigu atlikus tyrimą, kai pasikliovimo lygmuo – 95%, paklaida – 10%, bus nustatytas statistiškai reikšmingas nuokrypis (daugiau kaip 2 proc.) nuo </w:t>
      </w:r>
      <w:r w:rsidR="00292685" w:rsidRPr="009D452D">
        <w:rPr>
          <w:rFonts w:ascii="Times New Roman" w:hAnsi="Times New Roman" w:cs="Times New Roman"/>
          <w:sz w:val="24"/>
          <w:szCs w:val="24"/>
        </w:rPr>
        <w:t>pirmojo tyrimo vykdymo etapo</w:t>
      </w:r>
      <w:r w:rsidR="003C048F" w:rsidRPr="009D452D">
        <w:rPr>
          <w:rFonts w:ascii="Times New Roman" w:hAnsi="Times New Roman" w:cs="Times New Roman"/>
          <w:sz w:val="24"/>
          <w:szCs w:val="24"/>
        </w:rPr>
        <w:t xml:space="preserve"> metu nustatytos medianos, tyrimas bus tęsiamas imtį sudarant, kai pasikliovimo lygmuo: 95%, paklaida 5%.  </w:t>
      </w:r>
    </w:p>
    <w:p w14:paraId="022FDAE6" w14:textId="27A95102" w:rsidR="005B04A5" w:rsidRPr="009D452D" w:rsidRDefault="009D452D" w:rsidP="009D452D">
      <w:pPr>
        <w:spacing w:after="0" w:line="240" w:lineRule="auto"/>
        <w:jc w:val="both"/>
        <w:rPr>
          <w:rFonts w:ascii="Times New Roman" w:hAnsi="Times New Roman" w:cs="Times New Roman"/>
          <w:sz w:val="24"/>
          <w:szCs w:val="24"/>
        </w:rPr>
      </w:pPr>
      <w:r w:rsidRPr="009D452D">
        <w:rPr>
          <w:rFonts w:ascii="Times New Roman" w:hAnsi="Times New Roman" w:cs="Times New Roman"/>
          <w:i/>
          <w:sz w:val="24"/>
          <w:szCs w:val="24"/>
        </w:rPr>
        <w:tab/>
      </w:r>
      <w:r w:rsidR="005B04A5" w:rsidRPr="009D452D">
        <w:rPr>
          <w:rFonts w:ascii="Times New Roman" w:hAnsi="Times New Roman" w:cs="Times New Roman"/>
          <w:i/>
          <w:sz w:val="24"/>
          <w:szCs w:val="24"/>
          <w:u w:val="single"/>
        </w:rPr>
        <w:t>Imtis</w:t>
      </w:r>
      <w:r w:rsidR="00E0155D" w:rsidRPr="009D452D">
        <w:rPr>
          <w:rFonts w:ascii="Times New Roman" w:hAnsi="Times New Roman" w:cs="Times New Roman"/>
          <w:i/>
          <w:sz w:val="24"/>
          <w:szCs w:val="24"/>
          <w:u w:val="single"/>
        </w:rPr>
        <w:t xml:space="preserve"> (1 išlaidų kategorija)</w:t>
      </w:r>
      <w:r w:rsidR="005B04A5" w:rsidRPr="009D452D">
        <w:rPr>
          <w:rFonts w:ascii="Times New Roman" w:hAnsi="Times New Roman" w:cs="Times New Roman"/>
          <w:i/>
          <w:sz w:val="24"/>
          <w:szCs w:val="24"/>
          <w:u w:val="single"/>
        </w:rPr>
        <w:t>:</w:t>
      </w:r>
      <w:r w:rsidR="005B04A5" w:rsidRPr="009D452D">
        <w:rPr>
          <w:rFonts w:ascii="Times New Roman" w:hAnsi="Times New Roman" w:cs="Times New Roman"/>
          <w:sz w:val="24"/>
          <w:szCs w:val="24"/>
        </w:rPr>
        <w:t xml:space="preserve"> </w:t>
      </w:r>
      <w:r w:rsidR="006850FA" w:rsidRPr="009D452D">
        <w:rPr>
          <w:rFonts w:ascii="Times New Roman" w:hAnsi="Times New Roman" w:cs="Times New Roman"/>
          <w:sz w:val="24"/>
          <w:szCs w:val="24"/>
        </w:rPr>
        <w:t>5</w:t>
      </w:r>
      <w:r w:rsidR="00D179D1" w:rsidRPr="009D452D">
        <w:rPr>
          <w:rFonts w:ascii="Times New Roman" w:hAnsi="Times New Roman" w:cs="Times New Roman"/>
          <w:sz w:val="24"/>
          <w:szCs w:val="24"/>
        </w:rPr>
        <w:t>5</w:t>
      </w:r>
      <w:r w:rsidR="005B04A5" w:rsidRPr="009D452D">
        <w:rPr>
          <w:rFonts w:ascii="Times New Roman" w:hAnsi="Times New Roman" w:cs="Times New Roman"/>
          <w:sz w:val="24"/>
          <w:szCs w:val="24"/>
        </w:rPr>
        <w:t>.</w:t>
      </w:r>
    </w:p>
    <w:p w14:paraId="3C372A41" w14:textId="24DDCE54" w:rsidR="00E0155D" w:rsidRPr="009D452D" w:rsidRDefault="009D452D" w:rsidP="009D452D">
      <w:pPr>
        <w:spacing w:after="0" w:line="240" w:lineRule="auto"/>
        <w:jc w:val="both"/>
        <w:rPr>
          <w:rFonts w:ascii="Times New Roman" w:hAnsi="Times New Roman" w:cs="Times New Roman"/>
          <w:sz w:val="24"/>
          <w:szCs w:val="24"/>
        </w:rPr>
      </w:pPr>
      <w:r w:rsidRPr="009D452D">
        <w:rPr>
          <w:rFonts w:ascii="Times New Roman" w:hAnsi="Times New Roman" w:cs="Times New Roman"/>
          <w:i/>
          <w:sz w:val="24"/>
          <w:szCs w:val="24"/>
        </w:rPr>
        <w:tab/>
      </w:r>
      <w:r w:rsidR="00E0155D" w:rsidRPr="009D452D">
        <w:rPr>
          <w:rFonts w:ascii="Times New Roman" w:hAnsi="Times New Roman" w:cs="Times New Roman"/>
          <w:i/>
          <w:sz w:val="24"/>
          <w:szCs w:val="24"/>
          <w:u w:val="single"/>
        </w:rPr>
        <w:t>Imtis (2 išlaidų kategorija):</w:t>
      </w:r>
      <w:r w:rsidR="00E0155D" w:rsidRPr="009D452D">
        <w:rPr>
          <w:rFonts w:ascii="Times New Roman" w:hAnsi="Times New Roman" w:cs="Times New Roman"/>
          <w:sz w:val="24"/>
          <w:szCs w:val="24"/>
        </w:rPr>
        <w:t xml:space="preserve"> </w:t>
      </w:r>
      <w:r w:rsidR="006850FA" w:rsidRPr="009D452D">
        <w:rPr>
          <w:rFonts w:ascii="Times New Roman" w:hAnsi="Times New Roman" w:cs="Times New Roman"/>
          <w:sz w:val="24"/>
          <w:szCs w:val="24"/>
        </w:rPr>
        <w:t>82</w:t>
      </w:r>
      <w:r w:rsidR="00E0155D" w:rsidRPr="009D452D">
        <w:rPr>
          <w:rFonts w:ascii="Times New Roman" w:hAnsi="Times New Roman" w:cs="Times New Roman"/>
          <w:sz w:val="24"/>
          <w:szCs w:val="24"/>
        </w:rPr>
        <w:t>.</w:t>
      </w:r>
    </w:p>
    <w:p w14:paraId="4275C4DE" w14:textId="4E648280" w:rsidR="00DA0482" w:rsidRPr="009D452D"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w:t>
      </w:r>
      <w:r w:rsidR="00821261" w:rsidRPr="009D452D">
        <w:rPr>
          <w:rFonts w:ascii="Times New Roman" w:hAnsi="Times New Roman" w:cs="Times New Roman"/>
          <w:sz w:val="24"/>
          <w:szCs w:val="24"/>
        </w:rPr>
        <w:t xml:space="preserve">4.2.2. </w:t>
      </w:r>
      <w:r w:rsidR="007B518A" w:rsidRPr="009D452D">
        <w:rPr>
          <w:rFonts w:ascii="Times New Roman" w:hAnsi="Times New Roman" w:cs="Times New Roman"/>
          <w:sz w:val="24"/>
          <w:szCs w:val="24"/>
        </w:rPr>
        <w:t>Imtys išlaidų kategorijoms buvo sudaromos paprastosios atsitiktinės atrankos būdu. Vykdant atsitiktinę atranką remtasi tiriamosios populiacijos narių (projektų vykdytojų) sąrašu, iš kurio, generuojant atsitiktinius skaičius, atrinktas nustatytas elementų skaičius (1 išlaidų kategorijai – 58; 2 išlaidų kategorijai – 82). Atranka buvo vykdoma remiantis atsitiktiniais skaičiais, naudojant</w:t>
      </w:r>
      <w:r w:rsidR="00194C9E" w:rsidRPr="009D452D">
        <w:rPr>
          <w:rFonts w:ascii="Times New Roman" w:hAnsi="Times New Roman" w:cs="Times New Roman"/>
          <w:sz w:val="24"/>
          <w:szCs w:val="24"/>
        </w:rPr>
        <w:t>is</w:t>
      </w:r>
      <w:r w:rsidR="007B518A" w:rsidRPr="009D452D">
        <w:rPr>
          <w:rFonts w:ascii="Times New Roman" w:hAnsi="Times New Roman" w:cs="Times New Roman"/>
          <w:sz w:val="24"/>
          <w:szCs w:val="24"/>
        </w:rPr>
        <w:t xml:space="preserve"> Microsoft Excell funkcija RANDOM, kol buvo surinktos pakankamos imtys.</w:t>
      </w:r>
      <w:r w:rsidR="007B422C" w:rsidRPr="009D452D">
        <w:rPr>
          <w:rFonts w:ascii="Times New Roman" w:hAnsi="Times New Roman" w:cs="Times New Roman"/>
          <w:sz w:val="24"/>
          <w:szCs w:val="24"/>
        </w:rPr>
        <w:t xml:space="preserve"> Respondentams, kurie pateko į imtį, siųsti raštai informuojant, kad Mokslo, inovacijų ir technologijų agentūra ruošdamasi naujiems Inovacinių čekių priemonės kvietimams atlieka fiksuotųjų sumų nustatymo tyrimą ir projektų, kuriems buvo skirtas finansavimas pagal VP2-1.3-ŪM-05-K priemonę „Inočekiai LT“, išlaidų analizę bei prašoma atsiųsti išlaidas pagrindžiančius (sąskaitos-faktūros) ir jų apmokėjimą patvirtinančius (banko išrašai) skanuotus dokumentus, susijusius su įgyvendintu projektu.</w:t>
      </w:r>
      <w:r w:rsidR="00297C70" w:rsidRPr="009D452D">
        <w:rPr>
          <w:rFonts w:ascii="Times New Roman" w:hAnsi="Times New Roman" w:cs="Times New Roman"/>
          <w:sz w:val="24"/>
          <w:szCs w:val="24"/>
        </w:rPr>
        <w:t xml:space="preserve"> Tam, kad surinkti atsakymų pagal nustatytą imtį, respondentai informuoti, kad tyrimo metu gauti duomenys bus naudojami tik tyrimo tikslais, apibendrinamiesiems skaičiavimams.</w:t>
      </w:r>
      <w:r w:rsidR="00DA0482" w:rsidRPr="009D452D">
        <w:rPr>
          <w:rFonts w:ascii="Times New Roman" w:hAnsi="Times New Roman" w:cs="Times New Roman"/>
          <w:sz w:val="24"/>
          <w:szCs w:val="24"/>
        </w:rPr>
        <w:t xml:space="preserve"> </w:t>
      </w:r>
    </w:p>
    <w:p w14:paraId="654A614F" w14:textId="5573A7CB" w:rsidR="00821261" w:rsidRPr="009D452D"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w:t>
      </w:r>
      <w:r w:rsidR="00DA0482" w:rsidRPr="009D452D">
        <w:rPr>
          <w:rFonts w:ascii="Times New Roman" w:hAnsi="Times New Roman" w:cs="Times New Roman"/>
          <w:sz w:val="24"/>
          <w:szCs w:val="24"/>
        </w:rPr>
        <w:t>4.2.3. Remiantis atlikto tyrimo rezultatais, nustatytos bendros tinkamų finansuoti išlaidų vidutinės reikšmės (medianos), kai PVM yra netinkamas finansuoti ir kai PVM yra tinkamas finansuoti.</w:t>
      </w:r>
      <w:r w:rsidR="00E019C2" w:rsidRPr="009D452D">
        <w:rPr>
          <w:rFonts w:ascii="Times New Roman" w:hAnsi="Times New Roman" w:cs="Times New Roman"/>
          <w:sz w:val="24"/>
          <w:szCs w:val="24"/>
        </w:rPr>
        <w:t xml:space="preserve"> </w:t>
      </w:r>
      <w:r w:rsidR="004072FD" w:rsidRPr="009D452D">
        <w:rPr>
          <w:rFonts w:ascii="Times New Roman" w:hAnsi="Times New Roman" w:cs="Times New Roman"/>
          <w:sz w:val="24"/>
          <w:szCs w:val="24"/>
        </w:rPr>
        <w:t>Apibendrinti</w:t>
      </w:r>
      <w:r w:rsidR="009E2B6D" w:rsidRPr="009D452D">
        <w:rPr>
          <w:rFonts w:ascii="Times New Roman" w:hAnsi="Times New Roman" w:cs="Times New Roman"/>
          <w:sz w:val="24"/>
          <w:szCs w:val="24"/>
        </w:rPr>
        <w:t xml:space="preserve"> </w:t>
      </w:r>
      <w:r w:rsidR="004072FD" w:rsidRPr="009D452D">
        <w:rPr>
          <w:rFonts w:ascii="Times New Roman" w:hAnsi="Times New Roman" w:cs="Times New Roman"/>
          <w:sz w:val="24"/>
          <w:szCs w:val="24"/>
        </w:rPr>
        <w:t xml:space="preserve">skaičiavimo rezultatai </w:t>
      </w:r>
      <w:r w:rsidR="004072FD" w:rsidRPr="004C7563">
        <w:rPr>
          <w:rFonts w:ascii="Times New Roman" w:hAnsi="Times New Roman" w:cs="Times New Roman"/>
          <w:sz w:val="24"/>
          <w:szCs w:val="24"/>
        </w:rPr>
        <w:t>pateikti 2 lentelėje</w:t>
      </w:r>
      <w:r w:rsidR="009E2B6D" w:rsidRPr="004C7563">
        <w:rPr>
          <w:rFonts w:ascii="Times New Roman" w:hAnsi="Times New Roman" w:cs="Times New Roman"/>
          <w:sz w:val="24"/>
          <w:szCs w:val="24"/>
        </w:rPr>
        <w:t xml:space="preserve"> (detalūs skaičiavimai pateikti 2 </w:t>
      </w:r>
      <w:r w:rsidR="009E2B6D" w:rsidRPr="004C7563">
        <w:rPr>
          <w:rFonts w:ascii="Times New Roman" w:hAnsi="Times New Roman" w:cs="Times New Roman"/>
          <w:sz w:val="24"/>
          <w:szCs w:val="24"/>
        </w:rPr>
        <w:lastRenderedPageBreak/>
        <w:t>priede, siekiant išlaikyti pateiktų duomenų konfidencialumą, projekto</w:t>
      </w:r>
      <w:r w:rsidR="009E2B6D" w:rsidRPr="009D452D">
        <w:rPr>
          <w:rFonts w:ascii="Times New Roman" w:hAnsi="Times New Roman" w:cs="Times New Roman"/>
          <w:sz w:val="24"/>
          <w:szCs w:val="24"/>
        </w:rPr>
        <w:t xml:space="preserve"> vykdytojams suteikti unikalūs </w:t>
      </w:r>
      <w:r w:rsidR="00D82E7D" w:rsidRPr="009D452D">
        <w:rPr>
          <w:rFonts w:ascii="Times New Roman" w:hAnsi="Times New Roman" w:cs="Times New Roman"/>
          <w:sz w:val="24"/>
          <w:szCs w:val="24"/>
        </w:rPr>
        <w:t xml:space="preserve">numeriai – </w:t>
      </w:r>
      <w:r w:rsidR="00070255" w:rsidRPr="009D452D">
        <w:rPr>
          <w:rFonts w:ascii="Times New Roman" w:hAnsi="Times New Roman" w:cs="Times New Roman"/>
          <w:sz w:val="24"/>
          <w:szCs w:val="24"/>
        </w:rPr>
        <w:t>„</w:t>
      </w:r>
      <w:r w:rsidR="003C19F2" w:rsidRPr="009D452D">
        <w:rPr>
          <w:rFonts w:ascii="Times New Roman" w:hAnsi="Times New Roman" w:cs="Times New Roman"/>
          <w:sz w:val="24"/>
          <w:szCs w:val="24"/>
        </w:rPr>
        <w:t>2E-</w:t>
      </w:r>
      <w:r w:rsidR="009E2B6D" w:rsidRPr="009D452D">
        <w:rPr>
          <w:rFonts w:ascii="Times New Roman" w:hAnsi="Times New Roman" w:cs="Times New Roman"/>
          <w:sz w:val="24"/>
          <w:szCs w:val="24"/>
        </w:rPr>
        <w:t>ID</w:t>
      </w:r>
      <w:r w:rsidR="00070255" w:rsidRPr="009D452D">
        <w:rPr>
          <w:rFonts w:ascii="Times New Roman" w:hAnsi="Times New Roman" w:cs="Times New Roman"/>
          <w:sz w:val="24"/>
          <w:szCs w:val="24"/>
        </w:rPr>
        <w:t>“</w:t>
      </w:r>
      <w:r w:rsidR="009E2B6D" w:rsidRPr="009D452D">
        <w:rPr>
          <w:rFonts w:ascii="Times New Roman" w:hAnsi="Times New Roman" w:cs="Times New Roman"/>
          <w:sz w:val="24"/>
          <w:szCs w:val="24"/>
        </w:rPr>
        <w:t>)</w:t>
      </w:r>
      <w:r w:rsidR="00D82E7D" w:rsidRPr="009D452D">
        <w:rPr>
          <w:rFonts w:ascii="Times New Roman" w:hAnsi="Times New Roman" w:cs="Times New Roman"/>
          <w:sz w:val="24"/>
          <w:szCs w:val="24"/>
        </w:rPr>
        <w:t>.</w:t>
      </w:r>
    </w:p>
    <w:p w14:paraId="5C473E59" w14:textId="27D63F8F" w:rsidR="009D452D" w:rsidRDefault="009D452D" w:rsidP="009D452D">
      <w:pPr>
        <w:spacing w:after="0" w:line="240" w:lineRule="auto"/>
        <w:jc w:val="center"/>
        <w:rPr>
          <w:rFonts w:ascii="Times New Roman" w:hAnsi="Times New Roman" w:cs="Times New Roman"/>
          <w:b/>
          <w:sz w:val="24"/>
          <w:szCs w:val="24"/>
        </w:rPr>
      </w:pPr>
    </w:p>
    <w:p w14:paraId="615107DF" w14:textId="753B3861" w:rsidR="00A94B55" w:rsidRDefault="00A94B55" w:rsidP="009D452D">
      <w:pPr>
        <w:spacing w:after="0" w:line="240" w:lineRule="auto"/>
        <w:jc w:val="center"/>
        <w:rPr>
          <w:rFonts w:ascii="Times New Roman" w:hAnsi="Times New Roman" w:cs="Times New Roman"/>
          <w:b/>
          <w:sz w:val="24"/>
          <w:szCs w:val="24"/>
        </w:rPr>
      </w:pPr>
    </w:p>
    <w:p w14:paraId="7BEEDD64" w14:textId="2DA0C7D5" w:rsidR="00A94B55" w:rsidRDefault="00A94B55" w:rsidP="009D452D">
      <w:pPr>
        <w:spacing w:after="0" w:line="240" w:lineRule="auto"/>
        <w:jc w:val="center"/>
        <w:rPr>
          <w:rFonts w:ascii="Times New Roman" w:hAnsi="Times New Roman" w:cs="Times New Roman"/>
          <w:b/>
          <w:sz w:val="24"/>
          <w:szCs w:val="24"/>
        </w:rPr>
      </w:pPr>
    </w:p>
    <w:p w14:paraId="0C1EFA7E" w14:textId="77777777" w:rsidR="00A94B55" w:rsidRDefault="00A94B55" w:rsidP="009D452D">
      <w:pPr>
        <w:spacing w:after="0" w:line="240" w:lineRule="auto"/>
        <w:jc w:val="center"/>
        <w:rPr>
          <w:rFonts w:ascii="Times New Roman" w:hAnsi="Times New Roman" w:cs="Times New Roman"/>
          <w:b/>
          <w:sz w:val="24"/>
          <w:szCs w:val="24"/>
        </w:rPr>
      </w:pPr>
    </w:p>
    <w:p w14:paraId="1B18D4E5" w14:textId="169B3B86" w:rsidR="00C31454" w:rsidRPr="009D452D" w:rsidRDefault="00B556FA" w:rsidP="009D452D">
      <w:pPr>
        <w:spacing w:after="0" w:line="240" w:lineRule="auto"/>
        <w:jc w:val="center"/>
        <w:rPr>
          <w:rFonts w:ascii="Times New Roman" w:hAnsi="Times New Roman" w:cs="Times New Roman"/>
          <w:sz w:val="24"/>
          <w:szCs w:val="24"/>
        </w:rPr>
      </w:pPr>
      <w:r w:rsidRPr="009D452D">
        <w:rPr>
          <w:rFonts w:ascii="Times New Roman" w:hAnsi="Times New Roman" w:cs="Times New Roman"/>
          <w:b/>
          <w:sz w:val="24"/>
          <w:szCs w:val="24"/>
        </w:rPr>
        <w:t>2 lentelė.</w:t>
      </w:r>
      <w:r w:rsidRPr="009D452D">
        <w:rPr>
          <w:rFonts w:ascii="Times New Roman" w:hAnsi="Times New Roman" w:cs="Times New Roman"/>
          <w:sz w:val="24"/>
          <w:szCs w:val="24"/>
        </w:rPr>
        <w:t xml:space="preserve"> Apibendrinti fiksuotųjų sumų skaičiavimo rezultatai.</w:t>
      </w:r>
    </w:p>
    <w:tbl>
      <w:tblPr>
        <w:tblW w:w="8926" w:type="dxa"/>
        <w:jc w:val="center"/>
        <w:tblLook w:val="04A0" w:firstRow="1" w:lastRow="0" w:firstColumn="1" w:lastColumn="0" w:noHBand="0" w:noVBand="1"/>
      </w:tblPr>
      <w:tblGrid>
        <w:gridCol w:w="1720"/>
        <w:gridCol w:w="3237"/>
        <w:gridCol w:w="2126"/>
        <w:gridCol w:w="1843"/>
      </w:tblGrid>
      <w:tr w:rsidR="00C31454" w:rsidRPr="009D452D" w14:paraId="52D65664" w14:textId="77777777" w:rsidTr="00A8088F">
        <w:trPr>
          <w:trHeight w:val="495"/>
          <w:jc w:val="center"/>
        </w:trPr>
        <w:tc>
          <w:tcPr>
            <w:tcW w:w="172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EC5B503" w14:textId="77777777" w:rsidR="00C31454" w:rsidRPr="009D452D" w:rsidRDefault="00C31454" w:rsidP="009D452D">
            <w:pPr>
              <w:spacing w:after="0" w:line="240" w:lineRule="auto"/>
              <w:rPr>
                <w:rFonts w:ascii="Times New Roman" w:eastAsia="Times New Roman" w:hAnsi="Times New Roman" w:cs="Times New Roman"/>
                <w:color w:val="000000"/>
                <w:sz w:val="24"/>
                <w:szCs w:val="24"/>
                <w:lang w:eastAsia="lt-LT"/>
              </w:rPr>
            </w:pPr>
            <w:r w:rsidRPr="009D452D">
              <w:rPr>
                <w:rFonts w:ascii="Times New Roman" w:eastAsia="Times New Roman" w:hAnsi="Times New Roman" w:cs="Times New Roman"/>
                <w:color w:val="000000"/>
                <w:sz w:val="24"/>
                <w:szCs w:val="24"/>
                <w:lang w:eastAsia="lt-LT"/>
              </w:rPr>
              <w:t> </w:t>
            </w:r>
          </w:p>
        </w:tc>
        <w:tc>
          <w:tcPr>
            <w:tcW w:w="3237" w:type="dxa"/>
            <w:tcBorders>
              <w:top w:val="single" w:sz="4" w:space="0" w:color="auto"/>
              <w:left w:val="nil"/>
              <w:bottom w:val="single" w:sz="4" w:space="0" w:color="auto"/>
              <w:right w:val="single" w:sz="4" w:space="0" w:color="auto"/>
            </w:tcBorders>
            <w:shd w:val="clear" w:color="000000" w:fill="000000"/>
            <w:noWrap/>
            <w:vAlign w:val="center"/>
            <w:hideMark/>
          </w:tcPr>
          <w:p w14:paraId="21BDE672" w14:textId="77777777" w:rsidR="00C31454" w:rsidRPr="009D452D" w:rsidRDefault="00C31454" w:rsidP="009D452D">
            <w:pPr>
              <w:spacing w:after="0" w:line="240" w:lineRule="auto"/>
              <w:jc w:val="center"/>
              <w:rPr>
                <w:rFonts w:ascii="Times New Roman" w:eastAsia="Times New Roman" w:hAnsi="Times New Roman" w:cs="Times New Roman"/>
                <w:color w:val="FFFFFF"/>
                <w:sz w:val="24"/>
                <w:szCs w:val="24"/>
                <w:lang w:eastAsia="lt-LT"/>
              </w:rPr>
            </w:pPr>
            <w:r w:rsidRPr="009D452D">
              <w:rPr>
                <w:rFonts w:ascii="Times New Roman" w:eastAsia="Times New Roman" w:hAnsi="Times New Roman" w:cs="Times New Roman"/>
                <w:color w:val="FFFFFF"/>
                <w:sz w:val="24"/>
                <w:szCs w:val="24"/>
                <w:lang w:eastAsia="lt-LT"/>
              </w:rPr>
              <w:t>Išlaidų kategorija</w:t>
            </w:r>
          </w:p>
        </w:tc>
        <w:tc>
          <w:tcPr>
            <w:tcW w:w="2126" w:type="dxa"/>
            <w:tcBorders>
              <w:top w:val="single" w:sz="4" w:space="0" w:color="auto"/>
              <w:left w:val="nil"/>
              <w:bottom w:val="single" w:sz="4" w:space="0" w:color="auto"/>
              <w:right w:val="single" w:sz="4" w:space="0" w:color="auto"/>
            </w:tcBorders>
            <w:shd w:val="clear" w:color="000000" w:fill="000000"/>
            <w:noWrap/>
            <w:vAlign w:val="center"/>
            <w:hideMark/>
          </w:tcPr>
          <w:p w14:paraId="0D3E594A" w14:textId="77777777" w:rsidR="00C31454" w:rsidRPr="009D452D" w:rsidRDefault="00C31454" w:rsidP="009D452D">
            <w:pPr>
              <w:spacing w:after="0" w:line="240" w:lineRule="auto"/>
              <w:jc w:val="center"/>
              <w:rPr>
                <w:rFonts w:ascii="Times New Roman" w:eastAsia="Times New Roman" w:hAnsi="Times New Roman" w:cs="Times New Roman"/>
                <w:color w:val="FFFFFF"/>
                <w:sz w:val="24"/>
                <w:szCs w:val="24"/>
                <w:lang w:eastAsia="lt-LT"/>
              </w:rPr>
            </w:pPr>
            <w:r w:rsidRPr="009D452D">
              <w:rPr>
                <w:rFonts w:ascii="Times New Roman" w:eastAsia="Times New Roman" w:hAnsi="Times New Roman" w:cs="Times New Roman"/>
                <w:color w:val="FFFFFF"/>
                <w:sz w:val="24"/>
                <w:szCs w:val="24"/>
                <w:lang w:eastAsia="lt-LT"/>
              </w:rPr>
              <w:t>Fiksuotoji suma, kai PVM yra netinkamas finansuoti</w:t>
            </w:r>
          </w:p>
        </w:tc>
        <w:tc>
          <w:tcPr>
            <w:tcW w:w="1843" w:type="dxa"/>
            <w:tcBorders>
              <w:top w:val="single" w:sz="4" w:space="0" w:color="auto"/>
              <w:left w:val="nil"/>
              <w:bottom w:val="single" w:sz="4" w:space="0" w:color="auto"/>
              <w:right w:val="single" w:sz="4" w:space="0" w:color="auto"/>
            </w:tcBorders>
            <w:shd w:val="clear" w:color="000000" w:fill="000000"/>
            <w:noWrap/>
            <w:vAlign w:val="center"/>
            <w:hideMark/>
          </w:tcPr>
          <w:p w14:paraId="2BF4365D" w14:textId="77777777" w:rsidR="00C31454" w:rsidRPr="009D452D" w:rsidRDefault="00C31454" w:rsidP="009D452D">
            <w:pPr>
              <w:spacing w:after="0" w:line="240" w:lineRule="auto"/>
              <w:jc w:val="center"/>
              <w:rPr>
                <w:rFonts w:ascii="Times New Roman" w:eastAsia="Times New Roman" w:hAnsi="Times New Roman" w:cs="Times New Roman"/>
                <w:color w:val="FFFFFF"/>
                <w:sz w:val="24"/>
                <w:szCs w:val="24"/>
                <w:lang w:eastAsia="lt-LT"/>
              </w:rPr>
            </w:pPr>
            <w:r w:rsidRPr="009D452D">
              <w:rPr>
                <w:rFonts w:ascii="Times New Roman" w:eastAsia="Times New Roman" w:hAnsi="Times New Roman" w:cs="Times New Roman"/>
                <w:color w:val="FFFFFF"/>
                <w:sz w:val="24"/>
                <w:szCs w:val="24"/>
                <w:lang w:eastAsia="lt-LT"/>
              </w:rPr>
              <w:t>Fiksuotoji suma, kai PVM yra tinkamas finansuoti</w:t>
            </w:r>
          </w:p>
        </w:tc>
      </w:tr>
      <w:tr w:rsidR="00C31454" w:rsidRPr="009D452D" w14:paraId="04D347A7" w14:textId="77777777" w:rsidTr="00970972">
        <w:trPr>
          <w:trHeight w:val="900"/>
          <w:jc w:val="center"/>
        </w:trPr>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03BD148C" w14:textId="0D9568EC" w:rsidR="00C31454" w:rsidRPr="009D452D" w:rsidRDefault="00C31454" w:rsidP="009D452D">
            <w:pPr>
              <w:spacing w:after="0" w:line="240" w:lineRule="auto"/>
              <w:jc w:val="center"/>
              <w:rPr>
                <w:rFonts w:ascii="Times New Roman" w:eastAsia="Times New Roman" w:hAnsi="Times New Roman" w:cs="Times New Roman"/>
                <w:color w:val="000000"/>
                <w:sz w:val="24"/>
                <w:szCs w:val="24"/>
                <w:lang w:eastAsia="lt-LT"/>
              </w:rPr>
            </w:pPr>
            <w:r w:rsidRPr="009D452D">
              <w:rPr>
                <w:rFonts w:ascii="Times New Roman" w:eastAsia="Times New Roman" w:hAnsi="Times New Roman" w:cs="Times New Roman"/>
                <w:color w:val="000000"/>
                <w:sz w:val="24"/>
                <w:szCs w:val="24"/>
                <w:lang w:eastAsia="lt-LT"/>
              </w:rPr>
              <w:t xml:space="preserve">Išlaidos, nustatytos </w:t>
            </w:r>
            <w:r w:rsidR="00924A20" w:rsidRPr="009D452D">
              <w:rPr>
                <w:rFonts w:ascii="Times New Roman" w:eastAsia="Times New Roman" w:hAnsi="Times New Roman" w:cs="Times New Roman"/>
                <w:color w:val="000000"/>
                <w:sz w:val="24"/>
                <w:szCs w:val="24"/>
                <w:lang w:eastAsia="lt-LT"/>
              </w:rPr>
              <w:t>antrojo</w:t>
            </w:r>
            <w:r w:rsidRPr="009D452D">
              <w:rPr>
                <w:rFonts w:ascii="Times New Roman" w:eastAsia="Times New Roman" w:hAnsi="Times New Roman" w:cs="Times New Roman"/>
                <w:color w:val="000000"/>
                <w:sz w:val="24"/>
                <w:szCs w:val="24"/>
                <w:lang w:eastAsia="lt-LT"/>
              </w:rPr>
              <w:t xml:space="preserve"> tyrimo vykdymo etapo metu</w:t>
            </w:r>
            <w:r w:rsidR="00924A20" w:rsidRPr="009D452D">
              <w:rPr>
                <w:rFonts w:ascii="Times New Roman" w:eastAsia="Times New Roman" w:hAnsi="Times New Roman" w:cs="Times New Roman"/>
                <w:color w:val="000000"/>
                <w:sz w:val="24"/>
                <w:szCs w:val="24"/>
                <w:lang w:eastAsia="lt-LT"/>
              </w:rPr>
              <w:t>, Eur.</w:t>
            </w:r>
          </w:p>
        </w:tc>
        <w:tc>
          <w:tcPr>
            <w:tcW w:w="3237" w:type="dxa"/>
            <w:tcBorders>
              <w:top w:val="nil"/>
              <w:left w:val="nil"/>
              <w:bottom w:val="single" w:sz="4" w:space="0" w:color="auto"/>
              <w:right w:val="single" w:sz="4" w:space="0" w:color="auto"/>
            </w:tcBorders>
            <w:shd w:val="clear" w:color="auto" w:fill="auto"/>
            <w:vAlign w:val="center"/>
            <w:hideMark/>
          </w:tcPr>
          <w:p w14:paraId="07C9E6A6" w14:textId="77777777" w:rsidR="00C31454" w:rsidRPr="009D452D" w:rsidRDefault="00C31454" w:rsidP="009D452D">
            <w:pPr>
              <w:spacing w:after="0" w:line="240" w:lineRule="auto"/>
              <w:rPr>
                <w:rFonts w:ascii="Times New Roman" w:eastAsia="Times New Roman" w:hAnsi="Times New Roman" w:cs="Times New Roman"/>
                <w:color w:val="000000"/>
                <w:sz w:val="24"/>
                <w:szCs w:val="24"/>
                <w:lang w:eastAsia="lt-LT"/>
              </w:rPr>
            </w:pPr>
            <w:r w:rsidRPr="009D452D">
              <w:rPr>
                <w:rFonts w:ascii="Times New Roman" w:eastAsia="Times New Roman" w:hAnsi="Times New Roman" w:cs="Times New Roman"/>
                <w:color w:val="000000"/>
                <w:sz w:val="24"/>
                <w:szCs w:val="24"/>
                <w:lang w:eastAsia="lt-LT"/>
              </w:rPr>
              <w:t>Techninių galimybių studijų (</w:t>
            </w:r>
            <w:r w:rsidRPr="009D452D">
              <w:rPr>
                <w:rFonts w:ascii="Times New Roman" w:eastAsia="Times New Roman" w:hAnsi="Times New Roman" w:cs="Times New Roman"/>
                <w:b/>
                <w:bCs/>
                <w:color w:val="000000"/>
                <w:sz w:val="24"/>
                <w:szCs w:val="24"/>
                <w:lang w:eastAsia="lt-LT"/>
              </w:rPr>
              <w:t>TGS</w:t>
            </w:r>
            <w:r w:rsidRPr="009D452D">
              <w:rPr>
                <w:rFonts w:ascii="Times New Roman" w:eastAsia="Times New Roman" w:hAnsi="Times New Roman" w:cs="Times New Roman"/>
                <w:color w:val="000000"/>
                <w:sz w:val="24"/>
                <w:szCs w:val="24"/>
                <w:lang w:eastAsia="lt-LT"/>
              </w:rPr>
              <w:t>) parengimo įsigijimo iš mokslo ir studijų institucijų išlaidos</w:t>
            </w:r>
          </w:p>
        </w:tc>
        <w:tc>
          <w:tcPr>
            <w:tcW w:w="2126" w:type="dxa"/>
            <w:tcBorders>
              <w:top w:val="nil"/>
              <w:left w:val="nil"/>
              <w:bottom w:val="single" w:sz="4" w:space="0" w:color="auto"/>
              <w:right w:val="single" w:sz="4" w:space="0" w:color="auto"/>
            </w:tcBorders>
            <w:shd w:val="clear" w:color="auto" w:fill="auto"/>
            <w:noWrap/>
            <w:vAlign w:val="center"/>
            <w:hideMark/>
          </w:tcPr>
          <w:p w14:paraId="67A23316" w14:textId="77777777" w:rsidR="00C31454" w:rsidRPr="009D452D" w:rsidRDefault="00C31454" w:rsidP="009D452D">
            <w:pPr>
              <w:spacing w:after="0" w:line="240" w:lineRule="auto"/>
              <w:jc w:val="center"/>
              <w:rPr>
                <w:rFonts w:ascii="Times New Roman" w:eastAsia="Times New Roman" w:hAnsi="Times New Roman" w:cs="Times New Roman"/>
                <w:b/>
                <w:bCs/>
                <w:color w:val="000000"/>
                <w:sz w:val="24"/>
                <w:szCs w:val="24"/>
                <w:lang w:eastAsia="lt-LT"/>
              </w:rPr>
            </w:pPr>
            <w:r w:rsidRPr="009D452D">
              <w:rPr>
                <w:rFonts w:ascii="Times New Roman" w:eastAsia="Times New Roman" w:hAnsi="Times New Roman" w:cs="Times New Roman"/>
                <w:b/>
                <w:bCs/>
                <w:color w:val="000000"/>
                <w:sz w:val="24"/>
                <w:szCs w:val="24"/>
                <w:lang w:eastAsia="lt-LT"/>
              </w:rPr>
              <w:t>4633,92</w:t>
            </w:r>
          </w:p>
        </w:tc>
        <w:tc>
          <w:tcPr>
            <w:tcW w:w="1843" w:type="dxa"/>
            <w:tcBorders>
              <w:top w:val="nil"/>
              <w:left w:val="nil"/>
              <w:bottom w:val="single" w:sz="4" w:space="0" w:color="auto"/>
              <w:right w:val="single" w:sz="4" w:space="0" w:color="auto"/>
            </w:tcBorders>
            <w:shd w:val="clear" w:color="auto" w:fill="auto"/>
            <w:noWrap/>
            <w:vAlign w:val="center"/>
            <w:hideMark/>
          </w:tcPr>
          <w:p w14:paraId="548EC974" w14:textId="06E8B20F" w:rsidR="00C31454" w:rsidRPr="009D452D" w:rsidRDefault="000345CC" w:rsidP="009D452D">
            <w:pPr>
              <w:spacing w:after="0" w:line="240" w:lineRule="auto"/>
              <w:jc w:val="center"/>
              <w:rPr>
                <w:rFonts w:ascii="Times New Roman" w:eastAsia="Times New Roman" w:hAnsi="Times New Roman" w:cs="Times New Roman"/>
                <w:b/>
                <w:color w:val="000000"/>
                <w:sz w:val="24"/>
                <w:szCs w:val="24"/>
                <w:highlight w:val="yellow"/>
                <w:lang w:eastAsia="lt-LT"/>
              </w:rPr>
            </w:pPr>
            <w:r w:rsidRPr="009D452D">
              <w:rPr>
                <w:rFonts w:ascii="Times New Roman" w:eastAsia="Times New Roman" w:hAnsi="Times New Roman" w:cs="Times New Roman"/>
                <w:b/>
                <w:color w:val="000000"/>
                <w:sz w:val="24"/>
                <w:szCs w:val="24"/>
                <w:lang w:eastAsia="lt-LT"/>
              </w:rPr>
              <w:t>5607.04</w:t>
            </w:r>
          </w:p>
        </w:tc>
      </w:tr>
      <w:tr w:rsidR="00C31454" w:rsidRPr="009D452D" w14:paraId="09CEB40D" w14:textId="77777777" w:rsidTr="00970972">
        <w:trPr>
          <w:trHeight w:val="900"/>
          <w:jc w:val="center"/>
        </w:trPr>
        <w:tc>
          <w:tcPr>
            <w:tcW w:w="1720" w:type="dxa"/>
            <w:vMerge/>
            <w:tcBorders>
              <w:top w:val="nil"/>
              <w:left w:val="single" w:sz="4" w:space="0" w:color="auto"/>
              <w:bottom w:val="single" w:sz="4" w:space="0" w:color="auto"/>
              <w:right w:val="single" w:sz="4" w:space="0" w:color="auto"/>
            </w:tcBorders>
            <w:shd w:val="clear" w:color="auto" w:fill="auto"/>
            <w:vAlign w:val="center"/>
            <w:hideMark/>
          </w:tcPr>
          <w:p w14:paraId="38708359" w14:textId="77777777" w:rsidR="00C31454" w:rsidRPr="009D452D" w:rsidRDefault="00C31454" w:rsidP="009D452D">
            <w:pPr>
              <w:spacing w:after="0" w:line="240" w:lineRule="auto"/>
              <w:jc w:val="center"/>
              <w:rPr>
                <w:rFonts w:ascii="Times New Roman" w:eastAsia="Times New Roman" w:hAnsi="Times New Roman" w:cs="Times New Roman"/>
                <w:color w:val="000000"/>
                <w:sz w:val="24"/>
                <w:szCs w:val="24"/>
                <w:lang w:eastAsia="lt-LT"/>
              </w:rPr>
            </w:pPr>
          </w:p>
        </w:tc>
        <w:tc>
          <w:tcPr>
            <w:tcW w:w="3237" w:type="dxa"/>
            <w:tcBorders>
              <w:top w:val="nil"/>
              <w:left w:val="nil"/>
              <w:bottom w:val="single" w:sz="4" w:space="0" w:color="auto"/>
              <w:right w:val="single" w:sz="4" w:space="0" w:color="auto"/>
            </w:tcBorders>
            <w:shd w:val="clear" w:color="auto" w:fill="auto"/>
            <w:vAlign w:val="center"/>
            <w:hideMark/>
          </w:tcPr>
          <w:p w14:paraId="4F6BB137" w14:textId="77777777" w:rsidR="00C31454" w:rsidRPr="009D452D" w:rsidRDefault="00C31454" w:rsidP="009D452D">
            <w:pPr>
              <w:spacing w:after="0" w:line="240" w:lineRule="auto"/>
              <w:rPr>
                <w:rFonts w:ascii="Times New Roman" w:eastAsia="Times New Roman" w:hAnsi="Times New Roman" w:cs="Times New Roman"/>
                <w:color w:val="000000"/>
                <w:sz w:val="24"/>
                <w:szCs w:val="24"/>
                <w:lang w:eastAsia="lt-LT"/>
              </w:rPr>
            </w:pPr>
            <w:r w:rsidRPr="009D452D">
              <w:rPr>
                <w:rFonts w:ascii="Times New Roman" w:eastAsia="Times New Roman" w:hAnsi="Times New Roman" w:cs="Times New Roman"/>
                <w:color w:val="000000"/>
                <w:sz w:val="24"/>
                <w:szCs w:val="24"/>
                <w:lang w:eastAsia="lt-LT"/>
              </w:rPr>
              <w:t xml:space="preserve">Ankstyvosios stadijos </w:t>
            </w:r>
            <w:r w:rsidRPr="009D452D">
              <w:rPr>
                <w:rFonts w:ascii="Times New Roman" w:eastAsia="Times New Roman" w:hAnsi="Times New Roman" w:cs="Times New Roman"/>
                <w:b/>
                <w:bCs/>
                <w:color w:val="000000"/>
                <w:sz w:val="24"/>
                <w:szCs w:val="24"/>
                <w:lang w:eastAsia="lt-LT"/>
              </w:rPr>
              <w:t>MTEP</w:t>
            </w:r>
            <w:r w:rsidRPr="009D452D">
              <w:rPr>
                <w:rFonts w:ascii="Times New Roman" w:eastAsia="Times New Roman" w:hAnsi="Times New Roman" w:cs="Times New Roman"/>
                <w:color w:val="000000"/>
                <w:sz w:val="24"/>
                <w:szCs w:val="24"/>
                <w:lang w:eastAsia="lt-LT"/>
              </w:rPr>
              <w:t xml:space="preserve"> paslaugų įsigijimo iš mokslo ir studijų institucijų išlaidos</w:t>
            </w:r>
          </w:p>
        </w:tc>
        <w:tc>
          <w:tcPr>
            <w:tcW w:w="2126" w:type="dxa"/>
            <w:tcBorders>
              <w:top w:val="nil"/>
              <w:left w:val="nil"/>
              <w:bottom w:val="single" w:sz="4" w:space="0" w:color="auto"/>
              <w:right w:val="single" w:sz="4" w:space="0" w:color="auto"/>
            </w:tcBorders>
            <w:shd w:val="clear" w:color="auto" w:fill="auto"/>
            <w:noWrap/>
            <w:vAlign w:val="center"/>
            <w:hideMark/>
          </w:tcPr>
          <w:p w14:paraId="717A7A8C" w14:textId="77777777" w:rsidR="00C31454" w:rsidRPr="009D452D" w:rsidRDefault="00C31454" w:rsidP="009D452D">
            <w:pPr>
              <w:spacing w:after="0" w:line="240" w:lineRule="auto"/>
              <w:jc w:val="center"/>
              <w:rPr>
                <w:rFonts w:ascii="Times New Roman" w:eastAsia="Times New Roman" w:hAnsi="Times New Roman" w:cs="Times New Roman"/>
                <w:b/>
                <w:bCs/>
                <w:color w:val="000000"/>
                <w:sz w:val="24"/>
                <w:szCs w:val="24"/>
                <w:lang w:eastAsia="lt-LT"/>
              </w:rPr>
            </w:pPr>
            <w:r w:rsidRPr="009D452D">
              <w:rPr>
                <w:rFonts w:ascii="Times New Roman" w:eastAsia="Times New Roman" w:hAnsi="Times New Roman" w:cs="Times New Roman"/>
                <w:b/>
                <w:bCs/>
                <w:color w:val="000000"/>
                <w:sz w:val="24"/>
                <w:szCs w:val="24"/>
                <w:lang w:eastAsia="lt-LT"/>
              </w:rPr>
              <w:t>4633,92</w:t>
            </w:r>
          </w:p>
        </w:tc>
        <w:tc>
          <w:tcPr>
            <w:tcW w:w="1843" w:type="dxa"/>
            <w:tcBorders>
              <w:top w:val="nil"/>
              <w:left w:val="nil"/>
              <w:bottom w:val="single" w:sz="4" w:space="0" w:color="auto"/>
              <w:right w:val="single" w:sz="4" w:space="0" w:color="auto"/>
            </w:tcBorders>
            <w:shd w:val="clear" w:color="auto" w:fill="auto"/>
            <w:noWrap/>
            <w:vAlign w:val="center"/>
            <w:hideMark/>
          </w:tcPr>
          <w:p w14:paraId="02BC3876" w14:textId="3C569990" w:rsidR="00C31454" w:rsidRPr="009D452D" w:rsidRDefault="000345CC" w:rsidP="009D452D">
            <w:pPr>
              <w:spacing w:after="0" w:line="240" w:lineRule="auto"/>
              <w:jc w:val="center"/>
              <w:rPr>
                <w:rFonts w:ascii="Times New Roman" w:eastAsia="Times New Roman" w:hAnsi="Times New Roman" w:cs="Times New Roman"/>
                <w:b/>
                <w:color w:val="000000"/>
                <w:sz w:val="24"/>
                <w:szCs w:val="24"/>
                <w:highlight w:val="yellow"/>
                <w:lang w:eastAsia="lt-LT"/>
              </w:rPr>
            </w:pPr>
            <w:r w:rsidRPr="009D452D">
              <w:rPr>
                <w:rFonts w:ascii="Times New Roman" w:eastAsia="Times New Roman" w:hAnsi="Times New Roman" w:cs="Times New Roman"/>
                <w:b/>
                <w:color w:val="000000"/>
                <w:sz w:val="24"/>
                <w:szCs w:val="24"/>
                <w:lang w:eastAsia="lt-LT"/>
              </w:rPr>
              <w:t>5607.04</w:t>
            </w:r>
          </w:p>
        </w:tc>
      </w:tr>
    </w:tbl>
    <w:p w14:paraId="477AEFD0" w14:textId="7339021D" w:rsidR="00C31454" w:rsidRPr="009D452D" w:rsidRDefault="00C31454" w:rsidP="009D452D">
      <w:pPr>
        <w:spacing w:after="0" w:line="240" w:lineRule="auto"/>
        <w:jc w:val="both"/>
        <w:rPr>
          <w:rFonts w:ascii="Times New Roman" w:hAnsi="Times New Roman" w:cs="Times New Roman"/>
          <w:sz w:val="24"/>
          <w:szCs w:val="24"/>
        </w:rPr>
      </w:pPr>
    </w:p>
    <w:p w14:paraId="32A2EB75" w14:textId="05A718D5" w:rsidR="00891158"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w:t>
      </w:r>
      <w:r w:rsidR="001D6A82" w:rsidRPr="009D452D">
        <w:rPr>
          <w:rFonts w:ascii="Times New Roman" w:hAnsi="Times New Roman" w:cs="Times New Roman"/>
          <w:sz w:val="24"/>
          <w:szCs w:val="24"/>
        </w:rPr>
        <w:t>5</w:t>
      </w:r>
      <w:r w:rsidR="00155855" w:rsidRPr="009D452D">
        <w:rPr>
          <w:rFonts w:ascii="Times New Roman" w:hAnsi="Times New Roman" w:cs="Times New Roman"/>
          <w:sz w:val="24"/>
          <w:szCs w:val="24"/>
        </w:rPr>
        <w:t xml:space="preserve">. </w:t>
      </w:r>
      <w:r w:rsidR="00891158" w:rsidRPr="009D452D">
        <w:rPr>
          <w:rFonts w:ascii="Times New Roman" w:hAnsi="Times New Roman" w:cs="Times New Roman"/>
          <w:sz w:val="24"/>
          <w:szCs w:val="24"/>
        </w:rPr>
        <w:t>Skirtumai tarp pirmojo ir antrojo tyrimo vykdymo etapo metu gautų reikšmių pateikiami 3 lentelėje</w:t>
      </w:r>
      <w:r w:rsidR="00AE43C4" w:rsidRPr="009D452D">
        <w:rPr>
          <w:rFonts w:ascii="Times New Roman" w:hAnsi="Times New Roman" w:cs="Times New Roman"/>
          <w:sz w:val="24"/>
          <w:szCs w:val="24"/>
        </w:rPr>
        <w:t xml:space="preserve"> bei 3 priede</w:t>
      </w:r>
      <w:r w:rsidR="00891158" w:rsidRPr="009D452D">
        <w:rPr>
          <w:rFonts w:ascii="Times New Roman" w:hAnsi="Times New Roman" w:cs="Times New Roman"/>
          <w:sz w:val="24"/>
          <w:szCs w:val="24"/>
        </w:rPr>
        <w:t>.</w:t>
      </w:r>
    </w:p>
    <w:p w14:paraId="5F238C3E" w14:textId="77777777" w:rsidR="009D452D" w:rsidRPr="009D452D" w:rsidRDefault="009D452D" w:rsidP="009D452D">
      <w:pPr>
        <w:spacing w:after="0" w:line="240" w:lineRule="auto"/>
        <w:jc w:val="both"/>
        <w:rPr>
          <w:rFonts w:ascii="Times New Roman" w:hAnsi="Times New Roman" w:cs="Times New Roman"/>
          <w:sz w:val="24"/>
          <w:szCs w:val="24"/>
        </w:rPr>
      </w:pPr>
    </w:p>
    <w:p w14:paraId="1ABAB829" w14:textId="3887A85E" w:rsidR="00891158" w:rsidRPr="009D452D" w:rsidRDefault="00891158" w:rsidP="009D452D">
      <w:pPr>
        <w:spacing w:after="0" w:line="240" w:lineRule="auto"/>
        <w:jc w:val="center"/>
        <w:rPr>
          <w:rFonts w:ascii="Times New Roman" w:hAnsi="Times New Roman" w:cs="Times New Roman"/>
          <w:sz w:val="24"/>
          <w:szCs w:val="24"/>
          <w:highlight w:val="yellow"/>
        </w:rPr>
      </w:pPr>
      <w:r w:rsidRPr="009D452D">
        <w:rPr>
          <w:rFonts w:ascii="Times New Roman" w:hAnsi="Times New Roman" w:cs="Times New Roman"/>
          <w:b/>
          <w:sz w:val="24"/>
          <w:szCs w:val="24"/>
        </w:rPr>
        <w:t>3 lentelė.</w:t>
      </w:r>
      <w:r w:rsidRPr="009D452D">
        <w:rPr>
          <w:rFonts w:ascii="Times New Roman" w:hAnsi="Times New Roman" w:cs="Times New Roman"/>
          <w:sz w:val="24"/>
          <w:szCs w:val="24"/>
        </w:rPr>
        <w:t xml:space="preserve"> Skirtumas tarp E1 ir E2, proc.</w:t>
      </w:r>
    </w:p>
    <w:tbl>
      <w:tblPr>
        <w:tblW w:w="8660" w:type="dxa"/>
        <w:jc w:val="center"/>
        <w:tblLook w:val="04A0" w:firstRow="1" w:lastRow="0" w:firstColumn="1" w:lastColumn="0" w:noHBand="0" w:noVBand="1"/>
      </w:tblPr>
      <w:tblGrid>
        <w:gridCol w:w="3280"/>
        <w:gridCol w:w="2640"/>
        <w:gridCol w:w="2740"/>
      </w:tblGrid>
      <w:tr w:rsidR="00891158" w:rsidRPr="00891158" w14:paraId="62F6C8A7" w14:textId="77777777" w:rsidTr="00891158">
        <w:trPr>
          <w:trHeight w:val="1635"/>
          <w:jc w:val="center"/>
        </w:trPr>
        <w:tc>
          <w:tcPr>
            <w:tcW w:w="3280" w:type="dxa"/>
            <w:tcBorders>
              <w:top w:val="nil"/>
              <w:bottom w:val="single" w:sz="4" w:space="0" w:color="auto"/>
              <w:right w:val="single" w:sz="4" w:space="0" w:color="auto"/>
            </w:tcBorders>
            <w:shd w:val="clear" w:color="auto" w:fill="auto"/>
            <w:noWrap/>
            <w:vAlign w:val="center"/>
            <w:hideMark/>
          </w:tcPr>
          <w:p w14:paraId="6A6A739C" w14:textId="77777777" w:rsidR="00891158" w:rsidRPr="00891158" w:rsidRDefault="00891158" w:rsidP="009D452D">
            <w:pPr>
              <w:spacing w:after="0" w:line="240" w:lineRule="auto"/>
              <w:rPr>
                <w:rFonts w:ascii="Times New Roman" w:eastAsia="Times New Roman" w:hAnsi="Times New Roman" w:cs="Times New Roman"/>
                <w:color w:val="000000"/>
                <w:sz w:val="24"/>
                <w:szCs w:val="24"/>
                <w:lang w:eastAsia="lt-LT"/>
              </w:rPr>
            </w:pPr>
            <w:r w:rsidRPr="00891158">
              <w:rPr>
                <w:rFonts w:ascii="Times New Roman" w:eastAsia="Times New Roman" w:hAnsi="Times New Roman" w:cs="Times New Roman"/>
                <w:color w:val="000000"/>
                <w:sz w:val="24"/>
                <w:szCs w:val="24"/>
                <w:lang w:eastAsia="lt-LT"/>
              </w:rPr>
              <w:t> </w:t>
            </w:r>
          </w:p>
        </w:tc>
        <w:tc>
          <w:tcPr>
            <w:tcW w:w="2640" w:type="dxa"/>
            <w:tcBorders>
              <w:top w:val="single" w:sz="4" w:space="0" w:color="auto"/>
              <w:left w:val="nil"/>
              <w:bottom w:val="single" w:sz="4" w:space="0" w:color="auto"/>
              <w:right w:val="single" w:sz="4" w:space="0" w:color="auto"/>
            </w:tcBorders>
            <w:shd w:val="clear" w:color="000000" w:fill="000000"/>
            <w:vAlign w:val="center"/>
            <w:hideMark/>
          </w:tcPr>
          <w:p w14:paraId="10E207BC" w14:textId="77777777" w:rsidR="00891158" w:rsidRPr="00891158" w:rsidRDefault="00891158" w:rsidP="009D452D">
            <w:pPr>
              <w:spacing w:after="0" w:line="240" w:lineRule="auto"/>
              <w:jc w:val="center"/>
              <w:rPr>
                <w:rFonts w:ascii="Times New Roman" w:eastAsia="Times New Roman" w:hAnsi="Times New Roman" w:cs="Times New Roman"/>
                <w:color w:val="FFFFFF"/>
                <w:sz w:val="24"/>
                <w:szCs w:val="24"/>
                <w:lang w:eastAsia="lt-LT"/>
              </w:rPr>
            </w:pPr>
            <w:r w:rsidRPr="00891158">
              <w:rPr>
                <w:rFonts w:ascii="Times New Roman" w:eastAsia="Times New Roman" w:hAnsi="Times New Roman" w:cs="Times New Roman"/>
                <w:color w:val="FFFFFF"/>
                <w:sz w:val="24"/>
                <w:szCs w:val="24"/>
                <w:lang w:eastAsia="lt-LT"/>
              </w:rPr>
              <w:t>Techninių galimybių studijų (TGS) parengimo įsigijimo iš mokslo ir studijų institucijų išlaidos, Eur. be PVM</w:t>
            </w:r>
          </w:p>
        </w:tc>
        <w:tc>
          <w:tcPr>
            <w:tcW w:w="2740" w:type="dxa"/>
            <w:tcBorders>
              <w:top w:val="single" w:sz="4" w:space="0" w:color="auto"/>
              <w:left w:val="nil"/>
              <w:bottom w:val="single" w:sz="4" w:space="0" w:color="auto"/>
              <w:right w:val="single" w:sz="4" w:space="0" w:color="auto"/>
            </w:tcBorders>
            <w:shd w:val="clear" w:color="000000" w:fill="000000"/>
            <w:vAlign w:val="center"/>
            <w:hideMark/>
          </w:tcPr>
          <w:p w14:paraId="4A4F6587" w14:textId="77777777" w:rsidR="00891158" w:rsidRPr="00891158" w:rsidRDefault="00891158" w:rsidP="009D452D">
            <w:pPr>
              <w:spacing w:after="0" w:line="240" w:lineRule="auto"/>
              <w:jc w:val="center"/>
              <w:rPr>
                <w:rFonts w:ascii="Times New Roman" w:eastAsia="Times New Roman" w:hAnsi="Times New Roman" w:cs="Times New Roman"/>
                <w:color w:val="FFFFFF"/>
                <w:sz w:val="24"/>
                <w:szCs w:val="24"/>
                <w:lang w:eastAsia="lt-LT"/>
              </w:rPr>
            </w:pPr>
            <w:r w:rsidRPr="00891158">
              <w:rPr>
                <w:rFonts w:ascii="Times New Roman" w:eastAsia="Times New Roman" w:hAnsi="Times New Roman" w:cs="Times New Roman"/>
                <w:color w:val="FFFFFF"/>
                <w:sz w:val="24"/>
                <w:szCs w:val="24"/>
                <w:lang w:eastAsia="lt-LT"/>
              </w:rPr>
              <w:t>Ankstyvosios stadijos MTEP paslaugų įsigijimo iš mokslo ir studijų institucijų išlaidos, Eur. be PVM</w:t>
            </w:r>
          </w:p>
        </w:tc>
      </w:tr>
      <w:tr w:rsidR="00891158" w:rsidRPr="00891158" w14:paraId="07E8EADD" w14:textId="77777777" w:rsidTr="00891158">
        <w:trPr>
          <w:trHeight w:val="6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307C9BFD" w14:textId="77777777" w:rsidR="00891158" w:rsidRPr="00891158" w:rsidRDefault="00891158" w:rsidP="009D452D">
            <w:pPr>
              <w:spacing w:after="0" w:line="240" w:lineRule="auto"/>
              <w:rPr>
                <w:rFonts w:ascii="Times New Roman" w:eastAsia="Times New Roman" w:hAnsi="Times New Roman" w:cs="Times New Roman"/>
                <w:color w:val="000000"/>
                <w:sz w:val="24"/>
                <w:szCs w:val="24"/>
                <w:lang w:eastAsia="lt-LT"/>
              </w:rPr>
            </w:pPr>
            <w:r w:rsidRPr="00891158">
              <w:rPr>
                <w:rFonts w:ascii="Times New Roman" w:eastAsia="Times New Roman" w:hAnsi="Times New Roman" w:cs="Times New Roman"/>
                <w:color w:val="000000"/>
                <w:sz w:val="24"/>
                <w:szCs w:val="24"/>
                <w:lang w:eastAsia="lt-LT"/>
              </w:rPr>
              <w:t>Pirmojo tyrimo vykdymo etapo metu gauta reikšmė (E1)</w:t>
            </w:r>
          </w:p>
        </w:tc>
        <w:tc>
          <w:tcPr>
            <w:tcW w:w="2640" w:type="dxa"/>
            <w:tcBorders>
              <w:top w:val="nil"/>
              <w:left w:val="nil"/>
              <w:bottom w:val="single" w:sz="4" w:space="0" w:color="auto"/>
              <w:right w:val="single" w:sz="4" w:space="0" w:color="auto"/>
            </w:tcBorders>
            <w:shd w:val="clear" w:color="auto" w:fill="auto"/>
            <w:noWrap/>
            <w:vAlign w:val="center"/>
            <w:hideMark/>
          </w:tcPr>
          <w:p w14:paraId="37791346" w14:textId="77777777" w:rsidR="00891158" w:rsidRPr="00891158" w:rsidRDefault="00891158" w:rsidP="009D452D">
            <w:pPr>
              <w:spacing w:after="0" w:line="240" w:lineRule="auto"/>
              <w:jc w:val="center"/>
              <w:rPr>
                <w:rFonts w:ascii="Times New Roman" w:eastAsia="Times New Roman" w:hAnsi="Times New Roman" w:cs="Times New Roman"/>
                <w:color w:val="000000"/>
                <w:sz w:val="24"/>
                <w:szCs w:val="24"/>
                <w:lang w:eastAsia="lt-LT"/>
              </w:rPr>
            </w:pPr>
            <w:r w:rsidRPr="00891158">
              <w:rPr>
                <w:rFonts w:ascii="Times New Roman" w:eastAsia="Times New Roman" w:hAnsi="Times New Roman" w:cs="Times New Roman"/>
                <w:color w:val="000000"/>
                <w:sz w:val="24"/>
                <w:szCs w:val="24"/>
                <w:lang w:eastAsia="lt-LT"/>
              </w:rPr>
              <w:t>4576,00</w:t>
            </w:r>
          </w:p>
        </w:tc>
        <w:tc>
          <w:tcPr>
            <w:tcW w:w="2740" w:type="dxa"/>
            <w:tcBorders>
              <w:top w:val="nil"/>
              <w:left w:val="nil"/>
              <w:bottom w:val="single" w:sz="4" w:space="0" w:color="auto"/>
              <w:right w:val="single" w:sz="4" w:space="0" w:color="auto"/>
            </w:tcBorders>
            <w:shd w:val="clear" w:color="auto" w:fill="auto"/>
            <w:noWrap/>
            <w:vAlign w:val="center"/>
            <w:hideMark/>
          </w:tcPr>
          <w:p w14:paraId="3AE54084" w14:textId="77777777" w:rsidR="00891158" w:rsidRPr="00891158" w:rsidRDefault="00891158" w:rsidP="009D452D">
            <w:pPr>
              <w:spacing w:after="0" w:line="240" w:lineRule="auto"/>
              <w:jc w:val="center"/>
              <w:rPr>
                <w:rFonts w:ascii="Times New Roman" w:eastAsia="Times New Roman" w:hAnsi="Times New Roman" w:cs="Times New Roman"/>
                <w:color w:val="000000"/>
                <w:sz w:val="24"/>
                <w:szCs w:val="24"/>
                <w:lang w:eastAsia="lt-LT"/>
              </w:rPr>
            </w:pPr>
            <w:r w:rsidRPr="00891158">
              <w:rPr>
                <w:rFonts w:ascii="Times New Roman" w:eastAsia="Times New Roman" w:hAnsi="Times New Roman" w:cs="Times New Roman"/>
                <w:color w:val="000000"/>
                <w:sz w:val="24"/>
                <w:szCs w:val="24"/>
                <w:lang w:eastAsia="lt-LT"/>
              </w:rPr>
              <w:t>4609,59</w:t>
            </w:r>
          </w:p>
        </w:tc>
      </w:tr>
      <w:tr w:rsidR="00891158" w:rsidRPr="00891158" w14:paraId="11331E14" w14:textId="77777777" w:rsidTr="00891158">
        <w:trPr>
          <w:trHeight w:val="6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0D86CAC6" w14:textId="77777777" w:rsidR="00891158" w:rsidRPr="00891158" w:rsidRDefault="00891158" w:rsidP="009D452D">
            <w:pPr>
              <w:spacing w:after="0" w:line="240" w:lineRule="auto"/>
              <w:rPr>
                <w:rFonts w:ascii="Times New Roman" w:eastAsia="Times New Roman" w:hAnsi="Times New Roman" w:cs="Times New Roman"/>
                <w:color w:val="000000"/>
                <w:sz w:val="24"/>
                <w:szCs w:val="24"/>
                <w:lang w:eastAsia="lt-LT"/>
              </w:rPr>
            </w:pPr>
            <w:r w:rsidRPr="00891158">
              <w:rPr>
                <w:rFonts w:ascii="Times New Roman" w:eastAsia="Times New Roman" w:hAnsi="Times New Roman" w:cs="Times New Roman"/>
                <w:color w:val="000000"/>
                <w:sz w:val="24"/>
                <w:szCs w:val="24"/>
                <w:lang w:eastAsia="lt-LT"/>
              </w:rPr>
              <w:t>Antrojo tyrimo vykdymo etapo metu gauta reikšmė (E2)</w:t>
            </w:r>
          </w:p>
        </w:tc>
        <w:tc>
          <w:tcPr>
            <w:tcW w:w="2640" w:type="dxa"/>
            <w:tcBorders>
              <w:top w:val="nil"/>
              <w:left w:val="nil"/>
              <w:bottom w:val="single" w:sz="4" w:space="0" w:color="auto"/>
              <w:right w:val="single" w:sz="4" w:space="0" w:color="auto"/>
            </w:tcBorders>
            <w:shd w:val="clear" w:color="auto" w:fill="auto"/>
            <w:noWrap/>
            <w:vAlign w:val="center"/>
            <w:hideMark/>
          </w:tcPr>
          <w:p w14:paraId="071DC109" w14:textId="77777777" w:rsidR="00891158" w:rsidRPr="00891158" w:rsidRDefault="00891158" w:rsidP="009D452D">
            <w:pPr>
              <w:spacing w:after="0" w:line="240" w:lineRule="auto"/>
              <w:jc w:val="center"/>
              <w:rPr>
                <w:rFonts w:ascii="Times New Roman" w:eastAsia="Times New Roman" w:hAnsi="Times New Roman" w:cs="Times New Roman"/>
                <w:color w:val="000000"/>
                <w:sz w:val="24"/>
                <w:szCs w:val="24"/>
                <w:lang w:eastAsia="lt-LT"/>
              </w:rPr>
            </w:pPr>
            <w:r w:rsidRPr="00891158">
              <w:rPr>
                <w:rFonts w:ascii="Times New Roman" w:eastAsia="Times New Roman" w:hAnsi="Times New Roman" w:cs="Times New Roman"/>
                <w:color w:val="000000"/>
                <w:sz w:val="24"/>
                <w:szCs w:val="24"/>
                <w:lang w:eastAsia="lt-LT"/>
              </w:rPr>
              <w:t>4633,92</w:t>
            </w:r>
          </w:p>
        </w:tc>
        <w:tc>
          <w:tcPr>
            <w:tcW w:w="2740" w:type="dxa"/>
            <w:tcBorders>
              <w:top w:val="nil"/>
              <w:left w:val="nil"/>
              <w:bottom w:val="single" w:sz="4" w:space="0" w:color="auto"/>
              <w:right w:val="single" w:sz="4" w:space="0" w:color="auto"/>
            </w:tcBorders>
            <w:shd w:val="clear" w:color="auto" w:fill="auto"/>
            <w:noWrap/>
            <w:vAlign w:val="center"/>
            <w:hideMark/>
          </w:tcPr>
          <w:p w14:paraId="1B83251A" w14:textId="77777777" w:rsidR="00891158" w:rsidRPr="00891158" w:rsidRDefault="00891158" w:rsidP="009D452D">
            <w:pPr>
              <w:spacing w:after="0" w:line="240" w:lineRule="auto"/>
              <w:jc w:val="center"/>
              <w:rPr>
                <w:rFonts w:ascii="Times New Roman" w:eastAsia="Times New Roman" w:hAnsi="Times New Roman" w:cs="Times New Roman"/>
                <w:color w:val="000000"/>
                <w:sz w:val="24"/>
                <w:szCs w:val="24"/>
                <w:lang w:eastAsia="lt-LT"/>
              </w:rPr>
            </w:pPr>
            <w:r w:rsidRPr="00891158">
              <w:rPr>
                <w:rFonts w:ascii="Times New Roman" w:eastAsia="Times New Roman" w:hAnsi="Times New Roman" w:cs="Times New Roman"/>
                <w:color w:val="000000"/>
                <w:sz w:val="24"/>
                <w:szCs w:val="24"/>
                <w:lang w:eastAsia="lt-LT"/>
              </w:rPr>
              <w:t>4633,92</w:t>
            </w:r>
          </w:p>
        </w:tc>
      </w:tr>
      <w:tr w:rsidR="00891158" w:rsidRPr="00891158" w14:paraId="7E856A5E" w14:textId="77777777" w:rsidTr="00891158">
        <w:trPr>
          <w:trHeight w:val="555"/>
          <w:jc w:val="center"/>
        </w:trPr>
        <w:tc>
          <w:tcPr>
            <w:tcW w:w="3280" w:type="dxa"/>
            <w:tcBorders>
              <w:top w:val="nil"/>
              <w:left w:val="single" w:sz="4" w:space="0" w:color="auto"/>
              <w:bottom w:val="single" w:sz="4" w:space="0" w:color="auto"/>
              <w:right w:val="single" w:sz="4" w:space="0" w:color="auto"/>
            </w:tcBorders>
            <w:shd w:val="clear" w:color="000000" w:fill="000000"/>
            <w:noWrap/>
            <w:vAlign w:val="center"/>
            <w:hideMark/>
          </w:tcPr>
          <w:p w14:paraId="7115B19D" w14:textId="0483F501" w:rsidR="00891158" w:rsidRPr="00891158" w:rsidRDefault="00891158" w:rsidP="009D452D">
            <w:pPr>
              <w:spacing w:after="0" w:line="240" w:lineRule="auto"/>
              <w:rPr>
                <w:rFonts w:ascii="Times New Roman" w:eastAsia="Times New Roman" w:hAnsi="Times New Roman" w:cs="Times New Roman"/>
                <w:color w:val="FFFFFF"/>
                <w:sz w:val="24"/>
                <w:szCs w:val="24"/>
                <w:lang w:eastAsia="lt-LT"/>
              </w:rPr>
            </w:pPr>
            <w:r w:rsidRPr="009D452D">
              <w:rPr>
                <w:rFonts w:ascii="Times New Roman" w:eastAsia="Times New Roman" w:hAnsi="Times New Roman" w:cs="Times New Roman"/>
                <w:color w:val="FFFFFF"/>
                <w:sz w:val="24"/>
                <w:szCs w:val="24"/>
                <w:lang w:eastAsia="lt-LT"/>
              </w:rPr>
              <w:t>Skirtumas</w:t>
            </w:r>
            <w:r w:rsidRPr="00891158">
              <w:rPr>
                <w:rFonts w:ascii="Times New Roman" w:eastAsia="Times New Roman" w:hAnsi="Times New Roman" w:cs="Times New Roman"/>
                <w:color w:val="FFFFFF"/>
                <w:sz w:val="24"/>
                <w:szCs w:val="24"/>
                <w:lang w:eastAsia="lt-LT"/>
              </w:rPr>
              <w:t xml:space="preserve"> tarp E1 ir E2, proc.</w:t>
            </w:r>
          </w:p>
        </w:tc>
        <w:tc>
          <w:tcPr>
            <w:tcW w:w="2640" w:type="dxa"/>
            <w:tcBorders>
              <w:top w:val="nil"/>
              <w:left w:val="nil"/>
              <w:bottom w:val="single" w:sz="4" w:space="0" w:color="auto"/>
              <w:right w:val="single" w:sz="4" w:space="0" w:color="auto"/>
            </w:tcBorders>
            <w:shd w:val="clear" w:color="auto" w:fill="auto"/>
            <w:noWrap/>
            <w:vAlign w:val="center"/>
            <w:hideMark/>
          </w:tcPr>
          <w:p w14:paraId="684BD7C2" w14:textId="77777777" w:rsidR="00891158" w:rsidRPr="00891158" w:rsidRDefault="00891158" w:rsidP="009D452D">
            <w:pPr>
              <w:spacing w:after="0" w:line="240" w:lineRule="auto"/>
              <w:jc w:val="center"/>
              <w:rPr>
                <w:rFonts w:ascii="Times New Roman" w:eastAsia="Times New Roman" w:hAnsi="Times New Roman" w:cs="Times New Roman"/>
                <w:b/>
                <w:color w:val="000000"/>
                <w:sz w:val="24"/>
                <w:szCs w:val="24"/>
                <w:lang w:eastAsia="lt-LT"/>
              </w:rPr>
            </w:pPr>
            <w:r w:rsidRPr="00891158">
              <w:rPr>
                <w:rFonts w:ascii="Times New Roman" w:eastAsia="Times New Roman" w:hAnsi="Times New Roman" w:cs="Times New Roman"/>
                <w:b/>
                <w:color w:val="000000"/>
                <w:sz w:val="24"/>
                <w:szCs w:val="24"/>
                <w:lang w:eastAsia="lt-LT"/>
              </w:rPr>
              <w:t>1,25%</w:t>
            </w:r>
          </w:p>
        </w:tc>
        <w:tc>
          <w:tcPr>
            <w:tcW w:w="2740" w:type="dxa"/>
            <w:tcBorders>
              <w:top w:val="nil"/>
              <w:left w:val="nil"/>
              <w:bottom w:val="single" w:sz="4" w:space="0" w:color="auto"/>
              <w:right w:val="single" w:sz="4" w:space="0" w:color="auto"/>
            </w:tcBorders>
            <w:shd w:val="clear" w:color="auto" w:fill="auto"/>
            <w:noWrap/>
            <w:vAlign w:val="center"/>
            <w:hideMark/>
          </w:tcPr>
          <w:p w14:paraId="40A113E7" w14:textId="77777777" w:rsidR="00891158" w:rsidRPr="00891158" w:rsidRDefault="00891158" w:rsidP="009D452D">
            <w:pPr>
              <w:spacing w:after="0" w:line="240" w:lineRule="auto"/>
              <w:jc w:val="center"/>
              <w:rPr>
                <w:rFonts w:ascii="Times New Roman" w:eastAsia="Times New Roman" w:hAnsi="Times New Roman" w:cs="Times New Roman"/>
                <w:b/>
                <w:color w:val="000000"/>
                <w:sz w:val="24"/>
                <w:szCs w:val="24"/>
                <w:lang w:eastAsia="lt-LT"/>
              </w:rPr>
            </w:pPr>
            <w:r w:rsidRPr="00891158">
              <w:rPr>
                <w:rFonts w:ascii="Times New Roman" w:eastAsia="Times New Roman" w:hAnsi="Times New Roman" w:cs="Times New Roman"/>
                <w:b/>
                <w:color w:val="000000"/>
                <w:sz w:val="24"/>
                <w:szCs w:val="24"/>
                <w:lang w:eastAsia="lt-LT"/>
              </w:rPr>
              <w:t>0,52%</w:t>
            </w:r>
          </w:p>
        </w:tc>
      </w:tr>
    </w:tbl>
    <w:p w14:paraId="00F87482" w14:textId="5D19EF74" w:rsidR="00891158" w:rsidRPr="009D452D" w:rsidRDefault="00891158" w:rsidP="009D452D">
      <w:pPr>
        <w:spacing w:after="0" w:line="240" w:lineRule="auto"/>
        <w:jc w:val="both"/>
        <w:rPr>
          <w:rFonts w:ascii="Times New Roman" w:hAnsi="Times New Roman" w:cs="Times New Roman"/>
          <w:sz w:val="24"/>
          <w:szCs w:val="24"/>
          <w:highlight w:val="yellow"/>
        </w:rPr>
      </w:pPr>
    </w:p>
    <w:p w14:paraId="47041C9E" w14:textId="5D4BDECE" w:rsidR="0046100F" w:rsidRPr="009D452D"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w:t>
      </w:r>
      <w:r w:rsidR="0046100F" w:rsidRPr="009D452D">
        <w:rPr>
          <w:rFonts w:ascii="Times New Roman" w:hAnsi="Times New Roman" w:cs="Times New Roman"/>
          <w:sz w:val="24"/>
          <w:szCs w:val="24"/>
        </w:rPr>
        <w:t>5.1. Apibendrinus tyrimo rezultatus, nepastebėtas statistiškai reikšmingas nuokrypis (t. y. nuokrypis neviršija 2 proc.), todėl antrojo tyrimo vykdymo etapo metu gautus rezultatus galima laikyti patikimais ir jais vadovautis nustatant fiksuotąsias sumas.</w:t>
      </w:r>
    </w:p>
    <w:p w14:paraId="6D12F583" w14:textId="4C1B1550" w:rsidR="00155855" w:rsidRPr="009D452D" w:rsidRDefault="00891158" w:rsidP="009D452D">
      <w:pPr>
        <w:spacing w:after="0" w:line="240" w:lineRule="auto"/>
        <w:jc w:val="both"/>
        <w:rPr>
          <w:rFonts w:ascii="Times New Roman" w:hAnsi="Times New Roman" w:cs="Times New Roman"/>
          <w:sz w:val="24"/>
          <w:szCs w:val="24"/>
        </w:rPr>
      </w:pPr>
      <w:r w:rsidRPr="009D452D">
        <w:rPr>
          <w:rFonts w:ascii="Times New Roman" w:hAnsi="Times New Roman" w:cs="Times New Roman"/>
          <w:sz w:val="24"/>
          <w:szCs w:val="24"/>
          <w:highlight w:val="yellow"/>
        </w:rPr>
        <w:t xml:space="preserve"> </w:t>
      </w:r>
    </w:p>
    <w:p w14:paraId="0776174E" w14:textId="77777777" w:rsidR="001D6A82" w:rsidRPr="009D452D" w:rsidRDefault="001D6A82" w:rsidP="009D452D">
      <w:pPr>
        <w:spacing w:after="0" w:line="240" w:lineRule="auto"/>
        <w:jc w:val="both"/>
        <w:rPr>
          <w:rFonts w:ascii="Times New Roman" w:hAnsi="Times New Roman" w:cs="Times New Roman"/>
          <w:sz w:val="24"/>
          <w:szCs w:val="24"/>
        </w:rPr>
      </w:pPr>
    </w:p>
    <w:p w14:paraId="3BE29E1C" w14:textId="2A637309" w:rsidR="004B2C41" w:rsidRDefault="004949D6" w:rsidP="009D452D">
      <w:pPr>
        <w:spacing w:after="0" w:line="240" w:lineRule="auto"/>
        <w:jc w:val="center"/>
        <w:rPr>
          <w:rFonts w:ascii="Times New Roman" w:hAnsi="Times New Roman" w:cs="Times New Roman"/>
          <w:b/>
          <w:sz w:val="24"/>
          <w:szCs w:val="24"/>
        </w:rPr>
      </w:pPr>
      <w:r w:rsidRPr="009D452D">
        <w:rPr>
          <w:rFonts w:ascii="Times New Roman" w:hAnsi="Times New Roman" w:cs="Times New Roman"/>
          <w:b/>
          <w:sz w:val="24"/>
          <w:szCs w:val="24"/>
        </w:rPr>
        <w:t xml:space="preserve">III. </w:t>
      </w:r>
      <w:r w:rsidR="004B2C41" w:rsidRPr="009D452D">
        <w:rPr>
          <w:rFonts w:ascii="Times New Roman" w:hAnsi="Times New Roman" w:cs="Times New Roman"/>
          <w:b/>
          <w:sz w:val="24"/>
          <w:szCs w:val="24"/>
        </w:rPr>
        <w:t>TYRIMO REZULTATAI</w:t>
      </w:r>
    </w:p>
    <w:p w14:paraId="4440EE45" w14:textId="77777777" w:rsidR="009D452D" w:rsidRPr="009D452D" w:rsidRDefault="009D452D" w:rsidP="009D452D">
      <w:pPr>
        <w:spacing w:after="0" w:line="240" w:lineRule="auto"/>
        <w:jc w:val="center"/>
        <w:rPr>
          <w:rFonts w:ascii="Times New Roman" w:hAnsi="Times New Roman" w:cs="Times New Roman"/>
          <w:b/>
          <w:sz w:val="24"/>
          <w:szCs w:val="24"/>
        </w:rPr>
      </w:pPr>
    </w:p>
    <w:p w14:paraId="7A949DA5" w14:textId="436C4862" w:rsidR="004B2C41"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w:t>
      </w:r>
      <w:r w:rsidR="004A0E59" w:rsidRPr="009D452D">
        <w:rPr>
          <w:rFonts w:ascii="Times New Roman" w:hAnsi="Times New Roman" w:cs="Times New Roman"/>
          <w:sz w:val="24"/>
          <w:szCs w:val="24"/>
        </w:rPr>
        <w:t>6</w:t>
      </w:r>
      <w:r w:rsidR="004B2C41" w:rsidRPr="009D452D">
        <w:rPr>
          <w:rFonts w:ascii="Times New Roman" w:hAnsi="Times New Roman" w:cs="Times New Roman"/>
          <w:sz w:val="24"/>
          <w:szCs w:val="24"/>
        </w:rPr>
        <w:t>.</w:t>
      </w:r>
      <w:r w:rsidR="00F33FCF" w:rsidRPr="009D452D">
        <w:rPr>
          <w:rFonts w:ascii="Times New Roman" w:hAnsi="Times New Roman" w:cs="Times New Roman"/>
          <w:sz w:val="24"/>
          <w:szCs w:val="24"/>
        </w:rPr>
        <w:t xml:space="preserve"> Remiantis tyrimo ataskaitos II dalyje pateiktais skaičiavimais ir jų rezultatų analize, fiksuotosios sumos </w:t>
      </w:r>
      <w:r w:rsidR="00045D12">
        <w:rPr>
          <w:rFonts w:ascii="Times New Roman" w:hAnsi="Times New Roman" w:cs="Times New Roman"/>
          <w:sz w:val="24"/>
          <w:szCs w:val="24"/>
        </w:rPr>
        <w:t>1 ir 2 išlaidų kategorijoms</w:t>
      </w:r>
      <w:r w:rsidR="00F33FCF" w:rsidRPr="009D452D">
        <w:rPr>
          <w:rFonts w:ascii="Times New Roman" w:hAnsi="Times New Roman" w:cs="Times New Roman"/>
          <w:sz w:val="24"/>
          <w:szCs w:val="24"/>
        </w:rPr>
        <w:t xml:space="preserve"> nustatomos šiais fiksuotosios sumos dydžiais (s</w:t>
      </w:r>
      <w:r w:rsidR="00C0189C">
        <w:rPr>
          <w:rFonts w:ascii="Times New Roman" w:hAnsi="Times New Roman" w:cs="Times New Roman"/>
          <w:sz w:val="24"/>
          <w:szCs w:val="24"/>
        </w:rPr>
        <w:t xml:space="preserve">uapvalinti iki sveiko skaičiaus, </w:t>
      </w:r>
      <w:r w:rsidR="00F33FCF" w:rsidRPr="00045D12">
        <w:rPr>
          <w:rFonts w:ascii="Times New Roman" w:hAnsi="Times New Roman" w:cs="Times New Roman"/>
          <w:sz w:val="24"/>
          <w:szCs w:val="24"/>
        </w:rPr>
        <w:t xml:space="preserve">apimantys išlaidas, susijusias su techninių galimybių studijų parengimo, mokslinių tyrimų ir eksperimentinės plėtros atlikimo paslaugų įsigijimu iš Mokslo, inovacijų ir technologijų agentūros direktoriaus įsakymu patvirtinto paslaugų už inovacinius čekius sąrašo, skelbiamo interneto svetainėse www.mita.lt ir </w:t>
      </w:r>
      <w:r w:rsidR="00C0189C" w:rsidRPr="00C0189C">
        <w:rPr>
          <w:rFonts w:ascii="Times New Roman" w:hAnsi="Times New Roman" w:cs="Times New Roman"/>
          <w:sz w:val="24"/>
          <w:szCs w:val="24"/>
        </w:rPr>
        <w:t>www.ukmin.lt</w:t>
      </w:r>
      <w:r w:rsidR="00C0189C">
        <w:rPr>
          <w:rFonts w:ascii="Times New Roman" w:hAnsi="Times New Roman" w:cs="Times New Roman"/>
          <w:sz w:val="24"/>
          <w:szCs w:val="24"/>
        </w:rPr>
        <w:t xml:space="preserve"> bei apimantys 1,33 proc. fiksuotąją normą nuo projekto tiesioginių išlaidų dalies netiesioginėms išlaidoms finansuoti, vadovaujantis </w:t>
      </w:r>
      <w:r w:rsidR="00C0189C" w:rsidRPr="00C0189C">
        <w:rPr>
          <w:rFonts w:ascii="Times New Roman" w:hAnsi="Times New Roman" w:cs="Times New Roman"/>
          <w:sz w:val="24"/>
          <w:szCs w:val="24"/>
        </w:rPr>
        <w:t>Projektų administravimo ir finansavimo taisyklių, patvirtintų Lietuvos Respublikos finansų ministro 2014 m. spalio 8 d. įsakymu Nr. 1K-316, 10 priedo „Fiksuotųjų normų taikymo netiesioginėms projekto išlaidoms apmokėti aprašo“ 4 p.</w:t>
      </w:r>
      <w:r w:rsidR="00F33FCF" w:rsidRPr="00045D12">
        <w:rPr>
          <w:rFonts w:ascii="Times New Roman" w:hAnsi="Times New Roman" w:cs="Times New Roman"/>
          <w:sz w:val="24"/>
          <w:szCs w:val="24"/>
        </w:rPr>
        <w:t>):</w:t>
      </w:r>
    </w:p>
    <w:p w14:paraId="6C208858" w14:textId="53ABA60E" w:rsidR="00BE00C8" w:rsidRDefault="00BE00C8" w:rsidP="009D452D">
      <w:pPr>
        <w:spacing w:after="0" w:line="240" w:lineRule="auto"/>
        <w:jc w:val="both"/>
        <w:rPr>
          <w:rFonts w:ascii="Times New Roman" w:hAnsi="Times New Roman" w:cs="Times New Roman"/>
          <w:sz w:val="24"/>
          <w:szCs w:val="24"/>
        </w:rPr>
      </w:pPr>
    </w:p>
    <w:p w14:paraId="7B0E4B30" w14:textId="64F4F4CF" w:rsidR="00A94B55" w:rsidRDefault="00A94B55" w:rsidP="009D452D">
      <w:pPr>
        <w:spacing w:after="0" w:line="240" w:lineRule="auto"/>
        <w:jc w:val="both"/>
        <w:rPr>
          <w:rFonts w:ascii="Times New Roman" w:hAnsi="Times New Roman" w:cs="Times New Roman"/>
          <w:sz w:val="24"/>
          <w:szCs w:val="24"/>
        </w:rPr>
      </w:pPr>
    </w:p>
    <w:p w14:paraId="2460933A" w14:textId="0A442114" w:rsidR="00A94B55" w:rsidRDefault="00A94B55" w:rsidP="009D452D">
      <w:pPr>
        <w:spacing w:after="0" w:line="240" w:lineRule="auto"/>
        <w:jc w:val="both"/>
        <w:rPr>
          <w:rFonts w:ascii="Times New Roman" w:hAnsi="Times New Roman" w:cs="Times New Roman"/>
          <w:sz w:val="24"/>
          <w:szCs w:val="24"/>
        </w:rPr>
      </w:pPr>
    </w:p>
    <w:p w14:paraId="72B5B775" w14:textId="4011358E" w:rsidR="00A94B55" w:rsidRDefault="00A94B55" w:rsidP="009D452D">
      <w:pPr>
        <w:spacing w:after="0" w:line="240" w:lineRule="auto"/>
        <w:jc w:val="both"/>
        <w:rPr>
          <w:rFonts w:ascii="Times New Roman" w:hAnsi="Times New Roman" w:cs="Times New Roman"/>
          <w:sz w:val="24"/>
          <w:szCs w:val="24"/>
        </w:rPr>
      </w:pPr>
    </w:p>
    <w:p w14:paraId="6F4050BD" w14:textId="3F0F0F47" w:rsidR="00A94B55" w:rsidRDefault="00A94B55" w:rsidP="009D452D">
      <w:pPr>
        <w:spacing w:after="0" w:line="240" w:lineRule="auto"/>
        <w:jc w:val="both"/>
        <w:rPr>
          <w:rFonts w:ascii="Times New Roman" w:hAnsi="Times New Roman" w:cs="Times New Roman"/>
          <w:sz w:val="24"/>
          <w:szCs w:val="24"/>
        </w:rPr>
      </w:pPr>
    </w:p>
    <w:p w14:paraId="3FC9DEE0" w14:textId="3B0090AF" w:rsidR="00A94B55" w:rsidRDefault="00A94B55" w:rsidP="009D452D">
      <w:pPr>
        <w:spacing w:after="0" w:line="240" w:lineRule="auto"/>
        <w:jc w:val="both"/>
        <w:rPr>
          <w:rFonts w:ascii="Times New Roman" w:hAnsi="Times New Roman" w:cs="Times New Roman"/>
          <w:sz w:val="24"/>
          <w:szCs w:val="24"/>
        </w:rPr>
      </w:pPr>
    </w:p>
    <w:p w14:paraId="1FBB5AF3" w14:textId="27201D27" w:rsidR="00A94B55" w:rsidRDefault="00A94B55" w:rsidP="00A94B5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sidRPr="009D452D">
        <w:rPr>
          <w:rFonts w:ascii="Times New Roman" w:hAnsi="Times New Roman" w:cs="Times New Roman"/>
          <w:b/>
          <w:sz w:val="24"/>
          <w:szCs w:val="24"/>
        </w:rPr>
        <w:t>lentelė.</w:t>
      </w:r>
      <w:r w:rsidRPr="009D452D">
        <w:rPr>
          <w:rFonts w:ascii="Times New Roman" w:hAnsi="Times New Roman" w:cs="Times New Roman"/>
          <w:sz w:val="24"/>
          <w:szCs w:val="24"/>
        </w:rPr>
        <w:t xml:space="preserve"> </w:t>
      </w:r>
      <w:r>
        <w:rPr>
          <w:rFonts w:ascii="Times New Roman" w:hAnsi="Times New Roman" w:cs="Times New Roman"/>
          <w:sz w:val="24"/>
          <w:szCs w:val="24"/>
        </w:rPr>
        <w:t>Nustatomi fiksuotosios sumos dydžiai</w:t>
      </w:r>
      <w:r w:rsidRPr="009D452D">
        <w:rPr>
          <w:rFonts w:ascii="Times New Roman" w:hAnsi="Times New Roman" w:cs="Times New Roman"/>
          <w:sz w:val="24"/>
          <w:szCs w:val="24"/>
        </w:rPr>
        <w:t>.</w:t>
      </w:r>
    </w:p>
    <w:tbl>
      <w:tblPr>
        <w:tblW w:w="8482" w:type="dxa"/>
        <w:jc w:val="center"/>
        <w:tblLook w:val="04A0" w:firstRow="1" w:lastRow="0" w:firstColumn="1" w:lastColumn="0" w:noHBand="0" w:noVBand="1"/>
      </w:tblPr>
      <w:tblGrid>
        <w:gridCol w:w="3828"/>
        <w:gridCol w:w="2409"/>
        <w:gridCol w:w="2245"/>
      </w:tblGrid>
      <w:tr w:rsidR="00FB13B2" w:rsidRPr="009D452D" w14:paraId="143D4A46" w14:textId="77777777" w:rsidTr="004F654C">
        <w:trPr>
          <w:trHeight w:val="495"/>
          <w:jc w:val="center"/>
        </w:trPr>
        <w:tc>
          <w:tcPr>
            <w:tcW w:w="3828" w:type="dxa"/>
            <w:tcBorders>
              <w:top w:val="single" w:sz="4" w:space="0" w:color="auto"/>
              <w:left w:val="nil"/>
              <w:bottom w:val="single" w:sz="4" w:space="0" w:color="auto"/>
              <w:right w:val="single" w:sz="4" w:space="0" w:color="auto"/>
            </w:tcBorders>
            <w:shd w:val="clear" w:color="000000" w:fill="000000"/>
            <w:noWrap/>
            <w:vAlign w:val="center"/>
            <w:hideMark/>
          </w:tcPr>
          <w:p w14:paraId="0255322F" w14:textId="7264FDD9" w:rsidR="00FB13B2" w:rsidRPr="009D452D" w:rsidRDefault="00FB13B2" w:rsidP="00CB3F68">
            <w:pPr>
              <w:spacing w:after="0" w:line="240" w:lineRule="auto"/>
              <w:jc w:val="center"/>
              <w:rPr>
                <w:rFonts w:ascii="Times New Roman" w:eastAsia="Times New Roman" w:hAnsi="Times New Roman" w:cs="Times New Roman"/>
                <w:color w:val="FFFFFF"/>
                <w:sz w:val="24"/>
                <w:szCs w:val="24"/>
                <w:lang w:eastAsia="lt-LT"/>
              </w:rPr>
            </w:pPr>
            <w:r>
              <w:rPr>
                <w:rFonts w:ascii="Times New Roman" w:eastAsia="Times New Roman" w:hAnsi="Times New Roman" w:cs="Times New Roman"/>
                <w:color w:val="FFFFFF"/>
                <w:sz w:val="24"/>
                <w:szCs w:val="24"/>
                <w:lang w:eastAsia="lt-LT"/>
              </w:rPr>
              <w:t>Fiksuotosios sumos pavadinimas</w:t>
            </w:r>
          </w:p>
        </w:tc>
        <w:tc>
          <w:tcPr>
            <w:tcW w:w="2409" w:type="dxa"/>
            <w:tcBorders>
              <w:top w:val="single" w:sz="4" w:space="0" w:color="auto"/>
              <w:left w:val="nil"/>
              <w:bottom w:val="single" w:sz="4" w:space="0" w:color="auto"/>
              <w:right w:val="single" w:sz="4" w:space="0" w:color="auto"/>
            </w:tcBorders>
            <w:shd w:val="clear" w:color="000000" w:fill="000000"/>
            <w:noWrap/>
            <w:vAlign w:val="center"/>
            <w:hideMark/>
          </w:tcPr>
          <w:p w14:paraId="1972E974" w14:textId="77777777" w:rsidR="00FB13B2" w:rsidRPr="009D452D" w:rsidRDefault="00FB13B2" w:rsidP="00CB3F68">
            <w:pPr>
              <w:spacing w:after="0" w:line="240" w:lineRule="auto"/>
              <w:jc w:val="center"/>
              <w:rPr>
                <w:rFonts w:ascii="Times New Roman" w:eastAsia="Times New Roman" w:hAnsi="Times New Roman" w:cs="Times New Roman"/>
                <w:color w:val="FFFFFF"/>
                <w:sz w:val="24"/>
                <w:szCs w:val="24"/>
                <w:lang w:eastAsia="lt-LT"/>
              </w:rPr>
            </w:pPr>
            <w:r w:rsidRPr="009D452D">
              <w:rPr>
                <w:rFonts w:ascii="Times New Roman" w:eastAsia="Times New Roman" w:hAnsi="Times New Roman" w:cs="Times New Roman"/>
                <w:color w:val="FFFFFF"/>
                <w:sz w:val="24"/>
                <w:szCs w:val="24"/>
                <w:lang w:eastAsia="lt-LT"/>
              </w:rPr>
              <w:t>Fiksuotoji suma, kai PVM yra netinkamas finansuoti</w:t>
            </w:r>
          </w:p>
        </w:tc>
        <w:tc>
          <w:tcPr>
            <w:tcW w:w="2245" w:type="dxa"/>
            <w:tcBorders>
              <w:top w:val="single" w:sz="4" w:space="0" w:color="auto"/>
              <w:left w:val="nil"/>
              <w:bottom w:val="single" w:sz="4" w:space="0" w:color="auto"/>
              <w:right w:val="single" w:sz="4" w:space="0" w:color="auto"/>
            </w:tcBorders>
            <w:shd w:val="clear" w:color="000000" w:fill="000000"/>
            <w:noWrap/>
            <w:vAlign w:val="center"/>
            <w:hideMark/>
          </w:tcPr>
          <w:p w14:paraId="6872B958" w14:textId="77777777" w:rsidR="00FB13B2" w:rsidRPr="009D452D" w:rsidRDefault="00FB13B2" w:rsidP="00CB3F68">
            <w:pPr>
              <w:spacing w:after="0" w:line="240" w:lineRule="auto"/>
              <w:jc w:val="center"/>
              <w:rPr>
                <w:rFonts w:ascii="Times New Roman" w:eastAsia="Times New Roman" w:hAnsi="Times New Roman" w:cs="Times New Roman"/>
                <w:color w:val="FFFFFF"/>
                <w:sz w:val="24"/>
                <w:szCs w:val="24"/>
                <w:lang w:eastAsia="lt-LT"/>
              </w:rPr>
            </w:pPr>
            <w:r w:rsidRPr="009D452D">
              <w:rPr>
                <w:rFonts w:ascii="Times New Roman" w:eastAsia="Times New Roman" w:hAnsi="Times New Roman" w:cs="Times New Roman"/>
                <w:color w:val="FFFFFF"/>
                <w:sz w:val="24"/>
                <w:szCs w:val="24"/>
                <w:lang w:eastAsia="lt-LT"/>
              </w:rPr>
              <w:t>Fiksuotoji suma, kai PVM yra tinkamas finansuoti</w:t>
            </w:r>
          </w:p>
        </w:tc>
      </w:tr>
      <w:tr w:rsidR="00FB13B2" w:rsidRPr="009D452D" w14:paraId="18FF1B54" w14:textId="77777777" w:rsidTr="00B438D6">
        <w:trPr>
          <w:trHeight w:val="521"/>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FF9AC" w14:textId="546DF7BC" w:rsidR="00FB13B2" w:rsidRPr="009D452D" w:rsidRDefault="00BA5FFF" w:rsidP="00EA3AA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Techninė galimybių studija</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5AA1CAC" w14:textId="0E688BC9" w:rsidR="00FB13B2" w:rsidRPr="009D452D" w:rsidRDefault="00BF39AA" w:rsidP="00CB3F6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4696</w:t>
            </w:r>
            <w:r w:rsidR="00FB13B2" w:rsidRPr="00FB13B2">
              <w:rPr>
                <w:rFonts w:ascii="Times New Roman" w:eastAsia="Times New Roman" w:hAnsi="Times New Roman" w:cs="Times New Roman"/>
                <w:b/>
                <w:bCs/>
                <w:color w:val="000000"/>
                <w:sz w:val="24"/>
                <w:szCs w:val="24"/>
                <w:lang w:eastAsia="lt-LT"/>
              </w:rPr>
              <w:t xml:space="preserve"> Eur.</w:t>
            </w:r>
          </w:p>
        </w:tc>
        <w:tc>
          <w:tcPr>
            <w:tcW w:w="2245" w:type="dxa"/>
            <w:tcBorders>
              <w:top w:val="nil"/>
              <w:left w:val="nil"/>
              <w:bottom w:val="single" w:sz="4" w:space="0" w:color="auto"/>
              <w:right w:val="single" w:sz="4" w:space="0" w:color="auto"/>
            </w:tcBorders>
            <w:shd w:val="clear" w:color="auto" w:fill="auto"/>
            <w:noWrap/>
            <w:vAlign w:val="center"/>
            <w:hideMark/>
          </w:tcPr>
          <w:p w14:paraId="6A1A9626" w14:textId="6989F7A0" w:rsidR="00FB13B2" w:rsidRPr="009D452D" w:rsidRDefault="00BF39AA" w:rsidP="00CB3F68">
            <w:pPr>
              <w:spacing w:after="0" w:line="240" w:lineRule="auto"/>
              <w:jc w:val="center"/>
              <w:rPr>
                <w:rFonts w:ascii="Times New Roman" w:eastAsia="Times New Roman" w:hAnsi="Times New Roman" w:cs="Times New Roman"/>
                <w:b/>
                <w:color w:val="000000"/>
                <w:sz w:val="24"/>
                <w:szCs w:val="24"/>
                <w:highlight w:val="yellow"/>
                <w:lang w:eastAsia="lt-LT"/>
              </w:rPr>
            </w:pPr>
            <w:r>
              <w:rPr>
                <w:rFonts w:ascii="Times New Roman" w:eastAsia="Times New Roman" w:hAnsi="Times New Roman" w:cs="Times New Roman"/>
                <w:b/>
                <w:color w:val="000000"/>
                <w:sz w:val="24"/>
                <w:szCs w:val="24"/>
                <w:lang w:eastAsia="lt-LT"/>
              </w:rPr>
              <w:t>5682</w:t>
            </w:r>
            <w:r w:rsidR="00FB13B2" w:rsidRPr="00FB13B2">
              <w:rPr>
                <w:rFonts w:ascii="Times New Roman" w:eastAsia="Times New Roman" w:hAnsi="Times New Roman" w:cs="Times New Roman"/>
                <w:b/>
                <w:color w:val="000000"/>
                <w:sz w:val="24"/>
                <w:szCs w:val="24"/>
                <w:lang w:eastAsia="lt-LT"/>
              </w:rPr>
              <w:t xml:space="preserve"> Eur.</w:t>
            </w:r>
          </w:p>
        </w:tc>
      </w:tr>
      <w:tr w:rsidR="00FB13B2" w:rsidRPr="009D452D" w14:paraId="7DF8BCAD" w14:textId="77777777" w:rsidTr="00B438D6">
        <w:trPr>
          <w:trHeight w:val="429"/>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68E9F" w14:textId="477D1A09" w:rsidR="00FB13B2" w:rsidRPr="009D452D" w:rsidRDefault="00EA3AA0" w:rsidP="00BA5FF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w:t>
            </w:r>
            <w:r w:rsidR="00BA5FFF">
              <w:rPr>
                <w:rFonts w:ascii="Times New Roman" w:eastAsia="Times New Roman" w:hAnsi="Times New Roman" w:cs="Times New Roman"/>
                <w:color w:val="000000"/>
                <w:sz w:val="24"/>
                <w:szCs w:val="24"/>
                <w:lang w:eastAsia="lt-LT"/>
              </w:rPr>
              <w:t>TEP paslauga</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C0A43AD" w14:textId="4CD91B37" w:rsidR="00FB13B2" w:rsidRPr="009D452D" w:rsidRDefault="00BF39AA" w:rsidP="00CB3F6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4696</w:t>
            </w:r>
            <w:r w:rsidR="00FB13B2" w:rsidRPr="00FB13B2">
              <w:rPr>
                <w:rFonts w:ascii="Times New Roman" w:eastAsia="Times New Roman" w:hAnsi="Times New Roman" w:cs="Times New Roman"/>
                <w:b/>
                <w:bCs/>
                <w:color w:val="000000"/>
                <w:sz w:val="24"/>
                <w:szCs w:val="24"/>
                <w:lang w:eastAsia="lt-LT"/>
              </w:rPr>
              <w:t xml:space="preserve"> Eur.</w:t>
            </w:r>
          </w:p>
        </w:tc>
        <w:tc>
          <w:tcPr>
            <w:tcW w:w="2245" w:type="dxa"/>
            <w:tcBorders>
              <w:top w:val="nil"/>
              <w:left w:val="nil"/>
              <w:bottom w:val="single" w:sz="4" w:space="0" w:color="auto"/>
              <w:right w:val="single" w:sz="4" w:space="0" w:color="auto"/>
            </w:tcBorders>
            <w:shd w:val="clear" w:color="auto" w:fill="auto"/>
            <w:noWrap/>
            <w:vAlign w:val="center"/>
            <w:hideMark/>
          </w:tcPr>
          <w:p w14:paraId="40D31C7D" w14:textId="4A96B15A" w:rsidR="00FB13B2" w:rsidRPr="009D452D" w:rsidRDefault="00BF39AA" w:rsidP="00CB3F68">
            <w:pPr>
              <w:spacing w:after="0" w:line="240" w:lineRule="auto"/>
              <w:jc w:val="center"/>
              <w:rPr>
                <w:rFonts w:ascii="Times New Roman" w:eastAsia="Times New Roman" w:hAnsi="Times New Roman" w:cs="Times New Roman"/>
                <w:b/>
                <w:color w:val="000000"/>
                <w:sz w:val="24"/>
                <w:szCs w:val="24"/>
                <w:highlight w:val="yellow"/>
                <w:lang w:eastAsia="lt-LT"/>
              </w:rPr>
            </w:pPr>
            <w:r>
              <w:rPr>
                <w:rFonts w:ascii="Times New Roman" w:eastAsia="Times New Roman" w:hAnsi="Times New Roman" w:cs="Times New Roman"/>
                <w:b/>
                <w:color w:val="000000"/>
                <w:sz w:val="24"/>
                <w:szCs w:val="24"/>
                <w:lang w:eastAsia="lt-LT"/>
              </w:rPr>
              <w:t>5682</w:t>
            </w:r>
            <w:r w:rsidR="00FB13B2" w:rsidRPr="00FB13B2">
              <w:rPr>
                <w:rFonts w:ascii="Times New Roman" w:eastAsia="Times New Roman" w:hAnsi="Times New Roman" w:cs="Times New Roman"/>
                <w:b/>
                <w:color w:val="000000"/>
                <w:sz w:val="24"/>
                <w:szCs w:val="24"/>
                <w:lang w:eastAsia="lt-LT"/>
              </w:rPr>
              <w:t xml:space="preserve"> Eur.</w:t>
            </w:r>
          </w:p>
        </w:tc>
      </w:tr>
    </w:tbl>
    <w:p w14:paraId="732327D0" w14:textId="1A964181" w:rsidR="00BE00C8" w:rsidRDefault="00BE00C8" w:rsidP="009D452D">
      <w:pPr>
        <w:spacing w:after="0" w:line="240" w:lineRule="auto"/>
        <w:jc w:val="both"/>
        <w:rPr>
          <w:rFonts w:ascii="Times New Roman" w:hAnsi="Times New Roman" w:cs="Times New Roman"/>
          <w:sz w:val="24"/>
          <w:szCs w:val="24"/>
        </w:rPr>
      </w:pPr>
    </w:p>
    <w:p w14:paraId="5DAC5083" w14:textId="2B21E6E3" w:rsidR="00F33FCF" w:rsidRPr="009D452D" w:rsidRDefault="00F33FCF" w:rsidP="009D452D">
      <w:pPr>
        <w:spacing w:after="0" w:line="240" w:lineRule="auto"/>
        <w:jc w:val="both"/>
        <w:rPr>
          <w:rFonts w:ascii="Times New Roman" w:hAnsi="Times New Roman" w:cs="Times New Roman"/>
          <w:sz w:val="24"/>
          <w:szCs w:val="24"/>
        </w:rPr>
      </w:pPr>
    </w:p>
    <w:p w14:paraId="59AE6B84" w14:textId="418C7CE5" w:rsidR="00F33FCF" w:rsidRPr="009D452D"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3129">
        <w:rPr>
          <w:rFonts w:ascii="Times New Roman" w:hAnsi="Times New Roman" w:cs="Times New Roman"/>
          <w:sz w:val="24"/>
          <w:szCs w:val="24"/>
        </w:rPr>
        <w:t>17</w:t>
      </w:r>
      <w:r w:rsidR="00F70C8E" w:rsidRPr="009D452D">
        <w:rPr>
          <w:rFonts w:ascii="Times New Roman" w:hAnsi="Times New Roman" w:cs="Times New Roman"/>
          <w:sz w:val="24"/>
          <w:szCs w:val="24"/>
        </w:rPr>
        <w:t>. Projektų administravimo ir finansavimo taisyklių 421.2 p. nustatyta</w:t>
      </w:r>
      <w:r w:rsidR="00012CE6">
        <w:rPr>
          <w:rFonts w:ascii="Times New Roman" w:hAnsi="Times New Roman" w:cs="Times New Roman"/>
          <w:sz w:val="24"/>
          <w:szCs w:val="24"/>
        </w:rPr>
        <w:t>,</w:t>
      </w:r>
      <w:r w:rsidR="00F70C8E" w:rsidRPr="009D452D">
        <w:rPr>
          <w:rFonts w:ascii="Times New Roman" w:hAnsi="Times New Roman" w:cs="Times New Roman"/>
          <w:sz w:val="24"/>
          <w:szCs w:val="24"/>
        </w:rPr>
        <w:t xml:space="preserve"> kada PVM yra netinkamas finansuoti.</w:t>
      </w:r>
    </w:p>
    <w:p w14:paraId="45533113" w14:textId="736B170F" w:rsidR="00642AAB" w:rsidRPr="009D452D" w:rsidRDefault="009D452D" w:rsidP="009D4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42AAB" w:rsidRPr="009D452D">
        <w:rPr>
          <w:rFonts w:ascii="Times New Roman" w:hAnsi="Times New Roman" w:cs="Times New Roman"/>
          <w:sz w:val="24"/>
          <w:szCs w:val="24"/>
        </w:rPr>
        <w:t>1</w:t>
      </w:r>
      <w:r w:rsidR="00C0189C">
        <w:rPr>
          <w:rFonts w:ascii="Times New Roman" w:hAnsi="Times New Roman" w:cs="Times New Roman"/>
          <w:sz w:val="24"/>
          <w:szCs w:val="24"/>
        </w:rPr>
        <w:t>8</w:t>
      </w:r>
      <w:r w:rsidR="00642AAB" w:rsidRPr="009D452D">
        <w:rPr>
          <w:rFonts w:ascii="Times New Roman" w:hAnsi="Times New Roman" w:cs="Times New Roman"/>
          <w:sz w:val="24"/>
          <w:szCs w:val="24"/>
        </w:rPr>
        <w:t xml:space="preserve">. Projektų išlaidos, kurias numatyta apmokėti taikant fiksuotąsias sumas, apmokamos atsižvelgiant į </w:t>
      </w:r>
      <w:r w:rsidR="00652CEB">
        <w:rPr>
          <w:rFonts w:ascii="Times New Roman" w:hAnsi="Times New Roman" w:cs="Times New Roman"/>
          <w:sz w:val="24"/>
          <w:szCs w:val="24"/>
        </w:rPr>
        <w:t xml:space="preserve">šiame tyrime ir </w:t>
      </w:r>
      <w:r w:rsidR="00642AAB" w:rsidRPr="009D452D">
        <w:rPr>
          <w:rFonts w:ascii="Times New Roman" w:hAnsi="Times New Roman" w:cs="Times New Roman"/>
          <w:sz w:val="24"/>
          <w:szCs w:val="24"/>
        </w:rPr>
        <w:t>dotacijos sutartyje (tarp Mokslo, inovacijų ir technologijų agentūros ir pareiškėjo pasirašytoje dvišalėje sutartyje dėl remiamų veiklų išlaidų dalies kompensavimo) nustatytas fiksuotąsias sumas ir projekto vykdytojo pateiktus dokumentus, kuriais įrodoma įgyvendinta projekto veikla. Dokumentai, kuriuos reikia pateikti, įrodant pagal fiksuotąsias sumas apmokamų rezultatų pasiekimą, nurodomi dotacijos sutartyje.</w:t>
      </w:r>
    </w:p>
    <w:p w14:paraId="00EB0F83" w14:textId="32D8F125" w:rsidR="004949D6" w:rsidRDefault="004949D6" w:rsidP="009D452D">
      <w:pPr>
        <w:spacing w:after="0" w:line="240" w:lineRule="auto"/>
        <w:jc w:val="center"/>
        <w:rPr>
          <w:rFonts w:ascii="Times New Roman" w:hAnsi="Times New Roman" w:cs="Times New Roman"/>
          <w:b/>
          <w:sz w:val="24"/>
          <w:szCs w:val="24"/>
        </w:rPr>
      </w:pPr>
    </w:p>
    <w:p w14:paraId="47A7E8B1" w14:textId="77777777" w:rsidR="009D452D" w:rsidRPr="009D452D" w:rsidRDefault="009D452D" w:rsidP="009D452D">
      <w:pPr>
        <w:spacing w:after="0" w:line="240" w:lineRule="auto"/>
        <w:jc w:val="center"/>
        <w:rPr>
          <w:rFonts w:ascii="Times New Roman" w:hAnsi="Times New Roman" w:cs="Times New Roman"/>
          <w:b/>
          <w:sz w:val="24"/>
          <w:szCs w:val="24"/>
        </w:rPr>
      </w:pPr>
    </w:p>
    <w:p w14:paraId="3F089BBE" w14:textId="64110485" w:rsidR="007A5636" w:rsidRDefault="004949D6" w:rsidP="009D452D">
      <w:pPr>
        <w:spacing w:after="0" w:line="240" w:lineRule="auto"/>
        <w:jc w:val="center"/>
        <w:rPr>
          <w:rFonts w:ascii="Times New Roman" w:hAnsi="Times New Roman" w:cs="Times New Roman"/>
          <w:b/>
          <w:sz w:val="24"/>
          <w:szCs w:val="24"/>
        </w:rPr>
      </w:pPr>
      <w:r w:rsidRPr="009D452D">
        <w:rPr>
          <w:rFonts w:ascii="Times New Roman" w:hAnsi="Times New Roman" w:cs="Times New Roman"/>
          <w:b/>
          <w:sz w:val="24"/>
          <w:szCs w:val="24"/>
        </w:rPr>
        <w:t xml:space="preserve">IV. </w:t>
      </w:r>
      <w:r w:rsidR="007A5636" w:rsidRPr="009D452D">
        <w:rPr>
          <w:rFonts w:ascii="Times New Roman" w:hAnsi="Times New Roman" w:cs="Times New Roman"/>
          <w:b/>
          <w:sz w:val="24"/>
          <w:szCs w:val="24"/>
        </w:rPr>
        <w:t>NUSTATYTŲ FIKSUOTŲJŲ DYDŽIŲ TAIKYMAS</w:t>
      </w:r>
    </w:p>
    <w:p w14:paraId="7BE75DA5" w14:textId="77777777" w:rsidR="009D452D" w:rsidRPr="009D452D" w:rsidRDefault="009D452D" w:rsidP="009D452D">
      <w:pPr>
        <w:spacing w:after="0" w:line="240" w:lineRule="auto"/>
        <w:jc w:val="center"/>
        <w:rPr>
          <w:rFonts w:ascii="Times New Roman" w:hAnsi="Times New Roman" w:cs="Times New Roman"/>
          <w:b/>
          <w:sz w:val="24"/>
          <w:szCs w:val="24"/>
        </w:rPr>
      </w:pPr>
    </w:p>
    <w:p w14:paraId="2C69057E" w14:textId="785D73A3" w:rsidR="007A5636" w:rsidRPr="003B1064" w:rsidRDefault="009D452D" w:rsidP="009D452D">
      <w:pPr>
        <w:spacing w:after="0" w:line="240" w:lineRule="auto"/>
        <w:jc w:val="both"/>
        <w:rPr>
          <w:rFonts w:ascii="Times New Roman" w:hAnsi="Times New Roman" w:cs="Times New Roman"/>
          <w:sz w:val="24"/>
          <w:szCs w:val="24"/>
        </w:rPr>
      </w:pPr>
      <w:r w:rsidRPr="003B1064">
        <w:rPr>
          <w:rFonts w:ascii="Times New Roman" w:hAnsi="Times New Roman" w:cs="Times New Roman"/>
          <w:sz w:val="24"/>
          <w:szCs w:val="24"/>
        </w:rPr>
        <w:tab/>
      </w:r>
      <w:r w:rsidR="00C0189C">
        <w:rPr>
          <w:rFonts w:ascii="Times New Roman" w:hAnsi="Times New Roman" w:cs="Times New Roman"/>
          <w:sz w:val="24"/>
          <w:szCs w:val="24"/>
        </w:rPr>
        <w:t>19</w:t>
      </w:r>
      <w:r w:rsidR="007A5636" w:rsidRPr="003B1064">
        <w:rPr>
          <w:rFonts w:ascii="Times New Roman" w:hAnsi="Times New Roman" w:cs="Times New Roman"/>
          <w:sz w:val="24"/>
          <w:szCs w:val="24"/>
        </w:rPr>
        <w:t>. Tyrimu nustatyti techninių galimybių studijų parengimo, mokslinių tyrimų ir eksperimentinės plėtros paslaugų už inovacinius čekius fiksuotųjų sumų dydžiai yra maksimalūs. Pareiškėjas, teikdamas paraišką dėl projekto finansavimo, gali numatyti mažesnius dydžius. Fiksuotosios sumos dydis, projekto veiklos įgyvendinimo sąlygos ir numatytas pasiekti rezultatas turi būti įrašyti dotacijos sutartyje ir negali būti keičiami projekto įgyvendinimo metu. Fiksuotosios sumos išmokamos tik tuo</w:t>
      </w:r>
      <w:r w:rsidR="00D76257">
        <w:rPr>
          <w:rFonts w:ascii="Times New Roman" w:hAnsi="Times New Roman" w:cs="Times New Roman"/>
          <w:sz w:val="24"/>
          <w:szCs w:val="24"/>
        </w:rPr>
        <w:t xml:space="preserve"> atveju, jeigu: </w:t>
      </w:r>
    </w:p>
    <w:p w14:paraId="54048E2F" w14:textId="4736D684" w:rsidR="007A5636" w:rsidRPr="003B1064" w:rsidRDefault="00840FE0" w:rsidP="009D452D">
      <w:pPr>
        <w:spacing w:after="0" w:line="240" w:lineRule="auto"/>
        <w:jc w:val="both"/>
        <w:rPr>
          <w:rFonts w:ascii="Times New Roman" w:hAnsi="Times New Roman" w:cs="Times New Roman"/>
          <w:sz w:val="24"/>
          <w:szCs w:val="24"/>
        </w:rPr>
      </w:pPr>
      <w:r w:rsidRPr="003B1064">
        <w:rPr>
          <w:rFonts w:ascii="Times New Roman" w:hAnsi="Times New Roman" w:cs="Times New Roman"/>
          <w:sz w:val="24"/>
          <w:szCs w:val="24"/>
        </w:rPr>
        <w:tab/>
      </w:r>
      <w:r w:rsidR="00C0189C">
        <w:rPr>
          <w:rFonts w:ascii="Times New Roman" w:hAnsi="Times New Roman" w:cs="Times New Roman"/>
          <w:sz w:val="24"/>
          <w:szCs w:val="24"/>
        </w:rPr>
        <w:t>19</w:t>
      </w:r>
      <w:r w:rsidR="00D76257">
        <w:rPr>
          <w:rFonts w:ascii="Times New Roman" w:hAnsi="Times New Roman" w:cs="Times New Roman"/>
          <w:sz w:val="24"/>
          <w:szCs w:val="24"/>
        </w:rPr>
        <w:t>.1</w:t>
      </w:r>
      <w:r w:rsidR="007A5636" w:rsidRPr="003B1064">
        <w:rPr>
          <w:rFonts w:ascii="Times New Roman" w:hAnsi="Times New Roman" w:cs="Times New Roman"/>
          <w:sz w:val="24"/>
          <w:szCs w:val="24"/>
        </w:rPr>
        <w:t>. Projekto vykdytojas gavo projekto paraiškoje numatytą ir viešai paskelbtame Mokslo ir studijų institucijų teikiamų paslaugų sąraše nurodytą paslaugą iš šiame sąraše nurodytos mokslo ir studijų institucijos</w:t>
      </w:r>
      <w:r w:rsidR="00A759A0">
        <w:rPr>
          <w:rFonts w:ascii="Times New Roman" w:hAnsi="Times New Roman" w:cs="Times New Roman"/>
          <w:sz w:val="24"/>
          <w:szCs w:val="24"/>
        </w:rPr>
        <w:t xml:space="preserve"> (sąrašas sudaromas vadovaujantis </w:t>
      </w:r>
      <w:r w:rsidR="00A759A0" w:rsidRPr="00A759A0">
        <w:rPr>
          <w:rFonts w:ascii="Times New Roman" w:hAnsi="Times New Roman" w:cs="Times New Roman"/>
          <w:sz w:val="24"/>
          <w:szCs w:val="24"/>
        </w:rPr>
        <w:t>2014–2020 metų Europos Sąjungos fondų investicijų veiksmų programos 1 prioriteto „Mokslinių tyrimų, eksperimentinės plėtros ir inovacijų skatinimas“ priemonės Nr. 01.2.1-MITA-K-824 „Inovaciniai čekiai“ projektų fin</w:t>
      </w:r>
      <w:r w:rsidR="00A759A0">
        <w:rPr>
          <w:rFonts w:ascii="Times New Roman" w:hAnsi="Times New Roman" w:cs="Times New Roman"/>
          <w:sz w:val="24"/>
          <w:szCs w:val="24"/>
        </w:rPr>
        <w:t>ansavimo sąlygų aprašu)</w:t>
      </w:r>
      <w:r w:rsidR="007A5636" w:rsidRPr="003B1064">
        <w:rPr>
          <w:rFonts w:ascii="Times New Roman" w:hAnsi="Times New Roman" w:cs="Times New Roman"/>
          <w:sz w:val="24"/>
          <w:szCs w:val="24"/>
        </w:rPr>
        <w:t>.</w:t>
      </w:r>
    </w:p>
    <w:p w14:paraId="4DCF91FE" w14:textId="2EA39085" w:rsidR="007A5636" w:rsidRPr="003B1064" w:rsidRDefault="00840FE0" w:rsidP="009D452D">
      <w:pPr>
        <w:spacing w:after="0" w:line="240" w:lineRule="auto"/>
        <w:jc w:val="both"/>
        <w:rPr>
          <w:rFonts w:ascii="Times New Roman" w:hAnsi="Times New Roman" w:cs="Times New Roman"/>
          <w:sz w:val="24"/>
          <w:szCs w:val="24"/>
        </w:rPr>
      </w:pPr>
      <w:r w:rsidRPr="003B1064">
        <w:rPr>
          <w:rFonts w:ascii="Times New Roman" w:hAnsi="Times New Roman" w:cs="Times New Roman"/>
          <w:sz w:val="24"/>
          <w:szCs w:val="24"/>
        </w:rPr>
        <w:tab/>
      </w:r>
      <w:r w:rsidR="00C0189C">
        <w:rPr>
          <w:rFonts w:ascii="Times New Roman" w:hAnsi="Times New Roman" w:cs="Times New Roman"/>
          <w:sz w:val="24"/>
          <w:szCs w:val="24"/>
        </w:rPr>
        <w:t>19</w:t>
      </w:r>
      <w:r w:rsidR="00D76257">
        <w:rPr>
          <w:rFonts w:ascii="Times New Roman" w:hAnsi="Times New Roman" w:cs="Times New Roman"/>
          <w:sz w:val="24"/>
          <w:szCs w:val="24"/>
        </w:rPr>
        <w:t>.2</w:t>
      </w:r>
      <w:r w:rsidR="007A5636" w:rsidRPr="003B1064">
        <w:rPr>
          <w:rFonts w:ascii="Times New Roman" w:hAnsi="Times New Roman" w:cs="Times New Roman"/>
          <w:sz w:val="24"/>
          <w:szCs w:val="24"/>
        </w:rPr>
        <w:t>. Visiškai pasiektas dotacijos sutartyje numatytas projekto rezultatas.</w:t>
      </w:r>
    </w:p>
    <w:p w14:paraId="2F208CD9" w14:textId="1ED3A7A2" w:rsidR="007A5636" w:rsidRPr="003B1064" w:rsidRDefault="00840FE0" w:rsidP="009D452D">
      <w:pPr>
        <w:spacing w:after="0" w:line="240" w:lineRule="auto"/>
        <w:jc w:val="both"/>
        <w:rPr>
          <w:rFonts w:ascii="Times New Roman" w:hAnsi="Times New Roman" w:cs="Times New Roman"/>
          <w:sz w:val="24"/>
          <w:szCs w:val="24"/>
        </w:rPr>
      </w:pPr>
      <w:r w:rsidRPr="003B1064">
        <w:rPr>
          <w:rFonts w:ascii="Times New Roman" w:hAnsi="Times New Roman" w:cs="Times New Roman"/>
          <w:sz w:val="24"/>
          <w:szCs w:val="24"/>
        </w:rPr>
        <w:tab/>
      </w:r>
      <w:r w:rsidR="00C0189C">
        <w:rPr>
          <w:rFonts w:ascii="Times New Roman" w:hAnsi="Times New Roman" w:cs="Times New Roman"/>
          <w:sz w:val="24"/>
          <w:szCs w:val="24"/>
        </w:rPr>
        <w:t>19</w:t>
      </w:r>
      <w:r w:rsidR="00D76257">
        <w:rPr>
          <w:rFonts w:ascii="Times New Roman" w:hAnsi="Times New Roman" w:cs="Times New Roman"/>
          <w:sz w:val="24"/>
          <w:szCs w:val="24"/>
        </w:rPr>
        <w:t>.3</w:t>
      </w:r>
      <w:r w:rsidR="007A5636" w:rsidRPr="003B1064">
        <w:rPr>
          <w:rFonts w:ascii="Times New Roman" w:hAnsi="Times New Roman" w:cs="Times New Roman"/>
          <w:sz w:val="24"/>
          <w:szCs w:val="24"/>
        </w:rPr>
        <w:t>. Įgyvendintos kitos sąlygos, numatytos 2014–2020 metų Europos Sąjungos fondų investicijų veiksmų programos 1 prioriteto „Mokslinių tyrimų, eksperimentinės plėtros ir inovacijų skatinimas“ priemonės Nr. 01.2.1-MITA-K-824 „Inovaciniai čekiai“ projektų finansavimo sąlygų apraše.</w:t>
      </w:r>
    </w:p>
    <w:p w14:paraId="0EC836EE" w14:textId="780E9EA0" w:rsidR="007A5636" w:rsidRPr="003B1064" w:rsidRDefault="00840FE0" w:rsidP="009D452D">
      <w:pPr>
        <w:spacing w:after="0" w:line="240" w:lineRule="auto"/>
        <w:jc w:val="both"/>
        <w:rPr>
          <w:rFonts w:ascii="Times New Roman" w:hAnsi="Times New Roman" w:cs="Times New Roman"/>
          <w:sz w:val="24"/>
          <w:szCs w:val="24"/>
        </w:rPr>
      </w:pPr>
      <w:r w:rsidRPr="003B1064">
        <w:rPr>
          <w:rFonts w:ascii="Times New Roman" w:hAnsi="Times New Roman" w:cs="Times New Roman"/>
          <w:sz w:val="24"/>
          <w:szCs w:val="24"/>
        </w:rPr>
        <w:tab/>
      </w:r>
      <w:r w:rsidR="00C0189C">
        <w:rPr>
          <w:rFonts w:ascii="Times New Roman" w:hAnsi="Times New Roman" w:cs="Times New Roman"/>
          <w:sz w:val="24"/>
          <w:szCs w:val="24"/>
        </w:rPr>
        <w:t>20</w:t>
      </w:r>
      <w:r w:rsidR="007A5636" w:rsidRPr="003B1064">
        <w:rPr>
          <w:rFonts w:ascii="Times New Roman" w:hAnsi="Times New Roman" w:cs="Times New Roman"/>
          <w:sz w:val="24"/>
          <w:szCs w:val="24"/>
        </w:rPr>
        <w:t>. Projekto veiklos rezultatus pagrindžiantys dokumentai suprantami kaip dokumentai, kuriais įrodomas projekto veiklos įgyvendinimo pasiekimas, užfiksuojamas įgyvendintos projekto veiklos kiekybiškai ar kokybiškai išmatuojamu rezultatu (paslaugų priėmimo–perdavimo aktas, projekto įgyvendinimo rezultatas (pvz., sukurtas prototipas ar pare</w:t>
      </w:r>
      <w:r w:rsidR="004D3897" w:rsidRPr="003B1064">
        <w:rPr>
          <w:rFonts w:ascii="Times New Roman" w:hAnsi="Times New Roman" w:cs="Times New Roman"/>
          <w:sz w:val="24"/>
          <w:szCs w:val="24"/>
        </w:rPr>
        <w:t>ngta techninė galimybių studija</w:t>
      </w:r>
      <w:r w:rsidR="007A5636" w:rsidRPr="003B1064">
        <w:rPr>
          <w:rFonts w:ascii="Times New Roman" w:hAnsi="Times New Roman" w:cs="Times New Roman"/>
          <w:sz w:val="24"/>
          <w:szCs w:val="24"/>
        </w:rPr>
        <w:t>, mokslinė ataskaita ir kt.).</w:t>
      </w:r>
    </w:p>
    <w:p w14:paraId="31EFF0A0" w14:textId="3A2BC0A4" w:rsidR="007A5636" w:rsidRPr="003B1064" w:rsidRDefault="00840FE0" w:rsidP="009D452D">
      <w:pPr>
        <w:spacing w:after="0" w:line="240" w:lineRule="auto"/>
        <w:jc w:val="both"/>
        <w:rPr>
          <w:rFonts w:ascii="Times New Roman" w:hAnsi="Times New Roman" w:cs="Times New Roman"/>
          <w:sz w:val="24"/>
          <w:szCs w:val="24"/>
        </w:rPr>
      </w:pPr>
      <w:r w:rsidRPr="003B1064">
        <w:rPr>
          <w:rFonts w:ascii="Times New Roman" w:hAnsi="Times New Roman" w:cs="Times New Roman"/>
          <w:sz w:val="24"/>
          <w:szCs w:val="24"/>
        </w:rPr>
        <w:tab/>
      </w:r>
      <w:r w:rsidR="00C0189C">
        <w:rPr>
          <w:rFonts w:ascii="Times New Roman" w:hAnsi="Times New Roman" w:cs="Times New Roman"/>
          <w:sz w:val="24"/>
          <w:szCs w:val="24"/>
        </w:rPr>
        <w:t>21</w:t>
      </w:r>
      <w:r w:rsidR="007A5636" w:rsidRPr="003B1064">
        <w:rPr>
          <w:rFonts w:ascii="Times New Roman" w:hAnsi="Times New Roman" w:cs="Times New Roman"/>
          <w:sz w:val="24"/>
          <w:szCs w:val="24"/>
        </w:rPr>
        <w:t>. Atsiskaitymo už išlaidas pagal fiksuotąsias sumas dokumentų pavyzdžiai ir (ar) rekomenduojamos formos pateikiamos Priemonės projektų finansavimo sąlygų apraše.</w:t>
      </w:r>
    </w:p>
    <w:p w14:paraId="1E697C38" w14:textId="15BF6305" w:rsidR="0098634B" w:rsidRDefault="00840FE0" w:rsidP="009D452D">
      <w:pPr>
        <w:spacing w:after="0" w:line="240" w:lineRule="auto"/>
        <w:jc w:val="both"/>
        <w:rPr>
          <w:rFonts w:ascii="Times New Roman" w:hAnsi="Times New Roman" w:cs="Times New Roman"/>
          <w:sz w:val="24"/>
          <w:szCs w:val="24"/>
        </w:rPr>
      </w:pPr>
      <w:r w:rsidRPr="003B1064">
        <w:rPr>
          <w:rFonts w:ascii="Times New Roman" w:hAnsi="Times New Roman" w:cs="Times New Roman"/>
          <w:sz w:val="24"/>
          <w:szCs w:val="24"/>
        </w:rPr>
        <w:tab/>
      </w:r>
      <w:r w:rsidR="00C0189C">
        <w:rPr>
          <w:rFonts w:ascii="Times New Roman" w:hAnsi="Times New Roman" w:cs="Times New Roman"/>
          <w:sz w:val="24"/>
          <w:szCs w:val="24"/>
        </w:rPr>
        <w:t>22</w:t>
      </w:r>
      <w:r w:rsidR="007A5636" w:rsidRPr="003B1064">
        <w:rPr>
          <w:rFonts w:ascii="Times New Roman" w:hAnsi="Times New Roman" w:cs="Times New Roman"/>
          <w:sz w:val="24"/>
          <w:szCs w:val="24"/>
        </w:rPr>
        <w:t>. Šioje tyrimo ataskaitoje nustatyti fiksuotųjų sumų dydžiai gali būti keičiami pasikeitus PVM dydžiui. Pasikeitus PVM dydžiui</w:t>
      </w:r>
      <w:r w:rsidR="0098634B">
        <w:rPr>
          <w:rFonts w:ascii="Times New Roman" w:hAnsi="Times New Roman" w:cs="Times New Roman"/>
          <w:sz w:val="24"/>
          <w:szCs w:val="24"/>
        </w:rPr>
        <w:t xml:space="preserve">, nuo tos dienos, kai įsigalioja naujas PVM dydis, </w:t>
      </w:r>
      <w:r w:rsidR="0098634B">
        <w:rPr>
          <w:rFonts w:ascii="Times New Roman" w:hAnsi="Times New Roman" w:cs="Times New Roman"/>
          <w:sz w:val="24"/>
          <w:szCs w:val="24"/>
        </w:rPr>
        <w:lastRenderedPageBreak/>
        <w:t>fiksuotoji suma taikoma su nauju PVM dydžiu, projektams</w:t>
      </w:r>
      <w:r w:rsidR="0091200D">
        <w:rPr>
          <w:rFonts w:ascii="Times New Roman" w:hAnsi="Times New Roman" w:cs="Times New Roman"/>
          <w:sz w:val="24"/>
          <w:szCs w:val="24"/>
        </w:rPr>
        <w:t>,</w:t>
      </w:r>
      <w:r w:rsidR="0098634B">
        <w:rPr>
          <w:rFonts w:ascii="Times New Roman" w:hAnsi="Times New Roman" w:cs="Times New Roman"/>
          <w:sz w:val="24"/>
          <w:szCs w:val="24"/>
        </w:rPr>
        <w:t xml:space="preserve"> </w:t>
      </w:r>
      <w:r w:rsidR="007A5636" w:rsidRPr="003B1064">
        <w:rPr>
          <w:rFonts w:ascii="Times New Roman" w:hAnsi="Times New Roman" w:cs="Times New Roman"/>
          <w:sz w:val="24"/>
          <w:szCs w:val="24"/>
        </w:rPr>
        <w:t>kai PVM yra tinkamas finansuoti</w:t>
      </w:r>
      <w:r w:rsidR="0098634B">
        <w:rPr>
          <w:rFonts w:ascii="Times New Roman" w:hAnsi="Times New Roman" w:cs="Times New Roman"/>
          <w:sz w:val="24"/>
          <w:szCs w:val="24"/>
        </w:rPr>
        <w:t xml:space="preserve"> ir kurių sutartys pasirašytos po naujo PVM dydžio įsigaliojimo dienos</w:t>
      </w:r>
      <w:r w:rsidR="007A5636" w:rsidRPr="003B1064">
        <w:rPr>
          <w:rFonts w:ascii="Times New Roman" w:hAnsi="Times New Roman" w:cs="Times New Roman"/>
          <w:sz w:val="24"/>
          <w:szCs w:val="24"/>
        </w:rPr>
        <w:t xml:space="preserve">. </w:t>
      </w:r>
    </w:p>
    <w:p w14:paraId="417D58AC" w14:textId="726DAA33" w:rsidR="007A5636" w:rsidRDefault="00840FE0" w:rsidP="009D452D">
      <w:pPr>
        <w:spacing w:after="0" w:line="240" w:lineRule="auto"/>
        <w:jc w:val="both"/>
        <w:rPr>
          <w:rFonts w:ascii="Times New Roman" w:hAnsi="Times New Roman" w:cs="Times New Roman"/>
          <w:b/>
          <w:sz w:val="24"/>
          <w:szCs w:val="24"/>
          <w:highlight w:val="yellow"/>
        </w:rPr>
      </w:pPr>
      <w:r w:rsidRPr="003B1064">
        <w:rPr>
          <w:rFonts w:ascii="Times New Roman" w:hAnsi="Times New Roman" w:cs="Times New Roman"/>
          <w:sz w:val="24"/>
          <w:szCs w:val="24"/>
        </w:rPr>
        <w:tab/>
      </w:r>
    </w:p>
    <w:p w14:paraId="209651F1" w14:textId="77777777" w:rsidR="00840FE0" w:rsidRPr="00BA0C39" w:rsidRDefault="00840FE0" w:rsidP="009D452D">
      <w:pPr>
        <w:spacing w:after="0" w:line="240" w:lineRule="auto"/>
        <w:jc w:val="both"/>
        <w:rPr>
          <w:rFonts w:ascii="Times New Roman" w:hAnsi="Times New Roman" w:cs="Times New Roman"/>
          <w:b/>
          <w:sz w:val="24"/>
          <w:szCs w:val="24"/>
        </w:rPr>
      </w:pPr>
    </w:p>
    <w:p w14:paraId="3C832BAE" w14:textId="77777777" w:rsidR="00A94B55" w:rsidRDefault="00A94B55" w:rsidP="009D452D">
      <w:pPr>
        <w:spacing w:after="0" w:line="240" w:lineRule="auto"/>
        <w:jc w:val="center"/>
        <w:rPr>
          <w:rFonts w:ascii="Times New Roman" w:hAnsi="Times New Roman" w:cs="Times New Roman"/>
          <w:b/>
          <w:sz w:val="24"/>
          <w:szCs w:val="24"/>
        </w:rPr>
      </w:pPr>
    </w:p>
    <w:p w14:paraId="0C3C6635" w14:textId="77777777" w:rsidR="00A94B55" w:rsidRDefault="00A94B55" w:rsidP="009D452D">
      <w:pPr>
        <w:spacing w:after="0" w:line="240" w:lineRule="auto"/>
        <w:jc w:val="center"/>
        <w:rPr>
          <w:rFonts w:ascii="Times New Roman" w:hAnsi="Times New Roman" w:cs="Times New Roman"/>
          <w:b/>
          <w:sz w:val="24"/>
          <w:szCs w:val="24"/>
        </w:rPr>
      </w:pPr>
    </w:p>
    <w:p w14:paraId="7B09D843" w14:textId="77777777" w:rsidR="00A94B55" w:rsidRDefault="00A94B55" w:rsidP="009D452D">
      <w:pPr>
        <w:spacing w:after="0" w:line="240" w:lineRule="auto"/>
        <w:jc w:val="center"/>
        <w:rPr>
          <w:rFonts w:ascii="Times New Roman" w:hAnsi="Times New Roman" w:cs="Times New Roman"/>
          <w:b/>
          <w:sz w:val="24"/>
          <w:szCs w:val="24"/>
        </w:rPr>
      </w:pPr>
    </w:p>
    <w:p w14:paraId="00BF84EC" w14:textId="64F3E0F4" w:rsidR="007A5636" w:rsidRPr="00BA0C39" w:rsidRDefault="007A5636" w:rsidP="009D452D">
      <w:pPr>
        <w:spacing w:after="0" w:line="240" w:lineRule="auto"/>
        <w:jc w:val="center"/>
        <w:rPr>
          <w:rFonts w:ascii="Times New Roman" w:hAnsi="Times New Roman" w:cs="Times New Roman"/>
          <w:b/>
          <w:sz w:val="24"/>
          <w:szCs w:val="24"/>
        </w:rPr>
      </w:pPr>
      <w:r w:rsidRPr="00BA0C39">
        <w:rPr>
          <w:rFonts w:ascii="Times New Roman" w:hAnsi="Times New Roman" w:cs="Times New Roman"/>
          <w:b/>
          <w:sz w:val="24"/>
          <w:szCs w:val="24"/>
        </w:rPr>
        <w:t>PRIEDAI</w:t>
      </w:r>
    </w:p>
    <w:p w14:paraId="7C562AFC" w14:textId="77777777" w:rsidR="00840FE0" w:rsidRPr="00BA0C39" w:rsidRDefault="00840FE0" w:rsidP="009D452D">
      <w:pPr>
        <w:spacing w:after="0" w:line="240" w:lineRule="auto"/>
        <w:jc w:val="center"/>
        <w:rPr>
          <w:rFonts w:ascii="Times New Roman" w:hAnsi="Times New Roman" w:cs="Times New Roman"/>
          <w:b/>
          <w:sz w:val="24"/>
          <w:szCs w:val="24"/>
        </w:rPr>
      </w:pPr>
    </w:p>
    <w:p w14:paraId="13684B5D" w14:textId="3911ACE5" w:rsidR="007A5636" w:rsidRPr="00BA0C39" w:rsidRDefault="00840FE0" w:rsidP="009D452D">
      <w:pPr>
        <w:spacing w:after="0" w:line="240" w:lineRule="auto"/>
        <w:jc w:val="both"/>
        <w:rPr>
          <w:rFonts w:ascii="Times New Roman" w:hAnsi="Times New Roman" w:cs="Times New Roman"/>
          <w:sz w:val="24"/>
          <w:szCs w:val="24"/>
        </w:rPr>
      </w:pPr>
      <w:r w:rsidRPr="00BA0C39">
        <w:rPr>
          <w:rFonts w:ascii="Times New Roman" w:hAnsi="Times New Roman" w:cs="Times New Roman"/>
          <w:sz w:val="24"/>
          <w:szCs w:val="24"/>
        </w:rPr>
        <w:tab/>
      </w:r>
      <w:r w:rsidR="007A5636" w:rsidRPr="00BA0C39">
        <w:rPr>
          <w:rFonts w:ascii="Times New Roman" w:hAnsi="Times New Roman" w:cs="Times New Roman"/>
          <w:sz w:val="24"/>
          <w:szCs w:val="24"/>
        </w:rPr>
        <w:t xml:space="preserve">1 priedas. </w:t>
      </w:r>
      <w:r w:rsidR="00BA0C39" w:rsidRPr="00BA0C39">
        <w:rPr>
          <w:rFonts w:ascii="Times New Roman" w:hAnsi="Times New Roman" w:cs="Times New Roman"/>
          <w:sz w:val="24"/>
          <w:szCs w:val="24"/>
        </w:rPr>
        <w:t xml:space="preserve">Pirmojo tyrimo vykdymo etapo metu surinkti ir susisteminti </w:t>
      </w:r>
      <w:r w:rsidR="007A5636" w:rsidRPr="00BA0C39">
        <w:rPr>
          <w:rFonts w:ascii="Times New Roman" w:hAnsi="Times New Roman" w:cs="Times New Roman"/>
          <w:sz w:val="24"/>
          <w:szCs w:val="24"/>
        </w:rPr>
        <w:t xml:space="preserve">istoriniai VP2-1.3-ŪM-05-K priemonės „Inočekiai LT“ duomenys, </w:t>
      </w:r>
      <w:r w:rsidR="00865CA4">
        <w:rPr>
          <w:rFonts w:ascii="Times New Roman" w:hAnsi="Times New Roman" w:cs="Times New Roman"/>
          <w:sz w:val="24"/>
          <w:szCs w:val="24"/>
        </w:rPr>
        <w:t>1</w:t>
      </w:r>
      <w:r w:rsidR="008626BF">
        <w:rPr>
          <w:rFonts w:ascii="Times New Roman" w:hAnsi="Times New Roman" w:cs="Times New Roman"/>
          <w:sz w:val="24"/>
          <w:szCs w:val="24"/>
        </w:rPr>
        <w:t>8</w:t>
      </w:r>
      <w:r w:rsidR="00865CA4">
        <w:rPr>
          <w:rFonts w:ascii="Times New Roman" w:hAnsi="Times New Roman" w:cs="Times New Roman"/>
          <w:sz w:val="24"/>
          <w:szCs w:val="24"/>
        </w:rPr>
        <w:t xml:space="preserve"> lapų</w:t>
      </w:r>
      <w:r w:rsidR="007A5636" w:rsidRPr="00BA0C39">
        <w:rPr>
          <w:rFonts w:ascii="Times New Roman" w:hAnsi="Times New Roman" w:cs="Times New Roman"/>
          <w:sz w:val="24"/>
          <w:szCs w:val="24"/>
        </w:rPr>
        <w:t>.</w:t>
      </w:r>
    </w:p>
    <w:p w14:paraId="231FF42C" w14:textId="120EF999" w:rsidR="007A5636" w:rsidRPr="00BA0C39" w:rsidRDefault="00840FE0" w:rsidP="009D452D">
      <w:pPr>
        <w:spacing w:after="0" w:line="240" w:lineRule="auto"/>
        <w:jc w:val="both"/>
        <w:rPr>
          <w:rFonts w:ascii="Times New Roman" w:hAnsi="Times New Roman" w:cs="Times New Roman"/>
          <w:sz w:val="24"/>
          <w:szCs w:val="24"/>
        </w:rPr>
      </w:pPr>
      <w:r w:rsidRPr="00BA0C39">
        <w:rPr>
          <w:rFonts w:ascii="Times New Roman" w:hAnsi="Times New Roman" w:cs="Times New Roman"/>
          <w:sz w:val="24"/>
          <w:szCs w:val="24"/>
        </w:rPr>
        <w:tab/>
      </w:r>
      <w:r w:rsidR="007A5636" w:rsidRPr="00BA0C39">
        <w:rPr>
          <w:rFonts w:ascii="Times New Roman" w:hAnsi="Times New Roman" w:cs="Times New Roman"/>
          <w:sz w:val="24"/>
          <w:szCs w:val="24"/>
        </w:rPr>
        <w:t xml:space="preserve">2 priedas. </w:t>
      </w:r>
      <w:r w:rsidR="00BA0C39" w:rsidRPr="00BA0C39">
        <w:rPr>
          <w:rFonts w:ascii="Times New Roman" w:hAnsi="Times New Roman" w:cs="Times New Roman"/>
          <w:sz w:val="24"/>
          <w:szCs w:val="24"/>
        </w:rPr>
        <w:t xml:space="preserve">Antrojo tyrimo vykdymo etapo metu surinkti ir susisteminti istoriniai VP2-1.3-ŪM-05-K priemonės „Inočekiai LT“ duomenys, </w:t>
      </w:r>
      <w:r w:rsidR="00865CA4">
        <w:rPr>
          <w:rFonts w:ascii="Times New Roman" w:hAnsi="Times New Roman" w:cs="Times New Roman"/>
          <w:sz w:val="24"/>
          <w:szCs w:val="24"/>
        </w:rPr>
        <w:t>4 lapai</w:t>
      </w:r>
      <w:r w:rsidR="00BA0C39" w:rsidRPr="00BA0C39">
        <w:rPr>
          <w:rFonts w:ascii="Times New Roman" w:hAnsi="Times New Roman" w:cs="Times New Roman"/>
          <w:sz w:val="24"/>
          <w:szCs w:val="24"/>
        </w:rPr>
        <w:t>.</w:t>
      </w:r>
    </w:p>
    <w:p w14:paraId="06A2865A" w14:textId="32491A07" w:rsidR="00BA0C39" w:rsidRPr="00BA0C39" w:rsidRDefault="00840FE0" w:rsidP="00BA0C39">
      <w:pPr>
        <w:spacing w:after="0" w:line="240" w:lineRule="auto"/>
        <w:jc w:val="both"/>
        <w:rPr>
          <w:rFonts w:ascii="Times New Roman" w:hAnsi="Times New Roman" w:cs="Times New Roman"/>
          <w:sz w:val="24"/>
          <w:szCs w:val="24"/>
        </w:rPr>
      </w:pPr>
      <w:r w:rsidRPr="00BA0C39">
        <w:rPr>
          <w:rFonts w:ascii="Times New Roman" w:hAnsi="Times New Roman" w:cs="Times New Roman"/>
          <w:sz w:val="24"/>
          <w:szCs w:val="24"/>
        </w:rPr>
        <w:tab/>
      </w:r>
      <w:r w:rsidR="007A5636" w:rsidRPr="00BA0C39">
        <w:rPr>
          <w:rFonts w:ascii="Times New Roman" w:hAnsi="Times New Roman" w:cs="Times New Roman"/>
          <w:sz w:val="24"/>
          <w:szCs w:val="24"/>
        </w:rPr>
        <w:t xml:space="preserve">3 priedas. </w:t>
      </w:r>
      <w:r w:rsidR="00BA0C39" w:rsidRPr="00BA0C39">
        <w:rPr>
          <w:rFonts w:ascii="Times New Roman" w:hAnsi="Times New Roman" w:cs="Times New Roman"/>
          <w:sz w:val="24"/>
          <w:szCs w:val="24"/>
        </w:rPr>
        <w:t>Skirtumai tarp pirmojo ir antrojo tyrimo vykdymo etapo metu gautų reikšmių</w:t>
      </w:r>
      <w:r w:rsidR="007A5636" w:rsidRPr="00BA0C39">
        <w:rPr>
          <w:rFonts w:ascii="Times New Roman" w:hAnsi="Times New Roman" w:cs="Times New Roman"/>
          <w:sz w:val="24"/>
          <w:szCs w:val="24"/>
        </w:rPr>
        <w:t xml:space="preserve">, </w:t>
      </w:r>
      <w:r w:rsidR="00865CA4" w:rsidRPr="00865CA4">
        <w:rPr>
          <w:rFonts w:ascii="Times New Roman" w:hAnsi="Times New Roman" w:cs="Times New Roman"/>
          <w:sz w:val="24"/>
          <w:szCs w:val="24"/>
        </w:rPr>
        <w:t>1 lapas</w:t>
      </w:r>
      <w:r w:rsidR="007A5636" w:rsidRPr="00865CA4">
        <w:rPr>
          <w:rFonts w:ascii="Times New Roman" w:hAnsi="Times New Roman" w:cs="Times New Roman"/>
          <w:sz w:val="24"/>
          <w:szCs w:val="24"/>
        </w:rPr>
        <w:t>.</w:t>
      </w:r>
    </w:p>
    <w:p w14:paraId="71157A32" w14:textId="6A172ACC" w:rsidR="007A5636" w:rsidRPr="009D452D" w:rsidRDefault="007A5636" w:rsidP="009D452D">
      <w:pPr>
        <w:spacing w:after="0" w:line="240" w:lineRule="auto"/>
        <w:jc w:val="both"/>
        <w:rPr>
          <w:rFonts w:ascii="Times New Roman" w:hAnsi="Times New Roman" w:cs="Times New Roman"/>
          <w:sz w:val="24"/>
          <w:szCs w:val="24"/>
        </w:rPr>
      </w:pPr>
    </w:p>
    <w:sectPr w:rsidR="007A5636" w:rsidRPr="009D452D" w:rsidSect="00A46918">
      <w:footerReference w:type="default" r:id="rId9"/>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EB0D3" w14:textId="77777777" w:rsidR="00CE3B12" w:rsidRDefault="00CE3B12" w:rsidP="00BE22C7">
      <w:pPr>
        <w:spacing w:after="0" w:line="240" w:lineRule="auto"/>
      </w:pPr>
      <w:r>
        <w:separator/>
      </w:r>
    </w:p>
  </w:endnote>
  <w:endnote w:type="continuationSeparator" w:id="0">
    <w:p w14:paraId="1C4018EF" w14:textId="77777777" w:rsidR="00CE3B12" w:rsidRDefault="00CE3B12" w:rsidP="00BE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96385"/>
      <w:docPartObj>
        <w:docPartGallery w:val="Page Numbers (Bottom of Page)"/>
        <w:docPartUnique/>
      </w:docPartObj>
    </w:sdtPr>
    <w:sdtEndPr/>
    <w:sdtContent>
      <w:p w14:paraId="03F5998C" w14:textId="5E48E59F" w:rsidR="00BE22C7" w:rsidRDefault="00BE22C7">
        <w:pPr>
          <w:pStyle w:val="Porat"/>
          <w:jc w:val="right"/>
        </w:pPr>
        <w:r>
          <w:fldChar w:fldCharType="begin"/>
        </w:r>
        <w:r>
          <w:instrText>PAGE   \* MERGEFORMAT</w:instrText>
        </w:r>
        <w:r>
          <w:fldChar w:fldCharType="separate"/>
        </w:r>
        <w:r w:rsidR="002D660E">
          <w:rPr>
            <w:noProof/>
          </w:rPr>
          <w:t>2</w:t>
        </w:r>
        <w:r>
          <w:fldChar w:fldCharType="end"/>
        </w:r>
      </w:p>
    </w:sdtContent>
  </w:sdt>
  <w:p w14:paraId="69BAEDB7" w14:textId="77777777" w:rsidR="00BE22C7" w:rsidRDefault="00BE22C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320CE" w14:textId="77777777" w:rsidR="00CE3B12" w:rsidRDefault="00CE3B12" w:rsidP="00BE22C7">
      <w:pPr>
        <w:spacing w:after="0" w:line="240" w:lineRule="auto"/>
      </w:pPr>
      <w:r>
        <w:separator/>
      </w:r>
    </w:p>
  </w:footnote>
  <w:footnote w:type="continuationSeparator" w:id="0">
    <w:p w14:paraId="1929AB24" w14:textId="77777777" w:rsidR="00CE3B12" w:rsidRDefault="00CE3B12" w:rsidP="00BE22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47319"/>
    <w:multiLevelType w:val="hybridMultilevel"/>
    <w:tmpl w:val="18BAD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A2E3F2D"/>
    <w:multiLevelType w:val="hybridMultilevel"/>
    <w:tmpl w:val="C592E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E4"/>
    <w:rsid w:val="0000280B"/>
    <w:rsid w:val="00012CE6"/>
    <w:rsid w:val="00014AD9"/>
    <w:rsid w:val="000307C7"/>
    <w:rsid w:val="00032467"/>
    <w:rsid w:val="000345CC"/>
    <w:rsid w:val="00045D12"/>
    <w:rsid w:val="000673AA"/>
    <w:rsid w:val="00070255"/>
    <w:rsid w:val="00073E8D"/>
    <w:rsid w:val="00075B59"/>
    <w:rsid w:val="00075EDE"/>
    <w:rsid w:val="00076422"/>
    <w:rsid w:val="000843E8"/>
    <w:rsid w:val="0009091E"/>
    <w:rsid w:val="000A1B9B"/>
    <w:rsid w:val="000B0C87"/>
    <w:rsid w:val="000B1561"/>
    <w:rsid w:val="000B7A01"/>
    <w:rsid w:val="000C224B"/>
    <w:rsid w:val="000C2A89"/>
    <w:rsid w:val="000C506A"/>
    <w:rsid w:val="000E7626"/>
    <w:rsid w:val="000E7D3A"/>
    <w:rsid w:val="000F17C9"/>
    <w:rsid w:val="000F20ED"/>
    <w:rsid w:val="00100070"/>
    <w:rsid w:val="00132988"/>
    <w:rsid w:val="00132EF5"/>
    <w:rsid w:val="001331E4"/>
    <w:rsid w:val="00140E65"/>
    <w:rsid w:val="00153853"/>
    <w:rsid w:val="00155855"/>
    <w:rsid w:val="001854E5"/>
    <w:rsid w:val="00194C9E"/>
    <w:rsid w:val="001A02CC"/>
    <w:rsid w:val="001B56BF"/>
    <w:rsid w:val="001C36F3"/>
    <w:rsid w:val="001C5399"/>
    <w:rsid w:val="001D65BC"/>
    <w:rsid w:val="001D6A82"/>
    <w:rsid w:val="00210BF4"/>
    <w:rsid w:val="0021697D"/>
    <w:rsid w:val="00223E30"/>
    <w:rsid w:val="0022500E"/>
    <w:rsid w:val="002263C9"/>
    <w:rsid w:val="002528A7"/>
    <w:rsid w:val="0026013A"/>
    <w:rsid w:val="00266003"/>
    <w:rsid w:val="00267909"/>
    <w:rsid w:val="00292685"/>
    <w:rsid w:val="00297C70"/>
    <w:rsid w:val="002A7D0C"/>
    <w:rsid w:val="002D660E"/>
    <w:rsid w:val="002F7C31"/>
    <w:rsid w:val="00302C56"/>
    <w:rsid w:val="00313F62"/>
    <w:rsid w:val="00314ECF"/>
    <w:rsid w:val="00335C91"/>
    <w:rsid w:val="00344F0C"/>
    <w:rsid w:val="003558BA"/>
    <w:rsid w:val="0037513F"/>
    <w:rsid w:val="003B1064"/>
    <w:rsid w:val="003B76C1"/>
    <w:rsid w:val="003C048F"/>
    <w:rsid w:val="003C19F2"/>
    <w:rsid w:val="003E7C07"/>
    <w:rsid w:val="003F2C35"/>
    <w:rsid w:val="00400B00"/>
    <w:rsid w:val="004072FD"/>
    <w:rsid w:val="004308B7"/>
    <w:rsid w:val="004413C0"/>
    <w:rsid w:val="0046100F"/>
    <w:rsid w:val="004703DE"/>
    <w:rsid w:val="004753B6"/>
    <w:rsid w:val="004949D6"/>
    <w:rsid w:val="004A0E59"/>
    <w:rsid w:val="004A5C92"/>
    <w:rsid w:val="004B20B5"/>
    <w:rsid w:val="004B2A95"/>
    <w:rsid w:val="004B2C41"/>
    <w:rsid w:val="004C7563"/>
    <w:rsid w:val="004D1AC2"/>
    <w:rsid w:val="004D3897"/>
    <w:rsid w:val="004E65A5"/>
    <w:rsid w:val="004F38C1"/>
    <w:rsid w:val="004F654C"/>
    <w:rsid w:val="00512144"/>
    <w:rsid w:val="00512F85"/>
    <w:rsid w:val="005201B4"/>
    <w:rsid w:val="00526119"/>
    <w:rsid w:val="00546107"/>
    <w:rsid w:val="005B04A5"/>
    <w:rsid w:val="005B1CFB"/>
    <w:rsid w:val="005F5D57"/>
    <w:rsid w:val="00604BB1"/>
    <w:rsid w:val="00606DCF"/>
    <w:rsid w:val="00641CA6"/>
    <w:rsid w:val="00642AAB"/>
    <w:rsid w:val="00643245"/>
    <w:rsid w:val="00652CEB"/>
    <w:rsid w:val="006532F0"/>
    <w:rsid w:val="00665992"/>
    <w:rsid w:val="00667CDE"/>
    <w:rsid w:val="0067280E"/>
    <w:rsid w:val="006745B9"/>
    <w:rsid w:val="006772F6"/>
    <w:rsid w:val="006850FA"/>
    <w:rsid w:val="006913C4"/>
    <w:rsid w:val="006A1692"/>
    <w:rsid w:val="006B1384"/>
    <w:rsid w:val="006B66D1"/>
    <w:rsid w:val="006D65B2"/>
    <w:rsid w:val="006E0969"/>
    <w:rsid w:val="006F030D"/>
    <w:rsid w:val="006F2C6F"/>
    <w:rsid w:val="006F2F26"/>
    <w:rsid w:val="00705218"/>
    <w:rsid w:val="007141A3"/>
    <w:rsid w:val="0071593C"/>
    <w:rsid w:val="00717190"/>
    <w:rsid w:val="00730A80"/>
    <w:rsid w:val="0073199B"/>
    <w:rsid w:val="00766F6B"/>
    <w:rsid w:val="00781816"/>
    <w:rsid w:val="007919C1"/>
    <w:rsid w:val="00792329"/>
    <w:rsid w:val="007A424F"/>
    <w:rsid w:val="007A5636"/>
    <w:rsid w:val="007B422C"/>
    <w:rsid w:val="007B518A"/>
    <w:rsid w:val="007C6776"/>
    <w:rsid w:val="007D1EB5"/>
    <w:rsid w:val="007E4A4B"/>
    <w:rsid w:val="0080455B"/>
    <w:rsid w:val="00821261"/>
    <w:rsid w:val="0082460C"/>
    <w:rsid w:val="00827BE4"/>
    <w:rsid w:val="0083439A"/>
    <w:rsid w:val="00837EB6"/>
    <w:rsid w:val="00840FE0"/>
    <w:rsid w:val="00852E51"/>
    <w:rsid w:val="008626BF"/>
    <w:rsid w:val="00865CA4"/>
    <w:rsid w:val="00867A9E"/>
    <w:rsid w:val="0088121A"/>
    <w:rsid w:val="008865BE"/>
    <w:rsid w:val="00886987"/>
    <w:rsid w:val="00891158"/>
    <w:rsid w:val="008B5D84"/>
    <w:rsid w:val="008D17D6"/>
    <w:rsid w:val="008E10A6"/>
    <w:rsid w:val="00904993"/>
    <w:rsid w:val="0091200D"/>
    <w:rsid w:val="0092174A"/>
    <w:rsid w:val="00924A20"/>
    <w:rsid w:val="009271AD"/>
    <w:rsid w:val="00944415"/>
    <w:rsid w:val="00956C9E"/>
    <w:rsid w:val="0096323F"/>
    <w:rsid w:val="00964A77"/>
    <w:rsid w:val="00970972"/>
    <w:rsid w:val="00971A0E"/>
    <w:rsid w:val="00973129"/>
    <w:rsid w:val="00973471"/>
    <w:rsid w:val="0098489B"/>
    <w:rsid w:val="0098634B"/>
    <w:rsid w:val="0099720C"/>
    <w:rsid w:val="009B3DD6"/>
    <w:rsid w:val="009B5F78"/>
    <w:rsid w:val="009C4E3D"/>
    <w:rsid w:val="009D452D"/>
    <w:rsid w:val="009D631B"/>
    <w:rsid w:val="009E2B6D"/>
    <w:rsid w:val="00A005F6"/>
    <w:rsid w:val="00A136A8"/>
    <w:rsid w:val="00A35401"/>
    <w:rsid w:val="00A46918"/>
    <w:rsid w:val="00A74598"/>
    <w:rsid w:val="00A74E16"/>
    <w:rsid w:val="00A74E30"/>
    <w:rsid w:val="00A759A0"/>
    <w:rsid w:val="00A87559"/>
    <w:rsid w:val="00A91EEF"/>
    <w:rsid w:val="00A94B55"/>
    <w:rsid w:val="00AB0CFC"/>
    <w:rsid w:val="00AB2522"/>
    <w:rsid w:val="00AE3F64"/>
    <w:rsid w:val="00AE43C4"/>
    <w:rsid w:val="00B10373"/>
    <w:rsid w:val="00B13854"/>
    <w:rsid w:val="00B2119D"/>
    <w:rsid w:val="00B24527"/>
    <w:rsid w:val="00B31CDB"/>
    <w:rsid w:val="00B35CF3"/>
    <w:rsid w:val="00B438D6"/>
    <w:rsid w:val="00B51895"/>
    <w:rsid w:val="00B556FA"/>
    <w:rsid w:val="00B57204"/>
    <w:rsid w:val="00B65032"/>
    <w:rsid w:val="00BA0C39"/>
    <w:rsid w:val="00BA3FAE"/>
    <w:rsid w:val="00BA5FFF"/>
    <w:rsid w:val="00BB2E9C"/>
    <w:rsid w:val="00BB384C"/>
    <w:rsid w:val="00BC13AD"/>
    <w:rsid w:val="00BC18DD"/>
    <w:rsid w:val="00BD4334"/>
    <w:rsid w:val="00BE00C8"/>
    <w:rsid w:val="00BE22C7"/>
    <w:rsid w:val="00BE25AE"/>
    <w:rsid w:val="00BE4F59"/>
    <w:rsid w:val="00BF39AA"/>
    <w:rsid w:val="00BF4AF5"/>
    <w:rsid w:val="00C0189C"/>
    <w:rsid w:val="00C2443C"/>
    <w:rsid w:val="00C31454"/>
    <w:rsid w:val="00C52BDF"/>
    <w:rsid w:val="00C52E66"/>
    <w:rsid w:val="00C62592"/>
    <w:rsid w:val="00C6724E"/>
    <w:rsid w:val="00C7748B"/>
    <w:rsid w:val="00C80DA8"/>
    <w:rsid w:val="00CD22C5"/>
    <w:rsid w:val="00CD3EED"/>
    <w:rsid w:val="00CE3B12"/>
    <w:rsid w:val="00D179D1"/>
    <w:rsid w:val="00D325DC"/>
    <w:rsid w:val="00D34948"/>
    <w:rsid w:val="00D500A5"/>
    <w:rsid w:val="00D52855"/>
    <w:rsid w:val="00D57CD9"/>
    <w:rsid w:val="00D76257"/>
    <w:rsid w:val="00D77EE6"/>
    <w:rsid w:val="00D82E7D"/>
    <w:rsid w:val="00DA0482"/>
    <w:rsid w:val="00DA7845"/>
    <w:rsid w:val="00DB57EA"/>
    <w:rsid w:val="00DC758A"/>
    <w:rsid w:val="00DD24F8"/>
    <w:rsid w:val="00DD3471"/>
    <w:rsid w:val="00DF3397"/>
    <w:rsid w:val="00E0056E"/>
    <w:rsid w:val="00E0155D"/>
    <w:rsid w:val="00E019C2"/>
    <w:rsid w:val="00E05A33"/>
    <w:rsid w:val="00E15B52"/>
    <w:rsid w:val="00E15E95"/>
    <w:rsid w:val="00E25826"/>
    <w:rsid w:val="00E375BE"/>
    <w:rsid w:val="00E51161"/>
    <w:rsid w:val="00E83363"/>
    <w:rsid w:val="00E87907"/>
    <w:rsid w:val="00E9483B"/>
    <w:rsid w:val="00EA3AA0"/>
    <w:rsid w:val="00EA4ACC"/>
    <w:rsid w:val="00EB553B"/>
    <w:rsid w:val="00EC0FED"/>
    <w:rsid w:val="00ED281C"/>
    <w:rsid w:val="00ED7288"/>
    <w:rsid w:val="00EF0D4E"/>
    <w:rsid w:val="00EF2798"/>
    <w:rsid w:val="00F16F25"/>
    <w:rsid w:val="00F33FCF"/>
    <w:rsid w:val="00F36014"/>
    <w:rsid w:val="00F51512"/>
    <w:rsid w:val="00F51A09"/>
    <w:rsid w:val="00F52349"/>
    <w:rsid w:val="00F60BD9"/>
    <w:rsid w:val="00F61CB4"/>
    <w:rsid w:val="00F70C8E"/>
    <w:rsid w:val="00F8210C"/>
    <w:rsid w:val="00FB13B2"/>
    <w:rsid w:val="00FB47A5"/>
    <w:rsid w:val="00FB583D"/>
    <w:rsid w:val="00FD01CC"/>
    <w:rsid w:val="00FD194D"/>
    <w:rsid w:val="00FD7DD7"/>
    <w:rsid w:val="00FE3FF8"/>
    <w:rsid w:val="00FE62E4"/>
    <w:rsid w:val="00FF1D30"/>
    <w:rsid w:val="00FF5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75EDE"/>
    <w:rPr>
      <w:color w:val="0000FF" w:themeColor="hyperlink"/>
      <w:u w:val="single"/>
    </w:rPr>
  </w:style>
  <w:style w:type="character" w:styleId="Komentaronuoroda">
    <w:name w:val="annotation reference"/>
    <w:basedOn w:val="Numatytasispastraiposriftas"/>
    <w:uiPriority w:val="99"/>
    <w:semiHidden/>
    <w:unhideWhenUsed/>
    <w:rsid w:val="00E15E95"/>
    <w:rPr>
      <w:sz w:val="16"/>
      <w:szCs w:val="16"/>
    </w:rPr>
  </w:style>
  <w:style w:type="paragraph" w:styleId="Komentarotekstas">
    <w:name w:val="annotation text"/>
    <w:basedOn w:val="prastasis"/>
    <w:link w:val="KomentarotekstasDiagrama"/>
    <w:uiPriority w:val="99"/>
    <w:semiHidden/>
    <w:unhideWhenUsed/>
    <w:rsid w:val="00E15E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15E95"/>
    <w:rPr>
      <w:sz w:val="20"/>
      <w:szCs w:val="20"/>
    </w:rPr>
  </w:style>
  <w:style w:type="paragraph" w:styleId="Komentarotema">
    <w:name w:val="annotation subject"/>
    <w:basedOn w:val="Komentarotekstas"/>
    <w:next w:val="Komentarotekstas"/>
    <w:link w:val="KomentarotemaDiagrama"/>
    <w:uiPriority w:val="99"/>
    <w:semiHidden/>
    <w:unhideWhenUsed/>
    <w:rsid w:val="00E15E95"/>
    <w:rPr>
      <w:b/>
      <w:bCs/>
    </w:rPr>
  </w:style>
  <w:style w:type="character" w:customStyle="1" w:styleId="KomentarotemaDiagrama">
    <w:name w:val="Komentaro tema Diagrama"/>
    <w:basedOn w:val="KomentarotekstasDiagrama"/>
    <w:link w:val="Komentarotema"/>
    <w:uiPriority w:val="99"/>
    <w:semiHidden/>
    <w:rsid w:val="00E15E95"/>
    <w:rPr>
      <w:b/>
      <w:bCs/>
      <w:sz w:val="20"/>
      <w:szCs w:val="20"/>
    </w:rPr>
  </w:style>
  <w:style w:type="paragraph" w:styleId="Debesliotekstas">
    <w:name w:val="Balloon Text"/>
    <w:basedOn w:val="prastasis"/>
    <w:link w:val="DebesliotekstasDiagrama"/>
    <w:uiPriority w:val="99"/>
    <w:semiHidden/>
    <w:unhideWhenUsed/>
    <w:rsid w:val="00E15E9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5E95"/>
    <w:rPr>
      <w:rFonts w:ascii="Tahoma" w:hAnsi="Tahoma" w:cs="Tahoma"/>
      <w:sz w:val="16"/>
      <w:szCs w:val="16"/>
    </w:rPr>
  </w:style>
  <w:style w:type="paragraph" w:styleId="Sraopastraipa">
    <w:name w:val="List Paragraph"/>
    <w:basedOn w:val="prastasis"/>
    <w:uiPriority w:val="34"/>
    <w:qFormat/>
    <w:rsid w:val="00837EB6"/>
    <w:pPr>
      <w:ind w:left="720"/>
      <w:contextualSpacing/>
    </w:pPr>
  </w:style>
  <w:style w:type="paragraph" w:styleId="Pataisymai">
    <w:name w:val="Revision"/>
    <w:hidden/>
    <w:uiPriority w:val="99"/>
    <w:semiHidden/>
    <w:rsid w:val="00C7748B"/>
    <w:pPr>
      <w:spacing w:after="0" w:line="240" w:lineRule="auto"/>
    </w:pPr>
  </w:style>
  <w:style w:type="character" w:styleId="Perirtashipersaitas">
    <w:name w:val="FollowedHyperlink"/>
    <w:basedOn w:val="Numatytasispastraiposriftas"/>
    <w:uiPriority w:val="99"/>
    <w:semiHidden/>
    <w:unhideWhenUsed/>
    <w:rsid w:val="00132988"/>
    <w:rPr>
      <w:color w:val="800080" w:themeColor="followedHyperlink"/>
      <w:u w:val="single"/>
    </w:rPr>
  </w:style>
  <w:style w:type="paragraph" w:styleId="Antrats">
    <w:name w:val="header"/>
    <w:basedOn w:val="prastasis"/>
    <w:link w:val="AntratsDiagrama"/>
    <w:uiPriority w:val="99"/>
    <w:unhideWhenUsed/>
    <w:rsid w:val="00BE22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22C7"/>
  </w:style>
  <w:style w:type="paragraph" w:styleId="Porat">
    <w:name w:val="footer"/>
    <w:basedOn w:val="prastasis"/>
    <w:link w:val="PoratDiagrama"/>
    <w:uiPriority w:val="99"/>
    <w:unhideWhenUsed/>
    <w:rsid w:val="00BE22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22C7"/>
  </w:style>
  <w:style w:type="paragraph" w:styleId="Puslapioinaostekstas">
    <w:name w:val="footnote text"/>
    <w:basedOn w:val="prastasis"/>
    <w:link w:val="PuslapioinaostekstasDiagrama"/>
    <w:uiPriority w:val="99"/>
    <w:semiHidden/>
    <w:unhideWhenUsed/>
    <w:rsid w:val="000B7A0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B7A01"/>
    <w:rPr>
      <w:sz w:val="20"/>
      <w:szCs w:val="20"/>
    </w:rPr>
  </w:style>
  <w:style w:type="character" w:styleId="Puslapioinaosnuoroda">
    <w:name w:val="footnote reference"/>
    <w:basedOn w:val="Numatytasispastraiposriftas"/>
    <w:uiPriority w:val="99"/>
    <w:semiHidden/>
    <w:unhideWhenUsed/>
    <w:rsid w:val="000B7A01"/>
    <w:rPr>
      <w:vertAlign w:val="superscript"/>
    </w:rPr>
  </w:style>
  <w:style w:type="table" w:styleId="Lentelstinklelis">
    <w:name w:val="Table Grid"/>
    <w:basedOn w:val="prastojilentel"/>
    <w:uiPriority w:val="59"/>
    <w:rsid w:val="00F33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75EDE"/>
    <w:rPr>
      <w:color w:val="0000FF" w:themeColor="hyperlink"/>
      <w:u w:val="single"/>
    </w:rPr>
  </w:style>
  <w:style w:type="character" w:styleId="Komentaronuoroda">
    <w:name w:val="annotation reference"/>
    <w:basedOn w:val="Numatytasispastraiposriftas"/>
    <w:uiPriority w:val="99"/>
    <w:semiHidden/>
    <w:unhideWhenUsed/>
    <w:rsid w:val="00E15E95"/>
    <w:rPr>
      <w:sz w:val="16"/>
      <w:szCs w:val="16"/>
    </w:rPr>
  </w:style>
  <w:style w:type="paragraph" w:styleId="Komentarotekstas">
    <w:name w:val="annotation text"/>
    <w:basedOn w:val="prastasis"/>
    <w:link w:val="KomentarotekstasDiagrama"/>
    <w:uiPriority w:val="99"/>
    <w:semiHidden/>
    <w:unhideWhenUsed/>
    <w:rsid w:val="00E15E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15E95"/>
    <w:rPr>
      <w:sz w:val="20"/>
      <w:szCs w:val="20"/>
    </w:rPr>
  </w:style>
  <w:style w:type="paragraph" w:styleId="Komentarotema">
    <w:name w:val="annotation subject"/>
    <w:basedOn w:val="Komentarotekstas"/>
    <w:next w:val="Komentarotekstas"/>
    <w:link w:val="KomentarotemaDiagrama"/>
    <w:uiPriority w:val="99"/>
    <w:semiHidden/>
    <w:unhideWhenUsed/>
    <w:rsid w:val="00E15E95"/>
    <w:rPr>
      <w:b/>
      <w:bCs/>
    </w:rPr>
  </w:style>
  <w:style w:type="character" w:customStyle="1" w:styleId="KomentarotemaDiagrama">
    <w:name w:val="Komentaro tema Diagrama"/>
    <w:basedOn w:val="KomentarotekstasDiagrama"/>
    <w:link w:val="Komentarotema"/>
    <w:uiPriority w:val="99"/>
    <w:semiHidden/>
    <w:rsid w:val="00E15E95"/>
    <w:rPr>
      <w:b/>
      <w:bCs/>
      <w:sz w:val="20"/>
      <w:szCs w:val="20"/>
    </w:rPr>
  </w:style>
  <w:style w:type="paragraph" w:styleId="Debesliotekstas">
    <w:name w:val="Balloon Text"/>
    <w:basedOn w:val="prastasis"/>
    <w:link w:val="DebesliotekstasDiagrama"/>
    <w:uiPriority w:val="99"/>
    <w:semiHidden/>
    <w:unhideWhenUsed/>
    <w:rsid w:val="00E15E9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5E95"/>
    <w:rPr>
      <w:rFonts w:ascii="Tahoma" w:hAnsi="Tahoma" w:cs="Tahoma"/>
      <w:sz w:val="16"/>
      <w:szCs w:val="16"/>
    </w:rPr>
  </w:style>
  <w:style w:type="paragraph" w:styleId="Sraopastraipa">
    <w:name w:val="List Paragraph"/>
    <w:basedOn w:val="prastasis"/>
    <w:uiPriority w:val="34"/>
    <w:qFormat/>
    <w:rsid w:val="00837EB6"/>
    <w:pPr>
      <w:ind w:left="720"/>
      <w:contextualSpacing/>
    </w:pPr>
  </w:style>
  <w:style w:type="paragraph" w:styleId="Pataisymai">
    <w:name w:val="Revision"/>
    <w:hidden/>
    <w:uiPriority w:val="99"/>
    <w:semiHidden/>
    <w:rsid w:val="00C7748B"/>
    <w:pPr>
      <w:spacing w:after="0" w:line="240" w:lineRule="auto"/>
    </w:pPr>
  </w:style>
  <w:style w:type="character" w:styleId="Perirtashipersaitas">
    <w:name w:val="FollowedHyperlink"/>
    <w:basedOn w:val="Numatytasispastraiposriftas"/>
    <w:uiPriority w:val="99"/>
    <w:semiHidden/>
    <w:unhideWhenUsed/>
    <w:rsid w:val="00132988"/>
    <w:rPr>
      <w:color w:val="800080" w:themeColor="followedHyperlink"/>
      <w:u w:val="single"/>
    </w:rPr>
  </w:style>
  <w:style w:type="paragraph" w:styleId="Antrats">
    <w:name w:val="header"/>
    <w:basedOn w:val="prastasis"/>
    <w:link w:val="AntratsDiagrama"/>
    <w:uiPriority w:val="99"/>
    <w:unhideWhenUsed/>
    <w:rsid w:val="00BE22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22C7"/>
  </w:style>
  <w:style w:type="paragraph" w:styleId="Porat">
    <w:name w:val="footer"/>
    <w:basedOn w:val="prastasis"/>
    <w:link w:val="PoratDiagrama"/>
    <w:uiPriority w:val="99"/>
    <w:unhideWhenUsed/>
    <w:rsid w:val="00BE22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22C7"/>
  </w:style>
  <w:style w:type="paragraph" w:styleId="Puslapioinaostekstas">
    <w:name w:val="footnote text"/>
    <w:basedOn w:val="prastasis"/>
    <w:link w:val="PuslapioinaostekstasDiagrama"/>
    <w:uiPriority w:val="99"/>
    <w:semiHidden/>
    <w:unhideWhenUsed/>
    <w:rsid w:val="000B7A0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B7A01"/>
    <w:rPr>
      <w:sz w:val="20"/>
      <w:szCs w:val="20"/>
    </w:rPr>
  </w:style>
  <w:style w:type="character" w:styleId="Puslapioinaosnuoroda">
    <w:name w:val="footnote reference"/>
    <w:basedOn w:val="Numatytasispastraiposriftas"/>
    <w:uiPriority w:val="99"/>
    <w:semiHidden/>
    <w:unhideWhenUsed/>
    <w:rsid w:val="000B7A01"/>
    <w:rPr>
      <w:vertAlign w:val="superscript"/>
    </w:rPr>
  </w:style>
  <w:style w:type="table" w:styleId="Lentelstinklelis">
    <w:name w:val="Table Grid"/>
    <w:basedOn w:val="prastojilentel"/>
    <w:uiPriority w:val="59"/>
    <w:rsid w:val="00F33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77621">
      <w:bodyDiv w:val="1"/>
      <w:marLeft w:val="0"/>
      <w:marRight w:val="0"/>
      <w:marTop w:val="0"/>
      <w:marBottom w:val="0"/>
      <w:divBdr>
        <w:top w:val="none" w:sz="0" w:space="0" w:color="auto"/>
        <w:left w:val="none" w:sz="0" w:space="0" w:color="auto"/>
        <w:bottom w:val="none" w:sz="0" w:space="0" w:color="auto"/>
        <w:right w:val="none" w:sz="0" w:space="0" w:color="auto"/>
      </w:divBdr>
    </w:div>
    <w:div w:id="176333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83EE-976C-46A2-A974-0579CBDA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13768</Words>
  <Characters>7848</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MITA</Company>
  <LinksUpToDate>false</LinksUpToDate>
  <CharactersWithSpaces>21573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Bieksa</dc:creator>
  <cp:lastModifiedBy>Vilma Ulkienė</cp:lastModifiedBy>
  <cp:revision>2</cp:revision>
  <cp:lastPrinted>2016-09-15T11:07:00Z</cp:lastPrinted>
  <dcterms:created xsi:type="dcterms:W3CDTF">2016-12-20T13:23:00Z</dcterms:created>
  <dcterms:modified xsi:type="dcterms:W3CDTF">2016-12-20T13:23:00Z</dcterms:modified>
</cp:coreProperties>
</file>