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1A" w:rsidRDefault="0047437C" w:rsidP="0047437C">
      <w:pPr>
        <w:jc w:val="center"/>
        <w:rPr>
          <w:b/>
          <w:szCs w:val="24"/>
        </w:rPr>
      </w:pPr>
      <w:r w:rsidRPr="00310254">
        <w:rPr>
          <w:b/>
          <w:szCs w:val="24"/>
        </w:rPr>
        <w:t>07.4.1-ESFA-V-404 PRIEMONĖ</w:t>
      </w:r>
      <w:r w:rsidR="0084121A">
        <w:rPr>
          <w:b/>
          <w:szCs w:val="24"/>
        </w:rPr>
        <w:t>S</w:t>
      </w:r>
      <w:r w:rsidRPr="00310254">
        <w:rPr>
          <w:b/>
          <w:szCs w:val="24"/>
        </w:rPr>
        <w:t xml:space="preserve"> „JAUNIMO UŽIMTUMO DIDINIMAS“</w:t>
      </w:r>
      <w:r>
        <w:rPr>
          <w:b/>
          <w:szCs w:val="24"/>
        </w:rPr>
        <w:t xml:space="preserve"> PROJEKTŲ FINANSAVIMO SĄLYGŲ APRAŠO Nr. 1 </w:t>
      </w:r>
    </w:p>
    <w:p w:rsidR="0084121A" w:rsidRDefault="0047437C" w:rsidP="0047437C">
      <w:pPr>
        <w:jc w:val="center"/>
        <w:rPr>
          <w:b/>
          <w:szCs w:val="24"/>
        </w:rPr>
      </w:pPr>
      <w:r>
        <w:rPr>
          <w:b/>
          <w:szCs w:val="24"/>
        </w:rPr>
        <w:t>PROJE</w:t>
      </w:r>
      <w:r w:rsidRPr="00781CA4">
        <w:rPr>
          <w:b/>
          <w:szCs w:val="24"/>
        </w:rPr>
        <w:t>KT</w:t>
      </w:r>
      <w:r w:rsidR="0084121A">
        <w:rPr>
          <w:b/>
          <w:szCs w:val="24"/>
        </w:rPr>
        <w:t xml:space="preserve">AS: INFORMACIJA APIE VIEŠO DERINIMO METU GAUTUS PASIŪLYMUS IR PASTABAS </w:t>
      </w:r>
    </w:p>
    <w:p w:rsidR="0047437C" w:rsidRDefault="0084121A" w:rsidP="0047437C">
      <w:pPr>
        <w:jc w:val="center"/>
        <w:rPr>
          <w:b/>
          <w:szCs w:val="24"/>
        </w:rPr>
      </w:pPr>
      <w:r>
        <w:rPr>
          <w:b/>
          <w:szCs w:val="24"/>
        </w:rPr>
        <w:t>BEI JŲ ĮVERTINIMAS</w:t>
      </w:r>
    </w:p>
    <w:p w:rsidR="0051500C" w:rsidRDefault="0051500C" w:rsidP="0047437C">
      <w:pPr>
        <w:jc w:val="center"/>
        <w:rPr>
          <w:b/>
          <w:szCs w:val="24"/>
        </w:rPr>
      </w:pPr>
    </w:p>
    <w:p w:rsidR="0051500C" w:rsidRDefault="0051500C" w:rsidP="0047437C">
      <w:pPr>
        <w:jc w:val="center"/>
        <w:rPr>
          <w:b/>
          <w:szCs w:val="24"/>
        </w:rPr>
      </w:pPr>
      <w:r>
        <w:rPr>
          <w:b/>
          <w:szCs w:val="24"/>
        </w:rPr>
        <w:t xml:space="preserve">DERINIMO LAIKOTARPIS: 2015 M. VASARIO 17 D. – 2015 M. KOVO 3 D. </w:t>
      </w:r>
    </w:p>
    <w:p w:rsidR="0084121A" w:rsidRDefault="0084121A" w:rsidP="0047437C">
      <w:pPr>
        <w:jc w:val="center"/>
        <w:rPr>
          <w:b/>
          <w:szCs w:val="24"/>
        </w:rPr>
      </w:pPr>
    </w:p>
    <w:tbl>
      <w:tblPr>
        <w:tblStyle w:val="Lentelstinklelis"/>
        <w:tblW w:w="15309" w:type="dxa"/>
        <w:tblInd w:w="-459" w:type="dxa"/>
        <w:tblLayout w:type="fixed"/>
        <w:tblLook w:val="04A0"/>
      </w:tblPr>
      <w:tblGrid>
        <w:gridCol w:w="567"/>
        <w:gridCol w:w="2268"/>
        <w:gridCol w:w="1560"/>
        <w:gridCol w:w="3969"/>
        <w:gridCol w:w="6945"/>
      </w:tblGrid>
      <w:tr w:rsidR="0051500C" w:rsidRPr="0084121A" w:rsidTr="00C20B9C">
        <w:tc>
          <w:tcPr>
            <w:tcW w:w="567" w:type="dxa"/>
          </w:tcPr>
          <w:p w:rsidR="0051500C" w:rsidRPr="0084121A" w:rsidRDefault="0051500C" w:rsidP="006335BE">
            <w:pPr>
              <w:jc w:val="center"/>
              <w:rPr>
                <w:b/>
                <w:szCs w:val="22"/>
              </w:rPr>
            </w:pPr>
            <w:r w:rsidRPr="0084121A">
              <w:rPr>
                <w:b/>
                <w:szCs w:val="22"/>
              </w:rPr>
              <w:t>Nr.</w:t>
            </w:r>
          </w:p>
        </w:tc>
        <w:tc>
          <w:tcPr>
            <w:tcW w:w="2268" w:type="dxa"/>
          </w:tcPr>
          <w:p w:rsidR="0051500C" w:rsidRPr="0084121A" w:rsidRDefault="0051500C" w:rsidP="006335BE">
            <w:pPr>
              <w:jc w:val="center"/>
              <w:rPr>
                <w:b/>
                <w:szCs w:val="22"/>
              </w:rPr>
            </w:pPr>
            <w:r w:rsidRPr="0084121A">
              <w:rPr>
                <w:b/>
                <w:szCs w:val="22"/>
              </w:rPr>
              <w:t>Institucija</w:t>
            </w:r>
            <w:r>
              <w:rPr>
                <w:b/>
                <w:szCs w:val="22"/>
              </w:rPr>
              <w:t>, pateikusi pasiūlymą, pastabą</w:t>
            </w:r>
          </w:p>
        </w:tc>
        <w:tc>
          <w:tcPr>
            <w:tcW w:w="1560" w:type="dxa"/>
          </w:tcPr>
          <w:p w:rsidR="0051500C" w:rsidRDefault="0051500C" w:rsidP="006335B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Pateikimo data</w:t>
            </w:r>
          </w:p>
        </w:tc>
        <w:tc>
          <w:tcPr>
            <w:tcW w:w="3969" w:type="dxa"/>
          </w:tcPr>
          <w:p w:rsidR="0051500C" w:rsidRPr="0084121A" w:rsidRDefault="0051500C" w:rsidP="006335B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Pasiūlymai, pastabos</w:t>
            </w:r>
          </w:p>
        </w:tc>
        <w:tc>
          <w:tcPr>
            <w:tcW w:w="6945" w:type="dxa"/>
          </w:tcPr>
          <w:p w:rsidR="0051500C" w:rsidRPr="0084121A" w:rsidRDefault="0051500C" w:rsidP="0084121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Paaiškinimai</w:t>
            </w:r>
            <w:r w:rsidRPr="0084121A">
              <w:rPr>
                <w:b/>
                <w:szCs w:val="22"/>
              </w:rPr>
              <w:t>, kodėl į pastabą</w:t>
            </w:r>
            <w:r>
              <w:rPr>
                <w:b/>
                <w:szCs w:val="22"/>
              </w:rPr>
              <w:t>/pasiūlymą</w:t>
            </w:r>
            <w:r w:rsidRPr="0084121A">
              <w:rPr>
                <w:b/>
                <w:szCs w:val="22"/>
              </w:rPr>
              <w:t xml:space="preserve"> neatsižvelgta</w:t>
            </w:r>
          </w:p>
        </w:tc>
      </w:tr>
      <w:tr w:rsidR="0051500C" w:rsidRPr="0084121A" w:rsidTr="00C20B9C">
        <w:tc>
          <w:tcPr>
            <w:tcW w:w="567" w:type="dxa"/>
          </w:tcPr>
          <w:p w:rsidR="0051500C" w:rsidRPr="0084121A" w:rsidRDefault="0051500C" w:rsidP="0047437C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268" w:type="dxa"/>
          </w:tcPr>
          <w:p w:rsidR="0051500C" w:rsidRPr="0084121A" w:rsidRDefault="0051500C" w:rsidP="0051500C">
            <w:pPr>
              <w:jc w:val="center"/>
              <w:rPr>
                <w:szCs w:val="22"/>
              </w:rPr>
            </w:pPr>
            <w:r w:rsidRPr="0084121A">
              <w:rPr>
                <w:szCs w:val="22"/>
              </w:rPr>
              <w:t>Lietuvos pramonininkų konfederacija</w:t>
            </w:r>
          </w:p>
        </w:tc>
        <w:tc>
          <w:tcPr>
            <w:tcW w:w="1560" w:type="dxa"/>
          </w:tcPr>
          <w:p w:rsidR="0051500C" w:rsidRDefault="0051500C" w:rsidP="00515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2015 m. </w:t>
            </w:r>
          </w:p>
          <w:p w:rsidR="0051500C" w:rsidRPr="0084121A" w:rsidRDefault="0051500C" w:rsidP="00515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vasario 25 d.</w:t>
            </w:r>
          </w:p>
        </w:tc>
        <w:tc>
          <w:tcPr>
            <w:tcW w:w="3969" w:type="dxa"/>
          </w:tcPr>
          <w:p w:rsidR="0051500C" w:rsidRDefault="0051500C" w:rsidP="0051500C">
            <w:pPr>
              <w:rPr>
                <w:szCs w:val="22"/>
              </w:rPr>
            </w:pPr>
            <w:r w:rsidRPr="0084121A">
              <w:rPr>
                <w:szCs w:val="22"/>
              </w:rPr>
              <w:t xml:space="preserve">Siūloma papildyti 07.4.1-ESFA-V-404 priemonės „Jaunimo užimtumo didinimas“ </w:t>
            </w:r>
            <w:r>
              <w:rPr>
                <w:szCs w:val="22"/>
              </w:rPr>
              <w:t>p</w:t>
            </w:r>
            <w:r w:rsidRPr="0084121A">
              <w:rPr>
                <w:szCs w:val="22"/>
              </w:rPr>
              <w:t>rojektų finansavimo sąlygų aprašo Nr. 1 (toliau – PFSA) 12 punktą nurodant, kad tinkami partneriai yra ir darbdavių organizacijos ar jų susivienijimai</w:t>
            </w:r>
          </w:p>
          <w:p w:rsidR="00CE2C75" w:rsidRPr="0084121A" w:rsidRDefault="00CE2C75" w:rsidP="0051500C">
            <w:pPr>
              <w:rPr>
                <w:szCs w:val="22"/>
              </w:rPr>
            </w:pPr>
          </w:p>
        </w:tc>
        <w:tc>
          <w:tcPr>
            <w:tcW w:w="6945" w:type="dxa"/>
            <w:vMerge w:val="restart"/>
          </w:tcPr>
          <w:p w:rsidR="00AF1487" w:rsidRPr="00F71CA4" w:rsidRDefault="0051500C" w:rsidP="006335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Socialinės apsaugos ir darbo ministerija informuoja, kad pagal pateiktą 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derinti PFSA planuojamuose įgyvendinti projektuose numatyt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partneri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(teritorin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ių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darbo birž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, biudžetin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ių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įstaig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ir nevyriausybin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ių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organizacij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(</w:t>
            </w:r>
            <w:r w:rsidR="00EC07DD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t. y.: 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Atvir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jaunimo centr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, A</w:t>
            </w:r>
            <w:r w:rsidR="00EC07DD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tvir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jaunimo erdv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ių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, </w:t>
            </w:r>
            <w:r w:rsidR="00F71CA4" w:rsidRPr="00F71CA4">
              <w:rPr>
                <w:sz w:val="22"/>
                <w:szCs w:val="22"/>
              </w:rPr>
              <w:t>jaunimo ir su jaunimu dirbančių organizacijų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) </w:t>
            </w:r>
            <w:r w:rsidR="00AF1487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vaidmuo ir funkcijos yra nustatytos PFSA projekto 2.7 – 2.12 punktuose nurodytuose teisės aktuose, kuriais vadovaujantis bus įgyvendinami projektai. </w:t>
            </w:r>
          </w:p>
          <w:p w:rsidR="003D4ACA" w:rsidRDefault="00AF1487" w:rsidP="00C20B9C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lt-LT"/>
              </w:rPr>
            </w:pP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Šios partnerių organizacijos 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vykdys</w:t>
            </w:r>
            <w:r w:rsidR="0051500C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konkrečiai apibrėžtas ir aprašytas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veiklos koordinavimo</w:t>
            </w:r>
            <w:r w:rsidR="0051500C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funkcijas</w:t>
            </w:r>
            <w:r w:rsidR="00071EA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: </w:t>
            </w:r>
            <w:r w:rsidR="003D4AC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atliks 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dalyvių paiešką ir formuos projekto dalyvių grupes, sudarys individualius veiklos planus, </w:t>
            </w:r>
            <w:r w:rsidR="00071EAA"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koordinuos pirminės intervencijos ir aktyvinimo paslaugų tikslinei grupei organizavimą ir teikimą,</w:t>
            </w:r>
            <w:r w:rsidRPr="00F71CA4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teiks individualias ir grupines konsultacijas, stebės ir teiks atitinkamus duomenis stebėsenos sistemai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apie dalyvius, dalyviams suteiktas paslaugas, pasiektus rezultatus, rengs ir teiks ataskaitas, taip pat </w:t>
            </w:r>
            <w:r w:rsidR="00071EA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teiks kai kurias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pirminės intervencijos paslaugas </w:t>
            </w:r>
            <w:r w:rsidR="00071EA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(pagalbos pažįstant save,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socialinių įgūdžių ugdymo, savanoriš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kos veiklos organizavimo, kt.). </w:t>
            </w:r>
          </w:p>
          <w:p w:rsidR="003D4ACA" w:rsidRDefault="00AF1487" w:rsidP="00C20B9C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Tuo tarpu kit</w:t>
            </w:r>
            <w:r w:rsidR="00CE2C75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o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s pirminės intervencijos ir aktyvinimo paslaug</w:t>
            </w:r>
            <w:r w:rsidR="00CE2C75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o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s bei antrinės intervencijos paslaugos</w:t>
            </w:r>
            <w:r w:rsidR="00C20B9C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, nurodytos PFSA 10 punkte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,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</w:t>
            </w:r>
            <w:r w:rsidR="00CE2C75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bus vykdomos ne projekto partnerių organizacijų. Jas planuojama įsigyti viešųjų pirkimų būdu. </w:t>
            </w:r>
          </w:p>
          <w:p w:rsidR="0051500C" w:rsidRDefault="00C20B9C" w:rsidP="00C20B9C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Projektuose numatyta įgyvendinti nemažai tiek pirminės, tiek 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ir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antrinės intervencijos veiklų, </w:t>
            </w:r>
            <w:r w:rsidR="0051500C" w:rsidRPr="0084121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kurias geriausiai gal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ėtų</w:t>
            </w:r>
            <w:r w:rsidR="0051500C" w:rsidRPr="0084121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įgyvendinti verslo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ar verslo asocijuotų struktūrų atstovai </w:t>
            </w:r>
            <w:r w:rsidR="0051500C" w:rsidRPr="0084121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(pvz., susipažinimas su verslo įmonėmis; pr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aktinis mokymas įmonėje ir kt.)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, ir, kaip minėta, jas planuojama </w:t>
            </w:r>
            <w:r w:rsidR="0051500C" w:rsidRPr="00C20B9C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įsigyti viešųjų pirkimų būdu.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</w:t>
            </w:r>
            <w:r w:rsidRPr="00F74901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Pažymėtina, kad šių paslaugų turinys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ir teikimo formos aprašo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mos, koreguojant kai kuriuos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PFSA 2.7 – 2.12</w:t>
            </w:r>
            <w:r w:rsidR="0051500C" w:rsidRPr="00C20B9C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punktuose nurodyt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us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teisės akt</w:t>
            </w:r>
            <w:r w:rsidR="003D4AC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us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. </w:t>
            </w:r>
          </w:p>
          <w:p w:rsidR="00C20B9C" w:rsidRPr="0084121A" w:rsidRDefault="003D4ACA" w:rsidP="003D4A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Atsižvelgus į aukščiau nurodytus motyvus, manome, kad </w:t>
            </w:r>
            <w:r w:rsidRPr="0084121A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verslo </w:t>
            </w:r>
            <w:r>
              <w:rPr>
                <w:rFonts w:eastAsia="Times New Roman"/>
                <w:color w:val="auto"/>
                <w:sz w:val="22"/>
                <w:szCs w:val="22"/>
                <w:lang w:eastAsia="lt-LT"/>
              </w:rPr>
              <w:t>ar verslo asocijuotos struktūros dalyvauti projektuose galės kaip paslaugų teikėjai, todėl partnerių sąrašą papildyti yra netikslinga</w:t>
            </w:r>
            <w:r w:rsidR="00C20B9C">
              <w:rPr>
                <w:rFonts w:eastAsia="Times New Roman"/>
                <w:color w:val="auto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51500C" w:rsidRPr="0084121A" w:rsidTr="00C20B9C">
        <w:tc>
          <w:tcPr>
            <w:tcW w:w="567" w:type="dxa"/>
          </w:tcPr>
          <w:p w:rsidR="0051500C" w:rsidRPr="0084121A" w:rsidRDefault="0051500C" w:rsidP="0047437C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268" w:type="dxa"/>
          </w:tcPr>
          <w:p w:rsidR="0051500C" w:rsidRPr="0084121A" w:rsidRDefault="0051500C" w:rsidP="0051500C">
            <w:pPr>
              <w:jc w:val="center"/>
              <w:rPr>
                <w:szCs w:val="22"/>
              </w:rPr>
            </w:pPr>
            <w:r w:rsidRPr="0084121A">
              <w:rPr>
                <w:szCs w:val="22"/>
              </w:rPr>
              <w:t>Lietuvos verslo konfederacija</w:t>
            </w:r>
          </w:p>
        </w:tc>
        <w:tc>
          <w:tcPr>
            <w:tcW w:w="1560" w:type="dxa"/>
          </w:tcPr>
          <w:p w:rsidR="0051500C" w:rsidRDefault="0051500C" w:rsidP="00515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2015 m. </w:t>
            </w:r>
          </w:p>
          <w:p w:rsidR="0051500C" w:rsidRPr="0084121A" w:rsidRDefault="0051500C" w:rsidP="00515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kovo 2 d.</w:t>
            </w:r>
          </w:p>
        </w:tc>
        <w:tc>
          <w:tcPr>
            <w:tcW w:w="3969" w:type="dxa"/>
          </w:tcPr>
          <w:p w:rsidR="0051500C" w:rsidRDefault="0051500C" w:rsidP="00142E7F">
            <w:pPr>
              <w:rPr>
                <w:szCs w:val="22"/>
              </w:rPr>
            </w:pPr>
            <w:r w:rsidRPr="0084121A">
              <w:rPr>
                <w:szCs w:val="22"/>
              </w:rPr>
              <w:t>Siūloma papildyti PFSA 12 punktą įtraukiant žodį „asociacijos“</w:t>
            </w:r>
          </w:p>
          <w:p w:rsidR="00CE2C75" w:rsidRPr="0084121A" w:rsidRDefault="00CE2C75" w:rsidP="00142E7F">
            <w:pPr>
              <w:rPr>
                <w:szCs w:val="22"/>
              </w:rPr>
            </w:pPr>
          </w:p>
        </w:tc>
        <w:tc>
          <w:tcPr>
            <w:tcW w:w="6945" w:type="dxa"/>
            <w:vMerge/>
          </w:tcPr>
          <w:p w:rsidR="0051500C" w:rsidRPr="0084121A" w:rsidRDefault="0051500C" w:rsidP="006335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51500C" w:rsidRPr="0084121A" w:rsidTr="00C20B9C">
        <w:tc>
          <w:tcPr>
            <w:tcW w:w="567" w:type="dxa"/>
          </w:tcPr>
          <w:p w:rsidR="0051500C" w:rsidRPr="0084121A" w:rsidRDefault="0051500C" w:rsidP="0047437C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268" w:type="dxa"/>
          </w:tcPr>
          <w:p w:rsidR="0051500C" w:rsidRPr="0084121A" w:rsidRDefault="0051500C" w:rsidP="0051500C">
            <w:pPr>
              <w:jc w:val="center"/>
              <w:rPr>
                <w:szCs w:val="22"/>
              </w:rPr>
            </w:pPr>
            <w:r w:rsidRPr="0084121A">
              <w:rPr>
                <w:szCs w:val="22"/>
              </w:rPr>
              <w:t>Asociacija "INFOBALT"</w:t>
            </w:r>
          </w:p>
          <w:p w:rsidR="0051500C" w:rsidRPr="0084121A" w:rsidRDefault="0051500C" w:rsidP="00515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51500C" w:rsidRDefault="0051500C" w:rsidP="00515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2015 m. </w:t>
            </w:r>
          </w:p>
          <w:p w:rsidR="0051500C" w:rsidRDefault="0051500C" w:rsidP="005150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kovo 3 d.</w:t>
            </w:r>
          </w:p>
        </w:tc>
        <w:tc>
          <w:tcPr>
            <w:tcW w:w="3969" w:type="dxa"/>
          </w:tcPr>
          <w:p w:rsidR="0051500C" w:rsidRPr="0084121A" w:rsidRDefault="0051500C" w:rsidP="0084121A">
            <w:pPr>
              <w:rPr>
                <w:szCs w:val="22"/>
              </w:rPr>
            </w:pPr>
            <w:r>
              <w:rPr>
                <w:szCs w:val="22"/>
              </w:rPr>
              <w:t xml:space="preserve">Siūloma, </w:t>
            </w:r>
            <w:r w:rsidRPr="0084121A">
              <w:rPr>
                <w:szCs w:val="22"/>
              </w:rPr>
              <w:t xml:space="preserve">kad darbdavius atstovaujančios asocijuotos </w:t>
            </w:r>
            <w:r w:rsidRPr="0051500C">
              <w:rPr>
                <w:bCs/>
                <w:szCs w:val="22"/>
              </w:rPr>
              <w:t>sektorinės</w:t>
            </w:r>
            <w:r>
              <w:rPr>
                <w:szCs w:val="22"/>
              </w:rPr>
              <w:t xml:space="preserve"> struktūros</w:t>
            </w:r>
            <w:r w:rsidRPr="0084121A">
              <w:rPr>
                <w:szCs w:val="22"/>
              </w:rPr>
              <w:t xml:space="preserve"> galėtų būti tinkamais partneriais, panašiai kaip dabar </w:t>
            </w:r>
            <w:r>
              <w:rPr>
                <w:szCs w:val="22"/>
              </w:rPr>
              <w:t>yra numatyti tinkami</w:t>
            </w:r>
            <w:r w:rsidRPr="0084121A">
              <w:rPr>
                <w:szCs w:val="22"/>
              </w:rPr>
              <w:t xml:space="preserve"> partneri</w:t>
            </w:r>
            <w:r>
              <w:rPr>
                <w:szCs w:val="22"/>
              </w:rPr>
              <w:t>ai</w:t>
            </w:r>
            <w:r w:rsidRPr="0084121A">
              <w:rPr>
                <w:szCs w:val="22"/>
              </w:rPr>
              <w:t xml:space="preserve"> „nevyriausybines organizacijas“</w:t>
            </w:r>
          </w:p>
        </w:tc>
        <w:tc>
          <w:tcPr>
            <w:tcW w:w="6945" w:type="dxa"/>
            <w:vMerge/>
          </w:tcPr>
          <w:p w:rsidR="0051500C" w:rsidRPr="0084121A" w:rsidRDefault="0051500C" w:rsidP="006335BE">
            <w:pPr>
              <w:rPr>
                <w:szCs w:val="22"/>
              </w:rPr>
            </w:pPr>
          </w:p>
        </w:tc>
      </w:tr>
    </w:tbl>
    <w:p w:rsidR="0047437C" w:rsidRPr="00781CA4" w:rsidRDefault="0047437C" w:rsidP="0047437C">
      <w:pPr>
        <w:rPr>
          <w:szCs w:val="24"/>
        </w:rPr>
      </w:pPr>
    </w:p>
    <w:sectPr w:rsidR="0047437C" w:rsidRPr="00781CA4" w:rsidSect="00C20B9C">
      <w:headerReference w:type="default" r:id="rId7"/>
      <w:pgSz w:w="16838" w:h="11906" w:orient="landscape"/>
      <w:pgMar w:top="1276" w:right="156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72" w:rsidRDefault="009D1D72" w:rsidP="00252049">
      <w:r>
        <w:separator/>
      </w:r>
    </w:p>
  </w:endnote>
  <w:endnote w:type="continuationSeparator" w:id="0">
    <w:p w:rsidR="009D1D72" w:rsidRDefault="009D1D72" w:rsidP="0025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72" w:rsidRDefault="009D1D72" w:rsidP="00252049">
      <w:r>
        <w:separator/>
      </w:r>
    </w:p>
  </w:footnote>
  <w:footnote w:type="continuationSeparator" w:id="0">
    <w:p w:rsidR="009D1D72" w:rsidRDefault="009D1D72" w:rsidP="00252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591471"/>
      <w:docPartObj>
        <w:docPartGallery w:val="Page Numbers (Top of Page)"/>
        <w:docPartUnique/>
      </w:docPartObj>
    </w:sdtPr>
    <w:sdtContent>
      <w:p w:rsidR="00DE7DA1" w:rsidRDefault="00E44D2A">
        <w:pPr>
          <w:pStyle w:val="Antrats"/>
          <w:jc w:val="center"/>
        </w:pPr>
        <w:r>
          <w:fldChar w:fldCharType="begin"/>
        </w:r>
        <w:r w:rsidR="007A3226">
          <w:instrText>PAGE   \* MERGEFORMAT</w:instrText>
        </w:r>
        <w:r>
          <w:fldChar w:fldCharType="separate"/>
        </w:r>
        <w:r w:rsidR="00F71CA4">
          <w:rPr>
            <w:noProof/>
          </w:rPr>
          <w:t>2</w:t>
        </w:r>
        <w:r>
          <w:fldChar w:fldCharType="end"/>
        </w:r>
      </w:p>
    </w:sdtContent>
  </w:sdt>
  <w:p w:rsidR="00DE7DA1" w:rsidRDefault="009D1D7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37C"/>
    <w:rsid w:val="00071EAA"/>
    <w:rsid w:val="001829B2"/>
    <w:rsid w:val="00252049"/>
    <w:rsid w:val="0038782C"/>
    <w:rsid w:val="003D4ACA"/>
    <w:rsid w:val="0047437C"/>
    <w:rsid w:val="0051500C"/>
    <w:rsid w:val="00547906"/>
    <w:rsid w:val="0069420E"/>
    <w:rsid w:val="007A1B56"/>
    <w:rsid w:val="007A3226"/>
    <w:rsid w:val="0084121A"/>
    <w:rsid w:val="008C4647"/>
    <w:rsid w:val="00995CB4"/>
    <w:rsid w:val="009D1D72"/>
    <w:rsid w:val="00A35F93"/>
    <w:rsid w:val="00AF1487"/>
    <w:rsid w:val="00B9212B"/>
    <w:rsid w:val="00C20B9C"/>
    <w:rsid w:val="00CE2C75"/>
    <w:rsid w:val="00CF72A1"/>
    <w:rsid w:val="00D93910"/>
    <w:rsid w:val="00E14E5E"/>
    <w:rsid w:val="00E44D2A"/>
    <w:rsid w:val="00EC07DD"/>
    <w:rsid w:val="00F71CA4"/>
    <w:rsid w:val="00F7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43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7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7437C"/>
    <w:pPr>
      <w:ind w:left="720"/>
      <w:contextualSpacing/>
    </w:pPr>
  </w:style>
  <w:style w:type="paragraph" w:customStyle="1" w:styleId="Default">
    <w:name w:val="Default"/>
    <w:rsid w:val="0047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743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37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43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7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7437C"/>
    <w:pPr>
      <w:ind w:left="720"/>
      <w:contextualSpacing/>
    </w:pPr>
  </w:style>
  <w:style w:type="paragraph" w:customStyle="1" w:styleId="Default">
    <w:name w:val="Default"/>
    <w:rsid w:val="0047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743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3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3</cp:revision>
  <cp:lastPrinted>2015-03-04T14:39:00Z</cp:lastPrinted>
  <dcterms:created xsi:type="dcterms:W3CDTF">2015-03-05T09:48:00Z</dcterms:created>
  <dcterms:modified xsi:type="dcterms:W3CDTF">2015-03-05T11:01:00Z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-211781045</vt:i4>
  </property>
  <property fmtid="{D5CDD505-2E9C-101B-9397-08002B2CF9AE}" pid="3" name="_NewReviewCycle">
    <vt:lpwstr/>
  </property>
  <property fmtid="{D5CDD505-2E9C-101B-9397-08002B2CF9AE}" pid="4" name="_EmailSubject">
    <vt:lpwstr>Internetui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