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20986" w14:textId="77777777" w:rsidR="006E2272" w:rsidRPr="00C56014" w:rsidRDefault="006E2272" w:rsidP="00D54809">
      <w:pPr>
        <w:spacing w:after="0"/>
        <w:jc w:val="both"/>
        <w:rPr>
          <w:rFonts w:ascii="Times New Roman" w:hAnsi="Times New Roman"/>
          <w:bCs/>
          <w:sz w:val="24"/>
          <w:szCs w:val="24"/>
        </w:rPr>
      </w:pPr>
    </w:p>
    <w:p w14:paraId="33A43BE9" w14:textId="77777777" w:rsidR="00FB6137" w:rsidRPr="00A70645" w:rsidRDefault="00FB6137" w:rsidP="00D54809">
      <w:pPr>
        <w:spacing w:after="0"/>
        <w:jc w:val="center"/>
        <w:rPr>
          <w:rFonts w:ascii="Times New Roman" w:hAnsi="Times New Roman"/>
          <w:color w:val="000000" w:themeColor="text1"/>
          <w:sz w:val="24"/>
          <w:szCs w:val="24"/>
        </w:rPr>
      </w:pPr>
      <w:r w:rsidRPr="00A70645">
        <w:rPr>
          <w:rFonts w:ascii="Times New Roman" w:hAnsi="Times New Roman"/>
          <w:bCs/>
          <w:color w:val="000000" w:themeColor="text1"/>
          <w:sz w:val="24"/>
          <w:szCs w:val="24"/>
        </w:rPr>
        <w:t xml:space="preserve">2014–2020 METŲ EUROPOS SĄJUNGOS FONDŲ INVESTICIJŲ VEIKSMŲ PROGRAMOS </w:t>
      </w:r>
      <w:r w:rsidRPr="00A70645">
        <w:rPr>
          <w:rFonts w:ascii="Times New Roman" w:hAnsi="Times New Roman"/>
          <w:color w:val="000000" w:themeColor="text1"/>
          <w:sz w:val="24"/>
          <w:szCs w:val="24"/>
        </w:rPr>
        <w:t>PRIORITETŲ ĮGYVENDINIMO</w:t>
      </w:r>
    </w:p>
    <w:p w14:paraId="3E9B3894" w14:textId="77777777" w:rsidR="00FB6137" w:rsidRPr="00A70645" w:rsidRDefault="00FB6137" w:rsidP="00D54809">
      <w:pPr>
        <w:spacing w:after="0"/>
        <w:jc w:val="center"/>
        <w:rPr>
          <w:rFonts w:ascii="Times New Roman" w:hAnsi="Times New Roman"/>
          <w:bCs/>
          <w:color w:val="000000" w:themeColor="text1"/>
          <w:sz w:val="24"/>
          <w:szCs w:val="24"/>
          <w:lang w:eastAsia="lt-LT"/>
        </w:rPr>
      </w:pPr>
      <w:r w:rsidRPr="00A70645">
        <w:rPr>
          <w:rFonts w:ascii="Times New Roman" w:hAnsi="Times New Roman"/>
          <w:bCs/>
          <w:color w:val="000000" w:themeColor="text1"/>
          <w:sz w:val="24"/>
          <w:szCs w:val="24"/>
          <w:lang w:eastAsia="lt-LT"/>
        </w:rPr>
        <w:t xml:space="preserve">PRIEMONĖS </w:t>
      </w:r>
      <w:r w:rsidR="002F0056" w:rsidRPr="00A70645">
        <w:rPr>
          <w:rFonts w:ascii="Times New Roman" w:hAnsi="Times New Roman"/>
          <w:color w:val="000000" w:themeColor="text1"/>
          <w:sz w:val="24"/>
          <w:szCs w:val="24"/>
          <w:lang w:eastAsia="lt-LT"/>
        </w:rPr>
        <w:t xml:space="preserve">NR. </w:t>
      </w:r>
      <w:r w:rsidR="002F0056" w:rsidRPr="00A70645">
        <w:rPr>
          <w:rFonts w:ascii="Times New Roman" w:hAnsi="Times New Roman"/>
          <w:color w:val="000000" w:themeColor="text1"/>
          <w:sz w:val="24"/>
          <w:szCs w:val="24"/>
        </w:rPr>
        <w:t>08.4.2-ESFA-R-615</w:t>
      </w:r>
      <w:r w:rsidR="002F0056" w:rsidRPr="00A70645">
        <w:rPr>
          <w:rFonts w:ascii="Times New Roman" w:hAnsi="Times New Roman"/>
          <w:color w:val="000000" w:themeColor="text1"/>
          <w:sz w:val="24"/>
          <w:szCs w:val="24"/>
          <w:lang w:eastAsia="lt-LT"/>
        </w:rPr>
        <w:t xml:space="preserve"> ,,</w:t>
      </w:r>
      <w:r w:rsidR="002F0056" w:rsidRPr="00A70645">
        <w:rPr>
          <w:rFonts w:ascii="Times New Roman" w:hAnsi="Times New Roman"/>
          <w:bCs/>
          <w:color w:val="000000" w:themeColor="text1"/>
          <w:sz w:val="24"/>
          <w:szCs w:val="24"/>
        </w:rPr>
        <w:t>SOCIALINĖS PARAMOS PRIEMONIŲ, GERINANČIŲ AMBULATORINIŲ SVEIKATOS PRIEŽIŪROS PASLAUGŲ PRIEINAMUMĄ TUBERKULIOZE SERGANTIEMS PACIENTAMS, ĮGYVENDINIMAS</w:t>
      </w:r>
      <w:r w:rsidR="002F0056" w:rsidRPr="00A70645">
        <w:rPr>
          <w:rFonts w:ascii="Times New Roman" w:hAnsi="Times New Roman"/>
          <w:color w:val="000000" w:themeColor="text1"/>
          <w:sz w:val="24"/>
          <w:szCs w:val="24"/>
          <w:lang w:eastAsia="lt-LT"/>
        </w:rPr>
        <w:t>“</w:t>
      </w:r>
      <w:r w:rsidR="002F0056" w:rsidRPr="00A70645">
        <w:rPr>
          <w:rFonts w:ascii="Times New Roman" w:eastAsia="Times New Roman" w:hAnsi="Times New Roman"/>
          <w:color w:val="000000" w:themeColor="text1"/>
          <w:sz w:val="24"/>
          <w:szCs w:val="24"/>
          <w:lang w:eastAsia="lt-LT"/>
        </w:rPr>
        <w:t xml:space="preserve"> </w:t>
      </w:r>
      <w:r w:rsidRPr="00A70645">
        <w:rPr>
          <w:rFonts w:ascii="Times New Roman" w:hAnsi="Times New Roman"/>
          <w:bCs/>
          <w:color w:val="000000" w:themeColor="text1"/>
          <w:sz w:val="24"/>
          <w:szCs w:val="24"/>
          <w:lang w:eastAsia="lt-LT"/>
        </w:rPr>
        <w:t>PAGRINDIMAS</w:t>
      </w:r>
    </w:p>
    <w:p w14:paraId="63D664EC" w14:textId="77777777" w:rsidR="006A7FEA" w:rsidRPr="00647F06" w:rsidRDefault="006A7FEA" w:rsidP="00D54809">
      <w:pPr>
        <w:spacing w:after="0"/>
        <w:jc w:val="center"/>
        <w:rPr>
          <w:rFonts w:ascii="Times New Roman" w:hAnsi="Times New Roman"/>
          <w:bCs/>
          <w:sz w:val="24"/>
          <w:szCs w:val="24"/>
          <w:lang w:eastAsia="lt-LT"/>
        </w:rPr>
      </w:pPr>
    </w:p>
    <w:tbl>
      <w:tblPr>
        <w:tblStyle w:val="Lentelstinklelis"/>
        <w:tblW w:w="10348" w:type="dxa"/>
        <w:tblInd w:w="-743" w:type="dxa"/>
        <w:tblLayout w:type="fixed"/>
        <w:tblLook w:val="04A0" w:firstRow="1" w:lastRow="0" w:firstColumn="1" w:lastColumn="0" w:noHBand="0" w:noVBand="1"/>
      </w:tblPr>
      <w:tblGrid>
        <w:gridCol w:w="567"/>
        <w:gridCol w:w="2836"/>
        <w:gridCol w:w="6945"/>
      </w:tblGrid>
      <w:tr w:rsidR="00A70645" w:rsidRPr="00A70645" w14:paraId="23C1B9BB" w14:textId="77777777" w:rsidTr="00465660">
        <w:tc>
          <w:tcPr>
            <w:tcW w:w="567" w:type="dxa"/>
            <w:shd w:val="clear" w:color="auto" w:fill="F2F2F2" w:themeFill="background1" w:themeFillShade="F2"/>
          </w:tcPr>
          <w:p w14:paraId="32EAA5CD" w14:textId="77777777" w:rsidR="00FB6137" w:rsidRPr="00A70645" w:rsidRDefault="00FB6137" w:rsidP="00D54809">
            <w:pPr>
              <w:tabs>
                <w:tab w:val="left" w:pos="567"/>
              </w:tabs>
              <w:jc w:val="center"/>
              <w:rPr>
                <w:rFonts w:ascii="Times New Roman" w:hAnsi="Times New Roman"/>
                <w:color w:val="000000" w:themeColor="text1"/>
                <w:sz w:val="24"/>
                <w:szCs w:val="24"/>
              </w:rPr>
            </w:pPr>
            <w:r w:rsidRPr="00A70645">
              <w:rPr>
                <w:rFonts w:ascii="Times New Roman" w:hAnsi="Times New Roman"/>
                <w:color w:val="000000" w:themeColor="text1"/>
                <w:sz w:val="24"/>
                <w:szCs w:val="24"/>
              </w:rPr>
              <w:t>Nr.</w:t>
            </w:r>
          </w:p>
        </w:tc>
        <w:tc>
          <w:tcPr>
            <w:tcW w:w="2836" w:type="dxa"/>
            <w:shd w:val="clear" w:color="auto" w:fill="F2F2F2" w:themeFill="background1" w:themeFillShade="F2"/>
          </w:tcPr>
          <w:p w14:paraId="6EE76ACF" w14:textId="77777777" w:rsidR="00FB6137" w:rsidRPr="00A70645" w:rsidRDefault="00FB6137" w:rsidP="00D54809">
            <w:pPr>
              <w:tabs>
                <w:tab w:val="left" w:pos="567"/>
              </w:tabs>
              <w:jc w:val="center"/>
              <w:rPr>
                <w:rFonts w:ascii="Times New Roman" w:hAnsi="Times New Roman"/>
                <w:color w:val="000000" w:themeColor="text1"/>
                <w:sz w:val="24"/>
                <w:szCs w:val="24"/>
              </w:rPr>
            </w:pPr>
            <w:r w:rsidRPr="00A70645">
              <w:rPr>
                <w:rFonts w:ascii="Times New Roman" w:hAnsi="Times New Roman"/>
                <w:color w:val="000000" w:themeColor="text1"/>
                <w:sz w:val="24"/>
                <w:szCs w:val="24"/>
              </w:rPr>
              <w:t>Klausimas</w:t>
            </w:r>
          </w:p>
        </w:tc>
        <w:tc>
          <w:tcPr>
            <w:tcW w:w="6945" w:type="dxa"/>
            <w:shd w:val="clear" w:color="auto" w:fill="F2F2F2" w:themeFill="background1" w:themeFillShade="F2"/>
          </w:tcPr>
          <w:p w14:paraId="3EF97006" w14:textId="77777777" w:rsidR="00FB6137" w:rsidRPr="00A70645" w:rsidRDefault="00FB6137" w:rsidP="00D54809">
            <w:pPr>
              <w:tabs>
                <w:tab w:val="left" w:pos="567"/>
              </w:tabs>
              <w:jc w:val="center"/>
              <w:rPr>
                <w:rFonts w:ascii="Times New Roman" w:hAnsi="Times New Roman"/>
                <w:color w:val="000000" w:themeColor="text1"/>
                <w:sz w:val="24"/>
                <w:szCs w:val="24"/>
              </w:rPr>
            </w:pPr>
            <w:r w:rsidRPr="00A70645">
              <w:rPr>
                <w:rFonts w:ascii="Times New Roman" w:hAnsi="Times New Roman"/>
                <w:color w:val="000000" w:themeColor="text1"/>
                <w:sz w:val="24"/>
                <w:szCs w:val="24"/>
              </w:rPr>
              <w:t>Ministerijos pateikta informacija</w:t>
            </w:r>
          </w:p>
          <w:p w14:paraId="024B7485" w14:textId="77777777" w:rsidR="00FB6137" w:rsidRPr="00A70645" w:rsidRDefault="00FB6137" w:rsidP="00D54809">
            <w:pPr>
              <w:tabs>
                <w:tab w:val="left" w:pos="567"/>
              </w:tabs>
              <w:jc w:val="center"/>
              <w:rPr>
                <w:rFonts w:ascii="Times New Roman" w:hAnsi="Times New Roman"/>
                <w:color w:val="000000" w:themeColor="text1"/>
                <w:sz w:val="24"/>
                <w:szCs w:val="24"/>
              </w:rPr>
            </w:pPr>
            <w:r w:rsidRPr="00A70645">
              <w:rPr>
                <w:rFonts w:ascii="Times New Roman" w:hAnsi="Times New Roman"/>
                <w:color w:val="000000" w:themeColor="text1"/>
                <w:sz w:val="24"/>
                <w:szCs w:val="24"/>
              </w:rPr>
              <w:t>(pildymo</w:t>
            </w:r>
            <w:bookmarkStart w:id="0" w:name="_GoBack"/>
            <w:bookmarkEnd w:id="0"/>
            <w:r w:rsidRPr="00A70645">
              <w:rPr>
                <w:rFonts w:ascii="Times New Roman" w:hAnsi="Times New Roman"/>
                <w:color w:val="000000" w:themeColor="text1"/>
                <w:sz w:val="24"/>
                <w:szCs w:val="24"/>
              </w:rPr>
              <w:t xml:space="preserve"> instrukcija)</w:t>
            </w:r>
          </w:p>
        </w:tc>
      </w:tr>
      <w:tr w:rsidR="00A70645" w:rsidRPr="00A70645" w14:paraId="272C36DE" w14:textId="77777777" w:rsidTr="00465660">
        <w:tc>
          <w:tcPr>
            <w:tcW w:w="10348" w:type="dxa"/>
            <w:gridSpan w:val="3"/>
            <w:shd w:val="clear" w:color="auto" w:fill="F2F2F2" w:themeFill="background1" w:themeFillShade="F2"/>
          </w:tcPr>
          <w:p w14:paraId="59FF033E" w14:textId="77777777" w:rsidR="00FB6137" w:rsidRPr="00A70645" w:rsidRDefault="00FB6137" w:rsidP="00D54809">
            <w:pPr>
              <w:pStyle w:val="Sraopastraipa"/>
              <w:numPr>
                <w:ilvl w:val="0"/>
                <w:numId w:val="3"/>
              </w:num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Priemonės aprašymas</w:t>
            </w:r>
          </w:p>
        </w:tc>
      </w:tr>
      <w:tr w:rsidR="00A70645" w:rsidRPr="00A70645" w14:paraId="71273414" w14:textId="77777777" w:rsidTr="00465660">
        <w:tc>
          <w:tcPr>
            <w:tcW w:w="567" w:type="dxa"/>
          </w:tcPr>
          <w:p w14:paraId="6641B837" w14:textId="77777777" w:rsidR="00FB6137" w:rsidRPr="00A70645" w:rsidRDefault="00FB6137" w:rsidP="00D54809">
            <w:pPr>
              <w:pStyle w:val="Sraopastraipa"/>
              <w:numPr>
                <w:ilvl w:val="0"/>
                <w:numId w:val="1"/>
              </w:numPr>
              <w:tabs>
                <w:tab w:val="left" w:pos="567"/>
              </w:tabs>
              <w:ind w:left="0" w:firstLine="0"/>
              <w:jc w:val="both"/>
              <w:rPr>
                <w:rFonts w:ascii="Times New Roman" w:hAnsi="Times New Roman"/>
                <w:color w:val="000000" w:themeColor="text1"/>
                <w:sz w:val="24"/>
                <w:szCs w:val="24"/>
              </w:rPr>
            </w:pPr>
          </w:p>
        </w:tc>
        <w:tc>
          <w:tcPr>
            <w:tcW w:w="2836" w:type="dxa"/>
          </w:tcPr>
          <w:p w14:paraId="02450075"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Priemonės atitiktis </w:t>
            </w:r>
            <w:r w:rsidRPr="00A70645">
              <w:rPr>
                <w:rFonts w:ascii="Times New Roman" w:hAnsi="Times New Roman"/>
                <w:bCs/>
                <w:color w:val="000000" w:themeColor="text1"/>
                <w:sz w:val="24"/>
                <w:szCs w:val="24"/>
              </w:rPr>
              <w:t xml:space="preserve">2014–2020 metų Europos Sąjungos fondų investicijų </w:t>
            </w:r>
            <w:r w:rsidRPr="00A70645">
              <w:rPr>
                <w:rFonts w:ascii="Times New Roman" w:hAnsi="Times New Roman"/>
                <w:color w:val="000000" w:themeColor="text1"/>
                <w:sz w:val="24"/>
                <w:szCs w:val="24"/>
              </w:rPr>
              <w:t>veiksmų programos (toliau – veiksmų programa) nuostatoms</w:t>
            </w:r>
          </w:p>
        </w:tc>
        <w:tc>
          <w:tcPr>
            <w:tcW w:w="6945" w:type="dxa"/>
          </w:tcPr>
          <w:p w14:paraId="2C2F4041" w14:textId="77777777" w:rsidR="006C5325" w:rsidRPr="00A70645" w:rsidRDefault="006C5325"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pacing w:val="1"/>
                <w:sz w:val="24"/>
                <w:szCs w:val="24"/>
              </w:rPr>
              <w:t>Priemon</w:t>
            </w:r>
            <w:r w:rsidRPr="00A70645">
              <w:rPr>
                <w:rFonts w:ascii="Times New Roman" w:eastAsia="Times New Roman" w:hAnsi="Times New Roman"/>
                <w:color w:val="000000" w:themeColor="text1"/>
                <w:spacing w:val="1"/>
                <w:sz w:val="24"/>
                <w:szCs w:val="24"/>
              </w:rPr>
              <w:t xml:space="preserve">ė </w:t>
            </w:r>
            <w:r w:rsidRPr="00A70645">
              <w:rPr>
                <w:rFonts w:ascii="Times New Roman" w:hAnsi="Times New Roman"/>
                <w:color w:val="000000" w:themeColor="text1"/>
                <w:sz w:val="24"/>
                <w:szCs w:val="24"/>
                <w:lang w:eastAsia="lt-LT"/>
              </w:rPr>
              <w:t xml:space="preserve">Nr. </w:t>
            </w:r>
            <w:r w:rsidRPr="00A70645">
              <w:rPr>
                <w:rFonts w:ascii="Times New Roman" w:hAnsi="Times New Roman"/>
                <w:color w:val="000000" w:themeColor="text1"/>
                <w:sz w:val="24"/>
                <w:szCs w:val="24"/>
              </w:rPr>
              <w:t>08.4.2-ESFA-R-615</w:t>
            </w:r>
            <w:r w:rsidRPr="00A70645">
              <w:rPr>
                <w:rFonts w:ascii="Times New Roman" w:hAnsi="Times New Roman"/>
                <w:color w:val="000000" w:themeColor="text1"/>
                <w:sz w:val="24"/>
                <w:szCs w:val="24"/>
                <w:lang w:eastAsia="lt-LT"/>
              </w:rPr>
              <w:t xml:space="preserve"> ,,</w:t>
            </w:r>
            <w:r w:rsidRPr="00A70645">
              <w:rPr>
                <w:rFonts w:ascii="Times New Roman" w:hAnsi="Times New Roman"/>
                <w:bCs/>
                <w:color w:val="000000" w:themeColor="text1"/>
                <w:sz w:val="24"/>
                <w:szCs w:val="24"/>
              </w:rPr>
              <w:t>Socialinės paramos priemonių, gerinančių ambulatorinių sveikatos priežiūros paslaugų prieinamumą tuberkulioze sergantiems pacientams, įgyvendinimas</w:t>
            </w:r>
            <w:r w:rsidRPr="00A70645">
              <w:rPr>
                <w:rFonts w:ascii="Times New Roman" w:hAnsi="Times New Roman"/>
                <w:color w:val="000000" w:themeColor="text1"/>
                <w:sz w:val="24"/>
                <w:szCs w:val="24"/>
                <w:lang w:eastAsia="lt-LT"/>
              </w:rPr>
              <w:t>“</w:t>
            </w:r>
            <w:r w:rsidRPr="00A70645">
              <w:rPr>
                <w:rFonts w:ascii="Times New Roman" w:hAnsi="Times New Roman"/>
                <w:color w:val="000000" w:themeColor="text1"/>
                <w:sz w:val="24"/>
                <w:szCs w:val="24"/>
              </w:rPr>
              <w:t xml:space="preserve"> (toliau – </w:t>
            </w:r>
            <w:r w:rsidRPr="00A70645">
              <w:rPr>
                <w:rFonts w:ascii="Times New Roman" w:hAnsi="Times New Roman"/>
                <w:bCs/>
                <w:color w:val="000000" w:themeColor="text1"/>
                <w:sz w:val="24"/>
                <w:szCs w:val="24"/>
              </w:rPr>
              <w:t xml:space="preserve">Socialinės paramos </w:t>
            </w:r>
            <w:r w:rsidRPr="00A70645">
              <w:rPr>
                <w:rFonts w:ascii="Times New Roman" w:hAnsi="Times New Roman"/>
                <w:color w:val="000000" w:themeColor="text1"/>
                <w:sz w:val="24"/>
                <w:szCs w:val="24"/>
              </w:rPr>
              <w:t>priemonė, taip pat Priemonė)</w:t>
            </w:r>
            <w:r w:rsidRPr="00A70645">
              <w:rPr>
                <w:rFonts w:ascii="Times New Roman" w:eastAsia="Times New Roman" w:hAnsi="Times New Roman"/>
                <w:color w:val="000000" w:themeColor="text1"/>
                <w:spacing w:val="1"/>
                <w:sz w:val="24"/>
                <w:szCs w:val="24"/>
              </w:rPr>
              <w:t xml:space="preserve"> </w:t>
            </w:r>
            <w:r w:rsidRPr="00A70645">
              <w:rPr>
                <w:rFonts w:ascii="Times New Roman" w:eastAsia="Times New Roman" w:hAnsi="Times New Roman"/>
                <w:color w:val="000000" w:themeColor="text1"/>
                <w:spacing w:val="7"/>
                <w:sz w:val="24"/>
                <w:szCs w:val="24"/>
              </w:rPr>
              <w:t xml:space="preserve">tiesiogiai prisideda prie veiksmų programos 8 </w:t>
            </w:r>
            <w:r w:rsidRPr="00A70645">
              <w:rPr>
                <w:rFonts w:ascii="Times New Roman" w:eastAsia="Times New Roman" w:hAnsi="Times New Roman"/>
                <w:color w:val="000000" w:themeColor="text1"/>
                <w:spacing w:val="2"/>
                <w:sz w:val="24"/>
                <w:szCs w:val="24"/>
              </w:rPr>
              <w:t xml:space="preserve">prioriteto </w:t>
            </w:r>
            <w:r w:rsidRPr="00A70645">
              <w:rPr>
                <w:rFonts w:ascii="Times New Roman" w:hAnsi="Times New Roman"/>
                <w:color w:val="000000" w:themeColor="text1"/>
                <w:sz w:val="24"/>
                <w:szCs w:val="24"/>
              </w:rPr>
              <w:t xml:space="preserve">„Socialinės </w:t>
            </w:r>
            <w:proofErr w:type="spellStart"/>
            <w:r w:rsidRPr="00A70645">
              <w:rPr>
                <w:rFonts w:ascii="Times New Roman" w:hAnsi="Times New Roman"/>
                <w:color w:val="000000" w:themeColor="text1"/>
                <w:sz w:val="24"/>
                <w:szCs w:val="24"/>
              </w:rPr>
              <w:t>įtraukties</w:t>
            </w:r>
            <w:proofErr w:type="spellEnd"/>
            <w:r w:rsidRPr="00A70645">
              <w:rPr>
                <w:rFonts w:ascii="Times New Roman" w:hAnsi="Times New Roman"/>
                <w:color w:val="000000" w:themeColor="text1"/>
                <w:sz w:val="24"/>
                <w:szCs w:val="24"/>
              </w:rPr>
              <w:t xml:space="preserve"> didinimas ir kova su skurdu“ investicinio prioriteto „Galimybių gauti įperkamas, darnias ir aukštos kokybės paslaugas didinimas, įskaitant sveikatos priežiūrą ir visuotinės svarbos socialines paslaugas“ 8.4.2 konkretaus uždavinio „Sumažinti sveikatos netolygumus, gerinant sveikatos priežiūros kokybę ir prieinamumą tikslinėms gyventojų grupėms ir skatinti sveiką senėjimą“. Įgyvendinant ši uždavinį bus sukurti, išbandyti ir įdiegti efektyvūs ir </w:t>
            </w:r>
            <w:proofErr w:type="spellStart"/>
            <w:r w:rsidRPr="00A70645">
              <w:rPr>
                <w:rFonts w:ascii="Times New Roman" w:hAnsi="Times New Roman"/>
                <w:color w:val="000000" w:themeColor="text1"/>
                <w:sz w:val="24"/>
                <w:szCs w:val="24"/>
              </w:rPr>
              <w:t>inovatyvūs</w:t>
            </w:r>
            <w:proofErr w:type="spellEnd"/>
            <w:r w:rsidRPr="00A70645">
              <w:rPr>
                <w:rFonts w:ascii="Times New Roman" w:hAnsi="Times New Roman"/>
                <w:color w:val="000000" w:themeColor="text1"/>
                <w:sz w:val="24"/>
                <w:szCs w:val="24"/>
              </w:rPr>
              <w:t xml:space="preserve"> sprendimai tuberkuliozės (toliau – TB) srityje, skirti gerinti sveikatos priežiūros kokybę tikslinėms gyventojų grupėms, kurioms dėl socialinių veiksnių įtakos yra atsiradę sveikatos sutrikimai  (užsikrėtusiems ir sergantiems TB). </w:t>
            </w:r>
            <w:r w:rsidRPr="00A70645">
              <w:rPr>
                <w:rFonts w:ascii="Times New Roman" w:hAnsi="Times New Roman"/>
                <w:bCs/>
                <w:color w:val="000000" w:themeColor="text1"/>
                <w:sz w:val="24"/>
                <w:szCs w:val="24"/>
              </w:rPr>
              <w:t xml:space="preserve">Socialinės paramos </w:t>
            </w:r>
            <w:r w:rsidRPr="00A70645">
              <w:rPr>
                <w:rFonts w:ascii="Times New Roman" w:hAnsi="Times New Roman"/>
                <w:color w:val="000000" w:themeColor="text1"/>
                <w:sz w:val="24"/>
                <w:szCs w:val="24"/>
              </w:rPr>
              <w:t xml:space="preserve">priemonė leis sistemiškai užbaigti sergančiųjų TB stacionarinio gydymo procesą ir pereiti prie ambulatorinio tiesiogiai stebimo TB gydymo ir efektyvesnės profilaktikos. Taip bus įgyvendinami būtini veiksmai, siekiant mažinti sergamumą ir mirtingumą nuo TB šalyje, užtikrinant sveikatos priežiūros paslaugų prieinamumą ir kokybę šiai išskirtai tikslinei gyventojų grupei. </w:t>
            </w:r>
          </w:p>
          <w:p w14:paraId="2BC0B67D" w14:textId="77777777" w:rsidR="00883D54" w:rsidRPr="00A70645" w:rsidRDefault="00883D54" w:rsidP="00D54809">
            <w:pPr>
              <w:autoSpaceDE w:val="0"/>
              <w:autoSpaceDN w:val="0"/>
              <w:adjustRightInd w:val="0"/>
              <w:jc w:val="both"/>
              <w:rPr>
                <w:rStyle w:val="Komentaronuoroda"/>
                <w:rFonts w:ascii="Times New Roman" w:hAnsi="Times New Roman"/>
                <w:color w:val="000000" w:themeColor="text1"/>
                <w:sz w:val="24"/>
                <w:szCs w:val="24"/>
              </w:rPr>
            </w:pPr>
            <w:r w:rsidRPr="00A70645">
              <w:rPr>
                <w:rFonts w:ascii="Times New Roman" w:hAnsi="Times New Roman"/>
                <w:bCs/>
                <w:color w:val="000000" w:themeColor="text1"/>
                <w:sz w:val="24"/>
                <w:szCs w:val="24"/>
              </w:rPr>
              <w:t xml:space="preserve">Socialinės paramos </w:t>
            </w:r>
            <w:r w:rsidRPr="00A70645">
              <w:rPr>
                <w:rFonts w:ascii="Times New Roman" w:hAnsi="Times New Roman"/>
                <w:color w:val="000000" w:themeColor="text1"/>
                <w:sz w:val="24"/>
                <w:szCs w:val="24"/>
              </w:rPr>
              <w:t>priemonės</w:t>
            </w:r>
            <w:r w:rsidRPr="00A70645">
              <w:rPr>
                <w:rFonts w:ascii="Times New Roman" w:eastAsia="Times New Roman" w:hAnsi="Times New Roman"/>
                <w:color w:val="000000" w:themeColor="text1"/>
                <w:sz w:val="24"/>
                <w:szCs w:val="24"/>
                <w:lang w:eastAsia="lt-LT"/>
              </w:rPr>
              <w:t xml:space="preserve"> </w:t>
            </w:r>
            <w:r w:rsidR="0017747B" w:rsidRPr="00A70645">
              <w:rPr>
                <w:rStyle w:val="Komentaronuoroda"/>
                <w:rFonts w:ascii="Times New Roman" w:hAnsi="Times New Roman"/>
                <w:color w:val="000000" w:themeColor="text1"/>
                <w:sz w:val="24"/>
                <w:szCs w:val="24"/>
              </w:rPr>
              <w:t>veiklos</w:t>
            </w:r>
            <w:r w:rsidR="00032010" w:rsidRPr="00A70645">
              <w:rPr>
                <w:rStyle w:val="Komentaronuoroda"/>
                <w:rFonts w:ascii="Times New Roman" w:hAnsi="Times New Roman"/>
                <w:color w:val="000000" w:themeColor="text1"/>
                <w:sz w:val="24"/>
                <w:szCs w:val="24"/>
              </w:rPr>
              <w:t xml:space="preserve"> yra tiesiogiai įvardintos Veiksmų programoje</w:t>
            </w:r>
            <w:r w:rsidRPr="00A70645">
              <w:rPr>
                <w:rFonts w:ascii="Times New Roman" w:hAnsi="Times New Roman"/>
                <w:color w:val="000000" w:themeColor="text1"/>
                <w:sz w:val="24"/>
                <w:szCs w:val="24"/>
              </w:rPr>
              <w:t xml:space="preserve"> ir prisidės prie </w:t>
            </w:r>
            <w:r w:rsidRPr="00A70645">
              <w:rPr>
                <w:rFonts w:ascii="Times New Roman" w:eastAsia="AngsanaUPC" w:hAnsi="Times New Roman"/>
                <w:bCs/>
                <w:iCs/>
                <w:color w:val="000000" w:themeColor="text1"/>
                <w:sz w:val="24"/>
                <w:szCs w:val="24"/>
              </w:rPr>
              <w:t>visuomenės ir asmens sveikatos priežiūros specialistų bendradarbiavimo sveikatos priežiūros lygmenyje stiprinimo, sprendžiant TB sergamumo ir dėl socialinių veiksnių įtakos atsiradusių sveikatos sutrikimų problemas.</w:t>
            </w:r>
            <w:r w:rsidR="00032010" w:rsidRPr="00A70645">
              <w:rPr>
                <w:rStyle w:val="Komentaronuoroda"/>
                <w:rFonts w:ascii="Times New Roman" w:hAnsi="Times New Roman"/>
                <w:color w:val="000000" w:themeColor="text1"/>
                <w:sz w:val="24"/>
                <w:szCs w:val="24"/>
              </w:rPr>
              <w:t xml:space="preserve"> </w:t>
            </w:r>
          </w:p>
          <w:p w14:paraId="1B259EB9" w14:textId="5A8AB609" w:rsidR="00050E48" w:rsidRPr="00A70645" w:rsidRDefault="00032010" w:rsidP="00D54809">
            <w:pPr>
              <w:autoSpaceDE w:val="0"/>
              <w:autoSpaceDN w:val="0"/>
              <w:adjustRightInd w:val="0"/>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Kaip numatyta uždavinio aprašyme, įgyvendinant priemonės veiklas bus remiamas </w:t>
            </w:r>
            <w:r w:rsidR="00883D54" w:rsidRPr="00A70645">
              <w:rPr>
                <w:rFonts w:ascii="Times New Roman" w:hAnsi="Times New Roman"/>
                <w:color w:val="000000" w:themeColor="text1"/>
                <w:sz w:val="24"/>
                <w:szCs w:val="24"/>
              </w:rPr>
              <w:t>TB pacientų ambulatorinis gydymas</w:t>
            </w:r>
            <w:r w:rsidRPr="00A70645">
              <w:rPr>
                <w:rFonts w:ascii="Times New Roman" w:hAnsi="Times New Roman"/>
                <w:color w:val="000000" w:themeColor="text1"/>
                <w:sz w:val="24"/>
                <w:szCs w:val="24"/>
              </w:rPr>
              <w:t>, gerin</w:t>
            </w:r>
            <w:r w:rsidR="00883D54" w:rsidRPr="00A70645">
              <w:rPr>
                <w:rFonts w:ascii="Times New Roman" w:hAnsi="Times New Roman"/>
                <w:color w:val="000000" w:themeColor="text1"/>
                <w:sz w:val="24"/>
                <w:szCs w:val="24"/>
              </w:rPr>
              <w:t>ant</w:t>
            </w:r>
            <w:r w:rsidRPr="00A70645">
              <w:rPr>
                <w:rFonts w:ascii="Times New Roman" w:hAnsi="Times New Roman"/>
                <w:color w:val="000000" w:themeColor="text1"/>
                <w:sz w:val="24"/>
                <w:szCs w:val="24"/>
              </w:rPr>
              <w:t xml:space="preserve"> asmens sveikatos priežiūros organizavimą </w:t>
            </w:r>
            <w:r w:rsidR="00DA459C" w:rsidRPr="00A70645">
              <w:rPr>
                <w:rFonts w:ascii="Times New Roman" w:hAnsi="Times New Roman"/>
                <w:color w:val="000000" w:themeColor="text1"/>
                <w:sz w:val="24"/>
                <w:szCs w:val="24"/>
              </w:rPr>
              <w:t>ambulatorines sveikatos priežiūros paslaugas teikiančiose asmens sveikatos priežiūros įstaigose, kurios turi sutartis su teritorinėmis ligonių kasomis dėl šių paslaugų apmokėjimo , taip pat</w:t>
            </w:r>
            <w:r w:rsidR="00050E48" w:rsidRPr="00A70645">
              <w:rPr>
                <w:rFonts w:ascii="Times New Roman" w:hAnsi="Times New Roman"/>
                <w:color w:val="000000" w:themeColor="text1"/>
                <w:sz w:val="24"/>
                <w:szCs w:val="24"/>
              </w:rPr>
              <w:t xml:space="preserve"> </w:t>
            </w:r>
            <w:r w:rsidR="00DA459C" w:rsidRPr="00A70645">
              <w:rPr>
                <w:rFonts w:ascii="Times New Roman" w:hAnsi="Times New Roman"/>
                <w:color w:val="000000" w:themeColor="text1"/>
                <w:sz w:val="24"/>
                <w:szCs w:val="24"/>
              </w:rPr>
              <w:t xml:space="preserve">naujai </w:t>
            </w:r>
            <w:r w:rsidR="00050E48" w:rsidRPr="00A70645">
              <w:rPr>
                <w:rFonts w:ascii="Times New Roman" w:hAnsi="Times New Roman"/>
                <w:color w:val="000000" w:themeColor="text1"/>
                <w:sz w:val="24"/>
                <w:szCs w:val="24"/>
              </w:rPr>
              <w:t>įrengtuose</w:t>
            </w:r>
            <w:r w:rsidR="0017747B" w:rsidRPr="00A70645">
              <w:rPr>
                <w:rFonts w:ascii="Times New Roman" w:hAnsi="Times New Roman"/>
                <w:color w:val="000000" w:themeColor="text1"/>
                <w:sz w:val="24"/>
                <w:szCs w:val="24"/>
              </w:rPr>
              <w:t xml:space="preserve"> </w:t>
            </w:r>
            <w:r w:rsidR="00050E48" w:rsidRPr="00A70645">
              <w:rPr>
                <w:rFonts w:ascii="Times New Roman" w:hAnsi="Times New Roman"/>
                <w:color w:val="000000" w:themeColor="text1"/>
                <w:sz w:val="24"/>
                <w:szCs w:val="24"/>
              </w:rPr>
              <w:t xml:space="preserve">tiesiogiai stebimo gydymo kurso (DOTS, angl. </w:t>
            </w:r>
            <w:proofErr w:type="spellStart"/>
            <w:r w:rsidR="00050E48" w:rsidRPr="00A70645">
              <w:rPr>
                <w:rFonts w:ascii="Times New Roman" w:hAnsi="Times New Roman"/>
                <w:color w:val="000000" w:themeColor="text1"/>
                <w:sz w:val="24"/>
                <w:szCs w:val="24"/>
              </w:rPr>
              <w:t>directly</w:t>
            </w:r>
            <w:proofErr w:type="spellEnd"/>
            <w:r w:rsidR="00050E48" w:rsidRPr="00A70645">
              <w:rPr>
                <w:rFonts w:ascii="Times New Roman" w:hAnsi="Times New Roman"/>
                <w:color w:val="000000" w:themeColor="text1"/>
                <w:sz w:val="24"/>
                <w:szCs w:val="24"/>
              </w:rPr>
              <w:t xml:space="preserve"> </w:t>
            </w:r>
            <w:proofErr w:type="spellStart"/>
            <w:r w:rsidR="00050E48" w:rsidRPr="00A70645">
              <w:rPr>
                <w:rFonts w:ascii="Times New Roman" w:hAnsi="Times New Roman"/>
                <w:color w:val="000000" w:themeColor="text1"/>
                <w:sz w:val="24"/>
                <w:szCs w:val="24"/>
              </w:rPr>
              <w:t>observed</w:t>
            </w:r>
            <w:proofErr w:type="spellEnd"/>
            <w:r w:rsidR="00050E48" w:rsidRPr="00A70645">
              <w:rPr>
                <w:rFonts w:ascii="Times New Roman" w:hAnsi="Times New Roman"/>
                <w:color w:val="000000" w:themeColor="text1"/>
                <w:sz w:val="24"/>
                <w:szCs w:val="24"/>
              </w:rPr>
              <w:t xml:space="preserve"> </w:t>
            </w:r>
            <w:proofErr w:type="spellStart"/>
            <w:r w:rsidR="00050E48" w:rsidRPr="00A70645">
              <w:rPr>
                <w:rFonts w:ascii="Times New Roman" w:hAnsi="Times New Roman"/>
                <w:color w:val="000000" w:themeColor="text1"/>
                <w:sz w:val="24"/>
                <w:szCs w:val="24"/>
              </w:rPr>
              <w:t>treatment</w:t>
            </w:r>
            <w:proofErr w:type="spellEnd"/>
            <w:r w:rsidR="00050E48" w:rsidRPr="00A70645">
              <w:rPr>
                <w:rFonts w:ascii="Times New Roman" w:hAnsi="Times New Roman"/>
                <w:color w:val="000000" w:themeColor="text1"/>
                <w:sz w:val="24"/>
                <w:szCs w:val="24"/>
              </w:rPr>
              <w:t xml:space="preserve"> </w:t>
            </w:r>
            <w:proofErr w:type="spellStart"/>
            <w:r w:rsidR="00050E48" w:rsidRPr="00A70645">
              <w:rPr>
                <w:rFonts w:ascii="Times New Roman" w:hAnsi="Times New Roman"/>
                <w:color w:val="000000" w:themeColor="text1"/>
                <w:sz w:val="24"/>
                <w:szCs w:val="24"/>
              </w:rPr>
              <w:t>short</w:t>
            </w:r>
            <w:proofErr w:type="spellEnd"/>
            <w:r w:rsidR="00050E48" w:rsidRPr="00A70645">
              <w:rPr>
                <w:rFonts w:ascii="Times New Roman" w:hAnsi="Times New Roman"/>
                <w:color w:val="000000" w:themeColor="text1"/>
                <w:sz w:val="24"/>
                <w:szCs w:val="24"/>
              </w:rPr>
              <w:t xml:space="preserve"> </w:t>
            </w:r>
            <w:proofErr w:type="spellStart"/>
            <w:r w:rsidR="00050E48" w:rsidRPr="00A70645">
              <w:rPr>
                <w:rFonts w:ascii="Times New Roman" w:hAnsi="Times New Roman"/>
                <w:color w:val="000000" w:themeColor="text1"/>
                <w:sz w:val="24"/>
                <w:szCs w:val="24"/>
              </w:rPr>
              <w:t>course</w:t>
            </w:r>
            <w:proofErr w:type="spellEnd"/>
            <w:r w:rsidR="00050E48" w:rsidRPr="00A70645">
              <w:rPr>
                <w:rFonts w:ascii="Times New Roman" w:hAnsi="Times New Roman"/>
                <w:color w:val="000000" w:themeColor="text1"/>
                <w:sz w:val="24"/>
                <w:szCs w:val="24"/>
              </w:rPr>
              <w:t>) kabinetuose.</w:t>
            </w:r>
          </w:p>
          <w:p w14:paraId="0D46D35C" w14:textId="77777777" w:rsidR="00D54809" w:rsidRPr="00A70645" w:rsidRDefault="000F1452" w:rsidP="004C7B27">
            <w:pPr>
              <w:autoSpaceDE w:val="0"/>
              <w:autoSpaceDN w:val="0"/>
              <w:adjustRightInd w:val="0"/>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Numatoma, kad įgyvendinant šią priemonę bus </w:t>
            </w:r>
            <w:r w:rsidR="00050E48" w:rsidRPr="00A70645">
              <w:rPr>
                <w:rFonts w:ascii="Times New Roman" w:hAnsi="Times New Roman"/>
                <w:color w:val="000000" w:themeColor="text1"/>
                <w:sz w:val="24"/>
                <w:szCs w:val="24"/>
              </w:rPr>
              <w:t xml:space="preserve">efektyviau užbaigiamas TB </w:t>
            </w:r>
            <w:r w:rsidRPr="00A70645">
              <w:rPr>
                <w:rFonts w:ascii="Times New Roman" w:hAnsi="Times New Roman"/>
                <w:color w:val="000000" w:themeColor="text1"/>
                <w:sz w:val="24"/>
                <w:szCs w:val="24"/>
              </w:rPr>
              <w:t>ambulatorini</w:t>
            </w:r>
            <w:r w:rsidR="00050E48" w:rsidRPr="00A70645">
              <w:rPr>
                <w:rFonts w:ascii="Times New Roman" w:hAnsi="Times New Roman"/>
                <w:color w:val="000000" w:themeColor="text1"/>
                <w:sz w:val="24"/>
                <w:szCs w:val="24"/>
              </w:rPr>
              <w:t>s</w:t>
            </w:r>
            <w:r w:rsidRPr="00A70645">
              <w:rPr>
                <w:rFonts w:ascii="Times New Roman" w:hAnsi="Times New Roman"/>
                <w:color w:val="000000" w:themeColor="text1"/>
                <w:sz w:val="24"/>
                <w:szCs w:val="24"/>
              </w:rPr>
              <w:t xml:space="preserve"> </w:t>
            </w:r>
            <w:r w:rsidR="00050E48" w:rsidRPr="00A70645">
              <w:rPr>
                <w:rFonts w:ascii="Times New Roman" w:hAnsi="Times New Roman"/>
                <w:color w:val="000000" w:themeColor="text1"/>
                <w:sz w:val="24"/>
                <w:szCs w:val="24"/>
              </w:rPr>
              <w:t xml:space="preserve">gydymas </w:t>
            </w:r>
            <w:r w:rsidRPr="00A70645">
              <w:rPr>
                <w:rFonts w:ascii="Times New Roman" w:hAnsi="Times New Roman"/>
                <w:color w:val="000000" w:themeColor="text1"/>
                <w:sz w:val="24"/>
                <w:szCs w:val="24"/>
              </w:rPr>
              <w:t>asmens sveikatos priežiūros įstaig</w:t>
            </w:r>
            <w:r w:rsidR="00050E48" w:rsidRPr="00A70645">
              <w:rPr>
                <w:rFonts w:ascii="Times New Roman" w:hAnsi="Times New Roman"/>
                <w:color w:val="000000" w:themeColor="text1"/>
                <w:sz w:val="24"/>
                <w:szCs w:val="24"/>
              </w:rPr>
              <w:t>ose</w:t>
            </w:r>
            <w:r w:rsidRPr="00A70645">
              <w:rPr>
                <w:rFonts w:ascii="Times New Roman" w:hAnsi="Times New Roman"/>
                <w:color w:val="000000" w:themeColor="text1"/>
                <w:sz w:val="24"/>
                <w:szCs w:val="24"/>
              </w:rPr>
              <w:t xml:space="preserve">, </w:t>
            </w:r>
            <w:r w:rsidR="00050E48" w:rsidRPr="00A70645">
              <w:rPr>
                <w:rFonts w:ascii="Times New Roman" w:hAnsi="Times New Roman"/>
                <w:color w:val="000000" w:themeColor="text1"/>
                <w:sz w:val="24"/>
                <w:szCs w:val="24"/>
              </w:rPr>
              <w:t xml:space="preserve">sumažinti </w:t>
            </w:r>
            <w:r w:rsidR="00F143F0" w:rsidRPr="00A70645">
              <w:rPr>
                <w:rFonts w:ascii="Times New Roman" w:hAnsi="Times New Roman"/>
                <w:color w:val="000000" w:themeColor="text1"/>
                <w:sz w:val="24"/>
                <w:szCs w:val="24"/>
              </w:rPr>
              <w:t>sveikatos netolyguma</w:t>
            </w:r>
            <w:r w:rsidR="00050E48" w:rsidRPr="00A70645">
              <w:rPr>
                <w:rFonts w:ascii="Times New Roman" w:hAnsi="Times New Roman"/>
                <w:color w:val="000000" w:themeColor="text1"/>
                <w:sz w:val="24"/>
                <w:szCs w:val="24"/>
              </w:rPr>
              <w:t xml:space="preserve">i, </w:t>
            </w:r>
            <w:r w:rsidR="0060286E" w:rsidRPr="00A70645">
              <w:rPr>
                <w:rFonts w:ascii="Times New Roman" w:hAnsi="Times New Roman"/>
                <w:color w:val="000000" w:themeColor="text1"/>
                <w:sz w:val="24"/>
                <w:szCs w:val="24"/>
              </w:rPr>
              <w:t>bus sudarytos galimybės tikslinių grupių asmenims</w:t>
            </w:r>
            <w:r w:rsidR="00705A3B" w:rsidRPr="00A70645">
              <w:rPr>
                <w:rFonts w:ascii="Times New Roman" w:hAnsi="Times New Roman"/>
                <w:color w:val="000000" w:themeColor="text1"/>
                <w:sz w:val="24"/>
                <w:szCs w:val="24"/>
              </w:rPr>
              <w:t>,</w:t>
            </w:r>
            <w:r w:rsidR="0060286E" w:rsidRPr="00A70645">
              <w:rPr>
                <w:rFonts w:ascii="Times New Roman" w:hAnsi="Times New Roman"/>
                <w:color w:val="000000" w:themeColor="text1"/>
                <w:sz w:val="24"/>
                <w:szCs w:val="24"/>
              </w:rPr>
              <w:t xml:space="preserve"> sergantiems </w:t>
            </w:r>
            <w:r w:rsidR="00050E48" w:rsidRPr="00A70645">
              <w:rPr>
                <w:rFonts w:ascii="Times New Roman" w:hAnsi="Times New Roman"/>
                <w:color w:val="000000" w:themeColor="text1"/>
                <w:sz w:val="24"/>
                <w:szCs w:val="24"/>
              </w:rPr>
              <w:t>TB</w:t>
            </w:r>
            <w:r w:rsidR="00705A3B" w:rsidRPr="00A70645">
              <w:rPr>
                <w:rFonts w:ascii="Times New Roman" w:hAnsi="Times New Roman"/>
                <w:color w:val="000000" w:themeColor="text1"/>
                <w:sz w:val="24"/>
                <w:szCs w:val="24"/>
              </w:rPr>
              <w:t>,</w:t>
            </w:r>
            <w:r w:rsidR="00050E48" w:rsidRPr="00A70645">
              <w:rPr>
                <w:rFonts w:ascii="Times New Roman" w:hAnsi="Times New Roman"/>
                <w:color w:val="000000" w:themeColor="text1"/>
                <w:sz w:val="24"/>
                <w:szCs w:val="24"/>
              </w:rPr>
              <w:t xml:space="preserve"> </w:t>
            </w:r>
            <w:r w:rsidR="0060286E" w:rsidRPr="00A70645">
              <w:rPr>
                <w:rFonts w:ascii="Times New Roman" w:hAnsi="Times New Roman"/>
                <w:color w:val="000000" w:themeColor="text1"/>
                <w:sz w:val="24"/>
                <w:szCs w:val="24"/>
              </w:rPr>
              <w:t xml:space="preserve">užtikrinti kuo tolygesnį kokybiškų sveikatos priežiūros paslaugų, ligų profilaktikos, ankstyvosios diagnostikos, prevencinių paslaugų prieinamumo lygį, padės sumažinti teritorinius asmens sveikatos priežiūros prieinamumo </w:t>
            </w:r>
            <w:r w:rsidR="0060286E" w:rsidRPr="00A70645">
              <w:rPr>
                <w:rFonts w:ascii="Times New Roman" w:hAnsi="Times New Roman"/>
                <w:color w:val="000000" w:themeColor="text1"/>
                <w:sz w:val="24"/>
                <w:szCs w:val="24"/>
              </w:rPr>
              <w:lastRenderedPageBreak/>
              <w:t xml:space="preserve">bei sveikatos lygio skirtumus, bus sudarytos prielaidos </w:t>
            </w:r>
            <w:r w:rsidR="00050E48" w:rsidRPr="00A70645">
              <w:rPr>
                <w:rFonts w:ascii="Times New Roman" w:hAnsi="Times New Roman"/>
                <w:color w:val="000000" w:themeColor="text1"/>
                <w:sz w:val="24"/>
                <w:szCs w:val="24"/>
              </w:rPr>
              <w:t xml:space="preserve">sergančiųjų </w:t>
            </w:r>
            <w:r w:rsidR="004C7B27" w:rsidRPr="00A70645">
              <w:rPr>
                <w:rFonts w:ascii="Times New Roman" w:hAnsi="Times New Roman"/>
                <w:color w:val="000000" w:themeColor="text1"/>
                <w:sz w:val="24"/>
                <w:szCs w:val="24"/>
              </w:rPr>
              <w:br/>
            </w:r>
            <w:r w:rsidR="00050E48" w:rsidRPr="00A70645">
              <w:rPr>
                <w:rFonts w:ascii="Times New Roman" w:hAnsi="Times New Roman"/>
                <w:color w:val="000000" w:themeColor="text1"/>
                <w:sz w:val="24"/>
                <w:szCs w:val="24"/>
              </w:rPr>
              <w:t xml:space="preserve">TB </w:t>
            </w:r>
            <w:r w:rsidR="0060286E" w:rsidRPr="00A70645">
              <w:rPr>
                <w:rFonts w:ascii="Times New Roman" w:hAnsi="Times New Roman"/>
                <w:color w:val="000000" w:themeColor="text1"/>
                <w:sz w:val="24"/>
                <w:szCs w:val="24"/>
              </w:rPr>
              <w:t>asmenų ilgesniam ir sveikesniam gyvenimui, mažesnei priešlaikinių mirčių bei socialinės atskirties ir skurdo rizikai.</w:t>
            </w:r>
          </w:p>
        </w:tc>
      </w:tr>
      <w:tr w:rsidR="00A70645" w:rsidRPr="00A70645" w14:paraId="30814C84" w14:textId="77777777" w:rsidTr="00465660">
        <w:tc>
          <w:tcPr>
            <w:tcW w:w="567" w:type="dxa"/>
          </w:tcPr>
          <w:p w14:paraId="0805E44C" w14:textId="77777777" w:rsidR="00FB6137" w:rsidRPr="00A70645" w:rsidRDefault="00FB6137" w:rsidP="00D54809">
            <w:pPr>
              <w:pStyle w:val="Sraopastraipa"/>
              <w:numPr>
                <w:ilvl w:val="0"/>
                <w:numId w:val="1"/>
              </w:numPr>
              <w:tabs>
                <w:tab w:val="left" w:pos="567"/>
              </w:tabs>
              <w:ind w:left="0" w:firstLine="0"/>
              <w:jc w:val="both"/>
              <w:rPr>
                <w:rFonts w:ascii="Times New Roman" w:hAnsi="Times New Roman"/>
                <w:color w:val="000000" w:themeColor="text1"/>
                <w:sz w:val="24"/>
                <w:szCs w:val="24"/>
              </w:rPr>
            </w:pPr>
          </w:p>
        </w:tc>
        <w:tc>
          <w:tcPr>
            <w:tcW w:w="2836" w:type="dxa"/>
          </w:tcPr>
          <w:p w14:paraId="6513E2FE"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Priemonės atitiktis strateginio planavimo dokumentų nuostatoms</w:t>
            </w:r>
          </w:p>
        </w:tc>
        <w:tc>
          <w:tcPr>
            <w:tcW w:w="6945" w:type="dxa"/>
          </w:tcPr>
          <w:p w14:paraId="46F80AA2" w14:textId="77777777" w:rsidR="0072185C" w:rsidRPr="00A70645" w:rsidRDefault="0072185C"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Įgyvendinant </w:t>
            </w:r>
            <w:r w:rsidR="005A7E0F" w:rsidRPr="00A70645">
              <w:rPr>
                <w:rFonts w:ascii="Times New Roman" w:hAnsi="Times New Roman"/>
                <w:bCs/>
                <w:color w:val="000000" w:themeColor="text1"/>
                <w:sz w:val="24"/>
                <w:szCs w:val="24"/>
              </w:rPr>
              <w:t xml:space="preserve">Socialinės paramos </w:t>
            </w:r>
            <w:r w:rsidRPr="00A70645">
              <w:rPr>
                <w:rFonts w:ascii="Times New Roman" w:hAnsi="Times New Roman"/>
                <w:color w:val="000000" w:themeColor="text1"/>
                <w:sz w:val="24"/>
                <w:szCs w:val="24"/>
              </w:rPr>
              <w:t xml:space="preserve">priemonę prisidedama prie Lietuvos sveikatos 2014–2025 metų programos, patvirtintos Lietuvos Respublikos Seimo 2014 m. birželio 26 d. nutarimu Nr. XII-964 „Dėl Lietuvos sveikatos 2014–2025 metų programos patvirtinimo“, ketvirtojo tikslo – užtikrinti kokybišką ir efektyvią sveikatos priežiūrą, orientuotą į gyventojų poreikius. </w:t>
            </w:r>
          </w:p>
          <w:p w14:paraId="34BCB2F5" w14:textId="77777777" w:rsidR="002C37C9" w:rsidRPr="00A70645" w:rsidRDefault="0072185C"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Priemonė atitinka </w:t>
            </w:r>
            <w:r w:rsidR="005049D8" w:rsidRPr="00A70645">
              <w:rPr>
                <w:rFonts w:ascii="Times New Roman" w:hAnsi="Times New Roman"/>
                <w:color w:val="000000" w:themeColor="text1"/>
                <w:sz w:val="24"/>
                <w:szCs w:val="24"/>
              </w:rPr>
              <w:t xml:space="preserve">2014–2020 metų nacionalinės pažangos programos horizontaliojo prioriteto „Regioninė plėtra“ </w:t>
            </w:r>
            <w:proofErr w:type="spellStart"/>
            <w:r w:rsidR="005049D8" w:rsidRPr="00A70645">
              <w:rPr>
                <w:rFonts w:ascii="Times New Roman" w:hAnsi="Times New Roman"/>
                <w:color w:val="000000" w:themeColor="text1"/>
                <w:sz w:val="24"/>
                <w:szCs w:val="24"/>
              </w:rPr>
              <w:t>tarpinstitucinio</w:t>
            </w:r>
            <w:proofErr w:type="spellEnd"/>
            <w:r w:rsidR="005049D8" w:rsidRPr="00A70645">
              <w:rPr>
                <w:rFonts w:ascii="Times New Roman" w:hAnsi="Times New Roman"/>
                <w:color w:val="000000" w:themeColor="text1"/>
                <w:sz w:val="24"/>
                <w:szCs w:val="24"/>
              </w:rPr>
              <w:t xml:space="preserve"> veiklos plano, patvirtinto Lietu</w:t>
            </w:r>
            <w:r w:rsidR="00501BEF" w:rsidRPr="00A70645">
              <w:rPr>
                <w:rFonts w:ascii="Times New Roman" w:hAnsi="Times New Roman"/>
                <w:color w:val="000000" w:themeColor="text1"/>
                <w:sz w:val="24"/>
                <w:szCs w:val="24"/>
              </w:rPr>
              <w:t>vos Respublikos Vyriausybės 2014</w:t>
            </w:r>
            <w:r w:rsidR="005049D8" w:rsidRPr="00A70645">
              <w:rPr>
                <w:rFonts w:ascii="Times New Roman" w:hAnsi="Times New Roman"/>
                <w:color w:val="000000" w:themeColor="text1"/>
                <w:sz w:val="24"/>
                <w:szCs w:val="24"/>
              </w:rPr>
              <w:t xml:space="preserve"> m. </w:t>
            </w:r>
            <w:r w:rsidR="00501BEF" w:rsidRPr="00A70645">
              <w:rPr>
                <w:rFonts w:ascii="Times New Roman" w:hAnsi="Times New Roman"/>
                <w:color w:val="000000" w:themeColor="text1"/>
                <w:sz w:val="24"/>
                <w:szCs w:val="24"/>
              </w:rPr>
              <w:t>vasario 19</w:t>
            </w:r>
            <w:r w:rsidR="005049D8" w:rsidRPr="00A70645">
              <w:rPr>
                <w:rFonts w:ascii="Times New Roman" w:hAnsi="Times New Roman"/>
                <w:color w:val="000000" w:themeColor="text1"/>
                <w:sz w:val="24"/>
                <w:szCs w:val="24"/>
              </w:rPr>
              <w:t xml:space="preserve"> d. nutarimu Nr. </w:t>
            </w:r>
            <w:r w:rsidR="00501BEF" w:rsidRPr="00A70645">
              <w:rPr>
                <w:rFonts w:ascii="Times New Roman" w:hAnsi="Times New Roman"/>
                <w:color w:val="000000" w:themeColor="text1"/>
                <w:sz w:val="24"/>
                <w:szCs w:val="24"/>
              </w:rPr>
              <w:t>172</w:t>
            </w:r>
            <w:r w:rsidR="005049D8" w:rsidRPr="00A70645">
              <w:rPr>
                <w:rFonts w:ascii="Times New Roman" w:hAnsi="Times New Roman"/>
                <w:color w:val="000000" w:themeColor="text1"/>
                <w:sz w:val="24"/>
                <w:szCs w:val="24"/>
              </w:rPr>
              <w:t xml:space="preserve"> „Dėl 2014–2020 metų </w:t>
            </w:r>
            <w:r w:rsidR="00C937B6" w:rsidRPr="00A70645">
              <w:rPr>
                <w:rFonts w:ascii="Times New Roman" w:hAnsi="Times New Roman"/>
                <w:color w:val="000000" w:themeColor="text1"/>
                <w:sz w:val="24"/>
                <w:szCs w:val="24"/>
              </w:rPr>
              <w:t>nacionalinės pažangos programos</w:t>
            </w:r>
            <w:r w:rsidR="00501BEF" w:rsidRPr="00A70645">
              <w:rPr>
                <w:rFonts w:ascii="Times New Roman" w:hAnsi="Times New Roman"/>
                <w:color w:val="000000" w:themeColor="text1"/>
                <w:sz w:val="24"/>
                <w:szCs w:val="24"/>
              </w:rPr>
              <w:t xml:space="preserve"> horizontaliojo prioriteto „Regioninė plėtra“ </w:t>
            </w:r>
            <w:proofErr w:type="spellStart"/>
            <w:r w:rsidR="00501BEF" w:rsidRPr="00A70645">
              <w:rPr>
                <w:rFonts w:ascii="Times New Roman" w:hAnsi="Times New Roman"/>
                <w:color w:val="000000" w:themeColor="text1"/>
                <w:sz w:val="24"/>
                <w:szCs w:val="24"/>
              </w:rPr>
              <w:t>Tarpinstitucinio</w:t>
            </w:r>
            <w:proofErr w:type="spellEnd"/>
            <w:r w:rsidR="00501BEF" w:rsidRPr="00A70645">
              <w:rPr>
                <w:rFonts w:ascii="Times New Roman" w:hAnsi="Times New Roman"/>
                <w:color w:val="000000" w:themeColor="text1"/>
                <w:sz w:val="24"/>
                <w:szCs w:val="24"/>
              </w:rPr>
              <w:t xml:space="preserve"> veiklos plano </w:t>
            </w:r>
            <w:r w:rsidR="005049D8" w:rsidRPr="00A70645">
              <w:rPr>
                <w:rFonts w:ascii="Times New Roman" w:hAnsi="Times New Roman"/>
                <w:color w:val="000000" w:themeColor="text1"/>
                <w:sz w:val="24"/>
                <w:szCs w:val="24"/>
              </w:rPr>
              <w:t>patvirtinimo“</w:t>
            </w:r>
            <w:r w:rsidRPr="00A70645">
              <w:rPr>
                <w:rFonts w:ascii="Times New Roman" w:hAnsi="Times New Roman"/>
                <w:color w:val="000000" w:themeColor="text1"/>
                <w:sz w:val="24"/>
                <w:szCs w:val="24"/>
              </w:rPr>
              <w:t xml:space="preserve"> 1 tikslą</w:t>
            </w:r>
            <w:r w:rsidR="00C937B6" w:rsidRPr="00A70645">
              <w:rPr>
                <w:rFonts w:ascii="Times New Roman" w:hAnsi="Times New Roman"/>
                <w:color w:val="000000" w:themeColor="text1"/>
                <w:sz w:val="24"/>
                <w:szCs w:val="24"/>
              </w:rPr>
              <w:t xml:space="preserve"> „Užtikrinti tolygią ir tvarią regionų plėtrą“ 1.2 uždavin</w:t>
            </w:r>
            <w:r w:rsidR="008B1BF7" w:rsidRPr="00A70645">
              <w:rPr>
                <w:rFonts w:ascii="Times New Roman" w:hAnsi="Times New Roman"/>
                <w:color w:val="000000" w:themeColor="text1"/>
                <w:sz w:val="24"/>
                <w:szCs w:val="24"/>
              </w:rPr>
              <w:t>io</w:t>
            </w:r>
            <w:r w:rsidR="00C937B6" w:rsidRPr="00A70645">
              <w:rPr>
                <w:rFonts w:ascii="Times New Roman" w:hAnsi="Times New Roman"/>
                <w:color w:val="000000" w:themeColor="text1"/>
                <w:sz w:val="24"/>
                <w:szCs w:val="24"/>
              </w:rPr>
              <w:t xml:space="preserve"> „Didinti viešųjų ir administracinių paslaugų kokybę ir prieinamumą</w:t>
            </w:r>
            <w:r w:rsidR="00BD5ACE" w:rsidRPr="00A70645">
              <w:rPr>
                <w:rFonts w:ascii="Times New Roman" w:hAnsi="Times New Roman"/>
                <w:color w:val="000000" w:themeColor="text1"/>
                <w:sz w:val="24"/>
                <w:szCs w:val="24"/>
              </w:rPr>
              <w:t>“</w:t>
            </w:r>
            <w:r w:rsidR="008B1BF7" w:rsidRPr="00A70645">
              <w:rPr>
                <w:rFonts w:ascii="Times New Roman" w:hAnsi="Times New Roman"/>
                <w:color w:val="000000" w:themeColor="text1"/>
                <w:sz w:val="24"/>
                <w:szCs w:val="24"/>
              </w:rPr>
              <w:t xml:space="preserve"> priemonę „1.2.9 Priemonė: gerinti sveikatos priežiūros ir visuomenės sveikatos priežiūros kokybę ir prieinamumą“.</w:t>
            </w:r>
          </w:p>
          <w:p w14:paraId="462A2D22" w14:textId="77777777" w:rsidR="00BA5996" w:rsidRPr="00A70645" w:rsidRDefault="00BA5996"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2014–2020 metų nacionalinės pažangos programos, patvirtintos LR Vyriausybės 2012-11-28 nutarimu Nr. 1482, 8 prioriteto „Sveikata visiems“ 8.3. tikslo „Užtikrinti kokybišką, prieinamą ir tvarią sveikatos priežiūrą“ 8.3.2. uždavinį „Gerinti viešųjų sveikatos paslaugų prieinamumą ir kokybę“;</w:t>
            </w:r>
          </w:p>
          <w:p w14:paraId="5B1239CE" w14:textId="77777777" w:rsidR="00BA5996" w:rsidRPr="00A70645" w:rsidRDefault="00BA5996"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2014─2020 metų nacionalinės pažangos programos horizontaliojo prioriteto „Sveikata visiems“ </w:t>
            </w:r>
            <w:proofErr w:type="spellStart"/>
            <w:r w:rsidRPr="00A70645">
              <w:rPr>
                <w:rFonts w:ascii="Times New Roman" w:hAnsi="Times New Roman"/>
                <w:color w:val="000000" w:themeColor="text1"/>
                <w:sz w:val="24"/>
                <w:szCs w:val="24"/>
              </w:rPr>
              <w:t>tarpinstitucinio</w:t>
            </w:r>
            <w:proofErr w:type="spellEnd"/>
            <w:r w:rsidRPr="00A70645">
              <w:rPr>
                <w:rFonts w:ascii="Times New Roman" w:hAnsi="Times New Roman"/>
                <w:color w:val="000000" w:themeColor="text1"/>
                <w:sz w:val="24"/>
                <w:szCs w:val="24"/>
              </w:rPr>
              <w:t xml:space="preserve"> veiklos plano, patvirtinto LR Vyriausybės 2014 m kovo 26 d. nutarimu Nr. 293, 3 tikslo ,,Užtikrinti kokybišką, prieinamą ir tvarią sveikatos priežiūrą“, 3.2 uždavinio ,,Gerinti viešųjų sveikatos paslaugų prieinamumą ir kokybę“ 3.2.1. priemonę ,,Diegti naujus ir plėtoti efektyvius sveikatos priežiūros paslaugų teikimo ir infrastruktūros modelius – gerinti viešųjų sveikatos paslaugų prieinamumą ir kokybę</w:t>
            </w:r>
            <w:r w:rsidR="004B3853" w:rsidRPr="00A70645">
              <w:rPr>
                <w:rFonts w:ascii="Times New Roman" w:hAnsi="Times New Roman"/>
                <w:color w:val="000000" w:themeColor="text1"/>
                <w:sz w:val="24"/>
                <w:szCs w:val="24"/>
              </w:rPr>
              <w:t>“</w:t>
            </w:r>
            <w:r w:rsidRPr="00A70645">
              <w:rPr>
                <w:rFonts w:ascii="Times New Roman" w:hAnsi="Times New Roman"/>
                <w:color w:val="000000" w:themeColor="text1"/>
                <w:sz w:val="24"/>
                <w:szCs w:val="24"/>
              </w:rPr>
              <w:t>;</w:t>
            </w:r>
          </w:p>
          <w:p w14:paraId="65408679" w14:textId="77777777" w:rsidR="00FB6137" w:rsidRPr="00A70645" w:rsidRDefault="0012682A" w:rsidP="00336D34">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Priemonė tiesiogiai įgyvendina Sveikatos netolygumų mažinimo Lietuvoje 2014–2023 m. veiksmų plano, patvirtinto sveikatos apsaugos  ministro  2014  m. liepos 16 d. įsakymu Nr. V-815</w:t>
            </w:r>
            <w:r w:rsidR="00EC18A8" w:rsidRPr="00A70645">
              <w:rPr>
                <w:rFonts w:ascii="Times New Roman" w:hAnsi="Times New Roman"/>
                <w:color w:val="000000" w:themeColor="text1"/>
                <w:sz w:val="24"/>
                <w:szCs w:val="24"/>
              </w:rPr>
              <w:t xml:space="preserve"> „Dėl Sveikatos netolygumų mažinimo Lietuvoje 2014–2023 m. veiksmų plano patvirtinimo“</w:t>
            </w:r>
            <w:r w:rsidR="00C04637" w:rsidRPr="00A70645">
              <w:rPr>
                <w:rFonts w:ascii="Times New Roman" w:hAnsi="Times New Roman"/>
                <w:color w:val="000000" w:themeColor="text1"/>
                <w:sz w:val="24"/>
                <w:szCs w:val="24"/>
              </w:rPr>
              <w:t xml:space="preserve"> (toliau – Sveikatos netolygumų mažinimo Lietuvoje 2014–2023 m. veiks</w:t>
            </w:r>
            <w:r w:rsidR="001044B5" w:rsidRPr="00A70645">
              <w:rPr>
                <w:rFonts w:ascii="Times New Roman" w:hAnsi="Times New Roman"/>
                <w:color w:val="000000" w:themeColor="text1"/>
                <w:sz w:val="24"/>
                <w:szCs w:val="24"/>
              </w:rPr>
              <w:t>mų planas)</w:t>
            </w:r>
            <w:r w:rsidR="002238B0" w:rsidRPr="00A70645">
              <w:rPr>
                <w:rFonts w:ascii="Times New Roman" w:hAnsi="Times New Roman"/>
                <w:color w:val="000000" w:themeColor="text1"/>
                <w:sz w:val="24"/>
                <w:szCs w:val="24"/>
              </w:rPr>
              <w:t xml:space="preserve">, </w:t>
            </w:r>
            <w:r w:rsidR="001044B5" w:rsidRPr="00A70645">
              <w:rPr>
                <w:rFonts w:ascii="Times New Roman" w:hAnsi="Times New Roman"/>
                <w:color w:val="000000" w:themeColor="text1"/>
                <w:sz w:val="24"/>
                <w:szCs w:val="24"/>
              </w:rPr>
              <w:t xml:space="preserve">1 priedo </w:t>
            </w:r>
            <w:r w:rsidRPr="00A70645">
              <w:rPr>
                <w:rFonts w:ascii="Times New Roman" w:hAnsi="Times New Roman"/>
                <w:color w:val="000000" w:themeColor="text1"/>
                <w:sz w:val="24"/>
                <w:szCs w:val="24"/>
              </w:rPr>
              <w:t>Tuberkuliozės profilaktikos, diagnostikos ir gydymo efektyvumo didinimo krypties (</w:t>
            </w:r>
            <w:r w:rsidR="001A54A9" w:rsidRPr="00A70645">
              <w:rPr>
                <w:rFonts w:ascii="Times New Roman" w:hAnsi="Times New Roman"/>
                <w:color w:val="000000" w:themeColor="text1"/>
                <w:sz w:val="24"/>
                <w:szCs w:val="24"/>
              </w:rPr>
              <w:t>23.16</w:t>
            </w:r>
            <w:r w:rsidR="00B67889" w:rsidRPr="00A70645">
              <w:rPr>
                <w:rFonts w:ascii="Times New Roman" w:hAnsi="Times New Roman"/>
                <w:color w:val="000000" w:themeColor="text1"/>
                <w:sz w:val="24"/>
                <w:szCs w:val="24"/>
              </w:rPr>
              <w:t xml:space="preserve"> </w:t>
            </w:r>
            <w:r w:rsidR="001044B5" w:rsidRPr="00A70645">
              <w:rPr>
                <w:rFonts w:ascii="Times New Roman" w:hAnsi="Times New Roman"/>
                <w:color w:val="000000" w:themeColor="text1"/>
                <w:sz w:val="24"/>
                <w:szCs w:val="24"/>
              </w:rPr>
              <w:t>papunk</w:t>
            </w:r>
            <w:r w:rsidR="00705A3B" w:rsidRPr="00A70645">
              <w:rPr>
                <w:rFonts w:ascii="Times New Roman" w:hAnsi="Times New Roman"/>
                <w:color w:val="000000" w:themeColor="text1"/>
                <w:sz w:val="24"/>
                <w:szCs w:val="24"/>
              </w:rPr>
              <w:t>tis</w:t>
            </w:r>
            <w:r w:rsidRPr="00A70645">
              <w:rPr>
                <w:rFonts w:ascii="Times New Roman" w:hAnsi="Times New Roman"/>
                <w:color w:val="000000" w:themeColor="text1"/>
                <w:sz w:val="24"/>
                <w:szCs w:val="24"/>
              </w:rPr>
              <w:t>), numatytus tikslus, uždavinius ir priemones.</w:t>
            </w:r>
            <w:r w:rsidR="0061439A" w:rsidRPr="00A70645">
              <w:rPr>
                <w:rFonts w:ascii="Times New Roman" w:hAnsi="Times New Roman"/>
                <w:color w:val="000000" w:themeColor="text1"/>
                <w:sz w:val="24"/>
                <w:szCs w:val="24"/>
              </w:rPr>
              <w:t xml:space="preserve">      </w:t>
            </w:r>
          </w:p>
          <w:p w14:paraId="7773CCB6" w14:textId="77777777" w:rsidR="004C7B27" w:rsidRPr="00A70645" w:rsidRDefault="004C7B27" w:rsidP="00336D34">
            <w:pPr>
              <w:tabs>
                <w:tab w:val="left" w:pos="567"/>
              </w:tabs>
              <w:jc w:val="both"/>
              <w:rPr>
                <w:rFonts w:ascii="Times New Roman" w:hAnsi="Times New Roman"/>
                <w:color w:val="000000" w:themeColor="text1"/>
                <w:sz w:val="24"/>
                <w:szCs w:val="24"/>
              </w:rPr>
            </w:pPr>
          </w:p>
        </w:tc>
      </w:tr>
      <w:tr w:rsidR="00A70645" w:rsidRPr="00A70645" w14:paraId="12FA3575" w14:textId="77777777" w:rsidTr="00465660">
        <w:tc>
          <w:tcPr>
            <w:tcW w:w="567" w:type="dxa"/>
          </w:tcPr>
          <w:p w14:paraId="6B613B18" w14:textId="77777777" w:rsidR="00FB6137" w:rsidRPr="00A70645" w:rsidRDefault="00FB6137" w:rsidP="00D54809">
            <w:pPr>
              <w:pStyle w:val="Sraopastraipa"/>
              <w:numPr>
                <w:ilvl w:val="0"/>
                <w:numId w:val="1"/>
              </w:numPr>
              <w:tabs>
                <w:tab w:val="left" w:pos="567"/>
              </w:tabs>
              <w:ind w:left="0" w:firstLine="0"/>
              <w:jc w:val="both"/>
              <w:rPr>
                <w:rFonts w:ascii="Times New Roman" w:hAnsi="Times New Roman"/>
                <w:color w:val="000000" w:themeColor="text1"/>
                <w:sz w:val="24"/>
                <w:szCs w:val="24"/>
              </w:rPr>
            </w:pPr>
          </w:p>
        </w:tc>
        <w:tc>
          <w:tcPr>
            <w:tcW w:w="2836" w:type="dxa"/>
          </w:tcPr>
          <w:p w14:paraId="0C24EB14"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Išankstinių (</w:t>
            </w:r>
            <w:proofErr w:type="spellStart"/>
            <w:r w:rsidRPr="00A70645">
              <w:rPr>
                <w:rFonts w:ascii="Times New Roman" w:hAnsi="Times New Roman"/>
                <w:i/>
                <w:color w:val="000000" w:themeColor="text1"/>
                <w:sz w:val="24"/>
                <w:szCs w:val="24"/>
              </w:rPr>
              <w:t>ex</w:t>
            </w:r>
            <w:proofErr w:type="spellEnd"/>
            <w:r w:rsidRPr="00A70645">
              <w:rPr>
                <w:rFonts w:ascii="Times New Roman" w:hAnsi="Times New Roman"/>
                <w:i/>
                <w:color w:val="000000" w:themeColor="text1"/>
                <w:sz w:val="24"/>
                <w:szCs w:val="24"/>
              </w:rPr>
              <w:t xml:space="preserve"> ante)</w:t>
            </w:r>
            <w:r w:rsidRPr="00A70645">
              <w:rPr>
                <w:rFonts w:ascii="Times New Roman" w:hAnsi="Times New Roman"/>
                <w:color w:val="000000" w:themeColor="text1"/>
                <w:sz w:val="24"/>
                <w:szCs w:val="24"/>
              </w:rPr>
              <w:t xml:space="preserve"> sąlygų įvykdymas</w:t>
            </w:r>
          </w:p>
          <w:p w14:paraId="7F5B0C58"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(jei taikoma)</w:t>
            </w:r>
          </w:p>
        </w:tc>
        <w:tc>
          <w:tcPr>
            <w:tcW w:w="6945" w:type="dxa"/>
          </w:tcPr>
          <w:p w14:paraId="62F58101" w14:textId="77777777" w:rsidR="00D54809" w:rsidRPr="00A70645" w:rsidRDefault="006E1039"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Teminė </w:t>
            </w:r>
            <w:proofErr w:type="spellStart"/>
            <w:r w:rsidRPr="00A70645">
              <w:rPr>
                <w:rFonts w:ascii="Times New Roman" w:hAnsi="Times New Roman"/>
                <w:color w:val="000000" w:themeColor="text1"/>
                <w:sz w:val="24"/>
                <w:szCs w:val="24"/>
              </w:rPr>
              <w:t>ex</w:t>
            </w:r>
            <w:proofErr w:type="spellEnd"/>
            <w:r w:rsidRPr="00A70645">
              <w:rPr>
                <w:rFonts w:ascii="Times New Roman" w:hAnsi="Times New Roman"/>
                <w:color w:val="000000" w:themeColor="text1"/>
                <w:sz w:val="24"/>
                <w:szCs w:val="24"/>
              </w:rPr>
              <w:t>-ante sąlyga, taikoma Veiksmų programos 8 prioriteto 1 ir 4 investiciniams prioritetams – „9.3. Sveikata: parengta nacionalinė arba regioninė strateginė politikos programa sveikatos apsaugos srityje laikantis SESV 168 straipsnio, kuria užtikrinamas ekonominis tvarumas.“ – įvykdyta.</w:t>
            </w:r>
          </w:p>
          <w:p w14:paraId="7F62F912" w14:textId="77777777" w:rsidR="002C37C9" w:rsidRPr="00A70645" w:rsidRDefault="002C37C9" w:rsidP="00D54809">
            <w:pPr>
              <w:tabs>
                <w:tab w:val="left" w:pos="567"/>
              </w:tabs>
              <w:jc w:val="both"/>
              <w:rPr>
                <w:rFonts w:ascii="Times New Roman" w:hAnsi="Times New Roman"/>
                <w:color w:val="000000" w:themeColor="text1"/>
                <w:sz w:val="24"/>
                <w:szCs w:val="24"/>
              </w:rPr>
            </w:pPr>
          </w:p>
        </w:tc>
      </w:tr>
      <w:tr w:rsidR="00A70645" w:rsidRPr="00A70645" w14:paraId="60E32BE1" w14:textId="77777777" w:rsidTr="009D46B8">
        <w:trPr>
          <w:trHeight w:val="1480"/>
        </w:trPr>
        <w:tc>
          <w:tcPr>
            <w:tcW w:w="567" w:type="dxa"/>
          </w:tcPr>
          <w:p w14:paraId="23E17E2E" w14:textId="77777777" w:rsidR="00FB6137" w:rsidRPr="00A70645" w:rsidRDefault="00FB6137" w:rsidP="00D54809">
            <w:pPr>
              <w:pStyle w:val="Sraopastraipa"/>
              <w:numPr>
                <w:ilvl w:val="0"/>
                <w:numId w:val="1"/>
              </w:numPr>
              <w:tabs>
                <w:tab w:val="left" w:pos="567"/>
              </w:tabs>
              <w:ind w:left="0" w:firstLine="0"/>
              <w:jc w:val="both"/>
              <w:rPr>
                <w:rFonts w:ascii="Times New Roman" w:hAnsi="Times New Roman"/>
                <w:color w:val="000000" w:themeColor="text1"/>
                <w:sz w:val="24"/>
                <w:szCs w:val="24"/>
              </w:rPr>
            </w:pPr>
          </w:p>
        </w:tc>
        <w:tc>
          <w:tcPr>
            <w:tcW w:w="2836" w:type="dxa"/>
          </w:tcPr>
          <w:p w14:paraId="1CB278CA"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 Priemonės tikslingumas, tinkamumas ir tęstinumas, atsižvelgiant į vertinimų  išvadas </w:t>
            </w:r>
          </w:p>
        </w:tc>
        <w:tc>
          <w:tcPr>
            <w:tcW w:w="6945" w:type="dxa"/>
          </w:tcPr>
          <w:p w14:paraId="05D09B34" w14:textId="16765BC0" w:rsidR="00074792" w:rsidRPr="00A70645" w:rsidRDefault="006E1039" w:rsidP="00D54809">
            <w:pPr>
              <w:pStyle w:val="Komentaroteksta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Priemonė įgyvendina Sveikatos netolygumų mažinimo 2014</w:t>
            </w:r>
            <w:r w:rsidR="004A3C8A" w:rsidRPr="00A70645">
              <w:rPr>
                <w:rFonts w:ascii="Times New Roman" w:hAnsi="Times New Roman"/>
                <w:color w:val="000000" w:themeColor="text1"/>
                <w:sz w:val="24"/>
                <w:szCs w:val="24"/>
              </w:rPr>
              <w:t>–</w:t>
            </w:r>
            <w:r w:rsidRPr="00A70645">
              <w:rPr>
                <w:rFonts w:ascii="Times New Roman" w:hAnsi="Times New Roman"/>
                <w:color w:val="000000" w:themeColor="text1"/>
                <w:sz w:val="24"/>
                <w:szCs w:val="24"/>
              </w:rPr>
              <w:t xml:space="preserve">2020 m. veiksmų plano Tuberkuliozės profilaktikos, diagnostikos ir gydymo efektyvumo didinimo kryptį, </w:t>
            </w:r>
            <w:r w:rsidR="008E694F" w:rsidRPr="00A70645">
              <w:rPr>
                <w:rFonts w:ascii="Times New Roman" w:hAnsi="Times New Roman"/>
                <w:color w:val="000000" w:themeColor="text1"/>
                <w:sz w:val="24"/>
                <w:szCs w:val="24"/>
              </w:rPr>
              <w:t>k</w:t>
            </w:r>
            <w:r w:rsidR="001835CA" w:rsidRPr="00A70645">
              <w:rPr>
                <w:rFonts w:ascii="Times New Roman" w:hAnsi="Times New Roman"/>
                <w:color w:val="000000" w:themeColor="text1"/>
                <w:sz w:val="24"/>
                <w:szCs w:val="24"/>
              </w:rPr>
              <w:t>uri</w:t>
            </w:r>
            <w:r w:rsidR="00050A86" w:rsidRPr="00A70645">
              <w:rPr>
                <w:rFonts w:ascii="Times New Roman" w:hAnsi="Times New Roman"/>
                <w:color w:val="000000" w:themeColor="text1"/>
                <w:sz w:val="24"/>
                <w:szCs w:val="24"/>
              </w:rPr>
              <w:t>oje</w:t>
            </w:r>
            <w:r w:rsidR="008E694F" w:rsidRPr="00A70645">
              <w:rPr>
                <w:rFonts w:ascii="Times New Roman" w:hAnsi="Times New Roman"/>
                <w:color w:val="000000" w:themeColor="text1"/>
                <w:sz w:val="24"/>
                <w:szCs w:val="24"/>
              </w:rPr>
              <w:t xml:space="preserve"> </w:t>
            </w:r>
            <w:r w:rsidR="001835CA" w:rsidRPr="00A70645">
              <w:rPr>
                <w:rFonts w:ascii="Times New Roman" w:hAnsi="Times New Roman"/>
                <w:color w:val="000000" w:themeColor="text1"/>
                <w:sz w:val="24"/>
                <w:szCs w:val="24"/>
              </w:rPr>
              <w:t xml:space="preserve">detaliai pagrįsta, kodėl būtini šioje priemonėje numatyti veiksmai ir numatyti rezultatai. </w:t>
            </w:r>
            <w:r w:rsidR="00050A86" w:rsidRPr="00A70645">
              <w:rPr>
                <w:rFonts w:ascii="Times New Roman" w:hAnsi="Times New Roman"/>
                <w:color w:val="000000" w:themeColor="text1"/>
                <w:sz w:val="24"/>
                <w:szCs w:val="24"/>
              </w:rPr>
              <w:br/>
            </w:r>
            <w:r w:rsidR="008E694F" w:rsidRPr="00A70645">
              <w:rPr>
                <w:rFonts w:ascii="Times New Roman" w:hAnsi="Times New Roman"/>
                <w:color w:val="000000" w:themeColor="text1"/>
                <w:sz w:val="24"/>
                <w:szCs w:val="24"/>
              </w:rPr>
              <w:t>TB</w:t>
            </w:r>
            <w:r w:rsidR="001835CA" w:rsidRPr="00A70645">
              <w:rPr>
                <w:rFonts w:ascii="Times New Roman" w:hAnsi="Times New Roman"/>
                <w:color w:val="000000" w:themeColor="text1"/>
                <w:sz w:val="24"/>
                <w:szCs w:val="24"/>
              </w:rPr>
              <w:t xml:space="preserve"> prioritetin</w:t>
            </w:r>
            <w:r w:rsidR="008E694F" w:rsidRPr="00A70645">
              <w:rPr>
                <w:rFonts w:ascii="Times New Roman" w:hAnsi="Times New Roman"/>
                <w:color w:val="000000" w:themeColor="text1"/>
                <w:sz w:val="24"/>
                <w:szCs w:val="24"/>
              </w:rPr>
              <w:t>ės</w:t>
            </w:r>
            <w:r w:rsidR="001835CA" w:rsidRPr="00A70645">
              <w:rPr>
                <w:rFonts w:ascii="Times New Roman" w:hAnsi="Times New Roman"/>
                <w:color w:val="000000" w:themeColor="text1"/>
                <w:sz w:val="24"/>
                <w:szCs w:val="24"/>
              </w:rPr>
              <w:t xml:space="preserve"> plėtros kryp</w:t>
            </w:r>
            <w:r w:rsidR="008E694F" w:rsidRPr="00A70645">
              <w:rPr>
                <w:rFonts w:ascii="Times New Roman" w:hAnsi="Times New Roman"/>
                <w:color w:val="000000" w:themeColor="text1"/>
                <w:sz w:val="24"/>
                <w:szCs w:val="24"/>
              </w:rPr>
              <w:t>ties</w:t>
            </w:r>
            <w:r w:rsidR="001835CA" w:rsidRPr="00A70645">
              <w:rPr>
                <w:rFonts w:ascii="Times New Roman" w:hAnsi="Times New Roman"/>
                <w:color w:val="000000" w:themeColor="text1"/>
                <w:sz w:val="24"/>
                <w:szCs w:val="24"/>
              </w:rPr>
              <w:t xml:space="preserve"> apraša</w:t>
            </w:r>
            <w:r w:rsidR="008E694F" w:rsidRPr="00A70645">
              <w:rPr>
                <w:rFonts w:ascii="Times New Roman" w:hAnsi="Times New Roman"/>
                <w:color w:val="000000" w:themeColor="text1"/>
                <w:sz w:val="24"/>
                <w:szCs w:val="24"/>
              </w:rPr>
              <w:t>s</w:t>
            </w:r>
            <w:r w:rsidR="001835CA" w:rsidRPr="00A70645">
              <w:rPr>
                <w:rFonts w:ascii="Times New Roman" w:hAnsi="Times New Roman"/>
                <w:color w:val="000000" w:themeColor="text1"/>
                <w:sz w:val="24"/>
                <w:szCs w:val="24"/>
              </w:rPr>
              <w:t xml:space="preserve"> parengt</w:t>
            </w:r>
            <w:r w:rsidR="008E694F" w:rsidRPr="00A70645">
              <w:rPr>
                <w:rFonts w:ascii="Times New Roman" w:hAnsi="Times New Roman"/>
                <w:color w:val="000000" w:themeColor="text1"/>
                <w:sz w:val="24"/>
                <w:szCs w:val="24"/>
              </w:rPr>
              <w:t>as</w:t>
            </w:r>
            <w:r w:rsidR="001835CA" w:rsidRPr="00A70645">
              <w:rPr>
                <w:rFonts w:ascii="Times New Roman" w:hAnsi="Times New Roman"/>
                <w:color w:val="000000" w:themeColor="text1"/>
                <w:sz w:val="24"/>
                <w:szCs w:val="24"/>
              </w:rPr>
              <w:t xml:space="preserve"> kompetentingų </w:t>
            </w:r>
            <w:r w:rsidR="001835CA" w:rsidRPr="00A70645">
              <w:rPr>
                <w:rFonts w:ascii="Times New Roman" w:hAnsi="Times New Roman"/>
                <w:color w:val="000000" w:themeColor="text1"/>
                <w:sz w:val="24"/>
                <w:szCs w:val="24"/>
              </w:rPr>
              <w:lastRenderedPageBreak/>
              <w:t xml:space="preserve">sveikatos srities </w:t>
            </w:r>
            <w:r w:rsidR="001130C6" w:rsidRPr="00A70645">
              <w:rPr>
                <w:rFonts w:ascii="Times New Roman" w:hAnsi="Times New Roman"/>
                <w:color w:val="000000" w:themeColor="text1"/>
                <w:sz w:val="24"/>
                <w:szCs w:val="24"/>
              </w:rPr>
              <w:t xml:space="preserve">specialistų </w:t>
            </w:r>
            <w:r w:rsidR="001835CA" w:rsidRPr="00A70645">
              <w:rPr>
                <w:rFonts w:ascii="Times New Roman" w:hAnsi="Times New Roman"/>
                <w:color w:val="000000" w:themeColor="text1"/>
                <w:sz w:val="24"/>
                <w:szCs w:val="24"/>
              </w:rPr>
              <w:t xml:space="preserve">bendradarbiaujant su </w:t>
            </w:r>
            <w:r w:rsidR="001130C6" w:rsidRPr="00A70645">
              <w:rPr>
                <w:rFonts w:ascii="Times New Roman" w:hAnsi="Times New Roman"/>
                <w:color w:val="000000" w:themeColor="text1"/>
                <w:sz w:val="24"/>
                <w:szCs w:val="24"/>
              </w:rPr>
              <w:t>atitinkamų profesinių kvalifikacijų gydytojais</w:t>
            </w:r>
            <w:r w:rsidR="001835CA" w:rsidRPr="00A70645">
              <w:rPr>
                <w:rFonts w:ascii="Times New Roman" w:hAnsi="Times New Roman"/>
                <w:color w:val="000000" w:themeColor="text1"/>
                <w:sz w:val="24"/>
                <w:szCs w:val="24"/>
              </w:rPr>
              <w:t>, ekonominiais</w:t>
            </w:r>
            <w:r w:rsidR="00E20725" w:rsidRPr="00A70645">
              <w:rPr>
                <w:rFonts w:ascii="Times New Roman" w:hAnsi="Times New Roman"/>
                <w:color w:val="000000" w:themeColor="text1"/>
                <w:sz w:val="24"/>
                <w:szCs w:val="24"/>
              </w:rPr>
              <w:t>-</w:t>
            </w:r>
            <w:r w:rsidR="001835CA" w:rsidRPr="00A70645">
              <w:rPr>
                <w:rFonts w:ascii="Times New Roman" w:hAnsi="Times New Roman"/>
                <w:color w:val="000000" w:themeColor="text1"/>
                <w:sz w:val="24"/>
                <w:szCs w:val="24"/>
              </w:rPr>
              <w:t xml:space="preserve">socialiniais partneriais, todėl nenustatytas poreikis atlikti papildomą vertinimą dėl šios priemonės tikslingumo ir tinkamumo. </w:t>
            </w:r>
          </w:p>
          <w:p w14:paraId="2EDEC7C0" w14:textId="77777777" w:rsidR="00B13E52" w:rsidRPr="00A70645" w:rsidRDefault="006E1039" w:rsidP="00D54809">
            <w:pPr>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Priemonės tinkamumą ir tikslingumą iš dalies pagrindžia </w:t>
            </w:r>
            <w:r w:rsidR="004C7B27" w:rsidRPr="00A70645">
              <w:rPr>
                <w:rFonts w:ascii="Times New Roman" w:hAnsi="Times New Roman"/>
                <w:color w:val="000000" w:themeColor="text1"/>
                <w:sz w:val="24"/>
                <w:szCs w:val="24"/>
              </w:rPr>
              <w:br/>
            </w:r>
            <w:r w:rsidR="00DF55BB" w:rsidRPr="00A70645">
              <w:rPr>
                <w:rFonts w:ascii="Times New Roman" w:hAnsi="Times New Roman"/>
                <w:color w:val="000000" w:themeColor="text1"/>
                <w:sz w:val="24"/>
                <w:szCs w:val="24"/>
              </w:rPr>
              <w:t>VšĮ Viešosios politikos ir vadybos instituto</w:t>
            </w:r>
            <w:r w:rsidRPr="00A70645">
              <w:rPr>
                <w:rFonts w:ascii="Times New Roman" w:hAnsi="Times New Roman"/>
                <w:color w:val="000000" w:themeColor="text1"/>
                <w:sz w:val="24"/>
                <w:szCs w:val="24"/>
              </w:rPr>
              <w:t xml:space="preserve"> atliktas</w:t>
            </w:r>
            <w:r w:rsidR="00DF55BB" w:rsidRPr="00A70645">
              <w:rPr>
                <w:rFonts w:ascii="Times New Roman" w:hAnsi="Times New Roman"/>
                <w:color w:val="000000" w:themeColor="text1"/>
                <w:sz w:val="24"/>
                <w:szCs w:val="24"/>
              </w:rPr>
              <w:t xml:space="preserve"> Lietuvos </w:t>
            </w:r>
            <w:r w:rsidR="004C7B27" w:rsidRPr="00A70645">
              <w:rPr>
                <w:rFonts w:ascii="Times New Roman" w:hAnsi="Times New Roman"/>
                <w:color w:val="000000" w:themeColor="text1"/>
                <w:sz w:val="24"/>
                <w:szCs w:val="24"/>
              </w:rPr>
              <w:br/>
            </w:r>
            <w:r w:rsidR="00DF55BB" w:rsidRPr="00A70645">
              <w:rPr>
                <w:rFonts w:ascii="Times New Roman" w:hAnsi="Times New Roman"/>
                <w:color w:val="000000" w:themeColor="text1"/>
                <w:sz w:val="24"/>
                <w:szCs w:val="24"/>
              </w:rPr>
              <w:t>2014</w:t>
            </w:r>
            <w:r w:rsidR="00EF6719" w:rsidRPr="00A70645">
              <w:rPr>
                <w:rFonts w:ascii="Times New Roman" w:hAnsi="Times New Roman"/>
                <w:color w:val="000000" w:themeColor="text1"/>
                <w:sz w:val="24"/>
                <w:szCs w:val="24"/>
              </w:rPr>
              <w:t>–2020 metų</w:t>
            </w:r>
            <w:r w:rsidR="00D32F0E" w:rsidRPr="00A70645">
              <w:rPr>
                <w:rFonts w:ascii="Times New Roman" w:hAnsi="Times New Roman"/>
                <w:color w:val="000000" w:themeColor="text1"/>
                <w:sz w:val="24"/>
                <w:szCs w:val="24"/>
              </w:rPr>
              <w:t xml:space="preserve"> </w:t>
            </w:r>
            <w:r w:rsidR="00DF55BB" w:rsidRPr="00A70645">
              <w:rPr>
                <w:rFonts w:ascii="Times New Roman" w:hAnsi="Times New Roman"/>
                <w:color w:val="000000" w:themeColor="text1"/>
                <w:sz w:val="24"/>
                <w:szCs w:val="24"/>
              </w:rPr>
              <w:t>ES struktūrinių fondų investicijų</w:t>
            </w:r>
            <w:r w:rsidR="00D32F0E" w:rsidRPr="00A70645">
              <w:rPr>
                <w:rFonts w:ascii="Times New Roman" w:hAnsi="Times New Roman"/>
                <w:color w:val="000000" w:themeColor="text1"/>
                <w:sz w:val="24"/>
                <w:szCs w:val="24"/>
              </w:rPr>
              <w:t xml:space="preserve"> </w:t>
            </w:r>
            <w:r w:rsidRPr="00A70645">
              <w:rPr>
                <w:rFonts w:ascii="Times New Roman" w:hAnsi="Times New Roman"/>
                <w:color w:val="000000" w:themeColor="text1"/>
                <w:sz w:val="24"/>
                <w:szCs w:val="24"/>
              </w:rPr>
              <w:t>veiksmų programos išankstinis</w:t>
            </w:r>
            <w:r w:rsidR="00D32F0E" w:rsidRPr="00A70645">
              <w:rPr>
                <w:rFonts w:ascii="Times New Roman" w:hAnsi="Times New Roman"/>
                <w:color w:val="000000" w:themeColor="text1"/>
                <w:sz w:val="24"/>
                <w:szCs w:val="24"/>
              </w:rPr>
              <w:t xml:space="preserve"> vertinim</w:t>
            </w:r>
            <w:r w:rsidRPr="00A70645">
              <w:rPr>
                <w:rFonts w:ascii="Times New Roman" w:hAnsi="Times New Roman"/>
                <w:color w:val="000000" w:themeColor="text1"/>
                <w:sz w:val="24"/>
                <w:szCs w:val="24"/>
              </w:rPr>
              <w:t>as</w:t>
            </w:r>
            <w:r w:rsidR="00585ED2" w:rsidRPr="00A70645">
              <w:rPr>
                <w:rFonts w:ascii="Times New Roman" w:hAnsi="Times New Roman"/>
                <w:color w:val="000000" w:themeColor="text1"/>
                <w:sz w:val="24"/>
                <w:szCs w:val="24"/>
              </w:rPr>
              <w:t xml:space="preserve"> </w:t>
            </w:r>
            <w:r w:rsidR="007C5B8D" w:rsidRPr="00A70645">
              <w:rPr>
                <w:rFonts w:ascii="Times New Roman" w:hAnsi="Times New Roman"/>
                <w:color w:val="000000" w:themeColor="text1"/>
                <w:sz w:val="24"/>
                <w:szCs w:val="24"/>
              </w:rPr>
              <w:t>(</w:t>
            </w:r>
            <w:hyperlink r:id="rId8" w:history="1">
              <w:r w:rsidR="007C5B8D" w:rsidRPr="00A70645">
                <w:rPr>
                  <w:rStyle w:val="Hipersaitas"/>
                  <w:rFonts w:ascii="Times New Roman" w:hAnsi="Times New Roman"/>
                  <w:color w:val="000000" w:themeColor="text1"/>
                  <w:sz w:val="24"/>
                  <w:szCs w:val="24"/>
                </w:rPr>
                <w:t>http://www.esparama.lt/vertinimo-ataskaitos</w:t>
              </w:r>
            </w:hyperlink>
            <w:r w:rsidR="007C5B8D" w:rsidRPr="00A70645">
              <w:rPr>
                <w:rFonts w:ascii="Times New Roman" w:hAnsi="Times New Roman"/>
                <w:color w:val="000000" w:themeColor="text1"/>
                <w:sz w:val="24"/>
                <w:szCs w:val="24"/>
              </w:rPr>
              <w:t>)</w:t>
            </w:r>
            <w:r w:rsidR="00A83C9D" w:rsidRPr="00A70645">
              <w:rPr>
                <w:rFonts w:ascii="Times New Roman" w:hAnsi="Times New Roman"/>
                <w:color w:val="000000" w:themeColor="text1"/>
                <w:sz w:val="24"/>
                <w:szCs w:val="24"/>
              </w:rPr>
              <w:t xml:space="preserve">, </w:t>
            </w:r>
            <w:r w:rsidRPr="00A70645">
              <w:rPr>
                <w:rFonts w:ascii="Times New Roman" w:hAnsi="Times New Roman"/>
                <w:color w:val="000000" w:themeColor="text1"/>
                <w:sz w:val="24"/>
                <w:szCs w:val="24"/>
              </w:rPr>
              <w:t xml:space="preserve">kurio </w:t>
            </w:r>
            <w:r w:rsidR="00A83C9D" w:rsidRPr="00A70645">
              <w:rPr>
                <w:rFonts w:ascii="Times New Roman" w:hAnsi="Times New Roman"/>
                <w:color w:val="000000" w:themeColor="text1"/>
                <w:sz w:val="24"/>
                <w:szCs w:val="24"/>
              </w:rPr>
              <w:t xml:space="preserve">galutinės ataskaitos 1 priede „Veiksmų programos prioritetų iššūkių ir poreikių analizė“ </w:t>
            </w:r>
            <w:r w:rsidR="004C0F71" w:rsidRPr="00A70645">
              <w:rPr>
                <w:rFonts w:ascii="Times New Roman" w:hAnsi="Times New Roman"/>
                <w:color w:val="000000" w:themeColor="text1"/>
                <w:sz w:val="24"/>
                <w:szCs w:val="24"/>
              </w:rPr>
              <w:t xml:space="preserve">teigiama, kad </w:t>
            </w:r>
            <w:r w:rsidR="00B13E52" w:rsidRPr="00A70645">
              <w:rPr>
                <w:rFonts w:ascii="Times New Roman" w:hAnsi="Times New Roman"/>
                <w:color w:val="000000" w:themeColor="text1"/>
                <w:sz w:val="24"/>
                <w:szCs w:val="24"/>
              </w:rPr>
              <w:t xml:space="preserve">yra labai didelis Lietuvos </w:t>
            </w:r>
            <w:r w:rsidR="00B13E52" w:rsidRPr="00A70645">
              <w:rPr>
                <w:rFonts w:ascii="Times New Roman" w:eastAsia="Times New Roman" w:hAnsi="Times New Roman"/>
                <w:color w:val="000000" w:themeColor="text1"/>
                <w:sz w:val="24"/>
                <w:szCs w:val="24"/>
                <w:lang w:eastAsia="lt-LT"/>
              </w:rPr>
              <w:t>gyventojų TB sergamumas, todėl svarbu sudaryti galimybes gerinti sveikatos priežiūros prieinamumą šalies regionų (savivaldybių) gyventojams, taip pat plėtoti aktualias sveikatos priežiūros paslaugas asmenims, priklausantiems socialinės rizikos grupėms.</w:t>
            </w:r>
            <w:r w:rsidR="00CB090B" w:rsidRPr="00A70645">
              <w:rPr>
                <w:rFonts w:ascii="Times New Roman" w:eastAsia="Times New Roman" w:hAnsi="Times New Roman"/>
                <w:color w:val="000000" w:themeColor="text1"/>
                <w:sz w:val="24"/>
                <w:szCs w:val="24"/>
                <w:lang w:eastAsia="lt-LT"/>
              </w:rPr>
              <w:t xml:space="preserve"> Priemonės įgyvendinimo tikslas ne tik sumažinti TB sergamum</w:t>
            </w:r>
            <w:r w:rsidR="001E66E2" w:rsidRPr="00A70645">
              <w:rPr>
                <w:rFonts w:ascii="Times New Roman" w:eastAsia="Times New Roman" w:hAnsi="Times New Roman"/>
                <w:color w:val="000000" w:themeColor="text1"/>
                <w:sz w:val="24"/>
                <w:szCs w:val="24"/>
                <w:lang w:eastAsia="lt-LT"/>
              </w:rPr>
              <w:t>ą</w:t>
            </w:r>
            <w:r w:rsidR="00CB090B" w:rsidRPr="00A70645">
              <w:rPr>
                <w:rFonts w:ascii="Times New Roman" w:eastAsia="Times New Roman" w:hAnsi="Times New Roman"/>
                <w:color w:val="000000" w:themeColor="text1"/>
                <w:sz w:val="24"/>
                <w:szCs w:val="24"/>
                <w:lang w:eastAsia="lt-LT"/>
              </w:rPr>
              <w:t xml:space="preserve"> </w:t>
            </w:r>
            <w:r w:rsidR="001E66E2" w:rsidRPr="00A70645">
              <w:rPr>
                <w:rFonts w:ascii="Times New Roman" w:eastAsia="Times New Roman" w:hAnsi="Times New Roman"/>
                <w:color w:val="000000" w:themeColor="text1"/>
                <w:sz w:val="24"/>
                <w:szCs w:val="24"/>
                <w:lang w:eastAsia="lt-LT"/>
              </w:rPr>
              <w:t>projektų įgyvendinimo metu</w:t>
            </w:r>
            <w:r w:rsidR="00CB090B" w:rsidRPr="00A70645">
              <w:rPr>
                <w:rFonts w:ascii="Times New Roman" w:eastAsia="Times New Roman" w:hAnsi="Times New Roman"/>
                <w:color w:val="000000" w:themeColor="text1"/>
                <w:sz w:val="24"/>
                <w:szCs w:val="24"/>
                <w:lang w:eastAsia="lt-LT"/>
              </w:rPr>
              <w:t xml:space="preserve">, tačiau </w:t>
            </w:r>
            <w:r w:rsidR="001E66E2" w:rsidRPr="00A70645">
              <w:rPr>
                <w:rFonts w:ascii="Times New Roman" w:eastAsia="Times New Roman" w:hAnsi="Times New Roman"/>
                <w:color w:val="000000" w:themeColor="text1"/>
                <w:sz w:val="24"/>
                <w:szCs w:val="24"/>
                <w:lang w:eastAsia="lt-LT"/>
              </w:rPr>
              <w:t xml:space="preserve">ateityje </w:t>
            </w:r>
            <w:r w:rsidR="00CB090B" w:rsidRPr="00A70645">
              <w:rPr>
                <w:rFonts w:ascii="Times New Roman" w:eastAsia="Times New Roman" w:hAnsi="Times New Roman"/>
                <w:color w:val="000000" w:themeColor="text1"/>
                <w:sz w:val="24"/>
                <w:szCs w:val="24"/>
                <w:lang w:eastAsia="lt-LT"/>
              </w:rPr>
              <w:t>pa</w:t>
            </w:r>
            <w:r w:rsidR="001E66E2" w:rsidRPr="00A70645">
              <w:rPr>
                <w:rFonts w:ascii="Times New Roman" w:eastAsia="Times New Roman" w:hAnsi="Times New Roman"/>
                <w:color w:val="000000" w:themeColor="text1"/>
                <w:sz w:val="24"/>
                <w:szCs w:val="24"/>
                <w:lang w:eastAsia="lt-LT"/>
              </w:rPr>
              <w:t>si</w:t>
            </w:r>
            <w:r w:rsidR="00CB090B" w:rsidRPr="00A70645">
              <w:rPr>
                <w:rFonts w:ascii="Times New Roman" w:eastAsia="Times New Roman" w:hAnsi="Times New Roman"/>
                <w:color w:val="000000" w:themeColor="text1"/>
                <w:sz w:val="24"/>
                <w:szCs w:val="24"/>
                <w:lang w:eastAsia="lt-LT"/>
              </w:rPr>
              <w:t>naudoti gaut</w:t>
            </w:r>
            <w:r w:rsidR="001E66E2" w:rsidRPr="00A70645">
              <w:rPr>
                <w:rFonts w:ascii="Times New Roman" w:eastAsia="Times New Roman" w:hAnsi="Times New Roman"/>
                <w:color w:val="000000" w:themeColor="text1"/>
                <w:sz w:val="24"/>
                <w:szCs w:val="24"/>
                <w:lang w:eastAsia="lt-LT"/>
              </w:rPr>
              <w:t>ai</w:t>
            </w:r>
            <w:r w:rsidR="00CB090B" w:rsidRPr="00A70645">
              <w:rPr>
                <w:rFonts w:ascii="Times New Roman" w:eastAsia="Times New Roman" w:hAnsi="Times New Roman"/>
                <w:color w:val="000000" w:themeColor="text1"/>
                <w:sz w:val="24"/>
                <w:szCs w:val="24"/>
                <w:lang w:eastAsia="lt-LT"/>
              </w:rPr>
              <w:t>s rezultat</w:t>
            </w:r>
            <w:r w:rsidR="001E66E2" w:rsidRPr="00A70645">
              <w:rPr>
                <w:rFonts w:ascii="Times New Roman" w:eastAsia="Times New Roman" w:hAnsi="Times New Roman"/>
                <w:color w:val="000000" w:themeColor="text1"/>
                <w:sz w:val="24"/>
                <w:szCs w:val="24"/>
                <w:lang w:eastAsia="lt-LT"/>
              </w:rPr>
              <w:t>ai</w:t>
            </w:r>
            <w:r w:rsidR="00CB090B" w:rsidRPr="00A70645">
              <w:rPr>
                <w:rFonts w:ascii="Times New Roman" w:eastAsia="Times New Roman" w:hAnsi="Times New Roman"/>
                <w:color w:val="000000" w:themeColor="text1"/>
                <w:sz w:val="24"/>
                <w:szCs w:val="24"/>
                <w:lang w:eastAsia="lt-LT"/>
              </w:rPr>
              <w:t>s bei duomen</w:t>
            </w:r>
            <w:r w:rsidR="001E66E2" w:rsidRPr="00A70645">
              <w:rPr>
                <w:rFonts w:ascii="Times New Roman" w:eastAsia="Times New Roman" w:hAnsi="Times New Roman"/>
                <w:color w:val="000000" w:themeColor="text1"/>
                <w:sz w:val="24"/>
                <w:szCs w:val="24"/>
                <w:lang w:eastAsia="lt-LT"/>
              </w:rPr>
              <w:t>im</w:t>
            </w:r>
            <w:r w:rsidR="00CB090B" w:rsidRPr="00A70645">
              <w:rPr>
                <w:rFonts w:ascii="Times New Roman" w:eastAsia="Times New Roman" w:hAnsi="Times New Roman"/>
                <w:color w:val="000000" w:themeColor="text1"/>
                <w:sz w:val="24"/>
                <w:szCs w:val="24"/>
                <w:lang w:eastAsia="lt-LT"/>
              </w:rPr>
              <w:t>is</w:t>
            </w:r>
            <w:r w:rsidR="001E66E2" w:rsidRPr="00A70645">
              <w:rPr>
                <w:rFonts w:ascii="Times New Roman" w:eastAsia="Times New Roman" w:hAnsi="Times New Roman"/>
                <w:color w:val="000000" w:themeColor="text1"/>
                <w:sz w:val="24"/>
                <w:szCs w:val="24"/>
                <w:lang w:eastAsia="lt-LT"/>
              </w:rPr>
              <w:t>,</w:t>
            </w:r>
            <w:r w:rsidR="00CB090B" w:rsidRPr="00A70645">
              <w:rPr>
                <w:rFonts w:ascii="Times New Roman" w:eastAsia="Times New Roman" w:hAnsi="Times New Roman"/>
                <w:color w:val="000000" w:themeColor="text1"/>
                <w:sz w:val="24"/>
                <w:szCs w:val="24"/>
                <w:lang w:eastAsia="lt-LT"/>
              </w:rPr>
              <w:t xml:space="preserve"> kaip gerąją patirt</w:t>
            </w:r>
            <w:r w:rsidR="001E66E2" w:rsidRPr="00A70645">
              <w:rPr>
                <w:rFonts w:ascii="Times New Roman" w:eastAsia="Times New Roman" w:hAnsi="Times New Roman"/>
                <w:color w:val="000000" w:themeColor="text1"/>
                <w:sz w:val="24"/>
                <w:szCs w:val="24"/>
                <w:lang w:eastAsia="lt-LT"/>
              </w:rPr>
              <w:t>imi,</w:t>
            </w:r>
            <w:r w:rsidR="00CB090B" w:rsidRPr="00A70645">
              <w:rPr>
                <w:rFonts w:ascii="Times New Roman" w:eastAsia="Times New Roman" w:hAnsi="Times New Roman"/>
                <w:color w:val="000000" w:themeColor="text1"/>
                <w:sz w:val="24"/>
                <w:szCs w:val="24"/>
                <w:lang w:eastAsia="lt-LT"/>
              </w:rPr>
              <w:t xml:space="preserve"> siekiant užtikrinti </w:t>
            </w:r>
            <w:r w:rsidR="001E66E2" w:rsidRPr="00A70645">
              <w:rPr>
                <w:rFonts w:ascii="Times New Roman" w:eastAsia="Times New Roman" w:hAnsi="Times New Roman"/>
                <w:color w:val="000000" w:themeColor="text1"/>
                <w:sz w:val="24"/>
                <w:szCs w:val="24"/>
                <w:lang w:eastAsia="lt-LT"/>
              </w:rPr>
              <w:t xml:space="preserve">kovos priemonių su TB tęstinumą ir veiklų finansavimą iš valstybės biudžeto ir savivaldybių biudžeto lėšų. </w:t>
            </w:r>
          </w:p>
          <w:p w14:paraId="33A1CA85" w14:textId="77777777" w:rsidR="00D54809" w:rsidRPr="00A70645" w:rsidRDefault="00D54809" w:rsidP="00B13E52">
            <w:pPr>
              <w:jc w:val="both"/>
              <w:rPr>
                <w:rFonts w:ascii="Times New Roman" w:hAnsi="Times New Roman"/>
                <w:color w:val="000000" w:themeColor="text1"/>
                <w:sz w:val="24"/>
                <w:szCs w:val="24"/>
              </w:rPr>
            </w:pPr>
          </w:p>
        </w:tc>
      </w:tr>
      <w:tr w:rsidR="00A70645" w:rsidRPr="00A70645" w14:paraId="32FF5EE3" w14:textId="77777777" w:rsidTr="002B2948">
        <w:trPr>
          <w:trHeight w:val="416"/>
        </w:trPr>
        <w:tc>
          <w:tcPr>
            <w:tcW w:w="567" w:type="dxa"/>
          </w:tcPr>
          <w:p w14:paraId="06172F3C" w14:textId="77777777" w:rsidR="00FB6137" w:rsidRPr="00A70645" w:rsidRDefault="00FB6137" w:rsidP="00D54809">
            <w:pPr>
              <w:pStyle w:val="Sraopastraipa"/>
              <w:numPr>
                <w:ilvl w:val="0"/>
                <w:numId w:val="1"/>
              </w:numPr>
              <w:tabs>
                <w:tab w:val="left" w:pos="567"/>
              </w:tabs>
              <w:ind w:left="0" w:firstLine="0"/>
              <w:jc w:val="both"/>
              <w:rPr>
                <w:rFonts w:ascii="Times New Roman" w:hAnsi="Times New Roman"/>
                <w:color w:val="000000" w:themeColor="text1"/>
                <w:sz w:val="24"/>
                <w:szCs w:val="24"/>
              </w:rPr>
            </w:pPr>
          </w:p>
        </w:tc>
        <w:tc>
          <w:tcPr>
            <w:tcW w:w="2836" w:type="dxa"/>
          </w:tcPr>
          <w:p w14:paraId="427BB1C4"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Priemonės suderinamumas su kitomis priemonėmis</w:t>
            </w:r>
          </w:p>
        </w:tc>
        <w:tc>
          <w:tcPr>
            <w:tcW w:w="6945" w:type="dxa"/>
          </w:tcPr>
          <w:p w14:paraId="1E5F830C" w14:textId="77777777" w:rsidR="00C40F86" w:rsidRPr="00A70645" w:rsidRDefault="00C40F86" w:rsidP="00D54809">
            <w:pPr>
              <w:pStyle w:val="Komentaroteksta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Pagal </w:t>
            </w:r>
            <w:r w:rsidR="00720033" w:rsidRPr="00A70645">
              <w:rPr>
                <w:rFonts w:ascii="Times New Roman" w:hAnsi="Times New Roman"/>
                <w:bCs/>
                <w:color w:val="000000" w:themeColor="text1"/>
                <w:sz w:val="24"/>
                <w:szCs w:val="24"/>
              </w:rPr>
              <w:t xml:space="preserve">Socialinės paramos </w:t>
            </w:r>
            <w:r w:rsidRPr="00A70645">
              <w:rPr>
                <w:rFonts w:ascii="Times New Roman" w:hAnsi="Times New Roman"/>
                <w:color w:val="000000" w:themeColor="text1"/>
                <w:sz w:val="24"/>
                <w:szCs w:val="24"/>
              </w:rPr>
              <w:t xml:space="preserve">priemonę bus skiriamas finansavimas </w:t>
            </w:r>
            <w:r w:rsidR="004C7B27" w:rsidRPr="00A70645">
              <w:rPr>
                <w:rFonts w:ascii="Times New Roman" w:hAnsi="Times New Roman"/>
                <w:color w:val="000000" w:themeColor="text1"/>
                <w:sz w:val="24"/>
                <w:szCs w:val="24"/>
              </w:rPr>
              <w:br/>
            </w:r>
            <w:r w:rsidR="00720033" w:rsidRPr="00A70645">
              <w:rPr>
                <w:rFonts w:ascii="Times New Roman" w:hAnsi="Times New Roman"/>
                <w:color w:val="000000" w:themeColor="text1"/>
                <w:sz w:val="24"/>
                <w:szCs w:val="24"/>
              </w:rPr>
              <w:t xml:space="preserve">TB sergančiųjų ambulatorinio gydymo </w:t>
            </w:r>
            <w:r w:rsidRPr="00A70645">
              <w:rPr>
                <w:rFonts w:ascii="Times New Roman" w:hAnsi="Times New Roman"/>
                <w:color w:val="000000" w:themeColor="text1"/>
                <w:sz w:val="24"/>
                <w:szCs w:val="24"/>
              </w:rPr>
              <w:t xml:space="preserve">asmens sveikatos priežiūros paslaugoms </w:t>
            </w:r>
            <w:r w:rsidR="000914D4" w:rsidRPr="00A70645">
              <w:rPr>
                <w:rFonts w:ascii="Times New Roman" w:hAnsi="Times New Roman"/>
                <w:color w:val="000000" w:themeColor="text1"/>
                <w:sz w:val="24"/>
                <w:szCs w:val="24"/>
              </w:rPr>
              <w:t xml:space="preserve">regionuose </w:t>
            </w:r>
            <w:r w:rsidR="00720033" w:rsidRPr="00A70645">
              <w:rPr>
                <w:rFonts w:ascii="Times New Roman" w:hAnsi="Times New Roman"/>
                <w:color w:val="000000" w:themeColor="text1"/>
                <w:sz w:val="24"/>
                <w:szCs w:val="24"/>
              </w:rPr>
              <w:t>(</w:t>
            </w:r>
            <w:r w:rsidR="00275C62" w:rsidRPr="00A70645">
              <w:rPr>
                <w:rFonts w:ascii="Times New Roman" w:eastAsia="Times New Roman" w:hAnsi="Times New Roman"/>
                <w:color w:val="000000" w:themeColor="text1"/>
                <w:spacing w:val="-2"/>
                <w:sz w:val="24"/>
                <w:szCs w:val="24"/>
              </w:rPr>
              <w:t xml:space="preserve">pagal asmens sveikatos priežiūros įstaigos, prie kurios yra prisirašę TB sergantys pacientai, </w:t>
            </w:r>
            <w:r w:rsidR="00275C62" w:rsidRPr="00A70645">
              <w:rPr>
                <w:rFonts w:ascii="Times New Roman" w:eastAsia="Times New Roman" w:hAnsi="Times New Roman"/>
                <w:color w:val="000000" w:themeColor="text1"/>
                <w:spacing w:val="-1"/>
                <w:sz w:val="24"/>
                <w:szCs w:val="24"/>
              </w:rPr>
              <w:t>veiklos vietas</w:t>
            </w:r>
            <w:r w:rsidR="00720033" w:rsidRPr="00A70645">
              <w:rPr>
                <w:rFonts w:ascii="Times New Roman" w:hAnsi="Times New Roman"/>
                <w:color w:val="000000" w:themeColor="text1"/>
                <w:sz w:val="24"/>
                <w:szCs w:val="24"/>
              </w:rPr>
              <w:t xml:space="preserve">) </w:t>
            </w:r>
            <w:r w:rsidRPr="00A70645">
              <w:rPr>
                <w:rFonts w:ascii="Times New Roman" w:hAnsi="Times New Roman"/>
                <w:color w:val="000000" w:themeColor="text1"/>
                <w:sz w:val="24"/>
                <w:szCs w:val="24"/>
              </w:rPr>
              <w:t xml:space="preserve">remti. Lėšos negali būti skiriamos </w:t>
            </w:r>
            <w:r w:rsidR="00720033" w:rsidRPr="00A70645">
              <w:rPr>
                <w:rFonts w:ascii="Times New Roman" w:hAnsi="Times New Roman"/>
                <w:color w:val="000000" w:themeColor="text1"/>
                <w:sz w:val="24"/>
                <w:szCs w:val="24"/>
              </w:rPr>
              <w:t xml:space="preserve">sveikatos priežiūros </w:t>
            </w:r>
            <w:r w:rsidR="000914D4" w:rsidRPr="00A70645">
              <w:rPr>
                <w:rFonts w:ascii="Times New Roman" w:hAnsi="Times New Roman"/>
                <w:color w:val="000000" w:themeColor="text1"/>
                <w:sz w:val="24"/>
                <w:szCs w:val="24"/>
              </w:rPr>
              <w:t>specialistų</w:t>
            </w:r>
            <w:r w:rsidR="002E0BA3" w:rsidRPr="00A70645">
              <w:rPr>
                <w:rFonts w:ascii="Times New Roman" w:hAnsi="Times New Roman"/>
                <w:color w:val="000000" w:themeColor="text1"/>
                <w:sz w:val="24"/>
                <w:szCs w:val="24"/>
              </w:rPr>
              <w:t xml:space="preserve"> </w:t>
            </w:r>
            <w:r w:rsidR="00720033" w:rsidRPr="00A70645">
              <w:rPr>
                <w:rFonts w:ascii="Times New Roman" w:hAnsi="Times New Roman"/>
                <w:color w:val="000000" w:themeColor="text1"/>
                <w:sz w:val="24"/>
                <w:szCs w:val="24"/>
              </w:rPr>
              <w:t xml:space="preserve">ir darbuotojų </w:t>
            </w:r>
            <w:r w:rsidR="002E0BA3" w:rsidRPr="00A70645">
              <w:rPr>
                <w:rFonts w:ascii="Times New Roman" w:hAnsi="Times New Roman"/>
                <w:color w:val="000000" w:themeColor="text1"/>
                <w:sz w:val="24"/>
                <w:szCs w:val="24"/>
              </w:rPr>
              <w:t>kvalifikacijos kėlimui ir</w:t>
            </w:r>
            <w:r w:rsidR="000914D4" w:rsidRPr="00A70645">
              <w:rPr>
                <w:rFonts w:ascii="Times New Roman" w:hAnsi="Times New Roman"/>
                <w:color w:val="000000" w:themeColor="text1"/>
                <w:sz w:val="24"/>
                <w:szCs w:val="24"/>
              </w:rPr>
              <w:t xml:space="preserve"> </w:t>
            </w:r>
            <w:r w:rsidR="00720033" w:rsidRPr="00A70645">
              <w:rPr>
                <w:rFonts w:ascii="Times New Roman" w:hAnsi="Times New Roman"/>
                <w:color w:val="000000" w:themeColor="text1"/>
                <w:sz w:val="24"/>
                <w:szCs w:val="24"/>
              </w:rPr>
              <w:t xml:space="preserve">mokymams, </w:t>
            </w:r>
            <w:r w:rsidR="000914D4" w:rsidRPr="00A70645">
              <w:rPr>
                <w:rFonts w:ascii="Times New Roman" w:hAnsi="Times New Roman"/>
                <w:color w:val="000000" w:themeColor="text1"/>
                <w:sz w:val="24"/>
                <w:szCs w:val="24"/>
              </w:rPr>
              <w:t xml:space="preserve">TB sergančiųjų </w:t>
            </w:r>
            <w:r w:rsidR="00720033" w:rsidRPr="00A70645">
              <w:rPr>
                <w:rFonts w:ascii="Times New Roman" w:hAnsi="Times New Roman"/>
                <w:color w:val="000000" w:themeColor="text1"/>
                <w:sz w:val="24"/>
                <w:szCs w:val="24"/>
              </w:rPr>
              <w:t>ir</w:t>
            </w:r>
            <w:r w:rsidR="000914D4" w:rsidRPr="00A70645">
              <w:rPr>
                <w:rFonts w:ascii="Times New Roman" w:hAnsi="Times New Roman"/>
                <w:color w:val="000000" w:themeColor="text1"/>
                <w:sz w:val="24"/>
                <w:szCs w:val="24"/>
              </w:rPr>
              <w:t xml:space="preserve"> jų šeimos narių mokymams,</w:t>
            </w:r>
            <w:r w:rsidRPr="00A70645">
              <w:rPr>
                <w:rFonts w:ascii="Times New Roman" w:hAnsi="Times New Roman"/>
                <w:color w:val="000000" w:themeColor="text1"/>
                <w:sz w:val="24"/>
                <w:szCs w:val="24"/>
              </w:rPr>
              <w:t xml:space="preserve"> </w:t>
            </w:r>
            <w:r w:rsidR="002E0BA3" w:rsidRPr="00A70645">
              <w:rPr>
                <w:rFonts w:ascii="Times New Roman" w:hAnsi="Times New Roman"/>
                <w:color w:val="000000" w:themeColor="text1"/>
                <w:sz w:val="24"/>
                <w:szCs w:val="24"/>
              </w:rPr>
              <w:t>visuomenės informavimui apie TB epidemiologinę būklę, metodinės medžiagos apie TB ir rekomendacijų</w:t>
            </w:r>
            <w:r w:rsidR="00E20725" w:rsidRPr="00A70645">
              <w:rPr>
                <w:rFonts w:ascii="Times New Roman" w:hAnsi="Times New Roman"/>
                <w:color w:val="000000" w:themeColor="text1"/>
                <w:sz w:val="24"/>
                <w:szCs w:val="24"/>
              </w:rPr>
              <w:t>,</w:t>
            </w:r>
            <w:r w:rsidR="002E0BA3" w:rsidRPr="00A70645">
              <w:rPr>
                <w:rFonts w:ascii="Times New Roman" w:hAnsi="Times New Roman"/>
                <w:color w:val="000000" w:themeColor="text1"/>
                <w:sz w:val="24"/>
                <w:szCs w:val="24"/>
              </w:rPr>
              <w:t xml:space="preserve"> kaip mokomųjų priemonių</w:t>
            </w:r>
            <w:r w:rsidR="00E20725" w:rsidRPr="00A70645">
              <w:rPr>
                <w:rFonts w:ascii="Times New Roman" w:hAnsi="Times New Roman"/>
                <w:color w:val="000000" w:themeColor="text1"/>
                <w:sz w:val="24"/>
                <w:szCs w:val="24"/>
              </w:rPr>
              <w:t>,</w:t>
            </w:r>
            <w:r w:rsidR="002E0BA3" w:rsidRPr="00A70645">
              <w:rPr>
                <w:rFonts w:ascii="Times New Roman" w:hAnsi="Times New Roman"/>
                <w:color w:val="000000" w:themeColor="text1"/>
                <w:sz w:val="24"/>
                <w:szCs w:val="24"/>
              </w:rPr>
              <w:t xml:space="preserve"> rengimui. </w:t>
            </w:r>
            <w:r w:rsidRPr="00A70645">
              <w:rPr>
                <w:rFonts w:ascii="Times New Roman" w:hAnsi="Times New Roman"/>
                <w:color w:val="000000" w:themeColor="text1"/>
                <w:sz w:val="24"/>
                <w:szCs w:val="24"/>
              </w:rPr>
              <w:t xml:space="preserve">Priemonė neturi būti derinama su kitomis Veiksmų programos priemonėmis. </w:t>
            </w:r>
          </w:p>
          <w:p w14:paraId="51332AD7" w14:textId="77777777" w:rsidR="00A907C7" w:rsidRPr="00A70645" w:rsidRDefault="002E0BA3" w:rsidP="002B2948">
            <w:pPr>
              <w:tabs>
                <w:tab w:val="center" w:pos="4153"/>
                <w:tab w:val="right" w:pos="8306"/>
              </w:tabs>
              <w:jc w:val="both"/>
              <w:rPr>
                <w:rFonts w:ascii="Times New Roman" w:eastAsia="Times New Roman" w:hAnsi="Times New Roman"/>
                <w:color w:val="000000" w:themeColor="text1"/>
                <w:sz w:val="24"/>
                <w:szCs w:val="24"/>
                <w:lang w:eastAsia="lt-LT"/>
              </w:rPr>
            </w:pPr>
            <w:r w:rsidRPr="00A70645">
              <w:rPr>
                <w:rFonts w:ascii="Times New Roman" w:hAnsi="Times New Roman"/>
                <w:color w:val="000000" w:themeColor="text1"/>
                <w:sz w:val="24"/>
                <w:szCs w:val="24"/>
              </w:rPr>
              <w:t xml:space="preserve">Visų numatytų įgyvendinti veiksmų tuberkuliozės srityje koordinavimui ir suderinamumui, </w:t>
            </w:r>
            <w:r w:rsidR="00050A86" w:rsidRPr="00A70645">
              <w:rPr>
                <w:rFonts w:ascii="Times New Roman" w:hAnsi="Times New Roman"/>
                <w:color w:val="000000" w:themeColor="text1"/>
                <w:sz w:val="24"/>
                <w:szCs w:val="24"/>
              </w:rPr>
              <w:t>tarp jų</w:t>
            </w:r>
            <w:r w:rsidRPr="00A70645">
              <w:rPr>
                <w:rFonts w:ascii="Times New Roman" w:hAnsi="Times New Roman"/>
                <w:color w:val="000000" w:themeColor="text1"/>
                <w:sz w:val="24"/>
                <w:szCs w:val="24"/>
              </w:rPr>
              <w:t xml:space="preserve"> ir ES fondų investicijomis finansuojamų priemonių, užtikrinimui LR sveikatos apsaugos ministro įsakymu yra sudarytas Sveikatos netolygumų mažinimo veiksmų plano, </w:t>
            </w:r>
            <w:r w:rsidRPr="00A70645">
              <w:rPr>
                <w:rFonts w:ascii="Times New Roman" w:hAnsi="Times New Roman"/>
                <w:bCs/>
                <w:color w:val="000000" w:themeColor="text1"/>
                <w:sz w:val="24"/>
                <w:szCs w:val="24"/>
              </w:rPr>
              <w:t xml:space="preserve">Sveiko senėjimo užtikrinimo veiksmų plano ir </w:t>
            </w:r>
            <w:r w:rsidRPr="00A70645">
              <w:rPr>
                <w:rFonts w:ascii="Times New Roman" w:hAnsi="Times New Roman"/>
                <w:color w:val="000000" w:themeColor="text1"/>
                <w:sz w:val="24"/>
                <w:szCs w:val="24"/>
              </w:rPr>
              <w:t>Vėžio profilaktikos ir kontrolės programos</w:t>
            </w:r>
            <w:r w:rsidRPr="00A70645">
              <w:rPr>
                <w:rFonts w:ascii="Times New Roman" w:hAnsi="Times New Roman"/>
                <w:bCs/>
                <w:color w:val="000000" w:themeColor="text1"/>
                <w:sz w:val="24"/>
                <w:szCs w:val="24"/>
              </w:rPr>
              <w:t xml:space="preserve"> tikslų, uždavinių, priemonių ir </w:t>
            </w:r>
            <w:r w:rsidRPr="00A70645">
              <w:rPr>
                <w:rFonts w:ascii="Times New Roman" w:hAnsi="Times New Roman"/>
                <w:color w:val="000000" w:themeColor="text1"/>
                <w:sz w:val="24"/>
                <w:szCs w:val="24"/>
              </w:rPr>
              <w:t>projektų</w:t>
            </w:r>
            <w:r w:rsidRPr="00A70645">
              <w:rPr>
                <w:rFonts w:ascii="Times New Roman" w:hAnsi="Times New Roman"/>
                <w:bCs/>
                <w:color w:val="000000" w:themeColor="text1"/>
                <w:sz w:val="24"/>
                <w:szCs w:val="24"/>
              </w:rPr>
              <w:t xml:space="preserve">, finansuojamų 2014–2020 m. Europos Sąjungos struktūrinių fondų investicijomis, valstybės biudžeto ir kitomis lėšomis, įgyvendinimo </w:t>
            </w:r>
            <w:r w:rsidRPr="00A70645">
              <w:rPr>
                <w:rFonts w:ascii="Times New Roman" w:eastAsia="Times New Roman" w:hAnsi="Times New Roman"/>
                <w:color w:val="000000" w:themeColor="text1"/>
                <w:sz w:val="24"/>
                <w:szCs w:val="24"/>
              </w:rPr>
              <w:t xml:space="preserve">priežiūros </w:t>
            </w:r>
            <w:r w:rsidRPr="00A70645">
              <w:rPr>
                <w:rFonts w:ascii="Times New Roman" w:hAnsi="Times New Roman"/>
                <w:color w:val="000000" w:themeColor="text1"/>
                <w:sz w:val="24"/>
                <w:szCs w:val="24"/>
              </w:rPr>
              <w:t>komitetas</w:t>
            </w:r>
            <w:r w:rsidR="001250B8" w:rsidRPr="00A70645">
              <w:rPr>
                <w:rFonts w:ascii="Times New Roman" w:hAnsi="Times New Roman"/>
                <w:color w:val="000000" w:themeColor="text1"/>
                <w:sz w:val="24"/>
                <w:szCs w:val="24"/>
              </w:rPr>
              <w:t xml:space="preserve"> (toliau – </w:t>
            </w:r>
            <w:r w:rsidR="001250B8" w:rsidRPr="00A70645">
              <w:rPr>
                <w:rFonts w:ascii="Times New Roman" w:eastAsia="Times New Roman" w:hAnsi="Times New Roman"/>
                <w:color w:val="000000" w:themeColor="text1"/>
                <w:spacing w:val="-2"/>
                <w:sz w:val="24"/>
                <w:szCs w:val="24"/>
              </w:rPr>
              <w:t>Priemonių priežiūros komitetas)</w:t>
            </w:r>
            <w:r w:rsidRPr="00A70645">
              <w:rPr>
                <w:rFonts w:ascii="Times New Roman" w:hAnsi="Times New Roman"/>
                <w:color w:val="000000" w:themeColor="text1"/>
                <w:sz w:val="24"/>
                <w:szCs w:val="24"/>
              </w:rPr>
              <w:t>.</w:t>
            </w:r>
          </w:p>
        </w:tc>
      </w:tr>
      <w:tr w:rsidR="00A70645" w:rsidRPr="00A70645" w14:paraId="4186716E" w14:textId="77777777" w:rsidTr="00465660">
        <w:tc>
          <w:tcPr>
            <w:tcW w:w="567" w:type="dxa"/>
          </w:tcPr>
          <w:p w14:paraId="09E7E9B5" w14:textId="77777777" w:rsidR="00FB6137" w:rsidRPr="00A70645" w:rsidRDefault="00FB6137" w:rsidP="00D54809">
            <w:pPr>
              <w:pStyle w:val="Sraopastraipa"/>
              <w:numPr>
                <w:ilvl w:val="0"/>
                <w:numId w:val="1"/>
              </w:numPr>
              <w:tabs>
                <w:tab w:val="left" w:pos="567"/>
              </w:tabs>
              <w:ind w:left="0" w:firstLine="0"/>
              <w:jc w:val="both"/>
              <w:rPr>
                <w:rFonts w:ascii="Times New Roman" w:hAnsi="Times New Roman"/>
                <w:color w:val="000000" w:themeColor="text1"/>
                <w:sz w:val="24"/>
                <w:szCs w:val="24"/>
              </w:rPr>
            </w:pPr>
          </w:p>
        </w:tc>
        <w:tc>
          <w:tcPr>
            <w:tcW w:w="2836" w:type="dxa"/>
          </w:tcPr>
          <w:p w14:paraId="20FD83EC"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Nagrinėtų priemonės veiklų įgyvendinimo alternatyvų aprašymas ir siūlomos alternatyvos pasirinkimo pagrindimas (jei taikoma)</w:t>
            </w:r>
          </w:p>
          <w:p w14:paraId="38BAACEE" w14:textId="77777777" w:rsidR="004C7B27" w:rsidRPr="00A70645" w:rsidRDefault="004C7B27" w:rsidP="00D54809">
            <w:pPr>
              <w:tabs>
                <w:tab w:val="left" w:pos="567"/>
              </w:tabs>
              <w:jc w:val="both"/>
              <w:rPr>
                <w:rFonts w:ascii="Times New Roman" w:hAnsi="Times New Roman"/>
                <w:color w:val="000000" w:themeColor="text1"/>
                <w:sz w:val="24"/>
                <w:szCs w:val="24"/>
              </w:rPr>
            </w:pPr>
          </w:p>
        </w:tc>
        <w:tc>
          <w:tcPr>
            <w:tcW w:w="6945" w:type="dxa"/>
          </w:tcPr>
          <w:p w14:paraId="6C890924" w14:textId="77777777" w:rsidR="00DD0215" w:rsidRPr="00A70645" w:rsidRDefault="0060286E" w:rsidP="00D44002">
            <w:pPr>
              <w:pStyle w:val="Komentaroteksta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Netaikoma. </w:t>
            </w:r>
          </w:p>
          <w:p w14:paraId="60308C62" w14:textId="77777777" w:rsidR="00D54809" w:rsidRPr="00A70645" w:rsidRDefault="0060286E" w:rsidP="00D44002">
            <w:pPr>
              <w:pStyle w:val="Komentaroteksta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Priemonės veiklų įgyvendinimo alternatyvų nagrinėjimas netaikomas, kadangi priemonės veiklos atitinka numatytąsias veiksmų programoje ir taip pat yra numatytos strategini</w:t>
            </w:r>
            <w:r w:rsidR="00DD0215" w:rsidRPr="00A70645">
              <w:rPr>
                <w:rFonts w:ascii="Times New Roman" w:hAnsi="Times New Roman"/>
                <w:color w:val="000000" w:themeColor="text1"/>
                <w:sz w:val="24"/>
                <w:szCs w:val="24"/>
              </w:rPr>
              <w:t>am</w:t>
            </w:r>
            <w:r w:rsidRPr="00A70645">
              <w:rPr>
                <w:rFonts w:ascii="Times New Roman" w:hAnsi="Times New Roman"/>
                <w:color w:val="000000" w:themeColor="text1"/>
                <w:sz w:val="24"/>
                <w:szCs w:val="24"/>
              </w:rPr>
              <w:t>e dokumente – Sveikatos netolygumų mažinimo Lietuvoje 2014–2023 m. ve</w:t>
            </w:r>
            <w:r w:rsidR="00DD0215" w:rsidRPr="00A70645">
              <w:rPr>
                <w:rFonts w:ascii="Times New Roman" w:hAnsi="Times New Roman"/>
                <w:color w:val="000000" w:themeColor="text1"/>
                <w:sz w:val="24"/>
                <w:szCs w:val="24"/>
              </w:rPr>
              <w:t>iksmų plane.</w:t>
            </w:r>
          </w:p>
        </w:tc>
      </w:tr>
      <w:tr w:rsidR="00A70645" w:rsidRPr="00A70645" w14:paraId="126B0C7D" w14:textId="77777777" w:rsidTr="00465660">
        <w:tc>
          <w:tcPr>
            <w:tcW w:w="567" w:type="dxa"/>
          </w:tcPr>
          <w:p w14:paraId="5DBA5D07" w14:textId="77777777" w:rsidR="00FB6137" w:rsidRPr="00A70645" w:rsidRDefault="00FB6137" w:rsidP="00D54809">
            <w:pPr>
              <w:pStyle w:val="Sraopastraipa"/>
              <w:numPr>
                <w:ilvl w:val="0"/>
                <w:numId w:val="1"/>
              </w:numPr>
              <w:tabs>
                <w:tab w:val="left" w:pos="567"/>
              </w:tabs>
              <w:ind w:left="0" w:firstLine="0"/>
              <w:jc w:val="both"/>
              <w:rPr>
                <w:rFonts w:ascii="Times New Roman" w:hAnsi="Times New Roman"/>
                <w:color w:val="000000" w:themeColor="text1"/>
                <w:sz w:val="24"/>
                <w:szCs w:val="24"/>
              </w:rPr>
            </w:pPr>
          </w:p>
        </w:tc>
        <w:tc>
          <w:tcPr>
            <w:tcW w:w="2836" w:type="dxa"/>
          </w:tcPr>
          <w:p w14:paraId="518FCE1A"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Galimų pareiškėjų</w:t>
            </w:r>
            <w:r w:rsidR="004B48A4" w:rsidRPr="00A70645">
              <w:rPr>
                <w:rFonts w:ascii="Times New Roman" w:hAnsi="Times New Roman"/>
                <w:color w:val="000000" w:themeColor="text1"/>
                <w:sz w:val="24"/>
                <w:szCs w:val="24"/>
              </w:rPr>
              <w:t xml:space="preserve">, </w:t>
            </w:r>
            <w:r w:rsidRPr="00A70645">
              <w:rPr>
                <w:rFonts w:ascii="Times New Roman" w:hAnsi="Times New Roman"/>
                <w:color w:val="000000" w:themeColor="text1"/>
                <w:sz w:val="24"/>
                <w:szCs w:val="24"/>
              </w:rPr>
              <w:t xml:space="preserve"> galutinių naudos gavėjų </w:t>
            </w:r>
            <w:r w:rsidR="004B48A4" w:rsidRPr="00A70645">
              <w:rPr>
                <w:rFonts w:ascii="Times New Roman" w:hAnsi="Times New Roman"/>
                <w:color w:val="000000" w:themeColor="text1"/>
                <w:sz w:val="24"/>
                <w:szCs w:val="24"/>
              </w:rPr>
              <w:t xml:space="preserve">ir partnerių </w:t>
            </w:r>
            <w:r w:rsidRPr="00A70645">
              <w:rPr>
                <w:rFonts w:ascii="Times New Roman" w:hAnsi="Times New Roman"/>
                <w:color w:val="000000" w:themeColor="text1"/>
                <w:sz w:val="24"/>
                <w:szCs w:val="24"/>
              </w:rPr>
              <w:t>pasirinkimo pagrindimas</w:t>
            </w:r>
          </w:p>
        </w:tc>
        <w:tc>
          <w:tcPr>
            <w:tcW w:w="6945" w:type="dxa"/>
          </w:tcPr>
          <w:p w14:paraId="14E29F41" w14:textId="77777777" w:rsidR="00C30B63" w:rsidRPr="00A70645" w:rsidRDefault="00553D86" w:rsidP="0070334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Parinkti tokie pareiškėjai, kurie atitiktų įgyvendinamus Sveikatos netolygumų mažinimo Lietuvoje 2014–2023 m. veiksmų plano Tuberkuliozės profilaktikos, diagnostikos ir gydymo efektyvumo didinimo krypties</w:t>
            </w:r>
            <w:r w:rsidR="00C30B63" w:rsidRPr="00A70645">
              <w:rPr>
                <w:rFonts w:ascii="Times New Roman" w:hAnsi="Times New Roman"/>
                <w:color w:val="000000" w:themeColor="text1"/>
                <w:sz w:val="24"/>
                <w:szCs w:val="24"/>
              </w:rPr>
              <w:t xml:space="preserve"> apraše numatytus konkrečius uždavinius bei konkrečias priemones (konkretūs punktai nurodyti lentelės dalyje 2).</w:t>
            </w:r>
          </w:p>
          <w:p w14:paraId="550431FD" w14:textId="77777777" w:rsidR="00085262" w:rsidRPr="00A70645" w:rsidRDefault="00553D86" w:rsidP="0070334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lastRenderedPageBreak/>
              <w:t xml:space="preserve">Galimų partnerių sąrašas sudarytas atsižvelgiant į </w:t>
            </w:r>
            <w:r w:rsidR="00085262" w:rsidRPr="00A70645">
              <w:rPr>
                <w:rFonts w:ascii="Times New Roman" w:hAnsi="Times New Roman"/>
                <w:bCs/>
                <w:color w:val="000000" w:themeColor="text1"/>
                <w:sz w:val="24"/>
                <w:szCs w:val="24"/>
              </w:rPr>
              <w:t>Socialinės paramos</w:t>
            </w:r>
            <w:r w:rsidR="00085262" w:rsidRPr="00A70645">
              <w:rPr>
                <w:rFonts w:ascii="Times New Roman" w:hAnsi="Times New Roman"/>
                <w:color w:val="000000" w:themeColor="text1"/>
                <w:sz w:val="24"/>
                <w:szCs w:val="24"/>
              </w:rPr>
              <w:t xml:space="preserve"> </w:t>
            </w:r>
            <w:r w:rsidRPr="00A70645">
              <w:rPr>
                <w:rFonts w:ascii="Times New Roman" w:hAnsi="Times New Roman"/>
                <w:color w:val="000000" w:themeColor="text1"/>
                <w:sz w:val="24"/>
                <w:szCs w:val="24"/>
              </w:rPr>
              <w:t>priemonės veiklų specifiką bei į Sveikatos netolygumų mažinimo Lietuv</w:t>
            </w:r>
            <w:r w:rsidR="00477160" w:rsidRPr="00A70645">
              <w:rPr>
                <w:rFonts w:ascii="Times New Roman" w:hAnsi="Times New Roman"/>
                <w:color w:val="000000" w:themeColor="text1"/>
                <w:sz w:val="24"/>
                <w:szCs w:val="24"/>
              </w:rPr>
              <w:t xml:space="preserve">oje 2014–2023 m. veiksmų plano, </w:t>
            </w:r>
            <w:r w:rsidR="000A7482" w:rsidRPr="00A70645">
              <w:rPr>
                <w:rFonts w:ascii="Times New Roman" w:hAnsi="Times New Roman"/>
                <w:color w:val="000000" w:themeColor="text1"/>
                <w:sz w:val="24"/>
                <w:szCs w:val="24"/>
              </w:rPr>
              <w:t>Tuberkuliozės profilaktikos, diagnostikos ir gydymo efektyvumo didinimo krypties</w:t>
            </w:r>
            <w:r w:rsidR="00085262" w:rsidRPr="00A70645">
              <w:rPr>
                <w:rFonts w:ascii="Times New Roman" w:hAnsi="Times New Roman"/>
                <w:color w:val="000000" w:themeColor="text1"/>
                <w:sz w:val="24"/>
                <w:szCs w:val="24"/>
              </w:rPr>
              <w:t xml:space="preserve"> apraše numatytus konkrečius uždavinius bei konkrečias priemones.</w:t>
            </w:r>
          </w:p>
          <w:p w14:paraId="1CFEABA7" w14:textId="77777777" w:rsidR="009E17BB" w:rsidRPr="00A70645" w:rsidRDefault="009E17BB" w:rsidP="0070334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Vadovaujantis Projektų administravimo ir finansavimo taisyklių </w:t>
            </w:r>
            <w:r w:rsidR="00085262" w:rsidRPr="00A70645">
              <w:rPr>
                <w:rFonts w:ascii="Times New Roman" w:hAnsi="Times New Roman"/>
                <w:color w:val="000000" w:themeColor="text1"/>
                <w:sz w:val="24"/>
                <w:szCs w:val="24"/>
              </w:rPr>
              <w:br/>
            </w:r>
            <w:r w:rsidR="00C82A1E" w:rsidRPr="00A70645">
              <w:rPr>
                <w:rFonts w:ascii="Times New Roman" w:hAnsi="Times New Roman"/>
                <w:color w:val="000000" w:themeColor="text1"/>
                <w:sz w:val="24"/>
                <w:szCs w:val="24"/>
              </w:rPr>
              <w:t xml:space="preserve">47 </w:t>
            </w:r>
            <w:r w:rsidRPr="00A70645">
              <w:rPr>
                <w:rFonts w:ascii="Times New Roman" w:hAnsi="Times New Roman"/>
                <w:color w:val="000000" w:themeColor="text1"/>
                <w:sz w:val="24"/>
                <w:szCs w:val="24"/>
              </w:rPr>
              <w:t xml:space="preserve">punktu, </w:t>
            </w:r>
            <w:r w:rsidR="00C82A1E" w:rsidRPr="00A70645">
              <w:rPr>
                <w:rFonts w:ascii="Times New Roman" w:hAnsi="Times New Roman"/>
                <w:color w:val="000000" w:themeColor="text1"/>
                <w:sz w:val="24"/>
                <w:szCs w:val="24"/>
              </w:rPr>
              <w:t>regiono plėtros taryba sudaro ir patvirtina regiono projektų sąrašą.</w:t>
            </w:r>
          </w:p>
          <w:p w14:paraId="710BD8FE" w14:textId="77777777" w:rsidR="009E17BB" w:rsidRPr="00A70645" w:rsidRDefault="009E17BB" w:rsidP="0070334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Galimi pareiškėjai yra </w:t>
            </w:r>
            <w:r w:rsidR="00085262" w:rsidRPr="00A70645">
              <w:rPr>
                <w:rFonts w:ascii="Times New Roman" w:hAnsi="Times New Roman"/>
                <w:color w:val="000000" w:themeColor="text1"/>
                <w:sz w:val="24"/>
                <w:szCs w:val="24"/>
              </w:rPr>
              <w:t xml:space="preserve">savivaldybių administracijos ir </w:t>
            </w:r>
            <w:r w:rsidR="00050A86" w:rsidRPr="00A70645">
              <w:rPr>
                <w:rFonts w:ascii="Times New Roman" w:hAnsi="Times New Roman"/>
                <w:color w:val="000000" w:themeColor="text1"/>
                <w:sz w:val="24"/>
                <w:szCs w:val="24"/>
              </w:rPr>
              <w:t xml:space="preserve">asmens sveikatos priežiūros įstaigos, teikiančios </w:t>
            </w:r>
            <w:r w:rsidR="008A5FF9" w:rsidRPr="00A70645">
              <w:rPr>
                <w:rFonts w:ascii="Times New Roman" w:hAnsi="Times New Roman"/>
                <w:color w:val="000000" w:themeColor="text1"/>
                <w:sz w:val="24"/>
                <w:szCs w:val="24"/>
              </w:rPr>
              <w:t>ambulatorin</w:t>
            </w:r>
            <w:r w:rsidR="00703349" w:rsidRPr="00A70645">
              <w:rPr>
                <w:rFonts w:ascii="Times New Roman" w:hAnsi="Times New Roman"/>
                <w:color w:val="000000" w:themeColor="text1"/>
                <w:sz w:val="24"/>
                <w:szCs w:val="24"/>
              </w:rPr>
              <w:t>e</w:t>
            </w:r>
            <w:r w:rsidR="008A5FF9" w:rsidRPr="00A70645">
              <w:rPr>
                <w:rFonts w:ascii="Times New Roman" w:hAnsi="Times New Roman"/>
                <w:color w:val="000000" w:themeColor="text1"/>
                <w:sz w:val="24"/>
                <w:szCs w:val="24"/>
              </w:rPr>
              <w:t xml:space="preserve">s </w:t>
            </w:r>
            <w:r w:rsidR="00050A86" w:rsidRPr="00A70645">
              <w:rPr>
                <w:rFonts w:ascii="Times New Roman" w:hAnsi="Times New Roman"/>
                <w:color w:val="000000" w:themeColor="text1"/>
                <w:sz w:val="24"/>
                <w:szCs w:val="24"/>
              </w:rPr>
              <w:t>asmens sveikatos priežiūros paslaugas ir turinčios sutartis su teritorinėmis ligonių kasomis dėl šių paslaugų apmokėjimo</w:t>
            </w:r>
            <w:r w:rsidR="00DE1B45" w:rsidRPr="00A70645">
              <w:rPr>
                <w:rFonts w:ascii="Times New Roman" w:hAnsi="Times New Roman"/>
                <w:color w:val="000000" w:themeColor="text1"/>
                <w:sz w:val="24"/>
                <w:szCs w:val="24"/>
              </w:rPr>
              <w:t>.</w:t>
            </w:r>
          </w:p>
          <w:p w14:paraId="6E90725F" w14:textId="77777777" w:rsidR="009E17BB" w:rsidRPr="00A70645" w:rsidRDefault="00D64672" w:rsidP="0070334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Galutinius pareiškėjus</w:t>
            </w:r>
            <w:r w:rsidR="004A3C8A" w:rsidRPr="00A70645">
              <w:rPr>
                <w:rFonts w:ascii="Times New Roman" w:hAnsi="Times New Roman"/>
                <w:color w:val="000000" w:themeColor="text1"/>
                <w:sz w:val="24"/>
                <w:szCs w:val="24"/>
              </w:rPr>
              <w:t xml:space="preserve"> </w:t>
            </w:r>
            <w:r w:rsidRPr="00A70645">
              <w:rPr>
                <w:rFonts w:ascii="Times New Roman" w:hAnsi="Times New Roman"/>
                <w:color w:val="000000" w:themeColor="text1"/>
                <w:sz w:val="24"/>
                <w:szCs w:val="24"/>
              </w:rPr>
              <w:t>/</w:t>
            </w:r>
            <w:r w:rsidR="004A3C8A" w:rsidRPr="00A70645">
              <w:rPr>
                <w:rFonts w:ascii="Times New Roman" w:hAnsi="Times New Roman"/>
                <w:color w:val="000000" w:themeColor="text1"/>
                <w:sz w:val="24"/>
                <w:szCs w:val="24"/>
              </w:rPr>
              <w:t xml:space="preserve"> </w:t>
            </w:r>
            <w:r w:rsidRPr="00A70645">
              <w:rPr>
                <w:rFonts w:ascii="Times New Roman" w:hAnsi="Times New Roman"/>
                <w:color w:val="000000" w:themeColor="text1"/>
                <w:sz w:val="24"/>
                <w:szCs w:val="24"/>
              </w:rPr>
              <w:t xml:space="preserve">partnerius atrinks </w:t>
            </w:r>
            <w:r w:rsidR="009C1F15" w:rsidRPr="00A70645">
              <w:rPr>
                <w:rFonts w:ascii="Times New Roman" w:hAnsi="Times New Roman"/>
                <w:color w:val="000000" w:themeColor="text1"/>
                <w:sz w:val="24"/>
                <w:szCs w:val="24"/>
              </w:rPr>
              <w:t>R</w:t>
            </w:r>
            <w:r w:rsidRPr="00A70645">
              <w:rPr>
                <w:rFonts w:ascii="Times New Roman" w:hAnsi="Times New Roman"/>
                <w:color w:val="000000" w:themeColor="text1"/>
                <w:sz w:val="24"/>
                <w:szCs w:val="24"/>
              </w:rPr>
              <w:t xml:space="preserve">egionų plėtros tarybos, </w:t>
            </w:r>
            <w:r w:rsidR="00085262" w:rsidRPr="00A70645">
              <w:rPr>
                <w:rFonts w:ascii="Times New Roman" w:hAnsi="Times New Roman"/>
                <w:color w:val="000000" w:themeColor="text1"/>
                <w:sz w:val="24"/>
                <w:szCs w:val="24"/>
              </w:rPr>
              <w:t>nes</w:t>
            </w:r>
            <w:r w:rsidRPr="00A70645">
              <w:rPr>
                <w:rFonts w:ascii="Times New Roman" w:hAnsi="Times New Roman"/>
                <w:color w:val="000000" w:themeColor="text1"/>
                <w:sz w:val="24"/>
                <w:szCs w:val="24"/>
              </w:rPr>
              <w:t xml:space="preserve"> priemonės planavimo būdas – regionų projektų planavimas</w:t>
            </w:r>
            <w:r w:rsidR="009C1F15" w:rsidRPr="00A70645">
              <w:rPr>
                <w:rFonts w:ascii="Times New Roman" w:hAnsi="Times New Roman"/>
                <w:color w:val="000000" w:themeColor="text1"/>
                <w:sz w:val="24"/>
                <w:szCs w:val="24"/>
              </w:rPr>
              <w:t xml:space="preserve">, </w:t>
            </w:r>
            <w:r w:rsidR="004C7B27" w:rsidRPr="00A70645">
              <w:rPr>
                <w:rFonts w:ascii="Times New Roman" w:hAnsi="Times New Roman"/>
                <w:color w:val="000000" w:themeColor="text1"/>
                <w:sz w:val="24"/>
                <w:szCs w:val="24"/>
              </w:rPr>
              <w:br/>
            </w:r>
            <w:r w:rsidR="009C1F15" w:rsidRPr="00A70645">
              <w:rPr>
                <w:rFonts w:ascii="Times New Roman" w:hAnsi="Times New Roman"/>
                <w:color w:val="000000" w:themeColor="text1"/>
                <w:sz w:val="24"/>
                <w:szCs w:val="24"/>
              </w:rPr>
              <w:t>o pareiškėjai turi būti numatyti Regionų plėtros plane</w:t>
            </w:r>
            <w:r w:rsidRPr="00A70645">
              <w:rPr>
                <w:rFonts w:ascii="Times New Roman" w:hAnsi="Times New Roman"/>
                <w:color w:val="000000" w:themeColor="text1"/>
                <w:sz w:val="24"/>
                <w:szCs w:val="24"/>
              </w:rPr>
              <w:t>.</w:t>
            </w:r>
          </w:p>
          <w:p w14:paraId="36808825" w14:textId="77777777" w:rsidR="00703349" w:rsidRPr="00A70645" w:rsidRDefault="00703349" w:rsidP="00703349">
            <w:pPr>
              <w:pStyle w:val="Sraopastraipa"/>
              <w:shd w:val="clear" w:color="auto" w:fill="FFFFFF"/>
              <w:tabs>
                <w:tab w:val="left" w:pos="238"/>
              </w:tabs>
              <w:ind w:left="0"/>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Sveikatos apsaugos ministerija laikosi strateginės nuostatos, kad savivaldybių administracijos turi iš esmės vykdyti TB situacijos kontrolę, organizuoti TB segančiųjų, grįžusių po stacionarinio TB gydymo (iki 2 mėn.) iš TB centrų, tolesnį ambulatorinį gydymą savivaldybių nustatytuose TB DOTS kabinetuose bei skirti TB pacientams socialinės paramos priemones, skatinant savalaikį vaistų naudojimą per visą gydymo laikotarpį (iki 8 mėn.). Vėliau savivaldybių administracijos centralizuotai surinkusios ataskaitas apie ambulatoriniu būdu gydytus TB pacientus ir duomenis už jiems skirtą socialinę paramą, teiktų paraiškas ESFA dėl kompensavimo už patirtas išlaidas.</w:t>
            </w:r>
          </w:p>
          <w:p w14:paraId="7BF3C0FD" w14:textId="77777777" w:rsidR="00703349" w:rsidRPr="00A70645" w:rsidRDefault="00703349" w:rsidP="0070334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u w:val="single"/>
              </w:rPr>
              <w:t xml:space="preserve">Laikome, kad </w:t>
            </w:r>
            <w:r w:rsidRPr="00A70645">
              <w:rPr>
                <w:rFonts w:ascii="Times New Roman" w:eastAsia="Times New Roman" w:hAnsi="Times New Roman"/>
                <w:color w:val="000000" w:themeColor="text1"/>
                <w:spacing w:val="-2"/>
                <w:sz w:val="24"/>
                <w:szCs w:val="24"/>
                <w:u w:val="single"/>
              </w:rPr>
              <w:t>savivaldybių administracijos</w:t>
            </w:r>
            <w:r w:rsidR="00E20725" w:rsidRPr="00A70645">
              <w:rPr>
                <w:rFonts w:ascii="Times New Roman" w:eastAsia="Times New Roman" w:hAnsi="Times New Roman"/>
                <w:color w:val="000000" w:themeColor="text1"/>
                <w:spacing w:val="-2"/>
                <w:sz w:val="24"/>
                <w:szCs w:val="24"/>
                <w:u w:val="single"/>
              </w:rPr>
              <w:t>,</w:t>
            </w:r>
            <w:r w:rsidRPr="00A70645">
              <w:rPr>
                <w:rFonts w:ascii="Times New Roman" w:eastAsia="Times New Roman" w:hAnsi="Times New Roman"/>
                <w:color w:val="000000" w:themeColor="text1"/>
                <w:spacing w:val="-2"/>
                <w:sz w:val="24"/>
                <w:szCs w:val="24"/>
                <w:u w:val="single"/>
              </w:rPr>
              <w:t xml:space="preserve"> būdamos viešojo administravimo subjektais, kurie organizuoja viešųjų paslaugų teikimą, turi nepalikti TB ambulatorinio gydymo eigos savieigai, bet  kontroliuoti ir valdyti šį procesą, ir</w:t>
            </w:r>
            <w:r w:rsidR="00E20725" w:rsidRPr="00A70645">
              <w:rPr>
                <w:rFonts w:ascii="Times New Roman" w:eastAsia="Times New Roman" w:hAnsi="Times New Roman"/>
                <w:color w:val="000000" w:themeColor="text1"/>
                <w:spacing w:val="-2"/>
                <w:sz w:val="24"/>
                <w:szCs w:val="24"/>
                <w:u w:val="single"/>
              </w:rPr>
              <w:t>,</w:t>
            </w:r>
            <w:r w:rsidRPr="00A70645">
              <w:rPr>
                <w:rFonts w:ascii="Times New Roman" w:eastAsia="Times New Roman" w:hAnsi="Times New Roman"/>
                <w:color w:val="000000" w:themeColor="text1"/>
                <w:spacing w:val="-2"/>
                <w:sz w:val="24"/>
                <w:szCs w:val="24"/>
                <w:u w:val="single"/>
              </w:rPr>
              <w:t xml:space="preserve"> esant poreikiui</w:t>
            </w:r>
            <w:r w:rsidR="00E20725" w:rsidRPr="00A70645">
              <w:rPr>
                <w:rFonts w:ascii="Times New Roman" w:eastAsia="Times New Roman" w:hAnsi="Times New Roman"/>
                <w:color w:val="000000" w:themeColor="text1"/>
                <w:spacing w:val="-2"/>
                <w:sz w:val="24"/>
                <w:szCs w:val="24"/>
                <w:u w:val="single"/>
              </w:rPr>
              <w:t>,</w:t>
            </w:r>
            <w:r w:rsidRPr="00A70645">
              <w:rPr>
                <w:rFonts w:ascii="Times New Roman" w:eastAsia="Times New Roman" w:hAnsi="Times New Roman"/>
                <w:color w:val="000000" w:themeColor="text1"/>
                <w:spacing w:val="-2"/>
                <w:sz w:val="24"/>
                <w:szCs w:val="24"/>
                <w:u w:val="single"/>
              </w:rPr>
              <w:t xml:space="preserve"> inicijuoti papildomų materialinių ir žmogiškųjų resursų skyrimą.</w:t>
            </w:r>
          </w:p>
          <w:p w14:paraId="513FAA09" w14:textId="77777777" w:rsidR="00D54809" w:rsidRPr="00A70645" w:rsidRDefault="00703349" w:rsidP="0070334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Sveikatos apsaugos ministerijos </w:t>
            </w:r>
            <w:r w:rsidR="006F19E0" w:rsidRPr="00A70645">
              <w:rPr>
                <w:rFonts w:ascii="Times New Roman" w:hAnsi="Times New Roman"/>
                <w:color w:val="000000" w:themeColor="text1"/>
                <w:sz w:val="24"/>
                <w:szCs w:val="24"/>
              </w:rPr>
              <w:t xml:space="preserve">2016 m.  lapkričio 23 d. įsakymas </w:t>
            </w:r>
            <w:r w:rsidRPr="00A70645">
              <w:rPr>
                <w:rFonts w:ascii="Times New Roman" w:hAnsi="Times New Roman"/>
                <w:color w:val="000000" w:themeColor="text1"/>
                <w:sz w:val="24"/>
                <w:szCs w:val="24"/>
              </w:rPr>
              <w:br/>
            </w:r>
            <w:r w:rsidR="006F19E0" w:rsidRPr="00A70645">
              <w:rPr>
                <w:rFonts w:ascii="Times New Roman" w:hAnsi="Times New Roman"/>
                <w:color w:val="000000" w:themeColor="text1"/>
                <w:sz w:val="24"/>
                <w:szCs w:val="24"/>
              </w:rPr>
              <w:t>Nr. V-1320</w:t>
            </w:r>
          </w:p>
        </w:tc>
      </w:tr>
      <w:tr w:rsidR="00A70645" w:rsidRPr="00A70645" w14:paraId="0E129BF6" w14:textId="77777777" w:rsidTr="00465660">
        <w:tc>
          <w:tcPr>
            <w:tcW w:w="567" w:type="dxa"/>
          </w:tcPr>
          <w:p w14:paraId="2FCADC7F" w14:textId="77777777" w:rsidR="00FB6137" w:rsidRPr="00A70645" w:rsidRDefault="00FB6137" w:rsidP="00D54809">
            <w:pPr>
              <w:pStyle w:val="Sraopastraipa"/>
              <w:numPr>
                <w:ilvl w:val="0"/>
                <w:numId w:val="1"/>
              </w:numPr>
              <w:tabs>
                <w:tab w:val="left" w:pos="567"/>
              </w:tabs>
              <w:ind w:left="0" w:firstLine="0"/>
              <w:jc w:val="both"/>
              <w:rPr>
                <w:rFonts w:ascii="Times New Roman" w:hAnsi="Times New Roman"/>
                <w:color w:val="000000" w:themeColor="text1"/>
                <w:sz w:val="24"/>
                <w:szCs w:val="24"/>
              </w:rPr>
            </w:pPr>
          </w:p>
        </w:tc>
        <w:tc>
          <w:tcPr>
            <w:tcW w:w="2836" w:type="dxa"/>
          </w:tcPr>
          <w:p w14:paraId="1479B9C0"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Supaprastintas išlaidų apmokėjimas </w:t>
            </w:r>
          </w:p>
        </w:tc>
        <w:tc>
          <w:tcPr>
            <w:tcW w:w="6945" w:type="dxa"/>
          </w:tcPr>
          <w:p w14:paraId="1CD7A46A" w14:textId="458814E1" w:rsidR="009448E6" w:rsidRPr="00A70645" w:rsidRDefault="006746AC" w:rsidP="0015146F">
            <w:pPr>
              <w:spacing w:line="278" w:lineRule="exact"/>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Įgyvendinant </w:t>
            </w:r>
            <w:r w:rsidR="005A7E0F" w:rsidRPr="00A70645">
              <w:rPr>
                <w:rFonts w:ascii="Times New Roman" w:hAnsi="Times New Roman"/>
                <w:bCs/>
                <w:color w:val="000000" w:themeColor="text1"/>
                <w:sz w:val="24"/>
                <w:szCs w:val="24"/>
              </w:rPr>
              <w:t xml:space="preserve">Socialinės paramos </w:t>
            </w:r>
            <w:r w:rsidRPr="00A70645">
              <w:rPr>
                <w:rFonts w:ascii="Times New Roman" w:hAnsi="Times New Roman"/>
                <w:color w:val="000000" w:themeColor="text1"/>
                <w:sz w:val="24"/>
                <w:szCs w:val="24"/>
              </w:rPr>
              <w:t xml:space="preserve">priemonę numatoma taikyti fiksuotą normą netiesioginėms projekto išlaidoms. </w:t>
            </w:r>
            <w:r w:rsidR="005A7E0F" w:rsidRPr="00A70645">
              <w:rPr>
                <w:rFonts w:ascii="Times New Roman" w:hAnsi="Times New Roman"/>
                <w:color w:val="000000" w:themeColor="text1"/>
                <w:sz w:val="24"/>
                <w:szCs w:val="24"/>
              </w:rPr>
              <w:t xml:space="preserve">Pagal </w:t>
            </w:r>
            <w:r w:rsidR="005A7E0F" w:rsidRPr="00A70645">
              <w:rPr>
                <w:rFonts w:ascii="Times New Roman" w:hAnsi="Times New Roman"/>
                <w:bCs/>
                <w:color w:val="000000" w:themeColor="text1"/>
                <w:sz w:val="24"/>
                <w:szCs w:val="24"/>
              </w:rPr>
              <w:t xml:space="preserve">Socialinės paramos </w:t>
            </w:r>
            <w:r w:rsidR="005A7E0F" w:rsidRPr="00A70645">
              <w:rPr>
                <w:rFonts w:ascii="Times New Roman" w:hAnsi="Times New Roman"/>
                <w:color w:val="000000" w:themeColor="text1"/>
                <w:sz w:val="24"/>
                <w:szCs w:val="24"/>
              </w:rPr>
              <w:t xml:space="preserve">priemonę skirtą TB sergančiųjų skatinimui suvartoti jiems skirtus vaistus ir sėkmingai užbaigti ambulatorinį gydymą, bus </w:t>
            </w:r>
            <w:r w:rsidR="0015146F" w:rsidRPr="00A70645">
              <w:rPr>
                <w:rFonts w:ascii="Times New Roman" w:hAnsi="Times New Roman"/>
                <w:color w:val="000000" w:themeColor="text1"/>
                <w:sz w:val="24"/>
                <w:szCs w:val="24"/>
              </w:rPr>
              <w:t>kompensuojamos kelionės į</w:t>
            </w:r>
            <w:r w:rsidR="00060DE8" w:rsidRPr="00A70645">
              <w:rPr>
                <w:rFonts w:ascii="Times New Roman" w:hAnsi="Times New Roman"/>
                <w:color w:val="000000" w:themeColor="text1"/>
                <w:sz w:val="24"/>
                <w:szCs w:val="24"/>
              </w:rPr>
              <w:t xml:space="preserve"> ir iš</w:t>
            </w:r>
            <w:r w:rsidR="0015146F" w:rsidRPr="00A70645">
              <w:rPr>
                <w:rFonts w:ascii="Times New Roman" w:hAnsi="Times New Roman"/>
                <w:color w:val="000000" w:themeColor="text1"/>
                <w:sz w:val="24"/>
                <w:szCs w:val="24"/>
              </w:rPr>
              <w:t xml:space="preserve"> ambulatorines sveikatos priežiūros paslaugas teikiančias asmens sveikatos priežiūros įstaigas išlaidos (pagal fiksuotąjį įkainį) ir išduodamas talonas maisto prekėms (pagal fiksuotą sumą). Kelionės į </w:t>
            </w:r>
            <w:r w:rsidR="00060DE8" w:rsidRPr="00A70645">
              <w:rPr>
                <w:rFonts w:ascii="Times New Roman" w:hAnsi="Times New Roman"/>
                <w:color w:val="000000" w:themeColor="text1"/>
                <w:sz w:val="24"/>
                <w:szCs w:val="24"/>
              </w:rPr>
              <w:t xml:space="preserve">ir iš </w:t>
            </w:r>
            <w:r w:rsidR="0015146F" w:rsidRPr="00A70645">
              <w:rPr>
                <w:rFonts w:ascii="Times New Roman" w:hAnsi="Times New Roman"/>
                <w:color w:val="000000" w:themeColor="text1"/>
                <w:sz w:val="24"/>
                <w:szCs w:val="24"/>
              </w:rPr>
              <w:t>ambulatorines sveikatos priežiūros paslaugas teikiančias asmens sveikatos priežiūros įstaigas kompensavimo fiksuotasis įkainis</w:t>
            </w:r>
            <w:r w:rsidR="009448E6" w:rsidRPr="00A70645">
              <w:rPr>
                <w:rFonts w:ascii="Times New Roman" w:hAnsi="Times New Roman"/>
                <w:color w:val="000000" w:themeColor="text1"/>
                <w:sz w:val="24"/>
                <w:szCs w:val="24"/>
              </w:rPr>
              <w:t xml:space="preserve"> bus nustatyt</w:t>
            </w:r>
            <w:r w:rsidR="00DC5A04" w:rsidRPr="00A70645">
              <w:rPr>
                <w:rFonts w:ascii="Times New Roman" w:hAnsi="Times New Roman"/>
                <w:color w:val="000000" w:themeColor="text1"/>
                <w:sz w:val="24"/>
                <w:szCs w:val="24"/>
              </w:rPr>
              <w:t>as</w:t>
            </w:r>
            <w:r w:rsidR="009448E6" w:rsidRPr="00A70645">
              <w:rPr>
                <w:rFonts w:ascii="Times New Roman" w:hAnsi="Times New Roman"/>
                <w:color w:val="000000" w:themeColor="text1"/>
                <w:sz w:val="24"/>
                <w:szCs w:val="24"/>
              </w:rPr>
              <w:t xml:space="preserve"> projektų finansavimo sąlygų apraše (PFSA). Sveikatos apsaugos ministerija, </w:t>
            </w:r>
            <w:r w:rsidR="009448E6" w:rsidRPr="00A70645">
              <w:rPr>
                <w:rFonts w:ascii="Times New Roman" w:eastAsia="Times New Roman" w:hAnsi="Times New Roman"/>
                <w:color w:val="000000" w:themeColor="text1"/>
                <w:spacing w:val="-6"/>
                <w:sz w:val="24"/>
                <w:szCs w:val="24"/>
              </w:rPr>
              <w:t xml:space="preserve">rengdama </w:t>
            </w:r>
            <w:r w:rsidR="009448E6" w:rsidRPr="00A70645">
              <w:rPr>
                <w:rFonts w:ascii="Times New Roman" w:hAnsi="Times New Roman"/>
                <w:bCs/>
                <w:color w:val="000000" w:themeColor="text1"/>
                <w:sz w:val="24"/>
                <w:szCs w:val="24"/>
              </w:rPr>
              <w:t>Socialinės paramos regioninės p</w:t>
            </w:r>
            <w:r w:rsidR="009448E6" w:rsidRPr="00A70645">
              <w:rPr>
                <w:rFonts w:ascii="Times New Roman" w:hAnsi="Times New Roman"/>
                <w:color w:val="000000" w:themeColor="text1"/>
                <w:sz w:val="24"/>
                <w:szCs w:val="24"/>
              </w:rPr>
              <w:t xml:space="preserve">riemonės PFSA, planuoja atsižvelgti į </w:t>
            </w:r>
            <w:r w:rsidR="009448E6" w:rsidRPr="00A70645">
              <w:rPr>
                <w:rFonts w:ascii="Times New Roman" w:eastAsia="Times New Roman" w:hAnsi="Times New Roman"/>
                <w:color w:val="000000" w:themeColor="text1"/>
                <w:spacing w:val="-6"/>
                <w:sz w:val="24"/>
                <w:szCs w:val="24"/>
              </w:rPr>
              <w:t xml:space="preserve">Lietuvos </w:t>
            </w:r>
            <w:r w:rsidR="009448E6" w:rsidRPr="00A70645">
              <w:rPr>
                <w:rFonts w:ascii="Times New Roman" w:eastAsia="Times New Roman" w:hAnsi="Times New Roman"/>
                <w:color w:val="000000" w:themeColor="text1"/>
                <w:spacing w:val="-7"/>
                <w:sz w:val="24"/>
                <w:szCs w:val="24"/>
              </w:rPr>
              <w:t xml:space="preserve">Respublikos finansų ministerijos </w:t>
            </w:r>
            <w:r w:rsidR="009448E6" w:rsidRPr="00A70645">
              <w:rPr>
                <w:rFonts w:ascii="Times New Roman" w:eastAsia="Times New Roman" w:hAnsi="Times New Roman"/>
                <w:color w:val="000000" w:themeColor="text1"/>
                <w:spacing w:val="-5"/>
                <w:sz w:val="24"/>
                <w:szCs w:val="24"/>
              </w:rPr>
              <w:t xml:space="preserve">Kuro ir viešojo transporto </w:t>
            </w:r>
            <w:r w:rsidR="009448E6" w:rsidRPr="00A70645">
              <w:rPr>
                <w:rFonts w:ascii="Times New Roman" w:eastAsia="Times New Roman" w:hAnsi="Times New Roman"/>
                <w:color w:val="000000" w:themeColor="text1"/>
                <w:spacing w:val="-6"/>
                <w:sz w:val="24"/>
                <w:szCs w:val="24"/>
              </w:rPr>
              <w:t xml:space="preserve">išlaidų fiksuotųjų įkainių </w:t>
            </w:r>
            <w:r w:rsidR="009448E6" w:rsidRPr="00A70645">
              <w:rPr>
                <w:rFonts w:ascii="Times New Roman" w:eastAsia="Times New Roman" w:hAnsi="Times New Roman"/>
                <w:color w:val="000000" w:themeColor="text1"/>
                <w:spacing w:val="-5"/>
                <w:sz w:val="24"/>
                <w:szCs w:val="24"/>
              </w:rPr>
              <w:t xml:space="preserve">nustatymo tyrimo ataskaitą </w:t>
            </w:r>
            <w:r w:rsidR="009448E6" w:rsidRPr="00A70645">
              <w:rPr>
                <w:rFonts w:ascii="Times New Roman" w:eastAsia="Times New Roman" w:hAnsi="Times New Roman"/>
                <w:color w:val="000000" w:themeColor="text1"/>
                <w:spacing w:val="-6"/>
                <w:sz w:val="24"/>
                <w:szCs w:val="24"/>
              </w:rPr>
              <w:t xml:space="preserve">(2015 m. balandžio 24 d. </w:t>
            </w:r>
            <w:r w:rsidR="009448E6" w:rsidRPr="00A70645">
              <w:rPr>
                <w:rFonts w:ascii="Times New Roman" w:eastAsia="Times New Roman" w:hAnsi="Times New Roman"/>
                <w:color w:val="000000" w:themeColor="text1"/>
                <w:spacing w:val="-5"/>
                <w:sz w:val="24"/>
                <w:szCs w:val="24"/>
              </w:rPr>
              <w:t>redakcija).</w:t>
            </w:r>
          </w:p>
          <w:p w14:paraId="17CB29B0" w14:textId="5B47E346" w:rsidR="006746AC" w:rsidRPr="00A70645" w:rsidRDefault="009448E6" w:rsidP="0015146F">
            <w:pPr>
              <w:spacing w:line="278" w:lineRule="exact"/>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I</w:t>
            </w:r>
            <w:r w:rsidR="0015146F" w:rsidRPr="00A70645">
              <w:rPr>
                <w:rFonts w:ascii="Times New Roman" w:hAnsi="Times New Roman"/>
                <w:color w:val="000000" w:themeColor="text1"/>
                <w:sz w:val="24"/>
                <w:szCs w:val="24"/>
              </w:rPr>
              <w:t xml:space="preserve">šduodamų talonų maisto prekėms fiksuotoji suma </w:t>
            </w:r>
            <w:r w:rsidR="00AF54BF" w:rsidRPr="00A70645">
              <w:rPr>
                <w:rFonts w:ascii="Times New Roman" w:hAnsi="Times New Roman"/>
                <w:color w:val="000000" w:themeColor="text1"/>
                <w:sz w:val="24"/>
                <w:szCs w:val="24"/>
              </w:rPr>
              <w:t xml:space="preserve">(remiantis Pasaulinės Sveikatos Organizacijos rekomendacijomis ir Estijos gerąją praktika) </w:t>
            </w:r>
            <w:r w:rsidR="004A369B" w:rsidRPr="00A70645">
              <w:rPr>
                <w:rFonts w:ascii="Times New Roman" w:hAnsi="Times New Roman"/>
                <w:color w:val="000000" w:themeColor="text1"/>
                <w:sz w:val="24"/>
                <w:szCs w:val="24"/>
              </w:rPr>
              <w:t>bus nustatyt</w:t>
            </w:r>
            <w:r w:rsidRPr="00A70645">
              <w:rPr>
                <w:rFonts w:ascii="Times New Roman" w:hAnsi="Times New Roman"/>
                <w:color w:val="000000" w:themeColor="text1"/>
                <w:sz w:val="24"/>
                <w:szCs w:val="24"/>
              </w:rPr>
              <w:t>a</w:t>
            </w:r>
            <w:r w:rsidR="004A369B" w:rsidRPr="00A70645">
              <w:rPr>
                <w:rFonts w:ascii="Times New Roman" w:hAnsi="Times New Roman"/>
                <w:color w:val="000000" w:themeColor="text1"/>
                <w:sz w:val="24"/>
                <w:szCs w:val="24"/>
              </w:rPr>
              <w:t xml:space="preserve"> </w:t>
            </w:r>
            <w:r w:rsidR="005A7E0F" w:rsidRPr="00A70645">
              <w:rPr>
                <w:rFonts w:ascii="Times New Roman" w:hAnsi="Times New Roman"/>
                <w:color w:val="000000" w:themeColor="text1"/>
                <w:sz w:val="24"/>
                <w:szCs w:val="24"/>
              </w:rPr>
              <w:t>p</w:t>
            </w:r>
            <w:r w:rsidRPr="00A70645">
              <w:rPr>
                <w:rFonts w:ascii="Times New Roman" w:hAnsi="Times New Roman"/>
                <w:color w:val="000000" w:themeColor="text1"/>
                <w:sz w:val="24"/>
                <w:szCs w:val="24"/>
              </w:rPr>
              <w:t>araiškų vertinimo metu ir ši galimybė bus numatyta p</w:t>
            </w:r>
            <w:r w:rsidR="005A7E0F" w:rsidRPr="00A70645">
              <w:rPr>
                <w:rFonts w:ascii="Times New Roman" w:hAnsi="Times New Roman"/>
                <w:color w:val="000000" w:themeColor="text1"/>
                <w:sz w:val="24"/>
                <w:szCs w:val="24"/>
              </w:rPr>
              <w:t>rojektų finansavimo sąlygų</w:t>
            </w:r>
            <w:r w:rsidR="004A369B" w:rsidRPr="00A70645">
              <w:rPr>
                <w:rFonts w:ascii="Times New Roman" w:hAnsi="Times New Roman"/>
                <w:color w:val="000000" w:themeColor="text1"/>
                <w:sz w:val="24"/>
                <w:szCs w:val="24"/>
              </w:rPr>
              <w:t xml:space="preserve"> apraše</w:t>
            </w:r>
            <w:r w:rsidR="00AF54BF" w:rsidRPr="00A70645">
              <w:rPr>
                <w:rFonts w:ascii="Times New Roman" w:hAnsi="Times New Roman"/>
                <w:color w:val="000000" w:themeColor="text1"/>
                <w:sz w:val="24"/>
                <w:szCs w:val="24"/>
              </w:rPr>
              <w:t xml:space="preserve"> (PFSA)</w:t>
            </w:r>
            <w:r w:rsidR="005A7E0F" w:rsidRPr="00A70645">
              <w:rPr>
                <w:rFonts w:ascii="Times New Roman" w:hAnsi="Times New Roman"/>
                <w:color w:val="000000" w:themeColor="text1"/>
                <w:sz w:val="24"/>
                <w:szCs w:val="24"/>
              </w:rPr>
              <w:t>.</w:t>
            </w:r>
            <w:r w:rsidR="004A369B" w:rsidRPr="00A70645">
              <w:rPr>
                <w:rFonts w:ascii="Times New Roman" w:hAnsi="Times New Roman"/>
                <w:color w:val="000000" w:themeColor="text1"/>
                <w:sz w:val="24"/>
                <w:szCs w:val="24"/>
              </w:rPr>
              <w:t xml:space="preserve"> </w:t>
            </w:r>
          </w:p>
          <w:p w14:paraId="680AFABC" w14:textId="34D5B8B6" w:rsidR="000400D3" w:rsidRPr="00A70645" w:rsidRDefault="00F01B51" w:rsidP="000400D3">
            <w:pPr>
              <w:tabs>
                <w:tab w:val="left" w:pos="317"/>
              </w:tabs>
              <w:jc w:val="both"/>
              <w:rPr>
                <w:rFonts w:ascii="Times New Roman" w:hAnsi="Times New Roman"/>
                <w:color w:val="000000" w:themeColor="text1"/>
                <w:sz w:val="24"/>
                <w:szCs w:val="24"/>
              </w:rPr>
            </w:pPr>
            <w:r w:rsidRPr="00A70645">
              <w:rPr>
                <w:rFonts w:ascii="Times New Roman" w:eastAsia="Times New Roman" w:hAnsi="Times New Roman"/>
                <w:color w:val="000000" w:themeColor="text1"/>
                <w:spacing w:val="-5"/>
                <w:sz w:val="24"/>
                <w:szCs w:val="24"/>
              </w:rPr>
              <w:lastRenderedPageBreak/>
              <w:t>.</w:t>
            </w:r>
            <w:r w:rsidR="005A7E0F" w:rsidRPr="00A70645">
              <w:rPr>
                <w:rFonts w:ascii="Times New Roman" w:hAnsi="Times New Roman"/>
                <w:color w:val="000000" w:themeColor="text1"/>
                <w:sz w:val="24"/>
                <w:szCs w:val="24"/>
              </w:rPr>
              <w:t xml:space="preserve"> </w:t>
            </w:r>
            <w:r w:rsidR="00AF54BF" w:rsidRPr="00A70645">
              <w:rPr>
                <w:rFonts w:ascii="Times New Roman" w:hAnsi="Times New Roman"/>
                <w:color w:val="000000" w:themeColor="text1"/>
                <w:sz w:val="24"/>
                <w:szCs w:val="24"/>
              </w:rPr>
              <w:t xml:space="preserve">Visos nuostatos bus suderintos su strateginiais dokumentais: Sveikatos netolygumų mažinimo Lietuvoje 2014−2023 m. veiksmų planu, patvirtintu Lietuvos Respublikos sveikatos apsaugos ministro 2014 m. liepos 16 d. įsakymu Nr. V-815 „Dėl Sveikatos netolygumų mažinimo Lietuvoje 2014–2023 m. veiksmų plano patvirtinimo“ ir </w:t>
            </w:r>
            <w:r w:rsidR="00AF54BF" w:rsidRPr="00A70645">
              <w:rPr>
                <w:rFonts w:ascii="Times New Roman" w:eastAsia="Times New Roman" w:hAnsi="Times New Roman"/>
                <w:color w:val="000000" w:themeColor="text1"/>
                <w:sz w:val="24"/>
                <w:szCs w:val="24"/>
              </w:rPr>
              <w:t xml:space="preserve">Tiesiogiai stebimo trumpo gydymo kurso paslaugų teikimo tvarkos aprašu, patvirtintu </w:t>
            </w:r>
            <w:r w:rsidR="00AF54BF" w:rsidRPr="00A70645">
              <w:rPr>
                <w:rFonts w:ascii="Times New Roman" w:hAnsi="Times New Roman"/>
                <w:color w:val="000000" w:themeColor="text1"/>
                <w:sz w:val="24"/>
                <w:szCs w:val="24"/>
              </w:rPr>
              <w:t xml:space="preserve">Lietuvos Respublikos sveikatos </w:t>
            </w:r>
            <w:r w:rsidR="00AF54BF" w:rsidRPr="00A70645">
              <w:rPr>
                <w:rFonts w:ascii="Times New Roman" w:eastAsia="Times New Roman" w:hAnsi="Times New Roman"/>
                <w:color w:val="000000" w:themeColor="text1"/>
                <w:spacing w:val="-9"/>
                <w:sz w:val="24"/>
                <w:szCs w:val="24"/>
              </w:rPr>
              <w:t>apsaugos ministro 2016 m. vasario 12 d. įsakymu Nr. V-237 ,,D</w:t>
            </w:r>
            <w:r w:rsidR="00AF54BF" w:rsidRPr="00A70645">
              <w:rPr>
                <w:rFonts w:ascii="Times New Roman" w:eastAsia="Times New Roman" w:hAnsi="Times New Roman"/>
                <w:color w:val="000000" w:themeColor="text1"/>
                <w:sz w:val="24"/>
                <w:szCs w:val="24"/>
              </w:rPr>
              <w:t>ėl tiesiogiai stebimo trumpo gydymo kurso paslaugų teikimo tvarkos aprašo</w:t>
            </w:r>
            <w:r w:rsidR="00AF54BF" w:rsidRPr="00A70645" w:rsidDel="00E57B30">
              <w:rPr>
                <w:rFonts w:ascii="Times New Roman" w:eastAsia="Times New Roman" w:hAnsi="Times New Roman"/>
                <w:color w:val="000000" w:themeColor="text1"/>
                <w:sz w:val="24"/>
                <w:szCs w:val="24"/>
              </w:rPr>
              <w:t xml:space="preserve"> </w:t>
            </w:r>
            <w:proofErr w:type="spellStart"/>
            <w:r w:rsidR="00AF54BF" w:rsidRPr="00A70645">
              <w:rPr>
                <w:rFonts w:ascii="Times New Roman" w:eastAsia="Times New Roman" w:hAnsi="Times New Roman"/>
                <w:color w:val="000000" w:themeColor="text1"/>
                <w:sz w:val="24"/>
                <w:szCs w:val="24"/>
              </w:rPr>
              <w:t>patvirtinimo“.</w:t>
            </w:r>
            <w:r w:rsidR="00FC7091" w:rsidRPr="00A70645">
              <w:rPr>
                <w:rFonts w:ascii="Times New Roman" w:hAnsi="Times New Roman"/>
                <w:color w:val="000000" w:themeColor="text1"/>
                <w:sz w:val="24"/>
                <w:szCs w:val="24"/>
              </w:rPr>
              <w:t>TB</w:t>
            </w:r>
            <w:proofErr w:type="spellEnd"/>
            <w:r w:rsidR="00FC7091" w:rsidRPr="00A70645">
              <w:rPr>
                <w:rFonts w:ascii="Times New Roman" w:hAnsi="Times New Roman"/>
                <w:color w:val="000000" w:themeColor="text1"/>
                <w:sz w:val="24"/>
                <w:szCs w:val="24"/>
              </w:rPr>
              <w:t xml:space="preserve"> pacient</w:t>
            </w:r>
            <w:r w:rsidR="00971F98" w:rsidRPr="00A70645">
              <w:rPr>
                <w:rFonts w:ascii="Times New Roman" w:hAnsi="Times New Roman"/>
                <w:color w:val="000000" w:themeColor="text1"/>
                <w:sz w:val="24"/>
                <w:szCs w:val="24"/>
              </w:rPr>
              <w:t>ams</w:t>
            </w:r>
            <w:r w:rsidR="00FC7091" w:rsidRPr="00A70645">
              <w:rPr>
                <w:rFonts w:ascii="Times New Roman" w:hAnsi="Times New Roman"/>
                <w:color w:val="000000" w:themeColor="text1"/>
                <w:sz w:val="24"/>
                <w:szCs w:val="24"/>
              </w:rPr>
              <w:t xml:space="preserve"> </w:t>
            </w:r>
            <w:r w:rsidR="00971F98" w:rsidRPr="00A70645">
              <w:rPr>
                <w:rFonts w:ascii="Times New Roman" w:hAnsi="Times New Roman"/>
                <w:color w:val="000000" w:themeColor="text1"/>
                <w:sz w:val="24"/>
                <w:szCs w:val="24"/>
              </w:rPr>
              <w:t xml:space="preserve">jų </w:t>
            </w:r>
            <w:r w:rsidR="00E66B07" w:rsidRPr="00A70645">
              <w:rPr>
                <w:rFonts w:ascii="Times New Roman" w:hAnsi="Times New Roman"/>
                <w:color w:val="000000" w:themeColor="text1"/>
                <w:sz w:val="24"/>
                <w:szCs w:val="24"/>
              </w:rPr>
              <w:t xml:space="preserve">ambulatorinio gydymo metu </w:t>
            </w:r>
            <w:r w:rsidR="00FC7091" w:rsidRPr="00A70645">
              <w:rPr>
                <w:rFonts w:ascii="Times New Roman" w:hAnsi="Times New Roman"/>
                <w:color w:val="000000" w:themeColor="text1"/>
                <w:sz w:val="24"/>
                <w:szCs w:val="24"/>
              </w:rPr>
              <w:t xml:space="preserve"> sveikatos priežiūros paslaugas teikiančiose asmens sveikatos priežiūros įstaigose, kurios turi sutartis su teritorinėmis ligonių kasomis dėl šių paslaugų apmokėjimo, taip pat naujai įrengtuose DOTS kabinetuose</w:t>
            </w:r>
            <w:r w:rsidR="006871F8" w:rsidRPr="00A70645">
              <w:rPr>
                <w:rFonts w:ascii="Times New Roman" w:hAnsi="Times New Roman"/>
                <w:color w:val="000000" w:themeColor="text1"/>
                <w:sz w:val="24"/>
                <w:szCs w:val="24"/>
              </w:rPr>
              <w:t>.</w:t>
            </w:r>
            <w:r w:rsidR="006871F8" w:rsidRPr="00A70645">
              <w:rPr>
                <w:rFonts w:ascii="Times New Roman" w:eastAsia="Times New Roman" w:hAnsi="Times New Roman"/>
                <w:color w:val="000000" w:themeColor="text1"/>
                <w:sz w:val="24"/>
                <w:szCs w:val="24"/>
              </w:rPr>
              <w:t xml:space="preserve"> </w:t>
            </w:r>
            <w:r w:rsidR="006871F8" w:rsidRPr="00A70645">
              <w:rPr>
                <w:rFonts w:ascii="Times New Roman" w:hAnsi="Times New Roman"/>
                <w:color w:val="000000" w:themeColor="text1"/>
                <w:sz w:val="24"/>
                <w:szCs w:val="24"/>
              </w:rPr>
              <w:t xml:space="preserve">Priemonės galimi pareiškėjai / partneriai yra </w:t>
            </w:r>
            <w:r w:rsidR="000400D3" w:rsidRPr="00A70645">
              <w:rPr>
                <w:rFonts w:ascii="Times New Roman" w:hAnsi="Times New Roman"/>
                <w:color w:val="000000" w:themeColor="text1"/>
                <w:sz w:val="24"/>
                <w:szCs w:val="24"/>
              </w:rPr>
              <w:t xml:space="preserve">savivaldybių administracijos ir </w:t>
            </w:r>
            <w:r w:rsidR="008A5FF9" w:rsidRPr="00A70645">
              <w:rPr>
                <w:rFonts w:ascii="Times New Roman" w:hAnsi="Times New Roman"/>
                <w:color w:val="000000" w:themeColor="text1"/>
                <w:sz w:val="24"/>
                <w:szCs w:val="24"/>
              </w:rPr>
              <w:t>asmens sveikatos priežiūros įstaigos, teikiančios ambulatorinės asmens sveikatos priežiūros paslaugas ir turinčios sutartis su teritorinėmis ligonių kasomis dėl šių paslaugų apmokėjimo</w:t>
            </w:r>
            <w:r w:rsidR="006871F8" w:rsidRPr="00A70645">
              <w:rPr>
                <w:rFonts w:ascii="Times New Roman" w:hAnsi="Times New Roman"/>
                <w:color w:val="000000" w:themeColor="text1"/>
                <w:sz w:val="24"/>
                <w:szCs w:val="24"/>
              </w:rPr>
              <w:t xml:space="preserve">. Tokios įstaigos gali būti įsteigtos ne tik savivaldybių, bet ir privačių asmenų (privatūs šeimos gydytojų kabinetai, kurie yra UAB, MB ir pan.), kurios gali atitikti kriterijus, pagal kuriuos skiriamos lėšos būtų traktuojamos kaip valstybės pagalba. </w:t>
            </w:r>
            <w:r w:rsidR="00715009" w:rsidRPr="00A70645">
              <w:rPr>
                <w:rFonts w:ascii="Times New Roman" w:hAnsi="Times New Roman"/>
                <w:color w:val="000000" w:themeColor="text1"/>
                <w:sz w:val="24"/>
                <w:szCs w:val="24"/>
              </w:rPr>
              <w:t>Sveikatos apsaugos ministerija a</w:t>
            </w:r>
            <w:r w:rsidR="00444E51" w:rsidRPr="00A70645">
              <w:rPr>
                <w:rFonts w:ascii="Times New Roman" w:hAnsi="Times New Roman"/>
                <w:color w:val="000000" w:themeColor="text1"/>
                <w:sz w:val="24"/>
                <w:szCs w:val="24"/>
              </w:rPr>
              <w:t>tsižvelg</w:t>
            </w:r>
            <w:r w:rsidR="00715009" w:rsidRPr="00A70645">
              <w:rPr>
                <w:rFonts w:ascii="Times New Roman" w:hAnsi="Times New Roman"/>
                <w:color w:val="000000" w:themeColor="text1"/>
                <w:sz w:val="24"/>
                <w:szCs w:val="24"/>
              </w:rPr>
              <w:t>dama</w:t>
            </w:r>
            <w:r w:rsidR="00444E51" w:rsidRPr="00A70645">
              <w:rPr>
                <w:rFonts w:ascii="Times New Roman" w:hAnsi="Times New Roman"/>
                <w:color w:val="000000" w:themeColor="text1"/>
                <w:sz w:val="24"/>
                <w:szCs w:val="24"/>
              </w:rPr>
              <w:t xml:space="preserve"> į tai, kad su Konkurencijos taryba buvo suderinta jungtinė priemonė </w:t>
            </w:r>
            <w:r w:rsidR="00444E51" w:rsidRPr="00A70645">
              <w:rPr>
                <w:rFonts w:ascii="Times New Roman" w:eastAsia="Times New Roman" w:hAnsi="Times New Roman"/>
                <w:color w:val="000000" w:themeColor="text1"/>
                <w:sz w:val="24"/>
                <w:szCs w:val="24"/>
                <w:lang w:eastAsia="lt-LT"/>
              </w:rPr>
              <w:t xml:space="preserve">Nr. J02-CPVA-V „Tuberkuliozės profilaktikos, diagnostikos ir gydymo paslaugų kokybės ir prieinamumo gerinimas“, kurioje nėra rizikos pažeisti </w:t>
            </w:r>
            <w:r w:rsidR="00444E51" w:rsidRPr="00A70645">
              <w:rPr>
                <w:rFonts w:ascii="Times New Roman" w:hAnsi="Times New Roman"/>
                <w:color w:val="000000" w:themeColor="text1"/>
                <w:sz w:val="24"/>
                <w:szCs w:val="24"/>
              </w:rPr>
              <w:t xml:space="preserve">valstybės pagalbos principų ir tai, kad </w:t>
            </w:r>
            <w:r w:rsidR="00715009" w:rsidRPr="00A70645">
              <w:rPr>
                <w:rFonts w:ascii="Times New Roman" w:hAnsi="Times New Roman"/>
                <w:color w:val="000000" w:themeColor="text1"/>
                <w:spacing w:val="1"/>
                <w:sz w:val="24"/>
                <w:szCs w:val="24"/>
              </w:rPr>
              <w:t>priemon</w:t>
            </w:r>
            <w:r w:rsidR="00715009" w:rsidRPr="00A70645">
              <w:rPr>
                <w:rFonts w:ascii="Times New Roman" w:eastAsia="Times New Roman" w:hAnsi="Times New Roman"/>
                <w:color w:val="000000" w:themeColor="text1"/>
                <w:spacing w:val="1"/>
                <w:sz w:val="24"/>
                <w:szCs w:val="24"/>
              </w:rPr>
              <w:t xml:space="preserve">ė </w:t>
            </w:r>
            <w:r w:rsidR="00715009" w:rsidRPr="00A70645">
              <w:rPr>
                <w:rFonts w:ascii="Times New Roman" w:hAnsi="Times New Roman"/>
                <w:color w:val="000000" w:themeColor="text1"/>
                <w:sz w:val="24"/>
                <w:szCs w:val="24"/>
                <w:lang w:eastAsia="lt-LT"/>
              </w:rPr>
              <w:t xml:space="preserve">Nr. </w:t>
            </w:r>
            <w:r w:rsidR="00715009" w:rsidRPr="00A70645">
              <w:rPr>
                <w:rFonts w:ascii="Times New Roman" w:hAnsi="Times New Roman"/>
                <w:color w:val="000000" w:themeColor="text1"/>
                <w:sz w:val="24"/>
                <w:szCs w:val="24"/>
              </w:rPr>
              <w:t>08.4.2-ESFA-R-615</w:t>
            </w:r>
            <w:r w:rsidR="00715009" w:rsidRPr="00A70645">
              <w:rPr>
                <w:rFonts w:ascii="Times New Roman" w:hAnsi="Times New Roman"/>
                <w:color w:val="000000" w:themeColor="text1"/>
                <w:sz w:val="24"/>
                <w:szCs w:val="24"/>
                <w:lang w:eastAsia="lt-LT"/>
              </w:rPr>
              <w:t xml:space="preserve"> ,,</w:t>
            </w:r>
            <w:r w:rsidR="00715009" w:rsidRPr="00A70645">
              <w:rPr>
                <w:rFonts w:ascii="Times New Roman" w:hAnsi="Times New Roman"/>
                <w:bCs/>
                <w:color w:val="000000" w:themeColor="text1"/>
                <w:sz w:val="24"/>
                <w:szCs w:val="24"/>
              </w:rPr>
              <w:t>Socialinės paramos priemonių, gerinančių ambulatorinių sveikatos priežiūros paslaugų prieinamumą tuberkulioze sergantiems pacientams, įgyvendinimas</w:t>
            </w:r>
            <w:r w:rsidR="00715009" w:rsidRPr="00A70645">
              <w:rPr>
                <w:rFonts w:ascii="Times New Roman" w:hAnsi="Times New Roman"/>
                <w:color w:val="000000" w:themeColor="text1"/>
                <w:sz w:val="24"/>
                <w:szCs w:val="24"/>
                <w:lang w:eastAsia="lt-LT"/>
              </w:rPr>
              <w:t>“</w:t>
            </w:r>
            <w:r w:rsidR="00715009" w:rsidRPr="00A70645">
              <w:rPr>
                <w:rFonts w:ascii="Times New Roman" w:hAnsi="Times New Roman"/>
                <w:color w:val="000000" w:themeColor="text1"/>
                <w:sz w:val="24"/>
                <w:szCs w:val="24"/>
              </w:rPr>
              <w:t xml:space="preserve"> yra sistemiškai susijusi su TB sergamumo mažinimu Lietuvoje, numato, kad </w:t>
            </w:r>
            <w:r w:rsidR="00444E51" w:rsidRPr="00A70645">
              <w:rPr>
                <w:rFonts w:ascii="Times New Roman" w:eastAsia="Times New Roman" w:hAnsi="Times New Roman"/>
                <w:color w:val="000000" w:themeColor="text1"/>
                <w:sz w:val="24"/>
                <w:szCs w:val="24"/>
                <w:lang w:eastAsia="lt-LT"/>
              </w:rPr>
              <w:t xml:space="preserve"> </w:t>
            </w:r>
            <w:r w:rsidR="00715009" w:rsidRPr="00A70645">
              <w:rPr>
                <w:rFonts w:ascii="Times New Roman" w:eastAsia="Times New Roman" w:hAnsi="Times New Roman"/>
                <w:color w:val="000000" w:themeColor="text1"/>
                <w:sz w:val="24"/>
                <w:szCs w:val="24"/>
                <w:lang w:eastAsia="lt-LT"/>
              </w:rPr>
              <w:t xml:space="preserve">savivaldybių administracijų (projektų vykdytojų) lygiu </w:t>
            </w:r>
            <w:r w:rsidR="00715009" w:rsidRPr="00A70645">
              <w:rPr>
                <w:rFonts w:ascii="Times New Roman" w:hAnsi="Times New Roman"/>
                <w:color w:val="000000" w:themeColor="text1"/>
                <w:sz w:val="24"/>
                <w:szCs w:val="24"/>
              </w:rPr>
              <w:t xml:space="preserve">valdant paramos skyrimo sąlygas nebus pažeisti valstybės pagalbos principai. </w:t>
            </w:r>
          </w:p>
          <w:p w14:paraId="0841E82D" w14:textId="77777777" w:rsidR="001250B8" w:rsidRPr="00A70645" w:rsidRDefault="001250B8" w:rsidP="000400D3">
            <w:pPr>
              <w:tabs>
                <w:tab w:val="left" w:pos="317"/>
              </w:tabs>
              <w:jc w:val="both"/>
              <w:rPr>
                <w:rFonts w:ascii="Times New Roman" w:hAnsi="Times New Roman"/>
                <w:color w:val="000000" w:themeColor="text1"/>
                <w:sz w:val="24"/>
                <w:szCs w:val="24"/>
              </w:rPr>
            </w:pPr>
            <w:r w:rsidRPr="00A70645">
              <w:rPr>
                <w:rFonts w:ascii="Times New Roman" w:eastAsia="Times New Roman" w:hAnsi="Times New Roman"/>
                <w:color w:val="000000" w:themeColor="text1"/>
                <w:spacing w:val="-2"/>
                <w:sz w:val="24"/>
                <w:szCs w:val="24"/>
              </w:rPr>
              <w:t>Kaip viena iš rizikų p</w:t>
            </w:r>
            <w:r w:rsidRPr="00A70645">
              <w:rPr>
                <w:rFonts w:ascii="Times New Roman" w:hAnsi="Times New Roman"/>
                <w:color w:val="000000" w:themeColor="text1"/>
                <w:spacing w:val="-5"/>
                <w:sz w:val="24"/>
                <w:szCs w:val="24"/>
              </w:rPr>
              <w:t>riemonės sėkmingam įgyvendinimui įtakos gali turėti politinės valios stoka nuosekliai ir savalaikiai įgyvendinti numatytus veiksmus, tačiau šią riziką mažina tai, kad Sveikatos netolygumų mažinimo 2014</w:t>
            </w:r>
            <w:r w:rsidR="004C7B27" w:rsidRPr="00A70645">
              <w:rPr>
                <w:rFonts w:ascii="Times New Roman" w:hAnsi="Times New Roman"/>
                <w:color w:val="000000" w:themeColor="text1"/>
                <w:spacing w:val="-5"/>
                <w:sz w:val="24"/>
                <w:szCs w:val="24"/>
              </w:rPr>
              <w:t>–</w:t>
            </w:r>
            <w:r w:rsidRPr="00A70645">
              <w:rPr>
                <w:rFonts w:ascii="Times New Roman" w:hAnsi="Times New Roman"/>
                <w:color w:val="000000" w:themeColor="text1"/>
                <w:spacing w:val="-5"/>
                <w:sz w:val="24"/>
                <w:szCs w:val="24"/>
              </w:rPr>
              <w:t>2023 m. veiksmų planas yra pateiktas Europos Komisijai kaip vienas iš dviejų esminių dokumentų, kurių pagrindu bus naudojamos ES struktūrinių fondų investicijos, todėl politinė kaita ženklios įtakos tikėtinai nedarys.</w:t>
            </w:r>
          </w:p>
          <w:p w14:paraId="6374ACB6" w14:textId="77777777" w:rsidR="00DC37DC" w:rsidRPr="00A70645" w:rsidRDefault="006F19E0" w:rsidP="006871F8">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S</w:t>
            </w:r>
            <w:r w:rsidR="00E00329" w:rsidRPr="00A70645">
              <w:rPr>
                <w:rFonts w:ascii="Times New Roman" w:hAnsi="Times New Roman"/>
                <w:color w:val="000000" w:themeColor="text1"/>
                <w:sz w:val="24"/>
                <w:szCs w:val="24"/>
              </w:rPr>
              <w:t>veikatos apsaugos ministerijos</w:t>
            </w:r>
            <w:r w:rsidRPr="00A70645">
              <w:rPr>
                <w:rFonts w:ascii="Times New Roman" w:hAnsi="Times New Roman"/>
                <w:color w:val="000000" w:themeColor="text1"/>
                <w:sz w:val="24"/>
                <w:szCs w:val="24"/>
              </w:rPr>
              <w:t xml:space="preserve"> 2016 m. lapkričio 23 d. įsakymas </w:t>
            </w:r>
            <w:r w:rsidR="00E00329" w:rsidRPr="00A70645">
              <w:rPr>
                <w:rFonts w:ascii="Times New Roman" w:hAnsi="Times New Roman"/>
                <w:color w:val="000000" w:themeColor="text1"/>
                <w:sz w:val="24"/>
                <w:szCs w:val="24"/>
              </w:rPr>
              <w:br/>
            </w:r>
            <w:r w:rsidRPr="00A70645">
              <w:rPr>
                <w:rFonts w:ascii="Times New Roman" w:hAnsi="Times New Roman"/>
                <w:color w:val="000000" w:themeColor="text1"/>
                <w:sz w:val="24"/>
                <w:szCs w:val="24"/>
              </w:rPr>
              <w:t>Nr. V-1320</w:t>
            </w:r>
          </w:p>
        </w:tc>
      </w:tr>
      <w:tr w:rsidR="00A70645" w:rsidRPr="00A70645" w14:paraId="32EAACB6" w14:textId="77777777" w:rsidTr="00465660">
        <w:tc>
          <w:tcPr>
            <w:tcW w:w="567" w:type="dxa"/>
          </w:tcPr>
          <w:p w14:paraId="7AF5D7AC" w14:textId="77777777" w:rsidR="00FB6137" w:rsidRPr="00A70645" w:rsidRDefault="00FB6137" w:rsidP="00D54809">
            <w:pPr>
              <w:pStyle w:val="Sraopastraipa"/>
              <w:numPr>
                <w:ilvl w:val="0"/>
                <w:numId w:val="1"/>
              </w:numPr>
              <w:tabs>
                <w:tab w:val="left" w:pos="567"/>
              </w:tabs>
              <w:ind w:left="0" w:firstLine="0"/>
              <w:jc w:val="both"/>
              <w:rPr>
                <w:rFonts w:ascii="Times New Roman" w:hAnsi="Times New Roman"/>
                <w:color w:val="000000" w:themeColor="text1"/>
                <w:sz w:val="24"/>
                <w:szCs w:val="24"/>
              </w:rPr>
            </w:pPr>
          </w:p>
        </w:tc>
        <w:tc>
          <w:tcPr>
            <w:tcW w:w="2836" w:type="dxa"/>
          </w:tcPr>
          <w:p w14:paraId="445FE13D" w14:textId="77777777" w:rsidR="00FB6137" w:rsidRPr="00A70645" w:rsidRDefault="00FB6137" w:rsidP="00D54809">
            <w:pPr>
              <w:tabs>
                <w:tab w:val="left" w:pos="567"/>
              </w:tabs>
              <w:jc w:val="both"/>
              <w:rPr>
                <w:rStyle w:val="Komentaronuoroda"/>
                <w:rFonts w:ascii="Times New Roman" w:hAnsi="Times New Roman"/>
                <w:color w:val="000000" w:themeColor="text1"/>
                <w:sz w:val="24"/>
                <w:szCs w:val="24"/>
              </w:rPr>
            </w:pPr>
            <w:r w:rsidRPr="00A70645">
              <w:rPr>
                <w:rStyle w:val="Komentaronuoroda"/>
                <w:rFonts w:ascii="Times New Roman" w:hAnsi="Times New Roman"/>
                <w:color w:val="000000" w:themeColor="text1"/>
                <w:sz w:val="24"/>
                <w:szCs w:val="24"/>
              </w:rPr>
              <w:t>Horizontaliųjų principų įgyvendinimas</w:t>
            </w:r>
          </w:p>
        </w:tc>
        <w:tc>
          <w:tcPr>
            <w:tcW w:w="6945" w:type="dxa"/>
          </w:tcPr>
          <w:p w14:paraId="2D50AF76" w14:textId="77777777" w:rsidR="00AC361F" w:rsidRPr="00A70645" w:rsidRDefault="00AC361F" w:rsidP="00D54809">
            <w:pPr>
              <w:widowControl w:val="0"/>
              <w:autoSpaceDE w:val="0"/>
              <w:autoSpaceDN w:val="0"/>
              <w:adjustRightInd w:val="0"/>
              <w:spacing w:line="278" w:lineRule="exact"/>
              <w:jc w:val="both"/>
              <w:rPr>
                <w:rFonts w:ascii="Times New Roman" w:eastAsia="Times New Roman" w:hAnsi="Times New Roman"/>
                <w:color w:val="000000" w:themeColor="text1"/>
                <w:sz w:val="24"/>
                <w:szCs w:val="24"/>
                <w:lang w:eastAsia="lt-LT"/>
              </w:rPr>
            </w:pPr>
            <w:r w:rsidRPr="00A70645">
              <w:rPr>
                <w:rFonts w:ascii="Times New Roman" w:eastAsia="Times New Roman" w:hAnsi="Times New Roman"/>
                <w:color w:val="000000" w:themeColor="text1"/>
                <w:spacing w:val="2"/>
                <w:sz w:val="24"/>
                <w:szCs w:val="24"/>
                <w:lang w:eastAsia="lt-LT"/>
              </w:rPr>
              <w:t xml:space="preserve">Projektuose, kurie bus įgyvendinami Priemonei skirtomis lėšomis, nebus </w:t>
            </w:r>
            <w:r w:rsidRPr="00A70645">
              <w:rPr>
                <w:rFonts w:ascii="Times New Roman" w:eastAsia="Times New Roman" w:hAnsi="Times New Roman"/>
                <w:color w:val="000000" w:themeColor="text1"/>
                <w:spacing w:val="6"/>
                <w:sz w:val="24"/>
                <w:szCs w:val="24"/>
                <w:lang w:eastAsia="lt-LT"/>
              </w:rPr>
              <w:t xml:space="preserve">apribojimų, kurie turėtų neigiamą poveikį lyčių lygybės ir </w:t>
            </w:r>
            <w:r w:rsidRPr="00A70645">
              <w:rPr>
                <w:rFonts w:ascii="Times New Roman" w:eastAsia="Times New Roman" w:hAnsi="Times New Roman"/>
                <w:color w:val="000000" w:themeColor="text1"/>
                <w:spacing w:val="8"/>
                <w:sz w:val="24"/>
                <w:szCs w:val="24"/>
                <w:lang w:eastAsia="lt-LT"/>
              </w:rPr>
              <w:t xml:space="preserve">nediskriminavimo dėl lyties, rasės, tautybės, kalbos, kilmės, </w:t>
            </w:r>
            <w:r w:rsidRPr="00A70645">
              <w:rPr>
                <w:rFonts w:ascii="Times New Roman" w:eastAsia="Times New Roman" w:hAnsi="Times New Roman"/>
                <w:color w:val="000000" w:themeColor="text1"/>
                <w:spacing w:val="7"/>
                <w:sz w:val="24"/>
                <w:szCs w:val="24"/>
                <w:lang w:eastAsia="lt-LT"/>
              </w:rPr>
              <w:t xml:space="preserve">socialinės padėties, tikėjimo, įsitikinimų ar pažiūrų, amžiaus, </w:t>
            </w:r>
            <w:r w:rsidRPr="00A70645">
              <w:rPr>
                <w:rFonts w:ascii="Times New Roman" w:eastAsia="Times New Roman" w:hAnsi="Times New Roman"/>
                <w:color w:val="000000" w:themeColor="text1"/>
                <w:spacing w:val="3"/>
                <w:sz w:val="24"/>
                <w:szCs w:val="24"/>
                <w:lang w:eastAsia="lt-LT"/>
              </w:rPr>
              <w:t xml:space="preserve">negalios, lytinės orientacijos, etninės priklausomybės, religijos </w:t>
            </w:r>
            <w:r w:rsidRPr="00A70645">
              <w:rPr>
                <w:rFonts w:ascii="Times New Roman" w:eastAsia="Times New Roman" w:hAnsi="Times New Roman"/>
                <w:color w:val="000000" w:themeColor="text1"/>
                <w:spacing w:val="-2"/>
                <w:sz w:val="24"/>
                <w:szCs w:val="24"/>
                <w:lang w:eastAsia="lt-LT"/>
              </w:rPr>
              <w:t xml:space="preserve">principams įgyvendinti. </w:t>
            </w:r>
          </w:p>
          <w:p w14:paraId="0B681497" w14:textId="77777777" w:rsidR="00363240" w:rsidRPr="00A70645" w:rsidRDefault="00363240" w:rsidP="006A278A">
            <w:pPr>
              <w:widowControl w:val="0"/>
              <w:tabs>
                <w:tab w:val="left" w:pos="567"/>
              </w:tabs>
              <w:autoSpaceDE w:val="0"/>
              <w:autoSpaceDN w:val="0"/>
              <w:adjustRightInd w:val="0"/>
              <w:jc w:val="both"/>
              <w:rPr>
                <w:rFonts w:ascii="Times New Roman" w:hAnsi="Times New Roman"/>
                <w:color w:val="000000" w:themeColor="text1"/>
                <w:sz w:val="24"/>
                <w:szCs w:val="24"/>
              </w:rPr>
            </w:pPr>
          </w:p>
        </w:tc>
      </w:tr>
      <w:tr w:rsidR="00A70645" w:rsidRPr="00A70645" w14:paraId="7DB86ADE" w14:textId="77777777" w:rsidTr="00465660">
        <w:tc>
          <w:tcPr>
            <w:tcW w:w="10348" w:type="dxa"/>
            <w:gridSpan w:val="3"/>
            <w:shd w:val="clear" w:color="auto" w:fill="F2F2F2" w:themeFill="background1" w:themeFillShade="F2"/>
          </w:tcPr>
          <w:p w14:paraId="6FF0A35F"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II. Finansavimo forma</w:t>
            </w:r>
          </w:p>
        </w:tc>
      </w:tr>
      <w:tr w:rsidR="00A70645" w:rsidRPr="00A70645" w14:paraId="7E45CA08" w14:textId="77777777" w:rsidTr="00465660">
        <w:tc>
          <w:tcPr>
            <w:tcW w:w="567" w:type="dxa"/>
          </w:tcPr>
          <w:p w14:paraId="26E8D47D" w14:textId="77777777" w:rsidR="00FB6137" w:rsidRPr="00A70645" w:rsidRDefault="00FB6137" w:rsidP="00D54809">
            <w:pPr>
              <w:pStyle w:val="Sraopastraipa"/>
              <w:numPr>
                <w:ilvl w:val="0"/>
                <w:numId w:val="1"/>
              </w:numPr>
              <w:tabs>
                <w:tab w:val="left" w:pos="567"/>
              </w:tabs>
              <w:ind w:hanging="1080"/>
              <w:jc w:val="both"/>
              <w:rPr>
                <w:rFonts w:ascii="Times New Roman" w:hAnsi="Times New Roman"/>
                <w:color w:val="000000" w:themeColor="text1"/>
                <w:sz w:val="24"/>
                <w:szCs w:val="24"/>
              </w:rPr>
            </w:pPr>
          </w:p>
        </w:tc>
        <w:tc>
          <w:tcPr>
            <w:tcW w:w="2836" w:type="dxa"/>
          </w:tcPr>
          <w:p w14:paraId="4D2C9367"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Priemonės finansavimo formos pasirinkimo pagrindimas</w:t>
            </w:r>
          </w:p>
        </w:tc>
        <w:tc>
          <w:tcPr>
            <w:tcW w:w="6945" w:type="dxa"/>
          </w:tcPr>
          <w:p w14:paraId="421FC802" w14:textId="77777777" w:rsidR="007C3811" w:rsidRPr="00A70645" w:rsidRDefault="00AC361F" w:rsidP="00D54809">
            <w:pPr>
              <w:tabs>
                <w:tab w:val="left" w:pos="175"/>
              </w:tabs>
              <w:jc w:val="both"/>
              <w:rPr>
                <w:rFonts w:ascii="Times New Roman" w:eastAsia="Times New Roman" w:hAnsi="Times New Roman"/>
                <w:color w:val="000000" w:themeColor="text1"/>
                <w:sz w:val="24"/>
                <w:szCs w:val="24"/>
                <w:lang w:eastAsia="lt-LT"/>
              </w:rPr>
            </w:pPr>
            <w:r w:rsidRPr="00A70645">
              <w:rPr>
                <w:rFonts w:ascii="Times New Roman" w:eastAsia="Times New Roman" w:hAnsi="Times New Roman"/>
                <w:color w:val="000000" w:themeColor="text1"/>
                <w:sz w:val="24"/>
                <w:szCs w:val="24"/>
                <w:lang w:eastAsia="lt-LT"/>
              </w:rPr>
              <w:t xml:space="preserve">Priemonės finansavimo forma – negrąžinamoji subsidija, pasirinkta </w:t>
            </w:r>
            <w:r w:rsidRPr="00A70645">
              <w:rPr>
                <w:rFonts w:ascii="Times New Roman" w:eastAsia="Times New Roman" w:hAnsi="Times New Roman"/>
                <w:color w:val="000000" w:themeColor="text1"/>
                <w:spacing w:val="1"/>
                <w:sz w:val="24"/>
                <w:szCs w:val="24"/>
                <w:lang w:eastAsia="lt-LT"/>
              </w:rPr>
              <w:t xml:space="preserve">atsižvelgiant į tai, kad </w:t>
            </w:r>
            <w:r w:rsidRPr="00A70645">
              <w:rPr>
                <w:rFonts w:ascii="Times New Roman" w:eastAsia="Times New Roman" w:hAnsi="Times New Roman"/>
                <w:color w:val="000000" w:themeColor="text1"/>
                <w:sz w:val="24"/>
                <w:szCs w:val="24"/>
                <w:lang w:eastAsia="lt-LT"/>
              </w:rPr>
              <w:t>visos veiklos bus įgyvendinamos įstaigų, kurių veikl</w:t>
            </w:r>
            <w:r w:rsidR="00214A5B" w:rsidRPr="00A70645">
              <w:rPr>
                <w:rFonts w:ascii="Times New Roman" w:eastAsia="Times New Roman" w:hAnsi="Times New Roman"/>
                <w:color w:val="000000" w:themeColor="text1"/>
                <w:sz w:val="24"/>
                <w:szCs w:val="24"/>
                <w:lang w:eastAsia="lt-LT"/>
              </w:rPr>
              <w:t xml:space="preserve">a finansuojama </w:t>
            </w:r>
            <w:r w:rsidR="00420C19" w:rsidRPr="00A70645">
              <w:rPr>
                <w:rFonts w:ascii="Times New Roman" w:eastAsia="Times New Roman" w:hAnsi="Times New Roman"/>
                <w:color w:val="000000" w:themeColor="text1"/>
                <w:sz w:val="24"/>
                <w:szCs w:val="24"/>
                <w:lang w:eastAsia="lt-LT"/>
              </w:rPr>
              <w:t xml:space="preserve">arba dalinai finansuojama </w:t>
            </w:r>
            <w:r w:rsidR="00214A5B" w:rsidRPr="00A70645">
              <w:rPr>
                <w:rFonts w:ascii="Times New Roman" w:eastAsia="Times New Roman" w:hAnsi="Times New Roman"/>
                <w:color w:val="000000" w:themeColor="text1"/>
                <w:sz w:val="24"/>
                <w:szCs w:val="24"/>
                <w:lang w:eastAsia="lt-LT"/>
              </w:rPr>
              <w:t>nacionalinio ir</w:t>
            </w:r>
            <w:r w:rsidR="004A3C8A" w:rsidRPr="00A70645">
              <w:rPr>
                <w:rFonts w:ascii="Times New Roman" w:eastAsia="Times New Roman" w:hAnsi="Times New Roman"/>
                <w:color w:val="000000" w:themeColor="text1"/>
                <w:sz w:val="24"/>
                <w:szCs w:val="24"/>
                <w:lang w:eastAsia="lt-LT"/>
              </w:rPr>
              <w:t xml:space="preserve"> </w:t>
            </w:r>
            <w:r w:rsidR="00214A5B" w:rsidRPr="00A70645">
              <w:rPr>
                <w:rFonts w:ascii="Times New Roman" w:eastAsia="Times New Roman" w:hAnsi="Times New Roman"/>
                <w:color w:val="000000" w:themeColor="text1"/>
                <w:sz w:val="24"/>
                <w:szCs w:val="24"/>
                <w:lang w:eastAsia="lt-LT"/>
              </w:rPr>
              <w:t>/</w:t>
            </w:r>
            <w:r w:rsidR="004A3C8A" w:rsidRPr="00A70645">
              <w:rPr>
                <w:rFonts w:ascii="Times New Roman" w:eastAsia="Times New Roman" w:hAnsi="Times New Roman"/>
                <w:color w:val="000000" w:themeColor="text1"/>
                <w:sz w:val="24"/>
                <w:szCs w:val="24"/>
                <w:lang w:eastAsia="lt-LT"/>
              </w:rPr>
              <w:t xml:space="preserve"> </w:t>
            </w:r>
            <w:r w:rsidRPr="00A70645">
              <w:rPr>
                <w:rFonts w:ascii="Times New Roman" w:eastAsia="Times New Roman" w:hAnsi="Times New Roman"/>
                <w:color w:val="000000" w:themeColor="text1"/>
                <w:sz w:val="24"/>
                <w:szCs w:val="24"/>
                <w:lang w:eastAsia="lt-LT"/>
              </w:rPr>
              <w:t xml:space="preserve">ar savivaldybių biudžeto lėšomis, be to, intervencijų pobūdis nėra susijęs </w:t>
            </w:r>
            <w:r w:rsidRPr="00A70645">
              <w:rPr>
                <w:rFonts w:ascii="Times New Roman" w:eastAsia="Times New Roman" w:hAnsi="Times New Roman"/>
                <w:color w:val="000000" w:themeColor="text1"/>
                <w:sz w:val="24"/>
                <w:szCs w:val="24"/>
                <w:lang w:eastAsia="lt-LT"/>
              </w:rPr>
              <w:lastRenderedPageBreak/>
              <w:t>su ekonomine nauda, todėl šios priemonės atveju kitos finansavimo formos nepasiteisintų ir nebūtų pasiektas priemonės tikslas. Pagrindas – VšĮ Viešosios politikos ir vadybos instituto parengta išankstinio vertinimo ataskaita.</w:t>
            </w:r>
          </w:p>
          <w:p w14:paraId="5848DCA7" w14:textId="77777777" w:rsidR="00D54809" w:rsidRPr="00A70645" w:rsidRDefault="00D54809" w:rsidP="00D54809">
            <w:pPr>
              <w:tabs>
                <w:tab w:val="left" w:pos="175"/>
              </w:tabs>
              <w:jc w:val="both"/>
              <w:rPr>
                <w:rFonts w:ascii="Times New Roman" w:hAnsi="Times New Roman"/>
                <w:color w:val="000000" w:themeColor="text1"/>
                <w:sz w:val="24"/>
                <w:szCs w:val="24"/>
              </w:rPr>
            </w:pPr>
          </w:p>
        </w:tc>
      </w:tr>
      <w:tr w:rsidR="00A70645" w:rsidRPr="00A70645" w14:paraId="374BB337" w14:textId="77777777" w:rsidTr="00465660">
        <w:tc>
          <w:tcPr>
            <w:tcW w:w="567" w:type="dxa"/>
          </w:tcPr>
          <w:p w14:paraId="56648D2A" w14:textId="77777777" w:rsidR="00FB6137" w:rsidRPr="00A70645" w:rsidRDefault="00FB6137" w:rsidP="00D54809">
            <w:pPr>
              <w:pStyle w:val="Sraopastraipa"/>
              <w:numPr>
                <w:ilvl w:val="0"/>
                <w:numId w:val="1"/>
              </w:numPr>
              <w:tabs>
                <w:tab w:val="left" w:pos="567"/>
              </w:tabs>
              <w:ind w:left="34" w:firstLine="0"/>
              <w:jc w:val="both"/>
              <w:rPr>
                <w:rFonts w:ascii="Times New Roman" w:hAnsi="Times New Roman"/>
                <w:color w:val="000000" w:themeColor="text1"/>
                <w:sz w:val="24"/>
                <w:szCs w:val="24"/>
              </w:rPr>
            </w:pPr>
          </w:p>
        </w:tc>
        <w:tc>
          <w:tcPr>
            <w:tcW w:w="2836" w:type="dxa"/>
          </w:tcPr>
          <w:p w14:paraId="6A8872A0"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Galimybė taikyti finansines  priemones (jei taikoma)</w:t>
            </w:r>
          </w:p>
          <w:p w14:paraId="0FA25352" w14:textId="77777777" w:rsidR="00D743A2" w:rsidRPr="00A70645" w:rsidRDefault="00D743A2" w:rsidP="00D54809">
            <w:pPr>
              <w:tabs>
                <w:tab w:val="left" w:pos="567"/>
              </w:tabs>
              <w:jc w:val="both"/>
              <w:rPr>
                <w:rFonts w:ascii="Times New Roman" w:hAnsi="Times New Roman"/>
                <w:color w:val="000000" w:themeColor="text1"/>
                <w:sz w:val="24"/>
                <w:szCs w:val="24"/>
              </w:rPr>
            </w:pPr>
          </w:p>
          <w:p w14:paraId="6163398B" w14:textId="77777777" w:rsidR="000400D3" w:rsidRPr="00A70645" w:rsidRDefault="000400D3" w:rsidP="00D54809">
            <w:pPr>
              <w:tabs>
                <w:tab w:val="left" w:pos="567"/>
              </w:tabs>
              <w:jc w:val="both"/>
              <w:rPr>
                <w:rFonts w:ascii="Times New Roman" w:hAnsi="Times New Roman"/>
                <w:color w:val="000000" w:themeColor="text1"/>
                <w:sz w:val="24"/>
                <w:szCs w:val="24"/>
              </w:rPr>
            </w:pPr>
          </w:p>
        </w:tc>
        <w:tc>
          <w:tcPr>
            <w:tcW w:w="6945" w:type="dxa"/>
          </w:tcPr>
          <w:p w14:paraId="36A371A6" w14:textId="77777777" w:rsidR="00FB6137" w:rsidRPr="00A70645" w:rsidRDefault="00710C5D" w:rsidP="00D54809">
            <w:pPr>
              <w:tabs>
                <w:tab w:val="left" w:pos="567"/>
              </w:tabs>
              <w:jc w:val="both"/>
              <w:rPr>
                <w:rFonts w:ascii="Times New Roman" w:hAnsi="Times New Roman"/>
                <w:i/>
                <w:color w:val="000000" w:themeColor="text1"/>
                <w:sz w:val="24"/>
                <w:szCs w:val="24"/>
              </w:rPr>
            </w:pPr>
            <w:r w:rsidRPr="00A70645">
              <w:rPr>
                <w:rFonts w:ascii="Times New Roman" w:eastAsia="Times New Roman" w:hAnsi="Times New Roman"/>
                <w:color w:val="000000" w:themeColor="text1"/>
                <w:spacing w:val="-2"/>
                <w:sz w:val="24"/>
                <w:szCs w:val="24"/>
                <w:lang w:eastAsia="lt-LT"/>
              </w:rPr>
              <w:t>Netaikoma</w:t>
            </w:r>
            <w:r w:rsidRPr="00A70645">
              <w:rPr>
                <w:rFonts w:ascii="Times New Roman" w:eastAsia="Times New Roman" w:hAnsi="Times New Roman"/>
                <w:color w:val="000000" w:themeColor="text1"/>
                <w:sz w:val="24"/>
                <w:szCs w:val="24"/>
                <w:lang w:eastAsia="lt-LT"/>
              </w:rPr>
              <w:t>, nes priemonė neatitinka finansinės priemonės apibrėžimo (neplanuojama finansuoti pajamų ir pelną duodančių veiklų).</w:t>
            </w:r>
          </w:p>
        </w:tc>
      </w:tr>
      <w:tr w:rsidR="00A70645" w:rsidRPr="00A70645" w14:paraId="24439BDE" w14:textId="77777777" w:rsidTr="00465660">
        <w:tc>
          <w:tcPr>
            <w:tcW w:w="567" w:type="dxa"/>
          </w:tcPr>
          <w:p w14:paraId="6E270A83" w14:textId="77777777" w:rsidR="00FB6137" w:rsidRPr="00A70645" w:rsidRDefault="00FB6137" w:rsidP="00D54809">
            <w:pPr>
              <w:pStyle w:val="Sraopastraipa"/>
              <w:numPr>
                <w:ilvl w:val="0"/>
                <w:numId w:val="1"/>
              </w:numPr>
              <w:tabs>
                <w:tab w:val="left" w:pos="567"/>
              </w:tabs>
              <w:ind w:left="34" w:firstLine="0"/>
              <w:jc w:val="both"/>
              <w:rPr>
                <w:rFonts w:ascii="Times New Roman" w:hAnsi="Times New Roman"/>
                <w:color w:val="000000" w:themeColor="text1"/>
                <w:sz w:val="24"/>
                <w:szCs w:val="24"/>
              </w:rPr>
            </w:pPr>
          </w:p>
        </w:tc>
        <w:tc>
          <w:tcPr>
            <w:tcW w:w="2836" w:type="dxa"/>
          </w:tcPr>
          <w:p w14:paraId="6ACB3302"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Galimybė taikyti grąžinamąją subsidiją </w:t>
            </w:r>
          </w:p>
        </w:tc>
        <w:tc>
          <w:tcPr>
            <w:tcW w:w="6945" w:type="dxa"/>
          </w:tcPr>
          <w:p w14:paraId="1070B177" w14:textId="061BE454" w:rsidR="00710C5D" w:rsidRPr="00A70645" w:rsidRDefault="00710C5D" w:rsidP="00D54809">
            <w:pPr>
              <w:widowControl w:val="0"/>
              <w:shd w:val="clear" w:color="auto" w:fill="FFFFFF"/>
              <w:autoSpaceDE w:val="0"/>
              <w:autoSpaceDN w:val="0"/>
              <w:adjustRightInd w:val="0"/>
              <w:spacing w:line="274" w:lineRule="exact"/>
              <w:ind w:left="5" w:right="29" w:firstLine="5"/>
              <w:jc w:val="both"/>
              <w:rPr>
                <w:rFonts w:ascii="Times New Roman" w:eastAsia="Times New Roman" w:hAnsi="Times New Roman"/>
                <w:color w:val="000000" w:themeColor="text1"/>
                <w:sz w:val="24"/>
                <w:szCs w:val="24"/>
                <w:lang w:eastAsia="lt-LT"/>
              </w:rPr>
            </w:pPr>
            <w:r w:rsidRPr="00A70645">
              <w:rPr>
                <w:rFonts w:ascii="Times New Roman" w:eastAsia="Times New Roman" w:hAnsi="Times New Roman"/>
                <w:color w:val="000000" w:themeColor="text1"/>
                <w:spacing w:val="6"/>
                <w:sz w:val="24"/>
                <w:szCs w:val="24"/>
                <w:lang w:eastAsia="lt-LT"/>
              </w:rPr>
              <w:t xml:space="preserve">Planuojamos pagal Priemonę finansuoti </w:t>
            </w:r>
            <w:r w:rsidRPr="00A70645">
              <w:rPr>
                <w:rFonts w:ascii="Times New Roman" w:eastAsia="Times New Roman" w:hAnsi="Times New Roman"/>
                <w:color w:val="000000" w:themeColor="text1"/>
                <w:spacing w:val="1"/>
                <w:sz w:val="24"/>
                <w:szCs w:val="24"/>
                <w:lang w:eastAsia="lt-LT"/>
              </w:rPr>
              <w:t xml:space="preserve">veiklos yra skirtos viešųjų sveikatos priežiūros paslaugų, apmokamų </w:t>
            </w:r>
            <w:r w:rsidRPr="00A70645">
              <w:rPr>
                <w:rFonts w:ascii="Times New Roman" w:eastAsia="Times New Roman" w:hAnsi="Times New Roman"/>
                <w:color w:val="000000" w:themeColor="text1"/>
                <w:spacing w:val="4"/>
                <w:sz w:val="24"/>
                <w:szCs w:val="24"/>
                <w:lang w:eastAsia="lt-LT"/>
              </w:rPr>
              <w:t>iš privalomojo sveikatos draudimo fondo lėšų</w:t>
            </w:r>
            <w:r w:rsidR="004B03CF" w:rsidRPr="00A70645">
              <w:rPr>
                <w:rFonts w:ascii="Times New Roman" w:eastAsia="Times New Roman" w:hAnsi="Times New Roman"/>
                <w:color w:val="000000" w:themeColor="text1"/>
                <w:spacing w:val="4"/>
                <w:sz w:val="24"/>
                <w:szCs w:val="24"/>
                <w:lang w:eastAsia="lt-LT"/>
              </w:rPr>
              <w:t>,</w:t>
            </w:r>
            <w:r w:rsidRPr="00A70645">
              <w:rPr>
                <w:rFonts w:ascii="Times New Roman" w:eastAsia="Times New Roman" w:hAnsi="Times New Roman"/>
                <w:color w:val="000000" w:themeColor="text1"/>
                <w:spacing w:val="4"/>
                <w:sz w:val="24"/>
                <w:szCs w:val="24"/>
                <w:lang w:eastAsia="lt-LT"/>
              </w:rPr>
              <w:t xml:space="preserve"> ir kurios grynųjų </w:t>
            </w:r>
            <w:r w:rsidRPr="00A70645">
              <w:rPr>
                <w:rFonts w:ascii="Times New Roman" w:eastAsia="Times New Roman" w:hAnsi="Times New Roman"/>
                <w:color w:val="000000" w:themeColor="text1"/>
                <w:sz w:val="24"/>
                <w:szCs w:val="24"/>
                <w:lang w:eastAsia="lt-LT"/>
              </w:rPr>
              <w:t>pajamų negeneruoja, prieinamumo ir kokybės gerinimui. Atsižvelgiant į tai</w:t>
            </w:r>
            <w:r w:rsidR="004B03CF" w:rsidRPr="00A70645">
              <w:rPr>
                <w:rFonts w:ascii="Times New Roman" w:eastAsia="Times New Roman" w:hAnsi="Times New Roman"/>
                <w:color w:val="000000" w:themeColor="text1"/>
                <w:sz w:val="24"/>
                <w:szCs w:val="24"/>
                <w:lang w:eastAsia="lt-LT"/>
              </w:rPr>
              <w:t>,</w:t>
            </w:r>
            <w:r w:rsidRPr="00A70645">
              <w:rPr>
                <w:rFonts w:ascii="Times New Roman" w:eastAsia="Times New Roman" w:hAnsi="Times New Roman"/>
                <w:color w:val="000000" w:themeColor="text1"/>
                <w:sz w:val="24"/>
                <w:szCs w:val="24"/>
                <w:lang w:eastAsia="lt-LT"/>
              </w:rPr>
              <w:t xml:space="preserve"> įgyvendinant Priemonę numatoma taikyti negrąžinamąją subsidiją. </w:t>
            </w:r>
          </w:p>
          <w:p w14:paraId="4E54DEB2" w14:textId="77777777" w:rsidR="00710C5D" w:rsidRPr="00A70645" w:rsidRDefault="00710C5D" w:rsidP="00D54809">
            <w:pPr>
              <w:widowControl w:val="0"/>
              <w:autoSpaceDE w:val="0"/>
              <w:autoSpaceDN w:val="0"/>
              <w:adjustRightInd w:val="0"/>
              <w:spacing w:line="278" w:lineRule="exact"/>
              <w:jc w:val="both"/>
              <w:rPr>
                <w:rFonts w:ascii="Times New Roman" w:eastAsia="Times New Roman" w:hAnsi="Times New Roman"/>
                <w:color w:val="000000" w:themeColor="text1"/>
                <w:sz w:val="24"/>
                <w:szCs w:val="24"/>
                <w:lang w:eastAsia="lt-LT"/>
              </w:rPr>
            </w:pPr>
            <w:r w:rsidRPr="00A70645">
              <w:rPr>
                <w:rFonts w:ascii="Times New Roman" w:eastAsia="Times New Roman" w:hAnsi="Times New Roman"/>
                <w:color w:val="000000" w:themeColor="text1"/>
                <w:sz w:val="24"/>
                <w:szCs w:val="24"/>
                <w:lang w:eastAsia="lt-LT"/>
              </w:rPr>
              <w:t>VšĮ Viešosios politikos ir vadybos instituto a</w:t>
            </w:r>
            <w:r w:rsidR="006D31C7" w:rsidRPr="00A70645">
              <w:rPr>
                <w:rFonts w:ascii="Times New Roman" w:eastAsia="Times New Roman" w:hAnsi="Times New Roman"/>
                <w:color w:val="000000" w:themeColor="text1"/>
                <w:sz w:val="24"/>
                <w:szCs w:val="24"/>
                <w:lang w:eastAsia="lt-LT"/>
              </w:rPr>
              <w:t xml:space="preserve">tlikto Lietuvos </w:t>
            </w:r>
            <w:r w:rsidR="00D743A2" w:rsidRPr="00A70645">
              <w:rPr>
                <w:rFonts w:ascii="Times New Roman" w:eastAsia="Times New Roman" w:hAnsi="Times New Roman"/>
                <w:color w:val="000000" w:themeColor="text1"/>
                <w:sz w:val="24"/>
                <w:szCs w:val="24"/>
                <w:lang w:eastAsia="lt-LT"/>
              </w:rPr>
              <w:br/>
            </w:r>
            <w:r w:rsidR="006D31C7" w:rsidRPr="00A70645">
              <w:rPr>
                <w:rFonts w:ascii="Times New Roman" w:eastAsia="Times New Roman" w:hAnsi="Times New Roman"/>
                <w:color w:val="000000" w:themeColor="text1"/>
                <w:sz w:val="24"/>
                <w:szCs w:val="24"/>
                <w:lang w:eastAsia="lt-LT"/>
              </w:rPr>
              <w:t xml:space="preserve">2014–2020 m. </w:t>
            </w:r>
            <w:r w:rsidRPr="00A70645">
              <w:rPr>
                <w:rFonts w:ascii="Times New Roman" w:eastAsia="Times New Roman" w:hAnsi="Times New Roman"/>
                <w:color w:val="000000" w:themeColor="text1"/>
                <w:sz w:val="24"/>
                <w:szCs w:val="24"/>
                <w:lang w:eastAsia="lt-LT"/>
              </w:rPr>
              <w:t>ES struktūrinių fondų investicijų veiksmų programos išankstinio vertinimo (http://www.esparama.lt/vertinimo-ataskaitos) galutinėje ataskaitoje teigiama: „Atsižvelgiant į tai, kad visos veiklos bus įgyvendinamos įstaigų, kurių veikla finansuojama nacionalinio ir / ar savivaldybių biudžeto lėšomis, arba atsižvelgiant į tai, kad intervencijų pobūdis nėra susijęs su ekonomine nauda, negrąžintinos subsidijos taikymas yra tinkama ir efektyvi paramos forma.“</w:t>
            </w:r>
          </w:p>
          <w:p w14:paraId="28F042E9" w14:textId="77777777" w:rsidR="007C3811" w:rsidRPr="00A70645" w:rsidRDefault="007C3811" w:rsidP="00D54809">
            <w:pPr>
              <w:tabs>
                <w:tab w:val="left" w:pos="175"/>
              </w:tabs>
              <w:jc w:val="both"/>
              <w:rPr>
                <w:rFonts w:ascii="Times New Roman" w:hAnsi="Times New Roman"/>
                <w:color w:val="000000" w:themeColor="text1"/>
                <w:sz w:val="24"/>
                <w:szCs w:val="24"/>
              </w:rPr>
            </w:pPr>
          </w:p>
        </w:tc>
      </w:tr>
      <w:tr w:rsidR="00A70645" w:rsidRPr="00A70645" w14:paraId="5A178EBF" w14:textId="77777777" w:rsidTr="00465660">
        <w:tc>
          <w:tcPr>
            <w:tcW w:w="10348" w:type="dxa"/>
            <w:gridSpan w:val="3"/>
            <w:shd w:val="clear" w:color="auto" w:fill="F2F2F2" w:themeFill="background1" w:themeFillShade="F2"/>
          </w:tcPr>
          <w:p w14:paraId="50BF6877" w14:textId="77777777" w:rsidR="00FB6137" w:rsidRPr="00A70645" w:rsidRDefault="00FB6137" w:rsidP="00D54809">
            <w:pPr>
              <w:tabs>
                <w:tab w:val="left" w:pos="567"/>
              </w:tabs>
              <w:ind w:left="34"/>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III. Atrankos būdas</w:t>
            </w:r>
          </w:p>
        </w:tc>
      </w:tr>
      <w:tr w:rsidR="00A70645" w:rsidRPr="00A70645" w14:paraId="0C7DCF11" w14:textId="77777777" w:rsidTr="00465660">
        <w:tc>
          <w:tcPr>
            <w:tcW w:w="567" w:type="dxa"/>
          </w:tcPr>
          <w:p w14:paraId="54CC1658" w14:textId="77777777" w:rsidR="00FB6137" w:rsidRPr="00A70645" w:rsidRDefault="00FB6137" w:rsidP="00D54809">
            <w:pPr>
              <w:pStyle w:val="Sraopastraipa"/>
              <w:numPr>
                <w:ilvl w:val="0"/>
                <w:numId w:val="1"/>
              </w:numPr>
              <w:tabs>
                <w:tab w:val="left" w:pos="567"/>
              </w:tabs>
              <w:ind w:hanging="1046"/>
              <w:jc w:val="both"/>
              <w:rPr>
                <w:rFonts w:ascii="Times New Roman" w:hAnsi="Times New Roman"/>
                <w:color w:val="000000" w:themeColor="text1"/>
                <w:sz w:val="24"/>
                <w:szCs w:val="24"/>
              </w:rPr>
            </w:pPr>
          </w:p>
        </w:tc>
        <w:tc>
          <w:tcPr>
            <w:tcW w:w="2836" w:type="dxa"/>
          </w:tcPr>
          <w:p w14:paraId="34820975"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Projektų atrankos būdo pagrįstumas </w:t>
            </w:r>
          </w:p>
        </w:tc>
        <w:tc>
          <w:tcPr>
            <w:tcW w:w="6945" w:type="dxa"/>
          </w:tcPr>
          <w:p w14:paraId="7BB19F06" w14:textId="7713258E" w:rsidR="008B1BF7" w:rsidRPr="00A70645" w:rsidRDefault="00710C5D" w:rsidP="00DF7871">
            <w:pPr>
              <w:tabs>
                <w:tab w:val="left" w:pos="178"/>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Pagal </w:t>
            </w:r>
            <w:r w:rsidR="004B03CF" w:rsidRPr="00A70645">
              <w:rPr>
                <w:rFonts w:ascii="Times New Roman" w:hAnsi="Times New Roman"/>
                <w:color w:val="000000" w:themeColor="text1"/>
                <w:sz w:val="24"/>
                <w:szCs w:val="24"/>
              </w:rPr>
              <w:t>P</w:t>
            </w:r>
            <w:r w:rsidRPr="00A70645">
              <w:rPr>
                <w:rFonts w:ascii="Times New Roman" w:hAnsi="Times New Roman"/>
                <w:color w:val="000000" w:themeColor="text1"/>
                <w:sz w:val="24"/>
                <w:szCs w:val="24"/>
              </w:rPr>
              <w:t xml:space="preserve">riemonę projektai bus atrenkami regionų projektų planavimo būdu, sprendimai priimami </w:t>
            </w:r>
            <w:r w:rsidR="000400D3" w:rsidRPr="00A70645">
              <w:rPr>
                <w:rStyle w:val="Emfaz"/>
                <w:rFonts w:ascii="Times New Roman" w:hAnsi="Times New Roman"/>
                <w:b w:val="0"/>
                <w:color w:val="000000" w:themeColor="text1"/>
                <w:sz w:val="24"/>
                <w:szCs w:val="24"/>
              </w:rPr>
              <w:t>regionų plėtros</w:t>
            </w:r>
            <w:r w:rsidR="000400D3" w:rsidRPr="00A70645">
              <w:rPr>
                <w:rStyle w:val="Emfaz"/>
                <w:rFonts w:ascii="Times New Roman" w:hAnsi="Times New Roman"/>
                <w:color w:val="000000" w:themeColor="text1"/>
                <w:sz w:val="24"/>
                <w:szCs w:val="24"/>
              </w:rPr>
              <w:t xml:space="preserve"> </w:t>
            </w:r>
            <w:r w:rsidRPr="00A70645">
              <w:rPr>
                <w:rFonts w:ascii="Times New Roman" w:hAnsi="Times New Roman"/>
                <w:color w:val="000000" w:themeColor="text1"/>
                <w:sz w:val="24"/>
                <w:szCs w:val="24"/>
              </w:rPr>
              <w:t xml:space="preserve">tarybų lygiu, tikslingai atrenkant galimus pareiškėjus, galutinius naudos gavėjus ir partnerius. </w:t>
            </w:r>
          </w:p>
          <w:p w14:paraId="682E9AFE" w14:textId="77777777" w:rsidR="008B1BF7" w:rsidRPr="00A70645" w:rsidRDefault="008B1BF7" w:rsidP="00DF7871">
            <w:pPr>
              <w:tabs>
                <w:tab w:val="left" w:pos="178"/>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Priemonė atitinka 2014–2020 metų nacionalinės pažangos programos horizontaliojo prioriteto „Regioninė plėtra“ </w:t>
            </w:r>
            <w:proofErr w:type="spellStart"/>
            <w:r w:rsidRPr="00A70645">
              <w:rPr>
                <w:rFonts w:ascii="Times New Roman" w:hAnsi="Times New Roman"/>
                <w:color w:val="000000" w:themeColor="text1"/>
                <w:sz w:val="24"/>
                <w:szCs w:val="24"/>
              </w:rPr>
              <w:t>tarpinstitucinio</w:t>
            </w:r>
            <w:proofErr w:type="spellEnd"/>
            <w:r w:rsidRPr="00A70645">
              <w:rPr>
                <w:rFonts w:ascii="Times New Roman" w:hAnsi="Times New Roman"/>
                <w:color w:val="000000" w:themeColor="text1"/>
                <w:sz w:val="24"/>
                <w:szCs w:val="24"/>
              </w:rPr>
              <w:t xml:space="preserve"> veiklos plano, patvirtinto Lietuvos Respublikos Vyriausybės 2014 m. vasario 19 d. nutarimu Nr. 172 „Dėl 2014–2020 metų nacionalinės pažangos programos horizontaliojo prioriteto „Regioninė plėtra“ </w:t>
            </w:r>
            <w:proofErr w:type="spellStart"/>
            <w:r w:rsidRPr="00A70645">
              <w:rPr>
                <w:rFonts w:ascii="Times New Roman" w:hAnsi="Times New Roman"/>
                <w:color w:val="000000" w:themeColor="text1"/>
                <w:sz w:val="24"/>
                <w:szCs w:val="24"/>
              </w:rPr>
              <w:t>Tarpinstitucinio</w:t>
            </w:r>
            <w:proofErr w:type="spellEnd"/>
            <w:r w:rsidRPr="00A70645">
              <w:rPr>
                <w:rFonts w:ascii="Times New Roman" w:hAnsi="Times New Roman"/>
                <w:color w:val="000000" w:themeColor="text1"/>
                <w:sz w:val="24"/>
                <w:szCs w:val="24"/>
              </w:rPr>
              <w:t xml:space="preserve"> veiklos plano patvirtinimo“ 1 tiksl</w:t>
            </w:r>
            <w:r w:rsidR="000400D3" w:rsidRPr="00A70645">
              <w:rPr>
                <w:rFonts w:ascii="Times New Roman" w:hAnsi="Times New Roman"/>
                <w:color w:val="000000" w:themeColor="text1"/>
                <w:sz w:val="24"/>
                <w:szCs w:val="24"/>
              </w:rPr>
              <w:t>o</w:t>
            </w:r>
            <w:r w:rsidRPr="00A70645">
              <w:rPr>
                <w:rFonts w:ascii="Times New Roman" w:hAnsi="Times New Roman"/>
                <w:color w:val="000000" w:themeColor="text1"/>
                <w:sz w:val="24"/>
                <w:szCs w:val="24"/>
              </w:rPr>
              <w:t xml:space="preserve"> „Užtikrinti tolygią ir tvari</w:t>
            </w:r>
            <w:r w:rsidR="00214A5B" w:rsidRPr="00A70645">
              <w:rPr>
                <w:rFonts w:ascii="Times New Roman" w:hAnsi="Times New Roman"/>
                <w:color w:val="000000" w:themeColor="text1"/>
                <w:sz w:val="24"/>
                <w:szCs w:val="24"/>
              </w:rPr>
              <w:t>ą regionų plėtrą“ 1.2 uždavinio</w:t>
            </w:r>
            <w:r w:rsidRPr="00A70645">
              <w:rPr>
                <w:rFonts w:ascii="Times New Roman" w:hAnsi="Times New Roman"/>
                <w:color w:val="000000" w:themeColor="text1"/>
                <w:sz w:val="24"/>
                <w:szCs w:val="24"/>
              </w:rPr>
              <w:t xml:space="preserve"> „Didinti viešųjų ir administracinių paslaugų kokybę ir prieinamumą“ priemonę </w:t>
            </w:r>
            <w:r w:rsidR="00D743A2" w:rsidRPr="00A70645">
              <w:rPr>
                <w:rFonts w:ascii="Times New Roman" w:hAnsi="Times New Roman"/>
                <w:color w:val="000000" w:themeColor="text1"/>
                <w:sz w:val="24"/>
                <w:szCs w:val="24"/>
              </w:rPr>
              <w:br/>
            </w:r>
            <w:r w:rsidRPr="00A70645">
              <w:rPr>
                <w:rFonts w:ascii="Times New Roman" w:hAnsi="Times New Roman"/>
                <w:color w:val="000000" w:themeColor="text1"/>
                <w:sz w:val="24"/>
                <w:szCs w:val="24"/>
              </w:rPr>
              <w:t>„1.2.9 Priemonė: gerinti sveikatos priežiūros ir visuomenės sveikatos priežiūros kokybę ir prieinamumą“.</w:t>
            </w:r>
          </w:p>
          <w:p w14:paraId="5EFCFF2D" w14:textId="185DF6E9" w:rsidR="00690B31" w:rsidRPr="00A70645" w:rsidRDefault="00710C5D" w:rsidP="00DF7871">
            <w:pPr>
              <w:tabs>
                <w:tab w:val="left" w:pos="178"/>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Planuojamos pagal Priemonę įgyvendinti veiklos, konkretūs projektų vykdytojai bei jiems pavestos įgyvendinti veiklos yra numatyti Strateginio planavimo dokumente – Sveikatos netolygumų mažinimo Lietuvoje 2014–2023 m. veiksmų plano, patvirtinto </w:t>
            </w:r>
            <w:r w:rsidR="00BF5C64" w:rsidRPr="00A70645">
              <w:rPr>
                <w:rFonts w:ascii="Times New Roman" w:hAnsi="Times New Roman"/>
                <w:color w:val="000000" w:themeColor="text1"/>
                <w:sz w:val="24"/>
                <w:szCs w:val="24"/>
              </w:rPr>
              <w:t>2014 m. liepos 16 d. S</w:t>
            </w:r>
            <w:r w:rsidRPr="00A70645">
              <w:rPr>
                <w:rFonts w:ascii="Times New Roman" w:hAnsi="Times New Roman"/>
                <w:color w:val="000000" w:themeColor="text1"/>
                <w:sz w:val="24"/>
                <w:szCs w:val="24"/>
              </w:rPr>
              <w:t xml:space="preserve">veikatos apsaugos ministro įsakymu Nr. V-815 Tuberkuliozės profilaktikos, diagnostikos ir gydymo efektyvumo didinimo krypties apraše (konkretūs punktai nurodyti lentelės </w:t>
            </w:r>
            <w:r w:rsidR="00D743A2" w:rsidRPr="00A70645">
              <w:rPr>
                <w:rFonts w:ascii="Times New Roman" w:hAnsi="Times New Roman"/>
                <w:color w:val="000000" w:themeColor="text1"/>
                <w:sz w:val="24"/>
                <w:szCs w:val="24"/>
              </w:rPr>
              <w:br/>
            </w:r>
            <w:r w:rsidRPr="00A70645">
              <w:rPr>
                <w:rFonts w:ascii="Times New Roman" w:hAnsi="Times New Roman"/>
                <w:color w:val="000000" w:themeColor="text1"/>
                <w:sz w:val="24"/>
                <w:szCs w:val="24"/>
              </w:rPr>
              <w:t xml:space="preserve">2 dalyje). </w:t>
            </w:r>
          </w:p>
          <w:p w14:paraId="7C3B5D78" w14:textId="39685AE7" w:rsidR="00D54809" w:rsidRPr="00A70645" w:rsidRDefault="00DF7871" w:rsidP="00DF7871">
            <w:pPr>
              <w:tabs>
                <w:tab w:val="left" w:pos="178"/>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Sveikatos apsaugos ministerija  laikosi strateginės nuostatos, kad savivaldybių administracijos turi iš esmės vykdyti TB situacijos kontrolę, organizuoti TB segančiųjų, grįžusių po stacionarinio TB gydymo (iki 2 mėn.) iš TB centrų, tolesnį ambulatorinį gydymą savivaldybių nustatytuose TB DOTS kabinetuose bei skirti TB pacientams socialinės paramos priemones, skatinant savalaikį vaistų </w:t>
            </w:r>
            <w:r w:rsidRPr="00A70645">
              <w:rPr>
                <w:rFonts w:ascii="Times New Roman" w:hAnsi="Times New Roman"/>
                <w:color w:val="000000" w:themeColor="text1"/>
                <w:sz w:val="24"/>
                <w:szCs w:val="24"/>
              </w:rPr>
              <w:lastRenderedPageBreak/>
              <w:t xml:space="preserve">naudojimą per visą gydymo laikotarpį (iki 8 mėn.). Laikome, kad </w:t>
            </w:r>
            <w:r w:rsidRPr="00A70645">
              <w:rPr>
                <w:rFonts w:ascii="Times New Roman" w:eastAsia="Times New Roman" w:hAnsi="Times New Roman"/>
                <w:color w:val="000000" w:themeColor="text1"/>
                <w:spacing w:val="-2"/>
                <w:sz w:val="24"/>
                <w:szCs w:val="24"/>
              </w:rPr>
              <w:t>savivaldybių administracijos</w:t>
            </w:r>
            <w:r w:rsidR="00BF5C64" w:rsidRPr="00A70645">
              <w:rPr>
                <w:rFonts w:ascii="Times New Roman" w:eastAsia="Times New Roman" w:hAnsi="Times New Roman"/>
                <w:color w:val="000000" w:themeColor="text1"/>
                <w:spacing w:val="-2"/>
                <w:sz w:val="24"/>
                <w:szCs w:val="24"/>
              </w:rPr>
              <w:t>,</w:t>
            </w:r>
            <w:r w:rsidRPr="00A70645">
              <w:rPr>
                <w:rFonts w:ascii="Times New Roman" w:eastAsia="Times New Roman" w:hAnsi="Times New Roman"/>
                <w:color w:val="000000" w:themeColor="text1"/>
                <w:spacing w:val="-2"/>
                <w:sz w:val="24"/>
                <w:szCs w:val="24"/>
              </w:rPr>
              <w:t xml:space="preserve"> būdamos viešojo administravimo subjektais, kurie organizuoja viešųjų paslaugų teikimą, turi nepalikti TB ambulatorinio gydymo eigos savieigai, bet  kontroliuoti ir valdyti šį procesą, ir</w:t>
            </w:r>
            <w:r w:rsidR="00BF5C64" w:rsidRPr="00A70645">
              <w:rPr>
                <w:rFonts w:ascii="Times New Roman" w:eastAsia="Times New Roman" w:hAnsi="Times New Roman"/>
                <w:color w:val="000000" w:themeColor="text1"/>
                <w:spacing w:val="-2"/>
                <w:sz w:val="24"/>
                <w:szCs w:val="24"/>
              </w:rPr>
              <w:t>,</w:t>
            </w:r>
            <w:r w:rsidRPr="00A70645">
              <w:rPr>
                <w:rFonts w:ascii="Times New Roman" w:eastAsia="Times New Roman" w:hAnsi="Times New Roman"/>
                <w:color w:val="000000" w:themeColor="text1"/>
                <w:spacing w:val="-2"/>
                <w:sz w:val="24"/>
                <w:szCs w:val="24"/>
              </w:rPr>
              <w:t xml:space="preserve"> esant poreikiui</w:t>
            </w:r>
            <w:r w:rsidR="00BF5C64" w:rsidRPr="00A70645">
              <w:rPr>
                <w:rFonts w:ascii="Times New Roman" w:eastAsia="Times New Roman" w:hAnsi="Times New Roman"/>
                <w:color w:val="000000" w:themeColor="text1"/>
                <w:spacing w:val="-2"/>
                <w:sz w:val="24"/>
                <w:szCs w:val="24"/>
              </w:rPr>
              <w:t>,</w:t>
            </w:r>
            <w:r w:rsidRPr="00A70645">
              <w:rPr>
                <w:rFonts w:ascii="Times New Roman" w:eastAsia="Times New Roman" w:hAnsi="Times New Roman"/>
                <w:color w:val="000000" w:themeColor="text1"/>
                <w:spacing w:val="-2"/>
                <w:sz w:val="24"/>
                <w:szCs w:val="24"/>
              </w:rPr>
              <w:t xml:space="preserve"> inicijuoti papildomų materialinių ir žmogiškųjų resursų skyrimą.</w:t>
            </w:r>
          </w:p>
        </w:tc>
      </w:tr>
      <w:tr w:rsidR="00A70645" w:rsidRPr="00A70645" w14:paraId="52C15811" w14:textId="77777777" w:rsidTr="00465660">
        <w:tc>
          <w:tcPr>
            <w:tcW w:w="10348" w:type="dxa"/>
            <w:gridSpan w:val="3"/>
            <w:shd w:val="clear" w:color="auto" w:fill="F2F2F2" w:themeFill="background1" w:themeFillShade="F2"/>
          </w:tcPr>
          <w:p w14:paraId="517D6610" w14:textId="77777777" w:rsidR="00FB6137" w:rsidRPr="00A70645" w:rsidRDefault="00FB6137" w:rsidP="00D54809">
            <w:pPr>
              <w:tabs>
                <w:tab w:val="left" w:pos="567"/>
              </w:tabs>
              <w:ind w:left="34"/>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lastRenderedPageBreak/>
              <w:t>IV. Įgyvendinančioji institucija</w:t>
            </w:r>
          </w:p>
        </w:tc>
      </w:tr>
      <w:tr w:rsidR="00A70645" w:rsidRPr="00A70645" w14:paraId="6D5FD09A" w14:textId="77777777" w:rsidTr="00465660">
        <w:tc>
          <w:tcPr>
            <w:tcW w:w="567" w:type="dxa"/>
          </w:tcPr>
          <w:p w14:paraId="5E5C5F5D" w14:textId="77777777" w:rsidR="00FB6137" w:rsidRPr="00A70645" w:rsidRDefault="00FB6137" w:rsidP="00D54809">
            <w:pPr>
              <w:pStyle w:val="Sraopastraipa"/>
              <w:numPr>
                <w:ilvl w:val="0"/>
                <w:numId w:val="1"/>
              </w:numPr>
              <w:tabs>
                <w:tab w:val="left" w:pos="567"/>
              </w:tabs>
              <w:ind w:hanging="1046"/>
              <w:jc w:val="both"/>
              <w:rPr>
                <w:rFonts w:ascii="Times New Roman" w:hAnsi="Times New Roman"/>
                <w:color w:val="000000" w:themeColor="text1"/>
                <w:sz w:val="24"/>
                <w:szCs w:val="24"/>
              </w:rPr>
            </w:pPr>
          </w:p>
        </w:tc>
        <w:tc>
          <w:tcPr>
            <w:tcW w:w="2836" w:type="dxa"/>
          </w:tcPr>
          <w:p w14:paraId="18C34ECD"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Įgyvendinančiosios  institucijos pasirinkimas (jei taikoma)</w:t>
            </w:r>
          </w:p>
        </w:tc>
        <w:tc>
          <w:tcPr>
            <w:tcW w:w="6945" w:type="dxa"/>
          </w:tcPr>
          <w:p w14:paraId="17B2C40D" w14:textId="4961B56F" w:rsidR="00B92473" w:rsidRPr="00A70645" w:rsidRDefault="00214A5B" w:rsidP="00D54809">
            <w:pPr>
              <w:widowControl w:val="0"/>
              <w:autoSpaceDE w:val="0"/>
              <w:autoSpaceDN w:val="0"/>
              <w:adjustRightInd w:val="0"/>
              <w:spacing w:line="278" w:lineRule="exact"/>
              <w:jc w:val="both"/>
              <w:rPr>
                <w:rFonts w:ascii="Times New Roman" w:eastAsia="Times New Roman" w:hAnsi="Times New Roman"/>
                <w:color w:val="000000" w:themeColor="text1"/>
                <w:sz w:val="24"/>
                <w:szCs w:val="24"/>
                <w:lang w:eastAsia="lt-LT"/>
              </w:rPr>
            </w:pPr>
            <w:r w:rsidRPr="00A70645">
              <w:rPr>
                <w:rFonts w:ascii="Times New Roman" w:eastAsia="Times New Roman" w:hAnsi="Times New Roman"/>
                <w:color w:val="000000" w:themeColor="text1"/>
                <w:sz w:val="24"/>
                <w:szCs w:val="24"/>
                <w:lang w:eastAsia="lt-LT"/>
              </w:rPr>
              <w:t xml:space="preserve">Įgyvendinančioji institucija – </w:t>
            </w:r>
            <w:r w:rsidR="00E70F76" w:rsidRPr="00A70645">
              <w:rPr>
                <w:rFonts w:ascii="Times New Roman" w:hAnsi="Times New Roman"/>
                <w:color w:val="000000" w:themeColor="text1"/>
                <w:sz w:val="24"/>
                <w:szCs w:val="24"/>
                <w:lang w:eastAsia="lt-LT"/>
              </w:rPr>
              <w:t xml:space="preserve">Viešoji įstaiga </w:t>
            </w:r>
            <w:r w:rsidR="00E70F76" w:rsidRPr="00A70645">
              <w:rPr>
                <w:rFonts w:ascii="Times New Roman" w:hAnsi="Times New Roman"/>
                <w:color w:val="000000" w:themeColor="text1"/>
                <w:sz w:val="24"/>
                <w:szCs w:val="24"/>
              </w:rPr>
              <w:t>Europos socialinio fondo agentūra</w:t>
            </w:r>
            <w:r w:rsidR="00E70F76" w:rsidRPr="00A70645">
              <w:rPr>
                <w:rFonts w:ascii="Times New Roman" w:eastAsia="Times New Roman" w:hAnsi="Times New Roman"/>
                <w:color w:val="000000" w:themeColor="text1"/>
                <w:sz w:val="24"/>
                <w:szCs w:val="24"/>
                <w:lang w:eastAsia="lt-LT"/>
              </w:rPr>
              <w:t xml:space="preserve"> </w:t>
            </w:r>
            <w:r w:rsidR="005548DA" w:rsidRPr="00A70645">
              <w:rPr>
                <w:rFonts w:ascii="Times New Roman" w:eastAsia="Times New Roman" w:hAnsi="Times New Roman"/>
                <w:color w:val="000000" w:themeColor="text1"/>
                <w:sz w:val="24"/>
                <w:szCs w:val="24"/>
                <w:lang w:eastAsia="lt-LT"/>
              </w:rPr>
              <w:t xml:space="preserve">(toliau – </w:t>
            </w:r>
            <w:r w:rsidR="00E70F76" w:rsidRPr="00A70645">
              <w:rPr>
                <w:rFonts w:ascii="Times New Roman" w:eastAsia="Times New Roman" w:hAnsi="Times New Roman"/>
                <w:color w:val="000000" w:themeColor="text1"/>
                <w:sz w:val="24"/>
                <w:szCs w:val="24"/>
                <w:lang w:eastAsia="lt-LT"/>
              </w:rPr>
              <w:t>ESFA</w:t>
            </w:r>
            <w:r w:rsidR="005548DA" w:rsidRPr="00A70645">
              <w:rPr>
                <w:rFonts w:ascii="Times New Roman" w:eastAsia="Times New Roman" w:hAnsi="Times New Roman"/>
                <w:color w:val="000000" w:themeColor="text1"/>
                <w:sz w:val="24"/>
                <w:szCs w:val="24"/>
                <w:lang w:eastAsia="lt-LT"/>
              </w:rPr>
              <w:t xml:space="preserve">). </w:t>
            </w:r>
            <w:r w:rsidR="00E70F76" w:rsidRPr="00A70645">
              <w:rPr>
                <w:rFonts w:ascii="Times New Roman" w:eastAsia="Times New Roman" w:hAnsi="Times New Roman"/>
                <w:color w:val="000000" w:themeColor="text1"/>
                <w:sz w:val="24"/>
                <w:szCs w:val="24"/>
                <w:lang w:eastAsia="lt-LT"/>
              </w:rPr>
              <w:t>ESFA</w:t>
            </w:r>
            <w:r w:rsidR="005548DA" w:rsidRPr="00A70645">
              <w:rPr>
                <w:rFonts w:ascii="Times New Roman" w:eastAsia="Times New Roman" w:hAnsi="Times New Roman"/>
                <w:color w:val="000000" w:themeColor="text1"/>
                <w:sz w:val="24"/>
                <w:szCs w:val="24"/>
                <w:lang w:eastAsia="lt-LT"/>
              </w:rPr>
              <w:t xml:space="preserve"> pasirinkta kaip įgyvendinančioji institucija vadovaujantis 2014 m. birželio 4 d. Lietuvos Respublikos Vyriausybės nutarimu Nr. 528</w:t>
            </w:r>
            <w:r w:rsidR="00BF5C64" w:rsidRPr="00A70645">
              <w:rPr>
                <w:rFonts w:ascii="Times New Roman" w:eastAsia="Times New Roman" w:hAnsi="Times New Roman"/>
                <w:color w:val="000000" w:themeColor="text1"/>
                <w:sz w:val="24"/>
                <w:szCs w:val="24"/>
                <w:lang w:eastAsia="lt-LT"/>
              </w:rPr>
              <w:t>, todėl, kad</w:t>
            </w:r>
            <w:r w:rsidRPr="00A70645">
              <w:rPr>
                <w:rFonts w:ascii="Times New Roman" w:eastAsia="Times New Roman" w:hAnsi="Times New Roman"/>
                <w:color w:val="000000" w:themeColor="text1"/>
                <w:sz w:val="24"/>
                <w:szCs w:val="24"/>
                <w:lang w:eastAsia="lt-LT"/>
              </w:rPr>
              <w:t xml:space="preserve"> veiklos finansuojamos Europos </w:t>
            </w:r>
            <w:r w:rsidR="00E70F76" w:rsidRPr="00A70645">
              <w:rPr>
                <w:rFonts w:ascii="Times New Roman" w:eastAsia="Times New Roman" w:hAnsi="Times New Roman"/>
                <w:color w:val="000000" w:themeColor="text1"/>
                <w:sz w:val="24"/>
                <w:szCs w:val="24"/>
                <w:lang w:eastAsia="lt-LT"/>
              </w:rPr>
              <w:t>socialinio</w:t>
            </w:r>
            <w:r w:rsidRPr="00A70645">
              <w:rPr>
                <w:rFonts w:ascii="Times New Roman" w:eastAsia="Times New Roman" w:hAnsi="Times New Roman"/>
                <w:color w:val="000000" w:themeColor="text1"/>
                <w:sz w:val="24"/>
                <w:szCs w:val="24"/>
                <w:lang w:eastAsia="lt-LT"/>
              </w:rPr>
              <w:t xml:space="preserve"> fondo lėšomis</w:t>
            </w:r>
            <w:r w:rsidR="00BF5C64" w:rsidRPr="00A70645">
              <w:rPr>
                <w:rFonts w:ascii="Times New Roman" w:eastAsia="Times New Roman" w:hAnsi="Times New Roman"/>
                <w:color w:val="000000" w:themeColor="text1"/>
                <w:sz w:val="24"/>
                <w:szCs w:val="24"/>
                <w:lang w:eastAsia="lt-LT"/>
              </w:rPr>
              <w:t>,</w:t>
            </w:r>
            <w:r w:rsidRPr="00A70645">
              <w:rPr>
                <w:rFonts w:ascii="Times New Roman" w:eastAsia="Times New Roman" w:hAnsi="Times New Roman"/>
                <w:color w:val="000000" w:themeColor="text1"/>
                <w:sz w:val="24"/>
                <w:szCs w:val="24"/>
                <w:lang w:eastAsia="lt-LT"/>
              </w:rPr>
              <w:t xml:space="preserve"> ši agentūra turi patirties administruojant projektus</w:t>
            </w:r>
            <w:r w:rsidR="00B92473" w:rsidRPr="00A70645">
              <w:rPr>
                <w:rFonts w:ascii="Times New Roman" w:eastAsia="Times New Roman" w:hAnsi="Times New Roman"/>
                <w:color w:val="000000" w:themeColor="text1"/>
                <w:sz w:val="24"/>
                <w:szCs w:val="24"/>
                <w:lang w:eastAsia="lt-LT"/>
              </w:rPr>
              <w:t xml:space="preserve"> finansuojamus ESF lėšomis.</w:t>
            </w:r>
          </w:p>
          <w:p w14:paraId="4017D554" w14:textId="77777777" w:rsidR="00D54809" w:rsidRPr="00A70645" w:rsidRDefault="00D54809" w:rsidP="00D54809">
            <w:pPr>
              <w:widowControl w:val="0"/>
              <w:autoSpaceDE w:val="0"/>
              <w:autoSpaceDN w:val="0"/>
              <w:adjustRightInd w:val="0"/>
              <w:spacing w:line="278" w:lineRule="exact"/>
              <w:jc w:val="both"/>
              <w:rPr>
                <w:rFonts w:ascii="Times New Roman" w:eastAsia="Times New Roman" w:hAnsi="Times New Roman"/>
                <w:color w:val="000000" w:themeColor="text1"/>
                <w:sz w:val="24"/>
                <w:szCs w:val="24"/>
                <w:lang w:eastAsia="lt-LT"/>
              </w:rPr>
            </w:pPr>
          </w:p>
        </w:tc>
      </w:tr>
      <w:tr w:rsidR="00A70645" w:rsidRPr="00A70645" w14:paraId="1EC4F96B" w14:textId="77777777" w:rsidTr="00465660">
        <w:tc>
          <w:tcPr>
            <w:tcW w:w="10348" w:type="dxa"/>
            <w:gridSpan w:val="3"/>
            <w:shd w:val="clear" w:color="auto" w:fill="F2F2F2" w:themeFill="background1" w:themeFillShade="F2"/>
          </w:tcPr>
          <w:p w14:paraId="0FD2A307" w14:textId="77777777" w:rsidR="00FB6137" w:rsidRPr="00A70645" w:rsidRDefault="00FB6137" w:rsidP="00D54809">
            <w:pPr>
              <w:tabs>
                <w:tab w:val="left" w:pos="567"/>
                <w:tab w:val="left" w:pos="709"/>
              </w:tabs>
              <w:ind w:left="34"/>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V.</w:t>
            </w:r>
            <w:r w:rsidRPr="00A70645">
              <w:rPr>
                <w:rFonts w:ascii="Times New Roman" w:hAnsi="Times New Roman"/>
                <w:bCs/>
                <w:color w:val="000000" w:themeColor="text1"/>
                <w:sz w:val="24"/>
                <w:szCs w:val="24"/>
              </w:rPr>
              <w:t xml:space="preserve"> Reikalavimai, susiję su paramos pagal kitas iš ES finansuojamas programas ir kitą tarptautinę paramą atskyrimu</w:t>
            </w:r>
          </w:p>
        </w:tc>
      </w:tr>
      <w:tr w:rsidR="00A70645" w:rsidRPr="00A70645" w14:paraId="4A5D52BD" w14:textId="77777777" w:rsidTr="00465660">
        <w:tc>
          <w:tcPr>
            <w:tcW w:w="567" w:type="dxa"/>
          </w:tcPr>
          <w:p w14:paraId="05A1485B" w14:textId="77777777" w:rsidR="00FB6137" w:rsidRPr="00A70645" w:rsidRDefault="00FB6137" w:rsidP="00D54809">
            <w:pPr>
              <w:pStyle w:val="Sraopastraipa"/>
              <w:numPr>
                <w:ilvl w:val="0"/>
                <w:numId w:val="1"/>
              </w:numPr>
              <w:tabs>
                <w:tab w:val="left" w:pos="567"/>
              </w:tabs>
              <w:ind w:hanging="1046"/>
              <w:jc w:val="both"/>
              <w:rPr>
                <w:rFonts w:ascii="Times New Roman" w:hAnsi="Times New Roman"/>
                <w:color w:val="000000" w:themeColor="text1"/>
                <w:sz w:val="24"/>
                <w:szCs w:val="24"/>
              </w:rPr>
            </w:pPr>
          </w:p>
        </w:tc>
        <w:tc>
          <w:tcPr>
            <w:tcW w:w="2836" w:type="dxa"/>
          </w:tcPr>
          <w:p w14:paraId="17616D4E"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Priemonės sankirtų su kitomis veiksmų programos priemonėmis įvertinimas ir nustatymas </w:t>
            </w:r>
          </w:p>
        </w:tc>
        <w:tc>
          <w:tcPr>
            <w:tcW w:w="6945" w:type="dxa"/>
          </w:tcPr>
          <w:p w14:paraId="0FAAFD31" w14:textId="77777777" w:rsidR="00DC25C5" w:rsidRPr="00A70645" w:rsidRDefault="008E0592" w:rsidP="00D54809">
            <w:pPr>
              <w:widowControl w:val="0"/>
              <w:shd w:val="clear" w:color="auto" w:fill="FFFFFF"/>
              <w:autoSpaceDE w:val="0"/>
              <w:autoSpaceDN w:val="0"/>
              <w:adjustRightInd w:val="0"/>
              <w:spacing w:line="274" w:lineRule="exact"/>
              <w:ind w:right="38" w:firstLine="5"/>
              <w:jc w:val="both"/>
              <w:rPr>
                <w:rFonts w:ascii="Times New Roman" w:hAnsi="Times New Roman"/>
                <w:color w:val="000000" w:themeColor="text1"/>
                <w:sz w:val="24"/>
                <w:szCs w:val="24"/>
              </w:rPr>
            </w:pPr>
            <w:r w:rsidRPr="00A70645">
              <w:rPr>
                <w:rFonts w:ascii="Times New Roman" w:eastAsia="Times New Roman" w:hAnsi="Times New Roman"/>
                <w:color w:val="000000" w:themeColor="text1"/>
                <w:sz w:val="24"/>
                <w:szCs w:val="24"/>
                <w:lang w:eastAsia="lt-LT"/>
              </w:rPr>
              <w:t>Pagal ministerijos kompetenciją įvertint</w:t>
            </w:r>
            <w:r w:rsidR="00DC25C5" w:rsidRPr="00A70645">
              <w:rPr>
                <w:rFonts w:ascii="Times New Roman" w:eastAsia="Times New Roman" w:hAnsi="Times New Roman"/>
                <w:color w:val="000000" w:themeColor="text1"/>
                <w:sz w:val="24"/>
                <w:szCs w:val="24"/>
                <w:lang w:eastAsia="lt-LT"/>
              </w:rPr>
              <w:t>a</w:t>
            </w:r>
            <w:r w:rsidRPr="00A70645">
              <w:rPr>
                <w:rFonts w:ascii="Times New Roman" w:eastAsia="Times New Roman" w:hAnsi="Times New Roman"/>
                <w:color w:val="000000" w:themeColor="text1"/>
                <w:sz w:val="24"/>
                <w:szCs w:val="24"/>
                <w:lang w:eastAsia="lt-LT"/>
              </w:rPr>
              <w:t xml:space="preserve"> </w:t>
            </w:r>
            <w:r w:rsidR="003F04AC" w:rsidRPr="00A70645">
              <w:rPr>
                <w:rFonts w:ascii="Times New Roman" w:eastAsia="Times New Roman" w:hAnsi="Times New Roman"/>
                <w:color w:val="000000" w:themeColor="text1"/>
                <w:sz w:val="24"/>
                <w:szCs w:val="24"/>
                <w:lang w:eastAsia="lt-LT"/>
              </w:rPr>
              <w:t xml:space="preserve">šios </w:t>
            </w:r>
            <w:r w:rsidR="00DC25C5" w:rsidRPr="00A70645">
              <w:rPr>
                <w:rFonts w:ascii="Times New Roman" w:eastAsia="Times New Roman" w:hAnsi="Times New Roman"/>
                <w:color w:val="000000" w:themeColor="text1"/>
                <w:sz w:val="24"/>
                <w:szCs w:val="24"/>
                <w:lang w:eastAsia="lt-LT"/>
              </w:rPr>
              <w:t xml:space="preserve">specifinės Socialinės paramos </w:t>
            </w:r>
            <w:r w:rsidR="003F04AC" w:rsidRPr="00A70645">
              <w:rPr>
                <w:rFonts w:ascii="Times New Roman" w:eastAsia="Times New Roman" w:hAnsi="Times New Roman"/>
                <w:color w:val="000000" w:themeColor="text1"/>
                <w:sz w:val="24"/>
                <w:szCs w:val="24"/>
                <w:lang w:eastAsia="lt-LT"/>
              </w:rPr>
              <w:t>priemonės</w:t>
            </w:r>
            <w:r w:rsidR="00DC25C5" w:rsidRPr="00A70645">
              <w:rPr>
                <w:rFonts w:ascii="Times New Roman" w:eastAsia="Times New Roman" w:hAnsi="Times New Roman"/>
                <w:color w:val="000000" w:themeColor="text1"/>
                <w:sz w:val="24"/>
                <w:szCs w:val="24"/>
                <w:lang w:eastAsia="lt-LT"/>
              </w:rPr>
              <w:t>, susijusios su paramos teikimu (maisto talonų dalinimas ir kelionės išlaidų kompensavimas</w:t>
            </w:r>
            <w:r w:rsidR="0075558A" w:rsidRPr="00A70645">
              <w:rPr>
                <w:rFonts w:ascii="Times New Roman" w:eastAsia="Times New Roman" w:hAnsi="Times New Roman"/>
                <w:color w:val="000000" w:themeColor="text1"/>
                <w:sz w:val="24"/>
                <w:szCs w:val="24"/>
                <w:lang w:eastAsia="lt-LT"/>
              </w:rPr>
              <w:t>)</w:t>
            </w:r>
            <w:r w:rsidR="00DC25C5" w:rsidRPr="00A70645">
              <w:rPr>
                <w:rFonts w:ascii="Times New Roman" w:eastAsia="Times New Roman" w:hAnsi="Times New Roman"/>
                <w:color w:val="000000" w:themeColor="text1"/>
                <w:sz w:val="24"/>
                <w:szCs w:val="24"/>
                <w:lang w:eastAsia="lt-LT"/>
              </w:rPr>
              <w:t xml:space="preserve"> TB sergantiesiems ambulatorinio gydymo metu</w:t>
            </w:r>
            <w:r w:rsidR="0075558A" w:rsidRPr="00A70645">
              <w:rPr>
                <w:rFonts w:ascii="Times New Roman" w:eastAsia="Times New Roman" w:hAnsi="Times New Roman"/>
                <w:color w:val="000000" w:themeColor="text1"/>
                <w:sz w:val="24"/>
                <w:szCs w:val="24"/>
                <w:lang w:eastAsia="lt-LT"/>
              </w:rPr>
              <w:t>,</w:t>
            </w:r>
            <w:r w:rsidR="003F04AC" w:rsidRPr="00A70645">
              <w:rPr>
                <w:rFonts w:ascii="Times New Roman" w:eastAsia="Times New Roman" w:hAnsi="Times New Roman"/>
                <w:color w:val="000000" w:themeColor="text1"/>
                <w:sz w:val="24"/>
                <w:szCs w:val="24"/>
                <w:lang w:eastAsia="lt-LT"/>
              </w:rPr>
              <w:t xml:space="preserve"> remiam</w:t>
            </w:r>
            <w:r w:rsidR="00DC25C5" w:rsidRPr="00A70645">
              <w:rPr>
                <w:rFonts w:ascii="Times New Roman" w:eastAsia="Times New Roman" w:hAnsi="Times New Roman"/>
                <w:color w:val="000000" w:themeColor="text1"/>
                <w:sz w:val="24"/>
                <w:szCs w:val="24"/>
                <w:lang w:eastAsia="lt-LT"/>
              </w:rPr>
              <w:t>os</w:t>
            </w:r>
            <w:r w:rsidR="003F04AC" w:rsidRPr="00A70645">
              <w:rPr>
                <w:rFonts w:ascii="Times New Roman" w:eastAsia="Times New Roman" w:hAnsi="Times New Roman"/>
                <w:color w:val="000000" w:themeColor="text1"/>
                <w:sz w:val="24"/>
                <w:szCs w:val="24"/>
                <w:lang w:eastAsia="lt-LT"/>
              </w:rPr>
              <w:t xml:space="preserve"> 1.3.1 veiklos</w:t>
            </w:r>
            <w:r w:rsidRPr="00A70645">
              <w:rPr>
                <w:rFonts w:ascii="Times New Roman" w:eastAsia="Times New Roman" w:hAnsi="Times New Roman"/>
                <w:color w:val="000000" w:themeColor="text1"/>
                <w:sz w:val="24"/>
                <w:szCs w:val="24"/>
                <w:lang w:eastAsia="lt-LT"/>
              </w:rPr>
              <w:t xml:space="preserve"> galimos sankirtos su</w:t>
            </w:r>
            <w:r w:rsidRPr="00A70645">
              <w:rPr>
                <w:rFonts w:ascii="Times New Roman" w:hAnsi="Times New Roman"/>
                <w:color w:val="000000" w:themeColor="text1"/>
                <w:sz w:val="24"/>
                <w:szCs w:val="24"/>
              </w:rPr>
              <w:t xml:space="preserve"> </w:t>
            </w:r>
            <w:r w:rsidR="00DC25C5" w:rsidRPr="00A70645">
              <w:rPr>
                <w:rFonts w:ascii="Times New Roman" w:hAnsi="Times New Roman"/>
                <w:color w:val="000000" w:themeColor="text1"/>
                <w:sz w:val="24"/>
                <w:szCs w:val="24"/>
              </w:rPr>
              <w:t>kitų ministerijų administruojamomis priemonėmis nenustatyt</w:t>
            </w:r>
            <w:r w:rsidR="00432B9C" w:rsidRPr="00A70645">
              <w:rPr>
                <w:rFonts w:ascii="Times New Roman" w:hAnsi="Times New Roman"/>
                <w:color w:val="000000" w:themeColor="text1"/>
                <w:sz w:val="24"/>
                <w:szCs w:val="24"/>
              </w:rPr>
              <w:t>os</w:t>
            </w:r>
            <w:r w:rsidR="00DC25C5" w:rsidRPr="00A70645">
              <w:rPr>
                <w:rFonts w:ascii="Times New Roman" w:hAnsi="Times New Roman"/>
                <w:color w:val="000000" w:themeColor="text1"/>
                <w:sz w:val="24"/>
                <w:szCs w:val="24"/>
              </w:rPr>
              <w:t>.</w:t>
            </w:r>
          </w:p>
          <w:p w14:paraId="2DBFE897" w14:textId="77777777" w:rsidR="00FB5FAE" w:rsidRPr="00A70645" w:rsidRDefault="003F04AC" w:rsidP="00D54809">
            <w:pPr>
              <w:widowControl w:val="0"/>
              <w:shd w:val="clear" w:color="auto" w:fill="FFFFFF"/>
              <w:autoSpaceDE w:val="0"/>
              <w:autoSpaceDN w:val="0"/>
              <w:adjustRightInd w:val="0"/>
              <w:spacing w:line="274" w:lineRule="exact"/>
              <w:ind w:right="38" w:firstLine="5"/>
              <w:jc w:val="both"/>
              <w:rPr>
                <w:rFonts w:ascii="Times New Roman" w:eastAsia="Times New Roman" w:hAnsi="Times New Roman"/>
                <w:color w:val="000000" w:themeColor="text1"/>
                <w:sz w:val="24"/>
                <w:szCs w:val="24"/>
                <w:lang w:eastAsia="lt-LT"/>
              </w:rPr>
            </w:pPr>
            <w:r w:rsidRPr="00A70645">
              <w:rPr>
                <w:rFonts w:ascii="Times New Roman" w:eastAsia="Times New Roman" w:hAnsi="Times New Roman"/>
                <w:color w:val="000000" w:themeColor="text1"/>
                <w:sz w:val="24"/>
                <w:szCs w:val="24"/>
                <w:lang w:eastAsia="lt-LT"/>
              </w:rPr>
              <w:t>Siekiant išvengti veiklų</w:t>
            </w:r>
            <w:r w:rsidR="006A278A" w:rsidRPr="00A70645">
              <w:rPr>
                <w:rFonts w:ascii="Times New Roman" w:eastAsia="Times New Roman" w:hAnsi="Times New Roman"/>
                <w:color w:val="000000" w:themeColor="text1"/>
                <w:sz w:val="24"/>
                <w:szCs w:val="24"/>
                <w:lang w:eastAsia="lt-LT"/>
              </w:rPr>
              <w:t xml:space="preserve"> išlaidų</w:t>
            </w:r>
            <w:r w:rsidRPr="00A70645">
              <w:rPr>
                <w:rFonts w:ascii="Times New Roman" w:eastAsia="Times New Roman" w:hAnsi="Times New Roman"/>
                <w:color w:val="000000" w:themeColor="text1"/>
                <w:sz w:val="24"/>
                <w:szCs w:val="24"/>
                <w:lang w:eastAsia="lt-LT"/>
              </w:rPr>
              <w:t xml:space="preserve"> dubliavimosi </w:t>
            </w:r>
            <w:r w:rsidR="00D00E78" w:rsidRPr="00A70645">
              <w:rPr>
                <w:rFonts w:ascii="Times New Roman" w:eastAsia="Times New Roman" w:hAnsi="Times New Roman"/>
                <w:color w:val="000000" w:themeColor="text1"/>
                <w:sz w:val="24"/>
                <w:szCs w:val="24"/>
                <w:lang w:eastAsia="lt-LT"/>
              </w:rPr>
              <w:t xml:space="preserve">projektų finansavimo sąlygų apraše </w:t>
            </w:r>
            <w:r w:rsidRPr="00A70645">
              <w:rPr>
                <w:rFonts w:ascii="Times New Roman" w:eastAsia="Times New Roman" w:hAnsi="Times New Roman"/>
                <w:color w:val="000000" w:themeColor="text1"/>
                <w:sz w:val="24"/>
                <w:szCs w:val="24"/>
                <w:lang w:eastAsia="lt-LT"/>
              </w:rPr>
              <w:t>pare</w:t>
            </w:r>
            <w:r w:rsidR="00027AC0" w:rsidRPr="00A70645">
              <w:rPr>
                <w:rFonts w:ascii="Times New Roman" w:eastAsia="Times New Roman" w:hAnsi="Times New Roman"/>
                <w:color w:val="000000" w:themeColor="text1"/>
                <w:sz w:val="24"/>
                <w:szCs w:val="24"/>
                <w:lang w:eastAsia="lt-LT"/>
              </w:rPr>
              <w:t>iškėjams bus nustatyta prievolė</w:t>
            </w:r>
            <w:r w:rsidRPr="00A70645">
              <w:rPr>
                <w:rFonts w:ascii="Times New Roman" w:eastAsia="Times New Roman" w:hAnsi="Times New Roman"/>
                <w:color w:val="000000" w:themeColor="text1"/>
                <w:sz w:val="24"/>
                <w:szCs w:val="24"/>
                <w:lang w:eastAsia="lt-LT"/>
              </w:rPr>
              <w:t xml:space="preserve">, kartu su </w:t>
            </w:r>
            <w:r w:rsidR="00027AC0" w:rsidRPr="00A70645">
              <w:rPr>
                <w:rFonts w:ascii="Times New Roman" w:eastAsia="Times New Roman" w:hAnsi="Times New Roman"/>
                <w:color w:val="000000" w:themeColor="text1"/>
                <w:sz w:val="24"/>
                <w:szCs w:val="24"/>
                <w:lang w:eastAsia="lt-LT"/>
              </w:rPr>
              <w:t xml:space="preserve">projektiniu pasiūlymu </w:t>
            </w:r>
            <w:r w:rsidRPr="00A70645">
              <w:rPr>
                <w:rFonts w:ascii="Times New Roman" w:eastAsia="Times New Roman" w:hAnsi="Times New Roman"/>
                <w:color w:val="000000" w:themeColor="text1"/>
                <w:sz w:val="24"/>
                <w:szCs w:val="24"/>
                <w:lang w:eastAsia="lt-LT"/>
              </w:rPr>
              <w:t>pateikti deklaraciją apie tai, kad dėl paramos projektui nesikreipė į kitą instituciją ir gavęs paramą projektui, nesikreips į kitą instituciją dėl paramos tam pačiam projektui gavimo.</w:t>
            </w:r>
          </w:p>
          <w:p w14:paraId="364AADA4" w14:textId="77777777" w:rsidR="00C539B1" w:rsidRPr="00A70645" w:rsidRDefault="00C539B1" w:rsidP="00D54809">
            <w:pPr>
              <w:widowControl w:val="0"/>
              <w:autoSpaceDE w:val="0"/>
              <w:autoSpaceDN w:val="0"/>
              <w:adjustRightInd w:val="0"/>
              <w:jc w:val="both"/>
              <w:rPr>
                <w:rFonts w:ascii="Times New Roman" w:eastAsia="Times New Roman" w:hAnsi="Times New Roman"/>
                <w:color w:val="000000" w:themeColor="text1"/>
                <w:sz w:val="24"/>
                <w:szCs w:val="24"/>
                <w:lang w:eastAsia="lt-LT"/>
              </w:rPr>
            </w:pPr>
            <w:r w:rsidRPr="00A70645">
              <w:rPr>
                <w:rFonts w:ascii="Times New Roman" w:eastAsia="Times New Roman" w:hAnsi="Times New Roman"/>
                <w:color w:val="000000" w:themeColor="text1"/>
                <w:sz w:val="24"/>
                <w:szCs w:val="24"/>
                <w:lang w:eastAsia="lt-LT"/>
              </w:rPr>
              <w:t xml:space="preserve">Sankirtų su kitomis sveikatos apsaugos ministerijos administruojamomis priemonėmis nebus, kadangi pagal priemonę </w:t>
            </w:r>
            <w:r w:rsidR="00D743A2" w:rsidRPr="00A70645">
              <w:rPr>
                <w:rFonts w:ascii="Times New Roman" w:eastAsia="Times New Roman" w:hAnsi="Times New Roman"/>
                <w:color w:val="000000" w:themeColor="text1"/>
                <w:sz w:val="24"/>
                <w:szCs w:val="24"/>
                <w:lang w:eastAsia="lt-LT"/>
              </w:rPr>
              <w:br/>
            </w:r>
            <w:r w:rsidR="00DC25C5" w:rsidRPr="00A70645">
              <w:rPr>
                <w:rFonts w:ascii="Times New Roman" w:hAnsi="Times New Roman"/>
                <w:color w:val="000000" w:themeColor="text1"/>
                <w:sz w:val="24"/>
                <w:szCs w:val="24"/>
                <w:lang w:eastAsia="lt-LT"/>
              </w:rPr>
              <w:t xml:space="preserve">Nr. </w:t>
            </w:r>
            <w:r w:rsidR="00DC25C5" w:rsidRPr="00A70645">
              <w:rPr>
                <w:rFonts w:ascii="Times New Roman" w:hAnsi="Times New Roman"/>
                <w:color w:val="000000" w:themeColor="text1"/>
                <w:sz w:val="24"/>
                <w:szCs w:val="24"/>
              </w:rPr>
              <w:t>08.4.2-ESFA-R-615</w:t>
            </w:r>
            <w:r w:rsidR="00DC25C5" w:rsidRPr="00A70645">
              <w:rPr>
                <w:rFonts w:ascii="Times New Roman" w:hAnsi="Times New Roman"/>
                <w:color w:val="000000" w:themeColor="text1"/>
                <w:sz w:val="24"/>
                <w:szCs w:val="24"/>
                <w:lang w:eastAsia="lt-LT"/>
              </w:rPr>
              <w:t xml:space="preserve"> ,,</w:t>
            </w:r>
            <w:r w:rsidR="00DC25C5" w:rsidRPr="00A70645">
              <w:rPr>
                <w:rFonts w:ascii="Times New Roman" w:hAnsi="Times New Roman"/>
                <w:bCs/>
                <w:color w:val="000000" w:themeColor="text1"/>
                <w:sz w:val="24"/>
                <w:szCs w:val="24"/>
              </w:rPr>
              <w:t>Socialinės paramos priemonių, gerinančių ambulatorinių sveikatos priežiūros paslaugų prieinamumą tuberkulioze sergantiems pacientams, įgyvendinimas</w:t>
            </w:r>
            <w:r w:rsidR="00DC25C5" w:rsidRPr="00A70645">
              <w:rPr>
                <w:rFonts w:ascii="Times New Roman" w:hAnsi="Times New Roman"/>
                <w:color w:val="000000" w:themeColor="text1"/>
                <w:sz w:val="24"/>
                <w:szCs w:val="24"/>
                <w:lang w:eastAsia="lt-LT"/>
              </w:rPr>
              <w:t>“</w:t>
            </w:r>
            <w:r w:rsidR="00DC25C5" w:rsidRPr="00A70645">
              <w:rPr>
                <w:rFonts w:ascii="Times New Roman" w:hAnsi="Times New Roman"/>
                <w:color w:val="000000" w:themeColor="text1"/>
                <w:sz w:val="24"/>
                <w:szCs w:val="24"/>
              </w:rPr>
              <w:t xml:space="preserve"> </w:t>
            </w:r>
            <w:r w:rsidRPr="00A70645">
              <w:rPr>
                <w:rFonts w:ascii="Times New Roman" w:eastAsia="Times New Roman" w:hAnsi="Times New Roman"/>
                <w:color w:val="000000" w:themeColor="text1"/>
                <w:sz w:val="24"/>
                <w:szCs w:val="24"/>
                <w:lang w:eastAsia="lt-LT"/>
              </w:rPr>
              <w:t>bus finansuojam</w:t>
            </w:r>
            <w:r w:rsidR="00DC25C5" w:rsidRPr="00A70645">
              <w:rPr>
                <w:rFonts w:ascii="Times New Roman" w:eastAsia="Times New Roman" w:hAnsi="Times New Roman"/>
                <w:color w:val="000000" w:themeColor="text1"/>
                <w:sz w:val="24"/>
                <w:szCs w:val="24"/>
                <w:lang w:eastAsia="lt-LT"/>
              </w:rPr>
              <w:t>a</w:t>
            </w:r>
            <w:r w:rsidRPr="00A70645">
              <w:rPr>
                <w:rFonts w:ascii="Times New Roman" w:eastAsia="Times New Roman" w:hAnsi="Times New Roman"/>
                <w:color w:val="000000" w:themeColor="text1"/>
                <w:sz w:val="24"/>
                <w:szCs w:val="24"/>
                <w:lang w:eastAsia="lt-LT"/>
              </w:rPr>
              <w:t xml:space="preserve"> tik t</w:t>
            </w:r>
            <w:r w:rsidR="00DC25C5" w:rsidRPr="00A70645">
              <w:rPr>
                <w:rFonts w:ascii="Times New Roman" w:eastAsia="Times New Roman" w:hAnsi="Times New Roman"/>
                <w:color w:val="000000" w:themeColor="text1"/>
                <w:sz w:val="24"/>
                <w:szCs w:val="24"/>
                <w:lang w:eastAsia="lt-LT"/>
              </w:rPr>
              <w:t>a</w:t>
            </w:r>
            <w:r w:rsidRPr="00A70645">
              <w:rPr>
                <w:rFonts w:ascii="Times New Roman" w:eastAsia="Times New Roman" w:hAnsi="Times New Roman"/>
                <w:color w:val="000000" w:themeColor="text1"/>
                <w:sz w:val="24"/>
                <w:szCs w:val="24"/>
                <w:lang w:eastAsia="lt-LT"/>
              </w:rPr>
              <w:t xml:space="preserve"> veikl</w:t>
            </w:r>
            <w:r w:rsidR="00DC25C5" w:rsidRPr="00A70645">
              <w:rPr>
                <w:rFonts w:ascii="Times New Roman" w:eastAsia="Times New Roman" w:hAnsi="Times New Roman"/>
                <w:color w:val="000000" w:themeColor="text1"/>
                <w:sz w:val="24"/>
                <w:szCs w:val="24"/>
                <w:lang w:eastAsia="lt-LT"/>
              </w:rPr>
              <w:t>a</w:t>
            </w:r>
            <w:r w:rsidRPr="00A70645">
              <w:rPr>
                <w:rFonts w:ascii="Times New Roman" w:eastAsia="Times New Roman" w:hAnsi="Times New Roman"/>
                <w:color w:val="000000" w:themeColor="text1"/>
                <w:sz w:val="24"/>
                <w:szCs w:val="24"/>
                <w:lang w:eastAsia="lt-LT"/>
              </w:rPr>
              <w:t>, kuri bus įgyvendinam</w:t>
            </w:r>
            <w:r w:rsidR="00DC25C5" w:rsidRPr="00A70645">
              <w:rPr>
                <w:rFonts w:ascii="Times New Roman" w:eastAsia="Times New Roman" w:hAnsi="Times New Roman"/>
                <w:color w:val="000000" w:themeColor="text1"/>
                <w:sz w:val="24"/>
                <w:szCs w:val="24"/>
                <w:lang w:eastAsia="lt-LT"/>
              </w:rPr>
              <w:t>a</w:t>
            </w:r>
            <w:r w:rsidRPr="00A70645">
              <w:rPr>
                <w:rFonts w:ascii="Times New Roman" w:eastAsia="Times New Roman" w:hAnsi="Times New Roman"/>
                <w:color w:val="000000" w:themeColor="text1"/>
                <w:sz w:val="24"/>
                <w:szCs w:val="24"/>
                <w:lang w:eastAsia="lt-LT"/>
              </w:rPr>
              <w:t xml:space="preserve"> regioniniu lygiu, </w:t>
            </w:r>
            <w:r w:rsidR="00D743A2" w:rsidRPr="00A70645">
              <w:rPr>
                <w:rFonts w:ascii="Times New Roman" w:eastAsia="Times New Roman" w:hAnsi="Times New Roman"/>
                <w:color w:val="000000" w:themeColor="text1"/>
                <w:sz w:val="24"/>
                <w:szCs w:val="24"/>
                <w:lang w:eastAsia="lt-LT"/>
              </w:rPr>
              <w:br/>
            </w:r>
            <w:r w:rsidRPr="00A70645">
              <w:rPr>
                <w:rFonts w:ascii="Times New Roman" w:eastAsia="Times New Roman" w:hAnsi="Times New Roman"/>
                <w:color w:val="000000" w:themeColor="text1"/>
                <w:sz w:val="24"/>
                <w:szCs w:val="24"/>
                <w:lang w:eastAsia="lt-LT"/>
              </w:rPr>
              <w:t xml:space="preserve">o jų vykdytojai galės būti tik savivaldybių administracijos ir sveikatos priežiūros paslaugas teikiančios asmens sveikatos priežiūros </w:t>
            </w:r>
            <w:r w:rsidR="00DF34FB" w:rsidRPr="00A70645">
              <w:rPr>
                <w:rFonts w:ascii="Times New Roman" w:eastAsia="Times New Roman" w:hAnsi="Times New Roman"/>
                <w:color w:val="000000" w:themeColor="text1"/>
                <w:sz w:val="24"/>
                <w:szCs w:val="24"/>
                <w:lang w:eastAsia="lt-LT"/>
              </w:rPr>
              <w:t>įstaigos</w:t>
            </w:r>
            <w:r w:rsidRPr="00A70645">
              <w:rPr>
                <w:rFonts w:ascii="Times New Roman" w:eastAsia="Times New Roman" w:hAnsi="Times New Roman"/>
                <w:color w:val="000000" w:themeColor="text1"/>
                <w:sz w:val="24"/>
                <w:szCs w:val="24"/>
                <w:lang w:eastAsia="lt-LT"/>
              </w:rPr>
              <w:t>.</w:t>
            </w:r>
            <w:r w:rsidR="00DF34FB" w:rsidRPr="00A70645">
              <w:rPr>
                <w:rFonts w:ascii="Times New Roman" w:eastAsia="Times New Roman" w:hAnsi="Times New Roman"/>
                <w:bCs/>
                <w:color w:val="000000" w:themeColor="text1"/>
                <w:sz w:val="24"/>
                <w:szCs w:val="24"/>
                <w:lang w:eastAsia="lt-LT"/>
              </w:rPr>
              <w:t xml:space="preserve"> </w:t>
            </w:r>
            <w:r w:rsidR="001246BF" w:rsidRPr="00A70645">
              <w:rPr>
                <w:rFonts w:ascii="Times New Roman" w:eastAsia="Times New Roman" w:hAnsi="Times New Roman"/>
                <w:color w:val="000000" w:themeColor="text1"/>
                <w:sz w:val="24"/>
                <w:szCs w:val="24"/>
                <w:lang w:eastAsia="lt-LT"/>
              </w:rPr>
              <w:t>Tuo tarpu v</w:t>
            </w:r>
            <w:r w:rsidR="00DF34FB" w:rsidRPr="00A70645">
              <w:rPr>
                <w:rFonts w:ascii="Times New Roman" w:eastAsia="Times New Roman" w:hAnsi="Times New Roman"/>
                <w:color w:val="000000" w:themeColor="text1"/>
                <w:sz w:val="24"/>
                <w:szCs w:val="24"/>
                <w:lang w:eastAsia="lt-LT"/>
              </w:rPr>
              <w:t>alstybinė</w:t>
            </w:r>
            <w:r w:rsidRPr="00A70645">
              <w:rPr>
                <w:rFonts w:ascii="Times New Roman" w:eastAsia="Times New Roman" w:hAnsi="Times New Roman"/>
                <w:color w:val="000000" w:themeColor="text1"/>
                <w:sz w:val="24"/>
                <w:szCs w:val="24"/>
                <w:lang w:eastAsia="lt-LT"/>
              </w:rPr>
              <w:t>s priem</w:t>
            </w:r>
            <w:r w:rsidR="00DF34FB" w:rsidRPr="00A70645">
              <w:rPr>
                <w:rFonts w:ascii="Times New Roman" w:eastAsia="Times New Roman" w:hAnsi="Times New Roman"/>
                <w:color w:val="000000" w:themeColor="text1"/>
                <w:sz w:val="24"/>
                <w:szCs w:val="24"/>
                <w:lang w:eastAsia="lt-LT"/>
              </w:rPr>
              <w:t>onė</w:t>
            </w:r>
            <w:r w:rsidRPr="00A70645">
              <w:rPr>
                <w:rFonts w:ascii="Times New Roman" w:eastAsia="Times New Roman" w:hAnsi="Times New Roman"/>
                <w:color w:val="000000" w:themeColor="text1"/>
                <w:sz w:val="24"/>
                <w:szCs w:val="24"/>
                <w:lang w:eastAsia="lt-LT"/>
              </w:rPr>
              <w:t xml:space="preserve">s </w:t>
            </w:r>
            <w:r w:rsidR="00DF34FB" w:rsidRPr="00A70645">
              <w:rPr>
                <w:rFonts w:ascii="Times New Roman" w:eastAsia="Times New Roman" w:hAnsi="Times New Roman"/>
                <w:color w:val="000000" w:themeColor="text1"/>
                <w:sz w:val="24"/>
                <w:szCs w:val="24"/>
                <w:lang w:eastAsia="lt-LT"/>
              </w:rPr>
              <w:t>bus įgyvendinamos</w:t>
            </w:r>
            <w:r w:rsidRPr="00A70645">
              <w:rPr>
                <w:rFonts w:ascii="Times New Roman" w:eastAsia="Times New Roman" w:hAnsi="Times New Roman"/>
                <w:color w:val="000000" w:themeColor="text1"/>
                <w:sz w:val="24"/>
                <w:szCs w:val="24"/>
                <w:lang w:eastAsia="lt-LT"/>
              </w:rPr>
              <w:t xml:space="preserve"> nacionaliniu lygiu, o jų vykdytojais galės būti Sveikatos apsaugos ministerija ir jai pavaldžios įstaigos, universitetai, antrinio ir tretinio lygio paslaugas teikiančios asmens sveikatos priežiūros įstaigos.</w:t>
            </w:r>
          </w:p>
          <w:p w14:paraId="69F43CAD" w14:textId="77777777" w:rsidR="008E0518" w:rsidRPr="00A70645" w:rsidRDefault="001246BF" w:rsidP="008E0518">
            <w:pPr>
              <w:widowControl w:val="0"/>
              <w:autoSpaceDE w:val="0"/>
              <w:autoSpaceDN w:val="0"/>
              <w:adjustRightInd w:val="0"/>
              <w:jc w:val="both"/>
              <w:rPr>
                <w:rFonts w:ascii="Times New Roman" w:eastAsia="Times New Roman" w:hAnsi="Times New Roman"/>
                <w:color w:val="000000" w:themeColor="text1"/>
                <w:sz w:val="24"/>
                <w:szCs w:val="24"/>
                <w:lang w:eastAsia="lt-LT"/>
              </w:rPr>
            </w:pPr>
            <w:r w:rsidRPr="00A70645">
              <w:rPr>
                <w:rFonts w:ascii="Times New Roman" w:eastAsia="Times New Roman" w:hAnsi="Times New Roman"/>
                <w:color w:val="000000" w:themeColor="text1"/>
                <w:sz w:val="24"/>
                <w:szCs w:val="24"/>
                <w:lang w:eastAsia="lt-LT"/>
              </w:rPr>
              <w:t>Atitinkamai yra įvertinta, jog nėra veiklų dubliavimo su k</w:t>
            </w:r>
            <w:r w:rsidR="008E0518" w:rsidRPr="00A70645">
              <w:rPr>
                <w:rFonts w:ascii="Times New Roman" w:eastAsia="Times New Roman" w:hAnsi="Times New Roman"/>
                <w:color w:val="000000" w:themeColor="text1"/>
                <w:sz w:val="24"/>
                <w:szCs w:val="24"/>
                <w:lang w:eastAsia="lt-LT"/>
              </w:rPr>
              <w:t>ito</w:t>
            </w:r>
            <w:r w:rsidRPr="00A70645">
              <w:rPr>
                <w:rFonts w:ascii="Times New Roman" w:eastAsia="Times New Roman" w:hAnsi="Times New Roman"/>
                <w:color w:val="000000" w:themeColor="text1"/>
                <w:sz w:val="24"/>
                <w:szCs w:val="24"/>
                <w:lang w:eastAsia="lt-LT"/>
              </w:rPr>
              <w:t>mi</w:t>
            </w:r>
            <w:r w:rsidR="008E0518" w:rsidRPr="00A70645">
              <w:rPr>
                <w:rFonts w:ascii="Times New Roman" w:eastAsia="Times New Roman" w:hAnsi="Times New Roman"/>
                <w:color w:val="000000" w:themeColor="text1"/>
                <w:sz w:val="24"/>
                <w:szCs w:val="24"/>
                <w:lang w:eastAsia="lt-LT"/>
              </w:rPr>
              <w:t xml:space="preserve">s </w:t>
            </w:r>
            <w:r w:rsidRPr="00A70645">
              <w:rPr>
                <w:rFonts w:ascii="Times New Roman" w:eastAsia="Times New Roman" w:hAnsi="Times New Roman"/>
                <w:color w:val="000000" w:themeColor="text1"/>
                <w:sz w:val="24"/>
                <w:szCs w:val="24"/>
                <w:lang w:eastAsia="lt-LT"/>
              </w:rPr>
              <w:t xml:space="preserve">Sveikatos </w:t>
            </w:r>
            <w:r w:rsidR="008E0518" w:rsidRPr="00A70645">
              <w:rPr>
                <w:rFonts w:ascii="Times New Roman" w:eastAsia="Times New Roman" w:hAnsi="Times New Roman"/>
                <w:color w:val="000000" w:themeColor="text1"/>
                <w:sz w:val="24"/>
                <w:szCs w:val="24"/>
                <w:lang w:eastAsia="lt-LT"/>
              </w:rPr>
              <w:t xml:space="preserve">apsaugos ministerijos numatomos įgyvendinti </w:t>
            </w:r>
            <w:r w:rsidR="00D743A2" w:rsidRPr="00A70645">
              <w:rPr>
                <w:rFonts w:ascii="Times New Roman" w:eastAsia="Times New Roman" w:hAnsi="Times New Roman"/>
                <w:color w:val="000000" w:themeColor="text1"/>
                <w:sz w:val="24"/>
                <w:szCs w:val="24"/>
                <w:lang w:eastAsia="lt-LT"/>
              </w:rPr>
              <w:br/>
            </w:r>
            <w:r w:rsidR="008E0518" w:rsidRPr="00A70645">
              <w:rPr>
                <w:rFonts w:ascii="Times New Roman" w:eastAsia="Times New Roman" w:hAnsi="Times New Roman"/>
                <w:color w:val="000000" w:themeColor="text1"/>
                <w:sz w:val="24"/>
                <w:szCs w:val="24"/>
                <w:lang w:eastAsia="lt-LT"/>
              </w:rPr>
              <w:t>2014–2020 m. ES struktūrinių fondų investicijų veiksmų programos priemonė</w:t>
            </w:r>
            <w:r w:rsidRPr="00A70645">
              <w:rPr>
                <w:rFonts w:ascii="Times New Roman" w:eastAsia="Times New Roman" w:hAnsi="Times New Roman"/>
                <w:color w:val="000000" w:themeColor="text1"/>
                <w:sz w:val="24"/>
                <w:szCs w:val="24"/>
                <w:lang w:eastAsia="lt-LT"/>
              </w:rPr>
              <w:t>mi</w:t>
            </w:r>
            <w:r w:rsidR="008E0518" w:rsidRPr="00A70645">
              <w:rPr>
                <w:rFonts w:ascii="Times New Roman" w:eastAsia="Times New Roman" w:hAnsi="Times New Roman"/>
                <w:color w:val="000000" w:themeColor="text1"/>
                <w:sz w:val="24"/>
                <w:szCs w:val="24"/>
                <w:lang w:eastAsia="lt-LT"/>
              </w:rPr>
              <w:t>s, kuriose numatomi veiksmai, susiję su tuberkuliozės profilaktika, diagnostika ir gydymu</w:t>
            </w:r>
            <w:r w:rsidRPr="00A70645">
              <w:rPr>
                <w:rFonts w:ascii="Times New Roman" w:eastAsia="Times New Roman" w:hAnsi="Times New Roman"/>
                <w:color w:val="000000" w:themeColor="text1"/>
                <w:sz w:val="24"/>
                <w:szCs w:val="24"/>
                <w:lang w:eastAsia="lt-LT"/>
              </w:rPr>
              <w:t>,</w:t>
            </w:r>
            <w:r w:rsidR="008E0518" w:rsidRPr="00A70645">
              <w:rPr>
                <w:rFonts w:ascii="Times New Roman" w:eastAsia="Times New Roman" w:hAnsi="Times New Roman"/>
                <w:color w:val="000000" w:themeColor="text1"/>
                <w:sz w:val="24"/>
                <w:szCs w:val="24"/>
                <w:lang w:eastAsia="lt-LT"/>
              </w:rPr>
              <w:t xml:space="preserve"> t. y.:</w:t>
            </w:r>
          </w:p>
          <w:p w14:paraId="59C8995B" w14:textId="77777777" w:rsidR="008E0518" w:rsidRPr="00A70645" w:rsidRDefault="008E0518" w:rsidP="008E0518">
            <w:pPr>
              <w:widowControl w:val="0"/>
              <w:autoSpaceDE w:val="0"/>
              <w:autoSpaceDN w:val="0"/>
              <w:adjustRightInd w:val="0"/>
              <w:jc w:val="both"/>
              <w:rPr>
                <w:rFonts w:ascii="Times New Roman" w:eastAsia="Times New Roman" w:hAnsi="Times New Roman"/>
                <w:color w:val="000000" w:themeColor="text1"/>
                <w:sz w:val="24"/>
                <w:szCs w:val="24"/>
                <w:lang w:eastAsia="lt-LT"/>
              </w:rPr>
            </w:pPr>
            <w:r w:rsidRPr="00A70645">
              <w:rPr>
                <w:rFonts w:ascii="Times New Roman" w:eastAsia="Times New Roman" w:hAnsi="Times New Roman"/>
                <w:color w:val="000000" w:themeColor="text1"/>
                <w:sz w:val="24"/>
                <w:szCs w:val="24"/>
                <w:lang w:eastAsia="lt-LT"/>
              </w:rPr>
              <w:t>Nr. J02-CPVA-V „Tuberkuliozės profilaktikos, diagnostikos ir gydymo paslaugų kokybės ir prieinamumo gerinimas“, kuria numatoma didinant sveikatos priežiūros paslaugų (sveikatos ugdymo, profilaktinių, ankstyvosios diagnostikos, medicininės reabilitacijos ir sveikatos grąžinimo, kt.) prieinamumą ir kokybę tam tikrų socialinės rizikos grupių asmenims (sergantiems tuberkulioze, susijusiems asmenims ir jų šeimos nariams)</w:t>
            </w:r>
            <w:r w:rsidR="001B088A" w:rsidRPr="00A70645">
              <w:rPr>
                <w:rFonts w:ascii="Times New Roman" w:eastAsia="Times New Roman" w:hAnsi="Times New Roman"/>
                <w:color w:val="000000" w:themeColor="text1"/>
                <w:sz w:val="24"/>
                <w:szCs w:val="24"/>
                <w:lang w:eastAsia="lt-LT"/>
              </w:rPr>
              <w:t>.</w:t>
            </w:r>
            <w:r w:rsidRPr="00A70645">
              <w:rPr>
                <w:rFonts w:ascii="Times New Roman" w:eastAsia="Times New Roman" w:hAnsi="Times New Roman"/>
                <w:color w:val="000000" w:themeColor="text1"/>
                <w:sz w:val="24"/>
                <w:szCs w:val="24"/>
                <w:lang w:eastAsia="lt-LT"/>
              </w:rPr>
              <w:t xml:space="preserve"> </w:t>
            </w:r>
            <w:r w:rsidR="00F73B30" w:rsidRPr="00A70645">
              <w:rPr>
                <w:rFonts w:ascii="Times New Roman" w:eastAsia="Times New Roman" w:hAnsi="Times New Roman"/>
                <w:color w:val="000000" w:themeColor="text1"/>
                <w:sz w:val="24"/>
                <w:szCs w:val="24"/>
                <w:lang w:eastAsia="lt-LT"/>
              </w:rPr>
              <w:t>N</w:t>
            </w:r>
            <w:r w:rsidR="00D9385A" w:rsidRPr="00A70645">
              <w:rPr>
                <w:rFonts w:ascii="Times New Roman" w:eastAsia="Times New Roman" w:hAnsi="Times New Roman"/>
                <w:color w:val="000000" w:themeColor="text1"/>
                <w:sz w:val="24"/>
                <w:szCs w:val="24"/>
                <w:lang w:eastAsia="lt-LT"/>
              </w:rPr>
              <w:t xml:space="preserve">umatomas tuberkuliozės stacionarinių sveikatos priežiūros paslaugų infrastruktūros gerinimas: </w:t>
            </w:r>
            <w:r w:rsidR="00D9385A" w:rsidRPr="00A70645">
              <w:rPr>
                <w:rFonts w:ascii="Times New Roman" w:eastAsia="Times New Roman" w:hAnsi="Times New Roman"/>
                <w:color w:val="000000" w:themeColor="text1"/>
                <w:sz w:val="24"/>
                <w:szCs w:val="24"/>
                <w:lang w:eastAsia="lt-LT"/>
              </w:rPr>
              <w:lastRenderedPageBreak/>
              <w:t>bus remiamos veiklos, skirtos aprūpinti antrinio</w:t>
            </w:r>
            <w:r w:rsidR="00326004" w:rsidRPr="00A70645">
              <w:rPr>
                <w:rFonts w:ascii="Times New Roman" w:eastAsia="Times New Roman" w:hAnsi="Times New Roman"/>
                <w:color w:val="000000" w:themeColor="text1"/>
                <w:sz w:val="24"/>
                <w:szCs w:val="24"/>
                <w:lang w:eastAsia="lt-LT"/>
              </w:rPr>
              <w:t xml:space="preserve"> ir (ar) tretinio</w:t>
            </w:r>
            <w:r w:rsidR="00D9385A" w:rsidRPr="00A70645">
              <w:rPr>
                <w:rFonts w:ascii="Times New Roman" w:eastAsia="Times New Roman" w:hAnsi="Times New Roman"/>
                <w:color w:val="000000" w:themeColor="text1"/>
                <w:sz w:val="24"/>
                <w:szCs w:val="24"/>
                <w:lang w:eastAsia="lt-LT"/>
              </w:rPr>
              <w:t xml:space="preserve"> lygio sveikatos priežiūros paslaugas teikiančias įstaigas ankstyvosios diagnostikos ir gydymo paslaugoms teikti skirta </w:t>
            </w:r>
            <w:r w:rsidR="00B80D6D" w:rsidRPr="00A70645">
              <w:rPr>
                <w:rFonts w:ascii="Times New Roman" w:eastAsia="Times New Roman" w:hAnsi="Times New Roman"/>
                <w:color w:val="000000" w:themeColor="text1"/>
                <w:sz w:val="24"/>
                <w:szCs w:val="24"/>
                <w:lang w:eastAsia="lt-LT"/>
              </w:rPr>
              <w:t>įranga, patalpų pritaikymas</w:t>
            </w:r>
            <w:r w:rsidR="00D9385A" w:rsidRPr="00A70645">
              <w:rPr>
                <w:rFonts w:ascii="Times New Roman" w:eastAsia="Times New Roman" w:hAnsi="Times New Roman"/>
                <w:color w:val="000000" w:themeColor="text1"/>
                <w:sz w:val="24"/>
                <w:szCs w:val="24"/>
                <w:lang w:eastAsia="lt-LT"/>
              </w:rPr>
              <w:t>; mikroskopijos centrų infrastruktūros modernizavimas; automobilių mobilioms konsultacijoms bei mokymo paslaugoms teikti, įsigijimas; numatoma remti gydytojų, pulmonologų, slaugytojų mokymus tuberkuliozės tematika; informuoti visuomenę apie tuberkuliozės epidemiologinę būklę ir apsisaugojimo nuo jos būdus valstybiniu lygiu;</w:t>
            </w:r>
          </w:p>
          <w:p w14:paraId="7FB01019" w14:textId="77777777" w:rsidR="00DB3C42" w:rsidRPr="00A70645" w:rsidRDefault="00DB3C42" w:rsidP="008E0518">
            <w:pPr>
              <w:widowControl w:val="0"/>
              <w:autoSpaceDE w:val="0"/>
              <w:autoSpaceDN w:val="0"/>
              <w:adjustRightInd w:val="0"/>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Nr. 8.1.3-CPVA-R-609 ,,Pirminės asmens ir visuomenės sveikatos priežiūros paslaugų infrastruktūros tobulinimas“, pagal kurią numatomos investicijos į pirmin</w:t>
            </w:r>
            <w:r w:rsidR="00C8527C" w:rsidRPr="00A70645">
              <w:rPr>
                <w:rFonts w:ascii="Times New Roman" w:hAnsi="Times New Roman"/>
                <w:color w:val="000000" w:themeColor="text1"/>
                <w:sz w:val="24"/>
                <w:szCs w:val="24"/>
              </w:rPr>
              <w:t>ės</w:t>
            </w:r>
            <w:r w:rsidRPr="00A70645">
              <w:rPr>
                <w:rFonts w:ascii="Times New Roman" w:hAnsi="Times New Roman"/>
                <w:color w:val="000000" w:themeColor="text1"/>
                <w:sz w:val="24"/>
                <w:szCs w:val="24"/>
              </w:rPr>
              <w:t xml:space="preserve"> asmens sveikatos priežiūros grand</w:t>
            </w:r>
            <w:r w:rsidR="00C8527C" w:rsidRPr="00A70645">
              <w:rPr>
                <w:rFonts w:ascii="Times New Roman" w:hAnsi="Times New Roman"/>
                <w:color w:val="000000" w:themeColor="text1"/>
                <w:sz w:val="24"/>
                <w:szCs w:val="24"/>
              </w:rPr>
              <w:t>ies infrastruktūrą,</w:t>
            </w:r>
            <w:r w:rsidRPr="00A70645">
              <w:rPr>
                <w:rFonts w:ascii="Times New Roman" w:hAnsi="Times New Roman"/>
                <w:color w:val="000000" w:themeColor="text1"/>
                <w:sz w:val="24"/>
                <w:szCs w:val="24"/>
              </w:rPr>
              <w:t xml:space="preserve"> įrengiant TB DOTS kabinetus </w:t>
            </w:r>
            <w:r w:rsidR="00C8527C" w:rsidRPr="00A70645">
              <w:rPr>
                <w:rFonts w:ascii="Times New Roman" w:hAnsi="Times New Roman"/>
                <w:color w:val="000000" w:themeColor="text1"/>
                <w:sz w:val="24"/>
                <w:szCs w:val="24"/>
              </w:rPr>
              <w:br/>
            </w:r>
            <w:r w:rsidRPr="00A70645">
              <w:rPr>
                <w:rFonts w:ascii="Times New Roman" w:hAnsi="Times New Roman"/>
                <w:color w:val="000000" w:themeColor="text1"/>
                <w:sz w:val="24"/>
                <w:szCs w:val="24"/>
              </w:rPr>
              <w:t>60 savivaldybėse;</w:t>
            </w:r>
          </w:p>
          <w:p w14:paraId="20667955" w14:textId="77777777" w:rsidR="002713C9" w:rsidRPr="00A70645" w:rsidRDefault="002713C9" w:rsidP="002713C9">
            <w:pPr>
              <w:tabs>
                <w:tab w:val="center" w:pos="4153"/>
                <w:tab w:val="right" w:pos="8306"/>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Nr. 8.4.2-ESFA-V-617 ,,Specialistų pritraukimas sveikatos netolygumams mažinti“, kuria planuojama pagal pagrįstą poreikį organizuoti gydytojų pulmonologų pritraukimą į tas savivaldybes, kuriose jis būtų tikslingas;</w:t>
            </w:r>
          </w:p>
          <w:p w14:paraId="1C097FF8" w14:textId="77777777" w:rsidR="00BB2089" w:rsidRPr="00A70645" w:rsidRDefault="00BB2089" w:rsidP="008E0518">
            <w:pPr>
              <w:widowControl w:val="0"/>
              <w:autoSpaceDE w:val="0"/>
              <w:autoSpaceDN w:val="0"/>
              <w:adjustRightInd w:val="0"/>
              <w:jc w:val="both"/>
              <w:rPr>
                <w:rFonts w:ascii="Times New Roman" w:eastAsia="Times New Roman" w:hAnsi="Times New Roman"/>
                <w:color w:val="000000" w:themeColor="text1"/>
                <w:sz w:val="24"/>
                <w:szCs w:val="24"/>
                <w:lang w:eastAsia="lt-LT"/>
              </w:rPr>
            </w:pPr>
            <w:r w:rsidRPr="00A70645">
              <w:rPr>
                <w:rFonts w:ascii="Times New Roman" w:hAnsi="Times New Roman"/>
                <w:bCs/>
                <w:color w:val="000000" w:themeColor="text1"/>
                <w:sz w:val="24"/>
                <w:szCs w:val="24"/>
                <w:lang w:eastAsia="lt-LT"/>
              </w:rPr>
              <w:t>Nr. 08.4.2-ESFA-R-630 ,,Sveikos gyvensenos skatinimas regioniniu lygiu“</w:t>
            </w:r>
            <w:r w:rsidR="0028012C" w:rsidRPr="00A70645">
              <w:rPr>
                <w:rFonts w:ascii="Times New Roman" w:hAnsi="Times New Roman"/>
                <w:bCs/>
                <w:color w:val="000000" w:themeColor="text1"/>
                <w:sz w:val="24"/>
                <w:szCs w:val="24"/>
                <w:lang w:eastAsia="lt-LT"/>
              </w:rPr>
              <w:t>,</w:t>
            </w:r>
            <w:r w:rsidRPr="00A70645">
              <w:rPr>
                <w:rFonts w:ascii="Times New Roman" w:hAnsi="Times New Roman"/>
                <w:bCs/>
                <w:color w:val="000000" w:themeColor="text1"/>
                <w:sz w:val="24"/>
                <w:szCs w:val="24"/>
                <w:lang w:eastAsia="lt-LT"/>
              </w:rPr>
              <w:t xml:space="preserve"> </w:t>
            </w:r>
            <w:r w:rsidRPr="00A70645">
              <w:rPr>
                <w:rFonts w:ascii="Times New Roman" w:eastAsia="Times New Roman" w:hAnsi="Times New Roman"/>
                <w:color w:val="000000" w:themeColor="text1"/>
                <w:sz w:val="24"/>
                <w:szCs w:val="24"/>
                <w:lang w:eastAsia="lt-LT"/>
              </w:rPr>
              <w:t xml:space="preserve">pagal kurią numatoma finansuoti </w:t>
            </w:r>
            <w:r w:rsidRPr="00A70645">
              <w:rPr>
                <w:rFonts w:ascii="Times New Roman" w:hAnsi="Times New Roman"/>
                <w:color w:val="000000" w:themeColor="text1"/>
                <w:sz w:val="24"/>
                <w:szCs w:val="24"/>
              </w:rPr>
              <w:t>sveikatos ugdymo priemonių, susijusių su TB prevencija, įgyvendinimu regionuose (tikslinių grupių asmenų švietimas, informavimas, mokymas ir kt.).</w:t>
            </w:r>
          </w:p>
          <w:p w14:paraId="337F1866" w14:textId="7DDEE8E3" w:rsidR="00B81FEB" w:rsidRPr="00A70645" w:rsidRDefault="002713C9" w:rsidP="00D54809">
            <w:pPr>
              <w:widowControl w:val="0"/>
              <w:autoSpaceDE w:val="0"/>
              <w:autoSpaceDN w:val="0"/>
              <w:adjustRightInd w:val="0"/>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Visų numatytų įgyvendinti veiksmų tuberkuliozės srityje</w:t>
            </w:r>
            <w:r w:rsidR="0028012C" w:rsidRPr="00A70645">
              <w:rPr>
                <w:rFonts w:ascii="Times New Roman" w:hAnsi="Times New Roman"/>
                <w:color w:val="000000" w:themeColor="text1"/>
                <w:sz w:val="24"/>
                <w:szCs w:val="24"/>
              </w:rPr>
              <w:t>, tarp jų ir ES fondų investicijomis finansuojamų priemonių,</w:t>
            </w:r>
            <w:r w:rsidRPr="00A70645">
              <w:rPr>
                <w:rFonts w:ascii="Times New Roman" w:hAnsi="Times New Roman"/>
                <w:color w:val="000000" w:themeColor="text1"/>
                <w:sz w:val="24"/>
                <w:szCs w:val="24"/>
              </w:rPr>
              <w:t xml:space="preserve"> koordinavim</w:t>
            </w:r>
            <w:r w:rsidR="0028012C" w:rsidRPr="00A70645">
              <w:rPr>
                <w:rFonts w:ascii="Times New Roman" w:hAnsi="Times New Roman"/>
                <w:color w:val="000000" w:themeColor="text1"/>
                <w:sz w:val="24"/>
                <w:szCs w:val="24"/>
              </w:rPr>
              <w:t>o,</w:t>
            </w:r>
            <w:r w:rsidRPr="00A70645">
              <w:rPr>
                <w:rFonts w:ascii="Times New Roman" w:hAnsi="Times New Roman"/>
                <w:color w:val="000000" w:themeColor="text1"/>
                <w:sz w:val="24"/>
                <w:szCs w:val="24"/>
              </w:rPr>
              <w:t xml:space="preserve">  suderinamum</w:t>
            </w:r>
            <w:r w:rsidR="0028012C" w:rsidRPr="00A70645">
              <w:rPr>
                <w:rFonts w:ascii="Times New Roman" w:hAnsi="Times New Roman"/>
                <w:color w:val="000000" w:themeColor="text1"/>
                <w:sz w:val="24"/>
                <w:szCs w:val="24"/>
              </w:rPr>
              <w:t>o</w:t>
            </w:r>
            <w:r w:rsidRPr="00A70645">
              <w:rPr>
                <w:rFonts w:ascii="Times New Roman" w:hAnsi="Times New Roman"/>
                <w:color w:val="000000" w:themeColor="text1"/>
                <w:sz w:val="24"/>
                <w:szCs w:val="24"/>
              </w:rPr>
              <w:t xml:space="preserve"> </w:t>
            </w:r>
            <w:r w:rsidR="0028012C" w:rsidRPr="00A70645">
              <w:rPr>
                <w:rFonts w:ascii="Times New Roman" w:hAnsi="Times New Roman"/>
                <w:color w:val="000000" w:themeColor="text1"/>
                <w:sz w:val="24"/>
                <w:szCs w:val="24"/>
              </w:rPr>
              <w:t xml:space="preserve">ir </w:t>
            </w:r>
            <w:r w:rsidRPr="00A70645">
              <w:rPr>
                <w:rFonts w:ascii="Times New Roman" w:hAnsi="Times New Roman"/>
                <w:color w:val="000000" w:themeColor="text1"/>
                <w:sz w:val="24"/>
                <w:szCs w:val="24"/>
              </w:rPr>
              <w:t>užtikrinim</w:t>
            </w:r>
            <w:r w:rsidR="0028012C" w:rsidRPr="00A70645">
              <w:rPr>
                <w:rFonts w:ascii="Times New Roman" w:hAnsi="Times New Roman"/>
                <w:color w:val="000000" w:themeColor="text1"/>
                <w:sz w:val="24"/>
                <w:szCs w:val="24"/>
              </w:rPr>
              <w:t>o</w:t>
            </w:r>
            <w:r w:rsidRPr="00A70645">
              <w:rPr>
                <w:rFonts w:ascii="Times New Roman" w:hAnsi="Times New Roman"/>
                <w:color w:val="000000" w:themeColor="text1"/>
                <w:sz w:val="24"/>
                <w:szCs w:val="24"/>
              </w:rPr>
              <w:t xml:space="preserve"> </w:t>
            </w:r>
            <w:r w:rsidR="00EA5EEE" w:rsidRPr="00A70645">
              <w:rPr>
                <w:rFonts w:ascii="Times New Roman" w:hAnsi="Times New Roman"/>
                <w:color w:val="000000" w:themeColor="text1"/>
                <w:sz w:val="24"/>
                <w:szCs w:val="24"/>
              </w:rPr>
              <w:t xml:space="preserve">kontrolę vykdo </w:t>
            </w:r>
            <w:r w:rsidRPr="00A70645">
              <w:rPr>
                <w:rFonts w:ascii="Times New Roman" w:hAnsi="Times New Roman"/>
                <w:color w:val="000000" w:themeColor="text1"/>
                <w:sz w:val="24"/>
                <w:szCs w:val="24"/>
              </w:rPr>
              <w:t>Priemonių priežiūros komitetas.</w:t>
            </w:r>
          </w:p>
          <w:p w14:paraId="2DD7C996" w14:textId="77777777" w:rsidR="00D743A2" w:rsidRPr="00A70645" w:rsidRDefault="00D743A2" w:rsidP="00D54809">
            <w:pPr>
              <w:widowControl w:val="0"/>
              <w:autoSpaceDE w:val="0"/>
              <w:autoSpaceDN w:val="0"/>
              <w:adjustRightInd w:val="0"/>
              <w:jc w:val="both"/>
              <w:rPr>
                <w:rFonts w:ascii="Times New Roman" w:eastAsia="Times New Roman" w:hAnsi="Times New Roman"/>
                <w:color w:val="000000" w:themeColor="text1"/>
                <w:sz w:val="24"/>
                <w:szCs w:val="24"/>
                <w:lang w:eastAsia="lt-LT"/>
              </w:rPr>
            </w:pPr>
          </w:p>
        </w:tc>
      </w:tr>
      <w:tr w:rsidR="00A70645" w:rsidRPr="00A70645" w14:paraId="6B54477D" w14:textId="77777777" w:rsidTr="00465660">
        <w:tc>
          <w:tcPr>
            <w:tcW w:w="567" w:type="dxa"/>
          </w:tcPr>
          <w:p w14:paraId="793BEEEE" w14:textId="77777777" w:rsidR="00FB6137" w:rsidRPr="00A70645" w:rsidRDefault="00FB6137" w:rsidP="00D54809">
            <w:pPr>
              <w:pStyle w:val="Sraopastraipa"/>
              <w:numPr>
                <w:ilvl w:val="0"/>
                <w:numId w:val="1"/>
              </w:numPr>
              <w:tabs>
                <w:tab w:val="left" w:pos="567"/>
              </w:tabs>
              <w:ind w:hanging="1046"/>
              <w:jc w:val="both"/>
              <w:rPr>
                <w:rFonts w:ascii="Times New Roman" w:hAnsi="Times New Roman"/>
                <w:color w:val="000000" w:themeColor="text1"/>
                <w:sz w:val="24"/>
                <w:szCs w:val="24"/>
              </w:rPr>
            </w:pPr>
          </w:p>
        </w:tc>
        <w:tc>
          <w:tcPr>
            <w:tcW w:w="2836" w:type="dxa"/>
          </w:tcPr>
          <w:p w14:paraId="0B4A0B3D"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Priemonės sankirtų su kitų ES struktūrinių fondų, kitos ES finansinės paramos ar kitos tarptautinės paramos priemonėmis įvertinimas ir nustatymas </w:t>
            </w:r>
          </w:p>
        </w:tc>
        <w:tc>
          <w:tcPr>
            <w:tcW w:w="6945" w:type="dxa"/>
          </w:tcPr>
          <w:p w14:paraId="329DD07E" w14:textId="77777777" w:rsidR="00AE36C1" w:rsidRPr="00A70645" w:rsidRDefault="00A65667" w:rsidP="00D00E78">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Įvertinus numatomas finansuoti veiklas sankirtų su kitų ES struktūrinių fondų, kitos ES finansinės paramos ar kitos tarptautinės paramos priemonėmis nenustatyta.</w:t>
            </w:r>
          </w:p>
        </w:tc>
      </w:tr>
      <w:tr w:rsidR="00A70645" w:rsidRPr="00A70645" w14:paraId="58F731B3" w14:textId="77777777" w:rsidTr="00465660">
        <w:tc>
          <w:tcPr>
            <w:tcW w:w="567" w:type="dxa"/>
          </w:tcPr>
          <w:p w14:paraId="1B477ED3" w14:textId="77777777" w:rsidR="00FB6137" w:rsidRPr="00A70645" w:rsidRDefault="00FB6137" w:rsidP="00D54809">
            <w:pPr>
              <w:pStyle w:val="Sraopastraipa"/>
              <w:numPr>
                <w:ilvl w:val="0"/>
                <w:numId w:val="1"/>
              </w:numPr>
              <w:tabs>
                <w:tab w:val="left" w:pos="567"/>
              </w:tabs>
              <w:ind w:hanging="1046"/>
              <w:jc w:val="both"/>
              <w:rPr>
                <w:rFonts w:ascii="Times New Roman" w:hAnsi="Times New Roman"/>
                <w:color w:val="000000" w:themeColor="text1"/>
                <w:sz w:val="24"/>
                <w:szCs w:val="24"/>
              </w:rPr>
            </w:pPr>
          </w:p>
        </w:tc>
        <w:tc>
          <w:tcPr>
            <w:tcW w:w="2836" w:type="dxa"/>
          </w:tcPr>
          <w:p w14:paraId="20D9143C"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Priemonės sankirtos su iš valstybės biudžeto programų finansuojamomis veiklomis</w:t>
            </w:r>
          </w:p>
        </w:tc>
        <w:tc>
          <w:tcPr>
            <w:tcW w:w="6945" w:type="dxa"/>
          </w:tcPr>
          <w:p w14:paraId="42EA0263" w14:textId="77777777" w:rsidR="00A65667" w:rsidRPr="00A70645" w:rsidRDefault="00A65667" w:rsidP="00D54809">
            <w:pPr>
              <w:tabs>
                <w:tab w:val="left" w:pos="567"/>
              </w:tabs>
              <w:jc w:val="both"/>
              <w:rPr>
                <w:rFonts w:ascii="Times New Roman" w:eastAsia="Times New Roman" w:hAnsi="Times New Roman"/>
                <w:color w:val="000000" w:themeColor="text1"/>
                <w:sz w:val="24"/>
                <w:szCs w:val="24"/>
                <w:lang w:eastAsia="lt-LT"/>
              </w:rPr>
            </w:pPr>
            <w:r w:rsidRPr="00A70645">
              <w:rPr>
                <w:rFonts w:ascii="Times New Roman" w:eastAsia="Times New Roman" w:hAnsi="Times New Roman"/>
                <w:color w:val="000000" w:themeColor="text1"/>
                <w:spacing w:val="5"/>
                <w:sz w:val="24"/>
                <w:szCs w:val="24"/>
              </w:rPr>
              <w:t>Priemonės sankirtos su iš valstybės biudžeto programų finansuojamomis veiklomis nenustatytos.</w:t>
            </w:r>
          </w:p>
          <w:p w14:paraId="266A5979" w14:textId="77777777" w:rsidR="00D54809" w:rsidRPr="00A70645" w:rsidRDefault="00D54809" w:rsidP="00196870">
            <w:pPr>
              <w:tabs>
                <w:tab w:val="left" w:pos="567"/>
              </w:tabs>
              <w:jc w:val="both"/>
              <w:rPr>
                <w:rFonts w:ascii="Times New Roman" w:hAnsi="Times New Roman"/>
                <w:color w:val="000000" w:themeColor="text1"/>
                <w:sz w:val="24"/>
                <w:szCs w:val="24"/>
              </w:rPr>
            </w:pPr>
          </w:p>
        </w:tc>
      </w:tr>
      <w:tr w:rsidR="00A70645" w:rsidRPr="00A70645" w14:paraId="46B7F06C" w14:textId="77777777" w:rsidTr="00465660">
        <w:tc>
          <w:tcPr>
            <w:tcW w:w="10348" w:type="dxa"/>
            <w:gridSpan w:val="3"/>
            <w:shd w:val="clear" w:color="auto" w:fill="F2F2F2" w:themeFill="background1" w:themeFillShade="F2"/>
          </w:tcPr>
          <w:p w14:paraId="1E3A8974"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VI. P</w:t>
            </w:r>
            <w:r w:rsidRPr="00A70645">
              <w:rPr>
                <w:rFonts w:ascii="Times New Roman" w:hAnsi="Times New Roman"/>
                <w:bCs/>
                <w:color w:val="000000" w:themeColor="text1"/>
                <w:sz w:val="24"/>
                <w:szCs w:val="24"/>
              </w:rPr>
              <w:t>riemonės įgyvendinimo stebėsenos rodikliai</w:t>
            </w:r>
          </w:p>
        </w:tc>
      </w:tr>
      <w:tr w:rsidR="00A70645" w:rsidRPr="00A70645" w14:paraId="50F82C11" w14:textId="77777777" w:rsidTr="00465660">
        <w:tc>
          <w:tcPr>
            <w:tcW w:w="567" w:type="dxa"/>
          </w:tcPr>
          <w:p w14:paraId="198F2B70" w14:textId="77777777" w:rsidR="00FB6137" w:rsidRPr="00A70645" w:rsidRDefault="00FB6137" w:rsidP="00D54809">
            <w:pPr>
              <w:pStyle w:val="Sraopastraipa"/>
              <w:numPr>
                <w:ilvl w:val="0"/>
                <w:numId w:val="1"/>
              </w:numPr>
              <w:tabs>
                <w:tab w:val="left" w:pos="567"/>
              </w:tabs>
              <w:ind w:hanging="1046"/>
              <w:jc w:val="both"/>
              <w:rPr>
                <w:rFonts w:ascii="Times New Roman" w:hAnsi="Times New Roman"/>
                <w:color w:val="000000" w:themeColor="text1"/>
                <w:sz w:val="24"/>
                <w:szCs w:val="24"/>
              </w:rPr>
            </w:pPr>
          </w:p>
        </w:tc>
        <w:tc>
          <w:tcPr>
            <w:tcW w:w="2836" w:type="dxa"/>
          </w:tcPr>
          <w:p w14:paraId="2482371D"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Nacionalinių stebėsenos rodiklių nustatymo poreikis</w:t>
            </w:r>
          </w:p>
        </w:tc>
        <w:tc>
          <w:tcPr>
            <w:tcW w:w="6945" w:type="dxa"/>
          </w:tcPr>
          <w:p w14:paraId="32891BB1" w14:textId="36F23049" w:rsidR="004B2EFA" w:rsidRPr="00A70645" w:rsidRDefault="0089771E" w:rsidP="00F01B51">
            <w:pPr>
              <w:widowControl w:val="0"/>
              <w:shd w:val="clear" w:color="auto" w:fill="FFFFFF"/>
              <w:autoSpaceDE w:val="0"/>
              <w:autoSpaceDN w:val="0"/>
              <w:adjustRightInd w:val="0"/>
              <w:spacing w:line="274" w:lineRule="exact"/>
              <w:ind w:left="10" w:right="29" w:firstLine="10"/>
              <w:jc w:val="both"/>
              <w:rPr>
                <w:rFonts w:ascii="Times New Roman" w:hAnsi="Times New Roman"/>
                <w:color w:val="000000" w:themeColor="text1"/>
                <w:sz w:val="24"/>
                <w:szCs w:val="24"/>
              </w:rPr>
            </w:pPr>
            <w:r w:rsidRPr="00A70645">
              <w:rPr>
                <w:rFonts w:ascii="Times New Roman" w:eastAsia="Times New Roman" w:hAnsi="Times New Roman"/>
                <w:color w:val="000000" w:themeColor="text1"/>
                <w:sz w:val="24"/>
                <w:szCs w:val="24"/>
                <w:lang w:eastAsia="lt-LT"/>
              </w:rPr>
              <w:t>V</w:t>
            </w:r>
            <w:r w:rsidR="00FB5FAE" w:rsidRPr="00A70645">
              <w:rPr>
                <w:rFonts w:ascii="Times New Roman" w:eastAsia="Times New Roman" w:hAnsi="Times New Roman"/>
                <w:color w:val="000000" w:themeColor="text1"/>
                <w:sz w:val="24"/>
                <w:szCs w:val="24"/>
                <w:lang w:eastAsia="lt-LT"/>
              </w:rPr>
              <w:t>eiksmų p</w:t>
            </w:r>
            <w:r w:rsidR="00CE3A2F" w:rsidRPr="00A70645">
              <w:rPr>
                <w:rFonts w:ascii="Times New Roman" w:eastAsia="Times New Roman" w:hAnsi="Times New Roman"/>
                <w:color w:val="000000" w:themeColor="text1"/>
                <w:sz w:val="24"/>
                <w:szCs w:val="24"/>
                <w:lang w:eastAsia="lt-LT"/>
              </w:rPr>
              <w:t xml:space="preserve">rogramos stebėsenos rodikliai </w:t>
            </w:r>
            <w:r w:rsidR="00196870" w:rsidRPr="00A70645">
              <w:rPr>
                <w:rFonts w:ascii="Times New Roman" w:eastAsia="Times New Roman" w:hAnsi="Times New Roman"/>
                <w:color w:val="000000" w:themeColor="text1"/>
                <w:sz w:val="24"/>
                <w:szCs w:val="24"/>
                <w:lang w:eastAsia="lt-LT"/>
              </w:rPr>
              <w:t>ne</w:t>
            </w:r>
            <w:r w:rsidR="00FB5FAE" w:rsidRPr="00A70645">
              <w:rPr>
                <w:rFonts w:ascii="Times New Roman" w:eastAsia="Times New Roman" w:hAnsi="Times New Roman"/>
                <w:color w:val="000000" w:themeColor="text1"/>
                <w:sz w:val="24"/>
                <w:szCs w:val="24"/>
                <w:lang w:eastAsia="lt-LT"/>
              </w:rPr>
              <w:t xml:space="preserve">pakankamai atspindi pagal priemonę </w:t>
            </w:r>
            <w:r w:rsidR="00CE3A2F" w:rsidRPr="00A70645">
              <w:rPr>
                <w:rFonts w:ascii="Times New Roman" w:eastAsia="Times New Roman" w:hAnsi="Times New Roman"/>
                <w:color w:val="000000" w:themeColor="text1"/>
                <w:sz w:val="24"/>
                <w:szCs w:val="24"/>
                <w:lang w:eastAsia="lt-LT"/>
              </w:rPr>
              <w:t>remiamų projektų veiklų pobūdį</w:t>
            </w:r>
            <w:r w:rsidR="00196870" w:rsidRPr="00A70645">
              <w:rPr>
                <w:rFonts w:ascii="Times New Roman" w:eastAsia="Times New Roman" w:hAnsi="Times New Roman"/>
                <w:color w:val="000000" w:themeColor="text1"/>
                <w:sz w:val="24"/>
                <w:szCs w:val="24"/>
                <w:lang w:eastAsia="lt-LT"/>
              </w:rPr>
              <w:t>, jų nepakanka siekiant užtikrinti tinkamą ir kokybišką priemonės įgyvendinimo stebėseną, todėl nacionaliniu lygiu buvo nustatyti ir patvirtinti TB priemonės nacionaliniai stebėsenos rodikliai</w:t>
            </w:r>
            <w:r w:rsidR="004B2EFA" w:rsidRPr="00A70645">
              <w:rPr>
                <w:rFonts w:ascii="Times New Roman" w:eastAsia="Times New Roman" w:hAnsi="Times New Roman"/>
                <w:color w:val="000000" w:themeColor="text1"/>
                <w:sz w:val="24"/>
                <w:szCs w:val="24"/>
                <w:lang w:eastAsia="lt-LT"/>
              </w:rPr>
              <w:t xml:space="preserve"> </w:t>
            </w:r>
            <w:r w:rsidR="0028012C" w:rsidRPr="00A70645">
              <w:rPr>
                <w:rFonts w:ascii="Times New Roman" w:hAnsi="Times New Roman"/>
                <w:color w:val="000000" w:themeColor="text1"/>
                <w:sz w:val="24"/>
                <w:szCs w:val="24"/>
              </w:rPr>
              <w:t xml:space="preserve">2015 m. birželio 22 d. </w:t>
            </w:r>
            <w:r w:rsidR="0028012C" w:rsidRPr="00A70645">
              <w:rPr>
                <w:rFonts w:ascii="Times New Roman" w:eastAsia="Times New Roman" w:hAnsi="Times New Roman"/>
                <w:color w:val="000000" w:themeColor="text1"/>
                <w:sz w:val="24"/>
                <w:szCs w:val="24"/>
                <w:lang w:eastAsia="lt-LT"/>
              </w:rPr>
              <w:t>S</w:t>
            </w:r>
            <w:r w:rsidR="004B2EFA" w:rsidRPr="00A70645">
              <w:rPr>
                <w:rFonts w:ascii="Times New Roman" w:eastAsia="Times New Roman" w:hAnsi="Times New Roman"/>
                <w:color w:val="000000" w:themeColor="text1"/>
                <w:sz w:val="24"/>
                <w:szCs w:val="24"/>
                <w:lang w:eastAsia="lt-LT"/>
              </w:rPr>
              <w:t xml:space="preserve">veikatos apsaugos ministro </w:t>
            </w:r>
            <w:r w:rsidR="004B2EFA" w:rsidRPr="00A70645">
              <w:rPr>
                <w:rFonts w:ascii="Times New Roman" w:hAnsi="Times New Roman"/>
                <w:color w:val="000000" w:themeColor="text1"/>
                <w:sz w:val="24"/>
                <w:szCs w:val="24"/>
              </w:rPr>
              <w:t xml:space="preserve"> įsakymu Nr. V-783 ,,Dėl 2014–2020 metų Europos Sąjungos fondų investicijų veiksmų programos, patvirtintos 2014 m. rugsėjo 8 d. Europos Komisijos sprendimu, 8 prioriteto „Socialinės </w:t>
            </w:r>
            <w:proofErr w:type="spellStart"/>
            <w:r w:rsidR="004B2EFA" w:rsidRPr="00A70645">
              <w:rPr>
                <w:rFonts w:ascii="Times New Roman" w:hAnsi="Times New Roman"/>
                <w:color w:val="000000" w:themeColor="text1"/>
                <w:sz w:val="24"/>
                <w:szCs w:val="24"/>
              </w:rPr>
              <w:t>įtraukties</w:t>
            </w:r>
            <w:proofErr w:type="spellEnd"/>
            <w:r w:rsidR="004B2EFA" w:rsidRPr="00A70645">
              <w:rPr>
                <w:rFonts w:ascii="Times New Roman" w:hAnsi="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w:t>
            </w:r>
            <w:r w:rsidR="004B2EFA" w:rsidRPr="00A70645">
              <w:rPr>
                <w:rFonts w:ascii="Times New Roman" w:hAnsi="Times New Roman"/>
                <w:color w:val="000000" w:themeColor="text1"/>
                <w:sz w:val="24"/>
                <w:szCs w:val="24"/>
              </w:rPr>
              <w:lastRenderedPageBreak/>
              <w:t>sveikatos priežiūros kokybę ir prieinamumą tikslinėms gyventojų grupėms, ir skatinti sveiką senėjimą“ priemonių įgyvendinimo plano ir nacionalinių stebėsenos rodiklių skaičiavimo aprašo patvirtinimo“</w:t>
            </w:r>
          </w:p>
        </w:tc>
      </w:tr>
      <w:tr w:rsidR="00A70645" w:rsidRPr="00A70645" w14:paraId="5A142E9F" w14:textId="77777777" w:rsidTr="00465660">
        <w:tc>
          <w:tcPr>
            <w:tcW w:w="10348" w:type="dxa"/>
            <w:gridSpan w:val="3"/>
            <w:shd w:val="clear" w:color="auto" w:fill="F2F2F2" w:themeFill="background1" w:themeFillShade="F2"/>
          </w:tcPr>
          <w:p w14:paraId="5BBF6F0D" w14:textId="77777777" w:rsidR="00FB6137" w:rsidRPr="00A70645" w:rsidRDefault="00FB6137" w:rsidP="00D54809">
            <w:pPr>
              <w:tabs>
                <w:tab w:val="left" w:pos="567"/>
              </w:tabs>
              <w:ind w:left="34"/>
              <w:jc w:val="both"/>
              <w:rPr>
                <w:rFonts w:ascii="Times New Roman" w:hAnsi="Times New Roman"/>
                <w:color w:val="000000" w:themeColor="text1"/>
                <w:sz w:val="24"/>
                <w:szCs w:val="24"/>
              </w:rPr>
            </w:pPr>
            <w:r w:rsidRPr="00A70645">
              <w:rPr>
                <w:rFonts w:ascii="Times New Roman" w:hAnsi="Times New Roman"/>
                <w:bCs/>
                <w:color w:val="000000" w:themeColor="text1"/>
                <w:sz w:val="24"/>
                <w:szCs w:val="24"/>
              </w:rPr>
              <w:lastRenderedPageBreak/>
              <w:t>VII. Priemonės finansavimo šaltiniai</w:t>
            </w:r>
          </w:p>
        </w:tc>
      </w:tr>
      <w:tr w:rsidR="00A70645" w:rsidRPr="00A70645" w14:paraId="5B72C98B" w14:textId="77777777" w:rsidTr="00465660">
        <w:tc>
          <w:tcPr>
            <w:tcW w:w="567" w:type="dxa"/>
          </w:tcPr>
          <w:p w14:paraId="534D6EFD" w14:textId="77777777" w:rsidR="00FB6137" w:rsidRPr="00A70645" w:rsidRDefault="00FB6137" w:rsidP="00D54809">
            <w:pPr>
              <w:pStyle w:val="Sraopastraipa"/>
              <w:numPr>
                <w:ilvl w:val="0"/>
                <w:numId w:val="1"/>
              </w:numPr>
              <w:tabs>
                <w:tab w:val="left" w:pos="567"/>
              </w:tabs>
              <w:ind w:hanging="1046"/>
              <w:jc w:val="both"/>
              <w:rPr>
                <w:rFonts w:ascii="Times New Roman" w:hAnsi="Times New Roman"/>
                <w:color w:val="000000" w:themeColor="text1"/>
                <w:sz w:val="24"/>
                <w:szCs w:val="24"/>
              </w:rPr>
            </w:pPr>
          </w:p>
        </w:tc>
        <w:tc>
          <w:tcPr>
            <w:tcW w:w="2836" w:type="dxa"/>
          </w:tcPr>
          <w:p w14:paraId="5CA7C8F5"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Priemonei skiriamo finansavimo sumos pagrindimas</w:t>
            </w:r>
          </w:p>
        </w:tc>
        <w:tc>
          <w:tcPr>
            <w:tcW w:w="6945" w:type="dxa"/>
          </w:tcPr>
          <w:p w14:paraId="2BD5522C" w14:textId="04332515" w:rsidR="0075558A" w:rsidRPr="00A70645" w:rsidRDefault="00257F7A" w:rsidP="00257F7A">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Sveikatos netolygumų mažinimo srityje pagal Sveikatos netolygumų mažinimo Lietuvoje 2014–2023 m. veiksmų</w:t>
            </w:r>
            <w:r w:rsidR="0075558A" w:rsidRPr="00A70645">
              <w:rPr>
                <w:rFonts w:ascii="Times New Roman" w:hAnsi="Times New Roman"/>
                <w:color w:val="000000" w:themeColor="text1"/>
                <w:sz w:val="24"/>
                <w:szCs w:val="24"/>
              </w:rPr>
              <w:t xml:space="preserve"> plane</w:t>
            </w:r>
            <w:r w:rsidRPr="00A70645">
              <w:rPr>
                <w:rFonts w:ascii="Times New Roman" w:hAnsi="Times New Roman"/>
                <w:color w:val="000000" w:themeColor="text1"/>
                <w:sz w:val="24"/>
                <w:szCs w:val="24"/>
              </w:rPr>
              <w:t xml:space="preserve">, </w:t>
            </w:r>
            <w:r w:rsidR="00D83FB8" w:rsidRPr="00A70645">
              <w:rPr>
                <w:rFonts w:ascii="Times New Roman" w:hAnsi="Times New Roman"/>
                <w:color w:val="000000" w:themeColor="text1"/>
                <w:sz w:val="24"/>
                <w:szCs w:val="24"/>
              </w:rPr>
              <w:t xml:space="preserve">pagal TB profilaktikos, diagnostikos ir gydymo efektyvumo didinimo kryptį </w:t>
            </w:r>
            <w:r w:rsidR="0075558A" w:rsidRPr="00A70645">
              <w:rPr>
                <w:rFonts w:ascii="Times New Roman" w:hAnsi="Times New Roman"/>
                <w:color w:val="000000" w:themeColor="text1"/>
                <w:sz w:val="24"/>
                <w:szCs w:val="24"/>
              </w:rPr>
              <w:t xml:space="preserve">numatyta įgyvendinti Socialinės paramos priemonę, </w:t>
            </w:r>
            <w:r w:rsidR="0075558A" w:rsidRPr="00A70645">
              <w:rPr>
                <w:rFonts w:ascii="Times New Roman" w:eastAsia="Times New Roman" w:hAnsi="Times New Roman"/>
                <w:color w:val="000000" w:themeColor="text1"/>
                <w:sz w:val="24"/>
                <w:szCs w:val="24"/>
                <w:lang w:eastAsia="lt-LT"/>
              </w:rPr>
              <w:t>susijusią su paramos teikimu (maisto talonų dalinimas ir kelionės išlaidų kompensavimas) TB sergantiesiems ambulatorinio gydymo metu.</w:t>
            </w:r>
          </w:p>
          <w:p w14:paraId="31BE1C6E" w14:textId="77777777" w:rsidR="0075558A" w:rsidRPr="00A70645" w:rsidRDefault="00FD01A2" w:rsidP="00257F7A">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Buvo vertinami duomenys, pateikti strateginio planavimo dokumente – Sveikatos netolygumų mažinimo Lietuvoje 2014–2023 m. veiksmų plano, Tuberkuliozės profilaktikos, diagnostikos ir gydymo efektyvumo didinimo krypties apraše nustatyti tikslai, uždaviniai ir įvardintos priemonės, reikalingos pasiekti pokyčiams TB sergamumo ir mirtingumo sektoriuje.</w:t>
            </w:r>
          </w:p>
          <w:p w14:paraId="65557583" w14:textId="77777777" w:rsidR="00D06C78" w:rsidRPr="00A70645" w:rsidRDefault="00FD01A2" w:rsidP="00257F7A">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Vadovaujantis TB registro ir TB ligoninių stacionarų duomenimis</w:t>
            </w:r>
            <w:r w:rsidR="00D06C78" w:rsidRPr="00A70645">
              <w:rPr>
                <w:rFonts w:ascii="Times New Roman" w:hAnsi="Times New Roman"/>
                <w:color w:val="000000" w:themeColor="text1"/>
                <w:sz w:val="24"/>
                <w:szCs w:val="24"/>
              </w:rPr>
              <w:t xml:space="preserve"> nustatyta</w:t>
            </w:r>
            <w:r w:rsidRPr="00A70645">
              <w:rPr>
                <w:rFonts w:ascii="Times New Roman" w:hAnsi="Times New Roman"/>
                <w:color w:val="000000" w:themeColor="text1"/>
                <w:sz w:val="24"/>
                <w:szCs w:val="24"/>
              </w:rPr>
              <w:t xml:space="preserve">, kad  Lietuvos sveikatos priežiūros įstaigos </w:t>
            </w:r>
            <w:r w:rsidR="00857C0B" w:rsidRPr="00A70645">
              <w:rPr>
                <w:rFonts w:ascii="Times New Roman" w:hAnsi="Times New Roman"/>
                <w:color w:val="000000" w:themeColor="text1"/>
                <w:sz w:val="24"/>
                <w:szCs w:val="24"/>
              </w:rPr>
              <w:t>vidutiniškai per metus</w:t>
            </w:r>
            <w:r w:rsidRPr="00A70645">
              <w:rPr>
                <w:rFonts w:ascii="Times New Roman" w:hAnsi="Times New Roman"/>
                <w:color w:val="000000" w:themeColor="text1"/>
                <w:sz w:val="24"/>
                <w:szCs w:val="24"/>
              </w:rPr>
              <w:t xml:space="preserve"> suteikia TB stacionarinio-ambulatorinio gydymo paslaugas apie 1500 pacientams</w:t>
            </w:r>
            <w:r w:rsidR="00D06C78" w:rsidRPr="00A70645">
              <w:rPr>
                <w:rFonts w:ascii="Times New Roman" w:hAnsi="Times New Roman"/>
                <w:color w:val="000000" w:themeColor="text1"/>
                <w:sz w:val="24"/>
                <w:szCs w:val="24"/>
              </w:rPr>
              <w:t>.</w:t>
            </w:r>
            <w:r w:rsidRPr="00A70645">
              <w:rPr>
                <w:rFonts w:ascii="Times New Roman" w:hAnsi="Times New Roman"/>
                <w:color w:val="000000" w:themeColor="text1"/>
                <w:sz w:val="24"/>
                <w:szCs w:val="24"/>
              </w:rPr>
              <w:t xml:space="preserve"> TB ambulatorinis gydymas trunka vidutiniškai apie </w:t>
            </w:r>
            <w:r w:rsidR="00002A57" w:rsidRPr="00A70645">
              <w:rPr>
                <w:rFonts w:ascii="Times New Roman" w:hAnsi="Times New Roman"/>
                <w:color w:val="000000" w:themeColor="text1"/>
                <w:sz w:val="24"/>
                <w:szCs w:val="24"/>
              </w:rPr>
              <w:t xml:space="preserve"> </w:t>
            </w:r>
            <w:r w:rsidR="00634705" w:rsidRPr="00A70645">
              <w:rPr>
                <w:rFonts w:ascii="Times New Roman" w:hAnsi="Times New Roman"/>
                <w:color w:val="000000" w:themeColor="text1"/>
                <w:sz w:val="24"/>
                <w:szCs w:val="24"/>
              </w:rPr>
              <w:t>6</w:t>
            </w:r>
            <w:r w:rsidRPr="00A70645">
              <w:rPr>
                <w:rFonts w:ascii="Times New Roman" w:hAnsi="Times New Roman"/>
                <w:color w:val="000000" w:themeColor="text1"/>
                <w:sz w:val="24"/>
                <w:szCs w:val="24"/>
              </w:rPr>
              <w:t xml:space="preserve"> mėn.</w:t>
            </w:r>
          </w:p>
          <w:p w14:paraId="1A89FC5B" w14:textId="4B7B1443" w:rsidR="008E7FEE" w:rsidRPr="00A70645" w:rsidRDefault="00D06C78" w:rsidP="00257F7A">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Į</w:t>
            </w:r>
            <w:r w:rsidR="00FD01A2" w:rsidRPr="00A70645">
              <w:rPr>
                <w:rFonts w:ascii="Times New Roman" w:hAnsi="Times New Roman"/>
                <w:color w:val="000000" w:themeColor="text1"/>
                <w:sz w:val="24"/>
                <w:szCs w:val="24"/>
              </w:rPr>
              <w:t xml:space="preserve">vertinus tai, kad </w:t>
            </w:r>
            <w:r w:rsidRPr="00A70645">
              <w:rPr>
                <w:rFonts w:ascii="Times New Roman" w:hAnsi="Times New Roman"/>
                <w:color w:val="000000" w:themeColor="text1"/>
                <w:sz w:val="24"/>
                <w:szCs w:val="24"/>
              </w:rPr>
              <w:t xml:space="preserve">už kiekvieną sėkmingo ambulatorinio gydymo savaitę už laiku išgertus vaistus kiekvienam TB sergančiajam </w:t>
            </w:r>
            <w:r w:rsidR="00C86EC9" w:rsidRPr="00A70645">
              <w:rPr>
                <w:rFonts w:ascii="Times New Roman" w:hAnsi="Times New Roman"/>
                <w:color w:val="000000" w:themeColor="text1"/>
                <w:sz w:val="24"/>
                <w:szCs w:val="24"/>
              </w:rPr>
              <w:t xml:space="preserve">numatyta </w:t>
            </w:r>
            <w:r w:rsidRPr="00A70645">
              <w:rPr>
                <w:rFonts w:ascii="Times New Roman" w:hAnsi="Times New Roman"/>
                <w:color w:val="000000" w:themeColor="text1"/>
                <w:sz w:val="24"/>
                <w:szCs w:val="24"/>
              </w:rPr>
              <w:t xml:space="preserve">teikti skatinimą – socialinę paramą  </w:t>
            </w:r>
            <w:r w:rsidR="00002A57" w:rsidRPr="00A70645">
              <w:rPr>
                <w:rFonts w:ascii="Times New Roman" w:hAnsi="Times New Roman"/>
                <w:color w:val="000000" w:themeColor="text1"/>
                <w:sz w:val="24"/>
                <w:szCs w:val="24"/>
              </w:rPr>
              <w:t xml:space="preserve"> iki 10</w:t>
            </w:r>
            <w:r w:rsidR="00944726" w:rsidRPr="00A70645">
              <w:rPr>
                <w:rFonts w:ascii="Times New Roman" w:hAnsi="Times New Roman"/>
                <w:color w:val="000000" w:themeColor="text1"/>
                <w:sz w:val="24"/>
                <w:szCs w:val="24"/>
              </w:rPr>
              <w:t>,00</w:t>
            </w:r>
            <w:r w:rsidRPr="00A70645">
              <w:rPr>
                <w:rFonts w:ascii="Times New Roman" w:hAnsi="Times New Roman"/>
                <w:color w:val="000000" w:themeColor="text1"/>
                <w:sz w:val="24"/>
                <w:szCs w:val="24"/>
              </w:rPr>
              <w:t xml:space="preserve"> </w:t>
            </w:r>
            <w:r w:rsidR="008D6499" w:rsidRPr="00A70645">
              <w:rPr>
                <w:rFonts w:ascii="Times New Roman" w:hAnsi="Times New Roman"/>
                <w:color w:val="000000" w:themeColor="text1"/>
                <w:sz w:val="24"/>
                <w:szCs w:val="24"/>
              </w:rPr>
              <w:t xml:space="preserve">eurų </w:t>
            </w:r>
            <w:r w:rsidRPr="00A70645">
              <w:rPr>
                <w:rFonts w:ascii="Times New Roman" w:hAnsi="Times New Roman"/>
                <w:color w:val="000000" w:themeColor="text1"/>
                <w:sz w:val="24"/>
                <w:szCs w:val="24"/>
              </w:rPr>
              <w:t>dydžio</w:t>
            </w:r>
            <w:r w:rsidRPr="00A70645">
              <w:rPr>
                <w:rFonts w:ascii="Times New Roman" w:eastAsia="Times New Roman" w:hAnsi="Times New Roman"/>
                <w:color w:val="000000" w:themeColor="text1"/>
                <w:sz w:val="24"/>
                <w:szCs w:val="24"/>
                <w:lang w:eastAsia="lt-LT"/>
              </w:rPr>
              <w:t xml:space="preserve"> savaitinius maisto talonus </w:t>
            </w:r>
            <w:r w:rsidR="00002A57" w:rsidRPr="00A70645">
              <w:rPr>
                <w:rFonts w:ascii="Times New Roman" w:hAnsi="Times New Roman"/>
                <w:color w:val="000000" w:themeColor="text1"/>
                <w:sz w:val="24"/>
                <w:szCs w:val="24"/>
              </w:rPr>
              <w:t xml:space="preserve">(pagal Sveikatos apsaugos ministerijos PFSA nustatytą vienam asmeniui </w:t>
            </w:r>
            <w:r w:rsidR="009E6C7E" w:rsidRPr="00A70645">
              <w:rPr>
                <w:rFonts w:ascii="Times New Roman" w:hAnsi="Times New Roman"/>
                <w:color w:val="000000" w:themeColor="text1"/>
                <w:sz w:val="24"/>
                <w:szCs w:val="24"/>
              </w:rPr>
              <w:t xml:space="preserve">iki </w:t>
            </w:r>
            <w:r w:rsidR="00002A57" w:rsidRPr="00A70645">
              <w:rPr>
                <w:rFonts w:ascii="Times New Roman" w:hAnsi="Times New Roman"/>
                <w:color w:val="000000" w:themeColor="text1"/>
                <w:sz w:val="24"/>
                <w:szCs w:val="24"/>
              </w:rPr>
              <w:t xml:space="preserve">40 eurų </w:t>
            </w:r>
            <w:r w:rsidR="009E6C7E" w:rsidRPr="00A70645">
              <w:rPr>
                <w:rFonts w:ascii="Times New Roman" w:hAnsi="Times New Roman"/>
                <w:color w:val="000000" w:themeColor="text1"/>
                <w:sz w:val="24"/>
                <w:szCs w:val="24"/>
              </w:rPr>
              <w:t xml:space="preserve">fiksuotą </w:t>
            </w:r>
            <w:r w:rsidR="00002A57" w:rsidRPr="00A70645">
              <w:rPr>
                <w:rFonts w:ascii="Times New Roman" w:hAnsi="Times New Roman"/>
                <w:color w:val="000000" w:themeColor="text1"/>
                <w:sz w:val="24"/>
                <w:szCs w:val="24"/>
              </w:rPr>
              <w:t xml:space="preserve">sumą / 1-am ambulatorinio gydymo mėnesiui) </w:t>
            </w:r>
            <w:r w:rsidRPr="00A70645">
              <w:rPr>
                <w:rFonts w:ascii="Times New Roman" w:eastAsia="Times New Roman" w:hAnsi="Times New Roman"/>
                <w:color w:val="000000" w:themeColor="text1"/>
                <w:sz w:val="24"/>
                <w:szCs w:val="24"/>
                <w:lang w:eastAsia="lt-LT"/>
              </w:rPr>
              <w:t>ir kompensuoti kelionės</w:t>
            </w:r>
            <w:r w:rsidR="009E6C7E" w:rsidRPr="00A70645">
              <w:rPr>
                <w:rFonts w:ascii="Times New Roman" w:hAnsi="Times New Roman"/>
                <w:color w:val="000000" w:themeColor="text1"/>
                <w:sz w:val="24"/>
                <w:szCs w:val="24"/>
              </w:rPr>
              <w:t xml:space="preserve"> </w:t>
            </w:r>
            <w:r w:rsidR="009E6C7E" w:rsidRPr="00A70645">
              <w:rPr>
                <w:rFonts w:ascii="Times New Roman" w:eastAsia="Times New Roman" w:hAnsi="Times New Roman"/>
                <w:color w:val="000000" w:themeColor="text1"/>
                <w:sz w:val="24"/>
                <w:szCs w:val="24"/>
                <w:lang w:eastAsia="lt-LT"/>
              </w:rPr>
              <w:t>į ir iš ambulatorines sveikatos priežiūros paslaugas teikiančias asmens sveikatos priežiūros įstaigas</w:t>
            </w:r>
            <w:r w:rsidRPr="00A70645">
              <w:rPr>
                <w:rFonts w:ascii="Times New Roman" w:eastAsia="Times New Roman" w:hAnsi="Times New Roman"/>
                <w:color w:val="000000" w:themeColor="text1"/>
                <w:sz w:val="24"/>
                <w:szCs w:val="24"/>
                <w:lang w:eastAsia="lt-LT"/>
              </w:rPr>
              <w:t xml:space="preserve"> išlaidas </w:t>
            </w:r>
            <w:r w:rsidR="008D6499" w:rsidRPr="00A70645">
              <w:rPr>
                <w:rFonts w:ascii="Times New Roman" w:hAnsi="Times New Roman"/>
                <w:color w:val="000000" w:themeColor="text1"/>
                <w:sz w:val="24"/>
                <w:szCs w:val="24"/>
              </w:rPr>
              <w:t>(</w:t>
            </w:r>
            <w:r w:rsidR="00002A57" w:rsidRPr="00A70645">
              <w:rPr>
                <w:rFonts w:ascii="Times New Roman" w:hAnsi="Times New Roman"/>
                <w:color w:val="000000" w:themeColor="text1"/>
                <w:sz w:val="24"/>
                <w:szCs w:val="24"/>
              </w:rPr>
              <w:t xml:space="preserve">pagal fiksuotus įkainius </w:t>
            </w:r>
            <w:r w:rsidR="006E26E2" w:rsidRPr="00A70645">
              <w:rPr>
                <w:rFonts w:ascii="Times New Roman" w:hAnsi="Times New Roman"/>
                <w:color w:val="000000" w:themeColor="text1"/>
                <w:sz w:val="24"/>
                <w:szCs w:val="24"/>
              </w:rPr>
              <w:t>). Planuojama</w:t>
            </w:r>
            <w:r w:rsidRPr="00A70645">
              <w:rPr>
                <w:rFonts w:ascii="Times New Roman" w:hAnsi="Times New Roman"/>
                <w:color w:val="000000" w:themeColor="text1"/>
                <w:sz w:val="24"/>
                <w:szCs w:val="24"/>
              </w:rPr>
              <w:t>, kad</w:t>
            </w:r>
            <w:r w:rsidR="002B23B2" w:rsidRPr="00A70645">
              <w:rPr>
                <w:rFonts w:ascii="Times New Roman" w:hAnsi="Times New Roman"/>
                <w:color w:val="000000" w:themeColor="text1"/>
                <w:sz w:val="24"/>
                <w:szCs w:val="24"/>
              </w:rPr>
              <w:t xml:space="preserve"> </w:t>
            </w:r>
            <w:r w:rsidR="008E7FEE" w:rsidRPr="00A70645">
              <w:rPr>
                <w:rFonts w:ascii="Times New Roman" w:hAnsi="Times New Roman"/>
                <w:color w:val="000000" w:themeColor="text1"/>
                <w:sz w:val="24"/>
                <w:szCs w:val="24"/>
              </w:rPr>
              <w:t xml:space="preserve">vienam TB segančiajam viso ambulatorinio gydymo metu (apie 6 mėn.) </w:t>
            </w:r>
            <w:r w:rsidR="006E26E2" w:rsidRPr="00A70645">
              <w:rPr>
                <w:rFonts w:ascii="Times New Roman" w:hAnsi="Times New Roman"/>
                <w:color w:val="000000" w:themeColor="text1"/>
                <w:sz w:val="24"/>
                <w:szCs w:val="24"/>
              </w:rPr>
              <w:t xml:space="preserve">vien maisto talonams įsigyti </w:t>
            </w:r>
            <w:r w:rsidR="008E7FEE" w:rsidRPr="00A70645">
              <w:rPr>
                <w:rFonts w:ascii="Times New Roman" w:hAnsi="Times New Roman"/>
                <w:color w:val="000000" w:themeColor="text1"/>
                <w:sz w:val="24"/>
                <w:szCs w:val="24"/>
              </w:rPr>
              <w:t>reikia skirti iki 240</w:t>
            </w:r>
            <w:r w:rsidR="006E26E2" w:rsidRPr="00A70645">
              <w:rPr>
                <w:rFonts w:ascii="Times New Roman" w:hAnsi="Times New Roman"/>
                <w:color w:val="000000" w:themeColor="text1"/>
                <w:sz w:val="24"/>
                <w:szCs w:val="24"/>
              </w:rPr>
              <w:t>,00</w:t>
            </w:r>
            <w:r w:rsidR="008E7FEE" w:rsidRPr="00A70645">
              <w:rPr>
                <w:rFonts w:ascii="Times New Roman" w:hAnsi="Times New Roman"/>
                <w:color w:val="000000" w:themeColor="text1"/>
                <w:sz w:val="24"/>
                <w:szCs w:val="24"/>
              </w:rPr>
              <w:t xml:space="preserve"> eurų sumą. Atsižvelgiant į vidutinį metinį TB sergančiųjų skaičių </w:t>
            </w:r>
            <w:r w:rsidR="006E26E2" w:rsidRPr="00A70645">
              <w:rPr>
                <w:rFonts w:ascii="Times New Roman" w:hAnsi="Times New Roman"/>
                <w:color w:val="000000" w:themeColor="text1"/>
                <w:sz w:val="24"/>
                <w:szCs w:val="24"/>
              </w:rPr>
              <w:t xml:space="preserve">– </w:t>
            </w:r>
            <w:r w:rsidR="008E7FEE" w:rsidRPr="00A70645">
              <w:rPr>
                <w:rFonts w:ascii="Times New Roman" w:hAnsi="Times New Roman"/>
                <w:color w:val="000000" w:themeColor="text1"/>
                <w:sz w:val="24"/>
                <w:szCs w:val="24"/>
              </w:rPr>
              <w:t>1500</w:t>
            </w:r>
            <w:r w:rsidR="006E26E2" w:rsidRPr="00A70645">
              <w:rPr>
                <w:rFonts w:ascii="Times New Roman" w:hAnsi="Times New Roman"/>
                <w:color w:val="000000" w:themeColor="text1"/>
                <w:sz w:val="24"/>
                <w:szCs w:val="24"/>
              </w:rPr>
              <w:t>, ir tai, kad projektai bus įgyvendinami 2 metus, planuojama maisto talonams skirti apie 360 000,00 eurų sumą.</w:t>
            </w:r>
            <w:r w:rsidR="004002B5" w:rsidRPr="00A70645">
              <w:rPr>
                <w:rFonts w:ascii="Times New Roman" w:hAnsi="Times New Roman"/>
                <w:color w:val="000000" w:themeColor="text1"/>
                <w:sz w:val="24"/>
                <w:szCs w:val="24"/>
              </w:rPr>
              <w:t xml:space="preserve"> Planuojama, kad vieno ligonio kelionei į ir iš gydymo įstaigą darbo dieną vidutiniškai reiktų 1,70 eurų. Per 2 metų projektų įgyvendinimo laikotarpį visų ligonių kelionėms visam gydimo kursui planuojama skirti 640 000,00 eurų </w:t>
            </w:r>
          </w:p>
          <w:p w14:paraId="3AA2F9C3" w14:textId="6564013A" w:rsidR="00FD01A2" w:rsidRPr="00A70645" w:rsidRDefault="008E7FEE" w:rsidP="00257F7A">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Sveikatos apsaugos ministerija </w:t>
            </w:r>
            <w:r w:rsidR="006E26E2" w:rsidRPr="00A70645">
              <w:rPr>
                <w:rFonts w:ascii="Times New Roman" w:hAnsi="Times New Roman"/>
                <w:color w:val="000000" w:themeColor="text1"/>
                <w:sz w:val="24"/>
                <w:szCs w:val="24"/>
              </w:rPr>
              <w:t>įvertinusi aukščiau pateiktus duomenis planuoja</w:t>
            </w:r>
            <w:r w:rsidRPr="00A70645">
              <w:rPr>
                <w:rFonts w:ascii="Times New Roman" w:hAnsi="Times New Roman"/>
                <w:color w:val="000000" w:themeColor="text1"/>
                <w:sz w:val="24"/>
                <w:szCs w:val="24"/>
              </w:rPr>
              <w:t xml:space="preserve">, kad </w:t>
            </w:r>
            <w:r w:rsidRPr="00A70645">
              <w:rPr>
                <w:rFonts w:ascii="Times New Roman" w:hAnsi="Times New Roman"/>
                <w:color w:val="000000" w:themeColor="text1"/>
                <w:spacing w:val="1"/>
                <w:sz w:val="24"/>
                <w:szCs w:val="24"/>
              </w:rPr>
              <w:t>priemon</w:t>
            </w:r>
            <w:r w:rsidRPr="00A70645">
              <w:rPr>
                <w:rFonts w:ascii="Times New Roman" w:eastAsia="Times New Roman" w:hAnsi="Times New Roman"/>
                <w:color w:val="000000" w:themeColor="text1"/>
                <w:spacing w:val="1"/>
                <w:sz w:val="24"/>
                <w:szCs w:val="24"/>
              </w:rPr>
              <w:t xml:space="preserve">ės </w:t>
            </w:r>
            <w:r w:rsidRPr="00A70645">
              <w:rPr>
                <w:rFonts w:ascii="Times New Roman" w:hAnsi="Times New Roman"/>
                <w:color w:val="000000" w:themeColor="text1"/>
                <w:sz w:val="24"/>
                <w:szCs w:val="24"/>
                <w:lang w:eastAsia="lt-LT"/>
              </w:rPr>
              <w:t xml:space="preserve">Nr. </w:t>
            </w:r>
            <w:r w:rsidRPr="00A70645">
              <w:rPr>
                <w:rFonts w:ascii="Times New Roman" w:hAnsi="Times New Roman"/>
                <w:color w:val="000000" w:themeColor="text1"/>
                <w:sz w:val="24"/>
                <w:szCs w:val="24"/>
              </w:rPr>
              <w:t>08.4.2-ESFA-R-615</w:t>
            </w:r>
            <w:r w:rsidRPr="00A70645">
              <w:rPr>
                <w:rFonts w:ascii="Times New Roman" w:hAnsi="Times New Roman"/>
                <w:color w:val="000000" w:themeColor="text1"/>
                <w:sz w:val="24"/>
                <w:szCs w:val="24"/>
                <w:lang w:eastAsia="lt-LT"/>
              </w:rPr>
              <w:t xml:space="preserve"> ,,</w:t>
            </w:r>
            <w:r w:rsidRPr="00A70645">
              <w:rPr>
                <w:rFonts w:ascii="Times New Roman" w:hAnsi="Times New Roman"/>
                <w:bCs/>
                <w:color w:val="000000" w:themeColor="text1"/>
                <w:sz w:val="24"/>
                <w:szCs w:val="24"/>
              </w:rPr>
              <w:t>Socialinės paramos priemonių, gerinančių ambulatorinių sveikatos priežiūros paslaugų prieinamumą tuberkulioze sergantiems pacientams, įgyvendinimas</w:t>
            </w:r>
            <w:r w:rsidRPr="00A70645">
              <w:rPr>
                <w:rFonts w:ascii="Times New Roman" w:hAnsi="Times New Roman"/>
                <w:color w:val="000000" w:themeColor="text1"/>
                <w:sz w:val="24"/>
                <w:szCs w:val="24"/>
                <w:lang w:eastAsia="lt-LT"/>
              </w:rPr>
              <w:t>“</w:t>
            </w:r>
            <w:r w:rsidRPr="00A70645">
              <w:rPr>
                <w:rFonts w:ascii="Times New Roman" w:hAnsi="Times New Roman"/>
                <w:color w:val="000000" w:themeColor="text1"/>
                <w:sz w:val="24"/>
                <w:szCs w:val="24"/>
              </w:rPr>
              <w:t xml:space="preserve"> finansavimui </w:t>
            </w:r>
            <w:r w:rsidR="00944726" w:rsidRPr="00A70645">
              <w:rPr>
                <w:rFonts w:ascii="Times New Roman" w:hAnsi="Times New Roman"/>
                <w:color w:val="000000" w:themeColor="text1"/>
                <w:sz w:val="24"/>
                <w:szCs w:val="24"/>
              </w:rPr>
              <w:t xml:space="preserve">būtina skirti </w:t>
            </w:r>
            <w:r w:rsidR="008D6499" w:rsidRPr="00A70645">
              <w:rPr>
                <w:rFonts w:ascii="Times New Roman" w:hAnsi="Times New Roman"/>
                <w:color w:val="000000" w:themeColor="text1"/>
                <w:sz w:val="24"/>
                <w:szCs w:val="24"/>
              </w:rPr>
              <w:t xml:space="preserve">apie </w:t>
            </w:r>
            <w:r w:rsidR="00944726" w:rsidRPr="00A70645">
              <w:rPr>
                <w:rFonts w:ascii="Times New Roman" w:hAnsi="Times New Roman"/>
                <w:color w:val="000000" w:themeColor="text1"/>
                <w:sz w:val="24"/>
                <w:szCs w:val="24"/>
              </w:rPr>
              <w:t xml:space="preserve">850 000,00 </w:t>
            </w:r>
            <w:r w:rsidR="008D6499" w:rsidRPr="00A70645">
              <w:rPr>
                <w:rFonts w:ascii="Times New Roman" w:hAnsi="Times New Roman"/>
                <w:color w:val="000000" w:themeColor="text1"/>
                <w:sz w:val="24"/>
                <w:szCs w:val="24"/>
              </w:rPr>
              <w:t>e</w:t>
            </w:r>
            <w:r w:rsidR="00944726" w:rsidRPr="00A70645">
              <w:rPr>
                <w:rFonts w:ascii="Times New Roman" w:hAnsi="Times New Roman"/>
                <w:color w:val="000000" w:themeColor="text1"/>
                <w:sz w:val="24"/>
                <w:szCs w:val="24"/>
              </w:rPr>
              <w:t>ur</w:t>
            </w:r>
            <w:r w:rsidR="008D6499" w:rsidRPr="00A70645">
              <w:rPr>
                <w:rFonts w:ascii="Times New Roman" w:hAnsi="Times New Roman"/>
                <w:color w:val="000000" w:themeColor="text1"/>
                <w:sz w:val="24"/>
                <w:szCs w:val="24"/>
              </w:rPr>
              <w:t>ų ESF lėšų</w:t>
            </w:r>
            <w:r w:rsidR="006E26E2" w:rsidRPr="00A70645">
              <w:rPr>
                <w:rFonts w:ascii="Times New Roman" w:hAnsi="Times New Roman"/>
                <w:color w:val="000000" w:themeColor="text1"/>
                <w:sz w:val="24"/>
                <w:szCs w:val="24"/>
              </w:rPr>
              <w:t xml:space="preserve"> sumą</w:t>
            </w:r>
            <w:r w:rsidR="00944726" w:rsidRPr="00A70645">
              <w:rPr>
                <w:rFonts w:ascii="Times New Roman" w:hAnsi="Times New Roman"/>
                <w:color w:val="000000" w:themeColor="text1"/>
                <w:sz w:val="24"/>
                <w:szCs w:val="24"/>
              </w:rPr>
              <w:t>.</w:t>
            </w:r>
          </w:p>
          <w:p w14:paraId="19548B5A" w14:textId="55C61009" w:rsidR="001E6D13" w:rsidRPr="00A70645" w:rsidRDefault="00F01B51" w:rsidP="00A218B5">
            <w:pPr>
              <w:tabs>
                <w:tab w:val="left" w:pos="567"/>
              </w:tabs>
              <w:jc w:val="both"/>
              <w:rPr>
                <w:rFonts w:ascii="Times New Roman" w:hAnsi="Times New Roman"/>
                <w:color w:val="000000" w:themeColor="text1"/>
                <w:sz w:val="24"/>
                <w:szCs w:val="24"/>
              </w:rPr>
            </w:pPr>
            <w:r w:rsidRPr="00A70645">
              <w:rPr>
                <w:rFonts w:ascii="Times New Roman" w:eastAsia="Times New Roman" w:hAnsi="Times New Roman"/>
                <w:color w:val="000000" w:themeColor="text1"/>
                <w:spacing w:val="-6"/>
                <w:sz w:val="24"/>
                <w:szCs w:val="24"/>
              </w:rPr>
              <w:t xml:space="preserve">Sveikatos apsaugos ministerija rengdama </w:t>
            </w:r>
            <w:r w:rsidRPr="00A70645">
              <w:rPr>
                <w:rFonts w:ascii="Times New Roman" w:hAnsi="Times New Roman"/>
                <w:bCs/>
                <w:color w:val="000000" w:themeColor="text1"/>
                <w:sz w:val="24"/>
                <w:szCs w:val="24"/>
              </w:rPr>
              <w:t>Socialinės paramos regioninės p</w:t>
            </w:r>
            <w:r w:rsidRPr="00A70645">
              <w:rPr>
                <w:rFonts w:ascii="Times New Roman" w:hAnsi="Times New Roman"/>
                <w:color w:val="000000" w:themeColor="text1"/>
                <w:sz w:val="24"/>
                <w:szCs w:val="24"/>
              </w:rPr>
              <w:t xml:space="preserve">riemonės PFSA planuoja atsižvelgti į </w:t>
            </w:r>
            <w:r w:rsidRPr="00A70645">
              <w:rPr>
                <w:rFonts w:ascii="Times New Roman" w:eastAsia="Times New Roman" w:hAnsi="Times New Roman"/>
                <w:color w:val="000000" w:themeColor="text1"/>
                <w:spacing w:val="-6"/>
                <w:sz w:val="24"/>
                <w:szCs w:val="24"/>
              </w:rPr>
              <w:t xml:space="preserve">VRM rekomendaciją dėl transporto išlaidų </w:t>
            </w:r>
            <w:r w:rsidRPr="00A70645">
              <w:rPr>
                <w:rFonts w:ascii="Times New Roman" w:eastAsia="Times New Roman" w:hAnsi="Times New Roman"/>
                <w:color w:val="000000" w:themeColor="text1"/>
                <w:spacing w:val="-7"/>
                <w:sz w:val="24"/>
                <w:szCs w:val="24"/>
              </w:rPr>
              <w:t xml:space="preserve">kompensacijos dydžio nustatymo </w:t>
            </w:r>
            <w:r w:rsidRPr="00A70645">
              <w:rPr>
                <w:rFonts w:ascii="Times New Roman" w:eastAsia="Times New Roman" w:hAnsi="Times New Roman"/>
                <w:color w:val="000000" w:themeColor="text1"/>
                <w:spacing w:val="-6"/>
                <w:sz w:val="24"/>
                <w:szCs w:val="24"/>
              </w:rPr>
              <w:t xml:space="preserve">pagal Lietuvos </w:t>
            </w:r>
            <w:r w:rsidRPr="00A70645">
              <w:rPr>
                <w:rFonts w:ascii="Times New Roman" w:eastAsia="Times New Roman" w:hAnsi="Times New Roman"/>
                <w:color w:val="000000" w:themeColor="text1"/>
                <w:spacing w:val="-7"/>
                <w:sz w:val="24"/>
                <w:szCs w:val="24"/>
              </w:rPr>
              <w:t xml:space="preserve">Respublikos finansų ministerijos </w:t>
            </w:r>
            <w:r w:rsidRPr="00A70645">
              <w:rPr>
                <w:rFonts w:ascii="Times New Roman" w:eastAsia="Times New Roman" w:hAnsi="Times New Roman"/>
                <w:color w:val="000000" w:themeColor="text1"/>
                <w:spacing w:val="-5"/>
                <w:sz w:val="24"/>
                <w:szCs w:val="24"/>
              </w:rPr>
              <w:t xml:space="preserve">Kuro ir viešojo transporto </w:t>
            </w:r>
            <w:r w:rsidRPr="00A70645">
              <w:rPr>
                <w:rFonts w:ascii="Times New Roman" w:eastAsia="Times New Roman" w:hAnsi="Times New Roman"/>
                <w:color w:val="000000" w:themeColor="text1"/>
                <w:spacing w:val="-6"/>
                <w:sz w:val="24"/>
                <w:szCs w:val="24"/>
              </w:rPr>
              <w:t xml:space="preserve">išlaidų fiksuotųjų įkainių </w:t>
            </w:r>
            <w:r w:rsidRPr="00A70645">
              <w:rPr>
                <w:rFonts w:ascii="Times New Roman" w:eastAsia="Times New Roman" w:hAnsi="Times New Roman"/>
                <w:color w:val="000000" w:themeColor="text1"/>
                <w:spacing w:val="-5"/>
                <w:sz w:val="24"/>
                <w:szCs w:val="24"/>
              </w:rPr>
              <w:t xml:space="preserve">nustatymo tyrimo ataskaitą </w:t>
            </w:r>
            <w:r w:rsidRPr="00A70645">
              <w:rPr>
                <w:rFonts w:ascii="Times New Roman" w:eastAsia="Times New Roman" w:hAnsi="Times New Roman"/>
                <w:color w:val="000000" w:themeColor="text1"/>
                <w:spacing w:val="-6"/>
                <w:sz w:val="24"/>
                <w:szCs w:val="24"/>
              </w:rPr>
              <w:t xml:space="preserve">(2015 m. balandžio 24 d. </w:t>
            </w:r>
            <w:r w:rsidRPr="00A70645">
              <w:rPr>
                <w:rFonts w:ascii="Times New Roman" w:eastAsia="Times New Roman" w:hAnsi="Times New Roman"/>
                <w:color w:val="000000" w:themeColor="text1"/>
                <w:spacing w:val="-5"/>
                <w:sz w:val="24"/>
                <w:szCs w:val="24"/>
              </w:rPr>
              <w:t>redakcija).</w:t>
            </w:r>
          </w:p>
        </w:tc>
      </w:tr>
      <w:tr w:rsidR="00A70645" w:rsidRPr="00A70645" w14:paraId="16BE19EA" w14:textId="77777777" w:rsidTr="00465660">
        <w:tc>
          <w:tcPr>
            <w:tcW w:w="567" w:type="dxa"/>
          </w:tcPr>
          <w:p w14:paraId="5DAACF22" w14:textId="77777777" w:rsidR="00FB6137" w:rsidRPr="00A70645" w:rsidRDefault="00FB6137" w:rsidP="00D54809">
            <w:pPr>
              <w:pStyle w:val="Sraopastraipa"/>
              <w:numPr>
                <w:ilvl w:val="0"/>
                <w:numId w:val="1"/>
              </w:numPr>
              <w:tabs>
                <w:tab w:val="left" w:pos="567"/>
              </w:tabs>
              <w:ind w:hanging="1046"/>
              <w:jc w:val="both"/>
              <w:rPr>
                <w:rFonts w:ascii="Times New Roman" w:hAnsi="Times New Roman"/>
                <w:color w:val="000000" w:themeColor="text1"/>
                <w:sz w:val="24"/>
                <w:szCs w:val="24"/>
              </w:rPr>
            </w:pPr>
          </w:p>
        </w:tc>
        <w:tc>
          <w:tcPr>
            <w:tcW w:w="2836" w:type="dxa"/>
          </w:tcPr>
          <w:p w14:paraId="7CD92BEE" w14:textId="77777777" w:rsidR="00FB6137" w:rsidRPr="00A70645" w:rsidDel="00A8791D"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Priemonei skiriamų ES struktūrinių fondų lėšų pagrindimas</w:t>
            </w:r>
          </w:p>
        </w:tc>
        <w:tc>
          <w:tcPr>
            <w:tcW w:w="6945" w:type="dxa"/>
          </w:tcPr>
          <w:p w14:paraId="32774ED6" w14:textId="77777777" w:rsidR="00FB5FAE" w:rsidRPr="00A70645" w:rsidRDefault="00FB5FAE" w:rsidP="00D54809">
            <w:pPr>
              <w:widowControl w:val="0"/>
              <w:shd w:val="clear" w:color="auto" w:fill="FFFFFF"/>
              <w:autoSpaceDE w:val="0"/>
              <w:autoSpaceDN w:val="0"/>
              <w:adjustRightInd w:val="0"/>
              <w:spacing w:line="274" w:lineRule="exact"/>
              <w:ind w:left="24" w:right="10" w:firstLine="29"/>
              <w:jc w:val="both"/>
              <w:rPr>
                <w:rFonts w:ascii="Times New Roman" w:eastAsia="Times New Roman" w:hAnsi="Times New Roman"/>
                <w:color w:val="000000" w:themeColor="text1"/>
                <w:sz w:val="24"/>
                <w:szCs w:val="24"/>
                <w:lang w:eastAsia="lt-LT"/>
              </w:rPr>
            </w:pPr>
            <w:r w:rsidRPr="00A70645">
              <w:rPr>
                <w:rFonts w:ascii="Times New Roman" w:eastAsia="Times New Roman" w:hAnsi="Times New Roman"/>
                <w:color w:val="000000" w:themeColor="text1"/>
                <w:sz w:val="24"/>
                <w:szCs w:val="24"/>
                <w:lang w:eastAsia="lt-LT"/>
              </w:rPr>
              <w:t xml:space="preserve">Kadangi priemonei numatoma taikyti negrąžinamąją subsidiją, numatomas ES struktūrinių fondų lėšų santykis su priemonei numatyta bendra tinkamų finansuoti išlaidų verte </w:t>
            </w:r>
            <w:r w:rsidR="006F3F8F" w:rsidRPr="00A70645">
              <w:rPr>
                <w:rFonts w:ascii="Times New Roman" w:eastAsia="Times New Roman" w:hAnsi="Times New Roman"/>
                <w:color w:val="000000" w:themeColor="text1"/>
                <w:sz w:val="24"/>
                <w:szCs w:val="24"/>
                <w:lang w:eastAsia="lt-LT"/>
              </w:rPr>
              <w:t>sudarys</w:t>
            </w:r>
            <w:r w:rsidR="007A1A23" w:rsidRPr="00A70645">
              <w:rPr>
                <w:rFonts w:ascii="Times New Roman" w:eastAsia="Times New Roman" w:hAnsi="Times New Roman"/>
                <w:color w:val="000000" w:themeColor="text1"/>
                <w:sz w:val="24"/>
                <w:szCs w:val="24"/>
                <w:lang w:eastAsia="lt-LT"/>
              </w:rPr>
              <w:t xml:space="preserve"> </w:t>
            </w:r>
            <w:r w:rsidRPr="00A70645">
              <w:rPr>
                <w:rFonts w:ascii="Times New Roman" w:eastAsia="Times New Roman" w:hAnsi="Times New Roman"/>
                <w:color w:val="000000" w:themeColor="text1"/>
                <w:sz w:val="24"/>
                <w:szCs w:val="24"/>
                <w:lang w:eastAsia="lt-LT"/>
              </w:rPr>
              <w:t>85 proc.</w:t>
            </w:r>
            <w:r w:rsidR="007A1A23" w:rsidRPr="00A70645">
              <w:rPr>
                <w:rFonts w:ascii="Times New Roman" w:eastAsia="Times New Roman" w:hAnsi="Times New Roman"/>
                <w:color w:val="000000" w:themeColor="text1"/>
                <w:sz w:val="24"/>
                <w:szCs w:val="24"/>
                <w:lang w:eastAsia="lt-LT"/>
              </w:rPr>
              <w:t xml:space="preserve"> tinkamų </w:t>
            </w:r>
            <w:r w:rsidR="007A1A23" w:rsidRPr="00A70645">
              <w:rPr>
                <w:rFonts w:ascii="Times New Roman" w:eastAsia="Times New Roman" w:hAnsi="Times New Roman"/>
                <w:color w:val="000000" w:themeColor="text1"/>
                <w:sz w:val="24"/>
                <w:szCs w:val="24"/>
                <w:lang w:eastAsia="lt-LT"/>
              </w:rPr>
              <w:lastRenderedPageBreak/>
              <w:t>projekto išlaidų.</w:t>
            </w:r>
            <w:r w:rsidRPr="00A70645">
              <w:rPr>
                <w:rFonts w:ascii="Times New Roman" w:eastAsia="Times New Roman" w:hAnsi="Times New Roman"/>
                <w:color w:val="000000" w:themeColor="text1"/>
                <w:sz w:val="24"/>
                <w:szCs w:val="24"/>
                <w:lang w:eastAsia="lt-LT"/>
              </w:rPr>
              <w:t xml:space="preserve"> </w:t>
            </w:r>
            <w:r w:rsidRPr="00A70645">
              <w:rPr>
                <w:rFonts w:ascii="Times New Roman" w:eastAsia="Times New Roman" w:hAnsi="Times New Roman"/>
                <w:color w:val="000000" w:themeColor="text1"/>
                <w:spacing w:val="13"/>
                <w:sz w:val="24"/>
                <w:szCs w:val="24"/>
                <w:lang w:eastAsia="lt-LT"/>
              </w:rPr>
              <w:t xml:space="preserve">Atitinkamai toks </w:t>
            </w:r>
            <w:r w:rsidRPr="00A70645">
              <w:rPr>
                <w:rFonts w:ascii="Times New Roman" w:eastAsia="Times New Roman" w:hAnsi="Times New Roman"/>
                <w:color w:val="000000" w:themeColor="text1"/>
                <w:sz w:val="24"/>
                <w:szCs w:val="24"/>
                <w:lang w:eastAsia="lt-LT"/>
              </w:rPr>
              <w:t xml:space="preserve">intensyvumas taikomas ir šiai priemonei. </w:t>
            </w:r>
          </w:p>
          <w:p w14:paraId="26182782" w14:textId="77777777" w:rsidR="00D54809" w:rsidRPr="00A70645" w:rsidRDefault="00E615E2" w:rsidP="008D6499">
            <w:pPr>
              <w:widowControl w:val="0"/>
              <w:shd w:val="clear" w:color="auto" w:fill="FFFFFF"/>
              <w:autoSpaceDE w:val="0"/>
              <w:autoSpaceDN w:val="0"/>
              <w:adjustRightInd w:val="0"/>
              <w:spacing w:line="274" w:lineRule="exact"/>
              <w:ind w:left="24" w:right="10" w:firstLine="29"/>
              <w:jc w:val="both"/>
              <w:rPr>
                <w:rFonts w:ascii="Times New Roman" w:eastAsia="Times New Roman" w:hAnsi="Times New Roman"/>
                <w:color w:val="000000" w:themeColor="text1"/>
                <w:sz w:val="24"/>
                <w:szCs w:val="24"/>
                <w:lang w:eastAsia="lt-LT"/>
              </w:rPr>
            </w:pPr>
            <w:r w:rsidRPr="00A70645">
              <w:rPr>
                <w:rFonts w:ascii="Times New Roman" w:eastAsia="Times New Roman" w:hAnsi="Times New Roman"/>
                <w:color w:val="000000" w:themeColor="text1"/>
                <w:sz w:val="24"/>
                <w:szCs w:val="24"/>
                <w:lang w:eastAsia="lt-LT"/>
              </w:rPr>
              <w:t>Priemonės galimi pareiškėjai</w:t>
            </w:r>
            <w:r w:rsidR="0052120B" w:rsidRPr="00A70645">
              <w:rPr>
                <w:rFonts w:ascii="Times New Roman" w:eastAsia="Times New Roman" w:hAnsi="Times New Roman"/>
                <w:color w:val="000000" w:themeColor="text1"/>
                <w:sz w:val="24"/>
                <w:szCs w:val="24"/>
                <w:lang w:eastAsia="lt-LT"/>
              </w:rPr>
              <w:t xml:space="preserve"> </w:t>
            </w:r>
            <w:r w:rsidRPr="00A70645">
              <w:rPr>
                <w:rFonts w:ascii="Times New Roman" w:eastAsia="Times New Roman" w:hAnsi="Times New Roman"/>
                <w:color w:val="000000" w:themeColor="text1"/>
                <w:sz w:val="24"/>
                <w:szCs w:val="24"/>
                <w:lang w:eastAsia="lt-LT"/>
              </w:rPr>
              <w:t>/</w:t>
            </w:r>
            <w:r w:rsidR="0052120B" w:rsidRPr="00A70645">
              <w:rPr>
                <w:rFonts w:ascii="Times New Roman" w:eastAsia="Times New Roman" w:hAnsi="Times New Roman"/>
                <w:color w:val="000000" w:themeColor="text1"/>
                <w:sz w:val="24"/>
                <w:szCs w:val="24"/>
                <w:lang w:eastAsia="lt-LT"/>
              </w:rPr>
              <w:t xml:space="preserve"> </w:t>
            </w:r>
            <w:r w:rsidRPr="00A70645">
              <w:rPr>
                <w:rFonts w:ascii="Times New Roman" w:eastAsia="Times New Roman" w:hAnsi="Times New Roman"/>
                <w:color w:val="000000" w:themeColor="text1"/>
                <w:sz w:val="24"/>
                <w:szCs w:val="24"/>
                <w:lang w:eastAsia="lt-LT"/>
              </w:rPr>
              <w:t xml:space="preserve">partneriai yra </w:t>
            </w:r>
            <w:r w:rsidR="004B4029" w:rsidRPr="00A70645">
              <w:rPr>
                <w:rFonts w:ascii="Times New Roman" w:eastAsia="Times New Roman" w:hAnsi="Times New Roman"/>
                <w:color w:val="000000" w:themeColor="text1"/>
                <w:sz w:val="24"/>
                <w:szCs w:val="24"/>
                <w:lang w:eastAsia="lt-LT"/>
              </w:rPr>
              <w:t xml:space="preserve">savivaldybių administracijos ir </w:t>
            </w:r>
            <w:r w:rsidR="00395C5D" w:rsidRPr="00A70645">
              <w:rPr>
                <w:rFonts w:ascii="Times New Roman" w:hAnsi="Times New Roman"/>
                <w:color w:val="000000" w:themeColor="text1"/>
                <w:sz w:val="24"/>
                <w:szCs w:val="24"/>
                <w:lang w:eastAsia="lt-LT"/>
              </w:rPr>
              <w:t xml:space="preserve">(arba) </w:t>
            </w:r>
            <w:r w:rsidR="00565E70" w:rsidRPr="00A70645">
              <w:rPr>
                <w:rFonts w:ascii="Times New Roman" w:hAnsi="Times New Roman"/>
                <w:color w:val="000000" w:themeColor="text1"/>
                <w:sz w:val="24"/>
                <w:szCs w:val="24"/>
              </w:rPr>
              <w:t xml:space="preserve">asmens sveikatos priežiūros įstaigos, teikiančios </w:t>
            </w:r>
            <w:r w:rsidR="008A5FF9" w:rsidRPr="00A70645">
              <w:rPr>
                <w:rFonts w:ascii="Times New Roman" w:hAnsi="Times New Roman"/>
                <w:color w:val="000000" w:themeColor="text1"/>
                <w:sz w:val="24"/>
                <w:szCs w:val="24"/>
              </w:rPr>
              <w:t>ambulatorin</w:t>
            </w:r>
            <w:r w:rsidR="006F19E0" w:rsidRPr="00A70645">
              <w:rPr>
                <w:rFonts w:ascii="Times New Roman" w:hAnsi="Times New Roman"/>
                <w:color w:val="000000" w:themeColor="text1"/>
                <w:sz w:val="24"/>
                <w:szCs w:val="24"/>
              </w:rPr>
              <w:t>e</w:t>
            </w:r>
            <w:r w:rsidR="008A5FF9" w:rsidRPr="00A70645">
              <w:rPr>
                <w:rFonts w:ascii="Times New Roman" w:hAnsi="Times New Roman"/>
                <w:color w:val="000000" w:themeColor="text1"/>
                <w:sz w:val="24"/>
                <w:szCs w:val="24"/>
              </w:rPr>
              <w:t xml:space="preserve">s </w:t>
            </w:r>
            <w:r w:rsidR="00565E70" w:rsidRPr="00A70645">
              <w:rPr>
                <w:rFonts w:ascii="Times New Roman" w:hAnsi="Times New Roman"/>
                <w:color w:val="000000" w:themeColor="text1"/>
                <w:sz w:val="24"/>
                <w:szCs w:val="24"/>
              </w:rPr>
              <w:t>asmens sveikatos priežiūros paslaugas ir turinčios sutartis su teritorinėmis ligonių kasomis dėl šių paslaugų apmokėjimo</w:t>
            </w:r>
            <w:r w:rsidRPr="00A70645">
              <w:rPr>
                <w:rFonts w:ascii="Times New Roman" w:eastAsia="Times New Roman" w:hAnsi="Times New Roman"/>
                <w:color w:val="000000" w:themeColor="text1"/>
                <w:sz w:val="24"/>
                <w:szCs w:val="24"/>
                <w:lang w:eastAsia="lt-LT"/>
              </w:rPr>
              <w:t xml:space="preserve">. Tokios įstaigos gali būti įsteigtos ne tik savivaldybių, bet ir </w:t>
            </w:r>
            <w:bookmarkStart w:id="1" w:name="OLE_LINK3"/>
            <w:bookmarkStart w:id="2" w:name="OLE_LINK4"/>
            <w:r w:rsidRPr="00A70645">
              <w:rPr>
                <w:rFonts w:ascii="Times New Roman" w:eastAsia="Times New Roman" w:hAnsi="Times New Roman"/>
                <w:color w:val="000000" w:themeColor="text1"/>
                <w:sz w:val="24"/>
                <w:szCs w:val="24"/>
                <w:lang w:eastAsia="lt-LT"/>
              </w:rPr>
              <w:t>privačių asmenų (privatūs šeimos gydytojų kabinetai, kurie yra UAB, MB ir pan.)</w:t>
            </w:r>
            <w:bookmarkEnd w:id="1"/>
            <w:bookmarkEnd w:id="2"/>
            <w:r w:rsidRPr="00A70645">
              <w:rPr>
                <w:rFonts w:ascii="Times New Roman" w:eastAsia="Times New Roman" w:hAnsi="Times New Roman"/>
                <w:color w:val="000000" w:themeColor="text1"/>
                <w:sz w:val="24"/>
                <w:szCs w:val="24"/>
                <w:lang w:eastAsia="lt-LT"/>
              </w:rPr>
              <w:t xml:space="preserve">, kurios gali atitikti kriterijus, pagal kuriuos skiriamos lėšos būtų traktuojamos kaip valstybės pagalba. Šią riziką numatoma valdyti numatant paramos skyrimo sąlygas, kad nebūtų pažeisti valstybės pagalbos principai. </w:t>
            </w:r>
          </w:p>
          <w:p w14:paraId="07B06FCF" w14:textId="77777777" w:rsidR="008D6499" w:rsidRPr="00A70645" w:rsidDel="00A8791D" w:rsidRDefault="008D6499" w:rsidP="008D6499">
            <w:pPr>
              <w:widowControl w:val="0"/>
              <w:shd w:val="clear" w:color="auto" w:fill="FFFFFF"/>
              <w:autoSpaceDE w:val="0"/>
              <w:autoSpaceDN w:val="0"/>
              <w:adjustRightInd w:val="0"/>
              <w:spacing w:line="274" w:lineRule="exact"/>
              <w:ind w:left="24" w:right="10" w:firstLine="29"/>
              <w:jc w:val="both"/>
              <w:rPr>
                <w:rFonts w:ascii="Times New Roman" w:eastAsia="Times New Roman" w:hAnsi="Times New Roman"/>
                <w:color w:val="000000" w:themeColor="text1"/>
                <w:sz w:val="24"/>
                <w:szCs w:val="24"/>
                <w:lang w:eastAsia="lt-LT"/>
              </w:rPr>
            </w:pPr>
          </w:p>
        </w:tc>
      </w:tr>
      <w:tr w:rsidR="00A70645" w:rsidRPr="00A70645" w14:paraId="14613835" w14:textId="77777777" w:rsidTr="00465660">
        <w:tc>
          <w:tcPr>
            <w:tcW w:w="567" w:type="dxa"/>
          </w:tcPr>
          <w:p w14:paraId="15F4E4F3" w14:textId="77777777" w:rsidR="00FB6137" w:rsidRPr="00A70645" w:rsidRDefault="00FB6137" w:rsidP="00D54809">
            <w:pPr>
              <w:pStyle w:val="Sraopastraipa"/>
              <w:numPr>
                <w:ilvl w:val="0"/>
                <w:numId w:val="1"/>
              </w:numPr>
              <w:tabs>
                <w:tab w:val="left" w:pos="567"/>
              </w:tabs>
              <w:ind w:hanging="1046"/>
              <w:jc w:val="both"/>
              <w:rPr>
                <w:rFonts w:ascii="Times New Roman" w:hAnsi="Times New Roman"/>
                <w:color w:val="000000" w:themeColor="text1"/>
                <w:sz w:val="24"/>
                <w:szCs w:val="24"/>
              </w:rPr>
            </w:pPr>
          </w:p>
        </w:tc>
        <w:tc>
          <w:tcPr>
            <w:tcW w:w="2836" w:type="dxa"/>
          </w:tcPr>
          <w:p w14:paraId="6F0007EE"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Priemonės finansavimo iš Lietuvos Respublikos valstybės biudžeto poreikio pagrindimas (jei taikoma)</w:t>
            </w:r>
          </w:p>
        </w:tc>
        <w:tc>
          <w:tcPr>
            <w:tcW w:w="6945" w:type="dxa"/>
          </w:tcPr>
          <w:p w14:paraId="6F3D2481" w14:textId="10DE2FA7" w:rsidR="00D54809" w:rsidRPr="00A70645" w:rsidRDefault="008E7FEE" w:rsidP="00D44002">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Atsižvelgiant į tai, kad </w:t>
            </w:r>
            <w:r w:rsidRPr="00A70645">
              <w:rPr>
                <w:rFonts w:ascii="Times New Roman" w:hAnsi="Times New Roman"/>
                <w:color w:val="000000" w:themeColor="text1"/>
                <w:sz w:val="24"/>
                <w:szCs w:val="24"/>
                <w:lang w:eastAsia="lt-LT"/>
              </w:rPr>
              <w:t xml:space="preserve">projektų, kuriuos įgyvendins savivaldybių administracijos, </w:t>
            </w:r>
            <w:r w:rsidRPr="00A70645">
              <w:rPr>
                <w:rFonts w:ascii="Times New Roman" w:hAnsi="Times New Roman"/>
                <w:color w:val="000000" w:themeColor="text1"/>
                <w:sz w:val="24"/>
                <w:szCs w:val="24"/>
              </w:rPr>
              <w:t xml:space="preserve">ne mažiau kaip 7,5 procentų visų projekto tinkamų finansuoti išlaidų bus apmokama savivaldybių biudžeto nuosavomis lėšomis, </w:t>
            </w:r>
            <w:r w:rsidR="004C7670" w:rsidRPr="00A70645">
              <w:rPr>
                <w:rFonts w:ascii="Times New Roman" w:hAnsi="Times New Roman"/>
                <w:color w:val="000000" w:themeColor="text1"/>
                <w:sz w:val="24"/>
                <w:szCs w:val="24"/>
              </w:rPr>
              <w:t xml:space="preserve">Lietuvos Respublikos valstybės biudžeto lėšos </w:t>
            </w:r>
            <w:r w:rsidRPr="00A70645">
              <w:rPr>
                <w:rFonts w:ascii="Times New Roman" w:hAnsi="Times New Roman"/>
                <w:color w:val="000000" w:themeColor="text1"/>
                <w:sz w:val="24"/>
                <w:szCs w:val="24"/>
              </w:rPr>
              <w:t xml:space="preserve">sudarys </w:t>
            </w:r>
            <w:r w:rsidR="004C7670" w:rsidRPr="00A70645">
              <w:rPr>
                <w:rFonts w:ascii="Times New Roman" w:hAnsi="Times New Roman"/>
                <w:color w:val="000000" w:themeColor="text1"/>
                <w:sz w:val="24"/>
                <w:szCs w:val="24"/>
              </w:rPr>
              <w:t xml:space="preserve">7,5 proc. </w:t>
            </w:r>
            <w:r w:rsidR="00FF2C05" w:rsidRPr="00A70645">
              <w:rPr>
                <w:rFonts w:ascii="Times New Roman" w:hAnsi="Times New Roman"/>
                <w:color w:val="000000" w:themeColor="text1"/>
                <w:sz w:val="24"/>
                <w:szCs w:val="24"/>
              </w:rPr>
              <w:t xml:space="preserve">nuo projektui </w:t>
            </w:r>
            <w:r w:rsidR="004C7670" w:rsidRPr="00A70645">
              <w:rPr>
                <w:rFonts w:ascii="Times New Roman" w:hAnsi="Times New Roman"/>
                <w:color w:val="000000" w:themeColor="text1"/>
                <w:sz w:val="24"/>
                <w:szCs w:val="24"/>
              </w:rPr>
              <w:t>skiriamo finansavimo sumos.</w:t>
            </w:r>
            <w:r w:rsidR="00EE2CDA" w:rsidRPr="00A70645">
              <w:rPr>
                <w:rFonts w:ascii="Times New Roman" w:hAnsi="Times New Roman"/>
                <w:color w:val="000000" w:themeColor="text1"/>
                <w:sz w:val="24"/>
                <w:szCs w:val="24"/>
              </w:rPr>
              <w:t xml:space="preserve"> </w:t>
            </w:r>
            <w:r w:rsidR="0019071A" w:rsidRPr="00A70645">
              <w:rPr>
                <w:rFonts w:ascii="Times New Roman" w:hAnsi="Times New Roman"/>
                <w:color w:val="000000" w:themeColor="text1"/>
                <w:sz w:val="24"/>
                <w:szCs w:val="24"/>
              </w:rPr>
              <w:t xml:space="preserve">Projektų vykdytojai </w:t>
            </w:r>
            <w:r w:rsidR="00395C5D" w:rsidRPr="00A70645">
              <w:rPr>
                <w:rFonts w:ascii="Times New Roman" w:eastAsia="Times New Roman" w:hAnsi="Times New Roman"/>
                <w:color w:val="000000" w:themeColor="text1"/>
                <w:sz w:val="24"/>
                <w:szCs w:val="24"/>
                <w:lang w:eastAsia="lt-LT"/>
              </w:rPr>
              <w:t xml:space="preserve">yra savivaldybių administracijos ir </w:t>
            </w:r>
            <w:r w:rsidR="00395C5D" w:rsidRPr="00A70645">
              <w:rPr>
                <w:rFonts w:ascii="Times New Roman" w:hAnsi="Times New Roman"/>
                <w:color w:val="000000" w:themeColor="text1"/>
                <w:sz w:val="24"/>
                <w:szCs w:val="24"/>
                <w:lang w:eastAsia="lt-LT"/>
              </w:rPr>
              <w:t xml:space="preserve">(arba) </w:t>
            </w:r>
            <w:r w:rsidR="00547CD5" w:rsidRPr="00A70645">
              <w:rPr>
                <w:rFonts w:ascii="Times New Roman" w:hAnsi="Times New Roman"/>
                <w:color w:val="000000" w:themeColor="text1"/>
                <w:sz w:val="24"/>
                <w:szCs w:val="24"/>
              </w:rPr>
              <w:t xml:space="preserve">asmens sveikatos priežiūros įstaigos, teikiančios </w:t>
            </w:r>
            <w:r w:rsidR="008A5FF9" w:rsidRPr="00A70645">
              <w:rPr>
                <w:rFonts w:ascii="Times New Roman" w:hAnsi="Times New Roman"/>
                <w:color w:val="000000" w:themeColor="text1"/>
                <w:sz w:val="24"/>
                <w:szCs w:val="24"/>
              </w:rPr>
              <w:t>ambulatorin</w:t>
            </w:r>
            <w:r w:rsidR="006F19E0" w:rsidRPr="00A70645">
              <w:rPr>
                <w:rFonts w:ascii="Times New Roman" w:hAnsi="Times New Roman"/>
                <w:color w:val="000000" w:themeColor="text1"/>
                <w:sz w:val="24"/>
                <w:szCs w:val="24"/>
              </w:rPr>
              <w:t>e</w:t>
            </w:r>
            <w:r w:rsidR="008A5FF9" w:rsidRPr="00A70645">
              <w:rPr>
                <w:rFonts w:ascii="Times New Roman" w:hAnsi="Times New Roman"/>
                <w:color w:val="000000" w:themeColor="text1"/>
                <w:sz w:val="24"/>
                <w:szCs w:val="24"/>
              </w:rPr>
              <w:t xml:space="preserve">s </w:t>
            </w:r>
            <w:r w:rsidR="00547CD5" w:rsidRPr="00A70645">
              <w:rPr>
                <w:rFonts w:ascii="Times New Roman" w:hAnsi="Times New Roman"/>
                <w:color w:val="000000" w:themeColor="text1"/>
                <w:sz w:val="24"/>
                <w:szCs w:val="24"/>
              </w:rPr>
              <w:t>asmens sveikatos priežiūros paslaugas ir turinčios sutartis su teritorinėmis ligonių kasomis dėl šių paslaugų apmokėjimo</w:t>
            </w:r>
            <w:r w:rsidR="00D44002" w:rsidRPr="00A70645">
              <w:rPr>
                <w:rFonts w:ascii="Times New Roman" w:hAnsi="Times New Roman"/>
                <w:color w:val="000000" w:themeColor="text1"/>
                <w:sz w:val="24"/>
                <w:szCs w:val="24"/>
              </w:rPr>
              <w:t>.</w:t>
            </w:r>
            <w:r w:rsidR="00FE3B7C" w:rsidRPr="00A70645">
              <w:rPr>
                <w:rFonts w:ascii="Times New Roman" w:hAnsi="Times New Roman"/>
                <w:color w:val="000000" w:themeColor="text1"/>
                <w:sz w:val="24"/>
                <w:szCs w:val="24"/>
              </w:rPr>
              <w:t xml:space="preserve"> </w:t>
            </w:r>
          </w:p>
          <w:p w14:paraId="17AE4A33" w14:textId="77777777" w:rsidR="00547CD5" w:rsidRPr="00A70645" w:rsidRDefault="00547CD5" w:rsidP="00D44002">
            <w:pPr>
              <w:tabs>
                <w:tab w:val="left" w:pos="567"/>
              </w:tabs>
              <w:jc w:val="both"/>
              <w:rPr>
                <w:rFonts w:ascii="Times New Roman" w:hAnsi="Times New Roman"/>
                <w:color w:val="000000" w:themeColor="text1"/>
                <w:sz w:val="24"/>
                <w:szCs w:val="24"/>
              </w:rPr>
            </w:pPr>
          </w:p>
        </w:tc>
      </w:tr>
      <w:tr w:rsidR="00A70645" w:rsidRPr="00A70645" w14:paraId="74558810" w14:textId="77777777" w:rsidTr="00465660">
        <w:tc>
          <w:tcPr>
            <w:tcW w:w="567" w:type="dxa"/>
          </w:tcPr>
          <w:p w14:paraId="70B60D23" w14:textId="77777777" w:rsidR="00FB6137" w:rsidRPr="00A70645" w:rsidRDefault="00FB6137" w:rsidP="00D54809">
            <w:pPr>
              <w:pStyle w:val="Sraopastraipa"/>
              <w:numPr>
                <w:ilvl w:val="0"/>
                <w:numId w:val="1"/>
              </w:numPr>
              <w:tabs>
                <w:tab w:val="left" w:pos="567"/>
              </w:tabs>
              <w:ind w:hanging="1046"/>
              <w:jc w:val="both"/>
              <w:rPr>
                <w:rFonts w:ascii="Times New Roman" w:hAnsi="Times New Roman"/>
                <w:color w:val="000000" w:themeColor="text1"/>
                <w:sz w:val="24"/>
                <w:szCs w:val="24"/>
              </w:rPr>
            </w:pPr>
          </w:p>
        </w:tc>
        <w:tc>
          <w:tcPr>
            <w:tcW w:w="2836" w:type="dxa"/>
          </w:tcPr>
          <w:p w14:paraId="1322E749"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Priemonės finansavimo iš savivaldybių biudžetų poreikio pagrindimas (jei taikoma)</w:t>
            </w:r>
          </w:p>
        </w:tc>
        <w:tc>
          <w:tcPr>
            <w:tcW w:w="6945" w:type="dxa"/>
          </w:tcPr>
          <w:p w14:paraId="3D0FA0D4" w14:textId="77777777" w:rsidR="0063742E" w:rsidRPr="00A70645" w:rsidRDefault="00A17741"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Vadovaujantis 2014–2020 metų Europos Sąjungos fondų investicijų veiksmų programos priedo, patvirtinto Vyriausybės 2014 m. lapkričio 26 d. nutarimu Nr. 1326, 2.2 punktu, numatoma, kad </w:t>
            </w:r>
            <w:r w:rsidR="00556DFC" w:rsidRPr="00A70645">
              <w:rPr>
                <w:rFonts w:ascii="Times New Roman" w:hAnsi="Times New Roman"/>
                <w:color w:val="000000" w:themeColor="text1"/>
                <w:sz w:val="24"/>
                <w:szCs w:val="24"/>
                <w:lang w:eastAsia="lt-LT"/>
              </w:rPr>
              <w:t xml:space="preserve">projektų, kuriuos įgyvendins savivaldybių administracijos, </w:t>
            </w:r>
            <w:r w:rsidRPr="00A70645">
              <w:rPr>
                <w:rFonts w:ascii="Times New Roman" w:hAnsi="Times New Roman"/>
                <w:color w:val="000000" w:themeColor="text1"/>
                <w:sz w:val="24"/>
                <w:szCs w:val="24"/>
              </w:rPr>
              <w:t>ne mažiau kaip 7,5 procentų visų projekto tinkamų finansuoti išlaidų bus apmokama savivaldybių</w:t>
            </w:r>
            <w:r w:rsidR="007A1A23" w:rsidRPr="00A70645">
              <w:rPr>
                <w:rFonts w:ascii="Times New Roman" w:hAnsi="Times New Roman"/>
                <w:color w:val="000000" w:themeColor="text1"/>
                <w:sz w:val="24"/>
                <w:szCs w:val="24"/>
              </w:rPr>
              <w:t xml:space="preserve"> biudžeto </w:t>
            </w:r>
            <w:r w:rsidR="006F3F8F" w:rsidRPr="00A70645">
              <w:rPr>
                <w:rFonts w:ascii="Times New Roman" w:hAnsi="Times New Roman"/>
                <w:color w:val="000000" w:themeColor="text1"/>
                <w:sz w:val="24"/>
                <w:szCs w:val="24"/>
              </w:rPr>
              <w:t>nuosavomis</w:t>
            </w:r>
            <w:r w:rsidR="00FC2D95" w:rsidRPr="00A70645">
              <w:rPr>
                <w:rFonts w:ascii="Times New Roman" w:hAnsi="Times New Roman"/>
                <w:color w:val="000000" w:themeColor="text1"/>
                <w:sz w:val="24"/>
                <w:szCs w:val="24"/>
              </w:rPr>
              <w:t xml:space="preserve"> </w:t>
            </w:r>
            <w:r w:rsidRPr="00A70645">
              <w:rPr>
                <w:rFonts w:ascii="Times New Roman" w:hAnsi="Times New Roman"/>
                <w:color w:val="000000" w:themeColor="text1"/>
                <w:sz w:val="24"/>
                <w:szCs w:val="24"/>
              </w:rPr>
              <w:t>lėšomis</w:t>
            </w:r>
            <w:r w:rsidR="00556DFC" w:rsidRPr="00A70645">
              <w:rPr>
                <w:rFonts w:ascii="Times New Roman" w:hAnsi="Times New Roman"/>
                <w:color w:val="000000" w:themeColor="text1"/>
                <w:sz w:val="24"/>
                <w:szCs w:val="24"/>
              </w:rPr>
              <w:t xml:space="preserve">. </w:t>
            </w:r>
          </w:p>
          <w:p w14:paraId="1B99BF88" w14:textId="77777777" w:rsidR="00D54809" w:rsidRPr="00A70645" w:rsidRDefault="00D54809" w:rsidP="00D54809">
            <w:pPr>
              <w:tabs>
                <w:tab w:val="left" w:pos="567"/>
              </w:tabs>
              <w:jc w:val="both"/>
              <w:rPr>
                <w:rFonts w:ascii="Times New Roman" w:hAnsi="Times New Roman"/>
                <w:color w:val="000000" w:themeColor="text1"/>
                <w:sz w:val="24"/>
                <w:szCs w:val="24"/>
              </w:rPr>
            </w:pPr>
          </w:p>
        </w:tc>
      </w:tr>
      <w:tr w:rsidR="00A70645" w:rsidRPr="00A70645" w14:paraId="4F02FD6D" w14:textId="77777777" w:rsidTr="00465660">
        <w:tc>
          <w:tcPr>
            <w:tcW w:w="567" w:type="dxa"/>
          </w:tcPr>
          <w:p w14:paraId="1051CED8" w14:textId="77777777" w:rsidR="00FB6137" w:rsidRPr="00A70645" w:rsidRDefault="00FB6137" w:rsidP="00D54809">
            <w:pPr>
              <w:pStyle w:val="Sraopastraipa"/>
              <w:numPr>
                <w:ilvl w:val="0"/>
                <w:numId w:val="1"/>
              </w:numPr>
              <w:tabs>
                <w:tab w:val="left" w:pos="567"/>
              </w:tabs>
              <w:ind w:hanging="1046"/>
              <w:jc w:val="both"/>
              <w:rPr>
                <w:rFonts w:ascii="Times New Roman" w:hAnsi="Times New Roman"/>
                <w:color w:val="000000" w:themeColor="text1"/>
                <w:sz w:val="24"/>
                <w:szCs w:val="24"/>
              </w:rPr>
            </w:pPr>
          </w:p>
        </w:tc>
        <w:tc>
          <w:tcPr>
            <w:tcW w:w="2836" w:type="dxa"/>
          </w:tcPr>
          <w:p w14:paraId="2D78DFDB"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Priemonės finansavimo iš projektų vykdytojų ir (arba) partnerių lėšų, finansuojamų iš valstybės biudžeto arba viešųjų lėšų, poreikio pagrindimas (jei taikoma)</w:t>
            </w:r>
          </w:p>
          <w:p w14:paraId="11308E8E" w14:textId="77777777" w:rsidR="00E66B07" w:rsidRPr="00A70645" w:rsidRDefault="00E66B07" w:rsidP="00D54809">
            <w:pPr>
              <w:tabs>
                <w:tab w:val="left" w:pos="567"/>
              </w:tabs>
              <w:jc w:val="both"/>
              <w:rPr>
                <w:rFonts w:ascii="Times New Roman" w:hAnsi="Times New Roman"/>
                <w:color w:val="000000" w:themeColor="text1"/>
                <w:sz w:val="24"/>
                <w:szCs w:val="24"/>
              </w:rPr>
            </w:pPr>
          </w:p>
        </w:tc>
        <w:tc>
          <w:tcPr>
            <w:tcW w:w="6945" w:type="dxa"/>
          </w:tcPr>
          <w:p w14:paraId="0ED9A7B1" w14:textId="77777777" w:rsidR="006F4FF0" w:rsidRPr="00A70645" w:rsidRDefault="00E66290" w:rsidP="00D54809">
            <w:pPr>
              <w:autoSpaceDE w:val="0"/>
              <w:autoSpaceDN w:val="0"/>
              <w:adjustRightInd w:val="0"/>
              <w:jc w:val="both"/>
              <w:rPr>
                <w:rFonts w:ascii="Times New Roman" w:eastAsiaTheme="minorHAnsi" w:hAnsi="Times New Roman"/>
                <w:color w:val="000000" w:themeColor="text1"/>
                <w:sz w:val="24"/>
                <w:szCs w:val="24"/>
              </w:rPr>
            </w:pPr>
            <w:r w:rsidRPr="00A70645">
              <w:rPr>
                <w:rFonts w:ascii="Times New Roman" w:eastAsiaTheme="minorHAnsi" w:hAnsi="Times New Roman"/>
                <w:color w:val="000000" w:themeColor="text1"/>
                <w:sz w:val="24"/>
                <w:szCs w:val="24"/>
              </w:rPr>
              <w:t>Netaikoma.</w:t>
            </w:r>
          </w:p>
        </w:tc>
      </w:tr>
      <w:tr w:rsidR="00A70645" w:rsidRPr="00A70645" w14:paraId="4DF82E26" w14:textId="77777777" w:rsidTr="00465660">
        <w:tc>
          <w:tcPr>
            <w:tcW w:w="10348" w:type="dxa"/>
            <w:gridSpan w:val="3"/>
            <w:shd w:val="clear" w:color="auto" w:fill="F2F2F2" w:themeFill="background1" w:themeFillShade="F2"/>
          </w:tcPr>
          <w:p w14:paraId="40C12D6B" w14:textId="77777777" w:rsidR="00FB6137" w:rsidRPr="00A70645" w:rsidRDefault="00FB6137" w:rsidP="00D54809">
            <w:pPr>
              <w:tabs>
                <w:tab w:val="left" w:pos="567"/>
              </w:tabs>
              <w:ind w:left="34"/>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Papildoma informacija</w:t>
            </w:r>
          </w:p>
        </w:tc>
      </w:tr>
      <w:tr w:rsidR="00A70645" w:rsidRPr="00A70645" w14:paraId="46349AF9" w14:textId="77777777" w:rsidTr="00465660">
        <w:tc>
          <w:tcPr>
            <w:tcW w:w="567" w:type="dxa"/>
          </w:tcPr>
          <w:p w14:paraId="450F3E32" w14:textId="77777777" w:rsidR="00FB6137" w:rsidRPr="00A70645" w:rsidRDefault="00FB6137" w:rsidP="00D54809">
            <w:pPr>
              <w:pStyle w:val="Sraopastraipa"/>
              <w:numPr>
                <w:ilvl w:val="0"/>
                <w:numId w:val="1"/>
              </w:numPr>
              <w:tabs>
                <w:tab w:val="left" w:pos="567"/>
              </w:tabs>
              <w:ind w:hanging="1046"/>
              <w:jc w:val="both"/>
              <w:rPr>
                <w:rFonts w:ascii="Times New Roman" w:hAnsi="Times New Roman"/>
                <w:color w:val="000000" w:themeColor="text1"/>
                <w:sz w:val="24"/>
                <w:szCs w:val="24"/>
              </w:rPr>
            </w:pPr>
          </w:p>
        </w:tc>
        <w:tc>
          <w:tcPr>
            <w:tcW w:w="2836" w:type="dxa"/>
          </w:tcPr>
          <w:p w14:paraId="74D1EE8F" w14:textId="77777777" w:rsidR="00FB6137" w:rsidRPr="00A70645" w:rsidRDefault="00FB6137"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Priemonės suderinimas su kitomis institucijomis</w:t>
            </w:r>
          </w:p>
        </w:tc>
        <w:tc>
          <w:tcPr>
            <w:tcW w:w="6945" w:type="dxa"/>
          </w:tcPr>
          <w:p w14:paraId="34B9E175" w14:textId="77777777" w:rsidR="0066011B" w:rsidRPr="00A70645" w:rsidRDefault="0066011B"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Derinama</w:t>
            </w:r>
            <w:r w:rsidR="005860AA" w:rsidRPr="00A70645">
              <w:rPr>
                <w:rFonts w:ascii="Times New Roman" w:hAnsi="Times New Roman"/>
                <w:color w:val="000000" w:themeColor="text1"/>
                <w:sz w:val="24"/>
                <w:szCs w:val="24"/>
              </w:rPr>
              <w:t xml:space="preserve"> su </w:t>
            </w:r>
            <w:r w:rsidR="00BD014F" w:rsidRPr="00A70645">
              <w:rPr>
                <w:rFonts w:ascii="Times New Roman" w:hAnsi="Times New Roman"/>
                <w:color w:val="000000" w:themeColor="text1"/>
                <w:sz w:val="24"/>
                <w:szCs w:val="24"/>
              </w:rPr>
              <w:t>ministerijomis</w:t>
            </w:r>
            <w:r w:rsidR="00D32654" w:rsidRPr="00A70645">
              <w:rPr>
                <w:rFonts w:ascii="Times New Roman" w:hAnsi="Times New Roman"/>
                <w:color w:val="000000" w:themeColor="text1"/>
                <w:sz w:val="24"/>
                <w:szCs w:val="24"/>
              </w:rPr>
              <w:t xml:space="preserve"> </w:t>
            </w:r>
            <w:r w:rsidR="005860AA" w:rsidRPr="00A70645">
              <w:rPr>
                <w:rFonts w:ascii="Times New Roman" w:hAnsi="Times New Roman"/>
                <w:color w:val="000000" w:themeColor="text1"/>
                <w:sz w:val="24"/>
                <w:szCs w:val="24"/>
              </w:rPr>
              <w:t xml:space="preserve">ir VšĮ </w:t>
            </w:r>
            <w:r w:rsidR="00B92EB1" w:rsidRPr="00A70645">
              <w:rPr>
                <w:rFonts w:ascii="Times New Roman" w:hAnsi="Times New Roman"/>
                <w:color w:val="000000" w:themeColor="text1"/>
                <w:sz w:val="24"/>
                <w:szCs w:val="24"/>
              </w:rPr>
              <w:t>Europos socialinio fondo agentūra</w:t>
            </w:r>
            <w:r w:rsidR="00EE0730" w:rsidRPr="00A70645">
              <w:rPr>
                <w:rFonts w:ascii="Times New Roman" w:hAnsi="Times New Roman"/>
                <w:color w:val="000000" w:themeColor="text1"/>
                <w:sz w:val="24"/>
                <w:szCs w:val="24"/>
              </w:rPr>
              <w:t>, regionų plėtros tarybomis, Finansų ministerija</w:t>
            </w:r>
            <w:r w:rsidR="003E719B" w:rsidRPr="00A70645">
              <w:rPr>
                <w:rFonts w:ascii="Times New Roman" w:hAnsi="Times New Roman"/>
                <w:color w:val="000000" w:themeColor="text1"/>
                <w:sz w:val="24"/>
                <w:szCs w:val="24"/>
              </w:rPr>
              <w:t>, Konkurencijos taryba</w:t>
            </w:r>
            <w:r w:rsidR="005860AA" w:rsidRPr="00A70645">
              <w:rPr>
                <w:rFonts w:ascii="Times New Roman" w:hAnsi="Times New Roman"/>
                <w:color w:val="000000" w:themeColor="text1"/>
                <w:sz w:val="24"/>
                <w:szCs w:val="24"/>
              </w:rPr>
              <w:t>.</w:t>
            </w:r>
            <w:r w:rsidRPr="00A70645">
              <w:rPr>
                <w:rFonts w:ascii="Times New Roman" w:hAnsi="Times New Roman"/>
                <w:color w:val="000000" w:themeColor="text1"/>
                <w:sz w:val="24"/>
                <w:szCs w:val="24"/>
              </w:rPr>
              <w:t xml:space="preserve"> </w:t>
            </w:r>
          </w:p>
          <w:p w14:paraId="5A0B0292" w14:textId="77777777" w:rsidR="001A6698" w:rsidRPr="00A70645" w:rsidRDefault="00395C5D" w:rsidP="001A6698">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Atkreipiame dėmesį, kad </w:t>
            </w:r>
            <w:r w:rsidRPr="00A70645">
              <w:rPr>
                <w:rFonts w:ascii="Times New Roman" w:hAnsi="Times New Roman"/>
                <w:color w:val="000000" w:themeColor="text1"/>
                <w:spacing w:val="1"/>
                <w:sz w:val="24"/>
                <w:szCs w:val="24"/>
              </w:rPr>
              <w:t>Priemon</w:t>
            </w:r>
            <w:r w:rsidRPr="00A70645">
              <w:rPr>
                <w:rFonts w:ascii="Times New Roman" w:eastAsia="Times New Roman" w:hAnsi="Times New Roman"/>
                <w:color w:val="000000" w:themeColor="text1"/>
                <w:spacing w:val="1"/>
                <w:sz w:val="24"/>
                <w:szCs w:val="24"/>
              </w:rPr>
              <w:t xml:space="preserve">ė </w:t>
            </w:r>
            <w:r w:rsidRPr="00A70645">
              <w:rPr>
                <w:rFonts w:ascii="Times New Roman" w:hAnsi="Times New Roman"/>
                <w:color w:val="000000" w:themeColor="text1"/>
                <w:sz w:val="24"/>
                <w:szCs w:val="24"/>
                <w:lang w:eastAsia="lt-LT"/>
              </w:rPr>
              <w:t xml:space="preserve">Nr. </w:t>
            </w:r>
            <w:r w:rsidRPr="00A70645">
              <w:rPr>
                <w:rFonts w:ascii="Times New Roman" w:hAnsi="Times New Roman"/>
                <w:color w:val="000000" w:themeColor="text1"/>
                <w:sz w:val="24"/>
                <w:szCs w:val="24"/>
              </w:rPr>
              <w:t>08.4.2-ESFA-R-615</w:t>
            </w:r>
            <w:r w:rsidRPr="00A70645">
              <w:rPr>
                <w:rFonts w:ascii="Times New Roman" w:hAnsi="Times New Roman"/>
                <w:color w:val="000000" w:themeColor="text1"/>
                <w:sz w:val="24"/>
                <w:szCs w:val="24"/>
                <w:lang w:eastAsia="lt-LT"/>
              </w:rPr>
              <w:t xml:space="preserve"> ,,</w:t>
            </w:r>
            <w:r w:rsidRPr="00A70645">
              <w:rPr>
                <w:rFonts w:ascii="Times New Roman" w:hAnsi="Times New Roman"/>
                <w:bCs/>
                <w:color w:val="000000" w:themeColor="text1"/>
                <w:sz w:val="24"/>
                <w:szCs w:val="24"/>
              </w:rPr>
              <w:t>Socialinės paramos priemonių, gerinančių ambulatorinių sveikatos priežiūros paslaugų prieinamumą tuberkulioze sergantiems pacientams, įgyvendinimas</w:t>
            </w:r>
            <w:r w:rsidRPr="00A70645">
              <w:rPr>
                <w:rFonts w:ascii="Times New Roman" w:hAnsi="Times New Roman"/>
                <w:color w:val="000000" w:themeColor="text1"/>
                <w:sz w:val="24"/>
                <w:szCs w:val="24"/>
                <w:lang w:eastAsia="lt-LT"/>
              </w:rPr>
              <w:t xml:space="preserve">“ yra </w:t>
            </w:r>
            <w:r w:rsidR="001A6698" w:rsidRPr="00A70645">
              <w:rPr>
                <w:rFonts w:ascii="Times New Roman" w:hAnsi="Times New Roman"/>
                <w:color w:val="000000" w:themeColor="text1"/>
                <w:sz w:val="24"/>
                <w:szCs w:val="24"/>
                <w:lang w:eastAsia="lt-LT"/>
              </w:rPr>
              <w:t>suformuota</w:t>
            </w:r>
            <w:r w:rsidRPr="00A70645">
              <w:rPr>
                <w:rFonts w:ascii="Times New Roman" w:hAnsi="Times New Roman"/>
                <w:color w:val="000000" w:themeColor="text1"/>
                <w:sz w:val="24"/>
                <w:szCs w:val="24"/>
                <w:lang w:eastAsia="lt-LT"/>
              </w:rPr>
              <w:t xml:space="preserve"> atskiriant </w:t>
            </w:r>
            <w:r w:rsidR="001A6698" w:rsidRPr="00A70645">
              <w:rPr>
                <w:rFonts w:ascii="Times New Roman" w:hAnsi="Times New Roman"/>
                <w:color w:val="000000" w:themeColor="text1"/>
                <w:sz w:val="24"/>
                <w:szCs w:val="24"/>
              </w:rPr>
              <w:t xml:space="preserve">veiklą, patenkančią į </w:t>
            </w:r>
            <w:r w:rsidR="003B5355" w:rsidRPr="00A70645">
              <w:rPr>
                <w:rFonts w:ascii="Times New Roman" w:hAnsi="Times New Roman"/>
                <w:color w:val="000000" w:themeColor="text1"/>
                <w:sz w:val="24"/>
                <w:szCs w:val="24"/>
              </w:rPr>
              <w:t>ESF</w:t>
            </w:r>
            <w:r w:rsidR="001A6698" w:rsidRPr="00A70645">
              <w:rPr>
                <w:rFonts w:ascii="Times New Roman" w:hAnsi="Times New Roman"/>
                <w:color w:val="000000" w:themeColor="text1"/>
                <w:sz w:val="24"/>
                <w:szCs w:val="24"/>
              </w:rPr>
              <w:t xml:space="preserve"> paramos sritį</w:t>
            </w:r>
            <w:r w:rsidRPr="00A70645">
              <w:rPr>
                <w:rFonts w:ascii="Times New Roman" w:hAnsi="Times New Roman"/>
                <w:color w:val="000000" w:themeColor="text1"/>
                <w:sz w:val="24"/>
                <w:szCs w:val="24"/>
                <w:lang w:eastAsia="lt-LT"/>
              </w:rPr>
              <w:t xml:space="preserve">, nuo </w:t>
            </w:r>
            <w:r w:rsidR="001A6698" w:rsidRPr="00A70645">
              <w:rPr>
                <w:rFonts w:ascii="Times New Roman" w:hAnsi="Times New Roman"/>
                <w:color w:val="000000" w:themeColor="text1"/>
                <w:sz w:val="24"/>
                <w:szCs w:val="24"/>
                <w:lang w:eastAsia="lt-LT"/>
              </w:rPr>
              <w:t xml:space="preserve">Sveikatos apsaugos ministerijos administruojamos </w:t>
            </w:r>
            <w:r w:rsidRPr="00A70645">
              <w:rPr>
                <w:rFonts w:ascii="Times New Roman" w:hAnsi="Times New Roman"/>
                <w:color w:val="000000" w:themeColor="text1"/>
                <w:sz w:val="24"/>
                <w:szCs w:val="24"/>
              </w:rPr>
              <w:t xml:space="preserve">priemonės </w:t>
            </w:r>
            <w:r w:rsidRPr="00A70645">
              <w:rPr>
                <w:rFonts w:ascii="Times New Roman" w:eastAsia="Times New Roman" w:hAnsi="Times New Roman"/>
                <w:color w:val="000000" w:themeColor="text1"/>
                <w:sz w:val="24"/>
                <w:szCs w:val="24"/>
                <w:lang w:eastAsia="lt-LT"/>
              </w:rPr>
              <w:t xml:space="preserve">Nr. 08.1.3-CPVA-R-609 </w:t>
            </w:r>
            <w:r w:rsidRPr="00A70645">
              <w:rPr>
                <w:rFonts w:ascii="Times New Roman" w:hAnsi="Times New Roman"/>
                <w:color w:val="000000" w:themeColor="text1"/>
                <w:sz w:val="24"/>
                <w:szCs w:val="24"/>
              </w:rPr>
              <w:t>„Pirminės asmens sveikatos priežiūros veiklos efektyvumo didinimas“</w:t>
            </w:r>
            <w:r w:rsidR="001A6698" w:rsidRPr="00A70645">
              <w:rPr>
                <w:rFonts w:ascii="Times New Roman" w:hAnsi="Times New Roman"/>
                <w:color w:val="000000" w:themeColor="text1"/>
                <w:sz w:val="24"/>
                <w:szCs w:val="24"/>
              </w:rPr>
              <w:t>, kuri</w:t>
            </w:r>
            <w:r w:rsidR="003B5355" w:rsidRPr="00A70645">
              <w:rPr>
                <w:rFonts w:ascii="Times New Roman" w:hAnsi="Times New Roman"/>
                <w:color w:val="000000" w:themeColor="text1"/>
                <w:sz w:val="24"/>
                <w:szCs w:val="24"/>
              </w:rPr>
              <w:t>ą</w:t>
            </w:r>
            <w:r w:rsidR="001A6698" w:rsidRPr="00A70645">
              <w:rPr>
                <w:rFonts w:ascii="Times New Roman" w:hAnsi="Times New Roman"/>
                <w:color w:val="000000" w:themeColor="text1"/>
                <w:sz w:val="24"/>
                <w:szCs w:val="24"/>
              </w:rPr>
              <w:t xml:space="preserve"> būtų </w:t>
            </w:r>
            <w:r w:rsidR="003B5355" w:rsidRPr="00A70645">
              <w:rPr>
                <w:rFonts w:ascii="Times New Roman" w:hAnsi="Times New Roman"/>
                <w:color w:val="000000" w:themeColor="text1"/>
                <w:sz w:val="24"/>
                <w:szCs w:val="24"/>
              </w:rPr>
              <w:t xml:space="preserve">reikėję </w:t>
            </w:r>
            <w:r w:rsidR="001A6698" w:rsidRPr="00A70645">
              <w:rPr>
                <w:rFonts w:ascii="Times New Roman" w:hAnsi="Times New Roman"/>
                <w:color w:val="000000" w:themeColor="text1"/>
                <w:sz w:val="24"/>
                <w:szCs w:val="24"/>
              </w:rPr>
              <w:t>įgyvendint</w:t>
            </w:r>
            <w:r w:rsidR="003B5355" w:rsidRPr="00A70645">
              <w:rPr>
                <w:rFonts w:ascii="Times New Roman" w:hAnsi="Times New Roman"/>
                <w:color w:val="000000" w:themeColor="text1"/>
                <w:sz w:val="24"/>
                <w:szCs w:val="24"/>
              </w:rPr>
              <w:t>i</w:t>
            </w:r>
            <w:r w:rsidR="001A6698" w:rsidRPr="00A70645">
              <w:rPr>
                <w:rFonts w:ascii="Times New Roman" w:hAnsi="Times New Roman"/>
                <w:color w:val="000000" w:themeColor="text1"/>
                <w:sz w:val="24"/>
                <w:szCs w:val="24"/>
              </w:rPr>
              <w:t xml:space="preserve"> </w:t>
            </w:r>
            <w:r w:rsidR="003B5355" w:rsidRPr="00A70645">
              <w:rPr>
                <w:rFonts w:ascii="Times New Roman" w:hAnsi="Times New Roman"/>
                <w:color w:val="000000" w:themeColor="text1"/>
                <w:sz w:val="24"/>
                <w:szCs w:val="24"/>
              </w:rPr>
              <w:t xml:space="preserve">ERPF lėšomis </w:t>
            </w:r>
            <w:r w:rsidR="001A6698" w:rsidRPr="00A70645">
              <w:rPr>
                <w:rFonts w:ascii="Times New Roman" w:hAnsi="Times New Roman"/>
                <w:color w:val="000000" w:themeColor="text1"/>
                <w:sz w:val="24"/>
                <w:szCs w:val="24"/>
              </w:rPr>
              <w:t>taikant kryžminį finansavimą.</w:t>
            </w:r>
          </w:p>
          <w:p w14:paraId="736E764D" w14:textId="77777777" w:rsidR="001A6698" w:rsidRPr="00A70645" w:rsidRDefault="001A6698" w:rsidP="001A6698">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Įvertinus tai, kad kryžminio finansavimo išlaidos negali viršyti </w:t>
            </w:r>
            <w:r w:rsidR="00B92EB1" w:rsidRPr="00A70645">
              <w:rPr>
                <w:rFonts w:ascii="Times New Roman" w:hAnsi="Times New Roman"/>
                <w:color w:val="000000" w:themeColor="text1"/>
                <w:sz w:val="24"/>
                <w:szCs w:val="24"/>
              </w:rPr>
              <w:br/>
            </w:r>
            <w:r w:rsidRPr="00A70645">
              <w:rPr>
                <w:rFonts w:ascii="Times New Roman" w:hAnsi="Times New Roman"/>
                <w:color w:val="000000" w:themeColor="text1"/>
                <w:sz w:val="24"/>
                <w:szCs w:val="24"/>
              </w:rPr>
              <w:t xml:space="preserve">10 procentų projekto lygiu tinkamų finansuoti išlaidų, gavus </w:t>
            </w:r>
            <w:r w:rsidRPr="00A70645">
              <w:rPr>
                <w:rFonts w:ascii="Times New Roman" w:hAnsi="Times New Roman"/>
                <w:color w:val="000000" w:themeColor="text1"/>
                <w:sz w:val="24"/>
                <w:szCs w:val="24"/>
              </w:rPr>
              <w:lastRenderedPageBreak/>
              <w:t xml:space="preserve">vadovaujančiosios institucijos pritarimą, </w:t>
            </w:r>
            <w:r w:rsidR="003B5355" w:rsidRPr="00A70645">
              <w:rPr>
                <w:rFonts w:ascii="Times New Roman" w:hAnsi="Times New Roman"/>
                <w:color w:val="000000" w:themeColor="text1"/>
                <w:sz w:val="24"/>
                <w:szCs w:val="24"/>
              </w:rPr>
              <w:t xml:space="preserve">buvo nuspręsta suformuoti atskirą </w:t>
            </w:r>
            <w:r w:rsidR="003B5355" w:rsidRPr="00A70645">
              <w:rPr>
                <w:rFonts w:ascii="Times New Roman" w:hAnsi="Times New Roman"/>
                <w:bCs/>
                <w:color w:val="000000" w:themeColor="text1"/>
                <w:sz w:val="24"/>
                <w:szCs w:val="24"/>
              </w:rPr>
              <w:t>Socialinės paramos priemonę, kurią administruos ESFA.</w:t>
            </w:r>
          </w:p>
          <w:p w14:paraId="6FBD4AF3" w14:textId="77777777" w:rsidR="00395C5D" w:rsidRPr="00A70645" w:rsidRDefault="003B5355"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Pažymėtina, kad priemonė </w:t>
            </w:r>
            <w:r w:rsidRPr="00A70645">
              <w:rPr>
                <w:rFonts w:ascii="Times New Roman" w:eastAsia="Times New Roman" w:hAnsi="Times New Roman"/>
                <w:color w:val="000000" w:themeColor="text1"/>
                <w:sz w:val="24"/>
                <w:szCs w:val="24"/>
                <w:lang w:eastAsia="lt-LT"/>
              </w:rPr>
              <w:t xml:space="preserve">Nr. 08.1.3-CPVA-R-609 </w:t>
            </w:r>
            <w:r w:rsidRPr="00A70645">
              <w:rPr>
                <w:rFonts w:ascii="Times New Roman" w:hAnsi="Times New Roman"/>
                <w:color w:val="000000" w:themeColor="text1"/>
                <w:sz w:val="24"/>
                <w:szCs w:val="24"/>
              </w:rPr>
              <w:t xml:space="preserve">„Pirminės asmens sveikatos priežiūros veiklos efektyvumo didinimas“ (kartu su </w:t>
            </w:r>
            <w:r w:rsidRPr="00A70645">
              <w:rPr>
                <w:rFonts w:ascii="Times New Roman" w:hAnsi="Times New Roman"/>
                <w:bCs/>
                <w:color w:val="000000" w:themeColor="text1"/>
                <w:sz w:val="24"/>
                <w:szCs w:val="24"/>
              </w:rPr>
              <w:t xml:space="preserve">socialinės paramos veiklomis) buvo suderinta su:  </w:t>
            </w:r>
          </w:p>
          <w:p w14:paraId="4BF14A88" w14:textId="77777777" w:rsidR="000A16AB" w:rsidRPr="00A70645" w:rsidRDefault="000A16AB"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 xml:space="preserve">Lietuvos Respublikos socialinės apsaugos ir darbo ministerija </w:t>
            </w:r>
            <w:r w:rsidR="003B5355" w:rsidRPr="00A70645">
              <w:rPr>
                <w:rFonts w:ascii="Times New Roman" w:hAnsi="Times New Roman"/>
                <w:color w:val="000000" w:themeColor="text1"/>
                <w:sz w:val="24"/>
                <w:szCs w:val="24"/>
              </w:rPr>
              <w:br/>
            </w:r>
            <w:r w:rsidRPr="00A70645">
              <w:rPr>
                <w:rFonts w:ascii="Times New Roman" w:hAnsi="Times New Roman"/>
                <w:color w:val="000000" w:themeColor="text1"/>
                <w:sz w:val="24"/>
                <w:szCs w:val="24"/>
              </w:rPr>
              <w:t>2016-05-18 raštu Nr. (21.1.17-81) SD-3270;</w:t>
            </w:r>
          </w:p>
          <w:p w14:paraId="02C51FCC" w14:textId="77777777" w:rsidR="00502974" w:rsidRPr="00A70645" w:rsidRDefault="000A16AB"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Lietuvos Respublikos vidaus reikalų ministerija 20</w:t>
            </w:r>
            <w:r w:rsidR="00A943C8" w:rsidRPr="00A70645">
              <w:rPr>
                <w:rFonts w:ascii="Times New Roman" w:hAnsi="Times New Roman"/>
                <w:color w:val="000000" w:themeColor="text1"/>
                <w:sz w:val="24"/>
                <w:szCs w:val="24"/>
              </w:rPr>
              <w:t xml:space="preserve">16-05-23 raštu </w:t>
            </w:r>
            <w:r w:rsidR="003B5355" w:rsidRPr="00A70645">
              <w:rPr>
                <w:rFonts w:ascii="Times New Roman" w:hAnsi="Times New Roman"/>
                <w:color w:val="000000" w:themeColor="text1"/>
                <w:sz w:val="24"/>
                <w:szCs w:val="24"/>
              </w:rPr>
              <w:br/>
            </w:r>
            <w:r w:rsidR="00A943C8" w:rsidRPr="00A70645">
              <w:rPr>
                <w:rFonts w:ascii="Times New Roman" w:hAnsi="Times New Roman"/>
                <w:color w:val="000000" w:themeColor="text1"/>
                <w:sz w:val="24"/>
                <w:szCs w:val="24"/>
              </w:rPr>
              <w:t>Nr. 1D-3219 (22);</w:t>
            </w:r>
          </w:p>
          <w:p w14:paraId="5F618729" w14:textId="77777777" w:rsidR="003E719B" w:rsidRPr="00A70645" w:rsidRDefault="00BD014F"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VšĮ Centrine</w:t>
            </w:r>
            <w:r w:rsidR="00A943C8" w:rsidRPr="00A70645">
              <w:rPr>
                <w:rFonts w:ascii="Times New Roman" w:hAnsi="Times New Roman"/>
                <w:color w:val="000000" w:themeColor="text1"/>
                <w:sz w:val="24"/>
                <w:szCs w:val="24"/>
              </w:rPr>
              <w:t xml:space="preserve"> pro</w:t>
            </w:r>
            <w:r w:rsidRPr="00A70645">
              <w:rPr>
                <w:rFonts w:ascii="Times New Roman" w:hAnsi="Times New Roman"/>
                <w:color w:val="000000" w:themeColor="text1"/>
                <w:sz w:val="24"/>
                <w:szCs w:val="24"/>
              </w:rPr>
              <w:t>jektų valdymo agentūra</w:t>
            </w:r>
            <w:r w:rsidR="00A943C8" w:rsidRPr="00A70645">
              <w:rPr>
                <w:rFonts w:ascii="Times New Roman" w:hAnsi="Times New Roman"/>
                <w:color w:val="000000" w:themeColor="text1"/>
                <w:sz w:val="24"/>
                <w:szCs w:val="24"/>
              </w:rPr>
              <w:t xml:space="preserve"> 2016-07-13 raštu </w:t>
            </w:r>
            <w:r w:rsidR="003B5355" w:rsidRPr="00A70645">
              <w:rPr>
                <w:rFonts w:ascii="Times New Roman" w:hAnsi="Times New Roman"/>
                <w:color w:val="000000" w:themeColor="text1"/>
                <w:sz w:val="24"/>
                <w:szCs w:val="24"/>
              </w:rPr>
              <w:br/>
            </w:r>
            <w:r w:rsidR="00A943C8" w:rsidRPr="00A70645">
              <w:rPr>
                <w:rFonts w:ascii="Times New Roman" w:hAnsi="Times New Roman"/>
                <w:color w:val="000000" w:themeColor="text1"/>
                <w:sz w:val="24"/>
                <w:szCs w:val="24"/>
              </w:rPr>
              <w:t>Nr. 2016/2-4647</w:t>
            </w:r>
            <w:r w:rsidR="003E719B" w:rsidRPr="00A70645">
              <w:rPr>
                <w:rFonts w:ascii="Times New Roman" w:hAnsi="Times New Roman"/>
                <w:color w:val="000000" w:themeColor="text1"/>
                <w:sz w:val="24"/>
                <w:szCs w:val="24"/>
              </w:rPr>
              <w:t>;</w:t>
            </w:r>
          </w:p>
          <w:p w14:paraId="3B8B16A0" w14:textId="77777777" w:rsidR="00A943C8" w:rsidRPr="00A70645" w:rsidRDefault="003E719B" w:rsidP="00D54809">
            <w:pPr>
              <w:tabs>
                <w:tab w:val="left" w:pos="567"/>
              </w:tabs>
              <w:jc w:val="both"/>
              <w:rPr>
                <w:rFonts w:ascii="Times New Roman" w:hAnsi="Times New Roman"/>
                <w:color w:val="000000" w:themeColor="text1"/>
                <w:sz w:val="24"/>
                <w:szCs w:val="24"/>
              </w:rPr>
            </w:pPr>
            <w:r w:rsidRPr="00A70645">
              <w:rPr>
                <w:rFonts w:ascii="Times New Roman" w:hAnsi="Times New Roman"/>
                <w:color w:val="000000" w:themeColor="text1"/>
                <w:sz w:val="24"/>
                <w:szCs w:val="24"/>
              </w:rPr>
              <w:t>Lietuvos Respublikos konkurencijos taryba 2016 m. rugpjūčio 30 d. raštu Nr. (9.8-35) 6V-1893.</w:t>
            </w:r>
          </w:p>
          <w:p w14:paraId="61EFC3BA" w14:textId="77777777" w:rsidR="000C036D" w:rsidRPr="00A70645" w:rsidRDefault="000C036D" w:rsidP="00D54809">
            <w:pPr>
              <w:tabs>
                <w:tab w:val="left" w:pos="567"/>
              </w:tabs>
              <w:jc w:val="both"/>
              <w:rPr>
                <w:rFonts w:ascii="Times New Roman" w:hAnsi="Times New Roman"/>
                <w:color w:val="000000" w:themeColor="text1"/>
                <w:sz w:val="24"/>
                <w:szCs w:val="24"/>
              </w:rPr>
            </w:pPr>
          </w:p>
        </w:tc>
      </w:tr>
    </w:tbl>
    <w:p w14:paraId="6B2A2B94" w14:textId="77777777" w:rsidR="003B5355" w:rsidRPr="00647F06" w:rsidRDefault="003B5355" w:rsidP="003B5355">
      <w:pPr>
        <w:spacing w:after="0"/>
        <w:jc w:val="center"/>
        <w:rPr>
          <w:rFonts w:ascii="Times New Roman" w:hAnsi="Times New Roman"/>
          <w:sz w:val="24"/>
          <w:szCs w:val="24"/>
        </w:rPr>
      </w:pPr>
    </w:p>
    <w:p w14:paraId="4BD6C6E6" w14:textId="77777777" w:rsidR="00822EE5" w:rsidRPr="00647F06" w:rsidRDefault="00822EE5" w:rsidP="003B5355">
      <w:pPr>
        <w:spacing w:after="0"/>
        <w:jc w:val="center"/>
        <w:rPr>
          <w:rFonts w:ascii="Times New Roman" w:hAnsi="Times New Roman"/>
          <w:sz w:val="24"/>
          <w:szCs w:val="24"/>
        </w:rPr>
      </w:pPr>
    </w:p>
    <w:p w14:paraId="09994265" w14:textId="77777777" w:rsidR="003B5355" w:rsidRPr="00C56014" w:rsidRDefault="003B5355" w:rsidP="003B5355">
      <w:pPr>
        <w:spacing w:after="0"/>
        <w:jc w:val="center"/>
        <w:rPr>
          <w:rFonts w:ascii="Times New Roman" w:hAnsi="Times New Roman"/>
          <w:sz w:val="24"/>
          <w:szCs w:val="24"/>
        </w:rPr>
      </w:pPr>
      <w:r w:rsidRPr="00647F06">
        <w:rPr>
          <w:rFonts w:ascii="Times New Roman" w:hAnsi="Times New Roman"/>
          <w:sz w:val="24"/>
          <w:szCs w:val="24"/>
        </w:rPr>
        <w:t>________________________</w:t>
      </w:r>
    </w:p>
    <w:sectPr w:rsidR="003B5355" w:rsidRPr="00C56014" w:rsidSect="00E56F6C">
      <w:head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5E0A1" w14:textId="77777777" w:rsidR="009C062E" w:rsidRDefault="009C062E" w:rsidP="00C04637">
      <w:pPr>
        <w:spacing w:after="0" w:line="240" w:lineRule="auto"/>
      </w:pPr>
      <w:r>
        <w:separator/>
      </w:r>
    </w:p>
  </w:endnote>
  <w:endnote w:type="continuationSeparator" w:id="0">
    <w:p w14:paraId="0606F94A" w14:textId="77777777" w:rsidR="009C062E" w:rsidRDefault="009C062E" w:rsidP="00C0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E034F" w14:textId="77777777" w:rsidR="009C062E" w:rsidRDefault="009C062E" w:rsidP="00C04637">
      <w:pPr>
        <w:spacing w:after="0" w:line="240" w:lineRule="auto"/>
      </w:pPr>
      <w:r>
        <w:separator/>
      </w:r>
    </w:p>
  </w:footnote>
  <w:footnote w:type="continuationSeparator" w:id="0">
    <w:p w14:paraId="74982B31" w14:textId="77777777" w:rsidR="009C062E" w:rsidRDefault="009C062E" w:rsidP="00C04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976564"/>
      <w:docPartObj>
        <w:docPartGallery w:val="Page Numbers (Top of Page)"/>
        <w:docPartUnique/>
      </w:docPartObj>
    </w:sdtPr>
    <w:sdtEndPr>
      <w:rPr>
        <w:rFonts w:ascii="Times New Roman" w:hAnsi="Times New Roman"/>
        <w:noProof/>
        <w:sz w:val="24"/>
        <w:szCs w:val="24"/>
      </w:rPr>
    </w:sdtEndPr>
    <w:sdtContent>
      <w:p w14:paraId="157E1D87" w14:textId="7D1E582B" w:rsidR="00A61BFF" w:rsidRPr="00A61BFF" w:rsidRDefault="00A61BFF">
        <w:pPr>
          <w:pStyle w:val="Antrats"/>
          <w:jc w:val="center"/>
          <w:rPr>
            <w:rFonts w:ascii="Times New Roman" w:hAnsi="Times New Roman"/>
            <w:sz w:val="24"/>
            <w:szCs w:val="24"/>
          </w:rPr>
        </w:pPr>
        <w:r w:rsidRPr="00A61BFF">
          <w:rPr>
            <w:rFonts w:ascii="Times New Roman" w:hAnsi="Times New Roman"/>
            <w:sz w:val="24"/>
            <w:szCs w:val="24"/>
          </w:rPr>
          <w:fldChar w:fldCharType="begin"/>
        </w:r>
        <w:r w:rsidRPr="00A61BFF">
          <w:rPr>
            <w:rFonts w:ascii="Times New Roman" w:hAnsi="Times New Roman"/>
            <w:sz w:val="24"/>
            <w:szCs w:val="24"/>
          </w:rPr>
          <w:instrText xml:space="preserve"> PAGE   \* MERGEFORMAT </w:instrText>
        </w:r>
        <w:r w:rsidRPr="00A61BFF">
          <w:rPr>
            <w:rFonts w:ascii="Times New Roman" w:hAnsi="Times New Roman"/>
            <w:sz w:val="24"/>
            <w:szCs w:val="24"/>
          </w:rPr>
          <w:fldChar w:fldCharType="separate"/>
        </w:r>
        <w:r w:rsidR="00A70645">
          <w:rPr>
            <w:rFonts w:ascii="Times New Roman" w:hAnsi="Times New Roman"/>
            <w:noProof/>
            <w:sz w:val="24"/>
            <w:szCs w:val="24"/>
          </w:rPr>
          <w:t>11</w:t>
        </w:r>
        <w:r w:rsidRPr="00A61BFF">
          <w:rPr>
            <w:rFonts w:ascii="Times New Roman" w:hAnsi="Times New Roman"/>
            <w:noProof/>
            <w:sz w:val="24"/>
            <w:szCs w:val="24"/>
          </w:rPr>
          <w:fldChar w:fldCharType="end"/>
        </w:r>
      </w:p>
    </w:sdtContent>
  </w:sdt>
  <w:p w14:paraId="223F81DC" w14:textId="77777777" w:rsidR="00C04637" w:rsidRDefault="00C046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633"/>
    <w:multiLevelType w:val="multilevel"/>
    <w:tmpl w:val="727C74FA"/>
    <w:lvl w:ilvl="0">
      <w:start w:val="1"/>
      <w:numFmt w:val="decimal"/>
      <w:lvlText w:val="%1."/>
      <w:lvlJc w:val="left"/>
      <w:pPr>
        <w:ind w:left="1495" w:hanging="360"/>
      </w:pPr>
      <w:rPr>
        <w:rFonts w:hint="default"/>
        <w:i w:val="0"/>
      </w:rPr>
    </w:lvl>
    <w:lvl w:ilvl="1">
      <w:start w:val="1"/>
      <w:numFmt w:val="decimal"/>
      <w:isLgl/>
      <w:lvlText w:val="%1.%2."/>
      <w:lvlJc w:val="left"/>
      <w:pPr>
        <w:ind w:left="1331"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5010CE4"/>
    <w:multiLevelType w:val="hybridMultilevel"/>
    <w:tmpl w:val="8B7484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456C44"/>
    <w:multiLevelType w:val="hybridMultilevel"/>
    <w:tmpl w:val="7122A5AE"/>
    <w:lvl w:ilvl="0" w:tplc="9C8C3AAA">
      <w:start w:val="1"/>
      <w:numFmt w:val="bullet"/>
      <w:lvlText w:val=""/>
      <w:lvlJc w:val="left"/>
      <w:pPr>
        <w:tabs>
          <w:tab w:val="num" w:pos="720"/>
        </w:tabs>
        <w:ind w:left="720" w:hanging="360"/>
      </w:pPr>
      <w:rPr>
        <w:rFonts w:ascii="Wingdings" w:hAnsi="Wingdings" w:hint="default"/>
      </w:rPr>
    </w:lvl>
    <w:lvl w:ilvl="1" w:tplc="0BE0F544" w:tentative="1">
      <w:start w:val="1"/>
      <w:numFmt w:val="bullet"/>
      <w:lvlText w:val=""/>
      <w:lvlJc w:val="left"/>
      <w:pPr>
        <w:tabs>
          <w:tab w:val="num" w:pos="1440"/>
        </w:tabs>
        <w:ind w:left="1440" w:hanging="360"/>
      </w:pPr>
      <w:rPr>
        <w:rFonts w:ascii="Wingdings" w:hAnsi="Wingdings" w:hint="default"/>
      </w:rPr>
    </w:lvl>
    <w:lvl w:ilvl="2" w:tplc="CFCC5DFA" w:tentative="1">
      <w:start w:val="1"/>
      <w:numFmt w:val="bullet"/>
      <w:lvlText w:val=""/>
      <w:lvlJc w:val="left"/>
      <w:pPr>
        <w:tabs>
          <w:tab w:val="num" w:pos="2160"/>
        </w:tabs>
        <w:ind w:left="2160" w:hanging="360"/>
      </w:pPr>
      <w:rPr>
        <w:rFonts w:ascii="Wingdings" w:hAnsi="Wingdings" w:hint="default"/>
      </w:rPr>
    </w:lvl>
    <w:lvl w:ilvl="3" w:tplc="D910C548" w:tentative="1">
      <w:start w:val="1"/>
      <w:numFmt w:val="bullet"/>
      <w:lvlText w:val=""/>
      <w:lvlJc w:val="left"/>
      <w:pPr>
        <w:tabs>
          <w:tab w:val="num" w:pos="2880"/>
        </w:tabs>
        <w:ind w:left="2880" w:hanging="360"/>
      </w:pPr>
      <w:rPr>
        <w:rFonts w:ascii="Wingdings" w:hAnsi="Wingdings" w:hint="default"/>
      </w:rPr>
    </w:lvl>
    <w:lvl w:ilvl="4" w:tplc="EE082BEE" w:tentative="1">
      <w:start w:val="1"/>
      <w:numFmt w:val="bullet"/>
      <w:lvlText w:val=""/>
      <w:lvlJc w:val="left"/>
      <w:pPr>
        <w:tabs>
          <w:tab w:val="num" w:pos="3600"/>
        </w:tabs>
        <w:ind w:left="3600" w:hanging="360"/>
      </w:pPr>
      <w:rPr>
        <w:rFonts w:ascii="Wingdings" w:hAnsi="Wingdings" w:hint="default"/>
      </w:rPr>
    </w:lvl>
    <w:lvl w:ilvl="5" w:tplc="B4580F28" w:tentative="1">
      <w:start w:val="1"/>
      <w:numFmt w:val="bullet"/>
      <w:lvlText w:val=""/>
      <w:lvlJc w:val="left"/>
      <w:pPr>
        <w:tabs>
          <w:tab w:val="num" w:pos="4320"/>
        </w:tabs>
        <w:ind w:left="4320" w:hanging="360"/>
      </w:pPr>
      <w:rPr>
        <w:rFonts w:ascii="Wingdings" w:hAnsi="Wingdings" w:hint="default"/>
      </w:rPr>
    </w:lvl>
    <w:lvl w:ilvl="6" w:tplc="F32446E0" w:tentative="1">
      <w:start w:val="1"/>
      <w:numFmt w:val="bullet"/>
      <w:lvlText w:val=""/>
      <w:lvlJc w:val="left"/>
      <w:pPr>
        <w:tabs>
          <w:tab w:val="num" w:pos="5040"/>
        </w:tabs>
        <w:ind w:left="5040" w:hanging="360"/>
      </w:pPr>
      <w:rPr>
        <w:rFonts w:ascii="Wingdings" w:hAnsi="Wingdings" w:hint="default"/>
      </w:rPr>
    </w:lvl>
    <w:lvl w:ilvl="7" w:tplc="8A14C8FA" w:tentative="1">
      <w:start w:val="1"/>
      <w:numFmt w:val="bullet"/>
      <w:lvlText w:val=""/>
      <w:lvlJc w:val="left"/>
      <w:pPr>
        <w:tabs>
          <w:tab w:val="num" w:pos="5760"/>
        </w:tabs>
        <w:ind w:left="5760" w:hanging="360"/>
      </w:pPr>
      <w:rPr>
        <w:rFonts w:ascii="Wingdings" w:hAnsi="Wingdings" w:hint="default"/>
      </w:rPr>
    </w:lvl>
    <w:lvl w:ilvl="8" w:tplc="C84818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C6626F"/>
    <w:multiLevelType w:val="hybridMultilevel"/>
    <w:tmpl w:val="1EEC9E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37"/>
    <w:rsid w:val="000027A5"/>
    <w:rsid w:val="00002A57"/>
    <w:rsid w:val="000059B3"/>
    <w:rsid w:val="00013876"/>
    <w:rsid w:val="000143D4"/>
    <w:rsid w:val="000221A1"/>
    <w:rsid w:val="000276E0"/>
    <w:rsid w:val="00027AC0"/>
    <w:rsid w:val="00032010"/>
    <w:rsid w:val="00035000"/>
    <w:rsid w:val="000400D3"/>
    <w:rsid w:val="00041FCF"/>
    <w:rsid w:val="00050A86"/>
    <w:rsid w:val="00050E48"/>
    <w:rsid w:val="000534CD"/>
    <w:rsid w:val="00055A76"/>
    <w:rsid w:val="00060DE8"/>
    <w:rsid w:val="0006298B"/>
    <w:rsid w:val="00062E16"/>
    <w:rsid w:val="00070A0C"/>
    <w:rsid w:val="00074792"/>
    <w:rsid w:val="00082678"/>
    <w:rsid w:val="00085262"/>
    <w:rsid w:val="000860B2"/>
    <w:rsid w:val="000914D4"/>
    <w:rsid w:val="000A16AB"/>
    <w:rsid w:val="000A1C94"/>
    <w:rsid w:val="000A222F"/>
    <w:rsid w:val="000A3FED"/>
    <w:rsid w:val="000A4099"/>
    <w:rsid w:val="000A7482"/>
    <w:rsid w:val="000B4CE0"/>
    <w:rsid w:val="000C036D"/>
    <w:rsid w:val="000C4761"/>
    <w:rsid w:val="000C6160"/>
    <w:rsid w:val="000C6DE3"/>
    <w:rsid w:val="000D0678"/>
    <w:rsid w:val="000E48A8"/>
    <w:rsid w:val="000F1452"/>
    <w:rsid w:val="000F3C59"/>
    <w:rsid w:val="000F5A76"/>
    <w:rsid w:val="00101169"/>
    <w:rsid w:val="001044B5"/>
    <w:rsid w:val="0010477E"/>
    <w:rsid w:val="00111575"/>
    <w:rsid w:val="001130C6"/>
    <w:rsid w:val="00121F4C"/>
    <w:rsid w:val="00122B7A"/>
    <w:rsid w:val="001246BF"/>
    <w:rsid w:val="001250B8"/>
    <w:rsid w:val="0012682A"/>
    <w:rsid w:val="0015146F"/>
    <w:rsid w:val="001552A3"/>
    <w:rsid w:val="0017747B"/>
    <w:rsid w:val="001816FE"/>
    <w:rsid w:val="001835CA"/>
    <w:rsid w:val="00185129"/>
    <w:rsid w:val="0019071A"/>
    <w:rsid w:val="00195195"/>
    <w:rsid w:val="00196870"/>
    <w:rsid w:val="001A2E69"/>
    <w:rsid w:val="001A54A9"/>
    <w:rsid w:val="001A6698"/>
    <w:rsid w:val="001A6854"/>
    <w:rsid w:val="001B088A"/>
    <w:rsid w:val="001B0B82"/>
    <w:rsid w:val="001B4C9F"/>
    <w:rsid w:val="001B691A"/>
    <w:rsid w:val="001B7391"/>
    <w:rsid w:val="001C66A1"/>
    <w:rsid w:val="001C7EF6"/>
    <w:rsid w:val="001D0C10"/>
    <w:rsid w:val="001D19BE"/>
    <w:rsid w:val="001E66E2"/>
    <w:rsid w:val="001E6D13"/>
    <w:rsid w:val="001E724E"/>
    <w:rsid w:val="001F2D2D"/>
    <w:rsid w:val="001F5EBB"/>
    <w:rsid w:val="00214A5B"/>
    <w:rsid w:val="00222B15"/>
    <w:rsid w:val="002238B0"/>
    <w:rsid w:val="00227CE6"/>
    <w:rsid w:val="00234D76"/>
    <w:rsid w:val="00235036"/>
    <w:rsid w:val="002529CE"/>
    <w:rsid w:val="00257F7A"/>
    <w:rsid w:val="00260C39"/>
    <w:rsid w:val="0026441A"/>
    <w:rsid w:val="002713C9"/>
    <w:rsid w:val="00275C62"/>
    <w:rsid w:val="0028012C"/>
    <w:rsid w:val="00281C0A"/>
    <w:rsid w:val="00290BDD"/>
    <w:rsid w:val="00294BAC"/>
    <w:rsid w:val="00295F76"/>
    <w:rsid w:val="002A74B3"/>
    <w:rsid w:val="002B23B2"/>
    <w:rsid w:val="002B2948"/>
    <w:rsid w:val="002C1BE1"/>
    <w:rsid w:val="002C37C9"/>
    <w:rsid w:val="002C64BC"/>
    <w:rsid w:val="002E0BA3"/>
    <w:rsid w:val="002E6DFA"/>
    <w:rsid w:val="002F0056"/>
    <w:rsid w:val="002F2B0D"/>
    <w:rsid w:val="00304113"/>
    <w:rsid w:val="00306D23"/>
    <w:rsid w:val="00310EB2"/>
    <w:rsid w:val="00315044"/>
    <w:rsid w:val="003227A7"/>
    <w:rsid w:val="003230E6"/>
    <w:rsid w:val="00326004"/>
    <w:rsid w:val="0033046E"/>
    <w:rsid w:val="003335F4"/>
    <w:rsid w:val="00333F06"/>
    <w:rsid w:val="00336C06"/>
    <w:rsid w:val="00336D34"/>
    <w:rsid w:val="00346037"/>
    <w:rsid w:val="00356825"/>
    <w:rsid w:val="0036231D"/>
    <w:rsid w:val="00363240"/>
    <w:rsid w:val="00377AD9"/>
    <w:rsid w:val="00385824"/>
    <w:rsid w:val="00387422"/>
    <w:rsid w:val="0039098C"/>
    <w:rsid w:val="003916C3"/>
    <w:rsid w:val="00393AF1"/>
    <w:rsid w:val="00395C5D"/>
    <w:rsid w:val="003B370D"/>
    <w:rsid w:val="003B3E34"/>
    <w:rsid w:val="003B5355"/>
    <w:rsid w:val="003B7769"/>
    <w:rsid w:val="003B7AD8"/>
    <w:rsid w:val="003C1F2B"/>
    <w:rsid w:val="003C75E8"/>
    <w:rsid w:val="003E64FF"/>
    <w:rsid w:val="003E719B"/>
    <w:rsid w:val="003F04AC"/>
    <w:rsid w:val="003F2859"/>
    <w:rsid w:val="004002B5"/>
    <w:rsid w:val="004023F5"/>
    <w:rsid w:val="00405851"/>
    <w:rsid w:val="004126D7"/>
    <w:rsid w:val="00413D7B"/>
    <w:rsid w:val="004175B3"/>
    <w:rsid w:val="00420C19"/>
    <w:rsid w:val="00430253"/>
    <w:rsid w:val="00431198"/>
    <w:rsid w:val="00432B9C"/>
    <w:rsid w:val="0043674B"/>
    <w:rsid w:val="00444E51"/>
    <w:rsid w:val="00454753"/>
    <w:rsid w:val="00454F94"/>
    <w:rsid w:val="00477160"/>
    <w:rsid w:val="004803BE"/>
    <w:rsid w:val="004809A5"/>
    <w:rsid w:val="004A369B"/>
    <w:rsid w:val="004A3C8A"/>
    <w:rsid w:val="004B03CF"/>
    <w:rsid w:val="004B2EFA"/>
    <w:rsid w:val="004B3853"/>
    <w:rsid w:val="004B4029"/>
    <w:rsid w:val="004B48A4"/>
    <w:rsid w:val="004C0F71"/>
    <w:rsid w:val="004C7670"/>
    <w:rsid w:val="004C7B27"/>
    <w:rsid w:val="004D32FB"/>
    <w:rsid w:val="004D7AE9"/>
    <w:rsid w:val="004E552B"/>
    <w:rsid w:val="004E5E20"/>
    <w:rsid w:val="004F057C"/>
    <w:rsid w:val="00500E54"/>
    <w:rsid w:val="00501BEF"/>
    <w:rsid w:val="00502974"/>
    <w:rsid w:val="00503069"/>
    <w:rsid w:val="005049D8"/>
    <w:rsid w:val="00515672"/>
    <w:rsid w:val="0052120B"/>
    <w:rsid w:val="00523B26"/>
    <w:rsid w:val="00536DA4"/>
    <w:rsid w:val="00537411"/>
    <w:rsid w:val="00546522"/>
    <w:rsid w:val="00547CD5"/>
    <w:rsid w:val="00553D86"/>
    <w:rsid w:val="005548DA"/>
    <w:rsid w:val="00556089"/>
    <w:rsid w:val="00556DFC"/>
    <w:rsid w:val="00556F71"/>
    <w:rsid w:val="005643FD"/>
    <w:rsid w:val="00565E70"/>
    <w:rsid w:val="00566500"/>
    <w:rsid w:val="00572759"/>
    <w:rsid w:val="00576B17"/>
    <w:rsid w:val="005801E5"/>
    <w:rsid w:val="005844A1"/>
    <w:rsid w:val="00585ED2"/>
    <w:rsid w:val="005860AA"/>
    <w:rsid w:val="005A1395"/>
    <w:rsid w:val="005A3E33"/>
    <w:rsid w:val="005A7E0F"/>
    <w:rsid w:val="005C0BC4"/>
    <w:rsid w:val="005C325C"/>
    <w:rsid w:val="005C5AC7"/>
    <w:rsid w:val="005D1977"/>
    <w:rsid w:val="005D3FD7"/>
    <w:rsid w:val="005D7C73"/>
    <w:rsid w:val="005E2D2B"/>
    <w:rsid w:val="005E3E68"/>
    <w:rsid w:val="005F004C"/>
    <w:rsid w:val="005F3570"/>
    <w:rsid w:val="00600998"/>
    <w:rsid w:val="0060286E"/>
    <w:rsid w:val="0061439A"/>
    <w:rsid w:val="00614E0F"/>
    <w:rsid w:val="00616E31"/>
    <w:rsid w:val="00633A3B"/>
    <w:rsid w:val="00634705"/>
    <w:rsid w:val="0063742E"/>
    <w:rsid w:val="006433B8"/>
    <w:rsid w:val="006465FA"/>
    <w:rsid w:val="00647F06"/>
    <w:rsid w:val="0066011B"/>
    <w:rsid w:val="00664C1F"/>
    <w:rsid w:val="00666212"/>
    <w:rsid w:val="006720B7"/>
    <w:rsid w:val="006746AC"/>
    <w:rsid w:val="00684C02"/>
    <w:rsid w:val="00686D95"/>
    <w:rsid w:val="006871F8"/>
    <w:rsid w:val="00690B31"/>
    <w:rsid w:val="006A278A"/>
    <w:rsid w:val="006A3319"/>
    <w:rsid w:val="006A7FEA"/>
    <w:rsid w:val="006B3D6A"/>
    <w:rsid w:val="006C1CC5"/>
    <w:rsid w:val="006C5325"/>
    <w:rsid w:val="006C7ADD"/>
    <w:rsid w:val="006D31C7"/>
    <w:rsid w:val="006D4DC6"/>
    <w:rsid w:val="006D7072"/>
    <w:rsid w:val="006E1039"/>
    <w:rsid w:val="006E2272"/>
    <w:rsid w:val="006E26E2"/>
    <w:rsid w:val="006E34C1"/>
    <w:rsid w:val="006F19E0"/>
    <w:rsid w:val="006F3A00"/>
    <w:rsid w:val="006F3F8F"/>
    <w:rsid w:val="006F4FF0"/>
    <w:rsid w:val="006F5DAA"/>
    <w:rsid w:val="00703349"/>
    <w:rsid w:val="00705436"/>
    <w:rsid w:val="00705A3B"/>
    <w:rsid w:val="00710C5D"/>
    <w:rsid w:val="0071322D"/>
    <w:rsid w:val="00715009"/>
    <w:rsid w:val="00720033"/>
    <w:rsid w:val="0072185C"/>
    <w:rsid w:val="00724EB5"/>
    <w:rsid w:val="007520E2"/>
    <w:rsid w:val="0075558A"/>
    <w:rsid w:val="0075707C"/>
    <w:rsid w:val="00757E49"/>
    <w:rsid w:val="00780CFB"/>
    <w:rsid w:val="00792166"/>
    <w:rsid w:val="007A1A23"/>
    <w:rsid w:val="007A2B6B"/>
    <w:rsid w:val="007A4F93"/>
    <w:rsid w:val="007B6176"/>
    <w:rsid w:val="007C1844"/>
    <w:rsid w:val="007C3811"/>
    <w:rsid w:val="007C453E"/>
    <w:rsid w:val="007C5B8D"/>
    <w:rsid w:val="007D5832"/>
    <w:rsid w:val="007E3E20"/>
    <w:rsid w:val="007F01EB"/>
    <w:rsid w:val="007F1247"/>
    <w:rsid w:val="007F1940"/>
    <w:rsid w:val="007F7762"/>
    <w:rsid w:val="00807654"/>
    <w:rsid w:val="00807A15"/>
    <w:rsid w:val="00822EE5"/>
    <w:rsid w:val="00824310"/>
    <w:rsid w:val="00840BCB"/>
    <w:rsid w:val="00843D3A"/>
    <w:rsid w:val="008512F4"/>
    <w:rsid w:val="00855544"/>
    <w:rsid w:val="00857C0B"/>
    <w:rsid w:val="008602BB"/>
    <w:rsid w:val="00866572"/>
    <w:rsid w:val="008827FD"/>
    <w:rsid w:val="00883D54"/>
    <w:rsid w:val="00896C70"/>
    <w:rsid w:val="0089771E"/>
    <w:rsid w:val="008A5FF9"/>
    <w:rsid w:val="008A66A3"/>
    <w:rsid w:val="008B1BF7"/>
    <w:rsid w:val="008C1BF9"/>
    <w:rsid w:val="008C539D"/>
    <w:rsid w:val="008C54A8"/>
    <w:rsid w:val="008D6499"/>
    <w:rsid w:val="008E0518"/>
    <w:rsid w:val="008E0592"/>
    <w:rsid w:val="008E694F"/>
    <w:rsid w:val="008E7FEE"/>
    <w:rsid w:val="008F2AD0"/>
    <w:rsid w:val="00906865"/>
    <w:rsid w:val="00910B4F"/>
    <w:rsid w:val="009219F4"/>
    <w:rsid w:val="00930293"/>
    <w:rsid w:val="009307A3"/>
    <w:rsid w:val="0093340C"/>
    <w:rsid w:val="00936578"/>
    <w:rsid w:val="00941A18"/>
    <w:rsid w:val="00944726"/>
    <w:rsid w:val="009448E6"/>
    <w:rsid w:val="00957412"/>
    <w:rsid w:val="00970424"/>
    <w:rsid w:val="00971F98"/>
    <w:rsid w:val="00972692"/>
    <w:rsid w:val="00975B19"/>
    <w:rsid w:val="00980607"/>
    <w:rsid w:val="009826E5"/>
    <w:rsid w:val="0098384B"/>
    <w:rsid w:val="00986068"/>
    <w:rsid w:val="00987468"/>
    <w:rsid w:val="009A1276"/>
    <w:rsid w:val="009B2BCD"/>
    <w:rsid w:val="009C062E"/>
    <w:rsid w:val="009C14A1"/>
    <w:rsid w:val="009C1F15"/>
    <w:rsid w:val="009C65D7"/>
    <w:rsid w:val="009D46B8"/>
    <w:rsid w:val="009E17BB"/>
    <w:rsid w:val="009E377C"/>
    <w:rsid w:val="009E6C7E"/>
    <w:rsid w:val="009F207B"/>
    <w:rsid w:val="00A050AE"/>
    <w:rsid w:val="00A17741"/>
    <w:rsid w:val="00A218B5"/>
    <w:rsid w:val="00A226B7"/>
    <w:rsid w:val="00A24AEF"/>
    <w:rsid w:val="00A34BC0"/>
    <w:rsid w:val="00A36C9F"/>
    <w:rsid w:val="00A46774"/>
    <w:rsid w:val="00A5254C"/>
    <w:rsid w:val="00A52716"/>
    <w:rsid w:val="00A61BFF"/>
    <w:rsid w:val="00A65667"/>
    <w:rsid w:val="00A67D4F"/>
    <w:rsid w:val="00A70645"/>
    <w:rsid w:val="00A76FF9"/>
    <w:rsid w:val="00A83C9D"/>
    <w:rsid w:val="00A907C7"/>
    <w:rsid w:val="00A937B2"/>
    <w:rsid w:val="00A943C8"/>
    <w:rsid w:val="00A95EC2"/>
    <w:rsid w:val="00A96B94"/>
    <w:rsid w:val="00AA500E"/>
    <w:rsid w:val="00AB4D21"/>
    <w:rsid w:val="00AC361F"/>
    <w:rsid w:val="00AC379B"/>
    <w:rsid w:val="00AC426C"/>
    <w:rsid w:val="00AD018F"/>
    <w:rsid w:val="00AD4C55"/>
    <w:rsid w:val="00AE36C1"/>
    <w:rsid w:val="00AF54BF"/>
    <w:rsid w:val="00B123BD"/>
    <w:rsid w:val="00B13104"/>
    <w:rsid w:val="00B13E52"/>
    <w:rsid w:val="00B140B3"/>
    <w:rsid w:val="00B14EA0"/>
    <w:rsid w:val="00B3116E"/>
    <w:rsid w:val="00B3167B"/>
    <w:rsid w:val="00B358B9"/>
    <w:rsid w:val="00B36CAD"/>
    <w:rsid w:val="00B55E84"/>
    <w:rsid w:val="00B61C72"/>
    <w:rsid w:val="00B61E3D"/>
    <w:rsid w:val="00B63E6D"/>
    <w:rsid w:val="00B67889"/>
    <w:rsid w:val="00B704F1"/>
    <w:rsid w:val="00B80D6D"/>
    <w:rsid w:val="00B81FEB"/>
    <w:rsid w:val="00B92473"/>
    <w:rsid w:val="00B92EB1"/>
    <w:rsid w:val="00B952CB"/>
    <w:rsid w:val="00BA0F1A"/>
    <w:rsid w:val="00BA4640"/>
    <w:rsid w:val="00BA5996"/>
    <w:rsid w:val="00BA6E28"/>
    <w:rsid w:val="00BB040F"/>
    <w:rsid w:val="00BB2089"/>
    <w:rsid w:val="00BC5B46"/>
    <w:rsid w:val="00BC66D9"/>
    <w:rsid w:val="00BC69B0"/>
    <w:rsid w:val="00BD014F"/>
    <w:rsid w:val="00BD5ACE"/>
    <w:rsid w:val="00BF1586"/>
    <w:rsid w:val="00BF4041"/>
    <w:rsid w:val="00BF5C64"/>
    <w:rsid w:val="00C03D9C"/>
    <w:rsid w:val="00C04637"/>
    <w:rsid w:val="00C20775"/>
    <w:rsid w:val="00C30B63"/>
    <w:rsid w:val="00C3203C"/>
    <w:rsid w:val="00C3325A"/>
    <w:rsid w:val="00C37ACD"/>
    <w:rsid w:val="00C40F86"/>
    <w:rsid w:val="00C413F8"/>
    <w:rsid w:val="00C5328A"/>
    <w:rsid w:val="00C539B1"/>
    <w:rsid w:val="00C54690"/>
    <w:rsid w:val="00C55D70"/>
    <w:rsid w:val="00C56014"/>
    <w:rsid w:val="00C629B0"/>
    <w:rsid w:val="00C82A1E"/>
    <w:rsid w:val="00C8527C"/>
    <w:rsid w:val="00C86EC9"/>
    <w:rsid w:val="00C87A97"/>
    <w:rsid w:val="00C937B6"/>
    <w:rsid w:val="00C956DB"/>
    <w:rsid w:val="00CA7FA9"/>
    <w:rsid w:val="00CB090B"/>
    <w:rsid w:val="00CB19B5"/>
    <w:rsid w:val="00CB6A2B"/>
    <w:rsid w:val="00CC44B4"/>
    <w:rsid w:val="00CC5D23"/>
    <w:rsid w:val="00CD0837"/>
    <w:rsid w:val="00CE3A2F"/>
    <w:rsid w:val="00CE664F"/>
    <w:rsid w:val="00CF4DEA"/>
    <w:rsid w:val="00D00E78"/>
    <w:rsid w:val="00D06C78"/>
    <w:rsid w:val="00D1339E"/>
    <w:rsid w:val="00D279F8"/>
    <w:rsid w:val="00D30529"/>
    <w:rsid w:val="00D31135"/>
    <w:rsid w:val="00D32654"/>
    <w:rsid w:val="00D32F0E"/>
    <w:rsid w:val="00D42FB5"/>
    <w:rsid w:val="00D44002"/>
    <w:rsid w:val="00D4541F"/>
    <w:rsid w:val="00D47547"/>
    <w:rsid w:val="00D54809"/>
    <w:rsid w:val="00D56FD1"/>
    <w:rsid w:val="00D64672"/>
    <w:rsid w:val="00D66757"/>
    <w:rsid w:val="00D7208E"/>
    <w:rsid w:val="00D7436A"/>
    <w:rsid w:val="00D743A2"/>
    <w:rsid w:val="00D74E3E"/>
    <w:rsid w:val="00D8166D"/>
    <w:rsid w:val="00D83FB8"/>
    <w:rsid w:val="00D869FE"/>
    <w:rsid w:val="00D9385A"/>
    <w:rsid w:val="00D959F1"/>
    <w:rsid w:val="00D96990"/>
    <w:rsid w:val="00D97612"/>
    <w:rsid w:val="00DA459C"/>
    <w:rsid w:val="00DB3C42"/>
    <w:rsid w:val="00DC25C5"/>
    <w:rsid w:val="00DC37DC"/>
    <w:rsid w:val="00DC5A04"/>
    <w:rsid w:val="00DD0215"/>
    <w:rsid w:val="00DD06E4"/>
    <w:rsid w:val="00DD2E84"/>
    <w:rsid w:val="00DE1B45"/>
    <w:rsid w:val="00DF1D5B"/>
    <w:rsid w:val="00DF34FB"/>
    <w:rsid w:val="00DF55BB"/>
    <w:rsid w:val="00DF7871"/>
    <w:rsid w:val="00E00329"/>
    <w:rsid w:val="00E02133"/>
    <w:rsid w:val="00E025D5"/>
    <w:rsid w:val="00E12F81"/>
    <w:rsid w:val="00E14349"/>
    <w:rsid w:val="00E20725"/>
    <w:rsid w:val="00E32D4E"/>
    <w:rsid w:val="00E4393B"/>
    <w:rsid w:val="00E52F96"/>
    <w:rsid w:val="00E54DCF"/>
    <w:rsid w:val="00E56F6C"/>
    <w:rsid w:val="00E6128C"/>
    <w:rsid w:val="00E615E2"/>
    <w:rsid w:val="00E66290"/>
    <w:rsid w:val="00E66B07"/>
    <w:rsid w:val="00E70F76"/>
    <w:rsid w:val="00E77114"/>
    <w:rsid w:val="00EA5791"/>
    <w:rsid w:val="00EA5EEE"/>
    <w:rsid w:val="00EA6CBE"/>
    <w:rsid w:val="00EB4B7C"/>
    <w:rsid w:val="00EC18A8"/>
    <w:rsid w:val="00ED7BE7"/>
    <w:rsid w:val="00EE0730"/>
    <w:rsid w:val="00EE1E9D"/>
    <w:rsid w:val="00EE2CDA"/>
    <w:rsid w:val="00EF5F01"/>
    <w:rsid w:val="00EF6719"/>
    <w:rsid w:val="00F01B51"/>
    <w:rsid w:val="00F035F1"/>
    <w:rsid w:val="00F143F0"/>
    <w:rsid w:val="00F15270"/>
    <w:rsid w:val="00F16B72"/>
    <w:rsid w:val="00F25234"/>
    <w:rsid w:val="00F33E5A"/>
    <w:rsid w:val="00F34C9A"/>
    <w:rsid w:val="00F47774"/>
    <w:rsid w:val="00F73B30"/>
    <w:rsid w:val="00F83C9B"/>
    <w:rsid w:val="00F851A5"/>
    <w:rsid w:val="00F95DF8"/>
    <w:rsid w:val="00F97ACE"/>
    <w:rsid w:val="00FA261B"/>
    <w:rsid w:val="00FB5FAE"/>
    <w:rsid w:val="00FB6137"/>
    <w:rsid w:val="00FB622F"/>
    <w:rsid w:val="00FC2D95"/>
    <w:rsid w:val="00FC6447"/>
    <w:rsid w:val="00FC7091"/>
    <w:rsid w:val="00FD01A2"/>
    <w:rsid w:val="00FD3DF6"/>
    <w:rsid w:val="00FE3B7C"/>
    <w:rsid w:val="00FF0C4E"/>
    <w:rsid w:val="00FF2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5E12"/>
  <w15:docId w15:val="{1B40FAEE-15B7-4D44-86B9-0CB41255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FB613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B6137"/>
    <w:pPr>
      <w:ind w:left="720"/>
      <w:contextualSpacing/>
    </w:pPr>
  </w:style>
  <w:style w:type="character" w:styleId="Komentaronuoroda">
    <w:name w:val="annotation reference"/>
    <w:basedOn w:val="Numatytasispastraiposriftas"/>
    <w:uiPriority w:val="99"/>
    <w:semiHidden/>
    <w:unhideWhenUsed/>
    <w:rsid w:val="00FB6137"/>
    <w:rPr>
      <w:sz w:val="16"/>
      <w:szCs w:val="16"/>
    </w:rPr>
  </w:style>
  <w:style w:type="paragraph" w:styleId="Komentarotekstas">
    <w:name w:val="annotation text"/>
    <w:basedOn w:val="prastasis"/>
    <w:link w:val="KomentarotekstasDiagrama"/>
    <w:uiPriority w:val="99"/>
    <w:unhideWhenUsed/>
    <w:rsid w:val="00FB61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613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FB61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6137"/>
    <w:rPr>
      <w:rFonts w:ascii="Tahoma" w:eastAsia="Calibri" w:hAnsi="Tahoma" w:cs="Tahoma"/>
      <w:sz w:val="16"/>
      <w:szCs w:val="16"/>
    </w:rPr>
  </w:style>
  <w:style w:type="character" w:styleId="Hipersaitas">
    <w:name w:val="Hyperlink"/>
    <w:basedOn w:val="Numatytasispastraiposriftas"/>
    <w:uiPriority w:val="99"/>
    <w:unhideWhenUsed/>
    <w:rsid w:val="007C5B8D"/>
    <w:rPr>
      <w:color w:val="0000FF" w:themeColor="hyperlink"/>
      <w:u w:val="single"/>
    </w:rPr>
  </w:style>
  <w:style w:type="paragraph" w:customStyle="1" w:styleId="Default">
    <w:name w:val="Default"/>
    <w:rsid w:val="00C3203C"/>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B67889"/>
    <w:rPr>
      <w:b/>
      <w:bCs/>
    </w:rPr>
  </w:style>
  <w:style w:type="character" w:customStyle="1" w:styleId="KomentarotemaDiagrama">
    <w:name w:val="Komentaro tema Diagrama"/>
    <w:basedOn w:val="KomentarotekstasDiagrama"/>
    <w:link w:val="Komentarotema"/>
    <w:uiPriority w:val="99"/>
    <w:semiHidden/>
    <w:rsid w:val="00B67889"/>
    <w:rPr>
      <w:rFonts w:ascii="Calibri" w:eastAsia="Calibri" w:hAnsi="Calibri" w:cs="Times New Roman"/>
      <w:b/>
      <w:bCs/>
      <w:sz w:val="20"/>
      <w:szCs w:val="20"/>
    </w:rPr>
  </w:style>
  <w:style w:type="paragraph" w:styleId="Antrats">
    <w:name w:val="header"/>
    <w:basedOn w:val="prastasis"/>
    <w:link w:val="AntratsDiagrama"/>
    <w:uiPriority w:val="99"/>
    <w:unhideWhenUsed/>
    <w:rsid w:val="00C046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4637"/>
    <w:rPr>
      <w:rFonts w:ascii="Calibri" w:eastAsia="Calibri" w:hAnsi="Calibri" w:cs="Times New Roman"/>
    </w:rPr>
  </w:style>
  <w:style w:type="paragraph" w:styleId="Porat">
    <w:name w:val="footer"/>
    <w:basedOn w:val="prastasis"/>
    <w:link w:val="PoratDiagrama"/>
    <w:uiPriority w:val="99"/>
    <w:unhideWhenUsed/>
    <w:rsid w:val="00C046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4637"/>
    <w:rPr>
      <w:rFonts w:ascii="Calibri" w:eastAsia="Calibri" w:hAnsi="Calibri" w:cs="Times New Roman"/>
    </w:rPr>
  </w:style>
  <w:style w:type="character" w:styleId="Emfaz">
    <w:name w:val="Emphasis"/>
    <w:basedOn w:val="Numatytasispastraiposriftas"/>
    <w:uiPriority w:val="20"/>
    <w:qFormat/>
    <w:rsid w:val="000400D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4754">
      <w:bodyDiv w:val="1"/>
      <w:marLeft w:val="0"/>
      <w:marRight w:val="0"/>
      <w:marTop w:val="0"/>
      <w:marBottom w:val="0"/>
      <w:divBdr>
        <w:top w:val="none" w:sz="0" w:space="0" w:color="auto"/>
        <w:left w:val="none" w:sz="0" w:space="0" w:color="auto"/>
        <w:bottom w:val="none" w:sz="0" w:space="0" w:color="auto"/>
        <w:right w:val="none" w:sz="0" w:space="0" w:color="auto"/>
      </w:divBdr>
      <w:divsChild>
        <w:div w:id="940841128">
          <w:marLeft w:val="0"/>
          <w:marRight w:val="0"/>
          <w:marTop w:val="0"/>
          <w:marBottom w:val="0"/>
          <w:divBdr>
            <w:top w:val="none" w:sz="0" w:space="0" w:color="auto"/>
            <w:left w:val="none" w:sz="0" w:space="0" w:color="auto"/>
            <w:bottom w:val="none" w:sz="0" w:space="0" w:color="auto"/>
            <w:right w:val="none" w:sz="0" w:space="0" w:color="auto"/>
          </w:divBdr>
        </w:div>
        <w:div w:id="2045979155">
          <w:marLeft w:val="0"/>
          <w:marRight w:val="0"/>
          <w:marTop w:val="0"/>
          <w:marBottom w:val="0"/>
          <w:divBdr>
            <w:top w:val="none" w:sz="0" w:space="0" w:color="auto"/>
            <w:left w:val="none" w:sz="0" w:space="0" w:color="auto"/>
            <w:bottom w:val="none" w:sz="0" w:space="0" w:color="auto"/>
            <w:right w:val="none" w:sz="0" w:space="0" w:color="auto"/>
          </w:divBdr>
        </w:div>
        <w:div w:id="842354895">
          <w:marLeft w:val="0"/>
          <w:marRight w:val="0"/>
          <w:marTop w:val="0"/>
          <w:marBottom w:val="0"/>
          <w:divBdr>
            <w:top w:val="none" w:sz="0" w:space="0" w:color="auto"/>
            <w:left w:val="none" w:sz="0" w:space="0" w:color="auto"/>
            <w:bottom w:val="none" w:sz="0" w:space="0" w:color="auto"/>
            <w:right w:val="none" w:sz="0" w:space="0" w:color="auto"/>
          </w:divBdr>
        </w:div>
        <w:div w:id="745107765">
          <w:marLeft w:val="0"/>
          <w:marRight w:val="0"/>
          <w:marTop w:val="0"/>
          <w:marBottom w:val="0"/>
          <w:divBdr>
            <w:top w:val="none" w:sz="0" w:space="0" w:color="auto"/>
            <w:left w:val="none" w:sz="0" w:space="0" w:color="auto"/>
            <w:bottom w:val="none" w:sz="0" w:space="0" w:color="auto"/>
            <w:right w:val="none" w:sz="0" w:space="0" w:color="auto"/>
          </w:divBdr>
        </w:div>
        <w:div w:id="370496561">
          <w:marLeft w:val="0"/>
          <w:marRight w:val="0"/>
          <w:marTop w:val="0"/>
          <w:marBottom w:val="0"/>
          <w:divBdr>
            <w:top w:val="none" w:sz="0" w:space="0" w:color="auto"/>
            <w:left w:val="none" w:sz="0" w:space="0" w:color="auto"/>
            <w:bottom w:val="none" w:sz="0" w:space="0" w:color="auto"/>
            <w:right w:val="none" w:sz="0" w:space="0" w:color="auto"/>
          </w:divBdr>
        </w:div>
        <w:div w:id="66266283">
          <w:marLeft w:val="0"/>
          <w:marRight w:val="0"/>
          <w:marTop w:val="0"/>
          <w:marBottom w:val="0"/>
          <w:divBdr>
            <w:top w:val="none" w:sz="0" w:space="0" w:color="auto"/>
            <w:left w:val="none" w:sz="0" w:space="0" w:color="auto"/>
            <w:bottom w:val="none" w:sz="0" w:space="0" w:color="auto"/>
            <w:right w:val="none" w:sz="0" w:space="0" w:color="auto"/>
          </w:divBdr>
        </w:div>
        <w:div w:id="1231961454">
          <w:marLeft w:val="0"/>
          <w:marRight w:val="0"/>
          <w:marTop w:val="0"/>
          <w:marBottom w:val="0"/>
          <w:divBdr>
            <w:top w:val="none" w:sz="0" w:space="0" w:color="auto"/>
            <w:left w:val="none" w:sz="0" w:space="0" w:color="auto"/>
            <w:bottom w:val="none" w:sz="0" w:space="0" w:color="auto"/>
            <w:right w:val="none" w:sz="0" w:space="0" w:color="auto"/>
          </w:divBdr>
        </w:div>
        <w:div w:id="1040126031">
          <w:marLeft w:val="0"/>
          <w:marRight w:val="0"/>
          <w:marTop w:val="0"/>
          <w:marBottom w:val="0"/>
          <w:divBdr>
            <w:top w:val="none" w:sz="0" w:space="0" w:color="auto"/>
            <w:left w:val="none" w:sz="0" w:space="0" w:color="auto"/>
            <w:bottom w:val="none" w:sz="0" w:space="0" w:color="auto"/>
            <w:right w:val="none" w:sz="0" w:space="0" w:color="auto"/>
          </w:divBdr>
        </w:div>
        <w:div w:id="864103284">
          <w:marLeft w:val="0"/>
          <w:marRight w:val="0"/>
          <w:marTop w:val="0"/>
          <w:marBottom w:val="0"/>
          <w:divBdr>
            <w:top w:val="none" w:sz="0" w:space="0" w:color="auto"/>
            <w:left w:val="none" w:sz="0" w:space="0" w:color="auto"/>
            <w:bottom w:val="none" w:sz="0" w:space="0" w:color="auto"/>
            <w:right w:val="none" w:sz="0" w:space="0" w:color="auto"/>
          </w:divBdr>
        </w:div>
        <w:div w:id="523791409">
          <w:marLeft w:val="0"/>
          <w:marRight w:val="0"/>
          <w:marTop w:val="0"/>
          <w:marBottom w:val="0"/>
          <w:divBdr>
            <w:top w:val="none" w:sz="0" w:space="0" w:color="auto"/>
            <w:left w:val="none" w:sz="0" w:space="0" w:color="auto"/>
            <w:bottom w:val="none" w:sz="0" w:space="0" w:color="auto"/>
            <w:right w:val="none" w:sz="0" w:space="0" w:color="auto"/>
          </w:divBdr>
        </w:div>
        <w:div w:id="760949620">
          <w:marLeft w:val="0"/>
          <w:marRight w:val="0"/>
          <w:marTop w:val="0"/>
          <w:marBottom w:val="0"/>
          <w:divBdr>
            <w:top w:val="none" w:sz="0" w:space="0" w:color="auto"/>
            <w:left w:val="none" w:sz="0" w:space="0" w:color="auto"/>
            <w:bottom w:val="none" w:sz="0" w:space="0" w:color="auto"/>
            <w:right w:val="none" w:sz="0" w:space="0" w:color="auto"/>
          </w:divBdr>
        </w:div>
      </w:divsChild>
    </w:div>
    <w:div w:id="203830465">
      <w:bodyDiv w:val="1"/>
      <w:marLeft w:val="0"/>
      <w:marRight w:val="0"/>
      <w:marTop w:val="0"/>
      <w:marBottom w:val="0"/>
      <w:divBdr>
        <w:top w:val="none" w:sz="0" w:space="0" w:color="auto"/>
        <w:left w:val="none" w:sz="0" w:space="0" w:color="auto"/>
        <w:bottom w:val="none" w:sz="0" w:space="0" w:color="auto"/>
        <w:right w:val="none" w:sz="0" w:space="0" w:color="auto"/>
      </w:divBdr>
      <w:divsChild>
        <w:div w:id="1947610968">
          <w:marLeft w:val="576"/>
          <w:marRight w:val="0"/>
          <w:marTop w:val="80"/>
          <w:marBottom w:val="0"/>
          <w:divBdr>
            <w:top w:val="none" w:sz="0" w:space="0" w:color="auto"/>
            <w:left w:val="none" w:sz="0" w:space="0" w:color="auto"/>
            <w:bottom w:val="none" w:sz="0" w:space="0" w:color="auto"/>
            <w:right w:val="none" w:sz="0" w:space="0" w:color="auto"/>
          </w:divBdr>
        </w:div>
        <w:div w:id="733968360">
          <w:marLeft w:val="576"/>
          <w:marRight w:val="0"/>
          <w:marTop w:val="80"/>
          <w:marBottom w:val="0"/>
          <w:divBdr>
            <w:top w:val="none" w:sz="0" w:space="0" w:color="auto"/>
            <w:left w:val="none" w:sz="0" w:space="0" w:color="auto"/>
            <w:bottom w:val="none" w:sz="0" w:space="0" w:color="auto"/>
            <w:right w:val="none" w:sz="0" w:space="0" w:color="auto"/>
          </w:divBdr>
        </w:div>
        <w:div w:id="2068062402">
          <w:marLeft w:val="576"/>
          <w:marRight w:val="0"/>
          <w:marTop w:val="80"/>
          <w:marBottom w:val="0"/>
          <w:divBdr>
            <w:top w:val="none" w:sz="0" w:space="0" w:color="auto"/>
            <w:left w:val="none" w:sz="0" w:space="0" w:color="auto"/>
            <w:bottom w:val="none" w:sz="0" w:space="0" w:color="auto"/>
            <w:right w:val="none" w:sz="0" w:space="0" w:color="auto"/>
          </w:divBdr>
        </w:div>
        <w:div w:id="914821708">
          <w:marLeft w:val="576"/>
          <w:marRight w:val="0"/>
          <w:marTop w:val="80"/>
          <w:marBottom w:val="0"/>
          <w:divBdr>
            <w:top w:val="none" w:sz="0" w:space="0" w:color="auto"/>
            <w:left w:val="none" w:sz="0" w:space="0" w:color="auto"/>
            <w:bottom w:val="none" w:sz="0" w:space="0" w:color="auto"/>
            <w:right w:val="none" w:sz="0" w:space="0" w:color="auto"/>
          </w:divBdr>
        </w:div>
      </w:divsChild>
    </w:div>
    <w:div w:id="793643576">
      <w:bodyDiv w:val="1"/>
      <w:marLeft w:val="0"/>
      <w:marRight w:val="0"/>
      <w:marTop w:val="0"/>
      <w:marBottom w:val="0"/>
      <w:divBdr>
        <w:top w:val="none" w:sz="0" w:space="0" w:color="auto"/>
        <w:left w:val="none" w:sz="0" w:space="0" w:color="auto"/>
        <w:bottom w:val="none" w:sz="0" w:space="0" w:color="auto"/>
        <w:right w:val="none" w:sz="0" w:space="0" w:color="auto"/>
      </w:divBdr>
      <w:divsChild>
        <w:div w:id="1274828938">
          <w:marLeft w:val="0"/>
          <w:marRight w:val="0"/>
          <w:marTop w:val="0"/>
          <w:marBottom w:val="0"/>
          <w:divBdr>
            <w:top w:val="none" w:sz="0" w:space="0" w:color="auto"/>
            <w:left w:val="none" w:sz="0" w:space="0" w:color="auto"/>
            <w:bottom w:val="none" w:sz="0" w:space="0" w:color="auto"/>
            <w:right w:val="none" w:sz="0" w:space="0" w:color="auto"/>
          </w:divBdr>
        </w:div>
        <w:div w:id="1486509966">
          <w:marLeft w:val="0"/>
          <w:marRight w:val="0"/>
          <w:marTop w:val="0"/>
          <w:marBottom w:val="0"/>
          <w:divBdr>
            <w:top w:val="none" w:sz="0" w:space="0" w:color="auto"/>
            <w:left w:val="none" w:sz="0" w:space="0" w:color="auto"/>
            <w:bottom w:val="none" w:sz="0" w:space="0" w:color="auto"/>
            <w:right w:val="none" w:sz="0" w:space="0" w:color="auto"/>
          </w:divBdr>
        </w:div>
        <w:div w:id="2082830533">
          <w:marLeft w:val="0"/>
          <w:marRight w:val="0"/>
          <w:marTop w:val="0"/>
          <w:marBottom w:val="0"/>
          <w:divBdr>
            <w:top w:val="none" w:sz="0" w:space="0" w:color="auto"/>
            <w:left w:val="none" w:sz="0" w:space="0" w:color="auto"/>
            <w:bottom w:val="none" w:sz="0" w:space="0" w:color="auto"/>
            <w:right w:val="none" w:sz="0" w:space="0" w:color="auto"/>
          </w:divBdr>
        </w:div>
        <w:div w:id="1211265621">
          <w:marLeft w:val="0"/>
          <w:marRight w:val="0"/>
          <w:marTop w:val="0"/>
          <w:marBottom w:val="0"/>
          <w:divBdr>
            <w:top w:val="none" w:sz="0" w:space="0" w:color="auto"/>
            <w:left w:val="none" w:sz="0" w:space="0" w:color="auto"/>
            <w:bottom w:val="none" w:sz="0" w:space="0" w:color="auto"/>
            <w:right w:val="none" w:sz="0" w:space="0" w:color="auto"/>
          </w:divBdr>
        </w:div>
        <w:div w:id="1353220042">
          <w:marLeft w:val="0"/>
          <w:marRight w:val="0"/>
          <w:marTop w:val="0"/>
          <w:marBottom w:val="0"/>
          <w:divBdr>
            <w:top w:val="none" w:sz="0" w:space="0" w:color="auto"/>
            <w:left w:val="none" w:sz="0" w:space="0" w:color="auto"/>
            <w:bottom w:val="none" w:sz="0" w:space="0" w:color="auto"/>
            <w:right w:val="none" w:sz="0" w:space="0" w:color="auto"/>
          </w:divBdr>
        </w:div>
        <w:div w:id="185683359">
          <w:marLeft w:val="0"/>
          <w:marRight w:val="0"/>
          <w:marTop w:val="0"/>
          <w:marBottom w:val="0"/>
          <w:divBdr>
            <w:top w:val="none" w:sz="0" w:space="0" w:color="auto"/>
            <w:left w:val="none" w:sz="0" w:space="0" w:color="auto"/>
            <w:bottom w:val="none" w:sz="0" w:space="0" w:color="auto"/>
            <w:right w:val="none" w:sz="0" w:space="0" w:color="auto"/>
          </w:divBdr>
        </w:div>
        <w:div w:id="1980528549">
          <w:marLeft w:val="0"/>
          <w:marRight w:val="0"/>
          <w:marTop w:val="0"/>
          <w:marBottom w:val="0"/>
          <w:divBdr>
            <w:top w:val="none" w:sz="0" w:space="0" w:color="auto"/>
            <w:left w:val="none" w:sz="0" w:space="0" w:color="auto"/>
            <w:bottom w:val="none" w:sz="0" w:space="0" w:color="auto"/>
            <w:right w:val="none" w:sz="0" w:space="0" w:color="auto"/>
          </w:divBdr>
        </w:div>
        <w:div w:id="558437253">
          <w:marLeft w:val="0"/>
          <w:marRight w:val="0"/>
          <w:marTop w:val="0"/>
          <w:marBottom w:val="0"/>
          <w:divBdr>
            <w:top w:val="none" w:sz="0" w:space="0" w:color="auto"/>
            <w:left w:val="none" w:sz="0" w:space="0" w:color="auto"/>
            <w:bottom w:val="none" w:sz="0" w:space="0" w:color="auto"/>
            <w:right w:val="none" w:sz="0" w:space="0" w:color="auto"/>
          </w:divBdr>
        </w:div>
        <w:div w:id="1492140528">
          <w:marLeft w:val="0"/>
          <w:marRight w:val="0"/>
          <w:marTop w:val="0"/>
          <w:marBottom w:val="0"/>
          <w:divBdr>
            <w:top w:val="none" w:sz="0" w:space="0" w:color="auto"/>
            <w:left w:val="none" w:sz="0" w:space="0" w:color="auto"/>
            <w:bottom w:val="none" w:sz="0" w:space="0" w:color="auto"/>
            <w:right w:val="none" w:sz="0" w:space="0" w:color="auto"/>
          </w:divBdr>
        </w:div>
      </w:divsChild>
    </w:div>
    <w:div w:id="942952322">
      <w:bodyDiv w:val="1"/>
      <w:marLeft w:val="0"/>
      <w:marRight w:val="0"/>
      <w:marTop w:val="0"/>
      <w:marBottom w:val="0"/>
      <w:divBdr>
        <w:top w:val="none" w:sz="0" w:space="0" w:color="auto"/>
        <w:left w:val="none" w:sz="0" w:space="0" w:color="auto"/>
        <w:bottom w:val="none" w:sz="0" w:space="0" w:color="auto"/>
        <w:right w:val="none" w:sz="0" w:space="0" w:color="auto"/>
      </w:divBdr>
    </w:div>
    <w:div w:id="993992478">
      <w:bodyDiv w:val="1"/>
      <w:marLeft w:val="0"/>
      <w:marRight w:val="0"/>
      <w:marTop w:val="0"/>
      <w:marBottom w:val="0"/>
      <w:divBdr>
        <w:top w:val="none" w:sz="0" w:space="0" w:color="auto"/>
        <w:left w:val="none" w:sz="0" w:space="0" w:color="auto"/>
        <w:bottom w:val="none" w:sz="0" w:space="0" w:color="auto"/>
        <w:right w:val="none" w:sz="0" w:space="0" w:color="auto"/>
      </w:divBdr>
      <w:divsChild>
        <w:div w:id="1535999118">
          <w:marLeft w:val="0"/>
          <w:marRight w:val="0"/>
          <w:marTop w:val="0"/>
          <w:marBottom w:val="0"/>
          <w:divBdr>
            <w:top w:val="none" w:sz="0" w:space="0" w:color="auto"/>
            <w:left w:val="none" w:sz="0" w:space="0" w:color="auto"/>
            <w:bottom w:val="none" w:sz="0" w:space="0" w:color="auto"/>
            <w:right w:val="none" w:sz="0" w:space="0" w:color="auto"/>
          </w:divBdr>
        </w:div>
        <w:div w:id="2037076311">
          <w:marLeft w:val="0"/>
          <w:marRight w:val="0"/>
          <w:marTop w:val="0"/>
          <w:marBottom w:val="0"/>
          <w:divBdr>
            <w:top w:val="none" w:sz="0" w:space="0" w:color="auto"/>
            <w:left w:val="none" w:sz="0" w:space="0" w:color="auto"/>
            <w:bottom w:val="none" w:sz="0" w:space="0" w:color="auto"/>
            <w:right w:val="none" w:sz="0" w:space="0" w:color="auto"/>
          </w:divBdr>
        </w:div>
        <w:div w:id="587806233">
          <w:marLeft w:val="0"/>
          <w:marRight w:val="0"/>
          <w:marTop w:val="0"/>
          <w:marBottom w:val="0"/>
          <w:divBdr>
            <w:top w:val="none" w:sz="0" w:space="0" w:color="auto"/>
            <w:left w:val="none" w:sz="0" w:space="0" w:color="auto"/>
            <w:bottom w:val="none" w:sz="0" w:space="0" w:color="auto"/>
            <w:right w:val="none" w:sz="0" w:space="0" w:color="auto"/>
          </w:divBdr>
        </w:div>
        <w:div w:id="1806194715">
          <w:marLeft w:val="0"/>
          <w:marRight w:val="0"/>
          <w:marTop w:val="0"/>
          <w:marBottom w:val="0"/>
          <w:divBdr>
            <w:top w:val="none" w:sz="0" w:space="0" w:color="auto"/>
            <w:left w:val="none" w:sz="0" w:space="0" w:color="auto"/>
            <w:bottom w:val="none" w:sz="0" w:space="0" w:color="auto"/>
            <w:right w:val="none" w:sz="0" w:space="0" w:color="auto"/>
          </w:divBdr>
        </w:div>
        <w:div w:id="830675270">
          <w:marLeft w:val="0"/>
          <w:marRight w:val="0"/>
          <w:marTop w:val="0"/>
          <w:marBottom w:val="0"/>
          <w:divBdr>
            <w:top w:val="none" w:sz="0" w:space="0" w:color="auto"/>
            <w:left w:val="none" w:sz="0" w:space="0" w:color="auto"/>
            <w:bottom w:val="none" w:sz="0" w:space="0" w:color="auto"/>
            <w:right w:val="none" w:sz="0" w:space="0" w:color="auto"/>
          </w:divBdr>
        </w:div>
        <w:div w:id="300892395">
          <w:marLeft w:val="0"/>
          <w:marRight w:val="0"/>
          <w:marTop w:val="0"/>
          <w:marBottom w:val="0"/>
          <w:divBdr>
            <w:top w:val="none" w:sz="0" w:space="0" w:color="auto"/>
            <w:left w:val="none" w:sz="0" w:space="0" w:color="auto"/>
            <w:bottom w:val="none" w:sz="0" w:space="0" w:color="auto"/>
            <w:right w:val="none" w:sz="0" w:space="0" w:color="auto"/>
          </w:divBdr>
        </w:div>
        <w:div w:id="489441421">
          <w:marLeft w:val="0"/>
          <w:marRight w:val="0"/>
          <w:marTop w:val="0"/>
          <w:marBottom w:val="0"/>
          <w:divBdr>
            <w:top w:val="none" w:sz="0" w:space="0" w:color="auto"/>
            <w:left w:val="none" w:sz="0" w:space="0" w:color="auto"/>
            <w:bottom w:val="none" w:sz="0" w:space="0" w:color="auto"/>
            <w:right w:val="none" w:sz="0" w:space="0" w:color="auto"/>
          </w:divBdr>
        </w:div>
        <w:div w:id="1431704054">
          <w:marLeft w:val="0"/>
          <w:marRight w:val="0"/>
          <w:marTop w:val="0"/>
          <w:marBottom w:val="0"/>
          <w:divBdr>
            <w:top w:val="none" w:sz="0" w:space="0" w:color="auto"/>
            <w:left w:val="none" w:sz="0" w:space="0" w:color="auto"/>
            <w:bottom w:val="none" w:sz="0" w:space="0" w:color="auto"/>
            <w:right w:val="none" w:sz="0" w:space="0" w:color="auto"/>
          </w:divBdr>
        </w:div>
        <w:div w:id="492186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ama.lt/vertinimo-ataskait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9A0B0-B255-4AAF-8C0F-8E3B3C13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20517</Words>
  <Characters>11695</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Kriščiūnaitė-Kačiuškienė</dc:creator>
  <cp:lastModifiedBy>Darius Vilimas</cp:lastModifiedBy>
  <cp:revision>6</cp:revision>
  <cp:lastPrinted>2016-12-19T12:16:00Z</cp:lastPrinted>
  <dcterms:created xsi:type="dcterms:W3CDTF">2017-01-02T09:02:00Z</dcterms:created>
  <dcterms:modified xsi:type="dcterms:W3CDTF">2017-01-03T14:37:00Z</dcterms:modified>
</cp:coreProperties>
</file>