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614E2" w14:textId="77777777" w:rsidR="008C1B61" w:rsidRPr="008C1B61" w:rsidRDefault="008C1B61" w:rsidP="008C1B61">
      <w:pPr>
        <w:jc w:val="center"/>
        <w:rPr>
          <w:rFonts w:cs="Times New Roman"/>
          <w:b/>
          <w:sz w:val="28"/>
          <w:szCs w:val="24"/>
        </w:rPr>
      </w:pPr>
      <w:r w:rsidRPr="008C1B61">
        <w:rPr>
          <w:rFonts w:cs="Times New Roman"/>
          <w:b/>
          <w:sz w:val="28"/>
          <w:szCs w:val="24"/>
        </w:rPr>
        <w:t>LIETUVOS RESPUBLIKOS ŪKIO MINISTERIJA</w:t>
      </w:r>
    </w:p>
    <w:p w14:paraId="723BC670" w14:textId="77777777" w:rsidR="008C1B61" w:rsidRPr="008C1B61" w:rsidRDefault="008C1B61" w:rsidP="008C1B61">
      <w:pPr>
        <w:jc w:val="center"/>
        <w:rPr>
          <w:rFonts w:cs="Times New Roman"/>
          <w:b/>
          <w:sz w:val="28"/>
          <w:szCs w:val="24"/>
        </w:rPr>
      </w:pPr>
      <w:r w:rsidRPr="008C1B61">
        <w:rPr>
          <w:rFonts w:cs="Times New Roman"/>
          <w:b/>
          <w:sz w:val="28"/>
          <w:szCs w:val="24"/>
        </w:rPr>
        <w:t>VIENOS VALANDOS VIENO MOKOMO DARBUOTOJO MOKYMŲ IŠLAIDŲ NUSTATYMO PAGRINDIMAS</w:t>
      </w:r>
    </w:p>
    <w:p w14:paraId="7A38BA8F" w14:textId="74C3E6E9" w:rsidR="00F7668E" w:rsidRDefault="0040181B" w:rsidP="008C1B61">
      <w:pPr>
        <w:jc w:val="center"/>
        <w:rPr>
          <w:rFonts w:cs="Times New Roman"/>
          <w:szCs w:val="24"/>
        </w:rPr>
      </w:pPr>
      <w:r>
        <w:rPr>
          <w:rFonts w:cs="Times New Roman"/>
          <w:szCs w:val="24"/>
        </w:rPr>
        <w:t>2016 m. rugpjūčio 18 d</w:t>
      </w:r>
      <w:r w:rsidR="00394820">
        <w:rPr>
          <w:rFonts w:cs="Times New Roman"/>
          <w:szCs w:val="24"/>
        </w:rPr>
        <w:t>.</w:t>
      </w:r>
    </w:p>
    <w:p w14:paraId="6D59F429" w14:textId="77777777" w:rsidR="008C1B61" w:rsidRDefault="008C1B61" w:rsidP="008C1B61">
      <w:pPr>
        <w:jc w:val="center"/>
        <w:rPr>
          <w:rFonts w:cs="Times New Roman"/>
          <w:szCs w:val="24"/>
        </w:rPr>
      </w:pPr>
    </w:p>
    <w:p w14:paraId="2EF8BE9C" w14:textId="77777777" w:rsidR="008C1B61" w:rsidRDefault="008C1B61" w:rsidP="008C1B61">
      <w:pPr>
        <w:pStyle w:val="Antrat1"/>
      </w:pPr>
      <w:r>
        <w:t>ĮVADAS</w:t>
      </w:r>
    </w:p>
    <w:p w14:paraId="17B527F0" w14:textId="09B9A5A1" w:rsidR="00657F16" w:rsidRDefault="00657F16" w:rsidP="008C1B61">
      <w:pPr>
        <w:ind w:firstLine="1296"/>
      </w:pPr>
      <w:r>
        <w:t xml:space="preserve">Vienos valandos vieno mokomo darbuotojo mokymų išlaidų nustatymo pagrindimas </w:t>
      </w:r>
      <w:r w:rsidR="00120296">
        <w:t xml:space="preserve">(toliau </w:t>
      </w:r>
      <w:r w:rsidR="00120296" w:rsidRPr="008C1B61">
        <w:t>–</w:t>
      </w:r>
      <w:r w:rsidR="00120296">
        <w:t xml:space="preserve"> pagrindimas) </w:t>
      </w:r>
      <w:r>
        <w:t xml:space="preserve">yra parengtas siekiant išanalizuoti teisės aktus, </w:t>
      </w:r>
      <w:r w:rsidRPr="008C1B61">
        <w:t xml:space="preserve">nustatyti </w:t>
      </w:r>
      <w:r>
        <w:t xml:space="preserve">ir pagrįsti </w:t>
      </w:r>
      <w:r w:rsidRPr="008C1B61">
        <w:t>vienos valandos vieno mokomo darbuotojo mokymų išlaidas kaip fiksuotąjį įkainį</w:t>
      </w:r>
      <w:r w:rsidR="00120296">
        <w:t xml:space="preserve"> (toliau – fiksuotasis įkainis)</w:t>
      </w:r>
      <w:r w:rsidRPr="008C1B61">
        <w:t>.</w:t>
      </w:r>
    </w:p>
    <w:p w14:paraId="1BC9DDAF" w14:textId="429022AA" w:rsidR="008C1B61" w:rsidRPr="008C1B61" w:rsidRDefault="00657F16" w:rsidP="008C1B61">
      <w:pPr>
        <w:ind w:firstLine="1296"/>
      </w:pPr>
      <w:r>
        <w:t xml:space="preserve">Analizuoti </w:t>
      </w:r>
      <w:r w:rsidR="008C1B61">
        <w:t>teisės aktai</w:t>
      </w:r>
      <w:r w:rsidR="008C1B61" w:rsidRPr="008C1B61">
        <w:t xml:space="preserve"> – 2008 m. gruodžio 8 d. Lietuvos Respublikos Vyriausybės nutarimas Nr. 1320 „Dėl Profesinio mokymo lėšų skaičiavimo vienam mokiniui, kuris mokosi pagal formaliojo profesinio mokymo programą, metodikos patvirtinimo“</w:t>
      </w:r>
      <w:r w:rsidR="00BB1231">
        <w:t xml:space="preserve"> (toliau – </w:t>
      </w:r>
      <w:r w:rsidR="001F6FE9">
        <w:t>Metodika</w:t>
      </w:r>
      <w:r w:rsidR="00BB1231">
        <w:t>)</w:t>
      </w:r>
      <w:r w:rsidR="008C1B61" w:rsidRPr="008C1B61">
        <w:t xml:space="preserve">, Lietuvos Respublikos švietimo ir mokslo ministro </w:t>
      </w:r>
      <w:r w:rsidR="00132045" w:rsidRPr="008C1B61">
        <w:t>201</w:t>
      </w:r>
      <w:r w:rsidR="00132045">
        <w:t>6</w:t>
      </w:r>
      <w:r w:rsidR="00132045" w:rsidRPr="008C1B61">
        <w:t xml:space="preserve"> </w:t>
      </w:r>
      <w:r w:rsidR="008C1B61" w:rsidRPr="008C1B61">
        <w:t xml:space="preserve">m. </w:t>
      </w:r>
      <w:r w:rsidR="00132045">
        <w:t>lapkričio 10</w:t>
      </w:r>
      <w:r w:rsidR="008C1B61" w:rsidRPr="008C1B61">
        <w:t xml:space="preserve"> d. įsakymas Nr.</w:t>
      </w:r>
      <w:r w:rsidR="00A56D38">
        <w:t> </w:t>
      </w:r>
      <w:r w:rsidR="008C1B61" w:rsidRPr="008C1B61">
        <w:t>V-</w:t>
      </w:r>
      <w:r w:rsidR="00132045">
        <w:t>995</w:t>
      </w:r>
      <w:r w:rsidR="00132045" w:rsidRPr="008C1B61">
        <w:t xml:space="preserve"> </w:t>
      </w:r>
      <w:r w:rsidR="008C1B61" w:rsidRPr="008C1B61">
        <w:t>„Dėl profesinio mokymo lėšų, tenkančių vieno mokinio, kuris mokosi pagal formaliojo profesinio mokymo programą, vienai valandai, 201</w:t>
      </w:r>
      <w:r w:rsidR="00132045">
        <w:t>7</w:t>
      </w:r>
      <w:r w:rsidR="008C1B61" w:rsidRPr="008C1B61">
        <w:t xml:space="preserve"> metams patvirtinimo“</w:t>
      </w:r>
      <w:r w:rsidR="00BB1231">
        <w:t xml:space="preserve"> (toliau – Įsakymas Nr.</w:t>
      </w:r>
      <w:r w:rsidR="008E0B44">
        <w:t> </w:t>
      </w:r>
      <w:r w:rsidR="00BB1231">
        <w:t>V-</w:t>
      </w:r>
      <w:r w:rsidR="00132045">
        <w:t>995</w:t>
      </w:r>
      <w:r w:rsidR="00BB1231">
        <w:t>)</w:t>
      </w:r>
      <w:r w:rsidR="008C1B61" w:rsidRPr="008C1B61">
        <w:t xml:space="preserve">, Lietuvos Respublikos švietimo ir mokslo ministro </w:t>
      </w:r>
      <w:r w:rsidR="00132045" w:rsidRPr="008C1B61">
        <w:t>201</w:t>
      </w:r>
      <w:r w:rsidR="00132045">
        <w:t>6</w:t>
      </w:r>
      <w:r w:rsidR="00132045" w:rsidRPr="008C1B61">
        <w:t xml:space="preserve"> </w:t>
      </w:r>
      <w:r w:rsidR="008C1B61" w:rsidRPr="008C1B61">
        <w:t xml:space="preserve">m. </w:t>
      </w:r>
      <w:r w:rsidR="00132045">
        <w:t>lapkričio 9</w:t>
      </w:r>
      <w:r w:rsidR="008C1B61" w:rsidRPr="008C1B61">
        <w:t xml:space="preserve"> d. įsakymas Nr.</w:t>
      </w:r>
      <w:r w:rsidR="008E0B44">
        <w:t> </w:t>
      </w:r>
      <w:r w:rsidR="008C1B61" w:rsidRPr="008C1B61">
        <w:t>V-</w:t>
      </w:r>
      <w:r w:rsidR="00132045">
        <w:t>990</w:t>
      </w:r>
      <w:r w:rsidR="008C1B61" w:rsidRPr="008C1B61">
        <w:t xml:space="preserve"> „Dėl Profesinio mokymo programų praktinio mokymo medžiagų lėšų imlumo koeficientų </w:t>
      </w:r>
      <w:r w:rsidR="00132045" w:rsidRPr="008C1B61">
        <w:t>201</w:t>
      </w:r>
      <w:r w:rsidR="00132045">
        <w:t>7</w:t>
      </w:r>
      <w:r w:rsidR="00132045" w:rsidRPr="008C1B61">
        <w:t xml:space="preserve"> </w:t>
      </w:r>
      <w:r w:rsidR="008C1B61" w:rsidRPr="008C1B61">
        <w:t>metams patvirtinimo“ (toliau – Įsakymas Nr. V-</w:t>
      </w:r>
      <w:r w:rsidR="00132045">
        <w:t>990</w:t>
      </w:r>
      <w:r w:rsidR="008C1B61" w:rsidRPr="008C1B61">
        <w:t>), Lietuvos Respublikos Vyriausybės 201</w:t>
      </w:r>
      <w:r w:rsidR="003F6B8A">
        <w:t>6</w:t>
      </w:r>
      <w:r w:rsidR="008C1B61" w:rsidRPr="008C1B61">
        <w:t xml:space="preserve"> m. </w:t>
      </w:r>
      <w:r w:rsidR="003F6B8A">
        <w:t>birželio 22</w:t>
      </w:r>
      <w:r w:rsidR="008C1B61" w:rsidRPr="008C1B61">
        <w:t xml:space="preserve"> d. nutarimas Nr. </w:t>
      </w:r>
      <w:r w:rsidR="003F6B8A">
        <w:t>644</w:t>
      </w:r>
      <w:r w:rsidR="008C1B61" w:rsidRPr="008C1B61">
        <w:t xml:space="preserve"> „Dėl minimaliojo darbo užmokesčio“ (toliau – Nutarimas </w:t>
      </w:r>
      <w:r w:rsidR="008C1B61" w:rsidRPr="00147FC7">
        <w:t xml:space="preserve">Nr. </w:t>
      </w:r>
      <w:r w:rsidR="003F6B8A" w:rsidRPr="00147FC7">
        <w:t>644</w:t>
      </w:r>
      <w:r w:rsidR="008C1B61" w:rsidRPr="008C1B61">
        <w:t>) (toliau kartu – teisės aktai, kurie taikomi formaliajam profesiniam mokymui) – nustato profesinio mokymo lėšas vienam mokiniui, kuris mokosi pagal formaliojo profesinio mokymo programą, ir minimalųjį valandinį atlygį.</w:t>
      </w:r>
    </w:p>
    <w:p w14:paraId="2A4A3E98" w14:textId="77777777" w:rsidR="008C1B61" w:rsidRPr="008C1B61" w:rsidRDefault="008C1B61" w:rsidP="008C1B61">
      <w:pPr>
        <w:ind w:firstLine="1296"/>
      </w:pPr>
      <w:r w:rsidRPr="008C1B61">
        <w:t xml:space="preserve">Mokymų išlaidos – </w:t>
      </w:r>
      <w:r w:rsidR="004B710E">
        <w:t xml:space="preserve">šiame </w:t>
      </w:r>
      <w:r w:rsidR="00657F16">
        <w:t>pagrindime</w:t>
      </w:r>
      <w:r w:rsidR="004B710E">
        <w:t xml:space="preserve"> naudojama sąvoka, kuri apima </w:t>
      </w:r>
      <w:r w:rsidRPr="008C1B61">
        <w:t>išlaid</w:t>
      </w:r>
      <w:r w:rsidR="004B710E">
        <w:t>a</w:t>
      </w:r>
      <w:r w:rsidRPr="008C1B61">
        <w:t>s mokymų teikėjams ir mokomų darbuotojų dalies darbo užmokesčio išlaid</w:t>
      </w:r>
      <w:r w:rsidR="004B710E">
        <w:t>a</w:t>
      </w:r>
      <w:r w:rsidRPr="008C1B61">
        <w:t>s už darbo valandas, kurias jie dalyvavo mokymuose.</w:t>
      </w:r>
    </w:p>
    <w:p w14:paraId="7D5013A6" w14:textId="7D94A472" w:rsidR="008C1B61" w:rsidRPr="008C1B61" w:rsidRDefault="00120296" w:rsidP="008C1B61">
      <w:pPr>
        <w:ind w:firstLine="1296"/>
      </w:pPr>
      <w:r>
        <w:t>Apskaičiuotas</w:t>
      </w:r>
      <w:r w:rsidRPr="008C1B61">
        <w:t xml:space="preserve"> </w:t>
      </w:r>
      <w:r w:rsidR="008C1B61" w:rsidRPr="008C1B61">
        <w:t xml:space="preserve">fiksuotasis įkainis būtų naudojamas nustatyti tinkamas finansuoti </w:t>
      </w:r>
      <w:r w:rsidR="0044346D">
        <w:t>vienos valandos vieno mokomo darbuotojo mokymų</w:t>
      </w:r>
      <w:r w:rsidR="008C1B61" w:rsidRPr="008C1B61">
        <w:t xml:space="preserve"> išlaidas, kai darbuotojas mokomas vykdant </w:t>
      </w:r>
      <w:r w:rsidR="00467395" w:rsidRPr="008C1B61">
        <w:t>projekt</w:t>
      </w:r>
      <w:r w:rsidR="00467395">
        <w:t>us</w:t>
      </w:r>
      <w:r w:rsidR="00467395" w:rsidRPr="008C1B61">
        <w:t xml:space="preserve"> </w:t>
      </w:r>
      <w:r w:rsidR="008C1B61" w:rsidRPr="008C1B61">
        <w:t>pagal 2014–2020 metų Europos Sąjungos fondų investicijų veiksmų programos</w:t>
      </w:r>
      <w:r w:rsidR="0044346D">
        <w:t xml:space="preserve"> </w:t>
      </w:r>
      <w:r>
        <w:t>9 prioriteto „</w:t>
      </w:r>
      <w:r w:rsidRPr="00120296">
        <w:t>Visuomenės švietimas ir žmogiškųjų išteklių potencialo didinimas</w:t>
      </w:r>
      <w:r>
        <w:t xml:space="preserve">“ visuotinės dotacijos </w:t>
      </w:r>
      <w:r>
        <w:lastRenderedPageBreak/>
        <w:t>priemones</w:t>
      </w:r>
      <w:r w:rsidR="0044346D">
        <w:t>, išskyrus techninės paramos lėšomis finansuojamus mokymus.</w:t>
      </w:r>
      <w:r w:rsidR="008C1B61" w:rsidRPr="008C1B61">
        <w:t xml:space="preserve"> </w:t>
      </w:r>
      <w:r w:rsidR="00132045">
        <w:t xml:space="preserve">Fiksuotojo įkainio dedamoji </w:t>
      </w:r>
      <w:r w:rsidR="00D71B89">
        <w:t xml:space="preserve">minimalaus </w:t>
      </w:r>
      <w:r w:rsidR="00132045">
        <w:t xml:space="preserve">darbo užmokesčio suma </w:t>
      </w:r>
      <w:r w:rsidR="00D71B89">
        <w:t xml:space="preserve">taip pat </w:t>
      </w:r>
      <w:r w:rsidR="00132045">
        <w:t xml:space="preserve">gali būti naudojama nustatant tinkamas finansuoti projektų išlaidas, </w:t>
      </w:r>
      <w:r w:rsidR="00125E7D">
        <w:t>jeigu tai aprašyta</w:t>
      </w:r>
      <w:r w:rsidR="00132045">
        <w:t xml:space="preserve"> </w:t>
      </w:r>
      <w:r w:rsidR="00D71B89">
        <w:t xml:space="preserve">tos </w:t>
      </w:r>
      <w:r w:rsidR="00132045">
        <w:t>priemonės finansavimo sąlygų apraše</w:t>
      </w:r>
      <w:r w:rsidR="00505BF6">
        <w:t>.</w:t>
      </w:r>
    </w:p>
    <w:p w14:paraId="040EBD9F" w14:textId="2C8EBD75" w:rsidR="00F66A23" w:rsidRDefault="00467395" w:rsidP="008C1B61">
      <w:pPr>
        <w:ind w:firstLine="1296"/>
      </w:pPr>
      <w:r>
        <w:t>V</w:t>
      </w:r>
      <w:r w:rsidR="0044346D">
        <w:t>ienos valandos vieno mokomo darbuotojo mokymų išlaidų fiksuotasis įkainis gali būti taikomas priemonėse, kurių r</w:t>
      </w:r>
      <w:r w:rsidR="008C1B61" w:rsidRPr="008C1B61">
        <w:t>emiama veikla – mokymai įmonės darbuotojams</w:t>
      </w:r>
      <w:r>
        <w:t>, taip pat</w:t>
      </w:r>
      <w:r w:rsidR="0044346D">
        <w:t xml:space="preserve"> m</w:t>
      </w:r>
      <w:r w:rsidR="008C1B61" w:rsidRPr="008C1B61">
        <w:t xml:space="preserve">okymai </w:t>
      </w:r>
      <w:r w:rsidR="0044346D">
        <w:t xml:space="preserve">turėtų būti </w:t>
      </w:r>
      <w:r w:rsidR="008C1B61" w:rsidRPr="008C1B61">
        <w:t>vykdomi pagal neformalias mokymo programas</w:t>
      </w:r>
      <w:r w:rsidR="0003782E">
        <w:t>, kuriomis siekiama didinti formalias profesines kompetencijas, t. y. fiksuotieji įkainiai</w:t>
      </w:r>
      <w:r w:rsidR="00F66A23">
        <w:t xml:space="preserve"> netaikomi ir</w:t>
      </w:r>
      <w:r w:rsidR="0003782E">
        <w:t xml:space="preserve"> neapima bendrųjų kompetencijų mokymų</w:t>
      </w:r>
      <w:r w:rsidR="00F66A23">
        <w:t xml:space="preserve">, kurie skirti </w:t>
      </w:r>
      <w:r w:rsidR="00F66A23" w:rsidRPr="00EB1877">
        <w:rPr>
          <w:szCs w:val="24"/>
        </w:rPr>
        <w:t>komandos, organizacijos kultūrai formuoti, asmeniniam efektyvumui ugdyti (p</w:t>
      </w:r>
      <w:r w:rsidR="00F66A23">
        <w:rPr>
          <w:szCs w:val="24"/>
        </w:rPr>
        <w:t>avyzdžiui</w:t>
      </w:r>
      <w:r w:rsidR="00F66A23" w:rsidRPr="00EB1877">
        <w:rPr>
          <w:szCs w:val="24"/>
        </w:rPr>
        <w:t xml:space="preserve">, konfliktams spręsti, stresui valdyti, bendravimui, motyvavimui, laikui planuoti, emociniam intelektui, lyderystei, pozityviam mąstymui, </w:t>
      </w:r>
      <w:r w:rsidR="00F66A23">
        <w:rPr>
          <w:szCs w:val="24"/>
        </w:rPr>
        <w:t xml:space="preserve">strateginiam planavimui, komandinio darbo ir komandos formavimo, </w:t>
      </w:r>
      <w:r w:rsidR="00F66A23" w:rsidRPr="00EB1877">
        <w:rPr>
          <w:szCs w:val="24"/>
        </w:rPr>
        <w:t>kūrybiškumo gebėjimams ugdyti</w:t>
      </w:r>
      <w:r w:rsidR="00F66A23">
        <w:rPr>
          <w:szCs w:val="24"/>
        </w:rPr>
        <w:t xml:space="preserve"> </w:t>
      </w:r>
      <w:r w:rsidR="00F66A23" w:rsidRPr="00EB1877">
        <w:rPr>
          <w:szCs w:val="24"/>
        </w:rPr>
        <w:t>ir pan</w:t>
      </w:r>
      <w:r w:rsidR="00F66A23">
        <w:rPr>
          <w:szCs w:val="24"/>
        </w:rPr>
        <w:t>.</w:t>
      </w:r>
      <w:r w:rsidR="00F66A23" w:rsidRPr="00EB1877">
        <w:rPr>
          <w:szCs w:val="24"/>
        </w:rPr>
        <w:t>)</w:t>
      </w:r>
      <w:r w:rsidR="00F66A23">
        <w:rPr>
          <w:szCs w:val="24"/>
        </w:rPr>
        <w:t xml:space="preserve">, vadovavimo ir finansų valdymo kompetencijoms ugdyti, </w:t>
      </w:r>
      <w:proofErr w:type="spellStart"/>
      <w:r w:rsidR="00F66A23">
        <w:rPr>
          <w:szCs w:val="24"/>
        </w:rPr>
        <w:t>verslumo</w:t>
      </w:r>
      <w:proofErr w:type="spellEnd"/>
      <w:r w:rsidR="00F66A23">
        <w:rPr>
          <w:szCs w:val="24"/>
        </w:rPr>
        <w:t xml:space="preserve"> ir eksporto mokymų.</w:t>
      </w:r>
      <w:r w:rsidR="00D71B89">
        <w:rPr>
          <w:szCs w:val="24"/>
        </w:rPr>
        <w:t xml:space="preserve"> Fiksuotojo įkainio dedamoji darbo užmokesčio dalis gali būti taikoma visose priemonėse, kurių finansavimo sąlygų apraše yra apibrėžtas darbo užmokesčio kaip tinkamų išlaidų finansavimas, nepriklausomai nuo jų remiamos veiklos.</w:t>
      </w:r>
    </w:p>
    <w:p w14:paraId="448D290B" w14:textId="1BAA2569" w:rsidR="008C1B61" w:rsidRPr="008C1B61" w:rsidRDefault="008C1B61" w:rsidP="008C1B61">
      <w:pPr>
        <w:ind w:firstLine="1296"/>
      </w:pPr>
      <w:r w:rsidRPr="008C1B61">
        <w:t xml:space="preserve">Pagal Lietuvos Respublikos profesinio mokymo įstatymo 12 str. 10 dalį, reikalavimus neformaliojo profesinio mokymo programoms ir jų vykdymui gali nustatyti mokymą pagal šią programą užsakanti ar jį finansuojanti institucija. Reikalavimai neformaliojo profesinio mokymo programoms ir jų vykdymui, mokymo paslaugų teikėjams nustatyti Mokymo paslaugų teikėjų ir mokymo programų įtraukimo į mokymo teikėjų ir mokymo programų sąrašą tvarkos apraše, patvirtintame </w:t>
      </w:r>
      <w:r w:rsidR="005A5CED">
        <w:t xml:space="preserve">Lietuvos Respublikos </w:t>
      </w:r>
      <w:r w:rsidRPr="008C1B61">
        <w:t>ūkio ministro įsakymu</w:t>
      </w:r>
      <w:r w:rsidR="00C85965">
        <w:t>.</w:t>
      </w:r>
      <w:r w:rsidRPr="008C1B61">
        <w:t xml:space="preserve"> </w:t>
      </w:r>
      <w:r w:rsidR="008B0D0C">
        <w:t>Šio</w:t>
      </w:r>
      <w:r w:rsidR="008B0D0C" w:rsidRPr="00C85965">
        <w:t xml:space="preserve"> </w:t>
      </w:r>
      <w:r w:rsidRPr="00C85965">
        <w:t xml:space="preserve">tvarkos aprašo </w:t>
      </w:r>
      <w:r w:rsidR="00154AC1">
        <w:t>6</w:t>
      </w:r>
      <w:r w:rsidRPr="00C85965">
        <w:t xml:space="preserve"> punkte nustatyta,</w:t>
      </w:r>
      <w:r w:rsidRPr="008C1B61">
        <w:t xml:space="preserve"> kad mokymo paslaugų teikėjai </w:t>
      </w:r>
      <w:r w:rsidRPr="00B72ED5">
        <w:t xml:space="preserve">turi atitikti vieną iš </w:t>
      </w:r>
      <w:r w:rsidR="00B72ED5">
        <w:t>dviejų</w:t>
      </w:r>
      <w:r w:rsidR="00B72ED5" w:rsidRPr="00B72ED5">
        <w:t xml:space="preserve"> </w:t>
      </w:r>
      <w:r w:rsidRPr="00B72ED5">
        <w:t>reikalavimų, kurių vienas yra: – turėti</w:t>
      </w:r>
      <w:r w:rsidRPr="008C1B61">
        <w:t xml:space="preserve"> švietimo ir mokslo ministro išduotą licenciją vykdyti ne mažiau kaip 5 kvalifikaciją suteikiančias formalaus profesinio mokymo programas, išduotą pagal Lietuvos Respublikos Vyriausybės formaliojo profesinio mokymo licencijavimo taisyklių tvarką. </w:t>
      </w:r>
      <w:r w:rsidR="00CC2AB0">
        <w:t>Kadangi n</w:t>
      </w:r>
      <w:r w:rsidRPr="008C1B61">
        <w:t xml:space="preserve">ėra pagrindo numatyti kitokius vieno mokinio mokymo įkainius nei taikomus </w:t>
      </w:r>
      <w:r w:rsidR="00CC2AB0">
        <w:t>formaliajam profesiniam mokymui, t</w:t>
      </w:r>
      <w:r w:rsidRPr="008C1B61">
        <w:t xml:space="preserve">odėl fiksuotasis įkainis apskaičiuotas vadovaujantis teisės aktais, kurie taikomi formaliajam profesiniam mokymui. </w:t>
      </w:r>
    </w:p>
    <w:p w14:paraId="766C723F" w14:textId="5609FDCB" w:rsidR="008C1B61" w:rsidRDefault="008C1B61" w:rsidP="00CC2AB0">
      <w:pPr>
        <w:ind w:firstLine="1296"/>
      </w:pPr>
      <w:r w:rsidRPr="008C1B61">
        <w:t>Teisės aktų analizę atliko Ūkio ministerij</w:t>
      </w:r>
      <w:r w:rsidR="008E0B44">
        <w:t>a</w:t>
      </w:r>
      <w:r w:rsidR="00505BF6">
        <w:t>.</w:t>
      </w:r>
    </w:p>
    <w:p w14:paraId="3967C044" w14:textId="77777777" w:rsidR="006F60E6" w:rsidRDefault="006F60E6" w:rsidP="006F60E6">
      <w:pPr>
        <w:pStyle w:val="Antrat1"/>
      </w:pPr>
      <w:r>
        <w:t>TEISĖS AKTŲ ANALIZĖ</w:t>
      </w:r>
    </w:p>
    <w:p w14:paraId="5C47C166" w14:textId="77777777" w:rsidR="006F60E6" w:rsidRDefault="006F60E6" w:rsidP="006F60E6">
      <w:pPr>
        <w:ind w:firstLine="1296"/>
      </w:pPr>
      <w:r w:rsidRPr="006F60E6">
        <w:rPr>
          <w:b/>
        </w:rPr>
        <w:t xml:space="preserve">2008 m. gruodžio 8 d. Lietuvos Respublikos Vyriausybės nutarimas Nr. 1320 „Dėl Profesinio mokymo lėšų skaičiavimo vienam mokiniui, kuris mokosi pagal formaliojo </w:t>
      </w:r>
      <w:r w:rsidRPr="006F60E6">
        <w:rPr>
          <w:b/>
        </w:rPr>
        <w:lastRenderedPageBreak/>
        <w:t>profesinio mokymo programą, metodikos patvirtinimo“</w:t>
      </w:r>
      <w:r w:rsidR="00BB1231">
        <w:t xml:space="preserve">. </w:t>
      </w:r>
      <w:r>
        <w:t>Galioja nuo 2008 m. gruodžio 14 d. (Galiojanti suvestinė redakcija nuo 2015-01-01).</w:t>
      </w:r>
    </w:p>
    <w:p w14:paraId="47D357F2" w14:textId="585A2F2F" w:rsidR="006F60E6" w:rsidRDefault="006F60E6" w:rsidP="006F60E6">
      <w:pPr>
        <w:ind w:firstLine="1296"/>
      </w:pPr>
      <w:r>
        <w:t>Profesinio mokymo lėšų skaičiavimo vienam mokiniui, kuris mokosi pagal formaliojo profesinio mokymo programą, metodika, patvirtinta 2008 m. gruodžio 8 d. Lietuvos Respublikos Vyriausybės nutarimu Nr. 1320 „Dėl Profesinio mokymo lėšų skaičiavimo vienam mokiniui, kuris mokosi pagal formaliojo profesinio mokymo programą, metodikos patvirtinimo“, skirta nustatyti, kiek reikia tiesiogiai su mokymu susijusių lėšų vienam mokiniui, kuris mokosi pagal formaliojo profesinio mokymo programą, vienai profesinio mokymo valandai.</w:t>
      </w:r>
    </w:p>
    <w:p w14:paraId="11E1BC5A" w14:textId="77777777" w:rsidR="006F60E6" w:rsidRDefault="006F60E6" w:rsidP="006F60E6">
      <w:pPr>
        <w:ind w:firstLine="1296"/>
      </w:pPr>
      <w:r w:rsidRPr="006F60E6">
        <w:t>Pagal Metodiką skaičiuojamos tiesiogiai su profesiniu mokymu susijusios mokymo lėšos, skiriamos iš Lietuvos Respublikos valstybės biudžeto, Lietuvos Respublikos valstybės biudžeto specialiųjų tikslinių dotacijų savivaldybių biudžetams ar Užimtumo fondo finansuojamoms formaliojo profesinio mokymo programoms vykdyti.</w:t>
      </w:r>
      <w:r w:rsidR="00711B68">
        <w:t xml:space="preserve"> S</w:t>
      </w:r>
      <w:r w:rsidR="00711B68" w:rsidRPr="006F60E6">
        <w:t>u profesiniu mokymu susijusios mokymo lėšos</w:t>
      </w:r>
      <w:r w:rsidR="00711B68">
        <w:t>, planuojamos skirti profesinio mokymo teikėjui,</w:t>
      </w:r>
      <w:r w:rsidR="00711B68">
        <w:rPr>
          <w:b/>
          <w:bCs/>
        </w:rPr>
        <w:t xml:space="preserve"> </w:t>
      </w:r>
      <w:r w:rsidR="00711B68">
        <w:t>kasmet skaičiuojamos taip: jo pateiktas Švietimo ir mokslo ministerijai faktinis (einamųjų metų spalio 1 d. duomenimis) mokinių, kurie mokosi pagal visas vykdomas formaliojo profesinio mokymo programas, skaičius dauginamas iš ateinantiesiems metams skirtų profesinio mokymo programoms valandų skaičiaus ir mokymo valandos kainos. Detalus s</w:t>
      </w:r>
      <w:r w:rsidR="00711B68" w:rsidRPr="006F60E6">
        <w:t>u profesiniu mokymu susijus</w:t>
      </w:r>
      <w:r w:rsidR="00711B68">
        <w:t>ių mokymo lėšų apskaičiavimo algoritmas pateikiamas Metodikos II skyriuje „Mokymo lėšos“.</w:t>
      </w:r>
    </w:p>
    <w:p w14:paraId="1C038F94" w14:textId="6D796C1C" w:rsidR="000305BA" w:rsidRDefault="000305BA" w:rsidP="000305BA">
      <w:pPr>
        <w:ind w:firstLine="1296"/>
      </w:pPr>
      <w:r w:rsidRPr="000305BA">
        <w:rPr>
          <w:b/>
        </w:rPr>
        <w:t xml:space="preserve">Lietuvos Respublikos švietimo ir mokslo ministro </w:t>
      </w:r>
      <w:r w:rsidR="00125E7D" w:rsidRPr="00125E7D">
        <w:rPr>
          <w:b/>
        </w:rPr>
        <w:t>2016 m. lapkričio 10 d. įsakymas Nr. V-995 „Dėl profesinio mokymo lėšų, tenkančių vieno mokinio, kuris mokosi pagal formaliojo profesinio mokymo programą, vienai valandai, 2017 metams patvirtinimo“</w:t>
      </w:r>
      <w:r w:rsidR="00125E7D">
        <w:rPr>
          <w:b/>
        </w:rPr>
        <w:t>.</w:t>
      </w:r>
      <w:r w:rsidRPr="000305BA">
        <w:t xml:space="preserve"> Galioja nuo 201</w:t>
      </w:r>
      <w:r w:rsidR="00125E7D">
        <w:t>7</w:t>
      </w:r>
      <w:r w:rsidRPr="000305BA">
        <w:t xml:space="preserve"> m. sausio 1 d</w:t>
      </w:r>
      <w:r>
        <w:t>.</w:t>
      </w:r>
    </w:p>
    <w:p w14:paraId="4FA7F429" w14:textId="270F7648" w:rsidR="000305BA" w:rsidRDefault="000305BA" w:rsidP="000305BA">
      <w:pPr>
        <w:ind w:firstLine="1296"/>
      </w:pPr>
      <w:r w:rsidRPr="000305BA">
        <w:t>Įsakymas Nr. V-</w:t>
      </w:r>
      <w:r w:rsidR="00125E7D">
        <w:t>995</w:t>
      </w:r>
      <w:r w:rsidR="00125E7D" w:rsidRPr="000305BA">
        <w:t xml:space="preserve"> </w:t>
      </w:r>
      <w:r w:rsidRPr="000305BA">
        <w:t xml:space="preserve">skirtas įgyvendinti Lietuvos Respublikos Vyriausybės 2008 m. gruodžio 8 d. nutarimo Nr. 1320 „Dėl Profesinio mokymo lėšų skaičiavimo vienam mokiniui, kuris mokosi pagal formaliojo profesinio mokymo programą, metodikos patvirtinimo“ 2 punktą ir patvirtinti Profesinio mokymo lėšas, tenkančias vieno mokinio, kuris mokosi pagal formaliojo profesinio mokymo programą, vienai valandai, </w:t>
      </w:r>
      <w:r w:rsidR="00125E7D" w:rsidRPr="000305BA">
        <w:t>201</w:t>
      </w:r>
      <w:r w:rsidR="00125E7D">
        <w:t>7</w:t>
      </w:r>
      <w:r w:rsidR="00125E7D" w:rsidRPr="000305BA">
        <w:t xml:space="preserve"> </w:t>
      </w:r>
      <w:r w:rsidRPr="000305BA">
        <w:t>metams.</w:t>
      </w:r>
    </w:p>
    <w:p w14:paraId="794EA919" w14:textId="4DFB06DA" w:rsidR="000305BA" w:rsidRDefault="000305BA" w:rsidP="000305BA">
      <w:pPr>
        <w:ind w:firstLine="1296"/>
      </w:pPr>
      <w:r w:rsidRPr="000305BA">
        <w:t>Nustatant fiksuotąjį įkainį naudojam</w:t>
      </w:r>
      <w:r w:rsidR="00CD1349">
        <w:t>i</w:t>
      </w:r>
      <w:r w:rsidRPr="000305BA">
        <w:t xml:space="preserve"> Įsakymo Nr. V-</w:t>
      </w:r>
      <w:r w:rsidR="00125E7D">
        <w:t xml:space="preserve">995 </w:t>
      </w:r>
      <w:r w:rsidRPr="000305BA">
        <w:t>1.1 papunkčiu patvirtint</w:t>
      </w:r>
      <w:r w:rsidR="00CD1349">
        <w:t>i</w:t>
      </w:r>
      <w:r w:rsidRPr="000305BA">
        <w:t xml:space="preserve"> Profesinio mokymo lėš</w:t>
      </w:r>
      <w:r w:rsidR="00CD1349">
        <w:t>ų</w:t>
      </w:r>
      <w:r w:rsidRPr="000305BA">
        <w:t>, tenkanči</w:t>
      </w:r>
      <w:r w:rsidR="00CD1349">
        <w:t>ų</w:t>
      </w:r>
      <w:r w:rsidRPr="000305BA">
        <w:t xml:space="preserve"> vieno mokinio vienai valandai, </w:t>
      </w:r>
      <w:r w:rsidR="00125E7D" w:rsidRPr="000305BA">
        <w:t>201</w:t>
      </w:r>
      <w:r w:rsidR="00125E7D">
        <w:t>7</w:t>
      </w:r>
      <w:r w:rsidR="00125E7D" w:rsidRPr="000305BA">
        <w:t xml:space="preserve"> </w:t>
      </w:r>
      <w:r w:rsidRPr="000305BA">
        <w:t>m</w:t>
      </w:r>
      <w:r w:rsidR="00CD1349">
        <w:t>etams dydžiai</w:t>
      </w:r>
      <w:r w:rsidRPr="000305BA">
        <w:t>. Įsakymo Nr. V-</w:t>
      </w:r>
      <w:r w:rsidR="00125E7D">
        <w:t>995</w:t>
      </w:r>
      <w:r w:rsidR="00125E7D" w:rsidRPr="000305BA">
        <w:t xml:space="preserve"> </w:t>
      </w:r>
      <w:r w:rsidRPr="000305BA">
        <w:t>1.2 papunkčiu patvirtintų Mokinių, turinčių specialiųjų ugdymosi poreikių, profesinio mokymo lėšų, tenkančių vieno mokinio vienai valandai, 201</w:t>
      </w:r>
      <w:r w:rsidR="00125E7D">
        <w:t>7</w:t>
      </w:r>
      <w:r w:rsidRPr="000305BA">
        <w:t xml:space="preserve"> metams ir 1.3 papunkčiu patvirtintų Asmenų, kuriems atimta ar apribota laisvė, profesinio mokymo lėšų, tenkančių vieno mokinio vienai valandai, </w:t>
      </w:r>
      <w:r w:rsidR="00125E7D" w:rsidRPr="000305BA">
        <w:t>201</w:t>
      </w:r>
      <w:r w:rsidR="00125E7D">
        <w:t>7</w:t>
      </w:r>
      <w:r w:rsidR="00125E7D" w:rsidRPr="000305BA">
        <w:t xml:space="preserve"> </w:t>
      </w:r>
      <w:r w:rsidRPr="000305BA">
        <w:t xml:space="preserve">metams </w:t>
      </w:r>
      <w:r w:rsidR="00CD1349">
        <w:t xml:space="preserve">dydžiai </w:t>
      </w:r>
      <w:r w:rsidRPr="000305BA">
        <w:t>skaičiuojant fiksuotą įkainį nenaudojam</w:t>
      </w:r>
      <w:r w:rsidR="00CD1349">
        <w:t>i</w:t>
      </w:r>
      <w:r w:rsidRPr="000305BA">
        <w:t xml:space="preserve">, </w:t>
      </w:r>
      <w:r w:rsidR="00D47E8F">
        <w:t xml:space="preserve">kadangi šiuos </w:t>
      </w:r>
      <w:r w:rsidR="00D47E8F">
        <w:lastRenderedPageBreak/>
        <w:t xml:space="preserve">fiksuotuosius įkainius nenumatoma taikyti mokymams </w:t>
      </w:r>
      <w:r w:rsidRPr="000305BA">
        <w:t>tokių tikslinių grupių kaip mokiniai, turintys specialiųjų ugdymosi poreikių ir asmenys, kuriems atimta ar apribota laisvė atstovų.</w:t>
      </w:r>
    </w:p>
    <w:p w14:paraId="59BA2CFA" w14:textId="6B053297" w:rsidR="000305BA" w:rsidRDefault="000305BA" w:rsidP="000305BA">
      <w:pPr>
        <w:ind w:firstLine="1296"/>
      </w:pPr>
      <w:r w:rsidRPr="000305BA">
        <w:t>Įsakymo Nr. V-</w:t>
      </w:r>
      <w:r w:rsidR="00125E7D">
        <w:t>995</w:t>
      </w:r>
      <w:r w:rsidR="00125E7D" w:rsidRPr="000305BA">
        <w:t xml:space="preserve"> </w:t>
      </w:r>
      <w:r w:rsidRPr="000305BA">
        <w:t xml:space="preserve">1 priede „Profesinio mokymo lėšos, tenkančios vieno mokinio vienai valandai, </w:t>
      </w:r>
      <w:r w:rsidR="00125E7D" w:rsidRPr="000305BA">
        <w:t>201</w:t>
      </w:r>
      <w:r w:rsidR="00125E7D">
        <w:t>7</w:t>
      </w:r>
      <w:r w:rsidR="00125E7D" w:rsidRPr="000305BA">
        <w:t xml:space="preserve"> </w:t>
      </w:r>
      <w:r w:rsidRPr="000305BA">
        <w:t xml:space="preserve">metams“ yra nustatytos Profesinio mokymo programų, kai akademinėje grupėje 25 mokiniai ir Profesinio mokymo programų, kai akademinėje grupėje 12 mokinių, profesinio mokymo lėšos, tenkančios vieno mokinio vienai valandai, </w:t>
      </w:r>
      <w:r w:rsidR="00125E7D" w:rsidRPr="000305BA">
        <w:t>201</w:t>
      </w:r>
      <w:r w:rsidR="00125E7D">
        <w:t>7</w:t>
      </w:r>
      <w:r w:rsidR="00125E7D" w:rsidRPr="000305BA">
        <w:t xml:space="preserve"> </w:t>
      </w:r>
      <w:r w:rsidRPr="000305BA">
        <w:t>metams, kai programos imlumo koeficientas – 1 (toliau – Įsakymo Nr. V-</w:t>
      </w:r>
      <w:r w:rsidR="00125E7D">
        <w:t>995</w:t>
      </w:r>
      <w:r w:rsidR="00125E7D" w:rsidRPr="000305BA">
        <w:t xml:space="preserve"> </w:t>
      </w:r>
      <w:r w:rsidRPr="000305BA">
        <w:t>1 priedas). Profesinio mokymo lėšos tenkančios vieno mokinio vienai valandai, susideda iš:</w:t>
      </w:r>
    </w:p>
    <w:p w14:paraId="565C4743" w14:textId="77777777" w:rsidR="000305BA" w:rsidRDefault="000305BA" w:rsidP="000305BA">
      <w:pPr>
        <w:pStyle w:val="Sraopastraipa"/>
        <w:numPr>
          <w:ilvl w:val="0"/>
          <w:numId w:val="2"/>
        </w:numPr>
        <w:tabs>
          <w:tab w:val="left" w:pos="916"/>
        </w:tabs>
        <w:ind w:left="0" w:firstLine="993"/>
      </w:pPr>
      <w:r w:rsidRPr="00F87828">
        <w:rPr>
          <w:b/>
        </w:rPr>
        <w:t>vadovavimo grupei kainos</w:t>
      </w:r>
      <w:r>
        <w:t xml:space="preserve">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w:t>
      </w:r>
    </w:p>
    <w:p w14:paraId="2D26CA61" w14:textId="77777777" w:rsidR="000305BA" w:rsidRDefault="000305BA" w:rsidP="000305BA">
      <w:pPr>
        <w:pStyle w:val="Sraopastraipa"/>
        <w:numPr>
          <w:ilvl w:val="0"/>
          <w:numId w:val="2"/>
        </w:numPr>
        <w:tabs>
          <w:tab w:val="left" w:pos="916"/>
        </w:tabs>
        <w:ind w:left="0" w:firstLine="993"/>
      </w:pPr>
      <w:r w:rsidRPr="00F87828">
        <w:rPr>
          <w:b/>
        </w:rPr>
        <w:t>praktikos įmonėje mokymo kainos</w:t>
      </w:r>
      <w:r>
        <w:t xml:space="preserve">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 Lėšos profesijos vadovėliams ir literatūrai; Lėšos techninėms vaizdo priemonėms; Bazinė praktinio mokymo medžiagų kaina);</w:t>
      </w:r>
    </w:p>
    <w:p w14:paraId="442EBA70" w14:textId="77777777" w:rsidR="000305BA" w:rsidRDefault="000305BA" w:rsidP="000305BA">
      <w:pPr>
        <w:pStyle w:val="Sraopastraipa"/>
        <w:numPr>
          <w:ilvl w:val="0"/>
          <w:numId w:val="2"/>
        </w:numPr>
        <w:tabs>
          <w:tab w:val="left" w:pos="916"/>
        </w:tabs>
        <w:ind w:left="0" w:firstLine="993"/>
      </w:pPr>
      <w:r w:rsidRPr="00F87828">
        <w:rPr>
          <w:b/>
        </w:rPr>
        <w:t>pedagoginio darbo valandų</w:t>
      </w:r>
      <w:r>
        <w:t xml:space="preserve"> (be vadovavimo grupei) kainos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 Lėšos profesijos vadovėliams ir literatūrai; Lėšos techninėms vaizdo priemonėms; Bazinė praktinio mokymo medžiagų kaina).</w:t>
      </w:r>
    </w:p>
    <w:p w14:paraId="4FB3344D" w14:textId="75D0400A" w:rsidR="000305BA" w:rsidRDefault="00546E40" w:rsidP="000305BA">
      <w:pPr>
        <w:ind w:firstLine="1296"/>
      </w:pPr>
      <w:r w:rsidRPr="00546E40">
        <w:rPr>
          <w:b/>
        </w:rPr>
        <w:t xml:space="preserve">Lietuvos Respublikos švietimo ir mokslo ministro </w:t>
      </w:r>
      <w:r w:rsidR="00F66DFC" w:rsidRPr="00F66DFC">
        <w:rPr>
          <w:b/>
        </w:rPr>
        <w:t>2016 m. lapkričio 9 d. įsakymas Nr. V-990 „Dėl Profesinio mokymo programų praktinio mokymo medžiagų lėšų imlumo koeficientų 2017 metams patvirtinimo“</w:t>
      </w:r>
      <w:r w:rsidRPr="00546E40">
        <w:rPr>
          <w:b/>
        </w:rPr>
        <w:t>.</w:t>
      </w:r>
      <w:r w:rsidRPr="00546E40">
        <w:t xml:space="preserve"> Galioja nuo </w:t>
      </w:r>
      <w:r w:rsidR="00F66DFC" w:rsidRPr="00546E40">
        <w:t>201</w:t>
      </w:r>
      <w:r w:rsidR="00F66DFC">
        <w:t>7</w:t>
      </w:r>
      <w:r w:rsidR="00F66DFC" w:rsidRPr="00546E40">
        <w:t xml:space="preserve"> </w:t>
      </w:r>
      <w:r w:rsidRPr="00546E40">
        <w:t>m. sausio 1 d.</w:t>
      </w:r>
    </w:p>
    <w:p w14:paraId="28EA511B" w14:textId="3FBC1C64" w:rsidR="00546E40" w:rsidRDefault="00546E40" w:rsidP="0067229A">
      <w:pPr>
        <w:ind w:firstLine="1296"/>
      </w:pPr>
      <w:r>
        <w:t xml:space="preserve">Išnagrinėtas Lietuvos Respublikos švietimo ir mokslo ministro </w:t>
      </w:r>
      <w:r w:rsidR="00F66DFC" w:rsidRPr="008C1B61">
        <w:t>201</w:t>
      </w:r>
      <w:r w:rsidR="00F66DFC">
        <w:t>6</w:t>
      </w:r>
      <w:r w:rsidR="00F66DFC" w:rsidRPr="008C1B61">
        <w:t xml:space="preserve"> m. </w:t>
      </w:r>
      <w:r w:rsidR="00F66DFC">
        <w:t>lapkričio 9</w:t>
      </w:r>
      <w:r w:rsidR="00F66DFC" w:rsidRPr="008C1B61">
        <w:t xml:space="preserve"> d. įsakymas Nr.</w:t>
      </w:r>
      <w:r w:rsidR="00F66DFC">
        <w:t> </w:t>
      </w:r>
      <w:r w:rsidR="00F66DFC" w:rsidRPr="008C1B61">
        <w:t>V-</w:t>
      </w:r>
      <w:r w:rsidR="00F66DFC">
        <w:t>990</w:t>
      </w:r>
      <w:r w:rsidR="00F66DFC" w:rsidRPr="008C1B61">
        <w:t xml:space="preserve"> „Dėl Profesinio mokymo programų praktinio mokymo medžiagų lėšų imlumo koeficientų 201</w:t>
      </w:r>
      <w:r w:rsidR="00F66DFC">
        <w:t>7</w:t>
      </w:r>
      <w:r w:rsidR="00F66DFC" w:rsidRPr="008C1B61">
        <w:t xml:space="preserve"> metams patvirtinimo“ </w:t>
      </w:r>
      <w:r>
        <w:t>priedas</w:t>
      </w:r>
      <w:r w:rsidR="0067229A">
        <w:t xml:space="preserve"> (toliau </w:t>
      </w:r>
      <w:r w:rsidR="00D92CC1">
        <w:t>–</w:t>
      </w:r>
      <w:r w:rsidR="0067229A">
        <w:t xml:space="preserve"> Įsakymo Nr. V-</w:t>
      </w:r>
      <w:r w:rsidR="00F66DFC">
        <w:t>990</w:t>
      </w:r>
      <w:r w:rsidR="0067229A">
        <w:t xml:space="preserve"> priedas), kuriame</w:t>
      </w:r>
      <w:r w:rsidR="0091707B">
        <w:t xml:space="preserve"> </w:t>
      </w:r>
      <w:r>
        <w:t xml:space="preserve">nurodyti Profesinio mokymo programų praktinio mokymo medžiagų lėšų imlumo koeficientai </w:t>
      </w:r>
      <w:r w:rsidR="00F66DFC">
        <w:t xml:space="preserve">2017 </w:t>
      </w:r>
      <w:r>
        <w:t>metams yra patvirtinti įgyvendinant Metodikos 15.3 punktą.</w:t>
      </w:r>
    </w:p>
    <w:p w14:paraId="40363833" w14:textId="3692E358" w:rsidR="00505BF6" w:rsidRDefault="00505BF6" w:rsidP="005404EF">
      <w:pPr>
        <w:ind w:firstLine="1296"/>
      </w:pPr>
      <w:r>
        <w:lastRenderedPageBreak/>
        <w:t>Kai Įsakymo Nr. V-</w:t>
      </w:r>
      <w:r w:rsidR="00F66DFC">
        <w:t xml:space="preserve">990 </w:t>
      </w:r>
      <w:r>
        <w:t>priede pateiktas</w:t>
      </w:r>
      <w:r w:rsidR="00035B9E">
        <w:t xml:space="preserve"> medžiagų</w:t>
      </w:r>
      <w:r>
        <w:t xml:space="preserve"> lėšų imlumo koeficientas lygus 1, </w:t>
      </w:r>
      <w:r w:rsidR="00750AE7">
        <w:t xml:space="preserve">bazinis praktinio mokymo medžiagų kainos dydis nekinta, todėl, galima daryti išvadą, kad praktinis mokymas nereikalauja papildomų specifinių medžiagų, tokiu atveju taikoma </w:t>
      </w:r>
      <w:r>
        <w:t>bazinė praktinio mokymo medžiagų kaina, nurodyta Įsakyme Nr. V-</w:t>
      </w:r>
      <w:r w:rsidR="00125E7D">
        <w:t>995</w:t>
      </w:r>
      <w:r w:rsidR="0067229A">
        <w:t>.</w:t>
      </w:r>
      <w:r w:rsidR="00FD24C5">
        <w:t xml:space="preserve"> Todėl</w:t>
      </w:r>
      <w:r w:rsidR="0062775F">
        <w:t>,</w:t>
      </w:r>
      <w:r w:rsidR="00FD24C5">
        <w:t xml:space="preserve"> norint apskaičiuoti vidutinį </w:t>
      </w:r>
      <w:r>
        <w:t>lėšų imlumo koeficient</w:t>
      </w:r>
      <w:r w:rsidR="00FD24C5">
        <w:t>ą</w:t>
      </w:r>
      <w:r>
        <w:t xml:space="preserve">, kai mokymams reikalingos specifinės mokymo medžiagos, </w:t>
      </w:r>
      <w:r w:rsidR="00FD24C5">
        <w:t>būtina imti medžiagų lėšų imlumo koeficiento reikšmes, kurios yra didesnės už 1, t.</w:t>
      </w:r>
      <w:r w:rsidR="00D92CC1">
        <w:t xml:space="preserve"> </w:t>
      </w:r>
      <w:r w:rsidR="00FD24C5">
        <w:t xml:space="preserve">y. į vidutinį mokymo lėšų imlumo koeficiento skaičiavimą įtraukti tik tas mokymo programas, kurios reikalauja papildomų medžiagų. </w:t>
      </w:r>
      <w:r w:rsidR="0067229A">
        <w:t>Tokiu būdu a</w:t>
      </w:r>
      <w:r>
        <w:t xml:space="preserve">pskaičiuota profesinio mokymo programų praktinio mokymo medžiagų vidutinė lėšų imlumo koeficiento (toliau – vidutinis mokymo </w:t>
      </w:r>
      <w:r w:rsidR="00FD24C5">
        <w:t xml:space="preserve">medžiagų </w:t>
      </w:r>
      <w:r w:rsidR="00A242B3">
        <w:t>imlumo koeficientas) vertė 1,</w:t>
      </w:r>
      <w:r w:rsidR="001F6FE9">
        <w:t xml:space="preserve">1022 </w:t>
      </w:r>
      <w:r w:rsidR="0067229A">
        <w:t xml:space="preserve">(detalūs skaičiavimai pateikiami pagrindimo </w:t>
      </w:r>
      <w:r w:rsidR="0067229A" w:rsidRPr="00B20C3E">
        <w:t>1 priede</w:t>
      </w:r>
      <w:r w:rsidR="0067229A">
        <w:t>)</w:t>
      </w:r>
      <w:r w:rsidR="00A242B3">
        <w:t>.</w:t>
      </w:r>
    </w:p>
    <w:p w14:paraId="7B16C9A0" w14:textId="77777777" w:rsidR="00FD24C5" w:rsidRDefault="00910CE8" w:rsidP="005404EF">
      <w:pPr>
        <w:ind w:firstLine="1296"/>
      </w:pPr>
      <w:r>
        <w:t>Medžiagų imlumo koeficiento reikšmė nedidelė, todėl</w:t>
      </w:r>
      <w:r w:rsidR="00D506E7">
        <w:t>, siekiant išvengti papildomos projekto administravimo naštos, skirstant mokymus į imlius ir neimlius medžiagoms,</w:t>
      </w:r>
      <w:r>
        <w:t xml:space="preserve"> </w:t>
      </w:r>
      <w:r w:rsidR="00D506E7">
        <w:t>apskaičiavus visus fiksuotųjų dydžių parametrus bus patikrintas medžiagų imlumo koeficiento reikšmingumas</w:t>
      </w:r>
      <w:r>
        <w:t xml:space="preserve"> </w:t>
      </w:r>
      <w:r w:rsidR="000036E0">
        <w:t xml:space="preserve">pagrindimo </w:t>
      </w:r>
      <w:r>
        <w:t>rezultatams</w:t>
      </w:r>
      <w:r w:rsidR="00D506E7">
        <w:t>.</w:t>
      </w:r>
      <w:r>
        <w:t xml:space="preserve"> </w:t>
      </w:r>
    </w:p>
    <w:p w14:paraId="3441FBCF" w14:textId="0A0103F6" w:rsidR="000305BA" w:rsidRPr="00133084" w:rsidRDefault="00133084" w:rsidP="005404EF">
      <w:pPr>
        <w:ind w:firstLine="1296"/>
        <w:rPr>
          <w:b/>
        </w:rPr>
      </w:pPr>
      <w:r w:rsidRPr="00133084">
        <w:rPr>
          <w:b/>
        </w:rPr>
        <w:t>Lietuvos Respublikos Vyriausybės 201</w:t>
      </w:r>
      <w:r w:rsidR="003F6B8A">
        <w:rPr>
          <w:b/>
        </w:rPr>
        <w:t>6</w:t>
      </w:r>
      <w:r w:rsidRPr="00133084">
        <w:rPr>
          <w:b/>
        </w:rPr>
        <w:t xml:space="preserve"> m. </w:t>
      </w:r>
      <w:r w:rsidR="003F6B8A">
        <w:rPr>
          <w:b/>
        </w:rPr>
        <w:t>birželio 22</w:t>
      </w:r>
      <w:r w:rsidRPr="00133084">
        <w:rPr>
          <w:b/>
        </w:rPr>
        <w:t xml:space="preserve"> d. nutarimu Nr. </w:t>
      </w:r>
      <w:r w:rsidR="003F6B8A">
        <w:rPr>
          <w:b/>
        </w:rPr>
        <w:t>644</w:t>
      </w:r>
      <w:r w:rsidR="003F6B8A" w:rsidRPr="00133084">
        <w:rPr>
          <w:b/>
        </w:rPr>
        <w:t xml:space="preserve"> </w:t>
      </w:r>
      <w:r w:rsidRPr="00133084">
        <w:rPr>
          <w:b/>
        </w:rPr>
        <w:t xml:space="preserve">„Dėl minimaliojo darbo užmokesčio“. </w:t>
      </w:r>
      <w:r w:rsidRPr="0053413C">
        <w:t xml:space="preserve">Galioja nuo 2016 m. </w:t>
      </w:r>
      <w:r w:rsidR="003F6B8A">
        <w:t>liepos</w:t>
      </w:r>
      <w:r w:rsidR="003F6B8A" w:rsidRPr="0053413C">
        <w:t xml:space="preserve"> </w:t>
      </w:r>
      <w:r w:rsidRPr="0053413C">
        <w:t>1 d.</w:t>
      </w:r>
    </w:p>
    <w:p w14:paraId="6265F144" w14:textId="290A39E7" w:rsidR="000305BA" w:rsidRPr="000305BA" w:rsidRDefault="00E55175" w:rsidP="00914C50">
      <w:pPr>
        <w:ind w:firstLine="1296"/>
      </w:pPr>
      <w:r>
        <w:t>Norint pritraukti daugiau projektų vykdytojų, kurie</w:t>
      </w:r>
      <w:r w:rsidR="00D47E8F">
        <w:t xml:space="preserve"> įgyvendinami projektus</w:t>
      </w:r>
      <w:r>
        <w:t xml:space="preserve"> </w:t>
      </w:r>
      <w:r w:rsidR="00D47E8F">
        <w:t xml:space="preserve">prisidėtų prie dirbančiųjų mokymosi galimybių sukūrimo, sudarytų sąlygas geresniam darbo jėgos prisitaikymui prie nuolat kintančių darbo rinkos reikalavimų, leisdami </w:t>
      </w:r>
      <w:r w:rsidR="009F1F18">
        <w:t>savo darbuotojams kelti kvalifikaciją</w:t>
      </w:r>
      <w:r w:rsidR="00D47E8F">
        <w:t xml:space="preserve"> be didesnės administracinės naštos</w:t>
      </w:r>
      <w:r>
        <w:t>, nuspręsta kompensuoti bent dalį darbo užmokesčio</w:t>
      </w:r>
      <w:r w:rsidR="00C3595E">
        <w:t xml:space="preserve"> darbuotojams, kurie dalyvaus mokymuose</w:t>
      </w:r>
      <w:r>
        <w:t>. Tikėtina, kad didelė dalis smulk</w:t>
      </w:r>
      <w:r w:rsidR="009F1F18">
        <w:t>iojo</w:t>
      </w:r>
      <w:r>
        <w:t xml:space="preserve"> ir vidutinio verslo sektoriui priklausančių įmonių gali neturėti pakankamo kapitalo leisti į mokymus savo darbuotojus ir jiems už tai kompensuoti darbo užmokestį, taip pat tikėtina, kad dėl šios priežasties, dalis versl</w:t>
      </w:r>
      <w:r w:rsidR="00831377">
        <w:t>o subjektų</w:t>
      </w:r>
      <w:r>
        <w:t xml:space="preserve"> gali pasitelkti poveikio priemones ir siųsti darbuotojus į mokymus, neapmokant jiems už </w:t>
      </w:r>
      <w:r w:rsidR="00C3595E">
        <w:t>mokymuose praleistas valandas</w:t>
      </w:r>
      <w:r w:rsidR="008C0F81">
        <w:t xml:space="preserve"> arba apskritai neleisti darbuotojams mokytis</w:t>
      </w:r>
      <w:r w:rsidR="00C3595E">
        <w:t>. Manoma, kad dalinis darbo užmokesčio kompensavimas mokymuose dalyvaujantiems darbuotojams iš dalies prisidės kuriant geresnę darbo aplinką, taip pat sustiprins mažą kapitalą turinčių smulk</w:t>
      </w:r>
      <w:r w:rsidR="008C0F81">
        <w:t>iojo</w:t>
      </w:r>
      <w:r w:rsidR="00C3595E">
        <w:t xml:space="preserve"> ir vidutinio verslo subjektų konkurencingumą</w:t>
      </w:r>
      <w:r w:rsidR="00FD7E38">
        <w:t>.</w:t>
      </w:r>
      <w:r>
        <w:t xml:space="preserve"> </w:t>
      </w:r>
      <w:r w:rsidR="00914C50">
        <w:t>K</w:t>
      </w:r>
      <w:r w:rsidR="00914C50" w:rsidRPr="00133084">
        <w:t xml:space="preserve">adangi nėra aišku, kokius atlyginimus moka įmonės savo darbuotojams, </w:t>
      </w:r>
      <w:r w:rsidR="00AF765F">
        <w:t xml:space="preserve">kurie dalyvaus mokymuose, </w:t>
      </w:r>
      <w:r w:rsidR="00914C50" w:rsidRPr="00133084">
        <w:t>skaičiuojant fiksuotą</w:t>
      </w:r>
      <w:r w:rsidR="00AF765F">
        <w:t>jį</w:t>
      </w:r>
      <w:r w:rsidR="00914C50" w:rsidRPr="00133084">
        <w:t xml:space="preserve"> įkainį pridedamas minimalusis vienos valandos atlygis.</w:t>
      </w:r>
    </w:p>
    <w:p w14:paraId="7BE598F6" w14:textId="32773D4D" w:rsidR="00133084" w:rsidRDefault="00133084" w:rsidP="00133084">
      <w:pPr>
        <w:ind w:firstLine="1296"/>
      </w:pPr>
      <w:r w:rsidRPr="00133084">
        <w:t>Naudojama Lietuvos Respublikos Vyriausybės 201</w:t>
      </w:r>
      <w:r w:rsidR="003F6B8A">
        <w:t>6</w:t>
      </w:r>
      <w:r w:rsidRPr="00133084">
        <w:t xml:space="preserve"> m. </w:t>
      </w:r>
      <w:r w:rsidR="003F6B8A">
        <w:t>birželio</w:t>
      </w:r>
      <w:r w:rsidRPr="00133084">
        <w:t xml:space="preserve"> d. nutarimo Nr.</w:t>
      </w:r>
      <w:r w:rsidR="00E769B9">
        <w:t> </w:t>
      </w:r>
      <w:r w:rsidR="003F6B8A">
        <w:t>644</w:t>
      </w:r>
      <w:r w:rsidRPr="00133084">
        <w:t xml:space="preserve"> „Dėl minimaliojo darbo užmokesčio“ 1 dalis: „Patvirtinti minimalųjį valandinį atlygį – 2,</w:t>
      </w:r>
      <w:r w:rsidR="003F6B8A">
        <w:t>32</w:t>
      </w:r>
      <w:r w:rsidR="003F6B8A" w:rsidRPr="00133084">
        <w:t xml:space="preserve"> </w:t>
      </w:r>
      <w:r w:rsidRPr="00133084">
        <w:t>euro ir minimaliąją mėnesinę algą – 3</w:t>
      </w:r>
      <w:r w:rsidR="003F6B8A">
        <w:t>8</w:t>
      </w:r>
      <w:r w:rsidRPr="00133084">
        <w:t>0 eurų“.</w:t>
      </w:r>
    </w:p>
    <w:p w14:paraId="322A1EB6" w14:textId="77777777" w:rsidR="00133084" w:rsidRDefault="00133084" w:rsidP="00133084">
      <w:pPr>
        <w:ind w:firstLine="1296"/>
      </w:pPr>
      <w:r>
        <w:lastRenderedPageBreak/>
        <w:t>Vadovaujantis Rekomendacijomis</w:t>
      </w:r>
      <w:r w:rsidRPr="009B2352">
        <w:t xml:space="preserve"> dėl projektų išlaidų atitikties Europos Sąjungos struktūrinių fondų reikalavimams</w:t>
      </w:r>
      <w:r>
        <w:t xml:space="preserve">, patvirtintomis </w:t>
      </w:r>
      <w:r w:rsidRPr="009B2352">
        <w:t>Žmogiškųjų išteklių plėtros veiksmų programos, Ekonomikos augimo veiksmų programos, Sanglaudos skatinimo veiksmų programos ir 2014–2020 metų Europos Sąjungos fondų investicijų veiksmų programos valdymo komitetų 2014 m. liepos 4 d. protokolu Nr. 34</w:t>
      </w:r>
      <w:r>
        <w:t xml:space="preserve"> (201</w:t>
      </w:r>
      <w:r w:rsidR="00051A9C">
        <w:t>6</w:t>
      </w:r>
      <w:r>
        <w:t xml:space="preserve"> m. </w:t>
      </w:r>
      <w:r w:rsidR="00051A9C">
        <w:t>gegužės 9</w:t>
      </w:r>
      <w:r>
        <w:t xml:space="preserve"> d. redakcija) 141 punktu, t</w:t>
      </w:r>
      <w:r w:rsidRPr="009B2352">
        <w:t>inkamos finansuoti projektą vykdančių asmenų darbo užmokesčio išlaidos gali apimti apskaičiuotą darbo užmokestį ir išlaidas su darbo santykiais susijusiems darbdavio įsipareigojimams</w:t>
      </w:r>
      <w:r>
        <w:t>.</w:t>
      </w:r>
    </w:p>
    <w:p w14:paraId="14E90403" w14:textId="6984B689" w:rsidR="00133084" w:rsidRDefault="00133084" w:rsidP="00133084">
      <w:pPr>
        <w:ind w:firstLine="1296"/>
      </w:pPr>
      <w:r w:rsidRPr="00133084">
        <w:t>Darbdavys, įdarbinęs samdomą darbuotoją, nuo priskaičiuoto darbo užmokesčio moka 30,98 proc. valstybinio socialinio draudimo įmoką</w:t>
      </w:r>
      <w:r>
        <w:rPr>
          <w:rStyle w:val="Puslapioinaosnuoroda"/>
        </w:rPr>
        <w:footnoteReference w:id="1"/>
      </w:r>
      <w:r w:rsidRPr="00133084">
        <w:t xml:space="preserve"> ir 0,2 proc. įmoką </w:t>
      </w:r>
      <w:r>
        <w:t>į garantinį fondą</w:t>
      </w:r>
      <w:r>
        <w:rPr>
          <w:rStyle w:val="Puslapioinaosnuoroda"/>
        </w:rPr>
        <w:footnoteReference w:id="2"/>
      </w:r>
      <w:r>
        <w:t>.</w:t>
      </w:r>
    </w:p>
    <w:p w14:paraId="4A4B9D0A" w14:textId="77777777" w:rsidR="00914C50" w:rsidRDefault="00914C50" w:rsidP="00914C50">
      <w:pPr>
        <w:pStyle w:val="Antrat1"/>
      </w:pPr>
      <w:r>
        <w:t>FIKSUOTŲJŲ DYDŽIŲ NUSTATYMAS</w:t>
      </w:r>
    </w:p>
    <w:p w14:paraId="51D45A14" w14:textId="77777777" w:rsidR="00914C50" w:rsidRDefault="00E20624" w:rsidP="0093016B">
      <w:pPr>
        <w:ind w:firstLine="1296"/>
      </w:pPr>
      <w:r>
        <w:t>Remiantis tesės aktais, kurie taikomi formaliajam profesiniam mokymui</w:t>
      </w:r>
      <w:r w:rsidR="003C1A54">
        <w:t>,</w:t>
      </w:r>
      <w:r>
        <w:t xml:space="preserve"> ir atlikta teisės aktais apibrėžtos mokymo išlaidų sumos skaičiavimo metodikos analize, nustatyta, kad </w:t>
      </w:r>
      <w:r w:rsidR="00DF2269">
        <w:t>f</w:t>
      </w:r>
      <w:r>
        <w:t>iksuotasis įkainis turi susidėti iš dviejų parametrų (1):</w:t>
      </w:r>
    </w:p>
    <w:p w14:paraId="5A909C1D" w14:textId="77777777" w:rsidR="00E20624" w:rsidRPr="00DE5F47" w:rsidRDefault="00E20624" w:rsidP="00E20624">
      <w:pPr>
        <w:jc w:val="right"/>
      </w:pPr>
      <w:r w:rsidRPr="00D61027">
        <w:rPr>
          <w:i/>
        </w:rPr>
        <w:t xml:space="preserve">FĮ </w:t>
      </w:r>
      <w:r w:rsidRPr="00DE5F47">
        <w:rPr>
          <w:i/>
        </w:rPr>
        <w:t>= P</w:t>
      </w:r>
      <w:r w:rsidRPr="00DE5F47">
        <w:rPr>
          <w:i/>
          <w:vertAlign w:val="subscript"/>
        </w:rPr>
        <w:t>1</w:t>
      </w:r>
      <w:r w:rsidRPr="00DE5F47">
        <w:rPr>
          <w:i/>
        </w:rPr>
        <w:t xml:space="preserve"> + P</w:t>
      </w:r>
      <w:r w:rsidRPr="00DE5F47">
        <w:rPr>
          <w:i/>
          <w:vertAlign w:val="subscript"/>
        </w:rPr>
        <w:t>2</w:t>
      </w:r>
      <w:r w:rsidR="00C85965">
        <w:rPr>
          <w:i/>
        </w:rPr>
        <w:t>,</w:t>
      </w:r>
      <w:r w:rsidRPr="00DE5F47">
        <w:tab/>
      </w:r>
      <w:r w:rsidRPr="00DE5F47">
        <w:tab/>
      </w:r>
      <w:r w:rsidRPr="00DE5F47">
        <w:tab/>
        <w:t>(1)</w:t>
      </w:r>
    </w:p>
    <w:p w14:paraId="78C1DF1F" w14:textId="77777777" w:rsidR="00E20624" w:rsidRDefault="00D23DBD" w:rsidP="00E20624">
      <w:r>
        <w:tab/>
      </w:r>
      <w:r w:rsidR="00E20624" w:rsidRPr="00E20624">
        <w:t xml:space="preserve">kur </w:t>
      </w:r>
    </w:p>
    <w:p w14:paraId="40999941" w14:textId="69290EBD" w:rsidR="00E20624" w:rsidRDefault="00E20624" w:rsidP="001228AA">
      <w:pPr>
        <w:ind w:firstLine="1296"/>
      </w:pPr>
      <w:r w:rsidRPr="00D61027">
        <w:rPr>
          <w:i/>
        </w:rPr>
        <w:t>P</w:t>
      </w:r>
      <w:r w:rsidRPr="00D61027">
        <w:rPr>
          <w:i/>
          <w:vertAlign w:val="subscript"/>
        </w:rPr>
        <w:t>1</w:t>
      </w:r>
      <w:r w:rsidRPr="00E20624">
        <w:t xml:space="preserve"> –</w:t>
      </w:r>
      <w:r>
        <w:t xml:space="preserve"> minimal</w:t>
      </w:r>
      <w:r w:rsidR="00E769B9">
        <w:t>iojo</w:t>
      </w:r>
      <w:r>
        <w:t xml:space="preserve"> </w:t>
      </w:r>
      <w:r w:rsidR="003F3827">
        <w:t>vienos</w:t>
      </w:r>
      <w:r>
        <w:t xml:space="preserve"> val</w:t>
      </w:r>
      <w:r w:rsidR="003F3827">
        <w:t>andos</w:t>
      </w:r>
      <w:r w:rsidRPr="00E20624">
        <w:t xml:space="preserve"> </w:t>
      </w:r>
      <w:r w:rsidR="00D506E7">
        <w:t>atlygi</w:t>
      </w:r>
      <w:r w:rsidR="00DF2269">
        <w:t>o</w:t>
      </w:r>
      <w:r>
        <w:t xml:space="preserve"> </w:t>
      </w:r>
      <w:r w:rsidR="003F3827">
        <w:t>vienam</w:t>
      </w:r>
      <w:r>
        <w:t xml:space="preserve"> darbuotojui</w:t>
      </w:r>
      <w:r w:rsidR="00C3595E">
        <w:t>, kuris dalyvauja mokymuose</w:t>
      </w:r>
      <w:r w:rsidR="00DF2269">
        <w:t>,</w:t>
      </w:r>
      <w:r w:rsidR="00F90374">
        <w:t xml:space="preserve"> </w:t>
      </w:r>
      <w:r w:rsidR="00267341">
        <w:t>(</w:t>
      </w:r>
      <w:r w:rsidR="00F90374">
        <w:t>prieš mokesčius</w:t>
      </w:r>
      <w:r>
        <w:t>, įskaitant darbdavio įsipareigojimus</w:t>
      </w:r>
      <w:r w:rsidR="00267341">
        <w:t>)</w:t>
      </w:r>
      <w:r>
        <w:t xml:space="preserve"> fiksuotasis </w:t>
      </w:r>
      <w:r w:rsidR="0057446C">
        <w:t xml:space="preserve">įkainis </w:t>
      </w:r>
      <w:r w:rsidR="00D506E7">
        <w:t>(toliau – Atlygio fiksuotasis dydis)</w:t>
      </w:r>
      <w:r>
        <w:t>,</w:t>
      </w:r>
    </w:p>
    <w:p w14:paraId="5F992927" w14:textId="77777777" w:rsidR="00A242B3" w:rsidRDefault="00E20624" w:rsidP="00D506E7">
      <w:pPr>
        <w:ind w:firstLine="1296"/>
      </w:pPr>
      <w:r w:rsidRPr="00D61027">
        <w:rPr>
          <w:i/>
        </w:rPr>
        <w:t>P</w:t>
      </w:r>
      <w:r w:rsidRPr="00D61027">
        <w:rPr>
          <w:i/>
          <w:vertAlign w:val="subscript"/>
        </w:rPr>
        <w:t>2</w:t>
      </w:r>
      <w:r>
        <w:t xml:space="preserve"> – </w:t>
      </w:r>
      <w:r w:rsidR="003F3827">
        <w:t>vienos</w:t>
      </w:r>
      <w:r>
        <w:t xml:space="preserve"> val</w:t>
      </w:r>
      <w:r w:rsidR="003F3827">
        <w:t>andos</w:t>
      </w:r>
      <w:r>
        <w:t xml:space="preserve"> </w:t>
      </w:r>
      <w:r w:rsidR="009A3826">
        <w:t xml:space="preserve">išlaidų </w:t>
      </w:r>
      <w:r>
        <w:t>mokym</w:t>
      </w:r>
      <w:r w:rsidR="009A3826">
        <w:t>ų teikėjams</w:t>
      </w:r>
      <w:r>
        <w:t xml:space="preserve"> dydžio </w:t>
      </w:r>
      <w:r w:rsidR="003F3827">
        <w:t>vienam</w:t>
      </w:r>
      <w:r>
        <w:t xml:space="preserve"> darbuotojui, fiksuotasis dydis</w:t>
      </w:r>
      <w:r w:rsidR="00C3595E">
        <w:t xml:space="preserve"> (toliau – Išlaidų mokymų t</w:t>
      </w:r>
      <w:r w:rsidR="00F9171F">
        <w:t>ei</w:t>
      </w:r>
      <w:r w:rsidR="00C3595E">
        <w:t>kėjams fiksuotasis dydis)</w:t>
      </w:r>
      <w:r w:rsidR="00D506E7">
        <w:t>.</w:t>
      </w:r>
    </w:p>
    <w:p w14:paraId="11CCB582" w14:textId="77777777" w:rsidR="008949F1" w:rsidRDefault="008949F1" w:rsidP="008949F1">
      <w:pPr>
        <w:ind w:firstLine="1296"/>
        <w:rPr>
          <w:b/>
        </w:rPr>
      </w:pPr>
    </w:p>
    <w:p w14:paraId="755BE4C3" w14:textId="77777777" w:rsidR="00F90374" w:rsidRPr="008949F1" w:rsidRDefault="00D506E7" w:rsidP="00C71BC7">
      <w:pPr>
        <w:keepNext/>
        <w:ind w:firstLine="1298"/>
        <w:rPr>
          <w:b/>
        </w:rPr>
      </w:pPr>
      <w:r>
        <w:rPr>
          <w:b/>
        </w:rPr>
        <w:t>Atlygio</w:t>
      </w:r>
      <w:r w:rsidR="00F90374" w:rsidRPr="008949F1">
        <w:rPr>
          <w:b/>
        </w:rPr>
        <w:t xml:space="preserve"> fiksuotasis dydis</w:t>
      </w:r>
    </w:p>
    <w:p w14:paraId="6163F0F1" w14:textId="77777777" w:rsidR="00E20624" w:rsidRDefault="00E20624" w:rsidP="00D35510">
      <w:pPr>
        <w:ind w:firstLine="1296"/>
      </w:pPr>
      <w:r>
        <w:t xml:space="preserve">Atliekant teisės aktų analizę, nustatyta, kad </w:t>
      </w:r>
      <w:r w:rsidR="00D506E7">
        <w:t>Atlygio fiksuotąjį dydį</w:t>
      </w:r>
      <w:r>
        <w:t xml:space="preserve"> (P</w:t>
      </w:r>
      <w:r w:rsidRPr="0093016B">
        <w:rPr>
          <w:vertAlign w:val="subscript"/>
        </w:rPr>
        <w:t>1</w:t>
      </w:r>
      <w:r>
        <w:t xml:space="preserve">) sudaro </w:t>
      </w:r>
      <w:r w:rsidR="00D35510">
        <w:t>Lietuvos Respublikos Vyriausybės nustatytas minimalus</w:t>
      </w:r>
      <w:r w:rsidR="00E769B9">
        <w:t>is</w:t>
      </w:r>
      <w:r w:rsidR="00D35510">
        <w:t xml:space="preserve"> vala</w:t>
      </w:r>
      <w:r w:rsidR="0093016B">
        <w:t xml:space="preserve">ndinis </w:t>
      </w:r>
      <w:r w:rsidR="00D506E7">
        <w:t>atlygio</w:t>
      </w:r>
      <w:r w:rsidR="0093016B">
        <w:t xml:space="preserve"> dydis</w:t>
      </w:r>
      <w:r w:rsidR="00F90374">
        <w:t xml:space="preserve"> prieš mokesčius</w:t>
      </w:r>
      <w:r w:rsidR="0093016B">
        <w:t>,</w:t>
      </w:r>
      <w:r w:rsidR="00D35510">
        <w:t xml:space="preserve"> darbdavio mokama valstybinio socialinio d</w:t>
      </w:r>
      <w:r w:rsidR="0093016B">
        <w:t>raudimo įmoka</w:t>
      </w:r>
      <w:r w:rsidR="00D35510">
        <w:t xml:space="preserve"> ir įmoka į garantinį fondą (2):</w:t>
      </w:r>
    </w:p>
    <w:p w14:paraId="521F412A" w14:textId="77777777" w:rsidR="00D35510" w:rsidRPr="00DE5F47" w:rsidRDefault="00D35510" w:rsidP="001228AA">
      <w:pPr>
        <w:jc w:val="right"/>
      </w:pPr>
      <w:r w:rsidRPr="00D61027">
        <w:rPr>
          <w:i/>
        </w:rPr>
        <w:t>P</w:t>
      </w:r>
      <w:r w:rsidRPr="00D61027">
        <w:rPr>
          <w:i/>
          <w:vertAlign w:val="subscript"/>
        </w:rPr>
        <w:t>1</w:t>
      </w:r>
      <w:r w:rsidRPr="00D61027">
        <w:rPr>
          <w:i/>
        </w:rPr>
        <w:t xml:space="preserve"> </w:t>
      </w:r>
      <w:r w:rsidRPr="00DE5F47">
        <w:rPr>
          <w:i/>
        </w:rPr>
        <w:t xml:space="preserve">= </w:t>
      </w:r>
      <w:proofErr w:type="spellStart"/>
      <w:r w:rsidRPr="00DE5F47">
        <w:rPr>
          <w:i/>
        </w:rPr>
        <w:t>MVDU</w:t>
      </w:r>
      <w:r w:rsidR="0093016B" w:rsidRPr="00DE5F47">
        <w:rPr>
          <w:i/>
          <w:vertAlign w:val="subscript"/>
        </w:rPr>
        <w:t>bruto</w:t>
      </w:r>
      <w:proofErr w:type="spellEnd"/>
      <w:r w:rsidRPr="00DE5F47">
        <w:rPr>
          <w:i/>
        </w:rPr>
        <w:t xml:space="preserve"> + </w:t>
      </w:r>
      <w:r w:rsidR="00C85965">
        <w:rPr>
          <w:i/>
        </w:rPr>
        <w:t>SD + GF,</w:t>
      </w:r>
      <w:r w:rsidR="001228AA" w:rsidRPr="00DE5F47">
        <w:tab/>
      </w:r>
      <w:r w:rsidR="001228AA" w:rsidRPr="00DE5F47">
        <w:tab/>
        <w:t>(2)</w:t>
      </w:r>
    </w:p>
    <w:p w14:paraId="1413CC84" w14:textId="77777777" w:rsidR="001228AA" w:rsidRPr="00DE5F47" w:rsidRDefault="00D23DBD" w:rsidP="001228AA">
      <w:r>
        <w:tab/>
      </w:r>
      <w:r w:rsidR="001228AA" w:rsidRPr="00DE5F47">
        <w:t>kur</w:t>
      </w:r>
    </w:p>
    <w:p w14:paraId="569998C7" w14:textId="77777777" w:rsidR="001228AA" w:rsidRDefault="001228AA" w:rsidP="001228AA">
      <w:pPr>
        <w:ind w:firstLine="1296"/>
      </w:pPr>
      <w:proofErr w:type="spellStart"/>
      <w:r w:rsidRPr="00DE5F47">
        <w:rPr>
          <w:i/>
        </w:rPr>
        <w:t>MVDU</w:t>
      </w:r>
      <w:r w:rsidR="0093016B" w:rsidRPr="00DE5F47">
        <w:rPr>
          <w:i/>
          <w:vertAlign w:val="subscript"/>
        </w:rPr>
        <w:t>bruto</w:t>
      </w:r>
      <w:proofErr w:type="spellEnd"/>
      <w:r w:rsidRPr="00DE5F47">
        <w:t xml:space="preserve"> –</w:t>
      </w:r>
      <w:r>
        <w:t xml:space="preserve"> </w:t>
      </w:r>
      <w:r w:rsidR="003F3827">
        <w:t>vieno</w:t>
      </w:r>
      <w:r>
        <w:t xml:space="preserve"> darbuotojo minimalus</w:t>
      </w:r>
      <w:r w:rsidR="00E769B9">
        <w:t>is</w:t>
      </w:r>
      <w:r>
        <w:t xml:space="preserve"> valandinis </w:t>
      </w:r>
      <w:r w:rsidR="009A3826">
        <w:t>atlygis</w:t>
      </w:r>
      <w:r>
        <w:t>,</w:t>
      </w:r>
    </w:p>
    <w:p w14:paraId="5D86E64E" w14:textId="77777777" w:rsidR="001228AA" w:rsidRDefault="001228AA" w:rsidP="001228AA">
      <w:pPr>
        <w:ind w:firstLine="1296"/>
      </w:pPr>
      <w:r w:rsidRPr="00D61027">
        <w:rPr>
          <w:i/>
        </w:rPr>
        <w:t>SD</w:t>
      </w:r>
      <w:r>
        <w:t xml:space="preserve"> – darbdavio apskaičiuojamos ir mokamos valstybinio socialinio draudimo įmokos dydis (30,98 proc. nuo </w:t>
      </w:r>
      <w:proofErr w:type="spellStart"/>
      <w:r>
        <w:t>DU</w:t>
      </w:r>
      <w:r w:rsidRPr="00557643">
        <w:rPr>
          <w:vertAlign w:val="subscript"/>
        </w:rPr>
        <w:t>b</w:t>
      </w:r>
      <w:r>
        <w:rPr>
          <w:vertAlign w:val="subscript"/>
        </w:rPr>
        <w:t>ruto</w:t>
      </w:r>
      <w:proofErr w:type="spellEnd"/>
      <w:r>
        <w:t>);</w:t>
      </w:r>
    </w:p>
    <w:p w14:paraId="1B3E1A47" w14:textId="77777777" w:rsidR="001228AA" w:rsidRDefault="001228AA" w:rsidP="001228AA">
      <w:pPr>
        <w:ind w:firstLine="1296"/>
      </w:pPr>
      <w:r w:rsidRPr="00D61027">
        <w:rPr>
          <w:i/>
        </w:rPr>
        <w:lastRenderedPageBreak/>
        <w:t>GF</w:t>
      </w:r>
      <w:r>
        <w:t xml:space="preserve"> – darbdavio apskaičiuojamos ir mokamos įmokos į garantinį fondą dydis (0,2 proc. nuo </w:t>
      </w:r>
      <w:proofErr w:type="spellStart"/>
      <w:r>
        <w:t>DU</w:t>
      </w:r>
      <w:r w:rsidRPr="00557643">
        <w:rPr>
          <w:vertAlign w:val="subscript"/>
        </w:rPr>
        <w:t>b</w:t>
      </w:r>
      <w:r>
        <w:rPr>
          <w:vertAlign w:val="subscript"/>
        </w:rPr>
        <w:t>ruto</w:t>
      </w:r>
      <w:proofErr w:type="spellEnd"/>
      <w:r>
        <w:t>).</w:t>
      </w:r>
    </w:p>
    <w:p w14:paraId="3882C466" w14:textId="3597934B" w:rsidR="0097108D" w:rsidRPr="00DE5F47" w:rsidRDefault="0097108D" w:rsidP="001228AA">
      <w:pPr>
        <w:ind w:firstLine="1296"/>
      </w:pPr>
      <w:r>
        <w:t xml:space="preserve">Apskaičiuota, kad </w:t>
      </w:r>
      <w:r w:rsidR="00D23DBD">
        <w:rPr>
          <w:b/>
        </w:rPr>
        <w:t>A</w:t>
      </w:r>
      <w:r w:rsidR="00AE2EA2" w:rsidRPr="0053413C">
        <w:rPr>
          <w:b/>
        </w:rPr>
        <w:t>tlygio fiksuotasis dydis</w:t>
      </w:r>
      <w:r w:rsidR="00AE2EA2">
        <w:t xml:space="preserve"> </w:t>
      </w:r>
      <w:r w:rsidRPr="0097108D">
        <w:rPr>
          <w:b/>
        </w:rPr>
        <w:t>P</w:t>
      </w:r>
      <w:r w:rsidRPr="0097108D">
        <w:rPr>
          <w:b/>
          <w:vertAlign w:val="subscript"/>
        </w:rPr>
        <w:t>1</w:t>
      </w:r>
      <w:r w:rsidRPr="0097108D">
        <w:rPr>
          <w:b/>
        </w:rPr>
        <w:t xml:space="preserve"> </w:t>
      </w:r>
      <w:r w:rsidRPr="00DE5F47">
        <w:rPr>
          <w:b/>
        </w:rPr>
        <w:t xml:space="preserve">= </w:t>
      </w:r>
      <w:r w:rsidR="00DF2269" w:rsidRPr="00DF2269">
        <w:t>2,</w:t>
      </w:r>
      <w:r w:rsidR="00193703">
        <w:t>32</w:t>
      </w:r>
      <w:r w:rsidR="00193703" w:rsidRPr="00DF2269">
        <w:t xml:space="preserve"> </w:t>
      </w:r>
      <w:r w:rsidR="00DF2269" w:rsidRPr="00DF2269">
        <w:t>+ 2,</w:t>
      </w:r>
      <w:r w:rsidR="00193703">
        <w:t>32</w:t>
      </w:r>
      <w:r w:rsidR="00051A9C">
        <w:rPr>
          <w:rFonts w:cs="Times New Roman"/>
        </w:rPr>
        <w:t>×</w:t>
      </w:r>
      <w:r w:rsidR="00DF2269" w:rsidRPr="00DF2269">
        <w:t>0,3098+2,</w:t>
      </w:r>
      <w:r w:rsidR="00193703">
        <w:t>32</w:t>
      </w:r>
      <w:r w:rsidR="00051A9C">
        <w:rPr>
          <w:rFonts w:cs="Times New Roman"/>
        </w:rPr>
        <w:t>×</w:t>
      </w:r>
      <w:r w:rsidR="00DF2269" w:rsidRPr="00DF2269">
        <w:t>0,002</w:t>
      </w:r>
      <w:r w:rsidR="00DF2269">
        <w:t xml:space="preserve"> </w:t>
      </w:r>
      <w:r w:rsidR="00DF2269" w:rsidRPr="00C85965">
        <w:t xml:space="preserve">= </w:t>
      </w:r>
      <w:r w:rsidR="00193703">
        <w:t>3,0434</w:t>
      </w:r>
      <w:r w:rsidR="00DF2269" w:rsidRPr="00C85965">
        <w:t xml:space="preserve"> </w:t>
      </w:r>
      <w:r w:rsidR="00DF2269" w:rsidRPr="00C85965">
        <w:rPr>
          <w:rFonts w:cs="Times New Roman"/>
        </w:rPr>
        <w:t>≈</w:t>
      </w:r>
      <w:r w:rsidR="00DF2269">
        <w:rPr>
          <w:b/>
        </w:rPr>
        <w:t xml:space="preserve"> </w:t>
      </w:r>
      <w:r w:rsidR="00193703">
        <w:rPr>
          <w:b/>
        </w:rPr>
        <w:t xml:space="preserve">3,04 </w:t>
      </w:r>
      <w:proofErr w:type="spellStart"/>
      <w:r w:rsidRPr="00DE5F47">
        <w:rPr>
          <w:b/>
        </w:rPr>
        <w:t>Eur</w:t>
      </w:r>
      <w:proofErr w:type="spellEnd"/>
      <w:r w:rsidR="00AE2EA2">
        <w:rPr>
          <w:b/>
        </w:rPr>
        <w:t>.</w:t>
      </w:r>
    </w:p>
    <w:p w14:paraId="0BB55626" w14:textId="77777777" w:rsidR="00A14A8D" w:rsidRDefault="00A14A8D" w:rsidP="000D5CB8">
      <w:pPr>
        <w:ind w:firstLine="1296"/>
        <w:rPr>
          <w:b/>
        </w:rPr>
      </w:pPr>
    </w:p>
    <w:p w14:paraId="46B6A228" w14:textId="77777777" w:rsidR="001228AA" w:rsidRDefault="00D506E7" w:rsidP="000D5CB8">
      <w:pPr>
        <w:ind w:firstLine="1296"/>
        <w:rPr>
          <w:b/>
        </w:rPr>
      </w:pPr>
      <w:r>
        <w:rPr>
          <w:b/>
        </w:rPr>
        <w:t>Išlaidų mokymų t</w:t>
      </w:r>
      <w:r w:rsidR="009B105E">
        <w:rPr>
          <w:b/>
        </w:rPr>
        <w:t>ei</w:t>
      </w:r>
      <w:r>
        <w:rPr>
          <w:b/>
        </w:rPr>
        <w:t>kėjams</w:t>
      </w:r>
      <w:r w:rsidR="000D5CB8" w:rsidRPr="000D5CB8">
        <w:rPr>
          <w:b/>
        </w:rPr>
        <w:t xml:space="preserve"> fiksuotasis dydis</w:t>
      </w:r>
    </w:p>
    <w:p w14:paraId="6777B4C4" w14:textId="77777777" w:rsidR="00D506E7" w:rsidRDefault="00143979" w:rsidP="000D5CB8">
      <w:pPr>
        <w:ind w:firstLine="1296"/>
      </w:pPr>
      <w:r>
        <w:t xml:space="preserve">Pagal </w:t>
      </w:r>
      <w:r w:rsidR="000036E0">
        <w:t>pagrindimo</w:t>
      </w:r>
      <w:r w:rsidR="00A56470">
        <w:t xml:space="preserve"> </w:t>
      </w:r>
      <w:r>
        <w:t xml:space="preserve">II skyriuje išnagrinėtus teisės aktus daroma išvada, kad </w:t>
      </w:r>
      <w:r w:rsidR="00D506E7">
        <w:t>Išlaidų mokymų t</w:t>
      </w:r>
      <w:r w:rsidR="009B105E">
        <w:t>ei</w:t>
      </w:r>
      <w:r w:rsidR="00D506E7">
        <w:t xml:space="preserve">kėjams fiksuotasis dydis </w:t>
      </w:r>
      <w:r w:rsidR="00D506E7" w:rsidRPr="00DE5F47">
        <w:rPr>
          <w:i/>
        </w:rPr>
        <w:t>P</w:t>
      </w:r>
      <w:r w:rsidR="00D506E7" w:rsidRPr="00DE5F47">
        <w:rPr>
          <w:i/>
          <w:vertAlign w:val="subscript"/>
        </w:rPr>
        <w:t>2</w:t>
      </w:r>
      <w:r>
        <w:t xml:space="preserve"> galėtų būti skaičiuojamas dviem atvejams – kai mokymų programa yra imli medžiagoms ir kai neimli medžiagoms. Siekiant išvengti papildomos administracinės naštos, būtina įvertinti, ar toks fiksuotojo dydžio skaidymas yra reikšmingas galutiniams rezultatams, todėl apskaičiuotų fiksuotųjų dydžių, kai mokymo programa imli ir neimli medžiagoms</w:t>
      </w:r>
      <w:r w:rsidR="00924227">
        <w:t>,</w:t>
      </w:r>
      <w:r>
        <w:t xml:space="preserve"> skirtumas įtraukiamas į modeliuojamą situaciją ir apskaičiuojamas jos reikšmingumas </w:t>
      </w:r>
      <w:r w:rsidR="000036E0">
        <w:t xml:space="preserve">pagrindimo </w:t>
      </w:r>
      <w:r>
        <w:t>rezultatams.</w:t>
      </w:r>
    </w:p>
    <w:p w14:paraId="765EB40B" w14:textId="77777777" w:rsidR="000D5CB8" w:rsidRDefault="00A56470" w:rsidP="000D5CB8">
      <w:pPr>
        <w:ind w:firstLine="1296"/>
      </w:pPr>
      <w:r>
        <w:t>Išlaidų mokymų t</w:t>
      </w:r>
      <w:r w:rsidR="009B105E">
        <w:t>ei</w:t>
      </w:r>
      <w:r>
        <w:t xml:space="preserve">kėjams </w:t>
      </w:r>
      <w:r w:rsidR="00335F8D">
        <w:t>fiksuot</w:t>
      </w:r>
      <w:r w:rsidR="0035615D">
        <w:t xml:space="preserve">asis </w:t>
      </w:r>
      <w:r w:rsidR="00335F8D">
        <w:t>dyd</w:t>
      </w:r>
      <w:r w:rsidR="0035615D">
        <w:t>is</w:t>
      </w:r>
      <w:r w:rsidR="00335F8D">
        <w:t xml:space="preserve"> </w:t>
      </w:r>
      <w:r w:rsidR="00335F8D" w:rsidRPr="00DE5F47">
        <w:rPr>
          <w:i/>
        </w:rPr>
        <w:t>P</w:t>
      </w:r>
      <w:r w:rsidR="00335F8D" w:rsidRPr="00DE5F47">
        <w:rPr>
          <w:i/>
          <w:vertAlign w:val="subscript"/>
        </w:rPr>
        <w:t>2</w:t>
      </w:r>
      <w:r w:rsidR="0035615D" w:rsidRPr="00DE5F47">
        <w:rPr>
          <w:i/>
          <w:vertAlign w:val="subscript"/>
        </w:rPr>
        <w:t>i</w:t>
      </w:r>
      <w:r w:rsidR="0035615D">
        <w:rPr>
          <w:vertAlign w:val="subscript"/>
        </w:rPr>
        <w:t xml:space="preserve"> </w:t>
      </w:r>
      <w:r w:rsidR="0035615D">
        <w:t xml:space="preserve">, kai mokymų programa imli medžiagoms apskaičiuojama pagal formulę </w:t>
      </w:r>
      <w:r w:rsidR="00335F8D">
        <w:t>(3</w:t>
      </w:r>
      <w:r w:rsidR="00B16333">
        <w:t>.1</w:t>
      </w:r>
      <w:r w:rsidR="00335F8D">
        <w:t>).</w:t>
      </w:r>
    </w:p>
    <w:p w14:paraId="2A2DF8F7" w14:textId="77777777" w:rsidR="00335F8D" w:rsidRDefault="00537A1E" w:rsidP="004F3017">
      <w:pPr>
        <w:ind w:firstLine="1296"/>
        <w:jc w:val="right"/>
        <w:rPr>
          <w:rFonts w:eastAsiaTheme="minorEastAsia"/>
        </w:rPr>
      </w:pPr>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MVK(25)</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MIK</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MPK</m:t>
            </m:r>
          </m:sub>
        </m:sSub>
      </m:oMath>
      <w:r w:rsidR="00C85965">
        <w:rPr>
          <w:rFonts w:eastAsiaTheme="minorEastAsia"/>
        </w:rPr>
        <w:t>,</w:t>
      </w:r>
      <w:r w:rsidR="004F3017" w:rsidRPr="004F3017">
        <w:rPr>
          <w:rFonts w:eastAsiaTheme="minorEastAsia"/>
        </w:rPr>
        <w:tab/>
        <w:t>(3</w:t>
      </w:r>
      <w:r w:rsidR="00B16333">
        <w:rPr>
          <w:rFonts w:eastAsiaTheme="minorEastAsia"/>
        </w:rPr>
        <w:t>.1</w:t>
      </w:r>
      <w:r w:rsidR="004F3017" w:rsidRPr="004F3017">
        <w:rPr>
          <w:rFonts w:eastAsiaTheme="minorEastAsia"/>
        </w:rPr>
        <w:t>)</w:t>
      </w:r>
    </w:p>
    <w:p w14:paraId="40B4F605" w14:textId="77777777" w:rsidR="004F3017" w:rsidRDefault="004F3017" w:rsidP="004F3017">
      <w:pPr>
        <w:ind w:firstLine="1296"/>
        <w:rPr>
          <w:rFonts w:eastAsiaTheme="minorEastAsia"/>
        </w:rPr>
      </w:pPr>
      <w:r>
        <w:rPr>
          <w:rFonts w:eastAsiaTheme="minorEastAsia"/>
        </w:rPr>
        <w:t>kur</w:t>
      </w:r>
    </w:p>
    <w:p w14:paraId="794EF2EF" w14:textId="77777777" w:rsidR="004F3017" w:rsidRDefault="00537A1E" w:rsidP="004F3017">
      <w:pPr>
        <w:ind w:firstLine="1296"/>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MVK(25)</m:t>
            </m:r>
          </m:sub>
        </m:sSub>
      </m:oMath>
      <w:r w:rsidR="004F3017">
        <w:rPr>
          <w:rFonts w:eastAsiaTheme="minorEastAsia"/>
        </w:rPr>
        <w:t xml:space="preserve"> – </w:t>
      </w:r>
      <w:r w:rsidR="00DC3F70">
        <w:rPr>
          <w:rFonts w:eastAsiaTheme="minorEastAsia"/>
        </w:rPr>
        <w:t xml:space="preserve">mokinio </w:t>
      </w:r>
      <w:r w:rsidR="004F3017">
        <w:rPr>
          <w:rFonts w:eastAsiaTheme="minorEastAsia"/>
        </w:rPr>
        <w:t xml:space="preserve">mokymo valandos kaina, kai akademinėje grupėje 25 </w:t>
      </w:r>
      <w:r w:rsidR="003B0A5F">
        <w:rPr>
          <w:rFonts w:eastAsiaTheme="minorEastAsia"/>
        </w:rPr>
        <w:t>mokiniai</w:t>
      </w:r>
      <w:r w:rsidR="004F3017">
        <w:rPr>
          <w:rFonts w:eastAsiaTheme="minorEastAsia"/>
        </w:rPr>
        <w:t>,</w:t>
      </w:r>
    </w:p>
    <w:p w14:paraId="64CAA1D9" w14:textId="77777777" w:rsidR="000E7E8F" w:rsidRDefault="00537A1E" w:rsidP="004F3017">
      <w:pPr>
        <w:ind w:firstLine="1296"/>
        <w:rPr>
          <w:rFonts w:eastAsiaTheme="minorEastAsia"/>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oMath>
      <w:r w:rsidR="000E7E8F">
        <w:rPr>
          <w:rFonts w:eastAsiaTheme="minorEastAsia"/>
        </w:rPr>
        <w:t xml:space="preserve"> – bazinė praktinio mokymo medži</w:t>
      </w:r>
      <w:proofErr w:type="spellStart"/>
      <w:r w:rsidR="000E7E8F">
        <w:rPr>
          <w:rFonts w:eastAsiaTheme="minorEastAsia"/>
        </w:rPr>
        <w:t>agų</w:t>
      </w:r>
      <w:proofErr w:type="spellEnd"/>
      <w:r w:rsidR="000E7E8F">
        <w:rPr>
          <w:rFonts w:eastAsiaTheme="minorEastAsia"/>
        </w:rPr>
        <w:t xml:space="preserve"> kaina,</w:t>
      </w:r>
    </w:p>
    <w:p w14:paraId="4CAFF8BE" w14:textId="77777777" w:rsidR="004F3017" w:rsidRDefault="00537A1E" w:rsidP="004F3017">
      <w:pPr>
        <w:ind w:firstLine="1296"/>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MIK</m:t>
            </m:r>
          </m:sub>
        </m:sSub>
      </m:oMath>
      <w:r w:rsidR="004F3017">
        <w:rPr>
          <w:rFonts w:eastAsiaTheme="minorEastAsia"/>
        </w:rPr>
        <w:t xml:space="preserve"> – vidutinis mokymo</w:t>
      </w:r>
      <w:r w:rsidR="00B16333">
        <w:rPr>
          <w:rFonts w:eastAsiaTheme="minorEastAsia"/>
        </w:rPr>
        <w:t xml:space="preserve"> medžiagų lėšų</w:t>
      </w:r>
      <w:r w:rsidR="004F3017">
        <w:rPr>
          <w:rFonts w:eastAsiaTheme="minorEastAsia"/>
        </w:rPr>
        <w:t xml:space="preserve"> imlumo koeficientas,</w:t>
      </w:r>
    </w:p>
    <w:p w14:paraId="15E674FB" w14:textId="77777777" w:rsidR="004F3017" w:rsidRPr="00DE5F47" w:rsidRDefault="00537A1E" w:rsidP="004F3017">
      <w:pPr>
        <w:ind w:firstLine="1296"/>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MPK</m:t>
            </m:r>
          </m:sub>
        </m:sSub>
      </m:oMath>
      <w:r w:rsidR="004F3017">
        <w:rPr>
          <w:rFonts w:eastAsiaTheme="minorEastAsia"/>
        </w:rPr>
        <w:t xml:space="preserve"> – vidutinis</w:t>
      </w:r>
      <w:r w:rsidR="00DC3F70" w:rsidRPr="00DC3F70">
        <w:t xml:space="preserve"> </w:t>
      </w:r>
      <w:r w:rsidR="00DC3F70">
        <w:t>mokinių skaičiaus grupėje įvertinimo koeficientas.</w:t>
      </w:r>
    </w:p>
    <w:p w14:paraId="4522807F" w14:textId="77777777" w:rsidR="005265E3" w:rsidRDefault="005265E3" w:rsidP="003B0A5F">
      <w:pPr>
        <w:ind w:firstLine="1296"/>
        <w:rPr>
          <w:highlight w:val="yellow"/>
        </w:rPr>
      </w:pPr>
    </w:p>
    <w:p w14:paraId="57A874A2" w14:textId="0B6E907D" w:rsidR="005265E3" w:rsidRPr="00B30749" w:rsidRDefault="005265E3" w:rsidP="005265E3">
      <w:pPr>
        <w:ind w:firstLine="1296"/>
      </w:pPr>
      <w:r w:rsidRPr="00F87828">
        <w:t>Taikant Įsakymo Nr. V-</w:t>
      </w:r>
      <w:r w:rsidR="00125E7D">
        <w:t>995</w:t>
      </w:r>
      <w:r w:rsidR="00125E7D" w:rsidRPr="00F87828">
        <w:t xml:space="preserve"> </w:t>
      </w:r>
      <w:r w:rsidRPr="00F87828">
        <w:t xml:space="preserve">1 priedą ir siekiant apsibrėžti </w:t>
      </w:r>
      <w:proofErr w:type="spellStart"/>
      <w:r w:rsidRPr="00F87828">
        <w:t>konstantinę</w:t>
      </w:r>
      <w:proofErr w:type="spellEnd"/>
      <w:r w:rsidRPr="00F87828">
        <w:t xml:space="preserve"> reikšmę, pagal kurią būtų galima apskaičiuoti tikslius fiksuotuosius įkainius, akademinės grupės dydis pasirinktas 25 mokiniai, kadangi pagal Metodikos priedą „Mokinių skaičiaus grupėje įvertinimo koeficientai“, 25 asmenų grupei taikomas profesinio mokymo programų koeficientas yra 1, nustatant fiksuotuosius įkainius Įsakymo Nr. V-</w:t>
      </w:r>
      <w:r w:rsidR="00125E7D">
        <w:t>995</w:t>
      </w:r>
      <w:r w:rsidR="00125E7D" w:rsidRPr="00F87828">
        <w:t xml:space="preserve"> </w:t>
      </w:r>
      <w:r w:rsidRPr="00F87828">
        <w:t xml:space="preserve">1 priede pateikiamų vadovavimo grupei kainos, praktikos įmonėje mokymo kainos ir pedagoginio darbo valandų (be vadovavimo grupei) kainos dydžių suma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MVK(25)</m:t>
            </m:r>
          </m:sub>
        </m:sSub>
      </m:oMath>
      <w:r w:rsidR="00B30749" w:rsidRPr="00F87828">
        <w:rPr>
          <w:rFonts w:eastAsiaTheme="minorEastAsia"/>
          <w:b/>
          <w:i/>
        </w:rPr>
        <w:t xml:space="preserve"> </w:t>
      </w:r>
      <w:r w:rsidRPr="00F87828">
        <w:t>yra padauginama iš vidutinio mokinių skaičiaus grupėje įvertinimo koeficiento</w:t>
      </w:r>
      <w:r w:rsidR="00B30749" w:rsidRPr="00F87828">
        <w:t xml:space="preserv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MPK</m:t>
            </m:r>
          </m:sub>
        </m:sSub>
      </m:oMath>
      <w:r w:rsidR="00B30749" w:rsidRPr="00F87828">
        <w:t>.</w:t>
      </w:r>
      <w:r w:rsidR="00442D9A">
        <w:t xml:space="preserve"> </w:t>
      </w:r>
    </w:p>
    <w:p w14:paraId="748F454A" w14:textId="10EF0539" w:rsidR="004F3017" w:rsidRDefault="003B0A5F" w:rsidP="003B0A5F">
      <w:pPr>
        <w:ind w:firstLine="1296"/>
        <w:rPr>
          <w:rFonts w:eastAsiaTheme="minorEastAsia"/>
        </w:rPr>
      </w:pPr>
      <w:r w:rsidRPr="00B30749">
        <w:rPr>
          <w:rFonts w:eastAsiaTheme="minorEastAsia"/>
        </w:rPr>
        <w:t xml:space="preserve">Įsakyme Nr. </w:t>
      </w:r>
      <w:r w:rsidR="00125E7D">
        <w:rPr>
          <w:rFonts w:eastAsiaTheme="minorEastAsia"/>
        </w:rPr>
        <w:t>V-995</w:t>
      </w:r>
      <w:r w:rsidR="00125E7D" w:rsidRPr="00B30749">
        <w:rPr>
          <w:rFonts w:eastAsiaTheme="minorEastAsia"/>
        </w:rPr>
        <w:t xml:space="preserve"> </w:t>
      </w:r>
      <w:r w:rsidRPr="00B30749">
        <w:rPr>
          <w:rFonts w:eastAsiaTheme="minorEastAsia"/>
        </w:rPr>
        <w:t>apibrėžta, kad profesinio mokymo lėšos, tenkančios vieno mokinio vienai valandai, kai akademinėje grupėje 25 mokiniai</w:t>
      </w:r>
      <w:r w:rsidR="00B30749" w:rsidRPr="00F87828">
        <w:rPr>
          <w:rFonts w:eastAsiaTheme="minorEastAsia"/>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MVK(25)</m:t>
            </m:r>
          </m:sub>
        </m:sSub>
        <m:r>
          <m:rPr>
            <m:sty m:val="bi"/>
          </m:rPr>
          <w:rPr>
            <w:rFonts w:ascii="Cambria Math" w:hAnsi="Cambria Math"/>
          </w:rPr>
          <m:t>)</m:t>
        </m:r>
      </m:oMath>
      <w:r w:rsidRPr="00B30749">
        <w:rPr>
          <w:rFonts w:eastAsiaTheme="minorEastAsia"/>
        </w:rPr>
        <w:t xml:space="preserve">, yra </w:t>
      </w:r>
      <w:r w:rsidRPr="00B30749">
        <w:rPr>
          <w:rFonts w:eastAsiaTheme="minorEastAsia"/>
          <w:b/>
        </w:rPr>
        <w:t>1,</w:t>
      </w:r>
      <w:r w:rsidR="005877DF">
        <w:rPr>
          <w:rFonts w:eastAsiaTheme="minorEastAsia"/>
          <w:b/>
        </w:rPr>
        <w:t xml:space="preserve">556 </w:t>
      </w:r>
      <w:proofErr w:type="spellStart"/>
      <w:r w:rsidR="00051A9C">
        <w:rPr>
          <w:rFonts w:eastAsiaTheme="minorEastAsia"/>
          <w:b/>
        </w:rPr>
        <w:t>Eur</w:t>
      </w:r>
      <w:proofErr w:type="spellEnd"/>
      <w:r w:rsidRPr="00B30749">
        <w:rPr>
          <w:rFonts w:eastAsiaTheme="minorEastAsia"/>
        </w:rPr>
        <w:t>.</w:t>
      </w:r>
    </w:p>
    <w:p w14:paraId="37620AF0" w14:textId="3CA824C3" w:rsidR="00B16333" w:rsidRDefault="00B16333" w:rsidP="003B0A5F">
      <w:pPr>
        <w:ind w:firstLine="1296"/>
        <w:rPr>
          <w:rFonts w:eastAsiaTheme="minorEastAsia"/>
        </w:rPr>
      </w:pPr>
      <w:r>
        <w:rPr>
          <w:rFonts w:eastAsiaTheme="minorEastAsia"/>
        </w:rPr>
        <w:t>Bazinė praktinio mokymo medžiagų kaina</w:t>
      </w:r>
      <w:r w:rsidR="00012348">
        <w:rPr>
          <w:rFonts w:eastAsiaTheme="minorEastAsia"/>
        </w:rPr>
        <w:t>, tenkanti vienam mokiniui vienai valandai,</w:t>
      </w:r>
      <w:r w:rsidR="00924227">
        <w:rPr>
          <w:rFonts w:eastAsiaTheme="minorEastAsia"/>
        </w:rPr>
        <w:t xml:space="preserve"> </w:t>
      </w:r>
      <m:oMath>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BMK</m:t>
            </m:r>
          </m:sub>
        </m:sSub>
      </m:oMath>
      <w:r>
        <w:rPr>
          <w:rFonts w:eastAsiaTheme="minorEastAsia"/>
        </w:rPr>
        <w:t xml:space="preserve"> apibrėžta Įsakyme Nr. </w:t>
      </w:r>
      <w:r w:rsidR="00125E7D">
        <w:rPr>
          <w:rFonts w:eastAsiaTheme="minorEastAsia"/>
        </w:rPr>
        <w:t xml:space="preserve">V-995 </w:t>
      </w:r>
      <w:r>
        <w:rPr>
          <w:rFonts w:eastAsiaTheme="minorEastAsia"/>
        </w:rPr>
        <w:t xml:space="preserve">ir yra lygi </w:t>
      </w:r>
      <w:r w:rsidRPr="00DE5F47">
        <w:rPr>
          <w:rFonts w:eastAsiaTheme="minorEastAsia"/>
          <w:b/>
        </w:rPr>
        <w:t>0,0244</w:t>
      </w:r>
      <w:r w:rsidR="00012348">
        <w:rPr>
          <w:rFonts w:eastAsiaTheme="minorEastAsia"/>
          <w:b/>
        </w:rPr>
        <w:t xml:space="preserve"> </w:t>
      </w:r>
      <w:proofErr w:type="spellStart"/>
      <w:r w:rsidR="00012348">
        <w:rPr>
          <w:rFonts w:eastAsiaTheme="minorEastAsia"/>
          <w:b/>
        </w:rPr>
        <w:t>Eur</w:t>
      </w:r>
      <w:proofErr w:type="spellEnd"/>
      <w:r>
        <w:rPr>
          <w:rFonts w:eastAsiaTheme="minorEastAsia"/>
        </w:rPr>
        <w:t>.</w:t>
      </w:r>
      <w:r w:rsidR="00D31FF1">
        <w:rPr>
          <w:rFonts w:eastAsiaTheme="minorEastAsia"/>
        </w:rPr>
        <w:t xml:space="preserve"> Tik bazinei praktinio mokymo </w:t>
      </w:r>
      <w:r w:rsidR="00D31FF1">
        <w:rPr>
          <w:rFonts w:eastAsiaTheme="minorEastAsia"/>
        </w:rPr>
        <w:lastRenderedPageBreak/>
        <w:t>medžiagų kainai (kuri įskaičiuota į profesinio mokymo lėšų, tenkančių vieno mokinio vienai mokymo valandai, kainą) yra taikomas medžiagų lėšų imlumo koeficientas (tai atsispindi 3.1 formulėje).</w:t>
      </w:r>
    </w:p>
    <w:p w14:paraId="474A781F" w14:textId="3EE979EA" w:rsidR="004F3017" w:rsidRDefault="003B0A5F" w:rsidP="000D5CB8">
      <w:pPr>
        <w:ind w:firstLine="1296"/>
        <w:rPr>
          <w:rFonts w:eastAsiaTheme="minorEastAsia"/>
        </w:rPr>
      </w:pPr>
      <w:r>
        <w:rPr>
          <w:rFonts w:eastAsiaTheme="minorEastAsia"/>
        </w:rPr>
        <w:t>Vidutinis m</w:t>
      </w:r>
      <w:r w:rsidR="004F3017">
        <w:rPr>
          <w:rFonts w:eastAsiaTheme="minorEastAsia"/>
        </w:rPr>
        <w:t xml:space="preserve">okymo </w:t>
      </w:r>
      <w:r w:rsidR="00B16333">
        <w:rPr>
          <w:rFonts w:eastAsiaTheme="minorEastAsia"/>
        </w:rPr>
        <w:t xml:space="preserve">medžiagų lėšų </w:t>
      </w:r>
      <w:r w:rsidR="004F3017">
        <w:rPr>
          <w:rFonts w:eastAsiaTheme="minorEastAsia"/>
        </w:rPr>
        <w:t xml:space="preserve">imlumo koeficientas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MIK</m:t>
            </m:r>
          </m:sub>
        </m:sSub>
      </m:oMath>
      <w:r w:rsidR="00924227">
        <w:rPr>
          <w:rFonts w:eastAsiaTheme="minorEastAsia"/>
        </w:rPr>
        <w:t xml:space="preserve"> </w:t>
      </w:r>
      <w:r w:rsidR="004F3017">
        <w:rPr>
          <w:rFonts w:eastAsiaTheme="minorEastAsia"/>
        </w:rPr>
        <w:t>aps</w:t>
      </w:r>
      <w:r>
        <w:rPr>
          <w:rFonts w:eastAsiaTheme="minorEastAsia"/>
        </w:rPr>
        <w:t>kaičiuojamas kaip</w:t>
      </w:r>
      <w:r w:rsidR="004F3017">
        <w:rPr>
          <w:rFonts w:eastAsiaTheme="minorEastAsia"/>
        </w:rPr>
        <w:t xml:space="preserve"> Įsakymo Nr. </w:t>
      </w:r>
      <w:r w:rsidR="00960E8D">
        <w:rPr>
          <w:rFonts w:eastAsiaTheme="minorEastAsia"/>
        </w:rPr>
        <w:t xml:space="preserve">V-990 </w:t>
      </w:r>
      <w:r w:rsidR="004F3017">
        <w:rPr>
          <w:rFonts w:eastAsiaTheme="minorEastAsia"/>
        </w:rPr>
        <w:t>priede pateiktų profesinio mokymo programų praktinio mo</w:t>
      </w:r>
      <w:r>
        <w:rPr>
          <w:rFonts w:eastAsiaTheme="minorEastAsia"/>
        </w:rPr>
        <w:t>kymo medžiagų imlumo koeficientų</w:t>
      </w:r>
      <w:r w:rsidR="00B16333">
        <w:rPr>
          <w:rFonts w:eastAsiaTheme="minorEastAsia"/>
        </w:rPr>
        <w:t>, didesnių už vienetą,</w:t>
      </w:r>
      <w:r>
        <w:rPr>
          <w:rFonts w:eastAsiaTheme="minorEastAsia"/>
        </w:rPr>
        <w:t xml:space="preserve"> aritmetinis vidurkis, kuris lygus </w:t>
      </w:r>
      <w:r w:rsidRPr="003B0A5F">
        <w:rPr>
          <w:rFonts w:eastAsiaTheme="minorEastAsia"/>
          <w:b/>
        </w:rPr>
        <w:t>1,</w:t>
      </w:r>
      <w:r w:rsidR="005877DF">
        <w:rPr>
          <w:rFonts w:eastAsiaTheme="minorEastAsia"/>
          <w:b/>
        </w:rPr>
        <w:t>1022</w:t>
      </w:r>
      <w:r w:rsidR="005877DF">
        <w:rPr>
          <w:rFonts w:eastAsiaTheme="minorEastAsia"/>
        </w:rPr>
        <w:t xml:space="preserve"> </w:t>
      </w:r>
      <w:r w:rsidR="004F3017">
        <w:rPr>
          <w:rFonts w:eastAsiaTheme="minorEastAsia"/>
        </w:rPr>
        <w:t xml:space="preserve">(žr. </w:t>
      </w:r>
      <w:r w:rsidR="00445CC3">
        <w:rPr>
          <w:rFonts w:eastAsiaTheme="minorEastAsia"/>
        </w:rPr>
        <w:t xml:space="preserve">pagrindimo </w:t>
      </w:r>
      <w:r w:rsidR="00267341">
        <w:rPr>
          <w:rFonts w:eastAsiaTheme="minorEastAsia"/>
        </w:rPr>
        <w:t>1 p</w:t>
      </w:r>
      <w:r w:rsidR="004F3017">
        <w:rPr>
          <w:rFonts w:eastAsiaTheme="minorEastAsia"/>
        </w:rPr>
        <w:t>ried</w:t>
      </w:r>
      <w:r w:rsidR="00267341">
        <w:rPr>
          <w:rFonts w:eastAsiaTheme="minorEastAsia"/>
        </w:rPr>
        <w:t>ą</w:t>
      </w:r>
      <w:r w:rsidR="004F3017">
        <w:rPr>
          <w:rFonts w:eastAsiaTheme="minorEastAsia"/>
        </w:rPr>
        <w:t>).</w:t>
      </w:r>
    </w:p>
    <w:p w14:paraId="0EEF1C6D" w14:textId="1DF6E758" w:rsidR="003B0A5F" w:rsidRDefault="003B0A5F" w:rsidP="000D5CB8">
      <w:pPr>
        <w:ind w:firstLine="1296"/>
        <w:rPr>
          <w:rFonts w:eastAsiaTheme="minorEastAsia"/>
        </w:rPr>
      </w:pPr>
      <w:r>
        <w:rPr>
          <w:rFonts w:eastAsiaTheme="minorEastAsia"/>
        </w:rPr>
        <w:t xml:space="preserve">Vidutinis </w:t>
      </w:r>
      <w:r w:rsidR="00DC3F70">
        <w:t xml:space="preserve">mokinių skaičiaus grupėje įvertinimo </w:t>
      </w:r>
      <w:r>
        <w:rPr>
          <w:rFonts w:eastAsiaTheme="minorEastAsia"/>
        </w:rPr>
        <w:t>koeficientas</w:t>
      </w:r>
      <w:r w:rsidR="00924227">
        <w:rPr>
          <w:rFonts w:eastAsiaTheme="minorEastAsia"/>
        </w:rPr>
        <w:t xml:space="preserv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MPK</m:t>
            </m:r>
          </m:sub>
        </m:sSub>
      </m:oMath>
      <w:r>
        <w:rPr>
          <w:rFonts w:eastAsiaTheme="minorEastAsia"/>
        </w:rPr>
        <w:t xml:space="preserve"> apskaičiuojamas remiantis </w:t>
      </w:r>
      <w:r w:rsidR="001F6FE9">
        <w:rPr>
          <w:rFonts w:eastAsiaTheme="minorEastAsia"/>
        </w:rPr>
        <w:t>Metodikoje</w:t>
      </w:r>
      <w:r>
        <w:rPr>
          <w:rFonts w:eastAsiaTheme="minorEastAsia"/>
        </w:rPr>
        <w:t xml:space="preserve"> pateiktais duomenimis, standartizuojant visą mokymo programų koeficientų aibę, eliminuojant išskirt</w:t>
      </w:r>
      <w:r w:rsidR="00026624">
        <w:rPr>
          <w:rFonts w:eastAsiaTheme="minorEastAsia"/>
        </w:rPr>
        <w:t>į</w:t>
      </w:r>
      <w:r>
        <w:rPr>
          <w:rFonts w:eastAsiaTheme="minorEastAsia"/>
        </w:rPr>
        <w:t xml:space="preserve"> ir apskaičiuojant aritmetinį vidurkį, kuris lygus </w:t>
      </w:r>
      <w:r w:rsidRPr="003B0A5F">
        <w:rPr>
          <w:rFonts w:eastAsiaTheme="minorEastAsia"/>
          <w:b/>
        </w:rPr>
        <w:t>2,8078</w:t>
      </w:r>
      <w:r>
        <w:rPr>
          <w:rFonts w:eastAsiaTheme="minorEastAsia"/>
        </w:rPr>
        <w:t xml:space="preserve"> (žr. </w:t>
      </w:r>
      <w:r w:rsidR="00445CC3">
        <w:t xml:space="preserve">pagrindimo </w:t>
      </w:r>
      <w:r w:rsidR="00267341">
        <w:rPr>
          <w:rFonts w:eastAsiaTheme="minorEastAsia"/>
        </w:rPr>
        <w:t>2 p</w:t>
      </w:r>
      <w:r>
        <w:rPr>
          <w:rFonts w:eastAsiaTheme="minorEastAsia"/>
        </w:rPr>
        <w:t>ried</w:t>
      </w:r>
      <w:r w:rsidR="00267341">
        <w:rPr>
          <w:rFonts w:eastAsiaTheme="minorEastAsia"/>
        </w:rPr>
        <w:t>ą</w:t>
      </w:r>
      <w:r>
        <w:rPr>
          <w:rFonts w:eastAsiaTheme="minorEastAsia"/>
        </w:rPr>
        <w:t>).</w:t>
      </w:r>
    </w:p>
    <w:p w14:paraId="062228F0" w14:textId="408B771E" w:rsidR="003B0A5F" w:rsidRDefault="00183FC8" w:rsidP="000D5CB8">
      <w:pPr>
        <w:ind w:firstLine="1296"/>
        <w:rPr>
          <w:rFonts w:eastAsiaTheme="minorEastAsia"/>
        </w:rPr>
      </w:pPr>
      <w:r>
        <w:t>Išlaidų mokymų t</w:t>
      </w:r>
      <w:r w:rsidR="009B105E">
        <w:t>ei</w:t>
      </w:r>
      <w:r>
        <w:t xml:space="preserve">kėjams </w:t>
      </w:r>
      <w:r w:rsidR="003B0A5F">
        <w:rPr>
          <w:rFonts w:eastAsiaTheme="minorEastAsia"/>
        </w:rPr>
        <w:t>fiksuotasis</w:t>
      </w:r>
      <w:r w:rsidR="00B16333">
        <w:rPr>
          <w:rFonts w:eastAsiaTheme="minorEastAsia"/>
        </w:rPr>
        <w:t xml:space="preserve"> dydis (</w:t>
      </w:r>
      <w:r w:rsidR="00B16333" w:rsidRPr="00DE5F47">
        <w:rPr>
          <w:rFonts w:eastAsiaTheme="minorEastAsia"/>
          <w:i/>
        </w:rPr>
        <w:t>P</w:t>
      </w:r>
      <w:r w:rsidR="00924227">
        <w:rPr>
          <w:rFonts w:eastAsiaTheme="minorEastAsia"/>
          <w:i/>
          <w:vertAlign w:val="subscript"/>
        </w:rPr>
        <w:t>2</w:t>
      </w:r>
      <w:r w:rsidR="00B16333" w:rsidRPr="00DE5F47">
        <w:rPr>
          <w:rFonts w:eastAsiaTheme="minorEastAsia"/>
          <w:i/>
          <w:vertAlign w:val="subscript"/>
        </w:rPr>
        <w:t>i</w:t>
      </w:r>
      <w:r w:rsidR="00B16333">
        <w:rPr>
          <w:rFonts w:eastAsiaTheme="minorEastAsia"/>
        </w:rPr>
        <w:t>), kai mokymų programa imli medžiagoms</w:t>
      </w:r>
      <w:r w:rsidR="003B0A5F">
        <w:rPr>
          <w:rFonts w:eastAsiaTheme="minorEastAsia"/>
        </w:rPr>
        <w:t>, apskaičiuotas pagal formulę (3</w:t>
      </w:r>
      <w:r w:rsidR="00B16333">
        <w:rPr>
          <w:rFonts w:eastAsiaTheme="minorEastAsia"/>
        </w:rPr>
        <w:t>.1</w:t>
      </w:r>
      <w:r w:rsidR="003B0A5F">
        <w:rPr>
          <w:rFonts w:eastAsiaTheme="minorEastAsia"/>
        </w:rPr>
        <w:t xml:space="preserve">), yra </w:t>
      </w:r>
      <w:r w:rsidR="00B16333">
        <w:rPr>
          <w:rFonts w:eastAsiaTheme="minorEastAsia"/>
          <w:b/>
        </w:rPr>
        <w:t>4,</w:t>
      </w:r>
      <w:r w:rsidR="00A92DD3">
        <w:rPr>
          <w:rFonts w:eastAsiaTheme="minorEastAsia"/>
          <w:b/>
        </w:rPr>
        <w:t xml:space="preserve">38 </w:t>
      </w:r>
      <w:proofErr w:type="spellStart"/>
      <w:r w:rsidR="00A677FD">
        <w:rPr>
          <w:rFonts w:eastAsiaTheme="minorEastAsia"/>
          <w:b/>
        </w:rPr>
        <w:t>Eur</w:t>
      </w:r>
      <w:proofErr w:type="spellEnd"/>
      <w:r w:rsidR="00602008">
        <w:rPr>
          <w:rFonts w:eastAsiaTheme="minorEastAsia"/>
        </w:rPr>
        <w:t>:</w:t>
      </w:r>
    </w:p>
    <w:p w14:paraId="67894086" w14:textId="30EA47A0" w:rsidR="00602008" w:rsidRDefault="00537A1E" w:rsidP="000D5CB8">
      <w:pPr>
        <w:ind w:firstLine="1296"/>
        <w:rPr>
          <w:rFonts w:eastAsiaTheme="minorEastAsia"/>
          <w:b/>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2i</m:t>
            </m:r>
          </m:sub>
        </m:sSub>
      </m:oMath>
      <w:r w:rsidR="00602008">
        <w:t xml:space="preserve"> = ((1,</w:t>
      </w:r>
      <w:r w:rsidR="00A92DD3">
        <w:t xml:space="preserve">556 </w:t>
      </w:r>
      <w:r w:rsidR="00602008">
        <w:t xml:space="preserve">– 0,0244) + (0,0244 </w:t>
      </w:r>
      <m:oMath>
        <m:r>
          <w:rPr>
            <w:rFonts w:ascii="Cambria Math" w:hAnsi="Cambria Math" w:cs="Times New Roman"/>
          </w:rPr>
          <m:t>×</m:t>
        </m:r>
      </m:oMath>
      <w:r w:rsidR="00602008">
        <w:rPr>
          <w:rFonts w:eastAsiaTheme="minorEastAsia"/>
        </w:rPr>
        <w:t xml:space="preserve"> 1,</w:t>
      </w:r>
      <w:r w:rsidR="00A92DD3">
        <w:rPr>
          <w:rFonts w:eastAsiaTheme="minorEastAsia"/>
        </w:rPr>
        <w:t>1022</w:t>
      </w:r>
      <w:r w:rsidR="00602008">
        <w:rPr>
          <w:rFonts w:eastAsiaTheme="minorEastAsia"/>
        </w:rPr>
        <w:t xml:space="preserve">)) </w:t>
      </w:r>
      <m:oMath>
        <m:r>
          <w:rPr>
            <w:rFonts w:ascii="Cambria Math" w:hAnsi="Cambria Math" w:cs="Times New Roman"/>
          </w:rPr>
          <m:t>×</m:t>
        </m:r>
      </m:oMath>
      <w:r w:rsidR="00602008">
        <w:rPr>
          <w:rFonts w:eastAsiaTheme="minorEastAsia"/>
        </w:rPr>
        <w:t xml:space="preserve"> 2,8078 = </w:t>
      </w:r>
      <w:r w:rsidR="00602008" w:rsidRPr="00B74DEB">
        <w:rPr>
          <w:rFonts w:eastAsiaTheme="minorEastAsia"/>
        </w:rPr>
        <w:t>4,</w:t>
      </w:r>
      <w:r w:rsidR="00A92DD3" w:rsidRPr="00B74DEB">
        <w:rPr>
          <w:rFonts w:eastAsiaTheme="minorEastAsia"/>
        </w:rPr>
        <w:t>3</w:t>
      </w:r>
      <w:r w:rsidR="00A92DD3">
        <w:rPr>
          <w:rFonts w:eastAsiaTheme="minorEastAsia"/>
        </w:rPr>
        <w:t>759</w:t>
      </w:r>
      <w:r w:rsidR="00A92DD3">
        <w:rPr>
          <w:rFonts w:eastAsiaTheme="minorEastAsia"/>
          <w:b/>
        </w:rPr>
        <w:t xml:space="preserve"> </w:t>
      </w:r>
      <w:r w:rsidR="00B74DEB" w:rsidRPr="00C85965">
        <w:rPr>
          <w:rFonts w:cs="Times New Roman"/>
        </w:rPr>
        <w:t xml:space="preserve">≈ </w:t>
      </w:r>
      <w:r w:rsidR="00B74DEB">
        <w:rPr>
          <w:rFonts w:eastAsiaTheme="minorEastAsia"/>
          <w:b/>
        </w:rPr>
        <w:t>4,</w:t>
      </w:r>
      <w:r w:rsidR="00A92DD3">
        <w:rPr>
          <w:rFonts w:eastAsiaTheme="minorEastAsia"/>
          <w:b/>
        </w:rPr>
        <w:t>38</w:t>
      </w:r>
    </w:p>
    <w:p w14:paraId="177D3D82" w14:textId="30013960" w:rsidR="00B16333" w:rsidRDefault="00B16333" w:rsidP="000D5CB8">
      <w:pPr>
        <w:ind w:firstLine="1296"/>
        <w:rPr>
          <w:rFonts w:eastAsiaTheme="minorEastAsia"/>
        </w:rPr>
      </w:pPr>
      <w:r>
        <w:rPr>
          <w:rFonts w:eastAsiaTheme="minorEastAsia"/>
        </w:rPr>
        <w:t>Jeigu mokymų programa yra neimli medžiagoms</w:t>
      </w:r>
      <w:r w:rsidR="00822E4E">
        <w:rPr>
          <w:rFonts w:eastAsiaTheme="minorEastAsia"/>
        </w:rPr>
        <w:t>, mokymų medžiagų lėšų imlumo koeficientas lygus 1 ir nedaro įtakos galutiniam rezultatui, kadangi taikoma bazinė praktinio mokymo medžiagų kaina</w:t>
      </w:r>
      <w:r w:rsidR="00132045">
        <w:rPr>
          <w:rFonts w:eastAsiaTheme="minorEastAsia"/>
        </w:rPr>
        <w:t xml:space="preserve"> yra</w:t>
      </w:r>
      <w:r w:rsidR="00822E4E">
        <w:rPr>
          <w:rFonts w:eastAsiaTheme="minorEastAsia"/>
        </w:rPr>
        <w:t xml:space="preserve"> įskaičiuota į mokinio valandos kainą. Tokiu atveju </w:t>
      </w:r>
      <w:r>
        <w:rPr>
          <w:rFonts w:eastAsiaTheme="minorEastAsia"/>
        </w:rPr>
        <w:t xml:space="preserve">mokymų išlaidų fiksuotasis dydis </w:t>
      </w:r>
      <w:r w:rsidRPr="00DE5F47">
        <w:rPr>
          <w:rFonts w:eastAsiaTheme="minorEastAsia"/>
          <w:i/>
        </w:rPr>
        <w:t>P</w:t>
      </w:r>
      <w:r w:rsidRPr="00DE5F47">
        <w:rPr>
          <w:rFonts w:eastAsiaTheme="minorEastAsia"/>
          <w:i/>
          <w:vertAlign w:val="subscript"/>
        </w:rPr>
        <w:t>2n</w:t>
      </w:r>
      <w:r>
        <w:rPr>
          <w:rFonts w:eastAsiaTheme="minorEastAsia"/>
        </w:rPr>
        <w:t xml:space="preserve"> </w:t>
      </w:r>
      <w:r w:rsidR="00822E4E">
        <w:rPr>
          <w:rFonts w:eastAsiaTheme="minorEastAsia"/>
        </w:rPr>
        <w:t xml:space="preserve">yra lygus mokinio valandos kainos (kai akademinėje grupėje 25 mokiniai) ir vidutinio mokinių skaičiaus grupėje įvertinimo koeficiento sandaugai, ir </w:t>
      </w:r>
      <w:r>
        <w:rPr>
          <w:rFonts w:eastAsiaTheme="minorEastAsia"/>
        </w:rPr>
        <w:t>apskaičiuojamas pagal formulę (3.2)</w:t>
      </w:r>
      <w:r w:rsidR="00822E4E">
        <w:rPr>
          <w:rFonts w:eastAsiaTheme="minorEastAsia"/>
        </w:rPr>
        <w:t xml:space="preserve">. </w:t>
      </w:r>
      <w:r w:rsidR="00183FC8">
        <w:t>Išlaidų mokymų t</w:t>
      </w:r>
      <w:r w:rsidR="009B105E">
        <w:t>ei</w:t>
      </w:r>
      <w:r w:rsidR="00183FC8">
        <w:t xml:space="preserve">kėjams </w:t>
      </w:r>
      <w:r w:rsidR="00822E4E">
        <w:rPr>
          <w:rFonts w:eastAsiaTheme="minorEastAsia"/>
        </w:rPr>
        <w:t xml:space="preserve">fiksuotasis dydis </w:t>
      </w:r>
      <w:r w:rsidR="00822E4E" w:rsidRPr="00DE5F47">
        <w:rPr>
          <w:rFonts w:eastAsiaTheme="minorEastAsia"/>
          <w:i/>
        </w:rPr>
        <w:t>P</w:t>
      </w:r>
      <w:r w:rsidR="00924227">
        <w:rPr>
          <w:rFonts w:eastAsiaTheme="minorEastAsia"/>
          <w:i/>
          <w:vertAlign w:val="subscript"/>
        </w:rPr>
        <w:t>2</w:t>
      </w:r>
      <w:r w:rsidR="00822E4E" w:rsidRPr="00DE5F47">
        <w:rPr>
          <w:rFonts w:eastAsiaTheme="minorEastAsia"/>
          <w:i/>
          <w:vertAlign w:val="subscript"/>
        </w:rPr>
        <w:t>n</w:t>
      </w:r>
      <w:r w:rsidR="00822E4E">
        <w:rPr>
          <w:rFonts w:eastAsiaTheme="minorEastAsia"/>
        </w:rPr>
        <w:t xml:space="preserve"> lygus </w:t>
      </w:r>
      <w:r w:rsidR="00822E4E" w:rsidRPr="00DE5F47">
        <w:rPr>
          <w:rFonts w:eastAsiaTheme="minorEastAsia"/>
          <w:b/>
        </w:rPr>
        <w:t>4,</w:t>
      </w:r>
      <w:r w:rsidR="00A92DD3" w:rsidRPr="00DE5F47">
        <w:rPr>
          <w:rFonts w:eastAsiaTheme="minorEastAsia"/>
          <w:b/>
        </w:rPr>
        <w:t>3</w:t>
      </w:r>
      <w:r w:rsidR="00A92DD3">
        <w:rPr>
          <w:rFonts w:eastAsiaTheme="minorEastAsia"/>
          <w:b/>
        </w:rPr>
        <w:t xml:space="preserve">7 </w:t>
      </w:r>
      <w:proofErr w:type="spellStart"/>
      <w:r w:rsidR="0053413C">
        <w:rPr>
          <w:rFonts w:eastAsiaTheme="minorEastAsia"/>
          <w:b/>
        </w:rPr>
        <w:t>Eur</w:t>
      </w:r>
      <w:proofErr w:type="spellEnd"/>
      <w:r w:rsidR="00822E4E">
        <w:rPr>
          <w:rFonts w:eastAsiaTheme="minorEastAsia"/>
          <w:b/>
        </w:rPr>
        <w:t>.</w:t>
      </w:r>
    </w:p>
    <w:p w14:paraId="3AAD5C20" w14:textId="77777777" w:rsidR="00B16333" w:rsidRPr="00DE5F47" w:rsidRDefault="00537A1E" w:rsidP="00DE5F47">
      <w:pPr>
        <w:ind w:firstLine="1296"/>
        <w:jc w:val="right"/>
        <w:rPr>
          <w:rFonts w:eastAsiaTheme="minorEastAsia"/>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MVK(25)</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MPK</m:t>
            </m:r>
          </m:sub>
        </m:sSub>
      </m:oMath>
      <w:r w:rsidR="00822E4E">
        <w:rPr>
          <w:rFonts w:eastAsiaTheme="minorEastAsia"/>
        </w:rPr>
        <w:tab/>
      </w:r>
      <w:r w:rsidR="00822E4E">
        <w:rPr>
          <w:rFonts w:eastAsiaTheme="minorEastAsia"/>
        </w:rPr>
        <w:tab/>
      </w:r>
      <w:r w:rsidR="00822E4E">
        <w:rPr>
          <w:rFonts w:eastAsiaTheme="minorEastAsia"/>
        </w:rPr>
        <w:tab/>
        <w:t>(3.2)</w:t>
      </w:r>
    </w:p>
    <w:p w14:paraId="27B3FE6F" w14:textId="1A109F00" w:rsidR="00445CC3" w:rsidRDefault="00537A1E" w:rsidP="00445CC3">
      <w:pPr>
        <w:ind w:firstLine="1296"/>
        <w:jc w:val="center"/>
        <w:rPr>
          <w:rFonts w:eastAsiaTheme="minorEastAsia"/>
          <w:b/>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2n</m:t>
            </m:r>
          </m:sub>
        </m:sSub>
      </m:oMath>
      <w:r w:rsidR="00445CC3">
        <w:t xml:space="preserve"> = 1,</w:t>
      </w:r>
      <w:r w:rsidR="00A92DD3">
        <w:t xml:space="preserve">556 </w:t>
      </w:r>
      <m:oMath>
        <m:r>
          <w:rPr>
            <w:rFonts w:ascii="Cambria Math" w:hAnsi="Cambria Math" w:cs="Times New Roman"/>
          </w:rPr>
          <m:t>×</m:t>
        </m:r>
      </m:oMath>
      <w:r w:rsidR="00445CC3">
        <w:rPr>
          <w:rFonts w:eastAsiaTheme="minorEastAsia"/>
        </w:rPr>
        <w:t xml:space="preserve"> 2,8078 = </w:t>
      </w:r>
      <w:r w:rsidR="00445CC3" w:rsidRPr="00B74DEB">
        <w:rPr>
          <w:rFonts w:eastAsiaTheme="minorEastAsia"/>
        </w:rPr>
        <w:t>4,</w:t>
      </w:r>
      <w:r w:rsidR="00A92DD3" w:rsidRPr="00B74DEB">
        <w:rPr>
          <w:rFonts w:eastAsiaTheme="minorEastAsia"/>
        </w:rPr>
        <w:t>3</w:t>
      </w:r>
      <w:r w:rsidR="00A92DD3">
        <w:rPr>
          <w:rFonts w:eastAsiaTheme="minorEastAsia"/>
        </w:rPr>
        <w:t>689</w:t>
      </w:r>
      <w:r w:rsidR="00A92DD3">
        <w:rPr>
          <w:rFonts w:eastAsiaTheme="minorEastAsia"/>
          <w:b/>
        </w:rPr>
        <w:t xml:space="preserve"> </w:t>
      </w:r>
      <w:r w:rsidR="00B74DEB" w:rsidRPr="00C85965">
        <w:rPr>
          <w:rFonts w:cs="Times New Roman"/>
        </w:rPr>
        <w:t xml:space="preserve">≈ </w:t>
      </w:r>
      <w:r w:rsidR="00B74DEB" w:rsidRPr="00B74DEB">
        <w:rPr>
          <w:rFonts w:eastAsiaTheme="minorEastAsia"/>
          <w:b/>
        </w:rPr>
        <w:t>4,</w:t>
      </w:r>
      <w:r w:rsidR="00A92DD3" w:rsidRPr="00B74DEB">
        <w:rPr>
          <w:rFonts w:eastAsiaTheme="minorEastAsia"/>
          <w:b/>
        </w:rPr>
        <w:t>3</w:t>
      </w:r>
      <w:r w:rsidR="00A92DD3">
        <w:rPr>
          <w:rFonts w:eastAsiaTheme="minorEastAsia"/>
          <w:b/>
        </w:rPr>
        <w:t>7</w:t>
      </w:r>
    </w:p>
    <w:p w14:paraId="3F34B4C0" w14:textId="77777777" w:rsidR="00782F33" w:rsidRDefault="00782F33" w:rsidP="00026624">
      <w:pPr>
        <w:ind w:firstLine="1296"/>
        <w:rPr>
          <w:rFonts w:eastAsiaTheme="minorEastAsia"/>
          <w:b/>
        </w:rPr>
      </w:pPr>
      <w:r>
        <w:rPr>
          <w:rFonts w:eastAsiaTheme="minorEastAsia"/>
        </w:rPr>
        <w:t xml:space="preserve">Kadangi </w:t>
      </w:r>
      <w:r w:rsidR="00B74DEB">
        <w:rPr>
          <w:rFonts w:eastAsiaTheme="minorEastAsia"/>
        </w:rPr>
        <w:t>Atlygio fiksuotasis dydis abiem</w:t>
      </w:r>
      <w:r w:rsidR="00A677FD">
        <w:rPr>
          <w:rFonts w:eastAsiaTheme="minorEastAsia"/>
        </w:rPr>
        <w:t xml:space="preserve"> </w:t>
      </w:r>
      <w:r>
        <w:rPr>
          <w:rFonts w:eastAsiaTheme="minorEastAsia"/>
        </w:rPr>
        <w:t xml:space="preserve">atvejais išlieka nekintantis, </w:t>
      </w:r>
      <w:r w:rsidR="00B74DEB">
        <w:rPr>
          <w:rFonts w:eastAsiaTheme="minorEastAsia"/>
        </w:rPr>
        <w:t xml:space="preserve">o </w:t>
      </w:r>
      <w:r w:rsidR="00180763">
        <w:rPr>
          <w:rFonts w:eastAsiaTheme="minorEastAsia"/>
        </w:rPr>
        <w:t xml:space="preserve">skirtumas tarp nustatytų </w:t>
      </w:r>
      <w:r w:rsidRPr="00534B8B">
        <w:rPr>
          <w:rFonts w:eastAsiaTheme="minorEastAsia"/>
          <w:i/>
        </w:rPr>
        <w:t>P</w:t>
      </w:r>
      <w:r w:rsidR="00B81117">
        <w:rPr>
          <w:rFonts w:eastAsiaTheme="minorEastAsia"/>
          <w:i/>
          <w:vertAlign w:val="subscript"/>
        </w:rPr>
        <w:t>2</w:t>
      </w:r>
      <w:r>
        <w:rPr>
          <w:rFonts w:eastAsiaTheme="minorEastAsia"/>
          <w:i/>
          <w:vertAlign w:val="subscript"/>
        </w:rPr>
        <w:t>i</w:t>
      </w:r>
      <w:r>
        <w:rPr>
          <w:rFonts w:eastAsiaTheme="minorEastAsia"/>
          <w:i/>
        </w:rPr>
        <w:t xml:space="preserve"> ir </w:t>
      </w:r>
      <w:r w:rsidRPr="00534B8B">
        <w:rPr>
          <w:rFonts w:eastAsiaTheme="minorEastAsia"/>
          <w:i/>
        </w:rPr>
        <w:t>P</w:t>
      </w:r>
      <w:r w:rsidR="00B81117">
        <w:rPr>
          <w:rFonts w:eastAsiaTheme="minorEastAsia"/>
          <w:i/>
          <w:vertAlign w:val="subscript"/>
        </w:rPr>
        <w:t>2</w:t>
      </w:r>
      <w:r w:rsidRPr="00534B8B">
        <w:rPr>
          <w:rFonts w:eastAsiaTheme="minorEastAsia"/>
          <w:i/>
          <w:vertAlign w:val="subscript"/>
        </w:rPr>
        <w:t>n</w:t>
      </w:r>
      <w:r>
        <w:rPr>
          <w:rFonts w:eastAsiaTheme="minorEastAsia"/>
          <w:i/>
        </w:rPr>
        <w:t xml:space="preserve"> </w:t>
      </w:r>
      <w:r w:rsidR="00180763">
        <w:rPr>
          <w:rFonts w:eastAsiaTheme="minorEastAsia"/>
        </w:rPr>
        <w:t>reikšm</w:t>
      </w:r>
      <w:r w:rsidR="00AE2EA2">
        <w:rPr>
          <w:rFonts w:eastAsiaTheme="minorEastAsia"/>
        </w:rPr>
        <w:t>ių yra</w:t>
      </w:r>
      <w:r w:rsidR="00B74DEB">
        <w:rPr>
          <w:rFonts w:eastAsiaTheme="minorEastAsia"/>
        </w:rPr>
        <w:t xml:space="preserve"> tik </w:t>
      </w:r>
      <w:r>
        <w:rPr>
          <w:rFonts w:eastAsiaTheme="minorEastAsia"/>
        </w:rPr>
        <w:t xml:space="preserve">0,01 </w:t>
      </w:r>
      <w:proofErr w:type="spellStart"/>
      <w:r>
        <w:rPr>
          <w:rFonts w:eastAsiaTheme="minorEastAsia"/>
        </w:rPr>
        <w:t>Eur</w:t>
      </w:r>
      <w:proofErr w:type="spellEnd"/>
      <w:r>
        <w:rPr>
          <w:rFonts w:eastAsiaTheme="minorEastAsia"/>
        </w:rPr>
        <w:t xml:space="preserve">, </w:t>
      </w:r>
      <w:r w:rsidR="00B74DEB">
        <w:rPr>
          <w:rFonts w:eastAsiaTheme="minorEastAsia"/>
        </w:rPr>
        <w:t>tai apmokėjimas už 1 darbuotojo</w:t>
      </w:r>
      <w:r w:rsidR="008577B2">
        <w:rPr>
          <w:rFonts w:eastAsiaTheme="minorEastAsia"/>
        </w:rPr>
        <w:t xml:space="preserve"> dviejų darbo dienų</w:t>
      </w:r>
      <w:r w:rsidR="00B74DEB">
        <w:rPr>
          <w:rFonts w:eastAsiaTheme="minorEastAsia"/>
        </w:rPr>
        <w:t xml:space="preserve"> (</w:t>
      </w:r>
      <w:r>
        <w:rPr>
          <w:rFonts w:eastAsiaTheme="minorEastAsia"/>
        </w:rPr>
        <w:t>16 val.</w:t>
      </w:r>
      <w:r w:rsidR="00B74DEB">
        <w:rPr>
          <w:rFonts w:eastAsiaTheme="minorEastAsia"/>
        </w:rPr>
        <w:t>)</w:t>
      </w:r>
      <w:r>
        <w:rPr>
          <w:rFonts w:eastAsiaTheme="minorEastAsia"/>
        </w:rPr>
        <w:t xml:space="preserve"> mokymu</w:t>
      </w:r>
      <w:r w:rsidR="00B74DEB">
        <w:rPr>
          <w:rFonts w:eastAsiaTheme="minorEastAsia"/>
        </w:rPr>
        <w:t xml:space="preserve">s </w:t>
      </w:r>
      <w:r w:rsidR="00AE2EA2">
        <w:rPr>
          <w:rFonts w:eastAsiaTheme="minorEastAsia"/>
        </w:rPr>
        <w:t>pritaikius</w:t>
      </w:r>
      <w:r w:rsidR="00B74DEB">
        <w:rPr>
          <w:rFonts w:eastAsiaTheme="minorEastAsia"/>
        </w:rPr>
        <w:t xml:space="preserve"> </w:t>
      </w:r>
      <w:r w:rsidR="00B74DEB" w:rsidRPr="00534B8B">
        <w:rPr>
          <w:rFonts w:eastAsiaTheme="minorEastAsia"/>
          <w:i/>
        </w:rPr>
        <w:t>P</w:t>
      </w:r>
      <w:r w:rsidR="00B81117">
        <w:rPr>
          <w:rFonts w:eastAsiaTheme="minorEastAsia"/>
          <w:i/>
          <w:vertAlign w:val="subscript"/>
        </w:rPr>
        <w:t>2</w:t>
      </w:r>
      <w:r w:rsidR="00B74DEB">
        <w:rPr>
          <w:rFonts w:eastAsiaTheme="minorEastAsia"/>
          <w:i/>
          <w:vertAlign w:val="subscript"/>
        </w:rPr>
        <w:t>i</w:t>
      </w:r>
      <w:r w:rsidR="00B74DEB">
        <w:rPr>
          <w:rFonts w:eastAsiaTheme="minorEastAsia"/>
          <w:i/>
        </w:rPr>
        <w:t xml:space="preserve"> ir </w:t>
      </w:r>
      <w:r w:rsidR="00B74DEB" w:rsidRPr="00534B8B">
        <w:rPr>
          <w:rFonts w:eastAsiaTheme="minorEastAsia"/>
          <w:i/>
        </w:rPr>
        <w:t>P</w:t>
      </w:r>
      <w:r w:rsidR="00B81117">
        <w:rPr>
          <w:rFonts w:eastAsiaTheme="minorEastAsia"/>
          <w:i/>
          <w:vertAlign w:val="subscript"/>
        </w:rPr>
        <w:t>2</w:t>
      </w:r>
      <w:r w:rsidR="00B74DEB" w:rsidRPr="00534B8B">
        <w:rPr>
          <w:rFonts w:eastAsiaTheme="minorEastAsia"/>
          <w:i/>
          <w:vertAlign w:val="subscript"/>
        </w:rPr>
        <w:t>n</w:t>
      </w:r>
      <w:r w:rsidR="00B74DEB">
        <w:rPr>
          <w:rFonts w:eastAsiaTheme="minorEastAsia"/>
          <w:i/>
        </w:rPr>
        <w:t xml:space="preserve"> dydžius skirtųsi tik </w:t>
      </w:r>
      <w:r w:rsidR="00F01574">
        <w:rPr>
          <w:rFonts w:eastAsiaTheme="minorEastAsia"/>
        </w:rPr>
        <w:t>0,</w:t>
      </w:r>
      <w:r w:rsidR="008577B2">
        <w:rPr>
          <w:rFonts w:eastAsiaTheme="minorEastAsia"/>
        </w:rPr>
        <w:t>16</w:t>
      </w:r>
      <w:r w:rsidR="00F01574">
        <w:rPr>
          <w:rFonts w:eastAsiaTheme="minorEastAsia"/>
        </w:rPr>
        <w:t xml:space="preserve"> </w:t>
      </w:r>
      <w:proofErr w:type="spellStart"/>
      <w:r w:rsidR="00F01574">
        <w:rPr>
          <w:rFonts w:eastAsiaTheme="minorEastAsia"/>
        </w:rPr>
        <w:t>Eur</w:t>
      </w:r>
      <w:proofErr w:type="spellEnd"/>
      <w:r w:rsidR="00F01574">
        <w:rPr>
          <w:rFonts w:eastAsiaTheme="minorEastAsia"/>
        </w:rPr>
        <w:t>. Toks skirtumas nuo bendros</w:t>
      </w:r>
      <w:r w:rsidR="00267341">
        <w:rPr>
          <w:rFonts w:eastAsiaTheme="minorEastAsia"/>
        </w:rPr>
        <w:t xml:space="preserve"> 16 val.</w:t>
      </w:r>
      <w:r w:rsidR="00F01574">
        <w:rPr>
          <w:rFonts w:eastAsiaTheme="minorEastAsia"/>
        </w:rPr>
        <w:t xml:space="preserve"> mokymo </w:t>
      </w:r>
      <w:r w:rsidR="00267341">
        <w:rPr>
          <w:rFonts w:eastAsiaTheme="minorEastAsia"/>
        </w:rPr>
        <w:t xml:space="preserve">išlaidų </w:t>
      </w:r>
      <w:r w:rsidR="00F01574">
        <w:rPr>
          <w:rFonts w:eastAsiaTheme="minorEastAsia"/>
        </w:rPr>
        <w:t>sumos</w:t>
      </w:r>
      <w:r w:rsidR="008577B2">
        <w:rPr>
          <w:rFonts w:eastAsiaTheme="minorEastAsia"/>
        </w:rPr>
        <w:t xml:space="preserve"> (įskaitant ir minimalų</w:t>
      </w:r>
      <w:r w:rsidR="000036E0">
        <w:rPr>
          <w:rFonts w:eastAsiaTheme="minorEastAsia"/>
        </w:rPr>
        <w:t>jį</w:t>
      </w:r>
      <w:r w:rsidR="008577B2">
        <w:rPr>
          <w:rFonts w:eastAsiaTheme="minorEastAsia"/>
        </w:rPr>
        <w:t xml:space="preserve"> valandinį darbo atlygį)</w:t>
      </w:r>
      <w:r w:rsidR="00F01574">
        <w:rPr>
          <w:rFonts w:eastAsiaTheme="minorEastAsia"/>
        </w:rPr>
        <w:t xml:space="preserve"> sudaro 0,</w:t>
      </w:r>
      <w:r w:rsidR="008577B2">
        <w:rPr>
          <w:rFonts w:eastAsiaTheme="minorEastAsia"/>
        </w:rPr>
        <w:t xml:space="preserve">14 </w:t>
      </w:r>
      <w:r w:rsidR="00F01574">
        <w:rPr>
          <w:rFonts w:eastAsiaTheme="minorEastAsia"/>
        </w:rPr>
        <w:t>proc</w:t>
      </w:r>
      <w:r w:rsidR="00AE2EA2">
        <w:rPr>
          <w:rFonts w:eastAsiaTheme="minorEastAsia"/>
        </w:rPr>
        <w:t>.:</w:t>
      </w:r>
    </w:p>
    <w:p w14:paraId="64070E14" w14:textId="77777777" w:rsidR="0006062F" w:rsidRPr="00C85965" w:rsidRDefault="00537A1E" w:rsidP="00F87828">
      <w:pPr>
        <w:ind w:firstLine="1296"/>
        <w:jc w:val="right"/>
        <w:rPr>
          <w:rFonts w:eastAsiaTheme="minorEastAsia"/>
          <w:b/>
          <w:i/>
        </w:rPr>
      </w:pP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proc</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)*t*m</m:t>
            </m:r>
          </m:num>
          <m:den>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eastAsiaTheme="minorEastAsia" w:hAnsi="Cambria Math"/>
              </w:rPr>
              <m:t>*t*m</m:t>
            </m:r>
          </m:den>
        </m:f>
        <m:r>
          <w:rPr>
            <w:rFonts w:ascii="Cambria Math" w:eastAsiaTheme="minorEastAsia" w:hAnsi="Cambria Math"/>
          </w:rPr>
          <m:t xml:space="preserve">*100=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num>
          <m:den>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den>
        </m:f>
        <m:r>
          <w:rPr>
            <w:rFonts w:ascii="Cambria Math" w:eastAsiaTheme="minorEastAsia" w:hAnsi="Cambria Math"/>
          </w:rPr>
          <m:t>*100</m:t>
        </m:r>
      </m:oMath>
      <w:r w:rsidR="00C85965">
        <w:rPr>
          <w:rFonts w:eastAsiaTheme="minorEastAsia"/>
        </w:rPr>
        <w:t>,</w:t>
      </w:r>
      <w:r w:rsidR="004B04DC">
        <w:rPr>
          <w:rFonts w:eastAsiaTheme="minorEastAsia"/>
        </w:rPr>
        <w:tab/>
      </w:r>
      <w:r w:rsidR="004B04DC">
        <w:rPr>
          <w:rFonts w:eastAsiaTheme="minorEastAsia"/>
        </w:rPr>
        <w:tab/>
      </w:r>
      <w:r w:rsidR="004B04DC" w:rsidRPr="00F87828">
        <w:rPr>
          <w:rFonts w:eastAsiaTheme="minorEastAsia"/>
        </w:rPr>
        <w:t>(3.3)</w:t>
      </w:r>
    </w:p>
    <w:p w14:paraId="7DB3F76B" w14:textId="77777777" w:rsidR="00270064" w:rsidRDefault="00270064" w:rsidP="0062775F">
      <w:pPr>
        <w:ind w:firstLine="1296"/>
        <w:rPr>
          <w:rFonts w:eastAsiaTheme="minorEastAsia"/>
        </w:rPr>
      </w:pPr>
      <w:r>
        <w:rPr>
          <w:rFonts w:eastAsiaTheme="minorEastAsia"/>
        </w:rPr>
        <w:t>kur</w:t>
      </w:r>
    </w:p>
    <w:p w14:paraId="7C27C21F" w14:textId="77777777" w:rsidR="00B30749" w:rsidRDefault="00537A1E" w:rsidP="005265E3">
      <w:pPr>
        <w:ind w:firstLine="1296"/>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ε</m:t>
            </m:r>
          </m:e>
          <m:sub>
            <m:r>
              <m:rPr>
                <m:sty m:val="bi"/>
              </m:rPr>
              <w:rPr>
                <w:rFonts w:ascii="Cambria Math" w:eastAsiaTheme="minorEastAsia" w:hAnsi="Cambria Math"/>
              </w:rPr>
              <m:t>proc</m:t>
            </m:r>
          </m:sub>
        </m:sSub>
      </m:oMath>
      <w:r w:rsidR="00B30749">
        <w:rPr>
          <w:rFonts w:eastAsiaTheme="minorEastAsia"/>
        </w:rPr>
        <w:t xml:space="preserve"> – procentinė paklaida,</w:t>
      </w:r>
    </w:p>
    <w:p w14:paraId="1C4F2204" w14:textId="77777777" w:rsidR="00270064" w:rsidRDefault="005265E3" w:rsidP="005265E3">
      <w:pPr>
        <w:ind w:firstLine="1296"/>
        <w:rPr>
          <w:rFonts w:eastAsiaTheme="minorEastAsia"/>
        </w:rPr>
      </w:pPr>
      <w:r w:rsidRPr="00F87828">
        <w:rPr>
          <w:rFonts w:eastAsiaTheme="minorEastAsia"/>
          <w:b/>
          <w:i/>
        </w:rPr>
        <w:t>t</w:t>
      </w:r>
      <w:r w:rsidR="00270064">
        <w:rPr>
          <w:rFonts w:eastAsiaTheme="minorEastAsia"/>
        </w:rPr>
        <w:t xml:space="preserve"> – mokymo valandų skaičius,</w:t>
      </w:r>
    </w:p>
    <w:p w14:paraId="22D8A595" w14:textId="77777777" w:rsidR="00270064" w:rsidRDefault="005265E3" w:rsidP="005265E3">
      <w:pPr>
        <w:ind w:firstLine="1296"/>
        <w:rPr>
          <w:rFonts w:eastAsiaTheme="minorEastAsia"/>
        </w:rPr>
      </w:pPr>
      <w:r w:rsidRPr="00F87828">
        <w:rPr>
          <w:rFonts w:eastAsiaTheme="minorEastAsia"/>
          <w:b/>
          <w:i/>
        </w:rPr>
        <w:t>m</w:t>
      </w:r>
      <w:r w:rsidR="00270064">
        <w:rPr>
          <w:rFonts w:eastAsiaTheme="minorEastAsia"/>
        </w:rPr>
        <w:t xml:space="preserve"> – mokomų asmenų skaičius.</w:t>
      </w:r>
    </w:p>
    <w:p w14:paraId="6C550C75" w14:textId="77777777" w:rsidR="00270064" w:rsidRPr="00F366FE" w:rsidRDefault="00270064" w:rsidP="00F87828">
      <w:pPr>
        <w:ind w:firstLine="1296"/>
        <w:jc w:val="right"/>
        <w:rPr>
          <w:rFonts w:eastAsiaTheme="minorEastAsia"/>
        </w:rPr>
      </w:pPr>
    </w:p>
    <w:p w14:paraId="15CBE1B6" w14:textId="0AB07CC6" w:rsidR="00AE2EA2" w:rsidRDefault="00AE2EA2" w:rsidP="00026624">
      <w:pPr>
        <w:ind w:firstLine="1296"/>
        <w:rPr>
          <w:rFonts w:eastAsiaTheme="minorEastAsia"/>
          <w:b/>
        </w:rPr>
      </w:pPr>
      <w:r>
        <w:rPr>
          <w:rFonts w:eastAsiaTheme="minorEastAsia"/>
        </w:rPr>
        <w:lastRenderedPageBreak/>
        <w:t xml:space="preserve">Pažymėtina, kad ši paklaida nepriklauso nuo mokymo valandų skaičiaus ar mokymuose dalyvaujančių asmenų skaičiaus (3.3 formulė). Tokia paklaida laikytina nereikšminga, o skaičiavimas skirstant mokymo programas į imlias ir neimlias medžiagoms didina administracinę naštą, todėl nuspręsta medžiagų imlumo koeficiento netaikyti ir skaičiuojant fiksuotąjį dydį įtraukti pagal (3.2) formulę apskaičiuotą </w:t>
      </w:r>
      <w:r w:rsidR="000036E0">
        <w:rPr>
          <w:rFonts w:eastAsiaTheme="minorEastAsia"/>
          <w:b/>
        </w:rPr>
        <w:t>I</w:t>
      </w:r>
      <w:r w:rsidRPr="0053413C">
        <w:rPr>
          <w:b/>
        </w:rPr>
        <w:t xml:space="preserve">šlaidų mokymų teikėjams </w:t>
      </w:r>
      <w:r w:rsidRPr="0053413C">
        <w:rPr>
          <w:rFonts w:eastAsiaTheme="minorEastAsia"/>
          <w:b/>
        </w:rPr>
        <w:t xml:space="preserve">fiksuotąjį dydį </w:t>
      </w:r>
      <w:r w:rsidRPr="0053413C">
        <w:rPr>
          <w:rFonts w:eastAsiaTheme="minorEastAsia"/>
          <w:b/>
          <w:i/>
        </w:rPr>
        <w:t>P</w:t>
      </w:r>
      <w:r w:rsidRPr="0053413C">
        <w:rPr>
          <w:rFonts w:eastAsiaTheme="minorEastAsia"/>
          <w:b/>
          <w:i/>
          <w:vertAlign w:val="subscript"/>
        </w:rPr>
        <w:t>2n</w:t>
      </w:r>
      <w:r w:rsidRPr="0053413C">
        <w:rPr>
          <w:rFonts w:eastAsiaTheme="minorEastAsia"/>
          <w:b/>
        </w:rPr>
        <w:t xml:space="preserve"> =</w:t>
      </w:r>
      <w:r w:rsidRPr="00F87828">
        <w:rPr>
          <w:rFonts w:eastAsiaTheme="minorEastAsia"/>
        </w:rPr>
        <w:t xml:space="preserve"> </w:t>
      </w:r>
      <w:r w:rsidRPr="00DE5F47">
        <w:rPr>
          <w:rFonts w:eastAsiaTheme="minorEastAsia"/>
          <w:b/>
        </w:rPr>
        <w:t>4,</w:t>
      </w:r>
      <w:r w:rsidR="00A92DD3" w:rsidRPr="00DE5F47">
        <w:rPr>
          <w:rFonts w:eastAsiaTheme="minorEastAsia"/>
          <w:b/>
        </w:rPr>
        <w:t>3</w:t>
      </w:r>
      <w:r w:rsidR="00A92DD3">
        <w:rPr>
          <w:rFonts w:eastAsiaTheme="minorEastAsia"/>
          <w:b/>
        </w:rPr>
        <w:t>7</w:t>
      </w:r>
      <w:r w:rsidRPr="00DE5F47">
        <w:rPr>
          <w:rFonts w:eastAsiaTheme="minorEastAsia"/>
          <w:b/>
        </w:rPr>
        <w:t>.</w:t>
      </w:r>
    </w:p>
    <w:p w14:paraId="499ECAAC" w14:textId="77777777" w:rsidR="00026624" w:rsidRPr="00A14A8D" w:rsidRDefault="00026624" w:rsidP="00026624">
      <w:pPr>
        <w:ind w:firstLine="1296"/>
        <w:rPr>
          <w:rFonts w:eastAsiaTheme="minorEastAsia"/>
        </w:rPr>
      </w:pPr>
      <w:r>
        <w:rPr>
          <w:rFonts w:eastAsiaTheme="minorEastAsia"/>
        </w:rPr>
        <w:t xml:space="preserve">Apskaičiavus pagal (1) </w:t>
      </w:r>
      <w:r w:rsidR="00B20C3E">
        <w:rPr>
          <w:rFonts w:eastAsiaTheme="minorEastAsia"/>
        </w:rPr>
        <w:t>formulę</w:t>
      </w:r>
      <w:r w:rsidR="00AE2EA2">
        <w:rPr>
          <w:rFonts w:eastAsiaTheme="minorEastAsia"/>
        </w:rPr>
        <w:t xml:space="preserve"> nustatyta</w:t>
      </w:r>
      <w:r>
        <w:rPr>
          <w:rFonts w:eastAsiaTheme="minorEastAsia"/>
        </w:rPr>
        <w:t xml:space="preserve">, kad </w:t>
      </w:r>
      <w:r w:rsidR="00F366FE">
        <w:rPr>
          <w:rFonts w:eastAsiaTheme="minorEastAsia"/>
        </w:rPr>
        <w:t>vien</w:t>
      </w:r>
      <w:r w:rsidR="00AE2EA2">
        <w:rPr>
          <w:rFonts w:eastAsiaTheme="minorEastAsia"/>
        </w:rPr>
        <w:t>os</w:t>
      </w:r>
      <w:r w:rsidR="00F366FE">
        <w:rPr>
          <w:rFonts w:eastAsiaTheme="minorEastAsia"/>
        </w:rPr>
        <w:t xml:space="preserve"> </w:t>
      </w:r>
      <w:r w:rsidR="00A14A8D">
        <w:rPr>
          <w:rFonts w:eastAsiaTheme="minorEastAsia"/>
        </w:rPr>
        <w:t>mokymo valand</w:t>
      </w:r>
      <w:r w:rsidR="00AE2EA2">
        <w:rPr>
          <w:rFonts w:eastAsiaTheme="minorEastAsia"/>
        </w:rPr>
        <w:t>os</w:t>
      </w:r>
      <w:r w:rsidR="00A14A8D">
        <w:rPr>
          <w:rFonts w:eastAsiaTheme="minorEastAsia"/>
        </w:rPr>
        <w:t xml:space="preserve"> </w:t>
      </w:r>
      <w:r w:rsidR="00F366FE">
        <w:rPr>
          <w:rFonts w:eastAsiaTheme="minorEastAsia"/>
        </w:rPr>
        <w:t xml:space="preserve">vienam </w:t>
      </w:r>
      <w:r w:rsidR="00AE2EA2">
        <w:rPr>
          <w:rFonts w:eastAsiaTheme="minorEastAsia"/>
        </w:rPr>
        <w:t xml:space="preserve">mokomam </w:t>
      </w:r>
      <w:r w:rsidR="00A14A8D">
        <w:rPr>
          <w:rFonts w:eastAsiaTheme="minorEastAsia"/>
        </w:rPr>
        <w:t>asmeniui</w:t>
      </w:r>
      <w:r w:rsidR="008C0F81">
        <w:rPr>
          <w:rFonts w:eastAsiaTheme="minorEastAsia"/>
        </w:rPr>
        <w:t xml:space="preserve"> </w:t>
      </w:r>
      <w:r w:rsidR="00B20C3E">
        <w:rPr>
          <w:rFonts w:eastAsiaTheme="minorEastAsia"/>
        </w:rPr>
        <w:t>fiksuotasis</w:t>
      </w:r>
      <w:r w:rsidR="00AE2EA2">
        <w:rPr>
          <w:rFonts w:eastAsiaTheme="minorEastAsia"/>
        </w:rPr>
        <w:t xml:space="preserve"> </w:t>
      </w:r>
      <w:r w:rsidR="00B20C3E">
        <w:rPr>
          <w:rFonts w:eastAsiaTheme="minorEastAsia"/>
        </w:rPr>
        <w:t>įkainis</w:t>
      </w:r>
      <w:r w:rsidR="00AE2EA2">
        <w:rPr>
          <w:rFonts w:eastAsiaTheme="minorEastAsia"/>
        </w:rPr>
        <w:t xml:space="preserve"> </w:t>
      </w:r>
      <w:r w:rsidR="00A14A8D" w:rsidRPr="00A14A8D">
        <w:rPr>
          <w:rFonts w:eastAsiaTheme="minorEastAsia"/>
        </w:rPr>
        <w:t>yra:</w:t>
      </w:r>
    </w:p>
    <w:p w14:paraId="6BD2143B" w14:textId="0316C94D" w:rsidR="004F3017" w:rsidRPr="0053413C" w:rsidRDefault="00026624" w:rsidP="00A14A8D">
      <w:pPr>
        <w:ind w:firstLine="1296"/>
        <w:rPr>
          <w:rFonts w:eastAsiaTheme="minorEastAsia"/>
          <w:b/>
        </w:rPr>
      </w:pPr>
      <w:r w:rsidRPr="00A14A8D">
        <w:rPr>
          <w:rFonts w:eastAsiaTheme="minorEastAsia"/>
        </w:rPr>
        <w:t xml:space="preserve">FĮ = </w:t>
      </w:r>
      <w:r w:rsidR="00D620C0">
        <w:rPr>
          <w:rFonts w:eastAsiaTheme="minorEastAsia"/>
        </w:rPr>
        <w:t>3,04</w:t>
      </w:r>
      <w:r w:rsidRPr="00A14A8D">
        <w:rPr>
          <w:rFonts w:eastAsiaTheme="minorEastAsia"/>
        </w:rPr>
        <w:t xml:space="preserve"> + 4,</w:t>
      </w:r>
      <w:r w:rsidR="00A92DD3">
        <w:rPr>
          <w:rFonts w:eastAsiaTheme="minorEastAsia"/>
        </w:rPr>
        <w:t>37</w:t>
      </w:r>
      <w:r w:rsidR="00A92DD3" w:rsidRPr="00A14A8D">
        <w:rPr>
          <w:rFonts w:eastAsiaTheme="minorEastAsia"/>
        </w:rPr>
        <w:t xml:space="preserve"> </w:t>
      </w:r>
      <w:r w:rsidRPr="00A14A8D">
        <w:rPr>
          <w:rFonts w:eastAsiaTheme="minorEastAsia"/>
        </w:rPr>
        <w:t xml:space="preserve">= </w:t>
      </w:r>
      <w:r w:rsidRPr="0053413C">
        <w:rPr>
          <w:rFonts w:eastAsiaTheme="minorEastAsia"/>
          <w:b/>
        </w:rPr>
        <w:t>7</w:t>
      </w:r>
      <w:r w:rsidR="00267341" w:rsidRPr="0053413C">
        <w:rPr>
          <w:rFonts w:eastAsiaTheme="minorEastAsia"/>
          <w:b/>
        </w:rPr>
        <w:t>,</w:t>
      </w:r>
      <w:r w:rsidR="00A92DD3">
        <w:rPr>
          <w:rFonts w:eastAsiaTheme="minorEastAsia"/>
          <w:b/>
        </w:rPr>
        <w:t>41</w:t>
      </w:r>
      <w:r w:rsidR="00A92DD3" w:rsidRPr="0053413C">
        <w:rPr>
          <w:rFonts w:eastAsiaTheme="minorEastAsia"/>
          <w:b/>
        </w:rPr>
        <w:t xml:space="preserve"> </w:t>
      </w:r>
      <w:proofErr w:type="spellStart"/>
      <w:r w:rsidRPr="0053413C">
        <w:rPr>
          <w:rFonts w:eastAsiaTheme="minorEastAsia"/>
          <w:b/>
        </w:rPr>
        <w:t>Eur</w:t>
      </w:r>
      <w:proofErr w:type="spellEnd"/>
      <w:r w:rsidRPr="0053413C">
        <w:rPr>
          <w:rFonts w:eastAsiaTheme="minorEastAsia"/>
          <w:b/>
        </w:rPr>
        <w:t>.</w:t>
      </w:r>
    </w:p>
    <w:p w14:paraId="581982FC" w14:textId="2B756F90" w:rsidR="000D5CB8" w:rsidRDefault="00A14A8D" w:rsidP="00A14A8D">
      <w:pPr>
        <w:pStyle w:val="Antrat1"/>
      </w:pPr>
      <w:r>
        <w:t>TEISĖS AKTU NUSTATYTŲ FIKSUOTŲJŲ DYDŽIŲ TAIKYMAS</w:t>
      </w:r>
    </w:p>
    <w:p w14:paraId="65C2DFA0" w14:textId="44EE7466" w:rsidR="00E11D57" w:rsidRDefault="00675D6B" w:rsidP="00A14A8D">
      <w:pPr>
        <w:ind w:firstLine="1296"/>
      </w:pPr>
      <w:r>
        <w:t>Šiame tyrime n</w:t>
      </w:r>
      <w:r w:rsidR="003F6B8A">
        <w:t>ustatytieji fiksuotieji įkainiai</w:t>
      </w:r>
      <w:r w:rsidR="00403DEC">
        <w:t xml:space="preserve"> gali būti taikomi tik įmonėms, kuri</w:t>
      </w:r>
      <w:r w:rsidR="00736493">
        <w:t>os</w:t>
      </w:r>
      <w:r w:rsidR="00403DEC">
        <w:t xml:space="preserve"> apmoko darbuotojus pagal</w:t>
      </w:r>
      <w:r w:rsidR="003F6B8A">
        <w:t xml:space="preserve"> neformalias</w:t>
      </w:r>
      <w:r w:rsidR="00403DEC">
        <w:t xml:space="preserve"> profesinio</w:t>
      </w:r>
      <w:r w:rsidR="003F6B8A">
        <w:t xml:space="preserve"> mokymo programas</w:t>
      </w:r>
      <w:r w:rsidR="00E11D57">
        <w:t>, kurios</w:t>
      </w:r>
      <w:r>
        <w:t xml:space="preserve"> neapima bendrųjų</w:t>
      </w:r>
      <w:r w:rsidR="00E11D57">
        <w:t xml:space="preserve"> kompetencijų</w:t>
      </w:r>
      <w:r>
        <w:t xml:space="preserve"> mokymų.</w:t>
      </w:r>
      <w:r w:rsidR="00E11D57">
        <w:t xml:space="preserve"> </w:t>
      </w:r>
      <w:r w:rsidR="0040181B">
        <w:t>Jeigu priemonėje, kurioje taikomi fiksuotieji įkainiai, numatomos konkrečios g</w:t>
      </w:r>
      <w:r w:rsidR="00E11D57">
        <w:t>alim</w:t>
      </w:r>
      <w:r w:rsidR="0040181B">
        <w:t>os</w:t>
      </w:r>
      <w:r w:rsidR="00E11D57">
        <w:t xml:space="preserve"> finansuoti </w:t>
      </w:r>
      <w:r w:rsidR="00E11D57" w:rsidRPr="00E11D57">
        <w:t>mokymo program</w:t>
      </w:r>
      <w:r w:rsidR="0040181B">
        <w:t>os</w:t>
      </w:r>
      <w:r w:rsidR="00E11D57" w:rsidRPr="00E11D57">
        <w:t xml:space="preserve"> </w:t>
      </w:r>
      <w:r w:rsidR="0040181B">
        <w:t>ar</w:t>
      </w:r>
      <w:r w:rsidR="00E11D57" w:rsidRPr="00E11D57">
        <w:t xml:space="preserve"> </w:t>
      </w:r>
      <w:r w:rsidR="00E11D57">
        <w:t>m</w:t>
      </w:r>
      <w:r w:rsidR="00E11D57" w:rsidRPr="00E11D57">
        <w:t>okymų teikėj</w:t>
      </w:r>
      <w:r w:rsidR="0040181B">
        <w:t>ai, tai turi būti nustatyta priemonės finansavimo sąlygų apraše, o numatytas mokymo programų ar teikėjų</w:t>
      </w:r>
      <w:r w:rsidR="00E11D57" w:rsidRPr="00E11D57">
        <w:t xml:space="preserve"> sąrašas skelbiamas</w:t>
      </w:r>
      <w:r w:rsidR="0040181B">
        <w:t xml:space="preserve"> ministerijų ir įgyvendinančiųjų institucijų internetinėse svetainėse.</w:t>
      </w:r>
    </w:p>
    <w:p w14:paraId="20A43ED7" w14:textId="2A011622" w:rsidR="00A14A8D" w:rsidRDefault="00A14A8D" w:rsidP="00100273">
      <w:pPr>
        <w:ind w:firstLine="1296"/>
      </w:pPr>
      <w:r w:rsidRPr="00A14A8D">
        <w:t xml:space="preserve">Pasikeitus bent vienam iš pagrindimo I dalyje išvardytų teisės aktų, fiksuotieji įkainiai </w:t>
      </w:r>
      <w:r w:rsidR="00B20C3E">
        <w:t>bus</w:t>
      </w:r>
      <w:r w:rsidR="00B20C3E" w:rsidRPr="00A14A8D">
        <w:t xml:space="preserve"> </w:t>
      </w:r>
      <w:r w:rsidRPr="00A14A8D">
        <w:t>perskaičiuojami.</w:t>
      </w:r>
      <w:r w:rsidR="00B30749">
        <w:t xml:space="preserve"> </w:t>
      </w:r>
      <w:r w:rsidRPr="00A14A8D">
        <w:t>Už fiksuotųjų įkainių perskaičiavimą</w:t>
      </w:r>
      <w:r>
        <w:t xml:space="preserve"> yra atsakinga </w:t>
      </w:r>
      <w:r w:rsidR="00E87D21">
        <w:t xml:space="preserve">Lietuvos Respublikos ūkio </w:t>
      </w:r>
      <w:r>
        <w:t>ministerija</w:t>
      </w:r>
      <w:r w:rsidRPr="00A14A8D">
        <w:t>. Perskaičiuoti fiksuoti</w:t>
      </w:r>
      <w:r w:rsidR="00267341">
        <w:t>eji</w:t>
      </w:r>
      <w:r w:rsidRPr="00A14A8D">
        <w:t xml:space="preserve"> įkainiai taikomi sutartims, kurios sudaromos po perskaičiuotų fiksuotųjų įkainių įsigaliojimo.</w:t>
      </w:r>
    </w:p>
    <w:p w14:paraId="0FAE5345" w14:textId="5B69CB0C" w:rsidR="00A92DD3" w:rsidRDefault="00A92DD3" w:rsidP="00537A1E">
      <w:pPr>
        <w:spacing w:after="160" w:line="259" w:lineRule="auto"/>
        <w:jc w:val="left"/>
      </w:pPr>
      <w:bookmarkStart w:id="0" w:name="_GoBack"/>
      <w:bookmarkEnd w:id="0"/>
    </w:p>
    <w:sectPr w:rsidR="00A92DD3" w:rsidSect="00F87828">
      <w:headerReference w:type="default" r:id="rId9"/>
      <w:footerReference w:type="default" r:id="rId10"/>
      <w:headerReference w:type="first" r:id="rId11"/>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99FD6" w14:textId="77777777" w:rsidR="00710A59" w:rsidRDefault="00710A59" w:rsidP="008C1B61">
      <w:pPr>
        <w:spacing w:line="240" w:lineRule="auto"/>
      </w:pPr>
      <w:r>
        <w:separator/>
      </w:r>
    </w:p>
  </w:endnote>
  <w:endnote w:type="continuationSeparator" w:id="0">
    <w:p w14:paraId="5EAC1CA2" w14:textId="77777777" w:rsidR="00710A59" w:rsidRDefault="00710A59" w:rsidP="008C1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59728"/>
      <w:docPartObj>
        <w:docPartGallery w:val="Page Numbers (Bottom of Page)"/>
        <w:docPartUnique/>
      </w:docPartObj>
    </w:sdtPr>
    <w:sdtEndPr/>
    <w:sdtContent>
      <w:p w14:paraId="5E103BBD" w14:textId="20A853AA" w:rsidR="00467395" w:rsidRDefault="00467395">
        <w:pPr>
          <w:pStyle w:val="Porat"/>
          <w:jc w:val="center"/>
        </w:pPr>
        <w:r>
          <w:fldChar w:fldCharType="begin"/>
        </w:r>
        <w:r>
          <w:instrText>PAGE   \* MERGEFORMAT</w:instrText>
        </w:r>
        <w:r>
          <w:fldChar w:fldCharType="separate"/>
        </w:r>
        <w:r w:rsidR="00537A1E">
          <w:rPr>
            <w:noProof/>
          </w:rPr>
          <w:t>7</w:t>
        </w:r>
        <w:r>
          <w:fldChar w:fldCharType="end"/>
        </w:r>
      </w:p>
    </w:sdtContent>
  </w:sdt>
  <w:p w14:paraId="2FD0A923" w14:textId="77777777" w:rsidR="00467395" w:rsidRDefault="004673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15D41" w14:textId="77777777" w:rsidR="00710A59" w:rsidRDefault="00710A59" w:rsidP="008C1B61">
      <w:pPr>
        <w:spacing w:line="240" w:lineRule="auto"/>
      </w:pPr>
      <w:r>
        <w:separator/>
      </w:r>
    </w:p>
  </w:footnote>
  <w:footnote w:type="continuationSeparator" w:id="0">
    <w:p w14:paraId="163B912C" w14:textId="77777777" w:rsidR="00710A59" w:rsidRDefault="00710A59" w:rsidP="008C1B61">
      <w:pPr>
        <w:spacing w:line="240" w:lineRule="auto"/>
      </w:pPr>
      <w:r>
        <w:continuationSeparator/>
      </w:r>
    </w:p>
  </w:footnote>
  <w:footnote w:id="1">
    <w:p w14:paraId="23172423" w14:textId="77777777" w:rsidR="00467395" w:rsidRDefault="00467395">
      <w:pPr>
        <w:pStyle w:val="Puslapioinaostekstas"/>
      </w:pPr>
      <w:r>
        <w:rPr>
          <w:rStyle w:val="Puslapioinaosnuoroda"/>
        </w:rPr>
        <w:footnoteRef/>
      </w:r>
      <w:r>
        <w:t xml:space="preserve"> </w:t>
      </w:r>
      <w:r w:rsidRPr="00AE3055">
        <w:rPr>
          <w:i/>
          <w:sz w:val="16"/>
          <w:szCs w:val="16"/>
        </w:rPr>
        <w:t xml:space="preserve">Darbdavio valstybinio socialinio draudimo įmokos apskaičiuojamos vadovaujantis </w:t>
      </w:r>
      <w:r w:rsidRPr="00F9171F">
        <w:rPr>
          <w:i/>
          <w:sz w:val="16"/>
          <w:szCs w:val="16"/>
        </w:rPr>
        <w:t>2015 m. gruodžio 10 d. Lietuvos Respublikos valstybinio</w:t>
      </w:r>
      <w:r w:rsidRPr="00AE3055">
        <w:rPr>
          <w:i/>
          <w:sz w:val="16"/>
          <w:szCs w:val="16"/>
        </w:rPr>
        <w:t xml:space="preserve"> socialinio draudimo fondo biudžeto 2016 metų rodiklių patvirtinimo įstatymu Nr. XII-2164</w:t>
      </w:r>
      <w:r>
        <w:rPr>
          <w:i/>
          <w:sz w:val="16"/>
          <w:szCs w:val="16"/>
        </w:rPr>
        <w:t xml:space="preserve"> </w:t>
      </w:r>
      <w:hyperlink r:id="rId1" w:history="1">
        <w:r w:rsidRPr="00AE5D84">
          <w:rPr>
            <w:rStyle w:val="Hipersaitas"/>
            <w:i/>
            <w:sz w:val="16"/>
            <w:szCs w:val="16"/>
          </w:rPr>
          <w:t>(TAR 2015-12-21)</w:t>
        </w:r>
      </w:hyperlink>
    </w:p>
  </w:footnote>
  <w:footnote w:id="2">
    <w:p w14:paraId="49D2163A" w14:textId="77777777" w:rsidR="00467395" w:rsidRDefault="00467395">
      <w:pPr>
        <w:pStyle w:val="Puslapioinaostekstas"/>
      </w:pPr>
      <w:r>
        <w:rPr>
          <w:rStyle w:val="Puslapioinaosnuoroda"/>
        </w:rPr>
        <w:footnoteRef/>
      </w:r>
      <w:r>
        <w:t xml:space="preserve"> </w:t>
      </w:r>
      <w:r w:rsidRPr="00345C3A">
        <w:rPr>
          <w:i/>
          <w:sz w:val="16"/>
          <w:szCs w:val="16"/>
        </w:rPr>
        <w:t>D</w:t>
      </w:r>
      <w:r w:rsidRPr="00345C3A">
        <w:rPr>
          <w:i/>
          <w:color w:val="000000"/>
          <w:spacing w:val="1"/>
          <w:sz w:val="16"/>
          <w:szCs w:val="16"/>
        </w:rPr>
        <w:t>arbdavio mokamų įmokų į garantinį fondą dydžiai</w:t>
      </w:r>
      <w:r w:rsidRPr="00345C3A">
        <w:rPr>
          <w:i/>
          <w:color w:val="000000"/>
          <w:spacing w:val="2"/>
          <w:sz w:val="16"/>
          <w:szCs w:val="16"/>
        </w:rPr>
        <w:t xml:space="preserve"> nustatyti Lietuvos Respublikos </w:t>
      </w:r>
      <w:r>
        <w:rPr>
          <w:i/>
          <w:color w:val="000000"/>
          <w:spacing w:val="2"/>
          <w:sz w:val="16"/>
          <w:szCs w:val="16"/>
        </w:rPr>
        <w:t>g</w:t>
      </w:r>
      <w:r w:rsidRPr="00345C3A">
        <w:rPr>
          <w:i/>
          <w:color w:val="000000"/>
          <w:spacing w:val="2"/>
          <w:sz w:val="16"/>
          <w:szCs w:val="16"/>
        </w:rPr>
        <w:t xml:space="preserve">arantinio fondo </w:t>
      </w:r>
      <w:r w:rsidRPr="00345C3A">
        <w:rPr>
          <w:i/>
          <w:color w:val="000000"/>
          <w:spacing w:val="1"/>
          <w:sz w:val="16"/>
          <w:szCs w:val="16"/>
        </w:rPr>
        <w:t>įstatyme.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89B1B" w14:textId="77777777" w:rsidR="00467395" w:rsidRDefault="00467395" w:rsidP="00A14A8D">
    <w:pPr>
      <w:ind w:left="6237"/>
      <w:rPr>
        <w:color w:val="000000"/>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4C229" w14:textId="0AF43BBC" w:rsidR="0040181B" w:rsidRDefault="0040181B" w:rsidP="004B710E">
    <w:pPr>
      <w:ind w:left="6237"/>
      <w:rPr>
        <w:color w:val="000000"/>
        <w:sz w:val="20"/>
        <w:szCs w:val="24"/>
        <w:lang w:eastAsia="lt-LT"/>
      </w:rPr>
    </w:pPr>
    <w:r>
      <w:rPr>
        <w:color w:val="000000"/>
        <w:sz w:val="20"/>
        <w:szCs w:val="24"/>
        <w:lang w:eastAsia="lt-LT"/>
      </w:rPr>
      <w:t xml:space="preserve">Lietuvos Respublikos ūkio ministerijos 2016 m. rugpjūčio 18 d. </w:t>
    </w:r>
    <w:r w:rsidR="00467395" w:rsidRPr="004C30A0">
      <w:rPr>
        <w:color w:val="000000"/>
        <w:sz w:val="20"/>
        <w:szCs w:val="24"/>
        <w:lang w:eastAsia="lt-LT"/>
      </w:rPr>
      <w:t xml:space="preserve">Vienos valandos vieno </w:t>
    </w:r>
    <w:r w:rsidR="00467395">
      <w:rPr>
        <w:color w:val="000000"/>
        <w:sz w:val="20"/>
        <w:szCs w:val="24"/>
        <w:lang w:eastAsia="lt-LT"/>
      </w:rPr>
      <w:t xml:space="preserve">mokomo </w:t>
    </w:r>
    <w:r w:rsidR="00467395" w:rsidRPr="004C30A0">
      <w:rPr>
        <w:color w:val="000000"/>
        <w:sz w:val="20"/>
        <w:szCs w:val="24"/>
        <w:lang w:eastAsia="lt-LT"/>
      </w:rPr>
      <w:t xml:space="preserve">darbuotojo </w:t>
    </w:r>
    <w:r w:rsidR="00467395">
      <w:rPr>
        <w:color w:val="000000"/>
        <w:sz w:val="20"/>
        <w:szCs w:val="24"/>
        <w:lang w:eastAsia="lt-LT"/>
      </w:rPr>
      <w:t xml:space="preserve">mokymų </w:t>
    </w:r>
    <w:r w:rsidR="00467395" w:rsidRPr="004C30A0">
      <w:rPr>
        <w:color w:val="000000"/>
        <w:sz w:val="20"/>
        <w:szCs w:val="24"/>
        <w:lang w:eastAsia="lt-LT"/>
      </w:rPr>
      <w:t>išlaidų nustatymo pagrindimas</w:t>
    </w:r>
    <w:r>
      <w:rPr>
        <w:color w:val="000000"/>
        <w:sz w:val="20"/>
        <w:szCs w:val="24"/>
        <w:lang w:eastAsia="lt-LT"/>
      </w:rPr>
      <w:t xml:space="preserve"> </w:t>
    </w:r>
  </w:p>
  <w:p w14:paraId="4DFB6C79" w14:textId="57EE1CD3" w:rsidR="00467395" w:rsidRDefault="0040181B" w:rsidP="004B710E">
    <w:pPr>
      <w:ind w:left="6237"/>
      <w:rPr>
        <w:color w:val="000000"/>
        <w:sz w:val="20"/>
        <w:szCs w:val="24"/>
        <w:lang w:eastAsia="lt-LT"/>
      </w:rPr>
    </w:pPr>
    <w:r>
      <w:rPr>
        <w:color w:val="000000"/>
        <w:sz w:val="20"/>
        <w:szCs w:val="24"/>
        <w:lang w:eastAsia="lt-LT"/>
      </w:rPr>
      <w:t>(</w:t>
    </w:r>
    <w:r w:rsidR="00467395" w:rsidRPr="004C30A0">
      <w:rPr>
        <w:color w:val="000000"/>
        <w:sz w:val="20"/>
        <w:szCs w:val="24"/>
        <w:lang w:eastAsia="lt-LT"/>
      </w:rPr>
      <w:t>201</w:t>
    </w:r>
    <w:r w:rsidR="00467395">
      <w:rPr>
        <w:color w:val="000000"/>
        <w:sz w:val="20"/>
        <w:szCs w:val="24"/>
        <w:lang w:eastAsia="lt-LT"/>
      </w:rPr>
      <w:t>7</w:t>
    </w:r>
    <w:r w:rsidR="00467395" w:rsidRPr="004C30A0">
      <w:rPr>
        <w:color w:val="000000"/>
        <w:sz w:val="20"/>
        <w:szCs w:val="24"/>
        <w:lang w:eastAsia="lt-LT"/>
      </w:rPr>
      <w:t xml:space="preserve"> m. </w:t>
    </w:r>
    <w:r w:rsidR="00467395">
      <w:rPr>
        <w:color w:val="000000"/>
        <w:sz w:val="20"/>
        <w:szCs w:val="24"/>
        <w:lang w:eastAsia="lt-LT"/>
      </w:rPr>
      <w:t>sausio 1</w:t>
    </w:r>
    <w:r w:rsidR="00940F52">
      <w:rPr>
        <w:color w:val="000000"/>
        <w:sz w:val="20"/>
        <w:szCs w:val="24"/>
        <w:lang w:eastAsia="lt-LT"/>
      </w:rPr>
      <w:t>8</w:t>
    </w:r>
    <w:r w:rsidR="00467395" w:rsidRPr="004C30A0">
      <w:rPr>
        <w:color w:val="000000"/>
        <w:sz w:val="20"/>
        <w:szCs w:val="24"/>
        <w:lang w:eastAsia="lt-LT"/>
      </w:rPr>
      <w:t xml:space="preserve"> d.</w:t>
    </w:r>
    <w:r w:rsidR="00467395">
      <w:rPr>
        <w:color w:val="000000"/>
        <w:sz w:val="20"/>
        <w:szCs w:val="24"/>
        <w:lang w:eastAsia="lt-LT"/>
      </w:rPr>
      <w:t xml:space="preserve"> redakcija</w:t>
    </w:r>
    <w:r>
      <w:rPr>
        <w:color w:val="000000"/>
        <w:sz w:val="20"/>
        <w:szCs w:val="24"/>
        <w:lang w:eastAsia="lt-LT"/>
      </w:rPr>
      <w:t>)</w:t>
    </w:r>
  </w:p>
  <w:p w14:paraId="417D4A14" w14:textId="77777777" w:rsidR="00467395" w:rsidRDefault="004673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2E04"/>
    <w:multiLevelType w:val="hybridMultilevel"/>
    <w:tmpl w:val="10E0A074"/>
    <w:lvl w:ilvl="0" w:tplc="1714BDBA">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C8E2983"/>
    <w:multiLevelType w:val="hybridMultilevel"/>
    <w:tmpl w:val="83086FB2"/>
    <w:lvl w:ilvl="0" w:tplc="F750636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905D53"/>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E3D7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4D4722"/>
    <w:multiLevelType w:val="multilevel"/>
    <w:tmpl w:val="579EE23A"/>
    <w:lvl w:ilvl="0">
      <w:start w:val="1"/>
      <w:numFmt w:val="upperRoman"/>
      <w:lvlText w:val="%1."/>
      <w:lvlJc w:val="righ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4A015E6F"/>
    <w:multiLevelType w:val="multilevel"/>
    <w:tmpl w:val="042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61DC12A4"/>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62E70111"/>
    <w:multiLevelType w:val="multilevel"/>
    <w:tmpl w:val="0427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4C94362"/>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69077630"/>
    <w:multiLevelType w:val="hybridMultilevel"/>
    <w:tmpl w:val="D994A0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C36297E"/>
    <w:multiLevelType w:val="hybridMultilevel"/>
    <w:tmpl w:val="119271EC"/>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nsid w:val="72480185"/>
    <w:multiLevelType w:val="multilevel"/>
    <w:tmpl w:val="A3D491B8"/>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2"/>
  </w:num>
  <w:num w:numId="4">
    <w:abstractNumId w:val="9"/>
  </w:num>
  <w:num w:numId="5">
    <w:abstractNumId w:val="6"/>
  </w:num>
  <w:num w:numId="6">
    <w:abstractNumId w:val="7"/>
  </w:num>
  <w:num w:numId="7">
    <w:abstractNumId w:val="3"/>
  </w:num>
  <w:num w:numId="8">
    <w:abstractNumId w:val="8"/>
  </w:num>
  <w:num w:numId="9">
    <w:abstractNumId w:val="1"/>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21"/>
    <w:rsid w:val="000036E0"/>
    <w:rsid w:val="00012348"/>
    <w:rsid w:val="00025FC8"/>
    <w:rsid w:val="00026624"/>
    <w:rsid w:val="000305BA"/>
    <w:rsid w:val="00035B9E"/>
    <w:rsid w:val="0003782E"/>
    <w:rsid w:val="00047EFA"/>
    <w:rsid w:val="00050E7A"/>
    <w:rsid w:val="00051A9C"/>
    <w:rsid w:val="0006062F"/>
    <w:rsid w:val="00080C3F"/>
    <w:rsid w:val="000B0119"/>
    <w:rsid w:val="000D5CB8"/>
    <w:rsid w:val="000E7E8F"/>
    <w:rsid w:val="00100273"/>
    <w:rsid w:val="00105A0F"/>
    <w:rsid w:val="00120296"/>
    <w:rsid w:val="001228AA"/>
    <w:rsid w:val="00125E7D"/>
    <w:rsid w:val="00132045"/>
    <w:rsid w:val="00133084"/>
    <w:rsid w:val="00143979"/>
    <w:rsid w:val="00147FC7"/>
    <w:rsid w:val="00154AC1"/>
    <w:rsid w:val="00180763"/>
    <w:rsid w:val="00183FC8"/>
    <w:rsid w:val="00193703"/>
    <w:rsid w:val="001A797B"/>
    <w:rsid w:val="001D4371"/>
    <w:rsid w:val="001D701C"/>
    <w:rsid w:val="001E4E20"/>
    <w:rsid w:val="001F6FE9"/>
    <w:rsid w:val="00201FD3"/>
    <w:rsid w:val="0021494B"/>
    <w:rsid w:val="002624B7"/>
    <w:rsid w:val="00267341"/>
    <w:rsid w:val="00270064"/>
    <w:rsid w:val="0027550E"/>
    <w:rsid w:val="002916BB"/>
    <w:rsid w:val="0029175C"/>
    <w:rsid w:val="002A1881"/>
    <w:rsid w:val="002C537D"/>
    <w:rsid w:val="002E1A7C"/>
    <w:rsid w:val="003169DC"/>
    <w:rsid w:val="00335F8D"/>
    <w:rsid w:val="0035615D"/>
    <w:rsid w:val="00370514"/>
    <w:rsid w:val="00375598"/>
    <w:rsid w:val="003858A9"/>
    <w:rsid w:val="003866E4"/>
    <w:rsid w:val="003903DF"/>
    <w:rsid w:val="0039176D"/>
    <w:rsid w:val="00394820"/>
    <w:rsid w:val="003A065E"/>
    <w:rsid w:val="003B0A5F"/>
    <w:rsid w:val="003C1230"/>
    <w:rsid w:val="003C1A54"/>
    <w:rsid w:val="003E38F8"/>
    <w:rsid w:val="003E657F"/>
    <w:rsid w:val="003F0A2A"/>
    <w:rsid w:val="003F3827"/>
    <w:rsid w:val="003F5CD5"/>
    <w:rsid w:val="003F6B8A"/>
    <w:rsid w:val="0040181B"/>
    <w:rsid w:val="004039CD"/>
    <w:rsid w:val="00403DEC"/>
    <w:rsid w:val="00412ED4"/>
    <w:rsid w:val="00442D9A"/>
    <w:rsid w:val="0044346D"/>
    <w:rsid w:val="00445CC3"/>
    <w:rsid w:val="00467395"/>
    <w:rsid w:val="0048040B"/>
    <w:rsid w:val="004867DE"/>
    <w:rsid w:val="004878AC"/>
    <w:rsid w:val="00492551"/>
    <w:rsid w:val="004A5096"/>
    <w:rsid w:val="004B04DC"/>
    <w:rsid w:val="004B710E"/>
    <w:rsid w:val="004C24A7"/>
    <w:rsid w:val="004F3017"/>
    <w:rsid w:val="00505BF6"/>
    <w:rsid w:val="00516C62"/>
    <w:rsid w:val="00522282"/>
    <w:rsid w:val="005265E3"/>
    <w:rsid w:val="0053413C"/>
    <w:rsid w:val="00537A1E"/>
    <w:rsid w:val="005404EF"/>
    <w:rsid w:val="00541D3B"/>
    <w:rsid w:val="00546C8D"/>
    <w:rsid w:val="00546E40"/>
    <w:rsid w:val="0057446C"/>
    <w:rsid w:val="0057737E"/>
    <w:rsid w:val="005841F4"/>
    <w:rsid w:val="00585531"/>
    <w:rsid w:val="005877DF"/>
    <w:rsid w:val="005A5CED"/>
    <w:rsid w:val="005C7B8F"/>
    <w:rsid w:val="005D33EB"/>
    <w:rsid w:val="005E6571"/>
    <w:rsid w:val="005E75A0"/>
    <w:rsid w:val="005F1888"/>
    <w:rsid w:val="00600810"/>
    <w:rsid w:val="00602008"/>
    <w:rsid w:val="0062775F"/>
    <w:rsid w:val="00657F16"/>
    <w:rsid w:val="0067229A"/>
    <w:rsid w:val="00675D6B"/>
    <w:rsid w:val="006975AE"/>
    <w:rsid w:val="00697A88"/>
    <w:rsid w:val="00697B0C"/>
    <w:rsid w:val="006F60E6"/>
    <w:rsid w:val="00710A59"/>
    <w:rsid w:val="00711B68"/>
    <w:rsid w:val="00736493"/>
    <w:rsid w:val="00750AE7"/>
    <w:rsid w:val="00755E62"/>
    <w:rsid w:val="00782F33"/>
    <w:rsid w:val="00783F1A"/>
    <w:rsid w:val="00790120"/>
    <w:rsid w:val="007A183F"/>
    <w:rsid w:val="00804939"/>
    <w:rsid w:val="00822E4E"/>
    <w:rsid w:val="0082697B"/>
    <w:rsid w:val="00831377"/>
    <w:rsid w:val="008478D4"/>
    <w:rsid w:val="00852F06"/>
    <w:rsid w:val="008577B2"/>
    <w:rsid w:val="00876EB8"/>
    <w:rsid w:val="008949F1"/>
    <w:rsid w:val="008B0D0C"/>
    <w:rsid w:val="008C0F81"/>
    <w:rsid w:val="008C1B61"/>
    <w:rsid w:val="008E0B44"/>
    <w:rsid w:val="008E255C"/>
    <w:rsid w:val="008E6880"/>
    <w:rsid w:val="008F0A2E"/>
    <w:rsid w:val="00910CE8"/>
    <w:rsid w:val="00914C50"/>
    <w:rsid w:val="0091707B"/>
    <w:rsid w:val="00924227"/>
    <w:rsid w:val="0093016B"/>
    <w:rsid w:val="00934EC1"/>
    <w:rsid w:val="00936457"/>
    <w:rsid w:val="00940F52"/>
    <w:rsid w:val="00941087"/>
    <w:rsid w:val="00960E8D"/>
    <w:rsid w:val="00962A80"/>
    <w:rsid w:val="0096772C"/>
    <w:rsid w:val="0097108D"/>
    <w:rsid w:val="0097180B"/>
    <w:rsid w:val="00994048"/>
    <w:rsid w:val="009A3826"/>
    <w:rsid w:val="009B105E"/>
    <w:rsid w:val="009C71A9"/>
    <w:rsid w:val="009F1F18"/>
    <w:rsid w:val="00A14A8D"/>
    <w:rsid w:val="00A242B3"/>
    <w:rsid w:val="00A33A1D"/>
    <w:rsid w:val="00A531AC"/>
    <w:rsid w:val="00A56470"/>
    <w:rsid w:val="00A56D38"/>
    <w:rsid w:val="00A574A7"/>
    <w:rsid w:val="00A677FD"/>
    <w:rsid w:val="00A92DD3"/>
    <w:rsid w:val="00AC2F33"/>
    <w:rsid w:val="00AD05B7"/>
    <w:rsid w:val="00AD5E7C"/>
    <w:rsid w:val="00AE2EA2"/>
    <w:rsid w:val="00AF1AD0"/>
    <w:rsid w:val="00AF6A21"/>
    <w:rsid w:val="00AF765F"/>
    <w:rsid w:val="00B14729"/>
    <w:rsid w:val="00B16333"/>
    <w:rsid w:val="00B20C3E"/>
    <w:rsid w:val="00B30749"/>
    <w:rsid w:val="00B35562"/>
    <w:rsid w:val="00B41897"/>
    <w:rsid w:val="00B50FA7"/>
    <w:rsid w:val="00B72ED5"/>
    <w:rsid w:val="00B74DEB"/>
    <w:rsid w:val="00B77923"/>
    <w:rsid w:val="00B81117"/>
    <w:rsid w:val="00B86EFF"/>
    <w:rsid w:val="00BB1231"/>
    <w:rsid w:val="00BC20B3"/>
    <w:rsid w:val="00BD1363"/>
    <w:rsid w:val="00BD1997"/>
    <w:rsid w:val="00BD34BE"/>
    <w:rsid w:val="00BE27E0"/>
    <w:rsid w:val="00C10771"/>
    <w:rsid w:val="00C1214D"/>
    <w:rsid w:val="00C32B72"/>
    <w:rsid w:val="00C3595E"/>
    <w:rsid w:val="00C47AC0"/>
    <w:rsid w:val="00C54B3A"/>
    <w:rsid w:val="00C71BC7"/>
    <w:rsid w:val="00C77DA5"/>
    <w:rsid w:val="00C85965"/>
    <w:rsid w:val="00CB1EED"/>
    <w:rsid w:val="00CC2AB0"/>
    <w:rsid w:val="00CD1349"/>
    <w:rsid w:val="00CD525D"/>
    <w:rsid w:val="00D17D2F"/>
    <w:rsid w:val="00D23DBD"/>
    <w:rsid w:val="00D31FF1"/>
    <w:rsid w:val="00D35510"/>
    <w:rsid w:val="00D47E8F"/>
    <w:rsid w:val="00D506E7"/>
    <w:rsid w:val="00D61027"/>
    <w:rsid w:val="00D620C0"/>
    <w:rsid w:val="00D71B89"/>
    <w:rsid w:val="00D92CC1"/>
    <w:rsid w:val="00DA026A"/>
    <w:rsid w:val="00DC06C0"/>
    <w:rsid w:val="00DC3F70"/>
    <w:rsid w:val="00DD6BD3"/>
    <w:rsid w:val="00DE5F47"/>
    <w:rsid w:val="00DF2269"/>
    <w:rsid w:val="00E05FB9"/>
    <w:rsid w:val="00E11D57"/>
    <w:rsid w:val="00E16644"/>
    <w:rsid w:val="00E20624"/>
    <w:rsid w:val="00E272C5"/>
    <w:rsid w:val="00E34A35"/>
    <w:rsid w:val="00E41C62"/>
    <w:rsid w:val="00E4250E"/>
    <w:rsid w:val="00E42661"/>
    <w:rsid w:val="00E47153"/>
    <w:rsid w:val="00E55175"/>
    <w:rsid w:val="00E6745D"/>
    <w:rsid w:val="00E67D99"/>
    <w:rsid w:val="00E71663"/>
    <w:rsid w:val="00E769B9"/>
    <w:rsid w:val="00E87D21"/>
    <w:rsid w:val="00E91848"/>
    <w:rsid w:val="00EA2B03"/>
    <w:rsid w:val="00EA3E1D"/>
    <w:rsid w:val="00EB7E01"/>
    <w:rsid w:val="00ED3654"/>
    <w:rsid w:val="00EE6EC1"/>
    <w:rsid w:val="00EF7E84"/>
    <w:rsid w:val="00F01574"/>
    <w:rsid w:val="00F02FED"/>
    <w:rsid w:val="00F0375F"/>
    <w:rsid w:val="00F21877"/>
    <w:rsid w:val="00F366FE"/>
    <w:rsid w:val="00F45956"/>
    <w:rsid w:val="00F66A23"/>
    <w:rsid w:val="00F66DFC"/>
    <w:rsid w:val="00F71A4B"/>
    <w:rsid w:val="00F7668E"/>
    <w:rsid w:val="00F83682"/>
    <w:rsid w:val="00F87828"/>
    <w:rsid w:val="00F90374"/>
    <w:rsid w:val="00F9171F"/>
    <w:rsid w:val="00F9635A"/>
    <w:rsid w:val="00FA20C9"/>
    <w:rsid w:val="00FB2838"/>
    <w:rsid w:val="00FD074F"/>
    <w:rsid w:val="00FD24C5"/>
    <w:rsid w:val="00FD52BE"/>
    <w:rsid w:val="00FD7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2AB0"/>
    <w:pPr>
      <w:spacing w:after="0" w:line="36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8C1B61"/>
    <w:pPr>
      <w:keepNext/>
      <w:keepLines/>
      <w:numPr>
        <w:numId w:val="1"/>
      </w:numPr>
      <w:spacing w:before="240"/>
      <w:ind w:left="113" w:hanging="113"/>
      <w:jc w:val="center"/>
      <w:outlineLvl w:val="0"/>
    </w:pPr>
    <w:rPr>
      <w:rFonts w:eastAsiaTheme="majorEastAsia" w:cstheme="majorBidi"/>
      <w:b/>
      <w:sz w:val="28"/>
      <w:szCs w:val="32"/>
    </w:rPr>
  </w:style>
  <w:style w:type="paragraph" w:styleId="Antrat2">
    <w:name w:val="heading 2"/>
    <w:basedOn w:val="prastasis"/>
    <w:next w:val="prastasis"/>
    <w:link w:val="Antrat2Diagrama"/>
    <w:uiPriority w:val="9"/>
    <w:semiHidden/>
    <w:unhideWhenUsed/>
    <w:qFormat/>
    <w:rsid w:val="008949F1"/>
    <w:pPr>
      <w:keepNext/>
      <w:keepLines/>
      <w:spacing w:before="40"/>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1B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C1B61"/>
  </w:style>
  <w:style w:type="paragraph" w:styleId="Porat">
    <w:name w:val="footer"/>
    <w:basedOn w:val="prastasis"/>
    <w:link w:val="PoratDiagrama"/>
    <w:uiPriority w:val="99"/>
    <w:unhideWhenUsed/>
    <w:rsid w:val="008C1B6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C1B61"/>
  </w:style>
  <w:style w:type="character" w:customStyle="1" w:styleId="Antrat1Diagrama">
    <w:name w:val="Antraštė 1 Diagrama"/>
    <w:basedOn w:val="Numatytasispastraiposriftas"/>
    <w:link w:val="Antrat1"/>
    <w:uiPriority w:val="9"/>
    <w:rsid w:val="008C1B61"/>
    <w:rPr>
      <w:rFonts w:ascii="Times New Roman" w:eastAsiaTheme="majorEastAsia" w:hAnsi="Times New Roman" w:cstheme="majorBidi"/>
      <w:b/>
      <w:sz w:val="28"/>
      <w:szCs w:val="32"/>
    </w:rPr>
  </w:style>
  <w:style w:type="character" w:styleId="Komentaronuoroda">
    <w:name w:val="annotation reference"/>
    <w:basedOn w:val="Numatytasispastraiposriftas"/>
    <w:uiPriority w:val="99"/>
    <w:semiHidden/>
    <w:unhideWhenUsed/>
    <w:rsid w:val="008C1B61"/>
    <w:rPr>
      <w:sz w:val="16"/>
      <w:szCs w:val="16"/>
    </w:rPr>
  </w:style>
  <w:style w:type="paragraph" w:styleId="Komentarotekstas">
    <w:name w:val="annotation text"/>
    <w:basedOn w:val="prastasis"/>
    <w:link w:val="KomentarotekstasDiagrama"/>
    <w:uiPriority w:val="99"/>
    <w:semiHidden/>
    <w:unhideWhenUsed/>
    <w:rsid w:val="008C1B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C1B61"/>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C1B61"/>
    <w:rPr>
      <w:b/>
      <w:bCs/>
    </w:rPr>
  </w:style>
  <w:style w:type="character" w:customStyle="1" w:styleId="KomentarotemaDiagrama">
    <w:name w:val="Komentaro tema Diagrama"/>
    <w:basedOn w:val="KomentarotekstasDiagrama"/>
    <w:link w:val="Komentarotema"/>
    <w:uiPriority w:val="99"/>
    <w:semiHidden/>
    <w:rsid w:val="008C1B61"/>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8C1B6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B61"/>
    <w:rPr>
      <w:rFonts w:ascii="Segoe UI" w:hAnsi="Segoe UI" w:cs="Segoe UI"/>
      <w:sz w:val="18"/>
      <w:szCs w:val="18"/>
    </w:rPr>
  </w:style>
  <w:style w:type="paragraph" w:styleId="Sraopastraipa">
    <w:name w:val="List Paragraph"/>
    <w:basedOn w:val="prastasis"/>
    <w:uiPriority w:val="34"/>
    <w:qFormat/>
    <w:rsid w:val="000305BA"/>
    <w:pPr>
      <w:ind w:left="720"/>
      <w:contextualSpacing/>
    </w:pPr>
  </w:style>
  <w:style w:type="paragraph" w:styleId="Puslapioinaostekstas">
    <w:name w:val="footnote text"/>
    <w:basedOn w:val="prastasis"/>
    <w:link w:val="PuslapioinaostekstasDiagrama"/>
    <w:uiPriority w:val="99"/>
    <w:semiHidden/>
    <w:unhideWhenUsed/>
    <w:rsid w:val="00133084"/>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33084"/>
    <w:rPr>
      <w:rFonts w:ascii="Times New Roman" w:hAnsi="Times New Roman"/>
      <w:sz w:val="20"/>
      <w:szCs w:val="20"/>
    </w:rPr>
  </w:style>
  <w:style w:type="character" w:styleId="Puslapioinaosnuoroda">
    <w:name w:val="footnote reference"/>
    <w:basedOn w:val="Numatytasispastraiposriftas"/>
    <w:uiPriority w:val="99"/>
    <w:semiHidden/>
    <w:unhideWhenUsed/>
    <w:rsid w:val="00133084"/>
    <w:rPr>
      <w:vertAlign w:val="superscript"/>
    </w:rPr>
  </w:style>
  <w:style w:type="character" w:customStyle="1" w:styleId="Antrat2Diagrama">
    <w:name w:val="Antraštė 2 Diagrama"/>
    <w:basedOn w:val="Numatytasispastraiposriftas"/>
    <w:link w:val="Antrat2"/>
    <w:uiPriority w:val="9"/>
    <w:semiHidden/>
    <w:rsid w:val="00F90374"/>
    <w:rPr>
      <w:rFonts w:ascii="Times New Roman" w:eastAsiaTheme="majorEastAsia" w:hAnsi="Times New Roman" w:cstheme="majorBidi"/>
      <w:b/>
      <w:sz w:val="24"/>
      <w:szCs w:val="26"/>
    </w:rPr>
  </w:style>
  <w:style w:type="character" w:styleId="Vietosrezervavimoenklotekstas">
    <w:name w:val="Placeholder Text"/>
    <w:basedOn w:val="Numatytasispastraiposriftas"/>
    <w:uiPriority w:val="99"/>
    <w:semiHidden/>
    <w:rsid w:val="00A531AC"/>
    <w:rPr>
      <w:color w:val="808080"/>
    </w:rPr>
  </w:style>
  <w:style w:type="paragraph" w:styleId="Antrat">
    <w:name w:val="caption"/>
    <w:basedOn w:val="prastasis"/>
    <w:next w:val="prastasis"/>
    <w:uiPriority w:val="35"/>
    <w:unhideWhenUsed/>
    <w:qFormat/>
    <w:rsid w:val="0048040B"/>
    <w:pPr>
      <w:spacing w:after="200" w:line="240" w:lineRule="auto"/>
    </w:pPr>
    <w:rPr>
      <w:iCs/>
      <w:color w:val="000000" w:themeColor="text1"/>
      <w:sz w:val="18"/>
      <w:szCs w:val="18"/>
    </w:rPr>
  </w:style>
  <w:style w:type="character" w:styleId="Hipersaitas">
    <w:name w:val="Hyperlink"/>
    <w:basedOn w:val="Numatytasispastraiposriftas"/>
    <w:uiPriority w:val="99"/>
    <w:unhideWhenUsed/>
    <w:rsid w:val="00E34A35"/>
    <w:rPr>
      <w:color w:val="0563C1" w:themeColor="hyperlink"/>
      <w:u w:val="single"/>
    </w:rPr>
  </w:style>
  <w:style w:type="character" w:styleId="Perirtashipersaitas">
    <w:name w:val="FollowedHyperlink"/>
    <w:basedOn w:val="Numatytasispastraiposriftas"/>
    <w:uiPriority w:val="99"/>
    <w:semiHidden/>
    <w:unhideWhenUsed/>
    <w:rsid w:val="00F9171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2AB0"/>
    <w:pPr>
      <w:spacing w:after="0" w:line="36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8C1B61"/>
    <w:pPr>
      <w:keepNext/>
      <w:keepLines/>
      <w:numPr>
        <w:numId w:val="1"/>
      </w:numPr>
      <w:spacing w:before="240"/>
      <w:ind w:left="113" w:hanging="113"/>
      <w:jc w:val="center"/>
      <w:outlineLvl w:val="0"/>
    </w:pPr>
    <w:rPr>
      <w:rFonts w:eastAsiaTheme="majorEastAsia" w:cstheme="majorBidi"/>
      <w:b/>
      <w:sz w:val="28"/>
      <w:szCs w:val="32"/>
    </w:rPr>
  </w:style>
  <w:style w:type="paragraph" w:styleId="Antrat2">
    <w:name w:val="heading 2"/>
    <w:basedOn w:val="prastasis"/>
    <w:next w:val="prastasis"/>
    <w:link w:val="Antrat2Diagrama"/>
    <w:uiPriority w:val="9"/>
    <w:semiHidden/>
    <w:unhideWhenUsed/>
    <w:qFormat/>
    <w:rsid w:val="008949F1"/>
    <w:pPr>
      <w:keepNext/>
      <w:keepLines/>
      <w:spacing w:before="40"/>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1B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C1B61"/>
  </w:style>
  <w:style w:type="paragraph" w:styleId="Porat">
    <w:name w:val="footer"/>
    <w:basedOn w:val="prastasis"/>
    <w:link w:val="PoratDiagrama"/>
    <w:uiPriority w:val="99"/>
    <w:unhideWhenUsed/>
    <w:rsid w:val="008C1B6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C1B61"/>
  </w:style>
  <w:style w:type="character" w:customStyle="1" w:styleId="Antrat1Diagrama">
    <w:name w:val="Antraštė 1 Diagrama"/>
    <w:basedOn w:val="Numatytasispastraiposriftas"/>
    <w:link w:val="Antrat1"/>
    <w:uiPriority w:val="9"/>
    <w:rsid w:val="008C1B61"/>
    <w:rPr>
      <w:rFonts w:ascii="Times New Roman" w:eastAsiaTheme="majorEastAsia" w:hAnsi="Times New Roman" w:cstheme="majorBidi"/>
      <w:b/>
      <w:sz w:val="28"/>
      <w:szCs w:val="32"/>
    </w:rPr>
  </w:style>
  <w:style w:type="character" w:styleId="Komentaronuoroda">
    <w:name w:val="annotation reference"/>
    <w:basedOn w:val="Numatytasispastraiposriftas"/>
    <w:uiPriority w:val="99"/>
    <w:semiHidden/>
    <w:unhideWhenUsed/>
    <w:rsid w:val="008C1B61"/>
    <w:rPr>
      <w:sz w:val="16"/>
      <w:szCs w:val="16"/>
    </w:rPr>
  </w:style>
  <w:style w:type="paragraph" w:styleId="Komentarotekstas">
    <w:name w:val="annotation text"/>
    <w:basedOn w:val="prastasis"/>
    <w:link w:val="KomentarotekstasDiagrama"/>
    <w:uiPriority w:val="99"/>
    <w:semiHidden/>
    <w:unhideWhenUsed/>
    <w:rsid w:val="008C1B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C1B61"/>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C1B61"/>
    <w:rPr>
      <w:b/>
      <w:bCs/>
    </w:rPr>
  </w:style>
  <w:style w:type="character" w:customStyle="1" w:styleId="KomentarotemaDiagrama">
    <w:name w:val="Komentaro tema Diagrama"/>
    <w:basedOn w:val="KomentarotekstasDiagrama"/>
    <w:link w:val="Komentarotema"/>
    <w:uiPriority w:val="99"/>
    <w:semiHidden/>
    <w:rsid w:val="008C1B61"/>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8C1B6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B61"/>
    <w:rPr>
      <w:rFonts w:ascii="Segoe UI" w:hAnsi="Segoe UI" w:cs="Segoe UI"/>
      <w:sz w:val="18"/>
      <w:szCs w:val="18"/>
    </w:rPr>
  </w:style>
  <w:style w:type="paragraph" w:styleId="Sraopastraipa">
    <w:name w:val="List Paragraph"/>
    <w:basedOn w:val="prastasis"/>
    <w:uiPriority w:val="34"/>
    <w:qFormat/>
    <w:rsid w:val="000305BA"/>
    <w:pPr>
      <w:ind w:left="720"/>
      <w:contextualSpacing/>
    </w:pPr>
  </w:style>
  <w:style w:type="paragraph" w:styleId="Puslapioinaostekstas">
    <w:name w:val="footnote text"/>
    <w:basedOn w:val="prastasis"/>
    <w:link w:val="PuslapioinaostekstasDiagrama"/>
    <w:uiPriority w:val="99"/>
    <w:semiHidden/>
    <w:unhideWhenUsed/>
    <w:rsid w:val="00133084"/>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33084"/>
    <w:rPr>
      <w:rFonts w:ascii="Times New Roman" w:hAnsi="Times New Roman"/>
      <w:sz w:val="20"/>
      <w:szCs w:val="20"/>
    </w:rPr>
  </w:style>
  <w:style w:type="character" w:styleId="Puslapioinaosnuoroda">
    <w:name w:val="footnote reference"/>
    <w:basedOn w:val="Numatytasispastraiposriftas"/>
    <w:uiPriority w:val="99"/>
    <w:semiHidden/>
    <w:unhideWhenUsed/>
    <w:rsid w:val="00133084"/>
    <w:rPr>
      <w:vertAlign w:val="superscript"/>
    </w:rPr>
  </w:style>
  <w:style w:type="character" w:customStyle="1" w:styleId="Antrat2Diagrama">
    <w:name w:val="Antraštė 2 Diagrama"/>
    <w:basedOn w:val="Numatytasispastraiposriftas"/>
    <w:link w:val="Antrat2"/>
    <w:uiPriority w:val="9"/>
    <w:semiHidden/>
    <w:rsid w:val="00F90374"/>
    <w:rPr>
      <w:rFonts w:ascii="Times New Roman" w:eastAsiaTheme="majorEastAsia" w:hAnsi="Times New Roman" w:cstheme="majorBidi"/>
      <w:b/>
      <w:sz w:val="24"/>
      <w:szCs w:val="26"/>
    </w:rPr>
  </w:style>
  <w:style w:type="character" w:styleId="Vietosrezervavimoenklotekstas">
    <w:name w:val="Placeholder Text"/>
    <w:basedOn w:val="Numatytasispastraiposriftas"/>
    <w:uiPriority w:val="99"/>
    <w:semiHidden/>
    <w:rsid w:val="00A531AC"/>
    <w:rPr>
      <w:color w:val="808080"/>
    </w:rPr>
  </w:style>
  <w:style w:type="paragraph" w:styleId="Antrat">
    <w:name w:val="caption"/>
    <w:basedOn w:val="prastasis"/>
    <w:next w:val="prastasis"/>
    <w:uiPriority w:val="35"/>
    <w:unhideWhenUsed/>
    <w:qFormat/>
    <w:rsid w:val="0048040B"/>
    <w:pPr>
      <w:spacing w:after="200" w:line="240" w:lineRule="auto"/>
    </w:pPr>
    <w:rPr>
      <w:iCs/>
      <w:color w:val="000000" w:themeColor="text1"/>
      <w:sz w:val="18"/>
      <w:szCs w:val="18"/>
    </w:rPr>
  </w:style>
  <w:style w:type="character" w:styleId="Hipersaitas">
    <w:name w:val="Hyperlink"/>
    <w:basedOn w:val="Numatytasispastraiposriftas"/>
    <w:uiPriority w:val="99"/>
    <w:unhideWhenUsed/>
    <w:rsid w:val="00E34A35"/>
    <w:rPr>
      <w:color w:val="0563C1" w:themeColor="hyperlink"/>
      <w:u w:val="single"/>
    </w:rPr>
  </w:style>
  <w:style w:type="character" w:styleId="Perirtashipersaitas">
    <w:name w:val="FollowedHyperlink"/>
    <w:basedOn w:val="Numatytasispastraiposriftas"/>
    <w:uiPriority w:val="99"/>
    <w:semiHidden/>
    <w:unhideWhenUsed/>
    <w:rsid w:val="00F91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63167">
      <w:bodyDiv w:val="1"/>
      <w:marLeft w:val="0"/>
      <w:marRight w:val="0"/>
      <w:marTop w:val="0"/>
      <w:marBottom w:val="0"/>
      <w:divBdr>
        <w:top w:val="none" w:sz="0" w:space="0" w:color="auto"/>
        <w:left w:val="none" w:sz="0" w:space="0" w:color="auto"/>
        <w:bottom w:val="none" w:sz="0" w:space="0" w:color="auto"/>
        <w:right w:val="none" w:sz="0" w:space="0" w:color="auto"/>
      </w:divBdr>
    </w:div>
    <w:div w:id="503473989">
      <w:bodyDiv w:val="1"/>
      <w:marLeft w:val="0"/>
      <w:marRight w:val="0"/>
      <w:marTop w:val="0"/>
      <w:marBottom w:val="0"/>
      <w:divBdr>
        <w:top w:val="none" w:sz="0" w:space="0" w:color="auto"/>
        <w:left w:val="none" w:sz="0" w:space="0" w:color="auto"/>
        <w:bottom w:val="none" w:sz="0" w:space="0" w:color="auto"/>
        <w:right w:val="none" w:sz="0" w:space="0" w:color="auto"/>
      </w:divBdr>
    </w:div>
    <w:div w:id="644747034">
      <w:bodyDiv w:val="1"/>
      <w:marLeft w:val="0"/>
      <w:marRight w:val="0"/>
      <w:marTop w:val="0"/>
      <w:marBottom w:val="0"/>
      <w:divBdr>
        <w:top w:val="none" w:sz="0" w:space="0" w:color="auto"/>
        <w:left w:val="none" w:sz="0" w:space="0" w:color="auto"/>
        <w:bottom w:val="none" w:sz="0" w:space="0" w:color="auto"/>
        <w:right w:val="none" w:sz="0" w:space="0" w:color="auto"/>
      </w:divBdr>
      <w:divsChild>
        <w:div w:id="1815946594">
          <w:marLeft w:val="547"/>
          <w:marRight w:val="0"/>
          <w:marTop w:val="0"/>
          <w:marBottom w:val="0"/>
          <w:divBdr>
            <w:top w:val="none" w:sz="0" w:space="0" w:color="auto"/>
            <w:left w:val="none" w:sz="0" w:space="0" w:color="auto"/>
            <w:bottom w:val="none" w:sz="0" w:space="0" w:color="auto"/>
            <w:right w:val="none" w:sz="0" w:space="0" w:color="auto"/>
          </w:divBdr>
        </w:div>
      </w:divsChild>
    </w:div>
    <w:div w:id="777722003">
      <w:bodyDiv w:val="1"/>
      <w:marLeft w:val="0"/>
      <w:marRight w:val="0"/>
      <w:marTop w:val="0"/>
      <w:marBottom w:val="0"/>
      <w:divBdr>
        <w:top w:val="none" w:sz="0" w:space="0" w:color="auto"/>
        <w:left w:val="none" w:sz="0" w:space="0" w:color="auto"/>
        <w:bottom w:val="none" w:sz="0" w:space="0" w:color="auto"/>
        <w:right w:val="none" w:sz="0" w:space="0" w:color="auto"/>
      </w:divBdr>
    </w:div>
    <w:div w:id="834343580">
      <w:bodyDiv w:val="1"/>
      <w:marLeft w:val="0"/>
      <w:marRight w:val="0"/>
      <w:marTop w:val="0"/>
      <w:marBottom w:val="0"/>
      <w:divBdr>
        <w:top w:val="none" w:sz="0" w:space="0" w:color="auto"/>
        <w:left w:val="none" w:sz="0" w:space="0" w:color="auto"/>
        <w:bottom w:val="none" w:sz="0" w:space="0" w:color="auto"/>
        <w:right w:val="none" w:sz="0" w:space="0" w:color="auto"/>
      </w:divBdr>
    </w:div>
    <w:div w:id="883248435">
      <w:bodyDiv w:val="1"/>
      <w:marLeft w:val="0"/>
      <w:marRight w:val="0"/>
      <w:marTop w:val="0"/>
      <w:marBottom w:val="0"/>
      <w:divBdr>
        <w:top w:val="none" w:sz="0" w:space="0" w:color="auto"/>
        <w:left w:val="none" w:sz="0" w:space="0" w:color="auto"/>
        <w:bottom w:val="none" w:sz="0" w:space="0" w:color="auto"/>
        <w:right w:val="none" w:sz="0" w:space="0" w:color="auto"/>
      </w:divBdr>
    </w:div>
    <w:div w:id="1212232202">
      <w:bodyDiv w:val="1"/>
      <w:marLeft w:val="0"/>
      <w:marRight w:val="0"/>
      <w:marTop w:val="0"/>
      <w:marBottom w:val="0"/>
      <w:divBdr>
        <w:top w:val="none" w:sz="0" w:space="0" w:color="auto"/>
        <w:left w:val="none" w:sz="0" w:space="0" w:color="auto"/>
        <w:bottom w:val="none" w:sz="0" w:space="0" w:color="auto"/>
        <w:right w:val="none" w:sz="0" w:space="0" w:color="auto"/>
      </w:divBdr>
    </w:div>
    <w:div w:id="1549874655">
      <w:bodyDiv w:val="1"/>
      <w:marLeft w:val="0"/>
      <w:marRight w:val="0"/>
      <w:marTop w:val="0"/>
      <w:marBottom w:val="0"/>
      <w:divBdr>
        <w:top w:val="none" w:sz="0" w:space="0" w:color="auto"/>
        <w:left w:val="none" w:sz="0" w:space="0" w:color="auto"/>
        <w:bottom w:val="none" w:sz="0" w:space="0" w:color="auto"/>
        <w:right w:val="none" w:sz="0" w:space="0" w:color="auto"/>
      </w:divBdr>
    </w:div>
    <w:div w:id="1855605137">
      <w:bodyDiv w:val="1"/>
      <w:marLeft w:val="0"/>
      <w:marRight w:val="0"/>
      <w:marTop w:val="0"/>
      <w:marBottom w:val="0"/>
      <w:divBdr>
        <w:top w:val="none" w:sz="0" w:space="0" w:color="auto"/>
        <w:left w:val="none" w:sz="0" w:space="0" w:color="auto"/>
        <w:bottom w:val="none" w:sz="0" w:space="0" w:color="auto"/>
        <w:right w:val="none" w:sz="0" w:space="0" w:color="auto"/>
      </w:divBdr>
    </w:div>
    <w:div w:id="19164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67c9400a7f011e5be7fbe3f919a1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CD92-051A-4BE5-8A4A-B2D29904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13343</Words>
  <Characters>7607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20909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Kriauceliunas Povilas</dc:creator>
  <cp:lastModifiedBy>Vilma Ulkienė</cp:lastModifiedBy>
  <cp:revision>3</cp:revision>
  <cp:lastPrinted>2016-06-17T05:30:00Z</cp:lastPrinted>
  <dcterms:created xsi:type="dcterms:W3CDTF">2017-02-28T14:27:00Z</dcterms:created>
  <dcterms:modified xsi:type="dcterms:W3CDTF">2017-02-28T14:44:00Z</dcterms:modified>
</cp:coreProperties>
</file>