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094B73" w14:textId="557C5919" w:rsidR="0070085D" w:rsidRPr="00E24668" w:rsidRDefault="0070085D" w:rsidP="0070085D">
      <w:pPr>
        <w:tabs>
          <w:tab w:val="left" w:pos="0"/>
          <w:tab w:val="left" w:pos="8647"/>
        </w:tabs>
        <w:spacing w:line="240" w:lineRule="auto"/>
        <w:ind w:right="851" w:firstLine="0"/>
        <w:jc w:val="center"/>
        <w:rPr>
          <w:rFonts w:cs="Times New Roman"/>
          <w:b/>
          <w:sz w:val="40"/>
          <w:szCs w:val="40"/>
          <w:lang w:val="lt-LT"/>
        </w:rPr>
      </w:pPr>
      <w:r w:rsidRPr="00E24668">
        <w:rPr>
          <w:b/>
          <w:sz w:val="40"/>
          <w:szCs w:val="40"/>
          <w:lang w:val="lt-LT"/>
        </w:rPr>
        <w:t xml:space="preserve">Verslo finansavimo 2014–2020 metų Europos Sąjungos struktūrinių fondų lėšomis išankstinio vertinimo </w:t>
      </w:r>
      <w:r w:rsidR="009E3E6F" w:rsidRPr="00E24668">
        <w:rPr>
          <w:b/>
          <w:sz w:val="40"/>
          <w:szCs w:val="40"/>
          <w:lang w:val="lt-LT"/>
        </w:rPr>
        <w:t xml:space="preserve">ataskaitos </w:t>
      </w:r>
      <w:r w:rsidRPr="00E24668">
        <w:rPr>
          <w:b/>
          <w:sz w:val="40"/>
          <w:szCs w:val="40"/>
          <w:lang w:val="lt-LT"/>
        </w:rPr>
        <w:t xml:space="preserve">santrauka </w:t>
      </w:r>
    </w:p>
    <w:p w14:paraId="3D854D3E" w14:textId="4619BA48" w:rsidR="0070085D" w:rsidRPr="00E24668" w:rsidRDefault="0070085D" w:rsidP="0070085D">
      <w:pPr>
        <w:spacing w:before="240" w:after="240"/>
        <w:ind w:firstLine="709"/>
        <w:rPr>
          <w:lang w:val="lt-LT"/>
        </w:rPr>
      </w:pPr>
      <w:r w:rsidRPr="00E24668">
        <w:rPr>
          <w:lang w:val="lt-LT"/>
        </w:rPr>
        <w:t xml:space="preserve">Finansinės priemonės (toliau </w:t>
      </w:r>
      <w:r w:rsidR="00125F68" w:rsidRPr="00E24668">
        <w:rPr>
          <w:lang w:val="lt-LT"/>
        </w:rPr>
        <w:t xml:space="preserve">– </w:t>
      </w:r>
      <w:r w:rsidRPr="00E24668">
        <w:rPr>
          <w:lang w:val="lt-LT"/>
        </w:rPr>
        <w:t>FP) – tai būdas panaudoti ribotus valstybės biudžeto išteklius, teikiant ne vienkartines negrąžinamas subsidijas įmonėms, o skolinant lėšas, investuojant jas į įmonių kapitalą, teikiant garantijas. FP privalumas – „atsinaujinančios“ lėšos, t. y. paskolinus ar investavus FP skirtas lėšas, dalis jų sugrįžta ir gali būti dar kartą panaudojamos tiems patiems tikslams, tokiu būdu naudojant tas pačias lėšas didesniam subjektų skaičiui suteikti finansavimą.</w:t>
      </w:r>
    </w:p>
    <w:p w14:paraId="7F86DA25" w14:textId="1490D6AC" w:rsidR="00CB5110" w:rsidRPr="00E24668" w:rsidRDefault="00CB5110" w:rsidP="00CB5110">
      <w:pPr>
        <w:ind w:firstLine="709"/>
        <w:rPr>
          <w:rFonts w:cs="Times New Roman"/>
          <w:lang w:val="lt-LT"/>
        </w:rPr>
      </w:pPr>
      <w:r w:rsidRPr="00E24668">
        <w:rPr>
          <w:rFonts w:cs="Times New Roman"/>
          <w:lang w:val="lt-LT"/>
        </w:rPr>
        <w:t xml:space="preserve">Prieš skiriant lėšas konkrečiai </w:t>
      </w:r>
      <w:r w:rsidR="000C69AE" w:rsidRPr="00E24668">
        <w:rPr>
          <w:rFonts w:eastAsia="Times New Roman" w:cs="Times New Roman"/>
          <w:lang w:val="lt-LT"/>
        </w:rPr>
        <w:t>Lietuvos 2014–2020 m. E</w:t>
      </w:r>
      <w:r w:rsidR="0070085D" w:rsidRPr="00E24668">
        <w:rPr>
          <w:rFonts w:eastAsia="Times New Roman" w:cs="Times New Roman"/>
          <w:lang w:val="lt-LT"/>
        </w:rPr>
        <w:t xml:space="preserve">uropos </w:t>
      </w:r>
      <w:r w:rsidR="000C69AE" w:rsidRPr="00E24668">
        <w:rPr>
          <w:rFonts w:eastAsia="Times New Roman" w:cs="Times New Roman"/>
          <w:lang w:val="lt-LT"/>
        </w:rPr>
        <w:t>S</w:t>
      </w:r>
      <w:r w:rsidR="0070085D" w:rsidRPr="00E24668">
        <w:rPr>
          <w:rFonts w:eastAsia="Times New Roman" w:cs="Times New Roman"/>
          <w:lang w:val="lt-LT"/>
        </w:rPr>
        <w:t>ąjungos</w:t>
      </w:r>
      <w:r w:rsidR="000C69AE" w:rsidRPr="00E24668">
        <w:rPr>
          <w:rFonts w:eastAsia="Times New Roman" w:cs="Times New Roman"/>
          <w:lang w:val="lt-LT"/>
        </w:rPr>
        <w:t xml:space="preserve"> fondų investicijų veiksmų programos</w:t>
      </w:r>
      <w:r w:rsidR="000C69AE" w:rsidRPr="00E24668">
        <w:rPr>
          <w:rFonts w:cs="Times New Roman"/>
          <w:lang w:val="lt-LT"/>
        </w:rPr>
        <w:t xml:space="preserve"> (toliau – </w:t>
      </w:r>
      <w:r w:rsidRPr="00E24668">
        <w:rPr>
          <w:rFonts w:cs="Times New Roman"/>
          <w:lang w:val="lt-LT"/>
        </w:rPr>
        <w:t>VP</w:t>
      </w:r>
      <w:r w:rsidR="000C69AE" w:rsidRPr="00E24668">
        <w:rPr>
          <w:rFonts w:cs="Times New Roman"/>
          <w:lang w:val="lt-LT"/>
        </w:rPr>
        <w:t>)</w:t>
      </w:r>
      <w:r w:rsidRPr="00E24668">
        <w:rPr>
          <w:rFonts w:cs="Times New Roman"/>
          <w:lang w:val="lt-LT"/>
        </w:rPr>
        <w:t xml:space="preserve"> prioriteto įgyvendinimo priemonei, įgyvendinant FP, vadovaujantis </w:t>
      </w:r>
      <w:r w:rsidR="000C69AE" w:rsidRPr="00E24668">
        <w:rPr>
          <w:rFonts w:cs="Times New Roman"/>
          <w:color w:val="000000" w:themeColor="text1"/>
          <w:lang w:val="lt-LT"/>
        </w:rPr>
        <w:t xml:space="preserve">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Europos žemės ūkio fondui kaimo plėtrai ir Europos jūros reikalų ir žuvininkystės fondui taikytinos bendrosios nuostatos ir panaikinamas Tarybos reglamentas (EB) Nr. 1083/2006 </w:t>
      </w:r>
      <w:r w:rsidR="00AB5200" w:rsidRPr="00E24668">
        <w:rPr>
          <w:rFonts w:cs="Times New Roman"/>
          <w:color w:val="000000" w:themeColor="text1"/>
          <w:lang w:val="lt-LT"/>
        </w:rPr>
        <w:t>(</w:t>
      </w:r>
      <w:r w:rsidR="000C69AE" w:rsidRPr="00E24668">
        <w:rPr>
          <w:rFonts w:cs="Times New Roman"/>
          <w:color w:val="000000" w:themeColor="text1"/>
          <w:lang w:val="lt-LT"/>
        </w:rPr>
        <w:t xml:space="preserve">toliau – </w:t>
      </w:r>
      <w:r w:rsidRPr="00E24668">
        <w:rPr>
          <w:rFonts w:cs="Times New Roman"/>
          <w:lang w:val="lt-LT"/>
        </w:rPr>
        <w:t>Reg</w:t>
      </w:r>
      <w:r w:rsidR="000C69AE" w:rsidRPr="00E24668">
        <w:rPr>
          <w:rFonts w:cs="Times New Roman"/>
          <w:lang w:val="lt-LT"/>
        </w:rPr>
        <w:t>lamentas</w:t>
      </w:r>
      <w:r w:rsidRPr="00E24668">
        <w:rPr>
          <w:rFonts w:cs="Times New Roman"/>
          <w:lang w:val="lt-LT"/>
        </w:rPr>
        <w:t> Nr. 1303/2013</w:t>
      </w:r>
      <w:r w:rsidR="000C69AE" w:rsidRPr="00E24668">
        <w:rPr>
          <w:rFonts w:cs="Times New Roman"/>
          <w:lang w:val="lt-LT"/>
        </w:rPr>
        <w:t>)</w:t>
      </w:r>
      <w:r w:rsidR="00550D31" w:rsidRPr="00E24668">
        <w:rPr>
          <w:rFonts w:cs="Times New Roman"/>
          <w:lang w:val="lt-LT"/>
        </w:rPr>
        <w:t>,</w:t>
      </w:r>
      <w:r w:rsidRPr="00E24668">
        <w:rPr>
          <w:rFonts w:cs="Times New Roman"/>
          <w:lang w:val="lt-LT"/>
        </w:rPr>
        <w:t xml:space="preserve"> 37 straipsnio reikalavimais</w:t>
      </w:r>
      <w:r w:rsidR="006C4A7B" w:rsidRPr="00E24668">
        <w:rPr>
          <w:rFonts w:cs="Times New Roman"/>
          <w:lang w:val="lt-LT"/>
        </w:rPr>
        <w:t>,</w:t>
      </w:r>
      <w:r w:rsidRPr="00E24668">
        <w:rPr>
          <w:rFonts w:cs="Times New Roman"/>
          <w:lang w:val="lt-LT"/>
        </w:rPr>
        <w:t xml:space="preserve"> būtina atlikti išankstinį vertinimą (angl. </w:t>
      </w:r>
      <w:r w:rsidRPr="00E24668">
        <w:rPr>
          <w:rFonts w:cs="Times New Roman"/>
          <w:i/>
          <w:lang w:val="lt-LT"/>
        </w:rPr>
        <w:t>„</w:t>
      </w:r>
      <w:proofErr w:type="spellStart"/>
      <w:r w:rsidRPr="00E24668">
        <w:rPr>
          <w:rFonts w:cs="Times New Roman"/>
          <w:i/>
          <w:lang w:val="lt-LT"/>
        </w:rPr>
        <w:t>ex</w:t>
      </w:r>
      <w:proofErr w:type="spellEnd"/>
      <w:r w:rsidRPr="00E24668">
        <w:rPr>
          <w:rFonts w:cs="Times New Roman"/>
          <w:i/>
          <w:lang w:val="lt-LT"/>
        </w:rPr>
        <w:t> </w:t>
      </w:r>
      <w:proofErr w:type="spellStart"/>
      <w:r w:rsidRPr="00E24668">
        <w:rPr>
          <w:rFonts w:cs="Times New Roman"/>
          <w:i/>
          <w:lang w:val="lt-LT"/>
        </w:rPr>
        <w:t>ante</w:t>
      </w:r>
      <w:proofErr w:type="spellEnd"/>
      <w:r w:rsidRPr="00E24668">
        <w:rPr>
          <w:rFonts w:cs="Times New Roman"/>
          <w:i/>
          <w:lang w:val="lt-LT"/>
        </w:rPr>
        <w:t xml:space="preserve"> </w:t>
      </w:r>
      <w:proofErr w:type="spellStart"/>
      <w:r w:rsidRPr="00E24668">
        <w:rPr>
          <w:rFonts w:cs="Times New Roman"/>
          <w:i/>
          <w:lang w:val="lt-LT"/>
        </w:rPr>
        <w:t>assessment</w:t>
      </w:r>
      <w:proofErr w:type="spellEnd"/>
      <w:r w:rsidRPr="00E24668">
        <w:rPr>
          <w:rFonts w:cs="Times New Roman"/>
          <w:i/>
          <w:lang w:val="lt-LT"/>
        </w:rPr>
        <w:t>“</w:t>
      </w:r>
      <w:r w:rsidRPr="00E24668">
        <w:rPr>
          <w:rFonts w:cs="Times New Roman"/>
          <w:lang w:val="lt-LT"/>
        </w:rPr>
        <w:t>). Atliekant šį vertinimą būtų nustatomi rinkos trūkumai arba nepakankamos investavimo apimtys ir apskaičiuojamas viešųjų investicijų poreikio mastas bei apimtis, įskaitant finansuotinų FP tipus.</w:t>
      </w:r>
    </w:p>
    <w:p w14:paraId="119E4341" w14:textId="69B8D321" w:rsidR="00CB5110" w:rsidRPr="00E24668" w:rsidRDefault="00CB5110" w:rsidP="00CB5110">
      <w:pPr>
        <w:spacing w:before="240" w:after="240"/>
        <w:rPr>
          <w:lang w:val="lt-LT"/>
        </w:rPr>
      </w:pPr>
      <w:r w:rsidRPr="00E24668">
        <w:rPr>
          <w:lang w:val="lt-LT"/>
        </w:rPr>
        <w:t xml:space="preserve">Pagrindinis </w:t>
      </w:r>
      <w:r w:rsidR="0085359B" w:rsidRPr="00E24668">
        <w:rPr>
          <w:lang w:val="lt-LT"/>
        </w:rPr>
        <w:t>Verslo finansavimo 2014–2020 metų Europos Sąjungos struktūrinių fondų lėšomis išankstinio</w:t>
      </w:r>
      <w:r w:rsidR="0085359B" w:rsidRPr="00E24668">
        <w:rPr>
          <w:b/>
          <w:sz w:val="40"/>
          <w:szCs w:val="40"/>
          <w:lang w:val="lt-LT"/>
        </w:rPr>
        <w:t xml:space="preserve"> </w:t>
      </w:r>
      <w:r w:rsidRPr="00E24668">
        <w:rPr>
          <w:lang w:val="lt-LT"/>
        </w:rPr>
        <w:t xml:space="preserve">vertinimo </w:t>
      </w:r>
      <w:r w:rsidR="0085359B" w:rsidRPr="00E24668">
        <w:rPr>
          <w:lang w:val="lt-LT"/>
        </w:rPr>
        <w:t xml:space="preserve">(toliau – vertinimas) </w:t>
      </w:r>
      <w:r w:rsidRPr="00E24668">
        <w:rPr>
          <w:lang w:val="lt-LT"/>
        </w:rPr>
        <w:t xml:space="preserve">tikslas – pateikti įrodymus, kad planuojama FP bus nukreipta nustatytam rinkos nepakankamumui (verslo, įskaitant </w:t>
      </w:r>
      <w:r w:rsidR="000C69AE" w:rsidRPr="00E24668">
        <w:rPr>
          <w:lang w:val="lt-LT"/>
        </w:rPr>
        <w:t xml:space="preserve">smulkiojo ir vidutinio verslo (toliau – </w:t>
      </w:r>
      <w:r w:rsidRPr="00E24668">
        <w:rPr>
          <w:lang w:val="lt-LT"/>
        </w:rPr>
        <w:t>SVV</w:t>
      </w:r>
      <w:r w:rsidR="000C69AE" w:rsidRPr="00E24668">
        <w:rPr>
          <w:lang w:val="lt-LT"/>
        </w:rPr>
        <w:t>)</w:t>
      </w:r>
      <w:r w:rsidRPr="00E24668">
        <w:rPr>
          <w:lang w:val="lt-LT"/>
        </w:rPr>
        <w:t xml:space="preserve">, finansavimo trūkumui) išspręsti ir užtikrins, kad FP prisidės prie VP ir </w:t>
      </w:r>
      <w:r w:rsidR="000C69AE" w:rsidRPr="00E24668">
        <w:rPr>
          <w:rFonts w:eastAsia="Times New Roman" w:cs="Times New Roman"/>
          <w:color w:val="1F1A17"/>
          <w:lang w:val="lt-LT"/>
        </w:rPr>
        <w:t>Europos Sąjungos struktūrinių ir investicinių fondų</w:t>
      </w:r>
      <w:r w:rsidR="000C69AE" w:rsidRPr="00E24668">
        <w:rPr>
          <w:lang w:val="lt-LT"/>
        </w:rPr>
        <w:t xml:space="preserve"> (toliau – </w:t>
      </w:r>
      <w:r w:rsidRPr="00E24668">
        <w:rPr>
          <w:lang w:val="lt-LT"/>
        </w:rPr>
        <w:t>ES SF</w:t>
      </w:r>
      <w:r w:rsidR="000C69AE" w:rsidRPr="00E24668">
        <w:rPr>
          <w:lang w:val="lt-LT"/>
        </w:rPr>
        <w:t>)</w:t>
      </w:r>
      <w:r w:rsidRPr="00E24668">
        <w:rPr>
          <w:lang w:val="lt-LT"/>
        </w:rPr>
        <w:t xml:space="preserve"> tikslų įgyvendinimo.</w:t>
      </w:r>
    </w:p>
    <w:p w14:paraId="1B06950A" w14:textId="40744840" w:rsidR="00CB5110" w:rsidRPr="00E24668" w:rsidRDefault="00CB5110" w:rsidP="00CB5110">
      <w:pPr>
        <w:spacing w:before="240"/>
        <w:ind w:firstLine="709"/>
        <w:rPr>
          <w:rFonts w:cs="Times New Roman"/>
          <w:color w:val="000000"/>
          <w:lang w:val="lt-LT"/>
        </w:rPr>
      </w:pPr>
      <w:r w:rsidRPr="00E24668">
        <w:rPr>
          <w:rFonts w:cs="Times New Roman"/>
          <w:noProof/>
          <w:lang w:val="lt-LT"/>
        </w:rPr>
        <w:t>Šis vertinimas</w:t>
      </w:r>
      <w:r w:rsidR="00B44ED6" w:rsidRPr="00E24668">
        <w:rPr>
          <w:rFonts w:cs="Times New Roman"/>
          <w:noProof/>
          <w:lang w:val="lt-LT"/>
        </w:rPr>
        <w:t xml:space="preserve"> buvo</w:t>
      </w:r>
      <w:r w:rsidRPr="00E24668">
        <w:rPr>
          <w:rFonts w:cs="Times New Roman"/>
          <w:noProof/>
          <w:lang w:val="lt-LT"/>
        </w:rPr>
        <w:t xml:space="preserve"> atliktas vadovaujantis </w:t>
      </w:r>
      <w:r w:rsidR="000C69AE" w:rsidRPr="00E24668">
        <w:rPr>
          <w:rFonts w:cs="Times New Roman"/>
          <w:noProof/>
          <w:lang w:val="lt-LT"/>
        </w:rPr>
        <w:t xml:space="preserve">Europos Komisijos (toliau – </w:t>
      </w:r>
      <w:r w:rsidRPr="00E24668">
        <w:rPr>
          <w:rFonts w:cs="Times New Roman"/>
          <w:noProof/>
          <w:lang w:val="lt-LT"/>
        </w:rPr>
        <w:t>EK</w:t>
      </w:r>
      <w:r w:rsidR="000C69AE" w:rsidRPr="00E24668">
        <w:rPr>
          <w:rFonts w:cs="Times New Roman"/>
          <w:noProof/>
          <w:lang w:val="lt-LT"/>
        </w:rPr>
        <w:t>)</w:t>
      </w:r>
      <w:r w:rsidRPr="00E24668">
        <w:rPr>
          <w:rFonts w:cs="Times New Roman"/>
          <w:noProof/>
          <w:lang w:val="lt-LT"/>
        </w:rPr>
        <w:t xml:space="preserve"> ir </w:t>
      </w:r>
      <w:r w:rsidR="000C69AE" w:rsidRPr="00E24668">
        <w:rPr>
          <w:rFonts w:cs="Times New Roman"/>
          <w:noProof/>
          <w:lang w:val="lt-LT"/>
        </w:rPr>
        <w:t xml:space="preserve">Europos investicijų banko (toliau – </w:t>
      </w:r>
      <w:r w:rsidRPr="00E24668">
        <w:rPr>
          <w:rFonts w:cs="Times New Roman"/>
          <w:noProof/>
          <w:lang w:val="lt-LT"/>
        </w:rPr>
        <w:t>EIB</w:t>
      </w:r>
      <w:r w:rsidR="000C69AE" w:rsidRPr="00E24668">
        <w:rPr>
          <w:rFonts w:cs="Times New Roman"/>
          <w:noProof/>
          <w:lang w:val="lt-LT"/>
        </w:rPr>
        <w:t>)</w:t>
      </w:r>
      <w:r w:rsidRPr="00E24668">
        <w:rPr>
          <w:rFonts w:cs="Times New Roman"/>
          <w:noProof/>
          <w:lang w:val="lt-LT"/>
        </w:rPr>
        <w:t xml:space="preserve"> užsakymu PriceWaterHouse Coopers (PwC) parengta </w:t>
      </w:r>
      <w:r w:rsidRPr="00E24668">
        <w:rPr>
          <w:rFonts w:cs="Times New Roman"/>
          <w:lang w:val="lt-LT"/>
        </w:rPr>
        <w:t>„</w:t>
      </w:r>
      <w:r w:rsidRPr="00E24668">
        <w:rPr>
          <w:rFonts w:cs="Times New Roman"/>
          <w:noProof/>
          <w:lang w:val="lt-LT"/>
        </w:rPr>
        <w:t xml:space="preserve">Išankstinio vertinimo metodologija finansinėms priemonėms 2014–2020 m. programavimo laikotarpiu“ metodologija (toliau – metodologija). </w:t>
      </w:r>
    </w:p>
    <w:p w14:paraId="66905B3A" w14:textId="30C8DDBF" w:rsidR="00CB5110" w:rsidRPr="00E24668" w:rsidRDefault="00CB5110" w:rsidP="00CB5110">
      <w:pPr>
        <w:spacing w:before="240" w:after="240"/>
        <w:ind w:firstLine="709"/>
        <w:rPr>
          <w:rFonts w:cs="Times New Roman"/>
          <w:noProof/>
          <w:lang w:val="lt-LT"/>
        </w:rPr>
      </w:pPr>
      <w:r w:rsidRPr="00E24668">
        <w:rPr>
          <w:rFonts w:cs="Times New Roman"/>
          <w:noProof/>
          <w:lang w:val="lt-LT"/>
        </w:rPr>
        <w:t xml:space="preserve">Vertinimo proceso koordinavimui ir vertinimo atlikimui </w:t>
      </w:r>
      <w:r w:rsidR="000C69AE" w:rsidRPr="00E24668">
        <w:rPr>
          <w:rFonts w:cs="Times New Roman"/>
          <w:noProof/>
          <w:lang w:val="lt-LT"/>
        </w:rPr>
        <w:t xml:space="preserve">Lietuvos Respublikos finansų ministerijos (toliau – </w:t>
      </w:r>
      <w:r w:rsidRPr="00E24668">
        <w:rPr>
          <w:rFonts w:cs="Times New Roman"/>
          <w:noProof/>
          <w:lang w:val="lt-LT"/>
        </w:rPr>
        <w:t>FM</w:t>
      </w:r>
      <w:r w:rsidR="000C69AE" w:rsidRPr="00E24668">
        <w:rPr>
          <w:rFonts w:cs="Times New Roman"/>
          <w:noProof/>
          <w:lang w:val="lt-LT"/>
        </w:rPr>
        <w:t>)</w:t>
      </w:r>
      <w:r w:rsidRPr="00E24668">
        <w:rPr>
          <w:rFonts w:cs="Times New Roman"/>
          <w:noProof/>
          <w:lang w:val="lt-LT"/>
        </w:rPr>
        <w:t xml:space="preserve"> 2014 m. birželio 26 d. įsakymu </w:t>
      </w:r>
      <w:r w:rsidRPr="00E24668">
        <w:rPr>
          <w:lang w:val="lt-LT"/>
        </w:rPr>
        <w:t>1K-195 „Dėl darbo grupės sudarymo“</w:t>
      </w:r>
      <w:r w:rsidRPr="00E24668">
        <w:rPr>
          <w:rFonts w:cs="Times New Roman"/>
          <w:noProof/>
          <w:lang w:val="lt-LT"/>
        </w:rPr>
        <w:t xml:space="preserve"> </w:t>
      </w:r>
      <w:r w:rsidR="00C44BF0" w:rsidRPr="00E24668">
        <w:rPr>
          <w:rFonts w:cs="Times New Roman"/>
          <w:noProof/>
          <w:lang w:val="lt-LT"/>
        </w:rPr>
        <w:t xml:space="preserve">buvo </w:t>
      </w:r>
      <w:r w:rsidRPr="00E24668">
        <w:rPr>
          <w:rFonts w:cs="Times New Roman"/>
          <w:noProof/>
          <w:lang w:val="lt-LT"/>
        </w:rPr>
        <w:t>sudar</w:t>
      </w:r>
      <w:r w:rsidR="00C44BF0" w:rsidRPr="00E24668">
        <w:rPr>
          <w:rFonts w:cs="Times New Roman"/>
          <w:noProof/>
          <w:lang w:val="lt-LT"/>
        </w:rPr>
        <w:t>yta</w:t>
      </w:r>
      <w:r w:rsidRPr="00E24668">
        <w:rPr>
          <w:rFonts w:cs="Times New Roman"/>
          <w:noProof/>
          <w:lang w:val="lt-LT"/>
        </w:rPr>
        <w:t xml:space="preserve"> išankstinio vertinimo darbo grup</w:t>
      </w:r>
      <w:r w:rsidR="006C4A7B" w:rsidRPr="00E24668">
        <w:rPr>
          <w:rFonts w:cs="Times New Roman"/>
          <w:noProof/>
          <w:lang w:val="lt-LT"/>
        </w:rPr>
        <w:t>ė</w:t>
      </w:r>
      <w:r w:rsidRPr="00E24668">
        <w:rPr>
          <w:rFonts w:cs="Times New Roman"/>
          <w:noProof/>
          <w:lang w:val="lt-LT"/>
        </w:rPr>
        <w:t xml:space="preserve">, į kurios sudėtį įėjo: FM, </w:t>
      </w:r>
      <w:r w:rsidR="00824F1E" w:rsidRPr="00E24668">
        <w:rPr>
          <w:rFonts w:cs="Times New Roman"/>
          <w:noProof/>
          <w:lang w:val="lt-LT"/>
        </w:rPr>
        <w:t xml:space="preserve">Lietuvos Respublikos ūkio ministerijos (toliau – </w:t>
      </w:r>
      <w:r w:rsidRPr="00E24668">
        <w:rPr>
          <w:rFonts w:cs="Times New Roman"/>
          <w:noProof/>
          <w:lang w:val="lt-LT"/>
        </w:rPr>
        <w:t>ŪM</w:t>
      </w:r>
      <w:r w:rsidR="00824F1E" w:rsidRPr="00E24668">
        <w:rPr>
          <w:rFonts w:cs="Times New Roman"/>
          <w:noProof/>
          <w:lang w:val="lt-LT"/>
        </w:rPr>
        <w:t>)</w:t>
      </w:r>
      <w:r w:rsidRPr="00E24668">
        <w:rPr>
          <w:rFonts w:cs="Times New Roman"/>
          <w:noProof/>
          <w:lang w:val="lt-LT"/>
        </w:rPr>
        <w:t xml:space="preserve">, </w:t>
      </w:r>
      <w:r w:rsidR="00824F1E" w:rsidRPr="00E24668">
        <w:rPr>
          <w:rFonts w:cs="Times New Roman"/>
          <w:noProof/>
          <w:lang w:val="lt-LT"/>
        </w:rPr>
        <w:t xml:space="preserve">Lietuvos Respublikos socialinės apsaugos ir darbo ministerijos (oliau – </w:t>
      </w:r>
      <w:r w:rsidRPr="00E24668">
        <w:rPr>
          <w:rFonts w:cs="Times New Roman"/>
          <w:noProof/>
          <w:lang w:val="lt-LT"/>
        </w:rPr>
        <w:t>SADM</w:t>
      </w:r>
      <w:r w:rsidR="00824F1E" w:rsidRPr="00E24668">
        <w:rPr>
          <w:rFonts w:cs="Times New Roman"/>
          <w:noProof/>
          <w:lang w:val="lt-LT"/>
        </w:rPr>
        <w:t>)</w:t>
      </w:r>
      <w:r w:rsidRPr="00E24668">
        <w:rPr>
          <w:rFonts w:cs="Times New Roman"/>
          <w:noProof/>
          <w:lang w:val="lt-LT"/>
        </w:rPr>
        <w:t xml:space="preserve">, </w:t>
      </w:r>
      <w:r w:rsidR="00824F1E" w:rsidRPr="00E24668">
        <w:rPr>
          <w:rFonts w:cs="Times New Roman"/>
          <w:noProof/>
          <w:lang w:val="lt-LT"/>
        </w:rPr>
        <w:t>E</w:t>
      </w:r>
      <w:r w:rsidR="004A098F" w:rsidRPr="00E24668">
        <w:rPr>
          <w:rFonts w:cs="Times New Roman"/>
          <w:noProof/>
          <w:lang w:val="lt-LT"/>
        </w:rPr>
        <w:t>uropos investicijų fond</w:t>
      </w:r>
      <w:r w:rsidR="00824F1E" w:rsidRPr="00E24668">
        <w:rPr>
          <w:rFonts w:cs="Times New Roman"/>
          <w:noProof/>
          <w:lang w:val="lt-LT"/>
        </w:rPr>
        <w:t xml:space="preserve">o (toliau – </w:t>
      </w:r>
      <w:r w:rsidRPr="00E24668">
        <w:rPr>
          <w:rFonts w:cs="Times New Roman"/>
          <w:noProof/>
          <w:lang w:val="lt-LT"/>
        </w:rPr>
        <w:t>EIF</w:t>
      </w:r>
      <w:r w:rsidR="00824F1E" w:rsidRPr="00E24668">
        <w:rPr>
          <w:rFonts w:cs="Times New Roman"/>
          <w:noProof/>
          <w:lang w:val="lt-LT"/>
        </w:rPr>
        <w:t>)</w:t>
      </w:r>
      <w:r w:rsidRPr="00E24668">
        <w:rPr>
          <w:rFonts w:cs="Times New Roman"/>
          <w:noProof/>
          <w:lang w:val="lt-LT"/>
        </w:rPr>
        <w:t xml:space="preserve"> ir </w:t>
      </w:r>
      <w:r w:rsidR="00824F1E" w:rsidRPr="00E24668">
        <w:rPr>
          <w:rFonts w:cs="Times New Roman"/>
          <w:noProof/>
          <w:lang w:val="lt-LT"/>
        </w:rPr>
        <w:t xml:space="preserve">UAB „Investicijų ir verslo garantijos“ (toliau – </w:t>
      </w:r>
      <w:r w:rsidRPr="00E24668">
        <w:rPr>
          <w:rFonts w:cs="Times New Roman"/>
          <w:noProof/>
          <w:lang w:val="lt-LT"/>
        </w:rPr>
        <w:t>INVEG</w:t>
      </w:r>
      <w:r w:rsidR="00A22B2F" w:rsidRPr="00E24668">
        <w:rPr>
          <w:rFonts w:cs="Times New Roman"/>
          <w:noProof/>
          <w:lang w:val="lt-LT"/>
        </w:rPr>
        <w:t>A</w:t>
      </w:r>
      <w:r w:rsidR="00824F1E" w:rsidRPr="00E24668">
        <w:rPr>
          <w:rFonts w:cs="Times New Roman"/>
          <w:noProof/>
          <w:lang w:val="lt-LT"/>
        </w:rPr>
        <w:t>)</w:t>
      </w:r>
      <w:r w:rsidRPr="00E24668">
        <w:rPr>
          <w:rFonts w:cs="Times New Roman"/>
          <w:noProof/>
          <w:lang w:val="lt-LT"/>
        </w:rPr>
        <w:t xml:space="preserve"> atstovai, taip pat darbo grupės posėdžiuose buvo kviečiami dalyvauti ir socialinių–ekonominių partnerių (</w:t>
      </w:r>
      <w:r w:rsidR="00824F1E" w:rsidRPr="00E24668">
        <w:rPr>
          <w:rFonts w:cs="Times New Roman"/>
          <w:noProof/>
          <w:lang w:val="lt-LT"/>
        </w:rPr>
        <w:t>Lietuvos banko asociacijos</w:t>
      </w:r>
      <w:r w:rsidRPr="00E24668">
        <w:rPr>
          <w:rFonts w:cs="Times New Roman"/>
          <w:noProof/>
          <w:lang w:val="lt-LT"/>
        </w:rPr>
        <w:t xml:space="preserve">, </w:t>
      </w:r>
      <w:r w:rsidR="00824F1E" w:rsidRPr="00E24668">
        <w:rPr>
          <w:rFonts w:cs="Times New Roman"/>
          <w:noProof/>
          <w:lang w:val="lt-LT"/>
        </w:rPr>
        <w:t xml:space="preserve">Lietuvos rizikos kapitalo asociacijos (toliau – </w:t>
      </w:r>
      <w:r w:rsidRPr="00E24668">
        <w:rPr>
          <w:rFonts w:cs="Times New Roman"/>
          <w:noProof/>
          <w:lang w:val="lt-LT"/>
        </w:rPr>
        <w:t>LT VCA</w:t>
      </w:r>
      <w:r w:rsidR="00824F1E" w:rsidRPr="00E24668">
        <w:rPr>
          <w:rFonts w:cs="Times New Roman"/>
          <w:noProof/>
          <w:lang w:val="lt-LT"/>
        </w:rPr>
        <w:t>)</w:t>
      </w:r>
      <w:r w:rsidRPr="00E24668">
        <w:rPr>
          <w:rFonts w:cs="Times New Roman"/>
          <w:noProof/>
          <w:lang w:val="lt-LT"/>
        </w:rPr>
        <w:t xml:space="preserve">, </w:t>
      </w:r>
      <w:r w:rsidR="00824F1E" w:rsidRPr="00E24668">
        <w:rPr>
          <w:rFonts w:cs="Times New Roman"/>
          <w:noProof/>
          <w:lang w:val="lt-LT"/>
        </w:rPr>
        <w:t>Lietuvos banko</w:t>
      </w:r>
      <w:r w:rsidRPr="00E24668">
        <w:rPr>
          <w:rFonts w:cs="Times New Roman"/>
          <w:noProof/>
          <w:lang w:val="lt-LT"/>
        </w:rPr>
        <w:t xml:space="preserve">, </w:t>
      </w:r>
      <w:r w:rsidRPr="00E24668">
        <w:rPr>
          <w:lang w:val="lt-LT"/>
        </w:rPr>
        <w:t xml:space="preserve">Lietuvos inovacijų centro, Mokslo ir studijų </w:t>
      </w:r>
      <w:proofErr w:type="spellStart"/>
      <w:r w:rsidRPr="00E24668">
        <w:rPr>
          <w:lang w:val="lt-LT"/>
        </w:rPr>
        <w:t>stebėsenos</w:t>
      </w:r>
      <w:proofErr w:type="spellEnd"/>
      <w:r w:rsidRPr="00E24668">
        <w:rPr>
          <w:lang w:val="lt-LT"/>
        </w:rPr>
        <w:t xml:space="preserve"> ir analizės centro, </w:t>
      </w:r>
      <w:r w:rsidR="00824F1E" w:rsidRPr="00E24668">
        <w:rPr>
          <w:lang w:val="lt-LT"/>
        </w:rPr>
        <w:t>Lietuvos verslo paramos agentūros</w:t>
      </w:r>
      <w:r w:rsidRPr="00E24668">
        <w:rPr>
          <w:rFonts w:cs="Times New Roman"/>
          <w:lang w:val="lt-LT"/>
        </w:rPr>
        <w:t xml:space="preserve">, asociacijos „Žinių ekonomikos forumas“, Mokslo, inovacijų ir technologijų agentūros, Lietuvos pramonininkų konfederacijos, Lietuvos prekybos, pramonės ir amatų rūmų asociacijos, Lietuvos verslo darbdavių konfederacijos bei </w:t>
      </w:r>
      <w:r w:rsidRPr="00E24668">
        <w:rPr>
          <w:lang w:val="lt-LT"/>
        </w:rPr>
        <w:t>Lietuvos verslo konfederacijos</w:t>
      </w:r>
      <w:r w:rsidRPr="00E24668">
        <w:rPr>
          <w:rFonts w:cs="Times New Roman"/>
          <w:lang w:val="lt-LT"/>
        </w:rPr>
        <w:t xml:space="preserve"> </w:t>
      </w:r>
      <w:r w:rsidRPr="00E24668">
        <w:rPr>
          <w:rFonts w:cs="Times New Roman"/>
          <w:noProof/>
          <w:lang w:val="lt-LT"/>
        </w:rPr>
        <w:t xml:space="preserve">atstovai), kurių pasiūlymai buvo panaudoti atliekant vertinimą. </w:t>
      </w:r>
    </w:p>
    <w:p w14:paraId="4B089B8F" w14:textId="1436DA36" w:rsidR="00CB5110" w:rsidRPr="00E24668" w:rsidRDefault="00CB5110" w:rsidP="00CB5110">
      <w:pPr>
        <w:spacing w:before="240"/>
        <w:rPr>
          <w:rFonts w:cs="Times New Roman"/>
          <w:lang w:val="lt-LT"/>
        </w:rPr>
      </w:pPr>
      <w:r w:rsidRPr="00E24668">
        <w:rPr>
          <w:rFonts w:cs="Times New Roman"/>
          <w:noProof/>
          <w:lang w:val="lt-LT"/>
        </w:rPr>
        <w:lastRenderedPageBreak/>
        <w:t xml:space="preserve">Kaip vertinimo pagrindas naudota INVEGA 2013 m. spalio mėn. atlikta </w:t>
      </w:r>
      <w:r w:rsidRPr="00E24668">
        <w:rPr>
          <w:noProof/>
          <w:lang w:val="lt-LT"/>
        </w:rPr>
        <w:t>Valstybės intervencijos poreikio finansų inžinerijos priemonių verslui forma Lietuvoje studija (toliau – studija)</w:t>
      </w:r>
      <w:r w:rsidRPr="00E24668">
        <w:rPr>
          <w:rFonts w:cs="Times New Roman"/>
          <w:noProof/>
          <w:lang w:val="lt-LT"/>
        </w:rPr>
        <w:t xml:space="preserve">. Atliekant studiją, buvo remtasi išsamia ekonomikos, FP, skirtų SVV, analize, taip pat SVV subjektų ir </w:t>
      </w:r>
      <w:r w:rsidR="00824F1E" w:rsidRPr="00E24668">
        <w:rPr>
          <w:rFonts w:cs="Times New Roman"/>
          <w:noProof/>
          <w:lang w:val="lt-LT"/>
        </w:rPr>
        <w:t>finansinių tarpininkų (tolia</w:t>
      </w:r>
      <w:r w:rsidR="000C69AE" w:rsidRPr="00E24668">
        <w:rPr>
          <w:rFonts w:cs="Times New Roman"/>
          <w:noProof/>
          <w:lang w:val="lt-LT"/>
        </w:rPr>
        <w:t xml:space="preserve">u – </w:t>
      </w:r>
      <w:r w:rsidRPr="00E24668">
        <w:rPr>
          <w:rFonts w:cs="Times New Roman"/>
          <w:noProof/>
          <w:lang w:val="lt-LT"/>
        </w:rPr>
        <w:t>FT</w:t>
      </w:r>
      <w:r w:rsidR="000C69AE" w:rsidRPr="00E24668">
        <w:rPr>
          <w:rFonts w:cs="Times New Roman"/>
          <w:noProof/>
          <w:lang w:val="lt-LT"/>
        </w:rPr>
        <w:t>)</w:t>
      </w:r>
      <w:r w:rsidRPr="00E24668">
        <w:rPr>
          <w:rFonts w:cs="Times New Roman"/>
          <w:noProof/>
          <w:lang w:val="lt-LT"/>
        </w:rPr>
        <w:t xml:space="preserve"> apklausa. SVV subjektų lūkesčiams ir problemoms, su kuriomis jie susiduria ieškodami finansavimo savo verslui, išsiaiškinti buvo atliktas kiekybinis tyrimas. FT apklausa buvo atlikta kokybiniu metodu, kad būtų nustatyta, kurie verslo finansavimo modeliai jiems yra palankiausi administruoti, kokių FP, skirtų verslui finansuoti, trūkumas šiuo metu yra rinkoje ir kurios bus palankios administruoti </w:t>
      </w:r>
      <w:r w:rsidRPr="00E24668">
        <w:rPr>
          <w:rFonts w:cs="Times New Roman"/>
          <w:lang w:val="lt-LT"/>
        </w:rPr>
        <w:t xml:space="preserve">2014–2020 m. programavimo laikotarpiu. Taip pat, atliekant vertinimą, buvo pasinaudota </w:t>
      </w:r>
      <w:r w:rsidRPr="00E24668">
        <w:rPr>
          <w:rFonts w:eastAsia="AngsanaUPC" w:cs="Times New Roman"/>
          <w:bCs/>
          <w:iCs/>
          <w:lang w:val="lt-LT" w:eastAsia="lt-LT"/>
        </w:rPr>
        <w:t xml:space="preserve">2014 m. kovo mėn. ŪM užsakymu UAB „BGI </w:t>
      </w:r>
      <w:proofErr w:type="spellStart"/>
      <w:r w:rsidRPr="00E24668">
        <w:rPr>
          <w:rFonts w:eastAsia="AngsanaUPC" w:cs="Times New Roman"/>
          <w:bCs/>
          <w:iCs/>
          <w:lang w:val="lt-LT" w:eastAsia="lt-LT"/>
        </w:rPr>
        <w:t>Consultings</w:t>
      </w:r>
      <w:proofErr w:type="spellEnd"/>
      <w:r w:rsidRPr="00E24668">
        <w:rPr>
          <w:rFonts w:eastAsia="AngsanaUPC" w:cs="Times New Roman"/>
          <w:bCs/>
          <w:iCs/>
          <w:lang w:val="lt-LT" w:eastAsia="lt-LT"/>
        </w:rPr>
        <w:t xml:space="preserve">“ atlikto </w:t>
      </w:r>
      <w:r w:rsidRPr="00E24668">
        <w:rPr>
          <w:rFonts w:cs="Times New Roman"/>
          <w:lang w:val="lt-LT"/>
        </w:rPr>
        <w:t xml:space="preserve">Europos Sąjungos struktūrinės paramos poveikio SVV vertinimo, kuriuo siekiama </w:t>
      </w:r>
      <w:r w:rsidRPr="00E24668">
        <w:rPr>
          <w:rFonts w:cs="Times New Roman"/>
          <w:bCs/>
          <w:lang w:val="lt-LT" w:eastAsia="lt-LT"/>
        </w:rPr>
        <w:t xml:space="preserve">tobulinti ES </w:t>
      </w:r>
      <w:r w:rsidR="0080551A" w:rsidRPr="00E24668">
        <w:rPr>
          <w:rFonts w:cs="Times New Roman"/>
          <w:bCs/>
          <w:lang w:val="lt-LT" w:eastAsia="lt-LT"/>
        </w:rPr>
        <w:t>SF</w:t>
      </w:r>
      <w:r w:rsidR="009743F8" w:rsidRPr="00E24668">
        <w:rPr>
          <w:rFonts w:cs="Times New Roman"/>
          <w:bCs/>
          <w:lang w:val="lt-LT" w:eastAsia="lt-LT"/>
        </w:rPr>
        <w:t xml:space="preserve"> lėšų</w:t>
      </w:r>
      <w:r w:rsidRPr="00E24668">
        <w:rPr>
          <w:rFonts w:cs="Times New Roman"/>
          <w:bCs/>
          <w:lang w:val="lt-LT" w:eastAsia="lt-LT"/>
        </w:rPr>
        <w:t xml:space="preserve"> SVV panaudojimą, įvertinant SVV skirtas Ūkio ministerijos 2007–2013 metų administruojamas subsidijų ir finansų inžinerijos priemones,</w:t>
      </w:r>
      <w:r w:rsidRPr="00E24668">
        <w:rPr>
          <w:rFonts w:cs="Times New Roman"/>
          <w:lang w:val="lt-LT"/>
        </w:rPr>
        <w:t xml:space="preserve"> FM užsakymu </w:t>
      </w:r>
      <w:proofErr w:type="spellStart"/>
      <w:r w:rsidRPr="00E24668">
        <w:rPr>
          <w:lang w:val="lt-LT"/>
        </w:rPr>
        <w:t>VšĮ</w:t>
      </w:r>
      <w:proofErr w:type="spellEnd"/>
      <w:r w:rsidRPr="00E24668">
        <w:rPr>
          <w:lang w:val="lt-LT"/>
        </w:rPr>
        <w:t xml:space="preserve"> </w:t>
      </w:r>
      <w:r w:rsidRPr="00E24668">
        <w:rPr>
          <w:lang w:val="lt-LT" w:eastAsia="lt-LT"/>
        </w:rPr>
        <w:t>„</w:t>
      </w:r>
      <w:r w:rsidRPr="00E24668">
        <w:rPr>
          <w:lang w:val="lt-LT"/>
        </w:rPr>
        <w:t>Europos socialiniai, teisiniai ir ekonominiai projektai</w:t>
      </w:r>
      <w:r w:rsidRPr="00E24668">
        <w:rPr>
          <w:lang w:val="lt-LT" w:eastAsia="lt-LT"/>
        </w:rPr>
        <w:t>“ atliktos „Ūkio ministerijos planuojamų įgyvendinti 2014–2020 m. priemonių verslui“ analizės</w:t>
      </w:r>
      <w:r w:rsidRPr="00E24668">
        <w:rPr>
          <w:rFonts w:cs="Times New Roman"/>
          <w:lang w:val="lt-LT"/>
        </w:rPr>
        <w:t xml:space="preserve"> ir 2014 m. liepos mėn. </w:t>
      </w:r>
      <w:r w:rsidRPr="00E24668">
        <w:rPr>
          <w:rFonts w:eastAsia="Times New Roman"/>
          <w:color w:val="000000"/>
          <w:lang w:val="lt-LT" w:eastAsia="lt-LT"/>
        </w:rPr>
        <w:t xml:space="preserve">LT VCA atlikto tyrimo, kuriuo siekta apžvelgti įmonių, į kurias jau buvo ar yra investavę </w:t>
      </w:r>
      <w:r w:rsidR="00635391" w:rsidRPr="00E24668">
        <w:rPr>
          <w:rFonts w:eastAsia="Times New Roman"/>
          <w:color w:val="000000"/>
          <w:lang w:val="lt-LT" w:eastAsia="lt-LT"/>
        </w:rPr>
        <w:t xml:space="preserve">rizikos kapitalo fondai </w:t>
      </w:r>
      <w:r w:rsidR="00635391" w:rsidRPr="00E24668">
        <w:rPr>
          <w:rFonts w:cs="Times New Roman"/>
          <w:color w:val="000000" w:themeColor="text1"/>
          <w:lang w:val="lt-LT"/>
        </w:rPr>
        <w:t>(toliau – RKF)</w:t>
      </w:r>
      <w:r w:rsidRPr="00E24668">
        <w:rPr>
          <w:rFonts w:eastAsia="Times New Roman"/>
          <w:color w:val="000000"/>
          <w:lang w:val="lt-LT" w:eastAsia="lt-LT"/>
        </w:rPr>
        <w:t xml:space="preserve">, patirtį, nes šių įmonių patirtis ir vertinimas atspindi FP, skirtų investicijoms į įmonės kapitalą, naudą, privalumus bei trūkumus (toliau – LT VCA tyrimas), </w:t>
      </w:r>
      <w:r w:rsidRPr="00E24668">
        <w:rPr>
          <w:rFonts w:cs="Times New Roman"/>
          <w:lang w:val="lt-LT"/>
        </w:rPr>
        <w:t>rezultatais.</w:t>
      </w:r>
    </w:p>
    <w:p w14:paraId="6D7F29AA" w14:textId="00229715" w:rsidR="00CB5110" w:rsidRPr="00E24668" w:rsidRDefault="00CB5110" w:rsidP="00CB5110">
      <w:pPr>
        <w:spacing w:before="240"/>
        <w:rPr>
          <w:rFonts w:cs="Times New Roman"/>
          <w:lang w:val="lt-LT"/>
        </w:rPr>
      </w:pPr>
      <w:r w:rsidRPr="00E24668">
        <w:rPr>
          <w:rFonts w:cs="Times New Roman"/>
          <w:lang w:val="lt-LT"/>
        </w:rPr>
        <w:t xml:space="preserve">Vertinimas apėmė šiuos pagrindinius etapus: </w:t>
      </w:r>
    </w:p>
    <w:p w14:paraId="426E463C" w14:textId="77777777" w:rsidR="00CB5110" w:rsidRPr="00E24668" w:rsidRDefault="00CB5110" w:rsidP="00CB5110">
      <w:pPr>
        <w:pStyle w:val="Sraopastraipa"/>
        <w:numPr>
          <w:ilvl w:val="0"/>
          <w:numId w:val="9"/>
        </w:numPr>
        <w:spacing w:before="240"/>
        <w:ind w:left="0" w:firstLine="737"/>
        <w:rPr>
          <w:rFonts w:cs="Times New Roman"/>
          <w:lang w:val="lt-LT"/>
        </w:rPr>
      </w:pPr>
      <w:r w:rsidRPr="00E24668">
        <w:rPr>
          <w:rFonts w:cs="Times New Roman"/>
          <w:lang w:val="lt-LT"/>
        </w:rPr>
        <w:t xml:space="preserve">Interviu su FT atstovais (atlikti 2013 m. II </w:t>
      </w:r>
      <w:proofErr w:type="spellStart"/>
      <w:r w:rsidRPr="00E24668">
        <w:rPr>
          <w:rFonts w:cs="Times New Roman"/>
          <w:lang w:val="lt-LT"/>
        </w:rPr>
        <w:t>ketv</w:t>
      </w:r>
      <w:proofErr w:type="spellEnd"/>
      <w:r w:rsidRPr="00E24668">
        <w:rPr>
          <w:rFonts w:cs="Times New Roman"/>
          <w:lang w:val="lt-LT"/>
        </w:rPr>
        <w:t xml:space="preserve">.), kuriais siekta nustatyti FT patrauklias administruoti FP ir apžvelgti FT veiklos kryptis bei taikomus verslo finansavimo modelius. </w:t>
      </w:r>
    </w:p>
    <w:p w14:paraId="1B893FCB" w14:textId="2A3D06EB" w:rsidR="00CB5110" w:rsidRPr="00E24668" w:rsidRDefault="00CB5110" w:rsidP="00CB5110">
      <w:pPr>
        <w:pStyle w:val="Sraopastraipa"/>
        <w:keepNext/>
        <w:numPr>
          <w:ilvl w:val="0"/>
          <w:numId w:val="9"/>
        </w:numPr>
        <w:ind w:left="0" w:firstLine="737"/>
        <w:rPr>
          <w:rFonts w:cs="Times New Roman"/>
          <w:lang w:val="lt-LT"/>
        </w:rPr>
      </w:pPr>
      <w:r w:rsidRPr="00E24668">
        <w:rPr>
          <w:rFonts w:cs="Times New Roman"/>
          <w:noProof/>
          <w:lang w:val="lt-LT" w:eastAsia="lt-LT"/>
        </w:rPr>
        <w:t xml:space="preserve">Lietuvoje veikiančių SVV subjektų elektroninė apklausa </w:t>
      </w:r>
      <w:r w:rsidRPr="00E24668">
        <w:rPr>
          <w:rFonts w:cs="Times New Roman"/>
          <w:lang w:val="lt-LT"/>
        </w:rPr>
        <w:t>(atlikta 2013 m. II</w:t>
      </w:r>
      <w:r w:rsidR="004A098F" w:rsidRPr="00E24668">
        <w:rPr>
          <w:rFonts w:cs="Times New Roman"/>
          <w:lang w:val="lt-LT"/>
        </w:rPr>
        <w:t> </w:t>
      </w:r>
      <w:proofErr w:type="spellStart"/>
      <w:r w:rsidRPr="00E24668">
        <w:rPr>
          <w:rFonts w:cs="Times New Roman"/>
          <w:lang w:val="lt-LT"/>
        </w:rPr>
        <w:t>ketv</w:t>
      </w:r>
      <w:proofErr w:type="spellEnd"/>
      <w:r w:rsidRPr="00E24668">
        <w:rPr>
          <w:rFonts w:cs="Times New Roman"/>
          <w:lang w:val="lt-LT"/>
        </w:rPr>
        <w:t>.)</w:t>
      </w:r>
      <w:r w:rsidRPr="00E24668">
        <w:rPr>
          <w:rFonts w:cs="Times New Roman"/>
          <w:noProof/>
          <w:lang w:val="lt-LT" w:eastAsia="lt-LT"/>
        </w:rPr>
        <w:t xml:space="preserve">. Informacija </w:t>
      </w:r>
      <w:r w:rsidRPr="00E24668">
        <w:rPr>
          <w:rFonts w:cs="Times New Roman"/>
          <w:lang w:val="lt-LT"/>
        </w:rPr>
        <w:t xml:space="preserve">apie atliekamą tyrimą buvo paskelbta </w:t>
      </w:r>
      <w:proofErr w:type="spellStart"/>
      <w:r w:rsidRPr="00E24668">
        <w:rPr>
          <w:rFonts w:cs="Times New Roman"/>
          <w:lang w:val="lt-LT"/>
        </w:rPr>
        <w:t>www.invega.lt</w:t>
      </w:r>
      <w:proofErr w:type="spellEnd"/>
      <w:r w:rsidRPr="00E24668">
        <w:rPr>
          <w:rFonts w:cs="Times New Roman"/>
          <w:lang w:val="lt-LT"/>
        </w:rPr>
        <w:t xml:space="preserve"> internetinėje svetainėje, kurioje verslo atstovai buvo kviečiami užpildyti anketą. Anketa taip pat išplatinta </w:t>
      </w:r>
      <w:proofErr w:type="spellStart"/>
      <w:r w:rsidRPr="00E24668">
        <w:rPr>
          <w:rFonts w:cs="Times New Roman"/>
          <w:lang w:val="lt-LT"/>
        </w:rPr>
        <w:t>elektroniu</w:t>
      </w:r>
      <w:proofErr w:type="spellEnd"/>
      <w:r w:rsidRPr="00E24668">
        <w:rPr>
          <w:rFonts w:cs="Times New Roman"/>
          <w:lang w:val="lt-LT"/>
        </w:rPr>
        <w:t xml:space="preserve"> paštu bei per asocijuotas verslo struktūras.</w:t>
      </w:r>
    </w:p>
    <w:p w14:paraId="7B6119F9" w14:textId="77777777" w:rsidR="00CB5110" w:rsidRPr="00E24668" w:rsidRDefault="00CB5110" w:rsidP="00CB5110">
      <w:pPr>
        <w:pStyle w:val="Sraopastraipa"/>
        <w:numPr>
          <w:ilvl w:val="0"/>
          <w:numId w:val="9"/>
        </w:numPr>
        <w:ind w:left="0" w:firstLine="737"/>
        <w:rPr>
          <w:rFonts w:cs="Times New Roman"/>
          <w:lang w:val="lt-LT"/>
        </w:rPr>
      </w:pPr>
      <w:r w:rsidRPr="00E24668">
        <w:rPr>
          <w:rFonts w:cs="Times New Roman"/>
          <w:lang w:val="lt-LT"/>
        </w:rPr>
        <w:t xml:space="preserve">Verslo aplinkos, FĮ (įskaitant bankus, kredito unijas ir lizingo bendroves) ir rizikos kapitalo sektoriaus analizė. Buvo analizuojamas 2008–2013 m. laikotarpis. </w:t>
      </w:r>
    </w:p>
    <w:p w14:paraId="572E4D62" w14:textId="1DD454DD" w:rsidR="00CB5110" w:rsidRPr="00E24668" w:rsidRDefault="00CB5110" w:rsidP="00CB5110">
      <w:pPr>
        <w:pStyle w:val="Sraopastraipa"/>
        <w:numPr>
          <w:ilvl w:val="0"/>
          <w:numId w:val="9"/>
        </w:numPr>
        <w:ind w:left="0" w:firstLine="737"/>
        <w:rPr>
          <w:rFonts w:cs="Times New Roman"/>
          <w:lang w:val="lt-LT"/>
        </w:rPr>
      </w:pPr>
      <w:r w:rsidRPr="00E24668">
        <w:rPr>
          <w:rFonts w:cs="Times New Roman"/>
          <w:lang w:val="lt-LT"/>
        </w:rPr>
        <w:t>T</w:t>
      </w:r>
      <w:r w:rsidRPr="00E24668">
        <w:rPr>
          <w:rStyle w:val="TekstasChar"/>
          <w:rFonts w:eastAsiaTheme="majorEastAsia"/>
        </w:rPr>
        <w:t>eisinio reglamentavimo ir mokestinių klausimų, kurie trukdo ar apsunkina FP įgyvendinimą ir kurių tinkamas sprendimas prisidėtų prie sėkmingo SVV skirtų FP įgyvendinimo ir, atitinkamai, leistų greičiau pasiekti ES S</w:t>
      </w:r>
      <w:r w:rsidR="00165B3B" w:rsidRPr="00E24668">
        <w:rPr>
          <w:rStyle w:val="TekstasChar"/>
          <w:rFonts w:eastAsiaTheme="majorEastAsia"/>
        </w:rPr>
        <w:t>F</w:t>
      </w:r>
      <w:r w:rsidRPr="00E24668">
        <w:rPr>
          <w:rStyle w:val="TekstasChar"/>
          <w:rFonts w:eastAsiaTheme="majorEastAsia"/>
        </w:rPr>
        <w:t xml:space="preserve"> poveikiui keliamus tikslus, nagrinėjimas. </w:t>
      </w:r>
    </w:p>
    <w:p w14:paraId="265B800B" w14:textId="7D96C03D" w:rsidR="00CB5110" w:rsidRPr="00E24668" w:rsidRDefault="00CB5110" w:rsidP="00CB5110">
      <w:pPr>
        <w:pStyle w:val="Sraopastraipa"/>
        <w:numPr>
          <w:ilvl w:val="0"/>
          <w:numId w:val="9"/>
        </w:numPr>
        <w:tabs>
          <w:tab w:val="left" w:pos="0"/>
        </w:tabs>
        <w:ind w:left="0" w:firstLine="737"/>
        <w:rPr>
          <w:rFonts w:cs="Times New Roman"/>
          <w:szCs w:val="20"/>
          <w:lang w:val="lt-LT"/>
        </w:rPr>
      </w:pPr>
      <w:r w:rsidRPr="00E24668">
        <w:rPr>
          <w:rFonts w:cs="Times New Roman"/>
          <w:lang w:val="lt-LT"/>
        </w:rPr>
        <w:t xml:space="preserve">Įgyvendinamų FP verslui analizė. Vertinime išanalizuotos ir aprašytos įgyvendinamos ir įgyvendintos FP iš 2007–2013 m. programavimo laikotarpio ES SF, skirtos išimtinai SVV subjektams, taip pat institucijos, kurios šias priemones įgyvendina. Analizuotos tik INVEGOS ir EIF administruojamos priemonės: VP1-1.1-SADM-08-K </w:t>
      </w:r>
      <w:proofErr w:type="spellStart"/>
      <w:r w:rsidRPr="00E24668">
        <w:rPr>
          <w:rFonts w:cs="Times New Roman"/>
          <w:lang w:val="lt-LT"/>
        </w:rPr>
        <w:t>Verslumo</w:t>
      </w:r>
      <w:proofErr w:type="spellEnd"/>
      <w:r w:rsidRPr="00E24668">
        <w:rPr>
          <w:rFonts w:cs="Times New Roman"/>
          <w:lang w:val="lt-LT"/>
        </w:rPr>
        <w:t xml:space="preserve"> skatinimo fondo</w:t>
      </w:r>
      <w:r w:rsidRPr="00E24668">
        <w:rPr>
          <w:rFonts w:cs="Times New Roman"/>
          <w:szCs w:val="20"/>
          <w:lang w:val="lt-LT"/>
        </w:rPr>
        <w:t xml:space="preserve">, </w:t>
      </w:r>
      <w:r w:rsidRPr="00E24668">
        <w:rPr>
          <w:rFonts w:cs="Times New Roman"/>
          <w:lang w:val="lt-LT"/>
        </w:rPr>
        <w:t xml:space="preserve">VP2-2.3-ŪM-03-V </w:t>
      </w:r>
      <w:r w:rsidRPr="00E24668">
        <w:rPr>
          <w:rFonts w:cs="Times New Roman"/>
          <w:szCs w:val="20"/>
          <w:lang w:val="lt-LT"/>
        </w:rPr>
        <w:t xml:space="preserve">Garantijų fondo, </w:t>
      </w:r>
      <w:r w:rsidRPr="00E24668">
        <w:rPr>
          <w:rFonts w:cs="Times New Roman"/>
          <w:lang w:val="lt-LT"/>
        </w:rPr>
        <w:t xml:space="preserve">VP2-2.3-ŪM-01-K Kontroliuojančiųjų fondų priemonės bei su jomis susijusi VP2-2.3-ŪM-02-V </w:t>
      </w:r>
      <w:r w:rsidRPr="00E24668">
        <w:rPr>
          <w:rFonts w:cs="Times New Roman"/>
          <w:szCs w:val="20"/>
          <w:lang w:val="lt-LT"/>
        </w:rPr>
        <w:t xml:space="preserve">Dalinio palūkanų kompensavimo priemonės. Vertinime nebuvo nagrinėjamos pagal JESSICA (Bendra Europos parama tvarioms investicijoms miestuose (angl. </w:t>
      </w:r>
      <w:r w:rsidRPr="00E24668">
        <w:rPr>
          <w:rFonts w:cs="Times New Roman"/>
          <w:i/>
          <w:szCs w:val="20"/>
          <w:lang w:val="lt-LT"/>
        </w:rPr>
        <w:t>„</w:t>
      </w:r>
      <w:proofErr w:type="spellStart"/>
      <w:r w:rsidRPr="00E24668">
        <w:rPr>
          <w:rFonts w:cs="Times New Roman"/>
          <w:i/>
          <w:szCs w:val="20"/>
          <w:lang w:val="lt-LT"/>
        </w:rPr>
        <w:t>Joint</w:t>
      </w:r>
      <w:proofErr w:type="spellEnd"/>
      <w:r w:rsidRPr="00E24668">
        <w:rPr>
          <w:rFonts w:cs="Times New Roman"/>
          <w:i/>
          <w:szCs w:val="20"/>
          <w:lang w:val="lt-LT"/>
        </w:rPr>
        <w:t xml:space="preserve"> </w:t>
      </w:r>
      <w:proofErr w:type="spellStart"/>
      <w:r w:rsidRPr="00E24668">
        <w:rPr>
          <w:rFonts w:cs="Times New Roman"/>
          <w:i/>
          <w:szCs w:val="20"/>
          <w:lang w:val="lt-LT"/>
        </w:rPr>
        <w:t>European</w:t>
      </w:r>
      <w:proofErr w:type="spellEnd"/>
      <w:r w:rsidRPr="00E24668">
        <w:rPr>
          <w:rFonts w:cs="Times New Roman"/>
          <w:i/>
          <w:szCs w:val="20"/>
          <w:lang w:val="lt-LT"/>
        </w:rPr>
        <w:t xml:space="preserve"> </w:t>
      </w:r>
      <w:proofErr w:type="spellStart"/>
      <w:r w:rsidRPr="00E24668">
        <w:rPr>
          <w:rFonts w:cs="Times New Roman"/>
          <w:i/>
          <w:szCs w:val="20"/>
          <w:lang w:val="lt-LT"/>
        </w:rPr>
        <w:t>Eupport</w:t>
      </w:r>
      <w:proofErr w:type="spellEnd"/>
      <w:r w:rsidRPr="00E24668">
        <w:rPr>
          <w:rFonts w:cs="Times New Roman"/>
          <w:i/>
          <w:szCs w:val="20"/>
          <w:lang w:val="lt-LT"/>
        </w:rPr>
        <w:t xml:space="preserve"> </w:t>
      </w:r>
      <w:proofErr w:type="spellStart"/>
      <w:r w:rsidRPr="00E24668">
        <w:rPr>
          <w:rFonts w:cs="Times New Roman"/>
          <w:i/>
          <w:szCs w:val="20"/>
          <w:lang w:val="lt-LT"/>
        </w:rPr>
        <w:t>for</w:t>
      </w:r>
      <w:proofErr w:type="spellEnd"/>
      <w:r w:rsidRPr="00E24668">
        <w:rPr>
          <w:rFonts w:cs="Times New Roman"/>
          <w:i/>
          <w:szCs w:val="20"/>
          <w:lang w:val="lt-LT"/>
        </w:rPr>
        <w:t xml:space="preserve"> </w:t>
      </w:r>
      <w:proofErr w:type="spellStart"/>
      <w:r w:rsidRPr="00E24668">
        <w:rPr>
          <w:rFonts w:cs="Times New Roman"/>
          <w:i/>
          <w:szCs w:val="20"/>
          <w:lang w:val="lt-LT"/>
        </w:rPr>
        <w:t>Sustainable</w:t>
      </w:r>
      <w:proofErr w:type="spellEnd"/>
      <w:r w:rsidRPr="00E24668">
        <w:rPr>
          <w:rFonts w:cs="Times New Roman"/>
          <w:i/>
          <w:szCs w:val="20"/>
          <w:lang w:val="lt-LT"/>
        </w:rPr>
        <w:t xml:space="preserve"> </w:t>
      </w:r>
      <w:proofErr w:type="spellStart"/>
      <w:r w:rsidRPr="00E24668">
        <w:rPr>
          <w:rFonts w:cs="Times New Roman"/>
          <w:i/>
          <w:szCs w:val="20"/>
          <w:lang w:val="lt-LT"/>
        </w:rPr>
        <w:t>Investment</w:t>
      </w:r>
      <w:proofErr w:type="spellEnd"/>
      <w:r w:rsidRPr="00E24668">
        <w:rPr>
          <w:rFonts w:cs="Times New Roman"/>
          <w:i/>
          <w:szCs w:val="20"/>
          <w:lang w:val="lt-LT"/>
        </w:rPr>
        <w:t xml:space="preserve"> </w:t>
      </w:r>
      <w:proofErr w:type="spellStart"/>
      <w:r w:rsidRPr="00E24668">
        <w:rPr>
          <w:rFonts w:cs="Times New Roman"/>
          <w:i/>
          <w:szCs w:val="20"/>
          <w:lang w:val="lt-LT"/>
        </w:rPr>
        <w:t>in</w:t>
      </w:r>
      <w:proofErr w:type="spellEnd"/>
      <w:r w:rsidRPr="00E24668">
        <w:rPr>
          <w:rFonts w:cs="Times New Roman"/>
          <w:i/>
          <w:szCs w:val="20"/>
          <w:lang w:val="lt-LT"/>
        </w:rPr>
        <w:t xml:space="preserve"> </w:t>
      </w:r>
      <w:proofErr w:type="spellStart"/>
      <w:r w:rsidRPr="00E24668">
        <w:rPr>
          <w:rFonts w:cs="Times New Roman"/>
          <w:i/>
          <w:szCs w:val="20"/>
          <w:lang w:val="lt-LT"/>
        </w:rPr>
        <w:t>City</w:t>
      </w:r>
      <w:proofErr w:type="spellEnd"/>
      <w:r w:rsidRPr="00E24668">
        <w:rPr>
          <w:rFonts w:cs="Times New Roman"/>
          <w:i/>
          <w:szCs w:val="20"/>
          <w:lang w:val="lt-LT"/>
        </w:rPr>
        <w:t xml:space="preserve"> </w:t>
      </w:r>
      <w:proofErr w:type="spellStart"/>
      <w:r w:rsidRPr="00E24668">
        <w:rPr>
          <w:rFonts w:cs="Times New Roman"/>
          <w:i/>
          <w:szCs w:val="20"/>
          <w:lang w:val="lt-LT"/>
        </w:rPr>
        <w:t>Areas</w:t>
      </w:r>
      <w:proofErr w:type="spellEnd"/>
      <w:r w:rsidRPr="00E24668">
        <w:rPr>
          <w:rFonts w:cs="Times New Roman"/>
          <w:i/>
          <w:szCs w:val="20"/>
          <w:lang w:val="lt-LT"/>
        </w:rPr>
        <w:t>“</w:t>
      </w:r>
      <w:r w:rsidRPr="00E24668">
        <w:rPr>
          <w:rFonts w:cs="Times New Roman"/>
          <w:szCs w:val="20"/>
          <w:lang w:val="lt-LT"/>
        </w:rPr>
        <w:t>) iniciatyvą vykdomos priemonės, nes jos nėra skirtos verslui.</w:t>
      </w:r>
    </w:p>
    <w:p w14:paraId="1F4BFEDD" w14:textId="77777777" w:rsidR="00CB5110" w:rsidRPr="00E24668" w:rsidRDefault="00CB5110" w:rsidP="00CB5110">
      <w:pPr>
        <w:pStyle w:val="Sraopastraipa"/>
        <w:numPr>
          <w:ilvl w:val="0"/>
          <w:numId w:val="9"/>
        </w:numPr>
        <w:tabs>
          <w:tab w:val="left" w:pos="1276"/>
        </w:tabs>
        <w:ind w:left="0" w:firstLine="737"/>
        <w:rPr>
          <w:rFonts w:cs="Times New Roman"/>
          <w:lang w:val="lt-LT"/>
        </w:rPr>
      </w:pPr>
      <w:r w:rsidRPr="00E24668">
        <w:rPr>
          <w:rFonts w:cs="Times New Roman"/>
          <w:lang w:val="lt-LT"/>
        </w:rPr>
        <w:t>Papildomų viešųjų ir privačių lėšų pritraukimo šaltinių identifikavimas. Remiantis visomis atliktomis apklausomis, nustatyti galimi privačių lėšų šaltiniai ir sąlygos bei paskatos, kurios padėtų šias lėšas pritraukti.</w:t>
      </w:r>
    </w:p>
    <w:p w14:paraId="417D2818" w14:textId="77777777" w:rsidR="00CB5110" w:rsidRPr="00E24668" w:rsidRDefault="00CB5110" w:rsidP="00CB5110">
      <w:pPr>
        <w:pStyle w:val="Sraopastraipa"/>
        <w:numPr>
          <w:ilvl w:val="0"/>
          <w:numId w:val="9"/>
        </w:numPr>
        <w:tabs>
          <w:tab w:val="left" w:pos="1276"/>
        </w:tabs>
        <w:ind w:left="1276" w:hanging="539"/>
        <w:rPr>
          <w:rFonts w:cs="Times New Roman"/>
          <w:lang w:val="lt-LT"/>
        </w:rPr>
      </w:pPr>
      <w:r w:rsidRPr="00E24668">
        <w:rPr>
          <w:lang w:val="lt-LT"/>
        </w:rPr>
        <w:t>Išmoktų pamokų ir užsienio šalių patirties analizė</w:t>
      </w:r>
      <w:r w:rsidRPr="00E24668">
        <w:rPr>
          <w:rFonts w:cs="Times New Roman"/>
          <w:lang w:val="lt-LT"/>
        </w:rPr>
        <w:t>.</w:t>
      </w:r>
      <w:r w:rsidRPr="00E24668">
        <w:rPr>
          <w:lang w:val="lt-LT"/>
        </w:rPr>
        <w:t xml:space="preserve">    </w:t>
      </w:r>
    </w:p>
    <w:p w14:paraId="79780951" w14:textId="77F21488" w:rsidR="00CB5110" w:rsidRPr="00E24668" w:rsidRDefault="00CB5110" w:rsidP="00CB5110">
      <w:pPr>
        <w:pStyle w:val="Sraopastraipa"/>
        <w:keepNext/>
        <w:numPr>
          <w:ilvl w:val="0"/>
          <w:numId w:val="9"/>
        </w:numPr>
        <w:tabs>
          <w:tab w:val="left" w:pos="1276"/>
        </w:tabs>
        <w:ind w:left="0" w:firstLine="737"/>
        <w:rPr>
          <w:rFonts w:cs="Times New Roman"/>
          <w:lang w:val="lt-LT"/>
        </w:rPr>
      </w:pPr>
      <w:r w:rsidRPr="00E24668">
        <w:rPr>
          <w:lang w:val="lt-LT"/>
        </w:rPr>
        <w:lastRenderedPageBreak/>
        <w:t>Investavimo strategijos aprašymas.</w:t>
      </w:r>
      <w:r w:rsidRPr="00E24668">
        <w:rPr>
          <w:rFonts w:cs="Times New Roman"/>
          <w:lang w:val="lt-LT"/>
        </w:rPr>
        <w:t xml:space="preserve"> Vertinime aprašytos ir išanalizuotos planuojamos įgyvendinti FP iš 2014–2020 m. programavimo laikotarpio ES SF, skirtos</w:t>
      </w:r>
      <w:r w:rsidR="00173A8B" w:rsidRPr="00E24668">
        <w:rPr>
          <w:rFonts w:cs="Times New Roman"/>
          <w:lang w:val="lt-LT"/>
        </w:rPr>
        <w:t xml:space="preserve"> verslui</w:t>
      </w:r>
      <w:r w:rsidR="00F54BBE" w:rsidRPr="00E24668">
        <w:rPr>
          <w:rFonts w:cs="Times New Roman"/>
          <w:lang w:val="lt-LT"/>
        </w:rPr>
        <w:t>,</w:t>
      </w:r>
      <w:r w:rsidRPr="00E24668">
        <w:rPr>
          <w:rFonts w:cs="Times New Roman"/>
          <w:lang w:val="lt-LT"/>
        </w:rPr>
        <w:t xml:space="preserve"> taip pat galimos šių FP įgyvendinimo formos. </w:t>
      </w:r>
    </w:p>
    <w:p w14:paraId="0D0A5826" w14:textId="77777777" w:rsidR="00CB5110" w:rsidRPr="00E24668" w:rsidRDefault="00CB5110" w:rsidP="00CB5110">
      <w:pPr>
        <w:pStyle w:val="Sraopastraipa"/>
        <w:numPr>
          <w:ilvl w:val="0"/>
          <w:numId w:val="9"/>
        </w:numPr>
        <w:tabs>
          <w:tab w:val="left" w:pos="1276"/>
        </w:tabs>
        <w:ind w:left="0" w:firstLine="737"/>
        <w:rPr>
          <w:rFonts w:cs="Times New Roman"/>
          <w:lang w:val="lt-LT"/>
        </w:rPr>
      </w:pPr>
      <w:r w:rsidRPr="00E24668">
        <w:rPr>
          <w:rFonts w:eastAsia="Times New Roman" w:cs="Times New Roman"/>
          <w:lang w:val="lt-LT" w:eastAsia="lt-LT"/>
        </w:rPr>
        <w:t xml:space="preserve">Pateikiami laukiami rezultatai ir informacija apie tai, kaip pasitelkiant atitinkamą FP, tikimasi prisidėti prie atitinkamų VP prioritetų  įgyvendinimo bei nuostatos dėl </w:t>
      </w:r>
      <w:proofErr w:type="spellStart"/>
      <w:r w:rsidRPr="00E24668">
        <w:rPr>
          <w:rFonts w:eastAsia="Times New Roman" w:cs="Times New Roman"/>
          <w:lang w:val="lt-LT" w:eastAsia="lt-LT"/>
        </w:rPr>
        <w:t>stebėsenos</w:t>
      </w:r>
      <w:proofErr w:type="spellEnd"/>
      <w:r w:rsidRPr="00E24668">
        <w:rPr>
          <w:rFonts w:eastAsia="Times New Roman" w:cs="Times New Roman"/>
          <w:lang w:val="lt-LT" w:eastAsia="lt-LT"/>
        </w:rPr>
        <w:t xml:space="preserve"> ir vertinimo tikslinimo.</w:t>
      </w:r>
      <w:r w:rsidRPr="00E24668">
        <w:rPr>
          <w:rFonts w:cs="Times New Roman"/>
          <w:lang w:val="lt-LT"/>
        </w:rPr>
        <w:t xml:space="preserve"> </w:t>
      </w:r>
    </w:p>
    <w:p w14:paraId="15B9C00C" w14:textId="77777777" w:rsidR="008A6AF1" w:rsidRPr="00E24668" w:rsidRDefault="004D79FC" w:rsidP="004D79FC">
      <w:pPr>
        <w:spacing w:before="240" w:after="240"/>
        <w:rPr>
          <w:lang w:val="lt-LT"/>
        </w:rPr>
      </w:pPr>
      <w:r w:rsidRPr="00E24668">
        <w:rPr>
          <w:rFonts w:cs="Times New Roman"/>
          <w:noProof/>
          <w:lang w:val="lt-LT"/>
        </w:rPr>
        <w:t xml:space="preserve">Išnagrinėjus papildomų viešųjų ir privačių lėšų pritraukimo šaltinius buvo nustatyta, kad </w:t>
      </w:r>
      <w:r w:rsidRPr="00E24668">
        <w:rPr>
          <w:lang w:val="lt-LT"/>
        </w:rPr>
        <w:t>2014–2020 m. programavimo laikotarpiu privačios lėšos gali būti pritrauktos fondų fondo lygmeniu arba atskiros FP, kai nesteigiamas fondų fondas lygmeniu (pvz., grįžusios</w:t>
      </w:r>
      <w:r w:rsidRPr="00E24668">
        <w:rPr>
          <w:rStyle w:val="Antrat3Diagrama"/>
          <w:lang w:val="lt-LT"/>
        </w:rPr>
        <w:t xml:space="preserve"> </w:t>
      </w:r>
      <w:r w:rsidRPr="00E24668">
        <w:rPr>
          <w:lang w:val="lt-LT"/>
        </w:rPr>
        <w:t xml:space="preserve">(nacionalinės valstybės biudžeto) lėšos), FT lygmeniu (bankų nuosavos lėšos, privačių investuotojų lėšos) ir galutinių naudos gavėjų lygmeniu (jų nuosavos lėšos įgyvendinant projektą). </w:t>
      </w:r>
    </w:p>
    <w:p w14:paraId="7065C121" w14:textId="16E05DC0" w:rsidR="004D79FC" w:rsidRPr="00E24668" w:rsidRDefault="008A6AF1" w:rsidP="004D79FC">
      <w:pPr>
        <w:spacing w:before="240" w:after="240"/>
        <w:rPr>
          <w:rFonts w:cs="Times New Roman"/>
          <w:noProof/>
          <w:lang w:val="lt-LT"/>
        </w:rPr>
      </w:pPr>
      <w:r w:rsidRPr="00E24668">
        <w:rPr>
          <w:rFonts w:eastAsia="Times New Roman"/>
          <w:lang w:val="lt-LT" w:eastAsia="lt-LT"/>
        </w:rPr>
        <w:t>F</w:t>
      </w:r>
      <w:r w:rsidRPr="00E24668">
        <w:rPr>
          <w:rFonts w:cs="Times New Roman"/>
          <w:noProof/>
          <w:lang w:val="lt-LT"/>
        </w:rPr>
        <w:t xml:space="preserve">inansų įmonių (toliau – FĮ) atstovų nuomone, įgyvendinti SVV subjektams skirtas lengvatines FP jų FĮ labiausiai paskatintų galimybė prisiimti kuo mažesnę riziką ir rizikos pasidalijimas. Mažiausiai FĮ sprendimus įgyvendinti skolines FP skatina už FP administravimą (valdymą) mokamas mokestis. Tačiau, jei paskolų portfelis būtų didelis, administravimo mokestis taip padidintų FP patrauklumą. </w:t>
      </w:r>
      <w:r w:rsidRPr="00E24668">
        <w:rPr>
          <w:rFonts w:eastAsia="Times New Roman"/>
          <w:color w:val="000000"/>
          <w:lang w:val="lt-LT" w:eastAsia="lt-LT"/>
        </w:rPr>
        <w:t xml:space="preserve">Kaip nurodoma LT VCA tyrime, sąlygos, kurioms keičiantis privatūs investuotojai skirtų didesnes investicijų sumas į RKF, yra šios: auganti, stabili Lietuvos ekonomika, papildomos paskatos iš valstybės pusės, taip pat tai, jei fondus steigtų ir juos valdytų valdytojų komanda su sėkminga investavimo patirtimi, kas lemtų didesnį kiekį rinkoje pasirodančių sėkmingų sandorių pavyzdžių ir kt. </w:t>
      </w:r>
    </w:p>
    <w:p w14:paraId="593F503B" w14:textId="706CC434" w:rsidR="000C69AE" w:rsidRPr="00E24668" w:rsidRDefault="004D79FC" w:rsidP="004A098F">
      <w:pPr>
        <w:spacing w:before="240" w:after="240"/>
        <w:rPr>
          <w:rFonts w:cs="Times New Roman"/>
          <w:lang w:val="lt-LT"/>
        </w:rPr>
      </w:pPr>
      <w:r w:rsidRPr="00E24668">
        <w:rPr>
          <w:rFonts w:cs="Times New Roman"/>
          <w:noProof/>
          <w:lang w:val="lt-LT"/>
        </w:rPr>
        <w:t xml:space="preserve">Atlikus finansinių svertų palyginimą, įgyvendinant </w:t>
      </w:r>
      <w:r w:rsidR="00824F1E" w:rsidRPr="00E24668">
        <w:rPr>
          <w:rFonts w:cs="Times New Roman"/>
          <w:noProof/>
          <w:lang w:val="lt-LT"/>
        </w:rPr>
        <w:t>FP</w:t>
      </w:r>
      <w:r w:rsidRPr="00E24668">
        <w:rPr>
          <w:rFonts w:cs="Times New Roman"/>
          <w:noProof/>
          <w:lang w:val="lt-LT"/>
        </w:rPr>
        <w:t xml:space="preserve"> ir subsidines priemones buvo nustatyta, kad p</w:t>
      </w:r>
      <w:proofErr w:type="spellStart"/>
      <w:r w:rsidR="000C69AE" w:rsidRPr="00E24668">
        <w:rPr>
          <w:rFonts w:cs="Times New Roman"/>
          <w:lang w:val="lt-LT"/>
        </w:rPr>
        <w:t>rojektų</w:t>
      </w:r>
      <w:proofErr w:type="spellEnd"/>
      <w:r w:rsidR="000C69AE" w:rsidRPr="00E24668">
        <w:rPr>
          <w:rFonts w:cs="Times New Roman"/>
          <w:lang w:val="lt-LT"/>
        </w:rPr>
        <w:t xml:space="preserve">, kurių dalį sudaro subsidijos, finansinis svertas yra didesnis, tačiau, kadangi subsidijos yra vienkartinės išmokos, kurios neturi grįžtančių lėšų efekto sukuriamos kiekybinės pridėtinės vertės, ilguoju laikotarpiu, vertinant pridėtinę kiekybinę vertę, efektyvesnės nei subsidijos yra FP ir su jomis susijusios priemonės. </w:t>
      </w:r>
    </w:p>
    <w:p w14:paraId="2C71864D" w14:textId="77777777" w:rsidR="000C69AE" w:rsidRPr="00E24668" w:rsidRDefault="000C69AE" w:rsidP="00824F1E">
      <w:pPr>
        <w:rPr>
          <w:lang w:val="lt-LT"/>
        </w:rPr>
      </w:pPr>
      <w:r w:rsidRPr="00E24668">
        <w:rPr>
          <w:lang w:val="lt-LT"/>
        </w:rPr>
        <w:t>Remiantis kitų šalių patirtimi Lietuvoje galima pritaikyti keletą gerosios praktikos pavyzdžių, tokių kaip:</w:t>
      </w:r>
    </w:p>
    <w:p w14:paraId="1A3A0959" w14:textId="3E69482E" w:rsidR="000C69AE" w:rsidRPr="00E24668" w:rsidRDefault="000C69AE" w:rsidP="000C69AE">
      <w:pPr>
        <w:pStyle w:val="Sraopastraipa"/>
        <w:numPr>
          <w:ilvl w:val="0"/>
          <w:numId w:val="8"/>
        </w:numPr>
        <w:ind w:left="0" w:firstLine="737"/>
        <w:rPr>
          <w:lang w:val="lt-LT"/>
        </w:rPr>
      </w:pPr>
      <w:r w:rsidRPr="00E24668">
        <w:rPr>
          <w:color w:val="000000" w:themeColor="text1"/>
          <w:lang w:val="lt-LT"/>
        </w:rPr>
        <w:t xml:space="preserve">galimybė pritraukti privačias lėšas fondų fondo ar FP lygmenyje (pvz., iš EIF, Šiaurės šalių banko (angl. </w:t>
      </w:r>
      <w:r w:rsidRPr="00E24668">
        <w:rPr>
          <w:i/>
          <w:color w:val="000000" w:themeColor="text1"/>
          <w:lang w:val="lt-LT"/>
        </w:rPr>
        <w:t>„</w:t>
      </w:r>
      <w:proofErr w:type="spellStart"/>
      <w:r w:rsidRPr="00E24668">
        <w:rPr>
          <w:i/>
          <w:color w:val="000000" w:themeColor="text1"/>
          <w:lang w:val="lt-LT"/>
        </w:rPr>
        <w:t>Nordic</w:t>
      </w:r>
      <w:proofErr w:type="spellEnd"/>
      <w:r w:rsidRPr="00E24668">
        <w:rPr>
          <w:i/>
          <w:color w:val="000000" w:themeColor="text1"/>
          <w:lang w:val="lt-LT"/>
        </w:rPr>
        <w:t xml:space="preserve"> </w:t>
      </w:r>
      <w:proofErr w:type="spellStart"/>
      <w:r w:rsidRPr="00E24668">
        <w:rPr>
          <w:i/>
          <w:color w:val="000000" w:themeColor="text1"/>
          <w:lang w:val="lt-LT"/>
        </w:rPr>
        <w:t>Investment</w:t>
      </w:r>
      <w:proofErr w:type="spellEnd"/>
      <w:r w:rsidRPr="00E24668">
        <w:rPr>
          <w:i/>
          <w:color w:val="000000" w:themeColor="text1"/>
          <w:lang w:val="lt-LT"/>
        </w:rPr>
        <w:t xml:space="preserve"> </w:t>
      </w:r>
      <w:proofErr w:type="spellStart"/>
      <w:r w:rsidRPr="00E24668">
        <w:rPr>
          <w:i/>
          <w:color w:val="000000" w:themeColor="text1"/>
          <w:lang w:val="lt-LT"/>
        </w:rPr>
        <w:t>bank</w:t>
      </w:r>
      <w:proofErr w:type="spellEnd"/>
      <w:r w:rsidRPr="00E24668">
        <w:rPr>
          <w:i/>
          <w:color w:val="000000" w:themeColor="text1"/>
          <w:lang w:val="lt-LT"/>
        </w:rPr>
        <w:t>“</w:t>
      </w:r>
      <w:r w:rsidRPr="00E24668">
        <w:rPr>
          <w:color w:val="000000" w:themeColor="text1"/>
          <w:lang w:val="lt-LT"/>
        </w:rPr>
        <w:t xml:space="preserve"> ar pan. tarptautinių finansų įstaigų) ir taip pagreitinti </w:t>
      </w:r>
      <w:r w:rsidR="009743F8" w:rsidRPr="00E24668">
        <w:rPr>
          <w:color w:val="000000" w:themeColor="text1"/>
          <w:lang w:val="lt-LT"/>
        </w:rPr>
        <w:t>RKF</w:t>
      </w:r>
      <w:r w:rsidR="00D14978" w:rsidRPr="00E24668">
        <w:rPr>
          <w:color w:val="000000" w:themeColor="text1"/>
          <w:lang w:val="lt-LT"/>
        </w:rPr>
        <w:t xml:space="preserve"> </w:t>
      </w:r>
      <w:r w:rsidRPr="00E24668">
        <w:rPr>
          <w:color w:val="000000" w:themeColor="text1"/>
          <w:lang w:val="lt-LT"/>
        </w:rPr>
        <w:t>įsisteigimo procesą, kadangi jiems nereikėtų iš viso papildomai pritraukti arba reikėtų pritraukti mažiau privačių lėšų;</w:t>
      </w:r>
    </w:p>
    <w:p w14:paraId="3F8558D9" w14:textId="77777777" w:rsidR="000C69AE" w:rsidRPr="00E24668" w:rsidRDefault="000C69AE" w:rsidP="000C69AE">
      <w:pPr>
        <w:pStyle w:val="Sraopastraipa"/>
        <w:numPr>
          <w:ilvl w:val="0"/>
          <w:numId w:val="8"/>
        </w:numPr>
        <w:spacing w:before="240" w:after="240"/>
        <w:ind w:left="0" w:firstLine="737"/>
        <w:rPr>
          <w:color w:val="000000" w:themeColor="text1"/>
          <w:lang w:val="lt-LT"/>
        </w:rPr>
      </w:pPr>
      <w:r w:rsidRPr="00E24668">
        <w:rPr>
          <w:color w:val="000000" w:themeColor="text1"/>
          <w:lang w:val="lt-LT"/>
        </w:rPr>
        <w:t xml:space="preserve">įgyvendinant rizikos kapitalo FP, kartu įgyvendinti ir </w:t>
      </w:r>
      <w:proofErr w:type="spellStart"/>
      <w:r w:rsidRPr="00E24668">
        <w:rPr>
          <w:color w:val="000000" w:themeColor="text1"/>
          <w:lang w:val="lt-LT"/>
        </w:rPr>
        <w:t>akseleravimo</w:t>
      </w:r>
      <w:proofErr w:type="spellEnd"/>
      <w:r w:rsidRPr="00E24668">
        <w:rPr>
          <w:color w:val="000000" w:themeColor="text1"/>
          <w:lang w:val="lt-LT"/>
        </w:rPr>
        <w:t xml:space="preserve"> veiklą. </w:t>
      </w:r>
      <w:proofErr w:type="spellStart"/>
      <w:r w:rsidRPr="00E24668">
        <w:rPr>
          <w:color w:val="000000" w:themeColor="text1"/>
          <w:lang w:val="lt-LT"/>
        </w:rPr>
        <w:t>Akseleravimui</w:t>
      </w:r>
      <w:proofErr w:type="spellEnd"/>
      <w:r w:rsidRPr="00E24668">
        <w:rPr>
          <w:color w:val="000000" w:themeColor="text1"/>
          <w:lang w:val="lt-LT"/>
        </w:rPr>
        <w:t xml:space="preserve"> skirtos investicijos skiriamos MVĮ moksliniams tyrimams, pradiniam produkto koncepcijos plėtojimui. Tokia akseleratoriaus įgyvendinimo galimybe būtų galima pasinaudoti kuriant </w:t>
      </w:r>
      <w:proofErr w:type="spellStart"/>
      <w:r w:rsidRPr="00E24668">
        <w:rPr>
          <w:color w:val="000000" w:themeColor="text1"/>
          <w:lang w:val="lt-LT"/>
        </w:rPr>
        <w:t>ankstyvosnios</w:t>
      </w:r>
      <w:proofErr w:type="spellEnd"/>
      <w:r w:rsidRPr="00E24668">
        <w:rPr>
          <w:color w:val="000000" w:themeColor="text1"/>
          <w:lang w:val="lt-LT"/>
        </w:rPr>
        <w:t xml:space="preserve"> stadijos RKF Lietuvoje;</w:t>
      </w:r>
    </w:p>
    <w:p w14:paraId="79AE5B8A" w14:textId="77777777" w:rsidR="000C69AE" w:rsidRPr="00E24668" w:rsidRDefault="000C69AE" w:rsidP="000C69AE">
      <w:pPr>
        <w:pStyle w:val="Sraopastraipa"/>
        <w:numPr>
          <w:ilvl w:val="0"/>
          <w:numId w:val="8"/>
        </w:numPr>
        <w:ind w:left="0" w:firstLine="737"/>
        <w:rPr>
          <w:lang w:val="lt-LT"/>
        </w:rPr>
      </w:pPr>
      <w:r w:rsidRPr="00E24668">
        <w:rPr>
          <w:lang w:val="lt-LT"/>
        </w:rPr>
        <w:t>paraleliai su paskolų FP įgyvendinti ir mokymus paskolų gavėjams.</w:t>
      </w:r>
    </w:p>
    <w:p w14:paraId="30FAADC0" w14:textId="77777777" w:rsidR="000C69AE" w:rsidRPr="00E24668" w:rsidRDefault="000C69AE" w:rsidP="000C69AE">
      <w:pPr>
        <w:pStyle w:val="Sraopastraipa"/>
        <w:numPr>
          <w:ilvl w:val="0"/>
          <w:numId w:val="7"/>
        </w:numPr>
        <w:spacing w:before="240" w:after="100" w:afterAutospacing="1"/>
        <w:ind w:left="0" w:firstLine="709"/>
        <w:rPr>
          <w:rFonts w:eastAsia="Times New Roman"/>
          <w:color w:val="000000"/>
          <w:lang w:val="lt-LT" w:eastAsia="lt-LT"/>
        </w:rPr>
      </w:pPr>
      <w:r w:rsidRPr="00E24668">
        <w:rPr>
          <w:rFonts w:eastAsia="Times New Roman"/>
          <w:color w:val="000000"/>
          <w:lang w:val="lt-LT" w:eastAsia="lt-LT"/>
        </w:rPr>
        <w:t>sėkmingam rizikos kapitalo rinkos tolimesniam vystymui, RKF skiriama suma turėtų didėti, ypač atkreipiant dėmesį į ankstyvosios veiklos vystymosi stadijos rinkos dalies plėtrą</w:t>
      </w:r>
      <w:r w:rsidRPr="00E24668">
        <w:rPr>
          <w:rFonts w:ascii="Arial" w:hAnsi="Arial" w:cs="Arial"/>
          <w:color w:val="434343"/>
          <w:sz w:val="18"/>
          <w:szCs w:val="18"/>
          <w:shd w:val="clear" w:color="auto" w:fill="FFFFFF"/>
          <w:lang w:val="lt-LT"/>
        </w:rPr>
        <w:t>;</w:t>
      </w:r>
    </w:p>
    <w:p w14:paraId="1BE878E4" w14:textId="77777777" w:rsidR="000C69AE" w:rsidRPr="00E24668" w:rsidRDefault="000C69AE" w:rsidP="000C69AE">
      <w:pPr>
        <w:pStyle w:val="Sraopastraipa"/>
        <w:numPr>
          <w:ilvl w:val="0"/>
          <w:numId w:val="7"/>
        </w:numPr>
        <w:spacing w:before="240" w:after="100" w:afterAutospacing="1"/>
        <w:ind w:left="0" w:firstLine="709"/>
        <w:rPr>
          <w:rFonts w:eastAsia="Times New Roman"/>
          <w:color w:val="000000"/>
          <w:lang w:val="lt-LT" w:eastAsia="lt-LT"/>
        </w:rPr>
      </w:pPr>
      <w:r w:rsidRPr="00E24668">
        <w:rPr>
          <w:rFonts w:eastAsia="Times New Roman" w:cs="Times New Roman"/>
          <w:color w:val="000000"/>
          <w:lang w:val="lt-LT" w:eastAsia="lt-LT"/>
        </w:rPr>
        <w:t xml:space="preserve">apsaugos nuo nuostolių ir valstybės pagalbos schemos </w:t>
      </w:r>
      <w:proofErr w:type="spellStart"/>
      <w:r w:rsidRPr="00E24668">
        <w:rPr>
          <w:rFonts w:eastAsia="Times New Roman" w:cs="Times New Roman"/>
          <w:color w:val="000000"/>
          <w:lang w:val="lt-LT" w:eastAsia="lt-LT"/>
        </w:rPr>
        <w:t>notifikavimo</w:t>
      </w:r>
      <w:proofErr w:type="spellEnd"/>
      <w:r w:rsidRPr="00E24668">
        <w:rPr>
          <w:rFonts w:eastAsia="Times New Roman" w:cs="Times New Roman"/>
          <w:color w:val="000000"/>
          <w:lang w:val="lt-LT" w:eastAsia="lt-LT"/>
        </w:rPr>
        <w:t xml:space="preserve"> EK netaikymas, nes šalių praktika rodo, kad tai turėjo neigiamų pasekmių rizikos kapitalo rinkos plėtrai;</w:t>
      </w:r>
    </w:p>
    <w:p w14:paraId="40728A03" w14:textId="77777777" w:rsidR="000C69AE" w:rsidRPr="00E24668" w:rsidRDefault="000C69AE" w:rsidP="000C69AE">
      <w:pPr>
        <w:pStyle w:val="Sraopastraipa"/>
        <w:numPr>
          <w:ilvl w:val="0"/>
          <w:numId w:val="7"/>
        </w:numPr>
        <w:spacing w:before="240" w:after="100" w:afterAutospacing="1"/>
        <w:ind w:left="0" w:firstLine="709"/>
        <w:rPr>
          <w:rFonts w:eastAsia="Times New Roman" w:cs="Times New Roman"/>
          <w:color w:val="000000"/>
          <w:lang w:val="lt-LT" w:eastAsia="lt-LT"/>
        </w:rPr>
      </w:pPr>
      <w:r w:rsidRPr="00E24668">
        <w:rPr>
          <w:rFonts w:eastAsia="Times New Roman" w:cs="Times New Roman"/>
          <w:color w:val="000000"/>
          <w:lang w:val="lt-LT" w:eastAsia="lt-LT"/>
        </w:rPr>
        <w:t>skirti ypatingą dėmesį ankstyvosios veiklos vystymosi stadijos įmonių skatinimui, net iki 100 proc. investicijų finansuojant ES SF lėšomis.</w:t>
      </w:r>
    </w:p>
    <w:p w14:paraId="68B7A6B1" w14:textId="77777777" w:rsidR="00B44ED6" w:rsidRPr="00E24668" w:rsidRDefault="00B44ED6" w:rsidP="00B44ED6">
      <w:pPr>
        <w:spacing w:before="240" w:after="240"/>
        <w:rPr>
          <w:rFonts w:cs="Times New Roman"/>
          <w:noProof/>
          <w:lang w:val="lt-LT"/>
        </w:rPr>
      </w:pPr>
      <w:r w:rsidRPr="00E24668">
        <w:rPr>
          <w:rFonts w:cs="Times New Roman"/>
          <w:noProof/>
          <w:lang w:val="lt-LT"/>
        </w:rPr>
        <w:lastRenderedPageBreak/>
        <w:t>Vertnime nustatyti šie pagrindiniai išorinio verslo finansavimo rinkos trūkumai:</w:t>
      </w:r>
    </w:p>
    <w:p w14:paraId="6882BD7F" w14:textId="7D8738C3" w:rsidR="00B44ED6" w:rsidRPr="00E24668" w:rsidRDefault="00B44ED6" w:rsidP="00B44ED6">
      <w:pPr>
        <w:pStyle w:val="Sraopastraipa"/>
        <w:numPr>
          <w:ilvl w:val="0"/>
          <w:numId w:val="10"/>
        </w:numPr>
        <w:tabs>
          <w:tab w:val="left" w:pos="851"/>
        </w:tabs>
        <w:ind w:left="0" w:right="-1" w:firstLine="927"/>
        <w:rPr>
          <w:rFonts w:cs="Times New Roman"/>
          <w:color w:val="000000" w:themeColor="text1"/>
          <w:lang w:val="lt-LT"/>
        </w:rPr>
      </w:pPr>
      <w:r w:rsidRPr="00E24668">
        <w:rPr>
          <w:rFonts w:cs="Times New Roman"/>
          <w:color w:val="000000" w:themeColor="text1"/>
          <w:lang w:val="lt-LT"/>
        </w:rPr>
        <w:t xml:space="preserve">Populiariausi išorinio verslo finansavimo šaltiniai – tradiciniai FĮ siūlomi finansavimo produktai – paskolos ir lizingas, pirmiausia todėl, kad verslas nėra pakankamai susipažinęs su alternatyviais finansavimo būdais, o FĮ ne visada gali pasiūlyti SVV </w:t>
      </w:r>
      <w:proofErr w:type="spellStart"/>
      <w:r w:rsidRPr="00E24668">
        <w:rPr>
          <w:rFonts w:cs="Times New Roman"/>
          <w:color w:val="000000" w:themeColor="text1"/>
          <w:lang w:val="lt-LT"/>
        </w:rPr>
        <w:t>prieinamiausius</w:t>
      </w:r>
      <w:proofErr w:type="spellEnd"/>
      <w:r w:rsidRPr="00E24668">
        <w:rPr>
          <w:rFonts w:cs="Times New Roman"/>
          <w:color w:val="000000" w:themeColor="text1"/>
          <w:lang w:val="lt-LT"/>
        </w:rPr>
        <w:t xml:space="preserve"> bei tinkamiausius finansavimo būdus. Būtina daugiau išnaudoti </w:t>
      </w:r>
      <w:r w:rsidR="00E53DE1" w:rsidRPr="00E24668">
        <w:rPr>
          <w:rFonts w:cs="Times New Roman"/>
          <w:color w:val="000000" w:themeColor="text1"/>
          <w:lang w:val="lt-LT"/>
        </w:rPr>
        <w:t xml:space="preserve">RKF </w:t>
      </w:r>
      <w:r w:rsidRPr="00E24668">
        <w:rPr>
          <w:rFonts w:cs="Times New Roman"/>
          <w:color w:val="000000" w:themeColor="text1"/>
          <w:lang w:val="lt-LT"/>
        </w:rPr>
        <w:t>teikiamas paslaugas, tačiau apie tokias galimybes verslui trūksta informacijos ir žinių;</w:t>
      </w:r>
    </w:p>
    <w:p w14:paraId="7AACB23C" w14:textId="77777777" w:rsidR="00B44ED6" w:rsidRPr="00E24668" w:rsidRDefault="00B44ED6" w:rsidP="00B44ED6">
      <w:pPr>
        <w:pStyle w:val="Sraopastraipa"/>
        <w:numPr>
          <w:ilvl w:val="0"/>
          <w:numId w:val="10"/>
        </w:numPr>
        <w:tabs>
          <w:tab w:val="left" w:pos="851"/>
        </w:tabs>
        <w:ind w:left="0" w:right="-1" w:firstLine="927"/>
        <w:rPr>
          <w:rFonts w:cs="Times New Roman"/>
          <w:color w:val="000000" w:themeColor="text1"/>
          <w:lang w:val="lt-LT"/>
        </w:rPr>
      </w:pPr>
      <w:r w:rsidRPr="00E24668">
        <w:rPr>
          <w:rFonts w:cs="Times New Roman"/>
          <w:color w:val="000000" w:themeColor="text1"/>
          <w:lang w:val="lt-LT"/>
        </w:rPr>
        <w:t>Kalbant apie sunkumus gaunant išorinį verslo finansavimą, dažniausiai buvo paminėti per griežti finansavimo reikalavimai, užstato trūkumas ir per didelė finansavimo kaina (palūkanos, garantijos mokestis, administravimo išlaidos). Taip pat respondentams gauti finansavimą trukdė ir tai, kad FT nėra linkę skolinti naujai įsteigtoms įmonėms.</w:t>
      </w:r>
    </w:p>
    <w:p w14:paraId="4E3EA6BA" w14:textId="77777777" w:rsidR="00B44ED6" w:rsidRPr="00E24668" w:rsidRDefault="00B44ED6" w:rsidP="00B44ED6">
      <w:pPr>
        <w:pStyle w:val="Sraopastraipa"/>
        <w:numPr>
          <w:ilvl w:val="0"/>
          <w:numId w:val="10"/>
        </w:numPr>
        <w:tabs>
          <w:tab w:val="left" w:pos="851"/>
        </w:tabs>
        <w:ind w:left="0" w:right="-1" w:firstLine="927"/>
        <w:rPr>
          <w:rFonts w:cs="Times New Roman"/>
          <w:color w:val="000000" w:themeColor="text1"/>
          <w:lang w:val="lt-LT"/>
        </w:rPr>
      </w:pPr>
      <w:r w:rsidRPr="00E24668">
        <w:rPr>
          <w:rFonts w:cs="Times New Roman"/>
          <w:color w:val="000000" w:themeColor="text1"/>
          <w:lang w:val="lt-LT"/>
        </w:rPr>
        <w:t>Siekdami gauti išorinį finansavimą, verslininkai susiduria su reikalaujamo, verslui pernelyg didelio, užstato problema. SVV subjektų apklausa parodė, kad net 70 proc. SVV subjektų, kurie kreipėsi į FĮ, negavo reikiamo finansavimo dėl turimo nepakankamo užstato;</w:t>
      </w:r>
    </w:p>
    <w:p w14:paraId="548EFC05" w14:textId="77777777" w:rsidR="00B44ED6" w:rsidRPr="00E24668" w:rsidRDefault="00B44ED6" w:rsidP="00B44ED6">
      <w:pPr>
        <w:pStyle w:val="Sraopastraipa"/>
        <w:numPr>
          <w:ilvl w:val="0"/>
          <w:numId w:val="10"/>
        </w:numPr>
        <w:tabs>
          <w:tab w:val="left" w:pos="851"/>
        </w:tabs>
        <w:ind w:left="0" w:right="-1" w:firstLine="927"/>
        <w:rPr>
          <w:rFonts w:cs="Times New Roman"/>
          <w:color w:val="000000" w:themeColor="text1"/>
          <w:lang w:val="lt-LT"/>
        </w:rPr>
      </w:pPr>
      <w:r w:rsidRPr="00E24668">
        <w:rPr>
          <w:rFonts w:cs="Times New Roman"/>
          <w:color w:val="000000" w:themeColor="text1"/>
          <w:lang w:val="lt-LT"/>
        </w:rPr>
        <w:t>Pagal apklausos rezultatus matyti, jog SVV subjektai aktyviai domisi verslo plėtros galimybėmis, yra susipažinę su įvairių FT siūlomomis paslaugomis ir turi pakankamai patirties naudodami skirtingas išorinio verslo finansavimo priemones. SVV subjektai įvardijo, kad populiariausias FT yra bankas, o populiariausia finansavimo priemonė – paskola. Dauguma jų atsakė, kad ir ateityje planuoja kreiptis į bankus dėl paskolų, todėl siūlomos FP yra labiausiai atitinkančios SVV subjektų poreikius ir FT planus bei galimybes;</w:t>
      </w:r>
    </w:p>
    <w:p w14:paraId="0C672C7A" w14:textId="77777777" w:rsidR="00B44ED6" w:rsidRPr="00E24668" w:rsidRDefault="00B44ED6" w:rsidP="00B44ED6">
      <w:pPr>
        <w:pStyle w:val="Sraopastraipa"/>
        <w:numPr>
          <w:ilvl w:val="0"/>
          <w:numId w:val="10"/>
        </w:numPr>
        <w:tabs>
          <w:tab w:val="left" w:pos="851"/>
        </w:tabs>
        <w:ind w:left="0" w:right="-1" w:firstLine="927"/>
        <w:rPr>
          <w:rFonts w:cs="Times New Roman"/>
          <w:color w:val="000000" w:themeColor="text1"/>
          <w:lang w:val="lt-LT"/>
        </w:rPr>
      </w:pPr>
      <w:r w:rsidRPr="00E24668">
        <w:rPr>
          <w:rFonts w:cs="Times New Roman"/>
          <w:color w:val="000000" w:themeColor="text1"/>
          <w:lang w:val="lt-LT"/>
        </w:rPr>
        <w:t>Nėra priemonės, kuria būtų sudaryta galimybė gauti garantijas už faktoringą;</w:t>
      </w:r>
    </w:p>
    <w:p w14:paraId="6D2203EF" w14:textId="77777777" w:rsidR="00B44ED6" w:rsidRPr="00E24668" w:rsidRDefault="00B44ED6" w:rsidP="00B44ED6">
      <w:pPr>
        <w:pStyle w:val="Sraopastraipa"/>
        <w:numPr>
          <w:ilvl w:val="0"/>
          <w:numId w:val="10"/>
        </w:numPr>
        <w:tabs>
          <w:tab w:val="left" w:pos="851"/>
        </w:tabs>
        <w:ind w:left="0" w:right="-1" w:firstLine="927"/>
        <w:rPr>
          <w:rFonts w:cs="Times New Roman"/>
          <w:color w:val="000000" w:themeColor="text1"/>
          <w:lang w:val="lt-LT"/>
        </w:rPr>
      </w:pPr>
      <w:r w:rsidRPr="00E24668">
        <w:rPr>
          <w:rFonts w:cs="Times New Roman"/>
          <w:color w:val="000000" w:themeColor="text1"/>
          <w:lang w:val="lt-LT"/>
        </w:rPr>
        <w:t>Ne visos rinkoje esančios FP yra patrauklios dėl per trumpo jų galiojimo bei lėšų panaudojimo laikotarpio, todėl reikalinga kurti ilgesnio laikotarpio FP;</w:t>
      </w:r>
    </w:p>
    <w:p w14:paraId="4CFDC9D4" w14:textId="77777777" w:rsidR="00B44ED6" w:rsidRPr="00E24668" w:rsidRDefault="00B44ED6" w:rsidP="00B44ED6">
      <w:pPr>
        <w:pStyle w:val="Sraopastraipa"/>
        <w:numPr>
          <w:ilvl w:val="0"/>
          <w:numId w:val="10"/>
        </w:numPr>
        <w:tabs>
          <w:tab w:val="left" w:pos="851"/>
        </w:tabs>
        <w:ind w:left="0" w:right="-1" w:firstLine="927"/>
        <w:rPr>
          <w:rFonts w:cs="Times New Roman"/>
          <w:color w:val="000000" w:themeColor="text1"/>
          <w:lang w:val="lt-LT"/>
        </w:rPr>
      </w:pPr>
      <w:r w:rsidRPr="00E24668">
        <w:rPr>
          <w:rFonts w:cs="Times New Roman"/>
          <w:color w:val="000000" w:themeColor="text1"/>
          <w:lang w:val="lt-LT"/>
        </w:rPr>
        <w:t>Šiuo metu taikoma valstybės (individualių) garantijų schema, kai grąžinant paskolą, pirmiausia pasidengia garantuota dalis yra mažiau patraukli FĮ, skaičiuojant kapitalo poreikio rodiklius;</w:t>
      </w:r>
    </w:p>
    <w:p w14:paraId="3F34BA55" w14:textId="77777777" w:rsidR="00B44ED6" w:rsidRPr="00E24668" w:rsidRDefault="00B44ED6" w:rsidP="00B44ED6">
      <w:pPr>
        <w:pStyle w:val="Sraopastraipa"/>
        <w:numPr>
          <w:ilvl w:val="0"/>
          <w:numId w:val="10"/>
        </w:numPr>
        <w:tabs>
          <w:tab w:val="left" w:pos="851"/>
        </w:tabs>
        <w:ind w:left="0" w:right="-1" w:firstLine="927"/>
        <w:rPr>
          <w:rFonts w:cs="Times New Roman"/>
          <w:color w:val="000000" w:themeColor="text1"/>
          <w:lang w:val="lt-LT"/>
        </w:rPr>
      </w:pPr>
      <w:r w:rsidRPr="00E24668">
        <w:rPr>
          <w:rFonts w:cs="Times New Roman"/>
          <w:color w:val="000000" w:themeColor="text1"/>
          <w:lang w:val="lt-LT"/>
        </w:rPr>
        <w:t>Komerciniai bankai, laikydamiesi Bazelio III</w:t>
      </w:r>
      <w:r w:rsidRPr="00E24668">
        <w:rPr>
          <w:color w:val="000000" w:themeColor="text1"/>
          <w:vertAlign w:val="superscript"/>
          <w:lang w:val="lt-LT"/>
        </w:rPr>
        <w:footnoteReference w:id="1"/>
      </w:r>
      <w:r w:rsidRPr="00E24668">
        <w:rPr>
          <w:rFonts w:cs="Times New Roman"/>
          <w:color w:val="000000" w:themeColor="text1"/>
          <w:lang w:val="lt-LT"/>
        </w:rPr>
        <w:t xml:space="preserve"> taisyklių, turės laikyti daugiau kapitalo, geriau vertinti grėsmes ir </w:t>
      </w:r>
      <w:proofErr w:type="spellStart"/>
      <w:r w:rsidRPr="00E24668">
        <w:rPr>
          <w:rFonts w:cs="Times New Roman"/>
          <w:color w:val="000000" w:themeColor="text1"/>
          <w:lang w:val="lt-LT"/>
        </w:rPr>
        <w:t>rizikas</w:t>
      </w:r>
      <w:proofErr w:type="spellEnd"/>
      <w:r w:rsidRPr="00E24668">
        <w:rPr>
          <w:rFonts w:cs="Times New Roman"/>
          <w:color w:val="000000" w:themeColor="text1"/>
          <w:lang w:val="lt-LT"/>
        </w:rPr>
        <w:t>, laikyti daugiau likvidaus turto. Visa tai apribos komercinių bankų, ypač mažesniųjų, galimybes skolinti nepamatavus rizikos, skatins labiau orientuotis į mažiau rizikingus klientus, todėl šių Bazelio III nuostatų įgyvendinimas sąlygos mažesnį skolinimą;</w:t>
      </w:r>
    </w:p>
    <w:p w14:paraId="64DD336E" w14:textId="7F726C7F" w:rsidR="00B44ED6" w:rsidRPr="00E24668" w:rsidRDefault="00B44ED6" w:rsidP="00B44ED6">
      <w:pPr>
        <w:pStyle w:val="Sraopastraipa"/>
        <w:numPr>
          <w:ilvl w:val="0"/>
          <w:numId w:val="10"/>
        </w:numPr>
        <w:tabs>
          <w:tab w:val="left" w:pos="851"/>
        </w:tabs>
        <w:ind w:left="0" w:right="-1" w:firstLine="927"/>
        <w:rPr>
          <w:rFonts w:cs="Times New Roman"/>
          <w:color w:val="000000" w:themeColor="text1"/>
          <w:lang w:val="lt-LT"/>
        </w:rPr>
      </w:pPr>
      <w:r w:rsidRPr="00E24668">
        <w:rPr>
          <w:rFonts w:cs="Times New Roman"/>
          <w:color w:val="000000" w:themeColor="text1"/>
          <w:lang w:val="lt-LT"/>
        </w:rPr>
        <w:t>Esminis įmonių ankstyvojoje veiklos vystymosi stadijoje apribojimas – finansavimo trūkumas tolimesnei verslo plėtrai ir per maža RKF investicijos suma į vieną įmonę. Ribojama maksimali investicijų suma į vieną bendrovę mažina galimybes sparčiau plėstis ir (ar) įgyvendinti numatytus projektus, kurie dažnai yra nukeliami į vėlesnį laikotar</w:t>
      </w:r>
      <w:r w:rsidR="001A1CE2" w:rsidRPr="00E24668">
        <w:rPr>
          <w:rFonts w:cs="Times New Roman"/>
          <w:color w:val="000000" w:themeColor="text1"/>
          <w:lang w:val="lt-LT"/>
        </w:rPr>
        <w:t>pį ar jų vystymo yra atsisakoma. Taip pat, vėlesnėje veiklos vystymosi stadijoje esančios įmonės akcentavo, kad vienas iš pagrindinių RKF trūkumų yra nustatyta per maža maksimali investicijos į įmones suma;</w:t>
      </w:r>
    </w:p>
    <w:p w14:paraId="150AFA06" w14:textId="77777777" w:rsidR="00B44ED6" w:rsidRPr="00E24668" w:rsidRDefault="00B44ED6" w:rsidP="00B44ED6">
      <w:pPr>
        <w:pStyle w:val="Sraopastraipa"/>
        <w:numPr>
          <w:ilvl w:val="0"/>
          <w:numId w:val="10"/>
        </w:numPr>
        <w:tabs>
          <w:tab w:val="left" w:pos="851"/>
        </w:tabs>
        <w:ind w:left="0" w:right="-1" w:firstLine="927"/>
        <w:rPr>
          <w:rFonts w:cs="Times New Roman"/>
          <w:color w:val="000000" w:themeColor="text1"/>
          <w:lang w:val="lt-LT"/>
        </w:rPr>
      </w:pPr>
      <w:r w:rsidRPr="00E24668">
        <w:rPr>
          <w:rFonts w:cs="Times New Roman"/>
          <w:color w:val="000000" w:themeColor="text1"/>
          <w:lang w:val="lt-LT"/>
        </w:rPr>
        <w:t>Ankstyvojoje veiklos vystymosi stadijoje esančioms įmonėms, siekiančioms gauti išorinio finansavimo veiklos plėtrai, dažnu atveju tradicinės finansavimo formos yra sunkiai prieinamos, todėl tokiu atveju rizikos kapitalo investicijos yra viena arba kartais ir vienintelė galimybė finansuoti veiklos plėtrą;</w:t>
      </w:r>
    </w:p>
    <w:p w14:paraId="612683B5" w14:textId="118415DC" w:rsidR="00B44ED6" w:rsidRPr="00E24668" w:rsidRDefault="00B44ED6" w:rsidP="00B44ED6">
      <w:pPr>
        <w:pStyle w:val="Sraopastraipa"/>
        <w:numPr>
          <w:ilvl w:val="0"/>
          <w:numId w:val="10"/>
        </w:numPr>
        <w:tabs>
          <w:tab w:val="left" w:pos="851"/>
        </w:tabs>
        <w:ind w:left="0" w:right="-1" w:firstLine="927"/>
        <w:rPr>
          <w:rFonts w:cs="Times New Roman"/>
          <w:color w:val="000000" w:themeColor="text1"/>
          <w:lang w:val="lt-LT"/>
        </w:rPr>
      </w:pPr>
      <w:r w:rsidRPr="00E24668">
        <w:rPr>
          <w:rFonts w:cs="Times New Roman"/>
          <w:color w:val="000000" w:themeColor="text1"/>
          <w:lang w:val="lt-LT"/>
        </w:rPr>
        <w:t xml:space="preserve">Šiai dienai Lietuvoje yra per mažas RKF kiekis rinkoje, ypač ankstyvoje veiklos vystymosi stadijoje ir </w:t>
      </w:r>
      <w:r w:rsidRPr="00E24668">
        <w:rPr>
          <w:rFonts w:cs="Times New Roman"/>
          <w:lang w:val="lt-LT"/>
        </w:rPr>
        <w:t>mokslinių tyrimų, eksperimentinės plėtros ir inovacijų</w:t>
      </w:r>
      <w:r w:rsidRPr="00E24668">
        <w:rPr>
          <w:rFonts w:cs="Times New Roman"/>
          <w:color w:val="000000" w:themeColor="text1"/>
          <w:lang w:val="lt-LT"/>
        </w:rPr>
        <w:t xml:space="preserve"> srityje veikiančioms įmonėms ankstyvoje veiklos vystymosi stadijoje; </w:t>
      </w:r>
    </w:p>
    <w:p w14:paraId="5B1CE2AE" w14:textId="77777777" w:rsidR="00B44ED6" w:rsidRPr="00E24668" w:rsidRDefault="00B44ED6" w:rsidP="00B44ED6">
      <w:pPr>
        <w:pStyle w:val="Sraopastraipa"/>
        <w:numPr>
          <w:ilvl w:val="0"/>
          <w:numId w:val="10"/>
        </w:numPr>
        <w:tabs>
          <w:tab w:val="left" w:pos="851"/>
        </w:tabs>
        <w:ind w:left="0" w:right="-1" w:firstLine="927"/>
        <w:rPr>
          <w:rFonts w:cs="Times New Roman"/>
          <w:color w:val="000000" w:themeColor="text1"/>
          <w:lang w:val="lt-LT"/>
        </w:rPr>
      </w:pPr>
      <w:r w:rsidRPr="00E24668">
        <w:rPr>
          <w:rFonts w:cs="Times New Roman"/>
          <w:color w:val="000000" w:themeColor="text1"/>
          <w:lang w:val="lt-LT"/>
        </w:rPr>
        <w:lastRenderedPageBreak/>
        <w:t>Apie 85 proc. įmonių teigė, kad nors investicijų lėšų pakankama finansuoti svarbiausius plėtros projektus, kurie yra esminiai tam, kad įmonė augtų, tačiau papildomas išorinis finansavimas leistų žymiai sparčiau įgyvendinti plėtros planus, taip didinant įmonės vertę ir konkurencingumą, bei kurti papildomas darbo vietas. Tai ypatingai pabrėžia į technologijas orientuotos įmonės, kurios teigė, jog vystant projektus nepilnu pajėgumu dažnai yra prarandamas konkurencinis ir technologinis pranašumas prieš finansiškai stipresnius konkurentus, o tai kelia grėsmę veiklos tęstinumui ateityje;</w:t>
      </w:r>
    </w:p>
    <w:p w14:paraId="7E3126F7" w14:textId="77777777" w:rsidR="00B44ED6" w:rsidRPr="00E24668" w:rsidRDefault="00B44ED6" w:rsidP="00B44ED6">
      <w:pPr>
        <w:pStyle w:val="Sraopastraipa"/>
        <w:numPr>
          <w:ilvl w:val="0"/>
          <w:numId w:val="10"/>
        </w:numPr>
        <w:tabs>
          <w:tab w:val="left" w:pos="851"/>
        </w:tabs>
        <w:ind w:left="0" w:right="-1" w:firstLine="927"/>
        <w:rPr>
          <w:rFonts w:cs="Times New Roman"/>
          <w:color w:val="000000" w:themeColor="text1"/>
          <w:lang w:val="lt-LT"/>
        </w:rPr>
      </w:pPr>
      <w:r w:rsidRPr="00E24668">
        <w:rPr>
          <w:rFonts w:cs="Times New Roman"/>
          <w:color w:val="000000" w:themeColor="text1"/>
          <w:lang w:val="lt-LT"/>
        </w:rPr>
        <w:t>Svarbu pabrėžti, kad pagal LT VCA tyrimą apie 30 proc. įmonių, vėlesnėje veiklos vystymosi stadijoje, teigė, kad Lietuvoje trūksta arba yra ribotas kiekis RKF, kurie investuoja į vėlesnėje veiklos vystymosi stadijoje esančias įmones. Rinkoje esantys RKF valdytojai net ir maksimaliai investavę visas fondų lėšas, galėtų prisidėti tik prie kiek daugiau nei 30 įmonių plėtros. Atskiri RKF valdytojai per metus peržiūri daugiau nei po 100 atskirų investicinių projektų. Tačiau, dėl riboto dydžio lėšų bei investicinių projektų neatitikimo RKF investavimo kriterijams atskirų fondų investicijos pasiekia vos 3–4 įmones kasmet. Tai rodo, kad dėl nepakankamo RKF finansavimo, taip pat nepakankamo  įmonių suvokimo, į kokius projektus (įmones) investuoja RKF, investicijos pasiekia vos 4 proc. įmonių, kurios siekia gauti RKF finansavimą. Remiantis šia statistika, galima daryti prielaidą, kad RKF turint daugiau lėšų, privataus akcinio kapitalo investicijos leistų plėstis proporcingai didesniam skaičiui įmonių;</w:t>
      </w:r>
    </w:p>
    <w:p w14:paraId="28962183" w14:textId="52A8022F" w:rsidR="00824F1E" w:rsidRPr="00E24668" w:rsidRDefault="001A1CE2" w:rsidP="00824F1E">
      <w:pPr>
        <w:spacing w:before="240" w:after="240"/>
        <w:rPr>
          <w:rFonts w:cs="Times New Roman"/>
          <w:lang w:val="lt-LT"/>
        </w:rPr>
      </w:pPr>
      <w:r w:rsidRPr="00E24668">
        <w:rPr>
          <w:color w:val="000000"/>
          <w:lang w:val="lt-LT"/>
        </w:rPr>
        <w:t>Atliekant vertinimą, nustatyta,</w:t>
      </w:r>
      <w:r w:rsidR="00AC070E" w:rsidRPr="00E24668">
        <w:rPr>
          <w:color w:val="000000"/>
          <w:lang w:val="lt-LT"/>
        </w:rPr>
        <w:t xml:space="preserve"> </w:t>
      </w:r>
      <w:r w:rsidRPr="00E24668">
        <w:rPr>
          <w:color w:val="000000"/>
          <w:lang w:val="lt-LT"/>
        </w:rPr>
        <w:t>kad g</w:t>
      </w:r>
      <w:r w:rsidR="00824F1E" w:rsidRPr="00E24668">
        <w:rPr>
          <w:color w:val="000000"/>
          <w:lang w:val="lt-LT"/>
        </w:rPr>
        <w:t>alimos FP, kurios tikimasi, sumažins nustatytą rinkos trūkumą yra p</w:t>
      </w:r>
      <w:r w:rsidR="00824F1E" w:rsidRPr="00E24668">
        <w:rPr>
          <w:lang w:val="lt-LT"/>
        </w:rPr>
        <w:t xml:space="preserve">askolų </w:t>
      </w:r>
      <w:r w:rsidR="00824F1E" w:rsidRPr="00E24668">
        <w:rPr>
          <w:rFonts w:eastAsia="AngsanaUPC"/>
          <w:bCs/>
          <w:lang w:val="lt-LT" w:eastAsia="lt-LT"/>
        </w:rPr>
        <w:t>FP,</w:t>
      </w:r>
      <w:r w:rsidR="00824F1E" w:rsidRPr="00E24668">
        <w:rPr>
          <w:lang w:val="lt-LT"/>
        </w:rPr>
        <w:t xml:space="preserve"> skirtos padengti išorinio verslo finansavimo trūkumą, garantijų FP, skirtos spręsti nepakankamo turimo užstato problemą ir </w:t>
      </w:r>
      <w:r w:rsidR="00824F1E" w:rsidRPr="00E24668">
        <w:rPr>
          <w:noProof/>
          <w:lang w:val="lt-LT"/>
        </w:rPr>
        <w:t xml:space="preserve">rizikos kapitalo investicijų FP, kurios mažina finansavimo trūkumą toms įmonėms, kurių </w:t>
      </w:r>
      <w:r w:rsidR="00824F1E" w:rsidRPr="00E24668">
        <w:rPr>
          <w:lang w:val="lt-LT"/>
        </w:rPr>
        <w:t>veiklos istorija yra per trumpa ir veiklos pobūdis ir (ar) sektorius yra per daug rizikingi, ir todėl kredito įstaigos  nenori jų finansuoti</w:t>
      </w:r>
      <w:r w:rsidR="00824F1E" w:rsidRPr="00E24668">
        <w:rPr>
          <w:rFonts w:cs="Times New Roman"/>
          <w:lang w:val="lt-LT"/>
        </w:rPr>
        <w:t xml:space="preserve">. </w:t>
      </w:r>
    </w:p>
    <w:p w14:paraId="229071D6" w14:textId="1175C206" w:rsidR="00824F1E" w:rsidRPr="00E24668" w:rsidRDefault="00824F1E" w:rsidP="00824F1E">
      <w:pPr>
        <w:spacing w:before="240" w:after="240"/>
        <w:ind w:firstLine="709"/>
        <w:rPr>
          <w:rFonts w:cs="Times New Roman"/>
          <w:lang w:val="lt-LT"/>
        </w:rPr>
      </w:pPr>
      <w:r w:rsidRPr="00E24668">
        <w:rPr>
          <w:rFonts w:cs="Times New Roman"/>
          <w:lang w:val="lt-LT"/>
        </w:rPr>
        <w:t xml:space="preserve">Atsižvelgiant į aukščiau nurodytas problemas ir iššūkius, su kuriais susiduria SVV subjektai, remiantis išmoktomis pamokomis 2007–2013 m. programavimo laikotarpiu ir įgyvendintų bei dar įgyvendinamų FP rezultatais, turima rinkos dalyvių apklausa ir nustatytu rinkos trūkumu siūlomos įgyvendinti 1 lentelėje nurodytos FP, kurios, tikimasi, padės padengti nustatytą rinkos trūkumą. Atkreiptinas dėmesys į tai, kad nustatytam rinkos trūkumui padengti planuojamos FP, kurių finansavimo šaltinis yra ne tik ES SF lėšos, bet ir grįžusios (nacionalinės) lėšos. Tačiau grįžusiomis lėšomis finansuojamos FP detaliai </w:t>
      </w:r>
      <w:r w:rsidR="004A098F" w:rsidRPr="00E24668">
        <w:rPr>
          <w:rFonts w:cs="Times New Roman"/>
          <w:lang w:val="lt-LT"/>
        </w:rPr>
        <w:t>vertinime</w:t>
      </w:r>
      <w:r w:rsidRPr="00E24668">
        <w:rPr>
          <w:rFonts w:cs="Times New Roman"/>
          <w:lang w:val="lt-LT"/>
        </w:rPr>
        <w:t xml:space="preserve"> </w:t>
      </w:r>
      <w:r w:rsidR="004A098F" w:rsidRPr="00E24668">
        <w:rPr>
          <w:rFonts w:cs="Times New Roman"/>
          <w:lang w:val="lt-LT"/>
        </w:rPr>
        <w:t>ne</w:t>
      </w:r>
      <w:r w:rsidRPr="00E24668">
        <w:rPr>
          <w:rFonts w:cs="Times New Roman"/>
          <w:lang w:val="lt-LT"/>
        </w:rPr>
        <w:t>aprašomos, kadangi šio vertinimo objektas yra ES SF lėšomis finansuojamos FP.</w:t>
      </w:r>
    </w:p>
    <w:p w14:paraId="7AE3E469" w14:textId="3F9DF6DB" w:rsidR="00824F1E" w:rsidRPr="00E24668" w:rsidRDefault="00824F1E" w:rsidP="00824F1E">
      <w:pPr>
        <w:spacing w:before="240" w:after="240"/>
        <w:ind w:firstLine="709"/>
        <w:rPr>
          <w:rFonts w:cs="Times New Roman"/>
          <w:lang w:val="lt-LT"/>
        </w:rPr>
      </w:pPr>
      <w:r w:rsidRPr="00E24668">
        <w:rPr>
          <w:rFonts w:cs="Times New Roman"/>
          <w:lang w:val="lt-LT"/>
        </w:rPr>
        <w:t xml:space="preserve">Atliekant studiją, ateinantiems 5 metams buvo nustatytas 405 mln. EUR išorinio verslo finansavimo trūkumas. Atsižvelgiant į tai, kad FP yra planuojamos įgyvendinti ilgesniu nei 5 metų laikotarpiu, planuojama, kad </w:t>
      </w:r>
      <w:r w:rsidRPr="00E24668">
        <w:rPr>
          <w:rFonts w:cs="Times New Roman"/>
          <w:b/>
          <w:lang w:val="lt-LT"/>
        </w:rPr>
        <w:t>finansavimo poreikis verslui 2014–2020 m. programavimo laikotarpiu bus didesnis ir sieks apytiksliai 645 mln. EUR</w:t>
      </w:r>
      <w:r w:rsidRPr="00E24668">
        <w:rPr>
          <w:rFonts w:cs="Times New Roman"/>
          <w:lang w:val="lt-LT"/>
        </w:rPr>
        <w:t>, jei finansavimas iš FP bus skiriamas iki 2023 m. pabaigos, nes per metus nustatytas trūkumas siekia apytiksliai 80 mln. EUR. Taip pat reikia atkreipti dėmesį, kad, skiriant finansavimą FP iš grįžusių (nacionalinių) lėšų, šių FP lėšas bus galima naudoti galutiniams naudos gavėjams finansuoti ir ilgesniu nei Reglamente Nr. 1303/2013 nustatytu laikotarpiu, todėl 1 lentelėje pateiktas išorinio verslo finansavimo rinkos trūkumo padengimas yra didesnis, nes apima ne tik 2016–2023 m. laikotarpį.</w:t>
      </w:r>
    </w:p>
    <w:p w14:paraId="13BE9226" w14:textId="0D7F1349" w:rsidR="00824F1E" w:rsidRPr="00E24668" w:rsidRDefault="00824F1E" w:rsidP="00824F1E">
      <w:pPr>
        <w:spacing w:before="240" w:after="240"/>
        <w:ind w:firstLine="709"/>
        <w:rPr>
          <w:rFonts w:cs="Times New Roman"/>
          <w:lang w:val="lt-LT"/>
        </w:rPr>
      </w:pPr>
      <w:r w:rsidRPr="00E24668">
        <w:rPr>
          <w:rFonts w:cs="Times New Roman"/>
          <w:lang w:val="lt-LT"/>
        </w:rPr>
        <w:t>Visos sumos, nurodančios išorinio verslo finansavimo rinkos trūkumo padengimą, 1 lentelėje yra apskaičiuotos pagal maksimaliai ir minimaliai</w:t>
      </w:r>
      <w:r w:rsidRPr="00E24668">
        <w:rPr>
          <w:rStyle w:val="Puslapioinaosnuoroda"/>
          <w:rFonts w:cs="Times New Roman"/>
          <w:lang w:val="lt-LT"/>
        </w:rPr>
        <w:footnoteReference w:id="2"/>
      </w:r>
      <w:r w:rsidRPr="00E24668">
        <w:rPr>
          <w:rFonts w:cs="Times New Roman"/>
          <w:lang w:val="lt-LT"/>
        </w:rPr>
        <w:t xml:space="preserve"> planuojamą skirti finansavimą FP, įskaičiuojant </w:t>
      </w:r>
      <w:r w:rsidRPr="00E24668">
        <w:rPr>
          <w:rFonts w:cs="Times New Roman"/>
          <w:lang w:val="lt-LT"/>
        </w:rPr>
        <w:lastRenderedPageBreak/>
        <w:t>pritrauktas privačias lėšas ir išskaičiuojant planuojamus patirti FP ir fondų fondo (jei FP planuojama įgyvendinti per fondų fondą) administravimo mokesčius (išlaidas).</w:t>
      </w:r>
    </w:p>
    <w:p w14:paraId="2A2D167B" w14:textId="4D771627" w:rsidR="00824F1E" w:rsidRPr="00E24668" w:rsidRDefault="00824F1E" w:rsidP="00824F1E">
      <w:pPr>
        <w:rPr>
          <w:rFonts w:cs="Times New Roman"/>
          <w:noProof/>
          <w:lang w:val="lt-LT"/>
        </w:rPr>
      </w:pPr>
      <w:r w:rsidRPr="00E24668">
        <w:rPr>
          <w:rFonts w:cs="Times New Roman"/>
          <w:noProof/>
          <w:lang w:val="lt-LT"/>
        </w:rPr>
        <w:t xml:space="preserve">Vertinant esamo pasiruošimo 2014–2020 m. programavimo laikotarpiui procesus, darytina išvada, kad planuojamų FP įgyvendinimo </w:t>
      </w:r>
      <w:r w:rsidR="00B75ABB" w:rsidRPr="00E24668">
        <w:rPr>
          <w:rFonts w:cs="Times New Roman"/>
          <w:noProof/>
          <w:lang w:val="lt-LT"/>
        </w:rPr>
        <w:t>pradžia yra galima tik nuo</w:t>
      </w:r>
      <w:r w:rsidRPr="00E24668">
        <w:rPr>
          <w:rFonts w:cs="Times New Roman"/>
          <w:noProof/>
          <w:lang w:val="lt-LT"/>
        </w:rPr>
        <w:t xml:space="preserve"> 2016 m. Todėl, siekiant užtikrinti nenutrūkstamą SVV finansavimą, yra būtina numatyti galimus papildomus finansavimo šaltinius (pvz., iš </w:t>
      </w:r>
      <w:r w:rsidR="000A69F6" w:rsidRPr="00E24668">
        <w:rPr>
          <w:rFonts w:cs="Times New Roman"/>
          <w:noProof/>
          <w:lang w:val="lt-LT"/>
        </w:rPr>
        <w:t xml:space="preserve">šiuo metu administruojamų fondų </w:t>
      </w:r>
      <w:r w:rsidRPr="00E24668">
        <w:rPr>
          <w:rFonts w:cs="Times New Roman"/>
          <w:noProof/>
          <w:lang w:val="lt-LT"/>
        </w:rPr>
        <w:t>grįžusių (grįšiančių) lėšų).</w:t>
      </w:r>
    </w:p>
    <w:p w14:paraId="1C7E1086" w14:textId="4538BCCA" w:rsidR="00824F1E" w:rsidRPr="00E24668" w:rsidRDefault="00824F1E" w:rsidP="00824F1E">
      <w:pPr>
        <w:spacing w:before="240"/>
        <w:ind w:firstLine="709"/>
        <w:rPr>
          <w:rFonts w:cs="Times New Roman"/>
          <w:lang w:val="lt-LT"/>
        </w:rPr>
      </w:pPr>
      <w:r w:rsidRPr="00E24668" w:rsidDel="00C43F46">
        <w:rPr>
          <w:rFonts w:cs="Times New Roman"/>
          <w:b/>
          <w:lang w:val="lt-LT"/>
        </w:rPr>
        <w:fldChar w:fldCharType="begin"/>
      </w:r>
      <w:r w:rsidRPr="00E24668" w:rsidDel="00C43F46">
        <w:rPr>
          <w:rFonts w:cs="Times New Roman"/>
          <w:b/>
          <w:lang w:val="lt-LT"/>
        </w:rPr>
        <w:instrText xml:space="preserve"> SEQ Lentelė \* ARABIC </w:instrText>
      </w:r>
      <w:r w:rsidRPr="00E24668" w:rsidDel="00C43F46">
        <w:rPr>
          <w:rFonts w:cs="Times New Roman"/>
          <w:b/>
          <w:lang w:val="lt-LT"/>
        </w:rPr>
        <w:fldChar w:fldCharType="separate"/>
      </w:r>
      <w:bookmarkStart w:id="0" w:name="_Toc414802503"/>
      <w:r w:rsidR="00FB1237" w:rsidRPr="00E24668">
        <w:rPr>
          <w:rFonts w:cs="Times New Roman"/>
          <w:b/>
          <w:noProof/>
          <w:lang w:val="lt-LT"/>
        </w:rPr>
        <w:t>1</w:t>
      </w:r>
      <w:r w:rsidRPr="00E24668" w:rsidDel="00C43F46">
        <w:rPr>
          <w:rFonts w:cs="Times New Roman"/>
          <w:b/>
          <w:lang w:val="lt-LT"/>
        </w:rPr>
        <w:fldChar w:fldCharType="end"/>
      </w:r>
      <w:r w:rsidRPr="00E24668" w:rsidDel="00C43F46">
        <w:rPr>
          <w:rFonts w:cs="Times New Roman"/>
          <w:b/>
          <w:noProof/>
          <w:lang w:val="lt-LT"/>
        </w:rPr>
        <w:t xml:space="preserve"> </w:t>
      </w:r>
      <w:r w:rsidRPr="00E24668">
        <w:rPr>
          <w:rFonts w:cs="Times New Roman"/>
          <w:b/>
          <w:lang w:val="lt-LT"/>
        </w:rPr>
        <w:t xml:space="preserve">lentelė. Išorinio verslo finansavimo rinkos trūkumo padengimas, panaudojant galimus maksimalius ir </w:t>
      </w:r>
      <w:r w:rsidR="00680401" w:rsidRPr="00E24668">
        <w:rPr>
          <w:rFonts w:cs="Times New Roman"/>
          <w:b/>
          <w:lang w:val="lt-LT"/>
        </w:rPr>
        <w:t xml:space="preserve">minimalius </w:t>
      </w:r>
      <w:r w:rsidRPr="00E24668">
        <w:rPr>
          <w:rFonts w:cs="Times New Roman"/>
          <w:b/>
          <w:lang w:val="lt-LT"/>
        </w:rPr>
        <w:t>skirti FP dydžius, mln. EUR</w:t>
      </w:r>
      <w:bookmarkEnd w:id="0"/>
    </w:p>
    <w:tbl>
      <w:tblPr>
        <w:tblStyle w:val="Lentelstinklelis"/>
        <w:tblW w:w="10206" w:type="dxa"/>
        <w:tblInd w:w="108" w:type="dxa"/>
        <w:tblLayout w:type="fixed"/>
        <w:tblLook w:val="04A0" w:firstRow="1" w:lastRow="0" w:firstColumn="1" w:lastColumn="0" w:noHBand="0" w:noVBand="1"/>
      </w:tblPr>
      <w:tblGrid>
        <w:gridCol w:w="1701"/>
        <w:gridCol w:w="1560"/>
        <w:gridCol w:w="1701"/>
        <w:gridCol w:w="1871"/>
        <w:gridCol w:w="1559"/>
        <w:gridCol w:w="1814"/>
      </w:tblGrid>
      <w:tr w:rsidR="00824F1E" w:rsidRPr="00E24668" w14:paraId="4591B3D6" w14:textId="77777777" w:rsidTr="0068447D">
        <w:trPr>
          <w:trHeight w:val="1579"/>
        </w:trPr>
        <w:tc>
          <w:tcPr>
            <w:tcW w:w="1701" w:type="dxa"/>
            <w:vAlign w:val="center"/>
          </w:tcPr>
          <w:p w14:paraId="2B4CB78D" w14:textId="77777777" w:rsidR="00824F1E" w:rsidRPr="00E24668" w:rsidRDefault="00824F1E" w:rsidP="00B44ED6">
            <w:pPr>
              <w:spacing w:before="40" w:after="40"/>
              <w:ind w:firstLine="0"/>
              <w:jc w:val="center"/>
              <w:rPr>
                <w:rFonts w:cs="Times New Roman"/>
                <w:sz w:val="20"/>
                <w:szCs w:val="20"/>
                <w:lang w:val="lt-LT"/>
              </w:rPr>
            </w:pPr>
            <w:r w:rsidRPr="00E24668">
              <w:rPr>
                <w:rFonts w:cs="Times New Roman"/>
                <w:b/>
                <w:sz w:val="20"/>
                <w:szCs w:val="20"/>
                <w:lang w:val="lt-LT"/>
              </w:rPr>
              <w:t>FP pavadinimas</w:t>
            </w:r>
          </w:p>
        </w:tc>
        <w:tc>
          <w:tcPr>
            <w:tcW w:w="1560" w:type="dxa"/>
            <w:vAlign w:val="center"/>
          </w:tcPr>
          <w:p w14:paraId="26434C64" w14:textId="0B48976E" w:rsidR="00824F1E" w:rsidRPr="00E24668" w:rsidRDefault="00824F1E" w:rsidP="00824F1E">
            <w:pPr>
              <w:spacing w:before="40" w:after="40"/>
              <w:ind w:firstLine="0"/>
              <w:jc w:val="center"/>
              <w:rPr>
                <w:rFonts w:cs="Times New Roman"/>
                <w:b/>
                <w:sz w:val="20"/>
                <w:szCs w:val="20"/>
                <w:lang w:val="lt-LT"/>
              </w:rPr>
            </w:pPr>
            <w:r w:rsidRPr="00E24668">
              <w:rPr>
                <w:rFonts w:cs="Times New Roman"/>
                <w:b/>
                <w:sz w:val="20"/>
                <w:szCs w:val="20"/>
                <w:lang w:val="lt-LT"/>
              </w:rPr>
              <w:t>Lėšų šaltinis</w:t>
            </w:r>
          </w:p>
        </w:tc>
        <w:tc>
          <w:tcPr>
            <w:tcW w:w="1701" w:type="dxa"/>
            <w:vAlign w:val="center"/>
          </w:tcPr>
          <w:p w14:paraId="392A7204" w14:textId="64923A08" w:rsidR="00824F1E" w:rsidRPr="00E24668" w:rsidRDefault="00824F1E" w:rsidP="00824F1E">
            <w:pPr>
              <w:spacing w:before="40" w:after="40"/>
              <w:ind w:firstLine="0"/>
              <w:jc w:val="center"/>
              <w:rPr>
                <w:rFonts w:cs="Times New Roman"/>
                <w:b/>
                <w:sz w:val="20"/>
                <w:szCs w:val="20"/>
                <w:lang w:val="lt-LT"/>
              </w:rPr>
            </w:pPr>
            <w:r w:rsidRPr="00E24668">
              <w:rPr>
                <w:rFonts w:cs="Times New Roman"/>
                <w:b/>
                <w:sz w:val="20"/>
                <w:szCs w:val="20"/>
                <w:lang w:val="lt-LT"/>
              </w:rPr>
              <w:t>Maksimalus FP dydis, mln. EUR</w:t>
            </w:r>
          </w:p>
        </w:tc>
        <w:tc>
          <w:tcPr>
            <w:tcW w:w="1871" w:type="dxa"/>
            <w:vAlign w:val="center"/>
          </w:tcPr>
          <w:p w14:paraId="2C64DC78" w14:textId="77777777" w:rsidR="00824F1E" w:rsidRPr="00E24668" w:rsidRDefault="00824F1E" w:rsidP="00824F1E">
            <w:pPr>
              <w:spacing w:before="40" w:after="40"/>
              <w:ind w:firstLine="0"/>
              <w:jc w:val="center"/>
              <w:rPr>
                <w:rFonts w:cs="Times New Roman"/>
                <w:b/>
                <w:sz w:val="20"/>
                <w:szCs w:val="20"/>
                <w:lang w:val="lt-LT"/>
              </w:rPr>
            </w:pPr>
            <w:r w:rsidRPr="00E24668">
              <w:rPr>
                <w:rFonts w:cs="Times New Roman"/>
                <w:b/>
                <w:sz w:val="20"/>
                <w:szCs w:val="20"/>
                <w:lang w:val="lt-LT"/>
              </w:rPr>
              <w:t>Padengiamas rinkos trūkumas su maksimaliai planuojamu FP dydžiu, mln. EUR</w:t>
            </w:r>
          </w:p>
        </w:tc>
        <w:tc>
          <w:tcPr>
            <w:tcW w:w="1559" w:type="dxa"/>
            <w:vAlign w:val="center"/>
          </w:tcPr>
          <w:p w14:paraId="346AB957" w14:textId="77777777" w:rsidR="00824F1E" w:rsidRPr="00E24668" w:rsidRDefault="00824F1E" w:rsidP="00824F1E">
            <w:pPr>
              <w:spacing w:before="40" w:after="40"/>
              <w:ind w:firstLine="0"/>
              <w:jc w:val="center"/>
              <w:rPr>
                <w:rFonts w:cs="Times New Roman"/>
                <w:b/>
                <w:sz w:val="20"/>
                <w:szCs w:val="20"/>
                <w:lang w:val="lt-LT"/>
              </w:rPr>
            </w:pPr>
            <w:r w:rsidRPr="00E24668">
              <w:rPr>
                <w:rFonts w:cs="Times New Roman"/>
                <w:b/>
                <w:sz w:val="20"/>
                <w:szCs w:val="20"/>
                <w:lang w:val="lt-LT"/>
              </w:rPr>
              <w:t>Minimalus planuojamas skirti FP dydis, mln. EUR</w:t>
            </w:r>
          </w:p>
        </w:tc>
        <w:tc>
          <w:tcPr>
            <w:tcW w:w="1814" w:type="dxa"/>
            <w:vAlign w:val="center"/>
          </w:tcPr>
          <w:p w14:paraId="7D551EF6" w14:textId="77777777" w:rsidR="00824F1E" w:rsidRPr="00E24668" w:rsidRDefault="00824F1E" w:rsidP="00824F1E">
            <w:pPr>
              <w:spacing w:before="40" w:after="40"/>
              <w:ind w:firstLine="0"/>
              <w:jc w:val="center"/>
              <w:rPr>
                <w:rFonts w:cs="Times New Roman"/>
                <w:b/>
                <w:sz w:val="20"/>
                <w:szCs w:val="20"/>
                <w:lang w:val="lt-LT"/>
              </w:rPr>
            </w:pPr>
            <w:r w:rsidRPr="00E24668">
              <w:rPr>
                <w:rFonts w:cs="Times New Roman"/>
                <w:b/>
                <w:sz w:val="20"/>
                <w:szCs w:val="20"/>
                <w:lang w:val="lt-LT"/>
              </w:rPr>
              <w:t>Padengiamas rinkos trūkumas su minimaliu planuojamu FP dydžiu, mln. EUR</w:t>
            </w:r>
          </w:p>
        </w:tc>
      </w:tr>
      <w:tr w:rsidR="00824F1E" w:rsidRPr="00E24668" w14:paraId="68A16068" w14:textId="77777777" w:rsidTr="0068447D">
        <w:tc>
          <w:tcPr>
            <w:tcW w:w="1701" w:type="dxa"/>
            <w:vAlign w:val="center"/>
          </w:tcPr>
          <w:p w14:paraId="01ACE4F3" w14:textId="77777777" w:rsidR="00824F1E" w:rsidRPr="00E24668" w:rsidRDefault="00824F1E" w:rsidP="00053685">
            <w:pPr>
              <w:spacing w:line="240" w:lineRule="auto"/>
              <w:ind w:firstLine="0"/>
              <w:rPr>
                <w:rFonts w:cs="Times New Roman"/>
                <w:sz w:val="20"/>
                <w:szCs w:val="20"/>
                <w:lang w:val="lt-LT"/>
              </w:rPr>
            </w:pPr>
            <w:r w:rsidRPr="00E24668">
              <w:rPr>
                <w:rFonts w:cs="Times New Roman"/>
                <w:sz w:val="20"/>
                <w:szCs w:val="20"/>
                <w:lang w:val="lt-LT"/>
              </w:rPr>
              <w:t>Lengvatinės paskolos ir lizingo sandorių finansavimas</w:t>
            </w:r>
          </w:p>
        </w:tc>
        <w:tc>
          <w:tcPr>
            <w:tcW w:w="1560" w:type="dxa"/>
            <w:vAlign w:val="center"/>
          </w:tcPr>
          <w:p w14:paraId="02C17A7D" w14:textId="7AE61C31" w:rsidR="00824F1E" w:rsidRPr="00E24668" w:rsidRDefault="00824F1E" w:rsidP="00053685">
            <w:pPr>
              <w:spacing w:line="240" w:lineRule="auto"/>
              <w:ind w:firstLine="0"/>
              <w:jc w:val="center"/>
              <w:rPr>
                <w:rFonts w:cs="Times New Roman"/>
                <w:sz w:val="20"/>
                <w:szCs w:val="20"/>
                <w:lang w:val="lt-LT"/>
              </w:rPr>
            </w:pPr>
            <w:r w:rsidRPr="00E24668">
              <w:rPr>
                <w:rFonts w:cs="Times New Roman"/>
                <w:sz w:val="20"/>
                <w:szCs w:val="20"/>
                <w:lang w:val="lt-LT"/>
              </w:rPr>
              <w:t>Grįžusios (nacionalinės) lėšos</w:t>
            </w:r>
          </w:p>
        </w:tc>
        <w:tc>
          <w:tcPr>
            <w:tcW w:w="1701" w:type="dxa"/>
            <w:vAlign w:val="center"/>
          </w:tcPr>
          <w:p w14:paraId="60D7E756" w14:textId="26E75AA4" w:rsidR="00824F1E" w:rsidRPr="00E24668" w:rsidRDefault="00824F1E" w:rsidP="00FB1237">
            <w:pPr>
              <w:spacing w:before="40" w:after="40"/>
              <w:ind w:firstLine="0"/>
              <w:jc w:val="center"/>
              <w:rPr>
                <w:rFonts w:cs="Times New Roman"/>
                <w:sz w:val="20"/>
                <w:szCs w:val="20"/>
                <w:lang w:val="lt-LT"/>
              </w:rPr>
            </w:pPr>
            <w:r w:rsidRPr="00E24668">
              <w:rPr>
                <w:rFonts w:cs="Times New Roman"/>
                <w:sz w:val="20"/>
                <w:szCs w:val="20"/>
                <w:lang w:val="lt-LT"/>
              </w:rPr>
              <w:t>1</w:t>
            </w:r>
            <w:r w:rsidR="00FB1237" w:rsidRPr="00E24668">
              <w:rPr>
                <w:rFonts w:cs="Times New Roman"/>
                <w:sz w:val="20"/>
                <w:szCs w:val="20"/>
                <w:lang w:val="lt-LT"/>
              </w:rPr>
              <w:t>0</w:t>
            </w:r>
            <w:r w:rsidRPr="00E24668">
              <w:rPr>
                <w:rFonts w:cs="Times New Roman"/>
                <w:sz w:val="20"/>
                <w:szCs w:val="20"/>
                <w:lang w:val="lt-LT"/>
              </w:rPr>
              <w:t>6</w:t>
            </w:r>
          </w:p>
        </w:tc>
        <w:tc>
          <w:tcPr>
            <w:tcW w:w="1871" w:type="dxa"/>
            <w:vAlign w:val="center"/>
          </w:tcPr>
          <w:p w14:paraId="55D2BCC3" w14:textId="7B7C748E" w:rsidR="00824F1E" w:rsidRPr="00E24668" w:rsidRDefault="00824F1E" w:rsidP="00FB1237">
            <w:pPr>
              <w:spacing w:before="40" w:after="40"/>
              <w:ind w:firstLine="0"/>
              <w:jc w:val="center"/>
              <w:rPr>
                <w:rFonts w:cs="Times New Roman"/>
                <w:sz w:val="20"/>
                <w:szCs w:val="20"/>
                <w:lang w:val="lt-LT"/>
              </w:rPr>
            </w:pPr>
            <w:r w:rsidRPr="00E24668">
              <w:rPr>
                <w:rFonts w:cs="Times New Roman"/>
                <w:sz w:val="20"/>
                <w:szCs w:val="20"/>
                <w:lang w:val="lt-LT"/>
              </w:rPr>
              <w:t>1</w:t>
            </w:r>
            <w:r w:rsidR="00FB1237" w:rsidRPr="00E24668">
              <w:rPr>
                <w:rFonts w:cs="Times New Roman"/>
                <w:sz w:val="20"/>
                <w:szCs w:val="20"/>
                <w:lang w:val="lt-LT"/>
              </w:rPr>
              <w:t>31</w:t>
            </w:r>
          </w:p>
        </w:tc>
        <w:tc>
          <w:tcPr>
            <w:tcW w:w="1559" w:type="dxa"/>
            <w:vAlign w:val="center"/>
          </w:tcPr>
          <w:p w14:paraId="10A0729D" w14:textId="4D4093FE" w:rsidR="00824F1E" w:rsidRPr="00E24668" w:rsidRDefault="00FB1237" w:rsidP="00FB1237">
            <w:pPr>
              <w:spacing w:before="40" w:after="40"/>
              <w:ind w:firstLine="0"/>
              <w:jc w:val="center"/>
              <w:rPr>
                <w:rFonts w:cs="Times New Roman"/>
                <w:sz w:val="20"/>
                <w:szCs w:val="20"/>
                <w:lang w:val="lt-LT"/>
              </w:rPr>
            </w:pPr>
            <w:r w:rsidRPr="00E24668">
              <w:rPr>
                <w:rFonts w:cs="Times New Roman"/>
                <w:sz w:val="20"/>
                <w:szCs w:val="20"/>
                <w:lang w:val="lt-LT"/>
              </w:rPr>
              <w:t>37,7</w:t>
            </w:r>
          </w:p>
        </w:tc>
        <w:tc>
          <w:tcPr>
            <w:tcW w:w="1814" w:type="dxa"/>
            <w:vAlign w:val="center"/>
          </w:tcPr>
          <w:p w14:paraId="7659A87B" w14:textId="77777777" w:rsidR="00824F1E" w:rsidRPr="00E24668" w:rsidRDefault="00824F1E" w:rsidP="00824F1E">
            <w:pPr>
              <w:spacing w:before="40" w:after="40"/>
              <w:ind w:firstLine="0"/>
              <w:jc w:val="center"/>
              <w:rPr>
                <w:rFonts w:cs="Times New Roman"/>
                <w:sz w:val="20"/>
                <w:szCs w:val="20"/>
                <w:lang w:val="lt-LT"/>
              </w:rPr>
            </w:pPr>
            <w:r w:rsidRPr="00E24668">
              <w:rPr>
                <w:rFonts w:cs="Times New Roman"/>
                <w:sz w:val="20"/>
                <w:szCs w:val="20"/>
                <w:lang w:val="lt-LT"/>
              </w:rPr>
              <w:t>47</w:t>
            </w:r>
          </w:p>
        </w:tc>
      </w:tr>
      <w:tr w:rsidR="00824F1E" w:rsidRPr="00E24668" w14:paraId="483428FC" w14:textId="77777777" w:rsidTr="0068447D">
        <w:tc>
          <w:tcPr>
            <w:tcW w:w="1701" w:type="dxa"/>
            <w:vAlign w:val="center"/>
          </w:tcPr>
          <w:p w14:paraId="11FC5B03" w14:textId="77777777" w:rsidR="00824F1E" w:rsidRPr="00E24668" w:rsidRDefault="00824F1E" w:rsidP="00053685">
            <w:pPr>
              <w:spacing w:line="240" w:lineRule="auto"/>
              <w:ind w:firstLine="0"/>
              <w:rPr>
                <w:rFonts w:cs="Times New Roman"/>
                <w:sz w:val="20"/>
                <w:szCs w:val="20"/>
                <w:lang w:val="lt-LT"/>
              </w:rPr>
            </w:pPr>
            <w:r w:rsidRPr="00E24668">
              <w:rPr>
                <w:rFonts w:cs="Times New Roman"/>
                <w:sz w:val="20"/>
                <w:szCs w:val="20"/>
                <w:lang w:val="lt-LT"/>
              </w:rPr>
              <w:t>Pasidalytos rizikos paskolos</w:t>
            </w:r>
          </w:p>
        </w:tc>
        <w:tc>
          <w:tcPr>
            <w:tcW w:w="1560" w:type="dxa"/>
            <w:vAlign w:val="center"/>
          </w:tcPr>
          <w:p w14:paraId="269819C3" w14:textId="68D47DB5" w:rsidR="00824F1E" w:rsidRPr="00E24668" w:rsidRDefault="00824F1E" w:rsidP="00053685">
            <w:pPr>
              <w:spacing w:line="240" w:lineRule="auto"/>
              <w:ind w:firstLine="0"/>
              <w:jc w:val="center"/>
              <w:rPr>
                <w:rFonts w:cs="Times New Roman"/>
                <w:sz w:val="20"/>
                <w:szCs w:val="20"/>
                <w:lang w:val="lt-LT"/>
              </w:rPr>
            </w:pPr>
            <w:r w:rsidRPr="00E24668">
              <w:rPr>
                <w:rFonts w:cs="Times New Roman"/>
                <w:sz w:val="20"/>
                <w:szCs w:val="20"/>
                <w:lang w:val="lt-LT"/>
              </w:rPr>
              <w:t>ES SF lėšos</w:t>
            </w:r>
          </w:p>
        </w:tc>
        <w:tc>
          <w:tcPr>
            <w:tcW w:w="1701" w:type="dxa"/>
            <w:vAlign w:val="center"/>
          </w:tcPr>
          <w:p w14:paraId="193C44C7" w14:textId="0FCB1194" w:rsidR="00824F1E" w:rsidRPr="00E24668" w:rsidRDefault="00824F1E" w:rsidP="00FB1237">
            <w:pPr>
              <w:spacing w:before="40" w:after="40"/>
              <w:ind w:firstLine="0"/>
              <w:jc w:val="center"/>
              <w:rPr>
                <w:rFonts w:cs="Times New Roman"/>
                <w:sz w:val="20"/>
                <w:szCs w:val="20"/>
                <w:lang w:val="lt-LT"/>
              </w:rPr>
            </w:pPr>
            <w:r w:rsidRPr="00E24668">
              <w:rPr>
                <w:rFonts w:cs="Times New Roman"/>
                <w:sz w:val="20"/>
                <w:szCs w:val="20"/>
                <w:lang w:val="lt-LT"/>
              </w:rPr>
              <w:t>1</w:t>
            </w:r>
            <w:r w:rsidR="00FB1237" w:rsidRPr="00E24668">
              <w:rPr>
                <w:rFonts w:cs="Times New Roman"/>
                <w:sz w:val="20"/>
                <w:szCs w:val="20"/>
                <w:lang w:val="lt-LT"/>
              </w:rPr>
              <w:t>1</w:t>
            </w:r>
            <w:r w:rsidRPr="00E24668">
              <w:rPr>
                <w:rFonts w:cs="Times New Roman"/>
                <w:sz w:val="20"/>
                <w:szCs w:val="20"/>
                <w:lang w:val="lt-LT"/>
              </w:rPr>
              <w:t>1</w:t>
            </w:r>
          </w:p>
        </w:tc>
        <w:tc>
          <w:tcPr>
            <w:tcW w:w="1871" w:type="dxa"/>
            <w:vAlign w:val="center"/>
          </w:tcPr>
          <w:p w14:paraId="38275318" w14:textId="3EC802D4" w:rsidR="00824F1E" w:rsidRPr="00E24668" w:rsidRDefault="00824F1E" w:rsidP="00FB1237">
            <w:pPr>
              <w:spacing w:before="40" w:after="40"/>
              <w:ind w:firstLine="0"/>
              <w:jc w:val="center"/>
              <w:rPr>
                <w:rFonts w:cs="Times New Roman"/>
                <w:sz w:val="20"/>
                <w:szCs w:val="20"/>
                <w:lang w:val="lt-LT"/>
              </w:rPr>
            </w:pPr>
            <w:r w:rsidRPr="00E24668">
              <w:rPr>
                <w:rFonts w:cs="Times New Roman"/>
                <w:sz w:val="20"/>
                <w:szCs w:val="20"/>
                <w:lang w:val="lt-LT"/>
              </w:rPr>
              <w:t>1</w:t>
            </w:r>
            <w:r w:rsidR="00FB1237" w:rsidRPr="00E24668">
              <w:rPr>
                <w:rFonts w:cs="Times New Roman"/>
                <w:sz w:val="20"/>
                <w:szCs w:val="20"/>
                <w:lang w:val="lt-LT"/>
              </w:rPr>
              <w:t>90</w:t>
            </w:r>
          </w:p>
        </w:tc>
        <w:tc>
          <w:tcPr>
            <w:tcW w:w="1559" w:type="dxa"/>
            <w:vAlign w:val="center"/>
          </w:tcPr>
          <w:p w14:paraId="57ABA086" w14:textId="019EA89D" w:rsidR="00824F1E" w:rsidRPr="00E24668" w:rsidRDefault="00824F1E" w:rsidP="00FB1237">
            <w:pPr>
              <w:spacing w:before="40" w:after="40"/>
              <w:ind w:firstLine="0"/>
              <w:jc w:val="center"/>
              <w:rPr>
                <w:rFonts w:cs="Times New Roman"/>
                <w:sz w:val="20"/>
                <w:szCs w:val="20"/>
                <w:lang w:val="lt-LT"/>
              </w:rPr>
            </w:pPr>
            <w:r w:rsidRPr="00E24668">
              <w:rPr>
                <w:rFonts w:cs="Times New Roman"/>
                <w:sz w:val="20"/>
                <w:szCs w:val="20"/>
                <w:lang w:val="lt-LT"/>
              </w:rPr>
              <w:t>90,</w:t>
            </w:r>
            <w:r w:rsidR="00FB1237" w:rsidRPr="00E24668">
              <w:rPr>
                <w:rFonts w:cs="Times New Roman"/>
                <w:sz w:val="20"/>
                <w:szCs w:val="20"/>
                <w:lang w:val="lt-LT"/>
              </w:rPr>
              <w:t>4</w:t>
            </w:r>
          </w:p>
        </w:tc>
        <w:tc>
          <w:tcPr>
            <w:tcW w:w="1814" w:type="dxa"/>
            <w:vAlign w:val="center"/>
          </w:tcPr>
          <w:p w14:paraId="6E3A2897" w14:textId="77777777" w:rsidR="00824F1E" w:rsidRPr="00E24668" w:rsidRDefault="00824F1E" w:rsidP="00824F1E">
            <w:pPr>
              <w:spacing w:before="40" w:after="40"/>
              <w:ind w:firstLine="0"/>
              <w:jc w:val="center"/>
              <w:rPr>
                <w:rFonts w:cs="Times New Roman"/>
                <w:sz w:val="20"/>
                <w:szCs w:val="20"/>
                <w:lang w:val="lt-LT"/>
              </w:rPr>
            </w:pPr>
            <w:r w:rsidRPr="00E24668">
              <w:rPr>
                <w:rFonts w:cs="Times New Roman"/>
                <w:sz w:val="20"/>
                <w:szCs w:val="20"/>
                <w:lang w:val="lt-LT"/>
              </w:rPr>
              <w:t>154</w:t>
            </w:r>
          </w:p>
        </w:tc>
      </w:tr>
      <w:tr w:rsidR="00824F1E" w:rsidRPr="00E24668" w14:paraId="78CA005E" w14:textId="77777777" w:rsidTr="0068447D">
        <w:tc>
          <w:tcPr>
            <w:tcW w:w="1701" w:type="dxa"/>
            <w:vAlign w:val="center"/>
          </w:tcPr>
          <w:p w14:paraId="14151667" w14:textId="77777777" w:rsidR="00824F1E" w:rsidRPr="00E24668" w:rsidRDefault="00824F1E" w:rsidP="00053685">
            <w:pPr>
              <w:spacing w:line="240" w:lineRule="auto"/>
              <w:ind w:firstLine="0"/>
              <w:rPr>
                <w:rFonts w:cs="Times New Roman"/>
                <w:sz w:val="20"/>
                <w:szCs w:val="20"/>
                <w:lang w:val="lt-LT"/>
              </w:rPr>
            </w:pPr>
            <w:r w:rsidRPr="00E24668">
              <w:rPr>
                <w:rFonts w:cs="Times New Roman"/>
                <w:sz w:val="20"/>
                <w:szCs w:val="20"/>
                <w:lang w:val="lt-LT"/>
              </w:rPr>
              <w:t>Individualios garantijos</w:t>
            </w:r>
          </w:p>
        </w:tc>
        <w:tc>
          <w:tcPr>
            <w:tcW w:w="1560" w:type="dxa"/>
            <w:vAlign w:val="center"/>
          </w:tcPr>
          <w:p w14:paraId="74A90AA6" w14:textId="3AE776F9" w:rsidR="00824F1E" w:rsidRPr="00E24668" w:rsidRDefault="00824F1E" w:rsidP="00053685">
            <w:pPr>
              <w:spacing w:line="240" w:lineRule="auto"/>
              <w:ind w:firstLine="0"/>
              <w:jc w:val="center"/>
              <w:rPr>
                <w:rFonts w:cs="Times New Roman"/>
                <w:sz w:val="20"/>
                <w:szCs w:val="20"/>
                <w:lang w:val="lt-LT"/>
              </w:rPr>
            </w:pPr>
            <w:r w:rsidRPr="00E24668">
              <w:rPr>
                <w:rFonts w:cs="Times New Roman"/>
                <w:sz w:val="20"/>
                <w:szCs w:val="20"/>
                <w:lang w:val="lt-LT"/>
              </w:rPr>
              <w:t>Grįžusios (nacionalinės) lėšos</w:t>
            </w:r>
          </w:p>
        </w:tc>
        <w:tc>
          <w:tcPr>
            <w:tcW w:w="1701" w:type="dxa"/>
            <w:vAlign w:val="center"/>
          </w:tcPr>
          <w:p w14:paraId="08093281" w14:textId="35E98C01" w:rsidR="00824F1E" w:rsidRPr="00E24668" w:rsidRDefault="00FB1237" w:rsidP="00FB1237">
            <w:pPr>
              <w:spacing w:before="40" w:after="40"/>
              <w:ind w:firstLine="0"/>
              <w:jc w:val="center"/>
              <w:rPr>
                <w:rFonts w:cs="Times New Roman"/>
                <w:sz w:val="20"/>
                <w:szCs w:val="20"/>
                <w:lang w:val="lt-LT"/>
              </w:rPr>
            </w:pPr>
            <w:r w:rsidRPr="00E24668">
              <w:rPr>
                <w:rFonts w:cs="Times New Roman"/>
                <w:sz w:val="20"/>
                <w:szCs w:val="20"/>
                <w:lang w:val="lt-LT"/>
              </w:rPr>
              <w:t>51,6</w:t>
            </w:r>
          </w:p>
        </w:tc>
        <w:tc>
          <w:tcPr>
            <w:tcW w:w="1871" w:type="dxa"/>
            <w:vAlign w:val="center"/>
          </w:tcPr>
          <w:p w14:paraId="63E34478" w14:textId="77777777" w:rsidR="00824F1E" w:rsidRPr="00E24668" w:rsidRDefault="00824F1E" w:rsidP="00824F1E">
            <w:pPr>
              <w:spacing w:before="40" w:after="40"/>
              <w:ind w:firstLine="0"/>
              <w:jc w:val="center"/>
              <w:rPr>
                <w:rFonts w:cs="Times New Roman"/>
                <w:sz w:val="20"/>
                <w:szCs w:val="20"/>
                <w:lang w:val="lt-LT"/>
              </w:rPr>
            </w:pPr>
            <w:r w:rsidRPr="00E24668">
              <w:rPr>
                <w:rFonts w:cs="Times New Roman"/>
                <w:sz w:val="20"/>
                <w:szCs w:val="20"/>
                <w:lang w:val="lt-LT"/>
              </w:rPr>
              <w:t>94</w:t>
            </w:r>
          </w:p>
        </w:tc>
        <w:tc>
          <w:tcPr>
            <w:tcW w:w="1559" w:type="dxa"/>
            <w:vAlign w:val="center"/>
          </w:tcPr>
          <w:p w14:paraId="20C6A5FC" w14:textId="5BACD77B" w:rsidR="00824F1E" w:rsidRPr="00E24668" w:rsidRDefault="00824F1E" w:rsidP="00FB1237">
            <w:pPr>
              <w:spacing w:before="40" w:after="40"/>
              <w:ind w:firstLine="0"/>
              <w:jc w:val="center"/>
              <w:rPr>
                <w:rFonts w:cs="Times New Roman"/>
                <w:sz w:val="20"/>
                <w:szCs w:val="20"/>
                <w:lang w:val="lt-LT"/>
              </w:rPr>
            </w:pPr>
            <w:r w:rsidRPr="00E24668">
              <w:rPr>
                <w:rFonts w:cs="Times New Roman"/>
                <w:sz w:val="20"/>
                <w:szCs w:val="20"/>
                <w:lang w:val="lt-LT"/>
              </w:rPr>
              <w:t>28,9</w:t>
            </w:r>
          </w:p>
        </w:tc>
        <w:tc>
          <w:tcPr>
            <w:tcW w:w="1814" w:type="dxa"/>
            <w:vAlign w:val="center"/>
          </w:tcPr>
          <w:p w14:paraId="7FDA67B8" w14:textId="77777777" w:rsidR="00824F1E" w:rsidRPr="00E24668" w:rsidRDefault="00824F1E" w:rsidP="00824F1E">
            <w:pPr>
              <w:spacing w:before="40" w:after="40"/>
              <w:ind w:firstLine="0"/>
              <w:jc w:val="center"/>
              <w:rPr>
                <w:rFonts w:cs="Times New Roman"/>
                <w:sz w:val="20"/>
                <w:szCs w:val="20"/>
                <w:lang w:val="lt-LT"/>
              </w:rPr>
            </w:pPr>
            <w:r w:rsidRPr="00E24668">
              <w:rPr>
                <w:rFonts w:cs="Times New Roman"/>
                <w:sz w:val="20"/>
                <w:szCs w:val="20"/>
                <w:lang w:val="lt-LT"/>
              </w:rPr>
              <w:t>52</w:t>
            </w:r>
          </w:p>
        </w:tc>
      </w:tr>
      <w:tr w:rsidR="00824F1E" w:rsidRPr="00E24668" w14:paraId="12B5F37C" w14:textId="77777777" w:rsidTr="0068447D">
        <w:tc>
          <w:tcPr>
            <w:tcW w:w="1701" w:type="dxa"/>
            <w:vAlign w:val="center"/>
          </w:tcPr>
          <w:p w14:paraId="787D002B" w14:textId="77777777" w:rsidR="00824F1E" w:rsidRPr="00E24668" w:rsidRDefault="00824F1E" w:rsidP="00053685">
            <w:pPr>
              <w:spacing w:line="240" w:lineRule="auto"/>
              <w:ind w:firstLine="0"/>
              <w:rPr>
                <w:rFonts w:cs="Times New Roman"/>
                <w:sz w:val="20"/>
                <w:szCs w:val="20"/>
                <w:lang w:val="lt-LT"/>
              </w:rPr>
            </w:pPr>
            <w:r w:rsidRPr="00E24668">
              <w:rPr>
                <w:rFonts w:cs="Times New Roman"/>
                <w:sz w:val="20"/>
                <w:szCs w:val="20"/>
                <w:lang w:val="lt-LT"/>
              </w:rPr>
              <w:t>Portfelinės garantijos paskoloms</w:t>
            </w:r>
          </w:p>
        </w:tc>
        <w:tc>
          <w:tcPr>
            <w:tcW w:w="1560" w:type="dxa"/>
            <w:vAlign w:val="center"/>
          </w:tcPr>
          <w:p w14:paraId="7388182C" w14:textId="5CCC0FB6" w:rsidR="00824F1E" w:rsidRPr="00E24668" w:rsidRDefault="00824F1E" w:rsidP="00053685">
            <w:pPr>
              <w:spacing w:line="240" w:lineRule="auto"/>
              <w:ind w:firstLine="0"/>
              <w:jc w:val="center"/>
              <w:rPr>
                <w:rFonts w:cs="Times New Roman"/>
                <w:sz w:val="20"/>
                <w:szCs w:val="20"/>
                <w:lang w:val="lt-LT"/>
              </w:rPr>
            </w:pPr>
            <w:r w:rsidRPr="00E24668">
              <w:rPr>
                <w:rFonts w:cs="Times New Roman"/>
                <w:sz w:val="20"/>
                <w:szCs w:val="20"/>
                <w:lang w:val="lt-LT"/>
              </w:rPr>
              <w:t>ES SF lėšos</w:t>
            </w:r>
          </w:p>
        </w:tc>
        <w:tc>
          <w:tcPr>
            <w:tcW w:w="1701" w:type="dxa"/>
            <w:vAlign w:val="center"/>
          </w:tcPr>
          <w:p w14:paraId="6E7C72B8" w14:textId="7DCB623C" w:rsidR="00824F1E" w:rsidRPr="00E24668" w:rsidRDefault="00824F1E" w:rsidP="00824F1E">
            <w:pPr>
              <w:spacing w:before="40" w:after="40"/>
              <w:ind w:firstLine="0"/>
              <w:jc w:val="center"/>
              <w:rPr>
                <w:rFonts w:cs="Times New Roman"/>
                <w:sz w:val="20"/>
                <w:szCs w:val="20"/>
                <w:lang w:val="lt-LT"/>
              </w:rPr>
            </w:pPr>
            <w:r w:rsidRPr="00E24668">
              <w:rPr>
                <w:rFonts w:cs="Times New Roman"/>
                <w:sz w:val="20"/>
                <w:szCs w:val="20"/>
                <w:lang w:val="lt-LT"/>
              </w:rPr>
              <w:t>17,3</w:t>
            </w:r>
          </w:p>
        </w:tc>
        <w:tc>
          <w:tcPr>
            <w:tcW w:w="1871" w:type="dxa"/>
            <w:vAlign w:val="center"/>
          </w:tcPr>
          <w:p w14:paraId="3749FBD9" w14:textId="77777777" w:rsidR="00824F1E" w:rsidRPr="00E24668" w:rsidRDefault="00824F1E" w:rsidP="00824F1E">
            <w:pPr>
              <w:spacing w:before="40" w:after="40"/>
              <w:ind w:firstLine="0"/>
              <w:jc w:val="center"/>
              <w:rPr>
                <w:rFonts w:cs="Times New Roman"/>
                <w:sz w:val="20"/>
                <w:szCs w:val="20"/>
                <w:lang w:val="lt-LT"/>
              </w:rPr>
            </w:pPr>
            <w:r w:rsidRPr="00E24668">
              <w:rPr>
                <w:rFonts w:cs="Times New Roman"/>
                <w:sz w:val="20"/>
                <w:szCs w:val="20"/>
                <w:lang w:val="lt-LT"/>
              </w:rPr>
              <w:t>76,5</w:t>
            </w:r>
          </w:p>
        </w:tc>
        <w:tc>
          <w:tcPr>
            <w:tcW w:w="1559" w:type="dxa"/>
            <w:vAlign w:val="center"/>
          </w:tcPr>
          <w:p w14:paraId="2C4F892D" w14:textId="1A97C698" w:rsidR="00824F1E" w:rsidRPr="00E24668" w:rsidRDefault="00824F1E" w:rsidP="00FB1237">
            <w:pPr>
              <w:spacing w:before="40" w:after="40"/>
              <w:ind w:firstLine="0"/>
              <w:jc w:val="center"/>
              <w:rPr>
                <w:rFonts w:cs="Times New Roman"/>
                <w:sz w:val="20"/>
                <w:szCs w:val="20"/>
                <w:lang w:val="lt-LT"/>
              </w:rPr>
            </w:pPr>
            <w:r w:rsidRPr="00E24668">
              <w:rPr>
                <w:rFonts w:cs="Times New Roman"/>
                <w:sz w:val="20"/>
                <w:szCs w:val="20"/>
                <w:lang w:val="lt-LT"/>
              </w:rPr>
              <w:t>14,</w:t>
            </w:r>
            <w:r w:rsidR="00FB1237" w:rsidRPr="00E24668">
              <w:rPr>
                <w:rFonts w:cs="Times New Roman"/>
                <w:sz w:val="20"/>
                <w:szCs w:val="20"/>
                <w:lang w:val="lt-LT"/>
              </w:rPr>
              <w:t>5</w:t>
            </w:r>
          </w:p>
        </w:tc>
        <w:tc>
          <w:tcPr>
            <w:tcW w:w="1814" w:type="dxa"/>
            <w:vAlign w:val="center"/>
          </w:tcPr>
          <w:p w14:paraId="024E58EB" w14:textId="77777777" w:rsidR="00824F1E" w:rsidRPr="00E24668" w:rsidRDefault="00824F1E" w:rsidP="00824F1E">
            <w:pPr>
              <w:spacing w:before="40" w:after="40"/>
              <w:ind w:firstLine="0"/>
              <w:jc w:val="center"/>
              <w:rPr>
                <w:rFonts w:cs="Times New Roman"/>
                <w:sz w:val="20"/>
                <w:szCs w:val="20"/>
                <w:lang w:val="lt-LT"/>
              </w:rPr>
            </w:pPr>
            <w:r w:rsidRPr="00E24668">
              <w:rPr>
                <w:rFonts w:cs="Times New Roman"/>
                <w:sz w:val="20"/>
                <w:szCs w:val="20"/>
                <w:lang w:val="lt-LT"/>
              </w:rPr>
              <w:t>60</w:t>
            </w:r>
          </w:p>
        </w:tc>
      </w:tr>
      <w:tr w:rsidR="00824F1E" w:rsidRPr="00E24668" w14:paraId="2BCAD1E6" w14:textId="77777777" w:rsidTr="0068447D">
        <w:tc>
          <w:tcPr>
            <w:tcW w:w="1701" w:type="dxa"/>
            <w:vAlign w:val="center"/>
          </w:tcPr>
          <w:p w14:paraId="694A93CB" w14:textId="77777777" w:rsidR="00824F1E" w:rsidRPr="00E24668" w:rsidRDefault="00824F1E" w:rsidP="00053685">
            <w:pPr>
              <w:spacing w:line="240" w:lineRule="auto"/>
              <w:ind w:firstLine="0"/>
              <w:rPr>
                <w:rFonts w:cs="Times New Roman"/>
                <w:sz w:val="20"/>
                <w:szCs w:val="20"/>
                <w:lang w:val="lt-LT"/>
              </w:rPr>
            </w:pPr>
            <w:r w:rsidRPr="00E24668">
              <w:rPr>
                <w:rFonts w:cs="Times New Roman"/>
                <w:sz w:val="20"/>
                <w:szCs w:val="20"/>
                <w:lang w:val="lt-LT"/>
              </w:rPr>
              <w:t>Portfelinės garantijos lizingo sandoriams</w:t>
            </w:r>
          </w:p>
        </w:tc>
        <w:tc>
          <w:tcPr>
            <w:tcW w:w="1560" w:type="dxa"/>
            <w:vAlign w:val="center"/>
          </w:tcPr>
          <w:p w14:paraId="71523363" w14:textId="1B83B07B" w:rsidR="00824F1E" w:rsidRPr="00E24668" w:rsidRDefault="00824F1E" w:rsidP="00053685">
            <w:pPr>
              <w:spacing w:line="240" w:lineRule="auto"/>
              <w:ind w:firstLine="0"/>
              <w:jc w:val="center"/>
              <w:rPr>
                <w:rFonts w:cs="Times New Roman"/>
                <w:sz w:val="20"/>
                <w:szCs w:val="20"/>
                <w:lang w:val="lt-LT"/>
              </w:rPr>
            </w:pPr>
            <w:r w:rsidRPr="00E24668">
              <w:rPr>
                <w:rFonts w:cs="Times New Roman"/>
                <w:sz w:val="20"/>
                <w:szCs w:val="20"/>
                <w:lang w:val="lt-LT"/>
              </w:rPr>
              <w:t>ES SF lėšos</w:t>
            </w:r>
          </w:p>
        </w:tc>
        <w:tc>
          <w:tcPr>
            <w:tcW w:w="1701" w:type="dxa"/>
            <w:vAlign w:val="center"/>
          </w:tcPr>
          <w:p w14:paraId="6D14C8FB" w14:textId="3DAE81DB" w:rsidR="00824F1E" w:rsidRPr="00E24668" w:rsidRDefault="00824F1E" w:rsidP="00824F1E">
            <w:pPr>
              <w:spacing w:before="40" w:after="40"/>
              <w:ind w:firstLine="0"/>
              <w:jc w:val="center"/>
              <w:rPr>
                <w:rFonts w:cs="Times New Roman"/>
                <w:sz w:val="20"/>
                <w:szCs w:val="20"/>
                <w:lang w:val="lt-LT"/>
              </w:rPr>
            </w:pPr>
            <w:r w:rsidRPr="00E24668">
              <w:rPr>
                <w:rFonts w:cs="Times New Roman"/>
                <w:sz w:val="20"/>
                <w:szCs w:val="20"/>
                <w:lang w:val="lt-LT"/>
              </w:rPr>
              <w:t>5,8</w:t>
            </w:r>
          </w:p>
        </w:tc>
        <w:tc>
          <w:tcPr>
            <w:tcW w:w="1871" w:type="dxa"/>
            <w:vAlign w:val="center"/>
          </w:tcPr>
          <w:p w14:paraId="516F3726" w14:textId="77777777" w:rsidR="00824F1E" w:rsidRPr="00E24668" w:rsidRDefault="00824F1E" w:rsidP="00824F1E">
            <w:pPr>
              <w:spacing w:before="40" w:after="40"/>
              <w:ind w:firstLine="0"/>
              <w:jc w:val="center"/>
              <w:rPr>
                <w:rFonts w:cs="Times New Roman"/>
                <w:sz w:val="20"/>
                <w:szCs w:val="20"/>
                <w:lang w:val="lt-LT"/>
              </w:rPr>
            </w:pPr>
            <w:r w:rsidRPr="00E24668">
              <w:rPr>
                <w:rFonts w:cs="Times New Roman"/>
                <w:sz w:val="20"/>
                <w:szCs w:val="20"/>
                <w:lang w:val="lt-LT"/>
              </w:rPr>
              <w:t>24</w:t>
            </w:r>
          </w:p>
        </w:tc>
        <w:tc>
          <w:tcPr>
            <w:tcW w:w="1559" w:type="dxa"/>
            <w:vAlign w:val="center"/>
          </w:tcPr>
          <w:p w14:paraId="32A39149" w14:textId="5E70BCF5" w:rsidR="00824F1E" w:rsidRPr="00E24668" w:rsidRDefault="00824F1E" w:rsidP="003830EE">
            <w:pPr>
              <w:spacing w:before="40" w:after="40"/>
              <w:ind w:firstLine="0"/>
              <w:jc w:val="center"/>
              <w:rPr>
                <w:rFonts w:cs="Times New Roman"/>
                <w:sz w:val="20"/>
                <w:szCs w:val="20"/>
                <w:lang w:val="lt-LT"/>
              </w:rPr>
            </w:pPr>
            <w:r w:rsidRPr="00E24668">
              <w:rPr>
                <w:rFonts w:cs="Times New Roman"/>
                <w:sz w:val="20"/>
                <w:szCs w:val="20"/>
                <w:lang w:val="lt-LT"/>
              </w:rPr>
              <w:t>4,3</w:t>
            </w:r>
          </w:p>
        </w:tc>
        <w:tc>
          <w:tcPr>
            <w:tcW w:w="1814" w:type="dxa"/>
            <w:vAlign w:val="center"/>
          </w:tcPr>
          <w:p w14:paraId="48096740" w14:textId="77777777" w:rsidR="00824F1E" w:rsidRPr="00E24668" w:rsidRDefault="00824F1E" w:rsidP="00824F1E">
            <w:pPr>
              <w:spacing w:before="40" w:after="40"/>
              <w:ind w:firstLine="0"/>
              <w:jc w:val="center"/>
              <w:rPr>
                <w:rFonts w:cs="Times New Roman"/>
                <w:sz w:val="20"/>
                <w:szCs w:val="20"/>
                <w:lang w:val="lt-LT"/>
              </w:rPr>
            </w:pPr>
            <w:r w:rsidRPr="00E24668">
              <w:rPr>
                <w:rFonts w:cs="Times New Roman"/>
                <w:sz w:val="20"/>
                <w:szCs w:val="20"/>
                <w:lang w:val="lt-LT"/>
              </w:rPr>
              <w:t>18</w:t>
            </w:r>
          </w:p>
        </w:tc>
      </w:tr>
      <w:tr w:rsidR="00824F1E" w:rsidRPr="00E24668" w14:paraId="0E62217D" w14:textId="77777777" w:rsidTr="0068447D">
        <w:tc>
          <w:tcPr>
            <w:tcW w:w="1701" w:type="dxa"/>
            <w:vAlign w:val="center"/>
          </w:tcPr>
          <w:p w14:paraId="1EE3419E" w14:textId="77777777" w:rsidR="00824F1E" w:rsidRPr="00E24668" w:rsidRDefault="00824F1E" w:rsidP="00053685">
            <w:pPr>
              <w:spacing w:line="240" w:lineRule="auto"/>
              <w:ind w:firstLine="0"/>
              <w:rPr>
                <w:rFonts w:cs="Times New Roman"/>
                <w:sz w:val="20"/>
                <w:szCs w:val="20"/>
                <w:lang w:val="lt-LT"/>
              </w:rPr>
            </w:pPr>
            <w:r w:rsidRPr="00E24668">
              <w:rPr>
                <w:rFonts w:cs="Times New Roman"/>
                <w:sz w:val="20"/>
                <w:szCs w:val="20"/>
                <w:lang w:val="lt-LT"/>
              </w:rPr>
              <w:t>Portfelinės garantijos faktoringo sandoriams</w:t>
            </w:r>
          </w:p>
        </w:tc>
        <w:tc>
          <w:tcPr>
            <w:tcW w:w="1560" w:type="dxa"/>
            <w:vAlign w:val="center"/>
          </w:tcPr>
          <w:p w14:paraId="4908D044" w14:textId="26161FB9" w:rsidR="00824F1E" w:rsidRPr="00E24668" w:rsidRDefault="00824F1E" w:rsidP="00053685">
            <w:pPr>
              <w:spacing w:line="240" w:lineRule="auto"/>
              <w:ind w:firstLine="0"/>
              <w:jc w:val="center"/>
              <w:rPr>
                <w:rFonts w:cs="Times New Roman"/>
                <w:sz w:val="20"/>
                <w:szCs w:val="20"/>
                <w:lang w:val="lt-LT"/>
              </w:rPr>
            </w:pPr>
            <w:r w:rsidRPr="00E24668">
              <w:rPr>
                <w:rFonts w:cs="Times New Roman"/>
                <w:sz w:val="20"/>
                <w:szCs w:val="20"/>
                <w:lang w:val="lt-LT"/>
              </w:rPr>
              <w:t>ES SF lėšos</w:t>
            </w:r>
          </w:p>
        </w:tc>
        <w:tc>
          <w:tcPr>
            <w:tcW w:w="1701" w:type="dxa"/>
            <w:vAlign w:val="center"/>
          </w:tcPr>
          <w:p w14:paraId="0F5914CE" w14:textId="44C87D8E" w:rsidR="00824F1E" w:rsidRPr="00E24668" w:rsidRDefault="00824F1E" w:rsidP="00824F1E">
            <w:pPr>
              <w:spacing w:before="40" w:after="40"/>
              <w:ind w:firstLine="0"/>
              <w:jc w:val="center"/>
              <w:rPr>
                <w:rFonts w:cs="Times New Roman"/>
                <w:sz w:val="20"/>
                <w:szCs w:val="20"/>
                <w:lang w:val="lt-LT"/>
              </w:rPr>
            </w:pPr>
            <w:r w:rsidRPr="00E24668">
              <w:rPr>
                <w:rFonts w:cs="Times New Roman"/>
                <w:sz w:val="20"/>
                <w:szCs w:val="20"/>
                <w:lang w:val="lt-LT"/>
              </w:rPr>
              <w:t>5,8</w:t>
            </w:r>
          </w:p>
        </w:tc>
        <w:tc>
          <w:tcPr>
            <w:tcW w:w="1871" w:type="dxa"/>
            <w:vAlign w:val="center"/>
          </w:tcPr>
          <w:p w14:paraId="677FE479" w14:textId="77777777" w:rsidR="00824F1E" w:rsidRPr="00E24668" w:rsidRDefault="00824F1E" w:rsidP="00824F1E">
            <w:pPr>
              <w:spacing w:before="40" w:after="40"/>
              <w:ind w:firstLine="0"/>
              <w:jc w:val="center"/>
              <w:rPr>
                <w:rFonts w:cs="Times New Roman"/>
                <w:sz w:val="20"/>
                <w:szCs w:val="20"/>
                <w:lang w:val="lt-LT"/>
              </w:rPr>
            </w:pPr>
            <w:r w:rsidRPr="00E24668">
              <w:rPr>
                <w:rFonts w:cs="Times New Roman"/>
                <w:sz w:val="20"/>
                <w:szCs w:val="20"/>
                <w:lang w:val="lt-LT"/>
              </w:rPr>
              <w:t>24</w:t>
            </w:r>
          </w:p>
        </w:tc>
        <w:tc>
          <w:tcPr>
            <w:tcW w:w="1559" w:type="dxa"/>
            <w:vAlign w:val="center"/>
          </w:tcPr>
          <w:p w14:paraId="306CD44B" w14:textId="260DF605" w:rsidR="00824F1E" w:rsidRPr="00E24668" w:rsidRDefault="00824F1E" w:rsidP="003830EE">
            <w:pPr>
              <w:spacing w:before="40" w:after="40"/>
              <w:ind w:firstLine="0"/>
              <w:jc w:val="center"/>
              <w:rPr>
                <w:rFonts w:cs="Times New Roman"/>
                <w:sz w:val="20"/>
                <w:szCs w:val="20"/>
                <w:lang w:val="lt-LT"/>
              </w:rPr>
            </w:pPr>
            <w:r w:rsidRPr="00E24668">
              <w:rPr>
                <w:rFonts w:cs="Times New Roman"/>
                <w:sz w:val="20"/>
                <w:szCs w:val="20"/>
                <w:lang w:val="lt-LT"/>
              </w:rPr>
              <w:t>4,3</w:t>
            </w:r>
          </w:p>
        </w:tc>
        <w:tc>
          <w:tcPr>
            <w:tcW w:w="1814" w:type="dxa"/>
            <w:vAlign w:val="center"/>
          </w:tcPr>
          <w:p w14:paraId="5A190F05" w14:textId="77777777" w:rsidR="00824F1E" w:rsidRPr="00E24668" w:rsidRDefault="00824F1E" w:rsidP="00824F1E">
            <w:pPr>
              <w:spacing w:before="40" w:after="40"/>
              <w:ind w:firstLine="0"/>
              <w:jc w:val="center"/>
              <w:rPr>
                <w:rFonts w:cs="Times New Roman"/>
                <w:sz w:val="20"/>
                <w:szCs w:val="20"/>
                <w:lang w:val="lt-LT"/>
              </w:rPr>
            </w:pPr>
            <w:r w:rsidRPr="00E24668">
              <w:rPr>
                <w:rFonts w:cs="Times New Roman"/>
                <w:sz w:val="20"/>
                <w:szCs w:val="20"/>
                <w:lang w:val="lt-LT"/>
              </w:rPr>
              <w:t>18</w:t>
            </w:r>
          </w:p>
        </w:tc>
      </w:tr>
      <w:tr w:rsidR="00824F1E" w:rsidRPr="00E24668" w14:paraId="360C4360" w14:textId="77777777" w:rsidTr="0068447D">
        <w:tc>
          <w:tcPr>
            <w:tcW w:w="1701" w:type="dxa"/>
            <w:vAlign w:val="center"/>
          </w:tcPr>
          <w:p w14:paraId="65AB76C0" w14:textId="77777777" w:rsidR="00824F1E" w:rsidRPr="00E24668" w:rsidRDefault="00824F1E" w:rsidP="00053685">
            <w:pPr>
              <w:spacing w:line="240" w:lineRule="auto"/>
              <w:ind w:firstLine="0"/>
              <w:rPr>
                <w:rFonts w:cs="Times New Roman"/>
                <w:sz w:val="20"/>
                <w:szCs w:val="20"/>
                <w:lang w:val="lt-LT"/>
              </w:rPr>
            </w:pPr>
            <w:r w:rsidRPr="00E24668">
              <w:rPr>
                <w:rFonts w:cs="Times New Roman"/>
                <w:sz w:val="20"/>
                <w:szCs w:val="20"/>
                <w:lang w:val="lt-LT"/>
              </w:rPr>
              <w:t xml:space="preserve">Ankstyvos stadijos  fondas </w:t>
            </w:r>
            <w:r w:rsidRPr="00E24668">
              <w:rPr>
                <w:rFonts w:eastAsia="Times New Roman" w:cs="Times New Roman"/>
                <w:bCs/>
                <w:color w:val="000000"/>
                <w:sz w:val="20"/>
                <w:szCs w:val="20"/>
                <w:lang w:val="lt-LT" w:eastAsia="lt-LT"/>
              </w:rPr>
              <w:t>ir plėtros fondas</w:t>
            </w:r>
            <w:r w:rsidRPr="00E24668">
              <w:rPr>
                <w:rFonts w:cs="Times New Roman"/>
                <w:sz w:val="20"/>
                <w:szCs w:val="20"/>
                <w:lang w:val="lt-LT"/>
              </w:rPr>
              <w:t xml:space="preserve"> (</w:t>
            </w:r>
            <w:r w:rsidRPr="00E24668">
              <w:rPr>
                <w:rFonts w:cs="Times New Roman"/>
                <w:noProof/>
                <w:sz w:val="20"/>
                <w:szCs w:val="20"/>
                <w:lang w:val="lt-LT"/>
              </w:rPr>
              <w:t>rizikos kapitalo investicijos</w:t>
            </w:r>
            <w:r w:rsidRPr="00E24668">
              <w:rPr>
                <w:rFonts w:cs="Times New Roman"/>
                <w:sz w:val="20"/>
                <w:szCs w:val="20"/>
                <w:lang w:val="lt-LT"/>
              </w:rPr>
              <w:t>)</w:t>
            </w:r>
          </w:p>
        </w:tc>
        <w:tc>
          <w:tcPr>
            <w:tcW w:w="1560" w:type="dxa"/>
            <w:vAlign w:val="center"/>
          </w:tcPr>
          <w:p w14:paraId="681890EC" w14:textId="39CBC929" w:rsidR="00824F1E" w:rsidRPr="00E24668" w:rsidRDefault="00824F1E" w:rsidP="00053685">
            <w:pPr>
              <w:spacing w:line="240" w:lineRule="auto"/>
              <w:ind w:firstLine="0"/>
              <w:jc w:val="center"/>
              <w:rPr>
                <w:rFonts w:cs="Times New Roman"/>
                <w:sz w:val="20"/>
                <w:szCs w:val="20"/>
                <w:lang w:val="lt-LT"/>
              </w:rPr>
            </w:pPr>
            <w:r w:rsidRPr="00E24668">
              <w:rPr>
                <w:rFonts w:cs="Times New Roman"/>
                <w:sz w:val="20"/>
                <w:szCs w:val="20"/>
                <w:lang w:val="lt-LT"/>
              </w:rPr>
              <w:t>Grįžusios (nacionalinės) lėšos</w:t>
            </w:r>
          </w:p>
        </w:tc>
        <w:tc>
          <w:tcPr>
            <w:tcW w:w="1701" w:type="dxa"/>
            <w:vAlign w:val="center"/>
          </w:tcPr>
          <w:p w14:paraId="7DF78262" w14:textId="2D4B3B64" w:rsidR="00824F1E" w:rsidRPr="00E24668" w:rsidRDefault="00824F1E" w:rsidP="003830EE">
            <w:pPr>
              <w:spacing w:before="40" w:after="40"/>
              <w:ind w:firstLine="0"/>
              <w:jc w:val="center"/>
              <w:rPr>
                <w:rFonts w:cs="Times New Roman"/>
                <w:sz w:val="20"/>
                <w:szCs w:val="20"/>
                <w:lang w:val="lt-LT"/>
              </w:rPr>
            </w:pPr>
            <w:r w:rsidRPr="00E24668">
              <w:rPr>
                <w:rFonts w:cs="Times New Roman"/>
                <w:sz w:val="20"/>
                <w:szCs w:val="20"/>
                <w:lang w:val="lt-LT"/>
              </w:rPr>
              <w:t>14,</w:t>
            </w:r>
            <w:r w:rsidR="003830EE" w:rsidRPr="00E24668">
              <w:rPr>
                <w:rFonts w:cs="Times New Roman"/>
                <w:sz w:val="20"/>
                <w:szCs w:val="20"/>
                <w:lang w:val="lt-LT"/>
              </w:rPr>
              <w:t>8</w:t>
            </w:r>
          </w:p>
        </w:tc>
        <w:tc>
          <w:tcPr>
            <w:tcW w:w="1871" w:type="dxa"/>
            <w:vAlign w:val="center"/>
          </w:tcPr>
          <w:p w14:paraId="1B51D341" w14:textId="77777777" w:rsidR="00824F1E" w:rsidRPr="00E24668" w:rsidRDefault="00824F1E" w:rsidP="00824F1E">
            <w:pPr>
              <w:spacing w:before="40" w:after="40"/>
              <w:ind w:firstLine="0"/>
              <w:jc w:val="center"/>
              <w:rPr>
                <w:rFonts w:cs="Times New Roman"/>
                <w:sz w:val="20"/>
                <w:szCs w:val="20"/>
                <w:lang w:val="lt-LT"/>
              </w:rPr>
            </w:pPr>
            <w:r w:rsidRPr="00E24668">
              <w:rPr>
                <w:rFonts w:cs="Times New Roman"/>
                <w:sz w:val="20"/>
                <w:szCs w:val="20"/>
                <w:lang w:val="lt-LT"/>
              </w:rPr>
              <w:t>12</w:t>
            </w:r>
          </w:p>
        </w:tc>
        <w:tc>
          <w:tcPr>
            <w:tcW w:w="1559" w:type="dxa"/>
            <w:vAlign w:val="center"/>
          </w:tcPr>
          <w:p w14:paraId="2D221C96" w14:textId="632C8FF3" w:rsidR="00824F1E" w:rsidRPr="00E24668" w:rsidRDefault="00824F1E" w:rsidP="003830EE">
            <w:pPr>
              <w:spacing w:before="40" w:after="40"/>
              <w:ind w:firstLine="0"/>
              <w:jc w:val="center"/>
              <w:rPr>
                <w:rFonts w:cs="Times New Roman"/>
                <w:sz w:val="20"/>
                <w:szCs w:val="20"/>
                <w:lang w:val="lt-LT"/>
              </w:rPr>
            </w:pPr>
            <w:r w:rsidRPr="00E24668">
              <w:rPr>
                <w:rFonts w:cs="Times New Roman"/>
                <w:sz w:val="20"/>
                <w:szCs w:val="20"/>
                <w:lang w:val="lt-LT"/>
              </w:rPr>
              <w:t>14,</w:t>
            </w:r>
            <w:r w:rsidR="003830EE" w:rsidRPr="00E24668">
              <w:rPr>
                <w:rFonts w:cs="Times New Roman"/>
                <w:sz w:val="20"/>
                <w:szCs w:val="20"/>
                <w:lang w:val="lt-LT"/>
              </w:rPr>
              <w:t>8</w:t>
            </w:r>
          </w:p>
        </w:tc>
        <w:tc>
          <w:tcPr>
            <w:tcW w:w="1814" w:type="dxa"/>
            <w:vAlign w:val="center"/>
          </w:tcPr>
          <w:p w14:paraId="10AF7445" w14:textId="77777777" w:rsidR="00824F1E" w:rsidRPr="00E24668" w:rsidRDefault="00824F1E" w:rsidP="00824F1E">
            <w:pPr>
              <w:spacing w:before="40" w:after="40"/>
              <w:ind w:firstLine="0"/>
              <w:jc w:val="center"/>
              <w:rPr>
                <w:rFonts w:cs="Times New Roman"/>
                <w:sz w:val="20"/>
                <w:szCs w:val="20"/>
                <w:lang w:val="lt-LT"/>
              </w:rPr>
            </w:pPr>
            <w:r w:rsidRPr="00E24668">
              <w:rPr>
                <w:rFonts w:cs="Times New Roman"/>
                <w:sz w:val="20"/>
                <w:szCs w:val="20"/>
                <w:lang w:val="lt-LT"/>
              </w:rPr>
              <w:t>12</w:t>
            </w:r>
          </w:p>
        </w:tc>
      </w:tr>
      <w:tr w:rsidR="00824F1E" w:rsidRPr="00E24668" w14:paraId="502102B0" w14:textId="77777777" w:rsidTr="0068447D">
        <w:tc>
          <w:tcPr>
            <w:tcW w:w="1701" w:type="dxa"/>
            <w:vAlign w:val="center"/>
          </w:tcPr>
          <w:p w14:paraId="0F817838" w14:textId="33655713" w:rsidR="00824F1E" w:rsidRPr="00E24668" w:rsidRDefault="00824F1E" w:rsidP="00053685">
            <w:pPr>
              <w:spacing w:line="240" w:lineRule="auto"/>
              <w:ind w:firstLine="0"/>
              <w:rPr>
                <w:rFonts w:cs="Times New Roman"/>
                <w:sz w:val="20"/>
                <w:szCs w:val="20"/>
                <w:lang w:val="lt-LT"/>
              </w:rPr>
            </w:pPr>
            <w:r w:rsidRPr="00E24668">
              <w:rPr>
                <w:rFonts w:eastAsia="Times New Roman" w:cs="Times New Roman"/>
                <w:bCs/>
                <w:color w:val="000000"/>
                <w:sz w:val="20"/>
                <w:szCs w:val="20"/>
                <w:lang w:val="lt-LT" w:eastAsia="lt-LT"/>
              </w:rPr>
              <w:t>Ankstyvos stadijos ir plėtros fondas</w:t>
            </w:r>
            <w:r w:rsidR="00053685" w:rsidRPr="00E24668">
              <w:rPr>
                <w:rFonts w:eastAsia="Times New Roman" w:cs="Times New Roman"/>
                <w:bCs/>
                <w:color w:val="000000"/>
                <w:sz w:val="20"/>
                <w:szCs w:val="20"/>
                <w:lang w:val="lt-LT" w:eastAsia="lt-LT"/>
              </w:rPr>
              <w:t xml:space="preserve"> </w:t>
            </w:r>
            <w:r w:rsidR="00053685" w:rsidRPr="00E24668">
              <w:rPr>
                <w:rFonts w:cs="Times New Roman"/>
                <w:sz w:val="20"/>
                <w:szCs w:val="20"/>
                <w:lang w:val="lt-LT"/>
              </w:rPr>
              <w:t>(</w:t>
            </w:r>
            <w:r w:rsidR="00053685" w:rsidRPr="00E24668">
              <w:rPr>
                <w:rFonts w:cs="Times New Roman"/>
                <w:noProof/>
                <w:sz w:val="20"/>
                <w:szCs w:val="20"/>
                <w:lang w:val="lt-LT"/>
              </w:rPr>
              <w:t>rizikos kapitalo investicijos</w:t>
            </w:r>
            <w:r w:rsidR="00053685" w:rsidRPr="00E24668">
              <w:rPr>
                <w:rFonts w:cs="Times New Roman"/>
                <w:sz w:val="20"/>
                <w:szCs w:val="20"/>
                <w:lang w:val="lt-LT"/>
              </w:rPr>
              <w:t>)</w:t>
            </w:r>
          </w:p>
        </w:tc>
        <w:tc>
          <w:tcPr>
            <w:tcW w:w="1560" w:type="dxa"/>
            <w:vAlign w:val="center"/>
          </w:tcPr>
          <w:p w14:paraId="77072369" w14:textId="59F0F246" w:rsidR="00824F1E" w:rsidRPr="00E24668" w:rsidRDefault="00824F1E" w:rsidP="00053685">
            <w:pPr>
              <w:spacing w:line="240" w:lineRule="auto"/>
              <w:ind w:firstLine="0"/>
              <w:jc w:val="center"/>
              <w:rPr>
                <w:rFonts w:cs="Times New Roman"/>
                <w:sz w:val="20"/>
                <w:szCs w:val="20"/>
                <w:lang w:val="lt-LT"/>
              </w:rPr>
            </w:pPr>
            <w:r w:rsidRPr="00E24668">
              <w:rPr>
                <w:rFonts w:cs="Times New Roman"/>
                <w:sz w:val="20"/>
                <w:szCs w:val="20"/>
                <w:lang w:val="lt-LT"/>
              </w:rPr>
              <w:t>ES SF lėšos</w:t>
            </w:r>
          </w:p>
        </w:tc>
        <w:tc>
          <w:tcPr>
            <w:tcW w:w="1701" w:type="dxa"/>
            <w:vAlign w:val="center"/>
          </w:tcPr>
          <w:p w14:paraId="74EDB49D" w14:textId="0DBD12A9" w:rsidR="00824F1E" w:rsidRPr="00E24668" w:rsidRDefault="003830EE" w:rsidP="003830EE">
            <w:pPr>
              <w:spacing w:before="40" w:after="40"/>
              <w:ind w:firstLine="0"/>
              <w:jc w:val="center"/>
              <w:rPr>
                <w:rFonts w:cs="Times New Roman"/>
                <w:sz w:val="20"/>
                <w:szCs w:val="20"/>
                <w:lang w:val="lt-LT"/>
              </w:rPr>
            </w:pPr>
            <w:r w:rsidRPr="00E24668">
              <w:rPr>
                <w:rFonts w:cs="Times New Roman"/>
                <w:sz w:val="20"/>
                <w:szCs w:val="20"/>
                <w:lang w:val="lt-LT"/>
              </w:rPr>
              <w:t>14,8</w:t>
            </w:r>
          </w:p>
        </w:tc>
        <w:tc>
          <w:tcPr>
            <w:tcW w:w="1871" w:type="dxa"/>
            <w:vAlign w:val="center"/>
          </w:tcPr>
          <w:p w14:paraId="5E36D4AF" w14:textId="77777777" w:rsidR="00824F1E" w:rsidRPr="00E24668" w:rsidRDefault="00824F1E" w:rsidP="00824F1E">
            <w:pPr>
              <w:spacing w:before="40" w:after="40"/>
              <w:ind w:firstLine="0"/>
              <w:jc w:val="center"/>
              <w:rPr>
                <w:rFonts w:cs="Times New Roman"/>
                <w:sz w:val="20"/>
                <w:szCs w:val="20"/>
                <w:lang w:val="lt-LT"/>
              </w:rPr>
            </w:pPr>
            <w:r w:rsidRPr="00E24668">
              <w:rPr>
                <w:rFonts w:cs="Times New Roman"/>
                <w:sz w:val="20"/>
                <w:szCs w:val="20"/>
                <w:lang w:val="lt-LT"/>
              </w:rPr>
              <w:t>12</w:t>
            </w:r>
          </w:p>
        </w:tc>
        <w:tc>
          <w:tcPr>
            <w:tcW w:w="1559" w:type="dxa"/>
            <w:vAlign w:val="center"/>
          </w:tcPr>
          <w:p w14:paraId="788A1BE8" w14:textId="742B58DA" w:rsidR="00824F1E" w:rsidRPr="00E24668" w:rsidRDefault="00824F1E" w:rsidP="003830EE">
            <w:pPr>
              <w:spacing w:before="40" w:after="40"/>
              <w:ind w:firstLine="0"/>
              <w:jc w:val="center"/>
              <w:rPr>
                <w:rFonts w:cs="Times New Roman"/>
                <w:sz w:val="20"/>
                <w:szCs w:val="20"/>
                <w:lang w:val="lt-LT"/>
              </w:rPr>
            </w:pPr>
            <w:r w:rsidRPr="00E24668">
              <w:rPr>
                <w:rFonts w:cs="Times New Roman"/>
                <w:sz w:val="20"/>
                <w:szCs w:val="20"/>
                <w:lang w:val="lt-LT"/>
              </w:rPr>
              <w:t>14,</w:t>
            </w:r>
            <w:r w:rsidR="003830EE" w:rsidRPr="00E24668">
              <w:rPr>
                <w:rFonts w:cs="Times New Roman"/>
                <w:sz w:val="20"/>
                <w:szCs w:val="20"/>
                <w:lang w:val="lt-LT"/>
              </w:rPr>
              <w:t>8</w:t>
            </w:r>
          </w:p>
        </w:tc>
        <w:tc>
          <w:tcPr>
            <w:tcW w:w="1814" w:type="dxa"/>
            <w:vAlign w:val="center"/>
          </w:tcPr>
          <w:p w14:paraId="655D876B" w14:textId="77777777" w:rsidR="00824F1E" w:rsidRPr="00E24668" w:rsidRDefault="00824F1E" w:rsidP="00824F1E">
            <w:pPr>
              <w:spacing w:before="40" w:after="40"/>
              <w:ind w:firstLine="0"/>
              <w:jc w:val="center"/>
              <w:rPr>
                <w:rFonts w:cs="Times New Roman"/>
                <w:sz w:val="20"/>
                <w:szCs w:val="20"/>
                <w:lang w:val="lt-LT"/>
              </w:rPr>
            </w:pPr>
            <w:r w:rsidRPr="00E24668">
              <w:rPr>
                <w:rFonts w:cs="Times New Roman"/>
                <w:sz w:val="20"/>
                <w:szCs w:val="20"/>
                <w:lang w:val="lt-LT"/>
              </w:rPr>
              <w:t>12</w:t>
            </w:r>
          </w:p>
        </w:tc>
      </w:tr>
      <w:tr w:rsidR="00824F1E" w:rsidRPr="00E24668" w14:paraId="666E4A44" w14:textId="77777777" w:rsidTr="0068447D">
        <w:tc>
          <w:tcPr>
            <w:tcW w:w="1701" w:type="dxa"/>
            <w:vAlign w:val="center"/>
          </w:tcPr>
          <w:p w14:paraId="1D710C95" w14:textId="77777777" w:rsidR="00824F1E" w:rsidRPr="00E24668" w:rsidRDefault="00824F1E" w:rsidP="00053685">
            <w:pPr>
              <w:spacing w:line="240" w:lineRule="auto"/>
              <w:ind w:firstLine="0"/>
              <w:rPr>
                <w:rFonts w:cs="Times New Roman"/>
                <w:sz w:val="20"/>
                <w:szCs w:val="20"/>
                <w:lang w:val="lt-LT"/>
              </w:rPr>
            </w:pPr>
            <w:r w:rsidRPr="00E24668">
              <w:rPr>
                <w:rFonts w:cs="Times New Roman"/>
                <w:noProof/>
                <w:sz w:val="20"/>
                <w:szCs w:val="20"/>
                <w:lang w:val="lt-LT"/>
              </w:rPr>
              <w:t>Plėtros fondas I (rizikos kapitalo investicijos)</w:t>
            </w:r>
          </w:p>
        </w:tc>
        <w:tc>
          <w:tcPr>
            <w:tcW w:w="1560" w:type="dxa"/>
            <w:vAlign w:val="center"/>
          </w:tcPr>
          <w:p w14:paraId="0ABC5EEF" w14:textId="0B8B531B" w:rsidR="00824F1E" w:rsidRPr="00E24668" w:rsidRDefault="00824F1E" w:rsidP="00053685">
            <w:pPr>
              <w:spacing w:line="240" w:lineRule="auto"/>
              <w:ind w:firstLine="0"/>
              <w:jc w:val="center"/>
              <w:rPr>
                <w:rFonts w:cs="Times New Roman"/>
                <w:sz w:val="20"/>
                <w:szCs w:val="20"/>
                <w:lang w:val="lt-LT"/>
              </w:rPr>
            </w:pPr>
            <w:r w:rsidRPr="00E24668">
              <w:rPr>
                <w:rFonts w:cs="Times New Roman"/>
                <w:sz w:val="20"/>
                <w:szCs w:val="20"/>
                <w:lang w:val="lt-LT"/>
              </w:rPr>
              <w:t>ES SF lėšos</w:t>
            </w:r>
          </w:p>
        </w:tc>
        <w:tc>
          <w:tcPr>
            <w:tcW w:w="1701" w:type="dxa"/>
            <w:vAlign w:val="center"/>
          </w:tcPr>
          <w:p w14:paraId="14FC6029" w14:textId="509DDCB2" w:rsidR="00824F1E" w:rsidRPr="00E24668" w:rsidRDefault="00824F1E" w:rsidP="00824F1E">
            <w:pPr>
              <w:spacing w:before="40" w:after="40"/>
              <w:ind w:firstLine="0"/>
              <w:jc w:val="center"/>
              <w:rPr>
                <w:rFonts w:cs="Times New Roman"/>
                <w:sz w:val="20"/>
                <w:szCs w:val="20"/>
                <w:lang w:val="lt-LT"/>
              </w:rPr>
            </w:pPr>
            <w:r w:rsidRPr="00E24668">
              <w:rPr>
                <w:rFonts w:cs="Times New Roman"/>
                <w:sz w:val="20"/>
                <w:szCs w:val="20"/>
                <w:lang w:val="lt-LT"/>
              </w:rPr>
              <w:t>15,6</w:t>
            </w:r>
          </w:p>
        </w:tc>
        <w:tc>
          <w:tcPr>
            <w:tcW w:w="1871" w:type="dxa"/>
            <w:vAlign w:val="center"/>
          </w:tcPr>
          <w:p w14:paraId="3101C8EE" w14:textId="77777777" w:rsidR="00824F1E" w:rsidRPr="00E24668" w:rsidRDefault="00824F1E" w:rsidP="00824F1E">
            <w:pPr>
              <w:spacing w:before="40" w:after="40"/>
              <w:ind w:firstLine="0"/>
              <w:jc w:val="center"/>
              <w:rPr>
                <w:rFonts w:cs="Times New Roman"/>
                <w:sz w:val="20"/>
                <w:szCs w:val="20"/>
                <w:lang w:val="lt-LT"/>
              </w:rPr>
            </w:pPr>
            <w:r w:rsidRPr="00E24668">
              <w:rPr>
                <w:rFonts w:cs="Times New Roman"/>
                <w:sz w:val="20"/>
                <w:szCs w:val="20"/>
                <w:lang w:val="lt-LT"/>
              </w:rPr>
              <w:t>19</w:t>
            </w:r>
          </w:p>
        </w:tc>
        <w:tc>
          <w:tcPr>
            <w:tcW w:w="1559" w:type="dxa"/>
            <w:vAlign w:val="center"/>
          </w:tcPr>
          <w:p w14:paraId="2C86299B" w14:textId="77777777" w:rsidR="00824F1E" w:rsidRPr="00E24668" w:rsidRDefault="00824F1E" w:rsidP="00824F1E">
            <w:pPr>
              <w:spacing w:before="40" w:after="40"/>
              <w:ind w:firstLine="0"/>
              <w:jc w:val="center"/>
              <w:rPr>
                <w:rFonts w:cs="Times New Roman"/>
                <w:sz w:val="20"/>
                <w:szCs w:val="20"/>
                <w:lang w:val="lt-LT"/>
              </w:rPr>
            </w:pPr>
            <w:r w:rsidRPr="00E24668">
              <w:rPr>
                <w:rFonts w:cs="Times New Roman"/>
                <w:sz w:val="20"/>
                <w:szCs w:val="20"/>
                <w:lang w:val="lt-LT"/>
              </w:rPr>
              <w:t>15,6</w:t>
            </w:r>
          </w:p>
        </w:tc>
        <w:tc>
          <w:tcPr>
            <w:tcW w:w="1814" w:type="dxa"/>
            <w:vAlign w:val="center"/>
          </w:tcPr>
          <w:p w14:paraId="31F6DC4D" w14:textId="77777777" w:rsidR="00824F1E" w:rsidRPr="00E24668" w:rsidRDefault="00824F1E" w:rsidP="00824F1E">
            <w:pPr>
              <w:spacing w:before="40" w:after="40"/>
              <w:ind w:firstLine="0"/>
              <w:jc w:val="center"/>
              <w:rPr>
                <w:rFonts w:cs="Times New Roman"/>
                <w:sz w:val="20"/>
                <w:szCs w:val="20"/>
                <w:lang w:val="lt-LT"/>
              </w:rPr>
            </w:pPr>
            <w:r w:rsidRPr="00E24668">
              <w:rPr>
                <w:rFonts w:cs="Times New Roman"/>
                <w:sz w:val="20"/>
                <w:szCs w:val="20"/>
                <w:lang w:val="lt-LT"/>
              </w:rPr>
              <w:t>19</w:t>
            </w:r>
          </w:p>
        </w:tc>
      </w:tr>
      <w:tr w:rsidR="00824F1E" w:rsidRPr="00E24668" w14:paraId="4D0F1BE9" w14:textId="77777777" w:rsidTr="0068447D">
        <w:tc>
          <w:tcPr>
            <w:tcW w:w="1701" w:type="dxa"/>
            <w:vAlign w:val="center"/>
          </w:tcPr>
          <w:p w14:paraId="3023F9CE" w14:textId="77777777" w:rsidR="00824F1E" w:rsidRPr="00E24668" w:rsidRDefault="00824F1E" w:rsidP="00053685">
            <w:pPr>
              <w:spacing w:line="240" w:lineRule="auto"/>
              <w:ind w:firstLine="0"/>
              <w:rPr>
                <w:rFonts w:cs="Times New Roman"/>
                <w:sz w:val="20"/>
                <w:szCs w:val="20"/>
                <w:lang w:val="lt-LT"/>
              </w:rPr>
            </w:pPr>
            <w:r w:rsidRPr="00E24668">
              <w:rPr>
                <w:rFonts w:cs="Times New Roman"/>
                <w:noProof/>
                <w:sz w:val="20"/>
                <w:szCs w:val="20"/>
                <w:lang w:val="lt-LT"/>
              </w:rPr>
              <w:t>Plėtros fondas II (rizikos kapitalo investicijos)</w:t>
            </w:r>
          </w:p>
        </w:tc>
        <w:tc>
          <w:tcPr>
            <w:tcW w:w="1560" w:type="dxa"/>
            <w:vAlign w:val="center"/>
          </w:tcPr>
          <w:p w14:paraId="50208334" w14:textId="7AFFE6F5" w:rsidR="00824F1E" w:rsidRPr="00E24668" w:rsidRDefault="00824F1E" w:rsidP="00053685">
            <w:pPr>
              <w:spacing w:line="240" w:lineRule="auto"/>
              <w:ind w:firstLine="0"/>
              <w:jc w:val="center"/>
              <w:rPr>
                <w:rFonts w:cs="Times New Roman"/>
                <w:sz w:val="20"/>
                <w:szCs w:val="20"/>
                <w:lang w:val="lt-LT"/>
              </w:rPr>
            </w:pPr>
            <w:r w:rsidRPr="00E24668">
              <w:rPr>
                <w:rFonts w:cs="Times New Roman"/>
                <w:sz w:val="20"/>
                <w:szCs w:val="20"/>
                <w:lang w:val="lt-LT"/>
              </w:rPr>
              <w:t>ES SF lėšos</w:t>
            </w:r>
          </w:p>
        </w:tc>
        <w:tc>
          <w:tcPr>
            <w:tcW w:w="1701" w:type="dxa"/>
            <w:vAlign w:val="center"/>
          </w:tcPr>
          <w:p w14:paraId="6F332B46" w14:textId="546F717F" w:rsidR="00824F1E" w:rsidRPr="00E24668" w:rsidRDefault="00824F1E" w:rsidP="00824F1E">
            <w:pPr>
              <w:spacing w:before="40" w:after="40"/>
              <w:ind w:firstLine="0"/>
              <w:jc w:val="center"/>
              <w:rPr>
                <w:rFonts w:cs="Times New Roman"/>
                <w:sz w:val="20"/>
                <w:szCs w:val="20"/>
                <w:lang w:val="lt-LT"/>
              </w:rPr>
            </w:pPr>
            <w:r w:rsidRPr="00E24668">
              <w:rPr>
                <w:rFonts w:cs="Times New Roman"/>
                <w:sz w:val="20"/>
                <w:szCs w:val="20"/>
                <w:lang w:val="lt-LT"/>
              </w:rPr>
              <w:t>17,4</w:t>
            </w:r>
          </w:p>
        </w:tc>
        <w:tc>
          <w:tcPr>
            <w:tcW w:w="1871" w:type="dxa"/>
            <w:vAlign w:val="center"/>
          </w:tcPr>
          <w:p w14:paraId="19101BA9" w14:textId="77777777" w:rsidR="00824F1E" w:rsidRPr="00E24668" w:rsidRDefault="00824F1E" w:rsidP="00824F1E">
            <w:pPr>
              <w:spacing w:before="40" w:after="40"/>
              <w:ind w:firstLine="0"/>
              <w:jc w:val="center"/>
              <w:rPr>
                <w:rFonts w:cs="Times New Roman"/>
                <w:sz w:val="20"/>
                <w:szCs w:val="20"/>
                <w:lang w:val="lt-LT"/>
              </w:rPr>
            </w:pPr>
            <w:r w:rsidRPr="00E24668">
              <w:rPr>
                <w:rFonts w:cs="Times New Roman"/>
                <w:sz w:val="20"/>
                <w:szCs w:val="20"/>
                <w:lang w:val="lt-LT"/>
              </w:rPr>
              <w:t>21</w:t>
            </w:r>
          </w:p>
        </w:tc>
        <w:tc>
          <w:tcPr>
            <w:tcW w:w="1559" w:type="dxa"/>
            <w:vAlign w:val="center"/>
          </w:tcPr>
          <w:p w14:paraId="1A01E65B" w14:textId="77777777" w:rsidR="00824F1E" w:rsidRPr="00E24668" w:rsidRDefault="00824F1E" w:rsidP="00824F1E">
            <w:pPr>
              <w:spacing w:before="40" w:after="40"/>
              <w:ind w:firstLine="0"/>
              <w:jc w:val="center"/>
              <w:rPr>
                <w:rFonts w:cs="Times New Roman"/>
                <w:sz w:val="20"/>
                <w:szCs w:val="20"/>
                <w:lang w:val="lt-LT"/>
              </w:rPr>
            </w:pPr>
            <w:r w:rsidRPr="00E24668">
              <w:rPr>
                <w:rFonts w:cs="Times New Roman"/>
                <w:sz w:val="20"/>
                <w:szCs w:val="20"/>
                <w:lang w:val="lt-LT"/>
              </w:rPr>
              <w:t>17,4</w:t>
            </w:r>
          </w:p>
        </w:tc>
        <w:tc>
          <w:tcPr>
            <w:tcW w:w="1814" w:type="dxa"/>
            <w:vAlign w:val="center"/>
          </w:tcPr>
          <w:p w14:paraId="55EF013B" w14:textId="77777777" w:rsidR="00824F1E" w:rsidRPr="00E24668" w:rsidRDefault="00824F1E" w:rsidP="00824F1E">
            <w:pPr>
              <w:spacing w:before="40" w:after="40"/>
              <w:ind w:firstLine="0"/>
              <w:jc w:val="center"/>
              <w:rPr>
                <w:rFonts w:cs="Times New Roman"/>
                <w:sz w:val="20"/>
                <w:szCs w:val="20"/>
                <w:lang w:val="lt-LT"/>
              </w:rPr>
            </w:pPr>
            <w:r w:rsidRPr="00E24668">
              <w:rPr>
                <w:rFonts w:cs="Times New Roman"/>
                <w:sz w:val="20"/>
                <w:szCs w:val="20"/>
                <w:lang w:val="lt-LT"/>
              </w:rPr>
              <w:t>21</w:t>
            </w:r>
          </w:p>
        </w:tc>
      </w:tr>
      <w:tr w:rsidR="00824F1E" w:rsidRPr="00E24668" w14:paraId="2105C911" w14:textId="77777777" w:rsidTr="0068447D">
        <w:tc>
          <w:tcPr>
            <w:tcW w:w="1701" w:type="dxa"/>
            <w:vAlign w:val="center"/>
          </w:tcPr>
          <w:p w14:paraId="57AE8D90" w14:textId="55C829B7" w:rsidR="00824F1E" w:rsidRPr="00E24668" w:rsidRDefault="00824F1E" w:rsidP="00053685">
            <w:pPr>
              <w:spacing w:line="240" w:lineRule="auto"/>
              <w:ind w:firstLine="0"/>
              <w:rPr>
                <w:rFonts w:cs="Times New Roman"/>
                <w:sz w:val="20"/>
                <w:szCs w:val="20"/>
                <w:lang w:val="lt-LT"/>
              </w:rPr>
            </w:pPr>
            <w:r w:rsidRPr="00E24668">
              <w:rPr>
                <w:rFonts w:cs="Times New Roman"/>
                <w:noProof/>
                <w:sz w:val="20"/>
                <w:szCs w:val="20"/>
                <w:lang w:val="lt-LT"/>
              </w:rPr>
              <w:t>Bendrai su verslo angelais investuojantis fondas</w:t>
            </w:r>
            <w:r w:rsidR="00053685" w:rsidRPr="00E24668">
              <w:rPr>
                <w:rFonts w:cs="Times New Roman"/>
                <w:noProof/>
                <w:sz w:val="20"/>
                <w:szCs w:val="20"/>
                <w:lang w:val="lt-LT"/>
              </w:rPr>
              <w:t xml:space="preserve"> </w:t>
            </w:r>
            <w:r w:rsidR="00053685" w:rsidRPr="00E24668">
              <w:rPr>
                <w:rFonts w:cs="Times New Roman"/>
                <w:sz w:val="20"/>
                <w:szCs w:val="20"/>
                <w:lang w:val="lt-LT"/>
              </w:rPr>
              <w:t>(</w:t>
            </w:r>
            <w:r w:rsidR="00053685" w:rsidRPr="00E24668">
              <w:rPr>
                <w:rFonts w:cs="Times New Roman"/>
                <w:noProof/>
                <w:sz w:val="20"/>
                <w:szCs w:val="20"/>
                <w:lang w:val="lt-LT"/>
              </w:rPr>
              <w:t>rizikos kapitalo investicijos</w:t>
            </w:r>
            <w:r w:rsidR="00053685" w:rsidRPr="00E24668">
              <w:rPr>
                <w:rFonts w:cs="Times New Roman"/>
                <w:sz w:val="20"/>
                <w:szCs w:val="20"/>
                <w:lang w:val="lt-LT"/>
              </w:rPr>
              <w:t>)</w:t>
            </w:r>
          </w:p>
        </w:tc>
        <w:tc>
          <w:tcPr>
            <w:tcW w:w="1560" w:type="dxa"/>
            <w:vAlign w:val="center"/>
          </w:tcPr>
          <w:p w14:paraId="2CBF1E42" w14:textId="464C2F07" w:rsidR="00824F1E" w:rsidRPr="00E24668" w:rsidRDefault="00824F1E" w:rsidP="00053685">
            <w:pPr>
              <w:spacing w:line="240" w:lineRule="auto"/>
              <w:ind w:firstLine="0"/>
              <w:jc w:val="center"/>
              <w:rPr>
                <w:rFonts w:cs="Times New Roman"/>
                <w:sz w:val="20"/>
                <w:szCs w:val="20"/>
                <w:lang w:val="lt-LT"/>
              </w:rPr>
            </w:pPr>
            <w:r w:rsidRPr="00E24668">
              <w:rPr>
                <w:rFonts w:cs="Times New Roman"/>
                <w:sz w:val="20"/>
                <w:szCs w:val="20"/>
                <w:lang w:val="lt-LT"/>
              </w:rPr>
              <w:t>ES SF lėšos</w:t>
            </w:r>
          </w:p>
        </w:tc>
        <w:tc>
          <w:tcPr>
            <w:tcW w:w="1701" w:type="dxa"/>
            <w:vAlign w:val="center"/>
          </w:tcPr>
          <w:p w14:paraId="5E79B7EF" w14:textId="134A70C9" w:rsidR="00824F1E" w:rsidRPr="00E24668" w:rsidRDefault="00824F1E" w:rsidP="00824F1E">
            <w:pPr>
              <w:spacing w:before="40" w:after="40"/>
              <w:ind w:firstLine="0"/>
              <w:jc w:val="center"/>
              <w:rPr>
                <w:rFonts w:cs="Times New Roman"/>
                <w:sz w:val="20"/>
                <w:szCs w:val="20"/>
                <w:lang w:val="lt-LT"/>
              </w:rPr>
            </w:pPr>
            <w:r w:rsidRPr="00E24668">
              <w:rPr>
                <w:rFonts w:cs="Times New Roman"/>
                <w:sz w:val="20"/>
                <w:szCs w:val="20"/>
                <w:lang w:val="lt-LT"/>
              </w:rPr>
              <w:t>11</w:t>
            </w:r>
          </w:p>
        </w:tc>
        <w:tc>
          <w:tcPr>
            <w:tcW w:w="1871" w:type="dxa"/>
            <w:vAlign w:val="center"/>
          </w:tcPr>
          <w:p w14:paraId="7E9237DE" w14:textId="77777777" w:rsidR="00824F1E" w:rsidRPr="00E24668" w:rsidRDefault="00824F1E" w:rsidP="00824F1E">
            <w:pPr>
              <w:spacing w:before="40" w:after="40"/>
              <w:ind w:firstLine="0"/>
              <w:jc w:val="center"/>
              <w:rPr>
                <w:rFonts w:cs="Times New Roman"/>
                <w:sz w:val="20"/>
                <w:szCs w:val="20"/>
                <w:lang w:val="lt-LT"/>
              </w:rPr>
            </w:pPr>
            <w:r w:rsidRPr="00E24668">
              <w:rPr>
                <w:rFonts w:cs="Times New Roman"/>
                <w:sz w:val="20"/>
                <w:szCs w:val="20"/>
                <w:lang w:val="lt-LT"/>
              </w:rPr>
              <w:t>17</w:t>
            </w:r>
          </w:p>
        </w:tc>
        <w:tc>
          <w:tcPr>
            <w:tcW w:w="1559" w:type="dxa"/>
            <w:vAlign w:val="center"/>
          </w:tcPr>
          <w:p w14:paraId="4A763D01" w14:textId="77777777" w:rsidR="00824F1E" w:rsidRPr="00E24668" w:rsidRDefault="00824F1E" w:rsidP="00824F1E">
            <w:pPr>
              <w:spacing w:before="40" w:after="40"/>
              <w:ind w:firstLine="0"/>
              <w:jc w:val="center"/>
              <w:rPr>
                <w:rFonts w:cs="Times New Roman"/>
                <w:sz w:val="20"/>
                <w:szCs w:val="20"/>
                <w:lang w:val="lt-LT"/>
              </w:rPr>
            </w:pPr>
            <w:r w:rsidRPr="00E24668">
              <w:rPr>
                <w:rFonts w:cs="Times New Roman"/>
                <w:sz w:val="20"/>
                <w:szCs w:val="20"/>
                <w:lang w:val="lt-LT"/>
              </w:rPr>
              <w:t>11</w:t>
            </w:r>
          </w:p>
        </w:tc>
        <w:tc>
          <w:tcPr>
            <w:tcW w:w="1814" w:type="dxa"/>
            <w:vAlign w:val="center"/>
          </w:tcPr>
          <w:p w14:paraId="350F24DC" w14:textId="77777777" w:rsidR="00824F1E" w:rsidRPr="00E24668" w:rsidRDefault="00824F1E" w:rsidP="00824F1E">
            <w:pPr>
              <w:spacing w:before="40" w:after="40"/>
              <w:ind w:firstLine="0"/>
              <w:jc w:val="center"/>
              <w:rPr>
                <w:rFonts w:cs="Times New Roman"/>
                <w:sz w:val="20"/>
                <w:szCs w:val="20"/>
                <w:lang w:val="lt-LT"/>
              </w:rPr>
            </w:pPr>
            <w:r w:rsidRPr="00E24668">
              <w:rPr>
                <w:rFonts w:cs="Times New Roman"/>
                <w:sz w:val="20"/>
                <w:szCs w:val="20"/>
                <w:lang w:val="lt-LT"/>
              </w:rPr>
              <w:t>17</w:t>
            </w:r>
          </w:p>
        </w:tc>
      </w:tr>
      <w:tr w:rsidR="00824F1E" w:rsidRPr="00E24668" w14:paraId="54F10D9C" w14:textId="77777777" w:rsidTr="0068447D">
        <w:tc>
          <w:tcPr>
            <w:tcW w:w="1701" w:type="dxa"/>
            <w:vAlign w:val="center"/>
          </w:tcPr>
          <w:p w14:paraId="75FF4D0A" w14:textId="2DD314B3" w:rsidR="00824F1E" w:rsidRPr="00E24668" w:rsidRDefault="00824F1E" w:rsidP="00053685">
            <w:pPr>
              <w:spacing w:line="240" w:lineRule="auto"/>
              <w:ind w:firstLine="0"/>
              <w:rPr>
                <w:rFonts w:cs="Times New Roman"/>
                <w:sz w:val="20"/>
                <w:szCs w:val="20"/>
                <w:lang w:val="lt-LT"/>
              </w:rPr>
            </w:pPr>
            <w:r w:rsidRPr="00E24668">
              <w:rPr>
                <w:rFonts w:cs="Times New Roman"/>
                <w:noProof/>
                <w:sz w:val="20"/>
                <w:szCs w:val="20"/>
                <w:lang w:val="lt-LT"/>
              </w:rPr>
              <w:lastRenderedPageBreak/>
              <w:t>Ko-investicinis fondas</w:t>
            </w:r>
            <w:r w:rsidR="00053685" w:rsidRPr="00E24668">
              <w:rPr>
                <w:rFonts w:cs="Times New Roman"/>
                <w:noProof/>
                <w:sz w:val="20"/>
                <w:szCs w:val="20"/>
                <w:lang w:val="lt-LT"/>
              </w:rPr>
              <w:t xml:space="preserve"> </w:t>
            </w:r>
            <w:r w:rsidR="00053685" w:rsidRPr="00E24668">
              <w:rPr>
                <w:rFonts w:cs="Times New Roman"/>
                <w:sz w:val="20"/>
                <w:szCs w:val="20"/>
                <w:lang w:val="lt-LT"/>
              </w:rPr>
              <w:t>(</w:t>
            </w:r>
            <w:r w:rsidR="00053685" w:rsidRPr="00E24668">
              <w:rPr>
                <w:rFonts w:cs="Times New Roman"/>
                <w:noProof/>
                <w:sz w:val="20"/>
                <w:szCs w:val="20"/>
                <w:lang w:val="lt-LT"/>
              </w:rPr>
              <w:t>rizikos kapitalo investicijos</w:t>
            </w:r>
            <w:r w:rsidR="00053685" w:rsidRPr="00E24668">
              <w:rPr>
                <w:rFonts w:cs="Times New Roman"/>
                <w:sz w:val="20"/>
                <w:szCs w:val="20"/>
                <w:lang w:val="lt-LT"/>
              </w:rPr>
              <w:t>)</w:t>
            </w:r>
          </w:p>
        </w:tc>
        <w:tc>
          <w:tcPr>
            <w:tcW w:w="1560" w:type="dxa"/>
            <w:vAlign w:val="center"/>
          </w:tcPr>
          <w:p w14:paraId="6CA93D83" w14:textId="73B4FA47" w:rsidR="00824F1E" w:rsidRPr="00E24668" w:rsidRDefault="00824F1E" w:rsidP="00053685">
            <w:pPr>
              <w:spacing w:line="240" w:lineRule="auto"/>
              <w:ind w:firstLine="0"/>
              <w:jc w:val="center"/>
              <w:rPr>
                <w:rFonts w:cs="Times New Roman"/>
                <w:sz w:val="20"/>
                <w:szCs w:val="20"/>
                <w:lang w:val="lt-LT"/>
              </w:rPr>
            </w:pPr>
            <w:r w:rsidRPr="00E24668">
              <w:rPr>
                <w:rFonts w:cs="Times New Roman"/>
                <w:sz w:val="20"/>
                <w:szCs w:val="20"/>
                <w:lang w:val="lt-LT"/>
              </w:rPr>
              <w:t>ES SF lėšos</w:t>
            </w:r>
          </w:p>
        </w:tc>
        <w:tc>
          <w:tcPr>
            <w:tcW w:w="1701" w:type="dxa"/>
            <w:vAlign w:val="center"/>
          </w:tcPr>
          <w:p w14:paraId="5E3B7DDB" w14:textId="4FADFA3B" w:rsidR="00824F1E" w:rsidRPr="00E24668" w:rsidRDefault="00824F1E" w:rsidP="003830EE">
            <w:pPr>
              <w:spacing w:before="40" w:after="40"/>
              <w:ind w:firstLine="0"/>
              <w:jc w:val="center"/>
              <w:rPr>
                <w:rFonts w:cs="Times New Roman"/>
                <w:sz w:val="20"/>
                <w:szCs w:val="20"/>
                <w:lang w:val="lt-LT"/>
              </w:rPr>
            </w:pPr>
            <w:r w:rsidRPr="00E24668">
              <w:rPr>
                <w:rFonts w:cs="Times New Roman"/>
                <w:sz w:val="20"/>
                <w:szCs w:val="20"/>
                <w:lang w:val="lt-LT"/>
              </w:rPr>
              <w:t>11,</w:t>
            </w:r>
            <w:r w:rsidR="003830EE" w:rsidRPr="00E24668">
              <w:rPr>
                <w:rFonts w:cs="Times New Roman"/>
                <w:sz w:val="20"/>
                <w:szCs w:val="20"/>
                <w:lang w:val="lt-LT"/>
              </w:rPr>
              <w:t>6</w:t>
            </w:r>
          </w:p>
        </w:tc>
        <w:tc>
          <w:tcPr>
            <w:tcW w:w="1871" w:type="dxa"/>
            <w:vAlign w:val="center"/>
          </w:tcPr>
          <w:p w14:paraId="2B5812E7" w14:textId="77777777" w:rsidR="00824F1E" w:rsidRPr="00E24668" w:rsidRDefault="00824F1E" w:rsidP="00824F1E">
            <w:pPr>
              <w:spacing w:before="40" w:after="40"/>
              <w:ind w:firstLine="0"/>
              <w:jc w:val="center"/>
              <w:rPr>
                <w:rFonts w:cs="Times New Roman"/>
                <w:sz w:val="20"/>
                <w:szCs w:val="20"/>
                <w:lang w:val="lt-LT"/>
              </w:rPr>
            </w:pPr>
            <w:r w:rsidRPr="00E24668">
              <w:rPr>
                <w:rFonts w:cs="Times New Roman"/>
                <w:sz w:val="20"/>
                <w:szCs w:val="20"/>
                <w:lang w:val="lt-LT"/>
              </w:rPr>
              <w:t>18</w:t>
            </w:r>
          </w:p>
        </w:tc>
        <w:tc>
          <w:tcPr>
            <w:tcW w:w="1559" w:type="dxa"/>
            <w:vAlign w:val="center"/>
          </w:tcPr>
          <w:p w14:paraId="6CD9E150" w14:textId="5847C5D6" w:rsidR="00824F1E" w:rsidRPr="00E24668" w:rsidRDefault="00824F1E" w:rsidP="003830EE">
            <w:pPr>
              <w:spacing w:before="40" w:after="40"/>
              <w:ind w:firstLine="0"/>
              <w:jc w:val="center"/>
              <w:rPr>
                <w:rFonts w:cs="Times New Roman"/>
                <w:sz w:val="20"/>
                <w:szCs w:val="20"/>
                <w:lang w:val="lt-LT"/>
              </w:rPr>
            </w:pPr>
            <w:r w:rsidRPr="00E24668">
              <w:rPr>
                <w:rFonts w:cs="Times New Roman"/>
                <w:sz w:val="20"/>
                <w:szCs w:val="20"/>
                <w:lang w:val="lt-LT"/>
              </w:rPr>
              <w:t>11,</w:t>
            </w:r>
            <w:r w:rsidR="003830EE" w:rsidRPr="00E24668">
              <w:rPr>
                <w:rFonts w:cs="Times New Roman"/>
                <w:sz w:val="20"/>
                <w:szCs w:val="20"/>
                <w:lang w:val="lt-LT"/>
              </w:rPr>
              <w:t>6</w:t>
            </w:r>
          </w:p>
        </w:tc>
        <w:tc>
          <w:tcPr>
            <w:tcW w:w="1814" w:type="dxa"/>
            <w:vAlign w:val="center"/>
          </w:tcPr>
          <w:p w14:paraId="7DA59925" w14:textId="77777777" w:rsidR="00824F1E" w:rsidRPr="00E24668" w:rsidRDefault="00824F1E" w:rsidP="00824F1E">
            <w:pPr>
              <w:spacing w:before="40" w:after="40"/>
              <w:ind w:firstLine="0"/>
              <w:jc w:val="center"/>
              <w:rPr>
                <w:rFonts w:cs="Times New Roman"/>
                <w:sz w:val="20"/>
                <w:szCs w:val="20"/>
                <w:lang w:val="lt-LT"/>
              </w:rPr>
            </w:pPr>
            <w:r w:rsidRPr="00E24668">
              <w:rPr>
                <w:rFonts w:cs="Times New Roman"/>
                <w:sz w:val="20"/>
                <w:szCs w:val="20"/>
                <w:lang w:val="lt-LT"/>
              </w:rPr>
              <w:t>18</w:t>
            </w:r>
          </w:p>
        </w:tc>
      </w:tr>
      <w:tr w:rsidR="00824F1E" w:rsidRPr="00E24668" w14:paraId="7D6DE408" w14:textId="77777777" w:rsidTr="0068447D">
        <w:tc>
          <w:tcPr>
            <w:tcW w:w="1701" w:type="dxa"/>
            <w:vAlign w:val="center"/>
          </w:tcPr>
          <w:p w14:paraId="3EA40C8A" w14:textId="77777777" w:rsidR="00824F1E" w:rsidRPr="00E24668" w:rsidRDefault="00824F1E" w:rsidP="00053685">
            <w:pPr>
              <w:spacing w:line="240" w:lineRule="auto"/>
              <w:ind w:firstLine="0"/>
              <w:rPr>
                <w:rFonts w:cs="Times New Roman"/>
                <w:sz w:val="20"/>
                <w:szCs w:val="20"/>
                <w:lang w:val="lt-LT"/>
              </w:rPr>
            </w:pPr>
            <w:r w:rsidRPr="00E24668">
              <w:rPr>
                <w:rFonts w:cs="Times New Roman"/>
                <w:color w:val="000000" w:themeColor="text1"/>
                <w:sz w:val="20"/>
                <w:szCs w:val="20"/>
                <w:lang w:val="lt-LT"/>
              </w:rPr>
              <w:t>FP pradedantiems verslą</w:t>
            </w:r>
          </w:p>
        </w:tc>
        <w:tc>
          <w:tcPr>
            <w:tcW w:w="1560" w:type="dxa"/>
            <w:vAlign w:val="center"/>
          </w:tcPr>
          <w:p w14:paraId="13CA2003" w14:textId="00F274BA" w:rsidR="00824F1E" w:rsidRPr="00E24668" w:rsidRDefault="00824F1E" w:rsidP="00053685">
            <w:pPr>
              <w:spacing w:line="240" w:lineRule="auto"/>
              <w:ind w:firstLine="0"/>
              <w:jc w:val="center"/>
              <w:rPr>
                <w:rFonts w:cs="Times New Roman"/>
                <w:sz w:val="20"/>
                <w:szCs w:val="20"/>
                <w:lang w:val="lt-LT"/>
              </w:rPr>
            </w:pPr>
            <w:r w:rsidRPr="00E24668">
              <w:rPr>
                <w:rFonts w:cs="Times New Roman"/>
                <w:sz w:val="20"/>
                <w:szCs w:val="20"/>
                <w:lang w:val="lt-LT"/>
              </w:rPr>
              <w:t>ES SF lėšos</w:t>
            </w:r>
          </w:p>
        </w:tc>
        <w:tc>
          <w:tcPr>
            <w:tcW w:w="1701" w:type="dxa"/>
            <w:vAlign w:val="center"/>
          </w:tcPr>
          <w:p w14:paraId="3681CF11" w14:textId="0536C3F6" w:rsidR="00824F1E" w:rsidRPr="00E24668" w:rsidRDefault="00824F1E" w:rsidP="00D66A3E">
            <w:pPr>
              <w:spacing w:before="40" w:after="40"/>
              <w:ind w:firstLine="0"/>
              <w:jc w:val="center"/>
              <w:rPr>
                <w:rFonts w:cs="Times New Roman"/>
                <w:sz w:val="20"/>
                <w:szCs w:val="20"/>
                <w:lang w:val="lt-LT"/>
              </w:rPr>
            </w:pPr>
            <w:r w:rsidRPr="00E24668">
              <w:rPr>
                <w:rFonts w:cs="Times New Roman"/>
                <w:sz w:val="20"/>
                <w:szCs w:val="20"/>
                <w:lang w:val="lt-LT"/>
              </w:rPr>
              <w:t>24,6</w:t>
            </w:r>
          </w:p>
        </w:tc>
        <w:tc>
          <w:tcPr>
            <w:tcW w:w="1871" w:type="dxa"/>
            <w:vAlign w:val="center"/>
          </w:tcPr>
          <w:p w14:paraId="2CF19D36" w14:textId="592BAAA9" w:rsidR="00824F1E" w:rsidRPr="00E24668" w:rsidRDefault="00824F1E" w:rsidP="00824F1E">
            <w:pPr>
              <w:spacing w:before="40" w:after="40"/>
              <w:ind w:firstLine="0"/>
              <w:jc w:val="center"/>
              <w:rPr>
                <w:rFonts w:cs="Times New Roman"/>
                <w:sz w:val="20"/>
                <w:szCs w:val="20"/>
                <w:lang w:val="lt-LT"/>
              </w:rPr>
            </w:pPr>
            <w:r w:rsidRPr="00E24668">
              <w:rPr>
                <w:rFonts w:cs="Times New Roman"/>
                <w:sz w:val="20"/>
                <w:szCs w:val="20"/>
                <w:lang w:val="lt-LT"/>
              </w:rPr>
              <w:t>2</w:t>
            </w:r>
            <w:r w:rsidR="00D66A3E" w:rsidRPr="00E24668">
              <w:rPr>
                <w:rFonts w:cs="Times New Roman"/>
                <w:sz w:val="20"/>
                <w:szCs w:val="20"/>
                <w:lang w:val="lt-LT"/>
              </w:rPr>
              <w:t>4,6</w:t>
            </w:r>
          </w:p>
        </w:tc>
        <w:tc>
          <w:tcPr>
            <w:tcW w:w="1559" w:type="dxa"/>
            <w:vAlign w:val="center"/>
          </w:tcPr>
          <w:p w14:paraId="4C28F8E2" w14:textId="30F1BC17" w:rsidR="00824F1E" w:rsidRPr="00E24668" w:rsidRDefault="00824F1E" w:rsidP="00D66A3E">
            <w:pPr>
              <w:spacing w:before="40" w:after="40"/>
              <w:ind w:firstLine="0"/>
              <w:jc w:val="center"/>
              <w:rPr>
                <w:rFonts w:cs="Times New Roman"/>
                <w:sz w:val="20"/>
                <w:szCs w:val="20"/>
                <w:lang w:val="lt-LT"/>
              </w:rPr>
            </w:pPr>
            <w:r w:rsidRPr="00E24668">
              <w:rPr>
                <w:rFonts w:cs="Times New Roman"/>
                <w:sz w:val="20"/>
                <w:szCs w:val="20"/>
                <w:lang w:val="lt-LT"/>
              </w:rPr>
              <w:t>23,1</w:t>
            </w:r>
          </w:p>
        </w:tc>
        <w:tc>
          <w:tcPr>
            <w:tcW w:w="1814" w:type="dxa"/>
            <w:vAlign w:val="center"/>
          </w:tcPr>
          <w:p w14:paraId="5AE0CEE4" w14:textId="44C99A71" w:rsidR="00824F1E" w:rsidRPr="00E24668" w:rsidRDefault="00824F1E" w:rsidP="00D66A3E">
            <w:pPr>
              <w:spacing w:before="40" w:after="40"/>
              <w:ind w:firstLine="0"/>
              <w:jc w:val="center"/>
              <w:rPr>
                <w:rFonts w:cs="Times New Roman"/>
                <w:sz w:val="20"/>
                <w:szCs w:val="20"/>
                <w:lang w:val="lt-LT"/>
              </w:rPr>
            </w:pPr>
            <w:r w:rsidRPr="00E24668">
              <w:rPr>
                <w:rFonts w:cs="Times New Roman"/>
                <w:sz w:val="20"/>
                <w:szCs w:val="20"/>
                <w:lang w:val="lt-LT"/>
              </w:rPr>
              <w:t>23,1</w:t>
            </w:r>
          </w:p>
        </w:tc>
      </w:tr>
      <w:tr w:rsidR="00824F1E" w:rsidRPr="00E24668" w14:paraId="2F240D91" w14:textId="77777777" w:rsidTr="0068447D">
        <w:tc>
          <w:tcPr>
            <w:tcW w:w="1701" w:type="dxa"/>
            <w:vAlign w:val="center"/>
          </w:tcPr>
          <w:p w14:paraId="7BD1F3A0" w14:textId="77777777" w:rsidR="00824F1E" w:rsidRPr="00E24668" w:rsidRDefault="00824F1E" w:rsidP="00053685">
            <w:pPr>
              <w:spacing w:line="240" w:lineRule="auto"/>
              <w:ind w:firstLine="0"/>
              <w:rPr>
                <w:rFonts w:cs="Times New Roman"/>
                <w:color w:val="000000" w:themeColor="text1"/>
                <w:sz w:val="20"/>
                <w:szCs w:val="20"/>
                <w:lang w:val="lt-LT"/>
              </w:rPr>
            </w:pPr>
            <w:r w:rsidRPr="00E24668">
              <w:rPr>
                <w:rFonts w:cs="Times New Roman"/>
                <w:color w:val="000000" w:themeColor="text1"/>
                <w:sz w:val="20"/>
                <w:szCs w:val="20"/>
                <w:lang w:val="lt-LT"/>
              </w:rPr>
              <w:t>Garantijos pradedantiems verslą</w:t>
            </w:r>
          </w:p>
        </w:tc>
        <w:tc>
          <w:tcPr>
            <w:tcW w:w="1560" w:type="dxa"/>
            <w:vAlign w:val="center"/>
          </w:tcPr>
          <w:p w14:paraId="0952F2A6" w14:textId="7074ABA8" w:rsidR="00824F1E" w:rsidRPr="00E24668" w:rsidRDefault="00824F1E" w:rsidP="00053685">
            <w:pPr>
              <w:spacing w:line="240" w:lineRule="auto"/>
              <w:ind w:firstLine="0"/>
              <w:jc w:val="center"/>
              <w:rPr>
                <w:rFonts w:cs="Times New Roman"/>
                <w:sz w:val="20"/>
                <w:szCs w:val="20"/>
                <w:lang w:val="lt-LT"/>
              </w:rPr>
            </w:pPr>
            <w:r w:rsidRPr="00E24668">
              <w:rPr>
                <w:rFonts w:cs="Times New Roman"/>
                <w:sz w:val="20"/>
                <w:szCs w:val="20"/>
                <w:lang w:val="lt-LT"/>
              </w:rPr>
              <w:t>Grįžusios (nacionalinės) lėšos</w:t>
            </w:r>
          </w:p>
        </w:tc>
        <w:tc>
          <w:tcPr>
            <w:tcW w:w="1701" w:type="dxa"/>
            <w:vAlign w:val="center"/>
          </w:tcPr>
          <w:p w14:paraId="407C308B" w14:textId="73A80035" w:rsidR="00824F1E" w:rsidRPr="00E24668" w:rsidRDefault="00824F1E" w:rsidP="00824F1E">
            <w:pPr>
              <w:spacing w:before="40" w:after="40"/>
              <w:ind w:firstLine="0"/>
              <w:jc w:val="center"/>
              <w:rPr>
                <w:rFonts w:cs="Times New Roman"/>
                <w:sz w:val="20"/>
                <w:szCs w:val="20"/>
                <w:lang w:val="lt-LT"/>
              </w:rPr>
            </w:pPr>
            <w:r w:rsidRPr="00E24668">
              <w:rPr>
                <w:rFonts w:cs="Times New Roman"/>
                <w:sz w:val="20"/>
                <w:szCs w:val="20"/>
                <w:lang w:val="lt-LT"/>
              </w:rPr>
              <w:t>10</w:t>
            </w:r>
          </w:p>
        </w:tc>
        <w:tc>
          <w:tcPr>
            <w:tcW w:w="1871" w:type="dxa"/>
            <w:vAlign w:val="center"/>
          </w:tcPr>
          <w:p w14:paraId="775F223A" w14:textId="77777777" w:rsidR="00824F1E" w:rsidRPr="00E24668" w:rsidRDefault="00824F1E" w:rsidP="00824F1E">
            <w:pPr>
              <w:spacing w:before="40" w:after="40"/>
              <w:ind w:firstLine="0"/>
              <w:jc w:val="center"/>
              <w:rPr>
                <w:rFonts w:cs="Times New Roman"/>
                <w:sz w:val="20"/>
                <w:szCs w:val="20"/>
                <w:lang w:val="lt-LT"/>
              </w:rPr>
            </w:pPr>
            <w:r w:rsidRPr="00E24668">
              <w:rPr>
                <w:rFonts w:cs="Times New Roman"/>
                <w:sz w:val="20"/>
                <w:szCs w:val="20"/>
                <w:lang w:val="lt-LT"/>
              </w:rPr>
              <w:t>0</w:t>
            </w:r>
          </w:p>
        </w:tc>
        <w:tc>
          <w:tcPr>
            <w:tcW w:w="1559" w:type="dxa"/>
            <w:vAlign w:val="center"/>
          </w:tcPr>
          <w:p w14:paraId="17B11431" w14:textId="3D639902" w:rsidR="00824F1E" w:rsidRPr="00E24668" w:rsidRDefault="00D66A3E" w:rsidP="00824F1E">
            <w:pPr>
              <w:spacing w:before="40" w:after="40"/>
              <w:ind w:firstLine="0"/>
              <w:jc w:val="center"/>
              <w:rPr>
                <w:rFonts w:cs="Times New Roman"/>
                <w:sz w:val="20"/>
                <w:szCs w:val="20"/>
                <w:lang w:val="lt-LT"/>
              </w:rPr>
            </w:pPr>
            <w:r w:rsidRPr="00E24668">
              <w:rPr>
                <w:rFonts w:cs="Times New Roman"/>
                <w:sz w:val="20"/>
                <w:szCs w:val="20"/>
                <w:lang w:val="lt-LT"/>
              </w:rPr>
              <w:t>8</w:t>
            </w:r>
          </w:p>
        </w:tc>
        <w:tc>
          <w:tcPr>
            <w:tcW w:w="1814" w:type="dxa"/>
            <w:vAlign w:val="center"/>
          </w:tcPr>
          <w:p w14:paraId="7F605EDC" w14:textId="77777777" w:rsidR="00824F1E" w:rsidRPr="00E24668" w:rsidRDefault="00824F1E" w:rsidP="00824F1E">
            <w:pPr>
              <w:spacing w:before="40" w:after="40"/>
              <w:ind w:firstLine="0"/>
              <w:jc w:val="center"/>
              <w:rPr>
                <w:rFonts w:cs="Times New Roman"/>
                <w:sz w:val="20"/>
                <w:szCs w:val="20"/>
                <w:lang w:val="lt-LT"/>
              </w:rPr>
            </w:pPr>
            <w:r w:rsidRPr="00E24668">
              <w:rPr>
                <w:rFonts w:cs="Times New Roman"/>
                <w:sz w:val="20"/>
                <w:szCs w:val="20"/>
                <w:lang w:val="lt-LT"/>
              </w:rPr>
              <w:t>0</w:t>
            </w:r>
          </w:p>
        </w:tc>
      </w:tr>
      <w:tr w:rsidR="00824F1E" w:rsidRPr="00E24668" w14:paraId="15569D0D" w14:textId="77777777" w:rsidTr="0068447D">
        <w:tc>
          <w:tcPr>
            <w:tcW w:w="1701" w:type="dxa"/>
            <w:vAlign w:val="center"/>
          </w:tcPr>
          <w:p w14:paraId="15294008" w14:textId="77777777" w:rsidR="00824F1E" w:rsidRPr="00E24668" w:rsidRDefault="00824F1E" w:rsidP="00B44ED6">
            <w:pPr>
              <w:spacing w:before="40" w:after="40"/>
              <w:ind w:firstLine="0"/>
              <w:rPr>
                <w:rFonts w:cs="Times New Roman"/>
                <w:b/>
                <w:sz w:val="20"/>
                <w:szCs w:val="20"/>
                <w:lang w:val="lt-LT"/>
              </w:rPr>
            </w:pPr>
            <w:r w:rsidRPr="00E24668">
              <w:rPr>
                <w:rFonts w:cs="Times New Roman"/>
                <w:b/>
                <w:sz w:val="20"/>
                <w:szCs w:val="20"/>
                <w:lang w:val="lt-LT"/>
              </w:rPr>
              <w:t>IŠ VISO</w:t>
            </w:r>
          </w:p>
        </w:tc>
        <w:tc>
          <w:tcPr>
            <w:tcW w:w="1560" w:type="dxa"/>
          </w:tcPr>
          <w:p w14:paraId="287B92AF" w14:textId="77777777" w:rsidR="00824F1E" w:rsidRPr="00E24668" w:rsidRDefault="00824F1E" w:rsidP="00824F1E">
            <w:pPr>
              <w:spacing w:before="40" w:after="40"/>
              <w:ind w:firstLine="0"/>
              <w:jc w:val="center"/>
              <w:rPr>
                <w:rFonts w:cs="Times New Roman"/>
                <w:b/>
                <w:color w:val="000000"/>
                <w:sz w:val="20"/>
                <w:szCs w:val="20"/>
                <w:lang w:val="lt-LT"/>
              </w:rPr>
            </w:pPr>
          </w:p>
        </w:tc>
        <w:tc>
          <w:tcPr>
            <w:tcW w:w="1701" w:type="dxa"/>
            <w:vAlign w:val="bottom"/>
          </w:tcPr>
          <w:p w14:paraId="6A8A29E7" w14:textId="32B1C73A" w:rsidR="00824F1E" w:rsidRPr="00E24668" w:rsidRDefault="003830EE" w:rsidP="00824F1E">
            <w:pPr>
              <w:spacing w:before="40" w:after="40"/>
              <w:ind w:firstLine="0"/>
              <w:jc w:val="center"/>
              <w:rPr>
                <w:rFonts w:cs="Times New Roman"/>
                <w:b/>
                <w:sz w:val="20"/>
                <w:szCs w:val="20"/>
                <w:lang w:val="lt-LT"/>
              </w:rPr>
            </w:pPr>
            <w:r w:rsidRPr="00E24668">
              <w:rPr>
                <w:rFonts w:cs="Times New Roman"/>
                <w:b/>
                <w:color w:val="000000"/>
                <w:sz w:val="20"/>
                <w:szCs w:val="20"/>
                <w:lang w:val="lt-LT"/>
              </w:rPr>
              <w:t>417,3</w:t>
            </w:r>
          </w:p>
        </w:tc>
        <w:tc>
          <w:tcPr>
            <w:tcW w:w="1871" w:type="dxa"/>
            <w:vAlign w:val="bottom"/>
          </w:tcPr>
          <w:p w14:paraId="51766932" w14:textId="00C0F2C7" w:rsidR="00824F1E" w:rsidRPr="00E24668" w:rsidRDefault="00824F1E" w:rsidP="003830EE">
            <w:pPr>
              <w:spacing w:before="40" w:after="40"/>
              <w:ind w:firstLine="0"/>
              <w:jc w:val="center"/>
              <w:rPr>
                <w:rFonts w:cs="Times New Roman"/>
                <w:b/>
                <w:i/>
                <w:sz w:val="20"/>
                <w:szCs w:val="20"/>
                <w:lang w:val="lt-LT"/>
              </w:rPr>
            </w:pPr>
            <w:r w:rsidRPr="00E24668">
              <w:rPr>
                <w:rFonts w:cs="Times New Roman"/>
                <w:b/>
                <w:i/>
                <w:color w:val="000000"/>
                <w:sz w:val="20"/>
                <w:szCs w:val="20"/>
                <w:lang w:val="lt-LT"/>
              </w:rPr>
              <w:t>6</w:t>
            </w:r>
            <w:r w:rsidR="003830EE" w:rsidRPr="00E24668">
              <w:rPr>
                <w:rFonts w:cs="Times New Roman"/>
                <w:b/>
                <w:i/>
                <w:color w:val="000000"/>
                <w:sz w:val="20"/>
                <w:szCs w:val="20"/>
                <w:lang w:val="lt-LT"/>
              </w:rPr>
              <w:t>63</w:t>
            </w:r>
            <w:r w:rsidRPr="00E24668">
              <w:rPr>
                <w:rFonts w:cs="Times New Roman"/>
                <w:b/>
                <w:i/>
                <w:color w:val="000000"/>
                <w:sz w:val="20"/>
                <w:szCs w:val="20"/>
                <w:lang w:val="lt-LT"/>
              </w:rPr>
              <w:t>,1</w:t>
            </w:r>
          </w:p>
        </w:tc>
        <w:tc>
          <w:tcPr>
            <w:tcW w:w="1559" w:type="dxa"/>
            <w:vAlign w:val="bottom"/>
          </w:tcPr>
          <w:p w14:paraId="46AE7AAE" w14:textId="067C48BE" w:rsidR="00824F1E" w:rsidRPr="00E24668" w:rsidRDefault="00824F1E" w:rsidP="003830EE">
            <w:pPr>
              <w:spacing w:before="40" w:after="40"/>
              <w:ind w:firstLine="0"/>
              <w:jc w:val="center"/>
              <w:rPr>
                <w:rFonts w:cs="Times New Roman"/>
                <w:b/>
                <w:sz w:val="20"/>
                <w:szCs w:val="20"/>
                <w:lang w:val="lt-LT"/>
              </w:rPr>
            </w:pPr>
            <w:r w:rsidRPr="00E24668">
              <w:rPr>
                <w:rFonts w:cs="Times New Roman"/>
                <w:b/>
                <w:color w:val="000000"/>
                <w:sz w:val="20"/>
                <w:szCs w:val="20"/>
                <w:lang w:val="lt-LT"/>
              </w:rPr>
              <w:t>29</w:t>
            </w:r>
            <w:r w:rsidR="003830EE" w:rsidRPr="00E24668">
              <w:rPr>
                <w:rFonts w:cs="Times New Roman"/>
                <w:b/>
                <w:color w:val="000000"/>
                <w:sz w:val="20"/>
                <w:szCs w:val="20"/>
                <w:lang w:val="lt-LT"/>
              </w:rPr>
              <w:t>6</w:t>
            </w:r>
            <w:r w:rsidRPr="00E24668">
              <w:rPr>
                <w:rFonts w:cs="Times New Roman"/>
                <w:b/>
                <w:color w:val="000000"/>
                <w:sz w:val="20"/>
                <w:szCs w:val="20"/>
                <w:lang w:val="lt-LT"/>
              </w:rPr>
              <w:t>,4</w:t>
            </w:r>
          </w:p>
        </w:tc>
        <w:tc>
          <w:tcPr>
            <w:tcW w:w="1814" w:type="dxa"/>
            <w:vAlign w:val="bottom"/>
          </w:tcPr>
          <w:p w14:paraId="2EA5450C" w14:textId="68FF4416" w:rsidR="00824F1E" w:rsidRPr="00E24668" w:rsidRDefault="00824F1E" w:rsidP="003830EE">
            <w:pPr>
              <w:spacing w:before="40" w:after="40"/>
              <w:ind w:firstLine="0"/>
              <w:jc w:val="center"/>
              <w:rPr>
                <w:rFonts w:cs="Times New Roman"/>
                <w:b/>
                <w:i/>
                <w:sz w:val="20"/>
                <w:szCs w:val="20"/>
                <w:lang w:val="lt-LT"/>
              </w:rPr>
            </w:pPr>
            <w:r w:rsidRPr="00E24668">
              <w:rPr>
                <w:rFonts w:cs="Times New Roman"/>
                <w:b/>
                <w:i/>
                <w:color w:val="000000"/>
                <w:sz w:val="20"/>
                <w:szCs w:val="20"/>
                <w:lang w:val="lt-LT"/>
              </w:rPr>
              <w:t>471,1</w:t>
            </w:r>
          </w:p>
        </w:tc>
      </w:tr>
    </w:tbl>
    <w:p w14:paraId="69C6DEDE" w14:textId="77777777" w:rsidR="00824F1E" w:rsidRPr="00E24668" w:rsidRDefault="00824F1E" w:rsidP="004A098F">
      <w:pPr>
        <w:spacing w:before="240" w:after="240"/>
        <w:rPr>
          <w:lang w:val="lt-LT"/>
        </w:rPr>
      </w:pPr>
      <w:r w:rsidRPr="00E24668">
        <w:rPr>
          <w:lang w:val="lt-LT"/>
        </w:rPr>
        <w:t xml:space="preserve">Atsižvelgiant į tai, kad apklausų metu SVV subjektai ir FT 2007–2013 m. programavimo laikotarpiu įgyvendintas FP įvardijo kaip tinkamas rinkos poreikiams patenkinti ir priėjimui prie finansavimo šaltinių pagerinti, darytina išvada, kad buvusi valdymo struktūra laikoma sėkmingai pritaikyta, todėl 2014–2020 m. programavimo laikotarpiu didžioji dalis arba visos FP turėtų būti įgyvendinamos per fondų fondą. </w:t>
      </w:r>
    </w:p>
    <w:p w14:paraId="531D8F70" w14:textId="77777777" w:rsidR="000B58E4" w:rsidRPr="00E24668" w:rsidRDefault="000B58E4" w:rsidP="000B58E4">
      <w:pPr>
        <w:spacing w:before="240" w:after="240"/>
        <w:rPr>
          <w:lang w:val="lt-LT"/>
        </w:rPr>
      </w:pPr>
      <w:r w:rsidRPr="00E24668">
        <w:rPr>
          <w:lang w:val="lt-LT"/>
        </w:rPr>
        <w:t xml:space="preserve">Atsižvelgiant į FP įgyvendinimo alternatyvų analizę buvo nustatyta, kad ŪM ir SADM yra atskiri asignavimų valdytojai, kurių veiklos tikslai skiriasi, be to, šios ministerijos yra atsakingos už skirtingus VP prioritetus, t. y. SADM siekia socialiai jautrias grupes įtraukti į darbo rinką, siekiant savarankiško užimtumo, o ŪM – sudaryti palankias sąlygas verslo kūrimui. Be to, ŪM planuojamos įgyvendinti FP bus finansuojamos iš </w:t>
      </w:r>
      <w:r w:rsidRPr="00E24668">
        <w:rPr>
          <w:rFonts w:eastAsia="Times New Roman"/>
          <w:color w:val="1F1A17"/>
          <w:lang w:val="lt-LT"/>
        </w:rPr>
        <w:t>Europos regioninės plėtros fondo</w:t>
      </w:r>
      <w:r w:rsidRPr="00E24668">
        <w:rPr>
          <w:lang w:val="lt-LT"/>
        </w:rPr>
        <w:t xml:space="preserve"> lėšų, o SADM  planuojamos FP – iš Europos socialinio fondo lėšų. Atsižvelgiant į tai, siūloma neįgyvendinti šių dviejų ministerijų planuojamų FP per vieną fondų fondą, bet sukurti atskirus fondų fondus ŪM ir SADM planuojamoms FP įgyvendinti.</w:t>
      </w:r>
    </w:p>
    <w:p w14:paraId="6A5162A8" w14:textId="05ECAC3A" w:rsidR="00561CD6" w:rsidRPr="00E24668" w:rsidRDefault="00824F1E" w:rsidP="004A098F">
      <w:pPr>
        <w:spacing w:before="240" w:after="240"/>
        <w:rPr>
          <w:lang w:val="lt-LT"/>
        </w:rPr>
      </w:pPr>
      <w:r w:rsidRPr="00E24668">
        <w:rPr>
          <w:lang w:val="lt-LT"/>
        </w:rPr>
        <w:t xml:space="preserve">Atlikus </w:t>
      </w:r>
      <w:r w:rsidR="00AC346A" w:rsidRPr="00E24668">
        <w:rPr>
          <w:rFonts w:cs="Times New Roman"/>
          <w:lang w:val="lt-LT"/>
        </w:rPr>
        <w:t>Reglam</w:t>
      </w:r>
      <w:r w:rsidR="00AC346A" w:rsidRPr="00E24668">
        <w:rPr>
          <w:rFonts w:cs="Times New Roman"/>
          <w:lang w:val="lt-LT"/>
        </w:rPr>
        <w:t>ento Nr. 1303/2013 38 straipsnyje nurodytų</w:t>
      </w:r>
      <w:r w:rsidR="00AC346A" w:rsidRPr="00E24668">
        <w:rPr>
          <w:lang w:val="lt-LT"/>
        </w:rPr>
        <w:t xml:space="preserve"> </w:t>
      </w:r>
      <w:r w:rsidRPr="00E24668">
        <w:rPr>
          <w:lang w:val="lt-LT"/>
        </w:rPr>
        <w:t xml:space="preserve">alternatyvų analizę ir įvertinus visus nagrinėtus kriterijus, nustatyta, kad, įgyvendinant skolines FP, efektyviausia FP įgyvendinimo alternatyva </w:t>
      </w:r>
      <w:r w:rsidR="00500C56" w:rsidRPr="00E24668">
        <w:rPr>
          <w:lang w:val="lt-LT"/>
        </w:rPr>
        <w:t>yra</w:t>
      </w:r>
      <w:r w:rsidR="00561CD6" w:rsidRPr="00E24668">
        <w:rPr>
          <w:lang w:val="lt-LT"/>
        </w:rPr>
        <w:t xml:space="preserve"> </w:t>
      </w:r>
      <w:r w:rsidR="00561CD6" w:rsidRPr="00E24668">
        <w:rPr>
          <w:rFonts w:cs="Times New Roman"/>
          <w:lang w:val="lt-LT"/>
        </w:rPr>
        <w:t xml:space="preserve">– pavesti FP įgyvendinti </w:t>
      </w:r>
      <w:r w:rsidR="00500C56" w:rsidRPr="00E24668">
        <w:rPr>
          <w:szCs w:val="20"/>
          <w:lang w:val="lt-LT"/>
        </w:rPr>
        <w:t>šalyje narėje įsteigta</w:t>
      </w:r>
      <w:r w:rsidR="00561CD6" w:rsidRPr="00E24668">
        <w:rPr>
          <w:szCs w:val="20"/>
          <w:lang w:val="lt-LT"/>
        </w:rPr>
        <w:t>i</w:t>
      </w:r>
      <w:r w:rsidR="00500C56" w:rsidRPr="00E24668">
        <w:rPr>
          <w:szCs w:val="20"/>
          <w:lang w:val="lt-LT"/>
        </w:rPr>
        <w:t xml:space="preserve"> finansų įstaiga</w:t>
      </w:r>
      <w:r w:rsidR="008238B6" w:rsidRPr="00E24668">
        <w:rPr>
          <w:szCs w:val="20"/>
          <w:lang w:val="lt-LT"/>
        </w:rPr>
        <w:t xml:space="preserve"> (toliau – nacionalinė finansų įstaiga)</w:t>
      </w:r>
      <w:r w:rsidRPr="00E24668">
        <w:rPr>
          <w:lang w:val="lt-LT"/>
        </w:rPr>
        <w:t xml:space="preserve">, </w:t>
      </w:r>
      <w:r w:rsidR="00561CD6" w:rsidRPr="00E24668">
        <w:rPr>
          <w:lang w:val="lt-LT"/>
        </w:rPr>
        <w:t>o</w:t>
      </w:r>
      <w:r w:rsidRPr="00E24668">
        <w:rPr>
          <w:lang w:val="lt-LT"/>
        </w:rPr>
        <w:t xml:space="preserve"> </w:t>
      </w:r>
      <w:r w:rsidR="00A31D17" w:rsidRPr="00E24668">
        <w:rPr>
          <w:lang w:val="lt-LT"/>
        </w:rPr>
        <w:t>geriausios alternatyvos</w:t>
      </w:r>
      <w:r w:rsidR="00A31D17">
        <w:rPr>
          <w:lang w:val="lt-LT"/>
        </w:rPr>
        <w:t>,</w:t>
      </w:r>
      <w:r w:rsidR="00A31D17" w:rsidRPr="00E24668">
        <w:rPr>
          <w:lang w:val="lt-LT"/>
        </w:rPr>
        <w:t xml:space="preserve"> </w:t>
      </w:r>
      <w:r w:rsidRPr="00E24668">
        <w:rPr>
          <w:lang w:val="lt-LT"/>
        </w:rPr>
        <w:t>įgyvendinant rizikos kapitalo FP</w:t>
      </w:r>
      <w:r w:rsidR="00A31D17">
        <w:rPr>
          <w:lang w:val="lt-LT"/>
        </w:rPr>
        <w:t>,</w:t>
      </w:r>
      <w:r w:rsidR="000B58E4" w:rsidRPr="00E24668">
        <w:rPr>
          <w:lang w:val="lt-LT"/>
        </w:rPr>
        <w:t xml:space="preserve">– </w:t>
      </w:r>
      <w:r w:rsidR="00561CD6" w:rsidRPr="00E24668">
        <w:rPr>
          <w:rFonts w:cs="Times New Roman"/>
          <w:lang w:val="lt-LT"/>
        </w:rPr>
        <w:t xml:space="preserve">pavesti FP įgyvendinti </w:t>
      </w:r>
      <w:r w:rsidR="00561CD6" w:rsidRPr="00E24668">
        <w:rPr>
          <w:szCs w:val="20"/>
          <w:lang w:val="lt-LT"/>
        </w:rPr>
        <w:t xml:space="preserve">EIB (EIF) </w:t>
      </w:r>
      <w:r w:rsidR="00561CD6" w:rsidRPr="00E24668">
        <w:rPr>
          <w:szCs w:val="20"/>
          <w:lang w:val="lt-LT"/>
        </w:rPr>
        <w:t xml:space="preserve">ir nacionalinei </w:t>
      </w:r>
      <w:r w:rsidR="00561CD6" w:rsidRPr="00E24668">
        <w:rPr>
          <w:szCs w:val="20"/>
          <w:lang w:val="lt-LT"/>
        </w:rPr>
        <w:t>finansų įstaiga</w:t>
      </w:r>
      <w:r w:rsidR="00561CD6" w:rsidRPr="00E24668">
        <w:rPr>
          <w:szCs w:val="20"/>
          <w:lang w:val="lt-LT"/>
        </w:rPr>
        <w:t>i.</w:t>
      </w:r>
      <w:r w:rsidR="0098006B" w:rsidRPr="00E24668">
        <w:rPr>
          <w:szCs w:val="20"/>
          <w:lang w:val="lt-LT"/>
        </w:rPr>
        <w:t xml:space="preserve"> </w:t>
      </w:r>
    </w:p>
    <w:p w14:paraId="0D25DF42" w14:textId="6397E677" w:rsidR="000B58E4" w:rsidRPr="00E24668" w:rsidRDefault="009E1366" w:rsidP="000954C0">
      <w:pPr>
        <w:spacing w:before="240" w:after="240"/>
        <w:rPr>
          <w:color w:val="FF0000"/>
          <w:szCs w:val="20"/>
          <w:lang w:val="lt-LT"/>
        </w:rPr>
      </w:pPr>
      <w:r w:rsidRPr="00E24668">
        <w:rPr>
          <w:rFonts w:cs="Times New Roman"/>
          <w:lang w:val="lt-LT"/>
        </w:rPr>
        <w:t>S</w:t>
      </w:r>
      <w:r w:rsidRPr="00E24668">
        <w:rPr>
          <w:rFonts w:cs="Times New Roman"/>
          <w:lang w:val="lt-LT"/>
        </w:rPr>
        <w:t>iekiant</w:t>
      </w:r>
      <w:r w:rsidRPr="00E24668">
        <w:rPr>
          <w:rFonts w:cs="Times New Roman"/>
          <w:lang w:val="lt-LT"/>
        </w:rPr>
        <w:t xml:space="preserve"> </w:t>
      </w:r>
      <w:r w:rsidRPr="00E24668">
        <w:rPr>
          <w:rFonts w:cs="Times New Roman"/>
          <w:lang w:val="lt-LT"/>
        </w:rPr>
        <w:t>ilgalaikių valstybės tikslų susijusių su verslo skatinimu;</w:t>
      </w:r>
      <w:r w:rsidRPr="00E24668">
        <w:rPr>
          <w:rFonts w:cs="Times New Roman"/>
          <w:lang w:val="lt-LT"/>
        </w:rPr>
        <w:t xml:space="preserve"> </w:t>
      </w:r>
      <w:r w:rsidRPr="00E24668">
        <w:rPr>
          <w:rFonts w:cs="Times New Roman"/>
          <w:lang w:val="lt-LT"/>
        </w:rPr>
        <w:t>patirties, atliekant fondų fondo valdytojo funkcijas, tęstinumo;</w:t>
      </w:r>
      <w:r w:rsidRPr="00E24668">
        <w:rPr>
          <w:rFonts w:cs="Times New Roman"/>
          <w:lang w:val="lt-LT"/>
        </w:rPr>
        <w:t xml:space="preserve"> </w:t>
      </w:r>
      <w:r w:rsidRPr="00E24668">
        <w:rPr>
          <w:rFonts w:cs="Times New Roman"/>
          <w:lang w:val="lt-LT"/>
        </w:rPr>
        <w:t xml:space="preserve">neprarasti žmogiškųjų išteklių, įdirbio ir gebėjimų administruojant FP; įgyti kompetencijų bei nacionalinei finansų įstaigai perimti sėkmingą EIF patirtį investuojant į rizikos kapitalą, </w:t>
      </w:r>
      <w:r w:rsidRPr="00E24668">
        <w:rPr>
          <w:lang w:val="lt-LT"/>
        </w:rPr>
        <w:t>optimalus rizikos kapitalo FP įgyvendinimo variantas</w:t>
      </w:r>
      <w:r w:rsidRPr="00E24668">
        <w:rPr>
          <w:lang w:val="lt-LT"/>
        </w:rPr>
        <w:t xml:space="preserve"> būtų </w:t>
      </w:r>
      <w:r w:rsidRPr="00E24668">
        <w:rPr>
          <w:lang w:val="lt-LT"/>
        </w:rPr>
        <w:t>nacionalinei finansų įstaigai kartu su EIF administruo</w:t>
      </w:r>
      <w:r w:rsidR="0098006B" w:rsidRPr="00E24668">
        <w:rPr>
          <w:lang w:val="lt-LT"/>
        </w:rPr>
        <w:t>jant</w:t>
      </w:r>
      <w:r w:rsidR="00B714CC" w:rsidRPr="00E24668">
        <w:rPr>
          <w:lang w:val="lt-LT"/>
        </w:rPr>
        <w:t xml:space="preserve"> </w:t>
      </w:r>
      <w:r w:rsidRPr="00E24668">
        <w:rPr>
          <w:lang w:val="lt-LT"/>
        </w:rPr>
        <w:t>viename fondų fonde esančias</w:t>
      </w:r>
      <w:r w:rsidR="0098006B" w:rsidRPr="00E24668">
        <w:rPr>
          <w:lang w:val="lt-LT"/>
        </w:rPr>
        <w:t xml:space="preserve"> rizikos kapitalo</w:t>
      </w:r>
      <w:r w:rsidRPr="00E24668">
        <w:rPr>
          <w:lang w:val="lt-LT"/>
        </w:rPr>
        <w:t xml:space="preserve"> FP. </w:t>
      </w:r>
      <w:r w:rsidR="00D90985" w:rsidRPr="00E24668">
        <w:rPr>
          <w:rFonts w:cs="Times New Roman"/>
          <w:lang w:val="lt-LT"/>
        </w:rPr>
        <w:t>Bendradarbiaujant nacionalinei finansų įstaigai ir EIF būtų pasiektas sinergijos efektas, t. y. nacionalinės finansų įstaigos ir EIF bendros veiklos rezultatas būtų didesnis už jų nepriklausomos veiklos rezultatų sumą</w:t>
      </w:r>
      <w:r w:rsidR="00D90985" w:rsidRPr="00E24668">
        <w:rPr>
          <w:rFonts w:cs="Times New Roman"/>
          <w:lang w:val="lt-LT"/>
        </w:rPr>
        <w:t>.</w:t>
      </w:r>
      <w:r w:rsidR="005755FA" w:rsidRPr="00E24668">
        <w:rPr>
          <w:rFonts w:cs="Times New Roman"/>
          <w:lang w:val="lt-LT"/>
        </w:rPr>
        <w:t xml:space="preserve"> </w:t>
      </w:r>
      <w:r w:rsidR="001A55F9" w:rsidRPr="00E24668">
        <w:rPr>
          <w:rFonts w:cs="Times New Roman"/>
          <w:lang w:val="lt-LT"/>
        </w:rPr>
        <w:t xml:space="preserve">Be to, </w:t>
      </w:r>
      <w:r w:rsidR="001A55F9" w:rsidRPr="00E24668">
        <w:rPr>
          <w:rFonts w:cs="Times New Roman"/>
          <w:lang w:val="lt-LT"/>
        </w:rPr>
        <w:t>EIF yra vienas svarbiausių veikėjų Europos rizikos kapitalo rinkoje, jo vardas užtikrintų privačių investuotojų pasitikėjimą veikiančiais RKF ir sudarytų sąlygas greičiau pritraukti privačias lėšas.</w:t>
      </w:r>
      <w:r w:rsidR="000954C0" w:rsidRPr="00E24668">
        <w:rPr>
          <w:color w:val="FF0000"/>
          <w:szCs w:val="20"/>
          <w:lang w:val="lt-LT"/>
        </w:rPr>
        <w:t xml:space="preserve"> </w:t>
      </w:r>
      <w:r w:rsidR="00A31D17" w:rsidRPr="00E24668">
        <w:rPr>
          <w:szCs w:val="20"/>
          <w:lang w:val="lt-LT"/>
        </w:rPr>
        <w:t>Atsižvelgiant į tai, siūloma skolines FP ir FP, skirtas rizikos kapitalui</w:t>
      </w:r>
      <w:r w:rsidR="00A31D17">
        <w:rPr>
          <w:szCs w:val="20"/>
          <w:lang w:val="lt-LT"/>
        </w:rPr>
        <w:t>,</w:t>
      </w:r>
      <w:r w:rsidR="00A31D17" w:rsidRPr="00E24668">
        <w:rPr>
          <w:szCs w:val="20"/>
          <w:lang w:val="lt-LT"/>
        </w:rPr>
        <w:t xml:space="preserve"> įgyvendinti viename fondų fon</w:t>
      </w:r>
      <w:r w:rsidR="00A31D17">
        <w:rPr>
          <w:szCs w:val="20"/>
          <w:lang w:val="lt-LT"/>
        </w:rPr>
        <w:t>d</w:t>
      </w:r>
      <w:r w:rsidR="00A31D17" w:rsidRPr="00E24668">
        <w:rPr>
          <w:szCs w:val="20"/>
          <w:lang w:val="lt-LT"/>
        </w:rPr>
        <w:t>e.</w:t>
      </w:r>
      <w:bookmarkStart w:id="1" w:name="_GoBack"/>
      <w:bookmarkEnd w:id="1"/>
    </w:p>
    <w:p w14:paraId="5B5E2904" w14:textId="750497E4" w:rsidR="000954C0" w:rsidRPr="00E24668" w:rsidRDefault="00E24668" w:rsidP="000954C0">
      <w:pPr>
        <w:spacing w:before="240" w:after="240"/>
        <w:rPr>
          <w:lang w:val="lt-LT"/>
        </w:rPr>
      </w:pPr>
      <w:proofErr w:type="spellStart"/>
      <w:r>
        <w:rPr>
          <w:rFonts w:cs="Times New Roman"/>
        </w:rPr>
        <w:t>Jeigu</w:t>
      </w:r>
      <w:proofErr w:type="spellEnd"/>
      <w:r>
        <w:rPr>
          <w:rFonts w:cs="Times New Roman"/>
        </w:rPr>
        <w:t xml:space="preserve"> </w:t>
      </w:r>
      <w:proofErr w:type="spellStart"/>
      <w:r>
        <w:rPr>
          <w:rFonts w:cs="Times New Roman"/>
        </w:rPr>
        <w:t>dėl</w:t>
      </w:r>
      <w:proofErr w:type="spellEnd"/>
      <w:r>
        <w:rPr>
          <w:rFonts w:cs="Times New Roman"/>
        </w:rPr>
        <w:t xml:space="preserve"> tam </w:t>
      </w:r>
      <w:proofErr w:type="spellStart"/>
      <w:r>
        <w:rPr>
          <w:rFonts w:cs="Times New Roman"/>
        </w:rPr>
        <w:t>tikrų</w:t>
      </w:r>
      <w:proofErr w:type="spellEnd"/>
      <w:r>
        <w:rPr>
          <w:rFonts w:cs="Times New Roman"/>
        </w:rPr>
        <w:t xml:space="preserve"> </w:t>
      </w:r>
      <w:proofErr w:type="spellStart"/>
      <w:r>
        <w:rPr>
          <w:rFonts w:cs="Times New Roman"/>
        </w:rPr>
        <w:t>aplinkybių</w:t>
      </w:r>
      <w:proofErr w:type="spellEnd"/>
      <w:r>
        <w:rPr>
          <w:rFonts w:cs="Times New Roman"/>
        </w:rPr>
        <w:t xml:space="preserve"> (</w:t>
      </w:r>
      <w:proofErr w:type="spellStart"/>
      <w:r>
        <w:rPr>
          <w:rFonts w:cs="Times New Roman"/>
        </w:rPr>
        <w:t>pvz</w:t>
      </w:r>
      <w:proofErr w:type="spellEnd"/>
      <w:r>
        <w:rPr>
          <w:rFonts w:cs="Times New Roman"/>
        </w:rPr>
        <w:t xml:space="preserve">., </w:t>
      </w:r>
      <w:proofErr w:type="spellStart"/>
      <w:r>
        <w:rPr>
          <w:rFonts w:cs="Times New Roman"/>
        </w:rPr>
        <w:t>nesuderintos</w:t>
      </w:r>
      <w:proofErr w:type="spellEnd"/>
      <w:r>
        <w:rPr>
          <w:rFonts w:cs="Times New Roman"/>
        </w:rPr>
        <w:t xml:space="preserve"> </w:t>
      </w:r>
      <w:proofErr w:type="spellStart"/>
      <w:r>
        <w:rPr>
          <w:rFonts w:cs="Times New Roman"/>
        </w:rPr>
        <w:t>šalių</w:t>
      </w:r>
      <w:proofErr w:type="spellEnd"/>
      <w:r>
        <w:rPr>
          <w:rFonts w:cs="Times New Roman"/>
        </w:rPr>
        <w:t xml:space="preserve"> </w:t>
      </w:r>
      <w:proofErr w:type="spellStart"/>
      <w:r>
        <w:rPr>
          <w:rFonts w:cs="Times New Roman"/>
        </w:rPr>
        <w:t>pozicijos</w:t>
      </w:r>
      <w:proofErr w:type="spellEnd"/>
      <w:r>
        <w:rPr>
          <w:rFonts w:cs="Times New Roman"/>
        </w:rPr>
        <w:t xml:space="preserve"> </w:t>
      </w:r>
      <w:proofErr w:type="spellStart"/>
      <w:r>
        <w:rPr>
          <w:rFonts w:cs="Times New Roman"/>
        </w:rPr>
        <w:t>dėl</w:t>
      </w:r>
      <w:proofErr w:type="spellEnd"/>
      <w:r>
        <w:rPr>
          <w:rFonts w:cs="Times New Roman"/>
        </w:rPr>
        <w:t xml:space="preserve"> </w:t>
      </w:r>
      <w:proofErr w:type="spellStart"/>
      <w:r>
        <w:rPr>
          <w:rFonts w:cs="Times New Roman"/>
        </w:rPr>
        <w:t>bendradarbiavimo</w:t>
      </w:r>
      <w:proofErr w:type="spellEnd"/>
      <w:r>
        <w:rPr>
          <w:rFonts w:cs="Times New Roman"/>
        </w:rPr>
        <w:t xml:space="preserve"> </w:t>
      </w:r>
      <w:proofErr w:type="spellStart"/>
      <w:r>
        <w:rPr>
          <w:rFonts w:cs="Times New Roman"/>
        </w:rPr>
        <w:t>ar</w:t>
      </w:r>
      <w:proofErr w:type="spellEnd"/>
      <w:r>
        <w:rPr>
          <w:rFonts w:cs="Times New Roman"/>
        </w:rPr>
        <w:t xml:space="preserve"> kt.), </w:t>
      </w:r>
      <w:proofErr w:type="spellStart"/>
      <w:r>
        <w:rPr>
          <w:rFonts w:cs="Times New Roman"/>
        </w:rPr>
        <w:t>nebūtų</w:t>
      </w:r>
      <w:proofErr w:type="spellEnd"/>
      <w:r>
        <w:rPr>
          <w:rFonts w:cs="Times New Roman"/>
        </w:rPr>
        <w:t xml:space="preserve"> </w:t>
      </w:r>
      <w:proofErr w:type="spellStart"/>
      <w:r>
        <w:rPr>
          <w:rFonts w:cs="Times New Roman"/>
        </w:rPr>
        <w:t>įmanomas</w:t>
      </w:r>
      <w:proofErr w:type="spellEnd"/>
      <w:r>
        <w:rPr>
          <w:rFonts w:cs="Times New Roman"/>
        </w:rPr>
        <w:t xml:space="preserve"> </w:t>
      </w:r>
      <w:proofErr w:type="spellStart"/>
      <w:r>
        <w:rPr>
          <w:rFonts w:cs="Times New Roman"/>
        </w:rPr>
        <w:t>šių</w:t>
      </w:r>
      <w:proofErr w:type="spellEnd"/>
      <w:r>
        <w:rPr>
          <w:rFonts w:cs="Times New Roman"/>
        </w:rPr>
        <w:t xml:space="preserve"> </w:t>
      </w:r>
      <w:proofErr w:type="spellStart"/>
      <w:r>
        <w:rPr>
          <w:rFonts w:cs="Times New Roman"/>
        </w:rPr>
        <w:t>alternatyvų</w:t>
      </w:r>
      <w:proofErr w:type="spellEnd"/>
      <w:r>
        <w:rPr>
          <w:rFonts w:cs="Times New Roman"/>
        </w:rPr>
        <w:t xml:space="preserve"> </w:t>
      </w:r>
      <w:proofErr w:type="spellStart"/>
      <w:r>
        <w:rPr>
          <w:rFonts w:cs="Times New Roman"/>
        </w:rPr>
        <w:t>derinys</w:t>
      </w:r>
      <w:proofErr w:type="spellEnd"/>
      <w:r>
        <w:rPr>
          <w:rFonts w:cs="Times New Roman"/>
        </w:rPr>
        <w:t xml:space="preserve">, </w:t>
      </w:r>
      <w:proofErr w:type="spellStart"/>
      <w:r>
        <w:rPr>
          <w:rFonts w:cs="Times New Roman"/>
        </w:rPr>
        <w:t>siūloma</w:t>
      </w:r>
      <w:proofErr w:type="spellEnd"/>
      <w:r>
        <w:rPr>
          <w:rFonts w:cs="Times New Roman"/>
        </w:rPr>
        <w:t xml:space="preserve"> </w:t>
      </w:r>
      <w:r>
        <w:rPr>
          <w:rFonts w:cs="Times New Roman"/>
          <w:lang w:val="lt-LT"/>
        </w:rPr>
        <w:t>įgyvendinti FP, skirtas rizikos kapitalo investicijoms, derinant</w:t>
      </w:r>
      <w:r>
        <w:rPr>
          <w:rFonts w:cs="Times New Roman"/>
          <w:lang w:val="lt-LT"/>
        </w:rPr>
        <w:t xml:space="preserve"> kitas alternatyvas, t. y. </w:t>
      </w:r>
      <w:r w:rsidR="000954C0" w:rsidRPr="00E24668">
        <w:rPr>
          <w:rFonts w:eastAsia="Times New Roman"/>
          <w:szCs w:val="20"/>
          <w:lang w:val="lt-LT" w:eastAsia="lt-LT"/>
        </w:rPr>
        <w:t>tarptautinės finansų įstaigos, kuriose valstybė narė yra akcininkė,</w:t>
      </w:r>
      <w:r w:rsidR="000954C0" w:rsidRPr="00E24668">
        <w:rPr>
          <w:sz w:val="32"/>
          <w:lang w:val="lt-LT"/>
        </w:rPr>
        <w:t xml:space="preserve"> </w:t>
      </w:r>
      <w:r w:rsidR="000954C0" w:rsidRPr="00E24668">
        <w:rPr>
          <w:lang w:val="lt-LT"/>
        </w:rPr>
        <w:t xml:space="preserve">ir nacionalinės </w:t>
      </w:r>
      <w:r w:rsidR="000954C0" w:rsidRPr="00E24668">
        <w:rPr>
          <w:szCs w:val="20"/>
          <w:lang w:val="lt-LT"/>
        </w:rPr>
        <w:t>finansų įstaigos bendras dalyvavimas fondų fondo veikloje</w:t>
      </w:r>
      <w:r w:rsidR="000954C0" w:rsidRPr="00E24668">
        <w:rPr>
          <w:lang w:val="lt-LT"/>
        </w:rPr>
        <w:t>.</w:t>
      </w:r>
      <w:r w:rsidR="00D0539D">
        <w:rPr>
          <w:lang w:val="lt-LT"/>
        </w:rPr>
        <w:t xml:space="preserve"> </w:t>
      </w:r>
    </w:p>
    <w:p w14:paraId="0A502263" w14:textId="4DD2EC60" w:rsidR="00824F1E" w:rsidRPr="00E24668" w:rsidRDefault="00824F1E" w:rsidP="004A098F">
      <w:pPr>
        <w:spacing w:before="240" w:after="240"/>
        <w:rPr>
          <w:lang w:val="lt-LT" w:eastAsia="lt-LT"/>
        </w:rPr>
      </w:pPr>
      <w:r w:rsidRPr="00E24668">
        <w:rPr>
          <w:color w:val="000000" w:themeColor="text1"/>
          <w:lang w:val="lt-LT"/>
        </w:rPr>
        <w:t xml:space="preserve">Reglamento Nr. 1303/2013 38 straipsnio 5 dalis numato, kad subjektai, kuriems patikėtas fondų fondo įgyvendinimas, užduotis gali įgyvendinti patys arba jas patikėti vykdyti FT. Atsižvelgiant į šią </w:t>
      </w:r>
      <w:r w:rsidRPr="00E24668">
        <w:rPr>
          <w:color w:val="000000" w:themeColor="text1"/>
          <w:lang w:val="lt-LT"/>
        </w:rPr>
        <w:lastRenderedPageBreak/>
        <w:t xml:space="preserve">nuostatą ir į tai, kad </w:t>
      </w:r>
      <w:r w:rsidRPr="00E24668">
        <w:rPr>
          <w:bCs/>
          <w:color w:val="000000" w:themeColor="text1"/>
          <w:lang w:val="lt-LT"/>
        </w:rPr>
        <w:t>2007</w:t>
      </w:r>
      <w:r w:rsidRPr="00E24668">
        <w:rPr>
          <w:color w:val="000000" w:themeColor="text1"/>
          <w:lang w:val="lt-LT"/>
        </w:rPr>
        <w:t>–</w:t>
      </w:r>
      <w:r w:rsidRPr="00E24668">
        <w:rPr>
          <w:bCs/>
          <w:color w:val="000000" w:themeColor="text1"/>
          <w:lang w:val="lt-LT"/>
        </w:rPr>
        <w:t xml:space="preserve">2013 </w:t>
      </w:r>
      <w:r w:rsidRPr="00E24668">
        <w:rPr>
          <w:color w:val="000000" w:themeColor="text1"/>
          <w:lang w:val="lt-LT" w:eastAsia="lt-LT"/>
        </w:rPr>
        <w:t xml:space="preserve">m. </w:t>
      </w:r>
      <w:r w:rsidRPr="00E24668">
        <w:rPr>
          <w:color w:val="000000" w:themeColor="text1"/>
          <w:lang w:val="lt-LT"/>
        </w:rPr>
        <w:t>programavimo laikotarpiu FT aktyviai dalyvavo vykdant prisiimtus įsipareigojimus ir prisidėjo prie sėkmingo FP įgyvendinimo, taip pat į tai, kad apklausti FT įvardijo, kad 2014–2020 m. programavimo laikotarpiu numato galimybę įgyvendinti FP ir turi tam tiek žmogiškuosius, tiek technologinius resursus, planuojama FP įgyvendinti per fondų fondo valdytojo atrinkt</w:t>
      </w:r>
      <w:r w:rsidR="00034327" w:rsidRPr="00E24668">
        <w:rPr>
          <w:color w:val="000000" w:themeColor="text1"/>
          <w:lang w:val="lt-LT"/>
        </w:rPr>
        <w:t>us FT</w:t>
      </w:r>
      <w:r w:rsidRPr="00E24668">
        <w:rPr>
          <w:color w:val="000000" w:themeColor="text1"/>
          <w:lang w:val="lt-LT"/>
        </w:rPr>
        <w:t>,</w:t>
      </w:r>
      <w:r w:rsidR="00034327" w:rsidRPr="00E24668">
        <w:rPr>
          <w:color w:val="000000" w:themeColor="text1"/>
          <w:lang w:val="lt-LT"/>
        </w:rPr>
        <w:t xml:space="preserve"> kurie </w:t>
      </w:r>
      <w:r w:rsidRPr="00E24668">
        <w:rPr>
          <w:color w:val="000000" w:themeColor="text1"/>
          <w:lang w:val="lt-LT"/>
        </w:rPr>
        <w:t>būtų pasirenkami taikant atviras, skaidrias, proporcingas ir nediskriminuojančias procedūras, vengiant interesų konflikto.</w:t>
      </w:r>
    </w:p>
    <w:p w14:paraId="7932B01B" w14:textId="3B999812" w:rsidR="00B44ED6" w:rsidRPr="00E24668" w:rsidRDefault="000254FA" w:rsidP="004A098F">
      <w:pPr>
        <w:spacing w:before="240" w:after="240"/>
        <w:rPr>
          <w:lang w:val="lt-LT"/>
        </w:rPr>
      </w:pPr>
      <w:r w:rsidRPr="00E24668">
        <w:rPr>
          <w:lang w:val="lt-LT"/>
        </w:rPr>
        <w:t>V</w:t>
      </w:r>
      <w:r w:rsidR="00B44ED6" w:rsidRPr="00E24668">
        <w:rPr>
          <w:lang w:val="lt-LT"/>
        </w:rPr>
        <w:t>ertinimas buvo atliktas pagal metodologiją, atliekant vertinimą buvo konsultuojamasi su visomis suinteresuotomis institucijomis, buvo atsižvelgta į pateiktas pastabas ir vertinimas atliktas objektyviai ir nešališkai. Vertinimas gali būti keičiamas ar pildomas nepažeidžiant ir vadovaujantis Reglamento</w:t>
      </w:r>
      <w:r w:rsidR="00B44ED6" w:rsidRPr="00E24668">
        <w:rPr>
          <w:color w:val="000000" w:themeColor="text1"/>
          <w:lang w:val="lt-LT"/>
        </w:rPr>
        <w:t xml:space="preserve"> Nr. 1303/2013</w:t>
      </w:r>
      <w:r w:rsidR="00B44ED6" w:rsidRPr="00E24668">
        <w:rPr>
          <w:lang w:val="lt-LT"/>
        </w:rPr>
        <w:t xml:space="preserve"> nuostatomis. </w:t>
      </w:r>
    </w:p>
    <w:p w14:paraId="16365F6C" w14:textId="77777777" w:rsidR="000C69AE" w:rsidRPr="00E24668" w:rsidRDefault="000C69AE" w:rsidP="000C69AE">
      <w:pPr>
        <w:rPr>
          <w:rFonts w:cs="Times New Roman"/>
          <w:noProof/>
          <w:lang w:val="lt-LT"/>
        </w:rPr>
      </w:pPr>
    </w:p>
    <w:sectPr w:rsidR="000C69AE" w:rsidRPr="00E24668" w:rsidSect="00680401">
      <w:headerReference w:type="default" r:id="rId8"/>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2F14B5" w14:textId="77777777" w:rsidR="006D6D19" w:rsidRDefault="006D6D19" w:rsidP="002C4C2B">
      <w:pPr>
        <w:spacing w:line="240" w:lineRule="auto"/>
      </w:pPr>
      <w:r>
        <w:separator/>
      </w:r>
    </w:p>
  </w:endnote>
  <w:endnote w:type="continuationSeparator" w:id="0">
    <w:p w14:paraId="32457749" w14:textId="77777777" w:rsidR="006D6D19" w:rsidRDefault="006D6D19" w:rsidP="002C4C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20002A87" w:usb1="00000000" w:usb2="00000000"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AngsanaUPC">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2520AE" w14:textId="77777777" w:rsidR="006D6D19" w:rsidRDefault="006D6D19" w:rsidP="002C4C2B">
      <w:pPr>
        <w:spacing w:line="240" w:lineRule="auto"/>
      </w:pPr>
      <w:r>
        <w:separator/>
      </w:r>
    </w:p>
  </w:footnote>
  <w:footnote w:type="continuationSeparator" w:id="0">
    <w:p w14:paraId="784107BD" w14:textId="77777777" w:rsidR="006D6D19" w:rsidRDefault="006D6D19" w:rsidP="002C4C2B">
      <w:pPr>
        <w:spacing w:line="240" w:lineRule="auto"/>
      </w:pPr>
      <w:r>
        <w:continuationSeparator/>
      </w:r>
    </w:p>
  </w:footnote>
  <w:footnote w:id="1">
    <w:p w14:paraId="0358FD3D" w14:textId="77777777" w:rsidR="00B44ED6" w:rsidRPr="00BC15DC" w:rsidRDefault="00B44ED6" w:rsidP="00B44ED6">
      <w:pPr>
        <w:pStyle w:val="Puslapioinaostekstas"/>
        <w:rPr>
          <w:lang w:val="lt-LT"/>
        </w:rPr>
      </w:pPr>
      <w:r>
        <w:rPr>
          <w:rStyle w:val="Puslapioinaosnuoroda"/>
        </w:rPr>
        <w:footnoteRef/>
      </w:r>
      <w:r>
        <w:t xml:space="preserve"> </w:t>
      </w:r>
      <w:r>
        <w:rPr>
          <w:rFonts w:ascii="Times New Roman" w:hAnsi="Times New Roman" w:cs="Times New Roman"/>
          <w:lang w:val="lt-LT"/>
        </w:rPr>
        <w:t>P</w:t>
      </w:r>
      <w:r w:rsidRPr="008E5BC6">
        <w:rPr>
          <w:rFonts w:ascii="Times New Roman" w:hAnsi="Times New Roman" w:cs="Times New Roman"/>
          <w:lang w:val="lt-LT"/>
        </w:rPr>
        <w:t xml:space="preserve">rivalomai </w:t>
      </w:r>
      <w:r>
        <w:rPr>
          <w:rFonts w:ascii="Times New Roman" w:hAnsi="Times New Roman" w:cs="Times New Roman"/>
          <w:lang w:val="lt-LT"/>
        </w:rPr>
        <w:t xml:space="preserve">Bazelio III </w:t>
      </w:r>
      <w:r w:rsidRPr="008E5BC6">
        <w:rPr>
          <w:rFonts w:ascii="Times New Roman" w:hAnsi="Times New Roman" w:cs="Times New Roman"/>
          <w:lang w:val="lt-LT"/>
        </w:rPr>
        <w:t>nuostatos įsigalioja nuo 2019 m., bet dauguma užsienio kapitalo bankų ir filialų, veikiančių Lietuvoje, pagrindines Bazelio III nuostatas pradėjo įgyvendinti jau nuo 2013 m. pradžios</w:t>
      </w:r>
      <w:r>
        <w:rPr>
          <w:rFonts w:ascii="Times New Roman" w:hAnsi="Times New Roman" w:cs="Times New Roman"/>
          <w:lang w:val="lt-LT"/>
        </w:rPr>
        <w:t>.</w:t>
      </w:r>
    </w:p>
  </w:footnote>
  <w:footnote w:id="2">
    <w:p w14:paraId="2A9FD036" w14:textId="77777777" w:rsidR="00824F1E" w:rsidRPr="00A85703" w:rsidRDefault="00824F1E" w:rsidP="00824F1E">
      <w:pPr>
        <w:pStyle w:val="Puslapioinaostekstas"/>
        <w:rPr>
          <w:lang w:val="lt-LT"/>
        </w:rPr>
      </w:pPr>
      <w:r w:rsidRPr="00A85703">
        <w:rPr>
          <w:rStyle w:val="Puslapioinaosnuoroda"/>
          <w:rFonts w:ascii="Times New Roman" w:hAnsi="Times New Roman" w:cs="Times New Roman"/>
        </w:rPr>
        <w:footnoteRef/>
      </w:r>
      <w:r w:rsidRPr="00A85703">
        <w:rPr>
          <w:rFonts w:ascii="Times New Roman" w:hAnsi="Times New Roman" w:cs="Times New Roman"/>
        </w:rPr>
        <w:t xml:space="preserve"> </w:t>
      </w:r>
      <w:proofErr w:type="spellStart"/>
      <w:proofErr w:type="gramStart"/>
      <w:r w:rsidRPr="00A85703">
        <w:rPr>
          <w:rFonts w:ascii="Times New Roman" w:hAnsi="Times New Roman" w:cs="Times New Roman"/>
        </w:rPr>
        <w:t>R</w:t>
      </w:r>
      <w:r w:rsidRPr="00325681">
        <w:rPr>
          <w:rFonts w:ascii="Times New Roman" w:hAnsi="Times New Roman" w:cs="Times New Roman"/>
        </w:rPr>
        <w:t>emiantis</w:t>
      </w:r>
      <w:proofErr w:type="spellEnd"/>
      <w:r w:rsidRPr="00325681">
        <w:rPr>
          <w:rFonts w:ascii="Times New Roman" w:hAnsi="Times New Roman" w:cs="Times New Roman"/>
        </w:rPr>
        <w:t xml:space="preserve"> </w:t>
      </w:r>
      <w:r w:rsidRPr="00325681">
        <w:rPr>
          <w:rFonts w:ascii="Times New Roman" w:hAnsi="Times New Roman" w:cs="Times New Roman"/>
          <w:lang w:val="lt-LT"/>
        </w:rPr>
        <w:t>ŪM ir SADM pateiktais duomenimis.</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4234136"/>
      <w:docPartObj>
        <w:docPartGallery w:val="Page Numbers (Top of Page)"/>
        <w:docPartUnique/>
      </w:docPartObj>
    </w:sdtPr>
    <w:sdtEndPr/>
    <w:sdtContent>
      <w:p w14:paraId="633FBA8F" w14:textId="4F0AAEF5" w:rsidR="00263BD6" w:rsidRDefault="00263BD6">
        <w:pPr>
          <w:pStyle w:val="Antrats"/>
          <w:jc w:val="center"/>
        </w:pPr>
        <w:r>
          <w:fldChar w:fldCharType="begin"/>
        </w:r>
        <w:r>
          <w:instrText>PAGE   \* MERGEFORMAT</w:instrText>
        </w:r>
        <w:r>
          <w:fldChar w:fldCharType="separate"/>
        </w:r>
        <w:r w:rsidR="00A31D17" w:rsidRPr="00A31D17">
          <w:rPr>
            <w:noProof/>
            <w:lang w:val="lt-LT"/>
          </w:rPr>
          <w:t>7</w:t>
        </w:r>
        <w:r>
          <w:fldChar w:fldCharType="end"/>
        </w:r>
      </w:p>
    </w:sdtContent>
  </w:sdt>
  <w:p w14:paraId="766E71B2" w14:textId="77777777" w:rsidR="000139DD" w:rsidRDefault="000139D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35CE7"/>
    <w:multiLevelType w:val="hybridMultilevel"/>
    <w:tmpl w:val="4F3AE96C"/>
    <w:lvl w:ilvl="0" w:tplc="04270001">
      <w:start w:val="1"/>
      <w:numFmt w:val="bullet"/>
      <w:lvlText w:val=""/>
      <w:lvlJc w:val="left"/>
      <w:pPr>
        <w:ind w:left="1457" w:hanging="360"/>
      </w:pPr>
      <w:rPr>
        <w:rFonts w:ascii="Symbol" w:hAnsi="Symbol" w:hint="default"/>
      </w:rPr>
    </w:lvl>
    <w:lvl w:ilvl="1" w:tplc="04270003" w:tentative="1">
      <w:start w:val="1"/>
      <w:numFmt w:val="bullet"/>
      <w:lvlText w:val="o"/>
      <w:lvlJc w:val="left"/>
      <w:pPr>
        <w:ind w:left="2177" w:hanging="360"/>
      </w:pPr>
      <w:rPr>
        <w:rFonts w:ascii="Courier New" w:hAnsi="Courier New" w:cs="Courier New"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cs="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cs="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1">
    <w:nsid w:val="11CF6A34"/>
    <w:multiLevelType w:val="hybridMultilevel"/>
    <w:tmpl w:val="75E69B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7F13374"/>
    <w:multiLevelType w:val="hybridMultilevel"/>
    <w:tmpl w:val="F3F233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209F296E"/>
    <w:multiLevelType w:val="hybridMultilevel"/>
    <w:tmpl w:val="20F4AAA2"/>
    <w:lvl w:ilvl="0" w:tplc="04090001">
      <w:start w:val="1"/>
      <w:numFmt w:val="bullet"/>
      <w:lvlText w:val=""/>
      <w:lvlJc w:val="left"/>
      <w:pPr>
        <w:ind w:left="1457" w:hanging="360"/>
      </w:pPr>
      <w:rPr>
        <w:rFonts w:ascii="Symbol" w:hAnsi="Symbol" w:hint="default"/>
      </w:rPr>
    </w:lvl>
    <w:lvl w:ilvl="1" w:tplc="04270003" w:tentative="1">
      <w:start w:val="1"/>
      <w:numFmt w:val="bullet"/>
      <w:lvlText w:val="o"/>
      <w:lvlJc w:val="left"/>
      <w:pPr>
        <w:ind w:left="2177" w:hanging="360"/>
      </w:pPr>
      <w:rPr>
        <w:rFonts w:ascii="Courier New" w:hAnsi="Courier New" w:cs="Courier New"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cs="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cs="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4">
    <w:nsid w:val="388A4046"/>
    <w:multiLevelType w:val="hybridMultilevel"/>
    <w:tmpl w:val="170EECE2"/>
    <w:lvl w:ilvl="0" w:tplc="04270001">
      <w:start w:val="1"/>
      <w:numFmt w:val="bullet"/>
      <w:lvlText w:val=""/>
      <w:lvlJc w:val="left"/>
      <w:pPr>
        <w:ind w:left="822" w:hanging="360"/>
      </w:pPr>
      <w:rPr>
        <w:rFonts w:ascii="Symbol" w:hAnsi="Symbol" w:hint="default"/>
      </w:rPr>
    </w:lvl>
    <w:lvl w:ilvl="1" w:tplc="04270003" w:tentative="1">
      <w:start w:val="1"/>
      <w:numFmt w:val="bullet"/>
      <w:lvlText w:val="o"/>
      <w:lvlJc w:val="left"/>
      <w:pPr>
        <w:ind w:left="1542" w:hanging="360"/>
      </w:pPr>
      <w:rPr>
        <w:rFonts w:ascii="Courier New" w:hAnsi="Courier New" w:cs="Courier New" w:hint="default"/>
      </w:rPr>
    </w:lvl>
    <w:lvl w:ilvl="2" w:tplc="04270005" w:tentative="1">
      <w:start w:val="1"/>
      <w:numFmt w:val="bullet"/>
      <w:lvlText w:val=""/>
      <w:lvlJc w:val="left"/>
      <w:pPr>
        <w:ind w:left="2262" w:hanging="360"/>
      </w:pPr>
      <w:rPr>
        <w:rFonts w:ascii="Wingdings" w:hAnsi="Wingdings" w:hint="default"/>
      </w:rPr>
    </w:lvl>
    <w:lvl w:ilvl="3" w:tplc="04270001" w:tentative="1">
      <w:start w:val="1"/>
      <w:numFmt w:val="bullet"/>
      <w:lvlText w:val=""/>
      <w:lvlJc w:val="left"/>
      <w:pPr>
        <w:ind w:left="2982" w:hanging="360"/>
      </w:pPr>
      <w:rPr>
        <w:rFonts w:ascii="Symbol" w:hAnsi="Symbol" w:hint="default"/>
      </w:rPr>
    </w:lvl>
    <w:lvl w:ilvl="4" w:tplc="04270003" w:tentative="1">
      <w:start w:val="1"/>
      <w:numFmt w:val="bullet"/>
      <w:lvlText w:val="o"/>
      <w:lvlJc w:val="left"/>
      <w:pPr>
        <w:ind w:left="3702" w:hanging="360"/>
      </w:pPr>
      <w:rPr>
        <w:rFonts w:ascii="Courier New" w:hAnsi="Courier New" w:cs="Courier New" w:hint="default"/>
      </w:rPr>
    </w:lvl>
    <w:lvl w:ilvl="5" w:tplc="04270005" w:tentative="1">
      <w:start w:val="1"/>
      <w:numFmt w:val="bullet"/>
      <w:lvlText w:val=""/>
      <w:lvlJc w:val="left"/>
      <w:pPr>
        <w:ind w:left="4422" w:hanging="360"/>
      </w:pPr>
      <w:rPr>
        <w:rFonts w:ascii="Wingdings" w:hAnsi="Wingdings" w:hint="default"/>
      </w:rPr>
    </w:lvl>
    <w:lvl w:ilvl="6" w:tplc="04270001" w:tentative="1">
      <w:start w:val="1"/>
      <w:numFmt w:val="bullet"/>
      <w:lvlText w:val=""/>
      <w:lvlJc w:val="left"/>
      <w:pPr>
        <w:ind w:left="5142" w:hanging="360"/>
      </w:pPr>
      <w:rPr>
        <w:rFonts w:ascii="Symbol" w:hAnsi="Symbol" w:hint="default"/>
      </w:rPr>
    </w:lvl>
    <w:lvl w:ilvl="7" w:tplc="04270003" w:tentative="1">
      <w:start w:val="1"/>
      <w:numFmt w:val="bullet"/>
      <w:lvlText w:val="o"/>
      <w:lvlJc w:val="left"/>
      <w:pPr>
        <w:ind w:left="5862" w:hanging="360"/>
      </w:pPr>
      <w:rPr>
        <w:rFonts w:ascii="Courier New" w:hAnsi="Courier New" w:cs="Courier New" w:hint="default"/>
      </w:rPr>
    </w:lvl>
    <w:lvl w:ilvl="8" w:tplc="04270005" w:tentative="1">
      <w:start w:val="1"/>
      <w:numFmt w:val="bullet"/>
      <w:lvlText w:val=""/>
      <w:lvlJc w:val="left"/>
      <w:pPr>
        <w:ind w:left="6582" w:hanging="360"/>
      </w:pPr>
      <w:rPr>
        <w:rFonts w:ascii="Wingdings" w:hAnsi="Wingdings" w:hint="default"/>
      </w:rPr>
    </w:lvl>
  </w:abstractNum>
  <w:abstractNum w:abstractNumId="5">
    <w:nsid w:val="38E85EFE"/>
    <w:multiLevelType w:val="hybridMultilevel"/>
    <w:tmpl w:val="48BCB968"/>
    <w:lvl w:ilvl="0" w:tplc="351492FC">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6">
    <w:nsid w:val="413D7D41"/>
    <w:multiLevelType w:val="hybridMultilevel"/>
    <w:tmpl w:val="D50A5718"/>
    <w:lvl w:ilvl="0" w:tplc="F3967F1C">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7">
    <w:nsid w:val="46F207A4"/>
    <w:multiLevelType w:val="hybridMultilevel"/>
    <w:tmpl w:val="69A0975E"/>
    <w:lvl w:ilvl="0" w:tplc="04090001">
      <w:start w:val="1"/>
      <w:numFmt w:val="bullet"/>
      <w:lvlText w:val=""/>
      <w:lvlJc w:val="left"/>
      <w:pPr>
        <w:ind w:left="2177" w:hanging="360"/>
      </w:pPr>
      <w:rPr>
        <w:rFonts w:ascii="Symbol" w:hAnsi="Symbol" w:hint="default"/>
      </w:rPr>
    </w:lvl>
    <w:lvl w:ilvl="1" w:tplc="04090001">
      <w:start w:val="1"/>
      <w:numFmt w:val="bullet"/>
      <w:lvlText w:val=""/>
      <w:lvlJc w:val="left"/>
      <w:pPr>
        <w:ind w:left="2897" w:hanging="360"/>
      </w:pPr>
      <w:rPr>
        <w:rFonts w:ascii="Symbol" w:hAnsi="Symbol" w:hint="default"/>
      </w:rPr>
    </w:lvl>
    <w:lvl w:ilvl="2" w:tplc="69DA59C8">
      <w:start w:val="2013"/>
      <w:numFmt w:val="bullet"/>
      <w:lvlText w:val="-"/>
      <w:lvlJc w:val="left"/>
      <w:pPr>
        <w:ind w:left="3617" w:hanging="360"/>
      </w:pPr>
      <w:rPr>
        <w:rFonts w:ascii="Times New Roman" w:eastAsia="Times New Roman" w:hAnsi="Times New Roman" w:cs="Times New Roman" w:hint="default"/>
      </w:rPr>
    </w:lvl>
    <w:lvl w:ilvl="3" w:tplc="04090001" w:tentative="1">
      <w:start w:val="1"/>
      <w:numFmt w:val="bullet"/>
      <w:lvlText w:val=""/>
      <w:lvlJc w:val="left"/>
      <w:pPr>
        <w:ind w:left="4337" w:hanging="360"/>
      </w:pPr>
      <w:rPr>
        <w:rFonts w:ascii="Symbol" w:hAnsi="Symbol" w:hint="default"/>
      </w:rPr>
    </w:lvl>
    <w:lvl w:ilvl="4" w:tplc="04090003" w:tentative="1">
      <w:start w:val="1"/>
      <w:numFmt w:val="bullet"/>
      <w:lvlText w:val="o"/>
      <w:lvlJc w:val="left"/>
      <w:pPr>
        <w:ind w:left="5057" w:hanging="360"/>
      </w:pPr>
      <w:rPr>
        <w:rFonts w:ascii="Courier New" w:hAnsi="Courier New" w:cs="Courier New" w:hint="default"/>
      </w:rPr>
    </w:lvl>
    <w:lvl w:ilvl="5" w:tplc="04090005" w:tentative="1">
      <w:start w:val="1"/>
      <w:numFmt w:val="bullet"/>
      <w:lvlText w:val=""/>
      <w:lvlJc w:val="left"/>
      <w:pPr>
        <w:ind w:left="5777" w:hanging="360"/>
      </w:pPr>
      <w:rPr>
        <w:rFonts w:ascii="Wingdings" w:hAnsi="Wingdings" w:hint="default"/>
      </w:rPr>
    </w:lvl>
    <w:lvl w:ilvl="6" w:tplc="04090001" w:tentative="1">
      <w:start w:val="1"/>
      <w:numFmt w:val="bullet"/>
      <w:lvlText w:val=""/>
      <w:lvlJc w:val="left"/>
      <w:pPr>
        <w:ind w:left="6497" w:hanging="360"/>
      </w:pPr>
      <w:rPr>
        <w:rFonts w:ascii="Symbol" w:hAnsi="Symbol" w:hint="default"/>
      </w:rPr>
    </w:lvl>
    <w:lvl w:ilvl="7" w:tplc="04090003" w:tentative="1">
      <w:start w:val="1"/>
      <w:numFmt w:val="bullet"/>
      <w:lvlText w:val="o"/>
      <w:lvlJc w:val="left"/>
      <w:pPr>
        <w:ind w:left="7217" w:hanging="360"/>
      </w:pPr>
      <w:rPr>
        <w:rFonts w:ascii="Courier New" w:hAnsi="Courier New" w:cs="Courier New" w:hint="default"/>
      </w:rPr>
    </w:lvl>
    <w:lvl w:ilvl="8" w:tplc="04090005" w:tentative="1">
      <w:start w:val="1"/>
      <w:numFmt w:val="bullet"/>
      <w:lvlText w:val=""/>
      <w:lvlJc w:val="left"/>
      <w:pPr>
        <w:ind w:left="7937" w:hanging="360"/>
      </w:pPr>
      <w:rPr>
        <w:rFonts w:ascii="Wingdings" w:hAnsi="Wingdings" w:hint="default"/>
      </w:rPr>
    </w:lvl>
  </w:abstractNum>
  <w:abstractNum w:abstractNumId="8">
    <w:nsid w:val="4ED33C06"/>
    <w:multiLevelType w:val="hybridMultilevel"/>
    <w:tmpl w:val="29BC5528"/>
    <w:lvl w:ilvl="0" w:tplc="04270001">
      <w:start w:val="1"/>
      <w:numFmt w:val="bullet"/>
      <w:lvlText w:val=""/>
      <w:lvlJc w:val="left"/>
      <w:pPr>
        <w:ind w:left="1457" w:hanging="360"/>
      </w:pPr>
      <w:rPr>
        <w:rFonts w:ascii="Symbol" w:hAnsi="Symbol" w:hint="default"/>
      </w:rPr>
    </w:lvl>
    <w:lvl w:ilvl="1" w:tplc="04270003" w:tentative="1">
      <w:start w:val="1"/>
      <w:numFmt w:val="bullet"/>
      <w:lvlText w:val="o"/>
      <w:lvlJc w:val="left"/>
      <w:pPr>
        <w:ind w:left="2177" w:hanging="360"/>
      </w:pPr>
      <w:rPr>
        <w:rFonts w:ascii="Courier New" w:hAnsi="Courier New" w:cs="Courier New"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cs="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cs="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9">
    <w:nsid w:val="5F6A1E98"/>
    <w:multiLevelType w:val="hybridMultilevel"/>
    <w:tmpl w:val="BA281C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69D145E5"/>
    <w:multiLevelType w:val="hybridMultilevel"/>
    <w:tmpl w:val="616E395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nsid w:val="75AA442B"/>
    <w:multiLevelType w:val="hybridMultilevel"/>
    <w:tmpl w:val="BD502A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7B774AB4"/>
    <w:multiLevelType w:val="hybridMultilevel"/>
    <w:tmpl w:val="58ECC6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2"/>
  </w:num>
  <w:num w:numId="4">
    <w:abstractNumId w:val="11"/>
  </w:num>
  <w:num w:numId="5">
    <w:abstractNumId w:val="4"/>
  </w:num>
  <w:num w:numId="6">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6"/>
  </w:num>
  <w:num w:numId="10">
    <w:abstractNumId w:val="10"/>
  </w:num>
  <w:num w:numId="11">
    <w:abstractNumId w:val="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D81"/>
    <w:rsid w:val="00000D81"/>
    <w:rsid w:val="000139DD"/>
    <w:rsid w:val="000254FA"/>
    <w:rsid w:val="0002652B"/>
    <w:rsid w:val="000310D9"/>
    <w:rsid w:val="00034327"/>
    <w:rsid w:val="00053685"/>
    <w:rsid w:val="000954C0"/>
    <w:rsid w:val="000A69F6"/>
    <w:rsid w:val="000B58E4"/>
    <w:rsid w:val="000C69AE"/>
    <w:rsid w:val="000E13E1"/>
    <w:rsid w:val="000E63B9"/>
    <w:rsid w:val="000F4497"/>
    <w:rsid w:val="00124BC1"/>
    <w:rsid w:val="00125F68"/>
    <w:rsid w:val="00165B3B"/>
    <w:rsid w:val="00173A8B"/>
    <w:rsid w:val="001806A4"/>
    <w:rsid w:val="001A1CE2"/>
    <w:rsid w:val="001A55F9"/>
    <w:rsid w:val="001E181D"/>
    <w:rsid w:val="001E6FD1"/>
    <w:rsid w:val="00263BD6"/>
    <w:rsid w:val="002C4C2B"/>
    <w:rsid w:val="003830EE"/>
    <w:rsid w:val="003B5157"/>
    <w:rsid w:val="00406AA7"/>
    <w:rsid w:val="00426E20"/>
    <w:rsid w:val="004543F4"/>
    <w:rsid w:val="004A098F"/>
    <w:rsid w:val="004B146F"/>
    <w:rsid w:val="004C36A8"/>
    <w:rsid w:val="004D79FC"/>
    <w:rsid w:val="00500C56"/>
    <w:rsid w:val="00550D31"/>
    <w:rsid w:val="00557C05"/>
    <w:rsid w:val="00560CBE"/>
    <w:rsid w:val="00561CD6"/>
    <w:rsid w:val="005755FA"/>
    <w:rsid w:val="005A3AC3"/>
    <w:rsid w:val="005B0AC1"/>
    <w:rsid w:val="005B4DDA"/>
    <w:rsid w:val="005E7086"/>
    <w:rsid w:val="0060215F"/>
    <w:rsid w:val="00635391"/>
    <w:rsid w:val="00680401"/>
    <w:rsid w:val="0068447D"/>
    <w:rsid w:val="0069596E"/>
    <w:rsid w:val="006C4437"/>
    <w:rsid w:val="006C4A7B"/>
    <w:rsid w:val="006C6885"/>
    <w:rsid w:val="006D6D19"/>
    <w:rsid w:val="0070085D"/>
    <w:rsid w:val="00767D85"/>
    <w:rsid w:val="00797318"/>
    <w:rsid w:val="0080551A"/>
    <w:rsid w:val="008238B6"/>
    <w:rsid w:val="00824F1E"/>
    <w:rsid w:val="0085359B"/>
    <w:rsid w:val="008558BE"/>
    <w:rsid w:val="0086482D"/>
    <w:rsid w:val="00872945"/>
    <w:rsid w:val="00892BEF"/>
    <w:rsid w:val="0089394F"/>
    <w:rsid w:val="008A6AF1"/>
    <w:rsid w:val="008E662D"/>
    <w:rsid w:val="008F6A87"/>
    <w:rsid w:val="00931539"/>
    <w:rsid w:val="009743F8"/>
    <w:rsid w:val="0098006B"/>
    <w:rsid w:val="009E1366"/>
    <w:rsid w:val="009E3658"/>
    <w:rsid w:val="009E3E6F"/>
    <w:rsid w:val="00A22B2F"/>
    <w:rsid w:val="00A31D17"/>
    <w:rsid w:val="00A32A72"/>
    <w:rsid w:val="00A4541E"/>
    <w:rsid w:val="00AB5200"/>
    <w:rsid w:val="00AB63E4"/>
    <w:rsid w:val="00AC070E"/>
    <w:rsid w:val="00AC346A"/>
    <w:rsid w:val="00B44ED6"/>
    <w:rsid w:val="00B70E2C"/>
    <w:rsid w:val="00B714CC"/>
    <w:rsid w:val="00B75ABB"/>
    <w:rsid w:val="00BA318D"/>
    <w:rsid w:val="00BD7E08"/>
    <w:rsid w:val="00C069BF"/>
    <w:rsid w:val="00C44BF0"/>
    <w:rsid w:val="00C45E8F"/>
    <w:rsid w:val="00C843EA"/>
    <w:rsid w:val="00C915FE"/>
    <w:rsid w:val="00CA666F"/>
    <w:rsid w:val="00CB5110"/>
    <w:rsid w:val="00D0539D"/>
    <w:rsid w:val="00D14978"/>
    <w:rsid w:val="00D2569F"/>
    <w:rsid w:val="00D66A3E"/>
    <w:rsid w:val="00D71B47"/>
    <w:rsid w:val="00D90985"/>
    <w:rsid w:val="00E24668"/>
    <w:rsid w:val="00E3703D"/>
    <w:rsid w:val="00E53DE1"/>
    <w:rsid w:val="00EB6D42"/>
    <w:rsid w:val="00EC7D1D"/>
    <w:rsid w:val="00EE0199"/>
    <w:rsid w:val="00F54BBE"/>
    <w:rsid w:val="00FB1237"/>
    <w:rsid w:val="00FB4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7B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9596E"/>
    <w:pPr>
      <w:spacing w:after="0" w:line="276" w:lineRule="auto"/>
      <w:ind w:firstLine="737"/>
      <w:jc w:val="both"/>
    </w:pPr>
    <w:rPr>
      <w:rFonts w:ascii="Times New Roman" w:eastAsiaTheme="minorEastAsia" w:hAnsi="Times New Roman"/>
      <w:sz w:val="24"/>
      <w:szCs w:val="24"/>
      <w:lang w:val="en-US"/>
    </w:rPr>
  </w:style>
  <w:style w:type="paragraph" w:styleId="Antrat2">
    <w:name w:val="heading 2"/>
    <w:basedOn w:val="prastasis"/>
    <w:next w:val="prastasis"/>
    <w:link w:val="Antrat2Diagrama"/>
    <w:uiPriority w:val="9"/>
    <w:semiHidden/>
    <w:unhideWhenUsed/>
    <w:qFormat/>
    <w:rsid w:val="000139D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0139DD"/>
    <w:pPr>
      <w:keepNext/>
      <w:keepLines/>
      <w:spacing w:before="40"/>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Footnote text,fn,Footnote Text Char Char,Footnote Text Char Char Char Char,Footnote Text Char Char Char Char Char,Footnote Text Char Char Char Char Char Char Char Char,Footnote Text Char Char Char,Footnote Text Char1,f"/>
    <w:basedOn w:val="prastasis"/>
    <w:link w:val="PuslapioinaostekstasDiagrama"/>
    <w:uiPriority w:val="99"/>
    <w:qFormat/>
    <w:rsid w:val="002C4C2B"/>
    <w:rPr>
      <w:rFonts w:ascii="Arial" w:eastAsia="Times New Roman" w:hAnsi="Arial" w:cs="Arial"/>
      <w:sz w:val="20"/>
      <w:szCs w:val="20"/>
      <w:lang w:val="en-GB"/>
    </w:rPr>
  </w:style>
  <w:style w:type="character" w:customStyle="1" w:styleId="PuslapioinaostekstasDiagrama">
    <w:name w:val="Puslapio išnašos tekstas Diagrama"/>
    <w:aliases w:val="Footnote Diagrama,Footnote text Diagrama,fn Diagrama,Footnote Text Char Char Diagrama,Footnote Text Char Char Char Char Diagrama,Footnote Text Char Char Char Char Char Diagrama,Footnote Text Char Char Char Diagrama"/>
    <w:basedOn w:val="Numatytasispastraiposriftas"/>
    <w:link w:val="Puslapioinaostekstas"/>
    <w:uiPriority w:val="99"/>
    <w:rsid w:val="002C4C2B"/>
    <w:rPr>
      <w:rFonts w:ascii="Arial" w:eastAsia="Times New Roman" w:hAnsi="Arial" w:cs="Arial"/>
      <w:sz w:val="20"/>
      <w:szCs w:val="20"/>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link w:val="SUPERSChar"/>
    <w:uiPriority w:val="99"/>
    <w:qFormat/>
    <w:rsid w:val="002C4C2B"/>
    <w:rPr>
      <w:vertAlign w:val="superscript"/>
    </w:rPr>
  </w:style>
  <w:style w:type="paragraph" w:customStyle="1" w:styleId="SUPERSChar">
    <w:name w:val="SUPERS Char"/>
    <w:aliases w:val="EN Footnote Reference Char"/>
    <w:basedOn w:val="prastasis"/>
    <w:link w:val="Puslapioinaosnuoroda"/>
    <w:uiPriority w:val="99"/>
    <w:rsid w:val="002C4C2B"/>
    <w:pPr>
      <w:spacing w:after="160" w:line="240" w:lineRule="exact"/>
      <w:ind w:firstLine="0"/>
      <w:jc w:val="left"/>
    </w:pPr>
    <w:rPr>
      <w:rFonts w:asciiTheme="minorHAnsi" w:eastAsiaTheme="minorHAnsi" w:hAnsiTheme="minorHAnsi"/>
      <w:sz w:val="22"/>
      <w:szCs w:val="22"/>
      <w:vertAlign w:val="superscript"/>
      <w:lang w:val="en-GB"/>
    </w:rPr>
  </w:style>
  <w:style w:type="paragraph" w:styleId="Komentarotekstas">
    <w:name w:val="annotation text"/>
    <w:basedOn w:val="prastasis"/>
    <w:link w:val="KomentarotekstasDiagrama"/>
    <w:uiPriority w:val="99"/>
    <w:unhideWhenUsed/>
    <w:rsid w:val="000139DD"/>
  </w:style>
  <w:style w:type="character" w:customStyle="1" w:styleId="KomentarotekstasDiagrama">
    <w:name w:val="Komentaro tekstas Diagrama"/>
    <w:basedOn w:val="Numatytasispastraiposriftas"/>
    <w:link w:val="Komentarotekstas"/>
    <w:uiPriority w:val="99"/>
    <w:rsid w:val="000139DD"/>
    <w:rPr>
      <w:rFonts w:ascii="Times New Roman" w:eastAsiaTheme="minorEastAsia" w:hAnsi="Times New Roman"/>
      <w:sz w:val="24"/>
      <w:szCs w:val="24"/>
      <w:lang w:val="en-US"/>
    </w:rPr>
  </w:style>
  <w:style w:type="paragraph" w:styleId="Sraopastraipa">
    <w:name w:val="List Paragraph"/>
    <w:aliases w:val="Table of contents numbered"/>
    <w:basedOn w:val="prastasis"/>
    <w:next w:val="Antrat3"/>
    <w:link w:val="SraopastraipaDiagrama"/>
    <w:uiPriority w:val="34"/>
    <w:qFormat/>
    <w:rsid w:val="000139DD"/>
    <w:pPr>
      <w:ind w:left="720"/>
      <w:contextualSpacing/>
    </w:pPr>
  </w:style>
  <w:style w:type="character" w:customStyle="1" w:styleId="Antrat3Diagrama">
    <w:name w:val="Antraštė 3 Diagrama"/>
    <w:basedOn w:val="Numatytasispastraiposriftas"/>
    <w:link w:val="Antrat3"/>
    <w:uiPriority w:val="9"/>
    <w:rsid w:val="000139DD"/>
    <w:rPr>
      <w:rFonts w:asciiTheme="majorHAnsi" w:eastAsiaTheme="majorEastAsia" w:hAnsiTheme="majorHAnsi" w:cstheme="majorBidi"/>
      <w:color w:val="1F4D78" w:themeColor="accent1" w:themeShade="7F"/>
      <w:sz w:val="24"/>
      <w:szCs w:val="24"/>
      <w:lang w:val="en-US"/>
    </w:rPr>
  </w:style>
  <w:style w:type="paragraph" w:styleId="Antrat">
    <w:name w:val="caption"/>
    <w:aliases w:val="Table caption,paveikslas,Paveikslo pavadinimas"/>
    <w:basedOn w:val="prastasis"/>
    <w:next w:val="prastasis"/>
    <w:link w:val="AntratDiagrama"/>
    <w:uiPriority w:val="35"/>
    <w:unhideWhenUsed/>
    <w:qFormat/>
    <w:rsid w:val="000139DD"/>
    <w:pPr>
      <w:spacing w:after="200"/>
      <w:jc w:val="right"/>
    </w:pPr>
    <w:rPr>
      <w:b/>
      <w:bCs/>
      <w:color w:val="5B9BD5" w:themeColor="accent1"/>
      <w:szCs w:val="18"/>
    </w:rPr>
  </w:style>
  <w:style w:type="table" w:styleId="Lentelstinklelis">
    <w:name w:val="Table Grid"/>
    <w:basedOn w:val="prastojilentel"/>
    <w:uiPriority w:val="59"/>
    <w:rsid w:val="000139DD"/>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Diagrama">
    <w:name w:val="Antraštė Diagrama"/>
    <w:aliases w:val="Table caption Diagrama,paveikslas Diagrama,Paveikslo pavadinimas Diagrama"/>
    <w:link w:val="Antrat"/>
    <w:uiPriority w:val="35"/>
    <w:rsid w:val="000139DD"/>
    <w:rPr>
      <w:rFonts w:ascii="Times New Roman" w:eastAsiaTheme="minorEastAsia" w:hAnsi="Times New Roman"/>
      <w:b/>
      <w:bCs/>
      <w:color w:val="5B9BD5" w:themeColor="accent1"/>
      <w:sz w:val="24"/>
      <w:szCs w:val="18"/>
      <w:lang w:val="en-US"/>
    </w:rPr>
  </w:style>
  <w:style w:type="character" w:styleId="Hipersaitas">
    <w:name w:val="Hyperlink"/>
    <w:basedOn w:val="Numatytasispastraiposriftas"/>
    <w:uiPriority w:val="99"/>
    <w:unhideWhenUsed/>
    <w:rsid w:val="000139DD"/>
    <w:rPr>
      <w:color w:val="0563C1" w:themeColor="hyperlink"/>
      <w:u w:val="single"/>
    </w:rPr>
  </w:style>
  <w:style w:type="paragraph" w:customStyle="1" w:styleId="CM1">
    <w:name w:val="CM1"/>
    <w:basedOn w:val="prastasis"/>
    <w:next w:val="prastasis"/>
    <w:uiPriority w:val="99"/>
    <w:rsid w:val="000139DD"/>
    <w:pPr>
      <w:autoSpaceDE w:val="0"/>
      <w:autoSpaceDN w:val="0"/>
      <w:adjustRightInd w:val="0"/>
      <w:spacing w:line="240" w:lineRule="auto"/>
      <w:ind w:firstLine="0"/>
      <w:jc w:val="left"/>
    </w:pPr>
    <w:rPr>
      <w:rFonts w:ascii="EUAlbertina" w:eastAsiaTheme="minorHAnsi" w:hAnsi="EUAlbertina"/>
      <w:lang w:val="lt-LT"/>
    </w:rPr>
  </w:style>
  <w:style w:type="character" w:styleId="Komentaronuoroda">
    <w:name w:val="annotation reference"/>
    <w:basedOn w:val="Numatytasispastraiposriftas"/>
    <w:uiPriority w:val="99"/>
    <w:semiHidden/>
    <w:unhideWhenUsed/>
    <w:rsid w:val="000139DD"/>
    <w:rPr>
      <w:sz w:val="18"/>
      <w:szCs w:val="18"/>
    </w:rPr>
  </w:style>
  <w:style w:type="paragraph" w:styleId="Debesliotekstas">
    <w:name w:val="Balloon Text"/>
    <w:basedOn w:val="prastasis"/>
    <w:link w:val="DebesliotekstasDiagrama"/>
    <w:uiPriority w:val="99"/>
    <w:semiHidden/>
    <w:unhideWhenUsed/>
    <w:rsid w:val="000139DD"/>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139DD"/>
    <w:rPr>
      <w:rFonts w:ascii="Segoe UI" w:eastAsiaTheme="minorEastAsia" w:hAnsi="Segoe UI" w:cs="Segoe UI"/>
      <w:sz w:val="18"/>
      <w:szCs w:val="18"/>
      <w:lang w:val="en-US"/>
    </w:rPr>
  </w:style>
  <w:style w:type="character" w:styleId="Emfaz">
    <w:name w:val="Emphasis"/>
    <w:basedOn w:val="Numatytasispastraiposriftas"/>
    <w:uiPriority w:val="20"/>
    <w:qFormat/>
    <w:rsid w:val="000139DD"/>
    <w:rPr>
      <w:i/>
      <w:iCs/>
    </w:rPr>
  </w:style>
  <w:style w:type="paragraph" w:styleId="Antrats">
    <w:name w:val="header"/>
    <w:basedOn w:val="prastasis"/>
    <w:link w:val="AntratsDiagrama"/>
    <w:uiPriority w:val="99"/>
    <w:unhideWhenUsed/>
    <w:rsid w:val="000139DD"/>
    <w:pPr>
      <w:tabs>
        <w:tab w:val="center" w:pos="4819"/>
        <w:tab w:val="right" w:pos="9638"/>
      </w:tabs>
    </w:pPr>
  </w:style>
  <w:style w:type="character" w:customStyle="1" w:styleId="AntratsDiagrama">
    <w:name w:val="Antraštės Diagrama"/>
    <w:basedOn w:val="Numatytasispastraiposriftas"/>
    <w:link w:val="Antrats"/>
    <w:uiPriority w:val="99"/>
    <w:rsid w:val="000139DD"/>
    <w:rPr>
      <w:rFonts w:ascii="Times New Roman" w:eastAsiaTheme="minorEastAsia" w:hAnsi="Times New Roman"/>
      <w:sz w:val="24"/>
      <w:szCs w:val="24"/>
      <w:lang w:val="en-US"/>
    </w:rPr>
  </w:style>
  <w:style w:type="character" w:customStyle="1" w:styleId="Antrat2Diagrama">
    <w:name w:val="Antraštė 2 Diagrama"/>
    <w:basedOn w:val="Numatytasispastraiposriftas"/>
    <w:link w:val="Antrat2"/>
    <w:uiPriority w:val="9"/>
    <w:semiHidden/>
    <w:rsid w:val="000139DD"/>
    <w:rPr>
      <w:rFonts w:asciiTheme="majorHAnsi" w:eastAsiaTheme="majorEastAsia" w:hAnsiTheme="majorHAnsi" w:cstheme="majorBidi"/>
      <w:color w:val="2E74B5" w:themeColor="accent1" w:themeShade="BF"/>
      <w:sz w:val="26"/>
      <w:szCs w:val="26"/>
      <w:lang w:val="en-US"/>
    </w:rPr>
  </w:style>
  <w:style w:type="paragraph" w:customStyle="1" w:styleId="Tekstas">
    <w:name w:val="Tekstas"/>
    <w:basedOn w:val="prastasis"/>
    <w:link w:val="TekstasChar"/>
    <w:qFormat/>
    <w:rsid w:val="00CB5110"/>
    <w:pPr>
      <w:spacing w:after="200"/>
      <w:ind w:right="284" w:firstLine="0"/>
    </w:pPr>
    <w:rPr>
      <w:rFonts w:eastAsia="Times New Roman" w:cs="Times New Roman"/>
      <w:lang w:val="lt-LT" w:eastAsia="lt-LT"/>
    </w:rPr>
  </w:style>
  <w:style w:type="character" w:customStyle="1" w:styleId="TekstasChar">
    <w:name w:val="Tekstas Char"/>
    <w:link w:val="Tekstas"/>
    <w:rsid w:val="00CB5110"/>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Table of contents numbered Diagrama"/>
    <w:basedOn w:val="Numatytasispastraiposriftas"/>
    <w:link w:val="Sraopastraipa"/>
    <w:uiPriority w:val="34"/>
    <w:locked/>
    <w:rsid w:val="00CB5110"/>
    <w:rPr>
      <w:rFonts w:ascii="Times New Roman" w:eastAsiaTheme="minorEastAsia" w:hAnsi="Times New Roman"/>
      <w:sz w:val="24"/>
      <w:szCs w:val="24"/>
      <w:lang w:val="en-US"/>
    </w:rPr>
  </w:style>
  <w:style w:type="paragraph" w:styleId="Komentarotema">
    <w:name w:val="annotation subject"/>
    <w:basedOn w:val="Komentarotekstas"/>
    <w:next w:val="Komentarotekstas"/>
    <w:link w:val="KomentarotemaDiagrama"/>
    <w:uiPriority w:val="99"/>
    <w:semiHidden/>
    <w:unhideWhenUsed/>
    <w:rsid w:val="000C69AE"/>
    <w:pPr>
      <w:spacing w:line="240" w:lineRule="auto"/>
    </w:pPr>
    <w:rPr>
      <w:b/>
      <w:bCs/>
      <w:sz w:val="20"/>
      <w:szCs w:val="20"/>
    </w:rPr>
  </w:style>
  <w:style w:type="character" w:customStyle="1" w:styleId="KomentarotemaDiagrama">
    <w:name w:val="Komentaro tema Diagrama"/>
    <w:basedOn w:val="KomentarotekstasDiagrama"/>
    <w:link w:val="Komentarotema"/>
    <w:uiPriority w:val="99"/>
    <w:semiHidden/>
    <w:rsid w:val="000C69AE"/>
    <w:rPr>
      <w:rFonts w:ascii="Times New Roman" w:eastAsiaTheme="minorEastAsia" w:hAnsi="Times New Roman"/>
      <w:b/>
      <w:bCs/>
      <w:sz w:val="20"/>
      <w:szCs w:val="20"/>
      <w:lang w:val="en-US"/>
    </w:rPr>
  </w:style>
  <w:style w:type="paragraph" w:styleId="Porat">
    <w:name w:val="footer"/>
    <w:basedOn w:val="prastasis"/>
    <w:link w:val="PoratDiagrama"/>
    <w:uiPriority w:val="99"/>
    <w:unhideWhenUsed/>
    <w:rsid w:val="00263BD6"/>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263BD6"/>
    <w:rPr>
      <w:rFonts w:ascii="Times New Roman" w:eastAsiaTheme="minorEastAsia" w:hAnsi="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9596E"/>
    <w:pPr>
      <w:spacing w:after="0" w:line="276" w:lineRule="auto"/>
      <w:ind w:firstLine="737"/>
      <w:jc w:val="both"/>
    </w:pPr>
    <w:rPr>
      <w:rFonts w:ascii="Times New Roman" w:eastAsiaTheme="minorEastAsia" w:hAnsi="Times New Roman"/>
      <w:sz w:val="24"/>
      <w:szCs w:val="24"/>
      <w:lang w:val="en-US"/>
    </w:rPr>
  </w:style>
  <w:style w:type="paragraph" w:styleId="Antrat2">
    <w:name w:val="heading 2"/>
    <w:basedOn w:val="prastasis"/>
    <w:next w:val="prastasis"/>
    <w:link w:val="Antrat2Diagrama"/>
    <w:uiPriority w:val="9"/>
    <w:semiHidden/>
    <w:unhideWhenUsed/>
    <w:qFormat/>
    <w:rsid w:val="000139D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0139DD"/>
    <w:pPr>
      <w:keepNext/>
      <w:keepLines/>
      <w:spacing w:before="40"/>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Footnote text,fn,Footnote Text Char Char,Footnote Text Char Char Char Char,Footnote Text Char Char Char Char Char,Footnote Text Char Char Char Char Char Char Char Char,Footnote Text Char Char Char,Footnote Text Char1,f"/>
    <w:basedOn w:val="prastasis"/>
    <w:link w:val="PuslapioinaostekstasDiagrama"/>
    <w:uiPriority w:val="99"/>
    <w:qFormat/>
    <w:rsid w:val="002C4C2B"/>
    <w:rPr>
      <w:rFonts w:ascii="Arial" w:eastAsia="Times New Roman" w:hAnsi="Arial" w:cs="Arial"/>
      <w:sz w:val="20"/>
      <w:szCs w:val="20"/>
      <w:lang w:val="en-GB"/>
    </w:rPr>
  </w:style>
  <w:style w:type="character" w:customStyle="1" w:styleId="PuslapioinaostekstasDiagrama">
    <w:name w:val="Puslapio išnašos tekstas Diagrama"/>
    <w:aliases w:val="Footnote Diagrama,Footnote text Diagrama,fn Diagrama,Footnote Text Char Char Diagrama,Footnote Text Char Char Char Char Diagrama,Footnote Text Char Char Char Char Char Diagrama,Footnote Text Char Char Char Diagrama"/>
    <w:basedOn w:val="Numatytasispastraiposriftas"/>
    <w:link w:val="Puslapioinaostekstas"/>
    <w:uiPriority w:val="99"/>
    <w:rsid w:val="002C4C2B"/>
    <w:rPr>
      <w:rFonts w:ascii="Arial" w:eastAsia="Times New Roman" w:hAnsi="Arial" w:cs="Arial"/>
      <w:sz w:val="20"/>
      <w:szCs w:val="20"/>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link w:val="SUPERSChar"/>
    <w:uiPriority w:val="99"/>
    <w:qFormat/>
    <w:rsid w:val="002C4C2B"/>
    <w:rPr>
      <w:vertAlign w:val="superscript"/>
    </w:rPr>
  </w:style>
  <w:style w:type="paragraph" w:customStyle="1" w:styleId="SUPERSChar">
    <w:name w:val="SUPERS Char"/>
    <w:aliases w:val="EN Footnote Reference Char"/>
    <w:basedOn w:val="prastasis"/>
    <w:link w:val="Puslapioinaosnuoroda"/>
    <w:uiPriority w:val="99"/>
    <w:rsid w:val="002C4C2B"/>
    <w:pPr>
      <w:spacing w:after="160" w:line="240" w:lineRule="exact"/>
      <w:ind w:firstLine="0"/>
      <w:jc w:val="left"/>
    </w:pPr>
    <w:rPr>
      <w:rFonts w:asciiTheme="minorHAnsi" w:eastAsiaTheme="minorHAnsi" w:hAnsiTheme="minorHAnsi"/>
      <w:sz w:val="22"/>
      <w:szCs w:val="22"/>
      <w:vertAlign w:val="superscript"/>
      <w:lang w:val="en-GB"/>
    </w:rPr>
  </w:style>
  <w:style w:type="paragraph" w:styleId="Komentarotekstas">
    <w:name w:val="annotation text"/>
    <w:basedOn w:val="prastasis"/>
    <w:link w:val="KomentarotekstasDiagrama"/>
    <w:uiPriority w:val="99"/>
    <w:unhideWhenUsed/>
    <w:rsid w:val="000139DD"/>
  </w:style>
  <w:style w:type="character" w:customStyle="1" w:styleId="KomentarotekstasDiagrama">
    <w:name w:val="Komentaro tekstas Diagrama"/>
    <w:basedOn w:val="Numatytasispastraiposriftas"/>
    <w:link w:val="Komentarotekstas"/>
    <w:uiPriority w:val="99"/>
    <w:rsid w:val="000139DD"/>
    <w:rPr>
      <w:rFonts w:ascii="Times New Roman" w:eastAsiaTheme="minorEastAsia" w:hAnsi="Times New Roman"/>
      <w:sz w:val="24"/>
      <w:szCs w:val="24"/>
      <w:lang w:val="en-US"/>
    </w:rPr>
  </w:style>
  <w:style w:type="paragraph" w:styleId="Sraopastraipa">
    <w:name w:val="List Paragraph"/>
    <w:aliases w:val="Table of contents numbered"/>
    <w:basedOn w:val="prastasis"/>
    <w:next w:val="Antrat3"/>
    <w:link w:val="SraopastraipaDiagrama"/>
    <w:uiPriority w:val="34"/>
    <w:qFormat/>
    <w:rsid w:val="000139DD"/>
    <w:pPr>
      <w:ind w:left="720"/>
      <w:contextualSpacing/>
    </w:pPr>
  </w:style>
  <w:style w:type="character" w:customStyle="1" w:styleId="Antrat3Diagrama">
    <w:name w:val="Antraštė 3 Diagrama"/>
    <w:basedOn w:val="Numatytasispastraiposriftas"/>
    <w:link w:val="Antrat3"/>
    <w:uiPriority w:val="9"/>
    <w:rsid w:val="000139DD"/>
    <w:rPr>
      <w:rFonts w:asciiTheme="majorHAnsi" w:eastAsiaTheme="majorEastAsia" w:hAnsiTheme="majorHAnsi" w:cstheme="majorBidi"/>
      <w:color w:val="1F4D78" w:themeColor="accent1" w:themeShade="7F"/>
      <w:sz w:val="24"/>
      <w:szCs w:val="24"/>
      <w:lang w:val="en-US"/>
    </w:rPr>
  </w:style>
  <w:style w:type="paragraph" w:styleId="Antrat">
    <w:name w:val="caption"/>
    <w:aliases w:val="Table caption,paveikslas,Paveikslo pavadinimas"/>
    <w:basedOn w:val="prastasis"/>
    <w:next w:val="prastasis"/>
    <w:link w:val="AntratDiagrama"/>
    <w:uiPriority w:val="35"/>
    <w:unhideWhenUsed/>
    <w:qFormat/>
    <w:rsid w:val="000139DD"/>
    <w:pPr>
      <w:spacing w:after="200"/>
      <w:jc w:val="right"/>
    </w:pPr>
    <w:rPr>
      <w:b/>
      <w:bCs/>
      <w:color w:val="5B9BD5" w:themeColor="accent1"/>
      <w:szCs w:val="18"/>
    </w:rPr>
  </w:style>
  <w:style w:type="table" w:styleId="Lentelstinklelis">
    <w:name w:val="Table Grid"/>
    <w:basedOn w:val="prastojilentel"/>
    <w:uiPriority w:val="59"/>
    <w:rsid w:val="000139DD"/>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Diagrama">
    <w:name w:val="Antraštė Diagrama"/>
    <w:aliases w:val="Table caption Diagrama,paveikslas Diagrama,Paveikslo pavadinimas Diagrama"/>
    <w:link w:val="Antrat"/>
    <w:uiPriority w:val="35"/>
    <w:rsid w:val="000139DD"/>
    <w:rPr>
      <w:rFonts w:ascii="Times New Roman" w:eastAsiaTheme="minorEastAsia" w:hAnsi="Times New Roman"/>
      <w:b/>
      <w:bCs/>
      <w:color w:val="5B9BD5" w:themeColor="accent1"/>
      <w:sz w:val="24"/>
      <w:szCs w:val="18"/>
      <w:lang w:val="en-US"/>
    </w:rPr>
  </w:style>
  <w:style w:type="character" w:styleId="Hipersaitas">
    <w:name w:val="Hyperlink"/>
    <w:basedOn w:val="Numatytasispastraiposriftas"/>
    <w:uiPriority w:val="99"/>
    <w:unhideWhenUsed/>
    <w:rsid w:val="000139DD"/>
    <w:rPr>
      <w:color w:val="0563C1" w:themeColor="hyperlink"/>
      <w:u w:val="single"/>
    </w:rPr>
  </w:style>
  <w:style w:type="paragraph" w:customStyle="1" w:styleId="CM1">
    <w:name w:val="CM1"/>
    <w:basedOn w:val="prastasis"/>
    <w:next w:val="prastasis"/>
    <w:uiPriority w:val="99"/>
    <w:rsid w:val="000139DD"/>
    <w:pPr>
      <w:autoSpaceDE w:val="0"/>
      <w:autoSpaceDN w:val="0"/>
      <w:adjustRightInd w:val="0"/>
      <w:spacing w:line="240" w:lineRule="auto"/>
      <w:ind w:firstLine="0"/>
      <w:jc w:val="left"/>
    </w:pPr>
    <w:rPr>
      <w:rFonts w:ascii="EUAlbertina" w:eastAsiaTheme="minorHAnsi" w:hAnsi="EUAlbertina"/>
      <w:lang w:val="lt-LT"/>
    </w:rPr>
  </w:style>
  <w:style w:type="character" w:styleId="Komentaronuoroda">
    <w:name w:val="annotation reference"/>
    <w:basedOn w:val="Numatytasispastraiposriftas"/>
    <w:uiPriority w:val="99"/>
    <w:semiHidden/>
    <w:unhideWhenUsed/>
    <w:rsid w:val="000139DD"/>
    <w:rPr>
      <w:sz w:val="18"/>
      <w:szCs w:val="18"/>
    </w:rPr>
  </w:style>
  <w:style w:type="paragraph" w:styleId="Debesliotekstas">
    <w:name w:val="Balloon Text"/>
    <w:basedOn w:val="prastasis"/>
    <w:link w:val="DebesliotekstasDiagrama"/>
    <w:uiPriority w:val="99"/>
    <w:semiHidden/>
    <w:unhideWhenUsed/>
    <w:rsid w:val="000139DD"/>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139DD"/>
    <w:rPr>
      <w:rFonts w:ascii="Segoe UI" w:eastAsiaTheme="minorEastAsia" w:hAnsi="Segoe UI" w:cs="Segoe UI"/>
      <w:sz w:val="18"/>
      <w:szCs w:val="18"/>
      <w:lang w:val="en-US"/>
    </w:rPr>
  </w:style>
  <w:style w:type="character" w:styleId="Emfaz">
    <w:name w:val="Emphasis"/>
    <w:basedOn w:val="Numatytasispastraiposriftas"/>
    <w:uiPriority w:val="20"/>
    <w:qFormat/>
    <w:rsid w:val="000139DD"/>
    <w:rPr>
      <w:i/>
      <w:iCs/>
    </w:rPr>
  </w:style>
  <w:style w:type="paragraph" w:styleId="Antrats">
    <w:name w:val="header"/>
    <w:basedOn w:val="prastasis"/>
    <w:link w:val="AntratsDiagrama"/>
    <w:uiPriority w:val="99"/>
    <w:unhideWhenUsed/>
    <w:rsid w:val="000139DD"/>
    <w:pPr>
      <w:tabs>
        <w:tab w:val="center" w:pos="4819"/>
        <w:tab w:val="right" w:pos="9638"/>
      </w:tabs>
    </w:pPr>
  </w:style>
  <w:style w:type="character" w:customStyle="1" w:styleId="AntratsDiagrama">
    <w:name w:val="Antraštės Diagrama"/>
    <w:basedOn w:val="Numatytasispastraiposriftas"/>
    <w:link w:val="Antrats"/>
    <w:uiPriority w:val="99"/>
    <w:rsid w:val="000139DD"/>
    <w:rPr>
      <w:rFonts w:ascii="Times New Roman" w:eastAsiaTheme="minorEastAsia" w:hAnsi="Times New Roman"/>
      <w:sz w:val="24"/>
      <w:szCs w:val="24"/>
      <w:lang w:val="en-US"/>
    </w:rPr>
  </w:style>
  <w:style w:type="character" w:customStyle="1" w:styleId="Antrat2Diagrama">
    <w:name w:val="Antraštė 2 Diagrama"/>
    <w:basedOn w:val="Numatytasispastraiposriftas"/>
    <w:link w:val="Antrat2"/>
    <w:uiPriority w:val="9"/>
    <w:semiHidden/>
    <w:rsid w:val="000139DD"/>
    <w:rPr>
      <w:rFonts w:asciiTheme="majorHAnsi" w:eastAsiaTheme="majorEastAsia" w:hAnsiTheme="majorHAnsi" w:cstheme="majorBidi"/>
      <w:color w:val="2E74B5" w:themeColor="accent1" w:themeShade="BF"/>
      <w:sz w:val="26"/>
      <w:szCs w:val="26"/>
      <w:lang w:val="en-US"/>
    </w:rPr>
  </w:style>
  <w:style w:type="paragraph" w:customStyle="1" w:styleId="Tekstas">
    <w:name w:val="Tekstas"/>
    <w:basedOn w:val="prastasis"/>
    <w:link w:val="TekstasChar"/>
    <w:qFormat/>
    <w:rsid w:val="00CB5110"/>
    <w:pPr>
      <w:spacing w:after="200"/>
      <w:ind w:right="284" w:firstLine="0"/>
    </w:pPr>
    <w:rPr>
      <w:rFonts w:eastAsia="Times New Roman" w:cs="Times New Roman"/>
      <w:lang w:val="lt-LT" w:eastAsia="lt-LT"/>
    </w:rPr>
  </w:style>
  <w:style w:type="character" w:customStyle="1" w:styleId="TekstasChar">
    <w:name w:val="Tekstas Char"/>
    <w:link w:val="Tekstas"/>
    <w:rsid w:val="00CB5110"/>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Table of contents numbered Diagrama"/>
    <w:basedOn w:val="Numatytasispastraiposriftas"/>
    <w:link w:val="Sraopastraipa"/>
    <w:uiPriority w:val="34"/>
    <w:locked/>
    <w:rsid w:val="00CB5110"/>
    <w:rPr>
      <w:rFonts w:ascii="Times New Roman" w:eastAsiaTheme="minorEastAsia" w:hAnsi="Times New Roman"/>
      <w:sz w:val="24"/>
      <w:szCs w:val="24"/>
      <w:lang w:val="en-US"/>
    </w:rPr>
  </w:style>
  <w:style w:type="paragraph" w:styleId="Komentarotema">
    <w:name w:val="annotation subject"/>
    <w:basedOn w:val="Komentarotekstas"/>
    <w:next w:val="Komentarotekstas"/>
    <w:link w:val="KomentarotemaDiagrama"/>
    <w:uiPriority w:val="99"/>
    <w:semiHidden/>
    <w:unhideWhenUsed/>
    <w:rsid w:val="000C69AE"/>
    <w:pPr>
      <w:spacing w:line="240" w:lineRule="auto"/>
    </w:pPr>
    <w:rPr>
      <w:b/>
      <w:bCs/>
      <w:sz w:val="20"/>
      <w:szCs w:val="20"/>
    </w:rPr>
  </w:style>
  <w:style w:type="character" w:customStyle="1" w:styleId="KomentarotemaDiagrama">
    <w:name w:val="Komentaro tema Diagrama"/>
    <w:basedOn w:val="KomentarotekstasDiagrama"/>
    <w:link w:val="Komentarotema"/>
    <w:uiPriority w:val="99"/>
    <w:semiHidden/>
    <w:rsid w:val="000C69AE"/>
    <w:rPr>
      <w:rFonts w:ascii="Times New Roman" w:eastAsiaTheme="minorEastAsia" w:hAnsi="Times New Roman"/>
      <w:b/>
      <w:bCs/>
      <w:sz w:val="20"/>
      <w:szCs w:val="20"/>
      <w:lang w:val="en-US"/>
    </w:rPr>
  </w:style>
  <w:style w:type="paragraph" w:styleId="Porat">
    <w:name w:val="footer"/>
    <w:basedOn w:val="prastasis"/>
    <w:link w:val="PoratDiagrama"/>
    <w:uiPriority w:val="99"/>
    <w:unhideWhenUsed/>
    <w:rsid w:val="00263BD6"/>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263BD6"/>
    <w:rPr>
      <w:rFonts w:ascii="Times New Roman" w:eastAsiaTheme="minorEastAsia"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88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8</Pages>
  <Words>15204</Words>
  <Characters>8667</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Jonušaitė</dc:creator>
  <cp:keywords/>
  <dc:description/>
  <cp:lastModifiedBy>Loreta S.</cp:lastModifiedBy>
  <cp:revision>72</cp:revision>
  <cp:lastPrinted>2015-04-13T13:37:00Z</cp:lastPrinted>
  <dcterms:created xsi:type="dcterms:W3CDTF">2015-04-02T10:24:00Z</dcterms:created>
  <dcterms:modified xsi:type="dcterms:W3CDTF">2015-04-13T14:34:00Z</dcterms:modified>
</cp:coreProperties>
</file>