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XSpec="center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E78ED" w:rsidRPr="00086E14" w14:paraId="158728A0" w14:textId="77777777" w:rsidTr="003D1C9B">
        <w:tc>
          <w:tcPr>
            <w:tcW w:w="3696" w:type="dxa"/>
          </w:tcPr>
          <w:p w14:paraId="4B3398A1" w14:textId="0019D3CB" w:rsidR="008379FF" w:rsidRPr="00086E14" w:rsidRDefault="008379FF" w:rsidP="003D1C9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  <w:r w:rsidR="00602657">
              <w:rPr>
                <w:rFonts w:ascii="Times New Roman" w:hAnsi="Times New Roman" w:cs="Times New Roman"/>
                <w:i/>
                <w:sz w:val="24"/>
                <w:szCs w:val="24"/>
              </w:rPr>
              <w:t>2017-</w:t>
            </w:r>
            <w:r w:rsidR="000D7EC0">
              <w:rPr>
                <w:rFonts w:ascii="Times New Roman" w:hAnsi="Times New Roman" w:cs="Times New Roman"/>
                <w:i/>
                <w:sz w:val="24"/>
                <w:szCs w:val="24"/>
              </w:rPr>
              <w:t>03-30</w:t>
            </w:r>
            <w:r w:rsidRPr="00936A05">
              <w:rPr>
                <w:rFonts w:ascii="Times New Roman" w:hAnsi="Times New Roman" w:cs="Times New Roman"/>
                <w:i/>
                <w:sz w:val="24"/>
                <w:szCs w:val="24"/>
              </w:rPr>
              <w:t>___________</w:t>
            </w:r>
          </w:p>
          <w:p w14:paraId="15732E5C" w14:textId="77777777" w:rsidR="003B79DC" w:rsidRPr="00086E14" w:rsidRDefault="008379FF" w:rsidP="003D1C9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3B79DC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vietimo paskelbimo data</w:t>
            </w: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EC6390A" w14:textId="77777777" w:rsidR="000E78ED" w:rsidRPr="00E01724" w:rsidRDefault="000E78ED" w:rsidP="003D1C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22AE64E9" w14:textId="77777777" w:rsidTr="003D1C9B">
        <w:tc>
          <w:tcPr>
            <w:tcW w:w="3696" w:type="dxa"/>
          </w:tcPr>
          <w:tbl>
            <w:tblPr>
              <w:tblStyle w:val="Lentelstinklelis"/>
              <w:tblW w:w="9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19"/>
              <w:gridCol w:w="4161"/>
            </w:tblGrid>
            <w:tr w:rsidR="007D52FB" w:rsidRPr="00067B16" w14:paraId="77552A13" w14:textId="77777777" w:rsidTr="00602657">
              <w:trPr>
                <w:trHeight w:val="1976"/>
              </w:trPr>
              <w:tc>
                <w:tcPr>
                  <w:tcW w:w="9216" w:type="dxa"/>
                  <w:gridSpan w:val="3"/>
                  <w:vAlign w:val="center"/>
                </w:tcPr>
                <w:p w14:paraId="7D2E3C7E" w14:textId="77777777" w:rsidR="000E78ED" w:rsidRPr="007D52FB" w:rsidRDefault="000E78ED" w:rsidP="0079003E">
                  <w:pPr>
                    <w:framePr w:hSpace="180" w:wrap="around" w:vAnchor="text" w:hAnchor="margin" w:xAlign="center" w:y="-28"/>
                    <w:rPr>
                      <w:i/>
                    </w:rPr>
                  </w:pPr>
                </w:p>
                <w:p w14:paraId="71D39AB7" w14:textId="77777777" w:rsidR="000E78ED" w:rsidRPr="00067B16" w:rsidRDefault="00D0100B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20C7D97B" wp14:editId="2DEF07F2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E362E1" w14:textId="77777777" w:rsidR="00D0100B" w:rsidRPr="00067B16" w:rsidRDefault="00D0100B" w:rsidP="0079003E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4DEE312D" w14:textId="77777777" w:rsidTr="00602657">
              <w:trPr>
                <w:trHeight w:val="430"/>
              </w:trPr>
              <w:tc>
                <w:tcPr>
                  <w:tcW w:w="9216" w:type="dxa"/>
                  <w:gridSpan w:val="3"/>
                </w:tcPr>
                <w:p w14:paraId="193C2107" w14:textId="77777777" w:rsidR="0040769E" w:rsidRDefault="00787614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pagal priemonę</w:t>
                  </w:r>
                </w:p>
                <w:p w14:paraId="32CBC26A" w14:textId="77777777" w:rsidR="00787614" w:rsidRPr="00521B88" w:rsidRDefault="00602657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03.3.2-LVPA-K-832 „</w:t>
                  </w:r>
                  <w:proofErr w:type="spellStart"/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Eco</w:t>
                  </w:r>
                  <w:proofErr w:type="spellEnd"/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-inovacijos LT“</w:t>
                  </w:r>
                </w:p>
              </w:tc>
            </w:tr>
            <w:tr w:rsidR="007D52FB" w:rsidRPr="00067B16" w14:paraId="7469634B" w14:textId="77777777" w:rsidTr="00602657">
              <w:tc>
                <w:tcPr>
                  <w:tcW w:w="9216" w:type="dxa"/>
                  <w:gridSpan w:val="3"/>
                </w:tcPr>
                <w:p w14:paraId="45E16EED" w14:textId="77777777" w:rsidR="00787614" w:rsidRPr="00067B16" w:rsidRDefault="00787614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1DF26FF9" w14:textId="77777777" w:rsidTr="00602657">
              <w:trPr>
                <w:trHeight w:val="343"/>
              </w:trPr>
              <w:tc>
                <w:tcPr>
                  <w:tcW w:w="9216" w:type="dxa"/>
                  <w:gridSpan w:val="3"/>
                </w:tcPr>
                <w:p w14:paraId="0A13355A" w14:textId="77777777" w:rsidR="00787614" w:rsidRPr="00067B16" w:rsidRDefault="00787614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803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02</w:t>
                  </w:r>
                </w:p>
              </w:tc>
            </w:tr>
            <w:tr w:rsidR="00E17445" w:rsidRPr="00067B16" w14:paraId="76D2CE4A" w14:textId="77777777" w:rsidTr="00602657">
              <w:tc>
                <w:tcPr>
                  <w:tcW w:w="5055" w:type="dxa"/>
                  <w:gridSpan w:val="2"/>
                </w:tcPr>
                <w:p w14:paraId="78BE78B9" w14:textId="77777777" w:rsidR="00E17445" w:rsidRPr="00067B16" w:rsidRDefault="00E1744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1" w:type="dxa"/>
                </w:tcPr>
                <w:p w14:paraId="3E2A462C" w14:textId="77777777" w:rsidR="00E17445" w:rsidRPr="00067B16" w:rsidRDefault="00E1744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42502346" w14:textId="77777777" w:rsidTr="00602657">
              <w:trPr>
                <w:trHeight w:val="437"/>
              </w:trPr>
              <w:tc>
                <w:tcPr>
                  <w:tcW w:w="5055" w:type="dxa"/>
                  <w:gridSpan w:val="2"/>
                </w:tcPr>
                <w:p w14:paraId="1040D197" w14:textId="77777777" w:rsidR="000E78ED" w:rsidRPr="00067B16" w:rsidRDefault="000E78ED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161" w:type="dxa"/>
                </w:tcPr>
                <w:p w14:paraId="21B54621" w14:textId="77777777" w:rsidR="00485DFB" w:rsidRPr="00067B16" w:rsidRDefault="00485DFB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447A96B5" w14:textId="77777777" w:rsidTr="00602657">
              <w:tc>
                <w:tcPr>
                  <w:tcW w:w="9216" w:type="dxa"/>
                  <w:gridSpan w:val="3"/>
                </w:tcPr>
                <w:p w14:paraId="1766129E" w14:textId="77777777" w:rsidR="0073341B" w:rsidRPr="00067B16" w:rsidRDefault="003D1C9B" w:rsidP="00602657">
                  <w:pPr>
                    <w:framePr w:hSpace="180" w:wrap="around" w:vAnchor="text" w:hAnchor="margin" w:xAlign="center" w:y="-28"/>
                    <w:ind w:left="-249" w:firstLine="24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</w:t>
                  </w:r>
                  <w:r w:rsidR="00E174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Respublikos ūkio ministerija ir </w:t>
                  </w:r>
                  <w:r w:rsidR="0039058C" w:rsidRPr="003905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viešoji įstaiga Lietuvos verslo paramos agentūra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1E4F73D" w14:textId="105013A4" w:rsidR="000E78ED" w:rsidRDefault="00725811" w:rsidP="0039058C">
                  <w:pPr>
                    <w:framePr w:hSpace="180" w:wrap="around" w:vAnchor="text" w:hAnchor="margin" w:xAlign="center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(toliau – LVPA)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="00F726E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Nr. 03.3.2-LVPA-K-832 „</w:t>
                  </w:r>
                  <w:proofErr w:type="spellStart"/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Eco</w:t>
                  </w:r>
                  <w:proofErr w:type="spellEnd"/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-inovacijos LT“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7EDAFB6" w14:textId="77777777" w:rsidR="00E17445" w:rsidRPr="00067B16" w:rsidRDefault="00E1744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1862FF76" w14:textId="77777777" w:rsidTr="00602657">
              <w:trPr>
                <w:trHeight w:val="304"/>
              </w:trPr>
              <w:tc>
                <w:tcPr>
                  <w:tcW w:w="9216" w:type="dxa"/>
                  <w:gridSpan w:val="3"/>
                </w:tcPr>
                <w:p w14:paraId="2DF4836F" w14:textId="77777777" w:rsidR="000E78ED" w:rsidRPr="00067B16" w:rsidRDefault="000E78ED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02A7AE5E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F05F2" w14:textId="77777777" w:rsidR="0028256E" w:rsidRPr="00067B16" w:rsidRDefault="00DE6ED1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74C3D19A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D0618" w14:textId="77777777" w:rsidR="0094300F" w:rsidRDefault="00602657" w:rsidP="00602657">
                  <w:pPr>
                    <w:framePr w:hSpace="180" w:wrap="around" w:vAnchor="text" w:hAnchor="margin" w:xAlign="center" w:y="-2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Paskatinti labai mažas, mažas ir vidutines įmones (toliau –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MVĮ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diegtis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netechnolologines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ekoinovacijas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t. y.</w:t>
                  </w:r>
                  <w:r w:rsidRPr="00B36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diegti a</w:t>
                  </w:r>
                  <w:r w:rsidRPr="00602657">
                    <w:rPr>
                      <w:rFonts w:ascii="Times New Roman" w:hAnsi="Times New Roman"/>
                      <w:sz w:val="24"/>
                      <w:szCs w:val="24"/>
                    </w:rPr>
                    <w:t>plinkosaugos vadybos (valdymo) sistema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Pr="00A92C9E">
                    <w:rPr>
                      <w:rFonts w:ascii="Times New Roman" w:hAnsi="Times New Roman"/>
                      <w:sz w:val="24"/>
                      <w:szCs w:val="24"/>
                    </w:rPr>
                    <w:t xml:space="preserve"> (toliau – </w:t>
                  </w:r>
                  <w:proofErr w:type="spellStart"/>
                  <w:r w:rsidRPr="00A92C9E">
                    <w:rPr>
                      <w:rFonts w:ascii="Times New Roman" w:hAnsi="Times New Roman"/>
                      <w:sz w:val="24"/>
                      <w:szCs w:val="24"/>
                    </w:rPr>
                    <w:t>AVS</w:t>
                  </w:r>
                  <w:proofErr w:type="spellEnd"/>
                  <w:r w:rsidRPr="00A92C9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B3647D">
                    <w:rPr>
                      <w:rFonts w:ascii="Times New Roman" w:hAnsi="Times New Roman"/>
                      <w:sz w:val="24"/>
                      <w:szCs w:val="24"/>
                    </w:rPr>
                    <w:t>atlik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ti</w:t>
                  </w:r>
                  <w:r w:rsidRPr="00B36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gamybos technologinius ir (ar) </w:t>
                  </w:r>
                  <w:r w:rsidRPr="00B3647D">
                    <w:rPr>
                      <w:rFonts w:ascii="Times New Roman" w:hAnsi="Times New Roman"/>
                      <w:sz w:val="24"/>
                      <w:szCs w:val="24"/>
                    </w:rPr>
                    <w:t xml:space="preserve">aplinkosaugos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auditus </w:t>
                  </w:r>
                  <w:r w:rsidRPr="00B3647D">
                    <w:rPr>
                      <w:rFonts w:ascii="Times New Roman" w:hAnsi="Times New Roman"/>
                      <w:sz w:val="24"/>
                      <w:szCs w:val="24"/>
                    </w:rPr>
                    <w:t>bei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projektuojant gaminius</w:t>
                  </w:r>
                  <w:r w:rsidRPr="00B36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taikyti ekologinio projektavimo principus.</w:t>
                  </w:r>
                </w:p>
                <w:p w14:paraId="00EF9805" w14:textId="77777777" w:rsidR="00BA6424" w:rsidRPr="0088036B" w:rsidRDefault="00BA6424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7DF02C50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9089D" w14:textId="77777777" w:rsidR="0028256E" w:rsidRPr="00067B16" w:rsidRDefault="00DE6ED1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14:paraId="222C6AC7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929A4" w14:textId="77777777" w:rsidR="00602657" w:rsidRPr="005E582F" w:rsidRDefault="00602657" w:rsidP="0060265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</w:t>
                  </w:r>
                  <w:r w:rsidRPr="005E582F">
                    <w:rPr>
                      <w:rFonts w:ascii="Times New Roman" w:hAnsi="Times New Roman"/>
                      <w:sz w:val="24"/>
                      <w:szCs w:val="24"/>
                    </w:rPr>
                    <w:t xml:space="preserve">etechnologinių </w:t>
                  </w:r>
                  <w:proofErr w:type="spellStart"/>
                  <w:r w:rsidRPr="005E582F">
                    <w:rPr>
                      <w:rFonts w:ascii="Times New Roman" w:hAnsi="Times New Roman"/>
                      <w:sz w:val="24"/>
                      <w:szCs w:val="24"/>
                    </w:rPr>
                    <w:t>ekoinovacijų</w:t>
                  </w:r>
                  <w:proofErr w:type="spellEnd"/>
                  <w:r w:rsidRPr="005E582F">
                    <w:rPr>
                      <w:rFonts w:ascii="Times New Roman" w:hAnsi="Times New Roman"/>
                      <w:sz w:val="24"/>
                      <w:szCs w:val="24"/>
                    </w:rPr>
                    <w:t xml:space="preserve"> diegimas ir skatinimas: </w:t>
                  </w:r>
                </w:p>
                <w:p w14:paraId="038F27C9" w14:textId="77777777" w:rsidR="00602657" w:rsidRPr="005E582F" w:rsidRDefault="00602657" w:rsidP="0060265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r w:rsidRPr="00A13C59">
                    <w:rPr>
                      <w:rFonts w:ascii="Times New Roman" w:hAnsi="Times New Roman"/>
                      <w:sz w:val="24"/>
                      <w:szCs w:val="24"/>
                    </w:rPr>
                    <w:t>AVS</w:t>
                  </w:r>
                  <w:proofErr w:type="spellEnd"/>
                  <w:r w:rsidRPr="005E582F">
                    <w:rPr>
                      <w:rFonts w:ascii="Times New Roman" w:hAnsi="Times New Roman"/>
                      <w:sz w:val="24"/>
                      <w:szCs w:val="24"/>
                    </w:rPr>
                    <w:t xml:space="preserve"> pagal tarptautinių standartų reikalavimus diegimas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E582F">
                    <w:rPr>
                      <w:rFonts w:ascii="Times New Roman" w:hAnsi="Times New Roman"/>
                      <w:sz w:val="24"/>
                      <w:szCs w:val="24"/>
                    </w:rPr>
                    <w:t>ir (ar) gamybos technologinių ir 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ar) aplinkosaugos auditų, kurių </w:t>
                  </w:r>
                  <w:r w:rsidRPr="005E582F">
                    <w:rPr>
                      <w:rFonts w:ascii="Times New Roman" w:hAnsi="Times New Roman"/>
                      <w:sz w:val="24"/>
                      <w:szCs w:val="24"/>
                    </w:rPr>
                    <w:t>pagalba būtų pateikta racionalaus išteklių naudojimo ir taršos prevencijos analizė, atlikimas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  <w:r w:rsidRPr="005E582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5F60E22" w14:textId="77777777" w:rsidR="00602657" w:rsidRDefault="00602657" w:rsidP="0060265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2) </w:t>
                  </w:r>
                  <w:r w:rsidRPr="00A13C59">
                    <w:rPr>
                      <w:rFonts w:ascii="Times New Roman" w:hAnsi="Times New Roman"/>
                      <w:sz w:val="24"/>
                      <w:szCs w:val="24"/>
                    </w:rPr>
                    <w:t>ekologiškas</w:t>
                  </w:r>
                  <w:r w:rsidRPr="005E582F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projektavimas. Numatoma paremti projektus, kuriais skatinamas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ekologinis projektavimas, t. y. </w:t>
                  </w:r>
                  <w:r w:rsidRPr="005E582F">
                    <w:rPr>
                      <w:rFonts w:ascii="Times New Roman" w:hAnsi="Times New Roman"/>
                      <w:sz w:val="24"/>
                      <w:szCs w:val="24"/>
                    </w:rPr>
                    <w:t xml:space="preserve">numatoma pagerinti gaminių ekologiškumą per visą jų gyvavimo ciklą (žaliavų parinkimas ir naudojimas, gamyba, pakavimas, transportavimas, naudojimas), ekologinius </w:t>
                  </w:r>
                  <w:r w:rsidRPr="005E582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aspektus sistemingai įtraukiant pačiame ankstyviausiame gaminio projektavimo etape. </w:t>
                  </w:r>
                </w:p>
                <w:p w14:paraId="6B88E619" w14:textId="77777777" w:rsidR="00BA6424" w:rsidRPr="0040769E" w:rsidRDefault="00BA6424" w:rsidP="003D1C9B">
                  <w:pPr>
                    <w:framePr w:hSpace="180" w:wrap="around" w:vAnchor="text" w:hAnchor="margin" w:xAlign="center" w:y="-28"/>
                    <w:tabs>
                      <w:tab w:val="left" w:pos="142"/>
                      <w:tab w:val="left" w:pos="1276"/>
                      <w:tab w:val="left" w:pos="1418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535C6D08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0F42C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Galimi pareiškėjai:</w:t>
                  </w:r>
                </w:p>
                <w:p w14:paraId="2E04003F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A3692" w14:textId="77777777" w:rsidR="00160AB7" w:rsidRPr="00B24D93" w:rsidRDefault="00F85D6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MVĮ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</w:tc>
            </w:tr>
            <w:tr w:rsidR="007D52FB" w:rsidRPr="00067B16" w14:paraId="610E068A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FBEA0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0B720" w14:textId="77777777" w:rsidR="0028256E" w:rsidRPr="00067B16" w:rsidRDefault="0040769E" w:rsidP="00BA6424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Projektų konkursas vienu etapu.</w:t>
                  </w:r>
                </w:p>
              </w:tc>
            </w:tr>
            <w:tr w:rsidR="002F7369" w:rsidRPr="00067B16" w14:paraId="0D5B006D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DB3A5" w14:textId="77777777" w:rsidR="002F7369" w:rsidRPr="00067B16" w:rsidRDefault="002F7369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7881C723" w14:textId="77777777" w:rsidR="002F7369" w:rsidRPr="00067B16" w:rsidRDefault="002F7369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16FD8" w14:textId="77777777" w:rsidR="00602657" w:rsidRPr="00D63629" w:rsidRDefault="00602657" w:rsidP="00602657">
                  <w:pPr>
                    <w:tabs>
                      <w:tab w:val="left" w:pos="1134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Didžiausia galima projektui galima skirti finansavimo lėšų suma yra:</w:t>
                  </w:r>
                </w:p>
                <w:p w14:paraId="08EC7B20" w14:textId="77777777" w:rsidR="00602657" w:rsidRPr="00D63629" w:rsidRDefault="00602657" w:rsidP="00602657">
                  <w:pPr>
                    <w:tabs>
                      <w:tab w:val="left" w:pos="1134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1. jeigu įgyvendinama </w:t>
                  </w:r>
                  <w:r w:rsidRPr="00D63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priemonės Nr. 03.3.2-LVPA-K-832 „</w:t>
                  </w:r>
                  <w:proofErr w:type="spellStart"/>
                  <w:r w:rsidRPr="00D63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Eco</w:t>
                  </w:r>
                  <w:proofErr w:type="spellEnd"/>
                  <w:r w:rsidRPr="00D63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-inovacijos LT“</w:t>
                  </w:r>
                  <w:r w:rsidRPr="00D636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63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finansavimo sąlygų aprašo Nr. 2</w:t>
                  </w:r>
                  <w:r w:rsidRPr="00D63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(toliau </w:t>
                  </w:r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– Aprašas) 10.1 papunktyje nurodyta veikla – 11 000 </w:t>
                  </w:r>
                  <w:proofErr w:type="spellStart"/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(vienuolika tūkstančių eurų);</w:t>
                  </w:r>
                </w:p>
                <w:p w14:paraId="733C434D" w14:textId="77777777" w:rsidR="00602657" w:rsidRPr="00D63629" w:rsidRDefault="00602657" w:rsidP="00602657">
                  <w:pPr>
                    <w:tabs>
                      <w:tab w:val="left" w:pos="1134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 jeigu įgyvendinama Aprašo 10.2 papunktyje nurodyta veikla – 30 000 </w:t>
                  </w:r>
                  <w:proofErr w:type="spellStart"/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(trisdešimt tūkstančių eurų);</w:t>
                  </w:r>
                </w:p>
                <w:p w14:paraId="69EEE884" w14:textId="77777777" w:rsidR="00BA6424" w:rsidRPr="00067B16" w:rsidRDefault="00602657" w:rsidP="00602657">
                  <w:pPr>
                    <w:framePr w:hSpace="180" w:wrap="around" w:vAnchor="text" w:hAnchor="margin" w:xAlign="center" w:y="-28"/>
                    <w:tabs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3. jeigu įgyvendinamos abi Aprašo 10.1 ir 10.2 papunkčiuose nurodytos veiklos – 41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000 </w:t>
                  </w:r>
                  <w:proofErr w:type="spellStart"/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D636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(keturiasdešimt vienas tūkstantis eurų), laikantis Aprašo 35.1 ir 35.2 papunkčiuose nustatytų apribojimų.</w:t>
                  </w:r>
                </w:p>
              </w:tc>
            </w:tr>
            <w:tr w:rsidR="002F7369" w:rsidRPr="00067B16" w14:paraId="39F201E0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BFB5C" w14:textId="77777777" w:rsidR="002F7369" w:rsidRPr="00067B16" w:rsidRDefault="00D37B9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6E73D" w14:textId="77777777" w:rsidR="002F7369" w:rsidRPr="00296D70" w:rsidRDefault="00602657" w:rsidP="00602657">
                  <w:pPr>
                    <w:framePr w:hSpace="180" w:wrap="around" w:vAnchor="text" w:hAnchor="margin" w:xAlign="center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1 448 100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(vienas milijonas keturi šimtai keturiasdešimt aštuoni tūkstančiai vienas šimtas</w:t>
                  </w:r>
                  <w:r w:rsidRPr="00221D92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eurų)</w:t>
                  </w:r>
                  <w:r w:rsidR="005831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62C3A" w:rsidRPr="00067B16" w14:paraId="7F762667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ECBD0" w14:textId="77777777" w:rsidR="00062C3A" w:rsidRPr="00067B16" w:rsidRDefault="00062C3A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DB172" w14:textId="5D31BC61" w:rsidR="00062C3A" w:rsidRPr="00936A05" w:rsidRDefault="00A16636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2017–</w:t>
                  </w:r>
                  <w:r w:rsidR="00973BC9" w:rsidRPr="00936A05">
                    <w:rPr>
                      <w:rFonts w:ascii="Times New Roman" w:hAnsi="Times New Roman" w:cs="Times New Roman"/>
                      <w:sz w:val="24"/>
                    </w:rPr>
                    <w:t>03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–</w:t>
                  </w:r>
                  <w:r w:rsidR="000D7EC0">
                    <w:rPr>
                      <w:rFonts w:ascii="Times New Roman" w:hAnsi="Times New Roman" w:cs="Times New Roman"/>
                      <w:sz w:val="24"/>
                    </w:rPr>
                    <w:t>30</w:t>
                  </w:r>
                  <w:r w:rsidR="00296D70" w:rsidRPr="00936A05">
                    <w:rPr>
                      <w:rFonts w:ascii="Times New Roman" w:hAnsi="Times New Roman" w:cs="Times New Roman"/>
                      <w:sz w:val="24"/>
                    </w:rPr>
                    <w:t>, 9:00</w:t>
                  </w:r>
                </w:p>
                <w:p w14:paraId="362D35CF" w14:textId="77777777" w:rsidR="00BA6424" w:rsidRPr="00936A05" w:rsidDel="00011C71" w:rsidRDefault="00BA6424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062C3A" w:rsidRPr="00067B16" w14:paraId="151B2CFB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C464F" w14:textId="77777777" w:rsidR="00062C3A" w:rsidRPr="00067B16" w:rsidRDefault="00062C3A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</w:t>
                  </w:r>
                  <w:r w:rsidR="005D1B0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(galutinis paraiškų pateikimo terminas)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23F81" w14:textId="4221920A" w:rsidR="00062C3A" w:rsidRPr="00936A05" w:rsidRDefault="00973BC9" w:rsidP="00A16636">
                  <w:pPr>
                    <w:framePr w:hSpace="180" w:wrap="around" w:vAnchor="text" w:hAnchor="margin" w:xAlign="center" w:y="-28"/>
                    <w:widowControl w:val="0"/>
                    <w:shd w:val="clear" w:color="auto" w:fill="FFFFFF"/>
                    <w:tabs>
                      <w:tab w:val="left" w:pos="2943"/>
                    </w:tabs>
                    <w:rPr>
                      <w:rFonts w:ascii="Times New Roman" w:eastAsia="Calibri" w:hAnsi="Times New Roman"/>
                      <w:sz w:val="24"/>
                    </w:rPr>
                  </w:pPr>
                  <w:r w:rsidRPr="00936A05">
                    <w:rPr>
                      <w:rFonts w:ascii="Times New Roman" w:eastAsia="Calibri" w:hAnsi="Times New Roman"/>
                      <w:sz w:val="24"/>
                    </w:rPr>
                    <w:t>2017</w:t>
                  </w:r>
                  <w:r w:rsidR="00A16636">
                    <w:rPr>
                      <w:rFonts w:ascii="Times New Roman" w:eastAsia="Calibri" w:hAnsi="Times New Roman"/>
                      <w:sz w:val="24"/>
                    </w:rPr>
                    <w:t>–</w:t>
                  </w:r>
                  <w:r w:rsidR="00D54ED1" w:rsidRPr="00936A05">
                    <w:rPr>
                      <w:rFonts w:ascii="Times New Roman" w:eastAsia="Calibri" w:hAnsi="Times New Roman"/>
                      <w:sz w:val="24"/>
                    </w:rPr>
                    <w:t>0</w:t>
                  </w:r>
                  <w:r w:rsidR="00A16636">
                    <w:rPr>
                      <w:rFonts w:ascii="Times New Roman" w:eastAsia="Calibri" w:hAnsi="Times New Roman"/>
                      <w:sz w:val="24"/>
                    </w:rPr>
                    <w:t>5–31</w:t>
                  </w:r>
                  <w:r w:rsidR="00296D70" w:rsidRPr="00936A05">
                    <w:rPr>
                      <w:rFonts w:ascii="Times New Roman" w:eastAsia="Calibri" w:hAnsi="Times New Roman"/>
                      <w:sz w:val="24"/>
                    </w:rPr>
                    <w:t>, 16:00</w:t>
                  </w:r>
                </w:p>
              </w:tc>
            </w:tr>
            <w:tr w:rsidR="00B1633E" w:rsidRPr="00067B16" w14:paraId="5DDF3B0B" w14:textId="77777777" w:rsidTr="00602657">
              <w:trPr>
                <w:trHeight w:val="58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948FD" w14:textId="77777777" w:rsidR="00B1633E" w:rsidRPr="00067B16" w:rsidRDefault="00B1633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14:paraId="6991E767" w14:textId="77777777" w:rsidR="00B1633E" w:rsidRPr="00067B16" w:rsidRDefault="00B1633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73DED" w14:textId="77777777" w:rsidR="00296D70" w:rsidRDefault="00296D70" w:rsidP="00D54ED1">
                  <w:pPr>
                    <w:framePr w:hSpace="180" w:wrap="around" w:vAnchor="text" w:hAnchor="margin" w:xAlign="center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Iš Europos Sąjungos</w:t>
                  </w:r>
                  <w:r w:rsidR="00A645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(toliau – ES)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struktūrinių fondų lėšų bendrai finansuojamų projektų duomenų mainų svetaine (toliau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išskyrus Taisyklėse nustatytas išimtis.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naudojimosi tvarka nustatyta Duomenų teikimo per Iš ES struktūrinių fondų lėšų bendrai finansuojamų projektų </w:t>
                  </w:r>
                  <w:proofErr w:type="spellStart"/>
                  <w:r w:rsidR="00A645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 w:rsidR="00A645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tvarkos apraše (Taisyklių 1 priedas).</w:t>
                  </w:r>
                </w:p>
                <w:p w14:paraId="1CBF68F8" w14:textId="77777777" w:rsidR="00296D70" w:rsidRDefault="00296D70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2AAA96" w14:textId="77777777" w:rsidR="00B1633E" w:rsidRPr="00B1633E" w:rsidRDefault="00296D70" w:rsidP="00D54ED1">
                  <w:pPr>
                    <w:framePr w:hSpace="180" w:wrap="around" w:vAnchor="text" w:hAnchor="margin" w:xAlign="center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Jeigu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funkcinės galimybės nepakankamos ar laikinai neužtikrinamos, reikalingą informaciją, susijusią su paraiška ar projekto įgyvendinimu, pareiškėjas ar projekto vykdytojas įgyvendinančiajai institucijai ir įgyvendinančioji institucija pareiškėjui ar projekto vykdytojui teikia raštu.</w:t>
                  </w:r>
                </w:p>
              </w:tc>
            </w:tr>
          </w:tbl>
          <w:p w14:paraId="57E90D41" w14:textId="77777777" w:rsidR="000E78ED" w:rsidRPr="00067B16" w:rsidRDefault="000E78ED" w:rsidP="0079003E">
            <w:pPr>
              <w:rPr>
                <w:rFonts w:ascii="Times New Roman" w:hAnsi="Times New Roman" w:cs="Times New Roman"/>
              </w:rPr>
            </w:pPr>
          </w:p>
        </w:tc>
      </w:tr>
    </w:tbl>
    <w:p w14:paraId="17620082" w14:textId="77777777" w:rsidR="00296D70" w:rsidRDefault="00296D70" w:rsidP="007900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BA481B" w14:textId="77777777" w:rsidR="00912E4F" w:rsidRDefault="00912E4F" w:rsidP="007900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B16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067B16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p w14:paraId="766CF538" w14:textId="77777777" w:rsidR="00296D70" w:rsidRPr="00067B16" w:rsidRDefault="00296D70" w:rsidP="007900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5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939"/>
      </w:tblGrid>
      <w:tr w:rsidR="007348A4" w:rsidRPr="00067B16" w14:paraId="6039EB7D" w14:textId="77777777" w:rsidTr="00935148">
        <w:trPr>
          <w:trHeight w:val="3149"/>
        </w:trPr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85523" w14:textId="77777777" w:rsidR="007348A4" w:rsidRPr="00067B16" w:rsidRDefault="007348A4" w:rsidP="0073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6AC3A" w14:textId="77777777" w:rsidR="00935148" w:rsidRPr="00655B4F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Paraiškos gali būti pateiktos kaip pasirašyti popieriniai dokumentai arba kaip elektroniniai dokumentai, pasirašyti saugiu elektroniniu parašu, priklausomai nuo to, kokią šių dokumentų formą pasirenka pareiškėjas.</w:t>
            </w:r>
          </w:p>
          <w:p w14:paraId="569A1D50" w14:textId="77777777" w:rsidR="00935148" w:rsidRPr="00655B4F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63A5" w14:textId="77777777" w:rsidR="00935148" w:rsidRPr="00655B4F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Jei paraiška teikiama kaip popierinis dokumentas, pareiškėjas turi pateikti vieną paraiškos originalą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jos priedus</w:t>
            </w: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ir elektroninę užpildytos paraiškos formos versiją „</w:t>
            </w:r>
            <w:proofErr w:type="spellStart"/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“ formatu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jos priedus</w:t>
            </w: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, įrašyt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į elektroninę laikmeną. Paraiškos originalo ir elektroninės versijos turinys turi būti identiškas. Nustačius, kad paraiškos elektroninės versijos turinys neatitinka originalo, vadovaujamasi paraiškos originale nurodyta informacija.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CF2AC21" w14:textId="77777777" w:rsidR="00935148" w:rsidRPr="00655B4F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Paraiška turi būti atsiųsta registruota pašto siunta naudojantis pašto paslaugų teikėjų teikiamomis paslaugomis arba pristatyta į LVPA priimamąjį, Savanorių pr. 28, LT-03116 Vilnius. </w:t>
            </w:r>
          </w:p>
          <w:p w14:paraId="54C212C7" w14:textId="77777777" w:rsidR="00935148" w:rsidRPr="00655B4F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73D40" w14:textId="77777777" w:rsidR="00935148" w:rsidRPr="00655B4F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Jei paraiška teikiama kaip elektroninis dokumentas, pareiškėjas turi užpildyti paraišką ir pateikti ją elektroniniu paštu </w:t>
            </w:r>
            <w:hyperlink r:id="rId9" w:history="1">
              <w:r w:rsidRPr="003F47A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dokumentai@lvpa.lt</w:t>
              </w:r>
            </w:hyperlink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Kartu su paraiška teikiami dokumentai ir (ar) skaitmeninės pridedamų dokumentų kopijos elektroniniu parašu gali būti netvirtinami.</w:t>
            </w:r>
          </w:p>
          <w:p w14:paraId="11D59BBE" w14:textId="77777777" w:rsidR="00935148" w:rsidRPr="00655B4F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4732F" w14:textId="6083DED3" w:rsidR="00935148" w:rsidRPr="00936A05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Siunčiant registruota pašto siunta, paraiškos turi būti įteiktos pašto paslaugų teikėjui ne vėliau kaip iki 2017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6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36A05">
              <w:rPr>
                <w:rFonts w:ascii="Times New Roman" w:hAnsi="Times New Roman" w:cs="Times New Roman"/>
                <w:sz w:val="24"/>
                <w:szCs w:val="24"/>
              </w:rPr>
              <w:t xml:space="preserve"> d. 24:00.</w:t>
            </w:r>
          </w:p>
          <w:p w14:paraId="6D839D86" w14:textId="77777777" w:rsidR="00935148" w:rsidRPr="00936A05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F1A82" w14:textId="3C946587" w:rsidR="00935148" w:rsidRPr="00936A05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05">
              <w:rPr>
                <w:rFonts w:ascii="Times New Roman" w:hAnsi="Times New Roman" w:cs="Times New Roman"/>
                <w:sz w:val="24"/>
                <w:szCs w:val="24"/>
              </w:rPr>
              <w:t xml:space="preserve">Jei paraiška nesiunčiama registruotąja pašto siunta, ji turi būti pristatyta į LVPA iki 2017 m. gegužės </w:t>
            </w:r>
            <w:r w:rsidR="00A166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36A05">
              <w:rPr>
                <w:rFonts w:ascii="Times New Roman" w:hAnsi="Times New Roman" w:cs="Times New Roman"/>
                <w:sz w:val="24"/>
                <w:szCs w:val="24"/>
              </w:rPr>
              <w:t xml:space="preserve"> d. 16:00. </w:t>
            </w:r>
          </w:p>
          <w:p w14:paraId="28E8DEBF" w14:textId="77777777" w:rsidR="00935148" w:rsidRPr="00936A05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6000F" w14:textId="0E7548DD" w:rsidR="00935148" w:rsidRPr="00936A05" w:rsidRDefault="00935148" w:rsidP="00935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A05">
              <w:rPr>
                <w:rFonts w:ascii="Times New Roman" w:hAnsi="Times New Roman" w:cs="Times New Roman"/>
                <w:sz w:val="24"/>
                <w:szCs w:val="24"/>
              </w:rPr>
              <w:t>Jei paraiška teikiama kaip elektroni</w:t>
            </w: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nis dokumentas, ji turi būti atsiųsta elektroniniu paštu </w:t>
            </w:r>
            <w:hyperlink r:id="rId10" w:history="1">
              <w:r w:rsidRPr="003F47A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dokumentai@lvpa.lt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iki 2017 m. </w:t>
            </w:r>
            <w:r w:rsidRPr="005F2F39">
              <w:rPr>
                <w:rFonts w:ascii="Times New Roman" w:hAnsi="Times New Roman" w:cs="Times New Roman"/>
                <w:sz w:val="24"/>
                <w:szCs w:val="24"/>
              </w:rPr>
              <w:t xml:space="preserve">gegužės </w:t>
            </w:r>
            <w:r w:rsidR="00A166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36A05">
              <w:rPr>
                <w:rFonts w:ascii="Times New Roman" w:hAnsi="Times New Roman" w:cs="Times New Roman"/>
                <w:sz w:val="24"/>
                <w:szCs w:val="24"/>
              </w:rPr>
              <w:t xml:space="preserve"> d. 16:00. </w:t>
            </w:r>
          </w:p>
          <w:p w14:paraId="492CFB8B" w14:textId="77777777" w:rsidR="00935148" w:rsidRPr="00936A05" w:rsidRDefault="00935148" w:rsidP="0093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0376C" w14:textId="0D8C3F2B" w:rsidR="00935148" w:rsidRDefault="00935148" w:rsidP="00935148">
            <w:pPr>
              <w:jc w:val="both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LVPA neprisiima atsakomybės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ėl ne laiku pristatytų paraiškų.</w:t>
            </w:r>
          </w:p>
          <w:p w14:paraId="3E8DC7E1" w14:textId="63BDF9DC" w:rsidR="00935148" w:rsidRPr="00A15795" w:rsidRDefault="00935148" w:rsidP="007348A4">
            <w:pPr>
              <w:rPr>
                <w:rFonts w:ascii="Times New Roman" w:hAnsi="Times New Roman" w:cs="Times New Roman"/>
              </w:rPr>
            </w:pPr>
          </w:p>
        </w:tc>
      </w:tr>
      <w:tr w:rsidR="007348A4" w:rsidRPr="00067B16" w14:paraId="38FFDC67" w14:textId="77777777" w:rsidTr="005D075F">
        <w:trPr>
          <w:trHeight w:val="571"/>
        </w:trPr>
        <w:tc>
          <w:tcPr>
            <w:tcW w:w="4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BF1B4" w14:textId="77777777" w:rsidR="007348A4" w:rsidRPr="00067B16" w:rsidRDefault="007348A4" w:rsidP="0073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859F4" w14:textId="0A2757EC" w:rsidR="007348A4" w:rsidRPr="00A15795" w:rsidRDefault="007348A4" w:rsidP="007348A4">
            <w:pPr>
              <w:rPr>
                <w:rFonts w:ascii="Times New Roman" w:hAnsi="Times New Roman" w:cs="Times New Roman"/>
              </w:rPr>
            </w:pPr>
          </w:p>
        </w:tc>
      </w:tr>
      <w:tr w:rsidR="00912E4F" w:rsidRPr="00067B16" w14:paraId="791E3AA8" w14:textId="77777777" w:rsidTr="00296BB0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16F" w14:textId="77777777" w:rsidR="00912E4F" w:rsidRPr="00067B16" w:rsidRDefault="00912E4F" w:rsidP="0079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  <w:p w14:paraId="70F05D3E" w14:textId="77777777" w:rsidR="00912E4F" w:rsidRPr="00067B16" w:rsidRDefault="00912E4F" w:rsidP="0079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F45" w14:textId="6374BB5F" w:rsidR="00A56E83" w:rsidRPr="00A56E83" w:rsidRDefault="00A56E83" w:rsidP="00A56E83">
            <w:pPr>
              <w:rPr>
                <w:rFonts w:ascii="Times New Roman" w:hAnsi="Times New Roman" w:cs="Times New Roman"/>
              </w:rPr>
            </w:pPr>
            <w:r w:rsidRPr="00A56E83">
              <w:rPr>
                <w:rFonts w:ascii="Times New Roman" w:hAnsi="Times New Roman" w:cs="Times New Roman"/>
              </w:rPr>
              <w:t>LVPA</w:t>
            </w:r>
          </w:p>
          <w:p w14:paraId="7D8F2F80" w14:textId="5EB9DFC3" w:rsidR="00912E4F" w:rsidRPr="00A15795" w:rsidRDefault="00912E4F" w:rsidP="00D54ED1">
            <w:pPr>
              <w:rPr>
                <w:rFonts w:ascii="Times New Roman" w:hAnsi="Times New Roman" w:cs="Times New Roman"/>
              </w:rPr>
            </w:pPr>
          </w:p>
        </w:tc>
      </w:tr>
      <w:tr w:rsidR="00D54ED1" w:rsidRPr="00067B16" w14:paraId="07578F04" w14:textId="77777777" w:rsidTr="00296BB0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44C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  <w:p w14:paraId="508C056D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410" w14:textId="5C5E15BA" w:rsidR="00D54ED1" w:rsidRPr="00A56E83" w:rsidRDefault="00E0185D" w:rsidP="00D54ED1">
            <w:pPr>
              <w:rPr>
                <w:rFonts w:ascii="Times New Roman" w:hAnsi="Times New Roman" w:cs="Times New Roman"/>
              </w:rPr>
            </w:pPr>
            <w:hyperlink r:id="rId11" w:history="1">
              <w:r w:rsidR="00A56E83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Savanorių pr. 28, LT-03116, Vilnius</w:t>
              </w:r>
            </w:hyperlink>
          </w:p>
        </w:tc>
      </w:tr>
      <w:tr w:rsidR="00D54ED1" w:rsidRPr="00067B16" w14:paraId="7634742C" w14:textId="77777777" w:rsidTr="00296BB0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3E95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14:paraId="016BA177" w14:textId="77777777" w:rsidR="00D54ED1" w:rsidRPr="00067B16" w:rsidRDefault="00D54ED1" w:rsidP="00D54E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7E9" w14:textId="77777777" w:rsidR="00C75E5C" w:rsidRPr="00223FF9" w:rsidRDefault="00C75E5C" w:rsidP="00C75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FF9">
              <w:rPr>
                <w:rFonts w:ascii="Times New Roman" w:hAnsi="Times New Roman" w:cs="Times New Roman"/>
                <w:b/>
                <w:sz w:val="24"/>
                <w:szCs w:val="24"/>
              </w:rPr>
              <w:t>Priemonės projektų tinkamumo klausimais:</w:t>
            </w:r>
          </w:p>
          <w:p w14:paraId="6FD1F6AD" w14:textId="77777777" w:rsidR="00C75E5C" w:rsidRPr="002B13C5" w:rsidRDefault="00C75E5C" w:rsidP="00C7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vyresnysis informavimo specialistas Deividas </w:t>
            </w:r>
            <w:proofErr w:type="spellStart"/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Petrulevičius</w:t>
            </w:r>
            <w:proofErr w:type="spellEnd"/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2" w:history="1">
              <w:r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</w:p>
          <w:p w14:paraId="64F12D4D" w14:textId="77777777" w:rsidR="00C75E5C" w:rsidRPr="002B13C5" w:rsidRDefault="00C75E5C" w:rsidP="00C75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3D6E4" w14:textId="62C35A63" w:rsidR="00C75E5C" w:rsidRDefault="00C75E5C" w:rsidP="00C7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Verslumo skatinimo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 projektų skyriaus </w:t>
            </w:r>
            <w:r w:rsidR="00C678D0">
              <w:rPr>
                <w:rFonts w:ascii="Times New Roman" w:hAnsi="Times New Roman" w:cs="Times New Roman"/>
                <w:sz w:val="24"/>
                <w:szCs w:val="24"/>
              </w:rPr>
              <w:t xml:space="preserve">vyresnioji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projektų vadovė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8D0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="00C678D0">
              <w:rPr>
                <w:rFonts w:ascii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, 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3" w:history="1">
              <w:r w:rsidR="00C678D0" w:rsidRPr="00F9393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k.bruziene@lvpa.lt</w:t>
              </w:r>
            </w:hyperlink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tel. (8 5)</w:t>
            </w:r>
            <w:r w:rsidR="00C678D0">
              <w:rPr>
                <w:rFonts w:ascii="Times New Roman" w:hAnsi="Times New Roman" w:cs="Times New Roman"/>
                <w:sz w:val="24"/>
                <w:szCs w:val="24"/>
              </w:rPr>
              <w:t xml:space="preserve"> 268 7469.</w:t>
            </w:r>
          </w:p>
          <w:p w14:paraId="78379C3A" w14:textId="77777777" w:rsidR="00C75E5C" w:rsidRPr="002B13C5" w:rsidRDefault="00C75E5C" w:rsidP="00C75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14E24" w14:textId="77777777" w:rsidR="00C75E5C" w:rsidRPr="00223FF9" w:rsidRDefault="00C75E5C" w:rsidP="00C75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FF9">
              <w:rPr>
                <w:rFonts w:ascii="Times New Roman" w:hAnsi="Times New Roman" w:cs="Times New Roman"/>
                <w:b/>
                <w:sz w:val="24"/>
                <w:szCs w:val="24"/>
              </w:rPr>
              <w:t>Bendraisiais klausimais:</w:t>
            </w:r>
          </w:p>
          <w:p w14:paraId="7DCF724C" w14:textId="77777777" w:rsidR="00C75E5C" w:rsidRPr="002B13C5" w:rsidRDefault="00C75E5C" w:rsidP="00C75E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LVPA Komunikacijos skyriaus v</w:t>
            </w:r>
            <w:bookmarkStart w:id="0" w:name="_GoBack"/>
            <w:bookmarkEnd w:id="0"/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edėja Eglė Žemaitienė, el. p. </w:t>
            </w:r>
            <w:hyperlink r:id="rId14" w:history="1">
              <w:r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e.zemaitiene@lvpa.lt</w:t>
              </w:r>
            </w:hyperlink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tel. (8 5) 210 9091. </w:t>
            </w:r>
          </w:p>
          <w:p w14:paraId="1A60C8CB" w14:textId="77777777" w:rsidR="00C75E5C" w:rsidRPr="002B13C5" w:rsidRDefault="00C75E5C" w:rsidP="00C75E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03DEE7" w14:textId="77777777" w:rsidR="00C75E5C" w:rsidRPr="002B13C5" w:rsidRDefault="00C75E5C" w:rsidP="00C75E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LVPA </w:t>
            </w:r>
            <w:proofErr w:type="spellStart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Komunikacijos</w:t>
            </w:r>
            <w:proofErr w:type="spellEnd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skyriaus</w:t>
            </w:r>
            <w:proofErr w:type="spellEnd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vyresnioji</w:t>
            </w:r>
            <w:proofErr w:type="spellEnd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informavimo</w:t>
            </w:r>
            <w:proofErr w:type="spellEnd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specialistė</w:t>
            </w:r>
            <w:proofErr w:type="spellEnd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Sigita </w:t>
            </w:r>
            <w:proofErr w:type="spellStart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Varsackytė</w:t>
            </w:r>
            <w:proofErr w:type="spellEnd"/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el. p. </w:t>
            </w:r>
            <w:hyperlink r:id="rId15" w:history="1">
              <w:r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s.varsackyte@lvpa.lt</w:t>
              </w:r>
            </w:hyperlink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tel. (8 5) 203 4866. </w:t>
            </w:r>
          </w:p>
          <w:p w14:paraId="48A828DD" w14:textId="7ECCA36D" w:rsidR="00D54ED1" w:rsidRPr="00C75E5C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ED1" w:rsidRPr="00067B16" w14:paraId="1C0CB149" w14:textId="77777777" w:rsidTr="00296BB0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1E3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14:paraId="6AA45C80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638" w14:textId="77777777" w:rsidR="00C678D0" w:rsidRPr="002B13C5" w:rsidRDefault="00E0185D" w:rsidP="0013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678D0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C678D0"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373F41" w14:textId="77777777" w:rsidR="00C678D0" w:rsidRPr="002B13C5" w:rsidRDefault="00C678D0" w:rsidP="0013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8372" w14:textId="77777777" w:rsidR="00C678D0" w:rsidRPr="002B13C5" w:rsidRDefault="00E0185D" w:rsidP="001374C6">
            <w:pPr>
              <w:rPr>
                <w:rFonts w:ascii="Times New Roman" w:hAnsi="Times New Roman" w:cs="Times New Roman"/>
              </w:rPr>
            </w:pPr>
            <w:hyperlink r:id="rId17" w:history="1">
              <w:r w:rsidR="00C678D0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C678D0" w:rsidRPr="002B13C5">
              <w:rPr>
                <w:rFonts w:ascii="Times New Roman" w:hAnsi="Times New Roman" w:cs="Times New Roman"/>
              </w:rPr>
              <w:t xml:space="preserve"> </w:t>
            </w:r>
          </w:p>
          <w:p w14:paraId="6BF9764A" w14:textId="77777777" w:rsidR="00C678D0" w:rsidRPr="002B13C5" w:rsidRDefault="00C678D0" w:rsidP="001374C6">
            <w:pPr>
              <w:rPr>
                <w:rFonts w:ascii="Times New Roman" w:hAnsi="Times New Roman" w:cs="Times New Roman"/>
              </w:rPr>
            </w:pPr>
          </w:p>
          <w:p w14:paraId="5732CACD" w14:textId="77777777" w:rsidR="00C678D0" w:rsidRPr="00C678D0" w:rsidRDefault="00E0185D" w:rsidP="0013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678D0" w:rsidRPr="00C678D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http://lvpa.lt/lt/verslo-priemones</w:t>
              </w:r>
            </w:hyperlink>
            <w:r w:rsidR="00C678D0" w:rsidRPr="00C67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C6F75D" w14:textId="6F101642" w:rsidR="00C678D0" w:rsidRPr="00B30775" w:rsidRDefault="00C678D0" w:rsidP="00C678D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</w:tr>
    </w:tbl>
    <w:p w14:paraId="2F77C4DB" w14:textId="77777777" w:rsidR="0055013B" w:rsidRPr="007D52FB" w:rsidRDefault="0055013B" w:rsidP="0079003E">
      <w:pPr>
        <w:rPr>
          <w:rFonts w:ascii="Times New Roman" w:hAnsi="Times New Roman" w:cs="Times New Roman"/>
        </w:rPr>
      </w:pPr>
    </w:p>
    <w:sectPr w:rsidR="0055013B" w:rsidRPr="007D52FB" w:rsidSect="00377E3B">
      <w:headerReference w:type="default" r:id="rId1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96F73" w14:textId="77777777" w:rsidR="00E0185D" w:rsidRDefault="00E0185D" w:rsidP="0039439E">
      <w:pPr>
        <w:spacing w:after="0" w:line="240" w:lineRule="auto"/>
      </w:pPr>
      <w:r>
        <w:separator/>
      </w:r>
    </w:p>
  </w:endnote>
  <w:endnote w:type="continuationSeparator" w:id="0">
    <w:p w14:paraId="2A4D6969" w14:textId="77777777" w:rsidR="00E0185D" w:rsidRDefault="00E0185D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6C703" w14:textId="77777777" w:rsidR="00E0185D" w:rsidRDefault="00E0185D" w:rsidP="0039439E">
      <w:pPr>
        <w:spacing w:after="0" w:line="240" w:lineRule="auto"/>
      </w:pPr>
      <w:r>
        <w:separator/>
      </w:r>
    </w:p>
  </w:footnote>
  <w:footnote w:type="continuationSeparator" w:id="0">
    <w:p w14:paraId="3FECFAF1" w14:textId="77777777" w:rsidR="00E0185D" w:rsidRDefault="00E0185D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970537"/>
      <w:docPartObj>
        <w:docPartGallery w:val="Page Numbers (Top of Page)"/>
        <w:docPartUnique/>
      </w:docPartObj>
    </w:sdtPr>
    <w:sdtEndPr/>
    <w:sdtContent>
      <w:p w14:paraId="5D5FEE7F" w14:textId="04B9AC2D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4C6">
          <w:rPr>
            <w:noProof/>
          </w:rPr>
          <w:t>3</w:t>
        </w:r>
        <w:r>
          <w:fldChar w:fldCharType="end"/>
        </w:r>
      </w:p>
    </w:sdtContent>
  </w:sdt>
  <w:p w14:paraId="444D74D3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67E1"/>
    <w:multiLevelType w:val="multilevel"/>
    <w:tmpl w:val="2F3C8A84"/>
    <w:lvl w:ilvl="0">
      <w:start w:val="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6"/>
      <w:numFmt w:val="decimal"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F8549E"/>
    <w:multiLevelType w:val="hybridMultilevel"/>
    <w:tmpl w:val="ED5A2826"/>
    <w:lvl w:ilvl="0" w:tplc="B0D8CA82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2414A"/>
    <w:rsid w:val="000323D7"/>
    <w:rsid w:val="00041C4B"/>
    <w:rsid w:val="0005365E"/>
    <w:rsid w:val="00054C3E"/>
    <w:rsid w:val="000621D0"/>
    <w:rsid w:val="00062C3A"/>
    <w:rsid w:val="000649C8"/>
    <w:rsid w:val="0006667E"/>
    <w:rsid w:val="00067B16"/>
    <w:rsid w:val="0007387F"/>
    <w:rsid w:val="0007457F"/>
    <w:rsid w:val="00080BB6"/>
    <w:rsid w:val="000823B0"/>
    <w:rsid w:val="00083357"/>
    <w:rsid w:val="00086E14"/>
    <w:rsid w:val="000B11C4"/>
    <w:rsid w:val="000B36E8"/>
    <w:rsid w:val="000C45EC"/>
    <w:rsid w:val="000C73C4"/>
    <w:rsid w:val="000D7EC0"/>
    <w:rsid w:val="000E01B1"/>
    <w:rsid w:val="000E1271"/>
    <w:rsid w:val="000E78ED"/>
    <w:rsid w:val="000F20D9"/>
    <w:rsid w:val="000F275A"/>
    <w:rsid w:val="0010178B"/>
    <w:rsid w:val="00104F84"/>
    <w:rsid w:val="001228BB"/>
    <w:rsid w:val="001362DC"/>
    <w:rsid w:val="001374C6"/>
    <w:rsid w:val="0015223E"/>
    <w:rsid w:val="001528B4"/>
    <w:rsid w:val="00154F3F"/>
    <w:rsid w:val="00160AB7"/>
    <w:rsid w:val="001730FD"/>
    <w:rsid w:val="001869D8"/>
    <w:rsid w:val="00196A1E"/>
    <w:rsid w:val="001A198C"/>
    <w:rsid w:val="001B2F57"/>
    <w:rsid w:val="001B6BA0"/>
    <w:rsid w:val="001C6A7C"/>
    <w:rsid w:val="001D2AF1"/>
    <w:rsid w:val="001D78F6"/>
    <w:rsid w:val="001E4755"/>
    <w:rsid w:val="001E7D8D"/>
    <w:rsid w:val="001F6041"/>
    <w:rsid w:val="00202155"/>
    <w:rsid w:val="00205C57"/>
    <w:rsid w:val="00211B68"/>
    <w:rsid w:val="00212E09"/>
    <w:rsid w:val="00214507"/>
    <w:rsid w:val="00223FF9"/>
    <w:rsid w:val="00241456"/>
    <w:rsid w:val="00252A14"/>
    <w:rsid w:val="00255407"/>
    <w:rsid w:val="0028256E"/>
    <w:rsid w:val="00296BB0"/>
    <w:rsid w:val="00296D70"/>
    <w:rsid w:val="002A1851"/>
    <w:rsid w:val="002B2C3D"/>
    <w:rsid w:val="002D490B"/>
    <w:rsid w:val="002D4CF1"/>
    <w:rsid w:val="002D6C50"/>
    <w:rsid w:val="002E62A4"/>
    <w:rsid w:val="002E69E6"/>
    <w:rsid w:val="002F7369"/>
    <w:rsid w:val="003105F1"/>
    <w:rsid w:val="00362FE9"/>
    <w:rsid w:val="003673A5"/>
    <w:rsid w:val="00370DB6"/>
    <w:rsid w:val="00372C9C"/>
    <w:rsid w:val="00374683"/>
    <w:rsid w:val="00377E3B"/>
    <w:rsid w:val="003815C2"/>
    <w:rsid w:val="00381AB0"/>
    <w:rsid w:val="0039058C"/>
    <w:rsid w:val="00390735"/>
    <w:rsid w:val="0039439E"/>
    <w:rsid w:val="003B79DC"/>
    <w:rsid w:val="003C0ABF"/>
    <w:rsid w:val="003D1C9B"/>
    <w:rsid w:val="003D6123"/>
    <w:rsid w:val="003D7DD5"/>
    <w:rsid w:val="003E0323"/>
    <w:rsid w:val="003E0927"/>
    <w:rsid w:val="003F130D"/>
    <w:rsid w:val="003F21E6"/>
    <w:rsid w:val="003F3603"/>
    <w:rsid w:val="003F4E68"/>
    <w:rsid w:val="004021B7"/>
    <w:rsid w:val="0040769E"/>
    <w:rsid w:val="00431DAB"/>
    <w:rsid w:val="004405CB"/>
    <w:rsid w:val="00444F58"/>
    <w:rsid w:val="00464C75"/>
    <w:rsid w:val="00467F32"/>
    <w:rsid w:val="00475D7F"/>
    <w:rsid w:val="00483635"/>
    <w:rsid w:val="00485DFB"/>
    <w:rsid w:val="00490B21"/>
    <w:rsid w:val="004A16E8"/>
    <w:rsid w:val="004A745D"/>
    <w:rsid w:val="004B59E4"/>
    <w:rsid w:val="004D5DF9"/>
    <w:rsid w:val="004E3165"/>
    <w:rsid w:val="004E7A87"/>
    <w:rsid w:val="004F5E3A"/>
    <w:rsid w:val="005029E8"/>
    <w:rsid w:val="005124A8"/>
    <w:rsid w:val="00521B88"/>
    <w:rsid w:val="00527292"/>
    <w:rsid w:val="005364E0"/>
    <w:rsid w:val="00537567"/>
    <w:rsid w:val="0054495C"/>
    <w:rsid w:val="0055013B"/>
    <w:rsid w:val="00563E20"/>
    <w:rsid w:val="00566E39"/>
    <w:rsid w:val="005723CE"/>
    <w:rsid w:val="0057453F"/>
    <w:rsid w:val="00583149"/>
    <w:rsid w:val="0059692C"/>
    <w:rsid w:val="005A325B"/>
    <w:rsid w:val="005B474B"/>
    <w:rsid w:val="005C76B3"/>
    <w:rsid w:val="005D1B0B"/>
    <w:rsid w:val="005F1C01"/>
    <w:rsid w:val="006005E6"/>
    <w:rsid w:val="00602657"/>
    <w:rsid w:val="006069C0"/>
    <w:rsid w:val="00632DB6"/>
    <w:rsid w:val="00637224"/>
    <w:rsid w:val="00644A0F"/>
    <w:rsid w:val="00645733"/>
    <w:rsid w:val="00660C61"/>
    <w:rsid w:val="00673BCE"/>
    <w:rsid w:val="0068250F"/>
    <w:rsid w:val="00682BE6"/>
    <w:rsid w:val="0069129D"/>
    <w:rsid w:val="006A0F73"/>
    <w:rsid w:val="006A194C"/>
    <w:rsid w:val="006D69F5"/>
    <w:rsid w:val="006F52FC"/>
    <w:rsid w:val="00702322"/>
    <w:rsid w:val="0071296A"/>
    <w:rsid w:val="00724B0F"/>
    <w:rsid w:val="00725811"/>
    <w:rsid w:val="00726039"/>
    <w:rsid w:val="0073341B"/>
    <w:rsid w:val="007348A4"/>
    <w:rsid w:val="007434D5"/>
    <w:rsid w:val="00745D29"/>
    <w:rsid w:val="0076698C"/>
    <w:rsid w:val="007726DF"/>
    <w:rsid w:val="007769CF"/>
    <w:rsid w:val="00787614"/>
    <w:rsid w:val="0079003E"/>
    <w:rsid w:val="007B7FBE"/>
    <w:rsid w:val="007C2FAA"/>
    <w:rsid w:val="007D1FE2"/>
    <w:rsid w:val="007D52FB"/>
    <w:rsid w:val="007F6BCA"/>
    <w:rsid w:val="008024C5"/>
    <w:rsid w:val="00826566"/>
    <w:rsid w:val="00826D46"/>
    <w:rsid w:val="008379FF"/>
    <w:rsid w:val="00851B01"/>
    <w:rsid w:val="008773C4"/>
    <w:rsid w:val="0088036B"/>
    <w:rsid w:val="008A096F"/>
    <w:rsid w:val="008A129C"/>
    <w:rsid w:val="008A2D48"/>
    <w:rsid w:val="008B125B"/>
    <w:rsid w:val="008C114A"/>
    <w:rsid w:val="008D235E"/>
    <w:rsid w:val="008E1270"/>
    <w:rsid w:val="008E41A8"/>
    <w:rsid w:val="008E7B67"/>
    <w:rsid w:val="008F1414"/>
    <w:rsid w:val="00901FE8"/>
    <w:rsid w:val="00912E4F"/>
    <w:rsid w:val="00926030"/>
    <w:rsid w:val="00935148"/>
    <w:rsid w:val="00936A05"/>
    <w:rsid w:val="0094300F"/>
    <w:rsid w:val="00943DF9"/>
    <w:rsid w:val="00951E73"/>
    <w:rsid w:val="00955FD0"/>
    <w:rsid w:val="00965B0C"/>
    <w:rsid w:val="009707D6"/>
    <w:rsid w:val="00973BC9"/>
    <w:rsid w:val="0098653C"/>
    <w:rsid w:val="00992423"/>
    <w:rsid w:val="00992AC6"/>
    <w:rsid w:val="009A29D9"/>
    <w:rsid w:val="009A4A1F"/>
    <w:rsid w:val="009B11CD"/>
    <w:rsid w:val="009B6C7D"/>
    <w:rsid w:val="00A15795"/>
    <w:rsid w:val="00A16636"/>
    <w:rsid w:val="00A23E55"/>
    <w:rsid w:val="00A26EDF"/>
    <w:rsid w:val="00A34F18"/>
    <w:rsid w:val="00A44D8C"/>
    <w:rsid w:val="00A56E83"/>
    <w:rsid w:val="00A61D91"/>
    <w:rsid w:val="00A63ADF"/>
    <w:rsid w:val="00A6451C"/>
    <w:rsid w:val="00A703A7"/>
    <w:rsid w:val="00A86886"/>
    <w:rsid w:val="00A967D9"/>
    <w:rsid w:val="00A97206"/>
    <w:rsid w:val="00AA05EF"/>
    <w:rsid w:val="00AC4324"/>
    <w:rsid w:val="00AD4D76"/>
    <w:rsid w:val="00AE7AFB"/>
    <w:rsid w:val="00B1633E"/>
    <w:rsid w:val="00B24D93"/>
    <w:rsid w:val="00B30775"/>
    <w:rsid w:val="00B42FF4"/>
    <w:rsid w:val="00B64206"/>
    <w:rsid w:val="00B67CD1"/>
    <w:rsid w:val="00B84A20"/>
    <w:rsid w:val="00B85A62"/>
    <w:rsid w:val="00B87033"/>
    <w:rsid w:val="00BA6424"/>
    <w:rsid w:val="00BC0EB1"/>
    <w:rsid w:val="00BC66AE"/>
    <w:rsid w:val="00BC69A1"/>
    <w:rsid w:val="00BD6ECD"/>
    <w:rsid w:val="00BE213A"/>
    <w:rsid w:val="00BF1C03"/>
    <w:rsid w:val="00BF6B11"/>
    <w:rsid w:val="00C05051"/>
    <w:rsid w:val="00C127F3"/>
    <w:rsid w:val="00C1392A"/>
    <w:rsid w:val="00C16ADB"/>
    <w:rsid w:val="00C20E74"/>
    <w:rsid w:val="00C336EE"/>
    <w:rsid w:val="00C458C7"/>
    <w:rsid w:val="00C54E49"/>
    <w:rsid w:val="00C678D0"/>
    <w:rsid w:val="00C75E5C"/>
    <w:rsid w:val="00C8100F"/>
    <w:rsid w:val="00CB1C64"/>
    <w:rsid w:val="00CC484A"/>
    <w:rsid w:val="00CF6934"/>
    <w:rsid w:val="00CF71F6"/>
    <w:rsid w:val="00D0100B"/>
    <w:rsid w:val="00D039E5"/>
    <w:rsid w:val="00D06A15"/>
    <w:rsid w:val="00D147F5"/>
    <w:rsid w:val="00D14D15"/>
    <w:rsid w:val="00D2230D"/>
    <w:rsid w:val="00D274E9"/>
    <w:rsid w:val="00D37B95"/>
    <w:rsid w:val="00D41F4D"/>
    <w:rsid w:val="00D53760"/>
    <w:rsid w:val="00D54ED1"/>
    <w:rsid w:val="00D71E42"/>
    <w:rsid w:val="00D82726"/>
    <w:rsid w:val="00D858FA"/>
    <w:rsid w:val="00DC43A8"/>
    <w:rsid w:val="00DD0726"/>
    <w:rsid w:val="00DD5E0B"/>
    <w:rsid w:val="00DE5318"/>
    <w:rsid w:val="00DE6ED1"/>
    <w:rsid w:val="00E01724"/>
    <w:rsid w:val="00E0185D"/>
    <w:rsid w:val="00E16CCD"/>
    <w:rsid w:val="00E17445"/>
    <w:rsid w:val="00E20087"/>
    <w:rsid w:val="00E32210"/>
    <w:rsid w:val="00E36EC1"/>
    <w:rsid w:val="00E441E2"/>
    <w:rsid w:val="00E65D4D"/>
    <w:rsid w:val="00E83C33"/>
    <w:rsid w:val="00E960DE"/>
    <w:rsid w:val="00E97C9C"/>
    <w:rsid w:val="00EA4F4D"/>
    <w:rsid w:val="00EA680C"/>
    <w:rsid w:val="00ED6836"/>
    <w:rsid w:val="00EE1B8B"/>
    <w:rsid w:val="00EE2100"/>
    <w:rsid w:val="00EF2642"/>
    <w:rsid w:val="00EF3E98"/>
    <w:rsid w:val="00EF40B8"/>
    <w:rsid w:val="00F210BA"/>
    <w:rsid w:val="00F257B6"/>
    <w:rsid w:val="00F34C79"/>
    <w:rsid w:val="00F442AD"/>
    <w:rsid w:val="00F60FD6"/>
    <w:rsid w:val="00F62F67"/>
    <w:rsid w:val="00F726EE"/>
    <w:rsid w:val="00F85D65"/>
    <w:rsid w:val="00F90F07"/>
    <w:rsid w:val="00FA2952"/>
    <w:rsid w:val="00FD72CC"/>
    <w:rsid w:val="00FE0170"/>
    <w:rsid w:val="00FE47EE"/>
    <w:rsid w:val="00FE6C21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2505"/>
  <w15:docId w15:val="{12ED1E6E-E2B7-4680-BB8F-48B35332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27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1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6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.bruziene@lvpa.lt" TargetMode="External"/><Relationship Id="rId18" Type="http://schemas.openxmlformats.org/officeDocument/2006/relationships/hyperlink" Target="http://lvpa.lt/lt/verslo-priemon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.petrulevicius@lvpa.lt" TargetMode="External"/><Relationship Id="rId17" Type="http://schemas.openxmlformats.org/officeDocument/2006/relationships/hyperlink" Target="http://ukmin.lrv.lt/lt/veiklos-sritys/es-parama-1/2014-2020-m/2014-2020m-galiojantys-kvietima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investicijos.lt/paskelbti_kvietima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vpa.lt/lt/mus-rasi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.varsackyte@lvpa.lt" TargetMode="External"/><Relationship Id="rId10" Type="http://schemas.openxmlformats.org/officeDocument/2006/relationships/hyperlink" Target="mailto:dokumentai@lvpa.l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kumentai@lvpa.lt" TargetMode="External"/><Relationship Id="rId14" Type="http://schemas.openxmlformats.org/officeDocument/2006/relationships/hyperlink" Target="mailto:e.zemaitiene@lvp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66BD-5648-4E68-A211-1C4A20FE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4297</Words>
  <Characters>2450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Skirmantiene Aiste</cp:lastModifiedBy>
  <cp:revision>20</cp:revision>
  <cp:lastPrinted>2016-04-07T13:32:00Z</cp:lastPrinted>
  <dcterms:created xsi:type="dcterms:W3CDTF">2017-03-20T13:42:00Z</dcterms:created>
  <dcterms:modified xsi:type="dcterms:W3CDTF">2017-03-29T06:55:00Z</dcterms:modified>
</cp:coreProperties>
</file>