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FD" w:rsidRPr="00656880" w:rsidRDefault="00F67AFD">
      <w:pPr>
        <w:tabs>
          <w:tab w:val="center" w:pos="4153"/>
          <w:tab w:val="right" w:pos="8306"/>
        </w:tabs>
        <w:jc w:val="center"/>
        <w:rPr>
          <w:szCs w:val="24"/>
        </w:rPr>
      </w:pPr>
    </w:p>
    <w:p w:rsidR="00F67AFD" w:rsidRPr="00656880" w:rsidRDefault="00FB3FB2">
      <w:pPr>
        <w:tabs>
          <w:tab w:val="center" w:pos="4153"/>
          <w:tab w:val="right" w:pos="8306"/>
        </w:tabs>
        <w:jc w:val="center"/>
        <w:rPr>
          <w:b/>
          <w:bCs/>
          <w:szCs w:val="24"/>
        </w:rPr>
      </w:pPr>
      <w:r w:rsidRPr="00656880">
        <w:rPr>
          <w:b/>
          <w:bCs/>
          <w:szCs w:val="24"/>
        </w:rPr>
        <w:t>LIETUVOS RESPUBLIKOS SVEIKATOS APSAUGOS MINISTRAS</w:t>
      </w:r>
    </w:p>
    <w:p w:rsidR="00F67AFD" w:rsidRPr="00656880" w:rsidRDefault="00F67AFD">
      <w:pPr>
        <w:tabs>
          <w:tab w:val="center" w:pos="4153"/>
          <w:tab w:val="right" w:pos="8306"/>
        </w:tabs>
        <w:jc w:val="center"/>
        <w:rPr>
          <w:b/>
          <w:bCs/>
          <w:szCs w:val="24"/>
        </w:rPr>
      </w:pPr>
    </w:p>
    <w:p w:rsidR="00F67AFD" w:rsidRPr="00656880" w:rsidRDefault="00FB3FB2">
      <w:pPr>
        <w:tabs>
          <w:tab w:val="center" w:pos="4153"/>
          <w:tab w:val="right" w:pos="8306"/>
        </w:tabs>
        <w:jc w:val="center"/>
        <w:rPr>
          <w:szCs w:val="24"/>
        </w:rPr>
      </w:pPr>
      <w:r w:rsidRPr="00656880">
        <w:rPr>
          <w:b/>
          <w:bCs/>
          <w:szCs w:val="24"/>
        </w:rPr>
        <w:t>ĮSAKYMAS</w:t>
      </w:r>
    </w:p>
    <w:p w:rsidR="00F67AFD" w:rsidRPr="00656880" w:rsidRDefault="00FB3FB2">
      <w:pPr>
        <w:jc w:val="center"/>
        <w:rPr>
          <w:szCs w:val="24"/>
        </w:rPr>
      </w:pPr>
      <w:r w:rsidRPr="00656880">
        <w:rPr>
          <w:rFonts w:eastAsia="Calibri"/>
          <w:b/>
          <w:bCs/>
          <w:color w:val="000000"/>
          <w:szCs w:val="24"/>
        </w:rPr>
        <w:t xml:space="preserve">DĖL </w:t>
      </w:r>
      <w:r w:rsidRPr="00656880">
        <w:rPr>
          <w:rFonts w:eastAsia="Calibri"/>
          <w:b/>
          <w:color w:val="000000"/>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rsidR="00F67AFD" w:rsidRPr="00656880" w:rsidRDefault="00F67AFD">
      <w:pPr>
        <w:jc w:val="center"/>
        <w:rPr>
          <w:b/>
          <w:color w:val="000000"/>
          <w:szCs w:val="24"/>
        </w:rPr>
      </w:pPr>
    </w:p>
    <w:p w:rsidR="009342F7" w:rsidRPr="00656880" w:rsidRDefault="00FB3FB2">
      <w:pPr>
        <w:jc w:val="center"/>
        <w:rPr>
          <w:color w:val="000000"/>
          <w:szCs w:val="24"/>
        </w:rPr>
      </w:pPr>
      <w:r w:rsidRPr="00656880">
        <w:rPr>
          <w:color w:val="000000"/>
          <w:szCs w:val="24"/>
        </w:rPr>
        <w:t>201</w:t>
      </w:r>
      <w:r w:rsidR="00E111C5">
        <w:rPr>
          <w:color w:val="000000"/>
          <w:szCs w:val="24"/>
        </w:rPr>
        <w:t>7</w:t>
      </w:r>
      <w:r w:rsidRPr="00656880">
        <w:rPr>
          <w:color w:val="000000"/>
          <w:szCs w:val="24"/>
        </w:rPr>
        <w:t xml:space="preserve"> m.</w:t>
      </w:r>
      <w:r w:rsidR="00F773F3">
        <w:rPr>
          <w:color w:val="000000"/>
          <w:spacing w:val="-9"/>
          <w:szCs w:val="24"/>
        </w:rPr>
        <w:t xml:space="preserve"> balandžio </w:t>
      </w:r>
      <w:r w:rsidR="009342F7" w:rsidRPr="00656880">
        <w:rPr>
          <w:color w:val="000000"/>
          <w:spacing w:val="-9"/>
          <w:szCs w:val="24"/>
        </w:rPr>
        <w:t xml:space="preserve">  </w:t>
      </w:r>
      <w:r w:rsidR="00D6402D" w:rsidRPr="00656880">
        <w:rPr>
          <w:color w:val="000000"/>
          <w:spacing w:val="-9"/>
          <w:szCs w:val="24"/>
        </w:rPr>
        <w:t xml:space="preserve">  </w:t>
      </w:r>
      <w:r w:rsidR="009342F7" w:rsidRPr="00656880">
        <w:rPr>
          <w:color w:val="000000"/>
          <w:spacing w:val="-9"/>
          <w:szCs w:val="24"/>
        </w:rPr>
        <w:t xml:space="preserve">  </w:t>
      </w:r>
      <w:r w:rsidRPr="00656880">
        <w:rPr>
          <w:color w:val="000000"/>
          <w:spacing w:val="-9"/>
          <w:szCs w:val="24"/>
        </w:rPr>
        <w:t xml:space="preserve"> </w:t>
      </w:r>
      <w:r w:rsidRPr="00656880">
        <w:rPr>
          <w:color w:val="000000"/>
          <w:szCs w:val="24"/>
        </w:rPr>
        <w:t xml:space="preserve"> d. Nr. V-</w:t>
      </w:r>
    </w:p>
    <w:p w:rsidR="00F67AFD" w:rsidRPr="00656880" w:rsidRDefault="00FB3FB2">
      <w:pPr>
        <w:jc w:val="center"/>
        <w:rPr>
          <w:color w:val="000000"/>
          <w:szCs w:val="24"/>
        </w:rPr>
      </w:pPr>
      <w:r w:rsidRPr="00656880">
        <w:rPr>
          <w:color w:val="000000"/>
          <w:szCs w:val="24"/>
        </w:rPr>
        <w:t>Vilnius</w:t>
      </w:r>
    </w:p>
    <w:p w:rsidR="00F67AFD" w:rsidRPr="00656880" w:rsidRDefault="00F67AFD">
      <w:pPr>
        <w:jc w:val="center"/>
        <w:rPr>
          <w:color w:val="000000"/>
          <w:szCs w:val="24"/>
        </w:rPr>
      </w:pPr>
    </w:p>
    <w:p w:rsidR="00F67AFD" w:rsidRPr="00656880" w:rsidRDefault="00F67AFD">
      <w:pPr>
        <w:jc w:val="center"/>
        <w:rPr>
          <w:color w:val="000000"/>
          <w:szCs w:val="24"/>
        </w:rPr>
      </w:pPr>
    </w:p>
    <w:p w:rsidR="00F67AFD" w:rsidRPr="00656880" w:rsidRDefault="00FB3FB2">
      <w:pPr>
        <w:tabs>
          <w:tab w:val="left" w:pos="993"/>
          <w:tab w:val="left" w:pos="1276"/>
        </w:tabs>
        <w:ind w:firstLine="851"/>
        <w:jc w:val="both"/>
        <w:rPr>
          <w:szCs w:val="24"/>
        </w:rPr>
      </w:pPr>
      <w:r w:rsidRPr="00656880">
        <w:rPr>
          <w:rFonts w:eastAsia="Calibri"/>
          <w:color w:val="000000"/>
          <w:szCs w:val="24"/>
        </w:rPr>
        <w:t>P a k e i č i u Lietuvos Respublikos sveikatos apsaugos ministro 2015 m. birželio 22 d. įsakymą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rsidR="00F67AFD" w:rsidRPr="00656880" w:rsidRDefault="00FB3FB2">
      <w:pPr>
        <w:tabs>
          <w:tab w:val="left" w:pos="993"/>
          <w:tab w:val="left" w:pos="1134"/>
        </w:tabs>
        <w:ind w:firstLine="911"/>
        <w:jc w:val="both"/>
        <w:rPr>
          <w:szCs w:val="24"/>
        </w:rPr>
      </w:pPr>
      <w:r w:rsidRPr="00656880">
        <w:rPr>
          <w:color w:val="000000"/>
          <w:szCs w:val="24"/>
        </w:rPr>
        <w:t>1.</w:t>
      </w:r>
      <w:r w:rsidRPr="00656880">
        <w:rPr>
          <w:color w:val="000000"/>
          <w:szCs w:val="24"/>
        </w:rPr>
        <w:tab/>
      </w:r>
      <w:r w:rsidRPr="00656880">
        <w:rPr>
          <w:rFonts w:eastAsia="Calibri"/>
          <w:color w:val="000000"/>
          <w:szCs w:val="24"/>
        </w:rPr>
        <w:t>Pakeičiu nurodytuoju įsakymu patvirtintą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w:t>
      </w:r>
    </w:p>
    <w:p w:rsidR="003F0C04" w:rsidRPr="00656880" w:rsidRDefault="003F0C04" w:rsidP="003F0C04">
      <w:pPr>
        <w:pStyle w:val="Betarp"/>
        <w:tabs>
          <w:tab w:val="left" w:pos="567"/>
          <w:tab w:val="left" w:pos="709"/>
          <w:tab w:val="left" w:pos="1134"/>
          <w:tab w:val="left" w:pos="1276"/>
        </w:tabs>
        <w:ind w:firstLine="851"/>
        <w:jc w:val="both"/>
        <w:rPr>
          <w:rFonts w:ascii="Times New Roman" w:eastAsia="Times New Roman" w:hAnsi="Times New Roman" w:cs="Times New Roman"/>
          <w:color w:val="000000"/>
          <w:sz w:val="24"/>
          <w:szCs w:val="24"/>
        </w:rPr>
      </w:pPr>
      <w:r w:rsidRPr="00656880">
        <w:rPr>
          <w:rFonts w:ascii="Times New Roman" w:eastAsia="Times New Roman" w:hAnsi="Times New Roman" w:cs="Times New Roman"/>
          <w:color w:val="000000"/>
          <w:sz w:val="24"/>
          <w:szCs w:val="24"/>
        </w:rPr>
        <w:t>1.1. Pakeičiu penktąjį skirsnį „Veiksmų programos prioriteto įgyvendinimo priemonė Nr. 08.1.3-CPVA-V-612</w:t>
      </w:r>
      <w:r w:rsidRPr="00656880">
        <w:rPr>
          <w:rFonts w:ascii="Times New Roman" w:eastAsia="Times New Roman" w:hAnsi="Times New Roman" w:cs="Times New Roman"/>
          <w:b/>
          <w:color w:val="000000"/>
          <w:sz w:val="24"/>
          <w:szCs w:val="24"/>
        </w:rPr>
        <w:t xml:space="preserve"> </w:t>
      </w:r>
      <w:r w:rsidRPr="00656880">
        <w:rPr>
          <w:rFonts w:ascii="Times New Roman" w:eastAsia="Times New Roman" w:hAnsi="Times New Roman" w:cs="Times New Roman"/>
          <w:color w:val="000000"/>
          <w:sz w:val="24"/>
          <w:szCs w:val="24"/>
        </w:rPr>
        <w:t>„Vaikų sveikatos priežiūros paslaugų infrastruktūros tobulinimas“:</w:t>
      </w:r>
    </w:p>
    <w:p w:rsidR="00EA1958" w:rsidRPr="00656880" w:rsidRDefault="003F0C04" w:rsidP="009609D5">
      <w:pPr>
        <w:pStyle w:val="Betarp"/>
        <w:tabs>
          <w:tab w:val="left" w:pos="567"/>
          <w:tab w:val="left" w:pos="709"/>
          <w:tab w:val="left" w:pos="1134"/>
          <w:tab w:val="left" w:pos="1276"/>
        </w:tabs>
        <w:ind w:firstLine="851"/>
        <w:jc w:val="both"/>
        <w:rPr>
          <w:rFonts w:ascii="Times New Roman" w:eastAsia="Times New Roman" w:hAnsi="Times New Roman" w:cs="Times New Roman"/>
          <w:color w:val="000000"/>
          <w:sz w:val="24"/>
          <w:szCs w:val="24"/>
        </w:rPr>
      </w:pPr>
      <w:r w:rsidRPr="00656880">
        <w:rPr>
          <w:rFonts w:ascii="Times New Roman" w:eastAsia="Times New Roman" w:hAnsi="Times New Roman" w:cs="Times New Roman"/>
          <w:color w:val="000000"/>
          <w:sz w:val="24"/>
          <w:szCs w:val="24"/>
        </w:rPr>
        <w:t xml:space="preserve">1.1.1. Pakeičiu 1 </w:t>
      </w:r>
      <w:r w:rsidR="00EA1958" w:rsidRPr="00656880">
        <w:rPr>
          <w:rFonts w:ascii="Times New Roman" w:eastAsia="Times New Roman" w:hAnsi="Times New Roman" w:cs="Times New Roman"/>
          <w:color w:val="000000"/>
          <w:sz w:val="24"/>
          <w:szCs w:val="24"/>
        </w:rPr>
        <w:t>punktą</w:t>
      </w:r>
      <w:r w:rsidRPr="00656880">
        <w:rPr>
          <w:rFonts w:ascii="Times New Roman" w:eastAsia="Times New Roman" w:hAnsi="Times New Roman" w:cs="Times New Roman"/>
          <w:color w:val="000000"/>
          <w:sz w:val="24"/>
          <w:szCs w:val="24"/>
        </w:rPr>
        <w:t xml:space="preserve"> ir jį išdėstau taip:</w:t>
      </w:r>
    </w:p>
    <w:p w:rsidR="003F0C04" w:rsidRPr="00656880" w:rsidRDefault="00EA1958" w:rsidP="00EA1958">
      <w:pPr>
        <w:pStyle w:val="Sraopastraipa"/>
        <w:tabs>
          <w:tab w:val="left" w:pos="0"/>
          <w:tab w:val="left" w:pos="567"/>
          <w:tab w:val="left" w:pos="709"/>
        </w:tabs>
        <w:spacing w:after="0"/>
        <w:ind w:left="0" w:firstLine="851"/>
        <w:rPr>
          <w:rFonts w:ascii="Times New Roman" w:hAnsi="Times New Roman" w:cs="Times New Roman"/>
          <w:color w:val="000000"/>
          <w:sz w:val="24"/>
          <w:szCs w:val="24"/>
          <w:lang w:eastAsia="lt-LT"/>
        </w:rPr>
      </w:pPr>
      <w:r w:rsidRPr="00656880">
        <w:rPr>
          <w:rFonts w:ascii="Times New Roman" w:hAnsi="Times New Roman" w:cs="Times New Roman"/>
          <w:color w:val="000000"/>
          <w:sz w:val="24"/>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01"/>
      </w:tblGrid>
      <w:tr w:rsidR="00B51F4B" w:rsidRPr="00656880" w:rsidTr="00041676">
        <w:tc>
          <w:tcPr>
            <w:tcW w:w="14601" w:type="dxa"/>
            <w:shd w:val="clear" w:color="auto" w:fill="auto"/>
            <w:hideMark/>
          </w:tcPr>
          <w:p w:rsidR="00B51F4B" w:rsidRDefault="00B51F4B" w:rsidP="00B51F4B">
            <w:pPr>
              <w:tabs>
                <w:tab w:val="left" w:pos="0"/>
                <w:tab w:val="left" w:pos="1026"/>
              </w:tabs>
              <w:ind w:firstLine="743"/>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B51F4B" w:rsidRPr="00656880" w:rsidTr="00041676">
        <w:tc>
          <w:tcPr>
            <w:tcW w:w="14601" w:type="dxa"/>
            <w:shd w:val="clear" w:color="auto" w:fill="auto"/>
            <w:hideMark/>
          </w:tcPr>
          <w:p w:rsidR="00B51F4B" w:rsidRDefault="00B51F4B" w:rsidP="00B51F4B">
            <w:pPr>
              <w:tabs>
                <w:tab w:val="left" w:pos="0"/>
                <w:tab w:val="left" w:pos="1026"/>
              </w:tabs>
              <w:ind w:firstLine="743"/>
              <w:jc w:val="both"/>
              <w:rPr>
                <w:szCs w:val="24"/>
              </w:rPr>
            </w:pPr>
            <w:r>
              <w:rPr>
                <w:szCs w:val="24"/>
                <w:lang w:eastAsia="lt-LT"/>
              </w:rPr>
              <w:t>1.2.</w:t>
            </w:r>
            <w:r>
              <w:rPr>
                <w:szCs w:val="24"/>
                <w:lang w:eastAsia="lt-LT"/>
              </w:rPr>
              <w:tab/>
              <w:t>Įgyvendinant priemonę, prisidedama prie uždavinio „</w:t>
            </w:r>
            <w:r>
              <w:rPr>
                <w:szCs w:val="24"/>
              </w:rPr>
              <w:t xml:space="preserve">Pagerinti sveikatos priežiūros kokybę ir prieinamumą tikslinėms gyventojų </w:t>
            </w:r>
            <w:r>
              <w:rPr>
                <w:szCs w:val="24"/>
              </w:rPr>
              <w:lastRenderedPageBreak/>
              <w:t xml:space="preserve">grupėms bei sumažinti sveikatos netolygumus“ </w:t>
            </w:r>
            <w:r>
              <w:rPr>
                <w:szCs w:val="24"/>
                <w:lang w:eastAsia="lt-LT"/>
              </w:rPr>
              <w:t>įgyvendinimo</w:t>
            </w:r>
            <w:r>
              <w:rPr>
                <w:i/>
                <w:szCs w:val="24"/>
                <w:lang w:eastAsia="lt-LT"/>
              </w:rPr>
              <w:t>.</w:t>
            </w:r>
          </w:p>
        </w:tc>
      </w:tr>
      <w:tr w:rsidR="00B51F4B" w:rsidRPr="00656880" w:rsidTr="00EA1958">
        <w:trPr>
          <w:trHeight w:val="1276"/>
        </w:trPr>
        <w:tc>
          <w:tcPr>
            <w:tcW w:w="14601" w:type="dxa"/>
            <w:shd w:val="clear" w:color="auto" w:fill="auto"/>
          </w:tcPr>
          <w:p w:rsidR="00B51F4B" w:rsidRDefault="00B51F4B" w:rsidP="00B51F4B">
            <w:pPr>
              <w:tabs>
                <w:tab w:val="left" w:pos="0"/>
                <w:tab w:val="left" w:pos="1026"/>
              </w:tabs>
              <w:ind w:firstLine="743"/>
              <w:rPr>
                <w:b/>
                <w:szCs w:val="24"/>
              </w:rPr>
            </w:pPr>
            <w:r>
              <w:rPr>
                <w:szCs w:val="24"/>
              </w:rPr>
              <w:lastRenderedPageBreak/>
              <w:t>1.3.</w:t>
            </w:r>
            <w:r>
              <w:rPr>
                <w:szCs w:val="24"/>
              </w:rPr>
              <w:tab/>
              <w:t>Remiamos veiklos:</w:t>
            </w:r>
          </w:p>
          <w:p w:rsidR="00B51F4B" w:rsidRDefault="00B51F4B" w:rsidP="00B51F4B">
            <w:pPr>
              <w:tabs>
                <w:tab w:val="left" w:pos="0"/>
                <w:tab w:val="left" w:pos="1026"/>
              </w:tabs>
              <w:ind w:firstLine="743"/>
              <w:jc w:val="both"/>
              <w:rPr>
                <w:szCs w:val="24"/>
              </w:rPr>
            </w:pPr>
            <w:r>
              <w:rPr>
                <w:szCs w:val="24"/>
              </w:rPr>
              <w:t>1.3.1.</w:t>
            </w:r>
            <w:r>
              <w:rPr>
                <w:szCs w:val="24"/>
              </w:rPr>
              <w:tab/>
              <w:t>Vilniaus regiono diferencijuoto kompleksinės psichiatrinės pagalbos vaikui ir šeimai centro infrastruktūros modernizavimas – statinių ir (ar) patalpų</w:t>
            </w:r>
            <w:r>
              <w:rPr>
                <w:b/>
                <w:szCs w:val="24"/>
              </w:rPr>
              <w:t xml:space="preserve"> </w:t>
            </w:r>
            <w:r>
              <w:rPr>
                <w:szCs w:val="24"/>
              </w:rPr>
              <w:t>statyba</w:t>
            </w:r>
            <w:r>
              <w:rPr>
                <w:b/>
                <w:szCs w:val="24"/>
              </w:rPr>
              <w:t xml:space="preserve"> </w:t>
            </w:r>
            <w:r>
              <w:rPr>
                <w:szCs w:val="24"/>
              </w:rPr>
              <w:t>ir (ar) rekonstravimas</w:t>
            </w:r>
            <w:r>
              <w:rPr>
                <w:b/>
                <w:szCs w:val="24"/>
              </w:rPr>
              <w:t xml:space="preserve"> </w:t>
            </w:r>
            <w:r>
              <w:rPr>
                <w:szCs w:val="24"/>
              </w:rPr>
              <w:t>ir (ar) remontas ir įrengimas, kad būtų sukurta pacientams ir personalui patogi aplinka, kiemelių įrengimas;</w:t>
            </w:r>
          </w:p>
          <w:p w:rsidR="00B51F4B" w:rsidRPr="00C62624" w:rsidRDefault="00B51F4B" w:rsidP="00B51F4B">
            <w:pPr>
              <w:tabs>
                <w:tab w:val="left" w:pos="0"/>
                <w:tab w:val="left" w:pos="1026"/>
              </w:tabs>
              <w:ind w:firstLine="743"/>
              <w:jc w:val="both"/>
              <w:rPr>
                <w:strike/>
                <w:szCs w:val="24"/>
              </w:rPr>
            </w:pPr>
            <w:r w:rsidRPr="00C62624">
              <w:rPr>
                <w:strike/>
                <w:szCs w:val="24"/>
              </w:rPr>
              <w:t>1.3.2.</w:t>
            </w:r>
            <w:r w:rsidRPr="00C62624">
              <w:rPr>
                <w:strike/>
                <w:szCs w:val="24"/>
              </w:rPr>
              <w:tab/>
              <w:t>vaikų ir paauglių psichikos sveikatos priežiūros paslaugų modeliui įdiegti bei mobilioms konsultacinėms vaikų ir paauglių psichikos sveikatos priežiūros ir vaikų raidos sutrikimų ankstyvosios reabilitacijos paslaugoms regionuose teikti reikalingos infrastruktūros sukūrimas: aprūpinimas reikiama įranga ir specialiais automobiliais mobilioms sveikatos priežiūros paslaugoms teikti;</w:t>
            </w:r>
          </w:p>
          <w:p w:rsidR="00B51F4B" w:rsidRPr="00C62624" w:rsidRDefault="00B51F4B" w:rsidP="00B51F4B">
            <w:pPr>
              <w:tabs>
                <w:tab w:val="left" w:pos="0"/>
                <w:tab w:val="left" w:pos="1026"/>
              </w:tabs>
              <w:ind w:firstLine="743"/>
              <w:jc w:val="both"/>
              <w:rPr>
                <w:strike/>
                <w:szCs w:val="24"/>
              </w:rPr>
            </w:pPr>
            <w:r w:rsidRPr="00C62624">
              <w:rPr>
                <w:strike/>
                <w:szCs w:val="24"/>
              </w:rPr>
              <w:t>1.3.3.</w:t>
            </w:r>
            <w:r w:rsidRPr="00C62624">
              <w:rPr>
                <w:strike/>
                <w:szCs w:val="24"/>
              </w:rPr>
              <w:tab/>
              <w:t xml:space="preserve">vaikų burnos sveikatos priežiūros paslaugų modelio sukūrimas, apimantis asmens sveikatos priežiūros įstaigų, teikiančių viešąsias specializuotas odontologijos paslaugas vaikams, aprūpinimą reikiama įranga vaikų odontologijos paslaugoms teikti ir specialiais automobiliais mobilioms (išvažiuojamosioms konsultacijoms) sveikatos priežiūros paslaugoms teikti; modeliui sukurti reikalingų tvarkos aprašų, rekomendacijų ir metodikų parengimą ir reglamentuojantis jų įdiegimą į viešųjų asmens sveikatos priežiūros įstaigų vykdomą odontologijos paslaugų vaikams teikimo praktiką; </w:t>
            </w:r>
          </w:p>
          <w:p w:rsidR="00B51F4B" w:rsidRPr="00C62624" w:rsidRDefault="00B51F4B" w:rsidP="00B51F4B">
            <w:pPr>
              <w:tabs>
                <w:tab w:val="left" w:pos="0"/>
                <w:tab w:val="left" w:pos="1026"/>
              </w:tabs>
              <w:ind w:firstLine="743"/>
              <w:jc w:val="both"/>
              <w:rPr>
                <w:strike/>
                <w:szCs w:val="24"/>
              </w:rPr>
            </w:pPr>
            <w:r w:rsidRPr="00C62624">
              <w:rPr>
                <w:strike/>
                <w:szCs w:val="24"/>
              </w:rPr>
              <w:t>1.3.4.</w:t>
            </w:r>
            <w:r w:rsidRPr="00C62624">
              <w:rPr>
                <w:strike/>
                <w:szCs w:val="24"/>
              </w:rPr>
              <w:tab/>
              <w:t>odontologijos paslaugų teikimo vaikams stebėsenos ir vertinimo sistemos sukūrimas;</w:t>
            </w:r>
          </w:p>
          <w:p w:rsidR="00B51F4B" w:rsidRDefault="00B51F4B" w:rsidP="00B51F4B">
            <w:pPr>
              <w:tabs>
                <w:tab w:val="left" w:pos="0"/>
                <w:tab w:val="left" w:pos="1026"/>
              </w:tabs>
              <w:ind w:firstLine="743"/>
              <w:jc w:val="both"/>
              <w:rPr>
                <w:szCs w:val="24"/>
              </w:rPr>
            </w:pPr>
            <w:r w:rsidRPr="0064451B">
              <w:rPr>
                <w:strike/>
                <w:szCs w:val="24"/>
              </w:rPr>
              <w:t>1.3.5.</w:t>
            </w:r>
            <w:r>
              <w:rPr>
                <w:szCs w:val="24"/>
              </w:rPr>
              <w:tab/>
            </w:r>
            <w:r w:rsidR="0064451B" w:rsidRPr="0064451B">
              <w:rPr>
                <w:b/>
                <w:szCs w:val="24"/>
              </w:rPr>
              <w:t>1.3.2.</w:t>
            </w:r>
            <w:r w:rsidR="0064451B">
              <w:rPr>
                <w:szCs w:val="24"/>
              </w:rPr>
              <w:t xml:space="preserve"> </w:t>
            </w:r>
            <w:r>
              <w:rPr>
                <w:szCs w:val="24"/>
              </w:rPr>
              <w:t>vaikų retų ligų kompetencijos centrų universitetų ligoninėse įsteigimas – statinių ir (ar) patalpų rekonstravimas ir (ar) remontas bei reikiamos medicinos ir kitos įrangos bei baldų įsigijimas;</w:t>
            </w:r>
          </w:p>
          <w:p w:rsidR="00B51F4B" w:rsidRDefault="00B51F4B" w:rsidP="00B51F4B">
            <w:pPr>
              <w:tabs>
                <w:tab w:val="left" w:pos="0"/>
                <w:tab w:val="left" w:pos="1026"/>
              </w:tabs>
              <w:ind w:firstLine="743"/>
              <w:jc w:val="both"/>
              <w:rPr>
                <w:szCs w:val="24"/>
              </w:rPr>
            </w:pPr>
            <w:r w:rsidRPr="0064451B">
              <w:rPr>
                <w:strike/>
                <w:szCs w:val="24"/>
              </w:rPr>
              <w:t>1.3.6.</w:t>
            </w:r>
            <w:r>
              <w:rPr>
                <w:szCs w:val="24"/>
              </w:rPr>
              <w:tab/>
            </w:r>
            <w:r w:rsidR="0064451B" w:rsidRPr="0064451B">
              <w:rPr>
                <w:b/>
                <w:szCs w:val="24"/>
              </w:rPr>
              <w:t>1.3.3.</w:t>
            </w:r>
            <w:r w:rsidR="0064451B">
              <w:rPr>
                <w:szCs w:val="24"/>
              </w:rPr>
              <w:t xml:space="preserve"> </w:t>
            </w:r>
            <w:r>
              <w:rPr>
                <w:szCs w:val="24"/>
              </w:rPr>
              <w:t>vaikų retų ligų profilaktikos, diagnostikos ir gydymo tvarkos aprašų, rekomendacijų ir metodikų parengimas, retomis ligomis sergančių vaikų pacientų registracijos posistemės ir nuotolinio konsultavimo  linijų  sukūrimas ir įdiegimas praktikoje;</w:t>
            </w:r>
          </w:p>
          <w:p w:rsidR="00B51F4B" w:rsidRDefault="00B51F4B" w:rsidP="00B51F4B">
            <w:pPr>
              <w:tabs>
                <w:tab w:val="left" w:pos="0"/>
                <w:tab w:val="left" w:pos="1026"/>
              </w:tabs>
              <w:ind w:firstLine="743"/>
              <w:jc w:val="both"/>
              <w:rPr>
                <w:szCs w:val="24"/>
              </w:rPr>
            </w:pPr>
            <w:r w:rsidRPr="0064451B">
              <w:rPr>
                <w:strike/>
                <w:szCs w:val="24"/>
              </w:rPr>
              <w:t>1.3.7.</w:t>
            </w:r>
            <w:r>
              <w:rPr>
                <w:szCs w:val="24"/>
              </w:rPr>
              <w:tab/>
            </w:r>
            <w:r w:rsidR="0064451B" w:rsidRPr="0064451B">
              <w:rPr>
                <w:b/>
                <w:szCs w:val="24"/>
              </w:rPr>
              <w:t>1.3.4.</w:t>
            </w:r>
            <w:r w:rsidR="0064451B">
              <w:rPr>
                <w:szCs w:val="24"/>
              </w:rPr>
              <w:t xml:space="preserve"> </w:t>
            </w:r>
            <w:r>
              <w:rPr>
                <w:szCs w:val="24"/>
              </w:rPr>
              <w:t>asmens sveikatos priežiūros įstaigų, teikiančių specializuotas (antrinio ir (ar) tretinio lygio) viešąsias paslaugas vaikams, infrastruktūros modernizavimas: statinių ir (ar) patalpų, tiesiogiai susijusių su vaikams skirtų paslaugų teikimu, statyba ir (ar) rekonstravimas, ir (ar) remontas;</w:t>
            </w:r>
          </w:p>
          <w:p w:rsidR="00B51F4B" w:rsidRDefault="00B51F4B" w:rsidP="00B51F4B">
            <w:pPr>
              <w:tabs>
                <w:tab w:val="left" w:pos="0"/>
                <w:tab w:val="left" w:pos="1026"/>
              </w:tabs>
              <w:ind w:firstLine="743"/>
              <w:jc w:val="both"/>
              <w:rPr>
                <w:szCs w:val="24"/>
              </w:rPr>
            </w:pPr>
            <w:r w:rsidRPr="0064451B">
              <w:rPr>
                <w:strike/>
                <w:szCs w:val="24"/>
              </w:rPr>
              <w:t>1.3.8.</w:t>
            </w:r>
            <w:r>
              <w:rPr>
                <w:szCs w:val="24"/>
              </w:rPr>
              <w:tab/>
            </w:r>
            <w:r w:rsidR="0064451B" w:rsidRPr="0064451B">
              <w:rPr>
                <w:b/>
                <w:szCs w:val="24"/>
              </w:rPr>
              <w:t>1.3.5.</w:t>
            </w:r>
            <w:r w:rsidR="0064451B">
              <w:rPr>
                <w:szCs w:val="24"/>
              </w:rPr>
              <w:t xml:space="preserve"> </w:t>
            </w:r>
            <w:r>
              <w:rPr>
                <w:szCs w:val="24"/>
              </w:rPr>
              <w:t>asmens sveikatos priežiūros įstaigų, teikiančių specializuotas (antrinio ir (ar) tretinio lygio) viešąsias paslaugas vaikams, aprūpinimas medicinos ir kita įranga, baldais, skirtais vaikų ligų profilaktikai, diagnostikai ir gydymui užtikrinti;</w:t>
            </w:r>
          </w:p>
          <w:p w:rsidR="00B51F4B" w:rsidRDefault="00B51F4B" w:rsidP="00B51F4B">
            <w:pPr>
              <w:tabs>
                <w:tab w:val="left" w:pos="0"/>
                <w:tab w:val="left" w:pos="1026"/>
              </w:tabs>
              <w:ind w:firstLine="743"/>
              <w:jc w:val="both"/>
              <w:rPr>
                <w:szCs w:val="24"/>
              </w:rPr>
            </w:pPr>
            <w:r w:rsidRPr="0064451B">
              <w:rPr>
                <w:strike/>
                <w:szCs w:val="24"/>
              </w:rPr>
              <w:t>1.3.9.</w:t>
            </w:r>
            <w:r>
              <w:rPr>
                <w:szCs w:val="24"/>
              </w:rPr>
              <w:tab/>
            </w:r>
            <w:bookmarkStart w:id="0" w:name="_GoBack"/>
            <w:r w:rsidR="0064451B" w:rsidRPr="0064451B">
              <w:rPr>
                <w:b/>
                <w:szCs w:val="24"/>
              </w:rPr>
              <w:t>1.3.6.</w:t>
            </w:r>
            <w:r w:rsidR="0064451B">
              <w:rPr>
                <w:szCs w:val="24"/>
              </w:rPr>
              <w:t xml:space="preserve"> </w:t>
            </w:r>
            <w:bookmarkEnd w:id="0"/>
            <w:r>
              <w:rPr>
                <w:szCs w:val="24"/>
              </w:rPr>
              <w:t>efektyvesniam III lygio ambulatorinių ir stacionarinių specializuotų paslaugų vaikams organizavimui ir teikimui reikalingos infrastruktūros Vilniaus mieste modernizavimas ir optimizavimas – statinių ir (ar) patalpų statyba, reikiamos medicinos ir kitos įrangos ir baldų įsigijimas.</w:t>
            </w:r>
          </w:p>
          <w:p w:rsidR="00B51F4B" w:rsidRDefault="00B51F4B" w:rsidP="00B51F4B">
            <w:pPr>
              <w:tabs>
                <w:tab w:val="left" w:pos="0"/>
                <w:tab w:val="left" w:pos="1593"/>
              </w:tabs>
              <w:ind w:firstLine="743"/>
              <w:jc w:val="both"/>
              <w:rPr>
                <w:szCs w:val="24"/>
              </w:rPr>
            </w:pPr>
            <w:r>
              <w:rPr>
                <w:szCs w:val="24"/>
              </w:rPr>
              <w:t>1.4.    Galimi pareiškėjai:</w:t>
            </w:r>
          </w:p>
          <w:p w:rsidR="00B51F4B" w:rsidRDefault="00B51F4B" w:rsidP="00B51F4B">
            <w:pPr>
              <w:tabs>
                <w:tab w:val="left" w:pos="0"/>
                <w:tab w:val="left" w:pos="1026"/>
              </w:tabs>
              <w:ind w:firstLine="743"/>
              <w:jc w:val="both"/>
              <w:rPr>
                <w:szCs w:val="24"/>
              </w:rPr>
            </w:pPr>
            <w:r>
              <w:rPr>
                <w:szCs w:val="24"/>
              </w:rPr>
              <w:t>1.4.1. asmens sveikatos priežiūros įstaigos, teikiančios viešąsias sveikatos priežiūros paslaugas vaikų ligų srityje ir turinčios sutartis su teritorinėmis ligonių kasomis dėl šių paslaugų apmokėjimo;</w:t>
            </w:r>
          </w:p>
          <w:p w:rsidR="00B51F4B" w:rsidRDefault="00B51F4B" w:rsidP="00B51F4B">
            <w:pPr>
              <w:tabs>
                <w:tab w:val="left" w:pos="0"/>
                <w:tab w:val="left" w:pos="1026"/>
                <w:tab w:val="left" w:pos="1449"/>
              </w:tabs>
              <w:ind w:firstLine="743"/>
              <w:jc w:val="both"/>
              <w:rPr>
                <w:szCs w:val="24"/>
              </w:rPr>
            </w:pPr>
            <w:r>
              <w:rPr>
                <w:szCs w:val="24"/>
              </w:rPr>
              <w:t>1.4.2. universitetų ligoninės;</w:t>
            </w:r>
          </w:p>
          <w:p w:rsidR="00B51F4B" w:rsidRDefault="00B51F4B" w:rsidP="00B51F4B">
            <w:pPr>
              <w:tabs>
                <w:tab w:val="left" w:pos="0"/>
                <w:tab w:val="left" w:pos="1026"/>
                <w:tab w:val="left" w:pos="1416"/>
              </w:tabs>
              <w:ind w:firstLine="743"/>
              <w:jc w:val="both"/>
              <w:rPr>
                <w:szCs w:val="24"/>
              </w:rPr>
            </w:pPr>
            <w:r>
              <w:rPr>
                <w:szCs w:val="24"/>
              </w:rPr>
              <w:t>1.4.3. Sveikatos apsaugos ministerija ir (ar) jai pavaldžios įstaigos.</w:t>
            </w:r>
          </w:p>
          <w:p w:rsidR="00B51F4B" w:rsidRDefault="00B51F4B" w:rsidP="00B51F4B">
            <w:pPr>
              <w:tabs>
                <w:tab w:val="left" w:pos="0"/>
                <w:tab w:val="left" w:pos="1026"/>
              </w:tabs>
              <w:ind w:firstLine="743"/>
              <w:jc w:val="both"/>
              <w:rPr>
                <w:szCs w:val="24"/>
              </w:rPr>
            </w:pPr>
            <w:r>
              <w:rPr>
                <w:szCs w:val="24"/>
              </w:rPr>
              <w:t>1.5.    Galimi partneriai:</w:t>
            </w:r>
          </w:p>
          <w:p w:rsidR="00B51F4B" w:rsidRDefault="00B51F4B" w:rsidP="00B51F4B">
            <w:pPr>
              <w:tabs>
                <w:tab w:val="left" w:pos="0"/>
                <w:tab w:val="left" w:pos="1026"/>
                <w:tab w:val="left" w:pos="1416"/>
              </w:tabs>
              <w:ind w:firstLine="743"/>
              <w:jc w:val="both"/>
              <w:rPr>
                <w:szCs w:val="24"/>
              </w:rPr>
            </w:pPr>
            <w:r>
              <w:rPr>
                <w:szCs w:val="24"/>
              </w:rPr>
              <w:t>1.5.1. asmens sveikatos priežiūros įstaigos, teikiančios viešąsias sveikatos priežiūros paslaugas vaikų ligų srityje ir turinčios sutartis su teritorinėmis ligonių kasomis dėl šių paslaugų apmokėjimo;</w:t>
            </w:r>
          </w:p>
          <w:p w:rsidR="00B51F4B" w:rsidRDefault="00B51F4B" w:rsidP="00B51F4B">
            <w:pPr>
              <w:tabs>
                <w:tab w:val="left" w:pos="0"/>
                <w:tab w:val="left" w:pos="1026"/>
              </w:tabs>
              <w:ind w:firstLine="743"/>
              <w:jc w:val="both"/>
              <w:rPr>
                <w:szCs w:val="24"/>
              </w:rPr>
            </w:pPr>
            <w:r>
              <w:rPr>
                <w:szCs w:val="24"/>
              </w:rPr>
              <w:lastRenderedPageBreak/>
              <w:t>1.5.2. universitetų ligoninės;</w:t>
            </w:r>
          </w:p>
          <w:p w:rsidR="00B51F4B" w:rsidRDefault="00B51F4B" w:rsidP="00B51F4B">
            <w:pPr>
              <w:tabs>
                <w:tab w:val="left" w:pos="0"/>
                <w:tab w:val="left" w:pos="1026"/>
              </w:tabs>
              <w:ind w:firstLine="743"/>
              <w:jc w:val="both"/>
              <w:rPr>
                <w:szCs w:val="24"/>
              </w:rPr>
            </w:pPr>
            <w:r>
              <w:rPr>
                <w:szCs w:val="24"/>
              </w:rPr>
              <w:t>1.5.3. Sveikatos apsaugos ministerija ir (ar) jai pavaldžios įstaigos.“</w:t>
            </w:r>
          </w:p>
        </w:tc>
      </w:tr>
    </w:tbl>
    <w:p w:rsidR="003F0C04" w:rsidRPr="00656880" w:rsidRDefault="003F0C04" w:rsidP="003F0C04">
      <w:pPr>
        <w:tabs>
          <w:tab w:val="left" w:pos="0"/>
          <w:tab w:val="left" w:pos="567"/>
        </w:tabs>
        <w:jc w:val="both"/>
        <w:rPr>
          <w:color w:val="000000"/>
          <w:szCs w:val="24"/>
          <w:lang w:eastAsia="lt-LT"/>
        </w:rPr>
      </w:pPr>
    </w:p>
    <w:p w:rsidR="003F0C04" w:rsidRPr="00656880" w:rsidRDefault="003F0C04" w:rsidP="003F0C04">
      <w:pPr>
        <w:pStyle w:val="Sraopastraipa"/>
        <w:tabs>
          <w:tab w:val="left" w:pos="0"/>
          <w:tab w:val="left" w:pos="142"/>
          <w:tab w:val="left" w:pos="993"/>
          <w:tab w:val="left" w:pos="1134"/>
        </w:tabs>
        <w:ind w:left="0" w:firstLine="851"/>
        <w:jc w:val="both"/>
        <w:rPr>
          <w:rFonts w:ascii="Times New Roman" w:hAnsi="Times New Roman" w:cs="Times New Roman"/>
          <w:color w:val="000000"/>
          <w:sz w:val="24"/>
          <w:szCs w:val="24"/>
          <w:lang w:eastAsia="lt-LT"/>
        </w:rPr>
      </w:pPr>
      <w:r w:rsidRPr="00656880">
        <w:rPr>
          <w:rFonts w:ascii="Times New Roman" w:hAnsi="Times New Roman" w:cs="Times New Roman"/>
          <w:color w:val="000000"/>
          <w:sz w:val="24"/>
          <w:szCs w:val="24"/>
          <w:lang w:eastAsia="lt-LT"/>
        </w:rPr>
        <w:t xml:space="preserve">1.1.2. </w:t>
      </w:r>
      <w:r w:rsidR="00A13576" w:rsidRPr="00A13576">
        <w:rPr>
          <w:rFonts w:ascii="Times New Roman" w:hAnsi="Times New Roman" w:cs="Times New Roman"/>
          <w:color w:val="000000"/>
          <w:sz w:val="24"/>
          <w:szCs w:val="24"/>
          <w:lang w:eastAsia="lt-LT"/>
        </w:rPr>
        <w:t>Pakeičiu</w:t>
      </w:r>
      <w:r w:rsidR="00A13576">
        <w:rPr>
          <w:rFonts w:ascii="Times New Roman" w:hAnsi="Times New Roman" w:cs="Times New Roman"/>
          <w:color w:val="000000"/>
          <w:sz w:val="24"/>
          <w:szCs w:val="24"/>
          <w:lang w:eastAsia="lt-LT"/>
        </w:rPr>
        <w:t xml:space="preserve"> 6</w:t>
      </w:r>
      <w:r w:rsidR="00A13576" w:rsidRPr="00A13576">
        <w:rPr>
          <w:rFonts w:ascii="Times New Roman" w:hAnsi="Times New Roman" w:cs="Times New Roman"/>
          <w:color w:val="000000"/>
          <w:sz w:val="24"/>
          <w:szCs w:val="24"/>
          <w:lang w:eastAsia="lt-LT"/>
        </w:rPr>
        <w:t xml:space="preserve"> punktą ir jį išdėstau taip:</w:t>
      </w:r>
    </w:p>
    <w:p w:rsidR="00A13576" w:rsidRPr="00A13576" w:rsidRDefault="00A13576" w:rsidP="00A13576">
      <w:pPr>
        <w:tabs>
          <w:tab w:val="left" w:pos="0"/>
          <w:tab w:val="left" w:pos="567"/>
        </w:tabs>
        <w:suppressAutoHyphens w:val="0"/>
        <w:autoSpaceDN/>
        <w:ind w:firstLine="851"/>
        <w:jc w:val="both"/>
        <w:textAlignment w:val="auto"/>
        <w:rPr>
          <w:szCs w:val="24"/>
          <w:lang w:eastAsia="lt-LT"/>
        </w:rPr>
      </w:pPr>
      <w:r>
        <w:rPr>
          <w:szCs w:val="24"/>
          <w:lang w:eastAsia="lt-LT"/>
        </w:rPr>
        <w:t>„</w:t>
      </w:r>
      <w:r w:rsidRPr="00A13576">
        <w:rPr>
          <w:szCs w:val="24"/>
          <w:lang w:eastAsia="lt-LT"/>
        </w:rPr>
        <w:t>6. P</w:t>
      </w:r>
      <w:r w:rsidRPr="00A13576">
        <w:rPr>
          <w:bCs/>
          <w:szCs w:val="24"/>
          <w:lang w:eastAsia="lt-LT"/>
        </w:rPr>
        <w:t xml:space="preserve">riemonės įgyvendinimo stebėsenos rodikliai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364"/>
        <w:gridCol w:w="1559"/>
        <w:gridCol w:w="1559"/>
        <w:gridCol w:w="1985"/>
      </w:tblGrid>
      <w:tr w:rsidR="00A13576" w:rsidRPr="00A13576" w:rsidTr="00A13576">
        <w:trPr>
          <w:trHeight w:val="699"/>
        </w:trPr>
        <w:tc>
          <w:tcPr>
            <w:tcW w:w="1242"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284"/>
              </w:tabs>
              <w:suppressAutoHyphens w:val="0"/>
              <w:autoSpaceDN/>
              <w:jc w:val="center"/>
              <w:textAlignment w:val="auto"/>
              <w:rPr>
                <w:szCs w:val="24"/>
                <w:lang w:eastAsia="lt-LT"/>
              </w:rPr>
            </w:pPr>
            <w:r w:rsidRPr="00A13576">
              <w:rPr>
                <w:szCs w:val="24"/>
                <w:lang w:eastAsia="lt-LT"/>
              </w:rPr>
              <w:t>Stebėsenos rodiklio kodas</w:t>
            </w:r>
          </w:p>
        </w:tc>
        <w:tc>
          <w:tcPr>
            <w:tcW w:w="8364"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Matavimo vienetas</w:t>
            </w:r>
          </w:p>
        </w:tc>
        <w:tc>
          <w:tcPr>
            <w:tcW w:w="1559"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 xml:space="preserve">Tarpinė reikšmė </w:t>
            </w:r>
            <w:bookmarkStart w:id="1" w:name="_Hlk479926922"/>
            <w:r w:rsidRPr="00A13576">
              <w:rPr>
                <w:szCs w:val="24"/>
                <w:lang w:eastAsia="lt-LT"/>
              </w:rPr>
              <w:t>2018 m. gruodžio 31 d.</w:t>
            </w:r>
            <w:bookmarkEnd w:id="1"/>
          </w:p>
        </w:tc>
        <w:tc>
          <w:tcPr>
            <w:tcW w:w="1985"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bookmarkStart w:id="2" w:name="_Hlk479927618"/>
            <w:r w:rsidRPr="00A13576">
              <w:rPr>
                <w:szCs w:val="24"/>
                <w:lang w:eastAsia="lt-LT"/>
              </w:rPr>
              <w:t>Galutinė reikšmė 2023 m. gruodžio 31 d.</w:t>
            </w:r>
            <w:bookmarkEnd w:id="2"/>
          </w:p>
        </w:tc>
      </w:tr>
      <w:tr w:rsidR="00A13576" w:rsidRPr="00A13576" w:rsidTr="00A13576">
        <w:trPr>
          <w:trHeight w:val="699"/>
        </w:trPr>
        <w:tc>
          <w:tcPr>
            <w:tcW w:w="1242"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i/>
                <w:szCs w:val="24"/>
                <w:lang w:eastAsia="lt-LT"/>
              </w:rPr>
            </w:pPr>
            <w:r w:rsidRPr="00A13576">
              <w:rPr>
                <w:szCs w:val="24"/>
              </w:rPr>
              <w:t>R.N.601</w:t>
            </w:r>
          </w:p>
        </w:tc>
        <w:tc>
          <w:tcPr>
            <w:tcW w:w="8364"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suppressAutoHyphens w:val="0"/>
              <w:autoSpaceDN/>
              <w:textAlignment w:val="auto"/>
              <w:rPr>
                <w:szCs w:val="24"/>
              </w:rPr>
            </w:pPr>
            <w:r w:rsidRPr="00A13576">
              <w:rPr>
                <w:szCs w:val="24"/>
              </w:rPr>
              <w:t>„Pacientai, kuriems pagerinta paslaugų kokybė ir prieinamumas“</w:t>
            </w:r>
          </w:p>
        </w:tc>
        <w:tc>
          <w:tcPr>
            <w:tcW w:w="1559"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hideMark/>
          </w:tcPr>
          <w:p w:rsidR="00A13576" w:rsidRPr="00586BE3" w:rsidRDefault="00A13576" w:rsidP="00A13576">
            <w:pPr>
              <w:tabs>
                <w:tab w:val="left" w:pos="0"/>
              </w:tabs>
              <w:suppressAutoHyphens w:val="0"/>
              <w:autoSpaceDN/>
              <w:jc w:val="center"/>
              <w:textAlignment w:val="auto"/>
              <w:rPr>
                <w:b/>
                <w:szCs w:val="24"/>
                <w:lang w:eastAsia="lt-LT"/>
              </w:rPr>
            </w:pPr>
            <w:r w:rsidRPr="00586BE3">
              <w:rPr>
                <w:strike/>
                <w:szCs w:val="24"/>
                <w:lang w:eastAsia="lt-LT"/>
              </w:rPr>
              <w:t>50 000</w:t>
            </w:r>
            <w:r w:rsidR="00586BE3">
              <w:rPr>
                <w:szCs w:val="24"/>
                <w:lang w:eastAsia="lt-LT"/>
              </w:rPr>
              <w:t xml:space="preserve"> </w:t>
            </w:r>
            <w:r w:rsidR="00586BE3">
              <w:rPr>
                <w:b/>
                <w:szCs w:val="24"/>
                <w:lang w:eastAsia="lt-LT"/>
              </w:rPr>
              <w:t>0</w:t>
            </w:r>
          </w:p>
        </w:tc>
        <w:tc>
          <w:tcPr>
            <w:tcW w:w="1985" w:type="dxa"/>
            <w:tcBorders>
              <w:top w:val="single" w:sz="4" w:space="0" w:color="auto"/>
              <w:left w:val="single" w:sz="4" w:space="0" w:color="auto"/>
              <w:bottom w:val="single" w:sz="4" w:space="0" w:color="auto"/>
              <w:right w:val="single" w:sz="4" w:space="0" w:color="auto"/>
            </w:tcBorders>
            <w:hideMark/>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76 000</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jc w:val="center"/>
              <w:textAlignment w:val="auto"/>
              <w:rPr>
                <w:szCs w:val="24"/>
              </w:rPr>
            </w:pPr>
            <w:r w:rsidRPr="00A13576">
              <w:rPr>
                <w:szCs w:val="24"/>
              </w:rPr>
              <w:t>R.S.363</w:t>
            </w:r>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textAlignment w:val="auto"/>
              <w:rPr>
                <w:szCs w:val="24"/>
              </w:rPr>
            </w:pPr>
            <w:r w:rsidRPr="00A13576">
              <w:rPr>
                <w:szCs w:val="24"/>
              </w:rPr>
              <w:t>„Apsilankymų pas gydytojus skaičiaus, tenkančio vienam gyventojui, skirtumas tarp miestų ir rajonų savivaldybių gyventojų“</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jc w:val="center"/>
              <w:textAlignment w:val="auto"/>
              <w:rPr>
                <w:szCs w:val="24"/>
              </w:rPr>
            </w:pPr>
            <w:r w:rsidRPr="00A13576">
              <w:rPr>
                <w:szCs w:val="24"/>
              </w:rPr>
              <w:t>Apsilankymų skaičius, tenkantis 1 gyventojui</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jc w:val="center"/>
              <w:textAlignment w:val="auto"/>
              <w:rPr>
                <w:szCs w:val="24"/>
              </w:rPr>
            </w:pPr>
            <w:r w:rsidRPr="00A13576">
              <w:rPr>
                <w:szCs w:val="24"/>
              </w:rPr>
              <w:t>4</w:t>
            </w: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jc w:val="center"/>
              <w:textAlignment w:val="auto"/>
              <w:rPr>
                <w:szCs w:val="24"/>
              </w:rPr>
            </w:pPr>
            <w:r w:rsidRPr="00A13576">
              <w:rPr>
                <w:szCs w:val="24"/>
              </w:rPr>
              <w:t>3</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spacing w:line="276" w:lineRule="auto"/>
              <w:jc w:val="center"/>
              <w:textAlignment w:val="auto"/>
              <w:rPr>
                <w:strike/>
                <w:szCs w:val="24"/>
              </w:rPr>
            </w:pPr>
            <w:bookmarkStart w:id="3" w:name="_Hlk479927291"/>
            <w:r w:rsidRPr="00A13576">
              <w:rPr>
                <w:strike/>
                <w:szCs w:val="24"/>
              </w:rPr>
              <w:t>R.N.639</w:t>
            </w:r>
            <w:bookmarkEnd w:id="3"/>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textAlignment w:val="auto"/>
              <w:rPr>
                <w:strike/>
                <w:szCs w:val="24"/>
              </w:rPr>
            </w:pPr>
            <w:bookmarkStart w:id="4" w:name="_Hlk479927282"/>
            <w:r w:rsidRPr="00A13576">
              <w:rPr>
                <w:strike/>
                <w:szCs w:val="24"/>
              </w:rPr>
              <w:t>„Suteikta vaikų ir paauglių psichiatrijos ir  vaikų raidos sutrikimų ankstyvosios reabilitacijos konsultacinės paslaugų“</w:t>
            </w:r>
            <w:bookmarkEnd w:id="4"/>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900</w:t>
            </w: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1800</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zCs w:val="24"/>
                <w:lang w:eastAsia="lt-LT"/>
              </w:rPr>
            </w:pPr>
            <w:bookmarkStart w:id="5" w:name="_Hlk479927598"/>
            <w:r w:rsidRPr="00A13576">
              <w:rPr>
                <w:szCs w:val="24"/>
              </w:rPr>
              <w:t>R.N.637</w:t>
            </w:r>
            <w:bookmarkEnd w:id="5"/>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textAlignment w:val="auto"/>
              <w:rPr>
                <w:szCs w:val="24"/>
              </w:rPr>
            </w:pPr>
            <w:bookmarkStart w:id="6" w:name="_Hlk479927587"/>
            <w:r w:rsidRPr="00A13576">
              <w:rPr>
                <w:szCs w:val="24"/>
              </w:rPr>
              <w:t>„Vaikai, kuriems patvirtinta retos ligos diagnozė“</w:t>
            </w:r>
            <w:bookmarkEnd w:id="6"/>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0</w:t>
            </w:r>
          </w:p>
        </w:tc>
        <w:tc>
          <w:tcPr>
            <w:tcW w:w="1985" w:type="dxa"/>
            <w:tcBorders>
              <w:top w:val="single" w:sz="4" w:space="0" w:color="auto"/>
              <w:left w:val="single" w:sz="4" w:space="0" w:color="auto"/>
              <w:bottom w:val="single" w:sz="4" w:space="0" w:color="auto"/>
              <w:right w:val="single" w:sz="4" w:space="0" w:color="auto"/>
            </w:tcBorders>
          </w:tcPr>
          <w:p w:rsidR="00A13576" w:rsidRPr="00793D6C" w:rsidRDefault="00A13576" w:rsidP="00A13576">
            <w:pPr>
              <w:tabs>
                <w:tab w:val="left" w:pos="0"/>
              </w:tabs>
              <w:suppressAutoHyphens w:val="0"/>
              <w:autoSpaceDN/>
              <w:jc w:val="center"/>
              <w:textAlignment w:val="auto"/>
              <w:rPr>
                <w:strike/>
                <w:szCs w:val="24"/>
                <w:lang w:eastAsia="lt-LT"/>
              </w:rPr>
            </w:pPr>
            <w:r w:rsidRPr="00793D6C">
              <w:rPr>
                <w:strike/>
                <w:szCs w:val="24"/>
                <w:lang w:eastAsia="lt-LT"/>
              </w:rPr>
              <w:t>1000</w:t>
            </w:r>
            <w:r w:rsidR="003E2DF7">
              <w:rPr>
                <w:strike/>
                <w:szCs w:val="24"/>
                <w:lang w:eastAsia="lt-LT"/>
              </w:rPr>
              <w:t xml:space="preserve"> </w:t>
            </w:r>
            <w:r w:rsidR="003E2DF7" w:rsidRPr="003E2DF7">
              <w:rPr>
                <w:b/>
                <w:szCs w:val="24"/>
                <w:lang w:eastAsia="lt-LT"/>
              </w:rPr>
              <w:t>200</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i/>
                <w:szCs w:val="24"/>
                <w:lang w:eastAsia="lt-LT"/>
              </w:rPr>
            </w:pPr>
            <w:bookmarkStart w:id="7" w:name="_Hlk479927498"/>
            <w:r w:rsidRPr="00A13576">
              <w:rPr>
                <w:szCs w:val="24"/>
                <w:lang w:eastAsia="lt-LT"/>
              </w:rPr>
              <w:t>P.S.363</w:t>
            </w:r>
            <w:bookmarkEnd w:id="7"/>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suppressAutoHyphens w:val="0"/>
              <w:autoSpaceDN/>
              <w:textAlignment w:val="auto"/>
              <w:rPr>
                <w:szCs w:val="24"/>
              </w:rPr>
            </w:pPr>
            <w:bookmarkStart w:id="8" w:name="_Hlk479927488"/>
            <w:r w:rsidRPr="00A13576">
              <w:rPr>
                <w:szCs w:val="24"/>
              </w:rPr>
              <w:t>„Viešąsias sveikatos priežiūros paslaugas teikiančių įstaigų, kuriose pagerinta paslaugų teikimo infrastruktūra, skaičius“</w:t>
            </w:r>
            <w:bookmarkEnd w:id="8"/>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B20D5B" w:rsidRDefault="00A13576" w:rsidP="00A13576">
            <w:pPr>
              <w:tabs>
                <w:tab w:val="left" w:pos="0"/>
              </w:tabs>
              <w:suppressAutoHyphens w:val="0"/>
              <w:autoSpaceDN/>
              <w:jc w:val="center"/>
              <w:textAlignment w:val="auto"/>
              <w:rPr>
                <w:b/>
                <w:szCs w:val="24"/>
                <w:lang w:eastAsia="lt-LT"/>
              </w:rPr>
            </w:pPr>
            <w:r w:rsidRPr="00B20D5B">
              <w:rPr>
                <w:strike/>
                <w:szCs w:val="24"/>
                <w:lang w:eastAsia="lt-LT"/>
              </w:rPr>
              <w:t>2</w:t>
            </w:r>
            <w:r w:rsidR="00B20D5B">
              <w:rPr>
                <w:strike/>
                <w:szCs w:val="24"/>
                <w:lang w:eastAsia="lt-LT"/>
              </w:rPr>
              <w:t xml:space="preserve"> </w:t>
            </w:r>
            <w:r w:rsidR="00B20D5B">
              <w:rPr>
                <w:b/>
                <w:szCs w:val="24"/>
                <w:lang w:eastAsia="lt-LT"/>
              </w:rPr>
              <w:t>0</w:t>
            </w:r>
          </w:p>
          <w:p w:rsidR="00A13576" w:rsidRPr="00A13576" w:rsidRDefault="00A13576" w:rsidP="00A13576">
            <w:pPr>
              <w:tabs>
                <w:tab w:val="left" w:pos="0"/>
              </w:tabs>
              <w:suppressAutoHyphens w:val="0"/>
              <w:autoSpaceDN/>
              <w:jc w:val="center"/>
              <w:textAlignment w:val="auto"/>
              <w:rPr>
                <w:i/>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zCs w:val="24"/>
                <w:lang w:eastAsia="lt-LT"/>
              </w:rPr>
            </w:pPr>
            <w:r w:rsidRPr="00A13576">
              <w:rPr>
                <w:szCs w:val="24"/>
                <w:lang w:eastAsia="lt-LT"/>
              </w:rPr>
              <w:t xml:space="preserve">10 </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bookmarkStart w:id="9" w:name="_Hlk479927425"/>
            <w:r w:rsidRPr="00A13576">
              <w:rPr>
                <w:strike/>
                <w:szCs w:val="24"/>
                <w:lang w:eastAsia="lt-LT"/>
              </w:rPr>
              <w:t>P.S.371</w:t>
            </w:r>
            <w:bookmarkEnd w:id="9"/>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textAlignment w:val="auto"/>
              <w:rPr>
                <w:bCs/>
                <w:strike/>
                <w:szCs w:val="24"/>
              </w:rPr>
            </w:pPr>
            <w:bookmarkStart w:id="10" w:name="_Hlk479927417"/>
            <w:r w:rsidRPr="00A13576">
              <w:rPr>
                <w:bCs/>
                <w:strike/>
                <w:szCs w:val="24"/>
              </w:rPr>
              <w:t>„Savivaldybės, kuriose įdiegti inovatyvūs viešųjų asmens ir visuomenės sveikatos priežiūros paslaugų teikimo modeliai, pagerinantys sveikatos priežiūros paslaugų prieinamumą tikslinėms gyventojų grupėms“</w:t>
            </w:r>
            <w:bookmarkEnd w:id="10"/>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6</w:t>
            </w: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30</w:t>
            </w:r>
          </w:p>
        </w:tc>
      </w:tr>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bookmarkStart w:id="11" w:name="_Hlk479937781"/>
            <w:bookmarkStart w:id="12" w:name="_Hlk479937794"/>
            <w:r w:rsidRPr="00A13576">
              <w:rPr>
                <w:strike/>
                <w:szCs w:val="24"/>
                <w:lang w:eastAsia="lt-LT"/>
              </w:rPr>
              <w:t>P.N.640</w:t>
            </w:r>
            <w:bookmarkEnd w:id="12"/>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textAlignment w:val="auto"/>
              <w:rPr>
                <w:bCs/>
                <w:strike/>
                <w:szCs w:val="24"/>
              </w:rPr>
            </w:pPr>
            <w:r w:rsidRPr="00A13576">
              <w:rPr>
                <w:bCs/>
                <w:strike/>
                <w:szCs w:val="24"/>
              </w:rPr>
              <w:t>„Sukurta ir įdiegta odontologinių paslaugų teikimo stebėsenos ir vertinimo sistema“</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1</w:t>
            </w: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s>
              <w:suppressAutoHyphens w:val="0"/>
              <w:autoSpaceDN/>
              <w:jc w:val="center"/>
              <w:textAlignment w:val="auto"/>
              <w:rPr>
                <w:strike/>
                <w:szCs w:val="24"/>
                <w:lang w:eastAsia="lt-LT"/>
              </w:rPr>
            </w:pPr>
            <w:r w:rsidRPr="00A13576">
              <w:rPr>
                <w:strike/>
                <w:szCs w:val="24"/>
                <w:lang w:eastAsia="lt-LT"/>
              </w:rPr>
              <w:t>1</w:t>
            </w:r>
          </w:p>
        </w:tc>
      </w:tr>
      <w:bookmarkEnd w:id="11"/>
      <w:tr w:rsidR="00A13576" w:rsidRPr="00A13576" w:rsidTr="00A13576">
        <w:tc>
          <w:tcPr>
            <w:tcW w:w="1242"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 w:val="left" w:pos="142"/>
                <w:tab w:val="left" w:pos="993"/>
              </w:tabs>
              <w:suppressAutoHyphens w:val="0"/>
              <w:autoSpaceDN/>
              <w:spacing w:line="276" w:lineRule="auto"/>
              <w:ind w:left="142"/>
              <w:textAlignment w:val="auto"/>
              <w:rPr>
                <w:color w:val="000000"/>
                <w:szCs w:val="24"/>
                <w:lang w:eastAsia="lt-LT"/>
              </w:rPr>
            </w:pPr>
            <w:r w:rsidRPr="00A13576">
              <w:rPr>
                <w:color w:val="000000"/>
                <w:szCs w:val="24"/>
                <w:lang w:eastAsia="lt-LT"/>
              </w:rPr>
              <w:t>P.N.603</w:t>
            </w:r>
          </w:p>
        </w:tc>
        <w:tc>
          <w:tcPr>
            <w:tcW w:w="8364" w:type="dxa"/>
            <w:tcBorders>
              <w:top w:val="single" w:sz="4" w:space="0" w:color="auto"/>
              <w:left w:val="single" w:sz="4" w:space="0" w:color="auto"/>
              <w:bottom w:val="single" w:sz="4" w:space="0" w:color="auto"/>
              <w:right w:val="single" w:sz="4" w:space="0" w:color="auto"/>
            </w:tcBorders>
          </w:tcPr>
          <w:p w:rsidR="00A13576" w:rsidRPr="00A13576" w:rsidRDefault="00A13576" w:rsidP="00586BE3">
            <w:pPr>
              <w:tabs>
                <w:tab w:val="left" w:pos="0"/>
                <w:tab w:val="left" w:pos="142"/>
                <w:tab w:val="left" w:pos="993"/>
              </w:tabs>
              <w:suppressAutoHyphens w:val="0"/>
              <w:autoSpaceDN/>
              <w:spacing w:line="276" w:lineRule="auto"/>
              <w:ind w:left="851" w:hanging="853"/>
              <w:textAlignment w:val="auto"/>
              <w:rPr>
                <w:color w:val="000000"/>
                <w:szCs w:val="24"/>
                <w:lang w:eastAsia="lt-LT"/>
              </w:rPr>
            </w:pPr>
            <w:r w:rsidRPr="00A13576">
              <w:rPr>
                <w:color w:val="000000"/>
                <w:szCs w:val="24"/>
                <w:lang w:eastAsia="lt-LT"/>
              </w:rPr>
              <w:t>„Parengtos ir patvirtintos</w:t>
            </w:r>
            <w:r w:rsidR="00586BE3">
              <w:rPr>
                <w:color w:val="000000"/>
                <w:szCs w:val="24"/>
                <w:lang w:eastAsia="lt-LT"/>
              </w:rPr>
              <w:t xml:space="preserve"> </w:t>
            </w:r>
            <w:r w:rsidRPr="00A13576">
              <w:rPr>
                <w:color w:val="000000"/>
                <w:szCs w:val="24"/>
                <w:lang w:eastAsia="lt-LT"/>
              </w:rPr>
              <w:t>metodikos, tvarkos aprašai ir kiti</w:t>
            </w:r>
            <w:r w:rsidR="00586BE3">
              <w:rPr>
                <w:color w:val="000000"/>
                <w:szCs w:val="24"/>
                <w:lang w:eastAsia="lt-LT"/>
              </w:rPr>
              <w:t xml:space="preserve"> </w:t>
            </w:r>
            <w:r w:rsidRPr="00A13576">
              <w:rPr>
                <w:color w:val="000000"/>
                <w:szCs w:val="24"/>
                <w:lang w:eastAsia="lt-LT"/>
              </w:rPr>
              <w:t>dokumentai“</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 w:val="left" w:pos="142"/>
                <w:tab w:val="left" w:pos="993"/>
              </w:tabs>
              <w:suppressAutoHyphens w:val="0"/>
              <w:autoSpaceDN/>
              <w:spacing w:line="276" w:lineRule="auto"/>
              <w:jc w:val="center"/>
              <w:textAlignment w:val="auto"/>
              <w:rPr>
                <w:color w:val="000000"/>
                <w:szCs w:val="24"/>
                <w:lang w:eastAsia="lt-LT"/>
              </w:rPr>
            </w:pPr>
            <w:r w:rsidRPr="00A13576">
              <w:rPr>
                <w:color w:val="000000"/>
                <w:szCs w:val="24"/>
                <w:lang w:eastAsia="lt-LT"/>
              </w:rPr>
              <w:t>Skaičius</w:t>
            </w:r>
          </w:p>
        </w:tc>
        <w:tc>
          <w:tcPr>
            <w:tcW w:w="1559"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 w:val="left" w:pos="142"/>
                <w:tab w:val="left" w:pos="993"/>
              </w:tabs>
              <w:suppressAutoHyphens w:val="0"/>
              <w:autoSpaceDN/>
              <w:spacing w:line="276" w:lineRule="auto"/>
              <w:jc w:val="center"/>
              <w:textAlignment w:val="auto"/>
              <w:rPr>
                <w:color w:val="000000"/>
                <w:szCs w:val="24"/>
                <w:lang w:eastAsia="lt-LT"/>
              </w:rPr>
            </w:pPr>
            <w:r w:rsidRPr="00A13576">
              <w:rPr>
                <w:color w:val="000000"/>
                <w:szCs w:val="24"/>
                <w:lang w:eastAsia="lt-LT"/>
              </w:rPr>
              <w:t>0</w:t>
            </w:r>
          </w:p>
        </w:tc>
        <w:tc>
          <w:tcPr>
            <w:tcW w:w="1985" w:type="dxa"/>
            <w:tcBorders>
              <w:top w:val="single" w:sz="4" w:space="0" w:color="auto"/>
              <w:left w:val="single" w:sz="4" w:space="0" w:color="auto"/>
              <w:bottom w:val="single" w:sz="4" w:space="0" w:color="auto"/>
              <w:right w:val="single" w:sz="4" w:space="0" w:color="auto"/>
            </w:tcBorders>
          </w:tcPr>
          <w:p w:rsidR="00A13576" w:rsidRPr="00A13576" w:rsidRDefault="00A13576" w:rsidP="00A13576">
            <w:pPr>
              <w:tabs>
                <w:tab w:val="left" w:pos="0"/>
                <w:tab w:val="left" w:pos="142"/>
                <w:tab w:val="left" w:pos="993"/>
              </w:tabs>
              <w:suppressAutoHyphens w:val="0"/>
              <w:autoSpaceDN/>
              <w:spacing w:line="276" w:lineRule="auto"/>
              <w:jc w:val="center"/>
              <w:textAlignment w:val="auto"/>
              <w:rPr>
                <w:color w:val="000000"/>
                <w:szCs w:val="24"/>
                <w:lang w:eastAsia="lt-LT"/>
              </w:rPr>
            </w:pPr>
            <w:r w:rsidRPr="00A13576">
              <w:rPr>
                <w:color w:val="000000"/>
                <w:szCs w:val="24"/>
                <w:lang w:eastAsia="lt-LT"/>
              </w:rPr>
              <w:t>5</w:t>
            </w:r>
            <w:r>
              <w:rPr>
                <w:color w:val="000000"/>
                <w:szCs w:val="24"/>
                <w:lang w:eastAsia="lt-LT"/>
              </w:rPr>
              <w:t>“</w:t>
            </w:r>
          </w:p>
        </w:tc>
      </w:tr>
    </w:tbl>
    <w:p w:rsidR="00A13576" w:rsidRDefault="00A13576" w:rsidP="00A13576">
      <w:pPr>
        <w:suppressAutoHyphens w:val="0"/>
        <w:autoSpaceDN/>
        <w:textAlignment w:val="auto"/>
      </w:pPr>
    </w:p>
    <w:p w:rsidR="003E2CA9" w:rsidRDefault="003E2CA9" w:rsidP="003E2CA9">
      <w:pPr>
        <w:suppressAutoHyphens w:val="0"/>
        <w:autoSpaceDN/>
        <w:ind w:firstLine="851"/>
        <w:textAlignment w:val="auto"/>
      </w:pPr>
    </w:p>
    <w:p w:rsidR="003E2CA9" w:rsidRDefault="003E2CA9" w:rsidP="003E2CA9">
      <w:pPr>
        <w:suppressAutoHyphens w:val="0"/>
        <w:autoSpaceDN/>
        <w:ind w:firstLine="851"/>
        <w:textAlignment w:val="auto"/>
      </w:pPr>
    </w:p>
    <w:p w:rsidR="006D5140" w:rsidRDefault="006D5140" w:rsidP="003E2CA9">
      <w:pPr>
        <w:suppressAutoHyphens w:val="0"/>
        <w:autoSpaceDN/>
        <w:ind w:firstLine="851"/>
        <w:textAlignment w:val="auto"/>
      </w:pPr>
    </w:p>
    <w:p w:rsidR="003E2CA9" w:rsidRDefault="003E2CA9" w:rsidP="003E2CA9">
      <w:pPr>
        <w:suppressAutoHyphens w:val="0"/>
        <w:autoSpaceDN/>
        <w:ind w:firstLine="851"/>
        <w:textAlignment w:val="auto"/>
      </w:pPr>
    </w:p>
    <w:p w:rsidR="003E2CA9" w:rsidRPr="003E2CA9" w:rsidRDefault="003E2CA9" w:rsidP="000A6B03">
      <w:pPr>
        <w:suppressAutoHyphens w:val="0"/>
        <w:autoSpaceDN/>
        <w:ind w:firstLine="851"/>
        <w:textAlignment w:val="auto"/>
      </w:pPr>
      <w:r w:rsidRPr="003E2CA9">
        <w:lastRenderedPageBreak/>
        <w:t>1.1.3. Pakeičiu 7 punktą ir jį išdėstau taip:</w:t>
      </w:r>
    </w:p>
    <w:p w:rsidR="003E2CA9" w:rsidRDefault="003E2CA9" w:rsidP="003E2CA9">
      <w:pPr>
        <w:suppressAutoHyphens w:val="0"/>
        <w:autoSpaceDN/>
        <w:ind w:firstLine="851"/>
        <w:textAlignment w:val="auto"/>
      </w:pPr>
      <w:r w:rsidRPr="003E2CA9">
        <w:t>„7. Priemonės finansavimo šaltiniai</w:t>
      </w:r>
    </w:p>
    <w:p w:rsidR="003E2CA9" w:rsidRPr="003E2CA9" w:rsidRDefault="003E2CA9" w:rsidP="003E2CA9">
      <w:pPr>
        <w:suppressAutoHyphens w:val="0"/>
        <w:autoSpaceDN/>
        <w:ind w:firstLine="851"/>
        <w:textAlignment w:val="auto"/>
      </w:pPr>
    </w:p>
    <w:p w:rsidR="003E2CA9" w:rsidRDefault="003E2CA9" w:rsidP="005F0911">
      <w:pPr>
        <w:suppressAutoHyphens w:val="0"/>
        <w:autoSpaceDN/>
        <w:ind w:firstLine="5245"/>
        <w:textAlignment w:val="auto"/>
      </w:pPr>
      <w:r w:rsidRPr="003E2CA9">
        <w:t>(eurais)</w:t>
      </w:r>
    </w:p>
    <w:p w:rsidR="005F0911" w:rsidRPr="003E2CA9" w:rsidRDefault="005F0911" w:rsidP="005F0911">
      <w:pPr>
        <w:suppressAutoHyphens w:val="0"/>
        <w:autoSpaceDN/>
        <w:ind w:firstLine="5245"/>
        <w:textAlignment w:val="auto"/>
      </w:pPr>
    </w:p>
    <w:tbl>
      <w:tblPr>
        <w:tblW w:w="14743" w:type="dxa"/>
        <w:tblInd w:w="-34" w:type="dxa"/>
        <w:tblLayout w:type="fixed"/>
        <w:tblCellMar>
          <w:left w:w="0" w:type="dxa"/>
          <w:right w:w="0" w:type="dxa"/>
        </w:tblCellMar>
        <w:tblLook w:val="04A0" w:firstRow="1" w:lastRow="0" w:firstColumn="1" w:lastColumn="0" w:noHBand="0" w:noVBand="1"/>
      </w:tblPr>
      <w:tblGrid>
        <w:gridCol w:w="2977"/>
        <w:gridCol w:w="3261"/>
        <w:gridCol w:w="1559"/>
        <w:gridCol w:w="2268"/>
        <w:gridCol w:w="1559"/>
        <w:gridCol w:w="1701"/>
        <w:gridCol w:w="1418"/>
      </w:tblGrid>
      <w:tr w:rsidR="003E2CA9" w:rsidRPr="003E2CA9" w:rsidTr="005F0911">
        <w:trPr>
          <w:trHeight w:val="313"/>
          <w:tblHeader/>
        </w:trPr>
        <w:tc>
          <w:tcPr>
            <w:tcW w:w="62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Projektams skiriamas finansavimas</w:t>
            </w:r>
          </w:p>
        </w:tc>
        <w:tc>
          <w:tcPr>
            <w:tcW w:w="850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Kiti projektų finansavimo šaltiniai</w:t>
            </w:r>
          </w:p>
        </w:tc>
      </w:tr>
      <w:tr w:rsidR="003E2CA9" w:rsidRPr="003E2CA9" w:rsidTr="005F0911">
        <w:trPr>
          <w:trHeight w:val="391"/>
          <w:tblHeader/>
        </w:trPr>
        <w:tc>
          <w:tcPr>
            <w:tcW w:w="297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p>
          <w:p w:rsidR="003E2CA9" w:rsidRPr="003E2CA9" w:rsidRDefault="003E2CA9" w:rsidP="005F0911">
            <w:pPr>
              <w:suppressAutoHyphens w:val="0"/>
              <w:autoSpaceDN/>
              <w:jc w:val="center"/>
              <w:textAlignment w:val="auto"/>
            </w:pPr>
            <w:r w:rsidRPr="003E2CA9">
              <w:t>ES struktūrinių fondų</w:t>
            </w:r>
          </w:p>
          <w:p w:rsidR="003E2CA9" w:rsidRPr="003E2CA9" w:rsidRDefault="003E2CA9" w:rsidP="005F0911">
            <w:pPr>
              <w:suppressAutoHyphens w:val="0"/>
              <w:autoSpaceDN/>
              <w:jc w:val="center"/>
              <w:textAlignment w:val="auto"/>
            </w:pPr>
            <w:r w:rsidRPr="003E2CA9">
              <w:t>lėšos – iki</w:t>
            </w:r>
          </w:p>
        </w:tc>
        <w:tc>
          <w:tcPr>
            <w:tcW w:w="11766"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Nacionalinės lėšos</w:t>
            </w:r>
          </w:p>
        </w:tc>
      </w:tr>
      <w:tr w:rsidR="003E2CA9" w:rsidRPr="003E2CA9" w:rsidTr="005F0911">
        <w:trPr>
          <w:cantSplit/>
          <w:trHeight w:val="695"/>
          <w:tblHeader/>
        </w:trPr>
        <w:tc>
          <w:tcPr>
            <w:tcW w:w="2977" w:type="dxa"/>
            <w:vMerge/>
            <w:tcBorders>
              <w:top w:val="nil"/>
              <w:left w:val="single" w:sz="8" w:space="0" w:color="auto"/>
              <w:bottom w:val="single" w:sz="8" w:space="0" w:color="auto"/>
              <w:right w:val="single" w:sz="8" w:space="0" w:color="auto"/>
            </w:tcBorders>
            <w:vAlign w:val="center"/>
            <w:hideMark/>
          </w:tcPr>
          <w:p w:rsidR="003E2CA9" w:rsidRPr="003E2CA9" w:rsidRDefault="003E2CA9" w:rsidP="005F0911">
            <w:pPr>
              <w:suppressAutoHyphens w:val="0"/>
              <w:autoSpaceDN/>
              <w:jc w:val="center"/>
              <w:textAlignment w:val="auto"/>
            </w:pPr>
          </w:p>
        </w:tc>
        <w:tc>
          <w:tcPr>
            <w:tcW w:w="32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Lietuvos Respublikos valstybės biudžeto lėšos – iki</w:t>
            </w:r>
          </w:p>
        </w:tc>
        <w:tc>
          <w:tcPr>
            <w:tcW w:w="8505"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p>
          <w:p w:rsidR="003E2CA9" w:rsidRPr="003E2CA9" w:rsidRDefault="003E2CA9" w:rsidP="005F0911">
            <w:pPr>
              <w:suppressAutoHyphens w:val="0"/>
              <w:autoSpaceDN/>
              <w:jc w:val="center"/>
              <w:textAlignment w:val="auto"/>
            </w:pPr>
            <w:r w:rsidRPr="003E2CA9">
              <w:t>Projektų vykdytojų lėšos</w:t>
            </w:r>
          </w:p>
        </w:tc>
      </w:tr>
      <w:tr w:rsidR="003E2CA9" w:rsidRPr="003E2CA9" w:rsidTr="00654821">
        <w:trPr>
          <w:cantSplit/>
          <w:trHeight w:val="1020"/>
          <w:tblHeader/>
        </w:trPr>
        <w:tc>
          <w:tcPr>
            <w:tcW w:w="2977" w:type="dxa"/>
            <w:vMerge/>
            <w:tcBorders>
              <w:top w:val="nil"/>
              <w:left w:val="single" w:sz="8" w:space="0" w:color="auto"/>
              <w:bottom w:val="single" w:sz="8" w:space="0" w:color="auto"/>
              <w:right w:val="single" w:sz="8" w:space="0" w:color="auto"/>
            </w:tcBorders>
            <w:vAlign w:val="center"/>
            <w:hideMark/>
          </w:tcPr>
          <w:p w:rsidR="003E2CA9" w:rsidRPr="003E2CA9" w:rsidRDefault="003E2CA9" w:rsidP="005F0911">
            <w:pPr>
              <w:suppressAutoHyphens w:val="0"/>
              <w:autoSpaceDN/>
              <w:jc w:val="center"/>
              <w:textAlignment w:val="auto"/>
            </w:pPr>
          </w:p>
        </w:tc>
        <w:tc>
          <w:tcPr>
            <w:tcW w:w="3261" w:type="dxa"/>
            <w:vMerge/>
            <w:tcBorders>
              <w:top w:val="nil"/>
              <w:left w:val="nil"/>
              <w:bottom w:val="single" w:sz="8" w:space="0" w:color="auto"/>
              <w:right w:val="single" w:sz="8" w:space="0" w:color="auto"/>
            </w:tcBorders>
            <w:vAlign w:val="center"/>
            <w:hideMark/>
          </w:tcPr>
          <w:p w:rsidR="003E2CA9" w:rsidRPr="003E2CA9" w:rsidRDefault="003E2CA9" w:rsidP="005F0911">
            <w:pPr>
              <w:suppressAutoHyphens w:val="0"/>
              <w:autoSpaceDN/>
              <w:jc w:val="center"/>
              <w:textAlignment w:val="auto"/>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Iš viso – ne mažiau kaip</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Lietuvos Respublikos valstybės biudžeto lėšos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Savivaldybės biudžeto</w:t>
            </w:r>
          </w:p>
          <w:p w:rsidR="003E2CA9" w:rsidRPr="003E2CA9" w:rsidRDefault="003E2CA9" w:rsidP="005F0911">
            <w:pPr>
              <w:suppressAutoHyphens w:val="0"/>
              <w:autoSpaceDN/>
              <w:jc w:val="center"/>
              <w:textAlignment w:val="auto"/>
            </w:pPr>
            <w:r w:rsidRPr="003E2CA9">
              <w:t>lėšos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Kitos viešosios lėšos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Privačios lėšos</w:t>
            </w:r>
          </w:p>
        </w:tc>
      </w:tr>
      <w:tr w:rsidR="003E2CA9" w:rsidRPr="003E2CA9" w:rsidTr="00654821">
        <w:trPr>
          <w:trHeight w:val="249"/>
        </w:trPr>
        <w:tc>
          <w:tcPr>
            <w:tcW w:w="1474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2CA9" w:rsidRPr="003E2CA9" w:rsidRDefault="003E2CA9" w:rsidP="003E2CA9">
            <w:pPr>
              <w:suppressAutoHyphens w:val="0"/>
              <w:autoSpaceDN/>
              <w:textAlignment w:val="auto"/>
            </w:pPr>
            <w:r w:rsidRPr="003E2CA9">
              <w:t>Priemonės finansavimo šaltiniai, neįskaitant veiklos lėšų rezervo ir jam finansuoti skiriamų lėšų</w:t>
            </w:r>
          </w:p>
        </w:tc>
      </w:tr>
      <w:tr w:rsidR="003E2CA9" w:rsidRPr="003E2CA9" w:rsidTr="00654821">
        <w:trPr>
          <w:trHeight w:val="249"/>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25 524 991</w:t>
            </w:r>
            <w:r w:rsidR="001C5D70" w:rsidRPr="001C5D70">
              <w:t xml:space="preserve"> </w:t>
            </w:r>
            <w:r w:rsidR="007E4EFD">
              <w:rPr>
                <w:b/>
              </w:rPr>
              <w:t>22 795 239</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4 504 410</w:t>
            </w:r>
            <w:r w:rsidR="001C5D70" w:rsidRPr="001C5D70">
              <w:t xml:space="preserve"> </w:t>
            </w:r>
            <w:r w:rsidR="007E4EFD">
              <w:rPr>
                <w:b/>
              </w:rPr>
              <w:t>4 022 689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r>
      <w:tr w:rsidR="003E2CA9" w:rsidRPr="003E2CA9" w:rsidTr="00654821">
        <w:trPr>
          <w:trHeight w:val="249"/>
        </w:trPr>
        <w:tc>
          <w:tcPr>
            <w:tcW w:w="1474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2CA9" w:rsidRPr="003E2CA9" w:rsidRDefault="003E2CA9" w:rsidP="003E2CA9">
            <w:pPr>
              <w:suppressAutoHyphens w:val="0"/>
              <w:autoSpaceDN/>
              <w:textAlignment w:val="auto"/>
            </w:pPr>
            <w:r w:rsidRPr="003E2CA9">
              <w:t>Veiklos lėšų rezervas ir jam finansuoti skiriamos nacionalinės lėšos</w:t>
            </w:r>
          </w:p>
        </w:tc>
      </w:tr>
      <w:tr w:rsidR="003E2CA9" w:rsidRPr="003E2CA9" w:rsidTr="00654821">
        <w:trPr>
          <w:trHeight w:val="249"/>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1 945 248</w:t>
            </w:r>
            <w:r w:rsidR="001C5D70" w:rsidRPr="001C5D70">
              <w:rPr>
                <w:b/>
              </w:rPr>
              <w:t xml:space="preserve"> 0</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343 279</w:t>
            </w:r>
            <w:r w:rsidR="001C5D70" w:rsidRPr="001C5D70">
              <w:rPr>
                <w:b/>
              </w:rPr>
              <w:t xml:space="preserve"> 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r>
      <w:tr w:rsidR="003E2CA9" w:rsidRPr="003E2CA9" w:rsidTr="00654821">
        <w:trPr>
          <w:trHeight w:val="249"/>
        </w:trPr>
        <w:tc>
          <w:tcPr>
            <w:tcW w:w="14743"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textAlignment w:val="auto"/>
            </w:pPr>
            <w:r w:rsidRPr="003E2CA9">
              <w:t>Iš viso</w:t>
            </w:r>
          </w:p>
        </w:tc>
      </w:tr>
      <w:tr w:rsidR="003E2CA9" w:rsidRPr="003E2CA9" w:rsidTr="00654821">
        <w:trPr>
          <w:trHeight w:val="249"/>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27 470 239</w:t>
            </w:r>
            <w:r w:rsidR="001C5D70" w:rsidRPr="001C5D70">
              <w:t xml:space="preserve"> </w:t>
            </w:r>
            <w:r w:rsidR="007E4EFD">
              <w:rPr>
                <w:b/>
              </w:rPr>
              <w:t>22 795 239</w:t>
            </w:r>
          </w:p>
        </w:tc>
        <w:tc>
          <w:tcPr>
            <w:tcW w:w="3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1C5D70" w:rsidRDefault="003E2CA9" w:rsidP="005F0911">
            <w:pPr>
              <w:suppressAutoHyphens w:val="0"/>
              <w:autoSpaceDN/>
              <w:jc w:val="center"/>
              <w:textAlignment w:val="auto"/>
              <w:rPr>
                <w:strike/>
              </w:rPr>
            </w:pPr>
            <w:r w:rsidRPr="001C5D70">
              <w:rPr>
                <w:strike/>
              </w:rPr>
              <w:t>4 847 689</w:t>
            </w:r>
            <w:r w:rsidR="001C5D70" w:rsidRPr="001C5D70">
              <w:t xml:space="preserve"> </w:t>
            </w:r>
            <w:r w:rsidR="007E4EFD">
              <w:rPr>
                <w:b/>
              </w:rPr>
              <w:t>4 022 689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3E2CA9" w:rsidRPr="003E2CA9" w:rsidRDefault="003E2CA9" w:rsidP="005F0911">
            <w:pPr>
              <w:suppressAutoHyphens w:val="0"/>
              <w:autoSpaceDN/>
              <w:jc w:val="center"/>
              <w:textAlignment w:val="auto"/>
            </w:pPr>
            <w:r w:rsidRPr="003E2CA9">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CA9" w:rsidRPr="003E2CA9" w:rsidRDefault="003E2CA9" w:rsidP="005F0911">
            <w:pPr>
              <w:suppressAutoHyphens w:val="0"/>
              <w:autoSpaceDN/>
              <w:jc w:val="center"/>
              <w:textAlignment w:val="auto"/>
            </w:pPr>
            <w:r w:rsidRPr="003E2CA9">
              <w:t>0</w:t>
            </w:r>
            <w:r w:rsidR="005F0911">
              <w:t>“</w:t>
            </w:r>
          </w:p>
        </w:tc>
      </w:tr>
    </w:tbl>
    <w:p w:rsidR="003E2CA9" w:rsidRPr="003E2CA9" w:rsidRDefault="003E2CA9" w:rsidP="003E2CA9">
      <w:pPr>
        <w:suppressAutoHyphens w:val="0"/>
        <w:autoSpaceDN/>
        <w:textAlignment w:val="auto"/>
      </w:pPr>
    </w:p>
    <w:p w:rsidR="00C62624" w:rsidRPr="00C62624" w:rsidRDefault="00C62624" w:rsidP="00C62624">
      <w:pPr>
        <w:pStyle w:val="Sraopastraipa"/>
        <w:tabs>
          <w:tab w:val="left" w:pos="0"/>
          <w:tab w:val="left" w:pos="142"/>
          <w:tab w:val="left" w:pos="993"/>
        </w:tabs>
        <w:ind w:left="0" w:firstLine="851"/>
        <w:jc w:val="both"/>
        <w:rPr>
          <w:rFonts w:ascii="Times New Roman" w:hAnsi="Times New Roman" w:cs="Times New Roman"/>
          <w:color w:val="000000"/>
          <w:sz w:val="24"/>
          <w:szCs w:val="24"/>
          <w:lang w:eastAsia="lt-LT"/>
        </w:rPr>
      </w:pPr>
      <w:r w:rsidRPr="00C62624">
        <w:rPr>
          <w:rFonts w:ascii="Times New Roman" w:hAnsi="Times New Roman" w:cs="Times New Roman"/>
          <w:color w:val="000000"/>
          <w:sz w:val="24"/>
          <w:szCs w:val="24"/>
          <w:lang w:eastAsia="lt-LT"/>
        </w:rPr>
        <w:t>2. Pakeičiu nurodytuoju įsakymu patvirtintą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nacionalinių stebėsenos rodiklių skaičiavimo aprašą:</w:t>
      </w:r>
    </w:p>
    <w:p w:rsidR="00C62624" w:rsidRPr="00C62624" w:rsidRDefault="00C62624" w:rsidP="00C62624">
      <w:pPr>
        <w:pStyle w:val="Sraopastraipa"/>
        <w:tabs>
          <w:tab w:val="left" w:pos="0"/>
          <w:tab w:val="left" w:pos="142"/>
          <w:tab w:val="left" w:pos="993"/>
          <w:tab w:val="left" w:pos="1134"/>
        </w:tabs>
        <w:ind w:left="0" w:firstLine="720"/>
        <w:jc w:val="both"/>
        <w:rPr>
          <w:rFonts w:ascii="Times New Roman" w:hAnsi="Times New Roman" w:cs="Times New Roman"/>
          <w:color w:val="000000"/>
          <w:sz w:val="24"/>
          <w:szCs w:val="24"/>
          <w:lang w:eastAsia="lt-LT"/>
        </w:rPr>
      </w:pPr>
      <w:r w:rsidRPr="00C62624">
        <w:rPr>
          <w:rFonts w:ascii="Times New Roman" w:hAnsi="Times New Roman" w:cs="Times New Roman"/>
          <w:color w:val="000000"/>
          <w:sz w:val="24"/>
          <w:szCs w:val="24"/>
          <w:lang w:eastAsia="lt-LT"/>
        </w:rPr>
        <w:t xml:space="preserve">2.1. Pripažįstu netekusiu galios rodiklį </w:t>
      </w:r>
      <w:r w:rsidR="00586BE3" w:rsidRPr="00586BE3">
        <w:rPr>
          <w:rFonts w:ascii="Times New Roman" w:hAnsi="Times New Roman" w:cs="Times New Roman"/>
          <w:color w:val="000000"/>
          <w:sz w:val="24"/>
          <w:szCs w:val="24"/>
          <w:lang w:eastAsia="lt-LT"/>
        </w:rPr>
        <w:t>R.N.639 „Suteikta vaikų ir paauglių psichiatrijos ir  vaikų raidos sutrikimų ankstyvosios reabilitacijos konsultacinių paslaugų“</w:t>
      </w:r>
      <w:r w:rsidRPr="00C62624">
        <w:rPr>
          <w:rFonts w:ascii="Times New Roman" w:hAnsi="Times New Roman" w:cs="Times New Roman"/>
          <w:color w:val="000000"/>
          <w:sz w:val="24"/>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10"/>
        <w:gridCol w:w="1030"/>
        <w:gridCol w:w="2655"/>
        <w:gridCol w:w="1869"/>
        <w:gridCol w:w="2288"/>
        <w:gridCol w:w="1550"/>
        <w:gridCol w:w="1523"/>
        <w:gridCol w:w="1331"/>
      </w:tblGrid>
      <w:tr w:rsidR="00BF28BA" w:rsidRPr="00BF28BA" w:rsidTr="00586BE3">
        <w:trPr>
          <w:trHeight w:val="89"/>
        </w:trPr>
        <w:tc>
          <w:tcPr>
            <w:tcW w:w="348" w:type="pct"/>
          </w:tcPr>
          <w:p w:rsidR="00BF28BA" w:rsidRPr="009E7475" w:rsidRDefault="00BF28BA" w:rsidP="00BF28BA">
            <w:pPr>
              <w:tabs>
                <w:tab w:val="left" w:pos="0"/>
              </w:tabs>
              <w:suppressAutoHyphens w:val="0"/>
              <w:autoSpaceDN/>
              <w:jc w:val="center"/>
              <w:textAlignment w:val="auto"/>
              <w:rPr>
                <w:strike/>
                <w:szCs w:val="24"/>
                <w:lang w:eastAsia="lt-LT"/>
              </w:rPr>
            </w:pPr>
            <w:r w:rsidRPr="009E7475">
              <w:rPr>
                <w:strike/>
                <w:szCs w:val="24"/>
                <w:lang w:eastAsia="lt-LT"/>
              </w:rPr>
              <w:t>R.N.639</w:t>
            </w:r>
          </w:p>
        </w:tc>
        <w:tc>
          <w:tcPr>
            <w:tcW w:w="511" w:type="pct"/>
          </w:tcPr>
          <w:p w:rsidR="00BF28BA" w:rsidRPr="009E7475" w:rsidRDefault="00BF28BA" w:rsidP="00BF28BA">
            <w:pPr>
              <w:tabs>
                <w:tab w:val="left" w:pos="0"/>
              </w:tabs>
              <w:suppressAutoHyphens w:val="0"/>
              <w:autoSpaceDN/>
              <w:textAlignment w:val="auto"/>
              <w:rPr>
                <w:strike/>
                <w:szCs w:val="24"/>
                <w:lang w:eastAsia="lt-LT"/>
              </w:rPr>
            </w:pPr>
            <w:r w:rsidRPr="009E7475">
              <w:rPr>
                <w:strike/>
                <w:szCs w:val="24"/>
                <w:lang w:eastAsia="lt-LT"/>
              </w:rPr>
              <w:t xml:space="preserve">„Suteikta vaikų ir paauglių psichiatrijos </w:t>
            </w:r>
            <w:r w:rsidRPr="009E7475">
              <w:rPr>
                <w:strike/>
                <w:szCs w:val="24"/>
                <w:lang w:eastAsia="lt-LT"/>
              </w:rPr>
              <w:lastRenderedPageBreak/>
              <w:t>ir  vaikų raidos sutrikimų ankstyvosios reabilitacijos konsultacinių paslaugų“</w:t>
            </w:r>
          </w:p>
        </w:tc>
        <w:tc>
          <w:tcPr>
            <w:tcW w:w="348" w:type="pct"/>
          </w:tcPr>
          <w:p w:rsidR="00BF28BA" w:rsidRPr="009E7475" w:rsidRDefault="00BF28BA" w:rsidP="00BF28BA">
            <w:pPr>
              <w:suppressAutoHyphens w:val="0"/>
              <w:autoSpaceDN/>
              <w:jc w:val="center"/>
              <w:textAlignment w:val="auto"/>
              <w:rPr>
                <w:strike/>
                <w:szCs w:val="24"/>
                <w:lang w:eastAsia="lt-LT"/>
              </w:rPr>
            </w:pPr>
            <w:r w:rsidRPr="009E7475">
              <w:rPr>
                <w:strike/>
                <w:szCs w:val="24"/>
                <w:lang w:eastAsia="lt-LT"/>
              </w:rPr>
              <w:lastRenderedPageBreak/>
              <w:t>Skaičius</w:t>
            </w:r>
          </w:p>
        </w:tc>
        <w:tc>
          <w:tcPr>
            <w:tcW w:w="898" w:type="pct"/>
          </w:tcPr>
          <w:p w:rsidR="00BF28BA" w:rsidRPr="009E7475" w:rsidRDefault="00BF28BA" w:rsidP="00BF28BA">
            <w:pPr>
              <w:suppressAutoHyphens w:val="0"/>
              <w:autoSpaceDN/>
              <w:textAlignment w:val="auto"/>
              <w:rPr>
                <w:iCs/>
                <w:strike/>
                <w:szCs w:val="24"/>
                <w:lang w:eastAsia="lt-LT"/>
              </w:rPr>
            </w:pPr>
            <w:r w:rsidRPr="009E7475">
              <w:rPr>
                <w:strike/>
                <w:szCs w:val="24"/>
                <w:lang w:eastAsia="lt-LT"/>
              </w:rPr>
              <w:t>Vaikų ir paauglių psichiatrijos ir vaikų raidos sutrikimų ankstyvosios reabilitacijos kon</w:t>
            </w:r>
            <w:r w:rsidRPr="009E7475">
              <w:rPr>
                <w:strike/>
                <w:szCs w:val="24"/>
                <w:lang w:eastAsia="lt-LT"/>
              </w:rPr>
              <w:lastRenderedPageBreak/>
              <w:t>sultacinės paslaugos (toliau – konsultacinės paslaugos) –antrinio ir tretinio lygio vaikų ir paauglių psichiatrijos, vaikų raidos sutrikimų ankstyvosios reabilitacijos paslaugos bei ambulatorinės gydytojų specialistų konsultacijos, teikiamos pagal tarp asmens sveikatos priežiūros įstaigų sudarytas paslaugų teikimo sutartis, vadovaujantis  2014 m. liepos 16 d. sveikatos apsaugos ministro įsakymu Nr. V-816  „Dėl Integruotos vaikų ir paauglių psichikos sveikatos priežiūros tvarkos aprašo patvirtinimo“.</w:t>
            </w:r>
          </w:p>
        </w:tc>
        <w:tc>
          <w:tcPr>
            <w:tcW w:w="632" w:type="pct"/>
          </w:tcPr>
          <w:p w:rsidR="00BF28BA" w:rsidRPr="009E7475" w:rsidRDefault="00BF28BA" w:rsidP="00BF28BA">
            <w:pPr>
              <w:suppressAutoHyphens w:val="0"/>
              <w:autoSpaceDN/>
              <w:jc w:val="center"/>
              <w:textAlignment w:val="auto"/>
              <w:rPr>
                <w:iCs/>
                <w:strike/>
                <w:szCs w:val="24"/>
                <w:lang w:eastAsia="lt-LT"/>
              </w:rPr>
            </w:pPr>
            <w:r w:rsidRPr="009E7475">
              <w:rPr>
                <w:iCs/>
                <w:strike/>
                <w:szCs w:val="24"/>
                <w:lang w:eastAsia="lt-LT"/>
              </w:rPr>
              <w:lastRenderedPageBreak/>
              <w:t>Apskaičiuojamas automatiškai</w:t>
            </w:r>
          </w:p>
        </w:tc>
        <w:tc>
          <w:tcPr>
            <w:tcW w:w="774" w:type="pct"/>
          </w:tcPr>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t xml:space="preserve">Skaičiuojamas sumuojant per kalendorinius metus asmens sveikatos priežiūros </w:t>
            </w:r>
            <w:r w:rsidRPr="009E7475">
              <w:rPr>
                <w:iCs/>
                <w:strike/>
                <w:szCs w:val="24"/>
                <w:lang w:eastAsia="lt-LT"/>
              </w:rPr>
              <w:lastRenderedPageBreak/>
              <w:t xml:space="preserve">įstaigos suteiktas vaikų ir paauglių psichiatrijos ir vaikų raidos sutrikimų ankstyvosios reabilitacijos konsultacines paslaugas. </w:t>
            </w:r>
          </w:p>
          <w:p w:rsidR="00BF28BA" w:rsidRPr="009E7475" w:rsidRDefault="00BF28BA" w:rsidP="00BF28BA">
            <w:pPr>
              <w:suppressAutoHyphens w:val="0"/>
              <w:autoSpaceDN/>
              <w:textAlignment w:val="auto"/>
              <w:rPr>
                <w:iCs/>
                <w:strike/>
                <w:szCs w:val="24"/>
                <w:lang w:eastAsia="lt-LT"/>
              </w:rPr>
            </w:pPr>
          </w:p>
          <w:p w:rsidR="00BF28BA" w:rsidRPr="009E7475" w:rsidRDefault="00BF28BA" w:rsidP="00BF28BA">
            <w:pPr>
              <w:suppressAutoHyphens w:val="0"/>
              <w:autoSpaceDN/>
              <w:textAlignment w:val="auto"/>
              <w:rPr>
                <w:strike/>
                <w:szCs w:val="24"/>
                <w:lang w:eastAsia="lt-LT" w:bidi="he-IL"/>
              </w:rPr>
            </w:pPr>
          </w:p>
          <w:p w:rsidR="00BF28BA" w:rsidRPr="009E7475" w:rsidRDefault="00BF28BA" w:rsidP="00BF28BA">
            <w:pPr>
              <w:suppressAutoHyphens w:val="0"/>
              <w:autoSpaceDN/>
              <w:textAlignment w:val="auto"/>
              <w:rPr>
                <w:strike/>
                <w:szCs w:val="24"/>
                <w:lang w:eastAsia="lt-LT" w:bidi="he-IL"/>
              </w:rPr>
            </w:pPr>
          </w:p>
        </w:tc>
        <w:tc>
          <w:tcPr>
            <w:tcW w:w="524" w:type="pct"/>
          </w:tcPr>
          <w:p w:rsidR="00BF28BA" w:rsidRPr="009E7475" w:rsidRDefault="00BF28BA" w:rsidP="00BF28BA">
            <w:pPr>
              <w:suppressAutoHyphens w:val="0"/>
              <w:autoSpaceDN/>
              <w:textAlignment w:val="auto"/>
              <w:rPr>
                <w:iCs/>
                <w:strike/>
                <w:szCs w:val="24"/>
                <w:u w:val="single"/>
                <w:lang w:eastAsia="lt-LT"/>
              </w:rPr>
            </w:pPr>
            <w:r w:rsidRPr="009E7475">
              <w:rPr>
                <w:iCs/>
                <w:strike/>
                <w:szCs w:val="24"/>
                <w:u w:val="single"/>
                <w:lang w:eastAsia="lt-LT"/>
              </w:rPr>
              <w:lastRenderedPageBreak/>
              <w:t>Pirminiai šaltiniai:</w:t>
            </w:r>
          </w:p>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t xml:space="preserve">projekto vykdytojo </w:t>
            </w:r>
            <w:r w:rsidRPr="009E7475">
              <w:rPr>
                <w:iCs/>
                <w:strike/>
                <w:szCs w:val="24"/>
                <w:lang w:eastAsia="lt-LT"/>
              </w:rPr>
              <w:lastRenderedPageBreak/>
              <w:t>pažymos ar kiti dokumentai, patvirtinantys pasiektą stebėsenos rodiklio reikšmę, parengti vadovaujantis</w:t>
            </w:r>
          </w:p>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t>teritorinių ligonių kasų, privalomojo sveikatos draudimo informacinės sistemos „Sveidra“ arba kitais sveikatos priežiūros įstaigos duomenimis.</w:t>
            </w:r>
          </w:p>
          <w:p w:rsidR="00BF28BA" w:rsidRPr="009E7475" w:rsidRDefault="00BF28BA" w:rsidP="00BF28BA">
            <w:pPr>
              <w:suppressAutoHyphens w:val="0"/>
              <w:autoSpaceDN/>
              <w:textAlignment w:val="auto"/>
              <w:rPr>
                <w:iCs/>
                <w:strike/>
                <w:szCs w:val="24"/>
                <w:u w:val="single"/>
                <w:lang w:eastAsia="lt-LT"/>
              </w:rPr>
            </w:pPr>
            <w:r w:rsidRPr="009E7475">
              <w:rPr>
                <w:iCs/>
                <w:strike/>
                <w:szCs w:val="24"/>
                <w:u w:val="single"/>
                <w:lang w:eastAsia="lt-LT"/>
              </w:rPr>
              <w:t>Antriniai šaltiniai:</w:t>
            </w:r>
          </w:p>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t>ataskaita po projekto finansavimo pabaigos.</w:t>
            </w:r>
          </w:p>
          <w:p w:rsidR="00BF28BA" w:rsidRPr="009E7475" w:rsidRDefault="00BF28BA" w:rsidP="00BF28BA">
            <w:pPr>
              <w:suppressAutoHyphens w:val="0"/>
              <w:autoSpaceDN/>
              <w:textAlignment w:val="auto"/>
              <w:rPr>
                <w:iCs/>
                <w:strike/>
                <w:szCs w:val="24"/>
                <w:u w:val="single"/>
                <w:lang w:eastAsia="lt-LT"/>
              </w:rPr>
            </w:pPr>
          </w:p>
          <w:p w:rsidR="00BF28BA" w:rsidRPr="009E7475" w:rsidRDefault="00BF28BA" w:rsidP="00BF28BA">
            <w:pPr>
              <w:suppressAutoHyphens w:val="0"/>
              <w:autoSpaceDN/>
              <w:textAlignment w:val="auto"/>
              <w:rPr>
                <w:iCs/>
                <w:strike/>
                <w:szCs w:val="24"/>
                <w:u w:val="single"/>
                <w:lang w:eastAsia="lt-LT"/>
              </w:rPr>
            </w:pPr>
          </w:p>
          <w:p w:rsidR="00BF28BA" w:rsidRPr="009E7475" w:rsidRDefault="00BF28BA" w:rsidP="00BF28BA">
            <w:pPr>
              <w:suppressAutoHyphens w:val="0"/>
              <w:autoSpaceDN/>
              <w:textAlignment w:val="auto"/>
              <w:rPr>
                <w:iCs/>
                <w:strike/>
                <w:szCs w:val="24"/>
                <w:u w:val="single"/>
                <w:lang w:eastAsia="lt-LT"/>
              </w:rPr>
            </w:pPr>
          </w:p>
        </w:tc>
        <w:tc>
          <w:tcPr>
            <w:tcW w:w="515" w:type="pct"/>
          </w:tcPr>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lastRenderedPageBreak/>
              <w:t xml:space="preserve">Stebėsenos rodiklis laikomas pasiektu, kai </w:t>
            </w:r>
            <w:r w:rsidRPr="009E7475">
              <w:rPr>
                <w:iCs/>
                <w:strike/>
                <w:szCs w:val="24"/>
                <w:lang w:eastAsia="lt-LT"/>
              </w:rPr>
              <w:lastRenderedPageBreak/>
              <w:t>projekto vykdytojas su ataskaita, kurios ataskaitinis laikotarpis apima trečius kalendorinius metus po projekto finansavimo pabaigos, pateikia pažymas ar kitus dokumentus, kuriuose nustatyta</w:t>
            </w:r>
            <w:r w:rsidRPr="009E7475">
              <w:rPr>
                <w:strike/>
                <w:szCs w:val="24"/>
                <w:lang w:eastAsia="lt-LT"/>
              </w:rPr>
              <w:t xml:space="preserve"> </w:t>
            </w:r>
            <w:r w:rsidRPr="009E7475">
              <w:rPr>
                <w:iCs/>
                <w:strike/>
                <w:szCs w:val="24"/>
                <w:lang w:eastAsia="lt-LT"/>
              </w:rPr>
              <w:t>per trečius kalendorinius metus po projekto finansavimo  pasiekta stebėsenos rodiklio reikšmė.</w:t>
            </w:r>
          </w:p>
          <w:p w:rsidR="00BF28BA" w:rsidRPr="009E7475" w:rsidRDefault="00BF28BA" w:rsidP="00BF28BA">
            <w:pPr>
              <w:suppressAutoHyphens w:val="0"/>
              <w:autoSpaceDN/>
              <w:textAlignment w:val="auto"/>
              <w:rPr>
                <w:iCs/>
                <w:strike/>
                <w:szCs w:val="24"/>
                <w:lang w:eastAsia="lt-LT"/>
              </w:rPr>
            </w:pPr>
          </w:p>
          <w:p w:rsidR="00BF28BA" w:rsidRPr="009E7475" w:rsidRDefault="00BF28BA" w:rsidP="00BF28BA">
            <w:pPr>
              <w:suppressAutoHyphens w:val="0"/>
              <w:autoSpaceDN/>
              <w:textAlignment w:val="auto"/>
              <w:rPr>
                <w:iCs/>
                <w:strike/>
                <w:szCs w:val="24"/>
                <w:lang w:eastAsia="lt-LT"/>
              </w:rPr>
            </w:pPr>
          </w:p>
        </w:tc>
        <w:tc>
          <w:tcPr>
            <w:tcW w:w="450" w:type="pct"/>
          </w:tcPr>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lastRenderedPageBreak/>
              <w:t xml:space="preserve">Už stebėsenos rodiklio pasiekimą ir </w:t>
            </w:r>
            <w:r w:rsidRPr="009E7475">
              <w:rPr>
                <w:iCs/>
                <w:strike/>
                <w:szCs w:val="24"/>
                <w:lang w:eastAsia="lt-LT"/>
              </w:rPr>
              <w:lastRenderedPageBreak/>
              <w:t>duomenų apie pasiektą stebėsenos rodiklio reikšmę teikimą antriniuose šaltiniuose</w:t>
            </w:r>
          </w:p>
          <w:p w:rsidR="00BF28BA" w:rsidRPr="009E7475" w:rsidRDefault="00BF28BA" w:rsidP="00BF28BA">
            <w:pPr>
              <w:suppressAutoHyphens w:val="0"/>
              <w:autoSpaceDN/>
              <w:textAlignment w:val="auto"/>
              <w:rPr>
                <w:iCs/>
                <w:strike/>
                <w:szCs w:val="24"/>
                <w:lang w:eastAsia="lt-LT"/>
              </w:rPr>
            </w:pPr>
            <w:r w:rsidRPr="009E7475">
              <w:rPr>
                <w:iCs/>
                <w:strike/>
                <w:szCs w:val="24"/>
                <w:lang w:eastAsia="lt-LT"/>
              </w:rPr>
              <w:t>atsakingas projekto vykdytojas.</w:t>
            </w:r>
          </w:p>
        </w:tc>
      </w:tr>
    </w:tbl>
    <w:p w:rsidR="00586BE3" w:rsidRDefault="00586BE3" w:rsidP="00586BE3">
      <w:pPr>
        <w:pStyle w:val="Sraopastraipa"/>
        <w:ind w:left="851"/>
        <w:rPr>
          <w:color w:val="000000"/>
          <w:szCs w:val="24"/>
          <w:lang w:eastAsia="lt-LT"/>
        </w:rPr>
      </w:pPr>
    </w:p>
    <w:p w:rsidR="009609D5" w:rsidRDefault="009609D5" w:rsidP="00586BE3">
      <w:pPr>
        <w:pStyle w:val="Sraopastraipa"/>
        <w:ind w:left="851"/>
        <w:rPr>
          <w:color w:val="000000"/>
          <w:szCs w:val="24"/>
          <w:lang w:eastAsia="lt-LT"/>
        </w:rPr>
      </w:pPr>
    </w:p>
    <w:p w:rsidR="00DE74D5" w:rsidRPr="00586BE3" w:rsidRDefault="009E7475" w:rsidP="00586BE3">
      <w:pPr>
        <w:pStyle w:val="Sraopastraipa"/>
        <w:ind w:left="0" w:firstLine="851"/>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2.2</w:t>
      </w:r>
      <w:r w:rsidR="00586BE3" w:rsidRPr="00586BE3">
        <w:rPr>
          <w:rFonts w:ascii="Times New Roman" w:hAnsi="Times New Roman" w:cs="Times New Roman"/>
          <w:color w:val="000000"/>
          <w:sz w:val="24"/>
          <w:szCs w:val="24"/>
          <w:lang w:eastAsia="lt-LT"/>
        </w:rPr>
        <w:t xml:space="preserve">. Pripažįstu netekusiu galios rodiklį P.N.640 </w:t>
      </w:r>
      <w:r w:rsidR="00586BE3" w:rsidRPr="00586BE3">
        <w:rPr>
          <w:rFonts w:ascii="Times New Roman" w:hAnsi="Times New Roman" w:cs="Times New Roman"/>
          <w:bCs/>
          <w:color w:val="000000"/>
          <w:sz w:val="24"/>
          <w:szCs w:val="24"/>
          <w:lang w:eastAsia="lt-LT"/>
        </w:rPr>
        <w:t>„Sukurta ir įdiegta odontologinių paslaugų teikimo stebėsenos ir vertinimo sistema“</w:t>
      </w:r>
      <w:r w:rsidR="00586BE3" w:rsidRPr="00586BE3">
        <w:rPr>
          <w:rFonts w:ascii="Times New Roman" w:hAnsi="Times New Roman" w:cs="Times New Roman"/>
          <w:color w:val="000000"/>
          <w:sz w:val="24"/>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563"/>
        <w:gridCol w:w="1030"/>
        <w:gridCol w:w="2656"/>
        <w:gridCol w:w="1803"/>
        <w:gridCol w:w="2288"/>
        <w:gridCol w:w="1563"/>
        <w:gridCol w:w="1550"/>
        <w:gridCol w:w="1330"/>
      </w:tblGrid>
      <w:tr w:rsidR="00586BE3" w:rsidRPr="00586BE3" w:rsidTr="0078612E">
        <w:trPr>
          <w:trHeight w:val="315"/>
        </w:trPr>
        <w:tc>
          <w:tcPr>
            <w:tcW w:w="238" w:type="pct"/>
            <w:hideMark/>
          </w:tcPr>
          <w:p w:rsidR="00586BE3" w:rsidRPr="00586BE3" w:rsidRDefault="00586BE3" w:rsidP="00586BE3">
            <w:pPr>
              <w:suppressAutoHyphens w:val="0"/>
              <w:autoSpaceDN/>
              <w:jc w:val="center"/>
              <w:textAlignment w:val="auto"/>
              <w:rPr>
                <w:strike/>
                <w:szCs w:val="24"/>
                <w:lang w:eastAsia="lt-LT"/>
              </w:rPr>
            </w:pPr>
            <w:r w:rsidRPr="00586BE3">
              <w:rPr>
                <w:strike/>
                <w:szCs w:val="24"/>
                <w:lang w:eastAsia="lt-LT"/>
              </w:rPr>
              <w:lastRenderedPageBreak/>
              <w:t>P.N.640</w:t>
            </w:r>
          </w:p>
        </w:tc>
        <w:tc>
          <w:tcPr>
            <w:tcW w:w="355" w:type="pct"/>
            <w:hideMark/>
          </w:tcPr>
          <w:p w:rsidR="00586BE3" w:rsidRPr="00586BE3" w:rsidRDefault="00586BE3" w:rsidP="00586BE3">
            <w:pPr>
              <w:suppressAutoHyphens w:val="0"/>
              <w:autoSpaceDN/>
              <w:textAlignment w:val="auto"/>
              <w:rPr>
                <w:strike/>
                <w:szCs w:val="24"/>
                <w:lang w:eastAsia="lt-LT"/>
              </w:rPr>
            </w:pPr>
            <w:r w:rsidRPr="00586BE3">
              <w:rPr>
                <w:bCs/>
                <w:strike/>
                <w:szCs w:val="24"/>
                <w:lang w:eastAsia="lt-LT"/>
              </w:rPr>
              <w:t>„Sukurta ir įdiegta odontologinių paslaugų teikimo stebėsenos ir vertinimo sistema“</w:t>
            </w:r>
          </w:p>
        </w:tc>
        <w:tc>
          <w:tcPr>
            <w:tcW w:w="286" w:type="pct"/>
            <w:hideMark/>
          </w:tcPr>
          <w:p w:rsidR="00586BE3" w:rsidRPr="00586BE3" w:rsidRDefault="00586BE3" w:rsidP="00586BE3">
            <w:pPr>
              <w:suppressAutoHyphens w:val="0"/>
              <w:autoSpaceDN/>
              <w:jc w:val="center"/>
              <w:textAlignment w:val="auto"/>
              <w:rPr>
                <w:strike/>
                <w:szCs w:val="24"/>
                <w:lang w:eastAsia="lt-LT"/>
              </w:rPr>
            </w:pPr>
            <w:r w:rsidRPr="00586BE3">
              <w:rPr>
                <w:strike/>
                <w:szCs w:val="24"/>
                <w:lang w:eastAsia="lt-LT"/>
              </w:rPr>
              <w:t>Skaičius</w:t>
            </w:r>
          </w:p>
        </w:tc>
        <w:tc>
          <w:tcPr>
            <w:tcW w:w="1395" w:type="pct"/>
          </w:tcPr>
          <w:p w:rsidR="00586BE3" w:rsidRPr="00586BE3" w:rsidRDefault="00586BE3" w:rsidP="00586BE3">
            <w:pPr>
              <w:suppressAutoHyphens w:val="0"/>
              <w:autoSpaceDN/>
              <w:jc w:val="both"/>
              <w:textAlignment w:val="auto"/>
              <w:rPr>
                <w:iCs/>
                <w:strike/>
                <w:szCs w:val="24"/>
                <w:lang w:eastAsia="lt-LT"/>
              </w:rPr>
            </w:pPr>
            <w:r w:rsidRPr="00586BE3">
              <w:rPr>
                <w:b/>
                <w:iCs/>
                <w:strike/>
                <w:szCs w:val="24"/>
                <w:lang w:eastAsia="lt-LT"/>
              </w:rPr>
              <w:t>Odontologinės paslaugos</w:t>
            </w:r>
            <w:r w:rsidRPr="00586BE3">
              <w:rPr>
                <w:iCs/>
                <w:strike/>
                <w:szCs w:val="24"/>
                <w:lang w:eastAsia="lt-LT"/>
              </w:rPr>
              <w:t xml:space="preserve"> – asmens sveikatos priežiūros paslaugos, skirtos burnos ertmės organų ligų individualiai profilaktikai, diagnostikai, gydymui ir dantų protezavimui (šaltinis: Lietuvos Respublikos 1996 m. kovo 28 d. Odontologijos praktikos įstatymas </w:t>
            </w:r>
            <w:r w:rsidRPr="00586BE3">
              <w:rPr>
                <w:iCs/>
                <w:strike/>
                <w:szCs w:val="24"/>
                <w:lang w:eastAsia="lt-LT"/>
              </w:rPr>
              <w:br/>
              <w:t>Nr. I-1246).</w:t>
            </w:r>
          </w:p>
          <w:p w:rsidR="00586BE3" w:rsidRPr="00586BE3" w:rsidRDefault="00586BE3" w:rsidP="00586BE3">
            <w:pPr>
              <w:suppressAutoHyphens w:val="0"/>
              <w:autoSpaceDN/>
              <w:jc w:val="both"/>
              <w:textAlignment w:val="auto"/>
              <w:rPr>
                <w:iCs/>
                <w:strike/>
                <w:szCs w:val="24"/>
                <w:lang w:eastAsia="lt-LT"/>
              </w:rPr>
            </w:pPr>
            <w:r w:rsidRPr="00586BE3">
              <w:rPr>
                <w:iCs/>
                <w:strike/>
                <w:szCs w:val="24"/>
                <w:lang w:eastAsia="lt-LT"/>
              </w:rPr>
              <w:t>Stebėsenos ir vertinimo sistema –duomenų rinkimo ir analizės sistema.</w:t>
            </w:r>
          </w:p>
          <w:p w:rsidR="00586BE3" w:rsidRPr="00586BE3" w:rsidRDefault="00586BE3" w:rsidP="00586BE3">
            <w:pPr>
              <w:suppressAutoHyphens w:val="0"/>
              <w:autoSpaceDN/>
              <w:jc w:val="both"/>
              <w:textAlignment w:val="auto"/>
              <w:rPr>
                <w:iCs/>
                <w:strike/>
                <w:szCs w:val="24"/>
                <w:lang w:eastAsia="lt-LT"/>
              </w:rPr>
            </w:pPr>
            <w:r w:rsidRPr="00586BE3">
              <w:rPr>
                <w:iCs/>
                <w:strike/>
                <w:szCs w:val="24"/>
                <w:lang w:eastAsia="lt-LT"/>
              </w:rPr>
              <w:t>Odontologinių paslaugų teikimo stebėsenos ir vertinimo sistema laikoma sukurta ir įdiegta, kai ji patvirtinama Lietuvos Respublikos sveikatos apsaugos ministro įsakymu.</w:t>
            </w:r>
          </w:p>
          <w:p w:rsidR="00586BE3" w:rsidRPr="00586BE3" w:rsidRDefault="00586BE3" w:rsidP="00586BE3">
            <w:pPr>
              <w:suppressAutoHyphens w:val="0"/>
              <w:autoSpaceDN/>
              <w:jc w:val="both"/>
              <w:textAlignment w:val="auto"/>
              <w:rPr>
                <w:iCs/>
                <w:strike/>
                <w:szCs w:val="24"/>
                <w:lang w:eastAsia="lt-LT"/>
              </w:rPr>
            </w:pPr>
          </w:p>
          <w:p w:rsidR="00586BE3" w:rsidRPr="00586BE3" w:rsidRDefault="00586BE3" w:rsidP="00586BE3">
            <w:pPr>
              <w:suppressAutoHyphens w:val="0"/>
              <w:autoSpaceDN/>
              <w:jc w:val="both"/>
              <w:textAlignment w:val="auto"/>
              <w:rPr>
                <w:iCs/>
                <w:strike/>
                <w:szCs w:val="24"/>
                <w:lang w:eastAsia="lt-LT"/>
              </w:rPr>
            </w:pPr>
          </w:p>
        </w:tc>
        <w:tc>
          <w:tcPr>
            <w:tcW w:w="411" w:type="pct"/>
          </w:tcPr>
          <w:p w:rsidR="00586BE3" w:rsidRPr="00586BE3" w:rsidRDefault="00586BE3" w:rsidP="00586BE3">
            <w:pPr>
              <w:suppressAutoHyphens w:val="0"/>
              <w:autoSpaceDN/>
              <w:jc w:val="center"/>
              <w:textAlignment w:val="auto"/>
              <w:rPr>
                <w:strike/>
                <w:szCs w:val="24"/>
                <w:lang w:eastAsia="lt-LT" w:bidi="he-IL"/>
              </w:rPr>
            </w:pPr>
            <w:r w:rsidRPr="00586BE3">
              <w:rPr>
                <w:iCs/>
                <w:strike/>
                <w:szCs w:val="24"/>
                <w:lang w:eastAsia="lt-LT" w:bidi="he-IL"/>
              </w:rPr>
              <w:t>Automatiškai apskaičiuojamas</w:t>
            </w:r>
          </w:p>
        </w:tc>
        <w:tc>
          <w:tcPr>
            <w:tcW w:w="1270" w:type="pct"/>
            <w:hideMark/>
          </w:tcPr>
          <w:p w:rsidR="00586BE3" w:rsidRPr="00586BE3" w:rsidRDefault="00586BE3" w:rsidP="00586BE3">
            <w:pPr>
              <w:suppressAutoHyphens w:val="0"/>
              <w:autoSpaceDN/>
              <w:textAlignment w:val="auto"/>
              <w:rPr>
                <w:strike/>
                <w:szCs w:val="24"/>
                <w:lang w:eastAsia="lt-LT" w:bidi="he-IL"/>
              </w:rPr>
            </w:pPr>
            <w:r w:rsidRPr="00586BE3">
              <w:rPr>
                <w:strike/>
                <w:szCs w:val="24"/>
                <w:lang w:eastAsia="lt-LT" w:bidi="he-IL"/>
              </w:rPr>
              <w:t xml:space="preserve">Skaičiuojama įgyvendinant projekto veiklas  sukurta ir </w:t>
            </w:r>
            <w:r w:rsidRPr="00586BE3">
              <w:rPr>
                <w:iCs/>
                <w:strike/>
                <w:szCs w:val="24"/>
                <w:lang w:eastAsia="lt-LT"/>
              </w:rPr>
              <w:t xml:space="preserve">Lietuvos Respublikos </w:t>
            </w:r>
            <w:r w:rsidRPr="00586BE3">
              <w:rPr>
                <w:strike/>
                <w:szCs w:val="24"/>
                <w:lang w:eastAsia="lt-LT"/>
              </w:rPr>
              <w:t>sveikatos apsaugos ministro</w:t>
            </w:r>
            <w:r w:rsidRPr="00586BE3">
              <w:rPr>
                <w:strike/>
                <w:szCs w:val="24"/>
                <w:lang w:eastAsia="lt-LT" w:bidi="he-IL"/>
              </w:rPr>
              <w:t xml:space="preserve"> įsakymu patvirtinta odontologinių paslaugų teikimo stebėsenos ir vertinimo sistema.</w:t>
            </w:r>
          </w:p>
          <w:p w:rsidR="00586BE3" w:rsidRPr="00586BE3" w:rsidRDefault="00586BE3" w:rsidP="00586BE3">
            <w:pPr>
              <w:suppressAutoHyphens w:val="0"/>
              <w:autoSpaceDN/>
              <w:textAlignment w:val="auto"/>
              <w:rPr>
                <w:strike/>
                <w:szCs w:val="24"/>
                <w:lang w:eastAsia="lt-LT" w:bidi="he-IL"/>
              </w:rPr>
            </w:pPr>
          </w:p>
          <w:p w:rsidR="00586BE3" w:rsidRPr="00586BE3" w:rsidRDefault="00586BE3" w:rsidP="00586BE3">
            <w:pPr>
              <w:suppressAutoHyphens w:val="0"/>
              <w:autoSpaceDN/>
              <w:textAlignment w:val="auto"/>
              <w:rPr>
                <w:strike/>
                <w:szCs w:val="24"/>
                <w:lang w:eastAsia="lt-LT" w:bidi="he-IL"/>
              </w:rPr>
            </w:pPr>
          </w:p>
          <w:p w:rsidR="00586BE3" w:rsidRPr="00586BE3" w:rsidRDefault="00586BE3" w:rsidP="00586BE3">
            <w:pPr>
              <w:suppressAutoHyphens w:val="0"/>
              <w:autoSpaceDN/>
              <w:textAlignment w:val="auto"/>
              <w:rPr>
                <w:strike/>
                <w:szCs w:val="24"/>
                <w:lang w:eastAsia="lt-LT" w:bidi="he-IL"/>
              </w:rPr>
            </w:pPr>
          </w:p>
          <w:p w:rsidR="00586BE3" w:rsidRPr="00586BE3" w:rsidRDefault="00586BE3" w:rsidP="00586BE3">
            <w:pPr>
              <w:suppressAutoHyphens w:val="0"/>
              <w:autoSpaceDN/>
              <w:textAlignment w:val="auto"/>
              <w:rPr>
                <w:strike/>
                <w:szCs w:val="24"/>
                <w:lang w:eastAsia="lt-LT" w:bidi="he-IL"/>
              </w:rPr>
            </w:pPr>
          </w:p>
        </w:tc>
        <w:tc>
          <w:tcPr>
            <w:tcW w:w="390" w:type="pct"/>
            <w:hideMark/>
          </w:tcPr>
          <w:p w:rsidR="00586BE3" w:rsidRPr="00586BE3" w:rsidRDefault="00586BE3" w:rsidP="00586BE3">
            <w:pPr>
              <w:suppressAutoHyphens w:val="0"/>
              <w:autoSpaceDN/>
              <w:textAlignment w:val="auto"/>
              <w:rPr>
                <w:iCs/>
                <w:strike/>
                <w:szCs w:val="24"/>
                <w:u w:val="single"/>
                <w:lang w:eastAsia="lt-LT"/>
              </w:rPr>
            </w:pPr>
            <w:r w:rsidRPr="00586BE3">
              <w:rPr>
                <w:iCs/>
                <w:strike/>
                <w:szCs w:val="24"/>
                <w:u w:val="single"/>
                <w:lang w:eastAsia="lt-LT"/>
              </w:rPr>
              <w:t>Pirminiai šaltiniai:</w:t>
            </w:r>
          </w:p>
          <w:p w:rsidR="00586BE3" w:rsidRPr="00586BE3" w:rsidRDefault="00586BE3" w:rsidP="00586BE3">
            <w:pPr>
              <w:suppressAutoHyphens w:val="0"/>
              <w:autoSpaceDN/>
              <w:textAlignment w:val="auto"/>
              <w:rPr>
                <w:iCs/>
                <w:strike/>
                <w:szCs w:val="24"/>
                <w:lang w:eastAsia="lt-LT"/>
              </w:rPr>
            </w:pPr>
            <w:r w:rsidRPr="00586BE3">
              <w:rPr>
                <w:iCs/>
                <w:strike/>
                <w:szCs w:val="24"/>
                <w:lang w:eastAsia="lt-LT"/>
              </w:rPr>
              <w:t>Lietuvos Respublikos sveikatos apsaugos ministro įsakymas (kopija) ir kiti dokumentai, kuriais patvirtinamos projekto vykdytojo investicijos į odontologinių paslaugų teikimo stebėsenos ir vertinimo sistemos sukūrimą ir įdiegimą.</w:t>
            </w:r>
          </w:p>
          <w:p w:rsidR="00586BE3" w:rsidRPr="00586BE3" w:rsidRDefault="00586BE3" w:rsidP="00586BE3">
            <w:pPr>
              <w:suppressAutoHyphens w:val="0"/>
              <w:autoSpaceDN/>
              <w:textAlignment w:val="auto"/>
              <w:rPr>
                <w:iCs/>
                <w:strike/>
                <w:szCs w:val="24"/>
                <w:lang w:eastAsia="lt-LT"/>
              </w:rPr>
            </w:pPr>
          </w:p>
          <w:p w:rsidR="00586BE3" w:rsidRPr="00586BE3" w:rsidRDefault="00586BE3" w:rsidP="00586BE3">
            <w:pPr>
              <w:suppressAutoHyphens w:val="0"/>
              <w:autoSpaceDN/>
              <w:textAlignment w:val="auto"/>
              <w:rPr>
                <w:iCs/>
                <w:strike/>
                <w:szCs w:val="24"/>
                <w:u w:val="single"/>
                <w:lang w:eastAsia="lt-LT"/>
              </w:rPr>
            </w:pPr>
            <w:r w:rsidRPr="00586BE3">
              <w:rPr>
                <w:iCs/>
                <w:strike/>
                <w:szCs w:val="24"/>
                <w:u w:val="single"/>
                <w:lang w:eastAsia="lt-LT"/>
              </w:rPr>
              <w:t>Antriniai šaltiniai:</w:t>
            </w:r>
          </w:p>
          <w:p w:rsidR="00586BE3" w:rsidRPr="00586BE3" w:rsidRDefault="00586BE3" w:rsidP="00586BE3">
            <w:pPr>
              <w:suppressAutoHyphens w:val="0"/>
              <w:autoSpaceDN/>
              <w:textAlignment w:val="auto"/>
              <w:rPr>
                <w:iCs/>
                <w:strike/>
                <w:szCs w:val="24"/>
                <w:lang w:eastAsia="lt-LT"/>
              </w:rPr>
            </w:pPr>
            <w:r w:rsidRPr="00586BE3">
              <w:rPr>
                <w:iCs/>
                <w:strike/>
                <w:szCs w:val="24"/>
                <w:lang w:eastAsia="lt-LT"/>
              </w:rPr>
              <w:t>mokėjimo prašymai.</w:t>
            </w:r>
          </w:p>
          <w:p w:rsidR="00586BE3" w:rsidRPr="00586BE3" w:rsidRDefault="00586BE3" w:rsidP="00586BE3">
            <w:pPr>
              <w:suppressAutoHyphens w:val="0"/>
              <w:autoSpaceDN/>
              <w:textAlignment w:val="auto"/>
              <w:rPr>
                <w:iCs/>
                <w:strike/>
                <w:szCs w:val="24"/>
                <w:u w:val="single"/>
                <w:lang w:eastAsia="lt-LT"/>
              </w:rPr>
            </w:pPr>
          </w:p>
        </w:tc>
        <w:tc>
          <w:tcPr>
            <w:tcW w:w="353" w:type="pct"/>
            <w:hideMark/>
          </w:tcPr>
          <w:p w:rsidR="00586BE3" w:rsidRPr="00586BE3" w:rsidRDefault="00586BE3" w:rsidP="00586BE3">
            <w:pPr>
              <w:suppressAutoHyphens w:val="0"/>
              <w:autoSpaceDN/>
              <w:textAlignment w:val="auto"/>
              <w:rPr>
                <w:iCs/>
                <w:strike/>
                <w:szCs w:val="24"/>
                <w:lang w:eastAsia="lt-LT"/>
              </w:rPr>
            </w:pPr>
            <w:r w:rsidRPr="00586BE3">
              <w:rPr>
                <w:iCs/>
                <w:strike/>
                <w:szCs w:val="24"/>
                <w:lang w:eastAsia="lt-LT"/>
              </w:rPr>
              <w:t xml:space="preserve">Stebėsenos rodiklis laikomas pasiektu, kai projekto veiklų įgyvendinimo pabaigoje pasirašomas Lietuvos Respublikos </w:t>
            </w:r>
            <w:r w:rsidRPr="00586BE3">
              <w:rPr>
                <w:strike/>
                <w:szCs w:val="24"/>
                <w:lang w:eastAsia="lt-LT"/>
              </w:rPr>
              <w:t>sveikatos apsaugos ministro</w:t>
            </w:r>
            <w:r w:rsidRPr="00586BE3">
              <w:rPr>
                <w:strike/>
                <w:szCs w:val="24"/>
                <w:lang w:eastAsia="lt-LT" w:bidi="he-IL"/>
              </w:rPr>
              <w:t xml:space="preserve"> įsakymas, kuriuo </w:t>
            </w:r>
            <w:r w:rsidRPr="00586BE3">
              <w:rPr>
                <w:iCs/>
                <w:strike/>
                <w:szCs w:val="24"/>
                <w:lang w:eastAsia="lt-LT"/>
              </w:rPr>
              <w:t xml:space="preserve"> patvirtinama, kad projekto veiklų įgyvendinimo metu sistema buvo sukurta ir įdiegta.</w:t>
            </w:r>
          </w:p>
        </w:tc>
        <w:tc>
          <w:tcPr>
            <w:tcW w:w="302" w:type="pct"/>
            <w:hideMark/>
          </w:tcPr>
          <w:p w:rsidR="00586BE3" w:rsidRPr="00586BE3" w:rsidRDefault="00586BE3" w:rsidP="00586BE3">
            <w:pPr>
              <w:suppressAutoHyphens w:val="0"/>
              <w:autoSpaceDN/>
              <w:textAlignment w:val="auto"/>
              <w:rPr>
                <w:iCs/>
                <w:strike/>
                <w:szCs w:val="24"/>
                <w:lang w:eastAsia="lt-LT"/>
              </w:rPr>
            </w:pPr>
            <w:r w:rsidRPr="00586BE3">
              <w:rPr>
                <w:iCs/>
                <w:strike/>
                <w:szCs w:val="24"/>
                <w:lang w:eastAsia="lt-LT"/>
              </w:rPr>
              <w:t>Už stebėsenos rodiklio pasiekimą ir duomenų apie pasiektą stebėsenos rodiklio reikšmę teikimą antriniuose šaltiniuose</w:t>
            </w:r>
          </w:p>
          <w:p w:rsidR="00586BE3" w:rsidRPr="00586BE3" w:rsidRDefault="00586BE3" w:rsidP="00586BE3">
            <w:pPr>
              <w:suppressAutoHyphens w:val="0"/>
              <w:autoSpaceDN/>
              <w:textAlignment w:val="auto"/>
              <w:rPr>
                <w:iCs/>
                <w:strike/>
                <w:szCs w:val="24"/>
                <w:lang w:eastAsia="lt-LT"/>
              </w:rPr>
            </w:pPr>
            <w:r w:rsidRPr="00586BE3">
              <w:rPr>
                <w:iCs/>
                <w:strike/>
                <w:szCs w:val="24"/>
                <w:lang w:eastAsia="lt-LT"/>
              </w:rPr>
              <w:t>atsakingas projekto vykdytojas.</w:t>
            </w:r>
          </w:p>
          <w:p w:rsidR="00586BE3" w:rsidRPr="00586BE3" w:rsidRDefault="00586BE3" w:rsidP="00586BE3">
            <w:pPr>
              <w:suppressAutoHyphens w:val="0"/>
              <w:autoSpaceDN/>
              <w:textAlignment w:val="auto"/>
              <w:rPr>
                <w:iCs/>
                <w:strike/>
                <w:szCs w:val="24"/>
                <w:lang w:eastAsia="lt-LT"/>
              </w:rPr>
            </w:pPr>
          </w:p>
        </w:tc>
      </w:tr>
    </w:tbl>
    <w:p w:rsidR="009E7475" w:rsidRDefault="009E7475" w:rsidP="00586BE3">
      <w:pPr>
        <w:tabs>
          <w:tab w:val="left" w:pos="1134"/>
          <w:tab w:val="left" w:pos="1276"/>
        </w:tabs>
        <w:jc w:val="both"/>
        <w:rPr>
          <w:szCs w:val="24"/>
        </w:rPr>
      </w:pPr>
    </w:p>
    <w:p w:rsidR="007A7708" w:rsidRPr="00656880" w:rsidRDefault="007A7708" w:rsidP="007A7708">
      <w:pPr>
        <w:tabs>
          <w:tab w:val="left" w:pos="1134"/>
          <w:tab w:val="left" w:pos="1276"/>
        </w:tabs>
        <w:ind w:left="-142"/>
        <w:jc w:val="both"/>
        <w:rPr>
          <w:szCs w:val="24"/>
        </w:rPr>
      </w:pPr>
    </w:p>
    <w:p w:rsidR="007A7708" w:rsidRPr="00656880" w:rsidRDefault="007A7708" w:rsidP="007A7708">
      <w:pPr>
        <w:tabs>
          <w:tab w:val="left" w:pos="1134"/>
          <w:tab w:val="left" w:pos="1276"/>
        </w:tabs>
        <w:ind w:left="-142"/>
        <w:jc w:val="both"/>
        <w:rPr>
          <w:szCs w:val="24"/>
        </w:rPr>
      </w:pPr>
    </w:p>
    <w:p w:rsidR="003F0C04" w:rsidRPr="00656880" w:rsidRDefault="003F0C04" w:rsidP="007A7708">
      <w:pPr>
        <w:tabs>
          <w:tab w:val="left" w:pos="1134"/>
          <w:tab w:val="left" w:pos="1276"/>
        </w:tabs>
        <w:ind w:left="-142"/>
        <w:jc w:val="both"/>
        <w:rPr>
          <w:color w:val="000000" w:themeColor="text1"/>
          <w:szCs w:val="24"/>
          <w:lang w:val="en-US"/>
        </w:rPr>
      </w:pPr>
      <w:r w:rsidRPr="00656880">
        <w:rPr>
          <w:color w:val="000000" w:themeColor="text1"/>
          <w:szCs w:val="24"/>
        </w:rPr>
        <w:t>Joana Kulingauskaitė (8 5</w:t>
      </w:r>
      <w:r w:rsidR="009C72F4">
        <w:rPr>
          <w:color w:val="000000" w:themeColor="text1"/>
          <w:szCs w:val="24"/>
        </w:rPr>
        <w:t>)</w:t>
      </w:r>
      <w:r w:rsidRPr="00656880">
        <w:rPr>
          <w:color w:val="000000" w:themeColor="text1"/>
          <w:szCs w:val="24"/>
        </w:rPr>
        <w:t xml:space="preserve"> 2661484, </w:t>
      </w:r>
      <w:hyperlink r:id="rId7" w:history="1">
        <w:r w:rsidRPr="00656880">
          <w:rPr>
            <w:rStyle w:val="Hipersaitas"/>
            <w:color w:val="000000" w:themeColor="text1"/>
            <w:szCs w:val="24"/>
            <w:u w:val="none"/>
          </w:rPr>
          <w:t>joana.kulingauskaite</w:t>
        </w:r>
        <w:r w:rsidRPr="00656880">
          <w:rPr>
            <w:rStyle w:val="Hipersaitas"/>
            <w:color w:val="000000" w:themeColor="text1"/>
            <w:szCs w:val="24"/>
            <w:u w:val="none"/>
            <w:lang w:val="en-US"/>
          </w:rPr>
          <w:t>@sam.lt</w:t>
        </w:r>
      </w:hyperlink>
    </w:p>
    <w:sectPr w:rsidR="003F0C04" w:rsidRPr="0065688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708" w:rsidRDefault="00676708">
      <w:r>
        <w:separator/>
      </w:r>
    </w:p>
  </w:endnote>
  <w:endnote w:type="continuationSeparator" w:id="0">
    <w:p w:rsidR="00676708" w:rsidRDefault="0067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A3" w:rsidRDefault="00B91C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676708">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676708">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708" w:rsidRDefault="00676708">
      <w:r>
        <w:rPr>
          <w:color w:val="000000"/>
        </w:rPr>
        <w:separator/>
      </w:r>
    </w:p>
  </w:footnote>
  <w:footnote w:type="continuationSeparator" w:id="0">
    <w:p w:rsidR="00676708" w:rsidRDefault="0067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A3" w:rsidRDefault="00B91C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64451B">
          <w:rPr>
            <w:noProof/>
          </w:rPr>
          <w:t>6</w:t>
        </w:r>
        <w:r>
          <w:fldChar w:fldCharType="end"/>
        </w:r>
      </w:p>
    </w:sdtContent>
  </w:sdt>
  <w:p w:rsidR="006E369D" w:rsidRDefault="00676708">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9D" w:rsidRDefault="0067670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2"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FD"/>
    <w:rsid w:val="00094F09"/>
    <w:rsid w:val="000A6B03"/>
    <w:rsid w:val="0016244D"/>
    <w:rsid w:val="001C5D70"/>
    <w:rsid w:val="002213F3"/>
    <w:rsid w:val="00270E48"/>
    <w:rsid w:val="00273FDF"/>
    <w:rsid w:val="002E45FD"/>
    <w:rsid w:val="00351D3E"/>
    <w:rsid w:val="003B2469"/>
    <w:rsid w:val="003E2CA9"/>
    <w:rsid w:val="003E2DF7"/>
    <w:rsid w:val="003F0C04"/>
    <w:rsid w:val="003F4453"/>
    <w:rsid w:val="00416147"/>
    <w:rsid w:val="00452DB8"/>
    <w:rsid w:val="00463449"/>
    <w:rsid w:val="0054100E"/>
    <w:rsid w:val="0056330A"/>
    <w:rsid w:val="005729C7"/>
    <w:rsid w:val="00586BE3"/>
    <w:rsid w:val="005F0911"/>
    <w:rsid w:val="006203FE"/>
    <w:rsid w:val="0064451B"/>
    <w:rsid w:val="006564A8"/>
    <w:rsid w:val="00656880"/>
    <w:rsid w:val="00676708"/>
    <w:rsid w:val="0068347A"/>
    <w:rsid w:val="006D5140"/>
    <w:rsid w:val="006F270D"/>
    <w:rsid w:val="00710EBE"/>
    <w:rsid w:val="00713F5E"/>
    <w:rsid w:val="00742F0B"/>
    <w:rsid w:val="00792A67"/>
    <w:rsid w:val="00793D6C"/>
    <w:rsid w:val="007A7708"/>
    <w:rsid w:val="007C5A1F"/>
    <w:rsid w:val="007D6F30"/>
    <w:rsid w:val="007E4EFD"/>
    <w:rsid w:val="009342F7"/>
    <w:rsid w:val="009609D5"/>
    <w:rsid w:val="009B0FAB"/>
    <w:rsid w:val="009C72F4"/>
    <w:rsid w:val="009E7475"/>
    <w:rsid w:val="00A13576"/>
    <w:rsid w:val="00A24CEF"/>
    <w:rsid w:val="00A6642A"/>
    <w:rsid w:val="00AA7750"/>
    <w:rsid w:val="00AC106F"/>
    <w:rsid w:val="00AF0AAC"/>
    <w:rsid w:val="00B20D5B"/>
    <w:rsid w:val="00B51F4B"/>
    <w:rsid w:val="00B91CA3"/>
    <w:rsid w:val="00B922FD"/>
    <w:rsid w:val="00B9269E"/>
    <w:rsid w:val="00B96E94"/>
    <w:rsid w:val="00BB246A"/>
    <w:rsid w:val="00BF28BA"/>
    <w:rsid w:val="00C3712A"/>
    <w:rsid w:val="00C62624"/>
    <w:rsid w:val="00CE055F"/>
    <w:rsid w:val="00CF0C60"/>
    <w:rsid w:val="00D563F8"/>
    <w:rsid w:val="00D6402D"/>
    <w:rsid w:val="00DE74D5"/>
    <w:rsid w:val="00DE7C2C"/>
    <w:rsid w:val="00E111C5"/>
    <w:rsid w:val="00E979EF"/>
    <w:rsid w:val="00EA1958"/>
    <w:rsid w:val="00EA4EEE"/>
    <w:rsid w:val="00EA6F28"/>
    <w:rsid w:val="00F10635"/>
    <w:rsid w:val="00F67AFD"/>
    <w:rsid w:val="00F773F3"/>
    <w:rsid w:val="00FB3BBB"/>
    <w:rsid w:val="00FB3FB2"/>
    <w:rsid w:val="00FC7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7288"/>
  <w15:docId w15:val="{96A78F27-2BCF-48B5-B2AA-296DA35B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ana.kulingauskaite@sam.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7978</Words>
  <Characters>4549</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Joana Kulingauskaitė</cp:lastModifiedBy>
  <cp:revision>11</cp:revision>
  <cp:lastPrinted>2016-04-08T06:40:00Z</cp:lastPrinted>
  <dcterms:created xsi:type="dcterms:W3CDTF">2017-03-09T12:30:00Z</dcterms:created>
  <dcterms:modified xsi:type="dcterms:W3CDTF">2017-04-14T10:06:00Z</dcterms:modified>
</cp:coreProperties>
</file>