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790" w:rsidRDefault="006D4790" w:rsidP="005D43B5">
      <w:pPr>
        <w:widowControl w:val="0"/>
        <w:tabs>
          <w:tab w:val="center" w:pos="4819"/>
          <w:tab w:val="right" w:pos="9638"/>
        </w:tabs>
        <w:jc w:val="center"/>
        <w:rPr>
          <w:b/>
          <w:bCs/>
          <w:color w:val="000000"/>
          <w:spacing w:val="-6"/>
          <w:szCs w:val="24"/>
          <w:lang w:eastAsia="lt-LT"/>
        </w:rPr>
      </w:pPr>
      <w:bookmarkStart w:id="0" w:name="_GoBack"/>
      <w:bookmarkEnd w:id="0"/>
    </w:p>
    <w:p w:rsidR="00147CC4" w:rsidRDefault="00210102" w:rsidP="00210102">
      <w:pPr>
        <w:widowControl w:val="0"/>
        <w:tabs>
          <w:tab w:val="center" w:pos="4819"/>
          <w:tab w:val="right" w:pos="9638"/>
        </w:tabs>
        <w:jc w:val="right"/>
        <w:rPr>
          <w:b/>
          <w:bCs/>
          <w:color w:val="000000"/>
          <w:spacing w:val="-6"/>
          <w:szCs w:val="24"/>
          <w:lang w:eastAsia="lt-LT"/>
        </w:rPr>
      </w:pPr>
      <w:r w:rsidRPr="001E2ED0">
        <w:rPr>
          <w:b/>
          <w:szCs w:val="24"/>
        </w:rPr>
        <w:t>Projekto lyginamasis variantas</w:t>
      </w:r>
    </w:p>
    <w:p w:rsidR="00147CC4" w:rsidRDefault="00147CC4" w:rsidP="005D43B5">
      <w:pPr>
        <w:widowControl w:val="0"/>
        <w:tabs>
          <w:tab w:val="center" w:pos="4819"/>
          <w:tab w:val="right" w:pos="9638"/>
        </w:tabs>
        <w:jc w:val="center"/>
        <w:rPr>
          <w:b/>
          <w:bCs/>
          <w:color w:val="000000"/>
          <w:spacing w:val="-6"/>
          <w:szCs w:val="24"/>
          <w:lang w:eastAsia="lt-LT"/>
        </w:rPr>
      </w:pPr>
    </w:p>
    <w:p w:rsidR="00210102" w:rsidRDefault="00210102" w:rsidP="005D43B5">
      <w:pPr>
        <w:widowControl w:val="0"/>
        <w:tabs>
          <w:tab w:val="center" w:pos="4819"/>
          <w:tab w:val="right" w:pos="9638"/>
        </w:tabs>
        <w:jc w:val="center"/>
        <w:rPr>
          <w:b/>
          <w:bCs/>
          <w:color w:val="000000"/>
          <w:spacing w:val="-6"/>
          <w:szCs w:val="24"/>
          <w:lang w:eastAsia="lt-LT"/>
        </w:rPr>
      </w:pPr>
    </w:p>
    <w:p w:rsidR="006D4790" w:rsidRDefault="005D43B5">
      <w:pPr>
        <w:widowControl w:val="0"/>
        <w:shd w:val="clear" w:color="auto" w:fill="FFFFFF"/>
        <w:jc w:val="center"/>
        <w:rPr>
          <w:b/>
          <w:bCs/>
          <w:color w:val="000000"/>
          <w:spacing w:val="-6"/>
          <w:szCs w:val="24"/>
          <w:lang w:eastAsia="lt-LT"/>
        </w:rPr>
      </w:pPr>
      <w:r>
        <w:rPr>
          <w:b/>
          <w:bCs/>
          <w:color w:val="000000"/>
          <w:spacing w:val="-6"/>
          <w:szCs w:val="24"/>
          <w:lang w:eastAsia="lt-LT"/>
        </w:rPr>
        <w:t>LIETUVOS RESPUBLIKOS SVEIKATOS APSAUGOS MINISTRAS</w:t>
      </w:r>
    </w:p>
    <w:p w:rsidR="006D4790" w:rsidRDefault="006D4790">
      <w:pPr>
        <w:widowControl w:val="0"/>
        <w:shd w:val="clear" w:color="auto" w:fill="FFFFFF"/>
        <w:ind w:left="1570"/>
        <w:rPr>
          <w:b/>
          <w:szCs w:val="24"/>
          <w:lang w:eastAsia="lt-LT"/>
        </w:rPr>
      </w:pPr>
    </w:p>
    <w:p w:rsidR="006D4790" w:rsidRDefault="005D43B5">
      <w:pPr>
        <w:widowControl w:val="0"/>
        <w:shd w:val="clear" w:color="auto" w:fill="FFFFFF"/>
        <w:jc w:val="center"/>
        <w:rPr>
          <w:b/>
          <w:bCs/>
          <w:color w:val="000000"/>
          <w:spacing w:val="-9"/>
          <w:szCs w:val="24"/>
          <w:lang w:eastAsia="lt-LT"/>
        </w:rPr>
      </w:pPr>
      <w:r>
        <w:rPr>
          <w:b/>
          <w:bCs/>
          <w:color w:val="000000"/>
          <w:spacing w:val="-9"/>
          <w:szCs w:val="24"/>
          <w:lang w:eastAsia="lt-LT"/>
        </w:rPr>
        <w:t>ĮSAKYMAS</w:t>
      </w:r>
    </w:p>
    <w:p w:rsidR="006D4790" w:rsidRDefault="005D43B5">
      <w:pPr>
        <w:jc w:val="center"/>
        <w:rPr>
          <w:b/>
          <w:szCs w:val="24"/>
        </w:rPr>
      </w:pPr>
      <w:r>
        <w:rPr>
          <w:b/>
          <w:bCs/>
          <w:szCs w:val="24"/>
        </w:rPr>
        <w:t xml:space="preserve">DĖL </w:t>
      </w:r>
      <w:r>
        <w:rPr>
          <w:b/>
          <w:szCs w:val="24"/>
        </w:rPr>
        <w:t>LIETUVOS RESPUBLIKOS SVEIKATOS APSAUGOS MINISTRO</w:t>
      </w:r>
    </w:p>
    <w:p w:rsidR="006D4790" w:rsidRDefault="005D43B5">
      <w:pPr>
        <w:widowControl w:val="0"/>
        <w:shd w:val="clear" w:color="auto" w:fill="FFFFFF"/>
        <w:jc w:val="center"/>
        <w:rPr>
          <w:b/>
          <w:szCs w:val="24"/>
          <w:lang w:eastAsia="lt-LT"/>
        </w:rPr>
      </w:pPr>
      <w:r>
        <w:rPr>
          <w:b/>
          <w:szCs w:val="24"/>
          <w:lang w:eastAsia="lt-LT"/>
        </w:rPr>
        <w:t>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rsidR="006D4790" w:rsidRDefault="006D4790">
      <w:pPr>
        <w:widowControl w:val="0"/>
        <w:shd w:val="clear" w:color="auto" w:fill="FFFFFF"/>
        <w:jc w:val="center"/>
        <w:rPr>
          <w:b/>
          <w:szCs w:val="24"/>
          <w:lang w:eastAsia="lt-LT"/>
        </w:rPr>
      </w:pPr>
    </w:p>
    <w:p w:rsidR="006D4790" w:rsidRDefault="00F423F1">
      <w:pPr>
        <w:widowControl w:val="0"/>
        <w:shd w:val="clear" w:color="auto" w:fill="FFFFFF"/>
        <w:tabs>
          <w:tab w:val="left" w:pos="1134"/>
          <w:tab w:val="left" w:pos="1276"/>
        </w:tabs>
        <w:ind w:right="57"/>
        <w:jc w:val="center"/>
        <w:rPr>
          <w:color w:val="000000"/>
          <w:spacing w:val="-9"/>
          <w:szCs w:val="24"/>
          <w:lang w:eastAsia="lt-LT"/>
        </w:rPr>
      </w:pPr>
      <w:r>
        <w:rPr>
          <w:color w:val="000000"/>
          <w:spacing w:val="-9"/>
          <w:szCs w:val="24"/>
          <w:lang w:eastAsia="lt-LT"/>
        </w:rPr>
        <w:t>2017 m. balandžio</w:t>
      </w:r>
      <w:r w:rsidR="005D43B5">
        <w:rPr>
          <w:color w:val="000000"/>
          <w:spacing w:val="-9"/>
          <w:szCs w:val="24"/>
          <w:lang w:eastAsia="lt-LT"/>
        </w:rPr>
        <w:t xml:space="preserve"> </w:t>
      </w:r>
      <w:r>
        <w:rPr>
          <w:color w:val="000000"/>
          <w:spacing w:val="-9"/>
          <w:szCs w:val="24"/>
          <w:lang w:eastAsia="lt-LT"/>
        </w:rPr>
        <w:t xml:space="preserve">   </w:t>
      </w:r>
      <w:r w:rsidR="005D43B5">
        <w:rPr>
          <w:color w:val="000000"/>
          <w:spacing w:val="-9"/>
          <w:szCs w:val="24"/>
          <w:lang w:eastAsia="lt-LT"/>
        </w:rPr>
        <w:t>d. Nr. V-</w:t>
      </w:r>
    </w:p>
    <w:p w:rsidR="006D4790" w:rsidRDefault="005D43B5">
      <w:pPr>
        <w:widowControl w:val="0"/>
        <w:shd w:val="clear" w:color="auto" w:fill="FFFFFF"/>
        <w:tabs>
          <w:tab w:val="left" w:pos="1134"/>
          <w:tab w:val="left" w:pos="1276"/>
        </w:tabs>
        <w:ind w:right="57"/>
        <w:jc w:val="center"/>
        <w:rPr>
          <w:color w:val="000000"/>
          <w:spacing w:val="-9"/>
          <w:szCs w:val="24"/>
          <w:lang w:eastAsia="lt-LT"/>
        </w:rPr>
      </w:pPr>
      <w:r>
        <w:rPr>
          <w:color w:val="000000"/>
          <w:spacing w:val="-9"/>
          <w:szCs w:val="24"/>
          <w:lang w:eastAsia="lt-LT"/>
        </w:rPr>
        <w:t>Vilnius</w:t>
      </w:r>
    </w:p>
    <w:p w:rsidR="006D4790" w:rsidRDefault="006D4790">
      <w:pPr>
        <w:widowControl w:val="0"/>
        <w:shd w:val="clear" w:color="auto" w:fill="FFFFFF"/>
        <w:ind w:left="57" w:right="57" w:firstLine="1134"/>
        <w:jc w:val="both"/>
        <w:rPr>
          <w:color w:val="000000"/>
          <w:spacing w:val="-4"/>
          <w:szCs w:val="24"/>
          <w:lang w:eastAsia="lt-LT"/>
        </w:rPr>
      </w:pPr>
    </w:p>
    <w:p w:rsidR="005D43B5" w:rsidRDefault="005D43B5">
      <w:pPr>
        <w:widowControl w:val="0"/>
        <w:shd w:val="clear" w:color="auto" w:fill="FFFFFF"/>
        <w:ind w:left="57" w:right="57" w:firstLine="1134"/>
        <w:jc w:val="both"/>
        <w:rPr>
          <w:color w:val="000000"/>
          <w:spacing w:val="-4"/>
          <w:szCs w:val="24"/>
          <w:lang w:eastAsia="lt-LT"/>
        </w:rPr>
      </w:pPr>
    </w:p>
    <w:p w:rsidR="00147CC4" w:rsidRDefault="005D43B5" w:rsidP="005D43B5">
      <w:pPr>
        <w:tabs>
          <w:tab w:val="left" w:pos="993"/>
          <w:tab w:val="left" w:pos="1276"/>
        </w:tabs>
        <w:ind w:firstLine="851"/>
        <w:jc w:val="both"/>
      </w:pPr>
      <w:r>
        <w:rPr>
          <w:szCs w:val="24"/>
        </w:rPr>
        <w:t>P a k e i č i u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ir</w:t>
      </w:r>
      <w:r w:rsidR="00F423F1">
        <w:rPr>
          <w:szCs w:val="24"/>
        </w:rPr>
        <w:t xml:space="preserve"> </w:t>
      </w:r>
      <w:r w:rsidR="00147CC4">
        <w:rPr>
          <w:szCs w:val="24"/>
        </w:rPr>
        <w:t>išdėstau aštuonioliktojo skirsnio „</w:t>
      </w:r>
      <w:r w:rsidR="00147CC4" w:rsidRPr="00147CC4">
        <w:rPr>
          <w:szCs w:val="24"/>
        </w:rPr>
        <w:t>Veiksmų programos prioriteto įgyvendinim</w:t>
      </w:r>
      <w:r w:rsidR="00147CC4">
        <w:rPr>
          <w:szCs w:val="24"/>
        </w:rPr>
        <w:t>o priemonė Nr. 08.1.3-CPVA-V-606</w:t>
      </w:r>
      <w:r w:rsidR="00147CC4" w:rsidRPr="00147CC4">
        <w:rPr>
          <w:szCs w:val="24"/>
        </w:rPr>
        <w:t xml:space="preserve"> „</w:t>
      </w:r>
      <w:r w:rsidR="00147CC4">
        <w:rPr>
          <w:szCs w:val="24"/>
        </w:rPr>
        <w:t>O</w:t>
      </w:r>
      <w:r w:rsidR="00147CC4" w:rsidRPr="00147CC4">
        <w:rPr>
          <w:szCs w:val="24"/>
        </w:rPr>
        <w:t xml:space="preserve">nkologinių ligų prevencijos, ankstyvos diagnostikos ir gydymo paslaugų infrastruktūros tobulinimas“ </w:t>
      </w:r>
      <w:r w:rsidR="00F423F1" w:rsidRPr="003E2CA9">
        <w:t xml:space="preserve">7 punktą </w:t>
      </w:r>
      <w:r w:rsidR="00147CC4">
        <w:t>taip:</w:t>
      </w:r>
    </w:p>
    <w:p w:rsidR="006D4790" w:rsidRDefault="005D43B5" w:rsidP="005D43B5">
      <w:pPr>
        <w:tabs>
          <w:tab w:val="left" w:pos="993"/>
          <w:tab w:val="left" w:pos="1276"/>
        </w:tabs>
        <w:ind w:firstLine="851"/>
        <w:jc w:val="both"/>
        <w:rPr>
          <w:color w:val="000000"/>
          <w:szCs w:val="24"/>
        </w:rPr>
      </w:pPr>
      <w:r>
        <w:rPr>
          <w:color w:val="000000"/>
          <w:szCs w:val="24"/>
        </w:rPr>
        <w:t xml:space="preserve"> </w:t>
      </w:r>
      <w:r w:rsidR="00147CC4">
        <w:rPr>
          <w:color w:val="000000"/>
          <w:szCs w:val="24"/>
        </w:rPr>
        <w:t>„</w:t>
      </w:r>
      <w:r w:rsidR="00147CC4" w:rsidRPr="00147CC4">
        <w:rPr>
          <w:color w:val="000000"/>
          <w:szCs w:val="24"/>
        </w:rPr>
        <w:t>7. Priemonės finansavimo šaltiniai (eurais):</w:t>
      </w:r>
    </w:p>
    <w:p w:rsidR="00147CC4" w:rsidRDefault="00147CC4" w:rsidP="005D43B5">
      <w:pPr>
        <w:tabs>
          <w:tab w:val="left" w:pos="993"/>
          <w:tab w:val="left" w:pos="1276"/>
        </w:tabs>
        <w:ind w:firstLine="851"/>
        <w:jc w:val="both"/>
        <w:rPr>
          <w:color w:val="000000"/>
          <w:szCs w:val="24"/>
        </w:rPr>
      </w:pPr>
    </w:p>
    <w:p w:rsidR="00147CC4" w:rsidRDefault="00147CC4" w:rsidP="005D43B5">
      <w:pPr>
        <w:tabs>
          <w:tab w:val="left" w:pos="993"/>
          <w:tab w:val="left" w:pos="1276"/>
        </w:tabs>
        <w:ind w:firstLine="851"/>
        <w:jc w:val="both"/>
        <w:rPr>
          <w:szCs w:val="24"/>
          <w:lang w:eastAsia="lt-LT"/>
        </w:rPr>
      </w:pPr>
    </w:p>
    <w:p w:rsidR="005D43B5" w:rsidRDefault="005D43B5" w:rsidP="005D43B5">
      <w:pPr>
        <w:widowControl w:val="0"/>
        <w:tabs>
          <w:tab w:val="left" w:pos="1134"/>
          <w:tab w:val="left" w:pos="1276"/>
        </w:tabs>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6"/>
        <w:gridCol w:w="2056"/>
        <w:gridCol w:w="2056"/>
        <w:gridCol w:w="2056"/>
        <w:gridCol w:w="2056"/>
        <w:gridCol w:w="2056"/>
      </w:tblGrid>
      <w:tr w:rsidR="00147CC4" w:rsidTr="00251154">
        <w:tc>
          <w:tcPr>
            <w:tcW w:w="4111" w:type="dxa"/>
            <w:gridSpan w:val="2"/>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rPr>
              <w:t>Projektams skiriamas finansavimas</w:t>
            </w:r>
          </w:p>
        </w:tc>
        <w:tc>
          <w:tcPr>
            <w:tcW w:w="10280" w:type="dxa"/>
            <w:gridSpan w:val="5"/>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rPr>
              <w:t>Kiti projektų finansavimo šaltiniai</w:t>
            </w:r>
          </w:p>
        </w:tc>
      </w:tr>
      <w:tr w:rsidR="00147CC4" w:rsidTr="00251154">
        <w:tc>
          <w:tcPr>
            <w:tcW w:w="2055" w:type="dxa"/>
            <w:vMerge w:val="restart"/>
          </w:tcPr>
          <w:p w:rsidR="00147CC4" w:rsidRDefault="00147CC4" w:rsidP="00251154">
            <w:pPr>
              <w:suppressAutoHyphens/>
              <w:ind w:left="-108" w:right="-108"/>
              <w:jc w:val="center"/>
              <w:textAlignment w:val="baseline"/>
              <w:rPr>
                <w:bCs/>
                <w:szCs w:val="24"/>
                <w:lang w:eastAsia="lt-LT"/>
              </w:rPr>
            </w:pPr>
            <w:r>
              <w:rPr>
                <w:bCs/>
                <w:szCs w:val="24"/>
                <w:lang w:eastAsia="lt-LT"/>
              </w:rPr>
              <w:t>ES struktūrinių fondų</w:t>
            </w:r>
          </w:p>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bCs/>
                <w:szCs w:val="24"/>
                <w:lang w:eastAsia="lt-LT"/>
              </w:rPr>
              <w:t>lėšos – iki</w:t>
            </w:r>
          </w:p>
        </w:tc>
        <w:tc>
          <w:tcPr>
            <w:tcW w:w="12336" w:type="dxa"/>
            <w:gridSpan w:val="6"/>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rPr>
              <w:t>Nacionalinės lėšos</w:t>
            </w:r>
          </w:p>
        </w:tc>
      </w:tr>
      <w:tr w:rsidR="00147CC4" w:rsidTr="00251154">
        <w:trPr>
          <w:trHeight w:val="143"/>
        </w:trPr>
        <w:tc>
          <w:tcPr>
            <w:tcW w:w="2055" w:type="dxa"/>
            <w:vMerge/>
          </w:tcPr>
          <w:p w:rsidR="00147CC4" w:rsidRDefault="00147CC4" w:rsidP="00251154">
            <w:pPr>
              <w:tabs>
                <w:tab w:val="left" w:pos="709"/>
                <w:tab w:val="left" w:pos="1134"/>
                <w:tab w:val="left" w:pos="1276"/>
              </w:tabs>
              <w:suppressAutoHyphens/>
              <w:spacing w:line="22" w:lineRule="atLeast"/>
              <w:ind w:right="-31"/>
              <w:jc w:val="both"/>
              <w:textAlignment w:val="baseline"/>
              <w:rPr>
                <w:szCs w:val="24"/>
              </w:rPr>
            </w:pPr>
          </w:p>
        </w:tc>
        <w:tc>
          <w:tcPr>
            <w:tcW w:w="2056" w:type="dxa"/>
            <w:vMerge w:val="restart"/>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bCs/>
                <w:szCs w:val="24"/>
                <w:lang w:eastAsia="lt-LT"/>
              </w:rPr>
              <w:t>Lietuvos Respublikos valstybės biudžeto lėšos – iki</w:t>
            </w:r>
          </w:p>
        </w:tc>
        <w:tc>
          <w:tcPr>
            <w:tcW w:w="10280" w:type="dxa"/>
            <w:gridSpan w:val="5"/>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rPr>
              <w:t>Projektų vykdytojų lėšos</w:t>
            </w:r>
          </w:p>
        </w:tc>
      </w:tr>
      <w:tr w:rsidR="00147CC4" w:rsidTr="00251154">
        <w:tc>
          <w:tcPr>
            <w:tcW w:w="2055" w:type="dxa"/>
            <w:vMerge/>
          </w:tcPr>
          <w:p w:rsidR="00147CC4" w:rsidRDefault="00147CC4" w:rsidP="00251154">
            <w:pPr>
              <w:tabs>
                <w:tab w:val="left" w:pos="709"/>
                <w:tab w:val="left" w:pos="1134"/>
                <w:tab w:val="left" w:pos="1276"/>
              </w:tabs>
              <w:suppressAutoHyphens/>
              <w:spacing w:line="22" w:lineRule="atLeast"/>
              <w:ind w:right="-31"/>
              <w:jc w:val="both"/>
              <w:textAlignment w:val="baseline"/>
              <w:rPr>
                <w:szCs w:val="24"/>
              </w:rPr>
            </w:pPr>
          </w:p>
        </w:tc>
        <w:tc>
          <w:tcPr>
            <w:tcW w:w="2056" w:type="dxa"/>
            <w:vMerge/>
          </w:tcPr>
          <w:p w:rsidR="00147CC4" w:rsidRDefault="00147CC4" w:rsidP="00251154">
            <w:pPr>
              <w:tabs>
                <w:tab w:val="left" w:pos="709"/>
                <w:tab w:val="left" w:pos="1134"/>
                <w:tab w:val="left" w:pos="1276"/>
              </w:tabs>
              <w:suppressAutoHyphens/>
              <w:spacing w:line="22" w:lineRule="atLeast"/>
              <w:ind w:right="-31"/>
              <w:jc w:val="both"/>
              <w:textAlignment w:val="baseline"/>
              <w:rPr>
                <w:szCs w:val="24"/>
              </w:rPr>
            </w:pP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bCs/>
                <w:szCs w:val="24"/>
                <w:lang w:eastAsia="lt-LT"/>
              </w:rPr>
              <w:t>Iš viso – ne mažiau kaip</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bCs/>
                <w:szCs w:val="24"/>
                <w:lang w:eastAsia="lt-LT"/>
              </w:rPr>
              <w:t>Lietuvos Respublikos valstybės biudžeto lėšos</w:t>
            </w:r>
          </w:p>
        </w:tc>
        <w:tc>
          <w:tcPr>
            <w:tcW w:w="2056" w:type="dxa"/>
          </w:tcPr>
          <w:p w:rsidR="00147CC4" w:rsidRDefault="00147CC4" w:rsidP="00251154">
            <w:pPr>
              <w:tabs>
                <w:tab w:val="left" w:pos="0"/>
              </w:tabs>
              <w:suppressAutoHyphens/>
              <w:ind w:right="-108"/>
              <w:jc w:val="center"/>
              <w:textAlignment w:val="baseline"/>
              <w:rPr>
                <w:bCs/>
                <w:szCs w:val="24"/>
                <w:lang w:eastAsia="lt-LT"/>
              </w:rPr>
            </w:pPr>
            <w:r>
              <w:rPr>
                <w:bCs/>
                <w:szCs w:val="24"/>
                <w:lang w:eastAsia="lt-LT"/>
              </w:rPr>
              <w:t>Savivaldybės biudžeto</w:t>
            </w:r>
          </w:p>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bCs/>
                <w:szCs w:val="24"/>
                <w:lang w:eastAsia="lt-LT"/>
              </w:rPr>
              <w:t>lėšos</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bCs/>
                <w:szCs w:val="24"/>
                <w:lang w:eastAsia="lt-LT"/>
              </w:rPr>
              <w:t>Kitos viešosios lėšos</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bCs/>
                <w:szCs w:val="24"/>
                <w:lang w:eastAsia="lt-LT"/>
              </w:rPr>
              <w:t>Privačios lėšos</w:t>
            </w:r>
          </w:p>
        </w:tc>
      </w:tr>
      <w:tr w:rsidR="00147CC4" w:rsidTr="00251154">
        <w:tc>
          <w:tcPr>
            <w:tcW w:w="14391" w:type="dxa"/>
            <w:gridSpan w:val="7"/>
          </w:tcPr>
          <w:p w:rsidR="00147CC4" w:rsidRDefault="00147CC4" w:rsidP="00251154">
            <w:pPr>
              <w:tabs>
                <w:tab w:val="left" w:pos="709"/>
                <w:tab w:val="left" w:pos="1134"/>
                <w:tab w:val="left" w:pos="1276"/>
              </w:tabs>
              <w:suppressAutoHyphens/>
              <w:spacing w:line="22" w:lineRule="atLeast"/>
              <w:ind w:right="-31"/>
              <w:jc w:val="both"/>
              <w:textAlignment w:val="baseline"/>
              <w:rPr>
                <w:szCs w:val="24"/>
              </w:rPr>
            </w:pPr>
            <w:r>
              <w:rPr>
                <w:szCs w:val="24"/>
              </w:rPr>
              <w:t xml:space="preserve">1. </w:t>
            </w:r>
            <w:r>
              <w:rPr>
                <w:szCs w:val="24"/>
                <w:lang w:eastAsia="lt-LT"/>
              </w:rPr>
              <w:t>Priemonės finansavimo šaltiniai, neįskaitant veiklos lėšų rezervo ir jam finansuoti skiriamų lėšų</w:t>
            </w:r>
          </w:p>
        </w:tc>
      </w:tr>
      <w:tr w:rsidR="00147CC4" w:rsidTr="00251154">
        <w:tc>
          <w:tcPr>
            <w:tcW w:w="2055" w:type="dxa"/>
          </w:tcPr>
          <w:p w:rsidR="00147CC4" w:rsidRDefault="00147CC4" w:rsidP="00251154">
            <w:pPr>
              <w:tabs>
                <w:tab w:val="left" w:pos="709"/>
                <w:tab w:val="left" w:pos="1134"/>
                <w:tab w:val="left" w:pos="1276"/>
              </w:tabs>
              <w:suppressAutoHyphens/>
              <w:spacing w:line="22" w:lineRule="atLeast"/>
              <w:ind w:right="-31"/>
              <w:jc w:val="center"/>
              <w:textAlignment w:val="baseline"/>
              <w:rPr>
                <w:bCs/>
                <w:strike/>
                <w:szCs w:val="24"/>
                <w:lang w:eastAsia="lt-LT"/>
              </w:rPr>
            </w:pPr>
            <w:r w:rsidRPr="00210102">
              <w:rPr>
                <w:bCs/>
                <w:strike/>
                <w:szCs w:val="24"/>
                <w:lang w:eastAsia="lt-LT"/>
              </w:rPr>
              <w:t>10 929 695</w:t>
            </w:r>
          </w:p>
          <w:p w:rsidR="00210102" w:rsidRPr="00210102" w:rsidRDefault="00210102" w:rsidP="00251154">
            <w:pPr>
              <w:tabs>
                <w:tab w:val="left" w:pos="709"/>
                <w:tab w:val="left" w:pos="1134"/>
                <w:tab w:val="left" w:pos="1276"/>
              </w:tabs>
              <w:suppressAutoHyphens/>
              <w:spacing w:line="22" w:lineRule="atLeast"/>
              <w:ind w:right="-31"/>
              <w:jc w:val="center"/>
              <w:textAlignment w:val="baseline"/>
              <w:rPr>
                <w:strike/>
                <w:szCs w:val="24"/>
              </w:rPr>
            </w:pPr>
            <w:r>
              <w:rPr>
                <w:b/>
                <w:bCs/>
                <w:szCs w:val="24"/>
                <w:lang w:eastAsia="lt-LT"/>
              </w:rPr>
              <w:t>15 604 695</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bCs/>
                <w:strike/>
                <w:szCs w:val="24"/>
                <w:lang w:eastAsia="lt-LT"/>
              </w:rPr>
            </w:pPr>
            <w:r w:rsidRPr="00210102">
              <w:rPr>
                <w:bCs/>
                <w:strike/>
                <w:szCs w:val="24"/>
                <w:lang w:eastAsia="lt-LT"/>
              </w:rPr>
              <w:t>1 928 770</w:t>
            </w:r>
          </w:p>
          <w:p w:rsidR="00210102" w:rsidRPr="00210102" w:rsidRDefault="00210102" w:rsidP="00251154">
            <w:pPr>
              <w:tabs>
                <w:tab w:val="left" w:pos="709"/>
                <w:tab w:val="left" w:pos="1134"/>
                <w:tab w:val="left" w:pos="1276"/>
              </w:tabs>
              <w:suppressAutoHyphens/>
              <w:spacing w:line="22" w:lineRule="atLeast"/>
              <w:ind w:right="-31"/>
              <w:jc w:val="center"/>
              <w:textAlignment w:val="baseline"/>
              <w:rPr>
                <w:strike/>
                <w:szCs w:val="24"/>
              </w:rPr>
            </w:pPr>
            <w:r>
              <w:rPr>
                <w:b/>
                <w:bCs/>
                <w:szCs w:val="24"/>
                <w:lang w:eastAsia="lt-LT"/>
              </w:rPr>
              <w:t>2753770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r>
      <w:tr w:rsidR="00147CC4" w:rsidTr="00251154">
        <w:tc>
          <w:tcPr>
            <w:tcW w:w="14391" w:type="dxa"/>
            <w:gridSpan w:val="7"/>
          </w:tcPr>
          <w:p w:rsidR="00147CC4" w:rsidRDefault="00147CC4" w:rsidP="00251154">
            <w:pPr>
              <w:tabs>
                <w:tab w:val="left" w:pos="709"/>
                <w:tab w:val="left" w:pos="1134"/>
                <w:tab w:val="left" w:pos="1276"/>
              </w:tabs>
              <w:suppressAutoHyphens/>
              <w:spacing w:line="22" w:lineRule="atLeast"/>
              <w:ind w:right="-31"/>
              <w:jc w:val="both"/>
              <w:textAlignment w:val="baseline"/>
              <w:rPr>
                <w:szCs w:val="24"/>
              </w:rPr>
            </w:pPr>
            <w:r>
              <w:rPr>
                <w:szCs w:val="24"/>
              </w:rPr>
              <w:t xml:space="preserve">2. </w:t>
            </w:r>
            <w:r>
              <w:rPr>
                <w:szCs w:val="24"/>
                <w:lang w:eastAsia="lt-LT"/>
              </w:rPr>
              <w:t>Veiklos lėšų rezervas ir jam finansuoti skiriamos nacionalinės lėšos</w:t>
            </w:r>
          </w:p>
        </w:tc>
      </w:tr>
      <w:tr w:rsidR="00147CC4" w:rsidTr="00251154">
        <w:tc>
          <w:tcPr>
            <w:tcW w:w="2055"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bCs/>
                <w:szCs w:val="24"/>
                <w:lang w:eastAsia="lt-LT"/>
              </w:rPr>
              <w:t>1 736 644</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bCs/>
                <w:szCs w:val="24"/>
                <w:lang w:eastAsia="lt-LT"/>
              </w:rPr>
              <w:t>306 466</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r>
      <w:tr w:rsidR="00147CC4" w:rsidTr="00251154">
        <w:tc>
          <w:tcPr>
            <w:tcW w:w="14391" w:type="dxa"/>
            <w:gridSpan w:val="7"/>
          </w:tcPr>
          <w:p w:rsidR="00147CC4" w:rsidRDefault="00147CC4" w:rsidP="00251154">
            <w:pPr>
              <w:tabs>
                <w:tab w:val="left" w:pos="709"/>
                <w:tab w:val="left" w:pos="1134"/>
                <w:tab w:val="left" w:pos="1276"/>
              </w:tabs>
              <w:suppressAutoHyphens/>
              <w:spacing w:line="22" w:lineRule="atLeast"/>
              <w:ind w:right="-31"/>
              <w:jc w:val="both"/>
              <w:textAlignment w:val="baseline"/>
              <w:rPr>
                <w:szCs w:val="24"/>
              </w:rPr>
            </w:pPr>
            <w:r>
              <w:rPr>
                <w:szCs w:val="24"/>
              </w:rPr>
              <w:t>3. Iš viso</w:t>
            </w:r>
          </w:p>
        </w:tc>
      </w:tr>
      <w:tr w:rsidR="00147CC4" w:rsidTr="00251154">
        <w:tc>
          <w:tcPr>
            <w:tcW w:w="2055" w:type="dxa"/>
          </w:tcPr>
          <w:p w:rsidR="00147CC4" w:rsidRDefault="00147CC4" w:rsidP="00251154">
            <w:pPr>
              <w:tabs>
                <w:tab w:val="left" w:pos="709"/>
                <w:tab w:val="left" w:pos="1134"/>
                <w:tab w:val="left" w:pos="1276"/>
              </w:tabs>
              <w:suppressAutoHyphens/>
              <w:spacing w:line="22" w:lineRule="atLeast"/>
              <w:ind w:right="-31"/>
              <w:jc w:val="center"/>
              <w:textAlignment w:val="baseline"/>
              <w:rPr>
                <w:bCs/>
                <w:strike/>
                <w:szCs w:val="24"/>
                <w:lang w:eastAsia="lt-LT"/>
              </w:rPr>
            </w:pPr>
            <w:r w:rsidRPr="00210102">
              <w:rPr>
                <w:bCs/>
                <w:strike/>
                <w:szCs w:val="24"/>
                <w:lang w:eastAsia="lt-LT"/>
              </w:rPr>
              <w:t>12 666 339</w:t>
            </w:r>
          </w:p>
          <w:p w:rsidR="00210102" w:rsidRPr="00210102" w:rsidRDefault="00210102" w:rsidP="00251154">
            <w:pPr>
              <w:tabs>
                <w:tab w:val="left" w:pos="709"/>
                <w:tab w:val="left" w:pos="1134"/>
                <w:tab w:val="left" w:pos="1276"/>
              </w:tabs>
              <w:suppressAutoHyphens/>
              <w:spacing w:line="22" w:lineRule="atLeast"/>
              <w:ind w:right="-31"/>
              <w:jc w:val="center"/>
              <w:textAlignment w:val="baseline"/>
              <w:rPr>
                <w:strike/>
                <w:szCs w:val="24"/>
              </w:rPr>
            </w:pPr>
            <w:r>
              <w:rPr>
                <w:b/>
                <w:bCs/>
                <w:szCs w:val="24"/>
                <w:lang w:eastAsia="lt-LT"/>
              </w:rPr>
              <w:t>17 341 339</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bCs/>
                <w:strike/>
                <w:szCs w:val="24"/>
                <w:lang w:eastAsia="lt-LT"/>
              </w:rPr>
            </w:pPr>
            <w:r w:rsidRPr="00210102">
              <w:rPr>
                <w:bCs/>
                <w:strike/>
                <w:szCs w:val="24"/>
                <w:lang w:eastAsia="lt-LT"/>
              </w:rPr>
              <w:t>2 235 236</w:t>
            </w:r>
          </w:p>
          <w:p w:rsidR="00210102" w:rsidRPr="00210102" w:rsidRDefault="00210102" w:rsidP="00251154">
            <w:pPr>
              <w:tabs>
                <w:tab w:val="left" w:pos="709"/>
                <w:tab w:val="left" w:pos="1134"/>
                <w:tab w:val="left" w:pos="1276"/>
              </w:tabs>
              <w:suppressAutoHyphens/>
              <w:spacing w:line="22" w:lineRule="atLeast"/>
              <w:ind w:right="-31"/>
              <w:jc w:val="center"/>
              <w:textAlignment w:val="baseline"/>
              <w:rPr>
                <w:strike/>
                <w:szCs w:val="24"/>
              </w:rPr>
            </w:pPr>
            <w:r>
              <w:rPr>
                <w:b/>
                <w:bCs/>
                <w:szCs w:val="24"/>
                <w:lang w:eastAsia="lt-LT"/>
              </w:rPr>
              <w:t>3 060 236</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c>
          <w:tcPr>
            <w:tcW w:w="2056" w:type="dxa"/>
          </w:tcPr>
          <w:p w:rsidR="00147CC4" w:rsidRDefault="00147CC4" w:rsidP="00251154">
            <w:pPr>
              <w:tabs>
                <w:tab w:val="left" w:pos="709"/>
                <w:tab w:val="left" w:pos="1134"/>
                <w:tab w:val="left" w:pos="1276"/>
              </w:tabs>
              <w:suppressAutoHyphens/>
              <w:spacing w:line="22" w:lineRule="atLeast"/>
              <w:ind w:right="-31"/>
              <w:jc w:val="center"/>
              <w:textAlignment w:val="baseline"/>
              <w:rPr>
                <w:szCs w:val="24"/>
              </w:rPr>
            </w:pPr>
            <w:r>
              <w:rPr>
                <w:szCs w:val="24"/>
                <w:lang w:eastAsia="lt-LT"/>
              </w:rPr>
              <w:t>0</w:t>
            </w:r>
          </w:p>
        </w:tc>
      </w:tr>
    </w:tbl>
    <w:p w:rsidR="005D43B5" w:rsidRDefault="005D43B5" w:rsidP="005D43B5">
      <w:pPr>
        <w:widowControl w:val="0"/>
        <w:tabs>
          <w:tab w:val="left" w:pos="1134"/>
          <w:tab w:val="left" w:pos="1276"/>
        </w:tabs>
        <w:jc w:val="both"/>
        <w:rPr>
          <w:szCs w:val="24"/>
          <w:lang w:eastAsia="lt-LT"/>
        </w:rPr>
      </w:pPr>
    </w:p>
    <w:p w:rsidR="005D43B5" w:rsidRDefault="005D43B5" w:rsidP="005D43B5">
      <w:pPr>
        <w:widowControl w:val="0"/>
        <w:tabs>
          <w:tab w:val="left" w:pos="1134"/>
          <w:tab w:val="left" w:pos="1276"/>
        </w:tabs>
        <w:jc w:val="both"/>
        <w:rPr>
          <w:szCs w:val="24"/>
          <w:lang w:eastAsia="lt-LT"/>
        </w:rPr>
      </w:pPr>
    </w:p>
    <w:p w:rsidR="005D43B5" w:rsidRDefault="005D43B5" w:rsidP="005D43B5">
      <w:pPr>
        <w:widowControl w:val="0"/>
        <w:tabs>
          <w:tab w:val="left" w:pos="1134"/>
          <w:tab w:val="left" w:pos="1276"/>
        </w:tabs>
        <w:jc w:val="both"/>
        <w:rPr>
          <w:szCs w:val="24"/>
          <w:lang w:eastAsia="lt-LT"/>
        </w:rPr>
      </w:pPr>
      <w:r>
        <w:rPr>
          <w:szCs w:val="24"/>
          <w:lang w:eastAsia="lt-LT"/>
        </w:rPr>
        <w:tab/>
      </w:r>
      <w:r>
        <w:rPr>
          <w:szCs w:val="24"/>
          <w:lang w:eastAsia="lt-LT"/>
        </w:rPr>
        <w:tab/>
      </w:r>
      <w:r>
        <w:rPr>
          <w:szCs w:val="24"/>
          <w:lang w:eastAsia="lt-LT"/>
        </w:rPr>
        <w:tab/>
      </w:r>
    </w:p>
    <w:p w:rsidR="006D4790" w:rsidRDefault="006D4790" w:rsidP="005D43B5">
      <w:pPr>
        <w:widowControl w:val="0"/>
        <w:tabs>
          <w:tab w:val="left" w:pos="1134"/>
          <w:tab w:val="left" w:pos="1276"/>
        </w:tabs>
        <w:jc w:val="both"/>
        <w:rPr>
          <w:szCs w:val="24"/>
          <w:lang w:eastAsia="lt-LT"/>
        </w:rPr>
      </w:pPr>
    </w:p>
    <w:sectPr w:rsidR="006D4790" w:rsidSect="00147CC4">
      <w:headerReference w:type="even" r:id="rId6"/>
      <w:headerReference w:type="default" r:id="rId7"/>
      <w:footerReference w:type="even" r:id="rId8"/>
      <w:footerReference w:type="default" r:id="rId9"/>
      <w:headerReference w:type="first" r:id="rId10"/>
      <w:footerReference w:type="first" r:id="rId11"/>
      <w:pgSz w:w="16834" w:h="11909" w:orient="landscape" w:code="9"/>
      <w:pgMar w:top="1701" w:right="1134" w:bottom="567" w:left="1077" w:header="567" w:footer="51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5F" w:rsidRDefault="00B3675F">
      <w:pPr>
        <w:widowControl w:val="0"/>
        <w:rPr>
          <w:sz w:val="20"/>
          <w:lang w:eastAsia="lt-LT"/>
        </w:rPr>
      </w:pPr>
      <w:r>
        <w:rPr>
          <w:sz w:val="20"/>
          <w:lang w:eastAsia="lt-LT"/>
        </w:rPr>
        <w:separator/>
      </w:r>
    </w:p>
  </w:endnote>
  <w:endnote w:type="continuationSeparator" w:id="0">
    <w:p w:rsidR="00B3675F" w:rsidRDefault="00B3675F">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6D4790">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6D4790">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6D4790">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5F" w:rsidRDefault="00B3675F">
      <w:pPr>
        <w:widowControl w:val="0"/>
        <w:rPr>
          <w:sz w:val="20"/>
          <w:lang w:eastAsia="lt-LT"/>
        </w:rPr>
      </w:pPr>
      <w:r>
        <w:rPr>
          <w:sz w:val="20"/>
          <w:lang w:eastAsia="lt-LT"/>
        </w:rPr>
        <w:separator/>
      </w:r>
    </w:p>
  </w:footnote>
  <w:footnote w:type="continuationSeparator" w:id="0">
    <w:p w:rsidR="00B3675F" w:rsidRDefault="00B3675F">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6D4790">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5D43B5">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357724">
      <w:rPr>
        <w:noProof/>
        <w:szCs w:val="24"/>
        <w:lang w:eastAsia="lt-LT"/>
      </w:rPr>
      <w:t>2</w:t>
    </w:r>
    <w:r>
      <w:rPr>
        <w:szCs w:val="24"/>
        <w:lang w:eastAsia="lt-LT"/>
      </w:rPr>
      <w:fldChar w:fldCharType="end"/>
    </w:r>
  </w:p>
  <w:p w:rsidR="006D4790" w:rsidRDefault="006D4790">
    <w:pPr>
      <w:widowControl w:val="0"/>
      <w:tabs>
        <w:tab w:val="center" w:pos="4819"/>
        <w:tab w:val="right" w:pos="9638"/>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6D4790">
    <w:pPr>
      <w:widowControl w:val="0"/>
      <w:tabs>
        <w:tab w:val="center" w:pos="4819"/>
        <w:tab w:val="right" w:pos="9638"/>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1298"/>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EA"/>
    <w:rsid w:val="000D6EEA"/>
    <w:rsid w:val="00147CC4"/>
    <w:rsid w:val="00210102"/>
    <w:rsid w:val="00357724"/>
    <w:rsid w:val="003B7EEA"/>
    <w:rsid w:val="005D43B5"/>
    <w:rsid w:val="005F1E7A"/>
    <w:rsid w:val="006D4790"/>
    <w:rsid w:val="00B3675F"/>
    <w:rsid w:val="00C71B7B"/>
    <w:rsid w:val="00F42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437AC9-5916-4715-94AD-1BDCF71E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D43B5"/>
    <w:rPr>
      <w:rFonts w:ascii="Tahoma" w:hAnsi="Tahoma" w:cs="Tahoma"/>
      <w:sz w:val="16"/>
      <w:szCs w:val="16"/>
    </w:rPr>
  </w:style>
  <w:style w:type="character" w:customStyle="1" w:styleId="DebesliotekstasDiagrama">
    <w:name w:val="Debesėlio tekstas Diagrama"/>
    <w:basedOn w:val="Numatytasispastraiposriftas"/>
    <w:link w:val="Debesliotekstas"/>
    <w:rsid w:val="005D43B5"/>
    <w:rPr>
      <w:rFonts w:ascii="Tahoma" w:hAnsi="Tahoma" w:cs="Tahoma"/>
      <w:sz w:val="16"/>
      <w:szCs w:val="16"/>
    </w:rPr>
  </w:style>
  <w:style w:type="character" w:styleId="Vietosrezervavimoenklotekstas">
    <w:name w:val="Placeholder Text"/>
    <w:basedOn w:val="Numatytasispastraiposriftas"/>
    <w:rsid w:val="005D43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0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1975</Words>
  <Characters>1126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Agnė Raukštienė</cp:lastModifiedBy>
  <cp:revision>2</cp:revision>
  <cp:lastPrinted>2015-11-18T08:00:00Z</cp:lastPrinted>
  <dcterms:created xsi:type="dcterms:W3CDTF">2017-04-14T11:51:00Z</dcterms:created>
  <dcterms:modified xsi:type="dcterms:W3CDTF">2017-04-14T11:51:00Z</dcterms:modified>
</cp:coreProperties>
</file>