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3D1" w:rsidRDefault="00CB13D1" w:rsidP="00DE330A">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 xml:space="preserve">institucijų pateiktų pastabų derinimo lentelė </w:t>
      </w:r>
    </w:p>
    <w:p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537714" w:rsidRPr="00537714">
        <w:t xml:space="preserve"> </w:t>
      </w:r>
      <w:r w:rsidR="00DE330A" w:rsidRPr="00DE330A">
        <w:rPr>
          <w:rFonts w:ascii="Times New Roman" w:hAnsi="Times New Roman"/>
          <w:b/>
        </w:rPr>
        <w:t>2014–2020 M. EUROPOS SĄJUNGOS FONDŲ INVESTICIJŲ VEIKSMŲ PROGRAMOS</w:t>
      </w:r>
    </w:p>
    <w:p w:rsidR="00DE330A" w:rsidRPr="00DE330A" w:rsidRDefault="00DE330A" w:rsidP="00DE330A">
      <w:pPr>
        <w:pStyle w:val="statymopavad0"/>
        <w:spacing w:line="240" w:lineRule="auto"/>
        <w:rPr>
          <w:rFonts w:ascii="Times New Roman" w:hAnsi="Times New Roman"/>
          <w:b/>
        </w:rPr>
      </w:pPr>
      <w:r w:rsidRPr="00DE330A">
        <w:rPr>
          <w:rFonts w:ascii="Times New Roman" w:hAnsi="Times New Roman"/>
          <w:b/>
        </w:rPr>
        <w:t>10 PRIORITETO „VISUOMENĖS POREIKIUS ATITINKANTIS IR PAŽANGUS VIEŠASIS VALDYMAS“</w:t>
      </w:r>
    </w:p>
    <w:p w:rsidR="004264D6" w:rsidRPr="004264D6" w:rsidRDefault="00320F28" w:rsidP="00DE330A">
      <w:pPr>
        <w:pStyle w:val="statymopavad0"/>
        <w:spacing w:line="240" w:lineRule="auto"/>
        <w:rPr>
          <w:rFonts w:ascii="Times New Roman" w:hAnsi="Times New Roman"/>
          <w:b/>
        </w:rPr>
      </w:pPr>
      <w:r>
        <w:rPr>
          <w:rFonts w:ascii="Times New Roman" w:hAnsi="Times New Roman"/>
          <w:b/>
        </w:rPr>
        <w:t>NR. 10.1.</w:t>
      </w:r>
      <w:r w:rsidR="00B666A4">
        <w:rPr>
          <w:rFonts w:ascii="Times New Roman" w:hAnsi="Times New Roman"/>
          <w:b/>
        </w:rPr>
        <w:t>3</w:t>
      </w:r>
      <w:r>
        <w:rPr>
          <w:rFonts w:ascii="Times New Roman" w:hAnsi="Times New Roman"/>
          <w:b/>
        </w:rPr>
        <w:t>-ESFA-V-9</w:t>
      </w:r>
      <w:r w:rsidR="00016789">
        <w:rPr>
          <w:rFonts w:ascii="Times New Roman" w:hAnsi="Times New Roman"/>
          <w:b/>
        </w:rPr>
        <w:t>2</w:t>
      </w:r>
      <w:r w:rsidR="00B666A4">
        <w:rPr>
          <w:rFonts w:ascii="Times New Roman" w:hAnsi="Times New Roman"/>
          <w:b/>
        </w:rPr>
        <w:t>0</w:t>
      </w:r>
      <w:r w:rsidR="00DE330A" w:rsidRPr="00DE330A">
        <w:rPr>
          <w:rFonts w:ascii="Times New Roman" w:hAnsi="Times New Roman"/>
          <w:b/>
        </w:rPr>
        <w:t xml:space="preserve"> PRIEMONĖS „</w:t>
      </w:r>
      <w:r w:rsidR="00B666A4" w:rsidRPr="00B92A2F">
        <w:rPr>
          <w:rFonts w:eastAsia="Calibri"/>
          <w:b/>
          <w:szCs w:val="24"/>
        </w:rPr>
        <w:t>PASLAUGŲ IR ASMENŲ APTARNAVIMO KOKYBĖS GERINIMAS SAVIVALDYBĖSE</w:t>
      </w:r>
      <w:r w:rsidR="00DE330A">
        <w:rPr>
          <w:rFonts w:ascii="Times New Roman" w:hAnsi="Times New Roman"/>
          <w:b/>
        </w:rPr>
        <w:t xml:space="preserve">“ </w:t>
      </w:r>
      <w:r w:rsidR="00DE330A" w:rsidRPr="00DE330A">
        <w:rPr>
          <w:rFonts w:ascii="Times New Roman" w:hAnsi="Times New Roman"/>
          <w:b/>
        </w:rPr>
        <w:t>PROJEKTŲ FINANSAVIMO SĄLYGŲ APRAŠO</w:t>
      </w:r>
      <w:r w:rsidR="00537714">
        <w:rPr>
          <w:rFonts w:ascii="Times New Roman" w:hAnsi="Times New Roman"/>
          <w:b/>
        </w:rPr>
        <w:t xml:space="preserve"> </w:t>
      </w:r>
      <w:r w:rsidR="00016789">
        <w:rPr>
          <w:rFonts w:ascii="Times New Roman" w:hAnsi="Times New Roman"/>
          <w:b/>
        </w:rPr>
        <w:t xml:space="preserve"> </w:t>
      </w:r>
      <w:r w:rsidR="00537714">
        <w:rPr>
          <w:rFonts w:ascii="Times New Roman" w:hAnsi="Times New Roman"/>
          <w:b/>
        </w:rPr>
        <w:t>projekto</w:t>
      </w:r>
    </w:p>
    <w:p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879" w:type="dxa"/>
        <w:tblLayout w:type="fixed"/>
        <w:tblLook w:val="04A0" w:firstRow="1" w:lastRow="0" w:firstColumn="1" w:lastColumn="0" w:noHBand="0" w:noVBand="1"/>
      </w:tblPr>
      <w:tblGrid>
        <w:gridCol w:w="1696"/>
        <w:gridCol w:w="5387"/>
        <w:gridCol w:w="7796"/>
      </w:tblGrid>
      <w:tr w:rsidR="009F7B62" w:rsidRPr="00CB4D3A" w:rsidTr="00C643DB">
        <w:tc>
          <w:tcPr>
            <w:tcW w:w="1696"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Institucijos pavadinimas</w:t>
            </w:r>
          </w:p>
        </w:tc>
        <w:tc>
          <w:tcPr>
            <w:tcW w:w="5387"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7796"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Pastabų ir pasiūlymų įvertinimas</w:t>
            </w:r>
          </w:p>
        </w:tc>
      </w:tr>
      <w:tr w:rsidR="00631957" w:rsidRPr="00CB4D3A" w:rsidTr="00C643DB">
        <w:tc>
          <w:tcPr>
            <w:tcW w:w="1696" w:type="dxa"/>
            <w:vMerge w:val="restart"/>
          </w:tcPr>
          <w:p w:rsidR="00631957" w:rsidRPr="00F2066E" w:rsidRDefault="00631957" w:rsidP="00016789">
            <w:pPr>
              <w:pStyle w:val="Preformatted"/>
              <w:jc w:val="both"/>
              <w:rPr>
                <w:rFonts w:ascii="Times New Roman" w:hAnsi="Times New Roman"/>
                <w:sz w:val="24"/>
                <w:szCs w:val="24"/>
              </w:rPr>
            </w:pPr>
            <w:r>
              <w:rPr>
                <w:rFonts w:ascii="Times New Roman" w:hAnsi="Times New Roman"/>
                <w:sz w:val="24"/>
                <w:szCs w:val="24"/>
              </w:rPr>
              <w:t>Europos socialinio fondo agentūros 2017 m. kovo 23 d. raštu Nr.  SB-2017-00237 pateiktos pastabos</w:t>
            </w:r>
          </w:p>
        </w:tc>
        <w:tc>
          <w:tcPr>
            <w:tcW w:w="5387" w:type="dxa"/>
          </w:tcPr>
          <w:p w:rsidR="00631957" w:rsidDel="0029535C" w:rsidRDefault="00631957" w:rsidP="0013333A">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1. </w:t>
            </w:r>
            <w:r w:rsidRPr="00B666A4">
              <w:rPr>
                <w:rFonts w:ascii="Times New Roman" w:hAnsi="Times New Roman"/>
                <w:sz w:val="24"/>
                <w:szCs w:val="24"/>
              </w:rPr>
              <w:t xml:space="preserve">Aprašo 10 punkte yra </w:t>
            </w:r>
            <w:r>
              <w:rPr>
                <w:rFonts w:ascii="Times New Roman" w:hAnsi="Times New Roman"/>
                <w:sz w:val="24"/>
                <w:szCs w:val="24"/>
              </w:rPr>
              <w:t>nurodyta, kad priemonės tikslas –</w:t>
            </w:r>
            <w:r w:rsidRPr="00B666A4">
              <w:rPr>
                <w:rFonts w:ascii="Times New Roman" w:hAnsi="Times New Roman"/>
                <w:sz w:val="24"/>
                <w:szCs w:val="24"/>
              </w:rPr>
              <w:t xml:space="preserve"> padidinti visuomenės pasitenkinimą savivaldybių viešojo valdymo institucijų teikiamomis administracinėmis ir viešosiomis paslaugomis (toliau kartu – paslaugos) ir asmenų aptarnavimu, savivaldybėse įgyvendinant paslaugų teikimo ir (ar) asmenų aptarnavimo kokybei gerinti skirtas priemones. Atsižvelgdami į kitas Aprašo nuostatas (pvz. 11.4.3 punktą), siūlome priemonės tiksle palikti tik administracines paslaugas arba atitinkamai tikslinti Aprašo 11.4.3 punktą.</w:t>
            </w:r>
          </w:p>
        </w:tc>
        <w:tc>
          <w:tcPr>
            <w:tcW w:w="7796" w:type="dxa"/>
          </w:tcPr>
          <w:p w:rsidR="00631957" w:rsidRDefault="00631957" w:rsidP="000D40E4">
            <w:pPr>
              <w:rPr>
                <w:rFonts w:ascii="Times New Roman" w:hAnsi="Times New Roman" w:cs="Times New Roman"/>
                <w:sz w:val="24"/>
                <w:szCs w:val="24"/>
              </w:rPr>
            </w:pPr>
            <w:r>
              <w:rPr>
                <w:rFonts w:ascii="Times New Roman" w:hAnsi="Times New Roman" w:cs="Times New Roman"/>
                <w:sz w:val="24"/>
                <w:szCs w:val="24"/>
              </w:rPr>
              <w:t>Atsižvelgta.</w:t>
            </w:r>
          </w:p>
          <w:p w:rsidR="00631957" w:rsidRDefault="00631957" w:rsidP="000D40E4">
            <w:pPr>
              <w:rPr>
                <w:rFonts w:ascii="Times New Roman" w:hAnsi="Times New Roman" w:cs="Times New Roman"/>
                <w:sz w:val="24"/>
                <w:szCs w:val="24"/>
              </w:rPr>
            </w:pPr>
          </w:p>
          <w:p w:rsidR="00631957" w:rsidRPr="00D86EB2" w:rsidDel="00B4643D" w:rsidRDefault="00631957" w:rsidP="00D62F7D">
            <w:pPr>
              <w:rPr>
                <w:rFonts w:ascii="Times New Roman" w:hAnsi="Times New Roman" w:cs="Times New Roman"/>
                <w:sz w:val="24"/>
                <w:szCs w:val="24"/>
              </w:rPr>
            </w:pPr>
          </w:p>
        </w:tc>
      </w:tr>
      <w:tr w:rsidR="00631957" w:rsidRPr="00CB4D3A" w:rsidTr="00C643DB">
        <w:tc>
          <w:tcPr>
            <w:tcW w:w="1696" w:type="dxa"/>
            <w:vMerge/>
          </w:tcPr>
          <w:p w:rsidR="00631957" w:rsidRPr="00F2066E" w:rsidDel="00E75A99" w:rsidRDefault="00631957" w:rsidP="004264D6">
            <w:pPr>
              <w:pStyle w:val="Preformatted"/>
              <w:jc w:val="both"/>
              <w:rPr>
                <w:rFonts w:ascii="Times New Roman" w:hAnsi="Times New Roman"/>
                <w:sz w:val="24"/>
                <w:szCs w:val="24"/>
              </w:rPr>
            </w:pPr>
          </w:p>
        </w:tc>
        <w:tc>
          <w:tcPr>
            <w:tcW w:w="5387" w:type="dxa"/>
          </w:tcPr>
          <w:p w:rsidR="00631957" w:rsidRDefault="00631957" w:rsidP="00B2035A">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2. </w:t>
            </w:r>
            <w:r w:rsidRPr="00B42565">
              <w:rPr>
                <w:rFonts w:ascii="Times New Roman" w:hAnsi="Times New Roman"/>
                <w:sz w:val="24"/>
                <w:szCs w:val="24"/>
              </w:rPr>
              <w:t>Siūlome patikslinti Aprašo 11.4 punkte paminėtą veiklą ir nurodyti, kad savivaldybių viešojo valdymo institucijų darbuotojų kompetencijų ugdymas galimas tik veiklose, nurodytose Aprašo 11.2 ir 11.3 punktuose</w:t>
            </w:r>
          </w:p>
        </w:tc>
        <w:tc>
          <w:tcPr>
            <w:tcW w:w="7796" w:type="dxa"/>
          </w:tcPr>
          <w:p w:rsidR="00631957" w:rsidRDefault="00631957" w:rsidP="0057530F">
            <w:pPr>
              <w:pStyle w:val="Sraopastraipa"/>
              <w:ind w:left="31"/>
              <w:jc w:val="both"/>
              <w:rPr>
                <w:rFonts w:ascii="Times New Roman" w:hAnsi="Times New Roman" w:cs="Times New Roman"/>
                <w:sz w:val="24"/>
                <w:szCs w:val="24"/>
              </w:rPr>
            </w:pPr>
            <w:r>
              <w:rPr>
                <w:rFonts w:ascii="Times New Roman" w:hAnsi="Times New Roman" w:cs="Times New Roman"/>
                <w:sz w:val="24"/>
                <w:szCs w:val="24"/>
              </w:rPr>
              <w:t>Neatsižvelgta.</w:t>
            </w:r>
            <w:r w:rsidRPr="00EA7592">
              <w:rPr>
                <w:rFonts w:ascii="Times New Roman" w:hAnsi="Times New Roman" w:cs="Times New Roman"/>
                <w:sz w:val="24"/>
                <w:szCs w:val="24"/>
              </w:rPr>
              <w:t xml:space="preserve"> 2014–2020 metų Europos Sąjungos fon</w:t>
            </w:r>
            <w:r>
              <w:rPr>
                <w:rFonts w:ascii="Times New Roman" w:hAnsi="Times New Roman" w:cs="Times New Roman"/>
                <w:sz w:val="24"/>
                <w:szCs w:val="24"/>
              </w:rPr>
              <w:t xml:space="preserve">dų investicijų veiksmų programoje (toliau – Veiksmų programa), kuri patvirtinta Europos Komisijos 2014 m. rugsėjo 8 d., numatyta, kad įgyvendinant 10 prioriteto ,,Visuomenės poreikius atitinkantis ir pažangus viešasis valdymas“ 3 uždavinį ,,Pagerinti visuomenei teikiamų paslaugų kokybę, didinant jų atitikimą visuomenės poreikiams“ (toliau – 10 prioriteto 3 uždavinys) bus stiprinamos viešojo valdymo institucijų darbuotojų kompetencijos, reikalingos paslaugų kokybės ir asmenų aptarnavimo gerinimo iniciatyvoms projektų lėšomis kurti, įgyvendinti bei darbuotojų orientacijai į klientą didinti.   </w:t>
            </w:r>
          </w:p>
          <w:p w:rsidR="00631957" w:rsidRPr="003347C5" w:rsidRDefault="00631957" w:rsidP="00242271">
            <w:pPr>
              <w:pStyle w:val="Sraopastraipa"/>
              <w:ind w:left="31"/>
              <w:jc w:val="both"/>
              <w:rPr>
                <w:rFonts w:ascii="Times New Roman" w:hAnsi="Times New Roman" w:cs="Times New Roman"/>
                <w:sz w:val="24"/>
                <w:szCs w:val="24"/>
              </w:rPr>
            </w:pPr>
            <w:r>
              <w:rPr>
                <w:rFonts w:ascii="Times New Roman" w:hAnsi="Times New Roman" w:cs="Times New Roman"/>
                <w:sz w:val="24"/>
                <w:szCs w:val="24"/>
              </w:rPr>
              <w:t xml:space="preserve">Aprašo 11.1 papunktyje numatyta remti veikla – vienas iš galimų paslaugų kokybės gerinimo būdų. Atsižvelgiant į minėtas Veiksmų programos nuostatas, Aprašo 11.4.3 papunktyje numatoma galimybė stiprinti orientacijai į klientą didinti reikalingas darbuotojų kompetencijas,  nebūtinai tiesiogiai siejant šias kompetencijų stiprinimo veiklas su kitomis </w:t>
            </w:r>
            <w:r w:rsidRPr="00242271">
              <w:rPr>
                <w:rFonts w:ascii="Times New Roman" w:hAnsi="Times New Roman" w:cs="Times New Roman"/>
                <w:sz w:val="24"/>
                <w:szCs w:val="24"/>
              </w:rPr>
              <w:t>projekto metu vykdomomis veiklomis, kuriamais produktais.</w:t>
            </w:r>
            <w:r>
              <w:rPr>
                <w:rFonts w:ascii="Times New Roman" w:hAnsi="Times New Roman" w:cs="Times New Roman"/>
                <w:sz w:val="24"/>
                <w:szCs w:val="24"/>
              </w:rPr>
              <w:t xml:space="preserve">  </w:t>
            </w:r>
          </w:p>
        </w:tc>
      </w:tr>
      <w:tr w:rsidR="00631957" w:rsidRPr="00CB4D3A" w:rsidTr="00C643DB">
        <w:tc>
          <w:tcPr>
            <w:tcW w:w="1696" w:type="dxa"/>
            <w:vMerge/>
          </w:tcPr>
          <w:p w:rsidR="00631957" w:rsidRPr="00F2066E" w:rsidRDefault="00631957" w:rsidP="004264D6">
            <w:pPr>
              <w:pStyle w:val="Preformatted"/>
              <w:jc w:val="both"/>
              <w:rPr>
                <w:rFonts w:ascii="Times New Roman" w:hAnsi="Times New Roman"/>
                <w:sz w:val="24"/>
                <w:szCs w:val="24"/>
              </w:rPr>
            </w:pPr>
          </w:p>
        </w:tc>
        <w:tc>
          <w:tcPr>
            <w:tcW w:w="5387" w:type="dxa"/>
          </w:tcPr>
          <w:p w:rsidR="00631957" w:rsidRPr="00F2066E" w:rsidRDefault="00631957" w:rsidP="00EA4001">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3. </w:t>
            </w:r>
            <w:r w:rsidRPr="00B42565">
              <w:rPr>
                <w:rFonts w:ascii="Times New Roman" w:hAnsi="Times New Roman"/>
                <w:sz w:val="24"/>
                <w:szCs w:val="24"/>
              </w:rPr>
              <w:t>Aprašo</w:t>
            </w:r>
            <w:r>
              <w:rPr>
                <w:rFonts w:ascii="Times New Roman" w:hAnsi="Times New Roman"/>
                <w:sz w:val="24"/>
                <w:szCs w:val="24"/>
              </w:rPr>
              <w:t xml:space="preserve"> 50 punkto</w:t>
            </w:r>
            <w:r w:rsidRPr="00B42565">
              <w:rPr>
                <w:rFonts w:ascii="Times New Roman" w:hAnsi="Times New Roman"/>
                <w:sz w:val="24"/>
                <w:szCs w:val="24"/>
              </w:rPr>
              <w:t xml:space="preserve"> 4 išlaidų kategorijoje yra nurodytos taikomosios programinės įrangos išlaidos, tačiau kitose Aprašo dalyse yra sąvokos „programinė įranga“ arba „techninė programinė įranga“. Siūlome papildyti Aprašą ir pateikti sąvokos „taikomoji programinė įranga“ aprašymą bei suvienodinti sąvokas visame Apraše.</w:t>
            </w:r>
          </w:p>
        </w:tc>
        <w:tc>
          <w:tcPr>
            <w:tcW w:w="7796" w:type="dxa"/>
          </w:tcPr>
          <w:p w:rsidR="00631957" w:rsidRPr="003E5501" w:rsidRDefault="00631957" w:rsidP="00B42565">
            <w:pPr>
              <w:rPr>
                <w:rFonts w:ascii="Times New Roman" w:hAnsi="Times New Roman" w:cs="Times New Roman"/>
                <w:sz w:val="24"/>
                <w:szCs w:val="24"/>
              </w:rPr>
            </w:pPr>
            <w:r>
              <w:rPr>
                <w:rFonts w:ascii="Times New Roman" w:hAnsi="Times New Roman" w:cs="Times New Roman"/>
                <w:sz w:val="24"/>
                <w:szCs w:val="24"/>
              </w:rPr>
              <w:t>Atsižvelgta  - patikslintas Aprašo 50 punkto 4 išlaidų kategorijoje nurodytų išlaidų, susijusių su programine įranga, aprašymas.</w:t>
            </w:r>
          </w:p>
        </w:tc>
      </w:tr>
      <w:tr w:rsidR="00631957" w:rsidRPr="00CB4D3A" w:rsidTr="00C643DB">
        <w:tc>
          <w:tcPr>
            <w:tcW w:w="1696" w:type="dxa"/>
            <w:vMerge/>
          </w:tcPr>
          <w:p w:rsidR="00631957" w:rsidRPr="00F2066E" w:rsidRDefault="00631957" w:rsidP="004264D6">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631957" w:rsidRPr="00F2066E" w:rsidRDefault="00631957" w:rsidP="009B0867">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4. </w:t>
            </w:r>
            <w:r w:rsidRPr="00B42565">
              <w:rPr>
                <w:rFonts w:ascii="Times New Roman" w:hAnsi="Times New Roman"/>
                <w:sz w:val="24"/>
                <w:szCs w:val="24"/>
              </w:rPr>
              <w:t>Aprašo 39 punkte nurodyta, kad pareiškėjas, užpildydamas Aprašo 3 priedą „Projekto atitikties sąžiningos konkurencijos principui pagrindimo lapo formą“, turi pagrįsti, kad projektu nebūtų suteikiama nauda viešojo valdymo institucijos vykdomai ūkinei veiklai, o jei nauda visgi būtų suteikiama ūkinės veiklos kokybei gerinti, kad projektas atitinka Aprašo 38 punkto reikalavimus. Aprašo 3.10 punkte nurodyta, kad de minimis pagalbos gavėjas yra tik projekto vykdytojas ar partneris, kuris vykdo ar turi teisę vykdyti ūkinę veiklą Lietuvos Respublikoje pagal jo veiklą reglamentuojančius teisės aktus, ir kurio veiksmai daro įtaką ar ketinimai, jeigu būtų įgyvendinti, galėtų daryti įtaką konkurencijai ir prekybai tarp ES šalių, o viešojo valdymo institucija de minimis pagalbos gavėja nelaikoma, nors projekte gali būti teikiama nauda jos ūkinės veiklos kokybei gerinti. Siūlome patikslinti de minimis  pagalbos gavėjo sąvoką ir papildomai nurodyti pareiškėju ar partneriu nesančia viešojo valdymo instituciją. Taip pat prašome patikslinti Aprašo 3 priede, lentelės „Informacija apie projekto atitiktį Lietuvos Respublikos konkurencijos politikai“ 5 stulpelio pavadinimą „Projekto atitikties Aprašo 36</w:t>
            </w:r>
            <w:r w:rsidRPr="00242271">
              <w:rPr>
                <w:rFonts w:ascii="Times New Roman" w:hAnsi="Times New Roman"/>
                <w:sz w:val="24"/>
                <w:szCs w:val="24"/>
                <w:vertAlign w:val="superscript"/>
              </w:rPr>
              <w:t>1</w:t>
            </w:r>
            <w:r w:rsidRPr="00B42565">
              <w:rPr>
                <w:rFonts w:ascii="Times New Roman" w:hAnsi="Times New Roman"/>
                <w:sz w:val="24"/>
                <w:szCs w:val="24"/>
              </w:rPr>
              <w:t xml:space="preserve"> punkto reikalavimams pagrindimas“, kadangi nurodytas netinkamas Aprašo punktas.  </w:t>
            </w:r>
          </w:p>
        </w:tc>
        <w:tc>
          <w:tcPr>
            <w:tcW w:w="7796" w:type="dxa"/>
          </w:tcPr>
          <w:p w:rsidR="00631957" w:rsidRPr="00F238BB" w:rsidRDefault="00631957" w:rsidP="009B0867">
            <w:pPr>
              <w:jc w:val="both"/>
              <w:rPr>
                <w:rFonts w:ascii="Times New Roman" w:hAnsi="Times New Roman" w:cs="Times New Roman"/>
                <w:sz w:val="24"/>
                <w:szCs w:val="24"/>
              </w:rPr>
            </w:pPr>
            <w:r>
              <w:rPr>
                <w:rFonts w:ascii="Times New Roman" w:hAnsi="Times New Roman" w:cs="Times New Roman"/>
                <w:sz w:val="24"/>
                <w:szCs w:val="24"/>
              </w:rPr>
              <w:t xml:space="preserve">Atsižvelgta – patikslinta </w:t>
            </w:r>
            <w:r w:rsidRPr="00242271">
              <w:rPr>
                <w:rFonts w:ascii="Times New Roman" w:hAnsi="Times New Roman"/>
                <w:i/>
                <w:sz w:val="24"/>
                <w:szCs w:val="24"/>
              </w:rPr>
              <w:t>de minimis</w:t>
            </w:r>
            <w:r>
              <w:rPr>
                <w:rFonts w:ascii="Times New Roman" w:hAnsi="Times New Roman"/>
                <w:sz w:val="24"/>
                <w:szCs w:val="24"/>
              </w:rPr>
              <w:t xml:space="preserve"> pagalbos gavėjo sąvoka ir ištaisyta techninio pobūdžio klaida.</w:t>
            </w:r>
          </w:p>
        </w:tc>
      </w:tr>
      <w:tr w:rsidR="00631957" w:rsidRPr="00CB4D3A" w:rsidTr="00C643DB">
        <w:tc>
          <w:tcPr>
            <w:tcW w:w="1696" w:type="dxa"/>
            <w:vMerge/>
          </w:tcPr>
          <w:p w:rsidR="00631957" w:rsidRPr="00F2066E" w:rsidRDefault="00631957" w:rsidP="00284661">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631957" w:rsidRPr="00F2066E" w:rsidRDefault="00631957" w:rsidP="00DB7572">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5. </w:t>
            </w:r>
            <w:r w:rsidRPr="00B42565">
              <w:rPr>
                <w:rFonts w:ascii="Times New Roman" w:hAnsi="Times New Roman"/>
                <w:sz w:val="24"/>
                <w:szCs w:val="24"/>
              </w:rPr>
              <w:t xml:space="preserve">Prašome patikslinti Aprašo 53 punktą ir papildomai nurodyti netinkamas </w:t>
            </w:r>
            <w:r w:rsidRPr="00D26427">
              <w:rPr>
                <w:rFonts w:ascii="Times New Roman" w:hAnsi="Times New Roman"/>
                <w:sz w:val="24"/>
                <w:szCs w:val="24"/>
              </w:rPr>
              <w:t>debesijos paslaugų pirkimo išlaidas, vadovaujantis 2016 m. spalio 19 d.  LR Vyriausybės nutarimu Nr. 1051 ir 2017 m. vasario 7 d. LR Finansų ministerijos raštu Nr. (24.37-02)-6K-1701177</w:t>
            </w:r>
            <w:r w:rsidR="00D26427" w:rsidRPr="00D26427">
              <w:rPr>
                <w:rFonts w:ascii="Times New Roman" w:hAnsi="Times New Roman"/>
                <w:sz w:val="24"/>
                <w:szCs w:val="24"/>
              </w:rPr>
              <w:t>.</w:t>
            </w:r>
          </w:p>
        </w:tc>
        <w:tc>
          <w:tcPr>
            <w:tcW w:w="7796" w:type="dxa"/>
          </w:tcPr>
          <w:p w:rsidR="00631957" w:rsidRPr="00144ED2" w:rsidRDefault="004D7E3D" w:rsidP="00B42565">
            <w:pPr>
              <w:jc w:val="both"/>
              <w:rPr>
                <w:rFonts w:ascii="Times New Roman" w:hAnsi="Times New Roman" w:cs="Times New Roman"/>
                <w:sz w:val="24"/>
                <w:szCs w:val="24"/>
              </w:rPr>
            </w:pPr>
            <w:r>
              <w:rPr>
                <w:rFonts w:ascii="Times New Roman" w:hAnsi="Times New Roman" w:cs="Times New Roman"/>
                <w:sz w:val="24"/>
                <w:szCs w:val="24"/>
              </w:rPr>
              <w:t xml:space="preserve">Neatsižvelgta, kadangi tai dubliuotų Aprašo 54.7 papunkčio nuostatą, kuria nustatoma, kad </w:t>
            </w:r>
            <w:r w:rsidR="00D26427" w:rsidRPr="00D26427">
              <w:rPr>
                <w:rFonts w:ascii="Times New Roman" w:hAnsi="Times New Roman" w:cs="Times New Roman"/>
                <w:sz w:val="24"/>
                <w:szCs w:val="24"/>
              </w:rPr>
              <w:t xml:space="preserve">pagal Aprašą netinkamomis finansuoti išlaidomis laikomos </w:t>
            </w:r>
            <w:r w:rsidRPr="00D26427">
              <w:rPr>
                <w:rFonts w:ascii="Times New Roman" w:hAnsi="Times New Roman" w:cs="Times New Roman"/>
                <w:sz w:val="24"/>
                <w:szCs w:val="24"/>
              </w:rPr>
              <w:t>apmokėjimo už valstybės IT paslaugų teikėjų teikiamas IT paslaugas, numatytas</w:t>
            </w:r>
            <w:r w:rsidR="00D26427">
              <w:rPr>
                <w:rFonts w:ascii="Times New Roman" w:hAnsi="Times New Roman" w:cs="Times New Roman"/>
                <w:sz w:val="24"/>
                <w:szCs w:val="24"/>
              </w:rPr>
              <w:t xml:space="preserve"> </w:t>
            </w:r>
            <w:r w:rsidR="00D26427" w:rsidRPr="00D26427">
              <w:rPr>
                <w:rFonts w:ascii="Times New Roman" w:hAnsi="Times New Roman" w:cs="Times New Roman"/>
                <w:sz w:val="24"/>
                <w:szCs w:val="24"/>
              </w:rPr>
              <w:t>Lietuvos Respublikos Vyriausybės 2015 m. gegužės 13 d. nutarime Nr. 498 „Dėl valstybės informacinių išteklių infrastruktūros konsolidavimo ir jos valdymo optimizavimo“</w:t>
            </w:r>
            <w:r w:rsidRPr="00D26427">
              <w:rPr>
                <w:rFonts w:ascii="Times New Roman" w:hAnsi="Times New Roman" w:cs="Times New Roman"/>
                <w:sz w:val="24"/>
                <w:szCs w:val="24"/>
              </w:rPr>
              <w:t>, išlaidos</w:t>
            </w:r>
            <w:r w:rsidR="00D26427" w:rsidRPr="00D26427">
              <w:rPr>
                <w:rFonts w:ascii="Times New Roman" w:hAnsi="Times New Roman" w:cs="Times New Roman"/>
                <w:sz w:val="24"/>
                <w:szCs w:val="24"/>
              </w:rPr>
              <w:t>.</w:t>
            </w:r>
            <w:r w:rsidR="00D26427">
              <w:rPr>
                <w:szCs w:val="24"/>
              </w:rPr>
              <w:t xml:space="preserve"> </w:t>
            </w:r>
          </w:p>
        </w:tc>
      </w:tr>
      <w:tr w:rsidR="00631957" w:rsidRPr="00CB4D3A" w:rsidTr="00C643DB">
        <w:tc>
          <w:tcPr>
            <w:tcW w:w="1696" w:type="dxa"/>
            <w:vMerge/>
          </w:tcPr>
          <w:p w:rsidR="00631957" w:rsidRPr="00F2066E" w:rsidRDefault="00631957" w:rsidP="00284661">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631957" w:rsidRDefault="00631957" w:rsidP="00DB7572">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6. </w:t>
            </w:r>
            <w:r w:rsidRPr="00B42565">
              <w:rPr>
                <w:rFonts w:ascii="Times New Roman" w:hAnsi="Times New Roman"/>
                <w:sz w:val="24"/>
                <w:szCs w:val="24"/>
              </w:rPr>
              <w:t>Atkreipiame Jūsų dėmesį, kad Apraše patikslintos veiklos neatitinka nurodytų galiojančiame Priemonės įgyvendinimo plane, patvirtintame 2017 m. sausio 11 dieną.</w:t>
            </w:r>
          </w:p>
        </w:tc>
        <w:tc>
          <w:tcPr>
            <w:tcW w:w="7796" w:type="dxa"/>
          </w:tcPr>
          <w:p w:rsidR="00631957" w:rsidRPr="00144ED2" w:rsidRDefault="00631957" w:rsidP="00B42565">
            <w:pPr>
              <w:jc w:val="both"/>
              <w:rPr>
                <w:rFonts w:ascii="Times New Roman" w:hAnsi="Times New Roman" w:cs="Times New Roman"/>
                <w:sz w:val="24"/>
                <w:szCs w:val="24"/>
              </w:rPr>
            </w:pPr>
            <w:r>
              <w:rPr>
                <w:rFonts w:ascii="Times New Roman" w:hAnsi="Times New Roman" w:cs="Times New Roman"/>
                <w:sz w:val="24"/>
                <w:szCs w:val="24"/>
              </w:rPr>
              <w:t xml:space="preserve">Bus atsižvelgta – projektų finansavimo sąlygų aprašo pakeitimai bus tvirtinami po to, kai bus patvirtinti atitinkami </w:t>
            </w:r>
            <w:r>
              <w:rPr>
                <w:rFonts w:ascii="Times New Roman" w:hAnsi="Times New Roman"/>
                <w:sz w:val="24"/>
                <w:szCs w:val="24"/>
              </w:rPr>
              <w:t>Priemonės įgyvendinimo plano pakeitimai.</w:t>
            </w:r>
          </w:p>
        </w:tc>
      </w:tr>
      <w:tr w:rsidR="005A6057" w:rsidRPr="00CB4D3A" w:rsidTr="00C643DB">
        <w:tc>
          <w:tcPr>
            <w:tcW w:w="1696" w:type="dxa"/>
          </w:tcPr>
          <w:p w:rsidR="005A6057" w:rsidRPr="00F2066E" w:rsidRDefault="005A6057" w:rsidP="00284661">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t>Informacinės visuomenės plėtros komiteto prie Susisiekimo ministerijos 2017 m. balandžio 3 d. raštu Nr.  S-244 pateiktos pastabos</w:t>
            </w:r>
          </w:p>
        </w:tc>
        <w:tc>
          <w:tcPr>
            <w:tcW w:w="5387" w:type="dxa"/>
          </w:tcPr>
          <w:p w:rsidR="005A6057" w:rsidRDefault="005A6057" w:rsidP="005A6057">
            <w:pPr>
              <w:pStyle w:val="Preformatted"/>
              <w:tabs>
                <w:tab w:val="left" w:pos="1276"/>
              </w:tabs>
              <w:jc w:val="both"/>
              <w:rPr>
                <w:rFonts w:ascii="Times New Roman" w:hAnsi="Times New Roman"/>
                <w:sz w:val="24"/>
                <w:szCs w:val="24"/>
              </w:rPr>
            </w:pPr>
            <w:r>
              <w:rPr>
                <w:rFonts w:ascii="Times New Roman" w:hAnsi="Times New Roman"/>
                <w:sz w:val="24"/>
                <w:szCs w:val="24"/>
              </w:rPr>
              <w:t xml:space="preserve">Atsižvelgiant į 2014-2020 metų Europos Sąjungos fondų investicijų veiksmų programos 2 prioriteto „Informacinės visuomenės skatinimas“ įgyvendinimo priemonių projektų finansavimo sąlygų aprašuose nustatytas tinkamų finansuoti išlaidų kategorijų formuluotes bei siekiant suvienodinti tinkamų finansuoti išlaidų, susijusių su sukurtos ir (ar) modernizuotos informacinės sistemos įdiegimu (įskaitant programinės įrangos ar dalies jos komponentų ir (arba) duomenų perkėlimo į debesijos paslaugų teikėjo infrastruktūrą), siūlome tikslinti Įsakymo projekto 50 punkte numatytų tinkamų finansuoti išlaidų kategorijų aprašymus: </w:t>
            </w:r>
          </w:p>
          <w:p w:rsidR="005A6057" w:rsidRDefault="005A6057" w:rsidP="005A6057">
            <w:pPr>
              <w:pStyle w:val="Preformatted"/>
              <w:tabs>
                <w:tab w:val="left" w:pos="1276"/>
              </w:tabs>
              <w:jc w:val="both"/>
              <w:rPr>
                <w:rFonts w:ascii="Times New Roman" w:hAnsi="Times New Roman"/>
                <w:sz w:val="24"/>
                <w:szCs w:val="24"/>
              </w:rPr>
            </w:pPr>
            <w:r>
              <w:rPr>
                <w:rFonts w:ascii="Times New Roman" w:hAnsi="Times New Roman"/>
                <w:sz w:val="24"/>
                <w:szCs w:val="24"/>
              </w:rPr>
              <w:t xml:space="preserve">1. 4.1 punkte išbraukti „techninės ir programinės įrangos, kuri būtina užtikrinti duomenų perdavimą į valstybės IT paslaugų teikėjo, kuris įsteigtas ar paskirtas vadovaujantis Nutarimu Nr. 498, (toliau – valstybės IT paslaugų teikėjas) infrastruktūrą įsigijimo išlaidos“; </w:t>
            </w:r>
          </w:p>
          <w:p w:rsidR="005A6057" w:rsidRDefault="005A6057" w:rsidP="005A6057">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2. 4.2 punktą papildyti ir išdėstyti taip: „Programinės įrangos, informacinės sistemos ir (arba) registro kūrimo ir (ar) modernizavimo ir įdiegimo išlaidos (įskaitant IS projektavimo, išbandymo, techninės priežiūros, apmokymo naudotis ir kitas susijusias </w:t>
            </w:r>
            <w:r>
              <w:rPr>
                <w:rFonts w:ascii="Times New Roman" w:hAnsi="Times New Roman"/>
                <w:sz w:val="24"/>
                <w:szCs w:val="24"/>
              </w:rPr>
              <w:lastRenderedPageBreak/>
              <w:t>išlaidas)“. Atkreiptinas dėmesys, kad šiuo atveju sąvoka „įdiegimas“ apima ir sukurtos programinės įrangos ir (ar) informacinės sistemos įdiegimą ir į debesijos paslaugų teikėjo infrastruktūrą.</w:t>
            </w:r>
          </w:p>
        </w:tc>
        <w:tc>
          <w:tcPr>
            <w:tcW w:w="7796" w:type="dxa"/>
          </w:tcPr>
          <w:p w:rsidR="005A6057" w:rsidRDefault="005A6057" w:rsidP="00B42565">
            <w:pPr>
              <w:jc w:val="both"/>
              <w:rPr>
                <w:rFonts w:ascii="Times New Roman" w:hAnsi="Times New Roman" w:cs="Times New Roman"/>
                <w:sz w:val="24"/>
                <w:szCs w:val="24"/>
              </w:rPr>
            </w:pPr>
            <w:r>
              <w:rPr>
                <w:rFonts w:ascii="Times New Roman" w:hAnsi="Times New Roman" w:cs="Times New Roman"/>
                <w:sz w:val="24"/>
                <w:szCs w:val="24"/>
              </w:rPr>
              <w:lastRenderedPageBreak/>
              <w:t>Atsižvelgta.</w:t>
            </w:r>
          </w:p>
        </w:tc>
      </w:tr>
      <w:tr w:rsidR="005A6057" w:rsidRPr="00CB4D3A" w:rsidTr="00C643DB">
        <w:tc>
          <w:tcPr>
            <w:tcW w:w="1696" w:type="dxa"/>
          </w:tcPr>
          <w:p w:rsidR="005A6057" w:rsidRPr="00F2066E" w:rsidRDefault="00A75336" w:rsidP="00284661">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t xml:space="preserve">Lietuvos Respublikos konkurencijos tarybos </w:t>
            </w:r>
            <w:r w:rsidRPr="004908D3">
              <w:rPr>
                <w:rFonts w:ascii="Times New Roman" w:hAnsi="Times New Roman"/>
                <w:sz w:val="24"/>
                <w:szCs w:val="24"/>
              </w:rPr>
              <w:t xml:space="preserve">2017 m. kovo </w:t>
            </w:r>
            <w:r>
              <w:rPr>
                <w:rFonts w:ascii="Times New Roman" w:hAnsi="Times New Roman"/>
                <w:sz w:val="24"/>
                <w:szCs w:val="24"/>
              </w:rPr>
              <w:t>30</w:t>
            </w:r>
            <w:r w:rsidRPr="004908D3">
              <w:rPr>
                <w:rFonts w:ascii="Times New Roman" w:hAnsi="Times New Roman"/>
                <w:sz w:val="24"/>
                <w:szCs w:val="24"/>
              </w:rPr>
              <w:t xml:space="preserve"> d. raštu Nr.  </w:t>
            </w:r>
            <w:r>
              <w:rPr>
                <w:rFonts w:ascii="Times New Roman" w:hAnsi="Times New Roman"/>
                <w:sz w:val="24"/>
                <w:szCs w:val="24"/>
              </w:rPr>
              <w:t>(9.8-35)6V-729</w:t>
            </w:r>
            <w:r w:rsidRPr="004908D3">
              <w:rPr>
                <w:rFonts w:ascii="Times New Roman" w:hAnsi="Times New Roman"/>
                <w:sz w:val="24"/>
                <w:szCs w:val="24"/>
              </w:rPr>
              <w:t xml:space="preserve"> pateiktos pastabos</w:t>
            </w:r>
          </w:p>
        </w:tc>
        <w:tc>
          <w:tcPr>
            <w:tcW w:w="5387" w:type="dxa"/>
          </w:tcPr>
          <w:p w:rsidR="00A75336" w:rsidRPr="004908D3" w:rsidRDefault="00A75336" w:rsidP="00A75336">
            <w:pPr>
              <w:pStyle w:val="Preformatted"/>
              <w:tabs>
                <w:tab w:val="left" w:pos="1276"/>
              </w:tabs>
              <w:jc w:val="both"/>
              <w:rPr>
                <w:rFonts w:ascii="Times New Roman" w:hAnsi="Times New Roman"/>
                <w:sz w:val="24"/>
                <w:szCs w:val="24"/>
              </w:rPr>
            </w:pPr>
            <w:r w:rsidRPr="004908D3">
              <w:rPr>
                <w:rFonts w:ascii="Times New Roman" w:hAnsi="Times New Roman"/>
                <w:sz w:val="24"/>
                <w:szCs w:val="24"/>
              </w:rPr>
              <w:t xml:space="preserve">Atsižvelgiant į tai, kad Aprašu ketinama finansuoti projektus, kuriais nebūtų suteikiama nauda viešojo valdymo institucijos vykdomai ūkinei veiklai (paslaugų teikimui), siūlome numatyti galimybę Aprašu finansuoti daugiau neūkinių veiklų (paslaugų), tikslinant Aprašo 40 punktą. </w:t>
            </w:r>
            <w:r>
              <w:rPr>
                <w:rFonts w:ascii="Times New Roman" w:hAnsi="Times New Roman"/>
                <w:sz w:val="24"/>
                <w:szCs w:val="24"/>
              </w:rPr>
              <w:t xml:space="preserve"> </w:t>
            </w:r>
            <w:r w:rsidRPr="004908D3">
              <w:rPr>
                <w:rFonts w:ascii="Times New Roman" w:hAnsi="Times New Roman"/>
                <w:sz w:val="24"/>
                <w:szCs w:val="24"/>
              </w:rPr>
              <w:tab/>
              <w:t>Pažymėtina, kad neūkine veikla taip pat gali būti laikoma:</w:t>
            </w:r>
          </w:p>
          <w:p w:rsidR="00A75336" w:rsidRPr="004908D3" w:rsidRDefault="00A75336" w:rsidP="00A75336">
            <w:pPr>
              <w:pStyle w:val="Preformatted"/>
              <w:tabs>
                <w:tab w:val="left" w:pos="1276"/>
              </w:tabs>
              <w:jc w:val="both"/>
              <w:rPr>
                <w:rFonts w:ascii="Times New Roman" w:hAnsi="Times New Roman"/>
                <w:sz w:val="24"/>
                <w:szCs w:val="24"/>
              </w:rPr>
            </w:pPr>
            <w:r w:rsidRPr="004908D3">
              <w:rPr>
                <w:rFonts w:ascii="Times New Roman" w:hAnsi="Times New Roman"/>
                <w:sz w:val="24"/>
                <w:szCs w:val="24"/>
              </w:rPr>
              <w:t>(a)</w:t>
            </w:r>
            <w:r w:rsidRPr="004908D3">
              <w:rPr>
                <w:rFonts w:ascii="Times New Roman" w:hAnsi="Times New Roman"/>
                <w:sz w:val="24"/>
                <w:szCs w:val="24"/>
              </w:rPr>
              <w:tab/>
              <w:t xml:space="preserve">veikla, kuri susijusi su socialinių funkcijų vykdymu (pavyzdžiui, ligos ir motinystės, socialinio draudimo paslaugos, bedarbių, išėjusių iš įkalinimo įstaigų įdarbinimas ar integravimas, sveikatos priežiūros veikla gyvybei išsaugoti ir gelbėti); </w:t>
            </w:r>
          </w:p>
          <w:p w:rsidR="00A75336" w:rsidRPr="004908D3" w:rsidRDefault="00A75336" w:rsidP="00A75336">
            <w:pPr>
              <w:pStyle w:val="Preformatted"/>
              <w:tabs>
                <w:tab w:val="left" w:pos="1276"/>
              </w:tabs>
              <w:jc w:val="both"/>
              <w:rPr>
                <w:rFonts w:ascii="Times New Roman" w:hAnsi="Times New Roman"/>
                <w:sz w:val="24"/>
                <w:szCs w:val="24"/>
              </w:rPr>
            </w:pPr>
            <w:r w:rsidRPr="004908D3">
              <w:rPr>
                <w:rFonts w:ascii="Times New Roman" w:hAnsi="Times New Roman"/>
                <w:sz w:val="24"/>
                <w:szCs w:val="24"/>
              </w:rPr>
              <w:t>(b)</w:t>
            </w:r>
            <w:r w:rsidRPr="004908D3">
              <w:rPr>
                <w:rFonts w:ascii="Times New Roman" w:hAnsi="Times New Roman"/>
                <w:sz w:val="24"/>
                <w:szCs w:val="24"/>
              </w:rPr>
              <w:tab/>
              <w:t xml:space="preserve">kultūros veikla (pavyzdžiui, muziejai, archyvai, bibliotekos, meno ir kultūros centrai, teatrai, koncertų salės), kai tokia veikla didžiąja dalimi finansuojama valstybės ir (ar) savivaldybės (-ių) biudžeto lėšomis ;  </w:t>
            </w:r>
          </w:p>
          <w:p w:rsidR="00A75336" w:rsidRPr="004908D3" w:rsidRDefault="00A75336" w:rsidP="00A75336">
            <w:pPr>
              <w:pStyle w:val="Preformatted"/>
              <w:tabs>
                <w:tab w:val="left" w:pos="1276"/>
              </w:tabs>
              <w:jc w:val="both"/>
              <w:rPr>
                <w:rFonts w:ascii="Times New Roman" w:hAnsi="Times New Roman"/>
                <w:sz w:val="24"/>
                <w:szCs w:val="24"/>
              </w:rPr>
            </w:pPr>
            <w:r w:rsidRPr="004908D3">
              <w:rPr>
                <w:rFonts w:ascii="Times New Roman" w:hAnsi="Times New Roman"/>
                <w:sz w:val="24"/>
                <w:szCs w:val="24"/>
              </w:rPr>
              <w:t>(c)</w:t>
            </w:r>
            <w:r w:rsidRPr="004908D3">
              <w:rPr>
                <w:rFonts w:ascii="Times New Roman" w:hAnsi="Times New Roman"/>
                <w:sz w:val="24"/>
                <w:szCs w:val="24"/>
              </w:rPr>
              <w:tab/>
              <w:t xml:space="preserve">veikla, kuri nors pati savaime nėra viešojo administravimo funkcija, tačiau yra neatskiriamai susijusi su tokių funkcijų vykdymu (pavyzdžiui, surinktų duomenų saugojimo veikla); </w:t>
            </w:r>
          </w:p>
          <w:p w:rsidR="005A6057" w:rsidRDefault="00A75336" w:rsidP="00A75336">
            <w:pPr>
              <w:pStyle w:val="Preformatted"/>
              <w:tabs>
                <w:tab w:val="clear" w:pos="959"/>
                <w:tab w:val="clear" w:pos="1918"/>
                <w:tab w:val="left" w:pos="1276"/>
              </w:tabs>
              <w:snapToGrid/>
              <w:jc w:val="both"/>
              <w:rPr>
                <w:rFonts w:ascii="Times New Roman" w:hAnsi="Times New Roman"/>
                <w:sz w:val="24"/>
                <w:szCs w:val="24"/>
              </w:rPr>
            </w:pPr>
            <w:r w:rsidRPr="004908D3">
              <w:rPr>
                <w:rFonts w:ascii="Times New Roman" w:hAnsi="Times New Roman"/>
                <w:sz w:val="24"/>
                <w:szCs w:val="24"/>
              </w:rPr>
              <w:t>(d)</w:t>
            </w:r>
            <w:r w:rsidRPr="004908D3">
              <w:rPr>
                <w:rFonts w:ascii="Times New Roman" w:hAnsi="Times New Roman"/>
                <w:sz w:val="24"/>
                <w:szCs w:val="24"/>
              </w:rPr>
              <w:tab/>
              <w:t>veikla, kuri priskirtina viešosios valdžios funkcijų vykdymui , nepriklausomai nuo to, ar atitinkamas funkcijos vykdo pats viešojo administravimo subjektas ar jų</w:t>
            </w:r>
            <w:r>
              <w:rPr>
                <w:rFonts w:ascii="Times New Roman" w:hAnsi="Times New Roman"/>
                <w:sz w:val="24"/>
                <w:szCs w:val="24"/>
              </w:rPr>
              <w:t xml:space="preserve"> </w:t>
            </w:r>
            <w:r w:rsidRPr="004908D3">
              <w:rPr>
                <w:rFonts w:ascii="Times New Roman" w:hAnsi="Times New Roman"/>
                <w:sz w:val="24"/>
                <w:szCs w:val="24"/>
              </w:rPr>
              <w:t>vykdymas pavestas kitiems asmenims specialių ar išimtinių teisių pagrindu  (pavyzdžiui, informacijos saugojimas duomenų bazėje (įmonių registre), ekologinė (aplinkosauginė) veikla jūrų uoste).</w:t>
            </w:r>
          </w:p>
        </w:tc>
        <w:tc>
          <w:tcPr>
            <w:tcW w:w="7796" w:type="dxa"/>
          </w:tcPr>
          <w:p w:rsidR="005A6057" w:rsidRDefault="00A75336" w:rsidP="00B42565">
            <w:pPr>
              <w:jc w:val="both"/>
              <w:rPr>
                <w:rFonts w:ascii="Times New Roman" w:hAnsi="Times New Roman" w:cs="Times New Roman"/>
                <w:sz w:val="24"/>
                <w:szCs w:val="24"/>
              </w:rPr>
            </w:pPr>
            <w:r>
              <w:rPr>
                <w:rFonts w:ascii="Times New Roman" w:hAnsi="Times New Roman" w:cs="Times New Roman"/>
                <w:sz w:val="24"/>
                <w:szCs w:val="24"/>
              </w:rPr>
              <w:t>Atsižvelgta – patikslintas veiklų, nelaikytinų ūkine veikla, sąrašas.</w:t>
            </w:r>
          </w:p>
        </w:tc>
      </w:tr>
      <w:tr w:rsidR="005A6057" w:rsidRPr="00CB4D3A" w:rsidTr="00C643DB">
        <w:tc>
          <w:tcPr>
            <w:tcW w:w="1696" w:type="dxa"/>
          </w:tcPr>
          <w:p w:rsidR="005A6057" w:rsidRPr="00F2066E" w:rsidRDefault="00A75336" w:rsidP="00284661">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lastRenderedPageBreak/>
              <w:t>Vilniaus regiono plėtros tarybos 2017 m. kovo 28 d. raštu Nr.  51/1D-107</w:t>
            </w:r>
          </w:p>
        </w:tc>
        <w:tc>
          <w:tcPr>
            <w:tcW w:w="5387" w:type="dxa"/>
          </w:tcPr>
          <w:p w:rsidR="00A75336" w:rsidRDefault="00A75336" w:rsidP="00A75336">
            <w:pPr>
              <w:pStyle w:val="Preformatted"/>
              <w:tabs>
                <w:tab w:val="left" w:pos="1276"/>
              </w:tabs>
              <w:jc w:val="both"/>
              <w:rPr>
                <w:rFonts w:ascii="Times New Roman" w:hAnsi="Times New Roman"/>
                <w:sz w:val="24"/>
                <w:szCs w:val="24"/>
              </w:rPr>
            </w:pPr>
            <w:r>
              <w:rPr>
                <w:rFonts w:ascii="Times New Roman" w:hAnsi="Times New Roman"/>
                <w:sz w:val="24"/>
                <w:szCs w:val="24"/>
              </w:rPr>
              <w:t>Pagal finansavimo sąlygų aprašo 32.1.1 punktą:</w:t>
            </w:r>
          </w:p>
          <w:p w:rsidR="00A75336" w:rsidRDefault="00A75336" w:rsidP="00A75336">
            <w:pPr>
              <w:pStyle w:val="Preformatted"/>
              <w:tabs>
                <w:tab w:val="left" w:pos="1276"/>
              </w:tabs>
              <w:jc w:val="both"/>
              <w:rPr>
                <w:rFonts w:ascii="Times New Roman" w:hAnsi="Times New Roman"/>
                <w:sz w:val="24"/>
                <w:szCs w:val="24"/>
              </w:rPr>
            </w:pPr>
            <w:r>
              <w:rPr>
                <w:rFonts w:ascii="Times New Roman" w:hAnsi="Times New Roman"/>
                <w:sz w:val="24"/>
                <w:szCs w:val="24"/>
              </w:rPr>
              <w:t>„32.1.1. parengti Aprašo 33–34 punktuose nustatytus reikalavimus atitinkantį investicijų projektą. Šis reikalavimas taikomas kai:</w:t>
            </w:r>
          </w:p>
          <w:p w:rsidR="00A75336" w:rsidRDefault="00A75336" w:rsidP="00A75336">
            <w:pPr>
              <w:pStyle w:val="Preformatted"/>
              <w:tabs>
                <w:tab w:val="left" w:pos="1276"/>
              </w:tabs>
              <w:jc w:val="both"/>
              <w:rPr>
                <w:rFonts w:ascii="Times New Roman" w:hAnsi="Times New Roman"/>
                <w:sz w:val="24"/>
                <w:szCs w:val="24"/>
              </w:rPr>
            </w:pPr>
            <w:r>
              <w:rPr>
                <w:rFonts w:ascii="Times New Roman" w:hAnsi="Times New Roman"/>
                <w:sz w:val="24"/>
                <w:szCs w:val="24"/>
              </w:rPr>
              <w:t>32.1.1.1. rengiamas projektas, kuriam planuojamų investicijų į nematerialųjį turtą (t. y. programinę įrangą, jos licencijas, IS tobulinimą, apimantį tik IS integracinių sąsajų su kitomis IS, registrais ir (ar) programine įranga, kurią pareiškėjas ir (ar) partneris naudoja / siekia naudoti kaip paslaugą, kūrimą), esamo pastato (ar jo dalies) techninių ir (ar) funkcinių savybių pagerinimą (paprastasis remontas) ir (ar) įrenginius išlaidų suma, išskyrus (atėmus) joms tenkantį pirkimo ir (arba) importo pridėtinės vertės mokestį, viršija 300 000 eurų (tris šimtus tūkstančių eurų);</w:t>
            </w:r>
          </w:p>
          <w:p w:rsidR="00A75336" w:rsidRDefault="00A75336" w:rsidP="00A75336">
            <w:pPr>
              <w:pStyle w:val="Preformatted"/>
              <w:tabs>
                <w:tab w:val="left" w:pos="1276"/>
              </w:tabs>
              <w:jc w:val="both"/>
              <w:rPr>
                <w:rFonts w:ascii="Times New Roman" w:hAnsi="Times New Roman"/>
                <w:sz w:val="24"/>
                <w:szCs w:val="24"/>
              </w:rPr>
            </w:pPr>
            <w:r>
              <w:rPr>
                <w:rFonts w:ascii="Times New Roman" w:hAnsi="Times New Roman"/>
                <w:sz w:val="24"/>
                <w:szCs w:val="24"/>
              </w:rPr>
              <w:t>32.1.1.2. ir (arba) rengiamas projektas, kuriam įgyvendinti planuojamos investicijos į IS kūrimą ar modernizavimą (netaikoma tuo atveju, kai planuojamos investicijos į IS tobulinimą, apimantį tik IS integracinių sąsajų su kitomis IS, registrais ir (ar) programine įranga, kurią pareiškėjas ir (ar) partneris naudoja / siekia naudoti kaip paslaugą, kūrimą).“</w:t>
            </w:r>
          </w:p>
          <w:p w:rsidR="005A6057" w:rsidRDefault="00A75336" w:rsidP="00A75336">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Atsižvelgiant į planuojamus vykdyti projektus, kurių metu planuoja</w:t>
            </w:r>
            <w:r w:rsidR="00EC1FCA">
              <w:rPr>
                <w:rFonts w:ascii="Times New Roman" w:hAnsi="Times New Roman"/>
                <w:sz w:val="24"/>
                <w:szCs w:val="24"/>
              </w:rPr>
              <w:t>mos investicijos į nematerialujį</w:t>
            </w:r>
            <w:r>
              <w:rPr>
                <w:rFonts w:ascii="Times New Roman" w:hAnsi="Times New Roman"/>
                <w:sz w:val="24"/>
                <w:szCs w:val="24"/>
              </w:rPr>
              <w:t xml:space="preserve"> turtą ir (arba) investicijos į IS kūrimą ar modernizavimą, ir numatomas dideles investicijas, siūloma atsisakyti šio punkto reikalavimo, nes tai didina administracinę naštą bei finansines išlaidas.</w:t>
            </w:r>
          </w:p>
        </w:tc>
        <w:tc>
          <w:tcPr>
            <w:tcW w:w="7796" w:type="dxa"/>
          </w:tcPr>
          <w:p w:rsidR="00A75336" w:rsidRDefault="00A75336" w:rsidP="00B42565">
            <w:pPr>
              <w:jc w:val="both"/>
              <w:rPr>
                <w:rFonts w:ascii="Times New Roman" w:hAnsi="Times New Roman" w:cs="Times New Roman"/>
                <w:sz w:val="24"/>
                <w:szCs w:val="24"/>
              </w:rPr>
            </w:pPr>
            <w:r>
              <w:rPr>
                <w:rFonts w:ascii="Times New Roman" w:hAnsi="Times New Roman" w:cs="Times New Roman"/>
                <w:sz w:val="24"/>
                <w:szCs w:val="24"/>
              </w:rPr>
              <w:t xml:space="preserve">Neatsižvelgta. </w:t>
            </w:r>
          </w:p>
          <w:p w:rsidR="00F12357" w:rsidRDefault="00A75336" w:rsidP="00F12357">
            <w:pPr>
              <w:jc w:val="both"/>
              <w:rPr>
                <w:rFonts w:ascii="Times New Roman" w:hAnsi="Times New Roman" w:cs="Times New Roman"/>
                <w:sz w:val="24"/>
                <w:szCs w:val="24"/>
              </w:rPr>
            </w:pPr>
            <w:r>
              <w:rPr>
                <w:rFonts w:ascii="Times New Roman" w:hAnsi="Times New Roman" w:cs="Times New Roman"/>
                <w:sz w:val="24"/>
                <w:szCs w:val="24"/>
              </w:rPr>
              <w:t xml:space="preserve">Reikalavimas </w:t>
            </w:r>
            <w:r w:rsidR="00F10E7A">
              <w:rPr>
                <w:rFonts w:ascii="Times New Roman" w:hAnsi="Times New Roman" w:cs="Times New Roman"/>
                <w:sz w:val="24"/>
                <w:szCs w:val="24"/>
              </w:rPr>
              <w:t xml:space="preserve">pareiškėjui tam tikrais Apraše nustatytais atvejais parengti investicijų projektą </w:t>
            </w:r>
            <w:r>
              <w:rPr>
                <w:rFonts w:ascii="Times New Roman" w:hAnsi="Times New Roman" w:cs="Times New Roman"/>
                <w:sz w:val="24"/>
                <w:szCs w:val="24"/>
              </w:rPr>
              <w:t xml:space="preserve">iki </w:t>
            </w:r>
            <w:r w:rsidR="00F10E7A">
              <w:rPr>
                <w:rFonts w:ascii="Times New Roman" w:hAnsi="Times New Roman" w:cs="Times New Roman"/>
                <w:sz w:val="24"/>
                <w:szCs w:val="24"/>
              </w:rPr>
              <w:t>projektinio pasiūlymo pateikimo regiono plėtros tarybos sekretoriatui nustatytas</w:t>
            </w:r>
            <w:r w:rsidR="00F12357">
              <w:rPr>
                <w:rFonts w:ascii="Times New Roman" w:hAnsi="Times New Roman" w:cs="Times New Roman"/>
                <w:sz w:val="24"/>
                <w:szCs w:val="24"/>
              </w:rPr>
              <w:t xml:space="preserve"> vadovaujantis </w:t>
            </w:r>
            <w:r w:rsidR="00F12357" w:rsidRPr="001E3924">
              <w:rPr>
                <w:rFonts w:ascii="Times New Roman" w:hAnsi="Times New Roman" w:cs="Times New Roman"/>
                <w:sz w:val="24"/>
                <w:szCs w:val="24"/>
              </w:rPr>
              <w:t xml:space="preserve">Projektų administravimo ir finansavimo taisyklių, patvirtintų Lietuvos Respublikos finansų ministro 2014 m. spalio 8 d. įsakymu Nr. 1K-316, </w:t>
            </w:r>
            <w:r w:rsidR="00F12357">
              <w:rPr>
                <w:rFonts w:ascii="Times New Roman" w:hAnsi="Times New Roman" w:cs="Times New Roman"/>
                <w:sz w:val="24"/>
                <w:szCs w:val="24"/>
              </w:rPr>
              <w:t xml:space="preserve">(toliau  - Projektų taisyklės) </w:t>
            </w:r>
            <w:r w:rsidR="00F12357">
              <w:t xml:space="preserve">66.7 </w:t>
            </w:r>
            <w:r w:rsidR="00F12357" w:rsidRPr="00F12357">
              <w:rPr>
                <w:rFonts w:ascii="Times New Roman" w:hAnsi="Times New Roman" w:cs="Times New Roman"/>
                <w:sz w:val="24"/>
                <w:szCs w:val="24"/>
              </w:rPr>
              <w:t>papunkčiu, nurodančiu, kad turi būti užtikrintas efektyvus projektui įgyvendinti reikalingų lėšų panaudojimas</w:t>
            </w:r>
            <w:r w:rsidR="00F12357">
              <w:t xml:space="preserve">. </w:t>
            </w:r>
          </w:p>
          <w:p w:rsidR="00F12357" w:rsidRPr="00A75336" w:rsidRDefault="00F12357" w:rsidP="00F12357">
            <w:pPr>
              <w:jc w:val="both"/>
              <w:rPr>
                <w:rFonts w:ascii="Times New Roman" w:hAnsi="Times New Roman" w:cs="Times New Roman"/>
                <w:sz w:val="24"/>
                <w:szCs w:val="24"/>
              </w:rPr>
            </w:pPr>
          </w:p>
        </w:tc>
      </w:tr>
      <w:tr w:rsidR="00C00017" w:rsidRPr="00CB4D3A" w:rsidTr="00C643DB">
        <w:tc>
          <w:tcPr>
            <w:tcW w:w="1696" w:type="dxa"/>
            <w:vMerge w:val="restart"/>
          </w:tcPr>
          <w:p w:rsidR="00C00017" w:rsidRDefault="00C00017" w:rsidP="00B5583B">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t xml:space="preserve">Elektrėnų savivaldybės </w:t>
            </w:r>
            <w:r w:rsidRPr="00055485">
              <w:rPr>
                <w:rFonts w:ascii="Times New Roman" w:hAnsi="Times New Roman"/>
                <w:sz w:val="24"/>
                <w:szCs w:val="24"/>
              </w:rPr>
              <w:t xml:space="preserve">administracijos2017 m. kovo 28 d. raštu Nr.  </w:t>
            </w:r>
            <w:r w:rsidRPr="00055485">
              <w:rPr>
                <w:rFonts w:ascii="Times New Roman" w:hAnsi="Times New Roman"/>
                <w:sz w:val="24"/>
                <w:szCs w:val="24"/>
              </w:rPr>
              <w:lastRenderedPageBreak/>
              <w:t>03.2-10-508 pateiktos pastabos</w:t>
            </w:r>
            <w:r>
              <w:rPr>
                <w:rFonts w:ascii="Times New Roman" w:hAnsi="Times New Roman"/>
                <w:sz w:val="24"/>
                <w:szCs w:val="24"/>
              </w:rPr>
              <w:t xml:space="preserve"> </w:t>
            </w:r>
          </w:p>
        </w:tc>
        <w:tc>
          <w:tcPr>
            <w:tcW w:w="5387" w:type="dxa"/>
          </w:tcPr>
          <w:p w:rsidR="00C00017" w:rsidRPr="009D4ABA" w:rsidRDefault="00C00017" w:rsidP="009D4ABA">
            <w:pPr>
              <w:pStyle w:val="Preformatted"/>
              <w:tabs>
                <w:tab w:val="left" w:pos="1276"/>
              </w:tabs>
              <w:jc w:val="both"/>
              <w:rPr>
                <w:rFonts w:ascii="Times New Roman" w:hAnsi="Times New Roman"/>
                <w:sz w:val="24"/>
                <w:szCs w:val="24"/>
              </w:rPr>
            </w:pPr>
            <w:r>
              <w:rPr>
                <w:rFonts w:ascii="Times New Roman" w:hAnsi="Times New Roman"/>
                <w:sz w:val="24"/>
                <w:szCs w:val="24"/>
              </w:rPr>
              <w:lastRenderedPageBreak/>
              <w:t xml:space="preserve">1. </w:t>
            </w:r>
            <w:r w:rsidRPr="009D4ABA">
              <w:rPr>
                <w:rFonts w:ascii="Times New Roman" w:hAnsi="Times New Roman"/>
                <w:sz w:val="24"/>
                <w:szCs w:val="24"/>
              </w:rPr>
              <w:t>Aprašo</w:t>
            </w:r>
            <w:r>
              <w:rPr>
                <w:rFonts w:ascii="Times New Roman" w:hAnsi="Times New Roman"/>
                <w:sz w:val="24"/>
                <w:szCs w:val="24"/>
              </w:rPr>
              <w:t xml:space="preserve"> 77.12 punktą</w:t>
            </w:r>
            <w:r w:rsidRPr="009D4ABA">
              <w:rPr>
                <w:rFonts w:ascii="Times New Roman" w:hAnsi="Times New Roman"/>
                <w:sz w:val="24"/>
                <w:szCs w:val="24"/>
              </w:rPr>
              <w:t xml:space="preserve"> </w:t>
            </w:r>
            <w:r>
              <w:rPr>
                <w:rFonts w:ascii="Times New Roman" w:hAnsi="Times New Roman"/>
                <w:sz w:val="24"/>
                <w:szCs w:val="24"/>
              </w:rPr>
              <w:t xml:space="preserve">reikalinga </w:t>
            </w:r>
            <w:r w:rsidRPr="009D4ABA">
              <w:rPr>
                <w:rFonts w:ascii="Times New Roman" w:hAnsi="Times New Roman"/>
                <w:sz w:val="24"/>
                <w:szCs w:val="24"/>
              </w:rPr>
              <w:t xml:space="preserve">patikslinti, </w:t>
            </w:r>
            <w:r>
              <w:rPr>
                <w:rFonts w:ascii="Times New Roman" w:hAnsi="Times New Roman"/>
                <w:sz w:val="24"/>
                <w:szCs w:val="24"/>
              </w:rPr>
              <w:t xml:space="preserve">kad būtų aišku, </w:t>
            </w:r>
            <w:r w:rsidRPr="009D4ABA">
              <w:rPr>
                <w:rFonts w:ascii="Times New Roman" w:hAnsi="Times New Roman"/>
                <w:sz w:val="24"/>
                <w:szCs w:val="24"/>
              </w:rPr>
              <w:t>ar turtą reikės drausti pasibaigus projektui;</w:t>
            </w:r>
          </w:p>
          <w:p w:rsidR="00C00017" w:rsidRDefault="00C00017" w:rsidP="009D4ABA">
            <w:pPr>
              <w:pStyle w:val="Preformatted"/>
              <w:tabs>
                <w:tab w:val="left" w:pos="1276"/>
              </w:tabs>
              <w:jc w:val="both"/>
              <w:rPr>
                <w:rFonts w:ascii="Times New Roman" w:hAnsi="Times New Roman"/>
                <w:sz w:val="24"/>
                <w:szCs w:val="24"/>
              </w:rPr>
            </w:pPr>
          </w:p>
        </w:tc>
        <w:tc>
          <w:tcPr>
            <w:tcW w:w="7796" w:type="dxa"/>
          </w:tcPr>
          <w:p w:rsidR="00C00017" w:rsidRPr="002B1D76" w:rsidRDefault="00C00017" w:rsidP="000D40E4">
            <w:pPr>
              <w:rPr>
                <w:rFonts w:ascii="Times New Roman" w:hAnsi="Times New Roman" w:cs="Times New Roman"/>
                <w:b/>
                <w:sz w:val="24"/>
                <w:szCs w:val="24"/>
              </w:rPr>
            </w:pPr>
            <w:r w:rsidRPr="004D2EBE">
              <w:rPr>
                <w:rFonts w:ascii="Times New Roman" w:hAnsi="Times New Roman" w:cs="Times New Roman"/>
                <w:sz w:val="24"/>
                <w:szCs w:val="24"/>
              </w:rPr>
              <w:t>Atsižvelgta, nustatant, kad turtas turi būti apdraustas projekto įgyvendinimo laikotarpiui nuo tada, kai yra sukuriamas ar įsigyjamas iki projekto veiklų įgyvendinimo pabaigos</w:t>
            </w:r>
            <w:r>
              <w:rPr>
                <w:rFonts w:ascii="Times New Roman" w:hAnsi="Times New Roman" w:cs="Times New Roman"/>
                <w:sz w:val="24"/>
                <w:szCs w:val="24"/>
              </w:rPr>
              <w:t>.</w:t>
            </w:r>
          </w:p>
        </w:tc>
      </w:tr>
      <w:tr w:rsidR="00C00017" w:rsidRPr="00CB4D3A" w:rsidTr="00C643DB">
        <w:tc>
          <w:tcPr>
            <w:tcW w:w="1696" w:type="dxa"/>
            <w:vMerge/>
          </w:tcPr>
          <w:p w:rsidR="00C00017" w:rsidRDefault="00C00017" w:rsidP="00B5583B">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C00017" w:rsidRDefault="00E50D0B" w:rsidP="00C00017">
            <w:pPr>
              <w:pStyle w:val="Preformatted"/>
              <w:tabs>
                <w:tab w:val="left" w:pos="1276"/>
              </w:tabs>
              <w:jc w:val="both"/>
              <w:rPr>
                <w:rFonts w:ascii="Times New Roman" w:hAnsi="Times New Roman"/>
                <w:sz w:val="24"/>
                <w:szCs w:val="24"/>
              </w:rPr>
            </w:pPr>
            <w:r>
              <w:rPr>
                <w:rFonts w:ascii="Times New Roman" w:hAnsi="Times New Roman"/>
                <w:sz w:val="24"/>
                <w:szCs w:val="24"/>
              </w:rPr>
              <w:t xml:space="preserve">2. </w:t>
            </w:r>
            <w:r w:rsidR="00C00017">
              <w:rPr>
                <w:rFonts w:ascii="Times New Roman" w:hAnsi="Times New Roman"/>
                <w:sz w:val="24"/>
                <w:szCs w:val="24"/>
              </w:rPr>
              <w:t xml:space="preserve">Draudimo </w:t>
            </w:r>
            <w:r w:rsidR="00C00017" w:rsidRPr="001E3924">
              <w:rPr>
                <w:rFonts w:ascii="Times New Roman" w:hAnsi="Times New Roman"/>
                <w:sz w:val="24"/>
                <w:szCs w:val="24"/>
              </w:rPr>
              <w:t>išlaidas (projekto laikotarpiu) reikalinga įtraukti prie tinkamų finansuoti</w:t>
            </w:r>
            <w:r w:rsidR="00C00017">
              <w:rPr>
                <w:rFonts w:ascii="Times New Roman" w:hAnsi="Times New Roman"/>
                <w:sz w:val="24"/>
                <w:szCs w:val="24"/>
              </w:rPr>
              <w:t xml:space="preserve"> išlaidų.</w:t>
            </w:r>
          </w:p>
        </w:tc>
        <w:tc>
          <w:tcPr>
            <w:tcW w:w="7796" w:type="dxa"/>
          </w:tcPr>
          <w:p w:rsidR="00C00017" w:rsidRPr="004D2EBE" w:rsidRDefault="001E3924" w:rsidP="00DF6092">
            <w:pPr>
              <w:jc w:val="both"/>
              <w:rPr>
                <w:rFonts w:ascii="Times New Roman" w:hAnsi="Times New Roman" w:cs="Times New Roman"/>
                <w:sz w:val="24"/>
                <w:szCs w:val="24"/>
              </w:rPr>
            </w:pPr>
            <w:r w:rsidRPr="001E3924">
              <w:rPr>
                <w:rFonts w:ascii="Times New Roman" w:hAnsi="Times New Roman" w:cs="Times New Roman"/>
                <w:sz w:val="24"/>
                <w:szCs w:val="24"/>
              </w:rPr>
              <w:t xml:space="preserve">Neatsižvelgta. </w:t>
            </w:r>
            <w:r w:rsidR="00DF6092" w:rsidRPr="001E3924">
              <w:rPr>
                <w:rFonts w:ascii="Times New Roman" w:hAnsi="Times New Roman" w:cs="Times New Roman"/>
                <w:sz w:val="24"/>
                <w:szCs w:val="24"/>
              </w:rPr>
              <w:t xml:space="preserve">Rekomendacijose dėl projektų išlaidų atitikties 2014–2020 m. Europos Sąjungos struktūrinių fondų reikalavimams, kurios skelbiamos </w:t>
            </w:r>
            <w:r w:rsidR="00DF6092" w:rsidRPr="001E3924">
              <w:rPr>
                <w:rFonts w:ascii="Times New Roman" w:hAnsi="Times New Roman" w:cs="Times New Roman"/>
                <w:sz w:val="24"/>
                <w:szCs w:val="24"/>
              </w:rPr>
              <w:lastRenderedPageBreak/>
              <w:t xml:space="preserve">interneto svetainėje </w:t>
            </w:r>
            <w:hyperlink r:id="rId8" w:history="1">
              <w:r w:rsidR="00DF6092" w:rsidRPr="001E3924">
                <w:rPr>
                  <w:rFonts w:ascii="Times New Roman" w:hAnsi="Times New Roman" w:cs="Times New Roman"/>
                  <w:sz w:val="24"/>
                </w:rPr>
                <w:t>www.esinvesticijos.lt</w:t>
              </w:r>
            </w:hyperlink>
            <w:r w:rsidR="00DF6092" w:rsidRPr="001E3924">
              <w:rPr>
                <w:rFonts w:ascii="Times New Roman" w:hAnsi="Times New Roman" w:cs="Times New Roman"/>
                <w:sz w:val="24"/>
                <w:szCs w:val="24"/>
              </w:rPr>
              <w:t xml:space="preserve">, numatyta, kad  </w:t>
            </w:r>
            <w:r w:rsidRPr="001E3924">
              <w:rPr>
                <w:rFonts w:ascii="Times New Roman" w:hAnsi="Times New Roman" w:cs="Times New Roman"/>
                <w:sz w:val="24"/>
                <w:szCs w:val="24"/>
              </w:rPr>
              <w:t>turto draudimo išlaidos yra priskiriamos prie netiesioginių išlaidų. Pagal Aprašo ??? visos netiesioginės išlaidos yra apmokamos taikant fiksuotąją projekto išlaidų normą, apskaičiuojamą vadovaujantis Projektų administravimo ir finansavimo taisyklių, patvirtintų Lietuvos Respublikos finansų ministro 2014 m. spalio 8 d. įsakymu Nr. 1K-316,  10 priedu.</w:t>
            </w:r>
          </w:p>
        </w:tc>
      </w:tr>
      <w:tr w:rsidR="008B79FC" w:rsidRPr="00CB4D3A" w:rsidTr="00C643DB">
        <w:tc>
          <w:tcPr>
            <w:tcW w:w="1696" w:type="dxa"/>
          </w:tcPr>
          <w:p w:rsidR="008B79FC" w:rsidRDefault="008B79FC" w:rsidP="00B5583B">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lastRenderedPageBreak/>
              <w:t>Telšių regiono plėtros taryb</w:t>
            </w:r>
            <w:r w:rsidR="002A31E9">
              <w:rPr>
                <w:rFonts w:ascii="Times New Roman" w:hAnsi="Times New Roman"/>
                <w:sz w:val="24"/>
                <w:szCs w:val="24"/>
              </w:rPr>
              <w:t xml:space="preserve">os </w:t>
            </w:r>
            <w:r w:rsidR="002A31E9" w:rsidRPr="00055485">
              <w:rPr>
                <w:rFonts w:ascii="Times New Roman" w:hAnsi="Times New Roman"/>
                <w:sz w:val="24"/>
                <w:szCs w:val="24"/>
              </w:rPr>
              <w:t>2017 m. kovo 2</w:t>
            </w:r>
            <w:r w:rsidR="00055485" w:rsidRPr="00055485">
              <w:rPr>
                <w:rFonts w:ascii="Times New Roman" w:hAnsi="Times New Roman"/>
                <w:sz w:val="24"/>
                <w:szCs w:val="24"/>
              </w:rPr>
              <w:t>8</w:t>
            </w:r>
            <w:r w:rsidR="002A31E9" w:rsidRPr="00055485">
              <w:rPr>
                <w:rFonts w:ascii="Times New Roman" w:hAnsi="Times New Roman"/>
                <w:sz w:val="24"/>
                <w:szCs w:val="24"/>
              </w:rPr>
              <w:t xml:space="preserve"> d. raštu Nr.  </w:t>
            </w:r>
            <w:r w:rsidR="00055485" w:rsidRPr="00055485">
              <w:rPr>
                <w:rFonts w:ascii="Times New Roman" w:hAnsi="Times New Roman"/>
                <w:sz w:val="24"/>
                <w:szCs w:val="24"/>
              </w:rPr>
              <w:t>51/10D-48</w:t>
            </w:r>
            <w:r w:rsidR="002A31E9" w:rsidRPr="00055485">
              <w:rPr>
                <w:rFonts w:ascii="Times New Roman" w:hAnsi="Times New Roman"/>
                <w:sz w:val="24"/>
                <w:szCs w:val="24"/>
              </w:rPr>
              <w:t xml:space="preserve"> pateiktos pastabos</w:t>
            </w:r>
          </w:p>
        </w:tc>
        <w:tc>
          <w:tcPr>
            <w:tcW w:w="5387" w:type="dxa"/>
          </w:tcPr>
          <w:p w:rsidR="008B79FC" w:rsidRDefault="008B79FC" w:rsidP="00D25B3E">
            <w:pPr>
              <w:pStyle w:val="Preformatted"/>
              <w:tabs>
                <w:tab w:val="left" w:pos="1276"/>
              </w:tabs>
              <w:jc w:val="both"/>
              <w:rPr>
                <w:rFonts w:ascii="Times New Roman" w:hAnsi="Times New Roman"/>
                <w:sz w:val="24"/>
                <w:szCs w:val="24"/>
              </w:rPr>
            </w:pPr>
            <w:r>
              <w:rPr>
                <w:rFonts w:ascii="Times New Roman" w:hAnsi="Times New Roman"/>
                <w:sz w:val="24"/>
                <w:szCs w:val="24"/>
              </w:rPr>
              <w:t>Siūlome patikslinti 11.4.3. papunktį, vietoje“...projekto vykdytojo ir (ar) partnerio...“ įrašyti pakeitimą, kuris yra numatytas 11.4 punkte (suvienodinti punktus)</w:t>
            </w:r>
          </w:p>
        </w:tc>
        <w:tc>
          <w:tcPr>
            <w:tcW w:w="7796" w:type="dxa"/>
          </w:tcPr>
          <w:p w:rsidR="008B79FC" w:rsidRPr="004D2EBE" w:rsidRDefault="004D2EBE" w:rsidP="000D40E4">
            <w:pPr>
              <w:rPr>
                <w:rFonts w:ascii="Times New Roman" w:hAnsi="Times New Roman" w:cs="Times New Roman"/>
                <w:sz w:val="24"/>
                <w:szCs w:val="24"/>
              </w:rPr>
            </w:pPr>
            <w:r w:rsidRPr="004D2EBE">
              <w:rPr>
                <w:rFonts w:ascii="Times New Roman" w:hAnsi="Times New Roman" w:cs="Times New Roman"/>
                <w:sz w:val="24"/>
                <w:szCs w:val="24"/>
              </w:rPr>
              <w:t>Atsižvelgta</w:t>
            </w:r>
            <w:r>
              <w:rPr>
                <w:rFonts w:ascii="Times New Roman" w:hAnsi="Times New Roman" w:cs="Times New Roman"/>
                <w:sz w:val="24"/>
                <w:szCs w:val="24"/>
              </w:rPr>
              <w:t>.</w:t>
            </w:r>
          </w:p>
        </w:tc>
      </w:tr>
      <w:tr w:rsidR="00C00017" w:rsidRPr="00CB4D3A" w:rsidTr="00C643DB">
        <w:tc>
          <w:tcPr>
            <w:tcW w:w="1696" w:type="dxa"/>
            <w:vMerge w:val="restart"/>
          </w:tcPr>
          <w:p w:rsidR="00C00017" w:rsidRDefault="00C00017" w:rsidP="00B5583B">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t xml:space="preserve">Kauno regiono plėtros tarybos </w:t>
            </w:r>
            <w:r w:rsidRPr="00055485">
              <w:rPr>
                <w:rFonts w:ascii="Times New Roman" w:hAnsi="Times New Roman"/>
                <w:sz w:val="24"/>
                <w:szCs w:val="24"/>
              </w:rPr>
              <w:t xml:space="preserve">2017 m. </w:t>
            </w:r>
            <w:r>
              <w:rPr>
                <w:rFonts w:ascii="Times New Roman" w:hAnsi="Times New Roman"/>
                <w:sz w:val="24"/>
                <w:szCs w:val="24"/>
              </w:rPr>
              <w:t>balandžio</w:t>
            </w:r>
            <w:r w:rsidRPr="00055485">
              <w:rPr>
                <w:rFonts w:ascii="Times New Roman" w:hAnsi="Times New Roman"/>
                <w:sz w:val="24"/>
                <w:szCs w:val="24"/>
              </w:rPr>
              <w:t xml:space="preserve"> </w:t>
            </w:r>
            <w:r>
              <w:rPr>
                <w:rFonts w:ascii="Times New Roman" w:hAnsi="Times New Roman"/>
                <w:sz w:val="24"/>
                <w:szCs w:val="24"/>
              </w:rPr>
              <w:t>3 d. raštu Nr.  51/2D-175</w:t>
            </w:r>
            <w:r w:rsidRPr="00055485">
              <w:rPr>
                <w:rFonts w:ascii="Times New Roman" w:hAnsi="Times New Roman"/>
                <w:sz w:val="24"/>
                <w:szCs w:val="24"/>
              </w:rPr>
              <w:t xml:space="preserve"> pateiktos pastabos</w:t>
            </w:r>
            <w:r>
              <w:rPr>
                <w:rFonts w:ascii="Times New Roman" w:hAnsi="Times New Roman"/>
                <w:sz w:val="24"/>
                <w:szCs w:val="24"/>
              </w:rPr>
              <w:t xml:space="preserve"> </w:t>
            </w:r>
          </w:p>
        </w:tc>
        <w:tc>
          <w:tcPr>
            <w:tcW w:w="5387" w:type="dxa"/>
          </w:tcPr>
          <w:p w:rsidR="00C00017" w:rsidRPr="004D2EBE" w:rsidRDefault="00C00017" w:rsidP="00055485">
            <w:pPr>
              <w:pStyle w:val="Preformatted"/>
              <w:tabs>
                <w:tab w:val="left" w:pos="1276"/>
              </w:tabs>
              <w:jc w:val="both"/>
              <w:rPr>
                <w:rFonts w:ascii="Times New Roman" w:hAnsi="Times New Roman"/>
                <w:sz w:val="24"/>
                <w:szCs w:val="24"/>
                <w:highlight w:val="yellow"/>
              </w:rPr>
            </w:pPr>
            <w:r w:rsidRPr="00D84D71">
              <w:rPr>
                <w:rFonts w:ascii="Times New Roman" w:hAnsi="Times New Roman"/>
                <w:sz w:val="24"/>
                <w:szCs w:val="24"/>
              </w:rPr>
              <w:t>1.Apribojimai keliami PFSA 38-40 punktuose dėl sąžiningos konkurencijos principų taikymo ir numatytų išlygų taikymo kelia riziką, kad dėl reikalavimo projekte pagerinti ne mažiau kaip 2 įstaigų teikiamas paslaugas savivaldybės į projektą įtrauks įstaigas, kuriose atlikti pokyčius nėra tikslinga arba turės atsisakyti dalyvauti projekte</w:t>
            </w:r>
            <w:r w:rsidR="00D84D71">
              <w:rPr>
                <w:rFonts w:ascii="Times New Roman" w:hAnsi="Times New Roman"/>
                <w:sz w:val="24"/>
                <w:szCs w:val="24"/>
              </w:rPr>
              <w:t>.</w:t>
            </w:r>
          </w:p>
        </w:tc>
        <w:tc>
          <w:tcPr>
            <w:tcW w:w="7796" w:type="dxa"/>
          </w:tcPr>
          <w:p w:rsidR="00E50D0B" w:rsidRPr="00E50D0B" w:rsidRDefault="00E50D0B" w:rsidP="00E50D0B">
            <w:pPr>
              <w:jc w:val="both"/>
              <w:rPr>
                <w:rFonts w:ascii="Times New Roman" w:hAnsi="Times New Roman" w:cs="Times New Roman"/>
                <w:sz w:val="24"/>
                <w:szCs w:val="24"/>
              </w:rPr>
            </w:pPr>
            <w:r>
              <w:rPr>
                <w:rFonts w:ascii="Times New Roman" w:hAnsi="Times New Roman" w:cs="Times New Roman"/>
                <w:sz w:val="24"/>
                <w:szCs w:val="24"/>
              </w:rPr>
              <w:t xml:space="preserve">Aprašo nuostatomis neapribota galimybė projektus įgyvendinti kartu su kitų savivaldybių viešojo valdymo institucijomis -  </w:t>
            </w:r>
            <w:r w:rsidR="00F71CA4" w:rsidRPr="00E50D0B">
              <w:rPr>
                <w:rFonts w:ascii="Times New Roman" w:hAnsi="Times New Roman" w:cs="Times New Roman"/>
                <w:sz w:val="24"/>
                <w:szCs w:val="24"/>
              </w:rPr>
              <w:t xml:space="preserve">Aprašo </w:t>
            </w:r>
            <w:r w:rsidRPr="00E50D0B">
              <w:rPr>
                <w:rFonts w:ascii="Times New Roman" w:hAnsi="Times New Roman" w:cs="Times New Roman"/>
                <w:sz w:val="24"/>
                <w:szCs w:val="24"/>
              </w:rPr>
              <w:t>21</w:t>
            </w:r>
            <w:r>
              <w:rPr>
                <w:rFonts w:ascii="Times New Roman" w:hAnsi="Times New Roman" w:cs="Times New Roman"/>
                <w:sz w:val="24"/>
                <w:szCs w:val="24"/>
              </w:rPr>
              <w:t>.1</w:t>
            </w:r>
            <w:r w:rsidRPr="00E50D0B">
              <w:rPr>
                <w:rFonts w:ascii="Times New Roman" w:hAnsi="Times New Roman" w:cs="Times New Roman"/>
                <w:sz w:val="24"/>
                <w:szCs w:val="24"/>
              </w:rPr>
              <w:t xml:space="preserve"> </w:t>
            </w:r>
            <w:r>
              <w:rPr>
                <w:rFonts w:ascii="Times New Roman" w:hAnsi="Times New Roman" w:cs="Times New Roman"/>
                <w:sz w:val="24"/>
                <w:szCs w:val="24"/>
              </w:rPr>
              <w:t>papunktyje numatoma</w:t>
            </w:r>
            <w:r w:rsidRPr="00E50D0B">
              <w:rPr>
                <w:rFonts w:ascii="Times New Roman" w:hAnsi="Times New Roman" w:cs="Times New Roman"/>
                <w:sz w:val="24"/>
                <w:szCs w:val="24"/>
              </w:rPr>
              <w:t xml:space="preserve">, kad pagal Aprašą finansuojami projektai, kuriuos įgyvendinant nauda ir rezultatai tenka ne mažiau kaip 2 (dviems) konkrečiame </w:t>
            </w:r>
            <w:r>
              <w:rPr>
                <w:rFonts w:ascii="Times New Roman" w:hAnsi="Times New Roman" w:cs="Times New Roman"/>
                <w:sz w:val="24"/>
                <w:szCs w:val="24"/>
              </w:rPr>
              <w:t>regione esančioms savivaldybėms</w:t>
            </w:r>
            <w:r w:rsidRPr="00E50D0B">
              <w:rPr>
                <w:rFonts w:ascii="Times New Roman" w:hAnsi="Times New Roman" w:cs="Times New Roman"/>
                <w:sz w:val="24"/>
                <w:szCs w:val="24"/>
              </w:rPr>
              <w:t>.</w:t>
            </w:r>
            <w:r>
              <w:rPr>
                <w:rFonts w:ascii="Times New Roman" w:hAnsi="Times New Roman" w:cs="Times New Roman"/>
                <w:sz w:val="24"/>
                <w:szCs w:val="24"/>
              </w:rPr>
              <w:t xml:space="preserve"> </w:t>
            </w:r>
          </w:p>
          <w:p w:rsidR="00C00017" w:rsidRPr="002B1D76" w:rsidRDefault="00C00017" w:rsidP="000D40E4">
            <w:pPr>
              <w:rPr>
                <w:rFonts w:ascii="Times New Roman" w:hAnsi="Times New Roman" w:cs="Times New Roman"/>
                <w:b/>
                <w:sz w:val="24"/>
                <w:szCs w:val="24"/>
              </w:rPr>
            </w:pPr>
          </w:p>
        </w:tc>
      </w:tr>
      <w:tr w:rsidR="00C00017" w:rsidRPr="00CB4D3A" w:rsidTr="00C643DB">
        <w:tc>
          <w:tcPr>
            <w:tcW w:w="1696" w:type="dxa"/>
            <w:vMerge/>
          </w:tcPr>
          <w:p w:rsidR="00C00017" w:rsidRDefault="00C00017" w:rsidP="00B5583B">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C00017" w:rsidRPr="00A81BB4" w:rsidRDefault="00E50D0B" w:rsidP="00055485">
            <w:pPr>
              <w:pStyle w:val="Preformatted"/>
              <w:tabs>
                <w:tab w:val="left" w:pos="1276"/>
              </w:tabs>
              <w:jc w:val="both"/>
              <w:rPr>
                <w:rFonts w:ascii="Times New Roman" w:hAnsi="Times New Roman"/>
                <w:sz w:val="24"/>
                <w:szCs w:val="24"/>
              </w:rPr>
            </w:pPr>
            <w:r>
              <w:rPr>
                <w:rFonts w:ascii="Times New Roman" w:hAnsi="Times New Roman"/>
                <w:sz w:val="24"/>
                <w:szCs w:val="24"/>
              </w:rPr>
              <w:t xml:space="preserve">2. </w:t>
            </w:r>
            <w:r w:rsidR="00C00017" w:rsidRPr="00A81BB4">
              <w:rPr>
                <w:rFonts w:ascii="Times New Roman" w:hAnsi="Times New Roman"/>
                <w:sz w:val="24"/>
                <w:szCs w:val="24"/>
              </w:rPr>
              <w:t xml:space="preserve">Aprašo 21.2 papunktyje nurodyta “arba kuriuos įgyvendinant gerinama bent vienos savivaldybės administracijos veikla, susijusi su paslaugų teikimu ir (ar) asmenų aptarnavimu jas teikiant, ir </w:t>
            </w:r>
            <w:r w:rsidR="00C00017" w:rsidRPr="00A81BB4">
              <w:rPr>
                <w:rFonts w:ascii="Times New Roman" w:hAnsi="Times New Roman"/>
                <w:b/>
                <w:sz w:val="24"/>
                <w:szCs w:val="24"/>
              </w:rPr>
              <w:t>visų</w:t>
            </w:r>
            <w:r w:rsidR="00C00017" w:rsidRPr="00A81BB4">
              <w:rPr>
                <w:rFonts w:ascii="Times New Roman" w:hAnsi="Times New Roman"/>
                <w:sz w:val="24"/>
                <w:szCs w:val="24"/>
              </w:rPr>
              <w:t xml:space="preserve"> šios savivaldybės viešojo valdymo institucijų, kurios teikia gyventojams tokias pačias viešąsias paslaugas, teikiamų paslaugų ir (ar) asmenų aptarnavimo kokybė.“</w:t>
            </w:r>
          </w:p>
          <w:p w:rsidR="00C00017" w:rsidRPr="00A81BB4" w:rsidRDefault="00C00017" w:rsidP="00055485">
            <w:pPr>
              <w:pStyle w:val="Preformatted"/>
              <w:tabs>
                <w:tab w:val="left" w:pos="1276"/>
              </w:tabs>
              <w:jc w:val="both"/>
              <w:rPr>
                <w:rFonts w:ascii="Times New Roman" w:hAnsi="Times New Roman"/>
                <w:sz w:val="24"/>
                <w:szCs w:val="24"/>
              </w:rPr>
            </w:pPr>
            <w:r w:rsidRPr="00A81BB4">
              <w:rPr>
                <w:rFonts w:ascii="Times New Roman" w:hAnsi="Times New Roman"/>
                <w:sz w:val="24"/>
                <w:szCs w:val="24"/>
              </w:rPr>
              <w:t xml:space="preserve">Privaloma sąlyga į projektą įtraukti visas tam tikras paslaugas teikiančias įstaigas galimai užkerta kelią projekto įgyvendinimui jeigu dalis paslaugas teikiančių įstaigų atsakytų dalyvauti projekte arba jeigu įgyvendinami pakeitimai jau įdiegti dalyje įstaigų ir jų gerinti nebereikia. Pavyzdžiui, </w:t>
            </w:r>
            <w:r w:rsidRPr="00A81BB4">
              <w:rPr>
                <w:rFonts w:ascii="Times New Roman" w:hAnsi="Times New Roman"/>
                <w:sz w:val="24"/>
                <w:szCs w:val="24"/>
              </w:rPr>
              <w:lastRenderedPageBreak/>
              <w:t>neformalųjį ugdymą teikiančios įstaigos gali būti nepavaldžios savivaldybei ir vienai jų atsisakius dalyvauti projekte nebelieka galimybės įgyvendinti reikalingus paslaugų teikimo pakeitimus savivaldybės administracijose ir kitose tam tikras paslaugas teikiančiose įstaigose. Siūlome numatyti, kad projekto įgyvendinime turi dalyvauti nemažiau kaip 2/3 visų konkrečioje savivaldybėje veikiančių tam tikras paslaugas teikiančių įstaigų.</w:t>
            </w:r>
          </w:p>
        </w:tc>
        <w:tc>
          <w:tcPr>
            <w:tcW w:w="7796" w:type="dxa"/>
          </w:tcPr>
          <w:p w:rsidR="00C00017" w:rsidRPr="00A81BB4" w:rsidRDefault="00C00017" w:rsidP="000D40E4">
            <w:pPr>
              <w:rPr>
                <w:rFonts w:ascii="Times New Roman" w:hAnsi="Times New Roman" w:cs="Times New Roman"/>
                <w:sz w:val="24"/>
                <w:szCs w:val="24"/>
              </w:rPr>
            </w:pPr>
            <w:r w:rsidRPr="00A81BB4">
              <w:rPr>
                <w:rFonts w:ascii="Times New Roman" w:hAnsi="Times New Roman" w:cs="Times New Roman"/>
                <w:sz w:val="24"/>
                <w:szCs w:val="24"/>
              </w:rPr>
              <w:lastRenderedPageBreak/>
              <w:t>Atsižvelgta.</w:t>
            </w:r>
          </w:p>
        </w:tc>
      </w:tr>
      <w:tr w:rsidR="00C00017" w:rsidRPr="00CB4D3A" w:rsidTr="00C643DB">
        <w:tc>
          <w:tcPr>
            <w:tcW w:w="1696" w:type="dxa"/>
            <w:vMerge/>
          </w:tcPr>
          <w:p w:rsidR="00C00017" w:rsidRDefault="00C00017" w:rsidP="00B5583B">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C00017" w:rsidRDefault="00E50D0B" w:rsidP="00D25B3E">
            <w:pPr>
              <w:pStyle w:val="Preformatted"/>
              <w:tabs>
                <w:tab w:val="left" w:pos="1276"/>
              </w:tabs>
              <w:jc w:val="both"/>
              <w:rPr>
                <w:rFonts w:ascii="Times New Roman" w:hAnsi="Times New Roman"/>
                <w:sz w:val="24"/>
                <w:szCs w:val="24"/>
              </w:rPr>
            </w:pPr>
            <w:r>
              <w:rPr>
                <w:rFonts w:ascii="Times New Roman" w:hAnsi="Times New Roman"/>
                <w:sz w:val="24"/>
                <w:szCs w:val="24"/>
              </w:rPr>
              <w:t xml:space="preserve">3. </w:t>
            </w:r>
            <w:r w:rsidR="00C00017">
              <w:rPr>
                <w:rFonts w:ascii="Times New Roman" w:hAnsi="Times New Roman"/>
                <w:sz w:val="24"/>
                <w:szCs w:val="24"/>
              </w:rPr>
              <w:t>Aprašo 32.1.1 papunktyje išdėstyti reikalavimų taikymo sąlygos yra dviprasmiškos ir nėra aišku, kuriems projektams šie reikalavimai yra taikomi, kuriems netaikomi</w:t>
            </w:r>
          </w:p>
        </w:tc>
        <w:tc>
          <w:tcPr>
            <w:tcW w:w="7796" w:type="dxa"/>
          </w:tcPr>
          <w:p w:rsidR="00C00017" w:rsidRPr="004D2EBE" w:rsidRDefault="00C00017" w:rsidP="000D40E4">
            <w:pPr>
              <w:rPr>
                <w:rFonts w:ascii="Times New Roman" w:hAnsi="Times New Roman" w:cs="Times New Roman"/>
                <w:sz w:val="24"/>
                <w:szCs w:val="24"/>
              </w:rPr>
            </w:pPr>
            <w:r w:rsidRPr="004D2EBE">
              <w:rPr>
                <w:rFonts w:ascii="Times New Roman" w:hAnsi="Times New Roman" w:cs="Times New Roman"/>
                <w:sz w:val="24"/>
                <w:szCs w:val="24"/>
              </w:rPr>
              <w:t>Atsižvelgta - patikslintos Aprašo nuostatos.</w:t>
            </w:r>
          </w:p>
        </w:tc>
      </w:tr>
      <w:tr w:rsidR="004E2F40" w:rsidRPr="00CB4D3A" w:rsidTr="00C643DB">
        <w:tc>
          <w:tcPr>
            <w:tcW w:w="1696" w:type="dxa"/>
            <w:vMerge w:val="restart"/>
          </w:tcPr>
          <w:p w:rsidR="004E2F40" w:rsidRDefault="004E2F40" w:rsidP="00B5583B">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t xml:space="preserve">Tauragės regiono plėtros tarybos </w:t>
            </w:r>
            <w:r w:rsidRPr="00127A89">
              <w:rPr>
                <w:rFonts w:ascii="Times New Roman" w:hAnsi="Times New Roman"/>
                <w:sz w:val="24"/>
                <w:szCs w:val="24"/>
              </w:rPr>
              <w:t>2017 m. kovo 2</w:t>
            </w:r>
            <w:r>
              <w:rPr>
                <w:rFonts w:ascii="Times New Roman" w:hAnsi="Times New Roman"/>
                <w:sz w:val="24"/>
                <w:szCs w:val="24"/>
              </w:rPr>
              <w:t>9</w:t>
            </w:r>
            <w:r w:rsidRPr="00127A89">
              <w:rPr>
                <w:rFonts w:ascii="Times New Roman" w:hAnsi="Times New Roman"/>
                <w:sz w:val="24"/>
                <w:szCs w:val="24"/>
              </w:rPr>
              <w:t xml:space="preserve"> d. raštu Nr.  5</w:t>
            </w:r>
            <w:r>
              <w:rPr>
                <w:rFonts w:ascii="Times New Roman" w:hAnsi="Times New Roman"/>
                <w:sz w:val="24"/>
                <w:szCs w:val="24"/>
              </w:rPr>
              <w:t>1/9</w:t>
            </w:r>
            <w:r w:rsidRPr="00127A89">
              <w:rPr>
                <w:rFonts w:ascii="Times New Roman" w:hAnsi="Times New Roman"/>
                <w:sz w:val="24"/>
                <w:szCs w:val="24"/>
              </w:rPr>
              <w:t>D-</w:t>
            </w:r>
            <w:r>
              <w:rPr>
                <w:rFonts w:ascii="Times New Roman" w:hAnsi="Times New Roman"/>
                <w:sz w:val="24"/>
                <w:szCs w:val="24"/>
              </w:rPr>
              <w:t>42</w:t>
            </w:r>
            <w:r w:rsidRPr="00127A89">
              <w:rPr>
                <w:rFonts w:ascii="Times New Roman" w:hAnsi="Times New Roman"/>
                <w:sz w:val="24"/>
                <w:szCs w:val="24"/>
              </w:rPr>
              <w:t xml:space="preserve"> pateiktos pastabos</w:t>
            </w:r>
          </w:p>
        </w:tc>
        <w:tc>
          <w:tcPr>
            <w:tcW w:w="5387" w:type="dxa"/>
          </w:tcPr>
          <w:p w:rsidR="004E2F40" w:rsidRDefault="00E50D0B" w:rsidP="004D2EBE">
            <w:pPr>
              <w:pStyle w:val="Preformatted"/>
              <w:tabs>
                <w:tab w:val="left" w:pos="1276"/>
              </w:tabs>
              <w:jc w:val="both"/>
              <w:rPr>
                <w:rFonts w:ascii="Times New Roman" w:hAnsi="Times New Roman"/>
                <w:sz w:val="24"/>
                <w:szCs w:val="24"/>
              </w:rPr>
            </w:pPr>
            <w:r>
              <w:rPr>
                <w:rFonts w:ascii="Times New Roman" w:hAnsi="Times New Roman"/>
                <w:sz w:val="24"/>
                <w:szCs w:val="24"/>
              </w:rPr>
              <w:t xml:space="preserve">1. </w:t>
            </w:r>
            <w:r w:rsidR="004E2F40" w:rsidRPr="00DC681D">
              <w:rPr>
                <w:rFonts w:ascii="Times New Roman" w:hAnsi="Times New Roman"/>
                <w:sz w:val="24"/>
                <w:szCs w:val="24"/>
              </w:rPr>
              <w:t xml:space="preserve">Prašome </w:t>
            </w:r>
            <w:r w:rsidR="004E2F40">
              <w:rPr>
                <w:rFonts w:ascii="Times New Roman" w:hAnsi="Times New Roman"/>
                <w:sz w:val="24"/>
                <w:szCs w:val="24"/>
              </w:rPr>
              <w:t>Aprašo 9</w:t>
            </w:r>
            <w:r w:rsidR="004E2F40" w:rsidRPr="00DC681D">
              <w:rPr>
                <w:rFonts w:ascii="Times New Roman" w:hAnsi="Times New Roman"/>
                <w:sz w:val="24"/>
                <w:szCs w:val="24"/>
              </w:rPr>
              <w:t>.2 ir 9.3 papunkčiuose pasirašytų projektų sutarčių ir deklaruotinų lėšų sumas nurodyti taip, kaip buvo prašoma Tauragės regiono plėtros tarybos 2017-02-08 rašte Nr. 51/9D-18.</w:t>
            </w:r>
          </w:p>
          <w:p w:rsidR="004E2F40" w:rsidRDefault="004E2F40" w:rsidP="004908D3">
            <w:pPr>
              <w:pStyle w:val="Preformatted"/>
              <w:tabs>
                <w:tab w:val="left" w:pos="1276"/>
              </w:tabs>
              <w:jc w:val="both"/>
              <w:rPr>
                <w:rFonts w:ascii="Times New Roman" w:hAnsi="Times New Roman"/>
                <w:sz w:val="24"/>
                <w:szCs w:val="24"/>
              </w:rPr>
            </w:pPr>
          </w:p>
        </w:tc>
        <w:tc>
          <w:tcPr>
            <w:tcW w:w="7796" w:type="dxa"/>
          </w:tcPr>
          <w:p w:rsidR="004E2F40" w:rsidRPr="00EA7592" w:rsidRDefault="004E2F40" w:rsidP="00EA7592">
            <w:pPr>
              <w:jc w:val="both"/>
              <w:rPr>
                <w:rFonts w:ascii="Times New Roman" w:hAnsi="Times New Roman" w:cs="Times New Roman"/>
                <w:sz w:val="24"/>
                <w:szCs w:val="24"/>
              </w:rPr>
            </w:pPr>
            <w:r w:rsidRPr="00EA7592">
              <w:rPr>
                <w:rFonts w:ascii="Times New Roman" w:hAnsi="Times New Roman" w:cs="Times New Roman"/>
                <w:sz w:val="24"/>
                <w:szCs w:val="24"/>
              </w:rPr>
              <w:t>Neatsižvelgta. Aprašo nuostatų, kuriomis</w:t>
            </w:r>
            <w:r>
              <w:rPr>
                <w:rFonts w:ascii="Times New Roman" w:hAnsi="Times New Roman" w:cs="Times New Roman"/>
                <w:sz w:val="24"/>
                <w:szCs w:val="24"/>
              </w:rPr>
              <w:t xml:space="preserve"> </w:t>
            </w:r>
            <w:r w:rsidRPr="00EA7592">
              <w:rPr>
                <w:rFonts w:ascii="Times New Roman" w:hAnsi="Times New Roman" w:cs="Times New Roman"/>
                <w:sz w:val="24"/>
                <w:szCs w:val="24"/>
              </w:rPr>
              <w:t>nurodom</w:t>
            </w:r>
            <w:r>
              <w:rPr>
                <w:rFonts w:ascii="Times New Roman" w:hAnsi="Times New Roman" w:cs="Times New Roman"/>
                <w:sz w:val="24"/>
                <w:szCs w:val="24"/>
              </w:rPr>
              <w:t>os</w:t>
            </w:r>
            <w:r w:rsidRPr="00EA7592">
              <w:rPr>
                <w:rFonts w:ascii="Times New Roman" w:hAnsi="Times New Roman" w:cs="Times New Roman"/>
                <w:sz w:val="24"/>
                <w:szCs w:val="24"/>
              </w:rPr>
              <w:t xml:space="preserve"> </w:t>
            </w:r>
            <w:r>
              <w:rPr>
                <w:rFonts w:ascii="Times New Roman" w:hAnsi="Times New Roman" w:cs="Times New Roman"/>
                <w:sz w:val="24"/>
                <w:szCs w:val="24"/>
              </w:rPr>
              <w:t>metinės</w:t>
            </w:r>
            <w:r w:rsidRPr="00EA7592">
              <w:rPr>
                <w:rFonts w:ascii="Times New Roman" w:hAnsi="Times New Roman" w:cs="Times New Roman"/>
                <w:sz w:val="24"/>
                <w:szCs w:val="24"/>
              </w:rPr>
              <w:t xml:space="preserve"> projektų finansavimo sutarčių sudarymo ir ES struktūrinių fondų lėšų deklaravimo r</w:t>
            </w:r>
            <w:r>
              <w:rPr>
                <w:rFonts w:ascii="Times New Roman" w:hAnsi="Times New Roman" w:cs="Times New Roman"/>
                <w:sz w:val="24"/>
                <w:szCs w:val="24"/>
              </w:rPr>
              <w:t xml:space="preserve">eikšmės </w:t>
            </w:r>
            <w:r w:rsidRPr="00EA7592">
              <w:rPr>
                <w:rFonts w:ascii="Times New Roman" w:hAnsi="Times New Roman" w:cs="Times New Roman"/>
                <w:sz w:val="24"/>
                <w:szCs w:val="24"/>
              </w:rPr>
              <w:t>kiekvienam regionui, paskirtis – planuoti projektų rengimo ir įgyvendi</w:t>
            </w:r>
            <w:r>
              <w:rPr>
                <w:rFonts w:ascii="Times New Roman" w:hAnsi="Times New Roman" w:cs="Times New Roman"/>
                <w:sz w:val="24"/>
                <w:szCs w:val="24"/>
              </w:rPr>
              <w:t xml:space="preserve">nimo tempus ir siekti jų laikymosi (tam, kad būtų  </w:t>
            </w:r>
            <w:r w:rsidRPr="00EA7592">
              <w:rPr>
                <w:rFonts w:ascii="Times New Roman" w:hAnsi="Times New Roman" w:cs="Times New Roman"/>
                <w:sz w:val="24"/>
                <w:szCs w:val="24"/>
              </w:rPr>
              <w:t xml:space="preserve">užtikrinti 2014–2020 metų Europos Sąjungos fondų investicijų veiksmų programos </w:t>
            </w:r>
            <w:r>
              <w:rPr>
                <w:rFonts w:ascii="Times New Roman" w:hAnsi="Times New Roman" w:cs="Times New Roman"/>
                <w:sz w:val="24"/>
                <w:szCs w:val="24"/>
              </w:rPr>
              <w:t xml:space="preserve">priedo, patvirtinto Vyriausybės  </w:t>
            </w:r>
            <w:r w:rsidRPr="00EA7592">
              <w:rPr>
                <w:rFonts w:ascii="Times New Roman" w:hAnsi="Times New Roman" w:cs="Times New Roman"/>
                <w:sz w:val="24"/>
                <w:szCs w:val="24"/>
              </w:rPr>
              <w:t>2014 m. lapkričio 26 d. nutarimu Nr. 1326,</w:t>
            </w:r>
            <w:r>
              <w:rPr>
                <w:rFonts w:ascii="Times New Roman" w:hAnsi="Times New Roman" w:cs="Times New Roman"/>
                <w:sz w:val="24"/>
                <w:szCs w:val="24"/>
              </w:rPr>
              <w:t xml:space="preserve"> nuostatų įgyvendinimas)</w:t>
            </w:r>
            <w:r w:rsidRPr="00EA7592">
              <w:rPr>
                <w:rFonts w:ascii="Times New Roman" w:hAnsi="Times New Roman" w:cs="Times New Roman"/>
                <w:sz w:val="24"/>
                <w:szCs w:val="24"/>
              </w:rPr>
              <w:t xml:space="preserve">, o ne konstatuoti </w:t>
            </w:r>
            <w:r>
              <w:rPr>
                <w:rFonts w:ascii="Times New Roman" w:hAnsi="Times New Roman" w:cs="Times New Roman"/>
                <w:sz w:val="24"/>
                <w:szCs w:val="24"/>
              </w:rPr>
              <w:t>esamą situaciją.</w:t>
            </w:r>
          </w:p>
        </w:tc>
      </w:tr>
      <w:tr w:rsidR="004E2F40" w:rsidRPr="00CB4D3A" w:rsidTr="00C643DB">
        <w:tc>
          <w:tcPr>
            <w:tcW w:w="1696" w:type="dxa"/>
            <w:vMerge/>
          </w:tcPr>
          <w:p w:rsidR="004E2F40" w:rsidRDefault="004E2F40" w:rsidP="00B5583B">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4E2F40" w:rsidRDefault="00E50D0B" w:rsidP="004D2EBE">
            <w:pPr>
              <w:pStyle w:val="Preformatted"/>
              <w:tabs>
                <w:tab w:val="left" w:pos="1276"/>
              </w:tabs>
              <w:jc w:val="both"/>
              <w:rPr>
                <w:rFonts w:ascii="Times New Roman" w:hAnsi="Times New Roman"/>
                <w:sz w:val="24"/>
                <w:szCs w:val="24"/>
              </w:rPr>
            </w:pPr>
            <w:r>
              <w:rPr>
                <w:rFonts w:ascii="Times New Roman" w:hAnsi="Times New Roman"/>
                <w:sz w:val="24"/>
                <w:szCs w:val="24"/>
              </w:rPr>
              <w:t xml:space="preserve">2. </w:t>
            </w:r>
            <w:r w:rsidR="004E2F40">
              <w:rPr>
                <w:rFonts w:ascii="Times New Roman" w:hAnsi="Times New Roman"/>
                <w:sz w:val="24"/>
                <w:szCs w:val="24"/>
              </w:rPr>
              <w:t>Aprašo 11.4 papunktyje</w:t>
            </w:r>
            <w:r w:rsidR="004E2F40" w:rsidRPr="00DC681D">
              <w:rPr>
                <w:rFonts w:ascii="Times New Roman" w:hAnsi="Times New Roman"/>
                <w:sz w:val="24"/>
                <w:szCs w:val="24"/>
              </w:rPr>
              <w:t xml:space="preserve"> reikėtų  numatyti galimybę pakelti kvalifikaciją ir savivaldybių tarybos nariams, merams bei administracijos vadovams, nes nuo jų sprendimų labiausiai priklauso, kas ir kaip toliau bus tobulinama. Taip pat šiame papunktyje nereikėtų kvalifikacijos kėlimo susieti vien tik su tobulintinomis sritimis, nes dar prieš nustatant tobulinimo kryptis, jau reikia pasisemti gerosios patirties (kas gali būti atliekama plačiau, negu vėliau pavyks patobulinti; kita vertus ir netobulinant pačių paslaugų teikimo procesų, vien kvalifikaciją pakėlę specialistai jau geriau aptarnaus klientus visose jų veiklos srityse  (o tam bendrai ir skirta ši Priemonė),</w:t>
            </w:r>
            <w:r w:rsidR="004E2F40">
              <w:t xml:space="preserve"> </w:t>
            </w:r>
            <w:r w:rsidR="004E2F40" w:rsidRPr="004908D3">
              <w:rPr>
                <w:rFonts w:ascii="Times New Roman" w:hAnsi="Times New Roman"/>
                <w:sz w:val="24"/>
                <w:szCs w:val="24"/>
              </w:rPr>
              <w:t xml:space="preserve">todėl tikslinga būtų  numatyti tokį atvejį, kad projektas būtų tinkamas </w:t>
            </w:r>
            <w:r w:rsidR="004E2F40" w:rsidRPr="004908D3">
              <w:rPr>
                <w:rFonts w:ascii="Times New Roman" w:hAnsi="Times New Roman"/>
                <w:sz w:val="24"/>
                <w:szCs w:val="24"/>
              </w:rPr>
              <w:lastRenderedPageBreak/>
              <w:t>finansuoti net vien vykdant kvalifikacijos tobulinimo veiklą.</w:t>
            </w:r>
          </w:p>
          <w:p w:rsidR="004E2F40" w:rsidRDefault="004E2F40" w:rsidP="00DC681D">
            <w:pPr>
              <w:pStyle w:val="Preformatted"/>
              <w:tabs>
                <w:tab w:val="left" w:pos="1276"/>
              </w:tabs>
              <w:jc w:val="both"/>
              <w:rPr>
                <w:rFonts w:ascii="Times New Roman" w:hAnsi="Times New Roman"/>
                <w:sz w:val="24"/>
                <w:szCs w:val="24"/>
              </w:rPr>
            </w:pPr>
          </w:p>
        </w:tc>
        <w:tc>
          <w:tcPr>
            <w:tcW w:w="7796" w:type="dxa"/>
          </w:tcPr>
          <w:p w:rsidR="004E2F40" w:rsidRPr="00042B08" w:rsidRDefault="004E2F40" w:rsidP="000D40E4">
            <w:pPr>
              <w:rPr>
                <w:rFonts w:ascii="Times New Roman" w:eastAsia="Times New Roman" w:hAnsi="Times New Roman" w:cs="Times New Roman"/>
                <w:sz w:val="24"/>
                <w:szCs w:val="24"/>
              </w:rPr>
            </w:pPr>
            <w:r w:rsidRPr="00042B08">
              <w:rPr>
                <w:rFonts w:ascii="Times New Roman" w:eastAsia="Times New Roman" w:hAnsi="Times New Roman" w:cs="Times New Roman"/>
                <w:sz w:val="24"/>
                <w:szCs w:val="24"/>
              </w:rPr>
              <w:lastRenderedPageBreak/>
              <w:t>Atsižvelgta iš dalies:</w:t>
            </w:r>
          </w:p>
          <w:p w:rsidR="004E2F40" w:rsidRDefault="004E2F40" w:rsidP="00042B08">
            <w:pPr>
              <w:pStyle w:val="Sraopastraipa"/>
              <w:numPr>
                <w:ilvl w:val="0"/>
                <w:numId w:val="31"/>
              </w:numPr>
              <w:ind w:left="456"/>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42B08">
              <w:rPr>
                <w:rFonts w:ascii="Times New Roman" w:eastAsia="Times New Roman" w:hAnsi="Times New Roman" w:cs="Times New Roman"/>
                <w:sz w:val="24"/>
                <w:szCs w:val="24"/>
              </w:rPr>
              <w:t>tsižvelgta</w:t>
            </w:r>
            <w:r>
              <w:rPr>
                <w:rFonts w:ascii="Times New Roman" w:eastAsia="Times New Roman" w:hAnsi="Times New Roman" w:cs="Times New Roman"/>
                <w:sz w:val="24"/>
                <w:szCs w:val="24"/>
              </w:rPr>
              <w:t>:</w:t>
            </w:r>
          </w:p>
          <w:p w:rsidR="004E2F40" w:rsidRPr="00042B08" w:rsidRDefault="004E2F40" w:rsidP="003E4FE4">
            <w:pPr>
              <w:pStyle w:val="Sraopastraipa"/>
              <w:ind w:left="31"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42B08">
              <w:rPr>
                <w:rFonts w:ascii="Times New Roman" w:eastAsia="Times New Roman" w:hAnsi="Times New Roman" w:cs="Times New Roman"/>
                <w:sz w:val="24"/>
                <w:szCs w:val="24"/>
              </w:rPr>
              <w:t xml:space="preserve"> detalizuojant Aprašo 11.4 pap</w:t>
            </w:r>
            <w:r>
              <w:rPr>
                <w:rFonts w:ascii="Times New Roman" w:eastAsia="Times New Roman" w:hAnsi="Times New Roman" w:cs="Times New Roman"/>
                <w:sz w:val="24"/>
                <w:szCs w:val="24"/>
              </w:rPr>
              <w:t xml:space="preserve">unkčio nuostatas, t. y. </w:t>
            </w:r>
            <w:r w:rsidRPr="00042B08">
              <w:rPr>
                <w:rFonts w:ascii="Times New Roman" w:eastAsia="Times New Roman" w:hAnsi="Times New Roman" w:cs="Times New Roman"/>
                <w:sz w:val="24"/>
                <w:szCs w:val="24"/>
              </w:rPr>
              <w:t>nurodant, kad pagal Aprašą remiamas savivaldybių viešojo valdymo institucijų darbuotojų (t. y. valstybės tarnautojų, darbuotojų, dirbančių pagal darbo sutartis, ir politikų) kompetencijų</w:t>
            </w:r>
            <w:r w:rsidR="002C76D5">
              <w:rPr>
                <w:rFonts w:ascii="Times New Roman" w:eastAsia="Times New Roman" w:hAnsi="Times New Roman" w:cs="Times New Roman"/>
                <w:sz w:val="24"/>
                <w:szCs w:val="24"/>
              </w:rPr>
              <w:t xml:space="preserve"> stiprinimas;</w:t>
            </w:r>
          </w:p>
          <w:p w:rsidR="004E2F40" w:rsidRDefault="004E2F40" w:rsidP="003E4FE4">
            <w:pPr>
              <w:ind w:firstLine="4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patikslinant Aprašo 11.4.1 papunkčio nuostatas, t. y. nurodant, kad k</w:t>
            </w:r>
            <w:r w:rsidRPr="003E4FE4">
              <w:rPr>
                <w:rFonts w:ascii="Times New Roman" w:eastAsia="Times New Roman" w:hAnsi="Times New Roman" w:cs="Times New Roman"/>
                <w:sz w:val="24"/>
                <w:szCs w:val="24"/>
              </w:rPr>
              <w:t>ompetencijų stiprinimas bus finansuojamas tiek, kiek tai reikalinga užtikrinti projekto metu vykdomų veiklų ir kuriamų produktų (priemonių, įrankių) kokybę (kompetencijas gali stiprinti  savivaldybių viešojo valdymo institucijų darbuotojai).</w:t>
            </w:r>
          </w:p>
          <w:p w:rsidR="004E2F40" w:rsidRDefault="004E2F40" w:rsidP="00CF1DA8">
            <w:pPr>
              <w:pStyle w:val="Sraopastraipa"/>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42B08">
              <w:rPr>
                <w:rFonts w:ascii="Times New Roman" w:eastAsia="Times New Roman" w:hAnsi="Times New Roman" w:cs="Times New Roman"/>
                <w:sz w:val="24"/>
                <w:szCs w:val="24"/>
              </w:rPr>
              <w:t xml:space="preserve">eatsižvelgta </w:t>
            </w:r>
            <w:r>
              <w:rPr>
                <w:rFonts w:ascii="Times New Roman" w:eastAsia="Times New Roman" w:hAnsi="Times New Roman" w:cs="Times New Roman"/>
                <w:sz w:val="24"/>
                <w:szCs w:val="24"/>
              </w:rPr>
              <w:t>į kitus pasiūlymus, kadangi:</w:t>
            </w:r>
          </w:p>
          <w:p w:rsidR="004E2F40" w:rsidRPr="00042B08" w:rsidRDefault="004E2F40" w:rsidP="00097AE7">
            <w:pPr>
              <w:pStyle w:val="Sraopastraipa"/>
              <w:ind w:left="31" w:firstLine="3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jie neatitinka </w:t>
            </w:r>
            <w:r w:rsidRPr="00EA7592">
              <w:rPr>
                <w:rFonts w:ascii="Times New Roman" w:hAnsi="Times New Roman" w:cs="Times New Roman"/>
                <w:sz w:val="24"/>
                <w:szCs w:val="24"/>
              </w:rPr>
              <w:t>2014–2020 metų Europos Sąjungos fondų investicijų veiksmų programos</w:t>
            </w:r>
            <w:r>
              <w:rPr>
                <w:rFonts w:ascii="Times New Roman" w:hAnsi="Times New Roman" w:cs="Times New Roman"/>
                <w:sz w:val="24"/>
                <w:szCs w:val="24"/>
              </w:rPr>
              <w:t xml:space="preserve"> (toliau – Veiksmų programa), kuri patvirtinta Europos </w:t>
            </w:r>
            <w:r>
              <w:rPr>
                <w:rFonts w:ascii="Times New Roman" w:hAnsi="Times New Roman" w:cs="Times New Roman"/>
                <w:sz w:val="24"/>
                <w:szCs w:val="24"/>
              </w:rPr>
              <w:lastRenderedPageBreak/>
              <w:t>Komisijos 2014 m. rugsėjo 8 d., nuostatų – Veiksmų programoje numatyta, kad įgyvendinant 10 prioriteto ,,Visuomenės poreikius atitinkantis ir pažangus viešasis valdymas“ 3 uždavinį ,,Pagerinti visuomenei teikiamų paslaugų kokybę, didinant jų atitikimą visuomenės poreikiams“ bus stiprinamos viešojo valdymo institucijų darbuotojų kompetencijos, reikalingos paslaugų kokybės ir asmenų aptarnavimo gerinimo iniciatyvoms projektų lėšomis kurti, įgyvendinti bei darbuotojų orientacijai į klientą didinti;</w:t>
            </w:r>
          </w:p>
          <w:p w:rsidR="004E2F40" w:rsidRPr="00042B08" w:rsidRDefault="004E2F40" w:rsidP="00097AE7">
            <w:pPr>
              <w:pStyle w:val="Sraopastraipa"/>
              <w:numPr>
                <w:ilvl w:val="0"/>
                <w:numId w:val="32"/>
              </w:numPr>
              <w:ind w:left="0"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darbuotojų kompetencijų stiprinimas yra svarbi, bet savo galimo poveikio prasme dažniausiai nepakankama priemonė, siekiant reikšmingo paslaugų ir (ar) asmenų aptarnavimo kokybės  pokyčio, todėl nustatant projekto finansavimo sąlygas nesudaroma galimybė finansuoti tik kompetencijų stiprinimo veiklas apimančius projektus.</w:t>
            </w:r>
          </w:p>
        </w:tc>
      </w:tr>
      <w:tr w:rsidR="004E2F40" w:rsidRPr="00CB4D3A" w:rsidTr="00C643DB">
        <w:tc>
          <w:tcPr>
            <w:tcW w:w="1696" w:type="dxa"/>
            <w:vMerge/>
          </w:tcPr>
          <w:p w:rsidR="004E2F40" w:rsidRDefault="004E2F40" w:rsidP="00B5583B">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4E2F40" w:rsidRDefault="00D9467B" w:rsidP="003D4576">
            <w:pPr>
              <w:pStyle w:val="Preformatted"/>
              <w:tabs>
                <w:tab w:val="left" w:pos="1276"/>
              </w:tabs>
              <w:jc w:val="both"/>
              <w:rPr>
                <w:rFonts w:ascii="Times New Roman" w:hAnsi="Times New Roman"/>
                <w:sz w:val="24"/>
                <w:szCs w:val="24"/>
              </w:rPr>
            </w:pPr>
            <w:r>
              <w:rPr>
                <w:rFonts w:ascii="Times New Roman" w:hAnsi="Times New Roman"/>
                <w:sz w:val="24"/>
                <w:szCs w:val="24"/>
              </w:rPr>
              <w:t>3</w:t>
            </w:r>
            <w:r w:rsidR="00E50D0B">
              <w:rPr>
                <w:rFonts w:ascii="Times New Roman" w:hAnsi="Times New Roman"/>
                <w:sz w:val="24"/>
                <w:szCs w:val="24"/>
              </w:rPr>
              <w:t xml:space="preserve">. </w:t>
            </w:r>
            <w:r w:rsidR="004E2F40" w:rsidRPr="004908D3">
              <w:rPr>
                <w:rFonts w:ascii="Times New Roman" w:hAnsi="Times New Roman"/>
                <w:sz w:val="24"/>
                <w:szCs w:val="24"/>
              </w:rPr>
              <w:t xml:space="preserve">Prašome </w:t>
            </w:r>
            <w:r w:rsidR="004E2F40">
              <w:rPr>
                <w:rFonts w:ascii="Times New Roman" w:hAnsi="Times New Roman"/>
                <w:sz w:val="24"/>
                <w:szCs w:val="24"/>
              </w:rPr>
              <w:t>Aprašo 14</w:t>
            </w:r>
            <w:r w:rsidR="004E2F40" w:rsidRPr="004908D3">
              <w:rPr>
                <w:rFonts w:ascii="Times New Roman" w:hAnsi="Times New Roman"/>
                <w:sz w:val="24"/>
                <w:szCs w:val="24"/>
              </w:rPr>
              <w:t xml:space="preserve"> punkte nurodytas datas nukelti bent pusmečiui (geriau būtų net ilgesniam laikui), nes PFSA 32.1.2.1.; 32.2.2; 32.2.3. papunkčiuose nurodyti derinimai su trečiosiomis šalimis gali užtrukti neprognozuojamai ilgai (kadangi PFSA 32.1.2.2.; 32.1.2.3.; 32.1.2.4.; 32.2.1. papunkčiuose nurodytos teikiamų paslaugų kokybės gerinimo veiklos yra labai imlios laikui).</w:t>
            </w:r>
            <w:r w:rsidR="004E2F40">
              <w:rPr>
                <w:rFonts w:ascii="Times New Roman" w:hAnsi="Times New Roman"/>
                <w:sz w:val="24"/>
                <w:szCs w:val="24"/>
              </w:rPr>
              <w:t xml:space="preserve"> </w:t>
            </w:r>
          </w:p>
        </w:tc>
        <w:tc>
          <w:tcPr>
            <w:tcW w:w="7796" w:type="dxa"/>
          </w:tcPr>
          <w:p w:rsidR="004E2F40" w:rsidRDefault="004E2F40" w:rsidP="00FC69F7">
            <w:pPr>
              <w:jc w:val="both"/>
              <w:rPr>
                <w:rFonts w:ascii="Times New Roman" w:hAnsi="Times New Roman" w:cs="Times New Roman"/>
                <w:sz w:val="24"/>
                <w:szCs w:val="24"/>
              </w:rPr>
            </w:pPr>
            <w:r w:rsidRPr="00044D8A">
              <w:rPr>
                <w:rFonts w:ascii="Times New Roman" w:hAnsi="Times New Roman" w:cs="Times New Roman"/>
                <w:sz w:val="24"/>
                <w:szCs w:val="24"/>
              </w:rPr>
              <w:t>Neatsižvelgta. Pagal Iš Europos Sąjungos struktūrinių fondų lėšų bendrai finansuojamų regionų projektų atrankos tvarkos ap</w:t>
            </w:r>
            <w:r>
              <w:rPr>
                <w:rFonts w:ascii="Times New Roman" w:hAnsi="Times New Roman" w:cs="Times New Roman"/>
                <w:sz w:val="24"/>
                <w:szCs w:val="24"/>
              </w:rPr>
              <w:t xml:space="preserve">rašo, patvirtinto vidaus reikalų ministro </w:t>
            </w:r>
            <w:r w:rsidRPr="00FC69F7">
              <w:rPr>
                <w:rFonts w:ascii="Times New Roman" w:hAnsi="Times New Roman" w:cs="Times New Roman"/>
                <w:sz w:val="24"/>
                <w:szCs w:val="24"/>
              </w:rPr>
              <w:t>2014 m. gruodžio 22 d. įsakymu Nr. 1V-893</w:t>
            </w:r>
            <w:r>
              <w:rPr>
                <w:rFonts w:ascii="Times New Roman" w:hAnsi="Times New Roman" w:cs="Times New Roman"/>
                <w:sz w:val="24"/>
                <w:szCs w:val="24"/>
              </w:rPr>
              <w:t>, 15 punktą r</w:t>
            </w:r>
            <w:r w:rsidRPr="00044D8A">
              <w:rPr>
                <w:rFonts w:ascii="Times New Roman" w:hAnsi="Times New Roman" w:cs="Times New Roman"/>
                <w:sz w:val="24"/>
                <w:szCs w:val="24"/>
              </w:rPr>
              <w:t>egiono projektų sąrašas visam pagal priemonę skirtam ES fondų lėšų regiono limitui turi būti sudarytas iki 2018 m. gruodžio 31 d., jei projektų finansavimo sąlygų apraše nenurodyta ankstesnė data.</w:t>
            </w:r>
            <w:r>
              <w:rPr>
                <w:rFonts w:ascii="Times New Roman" w:hAnsi="Times New Roman" w:cs="Times New Roman"/>
                <w:sz w:val="24"/>
                <w:szCs w:val="24"/>
              </w:rPr>
              <w:t xml:space="preserve"> </w:t>
            </w:r>
          </w:p>
          <w:p w:rsidR="004E2F40" w:rsidRPr="002B1D76" w:rsidRDefault="004E2F40" w:rsidP="00FC69F7">
            <w:pPr>
              <w:jc w:val="both"/>
              <w:rPr>
                <w:rFonts w:ascii="Times New Roman" w:hAnsi="Times New Roman" w:cs="Times New Roman"/>
                <w:b/>
                <w:sz w:val="24"/>
                <w:szCs w:val="24"/>
              </w:rPr>
            </w:pPr>
          </w:p>
        </w:tc>
      </w:tr>
      <w:tr w:rsidR="004E2F40" w:rsidRPr="00CB4D3A" w:rsidTr="00C643DB">
        <w:tc>
          <w:tcPr>
            <w:tcW w:w="1696" w:type="dxa"/>
            <w:vMerge/>
          </w:tcPr>
          <w:p w:rsidR="004E2F40" w:rsidRDefault="004E2F40" w:rsidP="00B5583B">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4E2F40" w:rsidRDefault="00D9467B" w:rsidP="00DC681D">
            <w:pPr>
              <w:pStyle w:val="Preformatted"/>
              <w:tabs>
                <w:tab w:val="left" w:pos="1276"/>
              </w:tabs>
              <w:jc w:val="both"/>
              <w:rPr>
                <w:rFonts w:ascii="Times New Roman" w:hAnsi="Times New Roman"/>
                <w:sz w:val="24"/>
                <w:szCs w:val="24"/>
              </w:rPr>
            </w:pPr>
            <w:r>
              <w:rPr>
                <w:rFonts w:ascii="Times New Roman" w:hAnsi="Times New Roman"/>
                <w:sz w:val="24"/>
                <w:szCs w:val="24"/>
              </w:rPr>
              <w:t xml:space="preserve">4. </w:t>
            </w:r>
            <w:r w:rsidR="004E2F40">
              <w:rPr>
                <w:rFonts w:ascii="Times New Roman" w:hAnsi="Times New Roman"/>
                <w:sz w:val="24"/>
                <w:szCs w:val="24"/>
              </w:rPr>
              <w:t>Aprašo 53.4, 53.5 ir</w:t>
            </w:r>
            <w:r w:rsidR="004E2F40" w:rsidRPr="004908D3">
              <w:rPr>
                <w:rFonts w:ascii="Times New Roman" w:hAnsi="Times New Roman"/>
                <w:sz w:val="24"/>
                <w:szCs w:val="24"/>
              </w:rPr>
              <w:t xml:space="preserve"> 53.6. </w:t>
            </w:r>
            <w:r w:rsidR="004E2F40">
              <w:rPr>
                <w:rFonts w:ascii="Times New Roman" w:hAnsi="Times New Roman"/>
                <w:sz w:val="24"/>
                <w:szCs w:val="24"/>
              </w:rPr>
              <w:t xml:space="preserve">papunkčiuose </w:t>
            </w:r>
            <w:r w:rsidR="004E2F40" w:rsidRPr="004908D3">
              <w:rPr>
                <w:rFonts w:ascii="Times New Roman" w:hAnsi="Times New Roman"/>
                <w:sz w:val="24"/>
                <w:szCs w:val="24"/>
              </w:rPr>
              <w:t>įrašytos netinkamos finansuoti išlaidos labai trukdys iš esmės pagerinti teikiamų paslaugų kokybę, todėl jas reikia laikyti tinkamomis finansuoti.</w:t>
            </w:r>
          </w:p>
        </w:tc>
        <w:tc>
          <w:tcPr>
            <w:tcW w:w="7796" w:type="dxa"/>
          </w:tcPr>
          <w:p w:rsidR="00D9467B" w:rsidRDefault="004E2F40" w:rsidP="00D9467B">
            <w:pPr>
              <w:jc w:val="both"/>
              <w:rPr>
                <w:rFonts w:ascii="Times New Roman" w:hAnsi="Times New Roman" w:cs="Times New Roman"/>
                <w:sz w:val="24"/>
                <w:szCs w:val="24"/>
              </w:rPr>
            </w:pPr>
            <w:r w:rsidRPr="00D9467B">
              <w:rPr>
                <w:rFonts w:ascii="Times New Roman" w:hAnsi="Times New Roman" w:cs="Times New Roman"/>
                <w:sz w:val="24"/>
                <w:szCs w:val="24"/>
              </w:rPr>
              <w:t xml:space="preserve">Neatsižvelgta. </w:t>
            </w:r>
          </w:p>
          <w:p w:rsidR="004E2F40" w:rsidRPr="00106937" w:rsidRDefault="004E2F40" w:rsidP="00D9467B">
            <w:pPr>
              <w:jc w:val="both"/>
              <w:rPr>
                <w:rFonts w:ascii="Times New Roman" w:hAnsi="Times New Roman" w:cs="Times New Roman"/>
                <w:sz w:val="24"/>
                <w:szCs w:val="24"/>
              </w:rPr>
            </w:pPr>
            <w:r w:rsidRPr="00106937">
              <w:rPr>
                <w:rFonts w:ascii="Times New Roman" w:hAnsi="Times New Roman" w:cs="Times New Roman"/>
                <w:sz w:val="24"/>
                <w:szCs w:val="24"/>
              </w:rPr>
              <w:t xml:space="preserve">Aprašo 53.4 papunktyje nustatyta, kad netinkamos finansuoti išlaidos yra programinės įrangos ir IS, skirtų automatizuoti kokybės vadybos sistemų / metodų taikymą, įsigijimo, kūrimo, pritaikymo, diegimo, modernizavimo išlaidos. Tokių išlaidų finansavimas nenumatomas todėl, kad yra galimybė kokybės vadybos sistemų / metodų taikymui  nemokamai naudoti įv. atviro kodo programines įrangas. Tad investavimas į tokios programinės įrangos įsigijimą, kūrimą ar plėtojimą būtų neefektyvus. </w:t>
            </w:r>
          </w:p>
          <w:p w:rsidR="004E2F40" w:rsidRDefault="004E2F40" w:rsidP="00D9467B">
            <w:pPr>
              <w:ind w:firstLine="851"/>
              <w:jc w:val="both"/>
              <w:rPr>
                <w:szCs w:val="24"/>
                <w:highlight w:val="yellow"/>
              </w:rPr>
            </w:pPr>
          </w:p>
          <w:p w:rsidR="004E2F40" w:rsidRDefault="0022328A" w:rsidP="003F03F2">
            <w:pPr>
              <w:jc w:val="both"/>
              <w:rPr>
                <w:rFonts w:ascii="Times New Roman" w:hAnsi="Times New Roman" w:cs="Times New Roman"/>
                <w:sz w:val="24"/>
                <w:szCs w:val="24"/>
              </w:rPr>
            </w:pPr>
            <w:r w:rsidRPr="00D9467B">
              <w:rPr>
                <w:rFonts w:ascii="Times New Roman" w:hAnsi="Times New Roman" w:cs="Times New Roman"/>
                <w:sz w:val="24"/>
                <w:szCs w:val="24"/>
              </w:rPr>
              <w:t xml:space="preserve">Aprašo </w:t>
            </w:r>
            <w:r w:rsidR="00D9467B" w:rsidRPr="00D9467B">
              <w:rPr>
                <w:rFonts w:ascii="Times New Roman" w:hAnsi="Times New Roman" w:cs="Times New Roman"/>
                <w:sz w:val="24"/>
                <w:szCs w:val="24"/>
              </w:rPr>
              <w:t>53.5</w:t>
            </w:r>
            <w:r w:rsidRPr="00D9467B">
              <w:rPr>
                <w:rFonts w:ascii="Times New Roman" w:hAnsi="Times New Roman" w:cs="Times New Roman"/>
                <w:sz w:val="24"/>
                <w:szCs w:val="24"/>
              </w:rPr>
              <w:t xml:space="preserve"> papunktyje</w:t>
            </w:r>
            <w:r w:rsidR="00D9467B" w:rsidRPr="00D9467B">
              <w:rPr>
                <w:rFonts w:ascii="Times New Roman" w:hAnsi="Times New Roman" w:cs="Times New Roman"/>
                <w:sz w:val="24"/>
                <w:szCs w:val="24"/>
              </w:rPr>
              <w:t xml:space="preserve"> numatyta, kad netinkamos finansuoti yra </w:t>
            </w:r>
            <w:r w:rsidR="004E2F40" w:rsidRPr="002A3C62">
              <w:rPr>
                <w:rFonts w:ascii="Times New Roman" w:hAnsi="Times New Roman" w:cs="Times New Roman"/>
                <w:sz w:val="24"/>
                <w:szCs w:val="24"/>
              </w:rPr>
              <w:t>IS nuostatų (aprašo), duomenų saugos nuostatų ar jų pakeitimo proj</w:t>
            </w:r>
            <w:r w:rsidR="00D9467B" w:rsidRPr="002A3C62">
              <w:rPr>
                <w:rFonts w:ascii="Times New Roman" w:hAnsi="Times New Roman" w:cs="Times New Roman"/>
                <w:sz w:val="24"/>
                <w:szCs w:val="24"/>
              </w:rPr>
              <w:t xml:space="preserve">ekto parengimo išlaidos. </w:t>
            </w:r>
            <w:r w:rsidR="00EC1FCA" w:rsidRPr="002A3C62">
              <w:rPr>
                <w:rFonts w:ascii="Times New Roman" w:hAnsi="Times New Roman" w:cs="Times New Roman"/>
                <w:sz w:val="24"/>
                <w:szCs w:val="24"/>
              </w:rPr>
              <w:t>Tokių išlaidų finansavimas nenumatomas,</w:t>
            </w:r>
            <w:r w:rsidR="003F03F2">
              <w:rPr>
                <w:rFonts w:ascii="Times New Roman" w:hAnsi="Times New Roman" w:cs="Times New Roman"/>
                <w:sz w:val="24"/>
                <w:szCs w:val="24"/>
              </w:rPr>
              <w:t xml:space="preserve"> kadangi </w:t>
            </w:r>
            <w:r w:rsidR="003F03F2" w:rsidRPr="003F03F2">
              <w:rPr>
                <w:rFonts w:ascii="Times New Roman" w:hAnsi="Times New Roman" w:cs="Times New Roman"/>
                <w:sz w:val="24"/>
                <w:szCs w:val="24"/>
              </w:rPr>
              <w:t xml:space="preserve">nuostatai yra teisės aktas, o tokio pobūdžio teisės aktus  rengia valstybės tarnautojai, kuriems tai yra jų </w:t>
            </w:r>
            <w:r w:rsidR="003F03F2" w:rsidRPr="003F03F2">
              <w:rPr>
                <w:rFonts w:ascii="Times New Roman" w:hAnsi="Times New Roman" w:cs="Times New Roman"/>
                <w:sz w:val="24"/>
                <w:szCs w:val="24"/>
              </w:rPr>
              <w:lastRenderedPageBreak/>
              <w:t>darbo dalis. Be to, pareiškėjas pats geriausiai žino, kokie funkcionalumai bus kuriami ir ką numatoma konkrečiai daryti.</w:t>
            </w:r>
          </w:p>
          <w:p w:rsidR="003F03F2" w:rsidRDefault="003F03F2" w:rsidP="003F03F2">
            <w:pPr>
              <w:jc w:val="both"/>
              <w:rPr>
                <w:rFonts w:eastAsia="Times New Roman"/>
              </w:rPr>
            </w:pPr>
          </w:p>
          <w:p w:rsidR="004E2F40" w:rsidRPr="002B1D76" w:rsidRDefault="004E2F40" w:rsidP="00D9467B">
            <w:pPr>
              <w:jc w:val="both"/>
              <w:rPr>
                <w:rFonts w:ascii="Times New Roman" w:hAnsi="Times New Roman" w:cs="Times New Roman"/>
                <w:b/>
                <w:sz w:val="24"/>
                <w:szCs w:val="24"/>
              </w:rPr>
            </w:pPr>
            <w:r w:rsidRPr="00106937">
              <w:rPr>
                <w:rFonts w:ascii="Times New Roman" w:hAnsi="Times New Roman" w:cs="Times New Roman"/>
                <w:sz w:val="24"/>
                <w:szCs w:val="24"/>
              </w:rPr>
              <w:t>Aprašo 53.6 papunktyje numatyta, kad netinkamos finansuoti yra  tarnybinių stočių ir joms skirtos programinės įrangos įsigijimo išlaidos</w:t>
            </w:r>
            <w:r>
              <w:rPr>
                <w:rFonts w:ascii="Times New Roman" w:hAnsi="Times New Roman" w:cs="Times New Roman"/>
                <w:sz w:val="24"/>
                <w:szCs w:val="24"/>
              </w:rPr>
              <w:t>. Toks finansavimo apribojimas nustatytas remiantis Vyriausybės 2015 m. gegužės 13 d. nutarimu Nr. 498 ,,Dėl valstybės informacinių išteklių infrastruktūros konsolidavimo ir jos valdymo optimizavimo“, kurio 4.2 ir 6 punktais rekomenduota savivaldybių institucijoms ir įstaigoms naudotis valstybės informacinių technologijų (toliau – IT) paslaugų teikėjų teikiamomis IT paslaugomis: techninės įrangos talpinimo duomenų centro patalpose paslauga, technine įranga kaip paslauga, programinės įrangos platforma kaip paslauga ir pan. Taigi investavimas į savivaldybių techninę įrangą (įskaitant tarnybines stotis) neskatintų savivaldybių pradėti naudotis valstybės IT paslaugų teikėjų teikiamomis IT paslaugomis, o tai neatitiktų Vyriausybės numatytos informacinių išteklių konsolidavimo ir jos valdymo optimizavimo krypties.</w:t>
            </w:r>
          </w:p>
        </w:tc>
      </w:tr>
      <w:tr w:rsidR="004379CC" w:rsidRPr="00CB4D3A" w:rsidTr="00C643DB">
        <w:tc>
          <w:tcPr>
            <w:tcW w:w="1696" w:type="dxa"/>
            <w:vMerge w:val="restart"/>
          </w:tcPr>
          <w:p w:rsidR="004379CC" w:rsidRDefault="004379CC" w:rsidP="00B5583B">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lastRenderedPageBreak/>
              <w:t>Alytaus regiono plėtros tarybos 2017 m. balandžio 10 d. raštu Nr.  51/6D-120 pateiktos pastabos</w:t>
            </w:r>
          </w:p>
        </w:tc>
        <w:tc>
          <w:tcPr>
            <w:tcW w:w="5387" w:type="dxa"/>
          </w:tcPr>
          <w:p w:rsidR="004379CC" w:rsidRDefault="004379CC" w:rsidP="004908D3">
            <w:pPr>
              <w:pStyle w:val="Preformatted"/>
              <w:tabs>
                <w:tab w:val="left" w:pos="1276"/>
              </w:tabs>
              <w:jc w:val="both"/>
              <w:rPr>
                <w:rFonts w:ascii="Times New Roman" w:hAnsi="Times New Roman"/>
                <w:sz w:val="24"/>
                <w:szCs w:val="24"/>
              </w:rPr>
            </w:pPr>
            <w:r>
              <w:rPr>
                <w:rFonts w:ascii="Times New Roman" w:hAnsi="Times New Roman"/>
                <w:sz w:val="24"/>
                <w:szCs w:val="24"/>
              </w:rPr>
              <w:t>1. Atsižvelgiant į faktinę situaciją, siūloma tikslinti Aprašo 9.2 ir 9.3 papunkčių lentelėse esančias ES struktūrinių fondų lėšų sumas, sumažinant jas iki 2016 m. ir padidinant 2018 m. Šis siūlymas pagrįstas tuo, kad Alytaus regione (tikėtina, kad ir daugelyje kitų regionų) 2016 m. nebuvo pasirašyta projektų sutarčių.</w:t>
            </w:r>
          </w:p>
        </w:tc>
        <w:tc>
          <w:tcPr>
            <w:tcW w:w="7796" w:type="dxa"/>
          </w:tcPr>
          <w:p w:rsidR="004379CC" w:rsidRPr="00104AF4" w:rsidRDefault="004379CC" w:rsidP="000D40E4">
            <w:pPr>
              <w:rPr>
                <w:rFonts w:ascii="Times New Roman" w:hAnsi="Times New Roman" w:cs="Times New Roman"/>
                <w:sz w:val="24"/>
                <w:szCs w:val="24"/>
              </w:rPr>
            </w:pPr>
            <w:r w:rsidRPr="00EA7592">
              <w:rPr>
                <w:rFonts w:ascii="Times New Roman" w:hAnsi="Times New Roman" w:cs="Times New Roman"/>
                <w:sz w:val="24"/>
                <w:szCs w:val="24"/>
              </w:rPr>
              <w:t>Neatsižvelgta. Aprašo nuostatų, kuriomis</w:t>
            </w:r>
            <w:r>
              <w:rPr>
                <w:rFonts w:ascii="Times New Roman" w:hAnsi="Times New Roman" w:cs="Times New Roman"/>
                <w:sz w:val="24"/>
                <w:szCs w:val="24"/>
              </w:rPr>
              <w:t xml:space="preserve"> </w:t>
            </w:r>
            <w:r w:rsidRPr="00EA7592">
              <w:rPr>
                <w:rFonts w:ascii="Times New Roman" w:hAnsi="Times New Roman" w:cs="Times New Roman"/>
                <w:sz w:val="24"/>
                <w:szCs w:val="24"/>
              </w:rPr>
              <w:t>nurodom</w:t>
            </w:r>
            <w:r>
              <w:rPr>
                <w:rFonts w:ascii="Times New Roman" w:hAnsi="Times New Roman" w:cs="Times New Roman"/>
                <w:sz w:val="24"/>
                <w:szCs w:val="24"/>
              </w:rPr>
              <w:t>os</w:t>
            </w:r>
            <w:r w:rsidRPr="00EA7592">
              <w:rPr>
                <w:rFonts w:ascii="Times New Roman" w:hAnsi="Times New Roman" w:cs="Times New Roman"/>
                <w:sz w:val="24"/>
                <w:szCs w:val="24"/>
              </w:rPr>
              <w:t xml:space="preserve"> </w:t>
            </w:r>
            <w:r>
              <w:rPr>
                <w:rFonts w:ascii="Times New Roman" w:hAnsi="Times New Roman" w:cs="Times New Roman"/>
                <w:sz w:val="24"/>
                <w:szCs w:val="24"/>
              </w:rPr>
              <w:t>metinės</w:t>
            </w:r>
            <w:r w:rsidRPr="00EA7592">
              <w:rPr>
                <w:rFonts w:ascii="Times New Roman" w:hAnsi="Times New Roman" w:cs="Times New Roman"/>
                <w:sz w:val="24"/>
                <w:szCs w:val="24"/>
              </w:rPr>
              <w:t xml:space="preserve"> projektų finansavimo sutarčių sudarymo ir ES struktūrinių fondų lėšų deklaravimo r</w:t>
            </w:r>
            <w:r>
              <w:rPr>
                <w:rFonts w:ascii="Times New Roman" w:hAnsi="Times New Roman" w:cs="Times New Roman"/>
                <w:sz w:val="24"/>
                <w:szCs w:val="24"/>
              </w:rPr>
              <w:t xml:space="preserve">eikšmės </w:t>
            </w:r>
            <w:r w:rsidRPr="00EA7592">
              <w:rPr>
                <w:rFonts w:ascii="Times New Roman" w:hAnsi="Times New Roman" w:cs="Times New Roman"/>
                <w:sz w:val="24"/>
                <w:szCs w:val="24"/>
              </w:rPr>
              <w:t>kiekvienam regionui, paskirtis – planuoti projektų rengimo ir įgyvendi</w:t>
            </w:r>
            <w:r>
              <w:rPr>
                <w:rFonts w:ascii="Times New Roman" w:hAnsi="Times New Roman" w:cs="Times New Roman"/>
                <w:sz w:val="24"/>
                <w:szCs w:val="24"/>
              </w:rPr>
              <w:t xml:space="preserve">nimo tempus ir siekti jų laikymosi (tam, kad būtų  </w:t>
            </w:r>
            <w:r w:rsidRPr="00EA7592">
              <w:rPr>
                <w:rFonts w:ascii="Times New Roman" w:hAnsi="Times New Roman" w:cs="Times New Roman"/>
                <w:sz w:val="24"/>
                <w:szCs w:val="24"/>
              </w:rPr>
              <w:t xml:space="preserve">užtikrinti 2014–2020 metų Europos Sąjungos fondų investicijų veiksmų programos </w:t>
            </w:r>
            <w:r>
              <w:rPr>
                <w:rFonts w:ascii="Times New Roman" w:hAnsi="Times New Roman" w:cs="Times New Roman"/>
                <w:sz w:val="24"/>
                <w:szCs w:val="24"/>
              </w:rPr>
              <w:t xml:space="preserve">priedo, patvirtinto Vyriausybės  </w:t>
            </w:r>
            <w:r w:rsidRPr="00EA7592">
              <w:rPr>
                <w:rFonts w:ascii="Times New Roman" w:hAnsi="Times New Roman" w:cs="Times New Roman"/>
                <w:sz w:val="24"/>
                <w:szCs w:val="24"/>
              </w:rPr>
              <w:t>2014 m. lapkričio 26 d. nutarimu Nr. 1326,</w:t>
            </w:r>
            <w:r>
              <w:rPr>
                <w:rFonts w:ascii="Times New Roman" w:hAnsi="Times New Roman" w:cs="Times New Roman"/>
                <w:sz w:val="24"/>
                <w:szCs w:val="24"/>
              </w:rPr>
              <w:t xml:space="preserve"> nuostatų įgyvendinimas)</w:t>
            </w:r>
            <w:r w:rsidRPr="00EA7592">
              <w:rPr>
                <w:rFonts w:ascii="Times New Roman" w:hAnsi="Times New Roman" w:cs="Times New Roman"/>
                <w:sz w:val="24"/>
                <w:szCs w:val="24"/>
              </w:rPr>
              <w:t xml:space="preserve">, o ne konstatuoti </w:t>
            </w:r>
            <w:r>
              <w:rPr>
                <w:rFonts w:ascii="Times New Roman" w:hAnsi="Times New Roman" w:cs="Times New Roman"/>
                <w:sz w:val="24"/>
                <w:szCs w:val="24"/>
              </w:rPr>
              <w:t>esamą situaciją.</w:t>
            </w:r>
          </w:p>
        </w:tc>
      </w:tr>
      <w:tr w:rsidR="004379CC" w:rsidRPr="00CB4D3A" w:rsidTr="00C643DB">
        <w:tc>
          <w:tcPr>
            <w:tcW w:w="1696" w:type="dxa"/>
            <w:vMerge/>
          </w:tcPr>
          <w:p w:rsidR="004379CC" w:rsidRDefault="004379CC" w:rsidP="00B5583B">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4379CC" w:rsidRDefault="004379CC" w:rsidP="004379CC">
            <w:pPr>
              <w:pStyle w:val="Preformatted"/>
              <w:tabs>
                <w:tab w:val="left" w:pos="1276"/>
              </w:tabs>
              <w:jc w:val="both"/>
              <w:rPr>
                <w:rFonts w:ascii="Times New Roman" w:hAnsi="Times New Roman"/>
                <w:sz w:val="24"/>
                <w:szCs w:val="24"/>
              </w:rPr>
            </w:pPr>
            <w:r>
              <w:rPr>
                <w:rFonts w:ascii="Times New Roman" w:hAnsi="Times New Roman"/>
                <w:sz w:val="24"/>
                <w:szCs w:val="24"/>
              </w:rPr>
              <w:t>2. Aprašo 11.4 papunktyje vietoj žodžių „projektų vykdytojų ir partnerių“ įrašomi žodžiai „</w:t>
            </w:r>
            <w:r>
              <w:rPr>
                <w:rFonts w:ascii="Times New Roman" w:hAnsi="Times New Roman"/>
                <w:b/>
                <w:sz w:val="24"/>
                <w:szCs w:val="24"/>
              </w:rPr>
              <w:t>savivaldybių viešojo valdymo institucijų</w:t>
            </w:r>
            <w:r>
              <w:rPr>
                <w:rFonts w:ascii="Times New Roman" w:hAnsi="Times New Roman"/>
                <w:sz w:val="24"/>
                <w:szCs w:val="24"/>
              </w:rPr>
              <w:t>“, atsižvelgiant į tai, siūloma koreguoti Aprašo 11.4.1-11.4.3 papunkčius:</w:t>
            </w:r>
          </w:p>
          <w:p w:rsidR="004379CC" w:rsidRDefault="004379CC" w:rsidP="004379CC">
            <w:pPr>
              <w:pStyle w:val="Preformatted"/>
              <w:tabs>
                <w:tab w:val="left" w:pos="1276"/>
              </w:tabs>
              <w:jc w:val="both"/>
              <w:rPr>
                <w:rFonts w:ascii="Times New Roman" w:hAnsi="Times New Roman"/>
                <w:sz w:val="24"/>
                <w:szCs w:val="24"/>
              </w:rPr>
            </w:pPr>
            <w:r>
              <w:rPr>
                <w:rFonts w:ascii="Times New Roman" w:hAnsi="Times New Roman"/>
                <w:sz w:val="24"/>
                <w:szCs w:val="24"/>
              </w:rPr>
              <w:t xml:space="preserve">11.4.1. užtikrinti projekto metu vykdomų veiklų ir kuriamų produktų (priemonių, įrankių) kokybę (kompetencijas gali stiprinti tiesiogines projekto veiklas vykdantys </w:t>
            </w:r>
            <w:r>
              <w:rPr>
                <w:rFonts w:ascii="Times New Roman" w:hAnsi="Times New Roman"/>
                <w:i/>
                <w:strike/>
                <w:sz w:val="24"/>
                <w:szCs w:val="24"/>
              </w:rPr>
              <w:t>projekto vykdytojo ir (ar)  partnerio</w:t>
            </w:r>
            <w:r>
              <w:rPr>
                <w:rFonts w:ascii="Times New Roman" w:hAnsi="Times New Roman"/>
                <w:i/>
                <w:sz w:val="24"/>
                <w:szCs w:val="24"/>
              </w:rPr>
              <w:t xml:space="preserve"> </w:t>
            </w:r>
            <w:r>
              <w:rPr>
                <w:rFonts w:ascii="Times New Roman" w:hAnsi="Times New Roman"/>
                <w:b/>
                <w:i/>
                <w:sz w:val="24"/>
                <w:szCs w:val="24"/>
              </w:rPr>
              <w:t>savivaldybių viešojo valdymo institucijų</w:t>
            </w:r>
            <w:r>
              <w:rPr>
                <w:rFonts w:ascii="Times New Roman" w:hAnsi="Times New Roman"/>
                <w:sz w:val="24"/>
                <w:szCs w:val="24"/>
              </w:rPr>
              <w:t xml:space="preserve"> darbuotojai);</w:t>
            </w:r>
          </w:p>
          <w:p w:rsidR="004379CC" w:rsidRDefault="004379CC" w:rsidP="004379CC">
            <w:pPr>
              <w:pStyle w:val="Preformatted"/>
              <w:tabs>
                <w:tab w:val="left" w:pos="1276"/>
              </w:tabs>
              <w:jc w:val="both"/>
              <w:rPr>
                <w:rFonts w:ascii="Times New Roman" w:hAnsi="Times New Roman"/>
                <w:sz w:val="24"/>
                <w:szCs w:val="24"/>
              </w:rPr>
            </w:pPr>
            <w:r>
              <w:rPr>
                <w:rFonts w:ascii="Times New Roman" w:hAnsi="Times New Roman"/>
                <w:sz w:val="24"/>
                <w:szCs w:val="24"/>
              </w:rPr>
              <w:t xml:space="preserve">11.4.2. užtikrinti projekto metu sukurtų produktų (priemonių, įrankių) tinkamą naudojimą / taikymą </w:t>
            </w:r>
            <w:r>
              <w:rPr>
                <w:rFonts w:ascii="Times New Roman" w:hAnsi="Times New Roman"/>
                <w:sz w:val="24"/>
                <w:szCs w:val="24"/>
              </w:rPr>
              <w:lastRenderedPageBreak/>
              <w:t xml:space="preserve">(kompetencijas gali stiprinti </w:t>
            </w:r>
            <w:r>
              <w:rPr>
                <w:rFonts w:ascii="Times New Roman" w:hAnsi="Times New Roman"/>
                <w:i/>
                <w:strike/>
                <w:sz w:val="24"/>
                <w:szCs w:val="24"/>
              </w:rPr>
              <w:t>projekto vykdytojo ir (ar) partnerio</w:t>
            </w:r>
            <w:r>
              <w:rPr>
                <w:rFonts w:ascii="Times New Roman" w:hAnsi="Times New Roman"/>
                <w:b/>
                <w:i/>
                <w:sz w:val="24"/>
                <w:szCs w:val="24"/>
              </w:rPr>
              <w:t xml:space="preserve"> savivaldybių viešojo valdymo institucijų</w:t>
            </w:r>
            <w:r>
              <w:rPr>
                <w:rFonts w:ascii="Times New Roman" w:hAnsi="Times New Roman"/>
                <w:sz w:val="24"/>
                <w:szCs w:val="24"/>
              </w:rPr>
              <w:t xml:space="preserve"> darbuotojai, susiję su kuriamo ar sukurto produkto (priemonės, įrankio) taikymu (naudojimu);</w:t>
            </w:r>
          </w:p>
          <w:p w:rsidR="004379CC" w:rsidRDefault="004379CC" w:rsidP="004379CC">
            <w:pPr>
              <w:pStyle w:val="Preformatted"/>
              <w:tabs>
                <w:tab w:val="left" w:pos="1276"/>
              </w:tabs>
              <w:jc w:val="both"/>
              <w:rPr>
                <w:rFonts w:ascii="Times New Roman" w:hAnsi="Times New Roman"/>
                <w:sz w:val="24"/>
                <w:szCs w:val="24"/>
              </w:rPr>
            </w:pPr>
            <w:r>
              <w:rPr>
                <w:rFonts w:ascii="Times New Roman" w:hAnsi="Times New Roman"/>
                <w:sz w:val="24"/>
                <w:szCs w:val="24"/>
              </w:rPr>
              <w:t xml:space="preserve">11.4.3. projekte keliamai problemai dėl nepakankamos paslaugų kokybės (pvz., profesionalumo, greičio ir pan.) ar nepakankamos asmenų aptarnavimo kokybės (pvz., nepakankamos orientacijos į klientą) spręsti (kompetencijas gali stiprinti administracines paslaugas gyventojams ir (ar) verslui teikiantys ar kitaip gyventojus aptarnaujantys viešojo administravimo įgaliojimus turinčio </w:t>
            </w:r>
            <w:r>
              <w:rPr>
                <w:rFonts w:ascii="Times New Roman" w:hAnsi="Times New Roman"/>
                <w:i/>
                <w:strike/>
                <w:sz w:val="24"/>
                <w:szCs w:val="24"/>
              </w:rPr>
              <w:t>projekto vykdytojo ir (ar) partnerio</w:t>
            </w:r>
            <w:r>
              <w:rPr>
                <w:rFonts w:ascii="Times New Roman" w:hAnsi="Times New Roman"/>
                <w:b/>
                <w:i/>
                <w:sz w:val="24"/>
                <w:szCs w:val="24"/>
              </w:rPr>
              <w:t xml:space="preserve"> savivaldybių viešojo valdymo institucijų</w:t>
            </w:r>
            <w:r>
              <w:rPr>
                <w:rFonts w:ascii="Times New Roman" w:hAnsi="Times New Roman"/>
                <w:sz w:val="24"/>
                <w:szCs w:val="24"/>
              </w:rPr>
              <w:t xml:space="preserve"> darbuotojai);</w:t>
            </w:r>
          </w:p>
        </w:tc>
        <w:tc>
          <w:tcPr>
            <w:tcW w:w="7796" w:type="dxa"/>
          </w:tcPr>
          <w:p w:rsidR="004379CC" w:rsidRPr="00104AF4" w:rsidRDefault="004379CC" w:rsidP="000D40E4">
            <w:pPr>
              <w:rPr>
                <w:rFonts w:ascii="Times New Roman" w:hAnsi="Times New Roman" w:cs="Times New Roman"/>
                <w:sz w:val="24"/>
                <w:szCs w:val="24"/>
              </w:rPr>
            </w:pPr>
            <w:r>
              <w:rPr>
                <w:rFonts w:ascii="Times New Roman" w:hAnsi="Times New Roman" w:cs="Times New Roman"/>
                <w:sz w:val="24"/>
                <w:szCs w:val="24"/>
              </w:rPr>
              <w:lastRenderedPageBreak/>
              <w:t>Atsižvelgta.</w:t>
            </w:r>
          </w:p>
        </w:tc>
      </w:tr>
      <w:tr w:rsidR="004379CC" w:rsidRPr="00CB4D3A" w:rsidTr="00C643DB">
        <w:tc>
          <w:tcPr>
            <w:tcW w:w="1696" w:type="dxa"/>
            <w:vMerge/>
          </w:tcPr>
          <w:p w:rsidR="004379CC" w:rsidRDefault="004379CC" w:rsidP="00B5583B">
            <w:pPr>
              <w:pStyle w:val="Preformatted"/>
              <w:tabs>
                <w:tab w:val="clear" w:pos="0"/>
                <w:tab w:val="clear" w:pos="1918"/>
                <w:tab w:val="left" w:pos="851"/>
                <w:tab w:val="left" w:pos="1276"/>
              </w:tabs>
              <w:jc w:val="both"/>
              <w:rPr>
                <w:rFonts w:ascii="Times New Roman" w:hAnsi="Times New Roman"/>
                <w:sz w:val="24"/>
                <w:szCs w:val="24"/>
              </w:rPr>
            </w:pPr>
          </w:p>
        </w:tc>
        <w:tc>
          <w:tcPr>
            <w:tcW w:w="5387" w:type="dxa"/>
          </w:tcPr>
          <w:p w:rsidR="004379CC" w:rsidRDefault="004379CC" w:rsidP="004379C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76"/>
              </w:tabs>
              <w:snapToGrid/>
              <w:jc w:val="both"/>
              <w:rPr>
                <w:rFonts w:ascii="Times New Roman" w:eastAsiaTheme="minorEastAsia" w:hAnsi="Times New Roman" w:cstheme="minorBidi"/>
                <w:sz w:val="24"/>
                <w:szCs w:val="24"/>
              </w:rPr>
            </w:pPr>
            <w:r>
              <w:rPr>
                <w:rFonts w:ascii="Times New Roman" w:hAnsi="Times New Roman"/>
                <w:sz w:val="24"/>
                <w:szCs w:val="24"/>
              </w:rPr>
              <w:t>3. Aprašo 77.10 papunktyje keliamas reikalavimas: „</w:t>
            </w:r>
            <w:r>
              <w:rPr>
                <w:rFonts w:ascii="Times New Roman" w:hAnsi="Times New Roman"/>
                <w:i/>
                <w:sz w:val="24"/>
                <w:szCs w:val="24"/>
              </w:rPr>
              <w:t xml:space="preserve">vykdant Aprašo 11.5 papunktyje nurodytą veiklą, vėliausiai iki projekto veiklų įgyvendinimo pabaigos projekto vykdytojo ar pareiškėjo įstaigos vadovas ar jo įgaliotas asmuo patvirtintų projekto vykdytojo ar pareiškėjo teikiamų paslaugų ir (ar) aptarnavimo kokybės gerinimo </w:t>
            </w:r>
            <w:r>
              <w:rPr>
                <w:rFonts w:ascii="Times New Roman" w:hAnsi="Times New Roman"/>
                <w:b/>
                <w:i/>
                <w:sz w:val="24"/>
                <w:szCs w:val="24"/>
              </w:rPr>
              <w:t>veiksmų planą</w:t>
            </w:r>
            <w:r>
              <w:rPr>
                <w:rFonts w:ascii="Times New Roman" w:hAnsi="Times New Roman"/>
                <w:i/>
                <w:sz w:val="24"/>
                <w:szCs w:val="24"/>
              </w:rPr>
              <w:t>, parengtą atsižvelgiant į paslaugų ir (ar) asmenų aptarnavimo kokybei įvertinti atlikto tyrimo rezultatus</w:t>
            </w:r>
            <w:r>
              <w:rPr>
                <w:rFonts w:ascii="Times New Roman" w:hAnsi="Times New Roman"/>
                <w:sz w:val="24"/>
                <w:szCs w:val="24"/>
              </w:rPr>
              <w:t>“. Siūloma atsižvelgti, kad keliamas reikalavimas yra perteklinis tiems projektams, kurių metu bus rengiamos piliečių chartijos (veiksmų planas dubliuosis su piliečių chartija)</w:t>
            </w:r>
          </w:p>
          <w:p w:rsidR="004379CC" w:rsidRDefault="004379CC" w:rsidP="004379CC">
            <w:pPr>
              <w:pStyle w:val="Preformatted"/>
              <w:tabs>
                <w:tab w:val="left" w:pos="1276"/>
              </w:tabs>
              <w:jc w:val="both"/>
              <w:rPr>
                <w:rFonts w:ascii="Times New Roman" w:hAnsi="Times New Roman"/>
                <w:sz w:val="24"/>
                <w:szCs w:val="24"/>
              </w:rPr>
            </w:pPr>
          </w:p>
        </w:tc>
        <w:tc>
          <w:tcPr>
            <w:tcW w:w="7796" w:type="dxa"/>
          </w:tcPr>
          <w:p w:rsidR="004379CC" w:rsidRDefault="00C509AF" w:rsidP="000D40E4">
            <w:pPr>
              <w:rPr>
                <w:rFonts w:ascii="Times New Roman" w:hAnsi="Times New Roman" w:cs="Times New Roman"/>
                <w:sz w:val="24"/>
                <w:szCs w:val="24"/>
              </w:rPr>
            </w:pPr>
            <w:r>
              <w:rPr>
                <w:rFonts w:ascii="Times New Roman" w:hAnsi="Times New Roman" w:cs="Times New Roman"/>
                <w:sz w:val="24"/>
                <w:szCs w:val="24"/>
              </w:rPr>
              <w:t>Neatsižvelgta.</w:t>
            </w:r>
          </w:p>
          <w:p w:rsidR="00C509AF" w:rsidRDefault="00F377EE" w:rsidP="00C509AF">
            <w:pPr>
              <w:jc w:val="both"/>
              <w:rPr>
                <w:rFonts w:ascii="Times New Roman" w:hAnsi="Times New Roman" w:cs="Times New Roman"/>
                <w:sz w:val="24"/>
                <w:szCs w:val="24"/>
              </w:rPr>
            </w:pPr>
            <w:r w:rsidRPr="00C509AF">
              <w:rPr>
                <w:rFonts w:ascii="Times New Roman" w:hAnsi="Times New Roman" w:cs="Times New Roman"/>
                <w:sz w:val="24"/>
                <w:szCs w:val="24"/>
              </w:rPr>
              <w:t xml:space="preserve">Metodiniame dokumente „Paslaugų standartai. Rekomendacijos viešojo valdymo institucijoms“, kuris skelbiamas </w:t>
            </w:r>
            <w:hyperlink r:id="rId9" w:history="1">
              <w:r w:rsidRPr="00C509AF">
                <w:rPr>
                  <w:rFonts w:ascii="Times New Roman" w:hAnsi="Times New Roman" w:cs="Times New Roman"/>
                  <w:sz w:val="24"/>
                </w:rPr>
                <w:t>http://vakokybe.vrm.lt/</w:t>
              </w:r>
            </w:hyperlink>
            <w:r w:rsidR="00510179">
              <w:rPr>
                <w:rFonts w:ascii="Times New Roman" w:hAnsi="Times New Roman" w:cs="Times New Roman"/>
                <w:sz w:val="24"/>
                <w:szCs w:val="24"/>
              </w:rPr>
              <w:t xml:space="preserve"> (toliau – Metodinis dokumentas)</w:t>
            </w:r>
            <w:r w:rsidRPr="00C509AF">
              <w:rPr>
                <w:rFonts w:ascii="Times New Roman" w:hAnsi="Times New Roman" w:cs="Times New Roman"/>
                <w:sz w:val="24"/>
                <w:szCs w:val="24"/>
              </w:rPr>
              <w:t xml:space="preserve">, į kurį atsižvelgiant  rekomenduojama  </w:t>
            </w:r>
            <w:r>
              <w:rPr>
                <w:rFonts w:ascii="Times New Roman" w:hAnsi="Times New Roman" w:cs="Times New Roman"/>
                <w:sz w:val="24"/>
                <w:szCs w:val="24"/>
              </w:rPr>
              <w:t>rengti paslaugų standartus ir piliečių chartijas,  numatyt</w:t>
            </w:r>
            <w:r w:rsidR="00C509AF">
              <w:rPr>
                <w:rFonts w:ascii="Times New Roman" w:hAnsi="Times New Roman" w:cs="Times New Roman"/>
                <w:sz w:val="24"/>
                <w:szCs w:val="24"/>
              </w:rPr>
              <w:t xml:space="preserve">a, kad siekiant tobulinti nustatytus paslaugų standartus, rekomenduojama pirmiausia įvertinti </w:t>
            </w:r>
            <w:r w:rsidR="00C509AF" w:rsidRPr="00C509AF">
              <w:rPr>
                <w:rFonts w:ascii="Times New Roman" w:hAnsi="Times New Roman" w:cs="Times New Roman"/>
                <w:sz w:val="24"/>
                <w:szCs w:val="24"/>
              </w:rPr>
              <w:t>paslaugų standartų keitimo poreikį</w:t>
            </w:r>
            <w:r w:rsidR="00C509AF">
              <w:rPr>
                <w:rFonts w:ascii="Times New Roman" w:hAnsi="Times New Roman" w:cs="Times New Roman"/>
                <w:sz w:val="24"/>
                <w:szCs w:val="24"/>
              </w:rPr>
              <w:t>, o vėliau - p</w:t>
            </w:r>
            <w:r w:rsidR="00C509AF" w:rsidRPr="00C509AF">
              <w:rPr>
                <w:rFonts w:ascii="Times New Roman" w:hAnsi="Times New Roman" w:cs="Times New Roman"/>
                <w:sz w:val="24"/>
                <w:szCs w:val="24"/>
              </w:rPr>
              <w:t>arengti ir įgyvendinti paslaugų kokybės gerinimo veiksmų planą</w:t>
            </w:r>
            <w:r w:rsidR="00C509AF">
              <w:rPr>
                <w:rFonts w:ascii="Times New Roman" w:hAnsi="Times New Roman" w:cs="Times New Roman"/>
                <w:sz w:val="24"/>
                <w:szCs w:val="24"/>
              </w:rPr>
              <w:t xml:space="preserve">. Tyrimo, skirto  </w:t>
            </w:r>
            <w:r w:rsidR="00C509AF" w:rsidRPr="00C509AF">
              <w:rPr>
                <w:rFonts w:ascii="Times New Roman" w:hAnsi="Times New Roman" w:cs="Times New Roman"/>
                <w:sz w:val="24"/>
                <w:szCs w:val="24"/>
              </w:rPr>
              <w:t>išsiaiškinti / pakartotinai sužino</w:t>
            </w:r>
            <w:r w:rsidR="00C509AF">
              <w:rPr>
                <w:rFonts w:ascii="Times New Roman" w:hAnsi="Times New Roman" w:cs="Times New Roman"/>
                <w:sz w:val="24"/>
                <w:szCs w:val="24"/>
              </w:rPr>
              <w:t>ti paslaugų vartoto</w:t>
            </w:r>
            <w:r w:rsidR="0089433E">
              <w:rPr>
                <w:rFonts w:ascii="Times New Roman" w:hAnsi="Times New Roman" w:cs="Times New Roman"/>
                <w:sz w:val="24"/>
                <w:szCs w:val="24"/>
              </w:rPr>
              <w:t>jų poreikius, atlikimas – viena iš svarbių priemonių, padedanti</w:t>
            </w:r>
            <w:r w:rsidR="00C509AF">
              <w:rPr>
                <w:rFonts w:ascii="Times New Roman" w:hAnsi="Times New Roman" w:cs="Times New Roman"/>
                <w:sz w:val="24"/>
                <w:szCs w:val="24"/>
              </w:rPr>
              <w:t xml:space="preserve"> įvertinti </w:t>
            </w:r>
            <w:r w:rsidR="00C509AF" w:rsidRPr="00C509AF">
              <w:rPr>
                <w:rFonts w:ascii="Times New Roman" w:hAnsi="Times New Roman" w:cs="Times New Roman"/>
                <w:sz w:val="24"/>
                <w:szCs w:val="24"/>
              </w:rPr>
              <w:t>paslaugų standartų keitimo poreikį</w:t>
            </w:r>
            <w:r w:rsidR="00C509AF">
              <w:rPr>
                <w:rFonts w:ascii="Times New Roman" w:hAnsi="Times New Roman" w:cs="Times New Roman"/>
                <w:sz w:val="24"/>
                <w:szCs w:val="24"/>
              </w:rPr>
              <w:t>.</w:t>
            </w:r>
          </w:p>
          <w:p w:rsidR="00C509AF" w:rsidRDefault="00C509AF" w:rsidP="00C509AF">
            <w:pPr>
              <w:jc w:val="both"/>
              <w:rPr>
                <w:rFonts w:ascii="Times New Roman" w:hAnsi="Times New Roman" w:cs="Times New Roman"/>
                <w:sz w:val="24"/>
                <w:szCs w:val="24"/>
              </w:rPr>
            </w:pPr>
          </w:p>
          <w:p w:rsidR="00510179" w:rsidRPr="00C509AF" w:rsidRDefault="00510179" w:rsidP="00C509AF">
            <w:pPr>
              <w:jc w:val="both"/>
              <w:rPr>
                <w:rFonts w:ascii="Times New Roman" w:hAnsi="Times New Roman" w:cs="Times New Roman"/>
                <w:sz w:val="24"/>
                <w:szCs w:val="24"/>
              </w:rPr>
            </w:pPr>
            <w:r>
              <w:rPr>
                <w:rFonts w:ascii="Times New Roman" w:hAnsi="Times New Roman" w:cs="Times New Roman"/>
                <w:sz w:val="24"/>
                <w:szCs w:val="24"/>
              </w:rPr>
              <w:t xml:space="preserve">Metodiniame dokumente nenumatyta, kad rengiant paslaugų standartus ir piliečių chartiją </w:t>
            </w:r>
            <w:r w:rsidR="00CE61CC">
              <w:rPr>
                <w:rFonts w:ascii="Times New Roman" w:hAnsi="Times New Roman" w:cs="Times New Roman"/>
                <w:sz w:val="24"/>
                <w:szCs w:val="24"/>
              </w:rPr>
              <w:t>reikalinga</w:t>
            </w:r>
            <w:r>
              <w:rPr>
                <w:rFonts w:ascii="Times New Roman" w:hAnsi="Times New Roman" w:cs="Times New Roman"/>
                <w:sz w:val="24"/>
                <w:szCs w:val="24"/>
              </w:rPr>
              <w:t xml:space="preserve"> būtų p</w:t>
            </w:r>
            <w:r w:rsidRPr="00C509AF">
              <w:rPr>
                <w:rFonts w:ascii="Times New Roman" w:hAnsi="Times New Roman" w:cs="Times New Roman"/>
                <w:sz w:val="24"/>
                <w:szCs w:val="24"/>
              </w:rPr>
              <w:t xml:space="preserve">arengti </w:t>
            </w:r>
            <w:r>
              <w:rPr>
                <w:rFonts w:ascii="Times New Roman" w:hAnsi="Times New Roman" w:cs="Times New Roman"/>
                <w:sz w:val="24"/>
                <w:szCs w:val="24"/>
              </w:rPr>
              <w:t xml:space="preserve">ir </w:t>
            </w:r>
            <w:r w:rsidRPr="00C509AF">
              <w:rPr>
                <w:rFonts w:ascii="Times New Roman" w:hAnsi="Times New Roman" w:cs="Times New Roman"/>
                <w:sz w:val="24"/>
                <w:szCs w:val="24"/>
              </w:rPr>
              <w:t>paslaugų kokybės gerinimo veiksmų planą</w:t>
            </w:r>
            <w:r>
              <w:rPr>
                <w:rFonts w:ascii="Times New Roman" w:hAnsi="Times New Roman" w:cs="Times New Roman"/>
                <w:sz w:val="24"/>
                <w:szCs w:val="24"/>
              </w:rPr>
              <w:t>.</w:t>
            </w:r>
          </w:p>
        </w:tc>
      </w:tr>
    </w:tbl>
    <w:p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CF5CF4" w:rsidRPr="00BE57EC" w:rsidSect="004264D6">
      <w:headerReference w:type="default" r:id="rId10"/>
      <w:footerReference w:type="default" r:id="rId11"/>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89" w:rsidRDefault="00B77389" w:rsidP="00CF5CF4">
      <w:pPr>
        <w:spacing w:after="0" w:line="240" w:lineRule="auto"/>
      </w:pPr>
      <w:r>
        <w:separator/>
      </w:r>
    </w:p>
  </w:endnote>
  <w:endnote w:type="continuationSeparator" w:id="0">
    <w:p w:rsidR="00B77389" w:rsidRDefault="00B77389"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D6" w:rsidRDefault="004264D6">
    <w:pPr>
      <w:pStyle w:val="Porat"/>
    </w:pPr>
  </w:p>
  <w:p w:rsidR="004264D6" w:rsidRDefault="004264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89" w:rsidRDefault="00B77389" w:rsidP="00CF5CF4">
      <w:pPr>
        <w:spacing w:after="0" w:line="240" w:lineRule="auto"/>
      </w:pPr>
      <w:r>
        <w:separator/>
      </w:r>
    </w:p>
  </w:footnote>
  <w:footnote w:type="continuationSeparator" w:id="0">
    <w:p w:rsidR="00B77389" w:rsidRDefault="00B77389"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1993"/>
      <w:docPartObj>
        <w:docPartGallery w:val="Page Numbers (Top of Page)"/>
        <w:docPartUnique/>
      </w:docPartObj>
    </w:sdtPr>
    <w:sdtEndPr>
      <w:rPr>
        <w:rFonts w:ascii="Times New Roman" w:hAnsi="Times New Roman" w:cs="Times New Roman"/>
        <w:noProof/>
      </w:rPr>
    </w:sdtEndPr>
    <w:sdtContent>
      <w:p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004B97">
          <w:rPr>
            <w:rFonts w:ascii="Times New Roman" w:hAnsi="Times New Roman" w:cs="Times New Roman"/>
            <w:noProof/>
          </w:rPr>
          <w:t>2</w:t>
        </w:r>
        <w:r w:rsidRPr="00CF5CF4">
          <w:rPr>
            <w:rFonts w:ascii="Times New Roman" w:hAnsi="Times New Roman" w:cs="Times New Roman"/>
            <w:noProof/>
          </w:rPr>
          <w:fldChar w:fldCharType="end"/>
        </w:r>
      </w:p>
    </w:sdtContent>
  </w:sdt>
  <w:p w:rsidR="004264D6" w:rsidRDefault="00426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C02F54"/>
    <w:multiLevelType w:val="hybridMultilevel"/>
    <w:tmpl w:val="00309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E3F7ECD"/>
    <w:multiLevelType w:val="multilevel"/>
    <w:tmpl w:val="658043BC"/>
    <w:lvl w:ilvl="0">
      <w:start w:val="1"/>
      <w:numFmt w:val="decimal"/>
      <w:lvlText w:val="%1."/>
      <w:lvlJc w:val="left"/>
      <w:pPr>
        <w:ind w:left="720" w:hanging="360"/>
      </w:pPr>
      <w:rPr>
        <w:rFonts w:hint="default"/>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51C3C42"/>
    <w:multiLevelType w:val="multilevel"/>
    <w:tmpl w:val="D3305BDA"/>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E74900"/>
    <w:multiLevelType w:val="hybridMultilevel"/>
    <w:tmpl w:val="055AC6F8"/>
    <w:lvl w:ilvl="0" w:tplc="4798E1D4">
      <w:start w:val="1"/>
      <w:numFmt w:val="bullet"/>
      <w:lvlText w:val="-"/>
      <w:lvlJc w:val="left"/>
      <w:pPr>
        <w:ind w:left="780" w:hanging="360"/>
      </w:pPr>
      <w:rPr>
        <w:rFonts w:ascii="Times New Roman" w:eastAsiaTheme="minorEastAsia"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F1A6A88"/>
    <w:multiLevelType w:val="hybridMultilevel"/>
    <w:tmpl w:val="F4BC54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EA1F23"/>
    <w:multiLevelType w:val="hybridMultilevel"/>
    <w:tmpl w:val="45ECBF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4954B87"/>
    <w:multiLevelType w:val="hybridMultilevel"/>
    <w:tmpl w:val="825C90F6"/>
    <w:lvl w:ilvl="0" w:tplc="9D240BD0">
      <w:start w:val="1"/>
      <w:numFmt w:val="decimal"/>
      <w:lvlText w:val="%1)"/>
      <w:lvlJc w:val="left"/>
      <w:pPr>
        <w:ind w:left="420" w:hanging="360"/>
      </w:pPr>
      <w:rPr>
        <w:rFonts w:ascii="Times New Roman" w:eastAsiaTheme="minorEastAsia" w:hAnsi="Times New Roman" w:cs="Times New Roman"/>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C06589C"/>
    <w:multiLevelType w:val="hybridMultilevel"/>
    <w:tmpl w:val="5C48C34A"/>
    <w:lvl w:ilvl="0" w:tplc="77A218B6">
      <w:start w:val="787"/>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7548B5"/>
    <w:multiLevelType w:val="multilevel"/>
    <w:tmpl w:val="32A8A4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6"/>
  </w:num>
  <w:num w:numId="4">
    <w:abstractNumId w:val="18"/>
  </w:num>
  <w:num w:numId="5">
    <w:abstractNumId w:val="28"/>
  </w:num>
  <w:num w:numId="6">
    <w:abstractNumId w:val="14"/>
  </w:num>
  <w:num w:numId="7">
    <w:abstractNumId w:val="19"/>
  </w:num>
  <w:num w:numId="8">
    <w:abstractNumId w:val="26"/>
  </w:num>
  <w:num w:numId="9">
    <w:abstractNumId w:val="1"/>
  </w:num>
  <w:num w:numId="10">
    <w:abstractNumId w:val="11"/>
  </w:num>
  <w:num w:numId="11">
    <w:abstractNumId w:val="0"/>
  </w:num>
  <w:num w:numId="12">
    <w:abstractNumId w:val="24"/>
  </w:num>
  <w:num w:numId="13">
    <w:abstractNumId w:val="7"/>
  </w:num>
  <w:num w:numId="14">
    <w:abstractNumId w:val="12"/>
  </w:num>
  <w:num w:numId="15">
    <w:abstractNumId w:val="30"/>
  </w:num>
  <w:num w:numId="16">
    <w:abstractNumId w:val="25"/>
  </w:num>
  <w:num w:numId="17">
    <w:abstractNumId w:val="4"/>
  </w:num>
  <w:num w:numId="18">
    <w:abstractNumId w:val="9"/>
  </w:num>
  <w:num w:numId="19">
    <w:abstractNumId w:val="21"/>
  </w:num>
  <w:num w:numId="20">
    <w:abstractNumId w:val="8"/>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7"/>
  </w:num>
  <w:num w:numId="24">
    <w:abstractNumId w:val="13"/>
  </w:num>
  <w:num w:numId="25">
    <w:abstractNumId w:val="16"/>
  </w:num>
  <w:num w:numId="26">
    <w:abstractNumId w:val="27"/>
  </w:num>
  <w:num w:numId="27">
    <w:abstractNumId w:val="5"/>
  </w:num>
  <w:num w:numId="28">
    <w:abstractNumId w:val="2"/>
  </w:num>
  <w:num w:numId="29">
    <w:abstractNumId w:val="23"/>
  </w:num>
  <w:num w:numId="30">
    <w:abstractNumId w:val="10"/>
  </w:num>
  <w:num w:numId="31">
    <w:abstractNumId w:val="29"/>
  </w:num>
  <w:num w:numId="32">
    <w:abstractNumId w:val="15"/>
  </w:num>
  <w:num w:numId="33">
    <w:abstractNumId w:val="33"/>
  </w:num>
  <w:num w:numId="34">
    <w:abstractNumId w:val="3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F6"/>
    <w:rsid w:val="00001FD0"/>
    <w:rsid w:val="00004B97"/>
    <w:rsid w:val="00016789"/>
    <w:rsid w:val="0003567D"/>
    <w:rsid w:val="00042B08"/>
    <w:rsid w:val="00044D8A"/>
    <w:rsid w:val="0005508C"/>
    <w:rsid w:val="00055485"/>
    <w:rsid w:val="00064347"/>
    <w:rsid w:val="0007515F"/>
    <w:rsid w:val="00082097"/>
    <w:rsid w:val="000916AF"/>
    <w:rsid w:val="00097AE7"/>
    <w:rsid w:val="000A3C6E"/>
    <w:rsid w:val="000A4628"/>
    <w:rsid w:val="000A6215"/>
    <w:rsid w:val="000B48E2"/>
    <w:rsid w:val="000D3DFD"/>
    <w:rsid w:val="000E264B"/>
    <w:rsid w:val="00104AF4"/>
    <w:rsid w:val="0010642E"/>
    <w:rsid w:val="00106937"/>
    <w:rsid w:val="001256E0"/>
    <w:rsid w:val="00127A89"/>
    <w:rsid w:val="0013333A"/>
    <w:rsid w:val="00133403"/>
    <w:rsid w:val="00133F3C"/>
    <w:rsid w:val="00144ED2"/>
    <w:rsid w:val="00160AE2"/>
    <w:rsid w:val="001627C2"/>
    <w:rsid w:val="00164B9C"/>
    <w:rsid w:val="00170F59"/>
    <w:rsid w:val="00187398"/>
    <w:rsid w:val="001954FD"/>
    <w:rsid w:val="0019635B"/>
    <w:rsid w:val="001A1195"/>
    <w:rsid w:val="001A6056"/>
    <w:rsid w:val="001B2112"/>
    <w:rsid w:val="001E3924"/>
    <w:rsid w:val="001F69DC"/>
    <w:rsid w:val="00212785"/>
    <w:rsid w:val="00214271"/>
    <w:rsid w:val="0022328A"/>
    <w:rsid w:val="00224380"/>
    <w:rsid w:val="00227F3C"/>
    <w:rsid w:val="00230059"/>
    <w:rsid w:val="00232B0A"/>
    <w:rsid w:val="002421B6"/>
    <w:rsid w:val="00242271"/>
    <w:rsid w:val="00247764"/>
    <w:rsid w:val="0025298C"/>
    <w:rsid w:val="00267226"/>
    <w:rsid w:val="0027410A"/>
    <w:rsid w:val="00284661"/>
    <w:rsid w:val="002924C1"/>
    <w:rsid w:val="0029535C"/>
    <w:rsid w:val="002A31E9"/>
    <w:rsid w:val="002A3C62"/>
    <w:rsid w:val="002B1D76"/>
    <w:rsid w:val="002C76D5"/>
    <w:rsid w:val="002D1A81"/>
    <w:rsid w:val="002D4B59"/>
    <w:rsid w:val="002E06DA"/>
    <w:rsid w:val="003104D6"/>
    <w:rsid w:val="00310624"/>
    <w:rsid w:val="00313D9A"/>
    <w:rsid w:val="00320F28"/>
    <w:rsid w:val="00323262"/>
    <w:rsid w:val="0033160A"/>
    <w:rsid w:val="003347C5"/>
    <w:rsid w:val="003363EB"/>
    <w:rsid w:val="0034578A"/>
    <w:rsid w:val="00355AB1"/>
    <w:rsid w:val="00357005"/>
    <w:rsid w:val="0035703A"/>
    <w:rsid w:val="003702EB"/>
    <w:rsid w:val="003823C3"/>
    <w:rsid w:val="00384B12"/>
    <w:rsid w:val="003A0F55"/>
    <w:rsid w:val="003A15C8"/>
    <w:rsid w:val="003A2EC2"/>
    <w:rsid w:val="003A432A"/>
    <w:rsid w:val="003A5FA8"/>
    <w:rsid w:val="003A713B"/>
    <w:rsid w:val="003B16A5"/>
    <w:rsid w:val="003B2A52"/>
    <w:rsid w:val="003B569F"/>
    <w:rsid w:val="003B73C5"/>
    <w:rsid w:val="003C5CB9"/>
    <w:rsid w:val="003C6F39"/>
    <w:rsid w:val="003D0474"/>
    <w:rsid w:val="003D4576"/>
    <w:rsid w:val="003D5C5B"/>
    <w:rsid w:val="003E21AB"/>
    <w:rsid w:val="003E4FE4"/>
    <w:rsid w:val="003E5501"/>
    <w:rsid w:val="003E663A"/>
    <w:rsid w:val="003F03F2"/>
    <w:rsid w:val="003F223A"/>
    <w:rsid w:val="00403116"/>
    <w:rsid w:val="00405E52"/>
    <w:rsid w:val="00421684"/>
    <w:rsid w:val="004264D6"/>
    <w:rsid w:val="0042777F"/>
    <w:rsid w:val="00432FD5"/>
    <w:rsid w:val="004379CC"/>
    <w:rsid w:val="00462961"/>
    <w:rsid w:val="004908D3"/>
    <w:rsid w:val="004A29D1"/>
    <w:rsid w:val="004D0673"/>
    <w:rsid w:val="004D24A9"/>
    <w:rsid w:val="004D2EBE"/>
    <w:rsid w:val="004D7E3D"/>
    <w:rsid w:val="004E2F40"/>
    <w:rsid w:val="004E2FA6"/>
    <w:rsid w:val="004E6F1D"/>
    <w:rsid w:val="004F1BCE"/>
    <w:rsid w:val="004F30A2"/>
    <w:rsid w:val="0050693C"/>
    <w:rsid w:val="00510179"/>
    <w:rsid w:val="00521DF1"/>
    <w:rsid w:val="00531A88"/>
    <w:rsid w:val="00537714"/>
    <w:rsid w:val="00541ACF"/>
    <w:rsid w:val="00543D8C"/>
    <w:rsid w:val="0054609A"/>
    <w:rsid w:val="0057253D"/>
    <w:rsid w:val="00572E65"/>
    <w:rsid w:val="005736A1"/>
    <w:rsid w:val="0057530F"/>
    <w:rsid w:val="0057709E"/>
    <w:rsid w:val="005A174A"/>
    <w:rsid w:val="005A4804"/>
    <w:rsid w:val="005A6057"/>
    <w:rsid w:val="005B1CF8"/>
    <w:rsid w:val="005B327C"/>
    <w:rsid w:val="005E4C0E"/>
    <w:rsid w:val="005E7E30"/>
    <w:rsid w:val="005F32EE"/>
    <w:rsid w:val="005F7D75"/>
    <w:rsid w:val="0061735B"/>
    <w:rsid w:val="006239EB"/>
    <w:rsid w:val="00631957"/>
    <w:rsid w:val="006456B9"/>
    <w:rsid w:val="00650989"/>
    <w:rsid w:val="00653C6A"/>
    <w:rsid w:val="006549E6"/>
    <w:rsid w:val="0066169A"/>
    <w:rsid w:val="0068331C"/>
    <w:rsid w:val="006900D8"/>
    <w:rsid w:val="006A0540"/>
    <w:rsid w:val="006A10F9"/>
    <w:rsid w:val="006A4E4D"/>
    <w:rsid w:val="006A7434"/>
    <w:rsid w:val="006B60B8"/>
    <w:rsid w:val="006B79E6"/>
    <w:rsid w:val="006C2F47"/>
    <w:rsid w:val="006C494A"/>
    <w:rsid w:val="006C75CC"/>
    <w:rsid w:val="006D6609"/>
    <w:rsid w:val="006E1CD1"/>
    <w:rsid w:val="006F27CF"/>
    <w:rsid w:val="006F5698"/>
    <w:rsid w:val="00724036"/>
    <w:rsid w:val="00727B1F"/>
    <w:rsid w:val="00732ECE"/>
    <w:rsid w:val="00746C01"/>
    <w:rsid w:val="00751EBB"/>
    <w:rsid w:val="007A1C66"/>
    <w:rsid w:val="007A6C01"/>
    <w:rsid w:val="007B21A9"/>
    <w:rsid w:val="007B7688"/>
    <w:rsid w:val="007C3D50"/>
    <w:rsid w:val="007E17CE"/>
    <w:rsid w:val="00803808"/>
    <w:rsid w:val="00805F50"/>
    <w:rsid w:val="008061B0"/>
    <w:rsid w:val="00833D18"/>
    <w:rsid w:val="00833ECF"/>
    <w:rsid w:val="00841E76"/>
    <w:rsid w:val="008525B1"/>
    <w:rsid w:val="00856A67"/>
    <w:rsid w:val="00860263"/>
    <w:rsid w:val="00862189"/>
    <w:rsid w:val="00872478"/>
    <w:rsid w:val="0088269E"/>
    <w:rsid w:val="008919CD"/>
    <w:rsid w:val="0089367C"/>
    <w:rsid w:val="0089433E"/>
    <w:rsid w:val="008A2B95"/>
    <w:rsid w:val="008A3834"/>
    <w:rsid w:val="008A5A12"/>
    <w:rsid w:val="008B0496"/>
    <w:rsid w:val="008B64AE"/>
    <w:rsid w:val="008B79FC"/>
    <w:rsid w:val="008C0F19"/>
    <w:rsid w:val="008C1C52"/>
    <w:rsid w:val="008C322C"/>
    <w:rsid w:val="008F03B1"/>
    <w:rsid w:val="008F1754"/>
    <w:rsid w:val="009124DE"/>
    <w:rsid w:val="00912A9E"/>
    <w:rsid w:val="0093542F"/>
    <w:rsid w:val="00943F12"/>
    <w:rsid w:val="00957DFF"/>
    <w:rsid w:val="00975417"/>
    <w:rsid w:val="00985BA9"/>
    <w:rsid w:val="009903DB"/>
    <w:rsid w:val="009962DD"/>
    <w:rsid w:val="009A5EEC"/>
    <w:rsid w:val="009B0867"/>
    <w:rsid w:val="009C2DA0"/>
    <w:rsid w:val="009C62DB"/>
    <w:rsid w:val="009C6EAA"/>
    <w:rsid w:val="009C7180"/>
    <w:rsid w:val="009D0A8E"/>
    <w:rsid w:val="009D4ABA"/>
    <w:rsid w:val="009D678E"/>
    <w:rsid w:val="009E5899"/>
    <w:rsid w:val="009F4EA1"/>
    <w:rsid w:val="009F7B62"/>
    <w:rsid w:val="00A0788E"/>
    <w:rsid w:val="00A12C1E"/>
    <w:rsid w:val="00A20E0F"/>
    <w:rsid w:val="00A222B4"/>
    <w:rsid w:val="00A34238"/>
    <w:rsid w:val="00A3647F"/>
    <w:rsid w:val="00A4712A"/>
    <w:rsid w:val="00A75336"/>
    <w:rsid w:val="00A81BB4"/>
    <w:rsid w:val="00A93896"/>
    <w:rsid w:val="00AA22B2"/>
    <w:rsid w:val="00AA30BC"/>
    <w:rsid w:val="00AA7E71"/>
    <w:rsid w:val="00AC3AE3"/>
    <w:rsid w:val="00AF0A23"/>
    <w:rsid w:val="00B00017"/>
    <w:rsid w:val="00B141D2"/>
    <w:rsid w:val="00B2035A"/>
    <w:rsid w:val="00B42565"/>
    <w:rsid w:val="00B4643D"/>
    <w:rsid w:val="00B5583B"/>
    <w:rsid w:val="00B56B5D"/>
    <w:rsid w:val="00B666A4"/>
    <w:rsid w:val="00B67111"/>
    <w:rsid w:val="00B77389"/>
    <w:rsid w:val="00BA6431"/>
    <w:rsid w:val="00BA69B6"/>
    <w:rsid w:val="00BB769D"/>
    <w:rsid w:val="00BC2F49"/>
    <w:rsid w:val="00BC4B5E"/>
    <w:rsid w:val="00BE57EC"/>
    <w:rsid w:val="00BE5CE7"/>
    <w:rsid w:val="00BF4D8F"/>
    <w:rsid w:val="00C00017"/>
    <w:rsid w:val="00C057BF"/>
    <w:rsid w:val="00C35D53"/>
    <w:rsid w:val="00C509AF"/>
    <w:rsid w:val="00C64040"/>
    <w:rsid w:val="00C643DB"/>
    <w:rsid w:val="00C66BA8"/>
    <w:rsid w:val="00C702D0"/>
    <w:rsid w:val="00C72583"/>
    <w:rsid w:val="00C97BF9"/>
    <w:rsid w:val="00CB13D1"/>
    <w:rsid w:val="00CB463D"/>
    <w:rsid w:val="00CB4D3A"/>
    <w:rsid w:val="00CC02DB"/>
    <w:rsid w:val="00CC0A8A"/>
    <w:rsid w:val="00CC2C58"/>
    <w:rsid w:val="00CE35D1"/>
    <w:rsid w:val="00CE61CC"/>
    <w:rsid w:val="00CE74A4"/>
    <w:rsid w:val="00CF1DA8"/>
    <w:rsid w:val="00CF5CF4"/>
    <w:rsid w:val="00CF7C64"/>
    <w:rsid w:val="00D12938"/>
    <w:rsid w:val="00D1742D"/>
    <w:rsid w:val="00D232F6"/>
    <w:rsid w:val="00D23ABA"/>
    <w:rsid w:val="00D25B3E"/>
    <w:rsid w:val="00D26427"/>
    <w:rsid w:val="00D444F9"/>
    <w:rsid w:val="00D460AB"/>
    <w:rsid w:val="00D62F7D"/>
    <w:rsid w:val="00D66D5E"/>
    <w:rsid w:val="00D83645"/>
    <w:rsid w:val="00D845B1"/>
    <w:rsid w:val="00D84D71"/>
    <w:rsid w:val="00D852D2"/>
    <w:rsid w:val="00D86EB2"/>
    <w:rsid w:val="00D87DEF"/>
    <w:rsid w:val="00D9176C"/>
    <w:rsid w:val="00D924E8"/>
    <w:rsid w:val="00D92733"/>
    <w:rsid w:val="00D9467B"/>
    <w:rsid w:val="00D974EC"/>
    <w:rsid w:val="00DA0E87"/>
    <w:rsid w:val="00DA1B54"/>
    <w:rsid w:val="00DA28F6"/>
    <w:rsid w:val="00DA6DEC"/>
    <w:rsid w:val="00DB0C49"/>
    <w:rsid w:val="00DB37B3"/>
    <w:rsid w:val="00DB7572"/>
    <w:rsid w:val="00DC681D"/>
    <w:rsid w:val="00DE1BB7"/>
    <w:rsid w:val="00DE330A"/>
    <w:rsid w:val="00DE5980"/>
    <w:rsid w:val="00DF1491"/>
    <w:rsid w:val="00DF6092"/>
    <w:rsid w:val="00E06D30"/>
    <w:rsid w:val="00E079BC"/>
    <w:rsid w:val="00E15751"/>
    <w:rsid w:val="00E32D27"/>
    <w:rsid w:val="00E36B9A"/>
    <w:rsid w:val="00E45E72"/>
    <w:rsid w:val="00E50D0B"/>
    <w:rsid w:val="00E53833"/>
    <w:rsid w:val="00E7457A"/>
    <w:rsid w:val="00E74C99"/>
    <w:rsid w:val="00E75A99"/>
    <w:rsid w:val="00E841F7"/>
    <w:rsid w:val="00E9489F"/>
    <w:rsid w:val="00E951F4"/>
    <w:rsid w:val="00EA4001"/>
    <w:rsid w:val="00EA5EAF"/>
    <w:rsid w:val="00EA7592"/>
    <w:rsid w:val="00EA7AE4"/>
    <w:rsid w:val="00EB4C38"/>
    <w:rsid w:val="00EC0743"/>
    <w:rsid w:val="00EC1FCA"/>
    <w:rsid w:val="00EC50AB"/>
    <w:rsid w:val="00ED50A7"/>
    <w:rsid w:val="00EE4780"/>
    <w:rsid w:val="00F0258F"/>
    <w:rsid w:val="00F10E7A"/>
    <w:rsid w:val="00F12357"/>
    <w:rsid w:val="00F15A11"/>
    <w:rsid w:val="00F2066E"/>
    <w:rsid w:val="00F238BB"/>
    <w:rsid w:val="00F257FE"/>
    <w:rsid w:val="00F377EE"/>
    <w:rsid w:val="00F6599B"/>
    <w:rsid w:val="00F6701A"/>
    <w:rsid w:val="00F71CA4"/>
    <w:rsid w:val="00F7264D"/>
    <w:rsid w:val="00F752C0"/>
    <w:rsid w:val="00F803AD"/>
    <w:rsid w:val="00F912D9"/>
    <w:rsid w:val="00F92A13"/>
    <w:rsid w:val="00F92C90"/>
    <w:rsid w:val="00F94171"/>
    <w:rsid w:val="00F9572D"/>
    <w:rsid w:val="00FA5118"/>
    <w:rsid w:val="00FA697F"/>
    <w:rsid w:val="00FC3BE5"/>
    <w:rsid w:val="00FC6331"/>
    <w:rsid w:val="00FC69F7"/>
    <w:rsid w:val="00FE3034"/>
    <w:rsid w:val="00FE5962"/>
    <w:rsid w:val="00FF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CF8BD-4BC6-40CA-9829-9EE3FB6B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basedOn w:val="Numatytasispastraiposriftas"/>
    <w:uiPriority w:val="99"/>
    <w:unhideWhenUsed/>
    <w:rsid w:val="00DF6092"/>
    <w:rPr>
      <w:color w:val="0000FF" w:themeColor="hyperlink"/>
      <w:u w:val="single"/>
    </w:rPr>
  </w:style>
  <w:style w:type="character" w:styleId="Paminjimas">
    <w:name w:val="Mention"/>
    <w:basedOn w:val="Numatytasispastraiposriftas"/>
    <w:uiPriority w:val="99"/>
    <w:semiHidden/>
    <w:unhideWhenUsed/>
    <w:rsid w:val="00DF60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34445994">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722944557">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11164338">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641955496">
      <w:bodyDiv w:val="1"/>
      <w:marLeft w:val="0"/>
      <w:marRight w:val="0"/>
      <w:marTop w:val="0"/>
      <w:marBottom w:val="0"/>
      <w:divBdr>
        <w:top w:val="none" w:sz="0" w:space="0" w:color="auto"/>
        <w:left w:val="none" w:sz="0" w:space="0" w:color="auto"/>
        <w:bottom w:val="none" w:sz="0" w:space="0" w:color="auto"/>
        <w:right w:val="none" w:sz="0" w:space="0" w:color="auto"/>
      </w:divBdr>
    </w:div>
    <w:div w:id="1671249950">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akokybe.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68FE9-B636-4B7E-8BD1-58025159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14856</Words>
  <Characters>8468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m09263</cp:lastModifiedBy>
  <cp:revision>2</cp:revision>
  <cp:lastPrinted>2015-11-04T12:32:00Z</cp:lastPrinted>
  <dcterms:created xsi:type="dcterms:W3CDTF">2017-04-21T05:16:00Z</dcterms:created>
  <dcterms:modified xsi:type="dcterms:W3CDTF">2017-04-21T05:16:00Z</dcterms:modified>
</cp:coreProperties>
</file>