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C1FF5F" w14:textId="7EA62441" w:rsidR="000D0A8B" w:rsidRPr="00EF1000" w:rsidRDefault="008F3C0B" w:rsidP="000D0A8B">
      <w:pPr>
        <w:pStyle w:val="Titulinispavadinimas"/>
      </w:pPr>
      <w:r w:rsidRPr="008F3C0B">
        <w:t xml:space="preserve">2007–2013 m. </w:t>
      </w:r>
      <w:r w:rsidR="007310A9">
        <w:t xml:space="preserve">Sanglaudos </w:t>
      </w:r>
      <w:r w:rsidR="00107F7F">
        <w:t xml:space="preserve"> </w:t>
      </w:r>
      <w:r w:rsidR="007310A9">
        <w:t>skatinimo</w:t>
      </w:r>
      <w:r w:rsidRPr="008F3C0B">
        <w:t xml:space="preserve"> veiksmų programos pasiektų tikslų </w:t>
      </w:r>
      <w:r w:rsidR="00830AAE">
        <w:t>ir uždavinių vertinimo ataskaitos santrauka</w:t>
      </w:r>
      <w:r w:rsidR="00B06B6F" w:rsidRPr="00EF1000">
        <w:t xml:space="preserve"> </w:t>
      </w:r>
    </w:p>
    <w:p w14:paraId="256EBB4D" w14:textId="77777777" w:rsidR="00B06B6F" w:rsidRPr="00EF1000" w:rsidRDefault="00B06B6F" w:rsidP="000D0A8B">
      <w:pPr>
        <w:pStyle w:val="Tituliniosubpavadinimas"/>
        <w:rPr>
          <w:sz w:val="44"/>
          <w:szCs w:val="44"/>
        </w:rPr>
      </w:pPr>
    </w:p>
    <w:p w14:paraId="24144002" w14:textId="49B3AE75" w:rsidR="000D0A8B" w:rsidRPr="008F3C0B" w:rsidRDefault="008F3C0B" w:rsidP="008F3C0B">
      <w:pPr>
        <w:pStyle w:val="Tituliniosubpavadinimas"/>
        <w:ind w:left="2127"/>
        <w:rPr>
          <w:sz w:val="28"/>
          <w:szCs w:val="28"/>
        </w:rPr>
      </w:pPr>
      <w:r w:rsidRPr="008F3C0B">
        <w:rPr>
          <w:sz w:val="28"/>
          <w:szCs w:val="28"/>
        </w:rPr>
        <w:t xml:space="preserve">Šis dokumentas yra </w:t>
      </w:r>
      <w:r w:rsidR="00AA240A">
        <w:rPr>
          <w:sz w:val="28"/>
          <w:szCs w:val="28"/>
        </w:rPr>
        <w:t>„K</w:t>
      </w:r>
      <w:r w:rsidRPr="008F3C0B">
        <w:rPr>
          <w:sz w:val="28"/>
          <w:szCs w:val="28"/>
        </w:rPr>
        <w:t>iekybinio ir kokybinio 2007–2013 m. veiksmų programų pasiektų tikslų ir uždavinių</w:t>
      </w:r>
      <w:r w:rsidR="00AA240A">
        <w:rPr>
          <w:sz w:val="28"/>
          <w:szCs w:val="28"/>
        </w:rPr>
        <w:t>“ integruotos</w:t>
      </w:r>
      <w:r w:rsidRPr="008F3C0B">
        <w:rPr>
          <w:sz w:val="28"/>
          <w:szCs w:val="28"/>
        </w:rPr>
        <w:t xml:space="preserve"> vertinimo ataskaitos </w:t>
      </w:r>
      <w:r w:rsidR="007310A9">
        <w:rPr>
          <w:sz w:val="28"/>
          <w:szCs w:val="28"/>
        </w:rPr>
        <w:t>7</w:t>
      </w:r>
      <w:r w:rsidRPr="008F3C0B">
        <w:rPr>
          <w:sz w:val="28"/>
          <w:szCs w:val="28"/>
        </w:rPr>
        <w:t xml:space="preserve"> priedas</w:t>
      </w:r>
    </w:p>
    <w:p w14:paraId="37E847B2" w14:textId="77777777" w:rsidR="000D0A8B" w:rsidRPr="00EF1000" w:rsidRDefault="000D0A8B" w:rsidP="000D0A8B">
      <w:pPr>
        <w:pStyle w:val="Tituliniodata"/>
      </w:pPr>
    </w:p>
    <w:p w14:paraId="4DCFB7CA" w14:textId="77777777" w:rsidR="000D0A8B" w:rsidRPr="00EF1000" w:rsidRDefault="000D0A8B" w:rsidP="000D0A8B">
      <w:pPr>
        <w:pStyle w:val="Titulinionuoroda"/>
      </w:pPr>
    </w:p>
    <w:p w14:paraId="34CA9CC5" w14:textId="77777777" w:rsidR="000D0A8B" w:rsidRPr="00EF1000" w:rsidRDefault="000D0A8B" w:rsidP="000D0A8B">
      <w:pPr>
        <w:pStyle w:val="Titulinionuoroda"/>
      </w:pPr>
    </w:p>
    <w:p w14:paraId="5BED09FB" w14:textId="77777777" w:rsidR="000D0A8B" w:rsidRPr="00EF1000" w:rsidRDefault="000D0A8B" w:rsidP="000D0A8B">
      <w:pPr>
        <w:pStyle w:val="Titulinionuoroda"/>
      </w:pPr>
    </w:p>
    <w:p w14:paraId="2FA4C8E9" w14:textId="77777777" w:rsidR="000D0A8B" w:rsidRPr="00EF1000" w:rsidRDefault="000D0A8B" w:rsidP="000D0A8B">
      <w:pPr>
        <w:pStyle w:val="Titulinionuoroda"/>
        <w:rPr>
          <w:lang w:eastAsia="lt-LT"/>
        </w:rPr>
      </w:pPr>
    </w:p>
    <w:p w14:paraId="5FBC6D9B" w14:textId="77777777" w:rsidR="000D0A8B" w:rsidRPr="00EF1000" w:rsidRDefault="000D0A8B" w:rsidP="000D0A8B">
      <w:pPr>
        <w:pStyle w:val="Titulinionuoroda"/>
        <w:rPr>
          <w:lang w:eastAsia="lt-LT"/>
        </w:rPr>
      </w:pPr>
    </w:p>
    <w:p w14:paraId="5AC5C0C7" w14:textId="77777777" w:rsidR="000D0A8B" w:rsidRPr="00EF1000" w:rsidRDefault="000D0A8B" w:rsidP="000D0A8B">
      <w:pPr>
        <w:pStyle w:val="Titulinionuoroda"/>
        <w:rPr>
          <w:lang w:eastAsia="lt-LT"/>
        </w:rPr>
      </w:pPr>
    </w:p>
    <w:p w14:paraId="6F817A97" w14:textId="77777777" w:rsidR="000D0A8B" w:rsidRPr="00EF1000" w:rsidRDefault="000D0A8B" w:rsidP="000D0A8B">
      <w:pPr>
        <w:pStyle w:val="Titulinionuoroda"/>
        <w:rPr>
          <w:lang w:eastAsia="lt-LT"/>
        </w:rPr>
      </w:pPr>
    </w:p>
    <w:p w14:paraId="5548ED10" w14:textId="77777777" w:rsidR="000D0A8B" w:rsidRPr="00EF1000" w:rsidRDefault="000D0A8B" w:rsidP="000D0A8B">
      <w:pPr>
        <w:pStyle w:val="Titulinionuoroda"/>
        <w:rPr>
          <w:lang w:eastAsia="lt-LT"/>
        </w:rPr>
      </w:pPr>
    </w:p>
    <w:p w14:paraId="69BB628A" w14:textId="77777777" w:rsidR="000D0A8B" w:rsidRPr="00EF1000" w:rsidRDefault="000D0A8B" w:rsidP="000D0A8B">
      <w:pPr>
        <w:pStyle w:val="Titulinionuoroda"/>
        <w:rPr>
          <w:lang w:eastAsia="lt-LT"/>
        </w:rPr>
      </w:pPr>
      <w:r w:rsidRPr="00EF1000">
        <w:rPr>
          <w:noProof/>
          <w:lang w:eastAsia="lt-LT"/>
        </w:rPr>
        <w:drawing>
          <wp:inline distT="0" distB="0" distL="0" distR="0" wp14:anchorId="3C88B781" wp14:editId="63F4B098">
            <wp:extent cx="2630805" cy="10375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4050" t="19667" r="2342" b="14682"/>
                    <a:stretch>
                      <a:fillRect/>
                    </a:stretch>
                  </pic:blipFill>
                  <pic:spPr bwMode="auto">
                    <a:xfrm>
                      <a:off x="0" y="0"/>
                      <a:ext cx="2630805" cy="1037590"/>
                    </a:xfrm>
                    <a:prstGeom prst="rect">
                      <a:avLst/>
                    </a:prstGeom>
                    <a:noFill/>
                    <a:ln>
                      <a:noFill/>
                    </a:ln>
                  </pic:spPr>
                </pic:pic>
              </a:graphicData>
            </a:graphic>
          </wp:inline>
        </w:drawing>
      </w:r>
    </w:p>
    <w:p w14:paraId="54C03F45" w14:textId="77777777" w:rsidR="000D0A8B" w:rsidRPr="00EF1000" w:rsidRDefault="000D0A8B" w:rsidP="000D0A8B">
      <w:pPr>
        <w:pStyle w:val="Titulinionuoroda"/>
        <w:rPr>
          <w:lang w:eastAsia="lt-LT"/>
        </w:rPr>
      </w:pPr>
    </w:p>
    <w:p w14:paraId="6E480C8F" w14:textId="77777777" w:rsidR="000D0A8B" w:rsidRPr="00EF1000" w:rsidRDefault="000D0A8B" w:rsidP="000D0A8B">
      <w:pPr>
        <w:pStyle w:val="Titulinionuoroda"/>
        <w:rPr>
          <w:lang w:eastAsia="lt-LT"/>
        </w:rPr>
      </w:pPr>
    </w:p>
    <w:p w14:paraId="5D16C9A0" w14:textId="77777777" w:rsidR="000D0A8B" w:rsidRPr="00EF1000" w:rsidRDefault="000D0A8B" w:rsidP="000D0A8B">
      <w:pPr>
        <w:pStyle w:val="Titulinionuoroda"/>
      </w:pPr>
    </w:p>
    <w:p w14:paraId="4E41ECBF" w14:textId="77777777" w:rsidR="000D0A8B" w:rsidRPr="00EF1000" w:rsidRDefault="000D0A8B" w:rsidP="000D0A8B">
      <w:pPr>
        <w:pStyle w:val="Titulinionuoroda"/>
      </w:pPr>
    </w:p>
    <w:p w14:paraId="509C74F1" w14:textId="77777777" w:rsidR="000D0A8B" w:rsidRPr="00EF1000" w:rsidRDefault="000D0A8B" w:rsidP="000D0A8B">
      <w:pPr>
        <w:pStyle w:val="Titulinionuoroda"/>
      </w:pPr>
    </w:p>
    <w:p w14:paraId="1D3F25F5" w14:textId="3FE83505" w:rsidR="000D0A8B" w:rsidRPr="00EF1000" w:rsidRDefault="000D0A8B" w:rsidP="000D0A8B">
      <w:pPr>
        <w:pStyle w:val="Titulinionuoroda"/>
      </w:pPr>
      <w:r w:rsidRPr="00EF1000">
        <w:t>Vertinimas atli</w:t>
      </w:r>
      <w:r w:rsidR="008F3C0B">
        <w:t>kt</w:t>
      </w:r>
      <w:r w:rsidRPr="00EF1000">
        <w:t>as pagal 2016 m. gegužės 16 d. paslaugų teikimo sutartį Nr. 14P-40 tarp Lietuvos Respublikos finansų ministerijos ir ūkio subjektų grupės UAB „ESTEP Vilnius“ ir UAB “</w:t>
      </w:r>
      <w:proofErr w:type="spellStart"/>
      <w:r w:rsidRPr="00EF1000">
        <w:t>Visionary</w:t>
      </w:r>
      <w:proofErr w:type="spellEnd"/>
      <w:r w:rsidRPr="00EF1000">
        <w:t xml:space="preserve"> Analytics“</w:t>
      </w:r>
    </w:p>
    <w:p w14:paraId="131255B0" w14:textId="77777777" w:rsidR="001B4802" w:rsidRPr="00EF1000" w:rsidRDefault="001B4802" w:rsidP="000D0A8B">
      <w:pPr>
        <w:pStyle w:val="Titulinionuoroda"/>
      </w:pPr>
    </w:p>
    <w:p w14:paraId="1A9FEAC5" w14:textId="77777777" w:rsidR="000D0A8B" w:rsidRPr="00EF1000" w:rsidRDefault="000D0A8B" w:rsidP="000D0A8B">
      <w:pPr>
        <w:pStyle w:val="Titulinionuoroda"/>
        <w:sectPr w:rsidR="000D0A8B" w:rsidRPr="00EF1000" w:rsidSect="00780208">
          <w:footerReference w:type="default" r:id="rId9"/>
          <w:headerReference w:type="first" r:id="rId10"/>
          <w:type w:val="nextColumn"/>
          <w:pgSz w:w="11906" w:h="16838"/>
          <w:pgMar w:top="1134" w:right="1134" w:bottom="851" w:left="1134" w:header="567" w:footer="567" w:gutter="0"/>
          <w:cols w:space="1296"/>
          <w:titlePg/>
          <w:docGrid w:linePitch="360"/>
        </w:sectPr>
      </w:pPr>
    </w:p>
    <w:p w14:paraId="30CA8961" w14:textId="77777777" w:rsidR="007310A9" w:rsidRPr="007310A9" w:rsidRDefault="007310A9" w:rsidP="008A6F28">
      <w:pPr>
        <w:pStyle w:val="Nenumeruojamosantrastes"/>
      </w:pPr>
      <w:r w:rsidRPr="007310A9">
        <w:lastRenderedPageBreak/>
        <w:t>SSVP tikslai ir jiems įgyvendinti skirtos lėšos</w:t>
      </w:r>
    </w:p>
    <w:p w14:paraId="65050C47" w14:textId="77777777" w:rsidR="007310A9" w:rsidRPr="00E66F06" w:rsidRDefault="007310A9" w:rsidP="007310A9">
      <w:pPr>
        <w:pStyle w:val="Pagrindinispaprastastekstas"/>
        <w:rPr>
          <w:lang w:eastAsia="lt-LT"/>
        </w:rPr>
      </w:pPr>
      <w:r w:rsidRPr="00E66F06">
        <w:rPr>
          <w:lang w:eastAsia="lt-LT"/>
        </w:rPr>
        <w:t>Sanglaudos skatinimo veiksmų programa (toliau – SSVP) įgyvendino Lietuvos 2007</w:t>
      </w:r>
      <w:r>
        <w:rPr>
          <w:lang w:eastAsia="lt-LT"/>
        </w:rPr>
        <w:t>–</w:t>
      </w:r>
      <w:r w:rsidRPr="00E66F06">
        <w:rPr>
          <w:lang w:eastAsia="lt-LT"/>
        </w:rPr>
        <w:t>2013 metų Europos sąjungos (toliau – ES) struktūrinės paramos panaudojimo strategijos konvergencijos tikslui įgyvendinti trečiąją prioritetinę kryptį – gyvenimo kokybė ir sanglauda, pagal kurią buvo keliami trys uždaviniai, atitinkantys SSVP teminius tikslus:</w:t>
      </w:r>
    </w:p>
    <w:p w14:paraId="0DB4E8EC" w14:textId="77777777" w:rsidR="007310A9" w:rsidRPr="00E66F06" w:rsidRDefault="007310A9" w:rsidP="007310A9">
      <w:pPr>
        <w:pStyle w:val="Pagrindinispaprastastekstas"/>
        <w:rPr>
          <w:lang w:eastAsia="lt-LT"/>
        </w:rPr>
      </w:pPr>
    </w:p>
    <w:p w14:paraId="70585323" w14:textId="77777777" w:rsidR="007310A9" w:rsidRPr="00E66F06" w:rsidRDefault="007310A9" w:rsidP="007310A9">
      <w:pPr>
        <w:pStyle w:val="Pagrindinispaprastastekstas"/>
        <w:numPr>
          <w:ilvl w:val="0"/>
          <w:numId w:val="26"/>
        </w:numPr>
        <w:rPr>
          <w:lang w:eastAsia="lt-LT"/>
        </w:rPr>
      </w:pPr>
      <w:r w:rsidRPr="00E66F06">
        <w:rPr>
          <w:lang w:eastAsia="lt-LT"/>
        </w:rPr>
        <w:t>geriau panaudoti vietos potencialą;</w:t>
      </w:r>
    </w:p>
    <w:p w14:paraId="077A68C5" w14:textId="77777777" w:rsidR="007310A9" w:rsidRPr="00E66F06" w:rsidRDefault="007310A9" w:rsidP="007310A9">
      <w:pPr>
        <w:pStyle w:val="Pagrindinispaprastastekstas"/>
        <w:numPr>
          <w:ilvl w:val="0"/>
          <w:numId w:val="26"/>
        </w:numPr>
        <w:rPr>
          <w:lang w:eastAsia="lt-LT"/>
        </w:rPr>
      </w:pPr>
      <w:r w:rsidRPr="00E66F06">
        <w:rPr>
          <w:lang w:eastAsia="lt-LT"/>
        </w:rPr>
        <w:t>teikti kokybiškas ir prieinamas viešąsias paslaugas;</w:t>
      </w:r>
    </w:p>
    <w:p w14:paraId="7E11F533" w14:textId="77777777" w:rsidR="007310A9" w:rsidRPr="00E66F06" w:rsidRDefault="007310A9" w:rsidP="007310A9">
      <w:pPr>
        <w:pStyle w:val="Pagrindinispaprastastekstas"/>
        <w:numPr>
          <w:ilvl w:val="0"/>
          <w:numId w:val="26"/>
        </w:numPr>
        <w:rPr>
          <w:lang w:eastAsia="lt-LT"/>
        </w:rPr>
      </w:pPr>
      <w:r w:rsidRPr="00E66F06">
        <w:rPr>
          <w:lang w:eastAsia="lt-LT"/>
        </w:rPr>
        <w:t>siekti geresnės aplinkos kokybės.</w:t>
      </w:r>
    </w:p>
    <w:p w14:paraId="11F8A91B" w14:textId="77777777" w:rsidR="007310A9" w:rsidRPr="00E66F06" w:rsidRDefault="007310A9" w:rsidP="007310A9">
      <w:pPr>
        <w:pStyle w:val="Pagrindinispaprastastekstas"/>
        <w:rPr>
          <w:lang w:eastAsia="lt-LT"/>
        </w:rPr>
      </w:pPr>
    </w:p>
    <w:p w14:paraId="0B7C22CA" w14:textId="77777777" w:rsidR="007310A9" w:rsidRPr="00E66F06" w:rsidRDefault="007310A9" w:rsidP="007310A9">
      <w:pPr>
        <w:pStyle w:val="Pagrindinispaprastastekstas"/>
        <w:rPr>
          <w:lang w:eastAsia="lt-LT"/>
        </w:rPr>
      </w:pPr>
      <w:r w:rsidRPr="00E66F06">
        <w:rPr>
          <w:noProof/>
          <w:lang w:eastAsia="lt-LT"/>
        </w:rPr>
        <w:drawing>
          <wp:anchor distT="0" distB="0" distL="114300" distR="114300" simplePos="0" relativeHeight="251659264" behindDoc="0" locked="0" layoutInCell="1" allowOverlap="1" wp14:anchorId="57E08701" wp14:editId="5BA8177D">
            <wp:simplePos x="0" y="0"/>
            <wp:positionH relativeFrom="margin">
              <wp:align>right</wp:align>
            </wp:positionH>
            <wp:positionV relativeFrom="paragraph">
              <wp:posOffset>597404</wp:posOffset>
            </wp:positionV>
            <wp:extent cx="4065270" cy="2155825"/>
            <wp:effectExtent l="0" t="0" r="11430" b="1587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Pr="00E66F06">
        <w:rPr>
          <w:lang w:eastAsia="lt-LT"/>
        </w:rPr>
        <w:t xml:space="preserve">SSVP įgyvendinti iš viso </w:t>
      </w:r>
      <w:r>
        <w:rPr>
          <w:lang w:eastAsia="lt-LT"/>
        </w:rPr>
        <w:t>investuota</w:t>
      </w:r>
      <w:r w:rsidRPr="00E66F06">
        <w:rPr>
          <w:lang w:eastAsia="lt-LT"/>
        </w:rPr>
        <w:t xml:space="preserve"> 3 372,0 mln. eurų, iš kurių 3 105,7 mln. eurų arba 92 proc. sudarė viešasis įnašas. SSVP teminiams prioritetams įgyvendinti </w:t>
      </w:r>
      <w:r>
        <w:rPr>
          <w:lang w:eastAsia="lt-LT"/>
        </w:rPr>
        <w:t>investuota</w:t>
      </w:r>
      <w:r w:rsidRPr="00E66F06">
        <w:rPr>
          <w:lang w:eastAsia="lt-LT"/>
        </w:rPr>
        <w:t xml:space="preserve"> 3 336,8 mln. eurų, dar 35,2 mln. eurų </w:t>
      </w:r>
      <w:r>
        <w:rPr>
          <w:lang w:eastAsia="lt-LT"/>
        </w:rPr>
        <w:t>investuota</w:t>
      </w:r>
      <w:r w:rsidRPr="00E66F06">
        <w:rPr>
          <w:lang w:eastAsia="lt-LT"/>
        </w:rPr>
        <w:t xml:space="preserve"> techninės paramos prioritetui įgyvendinti (SSVP administravimas, vertinimas, viešinimas ir informavimas). Pagal SSVP buvo įgyvendinta daugiau kaip 2700 projektų.</w:t>
      </w:r>
    </w:p>
    <w:p w14:paraId="344F58C7" w14:textId="77777777" w:rsidR="007310A9" w:rsidRPr="00E66F06" w:rsidRDefault="007310A9" w:rsidP="007310A9">
      <w:pPr>
        <w:pStyle w:val="Pagrindinispaprastastekstas"/>
        <w:rPr>
          <w:lang w:eastAsia="lt-LT"/>
        </w:rPr>
      </w:pPr>
    </w:p>
    <w:p w14:paraId="2A78DA39" w14:textId="77777777" w:rsidR="007310A9" w:rsidRDefault="007310A9" w:rsidP="007310A9">
      <w:pPr>
        <w:pStyle w:val="Pagrindinispaprastastekstas"/>
        <w:rPr>
          <w:lang w:eastAsia="lt-LT"/>
        </w:rPr>
      </w:pPr>
      <w:r w:rsidRPr="00E66F06">
        <w:rPr>
          <w:lang w:eastAsia="lt-LT"/>
        </w:rPr>
        <w:t xml:space="preserve">Didžiausia SSVP investicijų dalis (44 proc.) buvo skirta aplinkos kokybės gerinimui (atliekų tvarkymo sistemos sukūrimas, vandens tiekimo ir nuotekų tvarkymo infrastruktūros plėtra, oro kokybės gerinimas investuojant į didžiųjų miestų viešojo transporto sistemas, energijos vartojimo efektyvumo didinimas viešosios paskirties pastatuose ir atsinaujinančių energijos išteklių naudojimo skatinimas). Vietinei ir urbanistinei plėtrai, kultūros ir gamtos paveldo išsaugojimui ir pritaikymui, kitos turizmo infrastruktūros ir paslaugų plėtrai, aplinkos kokybės gerinimui teko 33 proc. SSVP investicijų. Sveikatos, švietimo ir socialinių paslaugų teikimo infrastruktūros atnaujinimui ir plėtrai </w:t>
      </w:r>
      <w:r>
        <w:rPr>
          <w:lang w:eastAsia="lt-LT"/>
        </w:rPr>
        <w:t>investuota</w:t>
      </w:r>
      <w:r w:rsidRPr="00E66F06">
        <w:rPr>
          <w:lang w:eastAsia="lt-LT"/>
        </w:rPr>
        <w:t xml:space="preserve"> 22 proc. visų SSVP investicijų.</w:t>
      </w:r>
      <w:bookmarkStart w:id="0" w:name="_Toc468106950"/>
      <w:bookmarkStart w:id="1" w:name="_Toc468114519"/>
    </w:p>
    <w:p w14:paraId="56214FB4" w14:textId="77777777" w:rsidR="007310A9" w:rsidRDefault="007310A9" w:rsidP="007310A9">
      <w:pPr>
        <w:pStyle w:val="Pagrindinispaprastastekstas"/>
        <w:rPr>
          <w:lang w:eastAsia="lt-LT"/>
        </w:rPr>
      </w:pPr>
    </w:p>
    <w:p w14:paraId="1E27B4F9" w14:textId="7CC00A58" w:rsidR="007310A9" w:rsidRPr="00E66F06" w:rsidRDefault="007310A9" w:rsidP="008A6F28">
      <w:pPr>
        <w:pStyle w:val="Nenumeruojamosantrastes"/>
      </w:pPr>
      <w:r w:rsidRPr="00E66F06">
        <w:t>SSVP įgyvendinimo rezultatai</w:t>
      </w:r>
      <w:bookmarkEnd w:id="0"/>
      <w:r w:rsidRPr="00E66F06">
        <w:t xml:space="preserve">: </w:t>
      </w:r>
      <w:bookmarkStart w:id="2" w:name="_Toc468106951"/>
      <w:r w:rsidRPr="00E66F06">
        <w:t>Regionų plėtra</w:t>
      </w:r>
      <w:bookmarkEnd w:id="1"/>
      <w:bookmarkEnd w:id="2"/>
    </w:p>
    <w:p w14:paraId="745679EA" w14:textId="77777777" w:rsidR="007310A9" w:rsidRPr="007310A9" w:rsidRDefault="007310A9" w:rsidP="007310A9">
      <w:pPr>
        <w:pStyle w:val="Pagrindinispaprastastekstas"/>
        <w:rPr>
          <w:rFonts w:ascii="Cambria" w:hAnsi="Cambria"/>
          <w:b/>
          <w:color w:val="44546A" w:themeColor="text2"/>
          <w:lang w:eastAsia="lt-LT"/>
        </w:rPr>
      </w:pPr>
      <w:r w:rsidRPr="007310A9">
        <w:rPr>
          <w:rFonts w:ascii="Cambria" w:hAnsi="Cambria"/>
          <w:b/>
          <w:color w:val="44546A" w:themeColor="text2"/>
          <w:lang w:eastAsia="lt-LT"/>
        </w:rPr>
        <w:t>Pagrindiniai produktai ir rezultatai</w:t>
      </w:r>
    </w:p>
    <w:p w14:paraId="348FEE75" w14:textId="77777777" w:rsidR="007310A9" w:rsidRPr="00E66F06" w:rsidRDefault="007310A9" w:rsidP="007310A9">
      <w:pPr>
        <w:pStyle w:val="Pagrindinispaprastastekstas"/>
        <w:rPr>
          <w:lang w:eastAsia="lt-LT"/>
        </w:rPr>
      </w:pPr>
      <w:r w:rsidRPr="00E66F06">
        <w:rPr>
          <w:noProof/>
          <w:lang w:eastAsia="lt-LT"/>
        </w:rPr>
        <w:drawing>
          <wp:inline distT="0" distB="0" distL="0" distR="0" wp14:anchorId="5A9A065A" wp14:editId="61F292C5">
            <wp:extent cx="6111114" cy="1525905"/>
            <wp:effectExtent l="0" t="0" r="23495" b="1714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0BBE070" w14:textId="77777777" w:rsidR="007310A9" w:rsidRPr="00E66F06" w:rsidRDefault="007310A9" w:rsidP="007310A9">
      <w:pPr>
        <w:pStyle w:val="Pagrindinispaprastastekstas"/>
        <w:rPr>
          <w:lang w:eastAsia="lt-LT"/>
        </w:rPr>
      </w:pPr>
    </w:p>
    <w:p w14:paraId="129DEBAD" w14:textId="77777777" w:rsidR="007310A9" w:rsidRPr="00E66F06" w:rsidRDefault="007310A9" w:rsidP="007310A9">
      <w:pPr>
        <w:pStyle w:val="Pagrindinispaprastastekstas"/>
        <w:numPr>
          <w:ilvl w:val="0"/>
          <w:numId w:val="28"/>
        </w:numPr>
        <w:rPr>
          <w:lang w:eastAsia="lt-LT"/>
        </w:rPr>
      </w:pPr>
      <w:r w:rsidRPr="00E66F06">
        <w:rPr>
          <w:lang w:eastAsia="lt-LT"/>
        </w:rPr>
        <w:t>Probleminėse teritorijose renovuoti 368 daugiabučiai gyvenamieji namai, būsto sąlygos pagerintos daugiau kaip 11,8 tūkst. asmenų.</w:t>
      </w:r>
    </w:p>
    <w:p w14:paraId="4F670E29" w14:textId="77777777" w:rsidR="007310A9" w:rsidRPr="00E66F06" w:rsidRDefault="007310A9" w:rsidP="007310A9">
      <w:pPr>
        <w:pStyle w:val="Pagrindinispaprastastekstas"/>
        <w:numPr>
          <w:ilvl w:val="0"/>
          <w:numId w:val="28"/>
        </w:numPr>
        <w:rPr>
          <w:lang w:eastAsia="lt-LT"/>
        </w:rPr>
      </w:pPr>
      <w:r w:rsidRPr="00E66F06">
        <w:rPr>
          <w:lang w:eastAsia="lt-LT"/>
        </w:rPr>
        <w:t>SSVP lėšomis įrengti nauji socialiniai būstai (iš viso 271) sudaro 5,3 proc. visų 2010–2014 m. Lietuvoje išnuomotų socialinių būstų. Be šių socialinių būstų, sąrašuose socialiniam būstui nuomoti esančių asmenų (šeimų) skaičius būtų 0,8 proc. didesnis. SSVP lėšomis atnaujintas 291 socialinis būstas.</w:t>
      </w:r>
    </w:p>
    <w:p w14:paraId="3F970B38" w14:textId="77777777" w:rsidR="007310A9" w:rsidRPr="00E66F06" w:rsidRDefault="007310A9" w:rsidP="007310A9">
      <w:pPr>
        <w:pStyle w:val="Pagrindinispaprastastekstas"/>
        <w:numPr>
          <w:ilvl w:val="0"/>
          <w:numId w:val="28"/>
        </w:numPr>
        <w:rPr>
          <w:lang w:eastAsia="lt-LT"/>
        </w:rPr>
      </w:pPr>
      <w:r w:rsidRPr="00E66F06">
        <w:rPr>
          <w:lang w:eastAsia="lt-LT"/>
        </w:rPr>
        <w:t>241 gyvenamojoje vietovėje 52 iš 60 Lietuvos savivaldybių buvo tvarkoma viešoji ir bendruomeninė infrastruktūra (daugiausiai Utenos ir Tauragės regionuose).</w:t>
      </w:r>
    </w:p>
    <w:p w14:paraId="20963265" w14:textId="77777777" w:rsidR="007310A9" w:rsidRPr="00E66F06" w:rsidRDefault="007310A9" w:rsidP="007310A9">
      <w:pPr>
        <w:pStyle w:val="Pagrindinispaprastastekstas"/>
        <w:numPr>
          <w:ilvl w:val="0"/>
          <w:numId w:val="28"/>
        </w:numPr>
        <w:rPr>
          <w:lang w:eastAsia="lt-LT"/>
        </w:rPr>
      </w:pPr>
      <w:r w:rsidRPr="00E66F06">
        <w:rPr>
          <w:lang w:eastAsia="lt-LT"/>
        </w:rPr>
        <w:t>Iki 2013 m. pabaigos kaimo vietovėse pritraukta 137,6 mln. eurų privačių investicijų.</w:t>
      </w:r>
    </w:p>
    <w:p w14:paraId="3D18185F" w14:textId="77777777" w:rsidR="007310A9" w:rsidRPr="00E66F06" w:rsidRDefault="007310A9" w:rsidP="007310A9">
      <w:pPr>
        <w:pStyle w:val="Pagrindinispaprastastekstas"/>
        <w:rPr>
          <w:lang w:eastAsia="lt-LT"/>
        </w:rPr>
      </w:pPr>
    </w:p>
    <w:tbl>
      <w:tblPr>
        <w:tblStyle w:val="TableGrid"/>
        <w:tblW w:w="10060" w:type="dxa"/>
        <w:tblBorders>
          <w:top w:val="single" w:sz="4" w:space="0" w:color="44546A" w:themeColor="text2"/>
          <w:left w:val="single" w:sz="4" w:space="0" w:color="44546A" w:themeColor="text2"/>
          <w:bottom w:val="single" w:sz="4" w:space="0" w:color="44546A" w:themeColor="text2"/>
          <w:right w:val="single" w:sz="4" w:space="0" w:color="44546A" w:themeColor="text2"/>
          <w:insideH w:val="none" w:sz="0" w:space="0" w:color="auto"/>
          <w:insideV w:val="none" w:sz="0" w:space="0" w:color="auto"/>
        </w:tblBorders>
        <w:tblLook w:val="04A0" w:firstRow="1" w:lastRow="0" w:firstColumn="1" w:lastColumn="0" w:noHBand="0" w:noVBand="1"/>
      </w:tblPr>
      <w:tblGrid>
        <w:gridCol w:w="10060"/>
      </w:tblGrid>
      <w:tr w:rsidR="007310A9" w:rsidRPr="00E66F06" w14:paraId="48D36E56" w14:textId="77777777" w:rsidTr="00AB5327">
        <w:tc>
          <w:tcPr>
            <w:tcW w:w="10060" w:type="dxa"/>
            <w:shd w:val="clear" w:color="auto" w:fill="DEEAF6" w:themeFill="accent1" w:themeFillTint="33"/>
          </w:tcPr>
          <w:p w14:paraId="606BB985" w14:textId="77777777" w:rsidR="007310A9" w:rsidRPr="00AB5327" w:rsidRDefault="007310A9" w:rsidP="00AB5327">
            <w:pPr>
              <w:pStyle w:val="Pagrindinispaprastastekstas"/>
              <w:jc w:val="center"/>
              <w:rPr>
                <w:rFonts w:ascii="Cambria" w:hAnsi="Cambria"/>
                <w:b/>
                <w:i/>
                <w:color w:val="44546A" w:themeColor="text2"/>
              </w:rPr>
            </w:pPr>
            <w:r w:rsidRPr="00AB5327">
              <w:rPr>
                <w:rFonts w:ascii="Cambria" w:hAnsi="Cambria"/>
                <w:b/>
                <w:i/>
                <w:color w:val="44546A" w:themeColor="text2"/>
              </w:rPr>
              <w:t>„</w:t>
            </w:r>
            <w:proofErr w:type="spellStart"/>
            <w:r w:rsidRPr="00AB5327">
              <w:rPr>
                <w:rFonts w:ascii="Cambria" w:hAnsi="Cambria"/>
                <w:b/>
                <w:i/>
                <w:color w:val="44546A" w:themeColor="text2"/>
              </w:rPr>
              <w:t>Dauniškio</w:t>
            </w:r>
            <w:proofErr w:type="spellEnd"/>
            <w:r w:rsidRPr="00AB5327">
              <w:rPr>
                <w:rFonts w:ascii="Cambria" w:hAnsi="Cambria"/>
                <w:b/>
                <w:i/>
                <w:color w:val="44546A" w:themeColor="text2"/>
              </w:rPr>
              <w:t xml:space="preserve"> parko sutvarkymas“</w:t>
            </w:r>
          </w:p>
          <w:p w14:paraId="1FB90852" w14:textId="77777777" w:rsidR="007310A9" w:rsidRPr="00AB5327" w:rsidRDefault="007310A9" w:rsidP="00AB5327">
            <w:pPr>
              <w:pStyle w:val="Pagrindinispaprastastekstas"/>
              <w:jc w:val="center"/>
              <w:rPr>
                <w:i/>
              </w:rPr>
            </w:pPr>
            <w:r w:rsidRPr="00AB5327">
              <w:rPr>
                <w:i/>
              </w:rPr>
              <w:t>Projekto vykdytojas – Utenos rajono savivaldybės administracija</w:t>
            </w:r>
          </w:p>
          <w:p w14:paraId="188105F0" w14:textId="77777777" w:rsidR="007310A9" w:rsidRPr="00AB5327" w:rsidRDefault="007310A9" w:rsidP="00AB5327">
            <w:pPr>
              <w:pStyle w:val="Pagrindinispaprastastekstas"/>
              <w:jc w:val="center"/>
              <w:rPr>
                <w:i/>
              </w:rPr>
            </w:pPr>
            <w:r w:rsidRPr="00AB5327">
              <w:rPr>
                <w:i/>
              </w:rPr>
              <w:t>Projektui išmokėtos ES lėšos – 1 146,1 tūkst. eurų.</w:t>
            </w:r>
          </w:p>
          <w:p w14:paraId="28CD7AFE" w14:textId="77777777" w:rsidR="007310A9" w:rsidRPr="00E66F06" w:rsidRDefault="007310A9" w:rsidP="007310A9">
            <w:pPr>
              <w:pStyle w:val="Pagrindinispaprastastekstas"/>
            </w:pPr>
            <w:r w:rsidRPr="00E66F06">
              <w:rPr>
                <w:noProof/>
              </w:rPr>
              <w:drawing>
                <wp:anchor distT="0" distB="0" distL="114300" distR="114300" simplePos="0" relativeHeight="251661312" behindDoc="0" locked="0" layoutInCell="1" allowOverlap="1" wp14:anchorId="31F574DF" wp14:editId="309158AB">
                  <wp:simplePos x="0" y="0"/>
                  <wp:positionH relativeFrom="column">
                    <wp:posOffset>-36173</wp:posOffset>
                  </wp:positionH>
                  <wp:positionV relativeFrom="paragraph">
                    <wp:posOffset>24415</wp:posOffset>
                  </wp:positionV>
                  <wp:extent cx="2462400" cy="1641600"/>
                  <wp:effectExtent l="0" t="0" r="33655" b="34925"/>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2400" cy="1641600"/>
                          </a:xfrm>
                          <a:prstGeom prst="rect">
                            <a:avLst/>
                          </a:prstGeom>
                          <a:noFill/>
                          <a:ln>
                            <a:noFill/>
                          </a:ln>
                          <a:effectLst>
                            <a:outerShdw dist="35921" dir="2700000" algn="ctr" rotWithShape="0">
                              <a:schemeClr val="bg2"/>
                            </a:outerShdw>
                            <a:softEdge rad="127000"/>
                          </a:effectLst>
                          <a:extLst/>
                        </pic:spPr>
                      </pic:pic>
                    </a:graphicData>
                  </a:graphic>
                  <wp14:sizeRelH relativeFrom="margin">
                    <wp14:pctWidth>0</wp14:pctWidth>
                  </wp14:sizeRelH>
                  <wp14:sizeRelV relativeFrom="margin">
                    <wp14:pctHeight>0</wp14:pctHeight>
                  </wp14:sizeRelV>
                </wp:anchor>
              </w:drawing>
            </w:r>
          </w:p>
          <w:p w14:paraId="6DF41B97" w14:textId="77777777" w:rsidR="007310A9" w:rsidRPr="00AB5327" w:rsidRDefault="007310A9" w:rsidP="007310A9">
            <w:pPr>
              <w:pStyle w:val="Pagrindinispaprastastekstas"/>
              <w:rPr>
                <w:rFonts w:ascii="Times New Roman" w:hAnsi="Times New Roman"/>
                <w:sz w:val="20"/>
                <w:szCs w:val="20"/>
              </w:rPr>
            </w:pPr>
            <w:r w:rsidRPr="00AB5327">
              <w:rPr>
                <w:rFonts w:ascii="Times New Roman" w:hAnsi="Times New Roman"/>
                <w:sz w:val="20"/>
                <w:szCs w:val="20"/>
              </w:rPr>
              <w:t xml:space="preserve">Įgyvendinant projektą buvo nutiesti pasivaikščiojimo takai, kurias galima apeiti ežerą, pastatyti suoliukai, įrengta vaikų žaidimų aikštelė, tualetas, suformuotos parko erdvės, parko teritorija atribota tvoromis ir želdiniais. Šlapiose durpingose vietose panaudota medinių (drebulinių) takų konstrukcija, pastatytas lietaus nuotekų valymo įrenginys, iš kurio vanduo patenka į kūdrą, kuri taip pat atlieka vandens valymo funkciją. Parko teritoriją ribojantys privatūs žemės sklypai, atriboti vienodomis tvoromis. Parko teritoriją puošia įvairūs želdiniai, pritaikyti pagal augimo sąlygas. Vaizdingas </w:t>
            </w:r>
            <w:proofErr w:type="spellStart"/>
            <w:r w:rsidRPr="00AB5327">
              <w:rPr>
                <w:rFonts w:ascii="Times New Roman" w:hAnsi="Times New Roman"/>
                <w:sz w:val="20"/>
                <w:szCs w:val="20"/>
              </w:rPr>
              <w:t>Dauniškio</w:t>
            </w:r>
            <w:proofErr w:type="spellEnd"/>
            <w:r w:rsidRPr="00AB5327">
              <w:rPr>
                <w:rFonts w:ascii="Times New Roman" w:hAnsi="Times New Roman"/>
                <w:sz w:val="20"/>
                <w:szCs w:val="20"/>
              </w:rPr>
              <w:t xml:space="preserve"> parkas – uteniškių ir miesto svečių poilsio vieta, kurią dažnai renkasi ir kultūrinių renginių organizatoriai.</w:t>
            </w:r>
          </w:p>
        </w:tc>
      </w:tr>
    </w:tbl>
    <w:p w14:paraId="723CA418" w14:textId="77777777" w:rsidR="007310A9" w:rsidRPr="00E66F06" w:rsidRDefault="007310A9" w:rsidP="007310A9">
      <w:pPr>
        <w:pStyle w:val="Pagrindinispaprastastekstas"/>
        <w:rPr>
          <w:lang w:eastAsia="lt-LT"/>
        </w:rPr>
      </w:pPr>
    </w:p>
    <w:p w14:paraId="1B70182B" w14:textId="77777777" w:rsidR="007310A9" w:rsidRPr="007310A9" w:rsidRDefault="007310A9" w:rsidP="007310A9">
      <w:pPr>
        <w:pStyle w:val="Pagrindinispaprastastekstas"/>
        <w:rPr>
          <w:rFonts w:ascii="Cambria" w:hAnsi="Cambria"/>
          <w:b/>
          <w:color w:val="44546A" w:themeColor="text2"/>
          <w:lang w:eastAsia="lt-LT"/>
        </w:rPr>
      </w:pPr>
      <w:r w:rsidRPr="007310A9">
        <w:rPr>
          <w:rFonts w:ascii="Cambria" w:hAnsi="Cambria"/>
          <w:b/>
          <w:color w:val="44546A" w:themeColor="text2"/>
          <w:lang w:eastAsia="lt-LT"/>
        </w:rPr>
        <w:t>Investicijų poveikis:</w:t>
      </w:r>
    </w:p>
    <w:p w14:paraId="365BEF61" w14:textId="77777777" w:rsidR="007310A9" w:rsidRPr="00E66F06" w:rsidRDefault="007310A9" w:rsidP="007310A9">
      <w:pPr>
        <w:pStyle w:val="Pagrindinispaprastastekstas"/>
        <w:numPr>
          <w:ilvl w:val="0"/>
          <w:numId w:val="27"/>
        </w:numPr>
        <w:rPr>
          <w:lang w:eastAsia="lt-LT"/>
        </w:rPr>
      </w:pPr>
      <w:r w:rsidRPr="00E66F06">
        <w:rPr>
          <w:lang w:eastAsia="lt-LT"/>
        </w:rPr>
        <w:t>Sumažėjo socialinio būsto laukiančių asmenų (šeimų) skaičius, ypač Jurbarko r., Kelmės r. ir Joniškio r. savivaldybėse – nesant VP lėšomis įrengto socialinio būsto, socialinio būsto laukiančių asmenų skaičius šiose savivaldybėse būtų didesnis daugiau nei 10 proc.</w:t>
      </w:r>
      <w:r w:rsidRPr="00E66F06">
        <w:rPr>
          <w:rStyle w:val="EndnoteReference"/>
          <w:lang w:eastAsia="lt-LT"/>
        </w:rPr>
        <w:endnoteReference w:id="1"/>
      </w:r>
    </w:p>
    <w:p w14:paraId="7FFB3A32" w14:textId="77777777" w:rsidR="007310A9" w:rsidRPr="00E66F06" w:rsidRDefault="007310A9" w:rsidP="007310A9">
      <w:pPr>
        <w:pStyle w:val="Pagrindinispaprastastekstas"/>
        <w:numPr>
          <w:ilvl w:val="0"/>
          <w:numId w:val="27"/>
        </w:numPr>
        <w:rPr>
          <w:lang w:eastAsia="lt-LT"/>
        </w:rPr>
      </w:pPr>
      <w:r w:rsidRPr="00E66F06">
        <w:rPr>
          <w:lang w:eastAsia="lt-LT"/>
        </w:rPr>
        <w:t>Miestų, miestelių ir kaimo gyvenamųjų vietovių viešųjų erdvių ir bendruomeninės infrastruktūros atnaujinimo projektams išmokėtas finansavimas (ES ir bendrojo finansavimo lėšos) sudaro apie 20 proc. metinių savivaldybių biudžetų pajamų. Be SSVP tokio masto investicijos į viešosios infrastruktūros atnaujinimą nebūtų įmanomos.</w:t>
      </w:r>
      <w:r w:rsidRPr="00E66F06">
        <w:rPr>
          <w:rStyle w:val="EndnoteReference"/>
          <w:lang w:eastAsia="lt-LT"/>
        </w:rPr>
        <w:endnoteReference w:id="2"/>
      </w:r>
    </w:p>
    <w:p w14:paraId="63F487D3" w14:textId="77777777" w:rsidR="007310A9" w:rsidRPr="00E66F06" w:rsidRDefault="007310A9" w:rsidP="007310A9">
      <w:pPr>
        <w:pStyle w:val="Pagrindinispaprastastekstas"/>
        <w:numPr>
          <w:ilvl w:val="0"/>
          <w:numId w:val="27"/>
        </w:numPr>
        <w:rPr>
          <w:lang w:eastAsia="lt-LT"/>
        </w:rPr>
      </w:pPr>
      <w:r w:rsidRPr="00E66F06">
        <w:rPr>
          <w:lang w:eastAsia="lt-LT"/>
        </w:rPr>
        <w:t>Dėl įgyvendintų projektų padidėjo materialinės investicijos, kurios yra vienas iš labiausiai BVP augimą lemiančių veiksnių. ES struktūrinių fondų lėšomis finansuotos materialinės investicijos sudarė 25 proc. visų 2009–2013 m. laikotarpio sukauptų materialinių investicijų Lietuvoje.</w:t>
      </w:r>
      <w:r w:rsidRPr="00E66F06">
        <w:rPr>
          <w:rStyle w:val="EndnoteReference"/>
          <w:lang w:eastAsia="lt-LT"/>
        </w:rPr>
        <w:endnoteReference w:id="3"/>
      </w:r>
    </w:p>
    <w:p w14:paraId="370B86A4" w14:textId="77777777" w:rsidR="007310A9" w:rsidRPr="00E66F06" w:rsidRDefault="007310A9" w:rsidP="007310A9">
      <w:pPr>
        <w:pStyle w:val="Pagrindinispaprastastekstas"/>
        <w:numPr>
          <w:ilvl w:val="0"/>
          <w:numId w:val="27"/>
        </w:numPr>
        <w:rPr>
          <w:lang w:eastAsia="lt-LT"/>
        </w:rPr>
      </w:pPr>
      <w:r w:rsidRPr="00E66F06">
        <w:rPr>
          <w:lang w:eastAsia="lt-LT"/>
        </w:rPr>
        <w:t>Nuo 2007 m. iki 2014 m. gyvenimo kokybė pagerėjo 42 savivaldybėse, o viešosios infrastruktūros ir gyvenamosios aplinkos kokybės ir saugumo dimensijos indekso reikšmė 2014 m. buvo didesnė nei 2007 m. net 59 iš 60 savivaldybių.</w:t>
      </w:r>
      <w:r w:rsidRPr="00E66F06">
        <w:rPr>
          <w:rStyle w:val="EndnoteReference"/>
          <w:lang w:eastAsia="lt-LT"/>
        </w:rPr>
        <w:endnoteReference w:id="4"/>
      </w:r>
    </w:p>
    <w:p w14:paraId="50390503" w14:textId="77777777" w:rsidR="007310A9" w:rsidRPr="00E66F06" w:rsidRDefault="007310A9" w:rsidP="007310A9">
      <w:pPr>
        <w:pStyle w:val="Pagrindinispaprastastekstas"/>
        <w:numPr>
          <w:ilvl w:val="0"/>
          <w:numId w:val="27"/>
        </w:numPr>
        <w:rPr>
          <w:lang w:eastAsia="lt-LT"/>
        </w:rPr>
      </w:pPr>
      <w:r w:rsidRPr="00E66F06">
        <w:t>Nuo 2007 m. iki 2014 m. visuose Lietuvos regionuose BVP gyventojui išaugo (nuo 16 proc. Utenos regione iki 71 proc. Tauragės regione; šalies vidurkis – 38 proc.). Dauguma regionų (7 iš 10) pagal BVP gyventojui rodiklį artėjo link šalies vidurkio. Kadangi daugumos regionų (išskyrus Vilniaus ir Klaipėdos regionus) BVP gyventojui buvo mažesnis nei šalies vidurkis, tokia tendencija vertintina teigiamai (sumažėjo mažiau išsivysčiusių regionų ekonominis atsilikimas).</w:t>
      </w:r>
    </w:p>
    <w:p w14:paraId="36823036" w14:textId="2C5DDCEC" w:rsidR="007310A9" w:rsidRPr="00E66F06" w:rsidRDefault="007310A9" w:rsidP="008A6F28">
      <w:pPr>
        <w:pStyle w:val="Nenumeruojamosantrastes"/>
      </w:pPr>
      <w:bookmarkStart w:id="4" w:name="_Toc468106952"/>
      <w:bookmarkStart w:id="5" w:name="_Toc468114520"/>
      <w:r w:rsidRPr="00E66F06">
        <w:t>SSVP įgyvendinimo rezultatai: kultūros paveldas, turizmo infrastruktūra ir paslaugos</w:t>
      </w:r>
      <w:bookmarkEnd w:id="4"/>
      <w:bookmarkEnd w:id="5"/>
    </w:p>
    <w:p w14:paraId="3B806594" w14:textId="77777777" w:rsidR="007310A9" w:rsidRPr="007310A9" w:rsidRDefault="007310A9" w:rsidP="007310A9">
      <w:pPr>
        <w:pStyle w:val="Pagrindinispaprastastekstas"/>
        <w:rPr>
          <w:rFonts w:ascii="Cambria" w:hAnsi="Cambria"/>
          <w:b/>
          <w:color w:val="44546A" w:themeColor="text2"/>
          <w:lang w:eastAsia="lt-LT"/>
        </w:rPr>
      </w:pPr>
      <w:r w:rsidRPr="007310A9">
        <w:rPr>
          <w:rFonts w:ascii="Cambria" w:hAnsi="Cambria"/>
          <w:b/>
          <w:color w:val="44546A" w:themeColor="text2"/>
          <w:lang w:eastAsia="lt-LT"/>
        </w:rPr>
        <w:t>Pagrindiniai produktai ir rezultatai</w:t>
      </w:r>
    </w:p>
    <w:p w14:paraId="47C5B010" w14:textId="77777777" w:rsidR="007310A9" w:rsidRDefault="007310A9" w:rsidP="007310A9">
      <w:pPr>
        <w:pStyle w:val="Pagrindinispaprastastekstas"/>
        <w:rPr>
          <w:lang w:eastAsia="lt-LT"/>
        </w:rPr>
      </w:pPr>
      <w:r w:rsidRPr="00E66F06">
        <w:rPr>
          <w:noProof/>
          <w:lang w:eastAsia="lt-LT"/>
        </w:rPr>
        <w:drawing>
          <wp:inline distT="0" distB="0" distL="0" distR="0" wp14:anchorId="530360CD" wp14:editId="43A579A8">
            <wp:extent cx="6085840" cy="1239352"/>
            <wp:effectExtent l="0" t="0" r="10160" b="1841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60032BA" w14:textId="77777777" w:rsidR="007310A9" w:rsidRPr="00E66F06" w:rsidRDefault="007310A9" w:rsidP="007310A9">
      <w:pPr>
        <w:pStyle w:val="Pagrindinispaprastastekstas"/>
        <w:rPr>
          <w:lang w:eastAsia="lt-LT"/>
        </w:rPr>
      </w:pPr>
    </w:p>
    <w:p w14:paraId="50A6C609" w14:textId="77777777" w:rsidR="007310A9" w:rsidRPr="00E66F06" w:rsidRDefault="007310A9" w:rsidP="007310A9">
      <w:pPr>
        <w:pStyle w:val="Pagrindinispaprastastekstas"/>
        <w:numPr>
          <w:ilvl w:val="0"/>
          <w:numId w:val="29"/>
        </w:numPr>
        <w:rPr>
          <w:lang w:eastAsia="lt-LT"/>
        </w:rPr>
      </w:pPr>
      <w:r w:rsidRPr="00E66F06">
        <w:rPr>
          <w:lang w:eastAsia="lt-LT"/>
        </w:rPr>
        <w:t>Įgyvendinus 288 projektus, skirtus turizmo infrastruktūros ir paslaugų plėtrai, buvo sukurta naujų ar sutvarkyta esamų 330 turistų traukos objektų.</w:t>
      </w:r>
    </w:p>
    <w:p w14:paraId="29083784" w14:textId="77777777" w:rsidR="007310A9" w:rsidRPr="00E66F06" w:rsidRDefault="007310A9" w:rsidP="007310A9">
      <w:pPr>
        <w:pStyle w:val="Pagrindinispaprastastekstas"/>
        <w:numPr>
          <w:ilvl w:val="0"/>
          <w:numId w:val="29"/>
        </w:numPr>
        <w:rPr>
          <w:lang w:eastAsia="lt-LT"/>
        </w:rPr>
      </w:pPr>
      <w:r>
        <w:rPr>
          <w:lang w:eastAsia="lt-LT"/>
        </w:rPr>
        <w:t xml:space="preserve">Įkurti arba rekonstruoti </w:t>
      </w:r>
      <w:r w:rsidRPr="00E66F06">
        <w:rPr>
          <w:lang w:eastAsia="lt-LT"/>
        </w:rPr>
        <w:t>6 nauji objektai</w:t>
      </w:r>
      <w:r>
        <w:rPr>
          <w:lang w:eastAsia="lt-LT"/>
        </w:rPr>
        <w:t xml:space="preserve"> (</w:t>
      </w:r>
      <w:r w:rsidRPr="00796E68">
        <w:rPr>
          <w:lang w:eastAsia="lt-LT"/>
        </w:rPr>
        <w:t>Kauno pramogų ir sporto rūmai Nemuno saloje</w:t>
      </w:r>
      <w:r>
        <w:rPr>
          <w:lang w:eastAsia="lt-LT"/>
        </w:rPr>
        <w:t xml:space="preserve">, </w:t>
      </w:r>
      <w:r w:rsidRPr="00796E68">
        <w:rPr>
          <w:lang w:eastAsia="lt-LT"/>
        </w:rPr>
        <w:t>Daugiafunkci</w:t>
      </w:r>
      <w:r>
        <w:rPr>
          <w:lang w:eastAsia="lt-LT"/>
        </w:rPr>
        <w:t xml:space="preserve">nis pramogų ir sporto kompleksas Alytuje, Elektrėnų Ledo rūmai, </w:t>
      </w:r>
      <w:r w:rsidRPr="00796E68">
        <w:rPr>
          <w:lang w:eastAsia="lt-LT"/>
        </w:rPr>
        <w:t>Daugiafunkcinis sporto ir pramogų kompleksas</w:t>
      </w:r>
      <w:r>
        <w:rPr>
          <w:lang w:eastAsia="lt-LT"/>
        </w:rPr>
        <w:t xml:space="preserve"> Klaipėdoje, „</w:t>
      </w:r>
      <w:proofErr w:type="spellStart"/>
      <w:r>
        <w:rPr>
          <w:lang w:eastAsia="lt-LT"/>
        </w:rPr>
        <w:t>Girstučio</w:t>
      </w:r>
      <w:proofErr w:type="spellEnd"/>
      <w:r>
        <w:rPr>
          <w:lang w:eastAsia="lt-LT"/>
        </w:rPr>
        <w:t xml:space="preserve">" kultūros ir sporto rūmai Kaune, Lietuvos žiemos sporto centras Ignalinoje). Šiuose objektuose </w:t>
      </w:r>
      <w:r w:rsidRPr="00E66F06">
        <w:rPr>
          <w:lang w:eastAsia="lt-LT"/>
        </w:rPr>
        <w:t>per 3 metus po projekto užbaigimo pritraukta daugiau nei 100000 lankytojų, įv</w:t>
      </w:r>
      <w:r>
        <w:rPr>
          <w:lang w:eastAsia="lt-LT"/>
        </w:rPr>
        <w:t>yko 168 tarptautiniai renginiai.</w:t>
      </w:r>
    </w:p>
    <w:p w14:paraId="3B467A2D" w14:textId="77777777" w:rsidR="007310A9" w:rsidRPr="00E66F06" w:rsidRDefault="007310A9" w:rsidP="007310A9">
      <w:pPr>
        <w:pStyle w:val="Pagrindinispaprastastekstas"/>
        <w:numPr>
          <w:ilvl w:val="0"/>
          <w:numId w:val="29"/>
        </w:numPr>
        <w:rPr>
          <w:lang w:eastAsia="lt-LT"/>
        </w:rPr>
      </w:pPr>
      <w:r w:rsidRPr="00E66F06">
        <w:rPr>
          <w:lang w:eastAsia="lt-LT"/>
        </w:rPr>
        <w:t>Įgyvendintos 626 turizmo rinkodaros priemonės.</w:t>
      </w:r>
    </w:p>
    <w:p w14:paraId="19C9E52B" w14:textId="77777777" w:rsidR="007310A9" w:rsidRPr="00E66F06" w:rsidRDefault="007310A9" w:rsidP="007310A9">
      <w:pPr>
        <w:pStyle w:val="Pagrindinispaprastastekstas"/>
        <w:rPr>
          <w:lang w:eastAsia="lt-LT"/>
        </w:rPr>
      </w:pPr>
    </w:p>
    <w:p w14:paraId="71696DC5" w14:textId="77777777" w:rsidR="007310A9" w:rsidRPr="007310A9" w:rsidRDefault="007310A9" w:rsidP="007310A9">
      <w:pPr>
        <w:pStyle w:val="Pagrindinispaprastastekstas"/>
        <w:rPr>
          <w:rFonts w:ascii="Cambria" w:hAnsi="Cambria"/>
          <w:b/>
          <w:color w:val="44546A" w:themeColor="text2"/>
          <w:lang w:eastAsia="lt-LT"/>
        </w:rPr>
      </w:pPr>
      <w:r w:rsidRPr="007310A9">
        <w:rPr>
          <w:rFonts w:ascii="Cambria" w:hAnsi="Cambria"/>
          <w:b/>
          <w:color w:val="44546A" w:themeColor="text2"/>
          <w:lang w:eastAsia="lt-LT"/>
        </w:rPr>
        <mc:AlternateContent>
          <mc:Choice Requires="wps">
            <w:drawing>
              <wp:anchor distT="107950" distB="107950" distL="107950" distR="107950" simplePos="0" relativeHeight="251660288" behindDoc="1" locked="0" layoutInCell="1" allowOverlap="1" wp14:anchorId="3E38EC10" wp14:editId="28C4E6F9">
                <wp:simplePos x="0" y="0"/>
                <wp:positionH relativeFrom="margin">
                  <wp:align>right</wp:align>
                </wp:positionH>
                <wp:positionV relativeFrom="paragraph">
                  <wp:posOffset>2540</wp:posOffset>
                </wp:positionV>
                <wp:extent cx="2373630" cy="1138555"/>
                <wp:effectExtent l="0" t="0" r="7620" b="4445"/>
                <wp:wrapSquare wrapText="bothSides"/>
                <wp:docPr id="16" name="Text Box 16"/>
                <wp:cNvGraphicFramePr/>
                <a:graphic xmlns:a="http://schemas.openxmlformats.org/drawingml/2006/main">
                  <a:graphicData uri="http://schemas.microsoft.com/office/word/2010/wordprocessingShape">
                    <wps:wsp>
                      <wps:cNvSpPr txBox="1"/>
                      <wps:spPr>
                        <a:xfrm>
                          <a:off x="0" y="0"/>
                          <a:ext cx="2373630" cy="1138555"/>
                        </a:xfrm>
                        <a:prstGeom prst="rect">
                          <a:avLst/>
                        </a:prstGeom>
                        <a:solidFill>
                          <a:schemeClr val="accent1">
                            <a:lumMod val="20000"/>
                            <a:lumOff val="80000"/>
                          </a:schemeClr>
                        </a:solidFill>
                        <a:ln w="6350">
                          <a:noFill/>
                        </a:ln>
                        <a:effectLst/>
                      </wps:spPr>
                      <wps:style>
                        <a:lnRef idx="0">
                          <a:schemeClr val="accent1"/>
                        </a:lnRef>
                        <a:fillRef idx="1003">
                          <a:schemeClr val="lt2"/>
                        </a:fillRef>
                        <a:effectRef idx="0">
                          <a:schemeClr val="accent1"/>
                        </a:effectRef>
                        <a:fontRef idx="minor">
                          <a:schemeClr val="dk1"/>
                        </a:fontRef>
                      </wps:style>
                      <wps:txbx>
                        <w:txbxContent>
                          <w:p w14:paraId="1B25E936" w14:textId="77777777" w:rsidR="007310A9" w:rsidRPr="007310A9" w:rsidRDefault="007310A9" w:rsidP="007310A9">
                            <w:pPr>
                              <w:jc w:val="center"/>
                              <w:rPr>
                                <w:rFonts w:ascii="Cambria" w:hAnsi="Cambria"/>
                                <w:color w:val="323E4F" w:themeColor="text2" w:themeShade="BF"/>
                                <w:sz w:val="20"/>
                                <w:szCs w:val="20"/>
                              </w:rPr>
                            </w:pPr>
                            <w:r w:rsidRPr="007310A9">
                              <w:rPr>
                                <w:rFonts w:ascii="Cambria" w:hAnsi="Cambria"/>
                                <w:color w:val="323E4F" w:themeColor="text2" w:themeShade="BF"/>
                                <w:sz w:val="20"/>
                                <w:szCs w:val="20"/>
                              </w:rPr>
                              <w:t>Augantis apgyvendinimo įstaigose suteiktų nakvynių ir turistų skaičius, ypač užsieniečiams suteiktų nakvynių ir užsieniečių turistų skaičius visų tipų apgyvendinimo įstaigose rodo didėjantį Lietuvos turistinį patrauklumą.</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8EC10" id="_x0000_t202" coordsize="21600,21600" o:spt="202" path="m,l,21600r21600,l21600,xe">
                <v:stroke joinstyle="miter"/>
                <v:path gradientshapeok="t" o:connecttype="rect"/>
              </v:shapetype>
              <v:shape id="Text Box 16" o:spid="_x0000_s1026" type="#_x0000_t202" style="position:absolute;left:0;text-align:left;margin-left:135.7pt;margin-top:.2pt;width:186.9pt;height:89.65pt;z-index:-251656192;visibility:visible;mso-wrap-style:square;mso-width-percent:0;mso-height-percent:0;mso-wrap-distance-left:8.5pt;mso-wrap-distance-top:8.5pt;mso-wrap-distance-right:8.5pt;mso-wrap-distance-bottom:8.5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" fillcolor="#deeaf6 [660]" stroked="f" strokeweight=".5pt">
                <v:textbox inset="3mm,3mm,3mm,3mm">
                  <w:txbxContent>
                    <w:p w14:paraId="1B25E936" w14:textId="77777777" w:rsidR="007310A9" w:rsidRPr="007310A9" w:rsidRDefault="007310A9" w:rsidP="007310A9">
                      <w:pPr>
                        <w:jc w:val="center"/>
                        <w:rPr>
                          <w:rFonts w:ascii="Cambria" w:hAnsi="Cambria"/>
                          <w:color w:val="323E4F" w:themeColor="text2" w:themeShade="BF"/>
                          <w:sz w:val="20"/>
                          <w:szCs w:val="20"/>
                        </w:rPr>
                      </w:pPr>
                      <w:r w:rsidRPr="007310A9">
                        <w:rPr>
                          <w:rFonts w:ascii="Cambria" w:hAnsi="Cambria"/>
                          <w:color w:val="323E4F" w:themeColor="text2" w:themeShade="BF"/>
                          <w:sz w:val="20"/>
                          <w:szCs w:val="20"/>
                        </w:rPr>
                        <w:t>Augantis apgyvendinimo įstaigose suteiktų nakvynių ir turistų skaičius, ypač užsieniečiams suteiktų nakvynių ir užsieniečių turistų skaičius visų tipų apgyvendinimo įstaigose rodo didėjantį Lietuvos turistinį patrauklumą.</w:t>
                      </w:r>
                    </w:p>
                  </w:txbxContent>
                </v:textbox>
                <w10:wrap type="square" anchorx="margin"/>
              </v:shape>
            </w:pict>
          </mc:Fallback>
        </mc:AlternateContent>
      </w:r>
      <w:r w:rsidRPr="007310A9">
        <w:rPr>
          <w:rFonts w:ascii="Cambria" w:hAnsi="Cambria"/>
          <w:b/>
          <w:color w:val="44546A" w:themeColor="text2"/>
          <w:lang w:eastAsia="lt-LT"/>
        </w:rPr>
        <w:t>Investicijų poveikis:</w:t>
      </w:r>
    </w:p>
    <w:p w14:paraId="74A525E2" w14:textId="77777777" w:rsidR="007310A9" w:rsidRPr="00E66F06" w:rsidRDefault="007310A9" w:rsidP="007310A9">
      <w:pPr>
        <w:pStyle w:val="Pagrindinispaprastastekstas"/>
        <w:numPr>
          <w:ilvl w:val="0"/>
          <w:numId w:val="29"/>
        </w:numPr>
        <w:rPr>
          <w:lang w:eastAsia="lt-LT"/>
        </w:rPr>
      </w:pPr>
      <w:r w:rsidRPr="00E66F06">
        <w:rPr>
          <w:lang w:eastAsia="lt-LT"/>
        </w:rPr>
        <w:t>Į Lietuvą atvykusių turistų skaičius 2007</w:t>
      </w:r>
      <w:r>
        <w:rPr>
          <w:lang w:eastAsia="lt-LT"/>
        </w:rPr>
        <w:t>–</w:t>
      </w:r>
      <w:r w:rsidRPr="00E66F06">
        <w:rPr>
          <w:lang w:eastAsia="lt-LT"/>
        </w:rPr>
        <w:t xml:space="preserve">2015 m. išaugo beveik 30 proc.: nuo 872,4 tūkst. iki 1 133,3 tūkst. </w:t>
      </w:r>
    </w:p>
    <w:p w14:paraId="7EAB5119" w14:textId="77777777" w:rsidR="007310A9" w:rsidRPr="00E66F06" w:rsidRDefault="007310A9" w:rsidP="007310A9">
      <w:pPr>
        <w:pStyle w:val="Pagrindinispaprastastekstas"/>
        <w:numPr>
          <w:ilvl w:val="0"/>
          <w:numId w:val="29"/>
        </w:numPr>
        <w:rPr>
          <w:lang w:eastAsia="lt-LT"/>
        </w:rPr>
      </w:pPr>
      <w:r w:rsidRPr="00E66F06">
        <w:rPr>
          <w:lang w:eastAsia="lt-LT"/>
        </w:rPr>
        <w:t>Atvykusių turistų išlaidos 2007–2015 m. išaugo 50 proc.: nuo 507,7 mln. eurų iki 767,8 mln. eurų.</w:t>
      </w:r>
    </w:p>
    <w:p w14:paraId="0D5331FB" w14:textId="77777777" w:rsidR="007310A9" w:rsidRPr="00E66F06" w:rsidRDefault="007310A9" w:rsidP="007310A9">
      <w:pPr>
        <w:pStyle w:val="Pagrindinispaprastastekstas"/>
        <w:numPr>
          <w:ilvl w:val="0"/>
          <w:numId w:val="29"/>
        </w:numPr>
        <w:rPr>
          <w:lang w:eastAsia="lt-LT"/>
        </w:rPr>
      </w:pPr>
      <w:r w:rsidRPr="00E66F06">
        <w:rPr>
          <w:lang w:eastAsia="lt-LT"/>
        </w:rPr>
        <w:t xml:space="preserve">Užsieniečių nakvynių dalis apgyvendinimo įstaigose 2007–2015 m. išaugo 10 proc. punktų: nuo 39 proc. iki 49 proc. </w:t>
      </w:r>
    </w:p>
    <w:p w14:paraId="4BB13470" w14:textId="77777777" w:rsidR="007310A9" w:rsidRPr="00E66F06" w:rsidRDefault="007310A9" w:rsidP="007310A9">
      <w:pPr>
        <w:pStyle w:val="Pagrindinispaprastastekstas"/>
        <w:numPr>
          <w:ilvl w:val="0"/>
          <w:numId w:val="29"/>
        </w:numPr>
        <w:rPr>
          <w:lang w:eastAsia="lt-LT"/>
        </w:rPr>
      </w:pPr>
      <w:r w:rsidRPr="00E66F06">
        <w:rPr>
          <w:lang w:eastAsia="lt-LT"/>
        </w:rPr>
        <w:t xml:space="preserve">Metinės pajamos iš atvykstamojo turizmo 2005–2014 m. išaugo 60 proc.: nuo 742,1 mln. eurų iki 1 190 mln. eurų. </w:t>
      </w:r>
    </w:p>
    <w:p w14:paraId="683586C0" w14:textId="77777777" w:rsidR="007310A9" w:rsidRPr="00E66F06" w:rsidRDefault="007310A9" w:rsidP="007310A9">
      <w:pPr>
        <w:pStyle w:val="Pagrindinispaprastastekstas"/>
        <w:numPr>
          <w:ilvl w:val="0"/>
          <w:numId w:val="37"/>
        </w:numPr>
        <w:rPr>
          <w:lang w:eastAsia="lt-LT"/>
        </w:rPr>
      </w:pPr>
      <w:r w:rsidRPr="00E66F06">
        <w:rPr>
          <w:lang w:eastAsia="lt-LT"/>
        </w:rPr>
        <w:t xml:space="preserve">SSVP įgyvendinimas prisidėjo prie kultūrinio, aktyvaus poilsio, sveikatos ir dalykinio (konferencijų) turizmo infrastruktūros ir paslaugų plėtros. Daugiausiai projektų, skirtų </w:t>
      </w:r>
      <w:r w:rsidRPr="00E66F06">
        <w:rPr>
          <w:bCs/>
          <w:lang w:eastAsia="lt-LT"/>
        </w:rPr>
        <w:t xml:space="preserve">kultūrinio turizmo </w:t>
      </w:r>
      <w:r w:rsidRPr="00E66F06">
        <w:rPr>
          <w:lang w:eastAsia="lt-LT"/>
        </w:rPr>
        <w:t xml:space="preserve">plėtrai, įgyvendino viešieji subjektai, pavyzdžiui, savivaldybės, o </w:t>
      </w:r>
      <w:r w:rsidRPr="00E66F06">
        <w:rPr>
          <w:bCs/>
          <w:lang w:eastAsia="lt-LT"/>
        </w:rPr>
        <w:t xml:space="preserve">sveikatos turizmo </w:t>
      </w:r>
      <w:r w:rsidRPr="00E66F06">
        <w:rPr>
          <w:lang w:eastAsia="lt-LT"/>
        </w:rPr>
        <w:t xml:space="preserve">infrastruktūrą plėtojo privatūs ūkio subjektai. Dauguma turizmo infrastruktūros ir paslaugų plėtros projektų įgyvendinti </w:t>
      </w:r>
      <w:r w:rsidRPr="00E66F06">
        <w:rPr>
          <w:bCs/>
          <w:lang w:eastAsia="lt-LT"/>
        </w:rPr>
        <w:t xml:space="preserve">vietovėse, turinčiose didžiausią potencialą atitinkamos rūšies turizmui. </w:t>
      </w:r>
    </w:p>
    <w:p w14:paraId="687F5A53" w14:textId="77777777" w:rsidR="007310A9" w:rsidRPr="00E66F06" w:rsidRDefault="007310A9" w:rsidP="007310A9">
      <w:pPr>
        <w:pStyle w:val="Pagrindinispaprastastekstas"/>
        <w:numPr>
          <w:ilvl w:val="0"/>
          <w:numId w:val="37"/>
        </w:numPr>
        <w:rPr>
          <w:lang w:eastAsia="lt-LT"/>
        </w:rPr>
      </w:pPr>
      <w:r w:rsidRPr="00E66F06">
        <w:rPr>
          <w:lang w:eastAsia="lt-LT"/>
        </w:rPr>
        <w:t>SSVP įgyvendinimas reikšmingai prisidėjo prie nekilnojamojo kultūros paveldo išsaugojimo – pagal SSVP 1 prioriteto 3 uždavinio priemones išmokėtas finansavimas sudarė apie 39 proc. viso 2007–2015 m. išmokėto viešojo finansavimo nekilnojamojo kultūros paveldo tvarkybai ir pritaikymui. Dauguma turizmo reikmėms pritaikytų nekilnojamojo kultūros paveldo objektų buvo valstybės saugomi arba turėjo paminklo (aukščiausias paveldo pasaugos lygis) statusą.</w:t>
      </w:r>
      <w:r w:rsidRPr="00E66F06">
        <w:rPr>
          <w:rStyle w:val="EndnoteReference"/>
          <w:bCs/>
          <w:lang w:eastAsia="lt-LT"/>
        </w:rPr>
        <w:endnoteReference w:id="5"/>
      </w:r>
    </w:p>
    <w:p w14:paraId="78B9158A" w14:textId="77777777" w:rsidR="007310A9" w:rsidRPr="00E66F06" w:rsidRDefault="007310A9" w:rsidP="007310A9">
      <w:pPr>
        <w:pStyle w:val="Pagrindinispaprastastekstas"/>
        <w:rPr>
          <w:lang w:eastAsia="lt-LT"/>
        </w:rPr>
      </w:pPr>
    </w:p>
    <w:tbl>
      <w:tblPr>
        <w:tblStyle w:val="TableGrid"/>
        <w:tblW w:w="10060" w:type="dxa"/>
        <w:tblBorders>
          <w:top w:val="single" w:sz="4" w:space="0" w:color="44546A" w:themeColor="text2"/>
          <w:left w:val="single" w:sz="4" w:space="0" w:color="44546A" w:themeColor="text2"/>
          <w:bottom w:val="single" w:sz="4" w:space="0" w:color="44546A" w:themeColor="text2"/>
          <w:right w:val="single" w:sz="4" w:space="0" w:color="44546A" w:themeColor="text2"/>
          <w:insideH w:val="none" w:sz="0" w:space="0" w:color="auto"/>
          <w:insideV w:val="none" w:sz="0" w:space="0" w:color="auto"/>
        </w:tblBorders>
        <w:tblLook w:val="04A0" w:firstRow="1" w:lastRow="0" w:firstColumn="1" w:lastColumn="0" w:noHBand="0" w:noVBand="1"/>
      </w:tblPr>
      <w:tblGrid>
        <w:gridCol w:w="10060"/>
      </w:tblGrid>
      <w:tr w:rsidR="007310A9" w:rsidRPr="00E66F06" w14:paraId="1229204C" w14:textId="77777777" w:rsidTr="00AB5327">
        <w:tc>
          <w:tcPr>
            <w:tcW w:w="10060" w:type="dxa"/>
            <w:shd w:val="clear" w:color="auto" w:fill="DEEAF6" w:themeFill="accent1" w:themeFillTint="33"/>
          </w:tcPr>
          <w:p w14:paraId="6F7C44D8" w14:textId="77777777" w:rsidR="007310A9" w:rsidRPr="007310A9" w:rsidRDefault="007310A9" w:rsidP="007310A9">
            <w:pPr>
              <w:pStyle w:val="Pagrindinispaprastastekstas"/>
              <w:jc w:val="center"/>
              <w:rPr>
                <w:rFonts w:ascii="Cambria" w:hAnsi="Cambria"/>
                <w:b/>
                <w:i/>
                <w:color w:val="44546A" w:themeColor="text2"/>
                <w:sz w:val="20"/>
                <w:szCs w:val="20"/>
              </w:rPr>
            </w:pPr>
            <w:r w:rsidRPr="007310A9">
              <w:rPr>
                <w:rFonts w:ascii="Cambria" w:hAnsi="Cambria"/>
                <w:b/>
                <w:i/>
                <w:color w:val="44546A" w:themeColor="text2"/>
                <w:sz w:val="20"/>
                <w:szCs w:val="20"/>
              </w:rPr>
              <w:t xml:space="preserve">„Jūros teikiamų pramogų, poilsio, sveikatingumo paslaugų ir pažinimo parkas Kopgalyje“ </w:t>
            </w:r>
            <w:r w:rsidRPr="007310A9">
              <w:rPr>
                <w:rFonts w:ascii="Cambria" w:hAnsi="Cambria"/>
                <w:b/>
                <w:i/>
                <w:color w:val="44546A" w:themeColor="text2"/>
                <w:sz w:val="20"/>
                <w:szCs w:val="20"/>
              </w:rPr>
              <w:br/>
              <w:t>(Delfinų terapijos centro įkūrimo I, II ir II etapai)</w:t>
            </w:r>
          </w:p>
          <w:p w14:paraId="0D69FA19" w14:textId="77777777" w:rsidR="007310A9" w:rsidRPr="007310A9" w:rsidRDefault="007310A9" w:rsidP="007310A9">
            <w:pPr>
              <w:pStyle w:val="Pagrindinispaprastastekstas"/>
              <w:shd w:val="clear" w:color="auto" w:fill="DEEAF6" w:themeFill="accent1" w:themeFillTint="33"/>
              <w:jc w:val="center"/>
              <w:rPr>
                <w:rFonts w:ascii="Cambria" w:hAnsi="Cambria"/>
                <w:i/>
                <w:sz w:val="18"/>
                <w:szCs w:val="18"/>
              </w:rPr>
            </w:pPr>
            <w:r w:rsidRPr="007310A9">
              <w:rPr>
                <w:rFonts w:ascii="Cambria" w:hAnsi="Cambria"/>
                <w:i/>
                <w:sz w:val="18"/>
                <w:szCs w:val="18"/>
              </w:rPr>
              <w:t>Projekto vykdytojas – Lietuvos jūrų muziejus</w:t>
            </w:r>
          </w:p>
          <w:p w14:paraId="35AC4CA7" w14:textId="77777777" w:rsidR="007310A9" w:rsidRPr="007310A9" w:rsidRDefault="007310A9" w:rsidP="007310A9">
            <w:pPr>
              <w:pStyle w:val="Pagrindinispaprastastekstas"/>
              <w:shd w:val="clear" w:color="auto" w:fill="DEEAF6" w:themeFill="accent1" w:themeFillTint="33"/>
              <w:jc w:val="center"/>
              <w:rPr>
                <w:rFonts w:ascii="Cambria" w:hAnsi="Cambria"/>
                <w:i/>
                <w:sz w:val="18"/>
                <w:szCs w:val="18"/>
              </w:rPr>
            </w:pPr>
            <w:r w:rsidRPr="007310A9">
              <w:rPr>
                <w:rFonts w:ascii="Cambria" w:hAnsi="Cambria"/>
                <w:i/>
                <w:sz w:val="18"/>
                <w:szCs w:val="18"/>
              </w:rPr>
              <w:t>Projektui išmokėtos ES lėšos – 6 177,6 tūkst. eurų (3 projektai).</w:t>
            </w:r>
          </w:p>
          <w:p w14:paraId="2E0565A8" w14:textId="77777777" w:rsidR="007310A9" w:rsidRPr="00E66F06" w:rsidRDefault="007310A9" w:rsidP="007310A9">
            <w:pPr>
              <w:pStyle w:val="Pagrindinispaprastastekstas"/>
              <w:rPr>
                <w:sz w:val="18"/>
                <w:szCs w:val="18"/>
                <w:highlight w:val="yellow"/>
              </w:rPr>
            </w:pPr>
            <w:r w:rsidRPr="00E66F06">
              <w:rPr>
                <w:noProof/>
              </w:rPr>
              <w:drawing>
                <wp:anchor distT="0" distB="0" distL="114300" distR="114300" simplePos="0" relativeHeight="251662336" behindDoc="0" locked="0" layoutInCell="1" allowOverlap="1" wp14:anchorId="24DDAB09" wp14:editId="66F7442B">
                  <wp:simplePos x="0" y="0"/>
                  <wp:positionH relativeFrom="column">
                    <wp:posOffset>-52705</wp:posOffset>
                  </wp:positionH>
                  <wp:positionV relativeFrom="paragraph">
                    <wp:posOffset>142240</wp:posOffset>
                  </wp:positionV>
                  <wp:extent cx="1954530" cy="130302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lfinariumas_originalus_dydis_40_lar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4530" cy="13030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019A058" w14:textId="7057BDC1" w:rsidR="007310A9" w:rsidRPr="00AB5327" w:rsidRDefault="007310A9" w:rsidP="00AB5327">
            <w:pPr>
              <w:pStyle w:val="Pagrindinispaprastastekstas"/>
              <w:rPr>
                <w:rFonts w:ascii="Times New Roman" w:hAnsi="Times New Roman"/>
                <w:sz w:val="20"/>
                <w:szCs w:val="20"/>
              </w:rPr>
            </w:pPr>
            <w:r w:rsidRPr="00AB5327">
              <w:rPr>
                <w:rFonts w:ascii="Times New Roman" w:hAnsi="Times New Roman"/>
                <w:noProof/>
                <w:sz w:val="20"/>
                <w:szCs w:val="20"/>
              </w:rPr>
              <w:drawing>
                <wp:anchor distT="0" distB="0" distL="114300" distR="114300" simplePos="0" relativeHeight="251663360" behindDoc="0" locked="0" layoutInCell="1" allowOverlap="1" wp14:anchorId="36FF25E6" wp14:editId="5E0357EF">
                  <wp:simplePos x="0" y="0"/>
                  <wp:positionH relativeFrom="column">
                    <wp:posOffset>3593465</wp:posOffset>
                  </wp:positionH>
                  <wp:positionV relativeFrom="paragraph">
                    <wp:posOffset>902970</wp:posOffset>
                  </wp:positionV>
                  <wp:extent cx="2447290" cy="14738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943_lar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7290" cy="14738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B5327">
              <w:rPr>
                <w:rFonts w:ascii="Times New Roman" w:hAnsi="Times New Roman"/>
                <w:sz w:val="20"/>
                <w:szCs w:val="20"/>
              </w:rPr>
              <w:t xml:space="preserve">Lietuvos jūrų muziejaus delfinų terapijos centro įkūrimui sėkmingai įgyvendinti 3 projektai. Pagrindinis jų tikslas – prisidėti prie aktyvaus poilsio turizmo infrastruktūros plėtros, Lietuvos jūrų muziejuje įsteigiant Delfinų terapijos centrą. Lietuvos jūrų muziejaus delfinariumas yra sudedamoji Lietuvos jūrų muziejaus dalis ir vienintelis tokio pobūdžio turistinis centras Lietuvoje bei visame Rytų Pabaltijyje. Projekto idėja susijusi su Lietuvos jūrų muziejaus planuojama plėtra, </w:t>
            </w:r>
            <w:proofErr w:type="spellStart"/>
            <w:r w:rsidRPr="00AB5327">
              <w:rPr>
                <w:rFonts w:ascii="Times New Roman" w:hAnsi="Times New Roman"/>
                <w:sz w:val="20"/>
                <w:szCs w:val="20"/>
              </w:rPr>
              <w:t>t.y</w:t>
            </w:r>
            <w:proofErr w:type="spellEnd"/>
            <w:r w:rsidRPr="00AB5327">
              <w:rPr>
                <w:rFonts w:ascii="Times New Roman" w:hAnsi="Times New Roman"/>
                <w:sz w:val="20"/>
                <w:szCs w:val="20"/>
              </w:rPr>
              <w:t xml:space="preserve">. projekto investicijomis prisidedama prie Jūros teikiamų pramogų, poilsio, sveikatingumo paslaugų ir pažinimo parko Kopgalyje kūrimo, paslaugų ir pažinimo parko siekiamų tikslų įgyvendinimo. Įgyvendinus projektą, sukurta 17 naujų darbo vietų, pritraukta 613 tūkst. lankytojų. Įgyvendinus projektus, įstaiga teikia geresnės kokybės turizmo paslaugas, pagerėjo įstaigos įvaizdis ir pakilo jos patrauklumas tiek Lietuvoje, tiek užsienyje, padidėjo turistų srautas. Tai didina įstaigos galimybes užtikrinti projektų tęstinumą. </w:t>
            </w:r>
          </w:p>
        </w:tc>
      </w:tr>
    </w:tbl>
    <w:p w14:paraId="6065FAE4" w14:textId="518A8BB6" w:rsidR="007310A9" w:rsidRPr="00E66F06" w:rsidRDefault="007310A9" w:rsidP="008A6F28">
      <w:pPr>
        <w:pStyle w:val="Nenumeruojamosantrastes"/>
      </w:pPr>
      <w:bookmarkStart w:id="6" w:name="_Toc468106954"/>
      <w:bookmarkStart w:id="7" w:name="_Toc468114522"/>
      <w:r w:rsidRPr="00E66F06">
        <w:t>SSVP įgyvendinimo rezultatai: kraštovaizdis ir biologinė įvairovė</w:t>
      </w:r>
      <w:bookmarkEnd w:id="6"/>
      <w:bookmarkEnd w:id="7"/>
    </w:p>
    <w:p w14:paraId="4356E1D5" w14:textId="77777777" w:rsidR="007310A9" w:rsidRPr="007310A9" w:rsidRDefault="007310A9" w:rsidP="007310A9">
      <w:pPr>
        <w:pStyle w:val="Pagrindinispaprastastekstas"/>
        <w:rPr>
          <w:rFonts w:ascii="Cambria" w:hAnsi="Cambria"/>
          <w:b/>
          <w:color w:val="44546A" w:themeColor="text2"/>
          <w:lang w:eastAsia="lt-LT"/>
        </w:rPr>
      </w:pPr>
      <w:r w:rsidRPr="007310A9">
        <w:rPr>
          <w:rFonts w:ascii="Cambria" w:hAnsi="Cambria"/>
          <w:b/>
          <w:color w:val="44546A" w:themeColor="text2"/>
          <w:lang w:eastAsia="lt-LT"/>
        </w:rPr>
        <w:t>Pagrindiniai produktai ir rezultatai</w:t>
      </w:r>
    </w:p>
    <w:p w14:paraId="77227C85" w14:textId="77777777" w:rsidR="007310A9" w:rsidRPr="00E66F06" w:rsidRDefault="007310A9" w:rsidP="007310A9">
      <w:pPr>
        <w:pStyle w:val="Pagrindinispaprastastekstas"/>
        <w:rPr>
          <w:lang w:eastAsia="lt-LT"/>
        </w:rPr>
      </w:pPr>
      <w:r w:rsidRPr="00E66F06">
        <w:rPr>
          <w:noProof/>
          <w:lang w:eastAsia="lt-LT"/>
        </w:rPr>
        <w:drawing>
          <wp:inline distT="0" distB="0" distL="0" distR="0" wp14:anchorId="28C9706F" wp14:editId="52EB2113">
            <wp:extent cx="6131266" cy="1302327"/>
            <wp:effectExtent l="0" t="0" r="3175" b="1270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0FF9D9" w14:textId="77777777" w:rsidR="007310A9" w:rsidRPr="00E66F06" w:rsidRDefault="007310A9" w:rsidP="007310A9">
      <w:pPr>
        <w:pStyle w:val="Pagrindinispaprastastekstas"/>
        <w:rPr>
          <w:lang w:eastAsia="lt-LT"/>
        </w:rPr>
      </w:pPr>
    </w:p>
    <w:p w14:paraId="5CF0B34D" w14:textId="77777777" w:rsidR="007310A9" w:rsidRPr="00AB5327" w:rsidRDefault="007310A9" w:rsidP="007310A9">
      <w:pPr>
        <w:pStyle w:val="Pagrindinispaprastastekstas"/>
        <w:rPr>
          <w:rFonts w:ascii="Cambria" w:hAnsi="Cambria"/>
          <w:b/>
          <w:color w:val="44546A" w:themeColor="text2"/>
          <w:lang w:eastAsia="lt-LT"/>
        </w:rPr>
      </w:pPr>
      <w:r w:rsidRPr="00AB5327">
        <w:rPr>
          <w:rFonts w:ascii="Cambria" w:hAnsi="Cambria"/>
          <w:b/>
          <w:color w:val="44546A" w:themeColor="text2"/>
          <w:lang w:eastAsia="lt-LT"/>
        </w:rPr>
        <w:t>Saugomose teritorijose (valstybiniuose parkuose ir rezervatuose):</w:t>
      </w:r>
    </w:p>
    <w:p w14:paraId="191B7707" w14:textId="77777777" w:rsidR="007310A9" w:rsidRPr="00E66F06" w:rsidRDefault="007310A9" w:rsidP="007310A9">
      <w:pPr>
        <w:pStyle w:val="Pagrindinispaprastastekstas"/>
        <w:numPr>
          <w:ilvl w:val="0"/>
          <w:numId w:val="31"/>
        </w:numPr>
        <w:rPr>
          <w:lang w:eastAsia="lt-LT"/>
        </w:rPr>
      </w:pPr>
      <w:r w:rsidRPr="00E66F06">
        <w:t xml:space="preserve">Pastatyti 22 lankytojų centrai – Saugomų teritorijų nacionalinis, Ventės rago, Viešvilės valstybinio rezervato, Dzūkijos nacionalinio parko, Anykščių, Nemuno deltos, Dieveniškių, Kauno marių, Krekenavos, Kurtuvėnų, Pagramančio, Pajūrio, Rambyno, Salantų, Sartų, </w:t>
      </w:r>
      <w:proofErr w:type="spellStart"/>
      <w:r w:rsidRPr="00E66F06">
        <w:t>Sirvėtos</w:t>
      </w:r>
      <w:proofErr w:type="spellEnd"/>
      <w:r w:rsidRPr="00E66F06">
        <w:t>, Tytuvėnų, Varnių, Veisiejų, Ventos, Vištyčio ir Žagarės regioninių parkų;</w:t>
      </w:r>
    </w:p>
    <w:p w14:paraId="4DB2159E" w14:textId="77777777" w:rsidR="007310A9" w:rsidRPr="00E66F06" w:rsidRDefault="007310A9" w:rsidP="007310A9">
      <w:pPr>
        <w:pStyle w:val="Pagrindinispaprastastekstas"/>
        <w:numPr>
          <w:ilvl w:val="0"/>
          <w:numId w:val="31"/>
        </w:numPr>
        <w:rPr>
          <w:lang w:eastAsia="lt-LT"/>
        </w:rPr>
      </w:pPr>
      <w:r w:rsidRPr="00E66F06">
        <w:t xml:space="preserve">Įrengta 16 informacinių sistemų – Žemaitijos nacionaliniame parke, Dieveniškių, Dubysos, Kurtuvėnų, Nemuno deltos, Nemuno kilpų, Pagramančio, Pajūrio, Panemunių, Rambyno, Sartų, </w:t>
      </w:r>
      <w:proofErr w:type="spellStart"/>
      <w:r w:rsidRPr="00E66F06">
        <w:t>Sirvėtos</w:t>
      </w:r>
      <w:proofErr w:type="spellEnd"/>
      <w:r w:rsidRPr="00E66F06">
        <w:t>, Varnių, Veisiejų, Ventos ir Žagarės regioniniuose parkuose;</w:t>
      </w:r>
    </w:p>
    <w:p w14:paraId="43F43294" w14:textId="77777777" w:rsidR="007310A9" w:rsidRPr="00E66F06" w:rsidRDefault="007310A9" w:rsidP="007310A9">
      <w:pPr>
        <w:pStyle w:val="Pagrindinispaprastastekstas"/>
        <w:numPr>
          <w:ilvl w:val="0"/>
          <w:numId w:val="31"/>
        </w:numPr>
        <w:rPr>
          <w:lang w:eastAsia="lt-LT"/>
        </w:rPr>
      </w:pPr>
      <w:r w:rsidRPr="00E66F06">
        <w:t xml:space="preserve">Įrengtos 5 gamtos mokyklos – Dzūkijos nacionalinio parko, Kauno marių, </w:t>
      </w:r>
      <w:proofErr w:type="spellStart"/>
      <w:r w:rsidRPr="00E66F06">
        <w:t>Sirvėtos</w:t>
      </w:r>
      <w:proofErr w:type="spellEnd"/>
      <w:r w:rsidRPr="00E66F06">
        <w:t>, Varnių ir Žagarės regioninių parkų;</w:t>
      </w:r>
    </w:p>
    <w:p w14:paraId="0A452BFD" w14:textId="77777777" w:rsidR="007310A9" w:rsidRPr="00E66F06" w:rsidRDefault="007310A9" w:rsidP="007310A9">
      <w:pPr>
        <w:pStyle w:val="Pagrindinispaprastastekstas"/>
        <w:numPr>
          <w:ilvl w:val="0"/>
          <w:numId w:val="31"/>
        </w:numPr>
        <w:rPr>
          <w:lang w:eastAsia="lt-LT"/>
        </w:rPr>
      </w:pPr>
      <w:r w:rsidRPr="00E66F06">
        <w:t>Pastatyti 8 apžvalgos bokštai – Metelių, Ventos, Veisiejų, Krekenavos, Kamanų, Tytuvėnų, Biržų regioniniuose parkuose, Dzūkijos ir Žemaitijos nacionaliniuose parkuose.</w:t>
      </w:r>
    </w:p>
    <w:p w14:paraId="1AB542AF" w14:textId="77777777" w:rsidR="007310A9" w:rsidRPr="00E66F06" w:rsidRDefault="007310A9" w:rsidP="007310A9">
      <w:pPr>
        <w:pStyle w:val="Pagrindinispaprastastekstas"/>
        <w:numPr>
          <w:ilvl w:val="0"/>
          <w:numId w:val="31"/>
        </w:numPr>
        <w:rPr>
          <w:lang w:eastAsia="lt-LT"/>
        </w:rPr>
      </w:pPr>
      <w:r w:rsidRPr="00E66F06">
        <w:rPr>
          <w:lang w:eastAsia="lt-LT"/>
        </w:rPr>
        <w:t>Sutvarkyti (nugriauti) 252 apleisti (bešeimininkiai) statiniai ir kiti aplinką žalojantys ir kraštovaizdį darkantys objektai.</w:t>
      </w:r>
    </w:p>
    <w:p w14:paraId="36CBE8C6" w14:textId="77777777" w:rsidR="007310A9" w:rsidRPr="00E66F06" w:rsidRDefault="007310A9" w:rsidP="007310A9">
      <w:pPr>
        <w:pStyle w:val="Pagrindinispaprastastekstas"/>
        <w:numPr>
          <w:ilvl w:val="0"/>
          <w:numId w:val="31"/>
        </w:numPr>
        <w:rPr>
          <w:lang w:eastAsia="lt-LT"/>
        </w:rPr>
      </w:pPr>
      <w:r w:rsidRPr="00E66F06">
        <w:rPr>
          <w:lang w:eastAsia="lt-LT"/>
        </w:rPr>
        <w:t>Įvairiose Lietuvos vietovėse sutvarkyti 107 vandens telkiniai ar upių atkarpos, kurių bendras plotas – daugiau nei 460 ha (pasiekti rezultatai gerokai viršija planuotus: planuota sutvarkyti 40 vandens telkinių, kurių bendras plotas – 200 ha).</w:t>
      </w:r>
    </w:p>
    <w:p w14:paraId="47ADCC6B" w14:textId="77777777" w:rsidR="007310A9" w:rsidRPr="00E66F06" w:rsidRDefault="007310A9" w:rsidP="007310A9">
      <w:pPr>
        <w:pStyle w:val="Pagrindinispaprastastekstas"/>
        <w:rPr>
          <w:lang w:eastAsia="lt-LT"/>
        </w:rPr>
      </w:pPr>
    </w:p>
    <w:tbl>
      <w:tblPr>
        <w:tblStyle w:val="TableGrid"/>
        <w:tblW w:w="10060" w:type="dxa"/>
        <w:tblBorders>
          <w:top w:val="single" w:sz="4" w:space="0" w:color="44546A" w:themeColor="text2"/>
          <w:left w:val="single" w:sz="4" w:space="0" w:color="44546A" w:themeColor="text2"/>
          <w:bottom w:val="single" w:sz="4" w:space="0" w:color="44546A" w:themeColor="text2"/>
          <w:right w:val="single" w:sz="4" w:space="0" w:color="44546A" w:themeColor="text2"/>
          <w:insideH w:val="none" w:sz="0" w:space="0" w:color="auto"/>
          <w:insideV w:val="none" w:sz="0" w:space="0" w:color="auto"/>
        </w:tblBorders>
        <w:tblLook w:val="04A0" w:firstRow="1" w:lastRow="0" w:firstColumn="1" w:lastColumn="0" w:noHBand="0" w:noVBand="1"/>
      </w:tblPr>
      <w:tblGrid>
        <w:gridCol w:w="10060"/>
      </w:tblGrid>
      <w:tr w:rsidR="007310A9" w:rsidRPr="00E66F06" w14:paraId="222BFDE9" w14:textId="77777777" w:rsidTr="00AB5327">
        <w:tc>
          <w:tcPr>
            <w:tcW w:w="10060" w:type="dxa"/>
            <w:shd w:val="clear" w:color="auto" w:fill="DEEAF6" w:themeFill="accent1" w:themeFillTint="33"/>
          </w:tcPr>
          <w:p w14:paraId="71881290" w14:textId="77777777" w:rsidR="007310A9" w:rsidRPr="007310A9" w:rsidRDefault="007310A9" w:rsidP="007310A9">
            <w:pPr>
              <w:pStyle w:val="Pagrindinispaprastastekstas"/>
              <w:shd w:val="clear" w:color="auto" w:fill="DEEAF6" w:themeFill="accent1" w:themeFillTint="33"/>
              <w:jc w:val="center"/>
              <w:rPr>
                <w:rFonts w:ascii="Cambria" w:hAnsi="Cambria"/>
                <w:b/>
                <w:i/>
                <w:color w:val="44546A" w:themeColor="text2"/>
                <w:sz w:val="18"/>
                <w:szCs w:val="18"/>
              </w:rPr>
            </w:pPr>
            <w:r w:rsidRPr="007310A9">
              <w:rPr>
                <w:rFonts w:ascii="Cambria" w:hAnsi="Cambria"/>
                <w:b/>
                <w:i/>
                <w:color w:val="44546A" w:themeColor="text2"/>
                <w:sz w:val="18"/>
                <w:szCs w:val="18"/>
              </w:rPr>
              <w:drawing>
                <wp:anchor distT="0" distB="0" distL="114300" distR="114300" simplePos="0" relativeHeight="251664384" behindDoc="0" locked="0" layoutInCell="1" allowOverlap="1" wp14:anchorId="2160AC12" wp14:editId="0346560B">
                  <wp:simplePos x="0" y="0"/>
                  <wp:positionH relativeFrom="column">
                    <wp:posOffset>3500003</wp:posOffset>
                  </wp:positionH>
                  <wp:positionV relativeFrom="paragraph">
                    <wp:posOffset>91</wp:posOffset>
                  </wp:positionV>
                  <wp:extent cx="2542592" cy="1828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udenia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2644" cy="182883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310A9">
              <w:rPr>
                <w:rFonts w:ascii="Cambria" w:hAnsi="Cambria"/>
                <w:b/>
                <w:i/>
                <w:color w:val="44546A" w:themeColor="text2"/>
                <w:sz w:val="18"/>
                <w:szCs w:val="18"/>
              </w:rPr>
              <w:t>„Draudenių ežero ekologinės būklės gerinimas“</w:t>
            </w:r>
          </w:p>
          <w:p w14:paraId="0C3D1B85" w14:textId="77777777" w:rsidR="007310A9" w:rsidRPr="007310A9" w:rsidRDefault="007310A9" w:rsidP="007310A9">
            <w:pPr>
              <w:pStyle w:val="Pagrindinispaprastastekstas"/>
              <w:shd w:val="clear" w:color="auto" w:fill="DEEAF6" w:themeFill="accent1" w:themeFillTint="33"/>
              <w:jc w:val="center"/>
              <w:rPr>
                <w:rFonts w:ascii="Cambria" w:hAnsi="Cambria"/>
                <w:i/>
                <w:sz w:val="18"/>
                <w:szCs w:val="18"/>
              </w:rPr>
            </w:pPr>
            <w:r w:rsidRPr="007310A9">
              <w:rPr>
                <w:rFonts w:ascii="Cambria" w:hAnsi="Cambria"/>
                <w:i/>
                <w:sz w:val="18"/>
                <w:szCs w:val="18"/>
              </w:rPr>
              <w:t>Projekto vykdytojas – Tauragės rajono savivaldybės administracija</w:t>
            </w:r>
          </w:p>
          <w:p w14:paraId="1F5584E0" w14:textId="77777777" w:rsidR="007310A9" w:rsidRPr="007310A9" w:rsidRDefault="007310A9" w:rsidP="007310A9">
            <w:pPr>
              <w:pStyle w:val="Pagrindinispaprastastekstas"/>
              <w:shd w:val="clear" w:color="auto" w:fill="DEEAF6" w:themeFill="accent1" w:themeFillTint="33"/>
              <w:jc w:val="center"/>
              <w:rPr>
                <w:rFonts w:ascii="Cambria" w:hAnsi="Cambria"/>
                <w:i/>
                <w:sz w:val="18"/>
                <w:szCs w:val="18"/>
              </w:rPr>
            </w:pPr>
            <w:r w:rsidRPr="007310A9">
              <w:rPr>
                <w:rFonts w:ascii="Cambria" w:hAnsi="Cambria"/>
                <w:i/>
                <w:sz w:val="18"/>
                <w:szCs w:val="18"/>
              </w:rPr>
              <w:t>Projektui išmokėtos ES lėšos – 2 038,2 tūkst. eurų.</w:t>
            </w:r>
          </w:p>
          <w:p w14:paraId="2ED74AC3" w14:textId="77777777" w:rsidR="007310A9" w:rsidRPr="00E66F06" w:rsidRDefault="007310A9" w:rsidP="007310A9">
            <w:pPr>
              <w:pStyle w:val="Pagrindinispaprastastekstas"/>
            </w:pPr>
          </w:p>
          <w:p w14:paraId="145BD5F6" w14:textId="77777777" w:rsidR="007310A9" w:rsidRPr="00AB5327" w:rsidRDefault="007310A9" w:rsidP="007310A9">
            <w:pPr>
              <w:pStyle w:val="Pagrindinispaprastastekstas"/>
              <w:rPr>
                <w:rFonts w:ascii="Times New Roman" w:hAnsi="Times New Roman"/>
                <w:sz w:val="20"/>
                <w:szCs w:val="20"/>
              </w:rPr>
            </w:pPr>
            <w:r w:rsidRPr="00AB5327">
              <w:rPr>
                <w:rFonts w:ascii="Times New Roman" w:hAnsi="Times New Roman"/>
                <w:sz w:val="20"/>
                <w:szCs w:val="20"/>
              </w:rPr>
              <w:t xml:space="preserve">Projekto metu išvalyta 22 ha ežero. Įgyvendinant projektą taikyta nauja iš ežero iškasto dumblo panaudojimo technologija (iškastas dumblas buvo pilamas ne į </w:t>
            </w:r>
            <w:proofErr w:type="spellStart"/>
            <w:r w:rsidRPr="00AB5327">
              <w:rPr>
                <w:rFonts w:ascii="Times New Roman" w:hAnsi="Times New Roman"/>
                <w:sz w:val="20"/>
                <w:szCs w:val="20"/>
              </w:rPr>
              <w:t>sėsdintuvus</w:t>
            </w:r>
            <w:proofErr w:type="spellEnd"/>
            <w:r w:rsidRPr="00AB5327">
              <w:rPr>
                <w:rFonts w:ascii="Times New Roman" w:hAnsi="Times New Roman"/>
                <w:sz w:val="20"/>
                <w:szCs w:val="20"/>
              </w:rPr>
              <w:t xml:space="preserve">, o tiesiai ant specialiai suartų laukų, vėliau apdžiūvusį dumblą suariant ir sumaišant su dirvožemiu). Ši technologija leido taupyti projekto įgyvendinimo laiką (dumblas suartuose laukuose išdžiūsta greičiau nei </w:t>
            </w:r>
            <w:proofErr w:type="spellStart"/>
            <w:r w:rsidRPr="00AB5327">
              <w:rPr>
                <w:rFonts w:ascii="Times New Roman" w:hAnsi="Times New Roman"/>
                <w:sz w:val="20"/>
                <w:szCs w:val="20"/>
              </w:rPr>
              <w:t>sėsdintuvuose</w:t>
            </w:r>
            <w:proofErr w:type="spellEnd"/>
            <w:r w:rsidRPr="00AB5327">
              <w:rPr>
                <w:rFonts w:ascii="Times New Roman" w:hAnsi="Times New Roman"/>
                <w:sz w:val="20"/>
                <w:szCs w:val="20"/>
              </w:rPr>
              <w:t>) bei dumblo transportavimo ir pristatymo į sąvartynus išlaidas (vietoje to patirtos laukų paruošimo išlaidos). Nors 1 m</w:t>
            </w:r>
            <w:r w:rsidRPr="00AB5327">
              <w:rPr>
                <w:rFonts w:ascii="Times New Roman" w:hAnsi="Times New Roman"/>
                <w:sz w:val="20"/>
                <w:szCs w:val="20"/>
                <w:vertAlign w:val="superscript"/>
              </w:rPr>
              <w:t>3</w:t>
            </w:r>
            <w:r w:rsidRPr="00AB5327">
              <w:rPr>
                <w:rFonts w:ascii="Times New Roman" w:hAnsi="Times New Roman"/>
                <w:sz w:val="20"/>
                <w:szCs w:val="20"/>
              </w:rPr>
              <w:t xml:space="preserve"> dumblo išsiurbimo kaina naudojant naująją technologiją buvo panaši kaip ir pilant dumblą į </w:t>
            </w:r>
            <w:proofErr w:type="spellStart"/>
            <w:r w:rsidRPr="00AB5327">
              <w:rPr>
                <w:rFonts w:ascii="Times New Roman" w:hAnsi="Times New Roman"/>
                <w:sz w:val="20"/>
                <w:szCs w:val="20"/>
              </w:rPr>
              <w:t>sėsdintuvus</w:t>
            </w:r>
            <w:proofErr w:type="spellEnd"/>
            <w:r w:rsidRPr="00AB5327">
              <w:rPr>
                <w:rFonts w:ascii="Times New Roman" w:hAnsi="Times New Roman"/>
                <w:sz w:val="20"/>
                <w:szCs w:val="20"/>
              </w:rPr>
              <w:t xml:space="preserve"> bei vežant jį į saugojimo aikštelę, tačiau savivaldybei neliko klausimo, kaip tinkamai sutvarkyti ir (ar) panaudoti saugojimo aikštelėje esantį sukauptą dumblą, o aplink ežerą esančių sklypų savininkai gavo naudos patręšiant jų žemes (naudą galėjo gauti visi norintys, buvo platinami skelbimai dėl dumblo pylimo į sklypus).</w:t>
            </w:r>
          </w:p>
        </w:tc>
      </w:tr>
    </w:tbl>
    <w:p w14:paraId="0CB88853" w14:textId="77777777" w:rsidR="007310A9" w:rsidRPr="00C82149" w:rsidRDefault="007310A9" w:rsidP="007310A9">
      <w:pPr>
        <w:pStyle w:val="Pagrindinispaprastastekstas"/>
        <w:rPr>
          <w:lang w:eastAsia="lt-LT"/>
        </w:rPr>
      </w:pPr>
      <w:bookmarkStart w:id="8" w:name="_Toc468106955"/>
      <w:bookmarkStart w:id="9" w:name="_Toc468114523"/>
    </w:p>
    <w:p w14:paraId="1E527FDE" w14:textId="77777777" w:rsidR="007310A9" w:rsidRPr="00AB5327" w:rsidRDefault="007310A9" w:rsidP="007310A9">
      <w:pPr>
        <w:pStyle w:val="Pagrindinispaprastastekstas"/>
        <w:rPr>
          <w:rFonts w:ascii="Cambria" w:hAnsi="Cambria"/>
          <w:b/>
          <w:color w:val="44546A" w:themeColor="text2"/>
          <w:lang w:eastAsia="lt-LT"/>
        </w:rPr>
      </w:pPr>
      <w:r w:rsidRPr="00AB5327">
        <w:rPr>
          <w:rFonts w:ascii="Cambria" w:hAnsi="Cambria"/>
          <w:b/>
          <w:color w:val="44546A" w:themeColor="text2"/>
          <w:lang w:eastAsia="lt-LT"/>
        </w:rPr>
        <w:t>Investicijų poveikis:</w:t>
      </w:r>
    </w:p>
    <w:p w14:paraId="5E002576" w14:textId="77777777" w:rsidR="007310A9" w:rsidRPr="00E66F06" w:rsidRDefault="007310A9" w:rsidP="007310A9">
      <w:pPr>
        <w:pStyle w:val="Pagrindinispaprastastekstas"/>
        <w:numPr>
          <w:ilvl w:val="0"/>
          <w:numId w:val="31"/>
        </w:numPr>
        <w:rPr>
          <w:lang w:eastAsia="lt-LT"/>
        </w:rPr>
      </w:pPr>
      <w:r w:rsidRPr="00E66F06">
        <w:t>Nuo 2005 m. iki 2015 m. saugomų teritorijų plotas išaugo 95,7 tūkst. ha, o „</w:t>
      </w:r>
      <w:proofErr w:type="spellStart"/>
      <w:r w:rsidRPr="00E66F06">
        <w:t>Natura</w:t>
      </w:r>
      <w:proofErr w:type="spellEnd"/>
      <w:r w:rsidRPr="00E66F06">
        <w:t xml:space="preserve"> 2000“ teritorijų, kurios nepatenka į saugomas teritorijas, plotas išaugo 105,1 tūkst. ha ir 2015 m. sudarė 123,1 ha. Saugomų teritorijų plotas kartu su „</w:t>
      </w:r>
      <w:proofErr w:type="spellStart"/>
      <w:r w:rsidRPr="00E66F06">
        <w:t>Natura</w:t>
      </w:r>
      <w:proofErr w:type="spellEnd"/>
      <w:r w:rsidRPr="00E66F06">
        <w:t xml:space="preserve"> 2000“ teritorijomis, nepatenkančiomis į kitų saugomų teritorijų plotą, 2015 m. pabaigoje sudarė 17,63 proc. šalies teritorijos ploto.</w:t>
      </w:r>
    </w:p>
    <w:p w14:paraId="46AA1A73" w14:textId="77777777" w:rsidR="007310A9" w:rsidRPr="00E66F06" w:rsidRDefault="007310A9" w:rsidP="007310A9">
      <w:pPr>
        <w:pStyle w:val="Pagrindinispaprastastekstas"/>
        <w:numPr>
          <w:ilvl w:val="0"/>
          <w:numId w:val="31"/>
        </w:numPr>
        <w:rPr>
          <w:lang w:eastAsia="lt-LT"/>
        </w:rPr>
      </w:pPr>
      <w:r w:rsidRPr="00E66F06">
        <w:t>Kiekvienais metais vykdomo Lietuvos paviršinių vandens telkinių monitoringo duomenys rodo, kad gerėja šalies vandens telkinių ekologinė būklė.</w:t>
      </w:r>
    </w:p>
    <w:p w14:paraId="06C58DEA" w14:textId="77777777" w:rsidR="007310A9" w:rsidRPr="00E66F06" w:rsidRDefault="007310A9" w:rsidP="007310A9">
      <w:pPr>
        <w:pStyle w:val="Pagrindinispaprastastekstas"/>
        <w:numPr>
          <w:ilvl w:val="0"/>
          <w:numId w:val="31"/>
        </w:numPr>
        <w:rPr>
          <w:lang w:eastAsia="lt-LT"/>
        </w:rPr>
      </w:pPr>
      <w:r w:rsidRPr="00E66F06">
        <w:t>Aukštą aplinkos saugumo lygį rodo mažėjantis avarijų ir dėl jų susidarančių ekstremalių ekologinių situacijų, kurių metu yra teršiama aplinka ar daromas kitas neigiamas poveikis gamtai, skaičius: avarijų skaičius sumažėjo nuo 133 (2002 m.) iki 106 (2014 m.), ekstremalių situacijų – nuo 35 incidentų (2002 m.) iki 1 incidento (2014 m.).</w:t>
      </w:r>
    </w:p>
    <w:p w14:paraId="63E1FF34" w14:textId="1A745CCE" w:rsidR="007310A9" w:rsidRPr="00E66F06" w:rsidRDefault="007310A9" w:rsidP="008A6F28">
      <w:pPr>
        <w:pStyle w:val="Nenumeruojamosantrastes"/>
      </w:pPr>
      <w:r w:rsidRPr="00E66F06">
        <w:t>SSVP įgyvendinimo rezultatai: nuotekų tvarkymas, vandens tiekimas ir atliekų tvarkymas</w:t>
      </w:r>
      <w:bookmarkEnd w:id="8"/>
      <w:bookmarkEnd w:id="9"/>
    </w:p>
    <w:p w14:paraId="70086CBE" w14:textId="77777777" w:rsidR="007310A9" w:rsidRPr="00AB5327" w:rsidRDefault="007310A9" w:rsidP="007310A9">
      <w:pPr>
        <w:pStyle w:val="Pagrindinispaprastastekstas"/>
        <w:rPr>
          <w:rFonts w:ascii="Cambria" w:hAnsi="Cambria"/>
          <w:b/>
          <w:color w:val="44546A" w:themeColor="text2"/>
          <w:lang w:eastAsia="lt-LT"/>
        </w:rPr>
      </w:pPr>
      <w:r w:rsidRPr="00AB5327">
        <w:rPr>
          <w:rFonts w:ascii="Cambria" w:hAnsi="Cambria"/>
          <w:b/>
          <w:color w:val="44546A" w:themeColor="text2"/>
          <w:lang w:eastAsia="lt-LT"/>
        </w:rPr>
        <w:t>Pagrindiniai produktai ir rezultatai</w:t>
      </w:r>
    </w:p>
    <w:p w14:paraId="0E40A2B9" w14:textId="77777777" w:rsidR="007310A9" w:rsidRPr="00E66F06" w:rsidRDefault="007310A9" w:rsidP="007310A9">
      <w:pPr>
        <w:pStyle w:val="Pagrindinispaprastastekstas"/>
        <w:rPr>
          <w:lang w:eastAsia="lt-LT"/>
        </w:rPr>
      </w:pPr>
      <w:r w:rsidRPr="00E66F06">
        <w:rPr>
          <w:noProof/>
          <w:lang w:eastAsia="lt-LT"/>
        </w:rPr>
        <w:drawing>
          <wp:inline distT="0" distB="0" distL="0" distR="0" wp14:anchorId="25C58A6A" wp14:editId="265BC061">
            <wp:extent cx="6131266" cy="1148668"/>
            <wp:effectExtent l="0" t="0" r="3175" b="1397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AF43AF" w14:textId="77777777" w:rsidR="007310A9" w:rsidRPr="00E66F06" w:rsidRDefault="007310A9" w:rsidP="007310A9">
      <w:pPr>
        <w:pStyle w:val="Pagrindinispaprastastekstas"/>
        <w:rPr>
          <w:lang w:eastAsia="lt-LT"/>
        </w:rPr>
      </w:pPr>
    </w:p>
    <w:p w14:paraId="3EC47E6B" w14:textId="77777777" w:rsidR="007310A9" w:rsidRPr="00E66F06" w:rsidRDefault="007310A9" w:rsidP="007310A9">
      <w:pPr>
        <w:pStyle w:val="Pagrindinispaprastastekstas"/>
        <w:numPr>
          <w:ilvl w:val="0"/>
          <w:numId w:val="32"/>
        </w:numPr>
        <w:rPr>
          <w:lang w:eastAsia="lt-LT"/>
        </w:rPr>
      </w:pPr>
      <w:r w:rsidRPr="00E66F06">
        <w:rPr>
          <w:lang w:eastAsia="lt-LT"/>
        </w:rPr>
        <w:t>Įgyvendinant SSVP buvo baigti uždaryti visi seni sąvartynai ir šiukšlynai. Šiuo metu atliekos šalinamos vienuolikoje</w:t>
      </w:r>
      <w:r w:rsidRPr="00E66F06">
        <w:rPr>
          <w:rStyle w:val="FootnoteReference"/>
          <w:lang w:eastAsia="lt-LT"/>
        </w:rPr>
        <w:footnoteReference w:id="1"/>
      </w:r>
      <w:r w:rsidRPr="00E66F06">
        <w:rPr>
          <w:lang w:eastAsia="lt-LT"/>
        </w:rPr>
        <w:t xml:space="preserve"> regioninių nepavojingų atliekų sąvartynų, kurie atitinka ES aplinkosaugos reikalavimus.</w:t>
      </w:r>
    </w:p>
    <w:p w14:paraId="1332B3A7" w14:textId="77777777" w:rsidR="007310A9" w:rsidRPr="00E66F06" w:rsidRDefault="007310A9" w:rsidP="007310A9">
      <w:pPr>
        <w:pStyle w:val="Pagrindinispaprastastekstas"/>
        <w:numPr>
          <w:ilvl w:val="0"/>
          <w:numId w:val="32"/>
        </w:numPr>
        <w:rPr>
          <w:lang w:eastAsia="lt-LT"/>
        </w:rPr>
      </w:pPr>
      <w:r w:rsidRPr="00E66F06">
        <w:rPr>
          <w:lang w:eastAsia="lt-LT"/>
        </w:rPr>
        <w:t>Prie naujų nuotekų tinklų prisijungė apie 153 tūkst. gyventojų. Gyventojų, kurie naudojasi centralizuotomis nuotekų surinkimo ir tvarkymo paslaugomis, dalis padidėjo 4,5 proc. (skaičiuojant nuo šalies gyventojų skaičiaus 2007 m.).</w:t>
      </w:r>
    </w:p>
    <w:p w14:paraId="1B22CCE9" w14:textId="77777777" w:rsidR="007310A9" w:rsidRPr="00E66F06" w:rsidRDefault="007310A9" w:rsidP="007310A9">
      <w:pPr>
        <w:pStyle w:val="Pagrindinispaprastastekstas"/>
        <w:rPr>
          <w:lang w:eastAsia="lt-LT"/>
        </w:rPr>
      </w:pPr>
    </w:p>
    <w:p w14:paraId="211BC5D0" w14:textId="77777777" w:rsidR="007310A9" w:rsidRPr="00AB5327" w:rsidRDefault="007310A9" w:rsidP="007310A9">
      <w:pPr>
        <w:pStyle w:val="Pagrindinispaprastastekstas"/>
        <w:rPr>
          <w:rFonts w:ascii="Cambria" w:hAnsi="Cambria"/>
          <w:b/>
          <w:color w:val="44546A" w:themeColor="text2"/>
          <w:lang w:eastAsia="lt-LT"/>
        </w:rPr>
      </w:pPr>
      <w:r w:rsidRPr="00AB5327">
        <w:rPr>
          <w:rFonts w:ascii="Cambria" w:hAnsi="Cambria"/>
          <w:b/>
          <w:color w:val="44546A" w:themeColor="text2"/>
          <w:lang w:eastAsia="lt-LT"/>
        </w:rPr>
        <w:t>Investicijų poveikis:</w:t>
      </w:r>
    </w:p>
    <w:p w14:paraId="418074C2" w14:textId="77777777" w:rsidR="007310A9" w:rsidRPr="00E66F06" w:rsidRDefault="007310A9" w:rsidP="007310A9">
      <w:pPr>
        <w:pStyle w:val="Pagrindinispaprastastekstas"/>
        <w:numPr>
          <w:ilvl w:val="0"/>
          <w:numId w:val="32"/>
        </w:numPr>
        <w:rPr>
          <w:lang w:eastAsia="lt-LT"/>
        </w:rPr>
      </w:pPr>
      <w:r w:rsidRPr="00E66F06">
        <w:rPr>
          <w:lang w:eastAsia="lt-LT"/>
        </w:rPr>
        <w:t>Priemonės „Vandens tiekimo ir nuotekų tvarkymo sistemų renovavimas ir plėtra“ įgyvendinimas sumažino neprisijungusių prie nuotekų tinklo gyventojų skaičių šalyje apie 24 proc., o prie vandentiekio – apie 15 proc.</w:t>
      </w:r>
      <w:r w:rsidRPr="00E66F06">
        <w:rPr>
          <w:rStyle w:val="EndnoteReference"/>
          <w:lang w:eastAsia="lt-LT"/>
        </w:rPr>
        <w:endnoteReference w:id="6"/>
      </w:r>
    </w:p>
    <w:p w14:paraId="780C1927" w14:textId="77777777" w:rsidR="007310A9" w:rsidRPr="00E66F06" w:rsidRDefault="007310A9" w:rsidP="007310A9">
      <w:pPr>
        <w:pStyle w:val="Pagrindinispaprastastekstas"/>
        <w:numPr>
          <w:ilvl w:val="0"/>
          <w:numId w:val="32"/>
        </w:numPr>
        <w:rPr>
          <w:lang w:eastAsia="lt-LT"/>
        </w:rPr>
      </w:pPr>
      <w:r w:rsidRPr="00E66F06">
        <w:rPr>
          <w:lang w:eastAsia="lt-LT"/>
        </w:rPr>
        <w:t>2013 m. reikalavimus atitinkančių į aplinką išleidžiamų nuotekų dalis bendrame nuotekų sraute sudarė 99,7 proc.; SSVP numatytas tikslas (97 proc.) buvo pasiektas ir viršytas.</w:t>
      </w:r>
    </w:p>
    <w:p w14:paraId="032DF5D7" w14:textId="77777777" w:rsidR="007310A9" w:rsidRPr="00E66F06" w:rsidRDefault="007310A9" w:rsidP="007310A9">
      <w:pPr>
        <w:pStyle w:val="Pagrindinispaprastastekstas"/>
        <w:numPr>
          <w:ilvl w:val="0"/>
          <w:numId w:val="32"/>
        </w:numPr>
        <w:rPr>
          <w:lang w:eastAsia="lt-LT"/>
        </w:rPr>
      </w:pPr>
      <w:r w:rsidRPr="00E66F06">
        <w:rPr>
          <w:lang w:eastAsia="lt-LT"/>
        </w:rPr>
        <w:t>Priemonės „Atliekų tvarkymo sistemos sukūrimas“ įgyvendinimas prisidėjo prie šiuolaikiškos atliekų tvarkymo sistemos sukūrimo ir sudarė sąlygas geriau įgyvendinti atliekų tvarkymo prioritetus Lietuvoje: didinti perdirbamų ar kitaip panaudojamų (pavyzdžiui, sukompostuojamų, sudeginamų gaminant šilumos ir elektros energiją) atliekų kiekį ir mažinti sąvartynuose šalinamų atliekų kiekį.</w:t>
      </w:r>
      <w:r w:rsidRPr="00E66F06">
        <w:rPr>
          <w:rStyle w:val="EndnoteReference"/>
          <w:lang w:eastAsia="lt-LT"/>
        </w:rPr>
        <w:endnoteReference w:id="7"/>
      </w:r>
    </w:p>
    <w:p w14:paraId="153CF893" w14:textId="77777777" w:rsidR="007310A9" w:rsidRPr="00E66F06" w:rsidRDefault="007310A9" w:rsidP="007310A9">
      <w:pPr>
        <w:pStyle w:val="Pagrindinispaprastastekstas"/>
        <w:numPr>
          <w:ilvl w:val="0"/>
          <w:numId w:val="32"/>
        </w:numPr>
        <w:rPr>
          <w:lang w:eastAsia="lt-LT"/>
        </w:rPr>
      </w:pPr>
      <w:r w:rsidRPr="00E66F06">
        <w:rPr>
          <w:lang w:eastAsia="lt-LT"/>
        </w:rPr>
        <w:t xml:space="preserve">Sąvartynuose šalinamų komunalinių biologiškai skaidžių atliekų kiekis 2015 m. sumažėjo iki 209 tūkst. tonų (2010 m. pašalinta 621 tūkst. tonų). SSVP nustatytas tikslas (287 tūkst. tonų) pasiektas dar 2014 m. </w:t>
      </w:r>
    </w:p>
    <w:p w14:paraId="5F18CD1C" w14:textId="77777777" w:rsidR="007310A9" w:rsidRPr="00E66F06" w:rsidRDefault="007310A9" w:rsidP="007310A9">
      <w:pPr>
        <w:pStyle w:val="Pagrindinispaprastastekstas"/>
        <w:rPr>
          <w:lang w:eastAsia="lt-LT"/>
        </w:rPr>
      </w:pPr>
    </w:p>
    <w:tbl>
      <w:tblPr>
        <w:tblStyle w:val="TableGrid"/>
        <w:tblW w:w="10060" w:type="dxa"/>
        <w:tblBorders>
          <w:top w:val="single" w:sz="4" w:space="0" w:color="44546A" w:themeColor="text2"/>
          <w:left w:val="single" w:sz="4" w:space="0" w:color="44546A" w:themeColor="text2"/>
          <w:bottom w:val="single" w:sz="4" w:space="0" w:color="44546A" w:themeColor="text2"/>
          <w:right w:val="single" w:sz="4" w:space="0" w:color="44546A" w:themeColor="text2"/>
          <w:insideH w:val="none" w:sz="0" w:space="0" w:color="auto"/>
          <w:insideV w:val="none" w:sz="0" w:space="0" w:color="auto"/>
        </w:tblBorders>
        <w:tblLook w:val="04A0" w:firstRow="1" w:lastRow="0" w:firstColumn="1" w:lastColumn="0" w:noHBand="0" w:noVBand="1"/>
      </w:tblPr>
      <w:tblGrid>
        <w:gridCol w:w="10060"/>
      </w:tblGrid>
      <w:tr w:rsidR="007310A9" w:rsidRPr="00E66F06" w14:paraId="48DFE09A" w14:textId="77777777" w:rsidTr="00AB5327">
        <w:tc>
          <w:tcPr>
            <w:tcW w:w="10060" w:type="dxa"/>
            <w:shd w:val="clear" w:color="auto" w:fill="DEEAF6" w:themeFill="accent1" w:themeFillTint="33"/>
          </w:tcPr>
          <w:p w14:paraId="5581945F" w14:textId="77777777" w:rsidR="007310A9" w:rsidRPr="00AB5327" w:rsidRDefault="007310A9" w:rsidP="00AB5327">
            <w:pPr>
              <w:pStyle w:val="Pagrindinispaprastastekstas"/>
              <w:jc w:val="center"/>
              <w:rPr>
                <w:rFonts w:ascii="Cambria" w:hAnsi="Cambria"/>
                <w:b/>
                <w:i/>
                <w:color w:val="44546A" w:themeColor="text2"/>
              </w:rPr>
            </w:pPr>
            <w:r w:rsidRPr="00AB5327">
              <w:rPr>
                <w:rFonts w:ascii="Cambria" w:hAnsi="Cambria"/>
                <w:b/>
                <w:i/>
                <w:color w:val="44546A" w:themeColor="text2"/>
              </w:rPr>
              <w:drawing>
                <wp:anchor distT="0" distB="0" distL="114300" distR="114300" simplePos="0" relativeHeight="251666432" behindDoc="0" locked="0" layoutInCell="1" allowOverlap="1" wp14:anchorId="28F001BC" wp14:editId="1A7F617D">
                  <wp:simplePos x="0" y="0"/>
                  <wp:positionH relativeFrom="column">
                    <wp:posOffset>4423302</wp:posOffset>
                  </wp:positionH>
                  <wp:positionV relativeFrom="paragraph">
                    <wp:posOffset>97817</wp:posOffset>
                  </wp:positionV>
                  <wp:extent cx="1579880" cy="1184275"/>
                  <wp:effectExtent l="0" t="0" r="39370" b="34925"/>
                  <wp:wrapSquare wrapText="bothSides"/>
                  <wp:docPr id="5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9880" cy="1184275"/>
                          </a:xfrm>
                          <a:prstGeom prst="rect">
                            <a:avLst/>
                          </a:prstGeom>
                          <a:noFill/>
                          <a:ln>
                            <a:noFill/>
                          </a:ln>
                          <a:effectLst>
                            <a:outerShdw dist="35921" dir="2700000" algn="ctr" rotWithShape="0">
                              <a:schemeClr val="bg2"/>
                            </a:outerShdw>
                            <a:softEdge rad="127000"/>
                          </a:effectLst>
                          <a:extLst/>
                        </pic:spPr>
                      </pic:pic>
                    </a:graphicData>
                  </a:graphic>
                  <wp14:sizeRelH relativeFrom="margin">
                    <wp14:pctWidth>0</wp14:pctWidth>
                  </wp14:sizeRelH>
                  <wp14:sizeRelV relativeFrom="margin">
                    <wp14:pctHeight>0</wp14:pctHeight>
                  </wp14:sizeRelV>
                </wp:anchor>
              </w:drawing>
            </w:r>
            <w:r w:rsidRPr="00AB5327">
              <w:rPr>
                <w:rFonts w:ascii="Cambria" w:hAnsi="Cambria"/>
                <w:b/>
                <w:i/>
                <w:color w:val="44546A" w:themeColor="text2"/>
              </w:rPr>
              <w:t>„Šiaulių dumblo apdorojimo įrenginių statyba“</w:t>
            </w:r>
          </w:p>
          <w:p w14:paraId="6725DB3F" w14:textId="77777777" w:rsidR="007310A9" w:rsidRPr="00AB5327" w:rsidRDefault="007310A9" w:rsidP="00AB5327">
            <w:pPr>
              <w:pStyle w:val="Pagrindinispaprastastekstas"/>
              <w:jc w:val="center"/>
              <w:rPr>
                <w:i/>
              </w:rPr>
            </w:pPr>
            <w:r w:rsidRPr="00AB5327">
              <w:rPr>
                <w:i/>
              </w:rPr>
              <w:t>Projekto vykdytojas – UAB „Šiaulių vandenys“</w:t>
            </w:r>
          </w:p>
          <w:p w14:paraId="3258FED1" w14:textId="77777777" w:rsidR="007310A9" w:rsidRPr="00AB5327" w:rsidRDefault="007310A9" w:rsidP="00AB5327">
            <w:pPr>
              <w:pStyle w:val="Pagrindinispaprastastekstas"/>
              <w:jc w:val="center"/>
              <w:rPr>
                <w:i/>
              </w:rPr>
            </w:pPr>
            <w:r w:rsidRPr="00AB5327">
              <w:rPr>
                <w:i/>
              </w:rPr>
              <w:t>Projektui išmokėtos ES lėšos – 16 055 tūkst. eurų.</w:t>
            </w:r>
          </w:p>
          <w:p w14:paraId="1B34663A" w14:textId="77777777" w:rsidR="007310A9" w:rsidRPr="00E66F06" w:rsidRDefault="007310A9" w:rsidP="007310A9">
            <w:pPr>
              <w:pStyle w:val="Pagrindinispaprastastekstas"/>
            </w:pPr>
          </w:p>
          <w:p w14:paraId="444291CB" w14:textId="77777777" w:rsidR="007310A9" w:rsidRPr="00AB5327" w:rsidRDefault="007310A9" w:rsidP="007310A9">
            <w:pPr>
              <w:pStyle w:val="Pagrindinispaprastastekstas"/>
              <w:rPr>
                <w:sz w:val="20"/>
                <w:szCs w:val="20"/>
              </w:rPr>
            </w:pPr>
            <w:r w:rsidRPr="00AB5327">
              <w:rPr>
                <w:noProof/>
                <w:sz w:val="20"/>
                <w:szCs w:val="20"/>
              </w:rPr>
              <w:drawing>
                <wp:anchor distT="0" distB="0" distL="114300" distR="114300" simplePos="0" relativeHeight="251665408" behindDoc="0" locked="0" layoutInCell="1" allowOverlap="1" wp14:anchorId="23CBCA3C" wp14:editId="5C1A20C2">
                  <wp:simplePos x="0" y="0"/>
                  <wp:positionH relativeFrom="column">
                    <wp:posOffset>-8255</wp:posOffset>
                  </wp:positionH>
                  <wp:positionV relativeFrom="paragraph">
                    <wp:posOffset>1427480</wp:posOffset>
                  </wp:positionV>
                  <wp:extent cx="1579880" cy="1184275"/>
                  <wp:effectExtent l="0" t="0" r="39370" b="34925"/>
                  <wp:wrapSquare wrapText="bothSides"/>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9880" cy="1184275"/>
                          </a:xfrm>
                          <a:prstGeom prst="rect">
                            <a:avLst/>
                          </a:prstGeom>
                          <a:noFill/>
                          <a:ln>
                            <a:noFill/>
                          </a:ln>
                          <a:effectLst>
                            <a:outerShdw dist="35921" dir="2700000" algn="ctr" rotWithShape="0">
                              <a:schemeClr val="bg2"/>
                            </a:outerShdw>
                            <a:softEdge rad="127000"/>
                          </a:effectLst>
                          <a:extLst/>
                        </pic:spPr>
                      </pic:pic>
                    </a:graphicData>
                  </a:graphic>
                  <wp14:sizeRelH relativeFrom="margin">
                    <wp14:pctWidth>0</wp14:pctWidth>
                  </wp14:sizeRelH>
                  <wp14:sizeRelV relativeFrom="margin">
                    <wp14:pctHeight>0</wp14:pctHeight>
                  </wp14:sizeRelV>
                </wp:anchor>
              </w:drawing>
            </w:r>
            <w:r w:rsidRPr="00AB5327">
              <w:rPr>
                <w:sz w:val="20"/>
                <w:szCs w:val="20"/>
              </w:rPr>
              <w:t xml:space="preserve">Dumblo apdorojimo įrenginiai pastatyti Šiaulių miesto nuotekų valykloje. Sukurti </w:t>
            </w:r>
            <w:proofErr w:type="spellStart"/>
            <w:r w:rsidRPr="00AB5327">
              <w:rPr>
                <w:sz w:val="20"/>
                <w:szCs w:val="20"/>
              </w:rPr>
              <w:t>pajėgumai</w:t>
            </w:r>
            <w:proofErr w:type="spellEnd"/>
            <w:r w:rsidRPr="00AB5327">
              <w:rPr>
                <w:sz w:val="20"/>
                <w:szCs w:val="20"/>
              </w:rPr>
              <w:t xml:space="preserve"> Šiaulių miesto nuotekų valykloje ir aplinkiniuose rajonuose esančiose valyklose (Joniškio, Baisogalos, Šeduvos, Kuršėnų, Linkuvos, Pakruojo, Radviliškio) susidarančiam dumblui tvarkyti. Planuojama perdirbti apie 5900 tonų nuotekų dumblo per metus (skaičiuojant pagal sausas medžiagas). Dumblo apdorojimo įrenginių technologiją sudaro: 1) dumblo pūdymas – dumblo pūdymui įrengti du </w:t>
            </w:r>
            <w:proofErr w:type="spellStart"/>
            <w:r w:rsidRPr="00AB5327">
              <w:rPr>
                <w:sz w:val="20"/>
                <w:szCs w:val="20"/>
              </w:rPr>
              <w:t>pūdytuvai</w:t>
            </w:r>
            <w:proofErr w:type="spellEnd"/>
            <w:r w:rsidRPr="00AB5327">
              <w:rPr>
                <w:sz w:val="20"/>
                <w:szCs w:val="20"/>
              </w:rPr>
              <w:t xml:space="preserve"> (kiekvienas po 3650 m</w:t>
            </w:r>
            <w:r w:rsidRPr="00AB5327">
              <w:rPr>
                <w:sz w:val="20"/>
                <w:szCs w:val="20"/>
                <w:vertAlign w:val="superscript"/>
              </w:rPr>
              <w:t>3</w:t>
            </w:r>
            <w:r w:rsidRPr="00AB5327">
              <w:rPr>
                <w:sz w:val="20"/>
                <w:szCs w:val="20"/>
              </w:rPr>
              <w:t xml:space="preserve"> talpos), kuriuose dumble esančios organinės medžiagos skaidomos anaerobinėje aplinkoje ir šio proceso metu išsiskiria biodujos (apie 4929 m</w:t>
            </w:r>
            <w:r w:rsidRPr="00AB5327">
              <w:rPr>
                <w:sz w:val="20"/>
                <w:szCs w:val="20"/>
                <w:vertAlign w:val="superscript"/>
              </w:rPr>
              <w:t>3</w:t>
            </w:r>
            <w:r w:rsidRPr="00AB5327">
              <w:rPr>
                <w:sz w:val="20"/>
                <w:szCs w:val="20"/>
              </w:rPr>
              <w:t xml:space="preserve"> biodujų per parą, kurios surenkamos biodujų kaupimo talpoje); 2) pūdyto dumblo sausinimas – dumblo sausinimui įrengtos dvi centrifugos, kuriose pūdytas dumblas prieš džiovinimą nusausinamas iki 30 proc. sausumo; 3) dumblo džiovinimas – dumblo džiovinimui įrengta juostinio konvejerio tipo džiovykla, kurios našumas pagal išgarinamo vandens kiekį yra 2000 kg/h, iki 90 proc. sausumo išdžiovinto dumblo granulės saugomos dengtoje sandėliavimo aikštelėje; 4) kombinuota šilumos ir elektros energijos jėgainė – </w:t>
            </w:r>
            <w:proofErr w:type="spellStart"/>
            <w:r w:rsidRPr="00AB5327">
              <w:rPr>
                <w:sz w:val="20"/>
                <w:szCs w:val="20"/>
              </w:rPr>
              <w:t>pūdytuvuose</w:t>
            </w:r>
            <w:proofErr w:type="spellEnd"/>
            <w:r w:rsidRPr="00AB5327">
              <w:rPr>
                <w:sz w:val="20"/>
                <w:szCs w:val="20"/>
              </w:rPr>
              <w:t xml:space="preserve"> išgautos biodujos panaudojamos elektros ir šilumos energijos gamybai jėgainėje, kurią sudaro du generatoriai. Jėgainėje numatoma pagaminti apie 4,5 mln. kilovatvalandžių elektros ir tiek pat šiluminės energijos. Pagaminta elektros energija bus panaudojama pačių įrenginių darbui arba perduodama į elektros skirstomuosius tinklus, o šiluminė energija bus naudojama dumblo pakaitinimui prieš pūdymą ir dumblo džiovinimui. Konkurse „Pasiekimai aplinkosaugoje 2012“ projekto vykdytojas apdovanotas prizu </w:t>
            </w:r>
            <w:r w:rsidRPr="00AB5327">
              <w:rPr>
                <w:bCs/>
                <w:sz w:val="20"/>
                <w:szCs w:val="20"/>
              </w:rPr>
              <w:t>nominacijoje „Palankiausias aplinkai procesas“.</w:t>
            </w:r>
            <w:r w:rsidRPr="00AB5327">
              <w:rPr>
                <w:b/>
                <w:bCs/>
                <w:sz w:val="20"/>
                <w:szCs w:val="20"/>
              </w:rPr>
              <w:t xml:space="preserve"> </w:t>
            </w:r>
          </w:p>
        </w:tc>
      </w:tr>
    </w:tbl>
    <w:p w14:paraId="4FB85534" w14:textId="77777777" w:rsidR="007310A9" w:rsidRPr="00E66F06" w:rsidRDefault="007310A9" w:rsidP="007310A9">
      <w:pPr>
        <w:pStyle w:val="Pagrindinispaprastastekstas"/>
        <w:rPr>
          <w:lang w:eastAsia="lt-LT"/>
        </w:rPr>
      </w:pPr>
    </w:p>
    <w:p w14:paraId="6DA97CE3" w14:textId="76B8954A" w:rsidR="007310A9" w:rsidRPr="00E66F06" w:rsidRDefault="007310A9" w:rsidP="008A6F28">
      <w:pPr>
        <w:pStyle w:val="Nenumeruojamosantrastes"/>
      </w:pPr>
      <w:bookmarkStart w:id="10" w:name="_Toc468106956"/>
      <w:bookmarkStart w:id="11" w:name="_Toc468114524"/>
      <w:r w:rsidRPr="00E66F06">
        <w:t>SSVP įgyvendinimo rezultatai: oro kokybės gerinimas</w:t>
      </w:r>
      <w:bookmarkEnd w:id="10"/>
      <w:bookmarkEnd w:id="11"/>
    </w:p>
    <w:p w14:paraId="1A28F7DE" w14:textId="77777777" w:rsidR="007310A9" w:rsidRPr="00AB5327" w:rsidRDefault="007310A9" w:rsidP="007310A9">
      <w:pPr>
        <w:pStyle w:val="Pagrindinispaprastastekstas"/>
        <w:rPr>
          <w:rFonts w:ascii="Cambria" w:hAnsi="Cambria"/>
          <w:b/>
          <w:color w:val="44546A" w:themeColor="text2"/>
          <w:lang w:eastAsia="lt-LT"/>
        </w:rPr>
      </w:pPr>
      <w:r w:rsidRPr="00AB5327">
        <w:rPr>
          <w:rFonts w:ascii="Cambria" w:hAnsi="Cambria"/>
          <w:b/>
          <w:color w:val="44546A" w:themeColor="text2"/>
          <w:lang w:eastAsia="lt-LT"/>
        </w:rPr>
        <w:t>Pagrindiniai produktai ir rezultatai</w:t>
      </w:r>
    </w:p>
    <w:p w14:paraId="30B9CC9A" w14:textId="77777777" w:rsidR="007310A9" w:rsidRPr="00E66F06" w:rsidRDefault="007310A9" w:rsidP="007310A9">
      <w:pPr>
        <w:pStyle w:val="Pagrindinispaprastastekstas"/>
        <w:rPr>
          <w:lang w:eastAsia="lt-LT"/>
        </w:rPr>
      </w:pPr>
      <w:r w:rsidRPr="00E66F06">
        <w:rPr>
          <w:noProof/>
          <w:lang w:eastAsia="lt-LT"/>
        </w:rPr>
        <w:drawing>
          <wp:inline distT="0" distB="0" distL="0" distR="0" wp14:anchorId="71679ED2" wp14:editId="2F44D128">
            <wp:extent cx="6080886" cy="1599570"/>
            <wp:effectExtent l="0" t="0" r="15240" b="63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2EAF853" w14:textId="77777777" w:rsidR="007310A9" w:rsidRPr="00E66F06" w:rsidRDefault="007310A9" w:rsidP="007310A9">
      <w:pPr>
        <w:pStyle w:val="Pagrindinispaprastastekstas"/>
        <w:rPr>
          <w:lang w:eastAsia="lt-LT"/>
        </w:rPr>
      </w:pPr>
    </w:p>
    <w:p w14:paraId="6B4573D2" w14:textId="77777777" w:rsidR="007310A9" w:rsidRPr="00E66F06" w:rsidRDefault="007310A9" w:rsidP="007310A9">
      <w:pPr>
        <w:pStyle w:val="Pagrindinispaprastastekstas"/>
        <w:numPr>
          <w:ilvl w:val="0"/>
          <w:numId w:val="33"/>
        </w:numPr>
        <w:rPr>
          <w:lang w:eastAsia="lt-LT"/>
        </w:rPr>
      </w:pPr>
      <w:r w:rsidRPr="00E66F06">
        <w:rPr>
          <w:lang w:eastAsia="lt-LT"/>
        </w:rPr>
        <w:t xml:space="preserve">Oro kokybės gerinimo projektai vykdyti 5 didžiuosiuose miestuose. Įgyvendinant projektus šių miestų viešojo transporto įmonės įsigijo </w:t>
      </w:r>
      <w:r w:rsidRPr="00E66F06">
        <w:rPr>
          <w:bCs/>
          <w:lang w:eastAsia="lt-LT"/>
        </w:rPr>
        <w:t xml:space="preserve">ekologiškas viešojo transporto priemones </w:t>
      </w:r>
      <w:r w:rsidRPr="00E66F06">
        <w:rPr>
          <w:lang w:eastAsia="lt-LT"/>
        </w:rPr>
        <w:t xml:space="preserve">– gamtines dujas naudojančius ir hibridinius (elektra ir dyzelinu varomus) autobusus. </w:t>
      </w:r>
    </w:p>
    <w:p w14:paraId="6279402A" w14:textId="77777777" w:rsidR="007310A9" w:rsidRPr="00E66F06" w:rsidRDefault="007310A9" w:rsidP="007310A9">
      <w:pPr>
        <w:pStyle w:val="Pagrindinispaprastastekstas"/>
        <w:numPr>
          <w:ilvl w:val="0"/>
          <w:numId w:val="33"/>
        </w:numPr>
        <w:rPr>
          <w:lang w:eastAsia="lt-LT"/>
        </w:rPr>
      </w:pPr>
      <w:r w:rsidRPr="00E66F06">
        <w:rPr>
          <w:lang w:eastAsia="lt-LT"/>
        </w:rPr>
        <w:t xml:space="preserve">Vilniaus mieste (UAB „Vilniaus viešasis transportas“) atnaujinta 9 proc., Kauno mieste (UAB „Kauno autobusai“) – 11 proc., Klaipėdos mieste (UAB „Klaipėdos autobusų parkas“) – 15 proc., Šiaulių mieste (UAB „Busturas“) – 7 proc., Panevėžio mieste (UAB „Panevėžio autobusų parkas“) – 9 proc. viešojo transporto priemonių. </w:t>
      </w:r>
    </w:p>
    <w:p w14:paraId="609F7548" w14:textId="77777777" w:rsidR="007310A9" w:rsidRPr="00E66F06" w:rsidRDefault="007310A9" w:rsidP="007310A9">
      <w:pPr>
        <w:pStyle w:val="Pagrindinispaprastastekstas"/>
        <w:numPr>
          <w:ilvl w:val="0"/>
          <w:numId w:val="33"/>
        </w:numPr>
        <w:rPr>
          <w:lang w:eastAsia="lt-LT"/>
        </w:rPr>
      </w:pPr>
      <w:r w:rsidRPr="00E66F06">
        <w:rPr>
          <w:lang w:eastAsia="lt-LT"/>
        </w:rPr>
        <w:t>Įrengti dviračių takai (23 km); rekonstruotos 42 įvažos į autobusų stoteles; nutiestas naujas troleibusų kontaktinis tinklas Parodos ir K. Petrausko gatvėse Kauno mieste (2,1 km).</w:t>
      </w:r>
    </w:p>
    <w:p w14:paraId="606325D1" w14:textId="77777777" w:rsidR="007310A9" w:rsidRPr="00E66F06" w:rsidRDefault="007310A9" w:rsidP="007310A9">
      <w:pPr>
        <w:pStyle w:val="Pagrindinispaprastastekstas"/>
        <w:rPr>
          <w:lang w:eastAsia="lt-LT"/>
        </w:rPr>
      </w:pPr>
    </w:p>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none" w:sz="0" w:space="0" w:color="auto"/>
          <w:insideV w:val="none" w:sz="0" w:space="0" w:color="auto"/>
        </w:tblBorders>
        <w:tblLook w:val="04A0" w:firstRow="1" w:lastRow="0" w:firstColumn="1" w:lastColumn="0" w:noHBand="0" w:noVBand="1"/>
      </w:tblPr>
      <w:tblGrid>
        <w:gridCol w:w="9628"/>
      </w:tblGrid>
      <w:tr w:rsidR="007310A9" w:rsidRPr="00E66F06" w14:paraId="59F016D8" w14:textId="77777777" w:rsidTr="00197EC1">
        <w:tc>
          <w:tcPr>
            <w:tcW w:w="9628" w:type="dxa"/>
            <w:shd w:val="clear" w:color="auto" w:fill="DEEAF6" w:themeFill="accent1" w:themeFillTint="33"/>
          </w:tcPr>
          <w:p w14:paraId="56AEBAE3" w14:textId="77777777" w:rsidR="007310A9" w:rsidRPr="00AB5327" w:rsidRDefault="007310A9" w:rsidP="00AB5327">
            <w:pPr>
              <w:pStyle w:val="Pagrindinispaprastastekstas"/>
              <w:jc w:val="center"/>
              <w:rPr>
                <w:rFonts w:ascii="Cambria" w:hAnsi="Cambria"/>
                <w:b/>
                <w:i/>
                <w:color w:val="44546A" w:themeColor="text2"/>
              </w:rPr>
            </w:pPr>
            <w:r w:rsidRPr="00AB5327">
              <w:rPr>
                <w:rFonts w:ascii="Cambria" w:hAnsi="Cambria"/>
                <w:b/>
                <w:i/>
                <w:color w:val="44546A" w:themeColor="text2"/>
              </w:rPr>
              <w:t>„Ekologiškų viešojo transporto autobusų įsigijimas Kauno mieste (I etapas)“</w:t>
            </w:r>
          </w:p>
          <w:p w14:paraId="084468E4" w14:textId="77777777" w:rsidR="007310A9" w:rsidRPr="00AB5327" w:rsidRDefault="007310A9" w:rsidP="00AB5327">
            <w:pPr>
              <w:pStyle w:val="Pagrindinispaprastastekstas"/>
              <w:jc w:val="center"/>
              <w:rPr>
                <w:i/>
              </w:rPr>
            </w:pPr>
            <w:r w:rsidRPr="00AB5327">
              <w:rPr>
                <w:i/>
              </w:rPr>
              <w:t>Projekto vykdytojas – Kauno miesto savivaldybės administracija</w:t>
            </w:r>
          </w:p>
          <w:p w14:paraId="43789ED0" w14:textId="77777777" w:rsidR="007310A9" w:rsidRPr="00AB5327" w:rsidRDefault="007310A9" w:rsidP="00AB5327">
            <w:pPr>
              <w:pStyle w:val="Pagrindinispaprastastekstas"/>
              <w:jc w:val="center"/>
              <w:rPr>
                <w:i/>
              </w:rPr>
            </w:pPr>
            <w:r w:rsidRPr="00AB5327">
              <w:rPr>
                <w:i/>
              </w:rPr>
              <w:t>Projektui išmokėtos ES lėšos – 4 330,1 tūkst. eurų.</w:t>
            </w:r>
          </w:p>
          <w:p w14:paraId="05715CF2" w14:textId="77777777" w:rsidR="007310A9" w:rsidRPr="00E66F06" w:rsidRDefault="007310A9" w:rsidP="007310A9">
            <w:pPr>
              <w:pStyle w:val="Pagrindinispaprastastekstas"/>
            </w:pPr>
          </w:p>
          <w:p w14:paraId="6907590C" w14:textId="77777777" w:rsidR="007310A9" w:rsidRPr="00AB5327" w:rsidRDefault="007310A9" w:rsidP="007310A9">
            <w:pPr>
              <w:pStyle w:val="Pagrindinispaprastastekstas"/>
              <w:rPr>
                <w:rFonts w:ascii="Times New Roman" w:hAnsi="Times New Roman"/>
                <w:sz w:val="20"/>
                <w:szCs w:val="20"/>
              </w:rPr>
            </w:pPr>
            <w:r w:rsidRPr="00AB5327">
              <w:rPr>
                <w:rFonts w:ascii="Times New Roman" w:hAnsi="Times New Roman"/>
                <w:noProof/>
                <w:sz w:val="20"/>
                <w:szCs w:val="20"/>
              </w:rPr>
              <w:drawing>
                <wp:anchor distT="0" distB="0" distL="114300" distR="114300" simplePos="0" relativeHeight="251667456" behindDoc="0" locked="0" layoutInCell="1" allowOverlap="1" wp14:anchorId="7E18B089" wp14:editId="2EE9BA67">
                  <wp:simplePos x="0" y="0"/>
                  <wp:positionH relativeFrom="column">
                    <wp:posOffset>10160</wp:posOffset>
                  </wp:positionH>
                  <wp:positionV relativeFrom="paragraph">
                    <wp:posOffset>720725</wp:posOffset>
                  </wp:positionV>
                  <wp:extent cx="4031615" cy="1230630"/>
                  <wp:effectExtent l="0" t="0" r="6985"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5_e2c66aa13b959104e3ea6c7520bc9cf8.jpg"/>
                          <pic:cNvPicPr/>
                        </pic:nvPicPr>
                        <pic:blipFill rotWithShape="1">
                          <a:blip r:embed="rId23">
                            <a:extLst>
                              <a:ext uri="{28A0092B-C50C-407E-A947-70E740481C1C}">
                                <a14:useLocalDpi xmlns:a14="http://schemas.microsoft.com/office/drawing/2010/main" val="0"/>
                              </a:ext>
                            </a:extLst>
                          </a:blip>
                          <a:srcRect l="12954" t="22113" r="12691" b="41303"/>
                          <a:stretch/>
                        </pic:blipFill>
                        <pic:spPr bwMode="auto">
                          <a:xfrm>
                            <a:off x="0" y="0"/>
                            <a:ext cx="4031615" cy="12306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5327">
              <w:rPr>
                <w:rFonts w:ascii="Times New Roman" w:hAnsi="Times New Roman"/>
                <w:sz w:val="20"/>
                <w:szCs w:val="20"/>
              </w:rPr>
              <w:t xml:space="preserve">Įgyvendinant projektą įsigyti 24 nauji, suspaustas gamtines dujas naudojantys, </w:t>
            </w:r>
            <w:proofErr w:type="spellStart"/>
            <w:r w:rsidRPr="00AB5327">
              <w:rPr>
                <w:rFonts w:ascii="Times New Roman" w:hAnsi="Times New Roman"/>
                <w:sz w:val="20"/>
                <w:szCs w:val="20"/>
              </w:rPr>
              <w:t>žemagrindžiai</w:t>
            </w:r>
            <w:proofErr w:type="spellEnd"/>
            <w:r w:rsidRPr="00AB5327">
              <w:rPr>
                <w:rFonts w:ascii="Times New Roman" w:hAnsi="Times New Roman"/>
                <w:sz w:val="20"/>
                <w:szCs w:val="20"/>
              </w:rPr>
              <w:t>, pritaikyti žmonėms su specialiais poreikiais, 12 metrų ilgio miesto autobusai. Įgyvendinus projektą padidėjo transporto sektoriaus ekonominis ir ekologinis efektyvumas, sumažėjo degalų sąnaudos, teršiančių ir šiltnamio efektą sukeliančių dujų emisija į orą. Pagerėjo viešojo transporto keleivių važiavimo kokybė bei viešojo transporto patrauklumas. Padidėjo keleivių ir vairuotojo komfortas, sumažėjo triukšmas ir vibracija, sumažėjo susirgimų ir mirčių dėl oro taršos tikimybė. Švaresnių degalų ir elektros energijos dalis bendrame kuro balanse UAB „Kauno autobusai“ padidėjo nuo 0 proc. iki 25 proc. Viešuoju transportu vežtų keleivių skaičius išaugo 25 proc.</w:t>
            </w:r>
          </w:p>
        </w:tc>
      </w:tr>
    </w:tbl>
    <w:p w14:paraId="6AA9557A" w14:textId="77777777" w:rsidR="007310A9" w:rsidRDefault="007310A9" w:rsidP="007310A9">
      <w:pPr>
        <w:pStyle w:val="Pagrindinispaprastastekstas"/>
        <w:rPr>
          <w:lang w:eastAsia="lt-LT"/>
        </w:rPr>
      </w:pPr>
    </w:p>
    <w:p w14:paraId="7D411091" w14:textId="77777777" w:rsidR="007310A9" w:rsidRPr="00AB5327" w:rsidRDefault="007310A9" w:rsidP="007310A9">
      <w:pPr>
        <w:pStyle w:val="Pagrindinispaprastastekstas"/>
        <w:rPr>
          <w:rFonts w:ascii="Cambria" w:hAnsi="Cambria"/>
          <w:b/>
          <w:color w:val="44546A" w:themeColor="text2"/>
          <w:lang w:eastAsia="lt-LT"/>
        </w:rPr>
      </w:pPr>
      <w:r w:rsidRPr="00AB5327">
        <w:rPr>
          <w:rFonts w:ascii="Cambria" w:hAnsi="Cambria"/>
          <w:b/>
          <w:color w:val="44546A" w:themeColor="text2"/>
          <w:lang w:eastAsia="lt-LT"/>
        </w:rPr>
        <w:t>Investicijų poveikis:</w:t>
      </w:r>
    </w:p>
    <w:p w14:paraId="4425966B" w14:textId="77777777" w:rsidR="007310A9" w:rsidRPr="00E66F06" w:rsidRDefault="007310A9" w:rsidP="007310A9">
      <w:pPr>
        <w:pStyle w:val="Pagrindinispaprastastekstas"/>
        <w:numPr>
          <w:ilvl w:val="0"/>
          <w:numId w:val="33"/>
        </w:numPr>
        <w:rPr>
          <w:lang w:eastAsia="lt-LT"/>
        </w:rPr>
      </w:pPr>
      <w:r w:rsidRPr="00E66F06">
        <w:rPr>
          <w:lang w:eastAsia="lt-LT"/>
        </w:rPr>
        <w:t xml:space="preserve">Didžiųjų miestų viešajame transporte 11 proc. punktų padidėjo švaresnių degalų ir elektros energijos dalis bendrame kuro balanse (nuo 17 proc. iki 28 proc.). </w:t>
      </w:r>
    </w:p>
    <w:p w14:paraId="71085791" w14:textId="77777777" w:rsidR="007310A9" w:rsidRPr="00E66F06" w:rsidRDefault="007310A9" w:rsidP="007310A9">
      <w:pPr>
        <w:pStyle w:val="Pagrindinispaprastastekstas"/>
        <w:numPr>
          <w:ilvl w:val="0"/>
          <w:numId w:val="33"/>
        </w:numPr>
        <w:rPr>
          <w:lang w:eastAsia="lt-LT"/>
        </w:rPr>
      </w:pPr>
      <w:r w:rsidRPr="00E66F06">
        <w:rPr>
          <w:lang w:eastAsia="lt-LT"/>
        </w:rPr>
        <w:t xml:space="preserve">Sumažėjo dyzelino suvartojimas viešajame transporte (Klaipėdoje – 47 proc., Šiauliuose – 31 proc.). </w:t>
      </w:r>
    </w:p>
    <w:p w14:paraId="4289166B" w14:textId="0B5C1E95" w:rsidR="007310A9" w:rsidRPr="00AB5327" w:rsidRDefault="007310A9" w:rsidP="00377063">
      <w:pPr>
        <w:pStyle w:val="Pagrindinispaprastastekstas"/>
        <w:numPr>
          <w:ilvl w:val="0"/>
          <w:numId w:val="33"/>
        </w:numPr>
        <w:rPr>
          <w:rFonts w:asciiTheme="majorHAnsi" w:hAnsiTheme="majorHAnsi"/>
          <w:lang w:eastAsia="lt-LT"/>
        </w:rPr>
      </w:pPr>
      <w:r w:rsidRPr="00E66F06">
        <w:rPr>
          <w:lang w:eastAsia="lt-LT"/>
        </w:rPr>
        <w:t xml:space="preserve">Viešuoju miesto transportu vežamų </w:t>
      </w:r>
      <w:r w:rsidRPr="00AB5327">
        <w:rPr>
          <w:bCs/>
          <w:lang w:eastAsia="lt-LT"/>
        </w:rPr>
        <w:t>keleivių skaičius išaugo beveik 32 proc.</w:t>
      </w:r>
      <w:r w:rsidRPr="00E66F06">
        <w:rPr>
          <w:lang w:eastAsia="lt-LT"/>
        </w:rPr>
        <w:t xml:space="preserve"> (planuota – 5 proc.).</w:t>
      </w:r>
    </w:p>
    <w:p w14:paraId="202DDA6B" w14:textId="77777777" w:rsidR="007310A9" w:rsidRPr="00E66F06" w:rsidRDefault="007310A9" w:rsidP="008A6F28">
      <w:pPr>
        <w:pStyle w:val="Nenumeruojamosantrastes"/>
      </w:pPr>
      <w:r w:rsidRPr="00E66F06">
        <w:t>SSVP įgyvendinimo rezultatai: energijos vartojimo efektyvumo didinimas</w:t>
      </w:r>
    </w:p>
    <w:p w14:paraId="1A2102A8" w14:textId="77777777" w:rsidR="007310A9" w:rsidRPr="00AB5327" w:rsidRDefault="007310A9" w:rsidP="007310A9">
      <w:pPr>
        <w:pStyle w:val="Pagrindinispaprastastekstas"/>
        <w:rPr>
          <w:rFonts w:ascii="Cambria" w:hAnsi="Cambria"/>
          <w:b/>
          <w:color w:val="44546A" w:themeColor="text2"/>
          <w:lang w:eastAsia="lt-LT"/>
        </w:rPr>
      </w:pPr>
      <w:r w:rsidRPr="00AB5327">
        <w:rPr>
          <w:rFonts w:ascii="Cambria" w:hAnsi="Cambria"/>
          <w:b/>
          <w:color w:val="44546A" w:themeColor="text2"/>
          <w:lang w:eastAsia="lt-LT"/>
        </w:rPr>
        <w:t>Pagrindiniai produktai ir rezultatai</w:t>
      </w:r>
    </w:p>
    <w:p w14:paraId="7F6F9AF4" w14:textId="77777777" w:rsidR="007310A9" w:rsidRPr="00E66F06" w:rsidRDefault="007310A9" w:rsidP="007310A9">
      <w:pPr>
        <w:pStyle w:val="Pagrindinispaprastastekstas"/>
        <w:rPr>
          <w:lang w:eastAsia="lt-LT"/>
        </w:rPr>
      </w:pPr>
      <w:r w:rsidRPr="00E66F06">
        <w:rPr>
          <w:noProof/>
          <w:lang w:eastAsia="lt-LT"/>
        </w:rPr>
        <w:drawing>
          <wp:inline distT="0" distB="0" distL="0" distR="0" wp14:anchorId="7D68A9DB" wp14:editId="33493616">
            <wp:extent cx="6050658" cy="1838876"/>
            <wp:effectExtent l="0" t="0" r="7620"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7987E1F" w14:textId="77777777" w:rsidR="007310A9" w:rsidRPr="00E66F06" w:rsidRDefault="007310A9" w:rsidP="007310A9">
      <w:pPr>
        <w:pStyle w:val="Pagrindinispaprastastekstas"/>
        <w:rPr>
          <w:lang w:eastAsia="lt-LT"/>
        </w:rPr>
      </w:pPr>
    </w:p>
    <w:p w14:paraId="302B524A" w14:textId="653DBF55" w:rsidR="007310A9" w:rsidRPr="00E66F06" w:rsidRDefault="00AB5327" w:rsidP="007310A9">
      <w:pPr>
        <w:pStyle w:val="Pagrindinispaprastastekstas"/>
        <w:numPr>
          <w:ilvl w:val="0"/>
          <w:numId w:val="30"/>
        </w:numPr>
        <w:rPr>
          <w:lang w:eastAsia="lt-LT"/>
        </w:rPr>
      </w:pPr>
      <w:r w:rsidRPr="00E66F06">
        <w:rPr>
          <w:noProof/>
          <w:lang w:eastAsia="lt-LT"/>
        </w:rPr>
        <mc:AlternateContent>
          <mc:Choice Requires="wps">
            <w:drawing>
              <wp:anchor distT="107950" distB="107950" distL="107950" distR="107950" simplePos="0" relativeHeight="251669504" behindDoc="1" locked="0" layoutInCell="1" allowOverlap="1" wp14:anchorId="1AACC9D4" wp14:editId="68B9C414">
                <wp:simplePos x="0" y="0"/>
                <wp:positionH relativeFrom="margin">
                  <wp:posOffset>4137025</wp:posOffset>
                </wp:positionH>
                <wp:positionV relativeFrom="paragraph">
                  <wp:posOffset>162560</wp:posOffset>
                </wp:positionV>
                <wp:extent cx="2025650" cy="853440"/>
                <wp:effectExtent l="0" t="0" r="0" b="3810"/>
                <wp:wrapSquare wrapText="bothSides"/>
                <wp:docPr id="44" name="Text Box 44"/>
                <wp:cNvGraphicFramePr/>
                <a:graphic xmlns:a="http://schemas.openxmlformats.org/drawingml/2006/main">
                  <a:graphicData uri="http://schemas.microsoft.com/office/word/2010/wordprocessingShape">
                    <wps:wsp>
                      <wps:cNvSpPr txBox="1"/>
                      <wps:spPr>
                        <a:xfrm>
                          <a:off x="0" y="0"/>
                          <a:ext cx="2025650" cy="853440"/>
                        </a:xfrm>
                        <a:prstGeom prst="rect">
                          <a:avLst/>
                        </a:prstGeom>
                        <a:solidFill>
                          <a:schemeClr val="accent1">
                            <a:lumMod val="20000"/>
                            <a:lumOff val="80000"/>
                          </a:schemeClr>
                        </a:solidFill>
                        <a:ln w="6350">
                          <a:noFill/>
                        </a:ln>
                        <a:effectLst/>
                      </wps:spPr>
                      <wps:style>
                        <a:lnRef idx="0">
                          <a:schemeClr val="accent1"/>
                        </a:lnRef>
                        <a:fillRef idx="1003">
                          <a:schemeClr val="lt2"/>
                        </a:fillRef>
                        <a:effectRef idx="0">
                          <a:schemeClr val="accent1"/>
                        </a:effectRef>
                        <a:fontRef idx="minor">
                          <a:schemeClr val="dk1"/>
                        </a:fontRef>
                      </wps:style>
                      <wps:txbx>
                        <w:txbxContent>
                          <w:p w14:paraId="18708C7E" w14:textId="77777777" w:rsidR="007310A9" w:rsidRPr="008A6F28" w:rsidRDefault="007310A9" w:rsidP="007310A9">
                            <w:pPr>
                              <w:jc w:val="center"/>
                              <w:rPr>
                                <w:rFonts w:ascii="Cambria" w:hAnsi="Cambria"/>
                                <w:color w:val="323E4F" w:themeColor="text2" w:themeShade="BF"/>
                                <w:sz w:val="20"/>
                                <w:szCs w:val="20"/>
                              </w:rPr>
                            </w:pPr>
                            <w:r w:rsidRPr="008A6F28">
                              <w:rPr>
                                <w:rFonts w:ascii="Cambria" w:hAnsi="Cambria"/>
                                <w:color w:val="323E4F" w:themeColor="text2" w:themeShade="BF"/>
                                <w:sz w:val="20"/>
                                <w:szCs w:val="20"/>
                              </w:rPr>
                              <w:t>Iki 2016 m. pabaigos Lietuvoje renovuota apie 4,4 proc. visų iki 1993 m. pastatytų daugiabučių gyvenamųjų namų.</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CC9D4" id="Text Box 44" o:spid="_x0000_s1027" type="#_x0000_t202" style="position:absolute;left:0;text-align:left;margin-left:325.75pt;margin-top:12.8pt;width:159.5pt;height:67.2pt;z-index:-251646976;visibility:visible;mso-wrap-style:square;mso-width-percent:0;mso-height-percent:0;mso-wrap-distance-left:8.5pt;mso-wrap-distance-top:8.5pt;mso-wrap-distance-right:8.5pt;mso-wrap-distance-bottom: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" fillcolor="#deeaf6 [660]" stroked="f" strokeweight=".5pt">
                <v:textbox inset="3mm,3mm,3mm,3mm">
                  <w:txbxContent>
                    <w:p w14:paraId="18708C7E" w14:textId="77777777" w:rsidR="007310A9" w:rsidRPr="008A6F28" w:rsidRDefault="007310A9" w:rsidP="007310A9">
                      <w:pPr>
                        <w:jc w:val="center"/>
                        <w:rPr>
                          <w:rFonts w:ascii="Cambria" w:hAnsi="Cambria"/>
                          <w:color w:val="323E4F" w:themeColor="text2" w:themeShade="BF"/>
                          <w:sz w:val="20"/>
                          <w:szCs w:val="20"/>
                        </w:rPr>
                      </w:pPr>
                      <w:r w:rsidRPr="008A6F28">
                        <w:rPr>
                          <w:rFonts w:ascii="Cambria" w:hAnsi="Cambria"/>
                          <w:color w:val="323E4F" w:themeColor="text2" w:themeShade="BF"/>
                          <w:sz w:val="20"/>
                          <w:szCs w:val="20"/>
                        </w:rPr>
                        <w:t>Iki 2016 m. pabaigos Lietuvoje renovuota apie 4,4 proc. visų iki 1993 m. pastatytų daugiabučių gyvenamųjų namų.</w:t>
                      </w:r>
                    </w:p>
                  </w:txbxContent>
                </v:textbox>
                <w10:wrap type="square" anchorx="margin"/>
              </v:shape>
            </w:pict>
          </mc:Fallback>
        </mc:AlternateContent>
      </w:r>
      <w:r w:rsidR="007310A9" w:rsidRPr="00E66F06">
        <w:rPr>
          <w:lang w:eastAsia="lt-LT"/>
        </w:rPr>
        <w:t xml:space="preserve">Iki 2016 m. pabaigos šalyje renovuoti 1537 daugiabučiai, iš jų 1068 (69 proc.) – SSVP lėšomis. </w:t>
      </w:r>
    </w:p>
    <w:p w14:paraId="0900B16F" w14:textId="7987AE7C" w:rsidR="007310A9" w:rsidRPr="00E66F06" w:rsidRDefault="007310A9" w:rsidP="007310A9">
      <w:pPr>
        <w:pStyle w:val="Pagrindinispaprastastekstas"/>
        <w:numPr>
          <w:ilvl w:val="0"/>
          <w:numId w:val="30"/>
        </w:numPr>
        <w:rPr>
          <w:lang w:eastAsia="lt-LT"/>
        </w:rPr>
      </w:pPr>
      <w:r w:rsidRPr="00E66F06">
        <w:rPr>
          <w:lang w:eastAsia="lt-LT"/>
        </w:rPr>
        <w:t>Pagal JESSICA renovuotuose daugiabučiuose energijos vartojimo efektyvumas padidėjo 67,32 proc.</w:t>
      </w:r>
    </w:p>
    <w:p w14:paraId="7AA3ACE9" w14:textId="5A4F0ADC" w:rsidR="007310A9" w:rsidRPr="00E66F06" w:rsidRDefault="007310A9" w:rsidP="007310A9">
      <w:pPr>
        <w:pStyle w:val="Pagrindinispaprastastekstas"/>
        <w:numPr>
          <w:ilvl w:val="0"/>
          <w:numId w:val="30"/>
        </w:numPr>
        <w:rPr>
          <w:lang w:eastAsia="lt-LT"/>
        </w:rPr>
      </w:pPr>
      <w:r w:rsidRPr="00E66F06">
        <w:rPr>
          <w:lang w:eastAsia="lt-LT"/>
        </w:rPr>
        <w:t xml:space="preserve">Renovuotuose viešosios paskirties pastatuose sutaupyta 262 </w:t>
      </w:r>
      <w:proofErr w:type="spellStart"/>
      <w:r w:rsidRPr="00E66F06">
        <w:rPr>
          <w:lang w:eastAsia="lt-LT"/>
        </w:rPr>
        <w:t>GWh</w:t>
      </w:r>
      <w:proofErr w:type="spellEnd"/>
      <w:r w:rsidRPr="00E66F06">
        <w:rPr>
          <w:lang w:eastAsia="lt-LT"/>
        </w:rPr>
        <w:t xml:space="preserve"> energijos.</w:t>
      </w:r>
    </w:p>
    <w:p w14:paraId="742D72AF" w14:textId="2EB7FBBC" w:rsidR="007310A9" w:rsidRPr="00E66F06" w:rsidRDefault="007310A9" w:rsidP="007310A9">
      <w:pPr>
        <w:pStyle w:val="Pagrindinispaprastastekstas"/>
        <w:numPr>
          <w:ilvl w:val="0"/>
          <w:numId w:val="30"/>
        </w:numPr>
        <w:rPr>
          <w:lang w:eastAsia="lt-LT"/>
        </w:rPr>
      </w:pPr>
      <w:r w:rsidRPr="00E66F06">
        <w:rPr>
          <w:lang w:eastAsia="lt-LT"/>
        </w:rPr>
        <w:t xml:space="preserve">Buvo įrengti 55 nauji energijos gamybos </w:t>
      </w:r>
      <w:proofErr w:type="spellStart"/>
      <w:r w:rsidRPr="00E66F06">
        <w:rPr>
          <w:lang w:eastAsia="lt-LT"/>
        </w:rPr>
        <w:t>pajėgumai</w:t>
      </w:r>
      <w:proofErr w:type="spellEnd"/>
      <w:r w:rsidRPr="00E66F06">
        <w:rPr>
          <w:lang w:eastAsia="lt-LT"/>
        </w:rPr>
        <w:t xml:space="preserve"> (katilinės, termofikacinės elektrinės), naudojantys biomasę ir tiekiantys </w:t>
      </w:r>
      <w:r w:rsidRPr="00E66F06">
        <w:t>šilumą į aprūpinimo šiluma sistemas</w:t>
      </w:r>
      <w:r w:rsidRPr="00E66F06">
        <w:rPr>
          <w:lang w:eastAsia="lt-LT"/>
        </w:rPr>
        <w:t>; jų energijos gamybos pajėgumas siekia 629,16 MW.</w:t>
      </w:r>
    </w:p>
    <w:p w14:paraId="0E959026" w14:textId="06C22A2C" w:rsidR="007310A9" w:rsidRPr="00E66F06" w:rsidRDefault="007310A9" w:rsidP="007310A9">
      <w:pPr>
        <w:pStyle w:val="Pagrindinispaprastastekstas"/>
        <w:rPr>
          <w:lang w:eastAsia="lt-LT"/>
        </w:rPr>
      </w:pPr>
    </w:p>
    <w:p w14:paraId="1AC7BCED" w14:textId="77777777" w:rsidR="007310A9" w:rsidRPr="00AB5327" w:rsidRDefault="007310A9" w:rsidP="007310A9">
      <w:pPr>
        <w:pStyle w:val="Pagrindinispaprastastekstas"/>
        <w:rPr>
          <w:rFonts w:ascii="Cambria" w:hAnsi="Cambria"/>
          <w:b/>
          <w:color w:val="44546A" w:themeColor="text2"/>
          <w:lang w:eastAsia="lt-LT"/>
        </w:rPr>
      </w:pPr>
      <w:r w:rsidRPr="00AB5327">
        <w:rPr>
          <w:rFonts w:ascii="Cambria" w:hAnsi="Cambria"/>
          <w:b/>
          <w:color w:val="44546A" w:themeColor="text2"/>
          <w:lang w:eastAsia="lt-LT"/>
        </w:rPr>
        <w:t>Investicijų poveikis:</w:t>
      </w:r>
    </w:p>
    <w:p w14:paraId="7BA78FA2" w14:textId="77777777" w:rsidR="007310A9" w:rsidRPr="00E66F06" w:rsidRDefault="007310A9" w:rsidP="007310A9">
      <w:pPr>
        <w:pStyle w:val="Pagrindinispaprastastekstas"/>
        <w:numPr>
          <w:ilvl w:val="0"/>
          <w:numId w:val="30"/>
        </w:numPr>
        <w:rPr>
          <w:lang w:eastAsia="lt-LT"/>
        </w:rPr>
      </w:pPr>
      <w:r w:rsidRPr="00E66F06">
        <w:rPr>
          <w:lang w:eastAsia="lt-LT"/>
        </w:rPr>
        <w:t>Daugiabučių gyvenamųjų namų renovacija vyko 56 savivaldybėse; atskirose savivaldybėse renovuotų daugiabučių skaičius svyruoja nuo 1 iki 133 namų; tai sudaro nuo 0,2 proc. iki 40,4 proc. visų daugiabučių savivaldybėje.</w:t>
      </w:r>
      <w:r w:rsidRPr="00E66F06">
        <w:rPr>
          <w:rStyle w:val="EndnoteReference"/>
          <w:lang w:eastAsia="lt-LT"/>
        </w:rPr>
        <w:endnoteReference w:id="8"/>
      </w:r>
    </w:p>
    <w:p w14:paraId="663E3B40" w14:textId="77777777" w:rsidR="007310A9" w:rsidRPr="00E66F06" w:rsidRDefault="007310A9" w:rsidP="007310A9">
      <w:pPr>
        <w:pStyle w:val="Pagrindinispaprastastekstas"/>
        <w:numPr>
          <w:ilvl w:val="0"/>
          <w:numId w:val="30"/>
        </w:numPr>
        <w:rPr>
          <w:lang w:eastAsia="lt-LT"/>
        </w:rPr>
      </w:pPr>
      <w:r w:rsidRPr="00E66F06">
        <w:rPr>
          <w:lang w:eastAsia="lt-LT"/>
        </w:rPr>
        <w:t>Daugiabučiai namai buvo renovuojami 69 miestuose. Daugiau kaip 25 proc. daugiabučių namų atnaujinti 6 miestuose, 17 miestų atnaujinta nuo 10 iki 25 proc. daugiabučių, 46 miestuose – mažiau kaip 10 proc. daugiabučių.</w:t>
      </w:r>
      <w:r w:rsidRPr="00E66F06">
        <w:rPr>
          <w:rStyle w:val="EndnoteReference"/>
          <w:lang w:eastAsia="lt-LT"/>
        </w:rPr>
        <w:endnoteReference w:id="9"/>
      </w:r>
    </w:p>
    <w:p w14:paraId="7C73FAC3" w14:textId="77777777" w:rsidR="007310A9" w:rsidRPr="00E66F06" w:rsidRDefault="007310A9" w:rsidP="007310A9">
      <w:pPr>
        <w:pStyle w:val="Pagrindinispaprastastekstas"/>
        <w:numPr>
          <w:ilvl w:val="0"/>
          <w:numId w:val="30"/>
        </w:numPr>
        <w:rPr>
          <w:lang w:eastAsia="lt-LT"/>
        </w:rPr>
      </w:pPr>
      <w:r w:rsidRPr="00E66F06">
        <w:rPr>
          <w:lang w:eastAsia="lt-LT"/>
        </w:rPr>
        <w:t>Viešosios paskirties pastatų renovacija vyko 103 (iš 137) Lietuvos miestų ir didelių miestelių. Daugiausia pastatų modernizuota Vilniuje (140 pastatų) ir Kaune (96 pastatai). Daugiau kaip pusę miestuose ir dideliuose miesteliuose renovuotų viešosios paskirties pastatų sudarė mokyklos.</w:t>
      </w:r>
      <w:r w:rsidRPr="00E66F06">
        <w:rPr>
          <w:rStyle w:val="EndnoteReference"/>
          <w:lang w:eastAsia="lt-LT"/>
        </w:rPr>
        <w:endnoteReference w:id="10"/>
      </w:r>
    </w:p>
    <w:p w14:paraId="0867F5FE" w14:textId="77777777" w:rsidR="007310A9" w:rsidRPr="00E66F06" w:rsidRDefault="007310A9" w:rsidP="007310A9">
      <w:pPr>
        <w:pStyle w:val="Pagrindinispaprastastekstas"/>
        <w:numPr>
          <w:ilvl w:val="0"/>
          <w:numId w:val="30"/>
        </w:numPr>
        <w:rPr>
          <w:lang w:eastAsia="lt-LT"/>
        </w:rPr>
      </w:pPr>
      <w:r w:rsidRPr="00E66F06">
        <w:rPr>
          <w:lang w:eastAsia="lt-LT"/>
        </w:rPr>
        <w:t xml:space="preserve">Energijos intensyvumas 2007-2014 m. sumažėjo beveik 46 proc.: nuo 374,8 kg </w:t>
      </w:r>
      <w:proofErr w:type="spellStart"/>
      <w:r w:rsidRPr="00E66F06">
        <w:rPr>
          <w:lang w:eastAsia="lt-LT"/>
        </w:rPr>
        <w:t>n.e</w:t>
      </w:r>
      <w:proofErr w:type="spellEnd"/>
      <w:r w:rsidRPr="00E66F06">
        <w:rPr>
          <w:lang w:eastAsia="lt-LT"/>
        </w:rPr>
        <w:t xml:space="preserve">./1000 eurų iki 203,3 kg </w:t>
      </w:r>
      <w:proofErr w:type="spellStart"/>
      <w:r w:rsidRPr="00E66F06">
        <w:rPr>
          <w:lang w:eastAsia="lt-LT"/>
        </w:rPr>
        <w:t>n.e</w:t>
      </w:r>
      <w:proofErr w:type="spellEnd"/>
      <w:r w:rsidRPr="00E66F06">
        <w:rPr>
          <w:lang w:eastAsia="lt-LT"/>
        </w:rPr>
        <w:t xml:space="preserve">./1000 eurų. </w:t>
      </w:r>
    </w:p>
    <w:p w14:paraId="1754BB29" w14:textId="77777777" w:rsidR="007310A9" w:rsidRDefault="007310A9" w:rsidP="007310A9">
      <w:pPr>
        <w:pStyle w:val="Pagrindinispaprastastekstas"/>
        <w:rPr>
          <w:lang w:eastAsia="lt-LT"/>
        </w:rPr>
      </w:pPr>
    </w:p>
    <w:tbl>
      <w:tblPr>
        <w:tblStyle w:val="TableGrid"/>
        <w:tblW w:w="10060" w:type="dxa"/>
        <w:tblBorders>
          <w:top w:val="single" w:sz="4" w:space="0" w:color="44546A" w:themeColor="text2"/>
          <w:left w:val="single" w:sz="4" w:space="0" w:color="44546A" w:themeColor="text2"/>
          <w:bottom w:val="single" w:sz="4" w:space="0" w:color="44546A" w:themeColor="text2"/>
          <w:right w:val="single" w:sz="4" w:space="0" w:color="44546A" w:themeColor="text2"/>
          <w:insideH w:val="none" w:sz="0" w:space="0" w:color="auto"/>
          <w:insideV w:val="none" w:sz="0" w:space="0" w:color="auto"/>
        </w:tblBorders>
        <w:tblLook w:val="04A0" w:firstRow="1" w:lastRow="0" w:firstColumn="1" w:lastColumn="0" w:noHBand="0" w:noVBand="1"/>
      </w:tblPr>
      <w:tblGrid>
        <w:gridCol w:w="10060"/>
      </w:tblGrid>
      <w:tr w:rsidR="007310A9" w:rsidRPr="00E66F06" w14:paraId="00562B61" w14:textId="77777777" w:rsidTr="00AB5327">
        <w:tc>
          <w:tcPr>
            <w:tcW w:w="10060" w:type="dxa"/>
            <w:shd w:val="clear" w:color="auto" w:fill="DEEAF6" w:themeFill="accent1" w:themeFillTint="33"/>
          </w:tcPr>
          <w:p w14:paraId="289CDBFA" w14:textId="77777777" w:rsidR="007310A9" w:rsidRPr="00AB5327" w:rsidRDefault="007310A9" w:rsidP="00AB5327">
            <w:pPr>
              <w:pStyle w:val="Pagrindinispaprastastekstas"/>
              <w:jc w:val="center"/>
              <w:rPr>
                <w:rFonts w:ascii="Cambria" w:hAnsi="Cambria"/>
                <w:b/>
                <w:i/>
                <w:color w:val="44546A" w:themeColor="text2"/>
              </w:rPr>
            </w:pPr>
            <w:r w:rsidRPr="00AB5327">
              <w:rPr>
                <w:rFonts w:ascii="Cambria" w:hAnsi="Cambria"/>
                <w:b/>
                <w:i/>
                <w:color w:val="44546A" w:themeColor="text2"/>
              </w:rPr>
              <w:drawing>
                <wp:anchor distT="0" distB="0" distL="114300" distR="114300" simplePos="0" relativeHeight="251671552" behindDoc="0" locked="0" layoutInCell="1" allowOverlap="1" wp14:anchorId="0EFAA75E" wp14:editId="40F3870F">
                  <wp:simplePos x="0" y="0"/>
                  <wp:positionH relativeFrom="column">
                    <wp:posOffset>4384675</wp:posOffset>
                  </wp:positionH>
                  <wp:positionV relativeFrom="paragraph">
                    <wp:posOffset>9525</wp:posOffset>
                  </wp:positionV>
                  <wp:extent cx="1623060" cy="1216660"/>
                  <wp:effectExtent l="0" t="0" r="34290" b="40640"/>
                  <wp:wrapSquare wrapText="bothSides"/>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3060" cy="1216660"/>
                          </a:xfrm>
                          <a:prstGeom prst="rect">
                            <a:avLst/>
                          </a:prstGeom>
                          <a:noFill/>
                          <a:ln>
                            <a:noFill/>
                          </a:ln>
                          <a:effectLst>
                            <a:outerShdw dist="35921" dir="2700000" algn="ctr" rotWithShape="0">
                              <a:schemeClr val="bg2"/>
                            </a:outerShdw>
                            <a:softEdge rad="127000"/>
                          </a:effectLst>
                          <a:extLst/>
                        </pic:spPr>
                      </pic:pic>
                    </a:graphicData>
                  </a:graphic>
                  <wp14:sizeRelH relativeFrom="margin">
                    <wp14:pctWidth>0</wp14:pctWidth>
                  </wp14:sizeRelH>
                  <wp14:sizeRelV relativeFrom="margin">
                    <wp14:pctHeight>0</wp14:pctHeight>
                  </wp14:sizeRelV>
                </wp:anchor>
              </w:drawing>
            </w:r>
            <w:r w:rsidRPr="00AB5327">
              <w:rPr>
                <w:rFonts w:ascii="Cambria" w:hAnsi="Cambria"/>
                <w:b/>
                <w:i/>
                <w:color w:val="44546A" w:themeColor="text2"/>
              </w:rPr>
              <w:t>„Šiaulių termofikacinės elektrinės projektavimas ir statyba“</w:t>
            </w:r>
          </w:p>
          <w:p w14:paraId="24AFD59F" w14:textId="77777777" w:rsidR="007310A9" w:rsidRPr="00AB5327" w:rsidRDefault="007310A9" w:rsidP="00AB5327">
            <w:pPr>
              <w:pStyle w:val="Pagrindinispaprastastekstas"/>
              <w:jc w:val="center"/>
              <w:rPr>
                <w:i/>
              </w:rPr>
            </w:pPr>
            <w:r w:rsidRPr="00AB5327">
              <w:rPr>
                <w:i/>
              </w:rPr>
              <w:t>Projekto vykdytojas – AB „Šiaulių energija“</w:t>
            </w:r>
          </w:p>
          <w:p w14:paraId="08A2F966" w14:textId="77777777" w:rsidR="007310A9" w:rsidRPr="00AB5327" w:rsidRDefault="007310A9" w:rsidP="00AB5327">
            <w:pPr>
              <w:pStyle w:val="Pagrindinispaprastastekstas"/>
              <w:jc w:val="center"/>
              <w:rPr>
                <w:i/>
              </w:rPr>
            </w:pPr>
            <w:r w:rsidRPr="00AB5327">
              <w:rPr>
                <w:i/>
              </w:rPr>
              <w:t>Projektui išmokėtos ES lėšos – 5 213,2 tūkst. eurų.</w:t>
            </w:r>
          </w:p>
          <w:p w14:paraId="6F468037" w14:textId="77777777" w:rsidR="007310A9" w:rsidRPr="00E66F06" w:rsidRDefault="007310A9" w:rsidP="007310A9">
            <w:pPr>
              <w:pStyle w:val="Pagrindinispaprastastekstas"/>
            </w:pPr>
          </w:p>
          <w:p w14:paraId="7EB1A6BA" w14:textId="77777777" w:rsidR="007310A9" w:rsidRPr="00AB5327" w:rsidRDefault="007310A9" w:rsidP="007310A9">
            <w:pPr>
              <w:pStyle w:val="Pagrindinispaprastastekstas"/>
              <w:rPr>
                <w:rFonts w:ascii="Times New Roman" w:hAnsi="Times New Roman"/>
                <w:sz w:val="20"/>
                <w:szCs w:val="20"/>
              </w:rPr>
            </w:pPr>
            <w:r w:rsidRPr="00AB5327">
              <w:rPr>
                <w:rFonts w:ascii="Times New Roman" w:hAnsi="Times New Roman"/>
                <w:noProof/>
                <w:sz w:val="20"/>
                <w:szCs w:val="20"/>
              </w:rPr>
              <w:drawing>
                <wp:anchor distT="0" distB="0" distL="114300" distR="114300" simplePos="0" relativeHeight="251670528" behindDoc="0" locked="0" layoutInCell="1" allowOverlap="1" wp14:anchorId="59910FFB" wp14:editId="7EC0F9A5">
                  <wp:simplePos x="0" y="0"/>
                  <wp:positionH relativeFrom="column">
                    <wp:posOffset>-26670</wp:posOffset>
                  </wp:positionH>
                  <wp:positionV relativeFrom="paragraph">
                    <wp:posOffset>729615</wp:posOffset>
                  </wp:positionV>
                  <wp:extent cx="1839595" cy="1227455"/>
                  <wp:effectExtent l="0" t="0" r="46355" b="29845"/>
                  <wp:wrapSquare wrapText="bothSides"/>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9595" cy="1227455"/>
                          </a:xfrm>
                          <a:prstGeom prst="rect">
                            <a:avLst/>
                          </a:prstGeom>
                          <a:noFill/>
                          <a:ln>
                            <a:noFill/>
                          </a:ln>
                          <a:effectLst>
                            <a:outerShdw dist="35921" dir="2700000" algn="ctr" rotWithShape="0">
                              <a:schemeClr val="bg2"/>
                            </a:outerShdw>
                            <a:softEdge rad="127000"/>
                          </a:effectLst>
                          <a:extLst/>
                        </pic:spPr>
                      </pic:pic>
                    </a:graphicData>
                  </a:graphic>
                  <wp14:sizeRelH relativeFrom="margin">
                    <wp14:pctWidth>0</wp14:pctWidth>
                  </wp14:sizeRelH>
                  <wp14:sizeRelV relativeFrom="margin">
                    <wp14:pctHeight>0</wp14:pctHeight>
                  </wp14:sizeRelV>
                </wp:anchor>
              </w:drawing>
            </w:r>
            <w:r w:rsidRPr="00AB5327">
              <w:rPr>
                <w:rFonts w:ascii="Times New Roman" w:hAnsi="Times New Roman"/>
                <w:sz w:val="20"/>
                <w:szCs w:val="20"/>
              </w:rPr>
              <w:t xml:space="preserve">Įgyvendinant projektą Šiaulių pietinės katilinės teritorijoje pastatyta nauja biomasę naudojanti termofikacinė jėgainė. Jėgainės galingumas neįskaitant energijos naudojamos savosioms reikmėms sudarys apytikriai 25 MW šilumos ir 11 MW elektros energijos. Papildomai atgaunama </w:t>
            </w:r>
            <w:proofErr w:type="spellStart"/>
            <w:r w:rsidRPr="00AB5327">
              <w:rPr>
                <w:rFonts w:ascii="Times New Roman" w:hAnsi="Times New Roman"/>
                <w:sz w:val="20"/>
                <w:szCs w:val="20"/>
              </w:rPr>
              <w:t>atliekinė</w:t>
            </w:r>
            <w:proofErr w:type="spellEnd"/>
            <w:r w:rsidRPr="00AB5327">
              <w:rPr>
                <w:rFonts w:ascii="Times New Roman" w:hAnsi="Times New Roman"/>
                <w:sz w:val="20"/>
                <w:szCs w:val="20"/>
              </w:rPr>
              <w:t xml:space="preserve"> šiluma įrengus 8 MW degimo produktų kondensavimo šilumokaitį. Naujoji termofikacinė jėgainė gamina 215,4 </w:t>
            </w:r>
            <w:proofErr w:type="spellStart"/>
            <w:r w:rsidRPr="00AB5327">
              <w:rPr>
                <w:rFonts w:ascii="Times New Roman" w:hAnsi="Times New Roman"/>
                <w:sz w:val="20"/>
                <w:szCs w:val="20"/>
              </w:rPr>
              <w:t>GWh</w:t>
            </w:r>
            <w:proofErr w:type="spellEnd"/>
            <w:r w:rsidRPr="00AB5327">
              <w:rPr>
                <w:rFonts w:ascii="Times New Roman" w:hAnsi="Times New Roman"/>
                <w:sz w:val="20"/>
                <w:szCs w:val="20"/>
              </w:rPr>
              <w:t xml:space="preserve"> šilumos ir 64,5 </w:t>
            </w:r>
            <w:proofErr w:type="spellStart"/>
            <w:r w:rsidRPr="00AB5327">
              <w:rPr>
                <w:rFonts w:ascii="Times New Roman" w:hAnsi="Times New Roman"/>
                <w:sz w:val="20"/>
                <w:szCs w:val="20"/>
              </w:rPr>
              <w:t>GWh</w:t>
            </w:r>
            <w:proofErr w:type="spellEnd"/>
            <w:r w:rsidRPr="00AB5327">
              <w:rPr>
                <w:rFonts w:ascii="Times New Roman" w:hAnsi="Times New Roman"/>
                <w:sz w:val="20"/>
                <w:szCs w:val="20"/>
              </w:rPr>
              <w:t xml:space="preserve"> elektros per metus. Šilumos gamyba jėgainėje dalinai pakeitė šilumos gamybą esamuose katiluose, o elektra parduodama valstybiniam tinklui ir laisviesiems elektros vartotojams. Projektas leido sumažinti šilumos generavimo sąnaudas kurui pirkti, nes naudojami vietiniai ir atsinaujinantys energijos ištekliai (biokuras), gaunamos papildomos pajamos iš elektros pardavimo ir geriau išnaudojami kuro resursai energijos gamyboje. Įgyvendinus projektą sumažėjo CO</w:t>
            </w:r>
            <w:r w:rsidRPr="00AB5327">
              <w:rPr>
                <w:rFonts w:ascii="Times New Roman" w:hAnsi="Times New Roman"/>
                <w:sz w:val="20"/>
                <w:szCs w:val="20"/>
                <w:vertAlign w:val="subscript"/>
              </w:rPr>
              <w:t>2</w:t>
            </w:r>
            <w:r w:rsidRPr="00AB5327">
              <w:rPr>
                <w:rFonts w:ascii="Times New Roman" w:hAnsi="Times New Roman"/>
                <w:sz w:val="20"/>
                <w:szCs w:val="20"/>
              </w:rPr>
              <w:t xml:space="preserve"> emisijos ir dujų suvartojimas. Šilumos kaina vartotojams sumažėjo 16,6 proc., todėl bendrovės vartotojai sutaupo apie 6 mln. eurų per metus. </w:t>
            </w:r>
          </w:p>
        </w:tc>
      </w:tr>
    </w:tbl>
    <w:p w14:paraId="04CADAD2" w14:textId="77777777" w:rsidR="007310A9" w:rsidRDefault="007310A9" w:rsidP="007310A9">
      <w:pPr>
        <w:pStyle w:val="Pagrindinispaprastastekstas"/>
        <w:rPr>
          <w:lang w:eastAsia="lt-LT"/>
        </w:rPr>
      </w:pPr>
    </w:p>
    <w:p w14:paraId="328D423E" w14:textId="531F8A46" w:rsidR="007310A9" w:rsidRPr="00E66F06" w:rsidRDefault="007310A9" w:rsidP="008A6F28">
      <w:pPr>
        <w:pStyle w:val="Nenumeruojamosantrastes"/>
      </w:pPr>
      <w:bookmarkStart w:id="12" w:name="_Toc468106957"/>
      <w:bookmarkStart w:id="13" w:name="_Toc468114525"/>
      <w:r w:rsidRPr="00E66F06">
        <w:t>SSVP įgyvendinimo rezultatai: sveikatos infrastruktūra</w:t>
      </w:r>
      <w:bookmarkEnd w:id="12"/>
      <w:bookmarkEnd w:id="13"/>
    </w:p>
    <w:p w14:paraId="703318F7" w14:textId="77777777" w:rsidR="007310A9" w:rsidRPr="00AB5327" w:rsidRDefault="007310A9" w:rsidP="007310A9">
      <w:pPr>
        <w:pStyle w:val="Pagrindinispaprastastekstas"/>
        <w:rPr>
          <w:rFonts w:ascii="Cambria" w:hAnsi="Cambria"/>
          <w:b/>
          <w:color w:val="44546A" w:themeColor="text2"/>
          <w:lang w:eastAsia="lt-LT"/>
        </w:rPr>
      </w:pPr>
      <w:r w:rsidRPr="00AB5327">
        <w:rPr>
          <w:rFonts w:ascii="Cambria" w:hAnsi="Cambria"/>
          <w:b/>
          <w:color w:val="44546A" w:themeColor="text2"/>
          <w:lang w:eastAsia="lt-LT"/>
        </w:rPr>
        <w:t>Pagrindiniai produktai ir rezultatai (sveikatos infrastruktūra)</w:t>
      </w:r>
    </w:p>
    <w:p w14:paraId="7351B0C4" w14:textId="77777777" w:rsidR="007310A9" w:rsidRPr="00E66F06" w:rsidRDefault="007310A9" w:rsidP="007310A9">
      <w:pPr>
        <w:pStyle w:val="Pagrindinispaprastastekstas"/>
        <w:rPr>
          <w:lang w:eastAsia="lt-LT"/>
        </w:rPr>
      </w:pPr>
      <w:r w:rsidRPr="00E66F06">
        <w:rPr>
          <w:noProof/>
          <w:lang w:eastAsia="lt-LT"/>
        </w:rPr>
        <w:drawing>
          <wp:inline distT="0" distB="0" distL="0" distR="0" wp14:anchorId="1940949C" wp14:editId="5D91DA18">
            <wp:extent cx="6106076" cy="1246909"/>
            <wp:effectExtent l="0" t="0" r="9525" b="1079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FF744EB" w14:textId="77777777" w:rsidR="007310A9" w:rsidRPr="00E66F06" w:rsidRDefault="007310A9" w:rsidP="007310A9">
      <w:pPr>
        <w:pStyle w:val="Pagrindinispaprastastekstas"/>
        <w:rPr>
          <w:lang w:eastAsia="lt-LT"/>
        </w:rPr>
      </w:pPr>
    </w:p>
    <w:p w14:paraId="6C1BACA2" w14:textId="77777777" w:rsidR="007310A9" w:rsidRPr="00E66F06" w:rsidRDefault="007310A9" w:rsidP="007310A9">
      <w:pPr>
        <w:pStyle w:val="Pagrindinispaprastastekstas"/>
        <w:numPr>
          <w:ilvl w:val="0"/>
          <w:numId w:val="34"/>
        </w:numPr>
        <w:rPr>
          <w:lang w:eastAsia="lt-LT"/>
        </w:rPr>
      </w:pPr>
      <w:r w:rsidRPr="00E66F06">
        <w:rPr>
          <w:lang w:eastAsia="lt-LT"/>
        </w:rPr>
        <w:t xml:space="preserve">Sveikatos priežiūros paslaugų kokybė ir prieinamumas pagerėjo 1 340,6 mln. pacientų – tiek asmenų pasinaudojo SSVP lėšomis atnaujintose sveikatos priežiūros įstaigose (ligoninėse, poliklinikose, pirminės sveikatos priežiūros centruose) teikiamomis sveikatos priežiūros paslaugomis. </w:t>
      </w:r>
    </w:p>
    <w:p w14:paraId="7CBAA4B4" w14:textId="77777777" w:rsidR="007310A9" w:rsidRPr="00E66F06" w:rsidRDefault="007310A9" w:rsidP="007310A9">
      <w:pPr>
        <w:pStyle w:val="Pagrindinispaprastastekstas"/>
        <w:numPr>
          <w:ilvl w:val="0"/>
          <w:numId w:val="34"/>
        </w:numPr>
        <w:rPr>
          <w:lang w:eastAsia="lt-LT"/>
        </w:rPr>
      </w:pPr>
      <w:r w:rsidRPr="00E66F06">
        <w:rPr>
          <w:lang w:eastAsia="lt-LT"/>
        </w:rPr>
        <w:t>SSVP investicijos pasiekė daugiau kaip 200 sveikatos priežiūros įstaigų.</w:t>
      </w:r>
    </w:p>
    <w:p w14:paraId="1F4D9649" w14:textId="77777777" w:rsidR="007310A9" w:rsidRPr="00E66F06" w:rsidRDefault="007310A9" w:rsidP="007310A9">
      <w:pPr>
        <w:pStyle w:val="Pagrindinispaprastastekstas"/>
        <w:rPr>
          <w:lang w:eastAsia="lt-LT"/>
        </w:rPr>
      </w:pPr>
    </w:p>
    <w:tbl>
      <w:tblPr>
        <w:tblStyle w:val="TableGrid"/>
        <w:tblW w:w="0" w:type="auto"/>
        <w:tblInd w:w="279" w:type="dxa"/>
        <w:tblBorders>
          <w:top w:val="single" w:sz="4" w:space="0" w:color="44546A" w:themeColor="text2"/>
          <w:left w:val="single" w:sz="4" w:space="0" w:color="44546A" w:themeColor="text2"/>
          <w:bottom w:val="single" w:sz="4" w:space="0" w:color="44546A" w:themeColor="text2"/>
          <w:right w:val="single" w:sz="4" w:space="0" w:color="44546A" w:themeColor="text2"/>
          <w:insideH w:val="none" w:sz="0" w:space="0" w:color="auto"/>
          <w:insideV w:val="none" w:sz="0" w:space="0" w:color="auto"/>
        </w:tblBorders>
        <w:tblLook w:val="04A0" w:firstRow="1" w:lastRow="0" w:firstColumn="1" w:lastColumn="0" w:noHBand="0" w:noVBand="1"/>
      </w:tblPr>
      <w:tblGrid>
        <w:gridCol w:w="9628"/>
      </w:tblGrid>
      <w:tr w:rsidR="007310A9" w:rsidRPr="00E66F06" w14:paraId="01CF5153" w14:textId="77777777" w:rsidTr="00AB5327">
        <w:tc>
          <w:tcPr>
            <w:tcW w:w="9628" w:type="dxa"/>
            <w:shd w:val="clear" w:color="auto" w:fill="DEEAF6" w:themeFill="accent1" w:themeFillTint="33"/>
          </w:tcPr>
          <w:p w14:paraId="7E8B42F6" w14:textId="77777777" w:rsidR="007310A9" w:rsidRPr="00AB5327" w:rsidRDefault="007310A9" w:rsidP="00AB5327">
            <w:pPr>
              <w:pStyle w:val="Pagrindinispaprastastekstas"/>
              <w:jc w:val="center"/>
              <w:rPr>
                <w:rFonts w:ascii="Cambria" w:hAnsi="Cambria"/>
                <w:b/>
                <w:i/>
                <w:color w:val="44546A" w:themeColor="text2"/>
              </w:rPr>
            </w:pPr>
            <w:r w:rsidRPr="00AB5327">
              <w:rPr>
                <w:rFonts w:ascii="Cambria" w:hAnsi="Cambria"/>
                <w:b/>
                <w:i/>
                <w:color w:val="44546A" w:themeColor="text2"/>
              </w:rPr>
              <w:drawing>
                <wp:anchor distT="0" distB="0" distL="114300" distR="114300" simplePos="0" relativeHeight="251668480" behindDoc="0" locked="0" layoutInCell="1" allowOverlap="1" wp14:anchorId="3F68B81D" wp14:editId="20514067">
                  <wp:simplePos x="0" y="0"/>
                  <wp:positionH relativeFrom="column">
                    <wp:posOffset>3332362</wp:posOffset>
                  </wp:positionH>
                  <wp:positionV relativeFrom="paragraph">
                    <wp:posOffset>13</wp:posOffset>
                  </wp:positionV>
                  <wp:extent cx="2710543" cy="1367790"/>
                  <wp:effectExtent l="0" t="0" r="0" b="381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arijampolė.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10906" cy="136797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B5327">
              <w:rPr>
                <w:rFonts w:ascii="Cambria" w:hAnsi="Cambria"/>
                <w:b/>
                <w:i/>
                <w:color w:val="44546A" w:themeColor="text2"/>
              </w:rPr>
              <w:t>„Psichikos dienos stacionaro Marijampolėje įkūrimas“</w:t>
            </w:r>
          </w:p>
          <w:p w14:paraId="3F94CC68" w14:textId="77777777" w:rsidR="007310A9" w:rsidRPr="00AB5327" w:rsidRDefault="007310A9" w:rsidP="00AB5327">
            <w:pPr>
              <w:pStyle w:val="Pagrindinispaprastastekstas"/>
              <w:jc w:val="center"/>
              <w:rPr>
                <w:rFonts w:ascii="Cambria" w:hAnsi="Cambria"/>
                <w:b/>
                <w:i/>
                <w:color w:val="44546A" w:themeColor="text2"/>
              </w:rPr>
            </w:pPr>
            <w:r w:rsidRPr="00AB5327">
              <w:rPr>
                <w:rFonts w:ascii="Cambria" w:hAnsi="Cambria"/>
                <w:b/>
                <w:i/>
                <w:color w:val="44546A" w:themeColor="text2"/>
              </w:rPr>
              <w:t>Projekto vykdytojas – VšĮ Marijampolės pirminės sveikatos priežiūros centras</w:t>
            </w:r>
          </w:p>
          <w:p w14:paraId="4A728121" w14:textId="77777777" w:rsidR="007310A9" w:rsidRPr="00AB5327" w:rsidRDefault="007310A9" w:rsidP="00AB5327">
            <w:pPr>
              <w:pStyle w:val="Pagrindinispaprastastekstas"/>
              <w:jc w:val="center"/>
              <w:rPr>
                <w:i/>
              </w:rPr>
            </w:pPr>
            <w:r w:rsidRPr="00AB5327">
              <w:rPr>
                <w:i/>
              </w:rPr>
              <w:t>Projektui išmokėtos ES lėšos – 266,4 tūkst. eurų.</w:t>
            </w:r>
          </w:p>
          <w:p w14:paraId="25D0B68B" w14:textId="77777777" w:rsidR="007310A9" w:rsidRPr="00E66F06" w:rsidRDefault="007310A9" w:rsidP="007310A9">
            <w:pPr>
              <w:pStyle w:val="Pagrindinispaprastastekstas"/>
            </w:pPr>
          </w:p>
          <w:p w14:paraId="52F7A705" w14:textId="77777777" w:rsidR="007310A9" w:rsidRPr="00AB5327" w:rsidRDefault="007310A9" w:rsidP="007310A9">
            <w:pPr>
              <w:pStyle w:val="Pagrindinispaprastastekstas"/>
              <w:rPr>
                <w:sz w:val="20"/>
                <w:szCs w:val="20"/>
              </w:rPr>
            </w:pPr>
            <w:r w:rsidRPr="00AB5327">
              <w:rPr>
                <w:sz w:val="20"/>
                <w:szCs w:val="20"/>
              </w:rPr>
              <w:t>Įgyvendinus projektą įrengtas 12 vietų Psichikos dienos stacionaras, suremontuota apie 435 m</w:t>
            </w:r>
            <w:r w:rsidRPr="00AB5327">
              <w:rPr>
                <w:sz w:val="20"/>
                <w:szCs w:val="20"/>
                <w:vertAlign w:val="superscript"/>
              </w:rPr>
              <w:t>2</w:t>
            </w:r>
            <w:r w:rsidRPr="00AB5327">
              <w:rPr>
                <w:sz w:val="20"/>
                <w:szCs w:val="20"/>
              </w:rPr>
              <w:t xml:space="preserve"> patalpų, įrengta registratūra, gydytojų ir psichologo kabinetai, procedūrų kabinetas ir palatos, psichoterapijos kabinetas, muzikos ir šviesos terapijos, meno terapijos kabinetai; įsigyti relaksaciniai foteliai, medicininė, kompiuterinė ir kita įranga, įrengta virtuvė. Įkurtame Psichikos dienos stacionare aktyviai gydoma – tikslinama diagnozė, koreguojamas medikamentų paskyrimas, skiriama psichoterapija, vykdoma reabilitacija. Pacientams teikiamos gydytojo psichiatro konsultacijos, užtikrinamas tiek individualus, tiek grupinis psichologo, socialinių darbuotojų konsultavimas, medikamentinis gydymas, įvairių terapijos formų ir užsiėmimų taikymas (muzikos ir judėjimo terapija, higienos įgūdžių atstatymas ir bendravimo įgūdžių lavinimas; integruoto gyvenimo bendruomenėje, socialinių bei laisvalaikio praleidimo įgūdžių lavinimas).</w:t>
            </w:r>
          </w:p>
        </w:tc>
      </w:tr>
    </w:tbl>
    <w:p w14:paraId="096F7CDA" w14:textId="77777777" w:rsidR="007310A9" w:rsidRDefault="007310A9" w:rsidP="007310A9">
      <w:pPr>
        <w:pStyle w:val="Pagrindinispaprastastekstas"/>
        <w:rPr>
          <w:lang w:eastAsia="lt-LT"/>
        </w:rPr>
      </w:pPr>
    </w:p>
    <w:p w14:paraId="1515644F" w14:textId="77777777" w:rsidR="007310A9" w:rsidRPr="00AB5327" w:rsidRDefault="007310A9" w:rsidP="007310A9">
      <w:pPr>
        <w:pStyle w:val="Pagrindinispaprastastekstas"/>
        <w:rPr>
          <w:rFonts w:ascii="Cambria" w:hAnsi="Cambria"/>
          <w:b/>
          <w:i/>
          <w:color w:val="44546A" w:themeColor="text2"/>
          <w:lang w:eastAsia="lt-LT"/>
        </w:rPr>
      </w:pPr>
      <w:r w:rsidRPr="00AB5327">
        <w:rPr>
          <w:rFonts w:ascii="Cambria" w:hAnsi="Cambria"/>
          <w:b/>
          <w:i/>
          <w:color w:val="44546A" w:themeColor="text2"/>
          <w:lang w:eastAsia="lt-LT"/>
        </w:rPr>
        <w:t>Investicijų poveikis:</w:t>
      </w:r>
    </w:p>
    <w:p w14:paraId="70B5DC24" w14:textId="77777777" w:rsidR="007310A9" w:rsidRPr="00E66F06" w:rsidRDefault="007310A9" w:rsidP="007310A9">
      <w:pPr>
        <w:pStyle w:val="Pagrindinispaprastastekstas"/>
        <w:rPr>
          <w:lang w:eastAsia="lt-LT"/>
        </w:rPr>
      </w:pPr>
      <w:r w:rsidRPr="00E66F06">
        <w:rPr>
          <w:lang w:eastAsia="lt-LT"/>
        </w:rPr>
        <w:t>2007</w:t>
      </w:r>
      <w:r>
        <w:rPr>
          <w:lang w:eastAsia="lt-LT"/>
        </w:rPr>
        <w:t>–</w:t>
      </w:r>
      <w:r w:rsidRPr="00E66F06">
        <w:rPr>
          <w:lang w:eastAsia="lt-LT"/>
        </w:rPr>
        <w:t xml:space="preserve">2015 m. buvo pasiekti ir viršyti visi planuoti strateginio konteksto rodikliai: </w:t>
      </w:r>
    </w:p>
    <w:p w14:paraId="0BCB3D8A" w14:textId="77777777" w:rsidR="007310A9" w:rsidRPr="00E66F06" w:rsidRDefault="007310A9" w:rsidP="007310A9">
      <w:pPr>
        <w:pStyle w:val="Pagrindinispaprastastekstas"/>
        <w:numPr>
          <w:ilvl w:val="0"/>
          <w:numId w:val="34"/>
        </w:numPr>
        <w:rPr>
          <w:lang w:eastAsia="lt-LT"/>
        </w:rPr>
      </w:pPr>
      <w:r w:rsidRPr="00E66F06">
        <w:rPr>
          <w:lang w:eastAsia="lt-LT"/>
        </w:rPr>
        <w:t>Savižudybių skaičius sumažėjo 13 proc.;</w:t>
      </w:r>
    </w:p>
    <w:p w14:paraId="0F049AF2" w14:textId="77777777" w:rsidR="007310A9" w:rsidRPr="00E66F06" w:rsidRDefault="007310A9" w:rsidP="007310A9">
      <w:pPr>
        <w:pStyle w:val="Pagrindinispaprastastekstas"/>
        <w:numPr>
          <w:ilvl w:val="0"/>
          <w:numId w:val="34"/>
        </w:numPr>
        <w:rPr>
          <w:lang w:eastAsia="lt-LT"/>
        </w:rPr>
      </w:pPr>
      <w:r w:rsidRPr="00E66F06">
        <w:rPr>
          <w:lang w:eastAsia="lt-LT"/>
        </w:rPr>
        <w:t>Mirtingumas nuo kraujotakos sistemos ligų sumažėjo 32 proc.;</w:t>
      </w:r>
    </w:p>
    <w:p w14:paraId="3EB8F827" w14:textId="77777777" w:rsidR="007310A9" w:rsidRPr="00E66F06" w:rsidRDefault="007310A9" w:rsidP="007310A9">
      <w:pPr>
        <w:pStyle w:val="Pagrindinispaprastastekstas"/>
        <w:numPr>
          <w:ilvl w:val="0"/>
          <w:numId w:val="34"/>
        </w:numPr>
        <w:rPr>
          <w:lang w:eastAsia="lt-LT"/>
        </w:rPr>
      </w:pPr>
      <w:r w:rsidRPr="00E66F06">
        <w:rPr>
          <w:lang w:eastAsia="lt-LT"/>
        </w:rPr>
        <w:t>Mirtingumas nuo piktybinių navikų sumažėjo 8 proc.;</w:t>
      </w:r>
    </w:p>
    <w:p w14:paraId="5914B986" w14:textId="77777777" w:rsidR="007310A9" w:rsidRPr="00E66F06" w:rsidRDefault="007310A9" w:rsidP="007310A9">
      <w:pPr>
        <w:pStyle w:val="Pagrindinispaprastastekstas"/>
        <w:numPr>
          <w:ilvl w:val="0"/>
          <w:numId w:val="34"/>
        </w:numPr>
        <w:rPr>
          <w:lang w:eastAsia="lt-LT"/>
        </w:rPr>
      </w:pPr>
      <w:r w:rsidRPr="00E66F06">
        <w:rPr>
          <w:lang w:eastAsia="lt-LT"/>
        </w:rPr>
        <w:t>Hospitalinis mirštamumas dėl traumų, apsinuodijimų ir kitų išorinių priežasčių sumažėjo 22 proc.;</w:t>
      </w:r>
    </w:p>
    <w:p w14:paraId="0B1E1CDB" w14:textId="77777777" w:rsidR="007310A9" w:rsidRPr="00E66F06" w:rsidRDefault="007310A9" w:rsidP="007310A9">
      <w:pPr>
        <w:pStyle w:val="Pagrindinispaprastastekstas"/>
        <w:numPr>
          <w:ilvl w:val="0"/>
          <w:numId w:val="34"/>
        </w:numPr>
        <w:rPr>
          <w:lang w:eastAsia="lt-LT"/>
        </w:rPr>
      </w:pPr>
      <w:r w:rsidRPr="00E66F06">
        <w:rPr>
          <w:lang w:eastAsia="lt-LT"/>
        </w:rPr>
        <w:t>Vidutinė tikėtina gyvenimo trukmė išaugo beveik 4 m. (nuo 70,7 m. iki 74,5 m.).</w:t>
      </w:r>
    </w:p>
    <w:p w14:paraId="1D45A280" w14:textId="77777777" w:rsidR="007310A9" w:rsidRPr="00E66F06" w:rsidRDefault="007310A9" w:rsidP="007310A9">
      <w:pPr>
        <w:pStyle w:val="Pagrindinispaprastastekstas"/>
        <w:rPr>
          <w:lang w:eastAsia="lt-LT"/>
        </w:rPr>
      </w:pPr>
    </w:p>
    <w:p w14:paraId="1377D109" w14:textId="77777777" w:rsidR="007310A9" w:rsidRDefault="007310A9" w:rsidP="007310A9">
      <w:pPr>
        <w:pStyle w:val="Pagrindinispaprastastekstas"/>
        <w:rPr>
          <w:lang w:eastAsia="lt-LT"/>
        </w:rPr>
      </w:pPr>
      <w:r w:rsidRPr="00E66F06">
        <w:rPr>
          <w:noProof/>
          <w:lang w:eastAsia="lt-LT"/>
        </w:rPr>
        <w:drawing>
          <wp:inline distT="0" distB="0" distL="0" distR="0" wp14:anchorId="5FF6499D" wp14:editId="0672EF52">
            <wp:extent cx="6119812" cy="2052638"/>
            <wp:effectExtent l="0" t="0" r="14605" b="508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69AF326" w14:textId="77777777" w:rsidR="007310A9" w:rsidRDefault="007310A9" w:rsidP="007310A9">
      <w:pPr>
        <w:pStyle w:val="Pagrindinispaprastastekstas"/>
        <w:rPr>
          <w:lang w:eastAsia="lt-LT"/>
        </w:rPr>
      </w:pPr>
    </w:p>
    <w:p w14:paraId="0831409D" w14:textId="14195026" w:rsidR="007310A9" w:rsidRPr="00E66F06" w:rsidRDefault="007310A9" w:rsidP="008A6F28">
      <w:pPr>
        <w:pStyle w:val="Nenumeruojamosantrastes"/>
      </w:pPr>
      <w:r w:rsidRPr="00E66F06">
        <w:t>SSVP įgyvendinimo rezultatai: švietimo infrastruktūra</w:t>
      </w:r>
    </w:p>
    <w:p w14:paraId="6488823A" w14:textId="77777777" w:rsidR="007310A9" w:rsidRPr="00A7241D" w:rsidRDefault="007310A9" w:rsidP="007310A9">
      <w:pPr>
        <w:pStyle w:val="Pagrindinispaprastastekstas"/>
        <w:rPr>
          <w:rFonts w:ascii="Cambria" w:hAnsi="Cambria"/>
          <w:b/>
          <w:color w:val="44546A" w:themeColor="text2"/>
          <w:lang w:eastAsia="lt-LT"/>
        </w:rPr>
      </w:pPr>
      <w:r w:rsidRPr="00A7241D">
        <w:rPr>
          <w:rFonts w:ascii="Cambria" w:hAnsi="Cambria"/>
          <w:b/>
          <w:color w:val="44546A" w:themeColor="text2"/>
          <w:lang w:eastAsia="lt-LT"/>
        </w:rPr>
        <w:t>Pagrindiniai produktai ir rezultatai</w:t>
      </w:r>
    </w:p>
    <w:p w14:paraId="63F8D7F0" w14:textId="77777777" w:rsidR="007310A9" w:rsidRPr="00E66F06" w:rsidRDefault="007310A9" w:rsidP="007310A9">
      <w:pPr>
        <w:pStyle w:val="Pagrindinispaprastastekstas"/>
        <w:rPr>
          <w:lang w:eastAsia="lt-LT"/>
        </w:rPr>
      </w:pPr>
      <w:r w:rsidRPr="00E66F06">
        <w:rPr>
          <w:noProof/>
          <w:lang w:eastAsia="lt-LT"/>
        </w:rPr>
        <w:drawing>
          <wp:inline distT="0" distB="0" distL="0" distR="0" wp14:anchorId="0253C3C2" wp14:editId="628987F8">
            <wp:extent cx="6025468" cy="1440873"/>
            <wp:effectExtent l="0" t="0" r="13970" b="698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C810F77" w14:textId="77777777" w:rsidR="007310A9" w:rsidRPr="00E66F06" w:rsidRDefault="007310A9" w:rsidP="007310A9">
      <w:pPr>
        <w:pStyle w:val="Pagrindinispaprastastekstas"/>
        <w:rPr>
          <w:lang w:eastAsia="lt-LT"/>
        </w:rPr>
      </w:pPr>
    </w:p>
    <w:p w14:paraId="5E3B3D0B" w14:textId="77777777" w:rsidR="007310A9" w:rsidRPr="00E66F06" w:rsidRDefault="007310A9" w:rsidP="007310A9">
      <w:pPr>
        <w:pStyle w:val="Pagrindinispaprastastekstas"/>
        <w:numPr>
          <w:ilvl w:val="0"/>
          <w:numId w:val="35"/>
        </w:numPr>
        <w:rPr>
          <w:lang w:eastAsia="lt-LT"/>
        </w:rPr>
      </w:pPr>
      <w:r w:rsidRPr="00E66F06">
        <w:rPr>
          <w:lang w:eastAsia="lt-LT"/>
        </w:rPr>
        <w:t xml:space="preserve">Projektuose kaip projektų vykdytojai, partneriai ar galutiniai naudos gavėjai dalyvavo apie 1430 švietimo ir mokslo įstaigų. Projektuose dalyvavo ne mažiau kaip: 146 </w:t>
      </w:r>
      <w:r w:rsidRPr="00E66F06">
        <w:rPr>
          <w:bCs/>
          <w:lang w:eastAsia="lt-LT"/>
        </w:rPr>
        <w:t xml:space="preserve">ikimokyklinio ugdymo mokyklos (apie 19 proc. </w:t>
      </w:r>
      <w:r w:rsidRPr="00E66F06">
        <w:rPr>
          <w:lang w:eastAsia="lt-LT"/>
        </w:rPr>
        <w:t xml:space="preserve">visų tokio tipo įstaigų), 989 </w:t>
      </w:r>
      <w:r w:rsidRPr="00E66F06">
        <w:rPr>
          <w:bCs/>
          <w:lang w:eastAsia="lt-LT"/>
        </w:rPr>
        <w:t xml:space="preserve">bendrojo ugdymo mokyklos ar jų skyriai (apie 67 proc. </w:t>
      </w:r>
      <w:r w:rsidRPr="00E66F06">
        <w:rPr>
          <w:lang w:eastAsia="lt-LT"/>
        </w:rPr>
        <w:t xml:space="preserve">visų tokio tipo įstaigų), 73 </w:t>
      </w:r>
      <w:r w:rsidRPr="00E66F06">
        <w:rPr>
          <w:bCs/>
          <w:lang w:eastAsia="lt-LT"/>
        </w:rPr>
        <w:t>profesinio mokymo įstaigos (54 proc.</w:t>
      </w:r>
      <w:r w:rsidRPr="00E66F06">
        <w:rPr>
          <w:lang w:eastAsia="lt-LT"/>
        </w:rPr>
        <w:t xml:space="preserve">), 33 </w:t>
      </w:r>
      <w:r w:rsidRPr="00E66F06">
        <w:rPr>
          <w:bCs/>
          <w:lang w:eastAsia="lt-LT"/>
        </w:rPr>
        <w:t xml:space="preserve">aukštosios mokyklos (51 proc.), </w:t>
      </w:r>
      <w:r w:rsidRPr="00E66F06">
        <w:rPr>
          <w:lang w:eastAsia="lt-LT"/>
        </w:rPr>
        <w:t>66 švietimo pagalbos įstaigos (80 proc. visų užregistruotų 2016 m.).</w:t>
      </w:r>
    </w:p>
    <w:p w14:paraId="21A1AFA8" w14:textId="77777777" w:rsidR="007310A9" w:rsidRDefault="007310A9" w:rsidP="007310A9">
      <w:pPr>
        <w:pStyle w:val="Pagrindinispaprastastekstas"/>
        <w:numPr>
          <w:ilvl w:val="0"/>
          <w:numId w:val="35"/>
        </w:numPr>
        <w:rPr>
          <w:lang w:eastAsia="lt-LT"/>
        </w:rPr>
      </w:pPr>
      <w:r w:rsidRPr="00E66F06">
        <w:rPr>
          <w:lang w:eastAsia="lt-LT"/>
        </w:rPr>
        <w:t>Naudą iš investicijų į švietimo infrastruktūrą pajuto 650,2 tūkst. asmenų (apie 23 proc. Lietuvos gyventojų).</w:t>
      </w:r>
    </w:p>
    <w:p w14:paraId="1F2D5EF8" w14:textId="77777777" w:rsidR="00AB5327" w:rsidRDefault="00AB5327" w:rsidP="00AB5327">
      <w:pPr>
        <w:pStyle w:val="Pagrindinispaprastastekstas"/>
        <w:rPr>
          <w:lang w:eastAsia="lt-LT"/>
        </w:rPr>
      </w:pPr>
    </w:p>
    <w:p w14:paraId="2AA1049F" w14:textId="77777777" w:rsidR="00AB5327" w:rsidRDefault="00AB5327" w:rsidP="00AB5327">
      <w:pPr>
        <w:pStyle w:val="Pagrindinispaprastastekstas"/>
        <w:rPr>
          <w:lang w:eastAsia="lt-LT"/>
        </w:rPr>
      </w:pPr>
    </w:p>
    <w:p w14:paraId="7E3B07E6" w14:textId="77777777" w:rsidR="00AB5327" w:rsidRDefault="00AB5327" w:rsidP="00AB5327">
      <w:pPr>
        <w:pStyle w:val="Pagrindinispaprastastekstas"/>
        <w:rPr>
          <w:lang w:eastAsia="lt-LT"/>
        </w:rPr>
      </w:pPr>
    </w:p>
    <w:p w14:paraId="39AAEEFA" w14:textId="77777777" w:rsidR="00AB5327" w:rsidRDefault="00AB5327" w:rsidP="00AB5327">
      <w:pPr>
        <w:pStyle w:val="Pagrindinispaprastastekstas"/>
        <w:rPr>
          <w:lang w:eastAsia="lt-LT"/>
        </w:rPr>
      </w:pPr>
    </w:p>
    <w:p w14:paraId="6D9EC05D" w14:textId="77777777" w:rsidR="00AB5327" w:rsidRDefault="00AB5327" w:rsidP="00AB5327">
      <w:pPr>
        <w:pStyle w:val="Pagrindinispaprastastekstas"/>
        <w:rPr>
          <w:lang w:eastAsia="lt-LT"/>
        </w:rPr>
      </w:pPr>
    </w:p>
    <w:p w14:paraId="7E469DED" w14:textId="77777777" w:rsidR="00AB5327" w:rsidRDefault="00AB5327" w:rsidP="00AB5327">
      <w:pPr>
        <w:pStyle w:val="Pagrindinispaprastastekstas"/>
        <w:rPr>
          <w:lang w:eastAsia="lt-LT"/>
        </w:rPr>
      </w:pPr>
    </w:p>
    <w:p w14:paraId="76258DE5" w14:textId="77777777" w:rsidR="00AB5327" w:rsidRPr="00E66F06" w:rsidRDefault="00AB5327" w:rsidP="00AB5327">
      <w:pPr>
        <w:pStyle w:val="Pagrindinispaprastastekstas"/>
        <w:rPr>
          <w:lang w:eastAsia="lt-LT"/>
        </w:rPr>
      </w:pPr>
    </w:p>
    <w:p w14:paraId="52DC7FA5" w14:textId="77777777" w:rsidR="007310A9" w:rsidRPr="00E66F06" w:rsidRDefault="007310A9" w:rsidP="007310A9">
      <w:pPr>
        <w:pStyle w:val="Pagrindinispaprastastekstas"/>
        <w:rPr>
          <w:lang w:eastAsia="lt-LT"/>
        </w:rPr>
      </w:pPr>
    </w:p>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none" w:sz="0" w:space="0" w:color="auto"/>
          <w:insideV w:val="none" w:sz="0" w:space="0" w:color="auto"/>
        </w:tblBorders>
        <w:tblLook w:val="04A0" w:firstRow="1" w:lastRow="0" w:firstColumn="1" w:lastColumn="0" w:noHBand="0" w:noVBand="1"/>
      </w:tblPr>
      <w:tblGrid>
        <w:gridCol w:w="9628"/>
      </w:tblGrid>
      <w:tr w:rsidR="007310A9" w:rsidRPr="00E66F06" w14:paraId="622BD92A" w14:textId="77777777" w:rsidTr="00197EC1">
        <w:tc>
          <w:tcPr>
            <w:tcW w:w="9628" w:type="dxa"/>
            <w:shd w:val="clear" w:color="auto" w:fill="DEEAF6" w:themeFill="accent1" w:themeFillTint="33"/>
          </w:tcPr>
          <w:p w14:paraId="7019BEF2" w14:textId="77777777" w:rsidR="007310A9" w:rsidRPr="00AB5327" w:rsidRDefault="007310A9" w:rsidP="00AB5327">
            <w:pPr>
              <w:pStyle w:val="Pagrindinispaprastastekstas"/>
              <w:jc w:val="center"/>
              <w:rPr>
                <w:rFonts w:ascii="Cambria" w:hAnsi="Cambria"/>
                <w:b/>
                <w:i/>
                <w:color w:val="44546A" w:themeColor="text2"/>
              </w:rPr>
            </w:pPr>
            <w:r w:rsidRPr="00AB5327">
              <w:rPr>
                <w:rFonts w:ascii="Cambria" w:hAnsi="Cambria"/>
                <w:b/>
                <w:i/>
                <w:color w:val="44546A" w:themeColor="text2"/>
              </w:rPr>
              <w:t>„Šilutės žemės ūkio mokyklos žuvininkystės praktinio mokymo centro sukūrimas“</w:t>
            </w:r>
          </w:p>
          <w:p w14:paraId="26BF3A3C" w14:textId="77777777" w:rsidR="007310A9" w:rsidRPr="00AB5327" w:rsidRDefault="007310A9" w:rsidP="00AB5327">
            <w:pPr>
              <w:pStyle w:val="Pagrindinispaprastastekstas"/>
              <w:jc w:val="center"/>
              <w:rPr>
                <w:i/>
              </w:rPr>
            </w:pPr>
            <w:r w:rsidRPr="00AB5327">
              <w:rPr>
                <w:i/>
              </w:rPr>
              <w:t>Projekto vykdytojas – Šilutės žemės ūkio mokykla</w:t>
            </w:r>
          </w:p>
          <w:p w14:paraId="1129CE11" w14:textId="77777777" w:rsidR="007310A9" w:rsidRPr="00AB5327" w:rsidRDefault="007310A9" w:rsidP="00AB5327">
            <w:pPr>
              <w:pStyle w:val="Pagrindinispaprastastekstas"/>
              <w:jc w:val="center"/>
              <w:rPr>
                <w:i/>
              </w:rPr>
            </w:pPr>
            <w:r w:rsidRPr="00AB5327">
              <w:rPr>
                <w:i/>
              </w:rPr>
              <w:t>Projektui išmokėtos ES lėšos – 2 381,2 tūkst. eurų.</w:t>
            </w:r>
          </w:p>
          <w:p w14:paraId="0BD3137B" w14:textId="77777777" w:rsidR="007310A9" w:rsidRPr="00E66F06" w:rsidRDefault="007310A9" w:rsidP="007310A9">
            <w:pPr>
              <w:pStyle w:val="Pagrindinispaprastastekstas"/>
            </w:pPr>
            <w:r w:rsidRPr="00E66F06">
              <w:rPr>
                <w:rFonts w:eastAsiaTheme="minorHAnsi"/>
                <w:noProof/>
              </w:rPr>
              <w:drawing>
                <wp:anchor distT="0" distB="0" distL="114300" distR="114300" simplePos="0" relativeHeight="251673600" behindDoc="0" locked="0" layoutInCell="1" allowOverlap="1" wp14:anchorId="51323286" wp14:editId="0DC93213">
                  <wp:simplePos x="0" y="0"/>
                  <wp:positionH relativeFrom="column">
                    <wp:posOffset>3737398</wp:posOffset>
                  </wp:positionH>
                  <wp:positionV relativeFrom="paragraph">
                    <wp:posOffset>11452</wp:posOffset>
                  </wp:positionV>
                  <wp:extent cx="2275200" cy="1263600"/>
                  <wp:effectExtent l="0" t="0" r="30480" b="32385"/>
                  <wp:wrapSquare wrapText="bothSides"/>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75200" cy="1263600"/>
                          </a:xfrm>
                          <a:prstGeom prst="rect">
                            <a:avLst/>
                          </a:prstGeom>
                          <a:noFill/>
                          <a:ln>
                            <a:noFill/>
                          </a:ln>
                          <a:effectLst>
                            <a:outerShdw dist="35921" dir="2700000" algn="ctr" rotWithShape="0">
                              <a:schemeClr val="bg2"/>
                            </a:outerShdw>
                            <a:softEdge rad="127000"/>
                          </a:effectLst>
                          <a:extLst/>
                        </pic:spPr>
                      </pic:pic>
                    </a:graphicData>
                  </a:graphic>
                  <wp14:sizeRelH relativeFrom="page">
                    <wp14:pctWidth>0</wp14:pctWidth>
                  </wp14:sizeRelH>
                  <wp14:sizeRelV relativeFrom="page">
                    <wp14:pctHeight>0</wp14:pctHeight>
                  </wp14:sizeRelV>
                </wp:anchor>
              </w:drawing>
            </w:r>
          </w:p>
          <w:p w14:paraId="3B9F1D17" w14:textId="77777777" w:rsidR="007310A9" w:rsidRPr="00AB5327" w:rsidRDefault="007310A9" w:rsidP="007310A9">
            <w:pPr>
              <w:pStyle w:val="Pagrindinispaprastastekstas"/>
              <w:rPr>
                <w:sz w:val="20"/>
                <w:szCs w:val="20"/>
              </w:rPr>
            </w:pPr>
            <w:r w:rsidRPr="00AB5327">
              <w:rPr>
                <w:noProof/>
                <w:sz w:val="20"/>
                <w:szCs w:val="20"/>
              </w:rPr>
              <w:drawing>
                <wp:anchor distT="0" distB="0" distL="114300" distR="114300" simplePos="0" relativeHeight="251672576" behindDoc="0" locked="0" layoutInCell="1" allowOverlap="1" wp14:anchorId="7A92ABE3" wp14:editId="67D90B03">
                  <wp:simplePos x="0" y="0"/>
                  <wp:positionH relativeFrom="column">
                    <wp:posOffset>4670754</wp:posOffset>
                  </wp:positionH>
                  <wp:positionV relativeFrom="paragraph">
                    <wp:posOffset>1295356</wp:posOffset>
                  </wp:positionV>
                  <wp:extent cx="1338580" cy="1003935"/>
                  <wp:effectExtent l="0" t="0" r="33020" b="43815"/>
                  <wp:wrapSquare wrapText="bothSides"/>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8580" cy="1003935"/>
                          </a:xfrm>
                          <a:prstGeom prst="rect">
                            <a:avLst/>
                          </a:prstGeom>
                          <a:noFill/>
                          <a:ln>
                            <a:noFill/>
                          </a:ln>
                          <a:effectLst>
                            <a:outerShdw dist="35921" dir="2700000" algn="ctr" rotWithShape="0">
                              <a:schemeClr val="bg2"/>
                            </a:outerShdw>
                            <a:softEdge rad="127000"/>
                          </a:effectLst>
                          <a:extLst/>
                        </pic:spPr>
                      </pic:pic>
                    </a:graphicData>
                  </a:graphic>
                  <wp14:sizeRelH relativeFrom="page">
                    <wp14:pctWidth>0</wp14:pctWidth>
                  </wp14:sizeRelH>
                  <wp14:sizeRelV relativeFrom="page">
                    <wp14:pctHeight>0</wp14:pctHeight>
                  </wp14:sizeRelV>
                </wp:anchor>
              </w:drawing>
            </w:r>
            <w:r w:rsidRPr="00AB5327">
              <w:rPr>
                <w:sz w:val="20"/>
                <w:szCs w:val="20"/>
              </w:rPr>
              <w:t xml:space="preserve">Įgyvendinus projektą atidarytas modernus, Baltijos šalyse analogų neturintis žuvininkystės praktinio mokymo centras, kuris susideda iš mokomosios žuvų veisimo ir auginimo fermos, mokomojo žuvų perdirbimo cecho ir mokomojo žuvininkystės techninio aptarnavimo centro. Įsigyta moderniausia įranga žuvų veisimui ir auginimui uždaros apytakos </w:t>
            </w:r>
            <w:proofErr w:type="spellStart"/>
            <w:r w:rsidRPr="00AB5327">
              <w:rPr>
                <w:sz w:val="20"/>
                <w:szCs w:val="20"/>
              </w:rPr>
              <w:t>recirkuliacinėmis</w:t>
            </w:r>
            <w:proofErr w:type="spellEnd"/>
            <w:r w:rsidRPr="00AB5327">
              <w:rPr>
                <w:sz w:val="20"/>
                <w:szCs w:val="20"/>
              </w:rPr>
              <w:t xml:space="preserve"> sistemomis. Čia veisiamos ir auginamos įvairios </w:t>
            </w:r>
            <w:proofErr w:type="spellStart"/>
            <w:r w:rsidRPr="00AB5327">
              <w:rPr>
                <w:sz w:val="20"/>
                <w:szCs w:val="20"/>
              </w:rPr>
              <w:t>šiltavandenių</w:t>
            </w:r>
            <w:proofErr w:type="spellEnd"/>
            <w:r w:rsidRPr="00AB5327">
              <w:rPr>
                <w:sz w:val="20"/>
                <w:szCs w:val="20"/>
              </w:rPr>
              <w:t xml:space="preserve"> ir šaltavandenių žuvų rūšys, mokiniai gali praktikuotis mokomojoje fermoje ir žuvų perdirbimo ceche. Vienu metu čia gali mokytis daugiau nei 70 žmonių. Mokykla taip pat įsigijo įrangą, skirtą mažųjų laivų </w:t>
            </w:r>
            <w:proofErr w:type="spellStart"/>
            <w:r w:rsidRPr="00AB5327">
              <w:rPr>
                <w:sz w:val="20"/>
                <w:szCs w:val="20"/>
              </w:rPr>
              <w:t>laivavedybos</w:t>
            </w:r>
            <w:proofErr w:type="spellEnd"/>
            <w:r w:rsidRPr="00AB5327">
              <w:rPr>
                <w:sz w:val="20"/>
                <w:szCs w:val="20"/>
              </w:rPr>
              <w:t xml:space="preserve"> ir jų aptarnavimo mokymui: mokomąjį laivą, modernų </w:t>
            </w:r>
            <w:proofErr w:type="spellStart"/>
            <w:r w:rsidRPr="00AB5327">
              <w:rPr>
                <w:sz w:val="20"/>
                <w:szCs w:val="20"/>
              </w:rPr>
              <w:t>laivavedybos</w:t>
            </w:r>
            <w:proofErr w:type="spellEnd"/>
            <w:r w:rsidRPr="00AB5327">
              <w:rPr>
                <w:sz w:val="20"/>
                <w:szCs w:val="20"/>
              </w:rPr>
              <w:t xml:space="preserve"> mokymo </w:t>
            </w:r>
            <w:proofErr w:type="spellStart"/>
            <w:r w:rsidRPr="00AB5327">
              <w:rPr>
                <w:sz w:val="20"/>
                <w:szCs w:val="20"/>
              </w:rPr>
              <w:t>simuliatorių</w:t>
            </w:r>
            <w:proofErr w:type="spellEnd"/>
            <w:r w:rsidRPr="00AB5327">
              <w:rPr>
                <w:sz w:val="20"/>
                <w:szCs w:val="20"/>
              </w:rPr>
              <w:t xml:space="preserve">, rekreacinės žuvininkystės įrankius. Moderniame praktinio mokymo centre rengiami žuvininkystės srities darbuotojai, taip pat kvalifikaciją gali tobulinti suaugusieji, pirmiausia, žvejai ir verslininkai, taip pat ūkininkai, norintys persikvalifikuoti ar užsiimti papildoma veiklos sritimi – akvakultūra tvenkiniuose ar žuvų auginimu fermose su uždaros apytakos </w:t>
            </w:r>
            <w:proofErr w:type="spellStart"/>
            <w:r w:rsidRPr="00AB5327">
              <w:rPr>
                <w:sz w:val="20"/>
                <w:szCs w:val="20"/>
              </w:rPr>
              <w:t>recirkuliacinėmis</w:t>
            </w:r>
            <w:proofErr w:type="spellEnd"/>
            <w:r w:rsidRPr="00AB5327">
              <w:rPr>
                <w:sz w:val="20"/>
                <w:szCs w:val="20"/>
              </w:rPr>
              <w:t xml:space="preserve"> sistemomis, žuvies perdirbimu ir rekreacine žuvininkyste. Projekto rezultatais prisidedama prie viso regiono gyventojų (ypač jaunimo) užimtumo augimo: mokiniai gali įgyti visame regione reikalingų profesijų, vyresni žmonės gali persikvalifikuoti. </w:t>
            </w:r>
          </w:p>
        </w:tc>
      </w:tr>
    </w:tbl>
    <w:p w14:paraId="473709FB" w14:textId="77777777" w:rsidR="007310A9" w:rsidRPr="00E66F06" w:rsidRDefault="007310A9" w:rsidP="007310A9">
      <w:pPr>
        <w:pStyle w:val="Pagrindinispaprastastekstas"/>
        <w:rPr>
          <w:lang w:eastAsia="lt-LT"/>
        </w:rPr>
      </w:pPr>
    </w:p>
    <w:p w14:paraId="2586C757" w14:textId="77777777" w:rsidR="007310A9" w:rsidRPr="00A7241D" w:rsidRDefault="007310A9" w:rsidP="007310A9">
      <w:pPr>
        <w:pStyle w:val="Pagrindinispaprastastekstas"/>
        <w:rPr>
          <w:rFonts w:ascii="Cambria" w:hAnsi="Cambria"/>
          <w:b/>
          <w:color w:val="44546A" w:themeColor="text2"/>
          <w:lang w:eastAsia="lt-LT"/>
        </w:rPr>
      </w:pPr>
      <w:r w:rsidRPr="00A7241D">
        <w:rPr>
          <w:rFonts w:ascii="Cambria" w:hAnsi="Cambria"/>
          <w:b/>
          <w:color w:val="44546A" w:themeColor="text2"/>
          <w:lang w:eastAsia="lt-LT"/>
        </w:rPr>
        <w:t>Investicijų poveikis:</w:t>
      </w:r>
    </w:p>
    <w:p w14:paraId="3E9A1053" w14:textId="77777777" w:rsidR="007310A9" w:rsidRPr="00E66F06" w:rsidRDefault="007310A9" w:rsidP="007310A9">
      <w:pPr>
        <w:pStyle w:val="Pagrindinispaprastastekstas"/>
        <w:numPr>
          <w:ilvl w:val="0"/>
          <w:numId w:val="35"/>
        </w:numPr>
        <w:rPr>
          <w:lang w:eastAsia="lt-LT"/>
        </w:rPr>
      </w:pPr>
      <w:r w:rsidRPr="00E66F06">
        <w:rPr>
          <w:lang w:eastAsia="lt-LT"/>
        </w:rPr>
        <w:t>Ženkliai išaugo vaikų dalyvavimas ikimokykliniame ugdyme: vaikai iki 3 m. nuo 28,1 proc. 2007 m. iki 35,0 proc. 2015 m. (SSVP tikslas – 30 proc.); vaikai nuo 3 m. nuo 76,1 proc. 2007 m. iki 87,0 proc. 2015 m. (SSVP tikslas – 90 proc.)</w:t>
      </w:r>
    </w:p>
    <w:p w14:paraId="37711113" w14:textId="77777777" w:rsidR="007310A9" w:rsidRPr="00E66F06" w:rsidRDefault="007310A9" w:rsidP="007310A9">
      <w:pPr>
        <w:pStyle w:val="Pagrindinispaprastastekstas"/>
        <w:numPr>
          <w:ilvl w:val="0"/>
          <w:numId w:val="35"/>
        </w:numPr>
        <w:rPr>
          <w:lang w:eastAsia="lt-LT"/>
        </w:rPr>
      </w:pPr>
      <w:r w:rsidRPr="00E66F06">
        <w:rPr>
          <w:lang w:eastAsia="lt-LT"/>
        </w:rPr>
        <w:t>Investicijos į ikimokyklinio ugdymo infrastruktūrą prisidėjo prie paslaugų kokybės ir prieinamumo gerėjimo (ypač kaimo vietovėse, kur įsteigti 77 universalūs daugiafunkciai centrai).</w:t>
      </w:r>
    </w:p>
    <w:p w14:paraId="07A8E657" w14:textId="77777777" w:rsidR="007310A9" w:rsidRPr="00E66F06" w:rsidRDefault="007310A9" w:rsidP="007310A9">
      <w:pPr>
        <w:pStyle w:val="Pagrindinispaprastastekstas"/>
        <w:numPr>
          <w:ilvl w:val="0"/>
          <w:numId w:val="35"/>
        </w:numPr>
        <w:rPr>
          <w:lang w:eastAsia="lt-LT"/>
        </w:rPr>
      </w:pPr>
      <w:r w:rsidRPr="00E66F06">
        <w:rPr>
          <w:lang w:eastAsia="lt-LT"/>
        </w:rPr>
        <w:t>Investicijos į bendrojo ugdymo infrastruktūrą daugiausiai prisidėjo prie paslaugų kokybės gerėjimo, ypač didelis dėmesys skirtas technologijų, menų ir gamtos mokslų mokymo bazei.</w:t>
      </w:r>
    </w:p>
    <w:p w14:paraId="1391E56F" w14:textId="29424546" w:rsidR="007310A9" w:rsidRPr="00A7241D" w:rsidRDefault="007310A9" w:rsidP="006126BF">
      <w:pPr>
        <w:pStyle w:val="Pagrindinispaprastastekstas"/>
        <w:numPr>
          <w:ilvl w:val="0"/>
          <w:numId w:val="35"/>
        </w:numPr>
        <w:rPr>
          <w:rFonts w:asciiTheme="majorHAnsi" w:hAnsiTheme="majorHAnsi"/>
          <w:lang w:eastAsia="lt-LT"/>
        </w:rPr>
      </w:pPr>
      <w:r w:rsidRPr="00E66F06">
        <w:rPr>
          <w:lang w:eastAsia="lt-LT"/>
        </w:rPr>
        <w:t xml:space="preserve">Iš esmės atnaujinta profesinio mokymo infrastruktūra: sukurti 42 sektoriniai praktinio mokymo centrai, atnaujinta technologinio mokymo bazė kitose profesinio mokymo įstaigose. </w:t>
      </w:r>
    </w:p>
    <w:p w14:paraId="5F1B9C3A" w14:textId="77777777" w:rsidR="007310A9" w:rsidRPr="00E66F06" w:rsidRDefault="007310A9" w:rsidP="007310A9">
      <w:pPr>
        <w:pStyle w:val="Pagrindinispaprastastekstas"/>
        <w:rPr>
          <w:lang w:eastAsia="lt-LT"/>
        </w:rPr>
      </w:pPr>
    </w:p>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4531"/>
        <w:gridCol w:w="5097"/>
      </w:tblGrid>
      <w:tr w:rsidR="007310A9" w:rsidRPr="00E66F06" w14:paraId="3CCEAF3B" w14:textId="77777777" w:rsidTr="00197EC1">
        <w:tc>
          <w:tcPr>
            <w:tcW w:w="4531" w:type="dxa"/>
            <w:shd w:val="clear" w:color="auto" w:fill="auto"/>
          </w:tcPr>
          <w:p w14:paraId="41455328" w14:textId="77777777" w:rsidR="007310A9" w:rsidRPr="00E66F06" w:rsidRDefault="007310A9" w:rsidP="00197EC1">
            <w:pPr>
              <w:pStyle w:val="Caption"/>
              <w:rPr>
                <w:sz w:val="20"/>
                <w:szCs w:val="20"/>
              </w:rPr>
            </w:pPr>
            <w:r w:rsidRPr="00E66F06">
              <w:rPr>
                <w:sz w:val="20"/>
                <w:szCs w:val="20"/>
              </w:rPr>
              <w:fldChar w:fldCharType="begin"/>
            </w:r>
            <w:r w:rsidRPr="00E66F06">
              <w:rPr>
                <w:sz w:val="20"/>
                <w:szCs w:val="20"/>
              </w:rPr>
              <w:instrText xml:space="preserve"> SEQ pav. \* ARABIC </w:instrText>
            </w:r>
            <w:r w:rsidRPr="00E66F06">
              <w:rPr>
                <w:sz w:val="20"/>
                <w:szCs w:val="20"/>
              </w:rPr>
              <w:fldChar w:fldCharType="separate"/>
            </w:r>
            <w:r>
              <w:rPr>
                <w:noProof/>
                <w:sz w:val="20"/>
                <w:szCs w:val="20"/>
              </w:rPr>
              <w:t>1</w:t>
            </w:r>
            <w:r w:rsidRPr="00E66F06">
              <w:rPr>
                <w:sz w:val="20"/>
                <w:szCs w:val="20"/>
              </w:rPr>
              <w:fldChar w:fldCharType="end"/>
            </w:r>
            <w:r w:rsidRPr="00E66F06">
              <w:rPr>
                <w:sz w:val="20"/>
                <w:szCs w:val="20"/>
              </w:rPr>
              <w:t xml:space="preserve"> pav. Švietimo infrastruktūrai skirtų investicijų pasiskirstymas pagal švietimo lygius, mln. eurų </w:t>
            </w:r>
          </w:p>
          <w:p w14:paraId="1B940990" w14:textId="77777777" w:rsidR="007310A9" w:rsidRPr="00E66F06" w:rsidRDefault="007310A9" w:rsidP="007310A9">
            <w:pPr>
              <w:pStyle w:val="Pagrindinispaprastastekstas"/>
            </w:pPr>
            <w:r w:rsidRPr="00E66F06">
              <w:rPr>
                <w:noProof/>
              </w:rPr>
              <w:drawing>
                <wp:inline distT="0" distB="0" distL="0" distR="0" wp14:anchorId="0C88737F" wp14:editId="69C376D9">
                  <wp:extent cx="2685262" cy="1534076"/>
                  <wp:effectExtent l="0" t="0" r="1270" b="952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93F9F99" w14:textId="77777777" w:rsidR="007310A9" w:rsidRPr="00E66F06" w:rsidRDefault="007310A9" w:rsidP="007310A9">
            <w:pPr>
              <w:pStyle w:val="Pagrindinispaprastastekstas"/>
            </w:pPr>
            <w:r w:rsidRPr="00E66F06">
              <w:t>Didžiausios investicijos skirtos profesiniam mokymui, aukštojo ir bendrojo ugdymo įstaigoms, o suaugusiųjų švietimui ir ikimokykliniam ugdymui skirta mažiau lėšų.</w:t>
            </w:r>
          </w:p>
        </w:tc>
        <w:tc>
          <w:tcPr>
            <w:tcW w:w="5097" w:type="dxa"/>
            <w:shd w:val="clear" w:color="auto" w:fill="auto"/>
          </w:tcPr>
          <w:p w14:paraId="38DA7298" w14:textId="77777777" w:rsidR="007310A9" w:rsidRPr="00E66F06" w:rsidRDefault="007310A9" w:rsidP="00197EC1">
            <w:pPr>
              <w:pStyle w:val="Caption"/>
              <w:rPr>
                <w:sz w:val="20"/>
                <w:szCs w:val="20"/>
              </w:rPr>
            </w:pPr>
            <w:r w:rsidRPr="00E66F06">
              <w:rPr>
                <w:sz w:val="20"/>
                <w:szCs w:val="20"/>
              </w:rPr>
              <w:fldChar w:fldCharType="begin"/>
            </w:r>
            <w:r w:rsidRPr="00E66F06">
              <w:rPr>
                <w:sz w:val="20"/>
                <w:szCs w:val="20"/>
              </w:rPr>
              <w:instrText xml:space="preserve"> SEQ pav. \* ARABIC </w:instrText>
            </w:r>
            <w:r w:rsidRPr="00E66F06">
              <w:rPr>
                <w:sz w:val="20"/>
                <w:szCs w:val="20"/>
              </w:rPr>
              <w:fldChar w:fldCharType="separate"/>
            </w:r>
            <w:r>
              <w:rPr>
                <w:noProof/>
                <w:sz w:val="20"/>
                <w:szCs w:val="20"/>
              </w:rPr>
              <w:t>2</w:t>
            </w:r>
            <w:r w:rsidRPr="00E66F06">
              <w:rPr>
                <w:sz w:val="20"/>
                <w:szCs w:val="20"/>
              </w:rPr>
              <w:fldChar w:fldCharType="end"/>
            </w:r>
            <w:r w:rsidRPr="00E66F06">
              <w:rPr>
                <w:sz w:val="20"/>
                <w:szCs w:val="20"/>
              </w:rPr>
              <w:t xml:space="preserve"> pav. Į profesinio mokymo ir aukštojo mokslo I pakopos studijas priimtų asmenų dalis, nuo visų į šias studijas priimtų asmenų</w:t>
            </w:r>
          </w:p>
          <w:p w14:paraId="2F6B0C08" w14:textId="77777777" w:rsidR="007310A9" w:rsidRPr="00E66F06" w:rsidRDefault="007310A9" w:rsidP="007310A9">
            <w:pPr>
              <w:pStyle w:val="Pagrindinispaprastastekstas"/>
            </w:pPr>
            <w:r w:rsidRPr="00E66F06">
              <w:rPr>
                <w:noProof/>
              </w:rPr>
              <w:drawing>
                <wp:inline distT="0" distB="0" distL="0" distR="0" wp14:anchorId="0AB34704" wp14:editId="1AB81250">
                  <wp:extent cx="2745719" cy="1594532"/>
                  <wp:effectExtent l="0" t="0" r="17145" b="571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8B96E71" w14:textId="77777777" w:rsidR="007310A9" w:rsidRPr="00E66F06" w:rsidRDefault="007310A9" w:rsidP="007310A9">
            <w:pPr>
              <w:pStyle w:val="Pagrindinispaprastastekstas"/>
            </w:pPr>
            <w:r w:rsidRPr="00E66F06">
              <w:t>Išaugo profesinį mokymą besirenkančių asmenų dalis, atitinkamai mažėjant aukštojo mokslo I pakopos studijas besirenkančių asmenų daliai.</w:t>
            </w:r>
          </w:p>
        </w:tc>
      </w:tr>
    </w:tbl>
    <w:p w14:paraId="1AC14A5D" w14:textId="77777777" w:rsidR="008A6F28" w:rsidRPr="008A6F28" w:rsidRDefault="008A6F28" w:rsidP="008A6F28"/>
    <w:p w14:paraId="044E9766" w14:textId="77777777" w:rsidR="008A6F28" w:rsidRPr="008A6F28" w:rsidRDefault="008A6F28" w:rsidP="008A6F28"/>
    <w:p w14:paraId="20B42AEF" w14:textId="77777777" w:rsidR="008A6F28" w:rsidRDefault="008A6F28" w:rsidP="008A6F28"/>
    <w:p w14:paraId="6192B63D" w14:textId="77777777" w:rsidR="008A6F28" w:rsidRDefault="008A6F28" w:rsidP="008A6F28"/>
    <w:p w14:paraId="54662716" w14:textId="77777777" w:rsidR="008A6F28" w:rsidRDefault="008A6F28" w:rsidP="008A6F28"/>
    <w:p w14:paraId="6DF66A87" w14:textId="77777777" w:rsidR="008A6F28" w:rsidRPr="008A6F28" w:rsidRDefault="008A6F28" w:rsidP="008A6F28"/>
    <w:p w14:paraId="3ADFE878" w14:textId="77777777" w:rsidR="008A6F28" w:rsidRPr="008A6F28" w:rsidRDefault="008A6F28" w:rsidP="008A6F28"/>
    <w:p w14:paraId="60253D87" w14:textId="77777777" w:rsidR="007310A9" w:rsidRPr="00E66F06" w:rsidRDefault="007310A9" w:rsidP="008A6F28">
      <w:pPr>
        <w:pStyle w:val="Nenumeruojamosantrastes"/>
      </w:pPr>
      <w:r w:rsidRPr="00E66F06">
        <w:t>SSVP įgyvendinimo rezultatai: socialinė infrastruktūra</w:t>
      </w:r>
    </w:p>
    <w:p w14:paraId="0FB64EBE" w14:textId="77777777" w:rsidR="007310A9" w:rsidRPr="008A6F28" w:rsidRDefault="007310A9" w:rsidP="007310A9">
      <w:pPr>
        <w:pStyle w:val="Pagrindinispaprastastekstas"/>
        <w:rPr>
          <w:rFonts w:ascii="Cambria" w:hAnsi="Cambria"/>
          <w:b/>
          <w:color w:val="44546A" w:themeColor="text2"/>
          <w:lang w:eastAsia="lt-LT"/>
        </w:rPr>
      </w:pPr>
      <w:r w:rsidRPr="008A6F28">
        <w:rPr>
          <w:rFonts w:ascii="Cambria" w:hAnsi="Cambria"/>
          <w:b/>
          <w:color w:val="44546A" w:themeColor="text2"/>
          <w:lang w:eastAsia="lt-LT"/>
        </w:rPr>
        <w:t>Pagrindiniai produktai ir rezultatai</w:t>
      </w:r>
    </w:p>
    <w:p w14:paraId="5FF79BAC" w14:textId="77777777" w:rsidR="007310A9" w:rsidRPr="00E66F06" w:rsidRDefault="007310A9" w:rsidP="007310A9">
      <w:pPr>
        <w:pStyle w:val="Pagrindinispaprastastekstas"/>
        <w:rPr>
          <w:lang w:eastAsia="lt-LT"/>
        </w:rPr>
      </w:pPr>
      <w:r w:rsidRPr="00E66F06">
        <w:rPr>
          <w:noProof/>
          <w:lang w:eastAsia="lt-LT"/>
        </w:rPr>
        <w:drawing>
          <wp:inline distT="0" distB="0" distL="0" distR="0" wp14:anchorId="22A340D6" wp14:editId="6BFB06F0">
            <wp:extent cx="6121190" cy="1979941"/>
            <wp:effectExtent l="0" t="0" r="13335" b="127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91C0EB8" w14:textId="77777777" w:rsidR="007310A9" w:rsidRPr="00E66F06" w:rsidRDefault="007310A9" w:rsidP="007310A9">
      <w:pPr>
        <w:pStyle w:val="Pagrindinispaprastastekstas"/>
        <w:rPr>
          <w:lang w:eastAsia="lt-LT"/>
        </w:rPr>
      </w:pPr>
    </w:p>
    <w:p w14:paraId="046D7EA4" w14:textId="77777777" w:rsidR="007310A9" w:rsidRPr="00E66F06" w:rsidRDefault="007310A9" w:rsidP="007310A9">
      <w:pPr>
        <w:pStyle w:val="Pagrindinispaprastastekstas"/>
        <w:numPr>
          <w:ilvl w:val="0"/>
          <w:numId w:val="36"/>
        </w:numPr>
        <w:rPr>
          <w:lang w:eastAsia="lt-LT"/>
        </w:rPr>
      </w:pPr>
      <w:r w:rsidRPr="00E66F06">
        <w:rPr>
          <w:lang w:eastAsia="lt-LT"/>
        </w:rPr>
        <w:t xml:space="preserve">Įgyvendinant SSVP investuota į 12 iš 50 Lietuvos darbo biržos teritorinių skyrių infrastruktūrą. </w:t>
      </w:r>
    </w:p>
    <w:p w14:paraId="77A00C3A" w14:textId="77777777" w:rsidR="007310A9" w:rsidRPr="00E66F06" w:rsidRDefault="007310A9" w:rsidP="007310A9">
      <w:pPr>
        <w:pStyle w:val="Pagrindinispaprastastekstas"/>
        <w:numPr>
          <w:ilvl w:val="0"/>
          <w:numId w:val="36"/>
        </w:numPr>
        <w:rPr>
          <w:lang w:eastAsia="lt-LT"/>
        </w:rPr>
      </w:pPr>
      <w:r w:rsidRPr="00E66F06">
        <w:rPr>
          <w:lang w:eastAsia="lt-LT"/>
        </w:rPr>
        <w:t xml:space="preserve">Įkurti 8 iš 13 (61 proc.) šalyje veikiančių neįgaliųjų profesinės reabilitacijos centrų. </w:t>
      </w:r>
    </w:p>
    <w:p w14:paraId="5202052E" w14:textId="77777777" w:rsidR="007310A9" w:rsidRPr="00E66F06" w:rsidRDefault="007310A9" w:rsidP="007310A9">
      <w:pPr>
        <w:pStyle w:val="Pagrindinispaprastastekstas"/>
        <w:numPr>
          <w:ilvl w:val="0"/>
          <w:numId w:val="36"/>
        </w:numPr>
        <w:rPr>
          <w:lang w:eastAsia="lt-LT"/>
        </w:rPr>
      </w:pPr>
      <w:r w:rsidRPr="00E66F06">
        <w:rPr>
          <w:lang w:eastAsia="lt-LT"/>
        </w:rPr>
        <w:t xml:space="preserve">Investicijos skirtos 40 proc. socialines paslaugas teikiančių įstaigų. </w:t>
      </w:r>
    </w:p>
    <w:p w14:paraId="328D9625" w14:textId="77777777" w:rsidR="007310A9" w:rsidRPr="00E66F06" w:rsidRDefault="007310A9" w:rsidP="007310A9">
      <w:pPr>
        <w:pStyle w:val="Pagrindinispaprastastekstas"/>
        <w:numPr>
          <w:ilvl w:val="0"/>
          <w:numId w:val="36"/>
        </w:numPr>
        <w:rPr>
          <w:lang w:eastAsia="lt-LT"/>
        </w:rPr>
      </w:pPr>
      <w:r w:rsidRPr="00E66F06">
        <w:rPr>
          <w:lang w:eastAsia="lt-LT"/>
        </w:rPr>
        <w:t xml:space="preserve">Sukurta daugiau kaip 730 naujų darbo vietų (nestacionarių socialinių paslaugų įstaigose). </w:t>
      </w:r>
    </w:p>
    <w:p w14:paraId="7CC5DA83" w14:textId="77777777" w:rsidR="007310A9" w:rsidRPr="00E66F06" w:rsidRDefault="007310A9" w:rsidP="007310A9">
      <w:pPr>
        <w:pStyle w:val="Pagrindinispaprastastekstas"/>
        <w:rPr>
          <w:lang w:eastAsia="lt-LT"/>
        </w:rPr>
      </w:pPr>
    </w:p>
    <w:p w14:paraId="4D5CC1F5" w14:textId="77777777" w:rsidR="007310A9" w:rsidRPr="008A6F28" w:rsidRDefault="007310A9" w:rsidP="007310A9">
      <w:pPr>
        <w:pStyle w:val="Pagrindinispaprastastekstas"/>
        <w:rPr>
          <w:rFonts w:ascii="Cambria" w:hAnsi="Cambria"/>
          <w:b/>
          <w:color w:val="44546A" w:themeColor="text2"/>
          <w:lang w:eastAsia="lt-LT"/>
        </w:rPr>
      </w:pPr>
      <w:r w:rsidRPr="008A6F28">
        <w:rPr>
          <w:rFonts w:ascii="Cambria" w:hAnsi="Cambria"/>
          <w:b/>
          <w:color w:val="44546A" w:themeColor="text2"/>
          <w:lang w:eastAsia="lt-LT"/>
        </w:rPr>
        <w:t>Investicijų poveikis:</w:t>
      </w:r>
    </w:p>
    <w:p w14:paraId="7A89C345" w14:textId="77777777" w:rsidR="007310A9" w:rsidRPr="00E66F06" w:rsidRDefault="007310A9" w:rsidP="007310A9">
      <w:pPr>
        <w:pStyle w:val="Pagrindinispaprastastekstas"/>
        <w:rPr>
          <w:lang w:eastAsia="lt-LT"/>
        </w:rPr>
      </w:pPr>
      <w:r w:rsidRPr="00E66F06">
        <w:rPr>
          <w:lang w:eastAsia="lt-LT"/>
        </w:rPr>
        <w:t>2007-2015 m. pagerėjo dauguma darbo jėgos aktyvumo ir užimtumo rodiklių:</w:t>
      </w:r>
    </w:p>
    <w:p w14:paraId="12152428" w14:textId="77777777" w:rsidR="007310A9" w:rsidRPr="00E66F06" w:rsidRDefault="007310A9" w:rsidP="007310A9">
      <w:pPr>
        <w:pStyle w:val="Pagrindinispaprastastekstas"/>
        <w:numPr>
          <w:ilvl w:val="0"/>
          <w:numId w:val="36"/>
        </w:numPr>
        <w:rPr>
          <w:lang w:eastAsia="lt-LT"/>
        </w:rPr>
      </w:pPr>
      <w:r w:rsidRPr="00E66F06">
        <w:rPr>
          <w:lang w:eastAsia="lt-LT"/>
        </w:rPr>
        <w:t>Išaugo bendras gyventojų (15–64) užimtumo lygis nuo 65 proc. iki 67,2 proc.</w:t>
      </w:r>
    </w:p>
    <w:p w14:paraId="5018D032" w14:textId="77777777" w:rsidR="007310A9" w:rsidRPr="00E66F06" w:rsidRDefault="007310A9" w:rsidP="007310A9">
      <w:pPr>
        <w:pStyle w:val="Pagrindinispaprastastekstas"/>
        <w:numPr>
          <w:ilvl w:val="0"/>
          <w:numId w:val="36"/>
        </w:numPr>
        <w:rPr>
          <w:lang w:eastAsia="lt-LT"/>
        </w:rPr>
      </w:pPr>
      <w:r w:rsidRPr="00E66F06">
        <w:rPr>
          <w:lang w:eastAsia="lt-LT"/>
        </w:rPr>
        <w:t>Išaugo darbo jėgos aktyvumo lygis nuo 67,9 proc. iki 74,1 proc..</w:t>
      </w:r>
    </w:p>
    <w:p w14:paraId="62F7FACF" w14:textId="77777777" w:rsidR="007310A9" w:rsidRPr="00E66F06" w:rsidRDefault="007310A9" w:rsidP="007310A9">
      <w:pPr>
        <w:pStyle w:val="Pagrindinispaprastastekstas"/>
        <w:numPr>
          <w:ilvl w:val="0"/>
          <w:numId w:val="36"/>
        </w:numPr>
        <w:rPr>
          <w:lang w:eastAsia="lt-LT"/>
        </w:rPr>
      </w:pPr>
      <w:r w:rsidRPr="00E66F06">
        <w:rPr>
          <w:lang w:eastAsia="lt-LT"/>
        </w:rPr>
        <w:t>Ženkliai išaugo moterų ir pagyvenusių asmenų užimtumas. Moterų užimtumas išaugo 4,5 proc. punktais ir 2015 m. siekė 66,5 proc. Pagyvenusių asmenų užimtumas išaugo 3 proc. punktais ir 2015 m. sudarė 56,2 proc.</w:t>
      </w:r>
    </w:p>
    <w:p w14:paraId="5E5DBF93" w14:textId="77777777" w:rsidR="007310A9" w:rsidRPr="00E66F06" w:rsidRDefault="007310A9" w:rsidP="007310A9">
      <w:pPr>
        <w:pStyle w:val="Pagrindinispaprastastekstas"/>
        <w:numPr>
          <w:ilvl w:val="0"/>
          <w:numId w:val="36"/>
        </w:numPr>
        <w:rPr>
          <w:lang w:eastAsia="lt-LT"/>
        </w:rPr>
      </w:pPr>
      <w:r w:rsidRPr="00E66F06">
        <w:rPr>
          <w:lang w:eastAsia="lt-LT"/>
        </w:rPr>
        <w:t>Išaugo dirbančių neįgaliųjų dalis nuo 27,2 proc. iki 28,8 proc.</w:t>
      </w:r>
    </w:p>
    <w:p w14:paraId="43644822" w14:textId="77777777" w:rsidR="007310A9" w:rsidRDefault="007310A9" w:rsidP="007310A9">
      <w:pPr>
        <w:pStyle w:val="Pagrindinispaprastastekstas"/>
        <w:rPr>
          <w:lang w:eastAsia="lt-LT"/>
        </w:rPr>
      </w:pPr>
    </w:p>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none" w:sz="0" w:space="0" w:color="auto"/>
          <w:insideV w:val="none" w:sz="0" w:space="0" w:color="auto"/>
        </w:tblBorders>
        <w:tblLook w:val="04A0" w:firstRow="1" w:lastRow="0" w:firstColumn="1" w:lastColumn="0" w:noHBand="0" w:noVBand="1"/>
      </w:tblPr>
      <w:tblGrid>
        <w:gridCol w:w="9930"/>
      </w:tblGrid>
      <w:tr w:rsidR="007310A9" w:rsidRPr="00E66F06" w14:paraId="43DFD102" w14:textId="77777777" w:rsidTr="008A6F28">
        <w:tc>
          <w:tcPr>
            <w:tcW w:w="9930" w:type="dxa"/>
            <w:shd w:val="clear" w:color="auto" w:fill="DEEAF6" w:themeFill="accent1" w:themeFillTint="33"/>
          </w:tcPr>
          <w:p w14:paraId="79301398" w14:textId="77777777" w:rsidR="007310A9" w:rsidRPr="008A6F28" w:rsidRDefault="007310A9" w:rsidP="008A6F28">
            <w:pPr>
              <w:pStyle w:val="Pagrindinispaprastastekstas"/>
              <w:jc w:val="center"/>
              <w:rPr>
                <w:b/>
                <w:i/>
                <w:color w:val="44546A" w:themeColor="text2"/>
              </w:rPr>
            </w:pPr>
            <w:r w:rsidRPr="008A6F28">
              <w:rPr>
                <w:b/>
                <w:i/>
                <w:noProof/>
                <w:color w:val="44546A" w:themeColor="text2"/>
              </w:rPr>
              <w:drawing>
                <wp:anchor distT="0" distB="0" distL="114300" distR="114300" simplePos="0" relativeHeight="251674624" behindDoc="0" locked="0" layoutInCell="1" allowOverlap="1" wp14:anchorId="1846240B" wp14:editId="55E18167">
                  <wp:simplePos x="0" y="0"/>
                  <wp:positionH relativeFrom="margin">
                    <wp:posOffset>4194218</wp:posOffset>
                  </wp:positionH>
                  <wp:positionV relativeFrom="paragraph">
                    <wp:posOffset>15868</wp:posOffset>
                  </wp:positionV>
                  <wp:extent cx="1817370" cy="1071880"/>
                  <wp:effectExtent l="0" t="0" r="30480" b="33020"/>
                  <wp:wrapSquare wrapText="bothSides"/>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21163"/>
                          <a:stretch/>
                        </pic:blipFill>
                        <pic:spPr bwMode="auto">
                          <a:xfrm>
                            <a:off x="0" y="0"/>
                            <a:ext cx="1817370" cy="1071880"/>
                          </a:xfrm>
                          <a:prstGeom prst="rect">
                            <a:avLst/>
                          </a:prstGeom>
                          <a:noFill/>
                          <a:ln>
                            <a:noFill/>
                          </a:ln>
                          <a:effectLst>
                            <a:outerShdw dist="35921" dir="2700000" algn="ctr" rotWithShape="0">
                              <a:srgbClr val="EEECE1"/>
                            </a:outerShdw>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6F28">
              <w:rPr>
                <w:b/>
                <w:i/>
                <w:color w:val="44546A" w:themeColor="text2"/>
              </w:rPr>
              <w:t>„Grupinio gyvenimo namų steigimas demencijomis ir Alzheimerio liga sergantiems asmenims“</w:t>
            </w:r>
          </w:p>
          <w:p w14:paraId="446CA6DA" w14:textId="77777777" w:rsidR="007310A9" w:rsidRPr="008A6F28" w:rsidRDefault="007310A9" w:rsidP="008A6F28">
            <w:pPr>
              <w:pStyle w:val="Pagrindinispaprastastekstas"/>
              <w:jc w:val="center"/>
              <w:rPr>
                <w:i/>
              </w:rPr>
            </w:pPr>
            <w:r w:rsidRPr="008A6F28">
              <w:rPr>
                <w:i/>
              </w:rPr>
              <w:t>Projekto vykdytojas – VšĮ Integruotų sveikatos paslaugų centras</w:t>
            </w:r>
          </w:p>
          <w:p w14:paraId="1749E41F" w14:textId="77777777" w:rsidR="007310A9" w:rsidRPr="008A6F28" w:rsidRDefault="007310A9" w:rsidP="008A6F28">
            <w:pPr>
              <w:pStyle w:val="Pagrindinispaprastastekstas"/>
              <w:jc w:val="center"/>
              <w:rPr>
                <w:i/>
              </w:rPr>
            </w:pPr>
            <w:r w:rsidRPr="008A6F28">
              <w:rPr>
                <w:i/>
              </w:rPr>
              <w:t>Projektui išmokėtos ES lėšos – 281,5 tūkst. eurų.</w:t>
            </w:r>
          </w:p>
          <w:p w14:paraId="08C13475" w14:textId="77777777" w:rsidR="007310A9" w:rsidRPr="00E66F06" w:rsidRDefault="007310A9" w:rsidP="007310A9">
            <w:pPr>
              <w:pStyle w:val="Pagrindinispaprastastekstas"/>
            </w:pPr>
            <w:r w:rsidRPr="00E66F06">
              <w:rPr>
                <w:noProof/>
              </w:rPr>
              <w:drawing>
                <wp:anchor distT="0" distB="0" distL="114300" distR="114300" simplePos="0" relativeHeight="251675648" behindDoc="0" locked="0" layoutInCell="1" allowOverlap="1" wp14:anchorId="472E2A3A" wp14:editId="5116DCCB">
                  <wp:simplePos x="0" y="0"/>
                  <wp:positionH relativeFrom="margin">
                    <wp:posOffset>-45720</wp:posOffset>
                  </wp:positionH>
                  <wp:positionV relativeFrom="paragraph">
                    <wp:posOffset>105410</wp:posOffset>
                  </wp:positionV>
                  <wp:extent cx="1572895" cy="1176655"/>
                  <wp:effectExtent l="0" t="0" r="46355" b="42545"/>
                  <wp:wrapSquare wrapText="bothSides"/>
                  <wp:docPr id="8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72895" cy="1176655"/>
                          </a:xfrm>
                          <a:prstGeom prst="rect">
                            <a:avLst/>
                          </a:prstGeom>
                          <a:noFill/>
                          <a:ln>
                            <a:noFill/>
                          </a:ln>
                          <a:effectLst>
                            <a:outerShdw dist="35921" dir="2700000" algn="ctr" rotWithShape="0">
                              <a:schemeClr val="bg2"/>
                            </a:outerShdw>
                            <a:softEdge rad="127000"/>
                          </a:effectLst>
                          <a:extLst/>
                        </pic:spPr>
                      </pic:pic>
                    </a:graphicData>
                  </a:graphic>
                  <wp14:sizeRelH relativeFrom="margin">
                    <wp14:pctWidth>0</wp14:pctWidth>
                  </wp14:sizeRelH>
                  <wp14:sizeRelV relativeFrom="margin">
                    <wp14:pctHeight>0</wp14:pctHeight>
                  </wp14:sizeRelV>
                </wp:anchor>
              </w:drawing>
            </w:r>
          </w:p>
          <w:p w14:paraId="77063302" w14:textId="77777777" w:rsidR="007310A9" w:rsidRPr="008A6F28" w:rsidRDefault="007310A9" w:rsidP="007310A9">
            <w:pPr>
              <w:pStyle w:val="Pagrindinispaprastastekstas"/>
              <w:rPr>
                <w:rFonts w:ascii="Times New Roman" w:hAnsi="Times New Roman"/>
                <w:sz w:val="20"/>
                <w:szCs w:val="20"/>
              </w:rPr>
            </w:pPr>
            <w:r w:rsidRPr="008A6F28">
              <w:rPr>
                <w:rFonts w:ascii="Times New Roman" w:hAnsi="Times New Roman"/>
                <w:sz w:val="20"/>
                <w:szCs w:val="20"/>
              </w:rPr>
              <w:t xml:space="preserve">Panevėžio rajone </w:t>
            </w:r>
            <w:proofErr w:type="spellStart"/>
            <w:r w:rsidRPr="008A6F28">
              <w:rPr>
                <w:rFonts w:ascii="Times New Roman" w:hAnsi="Times New Roman"/>
                <w:sz w:val="20"/>
                <w:szCs w:val="20"/>
              </w:rPr>
              <w:t>Naujikų</w:t>
            </w:r>
            <w:proofErr w:type="spellEnd"/>
            <w:r w:rsidRPr="008A6F28">
              <w:rPr>
                <w:rFonts w:ascii="Times New Roman" w:hAnsi="Times New Roman"/>
                <w:sz w:val="20"/>
                <w:szCs w:val="20"/>
              </w:rPr>
              <w:t xml:space="preserve"> kaime privačia iniciatyva įkurta pirmoji specializuota įstaiga Lietuvoje, skirta demencijomis ir Alzheimerio liga sergantiems asmenims. Grupinio gyvenimo namai aprūpinti kokybiškoms stacionarioms socialinėms paslaugoms teikti reikalingais baldais ir įranga: 220 kv. m ploto pastate suprojektuoti jaukūs gyvenamieji kambariai, patogi, šviesi virtuvėlė, aplinka pritaikyta sergantiesiems demencijomis ir Alzhaimerio liga. Gyventojų patogumui prie kiekvieno kambario įrengti dušai, tualetai, išėjimai į lauko terasą, vidinį kiemelį. Šiuose namuose galės apsigyventi 10 asmenų.</w:t>
            </w:r>
          </w:p>
        </w:tc>
      </w:tr>
    </w:tbl>
    <w:p w14:paraId="7C62082C" w14:textId="77777777" w:rsidR="007310A9" w:rsidRDefault="007310A9" w:rsidP="007310A9">
      <w:pPr>
        <w:pStyle w:val="Pagrindinispaprastastekstas"/>
        <w:rPr>
          <w:lang w:eastAsia="lt-LT"/>
        </w:rPr>
      </w:pPr>
    </w:p>
    <w:sectPr w:rsidR="007310A9" w:rsidSect="00107F7F">
      <w:type w:val="nextColumn"/>
      <w:pgSz w:w="11906" w:h="16838"/>
      <w:pgMar w:top="1135" w:right="707" w:bottom="993" w:left="1134"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86FB1C" w14:textId="77777777" w:rsidR="004A0E6E" w:rsidRDefault="004A0E6E" w:rsidP="000D0A8B">
      <w:r>
        <w:separator/>
      </w:r>
    </w:p>
  </w:endnote>
  <w:endnote w:type="continuationSeparator" w:id="0">
    <w:p w14:paraId="7984716E" w14:textId="77777777" w:rsidR="004A0E6E" w:rsidRDefault="004A0E6E" w:rsidP="000D0A8B">
      <w:r>
        <w:continuationSeparator/>
      </w:r>
    </w:p>
  </w:endnote>
  <w:endnote w:id="1">
    <w:p w14:paraId="172A25A3" w14:textId="77777777" w:rsidR="007310A9" w:rsidRPr="002C71BE" w:rsidRDefault="007310A9" w:rsidP="007310A9">
      <w:pPr>
        <w:pStyle w:val="EndnoteText"/>
        <w:rPr>
          <w:lang w:val="lt-LT"/>
        </w:rPr>
      </w:pPr>
      <w:r>
        <w:rPr>
          <w:rStyle w:val="EndnoteReference"/>
        </w:rPr>
        <w:endnoteRef/>
      </w:r>
      <w:r>
        <w:t xml:space="preserve"> </w:t>
      </w:r>
      <w:r w:rsidRPr="002C71BE">
        <w:rPr>
          <w:lang w:val="lt-LT"/>
        </w:rPr>
        <w:t>2007-2013 metų ES struktūrinės paramos poveikio Lietuvos miestams ir miesteliams vertinimas. Finansų ministerijos užsakymu atliko ESTEP, 2016 m.</w:t>
      </w:r>
    </w:p>
  </w:endnote>
  <w:endnote w:id="2">
    <w:p w14:paraId="46F2AF36" w14:textId="77777777" w:rsidR="007310A9" w:rsidRPr="002C71BE" w:rsidRDefault="007310A9" w:rsidP="007310A9">
      <w:pPr>
        <w:pStyle w:val="EndnoteText"/>
        <w:rPr>
          <w:lang w:val="lt-LT"/>
        </w:rPr>
      </w:pPr>
      <w:r>
        <w:rPr>
          <w:rStyle w:val="EndnoteReference"/>
        </w:rPr>
        <w:endnoteRef/>
      </w:r>
      <w:r>
        <w:t xml:space="preserve"> </w:t>
      </w:r>
      <w:r>
        <w:rPr>
          <w:lang w:val="lt-LT"/>
        </w:rPr>
        <w:t>Ten p</w:t>
      </w:r>
      <w:bookmarkStart w:id="3" w:name="_GoBack"/>
      <w:bookmarkEnd w:id="3"/>
      <w:r>
        <w:rPr>
          <w:lang w:val="lt-LT"/>
        </w:rPr>
        <w:t>at.</w:t>
      </w:r>
    </w:p>
  </w:endnote>
  <w:endnote w:id="3">
    <w:p w14:paraId="67389204" w14:textId="77777777" w:rsidR="007310A9" w:rsidRPr="002C71BE" w:rsidRDefault="007310A9" w:rsidP="007310A9">
      <w:pPr>
        <w:pStyle w:val="EndnoteText"/>
        <w:rPr>
          <w:lang w:val="lt-LT"/>
        </w:rPr>
      </w:pPr>
      <w:r>
        <w:rPr>
          <w:rStyle w:val="EndnoteReference"/>
        </w:rPr>
        <w:endnoteRef/>
      </w:r>
      <w:r>
        <w:t xml:space="preserve"> </w:t>
      </w:r>
      <w:r>
        <w:rPr>
          <w:lang w:val="lt-LT"/>
        </w:rPr>
        <w:t>Ten pat</w:t>
      </w:r>
      <w:r w:rsidRPr="002C71BE">
        <w:rPr>
          <w:lang w:val="lt-LT"/>
        </w:rPr>
        <w:t>.</w:t>
      </w:r>
    </w:p>
  </w:endnote>
  <w:endnote w:id="4">
    <w:p w14:paraId="004696C6" w14:textId="77777777" w:rsidR="007310A9" w:rsidRPr="002C71BE" w:rsidRDefault="007310A9" w:rsidP="007310A9">
      <w:pPr>
        <w:pStyle w:val="EndnoteText"/>
        <w:rPr>
          <w:lang w:val="lt-LT"/>
        </w:rPr>
      </w:pPr>
      <w:r>
        <w:rPr>
          <w:rStyle w:val="EndnoteReference"/>
        </w:rPr>
        <w:endnoteRef/>
      </w:r>
      <w:r>
        <w:t xml:space="preserve"> </w:t>
      </w:r>
      <w:r>
        <w:rPr>
          <w:lang w:val="lt-LT"/>
        </w:rPr>
        <w:t>Ten pat</w:t>
      </w:r>
      <w:r w:rsidRPr="002C71BE">
        <w:rPr>
          <w:lang w:val="lt-LT"/>
        </w:rPr>
        <w:t>.</w:t>
      </w:r>
    </w:p>
  </w:endnote>
  <w:endnote w:id="5">
    <w:p w14:paraId="2F12CBF3" w14:textId="77777777" w:rsidR="007310A9" w:rsidRPr="002C71BE" w:rsidRDefault="007310A9" w:rsidP="007310A9">
      <w:pPr>
        <w:pStyle w:val="EndnoteText"/>
        <w:rPr>
          <w:lang w:val="lt-LT"/>
        </w:rPr>
      </w:pPr>
      <w:r>
        <w:rPr>
          <w:rStyle w:val="EndnoteReference"/>
        </w:rPr>
        <w:endnoteRef/>
      </w:r>
      <w:r>
        <w:t xml:space="preserve"> </w:t>
      </w:r>
      <w:r w:rsidRPr="002C71BE">
        <w:rPr>
          <w:lang w:val="lt-LT"/>
        </w:rPr>
        <w:t>2007-2013 metų ES struktūrinės paramos poveikio kultūrai vertinimas. Kultūros ministerijos užsakymu atliko ESTEP, 2016 m.</w:t>
      </w:r>
    </w:p>
  </w:endnote>
  <w:endnote w:id="6">
    <w:p w14:paraId="7F26EE95" w14:textId="77777777" w:rsidR="007310A9" w:rsidRPr="002C71BE" w:rsidRDefault="007310A9" w:rsidP="007310A9">
      <w:pPr>
        <w:pStyle w:val="EndnoteText"/>
        <w:rPr>
          <w:lang w:val="lt-LT"/>
        </w:rPr>
      </w:pPr>
      <w:r>
        <w:rPr>
          <w:rStyle w:val="EndnoteReference"/>
        </w:rPr>
        <w:endnoteRef/>
      </w:r>
      <w:r>
        <w:t xml:space="preserve"> </w:t>
      </w:r>
      <w:r>
        <w:rPr>
          <w:lang w:val="lt-LT"/>
        </w:rPr>
        <w:t>Ten pat</w:t>
      </w:r>
      <w:r w:rsidRPr="002C71BE">
        <w:rPr>
          <w:lang w:val="lt-LT"/>
        </w:rPr>
        <w:t>.</w:t>
      </w:r>
    </w:p>
  </w:endnote>
  <w:endnote w:id="7">
    <w:p w14:paraId="139BD965" w14:textId="77777777" w:rsidR="007310A9" w:rsidRPr="002C71BE" w:rsidRDefault="007310A9" w:rsidP="007310A9">
      <w:pPr>
        <w:pStyle w:val="EndnoteText"/>
        <w:rPr>
          <w:lang w:val="lt-LT"/>
        </w:rPr>
      </w:pPr>
      <w:r w:rsidRPr="002C71BE">
        <w:rPr>
          <w:rStyle w:val="EndnoteReference"/>
        </w:rPr>
        <w:endnoteRef/>
      </w:r>
      <w:r w:rsidRPr="002C71BE">
        <w:t xml:space="preserve"> </w:t>
      </w:r>
      <w:r w:rsidRPr="002C71BE">
        <w:rPr>
          <w:lang w:val="lt-LT"/>
        </w:rPr>
        <w:t>ES paramos atliekų tvarkymui Lietuvoje efektyvumo vertinimas ir 2014–2020 metų finansavimo prioritetų nustatymas.</w:t>
      </w:r>
      <w:r>
        <w:rPr>
          <w:lang w:val="lt-LT"/>
        </w:rPr>
        <w:t xml:space="preserve"> Aplinkos</w:t>
      </w:r>
      <w:r w:rsidRPr="002C71BE">
        <w:rPr>
          <w:lang w:val="lt-LT"/>
        </w:rPr>
        <w:t xml:space="preserve"> ministerijos užsakymu atliko ESTEP, 201</w:t>
      </w:r>
      <w:r>
        <w:t>4</w:t>
      </w:r>
      <w:r w:rsidRPr="002C71BE">
        <w:rPr>
          <w:lang w:val="lt-LT"/>
        </w:rPr>
        <w:t xml:space="preserve"> m.</w:t>
      </w:r>
    </w:p>
  </w:endnote>
  <w:endnote w:id="8">
    <w:p w14:paraId="5CEFB68E" w14:textId="77777777" w:rsidR="007310A9" w:rsidRPr="002C71BE" w:rsidRDefault="007310A9" w:rsidP="007310A9">
      <w:pPr>
        <w:pStyle w:val="EndnoteText"/>
        <w:rPr>
          <w:lang w:val="lt-LT"/>
        </w:rPr>
      </w:pPr>
      <w:r>
        <w:rPr>
          <w:rStyle w:val="EndnoteReference"/>
        </w:rPr>
        <w:endnoteRef/>
      </w:r>
      <w:r>
        <w:t xml:space="preserve"> </w:t>
      </w:r>
      <w:r w:rsidRPr="002C71BE">
        <w:rPr>
          <w:lang w:val="lt-LT"/>
        </w:rPr>
        <w:t>2007-2013 metų ES struktūrinės paramos poveikio Lietuvos miestams ir miesteliams vertinimas. Finansų ministerijos užsakymu atliko ESTEP, 2016 m.</w:t>
      </w:r>
    </w:p>
  </w:endnote>
  <w:endnote w:id="9">
    <w:p w14:paraId="733B4EA2" w14:textId="77777777" w:rsidR="007310A9" w:rsidRPr="002C71BE" w:rsidRDefault="007310A9" w:rsidP="007310A9">
      <w:pPr>
        <w:pStyle w:val="EndnoteText"/>
        <w:rPr>
          <w:lang w:val="lt-LT"/>
        </w:rPr>
      </w:pPr>
      <w:r>
        <w:rPr>
          <w:rStyle w:val="EndnoteReference"/>
        </w:rPr>
        <w:endnoteRef/>
      </w:r>
      <w:r>
        <w:t xml:space="preserve"> </w:t>
      </w:r>
      <w:r>
        <w:rPr>
          <w:lang w:val="lt-LT"/>
        </w:rPr>
        <w:t>Ten pat</w:t>
      </w:r>
      <w:r w:rsidRPr="002C71BE">
        <w:rPr>
          <w:lang w:val="lt-LT"/>
        </w:rPr>
        <w:t>.</w:t>
      </w:r>
    </w:p>
  </w:endnote>
  <w:endnote w:id="10">
    <w:p w14:paraId="45449004" w14:textId="77777777" w:rsidR="007310A9" w:rsidRPr="002C71BE" w:rsidRDefault="007310A9" w:rsidP="007310A9">
      <w:pPr>
        <w:pStyle w:val="EndnoteText"/>
        <w:rPr>
          <w:lang w:val="lt-LT"/>
        </w:rPr>
      </w:pPr>
      <w:r>
        <w:rPr>
          <w:rStyle w:val="EndnoteReference"/>
        </w:rPr>
        <w:endnoteRef/>
      </w:r>
      <w:r>
        <w:t xml:space="preserve"> </w:t>
      </w:r>
      <w:r>
        <w:rPr>
          <w:lang w:val="lt-LT"/>
        </w:rPr>
        <w:t>Ten pat</w:t>
      </w:r>
      <w:r w:rsidRPr="002C71BE">
        <w:rPr>
          <w:lang w:val="lt-LT"/>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PFSquareSansPro-Regular">
    <w:altName w:val="Arial Narrow"/>
    <w:panose1 w:val="00000000000000000000"/>
    <w:charset w:val="00"/>
    <w:family w:val="auto"/>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PF Square Sans Pro Medium">
    <w:altName w:val="Candara"/>
    <w:charset w:val="BA"/>
    <w:family w:val="auto"/>
    <w:pitch w:val="variable"/>
    <w:sig w:usb0="00000001" w:usb1="5000E0FB" w:usb2="00000000" w:usb3="00000000" w:csb0="0000019F" w:csb1="00000000"/>
  </w:font>
  <w:font w:name="PF Square Sans Pro">
    <w:altName w:val="Times New Roman"/>
    <w:charset w:val="BA"/>
    <w:family w:val="auto"/>
    <w:pitch w:val="variable"/>
    <w:sig w:usb0="00000001" w:usb1="5000E0FB" w:usb2="00000000" w:usb3="00000000" w:csb0="0000019F" w:csb1="00000000"/>
  </w:font>
  <w:font w:name="PF Square Sans Pro Light">
    <w:altName w:val="Candara"/>
    <w:charset w:val="BA"/>
    <w:family w:val="auto"/>
    <w:pitch w:val="variable"/>
    <w:sig w:usb0="00000001" w:usb1="5000E0FB"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Georgia">
    <w:panose1 w:val="02040502050405020303"/>
    <w:charset w:val="BA"/>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Optima">
    <w:altName w:val="Times New Roman"/>
    <w:charset w:val="00"/>
    <w:family w:val="auto"/>
    <w:pitch w:val="variable"/>
    <w:sig w:usb0="80000067" w:usb1="00000000" w:usb2="00000000" w:usb3="00000000" w:csb0="00000001" w:csb1="00000000"/>
  </w:font>
  <w:font w:name="EUAlbertina">
    <w:altName w:val="Times New Roman"/>
    <w:panose1 w:val="00000000000000000000"/>
    <w:charset w:val="4D"/>
    <w:family w:val="roma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TimesLT">
    <w:altName w:val="Times New Roman"/>
    <w:charset w:val="BA"/>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cho Light">
    <w:altName w:val="Arial"/>
    <w:panose1 w:val="00000000000000000000"/>
    <w:charset w:val="EE"/>
    <w:family w:val="swiss"/>
    <w:notTrueType/>
    <w:pitch w:val="default"/>
    <w:sig w:usb0="00000001" w:usb1="00000000" w:usb2="00000000" w:usb3="00000000" w:csb0="00000003" w:csb1="00000000"/>
  </w:font>
  <w:font w:name="Verdana">
    <w:panose1 w:val="020B0604030504040204"/>
    <w:charset w:val="BA"/>
    <w:family w:val="swiss"/>
    <w:pitch w:val="variable"/>
    <w:sig w:usb0="A10006FF" w:usb1="4000205B" w:usb2="00000010"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86C06" w14:textId="77777777" w:rsidR="00757FE6" w:rsidRDefault="00757FE6" w:rsidP="00AF50C6">
    <w:pPr>
      <w:pStyle w:val="Footer"/>
      <w:jc w:val="right"/>
    </w:pPr>
    <w:r>
      <w:fldChar w:fldCharType="begin"/>
    </w:r>
    <w:r>
      <w:instrText xml:space="preserve"> PAGE   \* MERGEFORMAT </w:instrText>
    </w:r>
    <w:r>
      <w:fldChar w:fldCharType="separate"/>
    </w:r>
    <w:r w:rsidR="008A6F28">
      <w:rPr>
        <w:noProof/>
      </w:rPr>
      <w:t>11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6209CA" w14:textId="77777777" w:rsidR="004A0E6E" w:rsidRDefault="004A0E6E" w:rsidP="000D0A8B">
      <w:r>
        <w:separator/>
      </w:r>
    </w:p>
  </w:footnote>
  <w:footnote w:type="continuationSeparator" w:id="0">
    <w:p w14:paraId="38540343" w14:textId="77777777" w:rsidR="004A0E6E" w:rsidRDefault="004A0E6E" w:rsidP="000D0A8B">
      <w:r>
        <w:continuationSeparator/>
      </w:r>
    </w:p>
  </w:footnote>
  <w:footnote w:id="1">
    <w:p w14:paraId="75213CE5" w14:textId="77777777" w:rsidR="007310A9" w:rsidRDefault="007310A9" w:rsidP="007310A9">
      <w:pPr>
        <w:pStyle w:val="FootnoteText"/>
      </w:pPr>
      <w:r>
        <w:rPr>
          <w:rStyle w:val="FootnoteReference"/>
        </w:rPr>
        <w:footnoteRef/>
      </w:r>
      <w:r>
        <w:t xml:space="preserve"> Kauno regione veikia du regioniniai nepavojingų atliekų sąvartynai, kituose regionuose – po vieną.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FBF2B" w14:textId="77777777" w:rsidR="00757FE6" w:rsidRDefault="00757FE6">
    <w:pPr>
      <w:pStyle w:val="Header"/>
    </w:pPr>
    <w:r>
      <w:rPr>
        <w:noProof/>
        <w:lang w:eastAsia="lt-LT"/>
      </w:rPr>
      <w:drawing>
        <wp:anchor distT="0" distB="0" distL="114300" distR="114300" simplePos="0" relativeHeight="251660288" behindDoc="0" locked="0" layoutInCell="1" allowOverlap="1" wp14:anchorId="78AFB705" wp14:editId="080D3028">
          <wp:simplePos x="0" y="0"/>
          <wp:positionH relativeFrom="column">
            <wp:posOffset>-942340</wp:posOffset>
          </wp:positionH>
          <wp:positionV relativeFrom="paragraph">
            <wp:posOffset>-360045</wp:posOffset>
          </wp:positionV>
          <wp:extent cx="3094990" cy="28187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4990" cy="2818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90A48"/>
    <w:multiLevelType w:val="multilevel"/>
    <w:tmpl w:val="29A06D40"/>
    <w:lvl w:ilvl="0">
      <w:start w:val="1"/>
      <w:numFmt w:val="decimal"/>
      <w:pStyle w:val="Punktas"/>
      <w:suff w:val="space"/>
      <w:lvlText w:val="%1."/>
      <w:lvlJc w:val="left"/>
      <w:pPr>
        <w:ind w:left="180" w:firstLine="720"/>
      </w:pPr>
      <w:rPr>
        <w:rFonts w:hint="default"/>
        <w:b/>
        <w:i w:val="0"/>
        <w:u w:val="none"/>
      </w:rPr>
    </w:lvl>
    <w:lvl w:ilvl="1">
      <w:start w:val="1"/>
      <w:numFmt w:val="decimal"/>
      <w:pStyle w:val="Papunktis"/>
      <w:suff w:val="space"/>
      <w:lvlText w:val="%1.%2."/>
      <w:lvlJc w:val="left"/>
      <w:pPr>
        <w:ind w:left="360" w:firstLine="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Papunkiopapunktis"/>
      <w:lvlText w:val="%1.%2.%3."/>
      <w:lvlJc w:val="left"/>
      <w:pPr>
        <w:tabs>
          <w:tab w:val="num" w:pos="1647"/>
        </w:tabs>
        <w:ind w:left="1647" w:hanging="567"/>
      </w:pPr>
      <w:rPr>
        <w:rFonts w:hint="default"/>
        <w:i w:val="0"/>
        <w:iCs w:val="0"/>
        <w:color w:val="auto"/>
      </w:rPr>
    </w:lvl>
    <w:lvl w:ilvl="3">
      <w:start w:val="1"/>
      <w:numFmt w:val="decimal"/>
      <w:lvlText w:val="%1.%2.%3.%4."/>
      <w:lvlJc w:val="left"/>
      <w:pPr>
        <w:tabs>
          <w:tab w:val="num" w:pos="2700"/>
        </w:tabs>
        <w:ind w:left="2628" w:hanging="648"/>
      </w:pPr>
      <w:rPr>
        <w:rFonts w:hint="default"/>
        <w:i w:val="0"/>
        <w:iCs w:val="0"/>
      </w:rPr>
    </w:lvl>
    <w:lvl w:ilvl="4">
      <w:start w:val="1"/>
      <w:numFmt w:val="decimal"/>
      <w:lvlText w:val="%1.%2.%3.%4.%5."/>
      <w:lvlJc w:val="left"/>
      <w:pPr>
        <w:tabs>
          <w:tab w:val="num" w:pos="3420"/>
        </w:tabs>
        <w:ind w:left="3132" w:hanging="792"/>
      </w:pPr>
      <w:rPr>
        <w:rFonts w:hint="default"/>
      </w:rPr>
    </w:lvl>
    <w:lvl w:ilvl="5">
      <w:start w:val="1"/>
      <w:numFmt w:val="decimal"/>
      <w:lvlText w:val="%1.%2.%3.%4.%5.%6."/>
      <w:lvlJc w:val="left"/>
      <w:pPr>
        <w:tabs>
          <w:tab w:val="num" w:pos="3780"/>
        </w:tabs>
        <w:ind w:left="3636" w:hanging="936"/>
      </w:pPr>
      <w:rPr>
        <w:rFonts w:hint="default"/>
      </w:rPr>
    </w:lvl>
    <w:lvl w:ilvl="6">
      <w:start w:val="1"/>
      <w:numFmt w:val="decimal"/>
      <w:lvlText w:val="%1.%2.%3.%4.%5.%6.%7."/>
      <w:lvlJc w:val="left"/>
      <w:pPr>
        <w:tabs>
          <w:tab w:val="num" w:pos="4500"/>
        </w:tabs>
        <w:ind w:left="4140" w:hanging="1080"/>
      </w:pPr>
      <w:rPr>
        <w:rFonts w:hint="default"/>
      </w:rPr>
    </w:lvl>
    <w:lvl w:ilvl="7">
      <w:start w:val="1"/>
      <w:numFmt w:val="decimal"/>
      <w:lvlText w:val="%1.%2.%3.%4.%5.%6.%7.%8."/>
      <w:lvlJc w:val="left"/>
      <w:pPr>
        <w:tabs>
          <w:tab w:val="num" w:pos="4860"/>
        </w:tabs>
        <w:ind w:left="4644" w:hanging="1224"/>
      </w:pPr>
      <w:rPr>
        <w:rFonts w:hint="default"/>
      </w:rPr>
    </w:lvl>
    <w:lvl w:ilvl="8">
      <w:start w:val="1"/>
      <w:numFmt w:val="decimal"/>
      <w:lvlText w:val="%1.%2.%3.%4.%5.%6.%7.%8.%9."/>
      <w:lvlJc w:val="left"/>
      <w:pPr>
        <w:tabs>
          <w:tab w:val="num" w:pos="5580"/>
        </w:tabs>
        <w:ind w:left="5220" w:hanging="1440"/>
      </w:pPr>
      <w:rPr>
        <w:rFonts w:hint="default"/>
      </w:rPr>
    </w:lvl>
  </w:abstractNum>
  <w:abstractNum w:abstractNumId="1">
    <w:nsid w:val="03871111"/>
    <w:multiLevelType w:val="hybridMultilevel"/>
    <w:tmpl w:val="FBB058AE"/>
    <w:lvl w:ilvl="0" w:tplc="5B4E482A">
      <w:start w:val="1"/>
      <w:numFmt w:val="bullet"/>
      <w:lvlText w:val=""/>
      <w:lvlJc w:val="left"/>
      <w:pPr>
        <w:ind w:left="360" w:hanging="360"/>
      </w:pPr>
      <w:rPr>
        <w:rFonts w:ascii="Wingdings" w:hAnsi="Wingdings" w:hint="default"/>
        <w:color w:val="808080" w:themeColor="background1" w:themeShade="8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
    <w:nsid w:val="08B25083"/>
    <w:multiLevelType w:val="hybridMultilevel"/>
    <w:tmpl w:val="D5AA57A6"/>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3">
    <w:nsid w:val="0AB60A80"/>
    <w:multiLevelType w:val="hybridMultilevel"/>
    <w:tmpl w:val="21D430C8"/>
    <w:lvl w:ilvl="0" w:tplc="5B4E482A">
      <w:start w:val="1"/>
      <w:numFmt w:val="bullet"/>
      <w:lvlText w:val=""/>
      <w:lvlJc w:val="left"/>
      <w:pPr>
        <w:ind w:left="360" w:hanging="360"/>
      </w:pPr>
      <w:rPr>
        <w:rFonts w:ascii="Wingdings" w:hAnsi="Wingdings" w:hint="default"/>
        <w:color w:val="808080" w:themeColor="background1" w:themeShade="8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
    <w:nsid w:val="0ECC533A"/>
    <w:multiLevelType w:val="hybridMultilevel"/>
    <w:tmpl w:val="42588822"/>
    <w:lvl w:ilvl="0" w:tplc="5B4E482A">
      <w:start w:val="1"/>
      <w:numFmt w:val="bullet"/>
      <w:lvlText w:val=""/>
      <w:lvlJc w:val="left"/>
      <w:pPr>
        <w:tabs>
          <w:tab w:val="num" w:pos="360"/>
        </w:tabs>
        <w:ind w:left="360" w:hanging="360"/>
      </w:pPr>
      <w:rPr>
        <w:rFonts w:ascii="Wingdings" w:hAnsi="Wingdings" w:hint="default"/>
        <w:color w:val="808080" w:themeColor="background1" w:themeShade="80"/>
      </w:rPr>
    </w:lvl>
    <w:lvl w:ilvl="1" w:tplc="A460A938" w:tentative="1">
      <w:start w:val="1"/>
      <w:numFmt w:val="bullet"/>
      <w:lvlText w:val="•"/>
      <w:lvlJc w:val="left"/>
      <w:pPr>
        <w:tabs>
          <w:tab w:val="num" w:pos="1080"/>
        </w:tabs>
        <w:ind w:left="1080" w:hanging="360"/>
      </w:pPr>
      <w:rPr>
        <w:rFonts w:ascii="Arial" w:hAnsi="Arial" w:hint="default"/>
      </w:rPr>
    </w:lvl>
    <w:lvl w:ilvl="2" w:tplc="3E92F85E" w:tentative="1">
      <w:start w:val="1"/>
      <w:numFmt w:val="bullet"/>
      <w:lvlText w:val="•"/>
      <w:lvlJc w:val="left"/>
      <w:pPr>
        <w:tabs>
          <w:tab w:val="num" w:pos="1800"/>
        </w:tabs>
        <w:ind w:left="1800" w:hanging="360"/>
      </w:pPr>
      <w:rPr>
        <w:rFonts w:ascii="Arial" w:hAnsi="Arial" w:hint="default"/>
      </w:rPr>
    </w:lvl>
    <w:lvl w:ilvl="3" w:tplc="E2521310" w:tentative="1">
      <w:start w:val="1"/>
      <w:numFmt w:val="bullet"/>
      <w:lvlText w:val="•"/>
      <w:lvlJc w:val="left"/>
      <w:pPr>
        <w:tabs>
          <w:tab w:val="num" w:pos="2520"/>
        </w:tabs>
        <w:ind w:left="2520" w:hanging="360"/>
      </w:pPr>
      <w:rPr>
        <w:rFonts w:ascii="Arial" w:hAnsi="Arial" w:hint="default"/>
      </w:rPr>
    </w:lvl>
    <w:lvl w:ilvl="4" w:tplc="9FBA1454" w:tentative="1">
      <w:start w:val="1"/>
      <w:numFmt w:val="bullet"/>
      <w:lvlText w:val="•"/>
      <w:lvlJc w:val="left"/>
      <w:pPr>
        <w:tabs>
          <w:tab w:val="num" w:pos="3240"/>
        </w:tabs>
        <w:ind w:left="3240" w:hanging="360"/>
      </w:pPr>
      <w:rPr>
        <w:rFonts w:ascii="Arial" w:hAnsi="Arial" w:hint="default"/>
      </w:rPr>
    </w:lvl>
    <w:lvl w:ilvl="5" w:tplc="27A41C8C" w:tentative="1">
      <w:start w:val="1"/>
      <w:numFmt w:val="bullet"/>
      <w:lvlText w:val="•"/>
      <w:lvlJc w:val="left"/>
      <w:pPr>
        <w:tabs>
          <w:tab w:val="num" w:pos="3960"/>
        </w:tabs>
        <w:ind w:left="3960" w:hanging="360"/>
      </w:pPr>
      <w:rPr>
        <w:rFonts w:ascii="Arial" w:hAnsi="Arial" w:hint="default"/>
      </w:rPr>
    </w:lvl>
    <w:lvl w:ilvl="6" w:tplc="8014FDC2" w:tentative="1">
      <w:start w:val="1"/>
      <w:numFmt w:val="bullet"/>
      <w:lvlText w:val="•"/>
      <w:lvlJc w:val="left"/>
      <w:pPr>
        <w:tabs>
          <w:tab w:val="num" w:pos="4680"/>
        </w:tabs>
        <w:ind w:left="4680" w:hanging="360"/>
      </w:pPr>
      <w:rPr>
        <w:rFonts w:ascii="Arial" w:hAnsi="Arial" w:hint="default"/>
      </w:rPr>
    </w:lvl>
    <w:lvl w:ilvl="7" w:tplc="AF08630A" w:tentative="1">
      <w:start w:val="1"/>
      <w:numFmt w:val="bullet"/>
      <w:lvlText w:val="•"/>
      <w:lvlJc w:val="left"/>
      <w:pPr>
        <w:tabs>
          <w:tab w:val="num" w:pos="5400"/>
        </w:tabs>
        <w:ind w:left="5400" w:hanging="360"/>
      </w:pPr>
      <w:rPr>
        <w:rFonts w:ascii="Arial" w:hAnsi="Arial" w:hint="default"/>
      </w:rPr>
    </w:lvl>
    <w:lvl w:ilvl="8" w:tplc="FA681F7A" w:tentative="1">
      <w:start w:val="1"/>
      <w:numFmt w:val="bullet"/>
      <w:lvlText w:val="•"/>
      <w:lvlJc w:val="left"/>
      <w:pPr>
        <w:tabs>
          <w:tab w:val="num" w:pos="6120"/>
        </w:tabs>
        <w:ind w:left="6120" w:hanging="360"/>
      </w:pPr>
      <w:rPr>
        <w:rFonts w:ascii="Arial" w:hAnsi="Arial" w:hint="default"/>
      </w:rPr>
    </w:lvl>
  </w:abstractNum>
  <w:abstractNum w:abstractNumId="5">
    <w:nsid w:val="10B64612"/>
    <w:multiLevelType w:val="hybridMultilevel"/>
    <w:tmpl w:val="66509624"/>
    <w:lvl w:ilvl="0" w:tplc="87902E64">
      <w:start w:val="1"/>
      <w:numFmt w:val="bullet"/>
      <w:lvlText w:val=""/>
      <w:lvlJc w:val="left"/>
      <w:pPr>
        <w:ind w:left="720" w:hanging="360"/>
      </w:pPr>
      <w:rPr>
        <w:rFonts w:ascii="Symbol" w:hAnsi="Symbol" w:hint="default"/>
        <w:b/>
        <w:color w:val="5B9BD5"/>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12381633"/>
    <w:multiLevelType w:val="hybridMultilevel"/>
    <w:tmpl w:val="A066E8FA"/>
    <w:lvl w:ilvl="0" w:tplc="04270001">
      <w:start w:val="1"/>
      <w:numFmt w:val="bullet"/>
      <w:lvlText w:val=""/>
      <w:lvlJc w:val="left"/>
      <w:pPr>
        <w:ind w:left="1778"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7">
    <w:nsid w:val="170E22FE"/>
    <w:multiLevelType w:val="hybridMultilevel"/>
    <w:tmpl w:val="32040C3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
    <w:nsid w:val="185E077B"/>
    <w:multiLevelType w:val="hybridMultilevel"/>
    <w:tmpl w:val="4952634C"/>
    <w:lvl w:ilvl="0" w:tplc="5B4E482A">
      <w:start w:val="1"/>
      <w:numFmt w:val="bullet"/>
      <w:lvlText w:val=""/>
      <w:lvlJc w:val="left"/>
      <w:pPr>
        <w:tabs>
          <w:tab w:val="num" w:pos="360"/>
        </w:tabs>
        <w:ind w:left="360" w:hanging="360"/>
      </w:pPr>
      <w:rPr>
        <w:rFonts w:ascii="Wingdings" w:hAnsi="Wingdings" w:hint="default"/>
        <w:color w:val="808080" w:themeColor="background1" w:themeShade="80"/>
      </w:rPr>
    </w:lvl>
    <w:lvl w:ilvl="1" w:tplc="C7988F6E">
      <w:start w:val="1"/>
      <w:numFmt w:val="bullet"/>
      <w:lvlText w:val="•"/>
      <w:lvlJc w:val="left"/>
      <w:pPr>
        <w:tabs>
          <w:tab w:val="num" w:pos="1080"/>
        </w:tabs>
        <w:ind w:left="1080" w:hanging="360"/>
      </w:pPr>
      <w:rPr>
        <w:rFonts w:ascii="Arial" w:hAnsi="Arial" w:hint="default"/>
      </w:rPr>
    </w:lvl>
    <w:lvl w:ilvl="2" w:tplc="07E65F68" w:tentative="1">
      <w:start w:val="1"/>
      <w:numFmt w:val="bullet"/>
      <w:lvlText w:val="•"/>
      <w:lvlJc w:val="left"/>
      <w:pPr>
        <w:tabs>
          <w:tab w:val="num" w:pos="1800"/>
        </w:tabs>
        <w:ind w:left="1800" w:hanging="360"/>
      </w:pPr>
      <w:rPr>
        <w:rFonts w:ascii="Arial" w:hAnsi="Arial" w:hint="default"/>
      </w:rPr>
    </w:lvl>
    <w:lvl w:ilvl="3" w:tplc="6F709098" w:tentative="1">
      <w:start w:val="1"/>
      <w:numFmt w:val="bullet"/>
      <w:lvlText w:val="•"/>
      <w:lvlJc w:val="left"/>
      <w:pPr>
        <w:tabs>
          <w:tab w:val="num" w:pos="2520"/>
        </w:tabs>
        <w:ind w:left="2520" w:hanging="360"/>
      </w:pPr>
      <w:rPr>
        <w:rFonts w:ascii="Arial" w:hAnsi="Arial" w:hint="default"/>
      </w:rPr>
    </w:lvl>
    <w:lvl w:ilvl="4" w:tplc="984E8038" w:tentative="1">
      <w:start w:val="1"/>
      <w:numFmt w:val="bullet"/>
      <w:lvlText w:val="•"/>
      <w:lvlJc w:val="left"/>
      <w:pPr>
        <w:tabs>
          <w:tab w:val="num" w:pos="3240"/>
        </w:tabs>
        <w:ind w:left="3240" w:hanging="360"/>
      </w:pPr>
      <w:rPr>
        <w:rFonts w:ascii="Arial" w:hAnsi="Arial" w:hint="default"/>
      </w:rPr>
    </w:lvl>
    <w:lvl w:ilvl="5" w:tplc="6BC6EF20" w:tentative="1">
      <w:start w:val="1"/>
      <w:numFmt w:val="bullet"/>
      <w:lvlText w:val="•"/>
      <w:lvlJc w:val="left"/>
      <w:pPr>
        <w:tabs>
          <w:tab w:val="num" w:pos="3960"/>
        </w:tabs>
        <w:ind w:left="3960" w:hanging="360"/>
      </w:pPr>
      <w:rPr>
        <w:rFonts w:ascii="Arial" w:hAnsi="Arial" w:hint="default"/>
      </w:rPr>
    </w:lvl>
    <w:lvl w:ilvl="6" w:tplc="4516D35E" w:tentative="1">
      <w:start w:val="1"/>
      <w:numFmt w:val="bullet"/>
      <w:lvlText w:val="•"/>
      <w:lvlJc w:val="left"/>
      <w:pPr>
        <w:tabs>
          <w:tab w:val="num" w:pos="4680"/>
        </w:tabs>
        <w:ind w:left="4680" w:hanging="360"/>
      </w:pPr>
      <w:rPr>
        <w:rFonts w:ascii="Arial" w:hAnsi="Arial" w:hint="default"/>
      </w:rPr>
    </w:lvl>
    <w:lvl w:ilvl="7" w:tplc="4BAC6A66" w:tentative="1">
      <w:start w:val="1"/>
      <w:numFmt w:val="bullet"/>
      <w:lvlText w:val="•"/>
      <w:lvlJc w:val="left"/>
      <w:pPr>
        <w:tabs>
          <w:tab w:val="num" w:pos="5400"/>
        </w:tabs>
        <w:ind w:left="5400" w:hanging="360"/>
      </w:pPr>
      <w:rPr>
        <w:rFonts w:ascii="Arial" w:hAnsi="Arial" w:hint="default"/>
      </w:rPr>
    </w:lvl>
    <w:lvl w:ilvl="8" w:tplc="570E382C" w:tentative="1">
      <w:start w:val="1"/>
      <w:numFmt w:val="bullet"/>
      <w:lvlText w:val="•"/>
      <w:lvlJc w:val="left"/>
      <w:pPr>
        <w:tabs>
          <w:tab w:val="num" w:pos="6120"/>
        </w:tabs>
        <w:ind w:left="6120" w:hanging="360"/>
      </w:pPr>
      <w:rPr>
        <w:rFonts w:ascii="Arial" w:hAnsi="Arial" w:hint="default"/>
      </w:rPr>
    </w:lvl>
  </w:abstractNum>
  <w:abstractNum w:abstractNumId="9">
    <w:nsid w:val="1A7074F3"/>
    <w:multiLevelType w:val="multilevel"/>
    <w:tmpl w:val="86B8B1BC"/>
    <w:lvl w:ilvl="0">
      <w:start w:val="1"/>
      <w:numFmt w:val="decimal"/>
      <w:pStyle w:val="IntenseQuote"/>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nsid w:val="1DEA421F"/>
    <w:multiLevelType w:val="hybridMultilevel"/>
    <w:tmpl w:val="D358507C"/>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1">
    <w:nsid w:val="240B7D72"/>
    <w:multiLevelType w:val="hybridMultilevel"/>
    <w:tmpl w:val="B1CC8974"/>
    <w:lvl w:ilvl="0" w:tplc="5B4E482A">
      <w:start w:val="1"/>
      <w:numFmt w:val="bullet"/>
      <w:lvlText w:val=""/>
      <w:lvlJc w:val="left"/>
      <w:pPr>
        <w:tabs>
          <w:tab w:val="num" w:pos="360"/>
        </w:tabs>
        <w:ind w:left="360" w:hanging="360"/>
      </w:pPr>
      <w:rPr>
        <w:rFonts w:ascii="Wingdings" w:hAnsi="Wingdings" w:hint="default"/>
        <w:color w:val="808080" w:themeColor="background1" w:themeShade="80"/>
      </w:rPr>
    </w:lvl>
    <w:lvl w:ilvl="1" w:tplc="E7B007E4" w:tentative="1">
      <w:start w:val="1"/>
      <w:numFmt w:val="bullet"/>
      <w:lvlText w:val="•"/>
      <w:lvlJc w:val="left"/>
      <w:pPr>
        <w:tabs>
          <w:tab w:val="num" w:pos="1080"/>
        </w:tabs>
        <w:ind w:left="1080" w:hanging="360"/>
      </w:pPr>
      <w:rPr>
        <w:rFonts w:ascii="Arial" w:hAnsi="Arial" w:hint="default"/>
      </w:rPr>
    </w:lvl>
    <w:lvl w:ilvl="2" w:tplc="07267A3E" w:tentative="1">
      <w:start w:val="1"/>
      <w:numFmt w:val="bullet"/>
      <w:lvlText w:val="•"/>
      <w:lvlJc w:val="left"/>
      <w:pPr>
        <w:tabs>
          <w:tab w:val="num" w:pos="1800"/>
        </w:tabs>
        <w:ind w:left="1800" w:hanging="360"/>
      </w:pPr>
      <w:rPr>
        <w:rFonts w:ascii="Arial" w:hAnsi="Arial" w:hint="default"/>
      </w:rPr>
    </w:lvl>
    <w:lvl w:ilvl="3" w:tplc="257C6F1A" w:tentative="1">
      <w:start w:val="1"/>
      <w:numFmt w:val="bullet"/>
      <w:lvlText w:val="•"/>
      <w:lvlJc w:val="left"/>
      <w:pPr>
        <w:tabs>
          <w:tab w:val="num" w:pos="2520"/>
        </w:tabs>
        <w:ind w:left="2520" w:hanging="360"/>
      </w:pPr>
      <w:rPr>
        <w:rFonts w:ascii="Arial" w:hAnsi="Arial" w:hint="default"/>
      </w:rPr>
    </w:lvl>
    <w:lvl w:ilvl="4" w:tplc="D30E7F26" w:tentative="1">
      <w:start w:val="1"/>
      <w:numFmt w:val="bullet"/>
      <w:lvlText w:val="•"/>
      <w:lvlJc w:val="left"/>
      <w:pPr>
        <w:tabs>
          <w:tab w:val="num" w:pos="3240"/>
        </w:tabs>
        <w:ind w:left="3240" w:hanging="360"/>
      </w:pPr>
      <w:rPr>
        <w:rFonts w:ascii="Arial" w:hAnsi="Arial" w:hint="default"/>
      </w:rPr>
    </w:lvl>
    <w:lvl w:ilvl="5" w:tplc="5F743ADA" w:tentative="1">
      <w:start w:val="1"/>
      <w:numFmt w:val="bullet"/>
      <w:lvlText w:val="•"/>
      <w:lvlJc w:val="left"/>
      <w:pPr>
        <w:tabs>
          <w:tab w:val="num" w:pos="3960"/>
        </w:tabs>
        <w:ind w:left="3960" w:hanging="360"/>
      </w:pPr>
      <w:rPr>
        <w:rFonts w:ascii="Arial" w:hAnsi="Arial" w:hint="default"/>
      </w:rPr>
    </w:lvl>
    <w:lvl w:ilvl="6" w:tplc="1452E01C" w:tentative="1">
      <w:start w:val="1"/>
      <w:numFmt w:val="bullet"/>
      <w:lvlText w:val="•"/>
      <w:lvlJc w:val="left"/>
      <w:pPr>
        <w:tabs>
          <w:tab w:val="num" w:pos="4680"/>
        </w:tabs>
        <w:ind w:left="4680" w:hanging="360"/>
      </w:pPr>
      <w:rPr>
        <w:rFonts w:ascii="Arial" w:hAnsi="Arial" w:hint="default"/>
      </w:rPr>
    </w:lvl>
    <w:lvl w:ilvl="7" w:tplc="2402DA44" w:tentative="1">
      <w:start w:val="1"/>
      <w:numFmt w:val="bullet"/>
      <w:lvlText w:val="•"/>
      <w:lvlJc w:val="left"/>
      <w:pPr>
        <w:tabs>
          <w:tab w:val="num" w:pos="5400"/>
        </w:tabs>
        <w:ind w:left="5400" w:hanging="360"/>
      </w:pPr>
      <w:rPr>
        <w:rFonts w:ascii="Arial" w:hAnsi="Arial" w:hint="default"/>
      </w:rPr>
    </w:lvl>
    <w:lvl w:ilvl="8" w:tplc="F58ECA3A" w:tentative="1">
      <w:start w:val="1"/>
      <w:numFmt w:val="bullet"/>
      <w:lvlText w:val="•"/>
      <w:lvlJc w:val="left"/>
      <w:pPr>
        <w:tabs>
          <w:tab w:val="num" w:pos="6120"/>
        </w:tabs>
        <w:ind w:left="6120" w:hanging="360"/>
      </w:pPr>
      <w:rPr>
        <w:rFonts w:ascii="Arial" w:hAnsi="Arial" w:hint="default"/>
      </w:rPr>
    </w:lvl>
  </w:abstractNum>
  <w:abstractNum w:abstractNumId="12">
    <w:nsid w:val="2D5A08E5"/>
    <w:multiLevelType w:val="multilevel"/>
    <w:tmpl w:val="4FD06ECC"/>
    <w:lvl w:ilvl="0">
      <w:start w:val="3"/>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DE27CC1"/>
    <w:multiLevelType w:val="hybridMultilevel"/>
    <w:tmpl w:val="723010F0"/>
    <w:lvl w:ilvl="0" w:tplc="5B4E482A">
      <w:start w:val="1"/>
      <w:numFmt w:val="bullet"/>
      <w:lvlText w:val=""/>
      <w:lvlJc w:val="left"/>
      <w:pPr>
        <w:ind w:left="1571" w:hanging="360"/>
      </w:pPr>
      <w:rPr>
        <w:rFonts w:ascii="Wingdings" w:hAnsi="Wingdings" w:hint="default"/>
        <w:color w:val="808080" w:themeColor="background1" w:themeShade="8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2FD13031"/>
    <w:multiLevelType w:val="hybridMultilevel"/>
    <w:tmpl w:val="EBA25C66"/>
    <w:lvl w:ilvl="0" w:tplc="5B4E482A">
      <w:start w:val="1"/>
      <w:numFmt w:val="bullet"/>
      <w:lvlText w:val=""/>
      <w:lvlJc w:val="left"/>
      <w:pPr>
        <w:ind w:left="360" w:hanging="360"/>
      </w:pPr>
      <w:rPr>
        <w:rFonts w:ascii="Wingdings" w:hAnsi="Wingdings" w:hint="default"/>
        <w:color w:val="808080" w:themeColor="background1" w:themeShade="8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5">
    <w:nsid w:val="34795561"/>
    <w:multiLevelType w:val="hybridMultilevel"/>
    <w:tmpl w:val="6B4A70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3B0B446A"/>
    <w:multiLevelType w:val="hybridMultilevel"/>
    <w:tmpl w:val="A580B7CA"/>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7">
    <w:nsid w:val="3D2D24AD"/>
    <w:multiLevelType w:val="hybridMultilevel"/>
    <w:tmpl w:val="C0309C0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8">
    <w:nsid w:val="43FD730E"/>
    <w:multiLevelType w:val="hybridMultilevel"/>
    <w:tmpl w:val="D638A24A"/>
    <w:lvl w:ilvl="0" w:tplc="5B4E482A">
      <w:start w:val="1"/>
      <w:numFmt w:val="bullet"/>
      <w:lvlText w:val=""/>
      <w:lvlJc w:val="left"/>
      <w:pPr>
        <w:ind w:left="1571" w:hanging="360"/>
      </w:pPr>
      <w:rPr>
        <w:rFonts w:ascii="Wingdings" w:hAnsi="Wingdings" w:hint="default"/>
        <w:color w:val="808080" w:themeColor="background1" w:themeShade="80"/>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9">
    <w:nsid w:val="48F806D8"/>
    <w:multiLevelType w:val="hybridMultilevel"/>
    <w:tmpl w:val="F8209B26"/>
    <w:lvl w:ilvl="0" w:tplc="80D023CE">
      <w:start w:val="1"/>
      <w:numFmt w:val="bullet"/>
      <w:pStyle w:val="Textboxtekstassubullets"/>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BC7E6E"/>
    <w:multiLevelType w:val="hybridMultilevel"/>
    <w:tmpl w:val="0EA66D78"/>
    <w:lvl w:ilvl="0" w:tplc="5B4E482A">
      <w:start w:val="1"/>
      <w:numFmt w:val="bullet"/>
      <w:lvlText w:val=""/>
      <w:lvlJc w:val="left"/>
      <w:pPr>
        <w:ind w:left="360" w:hanging="360"/>
      </w:pPr>
      <w:rPr>
        <w:rFonts w:ascii="Wingdings" w:hAnsi="Wingdings" w:hint="default"/>
        <w:color w:val="808080" w:themeColor="background1" w:themeShade="8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1">
    <w:nsid w:val="4A573EA3"/>
    <w:multiLevelType w:val="hybridMultilevel"/>
    <w:tmpl w:val="7A882D5A"/>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2">
    <w:nsid w:val="51405116"/>
    <w:multiLevelType w:val="hybridMultilevel"/>
    <w:tmpl w:val="F14472DE"/>
    <w:lvl w:ilvl="0" w:tplc="5B4E482A">
      <w:start w:val="1"/>
      <w:numFmt w:val="bullet"/>
      <w:lvlText w:val=""/>
      <w:lvlJc w:val="left"/>
      <w:pPr>
        <w:ind w:left="360" w:hanging="360"/>
      </w:pPr>
      <w:rPr>
        <w:rFonts w:ascii="Wingdings" w:hAnsi="Wingdings" w:hint="default"/>
        <w:color w:val="808080" w:themeColor="background1" w:themeShade="8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3">
    <w:nsid w:val="53A65F8F"/>
    <w:multiLevelType w:val="hybridMultilevel"/>
    <w:tmpl w:val="9664F38C"/>
    <w:lvl w:ilvl="0" w:tplc="5B4E482A">
      <w:start w:val="1"/>
      <w:numFmt w:val="bullet"/>
      <w:lvlText w:val=""/>
      <w:lvlJc w:val="left"/>
      <w:pPr>
        <w:ind w:left="1997" w:hanging="360"/>
      </w:pPr>
      <w:rPr>
        <w:rFonts w:ascii="Wingdings" w:hAnsi="Wingdings" w:hint="default"/>
        <w:color w:val="808080" w:themeColor="background1" w:themeShade="80"/>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24">
    <w:nsid w:val="53F40CEE"/>
    <w:multiLevelType w:val="hybridMultilevel"/>
    <w:tmpl w:val="6276A880"/>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5">
    <w:nsid w:val="55393137"/>
    <w:multiLevelType w:val="hybridMultilevel"/>
    <w:tmpl w:val="DB4211C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57AE713E"/>
    <w:multiLevelType w:val="hybridMultilevel"/>
    <w:tmpl w:val="6A965CB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7">
    <w:nsid w:val="584A5B46"/>
    <w:multiLevelType w:val="hybridMultilevel"/>
    <w:tmpl w:val="71FC403C"/>
    <w:lvl w:ilvl="0" w:tplc="31DA0614">
      <w:start w:val="1"/>
      <w:numFmt w:val="lowerRoman"/>
      <w:lvlText w:val="(%1)"/>
      <w:lvlJc w:val="left"/>
      <w:pPr>
        <w:ind w:left="1571" w:hanging="72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8">
    <w:nsid w:val="60991C83"/>
    <w:multiLevelType w:val="hybridMultilevel"/>
    <w:tmpl w:val="E402D35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9">
    <w:nsid w:val="620777AF"/>
    <w:multiLevelType w:val="hybridMultilevel"/>
    <w:tmpl w:val="6736F3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nsid w:val="695778AE"/>
    <w:multiLevelType w:val="hybridMultilevel"/>
    <w:tmpl w:val="13086770"/>
    <w:lvl w:ilvl="0" w:tplc="5B4E482A">
      <w:start w:val="1"/>
      <w:numFmt w:val="bullet"/>
      <w:lvlText w:val=""/>
      <w:lvlJc w:val="left"/>
      <w:pPr>
        <w:ind w:left="360" w:hanging="360"/>
      </w:pPr>
      <w:rPr>
        <w:rFonts w:ascii="Wingdings" w:hAnsi="Wingdings" w:hint="default"/>
        <w:color w:val="808080" w:themeColor="background1" w:themeShade="80"/>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1">
    <w:nsid w:val="6CF66737"/>
    <w:multiLevelType w:val="hybridMultilevel"/>
    <w:tmpl w:val="45A2E218"/>
    <w:lvl w:ilvl="0" w:tplc="3746FD2A">
      <w:start w:val="1"/>
      <w:numFmt w:val="decimal"/>
      <w:pStyle w:val="Priedupavadinimai"/>
      <w:lvlText w:val="%1 priedas. "/>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nsid w:val="7ADE58D2"/>
    <w:multiLevelType w:val="hybridMultilevel"/>
    <w:tmpl w:val="6BBEE300"/>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3">
    <w:nsid w:val="7C7612F2"/>
    <w:multiLevelType w:val="hybridMultilevel"/>
    <w:tmpl w:val="EDEE8074"/>
    <w:lvl w:ilvl="0" w:tplc="5B4E482A">
      <w:start w:val="1"/>
      <w:numFmt w:val="bullet"/>
      <w:lvlText w:val=""/>
      <w:lvlJc w:val="left"/>
      <w:pPr>
        <w:ind w:left="360" w:hanging="360"/>
      </w:pPr>
      <w:rPr>
        <w:rFonts w:ascii="Wingdings" w:hAnsi="Wingdings" w:hint="default"/>
        <w:color w:val="808080" w:themeColor="background1" w:themeShade="8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4">
    <w:nsid w:val="7CFF03E7"/>
    <w:multiLevelType w:val="hybridMultilevel"/>
    <w:tmpl w:val="736C5F70"/>
    <w:lvl w:ilvl="0" w:tplc="04270001">
      <w:start w:val="1"/>
      <w:numFmt w:val="bullet"/>
      <w:lvlText w:val=""/>
      <w:lvlJc w:val="left"/>
      <w:pPr>
        <w:ind w:left="1211"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cs="Courier New" w:hint="default"/>
      </w:rPr>
    </w:lvl>
    <w:lvl w:ilvl="8" w:tplc="04270005">
      <w:start w:val="1"/>
      <w:numFmt w:val="bullet"/>
      <w:lvlText w:val=""/>
      <w:lvlJc w:val="left"/>
      <w:pPr>
        <w:ind w:left="7200" w:hanging="360"/>
      </w:pPr>
      <w:rPr>
        <w:rFonts w:ascii="Wingdings" w:hAnsi="Wingdings" w:hint="default"/>
      </w:rPr>
    </w:lvl>
  </w:abstractNum>
  <w:abstractNum w:abstractNumId="35">
    <w:nsid w:val="7F163766"/>
    <w:multiLevelType w:val="hybridMultilevel"/>
    <w:tmpl w:val="00F8A96A"/>
    <w:lvl w:ilvl="0" w:tplc="5B4E482A">
      <w:start w:val="1"/>
      <w:numFmt w:val="bullet"/>
      <w:lvlText w:val=""/>
      <w:lvlJc w:val="left"/>
      <w:pPr>
        <w:ind w:left="360" w:hanging="360"/>
      </w:pPr>
      <w:rPr>
        <w:rFonts w:ascii="Wingdings" w:hAnsi="Wingdings" w:hint="default"/>
        <w:color w:val="808080" w:themeColor="background1" w:themeShade="8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6">
    <w:nsid w:val="7FB21408"/>
    <w:multiLevelType w:val="multilevel"/>
    <w:tmpl w:val="DF7E8F96"/>
    <w:lvl w:ilvl="0">
      <w:start w:val="1"/>
      <w:numFmt w:val="decimal"/>
      <w:pStyle w:val="Antrastes1"/>
      <w:lvlText w:val="%1"/>
      <w:lvlJc w:val="left"/>
      <w:pPr>
        <w:ind w:left="432" w:hanging="432"/>
      </w:pPr>
      <w:rPr>
        <w:rFonts w:hint="default"/>
      </w:rPr>
    </w:lvl>
    <w:lvl w:ilvl="1">
      <w:start w:val="1"/>
      <w:numFmt w:val="decimal"/>
      <w:pStyle w:val="Antrastes2"/>
      <w:lvlText w:val="%1.%2"/>
      <w:lvlJc w:val="left"/>
      <w:pPr>
        <w:ind w:left="576" w:hanging="576"/>
      </w:pPr>
      <w:rPr>
        <w:rFonts w:hint="default"/>
      </w:rPr>
    </w:lvl>
    <w:lvl w:ilvl="2">
      <w:start w:val="1"/>
      <w:numFmt w:val="decimal"/>
      <w:pStyle w:val="Antrastes3"/>
      <w:lvlText w:val="%1.%2.%3"/>
      <w:lvlJc w:val="left"/>
      <w:pPr>
        <w:ind w:left="1571" w:hanging="720"/>
      </w:pPr>
      <w:rPr>
        <w:rFonts w:hint="default"/>
      </w:rPr>
    </w:lvl>
    <w:lvl w:ilvl="3">
      <w:start w:val="1"/>
      <w:numFmt w:val="decimal"/>
      <w:pStyle w:val="Antrastes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5"/>
  </w:num>
  <w:num w:numId="2">
    <w:abstractNumId w:val="0"/>
  </w:num>
  <w:num w:numId="3">
    <w:abstractNumId w:val="31"/>
  </w:num>
  <w:num w:numId="4">
    <w:abstractNumId w:val="19"/>
  </w:num>
  <w:num w:numId="5">
    <w:abstractNumId w:val="12"/>
  </w:num>
  <w:num w:numId="6">
    <w:abstractNumId w:val="9"/>
  </w:num>
  <w:num w:numId="7">
    <w:abstractNumId w:val="36"/>
  </w:num>
  <w:num w:numId="8">
    <w:abstractNumId w:val="17"/>
  </w:num>
  <w:num w:numId="9">
    <w:abstractNumId w:val="34"/>
  </w:num>
  <w:num w:numId="10">
    <w:abstractNumId w:val="32"/>
  </w:num>
  <w:num w:numId="11">
    <w:abstractNumId w:val="2"/>
  </w:num>
  <w:num w:numId="12">
    <w:abstractNumId w:val="21"/>
  </w:num>
  <w:num w:numId="13">
    <w:abstractNumId w:val="16"/>
  </w:num>
  <w:num w:numId="14">
    <w:abstractNumId w:val="27"/>
  </w:num>
  <w:num w:numId="15">
    <w:abstractNumId w:val="26"/>
  </w:num>
  <w:num w:numId="16">
    <w:abstractNumId w:val="15"/>
  </w:num>
  <w:num w:numId="17">
    <w:abstractNumId w:val="28"/>
  </w:num>
  <w:num w:numId="18">
    <w:abstractNumId w:val="29"/>
  </w:num>
  <w:num w:numId="19">
    <w:abstractNumId w:val="6"/>
  </w:num>
  <w:num w:numId="20">
    <w:abstractNumId w:val="7"/>
  </w:num>
  <w:num w:numId="21">
    <w:abstractNumId w:val="24"/>
  </w:num>
  <w:num w:numId="22">
    <w:abstractNumId w:val="10"/>
  </w:num>
  <w:num w:numId="23">
    <w:abstractNumId w:val="18"/>
  </w:num>
  <w:num w:numId="24">
    <w:abstractNumId w:val="13"/>
  </w:num>
  <w:num w:numId="25">
    <w:abstractNumId w:val="23"/>
  </w:num>
  <w:num w:numId="26">
    <w:abstractNumId w:val="25"/>
  </w:num>
  <w:num w:numId="27">
    <w:abstractNumId w:val="35"/>
  </w:num>
  <w:num w:numId="28">
    <w:abstractNumId w:val="3"/>
  </w:num>
  <w:num w:numId="29">
    <w:abstractNumId w:val="1"/>
  </w:num>
  <w:num w:numId="30">
    <w:abstractNumId w:val="22"/>
  </w:num>
  <w:num w:numId="31">
    <w:abstractNumId w:val="14"/>
  </w:num>
  <w:num w:numId="32">
    <w:abstractNumId w:val="11"/>
  </w:num>
  <w:num w:numId="33">
    <w:abstractNumId w:val="4"/>
  </w:num>
  <w:num w:numId="34">
    <w:abstractNumId w:val="30"/>
  </w:num>
  <w:num w:numId="35">
    <w:abstractNumId w:val="8"/>
  </w:num>
  <w:num w:numId="36">
    <w:abstractNumId w:val="20"/>
  </w:num>
  <w:num w:numId="37">
    <w:abstractNumId w:val="3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hideGrammaticalErrors/>
  <w:proofState w:spelling="clean" w:grammar="clean"/>
  <w:defaultTabStop w:val="1296"/>
  <w:hyphenationZone w:val="396"/>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A8B"/>
    <w:rsid w:val="00020463"/>
    <w:rsid w:val="000212D1"/>
    <w:rsid w:val="000303A4"/>
    <w:rsid w:val="000338CB"/>
    <w:rsid w:val="0003679B"/>
    <w:rsid w:val="00045DF4"/>
    <w:rsid w:val="000726B5"/>
    <w:rsid w:val="000C196A"/>
    <w:rsid w:val="000C581A"/>
    <w:rsid w:val="000D0A8B"/>
    <w:rsid w:val="000E147A"/>
    <w:rsid w:val="000F4F5C"/>
    <w:rsid w:val="00103A4B"/>
    <w:rsid w:val="00104FDE"/>
    <w:rsid w:val="00107F7F"/>
    <w:rsid w:val="0012299C"/>
    <w:rsid w:val="00122DED"/>
    <w:rsid w:val="001356F5"/>
    <w:rsid w:val="00143CD1"/>
    <w:rsid w:val="00165F5A"/>
    <w:rsid w:val="0017026C"/>
    <w:rsid w:val="001A4BFD"/>
    <w:rsid w:val="001A6354"/>
    <w:rsid w:val="001B4802"/>
    <w:rsid w:val="001C2423"/>
    <w:rsid w:val="001F3789"/>
    <w:rsid w:val="0022570B"/>
    <w:rsid w:val="0025302B"/>
    <w:rsid w:val="0026678A"/>
    <w:rsid w:val="002753C5"/>
    <w:rsid w:val="00275D6B"/>
    <w:rsid w:val="00281A00"/>
    <w:rsid w:val="00284C5F"/>
    <w:rsid w:val="00293AB0"/>
    <w:rsid w:val="002B075E"/>
    <w:rsid w:val="003116CF"/>
    <w:rsid w:val="00343B64"/>
    <w:rsid w:val="003531D8"/>
    <w:rsid w:val="00364DDD"/>
    <w:rsid w:val="0036618D"/>
    <w:rsid w:val="00376B6E"/>
    <w:rsid w:val="0038567D"/>
    <w:rsid w:val="00391E25"/>
    <w:rsid w:val="003B1E12"/>
    <w:rsid w:val="003E0685"/>
    <w:rsid w:val="00406505"/>
    <w:rsid w:val="00420E83"/>
    <w:rsid w:val="0048612E"/>
    <w:rsid w:val="004910C5"/>
    <w:rsid w:val="004A0E6E"/>
    <w:rsid w:val="004C6D65"/>
    <w:rsid w:val="004D3BC3"/>
    <w:rsid w:val="004D547C"/>
    <w:rsid w:val="004E3401"/>
    <w:rsid w:val="004E4F57"/>
    <w:rsid w:val="005123F1"/>
    <w:rsid w:val="005136D1"/>
    <w:rsid w:val="005231A1"/>
    <w:rsid w:val="0052549B"/>
    <w:rsid w:val="00552EDD"/>
    <w:rsid w:val="00564C3C"/>
    <w:rsid w:val="00594A72"/>
    <w:rsid w:val="005D675C"/>
    <w:rsid w:val="005F001F"/>
    <w:rsid w:val="00604BC2"/>
    <w:rsid w:val="0063215A"/>
    <w:rsid w:val="0063443C"/>
    <w:rsid w:val="006876E8"/>
    <w:rsid w:val="006A790D"/>
    <w:rsid w:val="006B5240"/>
    <w:rsid w:val="006C2CB2"/>
    <w:rsid w:val="007310A9"/>
    <w:rsid w:val="0073398A"/>
    <w:rsid w:val="00757FE6"/>
    <w:rsid w:val="00762A0C"/>
    <w:rsid w:val="00777CA9"/>
    <w:rsid w:val="00780208"/>
    <w:rsid w:val="0078347A"/>
    <w:rsid w:val="007B2512"/>
    <w:rsid w:val="007B5CF0"/>
    <w:rsid w:val="007C1692"/>
    <w:rsid w:val="00820F8E"/>
    <w:rsid w:val="00830AAE"/>
    <w:rsid w:val="0083126C"/>
    <w:rsid w:val="0085326D"/>
    <w:rsid w:val="0086729E"/>
    <w:rsid w:val="008679BC"/>
    <w:rsid w:val="008A6F28"/>
    <w:rsid w:val="008F3C0B"/>
    <w:rsid w:val="0091791C"/>
    <w:rsid w:val="00920F37"/>
    <w:rsid w:val="00925E3C"/>
    <w:rsid w:val="0094182D"/>
    <w:rsid w:val="0099230E"/>
    <w:rsid w:val="009B0C5C"/>
    <w:rsid w:val="009C591E"/>
    <w:rsid w:val="00A42575"/>
    <w:rsid w:val="00A46870"/>
    <w:rsid w:val="00A641A5"/>
    <w:rsid w:val="00A7241D"/>
    <w:rsid w:val="00A728B9"/>
    <w:rsid w:val="00A91918"/>
    <w:rsid w:val="00AA240A"/>
    <w:rsid w:val="00AB5327"/>
    <w:rsid w:val="00AE01A1"/>
    <w:rsid w:val="00AF50C6"/>
    <w:rsid w:val="00B06B6F"/>
    <w:rsid w:val="00B37064"/>
    <w:rsid w:val="00B80D4E"/>
    <w:rsid w:val="00BA4730"/>
    <w:rsid w:val="00BC7D1D"/>
    <w:rsid w:val="00C21A90"/>
    <w:rsid w:val="00C31835"/>
    <w:rsid w:val="00C71543"/>
    <w:rsid w:val="00C91387"/>
    <w:rsid w:val="00CC576D"/>
    <w:rsid w:val="00CE4632"/>
    <w:rsid w:val="00D07C11"/>
    <w:rsid w:val="00D1473B"/>
    <w:rsid w:val="00D253E5"/>
    <w:rsid w:val="00D51E5E"/>
    <w:rsid w:val="00D90799"/>
    <w:rsid w:val="00D93334"/>
    <w:rsid w:val="00DD18EB"/>
    <w:rsid w:val="00DF117F"/>
    <w:rsid w:val="00E51625"/>
    <w:rsid w:val="00E5734B"/>
    <w:rsid w:val="00EA3EE7"/>
    <w:rsid w:val="00EF1000"/>
    <w:rsid w:val="00EF308D"/>
    <w:rsid w:val="00F43D44"/>
    <w:rsid w:val="00F65C40"/>
    <w:rsid w:val="00FB3D66"/>
    <w:rsid w:val="00FB640F"/>
    <w:rsid w:val="00FC6226"/>
    <w:rsid w:val="00FD7A78"/>
    <w:rsid w:val="00FE6AA0"/>
    <w:rsid w:val="00FF4B06"/>
  </w:rsids>
  <m:mathPr>
    <m:mathFont m:val="Cambria Math"/>
    <m:brkBin m:val="before"/>
    <m:brkBinSub m:val="--"/>
    <m:smallFrac m:val="0"/>
    <m:dispDef/>
    <m:lMargin m:val="0"/>
    <m:rMargin m:val="0"/>
    <m:defJc m:val="centerGroup"/>
    <m:wrapIndent m:val="1440"/>
    <m:intLim m:val="subSup"/>
    <m:naryLim m:val="undOvr"/>
  </m:mathPr>
  <w:themeFontLang w:val="lt-L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FEA1A78"/>
  <w15:docId w15:val="{D3C617EB-B8D6-4F9C-B11C-76823BFF0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02B"/>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autoRedefine/>
    <w:qFormat/>
    <w:rsid w:val="0025302B"/>
    <w:pPr>
      <w:keepNext/>
      <w:spacing w:before="240" w:after="240"/>
      <w:outlineLvl w:val="0"/>
    </w:pPr>
    <w:rPr>
      <w:rFonts w:ascii="PFSquareSansPro-Regular" w:hAnsi="PFSquareSansPro-Regular"/>
      <w:bCs/>
      <w:color w:val="4181B6"/>
      <w:kern w:val="32"/>
      <w:sz w:val="32"/>
      <w:szCs w:val="32"/>
      <w:lang w:eastAsia="lt-LT"/>
    </w:rPr>
  </w:style>
  <w:style w:type="paragraph" w:styleId="Heading2">
    <w:name w:val="heading 2"/>
    <w:basedOn w:val="Normal"/>
    <w:next w:val="Normal"/>
    <w:link w:val="Heading2Char"/>
    <w:qFormat/>
    <w:rsid w:val="0025302B"/>
    <w:pPr>
      <w:keepNext/>
      <w:numPr>
        <w:ilvl w:val="1"/>
        <w:numId w:val="5"/>
      </w:numPr>
      <w:spacing w:before="240" w:after="60"/>
      <w:outlineLvl w:val="1"/>
    </w:pPr>
    <w:rPr>
      <w:b/>
      <w:bCs/>
      <w:iCs/>
      <w:color w:val="002060"/>
      <w:sz w:val="28"/>
      <w:szCs w:val="28"/>
    </w:rPr>
  </w:style>
  <w:style w:type="paragraph" w:styleId="Heading3">
    <w:name w:val="heading 3"/>
    <w:basedOn w:val="Normal"/>
    <w:next w:val="Normal"/>
    <w:link w:val="Heading3Char"/>
    <w:qFormat/>
    <w:rsid w:val="0025302B"/>
    <w:pPr>
      <w:keepNext/>
      <w:spacing w:before="240" w:after="60"/>
      <w:outlineLvl w:val="2"/>
    </w:pPr>
    <w:rPr>
      <w:rFonts w:ascii="Cambria" w:eastAsiaTheme="majorEastAsia" w:hAnsi="Cambria" w:cstheme="majorBidi"/>
      <w:b/>
      <w:bCs/>
      <w:sz w:val="26"/>
      <w:szCs w:val="26"/>
    </w:rPr>
  </w:style>
  <w:style w:type="paragraph" w:styleId="Heading4">
    <w:name w:val="heading 4"/>
    <w:basedOn w:val="Normal"/>
    <w:next w:val="Normal"/>
    <w:link w:val="Heading4Char"/>
    <w:uiPriority w:val="9"/>
    <w:qFormat/>
    <w:rsid w:val="0025302B"/>
    <w:pPr>
      <w:keepNext/>
      <w:spacing w:before="240" w:after="60"/>
      <w:outlineLvl w:val="3"/>
    </w:pPr>
    <w:rPr>
      <w:rFonts w:ascii="Calibri" w:eastAsiaTheme="majorEastAsia" w:hAnsi="Calibri" w:cstheme="majorBidi"/>
      <w:b/>
      <w:bCs/>
      <w:sz w:val="28"/>
      <w:szCs w:val="28"/>
    </w:rPr>
  </w:style>
  <w:style w:type="paragraph" w:styleId="Heading5">
    <w:name w:val="heading 5"/>
    <w:basedOn w:val="Normal"/>
    <w:next w:val="Normal"/>
    <w:link w:val="Heading5Char"/>
    <w:qFormat/>
    <w:rsid w:val="0025302B"/>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25302B"/>
    <w:pPr>
      <w:suppressAutoHyphens/>
      <w:spacing w:before="240" w:after="60" w:line="276" w:lineRule="auto"/>
      <w:jc w:val="both"/>
      <w:outlineLvl w:val="5"/>
    </w:pPr>
    <w:rPr>
      <w:rFonts w:eastAsia="Times New Roman"/>
      <w:b/>
      <w:bCs/>
      <w:sz w:val="22"/>
      <w:szCs w:val="22"/>
      <w:lang w:val="en-GB" w:eastAsia="ar-SA"/>
    </w:rPr>
  </w:style>
  <w:style w:type="paragraph" w:styleId="Heading7">
    <w:name w:val="heading 7"/>
    <w:basedOn w:val="Normal"/>
    <w:next w:val="Normal"/>
    <w:link w:val="Heading7Char"/>
    <w:uiPriority w:val="9"/>
    <w:qFormat/>
    <w:rsid w:val="0025302B"/>
    <w:pPr>
      <w:suppressAutoHyphens/>
      <w:spacing w:before="240" w:after="60" w:line="276" w:lineRule="auto"/>
      <w:jc w:val="both"/>
      <w:outlineLvl w:val="6"/>
    </w:pPr>
    <w:rPr>
      <w:rFonts w:eastAsia="Times New Roman"/>
      <w:lang w:val="en-GB" w:eastAsia="ar-SA"/>
    </w:rPr>
  </w:style>
  <w:style w:type="paragraph" w:styleId="Heading8">
    <w:name w:val="heading 8"/>
    <w:basedOn w:val="Normal"/>
    <w:next w:val="Normal"/>
    <w:link w:val="Heading8Char"/>
    <w:uiPriority w:val="9"/>
    <w:qFormat/>
    <w:rsid w:val="0025302B"/>
    <w:pPr>
      <w:suppressAutoHyphens/>
      <w:spacing w:before="240" w:after="60" w:line="276" w:lineRule="auto"/>
      <w:jc w:val="both"/>
      <w:outlineLvl w:val="7"/>
    </w:pPr>
    <w:rPr>
      <w:rFonts w:eastAsia="Times New Roman"/>
      <w:i/>
      <w:iCs/>
      <w:lang w:val="en-GB" w:eastAsia="ar-SA"/>
    </w:rPr>
  </w:style>
  <w:style w:type="paragraph" w:styleId="Heading9">
    <w:name w:val="heading 9"/>
    <w:basedOn w:val="Normal"/>
    <w:next w:val="Normal"/>
    <w:link w:val="Heading9Char"/>
    <w:qFormat/>
    <w:rsid w:val="0025302B"/>
    <w:pPr>
      <w:suppressAutoHyphens/>
      <w:spacing w:before="240" w:after="60" w:line="276" w:lineRule="auto"/>
      <w:jc w:val="both"/>
      <w:outlineLvl w:val="8"/>
    </w:pPr>
    <w:rPr>
      <w:rFonts w:ascii="Arial" w:eastAsia="Times New Roman" w:hAnsi="Arial" w:cs="Arial"/>
      <w:sz w:val="22"/>
      <w:szCs w:val="22"/>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302B"/>
    <w:rPr>
      <w:rFonts w:ascii="PFSquareSansPro-Regular" w:hAnsi="PFSquareSansPro-Regular" w:cs="Times New Roman"/>
      <w:bCs/>
      <w:color w:val="4181B6"/>
      <w:kern w:val="32"/>
      <w:sz w:val="32"/>
      <w:szCs w:val="32"/>
      <w:lang w:eastAsia="lt-LT"/>
    </w:rPr>
  </w:style>
  <w:style w:type="character" w:customStyle="1" w:styleId="Heading2Char">
    <w:name w:val="Heading 2 Char"/>
    <w:basedOn w:val="DefaultParagraphFont"/>
    <w:link w:val="Heading2"/>
    <w:rsid w:val="0025302B"/>
    <w:rPr>
      <w:rFonts w:ascii="Times New Roman" w:hAnsi="Times New Roman" w:cs="Times New Roman"/>
      <w:b/>
      <w:bCs/>
      <w:iCs/>
      <w:color w:val="002060"/>
      <w:sz w:val="28"/>
      <w:szCs w:val="28"/>
    </w:rPr>
  </w:style>
  <w:style w:type="character" w:customStyle="1" w:styleId="Heading3Char">
    <w:name w:val="Heading 3 Char"/>
    <w:basedOn w:val="DefaultParagraphFont"/>
    <w:link w:val="Heading3"/>
    <w:rsid w:val="0025302B"/>
    <w:rPr>
      <w:rFonts w:ascii="Cambria" w:eastAsiaTheme="majorEastAsia" w:hAnsi="Cambria" w:cstheme="majorBidi"/>
      <w:b/>
      <w:bCs/>
      <w:sz w:val="26"/>
      <w:szCs w:val="26"/>
    </w:rPr>
  </w:style>
  <w:style w:type="character" w:customStyle="1" w:styleId="Heading4Char">
    <w:name w:val="Heading 4 Char"/>
    <w:basedOn w:val="DefaultParagraphFont"/>
    <w:link w:val="Heading4"/>
    <w:uiPriority w:val="9"/>
    <w:rsid w:val="0025302B"/>
    <w:rPr>
      <w:rFonts w:ascii="Calibri" w:eastAsiaTheme="majorEastAsia" w:hAnsi="Calibri" w:cstheme="majorBidi"/>
      <w:b/>
      <w:bCs/>
      <w:sz w:val="28"/>
      <w:szCs w:val="28"/>
    </w:rPr>
  </w:style>
  <w:style w:type="character" w:customStyle="1" w:styleId="Heading5Char">
    <w:name w:val="Heading 5 Char"/>
    <w:basedOn w:val="DefaultParagraphFont"/>
    <w:link w:val="Heading5"/>
    <w:rsid w:val="0025302B"/>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25302B"/>
    <w:rPr>
      <w:rFonts w:ascii="Times New Roman" w:eastAsia="Times New Roman" w:hAnsi="Times New Roman" w:cs="Times New Roman"/>
      <w:b/>
      <w:bCs/>
      <w:lang w:val="en-GB" w:eastAsia="ar-SA"/>
    </w:rPr>
  </w:style>
  <w:style w:type="character" w:customStyle="1" w:styleId="Heading7Char">
    <w:name w:val="Heading 7 Char"/>
    <w:basedOn w:val="DefaultParagraphFont"/>
    <w:link w:val="Heading7"/>
    <w:uiPriority w:val="9"/>
    <w:rsid w:val="0025302B"/>
    <w:rPr>
      <w:rFonts w:ascii="Times New Roman" w:eastAsia="Times New Roman" w:hAnsi="Times New Roman" w:cs="Times New Roman"/>
      <w:sz w:val="24"/>
      <w:szCs w:val="24"/>
      <w:lang w:val="en-GB" w:eastAsia="ar-SA"/>
    </w:rPr>
  </w:style>
  <w:style w:type="character" w:customStyle="1" w:styleId="Heading8Char">
    <w:name w:val="Heading 8 Char"/>
    <w:basedOn w:val="DefaultParagraphFont"/>
    <w:link w:val="Heading8"/>
    <w:uiPriority w:val="9"/>
    <w:rsid w:val="0025302B"/>
    <w:rPr>
      <w:rFonts w:ascii="Times New Roman" w:eastAsia="Times New Roman" w:hAnsi="Times New Roman" w:cs="Times New Roman"/>
      <w:i/>
      <w:iCs/>
      <w:sz w:val="24"/>
      <w:szCs w:val="24"/>
      <w:lang w:val="en-GB" w:eastAsia="ar-SA"/>
    </w:rPr>
  </w:style>
  <w:style w:type="character" w:customStyle="1" w:styleId="Heading9Char">
    <w:name w:val="Heading 9 Char"/>
    <w:basedOn w:val="DefaultParagraphFont"/>
    <w:link w:val="Heading9"/>
    <w:rsid w:val="0025302B"/>
    <w:rPr>
      <w:rFonts w:ascii="Arial" w:eastAsia="Times New Roman" w:hAnsi="Arial" w:cs="Arial"/>
      <w:lang w:val="en-GB" w:eastAsia="ar-SA"/>
    </w:rPr>
  </w:style>
  <w:style w:type="paragraph" w:customStyle="1" w:styleId="Tekstas">
    <w:name w:val="Tekstas"/>
    <w:basedOn w:val="Normal"/>
    <w:link w:val="TekstasChar"/>
    <w:qFormat/>
    <w:rsid w:val="0025302B"/>
    <w:rPr>
      <w:rFonts w:eastAsia="Times New Roman"/>
      <w:lang w:eastAsia="lt-LT"/>
    </w:rPr>
  </w:style>
  <w:style w:type="character" w:customStyle="1" w:styleId="TekstasChar">
    <w:name w:val="Tekstas Char"/>
    <w:basedOn w:val="DefaultParagraphFont"/>
    <w:link w:val="Tekstas"/>
    <w:rsid w:val="0025302B"/>
    <w:rPr>
      <w:rFonts w:ascii="Times New Roman" w:eastAsia="Times New Roman" w:hAnsi="Times New Roman" w:cs="Times New Roman"/>
      <w:sz w:val="24"/>
      <w:szCs w:val="24"/>
      <w:lang w:eastAsia="lt-LT"/>
    </w:rPr>
  </w:style>
  <w:style w:type="paragraph" w:customStyle="1" w:styleId="Tekstaspaaiskinimams">
    <w:name w:val="Tekstas paaiskinimams"/>
    <w:basedOn w:val="Tekstas"/>
    <w:link w:val="TekstaspaaiskinimamsChar"/>
    <w:qFormat/>
    <w:rsid w:val="0025302B"/>
    <w:pPr>
      <w:pBdr>
        <w:top w:val="single" w:sz="4" w:space="1" w:color="auto"/>
        <w:left w:val="single" w:sz="4" w:space="4" w:color="auto"/>
        <w:bottom w:val="single" w:sz="4" w:space="1" w:color="auto"/>
        <w:right w:val="single" w:sz="4" w:space="4" w:color="auto"/>
      </w:pBdr>
      <w:shd w:val="clear" w:color="auto" w:fill="DEEAF6" w:themeFill="accent1" w:themeFillTint="33"/>
      <w:ind w:left="1134"/>
      <w:jc w:val="both"/>
    </w:pPr>
    <w:rPr>
      <w:rFonts w:ascii="Cambria" w:hAnsi="Cambria"/>
    </w:rPr>
  </w:style>
  <w:style w:type="character" w:customStyle="1" w:styleId="TekstaspaaiskinimamsChar">
    <w:name w:val="Tekstas paaiskinimams Char"/>
    <w:basedOn w:val="TekstasChar"/>
    <w:link w:val="Tekstaspaaiskinimams"/>
    <w:rsid w:val="0025302B"/>
    <w:rPr>
      <w:rFonts w:ascii="Cambria" w:eastAsia="Times New Roman" w:hAnsi="Cambria" w:cs="Times New Roman"/>
      <w:sz w:val="24"/>
      <w:szCs w:val="24"/>
      <w:shd w:val="clear" w:color="auto" w:fill="DEEAF6" w:themeFill="accent1" w:themeFillTint="33"/>
      <w:lang w:eastAsia="lt-LT"/>
    </w:rPr>
  </w:style>
  <w:style w:type="paragraph" w:styleId="BalloonText">
    <w:name w:val="Balloon Text"/>
    <w:basedOn w:val="Normal"/>
    <w:link w:val="BalloonTextChar"/>
    <w:uiPriority w:val="99"/>
    <w:semiHidden/>
    <w:unhideWhenUsed/>
    <w:rsid w:val="0025302B"/>
    <w:rPr>
      <w:rFonts w:ascii="Tahoma" w:hAnsi="Tahoma" w:cs="Tahoma"/>
      <w:sz w:val="16"/>
      <w:szCs w:val="16"/>
    </w:rPr>
  </w:style>
  <w:style w:type="character" w:customStyle="1" w:styleId="BalloonTextChar">
    <w:name w:val="Balloon Text Char"/>
    <w:basedOn w:val="DefaultParagraphFont"/>
    <w:link w:val="BalloonText"/>
    <w:uiPriority w:val="99"/>
    <w:semiHidden/>
    <w:rsid w:val="0025302B"/>
    <w:rPr>
      <w:rFonts w:ascii="Tahoma" w:hAnsi="Tahoma" w:cs="Tahoma"/>
      <w:sz w:val="16"/>
      <w:szCs w:val="16"/>
    </w:rPr>
  </w:style>
  <w:style w:type="paragraph" w:customStyle="1" w:styleId="Neturinioantrastes">
    <w:name w:val="• Ne turinio antrastes"/>
    <w:basedOn w:val="Tituliniosubpavadinimas"/>
    <w:link w:val="NeturinioantrastesChar"/>
    <w:autoRedefine/>
    <w:qFormat/>
    <w:rsid w:val="0025302B"/>
    <w:pPr>
      <w:pageBreakBefore/>
      <w:ind w:left="0"/>
    </w:pPr>
    <w:rPr>
      <w:rFonts w:ascii="PF Square Sans Pro Medium" w:hAnsi="PF Square Sans Pro Medium"/>
      <w:sz w:val="32"/>
    </w:rPr>
  </w:style>
  <w:style w:type="paragraph" w:customStyle="1" w:styleId="Tituliniosubpavadinimas">
    <w:name w:val="• Titulinio subpavadinimas"/>
    <w:basedOn w:val="Titulinispavadinimas"/>
    <w:link w:val="TituliniosubpavadinimasChar"/>
    <w:autoRedefine/>
    <w:qFormat/>
    <w:rsid w:val="0025302B"/>
    <w:pPr>
      <w:spacing w:before="240" w:after="240"/>
    </w:pPr>
    <w:rPr>
      <w:color w:val="4181B6"/>
      <w:sz w:val="40"/>
      <w:szCs w:val="40"/>
    </w:rPr>
  </w:style>
  <w:style w:type="paragraph" w:customStyle="1" w:styleId="Titulinispavadinimas">
    <w:name w:val="• Titulinis pavadinimas"/>
    <w:next w:val="Tituliniosubpavadinimas"/>
    <w:link w:val="TitulinispavadinimasChar"/>
    <w:autoRedefine/>
    <w:qFormat/>
    <w:rsid w:val="0025302B"/>
    <w:pPr>
      <w:spacing w:before="3120" w:after="0" w:line="240" w:lineRule="auto"/>
      <w:ind w:left="2693"/>
    </w:pPr>
    <w:rPr>
      <w:rFonts w:ascii="PF Square Sans Pro" w:eastAsia="Times New Roman" w:hAnsi="PF Square Sans Pro" w:cs="Times New Roman"/>
      <w:bCs/>
      <w:color w:val="00478A"/>
      <w:sz w:val="60"/>
      <w:szCs w:val="60"/>
      <w:lang w:eastAsia="lt-LT"/>
    </w:rPr>
  </w:style>
  <w:style w:type="character" w:customStyle="1" w:styleId="TitulinispavadinimasChar">
    <w:name w:val="• Titulinis pavadinimas Char"/>
    <w:basedOn w:val="DefaultParagraphFont"/>
    <w:link w:val="Titulinispavadinimas"/>
    <w:rsid w:val="0025302B"/>
    <w:rPr>
      <w:rFonts w:ascii="PF Square Sans Pro" w:eastAsia="Times New Roman" w:hAnsi="PF Square Sans Pro" w:cs="Times New Roman"/>
      <w:bCs/>
      <w:color w:val="00478A"/>
      <w:sz w:val="60"/>
      <w:szCs w:val="60"/>
      <w:lang w:eastAsia="lt-LT"/>
    </w:rPr>
  </w:style>
  <w:style w:type="character" w:customStyle="1" w:styleId="TituliniosubpavadinimasChar">
    <w:name w:val="• Titulinio subpavadinimas Char"/>
    <w:basedOn w:val="TitulinispavadinimasChar"/>
    <w:link w:val="Tituliniosubpavadinimas"/>
    <w:rsid w:val="0025302B"/>
    <w:rPr>
      <w:rFonts w:ascii="PF Square Sans Pro" w:eastAsia="Times New Roman" w:hAnsi="PF Square Sans Pro" w:cs="Times New Roman"/>
      <w:bCs/>
      <w:color w:val="4181B6"/>
      <w:sz w:val="40"/>
      <w:szCs w:val="40"/>
      <w:lang w:eastAsia="lt-LT"/>
    </w:rPr>
  </w:style>
  <w:style w:type="paragraph" w:customStyle="1" w:styleId="Pagrindinispaprastastekstas">
    <w:name w:val="• Pagrindinis paprastas tekstas"/>
    <w:basedOn w:val="Normal"/>
    <w:link w:val="PagrindinispaprastastekstasChar"/>
    <w:autoRedefine/>
    <w:qFormat/>
    <w:rsid w:val="007310A9"/>
    <w:pPr>
      <w:jc w:val="both"/>
    </w:pPr>
    <w:rPr>
      <w:rFonts w:ascii="PF Square Sans Pro" w:eastAsia="Times New Roman" w:hAnsi="PF Square Sans Pro"/>
      <w:sz w:val="22"/>
    </w:rPr>
  </w:style>
  <w:style w:type="character" w:customStyle="1" w:styleId="PagrindinispaprastastekstasChar">
    <w:name w:val="• Pagrindinis paprastas tekstas Char"/>
    <w:link w:val="Pagrindinispaprastastekstas"/>
    <w:rsid w:val="007310A9"/>
    <w:rPr>
      <w:rFonts w:ascii="PF Square Sans Pro" w:eastAsia="Times New Roman" w:hAnsi="PF Square Sans Pro" w:cs="Times New Roman"/>
      <w:szCs w:val="24"/>
    </w:rPr>
  </w:style>
  <w:style w:type="character" w:customStyle="1" w:styleId="NeturinioantrastesChar">
    <w:name w:val="• Ne turinio antrastes Char"/>
    <w:basedOn w:val="TituliniosubpavadinimasChar"/>
    <w:link w:val="Neturinioantrastes"/>
    <w:rsid w:val="0025302B"/>
    <w:rPr>
      <w:rFonts w:ascii="PF Square Sans Pro Medium" w:eastAsia="Times New Roman" w:hAnsi="PF Square Sans Pro Medium" w:cs="Times New Roman"/>
      <w:bCs/>
      <w:color w:val="4181B6"/>
      <w:sz w:val="32"/>
      <w:szCs w:val="40"/>
      <w:lang w:eastAsia="lt-LT"/>
    </w:rPr>
  </w:style>
  <w:style w:type="paragraph" w:customStyle="1" w:styleId="Antrastes1">
    <w:name w:val="• Antrastes_1"/>
    <w:basedOn w:val="Nenumeruojamosantrastes"/>
    <w:next w:val="Normal"/>
    <w:qFormat/>
    <w:rsid w:val="0085326D"/>
    <w:pPr>
      <w:numPr>
        <w:numId w:val="7"/>
      </w:numPr>
      <w:outlineLvl w:val="0"/>
    </w:pPr>
  </w:style>
  <w:style w:type="paragraph" w:customStyle="1" w:styleId="Nenumeruojamosantrastes">
    <w:name w:val="• Nenumeruojamos antrastes"/>
    <w:next w:val="Pagrindinispaprastastekstas"/>
    <w:link w:val="NenumeruojamosantrastesChar"/>
    <w:autoRedefine/>
    <w:qFormat/>
    <w:rsid w:val="008A6F28"/>
    <w:pPr>
      <w:widowControl w:val="0"/>
      <w:shd w:val="clear" w:color="auto" w:fill="DEEAF6" w:themeFill="accent1" w:themeFillTint="33"/>
      <w:spacing w:before="240" w:after="240" w:line="240" w:lineRule="auto"/>
      <w:jc w:val="center"/>
    </w:pPr>
    <w:rPr>
      <w:rFonts w:ascii="Cambria" w:eastAsia="Times New Roman" w:hAnsi="Cambria" w:cs="Times New Roman"/>
      <w:b/>
      <w:bCs/>
      <w:caps/>
      <w:color w:val="4181B6"/>
      <w:kern w:val="32"/>
      <w:sz w:val="28"/>
      <w:szCs w:val="32"/>
      <w:lang w:eastAsia="lt-LT"/>
    </w:rPr>
  </w:style>
  <w:style w:type="character" w:customStyle="1" w:styleId="NenumeruojamosantrastesChar">
    <w:name w:val="• Nenumeruojamos antrastes Char"/>
    <w:basedOn w:val="DefaultParagraphFont"/>
    <w:link w:val="Nenumeruojamosantrastes"/>
    <w:rsid w:val="008A6F28"/>
    <w:rPr>
      <w:rFonts w:ascii="Cambria" w:eastAsia="Times New Roman" w:hAnsi="Cambria" w:cs="Times New Roman"/>
      <w:b/>
      <w:bCs/>
      <w:caps/>
      <w:color w:val="4181B6"/>
      <w:kern w:val="32"/>
      <w:sz w:val="28"/>
      <w:szCs w:val="32"/>
      <w:shd w:val="clear" w:color="auto" w:fill="DEEAF6" w:themeFill="accent1" w:themeFillTint="33"/>
      <w:lang w:eastAsia="lt-LT"/>
    </w:rPr>
  </w:style>
  <w:style w:type="paragraph" w:customStyle="1" w:styleId="Tituliniodata">
    <w:name w:val="• Titulinio data"/>
    <w:autoRedefine/>
    <w:qFormat/>
    <w:rsid w:val="0025302B"/>
    <w:pPr>
      <w:spacing w:after="0" w:line="240" w:lineRule="auto"/>
      <w:ind w:left="2694"/>
    </w:pPr>
    <w:rPr>
      <w:rFonts w:ascii="PF Square Sans Pro" w:eastAsia="Times New Roman" w:hAnsi="PF Square Sans Pro" w:cs="Times New Roman"/>
      <w:sz w:val="24"/>
      <w:szCs w:val="24"/>
    </w:rPr>
  </w:style>
  <w:style w:type="paragraph" w:customStyle="1" w:styleId="Headeriams">
    <w:name w:val="• Headeriams"/>
    <w:basedOn w:val="Pagrindinispaprastastekstas"/>
    <w:autoRedefine/>
    <w:qFormat/>
    <w:rsid w:val="0025302B"/>
    <w:pPr>
      <w:jc w:val="right"/>
    </w:pPr>
    <w:rPr>
      <w:rFonts w:ascii="PF Square Sans Pro Light" w:hAnsi="PF Square Sans Pro Light"/>
      <w:color w:val="4181B6"/>
    </w:rPr>
  </w:style>
  <w:style w:type="character" w:styleId="FootnoteReference">
    <w:name w:val="footnote reference"/>
    <w:aliases w:val="• Isnasos nuoroda,Footnote Reference Number,Footnote Reference_LVL6,Footnote Reference_LVL61,Footnote Reference_LVL62,Footnote Reference_LVL63,Footnote Reference_LVL64,BVI fnr,Footnote symbol,Voetnootverwijzing,Times 10 Point,fr,FR"/>
    <w:basedOn w:val="DefaultParagraphFont"/>
    <w:link w:val="SUPERSChar"/>
    <w:uiPriority w:val="99"/>
    <w:qFormat/>
    <w:rsid w:val="0025302B"/>
    <w:rPr>
      <w:rFonts w:ascii="PF Square Sans Pro" w:hAnsi="PF Square Sans Pro"/>
      <w:dstrike w:val="0"/>
      <w:sz w:val="22"/>
      <w:vertAlign w:val="superscript"/>
      <w:lang w:val="lt-LT"/>
    </w:rPr>
  </w:style>
  <w:style w:type="paragraph" w:styleId="FootnoteText">
    <w:name w:val="footnote text"/>
    <w:aliases w:val="• Isnasos,Footnote Diagrama Diagrama,Footnote Diagrama Diagrama Diagrama Diagrama,Footnote,Fußnote,Footnote Text Char Char,Footnote Text Char Char Char Char Char Char,fn,o,Fußnotentextf,stile 1,Footnote1,Footnote2,Footnote3,f,Fu,Antraštės 3"/>
    <w:link w:val="FootnoteTextChar"/>
    <w:autoRedefine/>
    <w:uiPriority w:val="99"/>
    <w:qFormat/>
    <w:rsid w:val="0025302B"/>
    <w:pPr>
      <w:spacing w:after="0" w:line="240" w:lineRule="auto"/>
    </w:pPr>
    <w:rPr>
      <w:rFonts w:ascii="PF Square Sans Pro Light" w:eastAsia="Times New Roman" w:hAnsi="PF Square Sans Pro Light" w:cs="Times New Roman"/>
      <w:sz w:val="20"/>
    </w:rPr>
  </w:style>
  <w:style w:type="character" w:customStyle="1" w:styleId="FootnoteTextChar">
    <w:name w:val="Footnote Text Char"/>
    <w:aliases w:val="• Isnasos Char,Footnote Diagrama Diagrama Char,Footnote Diagrama Diagrama Diagrama Diagrama Char,Footnote Char,Fußnote Char,Footnote Text Char Char Char,Footnote Text Char Char Char Char Char Char Char,fn Char,o Char,stile 1 Char"/>
    <w:basedOn w:val="DefaultParagraphFont"/>
    <w:link w:val="FootnoteText"/>
    <w:uiPriority w:val="99"/>
    <w:rsid w:val="0025302B"/>
    <w:rPr>
      <w:rFonts w:ascii="PF Square Sans Pro Light" w:eastAsia="Times New Roman" w:hAnsi="PF Square Sans Pro Light" w:cs="Times New Roman"/>
      <w:sz w:val="20"/>
    </w:rPr>
  </w:style>
  <w:style w:type="paragraph" w:customStyle="1" w:styleId="Antrastes2">
    <w:name w:val="• Antrastes_2"/>
    <w:basedOn w:val="Antrastes1"/>
    <w:next w:val="Normal"/>
    <w:link w:val="Antrastes2Char"/>
    <w:uiPriority w:val="99"/>
    <w:qFormat/>
    <w:rsid w:val="0085326D"/>
    <w:pPr>
      <w:numPr>
        <w:ilvl w:val="1"/>
      </w:numPr>
      <w:spacing w:before="360"/>
      <w:outlineLvl w:val="1"/>
    </w:pPr>
    <w:rPr>
      <w:sz w:val="24"/>
    </w:rPr>
  </w:style>
  <w:style w:type="character" w:customStyle="1" w:styleId="Antrastes2Char">
    <w:name w:val="• Antrastes_2 Char"/>
    <w:basedOn w:val="DefaultParagraphFont"/>
    <w:link w:val="Antrastes2"/>
    <w:uiPriority w:val="99"/>
    <w:rsid w:val="0085326D"/>
    <w:rPr>
      <w:rFonts w:ascii="Cambria" w:eastAsia="Times New Roman" w:hAnsi="Cambria" w:cs="Times New Roman"/>
      <w:b/>
      <w:bCs/>
      <w:caps/>
      <w:noProof/>
      <w:color w:val="4181B6"/>
      <w:kern w:val="32"/>
      <w:sz w:val="24"/>
      <w:szCs w:val="32"/>
      <w:lang w:eastAsia="lt-LT"/>
    </w:rPr>
  </w:style>
  <w:style w:type="paragraph" w:customStyle="1" w:styleId="Antrastes3">
    <w:name w:val="• Antrastes_3"/>
    <w:basedOn w:val="Antrastes2"/>
    <w:next w:val="Normal"/>
    <w:link w:val="Antrastes3Char"/>
    <w:qFormat/>
    <w:rsid w:val="0085326D"/>
    <w:pPr>
      <w:numPr>
        <w:ilvl w:val="2"/>
      </w:numPr>
      <w:spacing w:before="240" w:after="120"/>
      <w:jc w:val="both"/>
      <w:outlineLvl w:val="2"/>
    </w:pPr>
    <w:rPr>
      <w:caps w:val="0"/>
    </w:rPr>
  </w:style>
  <w:style w:type="character" w:customStyle="1" w:styleId="Antrastes3Char">
    <w:name w:val="• Antrastes_3 Char"/>
    <w:basedOn w:val="DefaultParagraphFont"/>
    <w:link w:val="Antrastes3"/>
    <w:rsid w:val="0085326D"/>
    <w:rPr>
      <w:rFonts w:ascii="Cambria" w:eastAsia="Times New Roman" w:hAnsi="Cambria" w:cs="Times New Roman"/>
      <w:b/>
      <w:bCs/>
      <w:noProof/>
      <w:color w:val="4181B6"/>
      <w:kern w:val="32"/>
      <w:sz w:val="24"/>
      <w:szCs w:val="32"/>
      <w:lang w:eastAsia="lt-LT"/>
    </w:rPr>
  </w:style>
  <w:style w:type="paragraph" w:customStyle="1" w:styleId="Antrastes4">
    <w:name w:val="• Antrastes_4"/>
    <w:basedOn w:val="Antrastes3"/>
    <w:next w:val="Normal"/>
    <w:qFormat/>
    <w:rsid w:val="0085326D"/>
    <w:pPr>
      <w:numPr>
        <w:ilvl w:val="3"/>
      </w:numPr>
      <w:outlineLvl w:val="3"/>
    </w:pPr>
    <w:rPr>
      <w:i/>
      <w:sz w:val="22"/>
    </w:rPr>
  </w:style>
  <w:style w:type="paragraph" w:customStyle="1" w:styleId="Lentelemsantraste">
    <w:name w:val="• Lentelems antraste"/>
    <w:basedOn w:val="Pagrindinispaprastastekstas"/>
    <w:link w:val="LentelemsantrasteChar"/>
    <w:autoRedefine/>
    <w:qFormat/>
    <w:rsid w:val="0025302B"/>
    <w:pPr>
      <w:jc w:val="left"/>
    </w:pPr>
    <w:rPr>
      <w:rFonts w:ascii="PF Square Sans Pro Medium" w:hAnsi="PF Square Sans Pro Medium"/>
      <w:bCs/>
      <w:color w:val="FFFFFF" w:themeColor="background1"/>
    </w:rPr>
  </w:style>
  <w:style w:type="character" w:customStyle="1" w:styleId="LentelemsantrasteChar">
    <w:name w:val="• Lentelems antraste Char"/>
    <w:link w:val="Lentelemsantraste"/>
    <w:rsid w:val="000D0A8B"/>
    <w:rPr>
      <w:rFonts w:ascii="PF Square Sans Pro Medium" w:eastAsia="Times New Roman" w:hAnsi="PF Square Sans Pro Medium" w:cs="Times New Roman"/>
      <w:bCs/>
      <w:color w:val="FFFFFF" w:themeColor="background1"/>
      <w:szCs w:val="24"/>
    </w:rPr>
  </w:style>
  <w:style w:type="paragraph" w:customStyle="1" w:styleId="Saltinis">
    <w:name w:val="• Saltinis"/>
    <w:next w:val="Pagrindinispaprastastekstas"/>
    <w:autoRedefine/>
    <w:qFormat/>
    <w:rsid w:val="0025302B"/>
    <w:pPr>
      <w:spacing w:before="60" w:after="0" w:line="240" w:lineRule="auto"/>
    </w:pPr>
    <w:rPr>
      <w:rFonts w:ascii="PF Square Sans Pro Light" w:eastAsia="Times New Roman" w:hAnsi="PF Square Sans Pro Light" w:cs="Times New Roman"/>
      <w:color w:val="00478A"/>
      <w:sz w:val="20"/>
    </w:rPr>
  </w:style>
  <w:style w:type="paragraph" w:customStyle="1" w:styleId="Textboxantrastes">
    <w:name w:val="• Text box antrastes"/>
    <w:basedOn w:val="ListParagraph"/>
    <w:next w:val="Textboxtekstassubullets"/>
    <w:autoRedefine/>
    <w:qFormat/>
    <w:rsid w:val="0025302B"/>
    <w:pPr>
      <w:spacing w:before="120" w:after="120"/>
      <w:ind w:left="0"/>
      <w:contextualSpacing w:val="0"/>
      <w:jc w:val="left"/>
    </w:pPr>
    <w:rPr>
      <w:rFonts w:ascii="PF Square Sans Pro Medium" w:hAnsi="PF Square Sans Pro Medium"/>
      <w:color w:val="00478A"/>
      <w:sz w:val="22"/>
      <w:szCs w:val="32"/>
    </w:rPr>
  </w:style>
  <w:style w:type="paragraph" w:styleId="ListParagraph">
    <w:name w:val="List Paragraph"/>
    <w:aliases w:val="Bullet EY,ERP-List Paragraph,List Paragraph11,List Paragraph Red,Numbering,List Paragraph21,Lentele,Table of contents numbered"/>
    <w:basedOn w:val="Normal"/>
    <w:link w:val="ListParagraphChar"/>
    <w:uiPriority w:val="34"/>
    <w:qFormat/>
    <w:rsid w:val="0025302B"/>
    <w:pPr>
      <w:ind w:left="720"/>
      <w:contextualSpacing/>
      <w:jc w:val="both"/>
    </w:pPr>
    <w:rPr>
      <w:rFonts w:eastAsia="Calibri"/>
    </w:rPr>
  </w:style>
  <w:style w:type="paragraph" w:customStyle="1" w:styleId="Textboxtekstassubullets">
    <w:name w:val="• Text box tekstas su bullets"/>
    <w:basedOn w:val="Textboxtekstas"/>
    <w:autoRedefine/>
    <w:qFormat/>
    <w:rsid w:val="0025302B"/>
    <w:pPr>
      <w:numPr>
        <w:numId w:val="4"/>
      </w:numPr>
      <w:spacing w:before="120" w:after="120"/>
      <w:contextualSpacing/>
    </w:pPr>
  </w:style>
  <w:style w:type="paragraph" w:customStyle="1" w:styleId="Textboxtekstas">
    <w:name w:val="• Text box tekstas"/>
    <w:basedOn w:val="Normal"/>
    <w:autoRedefine/>
    <w:qFormat/>
    <w:rsid w:val="0025302B"/>
    <w:rPr>
      <w:rFonts w:ascii="PF Square Sans Pro Light" w:eastAsia="Times New Roman" w:hAnsi="PF Square Sans Pro Light"/>
      <w:bCs/>
      <w:color w:val="4181B6"/>
      <w:kern w:val="32"/>
      <w:sz w:val="22"/>
      <w:szCs w:val="20"/>
      <w:lang w:eastAsia="lt-LT"/>
    </w:rPr>
  </w:style>
  <w:style w:type="paragraph" w:styleId="TOC1">
    <w:name w:val="toc 1"/>
    <w:basedOn w:val="Normal"/>
    <w:next w:val="Normal"/>
    <w:autoRedefine/>
    <w:uiPriority w:val="39"/>
    <w:rsid w:val="0085326D"/>
    <w:pPr>
      <w:tabs>
        <w:tab w:val="left" w:pos="480"/>
        <w:tab w:val="right" w:leader="dot" w:pos="9204"/>
      </w:tabs>
      <w:spacing w:before="120" w:after="120"/>
    </w:pPr>
    <w:rPr>
      <w:rFonts w:asciiTheme="minorHAnsi" w:eastAsia="Times New Roman" w:hAnsiTheme="minorHAnsi" w:cstheme="minorHAnsi"/>
      <w:b/>
      <w:bCs/>
      <w:caps/>
      <w:sz w:val="20"/>
      <w:szCs w:val="20"/>
    </w:rPr>
  </w:style>
  <w:style w:type="paragraph" w:styleId="TOC2">
    <w:name w:val="toc 2"/>
    <w:basedOn w:val="Normal"/>
    <w:next w:val="Normal"/>
    <w:autoRedefine/>
    <w:uiPriority w:val="39"/>
    <w:rsid w:val="0025302B"/>
    <w:pPr>
      <w:ind w:left="240"/>
    </w:pPr>
    <w:rPr>
      <w:rFonts w:asciiTheme="minorHAnsi" w:eastAsia="Times New Roman" w:hAnsiTheme="minorHAnsi" w:cstheme="minorHAnsi"/>
      <w:smallCaps/>
      <w:sz w:val="20"/>
      <w:szCs w:val="20"/>
    </w:rPr>
  </w:style>
  <w:style w:type="paragraph" w:styleId="TOC3">
    <w:name w:val="toc 3"/>
    <w:basedOn w:val="Normal"/>
    <w:next w:val="Normal"/>
    <w:autoRedefine/>
    <w:uiPriority w:val="39"/>
    <w:rsid w:val="0025302B"/>
    <w:pPr>
      <w:ind w:left="480"/>
    </w:pPr>
    <w:rPr>
      <w:rFonts w:asciiTheme="minorHAnsi" w:eastAsia="Times New Roman" w:hAnsiTheme="minorHAnsi" w:cstheme="minorHAnsi"/>
      <w:i/>
      <w:iCs/>
      <w:sz w:val="20"/>
      <w:szCs w:val="20"/>
    </w:rPr>
  </w:style>
  <w:style w:type="paragraph" w:styleId="TOC4">
    <w:name w:val="toc 4"/>
    <w:basedOn w:val="Normal"/>
    <w:next w:val="Normal"/>
    <w:autoRedefine/>
    <w:uiPriority w:val="39"/>
    <w:rsid w:val="0025302B"/>
    <w:pPr>
      <w:ind w:left="720"/>
    </w:pPr>
    <w:rPr>
      <w:rFonts w:asciiTheme="minorHAnsi" w:eastAsia="Times New Roman" w:hAnsiTheme="minorHAnsi" w:cstheme="minorHAnsi"/>
      <w:sz w:val="18"/>
      <w:szCs w:val="18"/>
    </w:rPr>
  </w:style>
  <w:style w:type="paragraph" w:styleId="TOC5">
    <w:name w:val="toc 5"/>
    <w:basedOn w:val="Normal"/>
    <w:next w:val="Normal"/>
    <w:autoRedefine/>
    <w:uiPriority w:val="39"/>
    <w:rsid w:val="0025302B"/>
    <w:pPr>
      <w:ind w:left="960"/>
    </w:pPr>
    <w:rPr>
      <w:rFonts w:asciiTheme="minorHAnsi" w:eastAsia="Times New Roman" w:hAnsiTheme="minorHAnsi" w:cstheme="minorHAnsi"/>
      <w:sz w:val="18"/>
      <w:szCs w:val="18"/>
    </w:rPr>
  </w:style>
  <w:style w:type="paragraph" w:styleId="TOC6">
    <w:name w:val="toc 6"/>
    <w:basedOn w:val="Normal"/>
    <w:next w:val="Normal"/>
    <w:autoRedefine/>
    <w:uiPriority w:val="39"/>
    <w:rsid w:val="0025302B"/>
    <w:pPr>
      <w:ind w:left="1200"/>
    </w:pPr>
    <w:rPr>
      <w:rFonts w:asciiTheme="minorHAnsi" w:eastAsia="Times New Roman" w:hAnsiTheme="minorHAnsi" w:cstheme="minorHAnsi"/>
      <w:sz w:val="18"/>
      <w:szCs w:val="18"/>
    </w:rPr>
  </w:style>
  <w:style w:type="paragraph" w:styleId="TOC7">
    <w:name w:val="toc 7"/>
    <w:basedOn w:val="Normal"/>
    <w:next w:val="Normal"/>
    <w:autoRedefine/>
    <w:uiPriority w:val="39"/>
    <w:rsid w:val="0025302B"/>
    <w:pPr>
      <w:ind w:left="1440"/>
    </w:pPr>
    <w:rPr>
      <w:rFonts w:asciiTheme="minorHAnsi" w:eastAsia="Times New Roman" w:hAnsiTheme="minorHAnsi" w:cstheme="minorHAnsi"/>
      <w:sz w:val="18"/>
      <w:szCs w:val="18"/>
    </w:rPr>
  </w:style>
  <w:style w:type="paragraph" w:styleId="TOC8">
    <w:name w:val="toc 8"/>
    <w:basedOn w:val="Normal"/>
    <w:next w:val="Normal"/>
    <w:autoRedefine/>
    <w:uiPriority w:val="39"/>
    <w:rsid w:val="0025302B"/>
    <w:pPr>
      <w:ind w:left="1680"/>
    </w:pPr>
    <w:rPr>
      <w:rFonts w:asciiTheme="minorHAnsi" w:eastAsia="Times New Roman" w:hAnsiTheme="minorHAnsi" w:cstheme="minorHAnsi"/>
      <w:sz w:val="18"/>
      <w:szCs w:val="18"/>
    </w:rPr>
  </w:style>
  <w:style w:type="paragraph" w:styleId="TOC9">
    <w:name w:val="toc 9"/>
    <w:basedOn w:val="Normal"/>
    <w:next w:val="Normal"/>
    <w:autoRedefine/>
    <w:uiPriority w:val="39"/>
    <w:rsid w:val="0025302B"/>
    <w:pPr>
      <w:ind w:left="1920"/>
    </w:pPr>
    <w:rPr>
      <w:rFonts w:asciiTheme="minorHAnsi" w:eastAsia="Times New Roman" w:hAnsiTheme="minorHAnsi" w:cstheme="minorHAnsi"/>
      <w:sz w:val="18"/>
      <w:szCs w:val="18"/>
    </w:rPr>
  </w:style>
  <w:style w:type="paragraph" w:styleId="CommentText">
    <w:name w:val="annotation text"/>
    <w:basedOn w:val="Normal"/>
    <w:link w:val="CommentTextChar"/>
    <w:uiPriority w:val="99"/>
    <w:rsid w:val="0025302B"/>
    <w:rPr>
      <w:rFonts w:eastAsia="Times New Roman"/>
      <w:sz w:val="20"/>
      <w:szCs w:val="20"/>
    </w:rPr>
  </w:style>
  <w:style w:type="character" w:customStyle="1" w:styleId="CommentTextChar">
    <w:name w:val="Comment Text Char"/>
    <w:basedOn w:val="DefaultParagraphFont"/>
    <w:link w:val="CommentText"/>
    <w:uiPriority w:val="99"/>
    <w:rsid w:val="0025302B"/>
    <w:rPr>
      <w:rFonts w:ascii="Times New Roman" w:eastAsia="Times New Roman" w:hAnsi="Times New Roman" w:cs="Times New Roman"/>
      <w:sz w:val="20"/>
      <w:szCs w:val="20"/>
    </w:rPr>
  </w:style>
  <w:style w:type="paragraph" w:styleId="Header">
    <w:name w:val="header"/>
    <w:aliases w:val=" Diagrama Diagrama Diagrama, Diagrama Diagrama"/>
    <w:basedOn w:val="Normal"/>
    <w:link w:val="HeaderChar"/>
    <w:uiPriority w:val="99"/>
    <w:unhideWhenUsed/>
    <w:rsid w:val="0025302B"/>
    <w:pPr>
      <w:tabs>
        <w:tab w:val="center" w:pos="4819"/>
        <w:tab w:val="right" w:pos="9638"/>
      </w:tabs>
    </w:pPr>
    <w:rPr>
      <w:rFonts w:eastAsia="Times New Roman"/>
    </w:rPr>
  </w:style>
  <w:style w:type="character" w:customStyle="1" w:styleId="HeaderChar">
    <w:name w:val="Header Char"/>
    <w:aliases w:val=" Diagrama Diagrama Diagrama Char, Diagrama Diagrama Char"/>
    <w:basedOn w:val="DefaultParagraphFont"/>
    <w:link w:val="Header"/>
    <w:uiPriority w:val="99"/>
    <w:rsid w:val="0025302B"/>
    <w:rPr>
      <w:rFonts w:ascii="Times New Roman" w:eastAsia="Times New Roman" w:hAnsi="Times New Roman" w:cs="Times New Roman"/>
      <w:sz w:val="24"/>
      <w:szCs w:val="24"/>
    </w:rPr>
  </w:style>
  <w:style w:type="paragraph" w:styleId="Footer">
    <w:name w:val="footer"/>
    <w:basedOn w:val="Normal"/>
    <w:link w:val="FooterChar"/>
    <w:unhideWhenUsed/>
    <w:rsid w:val="0025302B"/>
    <w:pPr>
      <w:tabs>
        <w:tab w:val="center" w:pos="4819"/>
        <w:tab w:val="right" w:pos="9638"/>
      </w:tabs>
    </w:pPr>
    <w:rPr>
      <w:rFonts w:eastAsia="Times New Roman"/>
    </w:rPr>
  </w:style>
  <w:style w:type="character" w:customStyle="1" w:styleId="FooterChar">
    <w:name w:val="Footer Char"/>
    <w:basedOn w:val="DefaultParagraphFont"/>
    <w:link w:val="Footer"/>
    <w:rsid w:val="0025302B"/>
    <w:rPr>
      <w:rFonts w:ascii="Times New Roman" w:eastAsia="Times New Roman" w:hAnsi="Times New Roman" w:cs="Times New Roman"/>
      <w:sz w:val="24"/>
      <w:szCs w:val="24"/>
    </w:rPr>
  </w:style>
  <w:style w:type="paragraph" w:styleId="Caption">
    <w:name w:val="caption"/>
    <w:aliases w:val="• Caption,Table caption,paveikslas,Paveikslo pavadinimas,TabelOverskrift"/>
    <w:basedOn w:val="Normal"/>
    <w:next w:val="Pagrindinispaprastastekstas"/>
    <w:link w:val="CaptionChar"/>
    <w:qFormat/>
    <w:rsid w:val="0025302B"/>
    <w:pPr>
      <w:spacing w:after="60"/>
    </w:pPr>
    <w:rPr>
      <w:rFonts w:ascii="PF Square Sans Pro Medium" w:eastAsia="Times New Roman" w:hAnsi="PF Square Sans Pro Medium"/>
      <w:bCs/>
      <w:color w:val="00478A"/>
      <w:sz w:val="22"/>
      <w:szCs w:val="22"/>
    </w:rPr>
  </w:style>
  <w:style w:type="character" w:customStyle="1" w:styleId="CaptionChar">
    <w:name w:val="Caption Char"/>
    <w:aliases w:val="• Caption Char,Table caption Char,paveikslas Char,Paveikslo pavadinimas Char,TabelOverskrift Char"/>
    <w:link w:val="Caption"/>
    <w:rsid w:val="000D0A8B"/>
    <w:rPr>
      <w:rFonts w:ascii="PF Square Sans Pro Medium" w:eastAsia="Times New Roman" w:hAnsi="PF Square Sans Pro Medium" w:cs="Times New Roman"/>
      <w:bCs/>
      <w:color w:val="00478A"/>
    </w:rPr>
  </w:style>
  <w:style w:type="character" w:styleId="PageNumber">
    <w:name w:val="page number"/>
    <w:basedOn w:val="DefaultParagraphFont"/>
    <w:rsid w:val="0025302B"/>
  </w:style>
  <w:style w:type="character" w:styleId="EndnoteReference">
    <w:name w:val="endnote reference"/>
    <w:rsid w:val="0025302B"/>
    <w:rPr>
      <w:vertAlign w:val="superscript"/>
    </w:rPr>
  </w:style>
  <w:style w:type="paragraph" w:styleId="EndnoteText">
    <w:name w:val="endnote text"/>
    <w:basedOn w:val="Normal"/>
    <w:link w:val="EndnoteTextChar"/>
    <w:rsid w:val="0025302B"/>
    <w:pPr>
      <w:suppressAutoHyphens/>
      <w:jc w:val="both"/>
    </w:pPr>
    <w:rPr>
      <w:rFonts w:eastAsia="Times New Roman"/>
      <w:sz w:val="20"/>
      <w:szCs w:val="20"/>
      <w:lang w:val="en-GB" w:eastAsia="ar-SA"/>
    </w:rPr>
  </w:style>
  <w:style w:type="character" w:customStyle="1" w:styleId="EndnoteTextChar">
    <w:name w:val="Endnote Text Char"/>
    <w:basedOn w:val="DefaultParagraphFont"/>
    <w:link w:val="EndnoteText"/>
    <w:rsid w:val="0025302B"/>
    <w:rPr>
      <w:rFonts w:ascii="Times New Roman" w:eastAsia="Times New Roman" w:hAnsi="Times New Roman" w:cs="Times New Roman"/>
      <w:sz w:val="20"/>
      <w:szCs w:val="20"/>
      <w:lang w:val="en-GB" w:eastAsia="ar-SA"/>
    </w:rPr>
  </w:style>
  <w:style w:type="paragraph" w:styleId="List">
    <w:name w:val="List"/>
    <w:basedOn w:val="Normal"/>
    <w:rsid w:val="0025302B"/>
    <w:pPr>
      <w:suppressAutoHyphens/>
      <w:spacing w:after="120" w:line="276" w:lineRule="auto"/>
      <w:jc w:val="both"/>
    </w:pPr>
    <w:rPr>
      <w:rFonts w:eastAsia="Times New Roman" w:cs="Tahoma"/>
      <w:sz w:val="22"/>
      <w:szCs w:val="22"/>
      <w:lang w:val="en-GB" w:eastAsia="ar-SA"/>
    </w:rPr>
  </w:style>
  <w:style w:type="paragraph" w:styleId="BodyText">
    <w:name w:val="Body Text"/>
    <w:basedOn w:val="Normal"/>
    <w:link w:val="BodyTextChar"/>
    <w:unhideWhenUsed/>
    <w:rsid w:val="0025302B"/>
    <w:pPr>
      <w:spacing w:after="120"/>
    </w:pPr>
  </w:style>
  <w:style w:type="character" w:customStyle="1" w:styleId="BodyTextChar">
    <w:name w:val="Body Text Char"/>
    <w:basedOn w:val="DefaultParagraphFont"/>
    <w:link w:val="BodyText"/>
    <w:rsid w:val="0025302B"/>
    <w:rPr>
      <w:rFonts w:ascii="Times New Roman" w:hAnsi="Times New Roman" w:cs="Times New Roman"/>
      <w:sz w:val="24"/>
      <w:szCs w:val="24"/>
    </w:rPr>
  </w:style>
  <w:style w:type="paragraph" w:styleId="Title">
    <w:name w:val="Title"/>
    <w:basedOn w:val="Normal"/>
    <w:link w:val="TitleChar"/>
    <w:qFormat/>
    <w:rsid w:val="0025302B"/>
    <w:pPr>
      <w:tabs>
        <w:tab w:val="left" w:pos="850"/>
        <w:tab w:val="left" w:pos="1191"/>
        <w:tab w:val="left" w:pos="1531"/>
      </w:tabs>
      <w:spacing w:before="240" w:after="60"/>
      <w:jc w:val="center"/>
      <w:outlineLvl w:val="0"/>
    </w:pPr>
    <w:rPr>
      <w:rFonts w:ascii="Arial" w:eastAsia="Times New Roman" w:hAnsi="Arial"/>
      <w:b/>
      <w:kern w:val="28"/>
      <w:sz w:val="32"/>
      <w:szCs w:val="20"/>
      <w:lang w:val="en-GB" w:eastAsia="zh-TW"/>
    </w:rPr>
  </w:style>
  <w:style w:type="character" w:customStyle="1" w:styleId="TitleChar">
    <w:name w:val="Title Char"/>
    <w:basedOn w:val="DefaultParagraphFont"/>
    <w:link w:val="Title"/>
    <w:rsid w:val="0025302B"/>
    <w:rPr>
      <w:rFonts w:ascii="Arial" w:eastAsia="Times New Roman" w:hAnsi="Arial" w:cs="Times New Roman"/>
      <w:b/>
      <w:kern w:val="28"/>
      <w:sz w:val="32"/>
      <w:szCs w:val="20"/>
      <w:lang w:val="en-GB" w:eastAsia="zh-TW"/>
    </w:rPr>
  </w:style>
  <w:style w:type="paragraph" w:styleId="Subtitle">
    <w:name w:val="Subtitle"/>
    <w:basedOn w:val="Normal"/>
    <w:next w:val="BodyText"/>
    <w:link w:val="SubtitleChar"/>
    <w:qFormat/>
    <w:rsid w:val="0025302B"/>
    <w:pPr>
      <w:keepNext/>
      <w:suppressAutoHyphens/>
      <w:spacing w:before="240" w:after="120" w:line="276" w:lineRule="auto"/>
      <w:jc w:val="center"/>
    </w:pPr>
    <w:rPr>
      <w:rFonts w:ascii="Arial" w:eastAsia="Lucida Sans Unicode" w:hAnsi="Arial" w:cs="Tahoma"/>
      <w:i/>
      <w:iCs/>
      <w:sz w:val="28"/>
      <w:szCs w:val="28"/>
      <w:lang w:val="en-GB" w:eastAsia="ar-SA"/>
    </w:rPr>
  </w:style>
  <w:style w:type="character" w:customStyle="1" w:styleId="SubtitleChar">
    <w:name w:val="Subtitle Char"/>
    <w:basedOn w:val="DefaultParagraphFont"/>
    <w:link w:val="Subtitle"/>
    <w:rsid w:val="0025302B"/>
    <w:rPr>
      <w:rFonts w:ascii="Arial" w:eastAsia="Lucida Sans Unicode" w:hAnsi="Arial" w:cs="Tahoma"/>
      <w:i/>
      <w:iCs/>
      <w:sz w:val="28"/>
      <w:szCs w:val="28"/>
      <w:lang w:val="en-GB" w:eastAsia="ar-SA"/>
    </w:rPr>
  </w:style>
  <w:style w:type="character" w:styleId="Hyperlink">
    <w:name w:val="Hyperlink"/>
    <w:basedOn w:val="DefaultParagraphFont"/>
    <w:uiPriority w:val="99"/>
    <w:rsid w:val="0025302B"/>
    <w:rPr>
      <w:color w:val="0000FF"/>
      <w:u w:val="single"/>
    </w:rPr>
  </w:style>
  <w:style w:type="character" w:styleId="FollowedHyperlink">
    <w:name w:val="FollowedHyperlink"/>
    <w:basedOn w:val="DefaultParagraphFont"/>
    <w:uiPriority w:val="99"/>
    <w:rsid w:val="0025302B"/>
    <w:rPr>
      <w:color w:val="800080"/>
      <w:u w:val="single"/>
    </w:rPr>
  </w:style>
  <w:style w:type="character" w:styleId="Strong">
    <w:name w:val="Strong"/>
    <w:basedOn w:val="DefaultParagraphFont"/>
    <w:uiPriority w:val="22"/>
    <w:qFormat/>
    <w:rsid w:val="0025302B"/>
    <w:rPr>
      <w:b/>
      <w:bCs/>
    </w:rPr>
  </w:style>
  <w:style w:type="character" w:styleId="Emphasis">
    <w:name w:val="Emphasis"/>
    <w:basedOn w:val="DefaultParagraphFont"/>
    <w:uiPriority w:val="20"/>
    <w:qFormat/>
    <w:rsid w:val="0025302B"/>
    <w:rPr>
      <w:i/>
      <w:iCs/>
    </w:rPr>
  </w:style>
  <w:style w:type="paragraph" w:styleId="PlainText">
    <w:name w:val="Plain Text"/>
    <w:basedOn w:val="Normal"/>
    <w:link w:val="PlainTextChar"/>
    <w:uiPriority w:val="99"/>
    <w:rsid w:val="0025302B"/>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uiPriority w:val="99"/>
    <w:rsid w:val="0025302B"/>
    <w:rPr>
      <w:rFonts w:ascii="Courier New" w:eastAsia="Times New Roman" w:hAnsi="Courier New" w:cs="Courier New"/>
      <w:sz w:val="20"/>
      <w:szCs w:val="20"/>
      <w:lang w:val="en-GB"/>
    </w:rPr>
  </w:style>
  <w:style w:type="paragraph" w:styleId="NormalWeb">
    <w:name w:val="Normal (Web)"/>
    <w:basedOn w:val="Normal"/>
    <w:uiPriority w:val="99"/>
    <w:unhideWhenUsed/>
    <w:rsid w:val="0025302B"/>
    <w:pPr>
      <w:spacing w:before="100" w:beforeAutospacing="1" w:after="100" w:afterAutospacing="1"/>
    </w:pPr>
    <w:rPr>
      <w:rFonts w:eastAsia="Times New Roman"/>
      <w:lang w:eastAsia="lt-LT"/>
    </w:rPr>
  </w:style>
  <w:style w:type="character" w:styleId="HTMLCite">
    <w:name w:val="HTML Cite"/>
    <w:basedOn w:val="DefaultParagraphFont"/>
    <w:uiPriority w:val="99"/>
    <w:unhideWhenUsed/>
    <w:rsid w:val="0025302B"/>
    <w:rPr>
      <w:i/>
      <w:iCs/>
    </w:rPr>
  </w:style>
  <w:style w:type="table" w:styleId="TableColumns3">
    <w:name w:val="Table Columns 3"/>
    <w:basedOn w:val="TableNormal"/>
    <w:rsid w:val="0025302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
    <w:name w:val="Table Grid"/>
    <w:basedOn w:val="TableNormal"/>
    <w:uiPriority w:val="59"/>
    <w:rsid w:val="0025302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25302B"/>
    <w:pPr>
      <w:spacing w:after="0" w:line="240" w:lineRule="auto"/>
    </w:pPr>
    <w:rPr>
      <w:rFonts w:ascii="Calibri" w:eastAsia="Times New Roman" w:hAnsi="Calibri" w:cs="Times New Roman"/>
      <w:lang w:val="en-US"/>
    </w:rPr>
  </w:style>
  <w:style w:type="paragraph" w:styleId="IntenseQuote">
    <w:name w:val="Intense Quote"/>
    <w:basedOn w:val="Normal"/>
    <w:next w:val="Normal"/>
    <w:link w:val="IntenseQuoteChar"/>
    <w:qFormat/>
    <w:rsid w:val="0025302B"/>
    <w:pPr>
      <w:numPr>
        <w:numId w:val="6"/>
      </w:numPr>
      <w:pBdr>
        <w:bottom w:val="single" w:sz="4" w:space="4" w:color="4F81BD"/>
      </w:pBdr>
      <w:spacing w:before="200" w:after="280"/>
      <w:ind w:right="936"/>
      <w:jc w:val="center"/>
    </w:pPr>
    <w:rPr>
      <w:rFonts w:eastAsia="Times New Roman"/>
      <w:b/>
      <w:bCs/>
      <w:i/>
      <w:iCs/>
      <w:color w:val="002060"/>
      <w:sz w:val="28"/>
    </w:rPr>
  </w:style>
  <w:style w:type="character" w:customStyle="1" w:styleId="IntenseQuoteChar">
    <w:name w:val="Intense Quote Char"/>
    <w:basedOn w:val="DefaultParagraphFont"/>
    <w:link w:val="IntenseQuote"/>
    <w:rsid w:val="0025302B"/>
    <w:rPr>
      <w:rFonts w:ascii="Times New Roman" w:eastAsia="Times New Roman" w:hAnsi="Times New Roman" w:cs="Times New Roman"/>
      <w:b/>
      <w:bCs/>
      <w:i/>
      <w:iCs/>
      <w:color w:val="002060"/>
      <w:sz w:val="28"/>
      <w:szCs w:val="24"/>
    </w:rPr>
  </w:style>
  <w:style w:type="paragraph" w:customStyle="1" w:styleId="Style1">
    <w:name w:val="Style1"/>
    <w:basedOn w:val="Normal"/>
    <w:qFormat/>
    <w:rsid w:val="0025302B"/>
    <w:pPr>
      <w:tabs>
        <w:tab w:val="left" w:pos="695"/>
        <w:tab w:val="right" w:pos="9922"/>
      </w:tabs>
      <w:jc w:val="right"/>
    </w:pPr>
    <w:rPr>
      <w:rFonts w:ascii="PF Square Sans Pro" w:eastAsia="Times New Roman" w:hAnsi="PF Square Sans Pro"/>
      <w:color w:val="4181B6"/>
      <w:sz w:val="22"/>
    </w:rPr>
  </w:style>
  <w:style w:type="paragraph" w:customStyle="1" w:styleId="Style3">
    <w:name w:val="Style3"/>
    <w:next w:val="Pagrindinispaprastastekstas"/>
    <w:qFormat/>
    <w:rsid w:val="0025302B"/>
    <w:pPr>
      <w:spacing w:after="0" w:line="240" w:lineRule="auto"/>
    </w:pPr>
    <w:rPr>
      <w:rFonts w:ascii="Calibri" w:eastAsia="Times New Roman" w:hAnsi="Calibri" w:cs="Times New Roman"/>
      <w:lang w:val="en-US"/>
    </w:rPr>
  </w:style>
  <w:style w:type="paragraph" w:customStyle="1" w:styleId="TableContents">
    <w:name w:val="Table Contents"/>
    <w:basedOn w:val="Normal"/>
    <w:rsid w:val="0025302B"/>
    <w:pPr>
      <w:widowControl w:val="0"/>
      <w:suppressLineNumbers/>
      <w:suppressAutoHyphens/>
    </w:pPr>
    <w:rPr>
      <w:rFonts w:eastAsia="Lucida Sans Unicode"/>
    </w:rPr>
  </w:style>
  <w:style w:type="paragraph" w:customStyle="1" w:styleId="TableHeading">
    <w:name w:val="Table Heading"/>
    <w:basedOn w:val="TableContents"/>
    <w:rsid w:val="0025302B"/>
    <w:pPr>
      <w:jc w:val="center"/>
    </w:pPr>
    <w:rPr>
      <w:b/>
      <w:bCs/>
      <w:i/>
      <w:iCs/>
    </w:rPr>
  </w:style>
  <w:style w:type="paragraph" w:customStyle="1" w:styleId="Default">
    <w:name w:val="Default"/>
    <w:rsid w:val="0025302B"/>
    <w:pPr>
      <w:autoSpaceDE w:val="0"/>
      <w:autoSpaceDN w:val="0"/>
      <w:adjustRightInd w:val="0"/>
      <w:spacing w:after="0" w:line="240" w:lineRule="auto"/>
    </w:pPr>
    <w:rPr>
      <w:rFonts w:ascii="Times New Roman" w:eastAsia="Calibri" w:hAnsi="Times New Roman" w:cs="Times New Roman"/>
      <w:color w:val="000000"/>
      <w:sz w:val="24"/>
      <w:szCs w:val="24"/>
      <w:lang w:eastAsia="lt-LT"/>
    </w:rPr>
  </w:style>
  <w:style w:type="paragraph" w:customStyle="1" w:styleId="Style2">
    <w:name w:val="Style2"/>
    <w:basedOn w:val="Antrastes3"/>
    <w:qFormat/>
    <w:rsid w:val="0025302B"/>
    <w:pPr>
      <w:numPr>
        <w:ilvl w:val="0"/>
        <w:numId w:val="0"/>
      </w:numPr>
      <w:ind w:left="864" w:hanging="864"/>
    </w:pPr>
  </w:style>
  <w:style w:type="paragraph" w:customStyle="1" w:styleId="Lentelemstekstas">
    <w:name w:val="• Lentelems tekstas"/>
    <w:basedOn w:val="Lentelemsantraste"/>
    <w:autoRedefine/>
    <w:qFormat/>
    <w:rsid w:val="0025302B"/>
    <w:rPr>
      <w:rFonts w:ascii="PF Square Sans Pro" w:hAnsi="PF Square Sans Pro"/>
      <w:bCs w:val="0"/>
      <w:iCs/>
      <w:color w:val="4181B6"/>
    </w:rPr>
  </w:style>
  <w:style w:type="paragraph" w:customStyle="1" w:styleId="Titulinionuoroda">
    <w:name w:val="• Titulinio nuoroda"/>
    <w:basedOn w:val="Normal"/>
    <w:autoRedefine/>
    <w:qFormat/>
    <w:rsid w:val="0025302B"/>
    <w:pPr>
      <w:ind w:left="2694"/>
      <w:jc w:val="both"/>
    </w:pPr>
    <w:rPr>
      <w:rFonts w:ascii="PF Square Sans Pro" w:eastAsia="Times New Roman" w:hAnsi="PF Square Sans Pro"/>
      <w:bCs/>
      <w:sz w:val="20"/>
      <w:szCs w:val="20"/>
    </w:rPr>
  </w:style>
  <w:style w:type="paragraph" w:customStyle="1" w:styleId="Priedupavadinimai">
    <w:name w:val="• Priedu pavadinimai"/>
    <w:basedOn w:val="Nenumeruojamosantrastes"/>
    <w:next w:val="Pagrindinispaprastastekstas"/>
    <w:qFormat/>
    <w:rsid w:val="0025302B"/>
    <w:pPr>
      <w:numPr>
        <w:numId w:val="3"/>
      </w:numPr>
      <w:tabs>
        <w:tab w:val="center" w:pos="1701"/>
        <w:tab w:val="left" w:pos="1843"/>
        <w:tab w:val="left" w:pos="2127"/>
      </w:tabs>
    </w:pPr>
  </w:style>
  <w:style w:type="paragraph" w:customStyle="1" w:styleId="StyleTextboxtekstassubulletsBold">
    <w:name w:val="Style • Text box tekstas su bullets + Bold"/>
    <w:basedOn w:val="Textboxtekstassubullets"/>
    <w:rsid w:val="000D0A8B"/>
    <w:rPr>
      <w:b/>
    </w:rPr>
  </w:style>
  <w:style w:type="paragraph" w:styleId="TableofFigures">
    <w:name w:val="table of figures"/>
    <w:basedOn w:val="Normal"/>
    <w:next w:val="Normal"/>
    <w:uiPriority w:val="99"/>
    <w:rsid w:val="000D0A8B"/>
    <w:rPr>
      <w:rFonts w:ascii="Cambria" w:hAnsi="Cambria"/>
      <w:sz w:val="22"/>
    </w:rPr>
  </w:style>
  <w:style w:type="paragraph" w:styleId="BodyText2">
    <w:name w:val="Body Text 2"/>
    <w:aliases w:val="Diagrama Diagrama"/>
    <w:basedOn w:val="Normal"/>
    <w:link w:val="BodyText2Char"/>
    <w:unhideWhenUsed/>
    <w:rsid w:val="000D0A8B"/>
    <w:pPr>
      <w:spacing w:after="120" w:line="480" w:lineRule="auto"/>
    </w:pPr>
    <w:rPr>
      <w:lang w:val="x-none" w:eastAsia="x-none"/>
    </w:rPr>
  </w:style>
  <w:style w:type="character" w:customStyle="1" w:styleId="BodyText2Char">
    <w:name w:val="Body Text 2 Char"/>
    <w:aliases w:val="Diagrama Diagrama Char"/>
    <w:basedOn w:val="DefaultParagraphFont"/>
    <w:link w:val="BodyText2"/>
    <w:rsid w:val="000D0A8B"/>
    <w:rPr>
      <w:rFonts w:ascii="Times New Roman" w:eastAsia="Calibri" w:hAnsi="Times New Roman" w:cs="Times New Roman"/>
      <w:sz w:val="24"/>
      <w:szCs w:val="24"/>
      <w:lang w:val="x-none" w:eastAsia="x-none"/>
    </w:rPr>
  </w:style>
  <w:style w:type="character" w:customStyle="1" w:styleId="hps">
    <w:name w:val="hps"/>
    <w:basedOn w:val="DefaultParagraphFont"/>
    <w:rsid w:val="000D0A8B"/>
  </w:style>
  <w:style w:type="character" w:styleId="CommentReference">
    <w:name w:val="annotation reference"/>
    <w:uiPriority w:val="99"/>
    <w:semiHidden/>
    <w:rsid w:val="000D0A8B"/>
    <w:rPr>
      <w:rFonts w:cs="Times New Roman"/>
      <w:sz w:val="16"/>
      <w:szCs w:val="16"/>
    </w:rPr>
  </w:style>
  <w:style w:type="paragraph" w:styleId="CommentSubject">
    <w:name w:val="annotation subject"/>
    <w:basedOn w:val="CommentText"/>
    <w:next w:val="CommentText"/>
    <w:link w:val="CommentSubjectChar"/>
    <w:uiPriority w:val="99"/>
    <w:semiHidden/>
    <w:unhideWhenUsed/>
    <w:rsid w:val="000D0A8B"/>
    <w:rPr>
      <w:b/>
      <w:bCs/>
    </w:rPr>
  </w:style>
  <w:style w:type="character" w:customStyle="1" w:styleId="CommentSubjectChar">
    <w:name w:val="Comment Subject Char"/>
    <w:basedOn w:val="CommentTextChar"/>
    <w:link w:val="CommentSubject"/>
    <w:uiPriority w:val="99"/>
    <w:semiHidden/>
    <w:rsid w:val="000D0A8B"/>
    <w:rPr>
      <w:rFonts w:ascii="Times New Roman" w:eastAsia="Times New Roman" w:hAnsi="Times New Roman" w:cs="Times New Roman"/>
      <w:b/>
      <w:bCs/>
      <w:sz w:val="20"/>
      <w:szCs w:val="20"/>
      <w:lang w:val="x-none" w:eastAsia="x-none"/>
    </w:rPr>
  </w:style>
  <w:style w:type="paragraph" w:customStyle="1" w:styleId="Saltinis0">
    <w:name w:val="Saltinis"/>
    <w:basedOn w:val="Normal"/>
    <w:qFormat/>
    <w:rsid w:val="000D0A8B"/>
    <w:rPr>
      <w:sz w:val="20"/>
      <w:szCs w:val="22"/>
    </w:rPr>
  </w:style>
  <w:style w:type="paragraph" w:customStyle="1" w:styleId="Pa20">
    <w:name w:val="Pa20"/>
    <w:basedOn w:val="Default"/>
    <w:next w:val="Default"/>
    <w:uiPriority w:val="99"/>
    <w:rsid w:val="000D0A8B"/>
    <w:pPr>
      <w:spacing w:line="201" w:lineRule="atLeast"/>
    </w:pPr>
    <w:rPr>
      <w:rFonts w:ascii="Georgia" w:hAnsi="Georgia"/>
      <w:color w:val="auto"/>
      <w:lang w:eastAsia="en-US"/>
    </w:rPr>
  </w:style>
  <w:style w:type="paragraph" w:styleId="BlockText">
    <w:name w:val="Block Text"/>
    <w:basedOn w:val="Default"/>
    <w:next w:val="Default"/>
    <w:uiPriority w:val="99"/>
    <w:rsid w:val="000D0A8B"/>
    <w:pPr>
      <w:widowControl w:val="0"/>
    </w:pPr>
    <w:rPr>
      <w:rFonts w:ascii="Arial" w:hAnsi="Arial"/>
      <w:color w:val="auto"/>
      <w:lang w:val="en-US" w:eastAsia="en-US"/>
    </w:rPr>
  </w:style>
  <w:style w:type="paragraph" w:styleId="DocumentMap">
    <w:name w:val="Document Map"/>
    <w:basedOn w:val="Normal"/>
    <w:link w:val="DocumentMapChar"/>
    <w:rsid w:val="000D0A8B"/>
    <w:rPr>
      <w:rFonts w:ascii="Lucida Grande" w:hAnsi="Lucida Grande"/>
      <w:lang w:val="x-none" w:eastAsia="x-none"/>
    </w:rPr>
  </w:style>
  <w:style w:type="character" w:customStyle="1" w:styleId="DocumentMapChar">
    <w:name w:val="Document Map Char"/>
    <w:basedOn w:val="DefaultParagraphFont"/>
    <w:link w:val="DocumentMap"/>
    <w:rsid w:val="000D0A8B"/>
    <w:rPr>
      <w:rFonts w:ascii="Lucida Grande" w:eastAsia="Calibri" w:hAnsi="Lucida Grande" w:cs="Times New Roman"/>
      <w:sz w:val="24"/>
      <w:szCs w:val="24"/>
      <w:lang w:val="x-none" w:eastAsia="x-none"/>
    </w:rPr>
  </w:style>
  <w:style w:type="paragraph" w:styleId="Revision">
    <w:name w:val="Revision"/>
    <w:hidden/>
    <w:uiPriority w:val="99"/>
    <w:semiHidden/>
    <w:rsid w:val="000D0A8B"/>
    <w:pPr>
      <w:spacing w:after="0" w:line="240" w:lineRule="auto"/>
    </w:pPr>
    <w:rPr>
      <w:rFonts w:ascii="Times New Roman" w:eastAsia="Calibri" w:hAnsi="Times New Roman" w:cs="Times New Roman"/>
      <w:sz w:val="24"/>
      <w:szCs w:val="24"/>
    </w:rPr>
  </w:style>
  <w:style w:type="character" w:customStyle="1" w:styleId="body-copy3">
    <w:name w:val="body-copy3"/>
    <w:rsid w:val="000D0A8B"/>
    <w:rPr>
      <w:b w:val="0"/>
      <w:bCs w:val="0"/>
      <w:color w:val="555555"/>
      <w:sz w:val="34"/>
      <w:szCs w:val="34"/>
    </w:rPr>
  </w:style>
  <w:style w:type="character" w:customStyle="1" w:styleId="visualization-table">
    <w:name w:val="visualization-table"/>
    <w:basedOn w:val="DefaultParagraphFont"/>
    <w:rsid w:val="000D0A8B"/>
  </w:style>
  <w:style w:type="paragraph" w:customStyle="1" w:styleId="Point1">
    <w:name w:val="Point 1"/>
    <w:basedOn w:val="Normal"/>
    <w:rsid w:val="000D0A8B"/>
    <w:pPr>
      <w:suppressAutoHyphens/>
      <w:spacing w:before="120" w:after="120"/>
      <w:ind w:left="1418" w:hanging="567"/>
      <w:jc w:val="both"/>
    </w:pPr>
    <w:rPr>
      <w:rFonts w:eastAsia="Times New Roman"/>
      <w:szCs w:val="20"/>
      <w:lang w:val="en-GB" w:eastAsia="ar-SA"/>
    </w:rPr>
  </w:style>
  <w:style w:type="paragraph" w:customStyle="1" w:styleId="normaltableau">
    <w:name w:val="normal_tableau"/>
    <w:basedOn w:val="Normal"/>
    <w:rsid w:val="000D0A8B"/>
    <w:pPr>
      <w:spacing w:before="120" w:after="120"/>
      <w:jc w:val="both"/>
    </w:pPr>
    <w:rPr>
      <w:rFonts w:ascii="Optima" w:eastAsia="Times New Roman" w:hAnsi="Optima"/>
      <w:sz w:val="22"/>
      <w:szCs w:val="20"/>
      <w:lang w:val="en-GB" w:eastAsia="tr-TR"/>
    </w:rPr>
  </w:style>
  <w:style w:type="paragraph" w:customStyle="1" w:styleId="CM1">
    <w:name w:val="CM1"/>
    <w:basedOn w:val="Default"/>
    <w:next w:val="Default"/>
    <w:uiPriority w:val="99"/>
    <w:rsid w:val="000D0A8B"/>
    <w:pPr>
      <w:widowControl w:val="0"/>
    </w:pPr>
    <w:rPr>
      <w:rFonts w:ascii="EUAlbertina" w:hAnsi="EUAlbertina"/>
      <w:color w:val="auto"/>
      <w:lang w:val="en-US" w:eastAsia="en-US"/>
    </w:rPr>
  </w:style>
  <w:style w:type="paragraph" w:customStyle="1" w:styleId="CM3">
    <w:name w:val="CM3"/>
    <w:basedOn w:val="Default"/>
    <w:next w:val="Default"/>
    <w:uiPriority w:val="99"/>
    <w:rsid w:val="000D0A8B"/>
    <w:pPr>
      <w:widowControl w:val="0"/>
    </w:pPr>
    <w:rPr>
      <w:rFonts w:ascii="EUAlbertina" w:hAnsi="EUAlbertina"/>
      <w:color w:val="auto"/>
      <w:lang w:val="en-US" w:eastAsia="en-US"/>
    </w:rPr>
  </w:style>
  <w:style w:type="character" w:styleId="IntenseEmphasis">
    <w:name w:val="Intense Emphasis"/>
    <w:uiPriority w:val="21"/>
    <w:qFormat/>
    <w:rsid w:val="000D0A8B"/>
    <w:rPr>
      <w:i/>
      <w:iCs/>
      <w:color w:val="4F81BD"/>
    </w:rPr>
  </w:style>
  <w:style w:type="paragraph" w:customStyle="1" w:styleId="Diagrama1CharCharDiagramaDiagramaDiagramaDiagramaDiagramaCharChar">
    <w:name w:val="Diagrama1 Char Char Diagrama Diagrama Diagrama Diagrama Diagrama Char Char"/>
    <w:basedOn w:val="Normal"/>
    <w:rsid w:val="000D0A8B"/>
    <w:pPr>
      <w:spacing w:after="160" w:line="240" w:lineRule="exact"/>
    </w:pPr>
    <w:rPr>
      <w:rFonts w:ascii="Tahoma" w:eastAsia="Times New Roman" w:hAnsi="Tahoma"/>
      <w:sz w:val="20"/>
      <w:szCs w:val="20"/>
      <w:lang w:val="en-US"/>
    </w:rPr>
  </w:style>
  <w:style w:type="character" w:customStyle="1" w:styleId="st1">
    <w:name w:val="st1"/>
    <w:basedOn w:val="DefaultParagraphFont"/>
    <w:rsid w:val="000D0A8B"/>
  </w:style>
  <w:style w:type="table" w:styleId="LightShading-Accent5">
    <w:name w:val="Light Shading Accent 5"/>
    <w:basedOn w:val="TableNormal"/>
    <w:uiPriority w:val="60"/>
    <w:rsid w:val="000D0A8B"/>
    <w:pPr>
      <w:spacing w:after="0" w:line="240" w:lineRule="auto"/>
    </w:pPr>
    <w:rPr>
      <w:rFonts w:ascii="PF Square Sans Pro" w:eastAsia="Calibri" w:hAnsi="PF Square Sans Pro" w:cs="Times New Roman"/>
      <w:color w:val="31849B"/>
      <w:sz w:val="20"/>
      <w:szCs w:val="20"/>
      <w:lang w:eastAsia="lt-LT"/>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
    <w:name w:val="Table Grid1"/>
    <w:basedOn w:val="TableNormal"/>
    <w:next w:val="TableGrid"/>
    <w:uiPriority w:val="3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0D0A8B"/>
    <w:pPr>
      <w:spacing w:after="0" w:line="240" w:lineRule="auto"/>
    </w:pPr>
    <w:rPr>
      <w:rFonts w:ascii="PF Square Sans Pro" w:eastAsia="Calibri" w:hAnsi="PF Square Sans Pro" w:cs="Times New Roman"/>
      <w:color w:val="365F91"/>
      <w:sz w:val="20"/>
      <w:szCs w:val="20"/>
      <w:lang w:eastAsia="lt-LT"/>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noteTextChar1">
    <w:name w:val="Footnote Text Char1"/>
    <w:aliases w:val="• Isnasos Char1,Footnote Text Char Char Char1,Footnote Char1,Fußnotentextf Char1,stile 1 Char1,Footnote1 Char1,Footnote2 Char1,Footnote3 Char1,Footnote4 Char1,Footnote5 Char1,Footnote6 Char1,Footnote7 Char1,Footnote8 Char1,f Char1"/>
    <w:uiPriority w:val="99"/>
    <w:semiHidden/>
    <w:locked/>
    <w:rsid w:val="000D0A8B"/>
    <w:rPr>
      <w:sz w:val="20"/>
      <w:szCs w:val="20"/>
    </w:rPr>
  </w:style>
  <w:style w:type="paragraph" w:customStyle="1" w:styleId="Heading11">
    <w:name w:val="Heading 11"/>
    <w:basedOn w:val="Normal"/>
    <w:next w:val="Normal"/>
    <w:autoRedefine/>
    <w:qFormat/>
    <w:rsid w:val="000D0A8B"/>
    <w:pPr>
      <w:keepNext/>
      <w:spacing w:before="240" w:after="240"/>
      <w:outlineLvl w:val="0"/>
    </w:pPr>
    <w:rPr>
      <w:rFonts w:ascii="PFSquareSansPro-Regular" w:hAnsi="PFSquareSansPro-Regular"/>
      <w:bCs/>
      <w:color w:val="4181B6"/>
      <w:kern w:val="32"/>
      <w:sz w:val="32"/>
      <w:szCs w:val="32"/>
      <w:lang w:eastAsia="lt-LT"/>
    </w:rPr>
  </w:style>
  <w:style w:type="paragraph" w:customStyle="1" w:styleId="Heading21">
    <w:name w:val="Heading 21"/>
    <w:basedOn w:val="Normal"/>
    <w:next w:val="Normal"/>
    <w:uiPriority w:val="9"/>
    <w:qFormat/>
    <w:rsid w:val="000D0A8B"/>
    <w:pPr>
      <w:keepNext/>
      <w:spacing w:before="240" w:after="60"/>
      <w:ind w:left="720" w:hanging="720"/>
      <w:outlineLvl w:val="1"/>
    </w:pPr>
    <w:rPr>
      <w:b/>
      <w:bCs/>
      <w:iCs/>
      <w:color w:val="002060"/>
      <w:sz w:val="28"/>
      <w:szCs w:val="28"/>
    </w:rPr>
  </w:style>
  <w:style w:type="paragraph" w:customStyle="1" w:styleId="Heading31">
    <w:name w:val="Heading 31"/>
    <w:basedOn w:val="Normal"/>
    <w:next w:val="Normal"/>
    <w:qFormat/>
    <w:rsid w:val="000D0A8B"/>
    <w:pPr>
      <w:keepNext/>
      <w:spacing w:before="240" w:after="60"/>
      <w:outlineLvl w:val="2"/>
    </w:pPr>
    <w:rPr>
      <w:rFonts w:ascii="Cambria" w:eastAsia="Times New Roman" w:hAnsi="Cambria"/>
      <w:b/>
      <w:bCs/>
      <w:sz w:val="26"/>
      <w:szCs w:val="26"/>
    </w:rPr>
  </w:style>
  <w:style w:type="paragraph" w:customStyle="1" w:styleId="Heading41">
    <w:name w:val="Heading 41"/>
    <w:basedOn w:val="Normal"/>
    <w:next w:val="Normal"/>
    <w:qFormat/>
    <w:rsid w:val="000D0A8B"/>
    <w:pPr>
      <w:keepNext/>
      <w:spacing w:before="240" w:after="60"/>
      <w:outlineLvl w:val="3"/>
    </w:pPr>
    <w:rPr>
      <w:rFonts w:ascii="Calibri" w:eastAsia="Times New Roman" w:hAnsi="Calibri"/>
      <w:b/>
      <w:bCs/>
      <w:sz w:val="28"/>
      <w:szCs w:val="28"/>
    </w:rPr>
  </w:style>
  <w:style w:type="paragraph" w:customStyle="1" w:styleId="BalloonText1">
    <w:name w:val="Balloon Text1"/>
    <w:basedOn w:val="Normal"/>
    <w:next w:val="BalloonText"/>
    <w:uiPriority w:val="99"/>
    <w:semiHidden/>
    <w:rsid w:val="000D0A8B"/>
    <w:rPr>
      <w:rFonts w:ascii="Tahoma" w:hAnsi="Tahoma" w:cs="Tahoma"/>
      <w:sz w:val="16"/>
      <w:szCs w:val="16"/>
    </w:rPr>
  </w:style>
  <w:style w:type="paragraph" w:customStyle="1" w:styleId="Footnote611">
    <w:name w:val="Footnote611"/>
    <w:next w:val="FootnoteText"/>
    <w:qFormat/>
    <w:rsid w:val="000D0A8B"/>
    <w:pPr>
      <w:spacing w:after="0" w:line="240" w:lineRule="auto"/>
    </w:pPr>
    <w:rPr>
      <w:rFonts w:ascii="Calibri" w:eastAsia="Calibri" w:hAnsi="Calibri" w:cs="Times New Roman"/>
      <w:sz w:val="20"/>
      <w:szCs w:val="20"/>
    </w:rPr>
  </w:style>
  <w:style w:type="paragraph" w:customStyle="1" w:styleId="TOC11">
    <w:name w:val="TOC 11"/>
    <w:basedOn w:val="Normal"/>
    <w:next w:val="Normal"/>
    <w:autoRedefine/>
    <w:uiPriority w:val="39"/>
    <w:rsid w:val="000D0A8B"/>
    <w:pPr>
      <w:tabs>
        <w:tab w:val="right" w:leader="dot" w:pos="9344"/>
      </w:tabs>
      <w:spacing w:before="120" w:after="120"/>
    </w:pPr>
    <w:rPr>
      <w:rFonts w:ascii="Calibri" w:eastAsia="Times New Roman" w:hAnsi="Calibri" w:cs="Calibri"/>
      <w:b/>
      <w:bCs/>
      <w:caps/>
      <w:sz w:val="20"/>
      <w:szCs w:val="20"/>
    </w:rPr>
  </w:style>
  <w:style w:type="paragraph" w:customStyle="1" w:styleId="TOC21">
    <w:name w:val="TOC 21"/>
    <w:basedOn w:val="Normal"/>
    <w:next w:val="Normal"/>
    <w:autoRedefine/>
    <w:uiPriority w:val="39"/>
    <w:rsid w:val="000D0A8B"/>
    <w:pPr>
      <w:ind w:left="240"/>
    </w:pPr>
    <w:rPr>
      <w:rFonts w:ascii="Calibri" w:eastAsia="Times New Roman" w:hAnsi="Calibri" w:cs="Calibri"/>
      <w:smallCaps/>
      <w:sz w:val="20"/>
      <w:szCs w:val="20"/>
    </w:rPr>
  </w:style>
  <w:style w:type="paragraph" w:customStyle="1" w:styleId="TOC31">
    <w:name w:val="TOC 31"/>
    <w:basedOn w:val="Normal"/>
    <w:next w:val="Normal"/>
    <w:autoRedefine/>
    <w:uiPriority w:val="39"/>
    <w:rsid w:val="000D0A8B"/>
    <w:pPr>
      <w:ind w:left="480"/>
    </w:pPr>
    <w:rPr>
      <w:rFonts w:ascii="Calibri" w:eastAsia="Times New Roman" w:hAnsi="Calibri" w:cs="Calibri"/>
      <w:i/>
      <w:iCs/>
      <w:sz w:val="20"/>
      <w:szCs w:val="20"/>
    </w:rPr>
  </w:style>
  <w:style w:type="paragraph" w:customStyle="1" w:styleId="TOC41">
    <w:name w:val="TOC 41"/>
    <w:basedOn w:val="Normal"/>
    <w:next w:val="Normal"/>
    <w:autoRedefine/>
    <w:uiPriority w:val="39"/>
    <w:rsid w:val="000D0A8B"/>
    <w:pPr>
      <w:ind w:left="720"/>
    </w:pPr>
    <w:rPr>
      <w:rFonts w:ascii="Calibri" w:eastAsia="Times New Roman" w:hAnsi="Calibri" w:cs="Calibri"/>
      <w:sz w:val="18"/>
      <w:szCs w:val="18"/>
    </w:rPr>
  </w:style>
  <w:style w:type="paragraph" w:customStyle="1" w:styleId="TOC51">
    <w:name w:val="TOC 51"/>
    <w:basedOn w:val="Normal"/>
    <w:next w:val="Normal"/>
    <w:autoRedefine/>
    <w:uiPriority w:val="39"/>
    <w:rsid w:val="000D0A8B"/>
    <w:pPr>
      <w:ind w:left="960"/>
    </w:pPr>
    <w:rPr>
      <w:rFonts w:ascii="Calibri" w:eastAsia="Times New Roman" w:hAnsi="Calibri" w:cs="Calibri"/>
      <w:sz w:val="18"/>
      <w:szCs w:val="18"/>
    </w:rPr>
  </w:style>
  <w:style w:type="paragraph" w:customStyle="1" w:styleId="TOC61">
    <w:name w:val="TOC 61"/>
    <w:basedOn w:val="Normal"/>
    <w:next w:val="Normal"/>
    <w:autoRedefine/>
    <w:uiPriority w:val="39"/>
    <w:rsid w:val="000D0A8B"/>
    <w:pPr>
      <w:ind w:left="1200"/>
    </w:pPr>
    <w:rPr>
      <w:rFonts w:ascii="Calibri" w:eastAsia="Times New Roman" w:hAnsi="Calibri" w:cs="Calibri"/>
      <w:sz w:val="18"/>
      <w:szCs w:val="18"/>
    </w:rPr>
  </w:style>
  <w:style w:type="paragraph" w:customStyle="1" w:styleId="TOC71">
    <w:name w:val="TOC 71"/>
    <w:basedOn w:val="Normal"/>
    <w:next w:val="Normal"/>
    <w:autoRedefine/>
    <w:uiPriority w:val="39"/>
    <w:rsid w:val="000D0A8B"/>
    <w:pPr>
      <w:ind w:left="1440"/>
    </w:pPr>
    <w:rPr>
      <w:rFonts w:ascii="Calibri" w:eastAsia="Times New Roman" w:hAnsi="Calibri" w:cs="Calibri"/>
      <w:sz w:val="18"/>
      <w:szCs w:val="18"/>
    </w:rPr>
  </w:style>
  <w:style w:type="paragraph" w:customStyle="1" w:styleId="TOC81">
    <w:name w:val="TOC 81"/>
    <w:basedOn w:val="Normal"/>
    <w:next w:val="Normal"/>
    <w:autoRedefine/>
    <w:uiPriority w:val="39"/>
    <w:rsid w:val="000D0A8B"/>
    <w:pPr>
      <w:ind w:left="1680"/>
    </w:pPr>
    <w:rPr>
      <w:rFonts w:ascii="Calibri" w:eastAsia="Times New Roman" w:hAnsi="Calibri" w:cs="Calibri"/>
      <w:sz w:val="18"/>
      <w:szCs w:val="18"/>
    </w:rPr>
  </w:style>
  <w:style w:type="paragraph" w:customStyle="1" w:styleId="TOC91">
    <w:name w:val="TOC 91"/>
    <w:basedOn w:val="Normal"/>
    <w:next w:val="Normal"/>
    <w:autoRedefine/>
    <w:uiPriority w:val="39"/>
    <w:rsid w:val="000D0A8B"/>
    <w:pPr>
      <w:ind w:left="1920"/>
    </w:pPr>
    <w:rPr>
      <w:rFonts w:ascii="Calibri" w:eastAsia="Times New Roman" w:hAnsi="Calibri" w:cs="Calibri"/>
      <w:sz w:val="18"/>
      <w:szCs w:val="18"/>
    </w:rPr>
  </w:style>
  <w:style w:type="paragraph" w:customStyle="1" w:styleId="TabelOverskrift1">
    <w:name w:val="TabelOverskrift1"/>
    <w:basedOn w:val="Normal"/>
    <w:next w:val="Pagrindinispaprastastekstas"/>
    <w:uiPriority w:val="35"/>
    <w:qFormat/>
    <w:rsid w:val="000D0A8B"/>
    <w:pPr>
      <w:spacing w:after="60"/>
    </w:pPr>
    <w:rPr>
      <w:rFonts w:ascii="Cambria" w:eastAsia="Times New Roman" w:hAnsi="Cambria"/>
      <w:b/>
      <w:bCs/>
      <w:color w:val="00478A"/>
      <w:sz w:val="22"/>
      <w:szCs w:val="22"/>
    </w:rPr>
  </w:style>
  <w:style w:type="paragraph" w:customStyle="1" w:styleId="BodyText1">
    <w:name w:val="Body Text1"/>
    <w:basedOn w:val="Normal"/>
    <w:next w:val="BodyText"/>
    <w:rsid w:val="000D0A8B"/>
    <w:pPr>
      <w:spacing w:after="120"/>
    </w:pPr>
    <w:rPr>
      <w:rFonts w:ascii="Calibri" w:hAnsi="Calibri"/>
      <w:sz w:val="22"/>
      <w:szCs w:val="22"/>
    </w:rPr>
  </w:style>
  <w:style w:type="paragraph" w:customStyle="1" w:styleId="TableofFigures1">
    <w:name w:val="Table of Figures1"/>
    <w:basedOn w:val="Normal"/>
    <w:next w:val="Normal"/>
    <w:uiPriority w:val="99"/>
    <w:rsid w:val="000D0A8B"/>
    <w:rPr>
      <w:rFonts w:ascii="Cambria" w:hAnsi="Cambria"/>
      <w:sz w:val="22"/>
    </w:rPr>
  </w:style>
  <w:style w:type="paragraph" w:customStyle="1" w:styleId="BodyText21">
    <w:name w:val="Body Text 21"/>
    <w:basedOn w:val="Normal"/>
    <w:next w:val="BodyText2"/>
    <w:uiPriority w:val="99"/>
    <w:semiHidden/>
    <w:rsid w:val="000D0A8B"/>
    <w:pPr>
      <w:spacing w:after="120" w:line="480" w:lineRule="auto"/>
    </w:pPr>
  </w:style>
  <w:style w:type="paragraph" w:customStyle="1" w:styleId="CommentSubject1">
    <w:name w:val="Comment Subject1"/>
    <w:basedOn w:val="CommentText"/>
    <w:next w:val="CommentText"/>
    <w:uiPriority w:val="99"/>
    <w:semiHidden/>
    <w:rsid w:val="000D0A8B"/>
    <w:rPr>
      <w:rFonts w:eastAsia="Calibri"/>
      <w:b/>
      <w:bCs/>
    </w:rPr>
  </w:style>
  <w:style w:type="paragraph" w:customStyle="1" w:styleId="BlockText1">
    <w:name w:val="Block Text1"/>
    <w:basedOn w:val="Default"/>
    <w:next w:val="Default"/>
    <w:uiPriority w:val="99"/>
    <w:rsid w:val="000D0A8B"/>
    <w:pPr>
      <w:widowControl w:val="0"/>
    </w:pPr>
    <w:rPr>
      <w:rFonts w:ascii="Arial" w:hAnsi="Arial"/>
      <w:color w:val="auto"/>
      <w:lang w:val="en-US" w:eastAsia="en-US"/>
    </w:rPr>
  </w:style>
  <w:style w:type="paragraph" w:customStyle="1" w:styleId="DocumentMap1">
    <w:name w:val="Document Map1"/>
    <w:basedOn w:val="Normal"/>
    <w:next w:val="DocumentMap"/>
    <w:rsid w:val="000D0A8B"/>
    <w:rPr>
      <w:rFonts w:ascii="Tahoma" w:hAnsi="Tahoma" w:cs="Tahoma"/>
      <w:sz w:val="16"/>
      <w:szCs w:val="16"/>
    </w:rPr>
  </w:style>
  <w:style w:type="paragraph" w:customStyle="1" w:styleId="Revision1">
    <w:name w:val="Revision1"/>
    <w:next w:val="Revision"/>
    <w:uiPriority w:val="99"/>
    <w:semiHidden/>
    <w:rsid w:val="000D0A8B"/>
    <w:pPr>
      <w:spacing w:after="0" w:line="240" w:lineRule="auto"/>
    </w:pPr>
    <w:rPr>
      <w:rFonts w:ascii="Times New Roman" w:eastAsia="Calibri" w:hAnsi="Times New Roman" w:cs="Times New Roman"/>
      <w:sz w:val="24"/>
      <w:szCs w:val="24"/>
    </w:rPr>
  </w:style>
  <w:style w:type="paragraph" w:customStyle="1" w:styleId="TOC12">
    <w:name w:val="TOC 12"/>
    <w:basedOn w:val="Normal"/>
    <w:next w:val="Normal"/>
    <w:autoRedefine/>
    <w:uiPriority w:val="39"/>
    <w:rsid w:val="000D0A8B"/>
    <w:pPr>
      <w:tabs>
        <w:tab w:val="right" w:leader="dot" w:pos="9344"/>
      </w:tabs>
      <w:spacing w:before="120" w:after="120"/>
    </w:pPr>
    <w:rPr>
      <w:rFonts w:ascii="Calibri" w:eastAsia="Times New Roman" w:hAnsi="Calibri" w:cs="Calibri"/>
      <w:b/>
      <w:bCs/>
      <w:caps/>
      <w:sz w:val="20"/>
      <w:szCs w:val="20"/>
    </w:rPr>
  </w:style>
  <w:style w:type="paragraph" w:customStyle="1" w:styleId="TOC22">
    <w:name w:val="TOC 22"/>
    <w:basedOn w:val="Normal"/>
    <w:next w:val="Normal"/>
    <w:autoRedefine/>
    <w:uiPriority w:val="39"/>
    <w:rsid w:val="000D0A8B"/>
    <w:pPr>
      <w:ind w:left="240"/>
    </w:pPr>
    <w:rPr>
      <w:rFonts w:ascii="Calibri" w:eastAsia="Times New Roman" w:hAnsi="Calibri" w:cs="Calibri"/>
      <w:smallCaps/>
      <w:sz w:val="20"/>
      <w:szCs w:val="20"/>
    </w:rPr>
  </w:style>
  <w:style w:type="paragraph" w:customStyle="1" w:styleId="TOC32">
    <w:name w:val="TOC 32"/>
    <w:basedOn w:val="Normal"/>
    <w:next w:val="Normal"/>
    <w:autoRedefine/>
    <w:uiPriority w:val="39"/>
    <w:rsid w:val="000D0A8B"/>
    <w:pPr>
      <w:ind w:left="480"/>
    </w:pPr>
    <w:rPr>
      <w:rFonts w:ascii="Calibri" w:eastAsia="Times New Roman" w:hAnsi="Calibri" w:cs="Calibri"/>
      <w:i/>
      <w:iCs/>
      <w:sz w:val="20"/>
      <w:szCs w:val="20"/>
    </w:rPr>
  </w:style>
  <w:style w:type="paragraph" w:customStyle="1" w:styleId="TOC42">
    <w:name w:val="TOC 42"/>
    <w:basedOn w:val="Normal"/>
    <w:next w:val="Normal"/>
    <w:autoRedefine/>
    <w:uiPriority w:val="39"/>
    <w:rsid w:val="000D0A8B"/>
    <w:pPr>
      <w:ind w:left="720"/>
    </w:pPr>
    <w:rPr>
      <w:rFonts w:ascii="Calibri" w:eastAsia="Times New Roman" w:hAnsi="Calibri" w:cs="Calibri"/>
      <w:sz w:val="18"/>
      <w:szCs w:val="18"/>
    </w:rPr>
  </w:style>
  <w:style w:type="paragraph" w:customStyle="1" w:styleId="TOC52">
    <w:name w:val="TOC 52"/>
    <w:basedOn w:val="Normal"/>
    <w:next w:val="Normal"/>
    <w:autoRedefine/>
    <w:uiPriority w:val="39"/>
    <w:rsid w:val="000D0A8B"/>
    <w:pPr>
      <w:ind w:left="960"/>
    </w:pPr>
    <w:rPr>
      <w:rFonts w:ascii="Calibri" w:eastAsia="Times New Roman" w:hAnsi="Calibri" w:cs="Calibri"/>
      <w:sz w:val="18"/>
      <w:szCs w:val="18"/>
    </w:rPr>
  </w:style>
  <w:style w:type="paragraph" w:customStyle="1" w:styleId="TOC62">
    <w:name w:val="TOC 62"/>
    <w:basedOn w:val="Normal"/>
    <w:next w:val="Normal"/>
    <w:autoRedefine/>
    <w:uiPriority w:val="39"/>
    <w:rsid w:val="000D0A8B"/>
    <w:pPr>
      <w:ind w:left="1200"/>
    </w:pPr>
    <w:rPr>
      <w:rFonts w:ascii="Calibri" w:eastAsia="Times New Roman" w:hAnsi="Calibri" w:cs="Calibri"/>
      <w:sz w:val="18"/>
      <w:szCs w:val="18"/>
    </w:rPr>
  </w:style>
  <w:style w:type="paragraph" w:customStyle="1" w:styleId="TOC72">
    <w:name w:val="TOC 72"/>
    <w:basedOn w:val="Normal"/>
    <w:next w:val="Normal"/>
    <w:autoRedefine/>
    <w:uiPriority w:val="39"/>
    <w:rsid w:val="000D0A8B"/>
    <w:pPr>
      <w:ind w:left="1440"/>
    </w:pPr>
    <w:rPr>
      <w:rFonts w:ascii="Calibri" w:eastAsia="Times New Roman" w:hAnsi="Calibri" w:cs="Calibri"/>
      <w:sz w:val="18"/>
      <w:szCs w:val="18"/>
    </w:rPr>
  </w:style>
  <w:style w:type="paragraph" w:customStyle="1" w:styleId="TOC82">
    <w:name w:val="TOC 82"/>
    <w:basedOn w:val="Normal"/>
    <w:next w:val="Normal"/>
    <w:autoRedefine/>
    <w:uiPriority w:val="39"/>
    <w:rsid w:val="000D0A8B"/>
    <w:pPr>
      <w:ind w:left="1680"/>
    </w:pPr>
    <w:rPr>
      <w:rFonts w:ascii="Calibri" w:eastAsia="Times New Roman" w:hAnsi="Calibri" w:cs="Calibri"/>
      <w:sz w:val="18"/>
      <w:szCs w:val="18"/>
    </w:rPr>
  </w:style>
  <w:style w:type="paragraph" w:customStyle="1" w:styleId="TOC92">
    <w:name w:val="TOC 92"/>
    <w:basedOn w:val="Normal"/>
    <w:next w:val="Normal"/>
    <w:autoRedefine/>
    <w:uiPriority w:val="39"/>
    <w:rsid w:val="000D0A8B"/>
    <w:pPr>
      <w:ind w:left="1920"/>
    </w:pPr>
    <w:rPr>
      <w:rFonts w:ascii="Calibri" w:eastAsia="Times New Roman" w:hAnsi="Calibri" w:cs="Calibri"/>
      <w:sz w:val="18"/>
      <w:szCs w:val="18"/>
    </w:rPr>
  </w:style>
  <w:style w:type="paragraph" w:customStyle="1" w:styleId="TableofFigures2">
    <w:name w:val="Table of Figures2"/>
    <w:basedOn w:val="Normal"/>
    <w:next w:val="Normal"/>
    <w:uiPriority w:val="99"/>
    <w:rsid w:val="000D0A8B"/>
    <w:rPr>
      <w:rFonts w:ascii="Cambria" w:hAnsi="Cambria"/>
      <w:sz w:val="22"/>
    </w:rPr>
  </w:style>
  <w:style w:type="paragraph" w:customStyle="1" w:styleId="BlockText2">
    <w:name w:val="Block Text2"/>
    <w:basedOn w:val="Default"/>
    <w:next w:val="Default"/>
    <w:uiPriority w:val="99"/>
    <w:rsid w:val="000D0A8B"/>
    <w:pPr>
      <w:widowControl w:val="0"/>
    </w:pPr>
    <w:rPr>
      <w:rFonts w:ascii="Arial" w:hAnsi="Arial"/>
      <w:color w:val="auto"/>
      <w:lang w:val="en-US" w:eastAsia="en-US"/>
    </w:rPr>
  </w:style>
  <w:style w:type="paragraph" w:customStyle="1" w:styleId="TOC13">
    <w:name w:val="TOC 13"/>
    <w:basedOn w:val="Normal"/>
    <w:next w:val="Normal"/>
    <w:autoRedefine/>
    <w:uiPriority w:val="39"/>
    <w:rsid w:val="000D0A8B"/>
    <w:pPr>
      <w:tabs>
        <w:tab w:val="right" w:leader="dot" w:pos="9344"/>
      </w:tabs>
      <w:spacing w:before="120" w:after="120"/>
    </w:pPr>
    <w:rPr>
      <w:rFonts w:ascii="Calibri" w:eastAsia="Times New Roman" w:hAnsi="Calibri" w:cs="Calibri"/>
      <w:b/>
      <w:bCs/>
      <w:caps/>
      <w:sz w:val="20"/>
      <w:szCs w:val="20"/>
    </w:rPr>
  </w:style>
  <w:style w:type="paragraph" w:customStyle="1" w:styleId="TOC23">
    <w:name w:val="TOC 23"/>
    <w:basedOn w:val="Normal"/>
    <w:next w:val="Normal"/>
    <w:autoRedefine/>
    <w:uiPriority w:val="39"/>
    <w:rsid w:val="000D0A8B"/>
    <w:pPr>
      <w:ind w:left="240"/>
    </w:pPr>
    <w:rPr>
      <w:rFonts w:ascii="Calibri" w:eastAsia="Times New Roman" w:hAnsi="Calibri" w:cs="Calibri"/>
      <w:smallCaps/>
      <w:sz w:val="20"/>
      <w:szCs w:val="20"/>
    </w:rPr>
  </w:style>
  <w:style w:type="paragraph" w:customStyle="1" w:styleId="TOC33">
    <w:name w:val="TOC 33"/>
    <w:basedOn w:val="Normal"/>
    <w:next w:val="Normal"/>
    <w:autoRedefine/>
    <w:uiPriority w:val="39"/>
    <w:rsid w:val="000D0A8B"/>
    <w:pPr>
      <w:ind w:left="480"/>
    </w:pPr>
    <w:rPr>
      <w:rFonts w:ascii="Calibri" w:eastAsia="Times New Roman" w:hAnsi="Calibri" w:cs="Calibri"/>
      <w:i/>
      <w:iCs/>
      <w:sz w:val="20"/>
      <w:szCs w:val="20"/>
    </w:rPr>
  </w:style>
  <w:style w:type="paragraph" w:customStyle="1" w:styleId="TOC43">
    <w:name w:val="TOC 43"/>
    <w:basedOn w:val="Normal"/>
    <w:next w:val="Normal"/>
    <w:autoRedefine/>
    <w:uiPriority w:val="39"/>
    <w:rsid w:val="000D0A8B"/>
    <w:pPr>
      <w:ind w:left="720"/>
    </w:pPr>
    <w:rPr>
      <w:rFonts w:ascii="Calibri" w:eastAsia="Times New Roman" w:hAnsi="Calibri" w:cs="Calibri"/>
      <w:sz w:val="18"/>
      <w:szCs w:val="18"/>
    </w:rPr>
  </w:style>
  <w:style w:type="paragraph" w:customStyle="1" w:styleId="TOC53">
    <w:name w:val="TOC 53"/>
    <w:basedOn w:val="Normal"/>
    <w:next w:val="Normal"/>
    <w:autoRedefine/>
    <w:uiPriority w:val="39"/>
    <w:rsid w:val="000D0A8B"/>
    <w:pPr>
      <w:ind w:left="960"/>
    </w:pPr>
    <w:rPr>
      <w:rFonts w:ascii="Calibri" w:eastAsia="Times New Roman" w:hAnsi="Calibri" w:cs="Calibri"/>
      <w:sz w:val="18"/>
      <w:szCs w:val="18"/>
    </w:rPr>
  </w:style>
  <w:style w:type="paragraph" w:customStyle="1" w:styleId="TOC63">
    <w:name w:val="TOC 63"/>
    <w:basedOn w:val="Normal"/>
    <w:next w:val="Normal"/>
    <w:autoRedefine/>
    <w:uiPriority w:val="39"/>
    <w:rsid w:val="000D0A8B"/>
    <w:pPr>
      <w:ind w:left="1200"/>
    </w:pPr>
    <w:rPr>
      <w:rFonts w:ascii="Calibri" w:eastAsia="Times New Roman" w:hAnsi="Calibri" w:cs="Calibri"/>
      <w:sz w:val="18"/>
      <w:szCs w:val="18"/>
    </w:rPr>
  </w:style>
  <w:style w:type="paragraph" w:customStyle="1" w:styleId="TOC73">
    <w:name w:val="TOC 73"/>
    <w:basedOn w:val="Normal"/>
    <w:next w:val="Normal"/>
    <w:autoRedefine/>
    <w:uiPriority w:val="39"/>
    <w:rsid w:val="000D0A8B"/>
    <w:pPr>
      <w:ind w:left="1440"/>
    </w:pPr>
    <w:rPr>
      <w:rFonts w:ascii="Calibri" w:eastAsia="Times New Roman" w:hAnsi="Calibri" w:cs="Calibri"/>
      <w:sz w:val="18"/>
      <w:szCs w:val="18"/>
    </w:rPr>
  </w:style>
  <w:style w:type="paragraph" w:customStyle="1" w:styleId="TOC83">
    <w:name w:val="TOC 83"/>
    <w:basedOn w:val="Normal"/>
    <w:next w:val="Normal"/>
    <w:autoRedefine/>
    <w:uiPriority w:val="39"/>
    <w:rsid w:val="000D0A8B"/>
    <w:pPr>
      <w:ind w:left="1680"/>
    </w:pPr>
    <w:rPr>
      <w:rFonts w:ascii="Calibri" w:eastAsia="Times New Roman" w:hAnsi="Calibri" w:cs="Calibri"/>
      <w:sz w:val="18"/>
      <w:szCs w:val="18"/>
    </w:rPr>
  </w:style>
  <w:style w:type="paragraph" w:customStyle="1" w:styleId="TOC93">
    <w:name w:val="TOC 93"/>
    <w:basedOn w:val="Normal"/>
    <w:next w:val="Normal"/>
    <w:autoRedefine/>
    <w:uiPriority w:val="39"/>
    <w:rsid w:val="000D0A8B"/>
    <w:pPr>
      <w:ind w:left="1920"/>
    </w:pPr>
    <w:rPr>
      <w:rFonts w:ascii="Calibri" w:eastAsia="Times New Roman" w:hAnsi="Calibri" w:cs="Calibri"/>
      <w:sz w:val="18"/>
      <w:szCs w:val="18"/>
    </w:rPr>
  </w:style>
  <w:style w:type="paragraph" w:customStyle="1" w:styleId="TableofFigures3">
    <w:name w:val="Table of Figures3"/>
    <w:basedOn w:val="Normal"/>
    <w:next w:val="Normal"/>
    <w:uiPriority w:val="99"/>
    <w:rsid w:val="000D0A8B"/>
    <w:rPr>
      <w:rFonts w:ascii="Cambria" w:hAnsi="Cambria"/>
      <w:sz w:val="22"/>
    </w:rPr>
  </w:style>
  <w:style w:type="paragraph" w:customStyle="1" w:styleId="BlockText3">
    <w:name w:val="Block Text3"/>
    <w:basedOn w:val="Default"/>
    <w:next w:val="Default"/>
    <w:uiPriority w:val="99"/>
    <w:rsid w:val="000D0A8B"/>
    <w:pPr>
      <w:widowControl w:val="0"/>
    </w:pPr>
    <w:rPr>
      <w:rFonts w:ascii="Arial" w:hAnsi="Arial"/>
      <w:color w:val="auto"/>
      <w:lang w:val="en-US" w:eastAsia="en-US"/>
    </w:rPr>
  </w:style>
  <w:style w:type="paragraph" w:customStyle="1" w:styleId="TOC14">
    <w:name w:val="TOC 14"/>
    <w:basedOn w:val="Normal"/>
    <w:next w:val="Normal"/>
    <w:autoRedefine/>
    <w:uiPriority w:val="39"/>
    <w:rsid w:val="000D0A8B"/>
    <w:pPr>
      <w:tabs>
        <w:tab w:val="right" w:leader="dot" w:pos="9344"/>
      </w:tabs>
      <w:spacing w:before="120" w:after="120"/>
    </w:pPr>
    <w:rPr>
      <w:rFonts w:ascii="Calibri" w:eastAsia="Times New Roman" w:hAnsi="Calibri" w:cs="Calibri"/>
      <w:b/>
      <w:bCs/>
      <w:caps/>
      <w:sz w:val="20"/>
      <w:szCs w:val="20"/>
    </w:rPr>
  </w:style>
  <w:style w:type="paragraph" w:customStyle="1" w:styleId="TOC24">
    <w:name w:val="TOC 24"/>
    <w:basedOn w:val="Normal"/>
    <w:next w:val="Normal"/>
    <w:autoRedefine/>
    <w:uiPriority w:val="39"/>
    <w:rsid w:val="000D0A8B"/>
    <w:pPr>
      <w:ind w:left="240"/>
    </w:pPr>
    <w:rPr>
      <w:rFonts w:ascii="Calibri" w:eastAsia="Times New Roman" w:hAnsi="Calibri" w:cs="Calibri"/>
      <w:smallCaps/>
      <w:sz w:val="20"/>
      <w:szCs w:val="20"/>
    </w:rPr>
  </w:style>
  <w:style w:type="paragraph" w:customStyle="1" w:styleId="TOC34">
    <w:name w:val="TOC 34"/>
    <w:basedOn w:val="Normal"/>
    <w:next w:val="Normal"/>
    <w:autoRedefine/>
    <w:uiPriority w:val="39"/>
    <w:rsid w:val="000D0A8B"/>
    <w:pPr>
      <w:ind w:left="480"/>
    </w:pPr>
    <w:rPr>
      <w:rFonts w:ascii="Calibri" w:eastAsia="Times New Roman" w:hAnsi="Calibri" w:cs="Calibri"/>
      <w:i/>
      <w:iCs/>
      <w:sz w:val="20"/>
      <w:szCs w:val="20"/>
    </w:rPr>
  </w:style>
  <w:style w:type="paragraph" w:customStyle="1" w:styleId="TOC44">
    <w:name w:val="TOC 44"/>
    <w:basedOn w:val="Normal"/>
    <w:next w:val="Normal"/>
    <w:autoRedefine/>
    <w:uiPriority w:val="39"/>
    <w:rsid w:val="000D0A8B"/>
    <w:pPr>
      <w:ind w:left="720"/>
    </w:pPr>
    <w:rPr>
      <w:rFonts w:ascii="Calibri" w:eastAsia="Times New Roman" w:hAnsi="Calibri" w:cs="Calibri"/>
      <w:sz w:val="18"/>
      <w:szCs w:val="18"/>
    </w:rPr>
  </w:style>
  <w:style w:type="paragraph" w:customStyle="1" w:styleId="TOC54">
    <w:name w:val="TOC 54"/>
    <w:basedOn w:val="Normal"/>
    <w:next w:val="Normal"/>
    <w:autoRedefine/>
    <w:uiPriority w:val="39"/>
    <w:rsid w:val="000D0A8B"/>
    <w:pPr>
      <w:ind w:left="960"/>
    </w:pPr>
    <w:rPr>
      <w:rFonts w:ascii="Calibri" w:eastAsia="Times New Roman" w:hAnsi="Calibri" w:cs="Calibri"/>
      <w:sz w:val="18"/>
      <w:szCs w:val="18"/>
    </w:rPr>
  </w:style>
  <w:style w:type="paragraph" w:customStyle="1" w:styleId="TOC64">
    <w:name w:val="TOC 64"/>
    <w:basedOn w:val="Normal"/>
    <w:next w:val="Normal"/>
    <w:autoRedefine/>
    <w:uiPriority w:val="39"/>
    <w:rsid w:val="000D0A8B"/>
    <w:pPr>
      <w:ind w:left="1200"/>
    </w:pPr>
    <w:rPr>
      <w:rFonts w:ascii="Calibri" w:eastAsia="Times New Roman" w:hAnsi="Calibri" w:cs="Calibri"/>
      <w:sz w:val="18"/>
      <w:szCs w:val="18"/>
    </w:rPr>
  </w:style>
  <w:style w:type="paragraph" w:customStyle="1" w:styleId="TOC74">
    <w:name w:val="TOC 74"/>
    <w:basedOn w:val="Normal"/>
    <w:next w:val="Normal"/>
    <w:autoRedefine/>
    <w:uiPriority w:val="39"/>
    <w:rsid w:val="000D0A8B"/>
    <w:pPr>
      <w:ind w:left="1440"/>
    </w:pPr>
    <w:rPr>
      <w:rFonts w:ascii="Calibri" w:eastAsia="Times New Roman" w:hAnsi="Calibri" w:cs="Calibri"/>
      <w:sz w:val="18"/>
      <w:szCs w:val="18"/>
    </w:rPr>
  </w:style>
  <w:style w:type="paragraph" w:customStyle="1" w:styleId="TOC84">
    <w:name w:val="TOC 84"/>
    <w:basedOn w:val="Normal"/>
    <w:next w:val="Normal"/>
    <w:autoRedefine/>
    <w:uiPriority w:val="39"/>
    <w:rsid w:val="000D0A8B"/>
    <w:pPr>
      <w:ind w:left="1680"/>
    </w:pPr>
    <w:rPr>
      <w:rFonts w:ascii="Calibri" w:eastAsia="Times New Roman" w:hAnsi="Calibri" w:cs="Calibri"/>
      <w:sz w:val="18"/>
      <w:szCs w:val="18"/>
    </w:rPr>
  </w:style>
  <w:style w:type="paragraph" w:customStyle="1" w:styleId="TOC94">
    <w:name w:val="TOC 94"/>
    <w:basedOn w:val="Normal"/>
    <w:next w:val="Normal"/>
    <w:autoRedefine/>
    <w:uiPriority w:val="39"/>
    <w:rsid w:val="000D0A8B"/>
    <w:pPr>
      <w:ind w:left="1920"/>
    </w:pPr>
    <w:rPr>
      <w:rFonts w:ascii="Calibri" w:eastAsia="Times New Roman" w:hAnsi="Calibri" w:cs="Calibri"/>
      <w:sz w:val="18"/>
      <w:szCs w:val="18"/>
    </w:rPr>
  </w:style>
  <w:style w:type="paragraph" w:customStyle="1" w:styleId="TableofFigures4">
    <w:name w:val="Table of Figures4"/>
    <w:basedOn w:val="Normal"/>
    <w:next w:val="Normal"/>
    <w:uiPriority w:val="99"/>
    <w:rsid w:val="000D0A8B"/>
    <w:rPr>
      <w:rFonts w:ascii="Cambria" w:hAnsi="Cambria"/>
      <w:sz w:val="22"/>
    </w:rPr>
  </w:style>
  <w:style w:type="paragraph" w:customStyle="1" w:styleId="BlockText4">
    <w:name w:val="Block Text4"/>
    <w:basedOn w:val="Default"/>
    <w:next w:val="Default"/>
    <w:uiPriority w:val="99"/>
    <w:rsid w:val="000D0A8B"/>
    <w:pPr>
      <w:widowControl w:val="0"/>
    </w:pPr>
    <w:rPr>
      <w:rFonts w:ascii="Arial" w:hAnsi="Arial"/>
      <w:color w:val="auto"/>
      <w:lang w:val="en-US" w:eastAsia="en-US"/>
    </w:rPr>
  </w:style>
  <w:style w:type="character" w:customStyle="1" w:styleId="FootnoteReferenceNumber1">
    <w:name w:val="Footnote Reference Number1"/>
    <w:uiPriority w:val="99"/>
    <w:qFormat/>
    <w:rsid w:val="000D0A8B"/>
    <w:rPr>
      <w:rFonts w:ascii="Cambria" w:hAnsi="Cambria" w:hint="default"/>
      <w:strike w:val="0"/>
      <w:dstrike w:val="0"/>
      <w:sz w:val="22"/>
      <w:u w:val="none"/>
      <w:effect w:val="none"/>
      <w:vertAlign w:val="superscript"/>
      <w:lang w:val="lt-LT"/>
    </w:rPr>
  </w:style>
  <w:style w:type="character" w:customStyle="1" w:styleId="IntenseEmphasis1">
    <w:name w:val="Intense Emphasis1"/>
    <w:uiPriority w:val="21"/>
    <w:qFormat/>
    <w:rsid w:val="000D0A8B"/>
    <w:rPr>
      <w:i/>
      <w:iCs/>
      <w:color w:val="4F81BD"/>
    </w:rPr>
  </w:style>
  <w:style w:type="character" w:customStyle="1" w:styleId="Heading1Char1">
    <w:name w:val="Heading 1 Char1"/>
    <w:uiPriority w:val="9"/>
    <w:rsid w:val="000D0A8B"/>
    <w:rPr>
      <w:rFonts w:ascii="Cambria" w:eastAsia="Times New Roman" w:hAnsi="Cambria" w:cs="Times New Roman" w:hint="default"/>
      <w:b/>
      <w:bCs/>
      <w:color w:val="365F91"/>
      <w:sz w:val="28"/>
      <w:szCs w:val="28"/>
    </w:rPr>
  </w:style>
  <w:style w:type="character" w:customStyle="1" w:styleId="Heading2Char1">
    <w:name w:val="Heading 2 Char1"/>
    <w:uiPriority w:val="9"/>
    <w:semiHidden/>
    <w:rsid w:val="000D0A8B"/>
    <w:rPr>
      <w:rFonts w:ascii="Cambria" w:eastAsia="Times New Roman" w:hAnsi="Cambria" w:cs="Times New Roman" w:hint="default"/>
      <w:b/>
      <w:bCs/>
      <w:color w:val="4F81BD"/>
      <w:sz w:val="26"/>
      <w:szCs w:val="26"/>
    </w:rPr>
  </w:style>
  <w:style w:type="character" w:customStyle="1" w:styleId="Heading3Char1">
    <w:name w:val="Heading 3 Char1"/>
    <w:uiPriority w:val="9"/>
    <w:semiHidden/>
    <w:rsid w:val="000D0A8B"/>
    <w:rPr>
      <w:rFonts w:ascii="Cambria" w:eastAsia="Times New Roman" w:hAnsi="Cambria" w:cs="Times New Roman" w:hint="default"/>
      <w:b/>
      <w:bCs/>
      <w:color w:val="4F81BD"/>
    </w:rPr>
  </w:style>
  <w:style w:type="character" w:customStyle="1" w:styleId="Heading4Char1">
    <w:name w:val="Heading 4 Char1"/>
    <w:uiPriority w:val="9"/>
    <w:semiHidden/>
    <w:rsid w:val="000D0A8B"/>
    <w:rPr>
      <w:rFonts w:ascii="Cambria" w:eastAsia="Times New Roman" w:hAnsi="Cambria" w:cs="Times New Roman" w:hint="default"/>
      <w:b/>
      <w:bCs/>
      <w:i/>
      <w:iCs/>
      <w:color w:val="4F81BD"/>
    </w:rPr>
  </w:style>
  <w:style w:type="character" w:customStyle="1" w:styleId="BalloonTextChar1">
    <w:name w:val="Balloon Text Char1"/>
    <w:uiPriority w:val="99"/>
    <w:semiHidden/>
    <w:locked/>
    <w:rsid w:val="000D0A8B"/>
    <w:rPr>
      <w:rFonts w:ascii="Tahoma" w:hAnsi="Tahoma" w:cs="Tahoma"/>
      <w:sz w:val="16"/>
      <w:szCs w:val="16"/>
    </w:rPr>
  </w:style>
  <w:style w:type="character" w:customStyle="1" w:styleId="BodyTextChar1">
    <w:name w:val="Body Text Char1"/>
    <w:uiPriority w:val="99"/>
    <w:semiHidden/>
    <w:locked/>
    <w:rsid w:val="000D0A8B"/>
    <w:rPr>
      <w:rFonts w:ascii="Calibri" w:hAnsi="Calibri" w:cs="Times New Roman"/>
    </w:rPr>
  </w:style>
  <w:style w:type="character" w:customStyle="1" w:styleId="BodyText2Char1">
    <w:name w:val="Body Text 2 Char1"/>
    <w:aliases w:val="Diagrama Diagrama Char1"/>
    <w:semiHidden/>
    <w:locked/>
    <w:rsid w:val="000D0A8B"/>
    <w:rPr>
      <w:rFonts w:ascii="Calibri" w:hAnsi="Calibri" w:cs="Times New Roman"/>
    </w:rPr>
  </w:style>
  <w:style w:type="character" w:customStyle="1" w:styleId="CommentSubjectChar1">
    <w:name w:val="Comment Subject Char1"/>
    <w:uiPriority w:val="99"/>
    <w:semiHidden/>
    <w:rsid w:val="000D0A8B"/>
    <w:rPr>
      <w:rFonts w:ascii="Times New Roman" w:eastAsia="Times New Roman" w:hAnsi="Times New Roman" w:cs="Times New Roman" w:hint="default"/>
      <w:b/>
      <w:bCs/>
      <w:sz w:val="20"/>
      <w:szCs w:val="20"/>
    </w:rPr>
  </w:style>
  <w:style w:type="character" w:customStyle="1" w:styleId="DocumentMapChar1">
    <w:name w:val="Document Map Char1"/>
    <w:uiPriority w:val="99"/>
    <w:semiHidden/>
    <w:locked/>
    <w:rsid w:val="000D0A8B"/>
    <w:rPr>
      <w:rFonts w:ascii="Tahoma" w:hAnsi="Tahoma" w:cs="Tahoma"/>
      <w:sz w:val="16"/>
      <w:szCs w:val="16"/>
    </w:rPr>
  </w:style>
  <w:style w:type="table" w:customStyle="1" w:styleId="TableColumns31">
    <w:name w:val="Table Columns 31"/>
    <w:basedOn w:val="TableNormal"/>
    <w:rsid w:val="000D0A8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32">
    <w:name w:val="Table Columns 32"/>
    <w:basedOn w:val="TableNormal"/>
    <w:rsid w:val="000D0A8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33">
    <w:name w:val="Table Columns 33"/>
    <w:basedOn w:val="TableNormal"/>
    <w:rsid w:val="000D0A8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0D0A8B"/>
  </w:style>
  <w:style w:type="numbering" w:customStyle="1" w:styleId="NoList2">
    <w:name w:val="No List2"/>
    <w:next w:val="NoList"/>
    <w:uiPriority w:val="99"/>
    <w:semiHidden/>
    <w:unhideWhenUsed/>
    <w:rsid w:val="000D0A8B"/>
  </w:style>
  <w:style w:type="numbering" w:customStyle="1" w:styleId="NoList3">
    <w:name w:val="No List3"/>
    <w:next w:val="NoList"/>
    <w:uiPriority w:val="99"/>
    <w:semiHidden/>
    <w:unhideWhenUsed/>
    <w:rsid w:val="000D0A8B"/>
  </w:style>
  <w:style w:type="numbering" w:customStyle="1" w:styleId="NoList4">
    <w:name w:val="No List4"/>
    <w:next w:val="NoList"/>
    <w:uiPriority w:val="99"/>
    <w:semiHidden/>
    <w:unhideWhenUsed/>
    <w:rsid w:val="000D0A8B"/>
  </w:style>
  <w:style w:type="table" w:customStyle="1" w:styleId="TableGrid5">
    <w:name w:val="Table Grid5"/>
    <w:basedOn w:val="TableNormal"/>
    <w:next w:val="TableGrid"/>
    <w:uiPriority w:val="39"/>
    <w:rsid w:val="000D0A8B"/>
    <w:pPr>
      <w:spacing w:after="0" w:line="240" w:lineRule="auto"/>
    </w:pPr>
    <w:rPr>
      <w:rFonts w:ascii="Cambria" w:eastAsia="Calibri" w:hAnsi="Cambria"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0D0A8B"/>
    <w:pPr>
      <w:spacing w:before="100" w:beforeAutospacing="1" w:after="100" w:afterAutospacing="1"/>
    </w:pPr>
    <w:rPr>
      <w:rFonts w:ascii="Arial" w:eastAsia="Times New Roman" w:hAnsi="Arial" w:cs="Arial"/>
      <w:b/>
      <w:bCs/>
      <w:color w:val="000000"/>
      <w:sz w:val="18"/>
      <w:szCs w:val="18"/>
      <w:lang w:eastAsia="lt-LT"/>
    </w:rPr>
  </w:style>
  <w:style w:type="paragraph" w:customStyle="1" w:styleId="font6">
    <w:name w:val="font6"/>
    <w:basedOn w:val="Normal"/>
    <w:rsid w:val="000D0A8B"/>
    <w:pPr>
      <w:spacing w:before="100" w:beforeAutospacing="1" w:after="100" w:afterAutospacing="1"/>
    </w:pPr>
    <w:rPr>
      <w:rFonts w:ascii="Arial" w:eastAsia="Times New Roman" w:hAnsi="Arial" w:cs="Arial"/>
      <w:b/>
      <w:bCs/>
      <w:color w:val="FF0000"/>
      <w:sz w:val="18"/>
      <w:szCs w:val="18"/>
      <w:lang w:eastAsia="lt-LT"/>
    </w:rPr>
  </w:style>
  <w:style w:type="paragraph" w:customStyle="1" w:styleId="xl64">
    <w:name w:val="xl64"/>
    <w:basedOn w:val="Normal"/>
    <w:rsid w:val="000D0A8B"/>
    <w:pPr>
      <w:spacing w:before="100" w:beforeAutospacing="1" w:after="100" w:afterAutospacing="1"/>
    </w:pPr>
    <w:rPr>
      <w:rFonts w:eastAsia="Times New Roman"/>
      <w:b/>
      <w:bCs/>
      <w:lang w:eastAsia="lt-LT"/>
    </w:rPr>
  </w:style>
  <w:style w:type="paragraph" w:customStyle="1" w:styleId="xl65">
    <w:name w:val="xl65"/>
    <w:basedOn w:val="Normal"/>
    <w:rsid w:val="000D0A8B"/>
    <w:pPr>
      <w:shd w:val="clear" w:color="000000" w:fill="FFFF00"/>
      <w:spacing w:before="100" w:beforeAutospacing="1" w:after="100" w:afterAutospacing="1"/>
    </w:pPr>
    <w:rPr>
      <w:rFonts w:ascii="Arial" w:eastAsia="Times New Roman" w:hAnsi="Arial" w:cs="Arial"/>
      <w:sz w:val="18"/>
      <w:szCs w:val="18"/>
      <w:lang w:eastAsia="lt-LT"/>
    </w:rPr>
  </w:style>
  <w:style w:type="paragraph" w:customStyle="1" w:styleId="xl66">
    <w:name w:val="xl66"/>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67">
    <w:name w:val="xl67"/>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68">
    <w:name w:val="xl68"/>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69">
    <w:name w:val="xl69"/>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70">
    <w:name w:val="xl70"/>
    <w:basedOn w:val="Normal"/>
    <w:rsid w:val="000D0A8B"/>
    <w:pPr>
      <w:spacing w:before="100" w:beforeAutospacing="1" w:after="100" w:afterAutospacing="1"/>
    </w:pPr>
    <w:rPr>
      <w:rFonts w:ascii="Arial" w:eastAsia="Times New Roman" w:hAnsi="Arial" w:cs="Arial"/>
      <w:sz w:val="18"/>
      <w:szCs w:val="18"/>
      <w:lang w:eastAsia="lt-LT"/>
    </w:rPr>
  </w:style>
  <w:style w:type="paragraph" w:customStyle="1" w:styleId="xl71">
    <w:name w:val="xl71"/>
    <w:basedOn w:val="Normal"/>
    <w:rsid w:val="000D0A8B"/>
    <w:pPr>
      <w:spacing w:before="100" w:beforeAutospacing="1" w:after="100" w:afterAutospacing="1"/>
    </w:pPr>
    <w:rPr>
      <w:rFonts w:ascii="Arial" w:eastAsia="Times New Roman" w:hAnsi="Arial" w:cs="Arial"/>
      <w:sz w:val="18"/>
      <w:szCs w:val="18"/>
      <w:lang w:eastAsia="lt-LT"/>
    </w:rPr>
  </w:style>
  <w:style w:type="paragraph" w:customStyle="1" w:styleId="xl72">
    <w:name w:val="xl72"/>
    <w:basedOn w:val="Normal"/>
    <w:rsid w:val="000D0A8B"/>
    <w:pPr>
      <w:shd w:val="clear" w:color="000000" w:fill="FFFF00"/>
      <w:spacing w:before="100" w:beforeAutospacing="1" w:after="100" w:afterAutospacing="1"/>
    </w:pPr>
    <w:rPr>
      <w:rFonts w:ascii="Arial" w:eastAsia="Times New Roman" w:hAnsi="Arial" w:cs="Arial"/>
      <w:b/>
      <w:bCs/>
      <w:sz w:val="18"/>
      <w:szCs w:val="18"/>
      <w:lang w:eastAsia="lt-LT"/>
    </w:rPr>
  </w:style>
  <w:style w:type="paragraph" w:customStyle="1" w:styleId="xl73">
    <w:name w:val="xl73"/>
    <w:basedOn w:val="Normal"/>
    <w:rsid w:val="000D0A8B"/>
    <w:pPr>
      <w:shd w:val="clear" w:color="000000" w:fill="FFFF00"/>
      <w:spacing w:before="100" w:beforeAutospacing="1" w:after="100" w:afterAutospacing="1"/>
    </w:pPr>
    <w:rPr>
      <w:rFonts w:ascii="Arial" w:eastAsia="Times New Roman" w:hAnsi="Arial" w:cs="Arial"/>
      <w:b/>
      <w:bCs/>
      <w:sz w:val="18"/>
      <w:szCs w:val="18"/>
      <w:lang w:eastAsia="lt-LT"/>
    </w:rPr>
  </w:style>
  <w:style w:type="paragraph" w:customStyle="1" w:styleId="xl74">
    <w:name w:val="xl74"/>
    <w:basedOn w:val="Normal"/>
    <w:rsid w:val="000D0A8B"/>
    <w:pPr>
      <w:shd w:val="clear" w:color="000000" w:fill="FFFF00"/>
      <w:spacing w:before="100" w:beforeAutospacing="1" w:after="100" w:afterAutospacing="1"/>
    </w:pPr>
    <w:rPr>
      <w:rFonts w:eastAsia="Times New Roman"/>
      <w:b/>
      <w:bCs/>
      <w:lang w:eastAsia="lt-LT"/>
    </w:rPr>
  </w:style>
  <w:style w:type="paragraph" w:customStyle="1" w:styleId="xl75">
    <w:name w:val="xl75"/>
    <w:basedOn w:val="Normal"/>
    <w:rsid w:val="000D0A8B"/>
    <w:pPr>
      <w:shd w:val="clear" w:color="000000" w:fill="FFFF00"/>
      <w:spacing w:before="100" w:beforeAutospacing="1" w:after="100" w:afterAutospacing="1"/>
    </w:pPr>
    <w:rPr>
      <w:rFonts w:ascii="Arial" w:eastAsia="Times New Roman" w:hAnsi="Arial" w:cs="Arial"/>
      <w:sz w:val="18"/>
      <w:szCs w:val="18"/>
      <w:lang w:eastAsia="lt-LT"/>
    </w:rPr>
  </w:style>
  <w:style w:type="paragraph" w:customStyle="1" w:styleId="xl76">
    <w:name w:val="xl76"/>
    <w:basedOn w:val="Normal"/>
    <w:rsid w:val="000D0A8B"/>
    <w:pPr>
      <w:shd w:val="clear" w:color="000000" w:fill="FFFF00"/>
      <w:spacing w:before="100" w:beforeAutospacing="1" w:after="100" w:afterAutospacing="1"/>
    </w:pPr>
    <w:rPr>
      <w:rFonts w:eastAsia="Times New Roman"/>
      <w:lang w:eastAsia="lt-LT"/>
    </w:rPr>
  </w:style>
  <w:style w:type="paragraph" w:customStyle="1" w:styleId="xl77">
    <w:name w:val="xl77"/>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18"/>
      <w:szCs w:val="18"/>
      <w:lang w:eastAsia="lt-LT"/>
    </w:rPr>
  </w:style>
  <w:style w:type="paragraph" w:customStyle="1" w:styleId="xl78">
    <w:name w:val="xl78"/>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FF0000"/>
      <w:sz w:val="18"/>
      <w:szCs w:val="18"/>
      <w:lang w:eastAsia="lt-LT"/>
    </w:rPr>
  </w:style>
  <w:style w:type="paragraph" w:customStyle="1" w:styleId="xl79">
    <w:name w:val="xl79"/>
    <w:basedOn w:val="Normal"/>
    <w:rsid w:val="000D0A8B"/>
    <w:pPr>
      <w:spacing w:before="100" w:beforeAutospacing="1" w:after="100" w:afterAutospacing="1"/>
      <w:jc w:val="right"/>
    </w:pPr>
    <w:rPr>
      <w:rFonts w:ascii="Arial" w:eastAsia="Times New Roman" w:hAnsi="Arial" w:cs="Arial"/>
      <w:sz w:val="18"/>
      <w:szCs w:val="18"/>
      <w:lang w:eastAsia="lt-LT"/>
    </w:rPr>
  </w:style>
  <w:style w:type="paragraph" w:customStyle="1" w:styleId="xl80">
    <w:name w:val="xl80"/>
    <w:basedOn w:val="Normal"/>
    <w:rsid w:val="000D0A8B"/>
    <w:pPr>
      <w:spacing w:before="100" w:beforeAutospacing="1" w:after="100" w:afterAutospacing="1"/>
    </w:pPr>
    <w:rPr>
      <w:rFonts w:ascii="Arial" w:eastAsia="Times New Roman" w:hAnsi="Arial" w:cs="Arial"/>
      <w:b/>
      <w:bCs/>
      <w:sz w:val="18"/>
      <w:szCs w:val="18"/>
      <w:lang w:eastAsia="lt-LT"/>
    </w:rPr>
  </w:style>
  <w:style w:type="paragraph" w:customStyle="1" w:styleId="xl81">
    <w:name w:val="xl81"/>
    <w:basedOn w:val="Normal"/>
    <w:rsid w:val="000D0A8B"/>
    <w:pPr>
      <w:spacing w:before="100" w:beforeAutospacing="1" w:after="100" w:afterAutospacing="1"/>
      <w:jc w:val="right"/>
    </w:pPr>
    <w:rPr>
      <w:rFonts w:ascii="Arial" w:eastAsia="Times New Roman" w:hAnsi="Arial" w:cs="Arial"/>
      <w:b/>
      <w:bCs/>
      <w:sz w:val="18"/>
      <w:szCs w:val="18"/>
      <w:lang w:eastAsia="lt-LT"/>
    </w:rPr>
  </w:style>
  <w:style w:type="paragraph" w:customStyle="1" w:styleId="xl82">
    <w:name w:val="xl82"/>
    <w:basedOn w:val="Normal"/>
    <w:rsid w:val="000D0A8B"/>
    <w:pP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83">
    <w:name w:val="xl83"/>
    <w:basedOn w:val="Normal"/>
    <w:rsid w:val="000D0A8B"/>
    <w:pPr>
      <w:shd w:val="clear" w:color="000000" w:fill="D7E4BC"/>
      <w:spacing w:before="100" w:beforeAutospacing="1" w:after="100" w:afterAutospacing="1"/>
    </w:pPr>
    <w:rPr>
      <w:rFonts w:ascii="Arial" w:eastAsia="Times New Roman" w:hAnsi="Arial" w:cs="Arial"/>
      <w:sz w:val="18"/>
      <w:szCs w:val="18"/>
      <w:lang w:eastAsia="lt-LT"/>
    </w:rPr>
  </w:style>
  <w:style w:type="paragraph" w:customStyle="1" w:styleId="xl84">
    <w:name w:val="xl84"/>
    <w:basedOn w:val="Normal"/>
    <w:rsid w:val="000D0A8B"/>
    <w:pPr>
      <w:shd w:val="clear" w:color="000000" w:fill="D7E4BC"/>
      <w:spacing w:before="100" w:beforeAutospacing="1" w:after="100" w:afterAutospacing="1"/>
    </w:pPr>
    <w:rPr>
      <w:rFonts w:ascii="Arial" w:eastAsia="Times New Roman" w:hAnsi="Arial" w:cs="Arial"/>
      <w:sz w:val="18"/>
      <w:szCs w:val="18"/>
      <w:lang w:eastAsia="lt-LT"/>
    </w:rPr>
  </w:style>
  <w:style w:type="paragraph" w:customStyle="1" w:styleId="xl85">
    <w:name w:val="xl85"/>
    <w:basedOn w:val="Normal"/>
    <w:rsid w:val="000D0A8B"/>
    <w:pPr>
      <w:shd w:val="clear" w:color="000000" w:fill="D7E4BC"/>
      <w:spacing w:before="100" w:beforeAutospacing="1" w:after="100" w:afterAutospacing="1"/>
      <w:jc w:val="right"/>
    </w:pPr>
    <w:rPr>
      <w:rFonts w:ascii="Arial" w:eastAsia="Times New Roman" w:hAnsi="Arial" w:cs="Arial"/>
      <w:b/>
      <w:bCs/>
      <w:sz w:val="18"/>
      <w:szCs w:val="18"/>
      <w:lang w:eastAsia="lt-LT"/>
    </w:rPr>
  </w:style>
  <w:style w:type="paragraph" w:customStyle="1" w:styleId="xl86">
    <w:name w:val="xl86"/>
    <w:basedOn w:val="Normal"/>
    <w:rsid w:val="000D0A8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87">
    <w:name w:val="xl87"/>
    <w:basedOn w:val="Normal"/>
    <w:rsid w:val="000D0A8B"/>
    <w:pPr>
      <w:shd w:val="clear" w:color="000000" w:fill="D7E4BC"/>
      <w:spacing w:before="100" w:beforeAutospacing="1" w:after="100" w:afterAutospacing="1"/>
    </w:pPr>
    <w:rPr>
      <w:rFonts w:eastAsia="Times New Roman"/>
      <w:lang w:eastAsia="lt-LT"/>
    </w:rPr>
  </w:style>
  <w:style w:type="paragraph" w:customStyle="1" w:styleId="xl88">
    <w:name w:val="xl88"/>
    <w:basedOn w:val="Normal"/>
    <w:rsid w:val="000D0A8B"/>
    <w:pP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89">
    <w:name w:val="xl89"/>
    <w:basedOn w:val="Normal"/>
    <w:rsid w:val="000D0A8B"/>
    <w:pPr>
      <w:shd w:val="clear" w:color="000000" w:fill="D7E4BC"/>
      <w:spacing w:before="100" w:beforeAutospacing="1" w:after="100" w:afterAutospacing="1"/>
      <w:jc w:val="right"/>
    </w:pPr>
    <w:rPr>
      <w:rFonts w:ascii="Arial" w:eastAsia="Times New Roman" w:hAnsi="Arial" w:cs="Arial"/>
      <w:b/>
      <w:bCs/>
      <w:sz w:val="18"/>
      <w:szCs w:val="18"/>
      <w:lang w:eastAsia="lt-LT"/>
    </w:rPr>
  </w:style>
  <w:style w:type="paragraph" w:customStyle="1" w:styleId="xl90">
    <w:name w:val="xl90"/>
    <w:basedOn w:val="Normal"/>
    <w:rsid w:val="000D0A8B"/>
    <w:pPr>
      <w:spacing w:before="100" w:beforeAutospacing="1" w:after="100" w:afterAutospacing="1"/>
    </w:pPr>
    <w:rPr>
      <w:rFonts w:ascii="Arial" w:eastAsia="Times New Roman" w:hAnsi="Arial" w:cs="Arial"/>
      <w:b/>
      <w:bCs/>
      <w:sz w:val="18"/>
      <w:szCs w:val="18"/>
      <w:lang w:eastAsia="lt-LT"/>
    </w:rPr>
  </w:style>
  <w:style w:type="paragraph" w:customStyle="1" w:styleId="xl91">
    <w:name w:val="xl91"/>
    <w:basedOn w:val="Normal"/>
    <w:rsid w:val="000D0A8B"/>
    <w:pPr>
      <w:spacing w:before="100" w:beforeAutospacing="1" w:after="100" w:afterAutospacing="1"/>
    </w:pPr>
    <w:rPr>
      <w:rFonts w:eastAsia="Times New Roman"/>
      <w:b/>
      <w:bCs/>
      <w:lang w:eastAsia="lt-LT"/>
    </w:rPr>
  </w:style>
  <w:style w:type="paragraph" w:customStyle="1" w:styleId="xl92">
    <w:name w:val="xl92"/>
    <w:basedOn w:val="Normal"/>
    <w:rsid w:val="000D0A8B"/>
    <w:pPr>
      <w:shd w:val="clear" w:color="000000" w:fill="FFFF00"/>
      <w:spacing w:before="100" w:beforeAutospacing="1" w:after="100" w:afterAutospacing="1"/>
      <w:jc w:val="right"/>
    </w:pPr>
    <w:rPr>
      <w:rFonts w:ascii="Arial" w:eastAsia="Times New Roman" w:hAnsi="Arial" w:cs="Arial"/>
      <w:sz w:val="18"/>
      <w:szCs w:val="18"/>
      <w:lang w:eastAsia="lt-LT"/>
    </w:rPr>
  </w:style>
  <w:style w:type="paragraph" w:customStyle="1" w:styleId="xl93">
    <w:name w:val="xl93"/>
    <w:basedOn w:val="Normal"/>
    <w:rsid w:val="000D0A8B"/>
    <w:pPr>
      <w:pBdr>
        <w:bottom w:val="single" w:sz="12" w:space="0" w:color="auto"/>
      </w:pBdr>
      <w:spacing w:before="100" w:beforeAutospacing="1" w:after="100" w:afterAutospacing="1"/>
    </w:pPr>
    <w:rPr>
      <w:rFonts w:eastAsia="Times New Roman"/>
      <w:lang w:eastAsia="lt-LT"/>
    </w:rPr>
  </w:style>
  <w:style w:type="paragraph" w:customStyle="1" w:styleId="xl94">
    <w:name w:val="xl94"/>
    <w:basedOn w:val="Normal"/>
    <w:rsid w:val="000D0A8B"/>
    <w:pPr>
      <w:pBdr>
        <w:bottom w:val="single" w:sz="12" w:space="0" w:color="auto"/>
      </w:pBdr>
      <w:spacing w:before="100" w:beforeAutospacing="1" w:after="100" w:afterAutospacing="1"/>
    </w:pPr>
    <w:rPr>
      <w:rFonts w:ascii="Arial" w:eastAsia="Times New Roman" w:hAnsi="Arial" w:cs="Arial"/>
      <w:sz w:val="18"/>
      <w:szCs w:val="18"/>
      <w:lang w:eastAsia="lt-LT"/>
    </w:rPr>
  </w:style>
  <w:style w:type="paragraph" w:customStyle="1" w:styleId="xl95">
    <w:name w:val="xl95"/>
    <w:basedOn w:val="Normal"/>
    <w:rsid w:val="000D0A8B"/>
    <w:pPr>
      <w:pBdr>
        <w:bottom w:val="single" w:sz="12" w:space="0" w:color="auto"/>
      </w:pBdr>
      <w:spacing w:before="100" w:beforeAutospacing="1" w:after="100" w:afterAutospacing="1"/>
    </w:pPr>
    <w:rPr>
      <w:rFonts w:ascii="Arial" w:eastAsia="Times New Roman" w:hAnsi="Arial" w:cs="Arial"/>
      <w:sz w:val="18"/>
      <w:szCs w:val="18"/>
      <w:lang w:eastAsia="lt-LT"/>
    </w:rPr>
  </w:style>
  <w:style w:type="paragraph" w:customStyle="1" w:styleId="xl96">
    <w:name w:val="xl96"/>
    <w:basedOn w:val="Normal"/>
    <w:rsid w:val="000D0A8B"/>
    <w:pPr>
      <w:pBdr>
        <w:bottom w:val="single" w:sz="12" w:space="0" w:color="auto"/>
      </w:pBdr>
      <w:spacing w:before="100" w:beforeAutospacing="1" w:after="100" w:afterAutospacing="1"/>
      <w:jc w:val="right"/>
    </w:pPr>
    <w:rPr>
      <w:rFonts w:ascii="Arial" w:eastAsia="Times New Roman" w:hAnsi="Arial" w:cs="Arial"/>
      <w:sz w:val="18"/>
      <w:szCs w:val="18"/>
      <w:lang w:eastAsia="lt-LT"/>
    </w:rPr>
  </w:style>
  <w:style w:type="paragraph" w:customStyle="1" w:styleId="xl97">
    <w:name w:val="xl97"/>
    <w:basedOn w:val="Normal"/>
    <w:rsid w:val="000D0A8B"/>
    <w:pPr>
      <w:pBdr>
        <w:bottom w:val="single" w:sz="12" w:space="0" w:color="auto"/>
      </w:pBdr>
      <w:spacing w:before="100" w:beforeAutospacing="1" w:after="100" w:afterAutospacing="1"/>
    </w:pPr>
    <w:rPr>
      <w:rFonts w:ascii="Arial" w:eastAsia="Times New Roman" w:hAnsi="Arial" w:cs="Arial"/>
      <w:b/>
      <w:bCs/>
      <w:sz w:val="18"/>
      <w:szCs w:val="18"/>
      <w:lang w:eastAsia="lt-LT"/>
    </w:rPr>
  </w:style>
  <w:style w:type="paragraph" w:customStyle="1" w:styleId="xl98">
    <w:name w:val="xl98"/>
    <w:basedOn w:val="Normal"/>
    <w:rsid w:val="000D0A8B"/>
    <w:pPr>
      <w:pBdr>
        <w:bottom w:val="single" w:sz="12" w:space="0" w:color="auto"/>
      </w:pBdr>
      <w:spacing w:before="100" w:beforeAutospacing="1" w:after="100" w:afterAutospacing="1"/>
      <w:jc w:val="right"/>
    </w:pPr>
    <w:rPr>
      <w:rFonts w:ascii="Arial" w:eastAsia="Times New Roman" w:hAnsi="Arial" w:cs="Arial"/>
      <w:b/>
      <w:bCs/>
      <w:sz w:val="18"/>
      <w:szCs w:val="18"/>
      <w:lang w:eastAsia="lt-LT"/>
    </w:rPr>
  </w:style>
  <w:style w:type="paragraph" w:customStyle="1" w:styleId="xl99">
    <w:name w:val="xl99"/>
    <w:basedOn w:val="Normal"/>
    <w:rsid w:val="000D0A8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100">
    <w:name w:val="xl100"/>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101">
    <w:name w:val="xl101"/>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102">
    <w:name w:val="xl102"/>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18"/>
      <w:szCs w:val="18"/>
      <w:lang w:eastAsia="lt-LT"/>
    </w:rPr>
  </w:style>
  <w:style w:type="paragraph" w:customStyle="1" w:styleId="xl103">
    <w:name w:val="xl103"/>
    <w:basedOn w:val="Normal"/>
    <w:rsid w:val="000D0A8B"/>
    <w:pPr>
      <w:spacing w:before="100" w:beforeAutospacing="1" w:after="100" w:afterAutospacing="1"/>
    </w:pPr>
    <w:rPr>
      <w:rFonts w:ascii="Arial" w:eastAsia="Times New Roman" w:hAnsi="Arial" w:cs="Arial"/>
      <w:sz w:val="18"/>
      <w:szCs w:val="18"/>
      <w:lang w:eastAsia="lt-LT"/>
    </w:rPr>
  </w:style>
  <w:style w:type="paragraph" w:customStyle="1" w:styleId="xl104">
    <w:name w:val="xl104"/>
    <w:basedOn w:val="Normal"/>
    <w:rsid w:val="000D0A8B"/>
    <w:pPr>
      <w:shd w:val="clear" w:color="000000" w:fill="FFFF00"/>
      <w:spacing w:before="100" w:beforeAutospacing="1" w:after="100" w:afterAutospacing="1"/>
    </w:pPr>
    <w:rPr>
      <w:rFonts w:ascii="Arial" w:eastAsia="Times New Roman" w:hAnsi="Arial" w:cs="Arial"/>
      <w:sz w:val="18"/>
      <w:szCs w:val="18"/>
      <w:lang w:eastAsia="lt-LT"/>
    </w:rPr>
  </w:style>
  <w:style w:type="paragraph" w:customStyle="1" w:styleId="xl105">
    <w:name w:val="xl105"/>
    <w:basedOn w:val="Normal"/>
    <w:rsid w:val="000D0A8B"/>
    <w:pPr>
      <w:spacing w:before="100" w:beforeAutospacing="1" w:after="100" w:afterAutospacing="1"/>
      <w:jc w:val="right"/>
    </w:pPr>
    <w:rPr>
      <w:rFonts w:ascii="Arial" w:eastAsia="Times New Roman" w:hAnsi="Arial" w:cs="Arial"/>
      <w:sz w:val="18"/>
      <w:szCs w:val="18"/>
      <w:lang w:eastAsia="lt-LT"/>
    </w:rPr>
  </w:style>
  <w:style w:type="paragraph" w:customStyle="1" w:styleId="xl106">
    <w:name w:val="xl106"/>
    <w:basedOn w:val="Normal"/>
    <w:rsid w:val="000D0A8B"/>
    <w:pPr>
      <w:shd w:val="clear" w:color="000000" w:fill="FFFF00"/>
      <w:spacing w:before="100" w:beforeAutospacing="1" w:after="100" w:afterAutospacing="1"/>
      <w:jc w:val="right"/>
    </w:pPr>
    <w:rPr>
      <w:rFonts w:ascii="Arial" w:eastAsia="Times New Roman" w:hAnsi="Arial" w:cs="Arial"/>
      <w:sz w:val="18"/>
      <w:szCs w:val="18"/>
      <w:lang w:eastAsia="lt-LT"/>
    </w:rPr>
  </w:style>
  <w:style w:type="paragraph" w:customStyle="1" w:styleId="xl107">
    <w:name w:val="xl107"/>
    <w:basedOn w:val="Normal"/>
    <w:rsid w:val="000D0A8B"/>
    <w:pPr>
      <w:pBdr>
        <w:bottom w:val="single" w:sz="12" w:space="0" w:color="auto"/>
      </w:pBdr>
      <w:spacing w:before="100" w:beforeAutospacing="1" w:after="100" w:afterAutospacing="1"/>
      <w:jc w:val="right"/>
    </w:pPr>
    <w:rPr>
      <w:rFonts w:ascii="Arial" w:eastAsia="Times New Roman" w:hAnsi="Arial" w:cs="Arial"/>
      <w:sz w:val="18"/>
      <w:szCs w:val="18"/>
      <w:lang w:eastAsia="lt-LT"/>
    </w:rPr>
  </w:style>
  <w:style w:type="paragraph" w:customStyle="1" w:styleId="xl108">
    <w:name w:val="xl108"/>
    <w:basedOn w:val="Normal"/>
    <w:rsid w:val="000D0A8B"/>
    <w:pPr>
      <w:shd w:val="clear" w:color="000000" w:fill="FFFF00"/>
      <w:spacing w:before="100" w:beforeAutospacing="1" w:after="100" w:afterAutospacing="1"/>
    </w:pPr>
    <w:rPr>
      <w:rFonts w:eastAsia="Times New Roman"/>
      <w:lang w:eastAsia="lt-LT"/>
    </w:rPr>
  </w:style>
  <w:style w:type="paragraph" w:customStyle="1" w:styleId="xl109">
    <w:name w:val="xl109"/>
    <w:basedOn w:val="Normal"/>
    <w:rsid w:val="000D0A8B"/>
    <w:pP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110">
    <w:name w:val="xl110"/>
    <w:basedOn w:val="Normal"/>
    <w:rsid w:val="000D0A8B"/>
    <w:pPr>
      <w:spacing w:before="100" w:beforeAutospacing="1" w:after="100" w:afterAutospacing="1"/>
    </w:pPr>
    <w:rPr>
      <w:rFonts w:ascii="Arial" w:eastAsia="Times New Roman" w:hAnsi="Arial" w:cs="Arial"/>
      <w:b/>
      <w:bCs/>
      <w:sz w:val="18"/>
      <w:szCs w:val="18"/>
      <w:lang w:eastAsia="lt-LT"/>
    </w:rPr>
  </w:style>
  <w:style w:type="paragraph" w:customStyle="1" w:styleId="xl111">
    <w:name w:val="xl111"/>
    <w:basedOn w:val="Normal"/>
    <w:rsid w:val="000D0A8B"/>
    <w:pPr>
      <w:pBdr>
        <w:bottom w:val="single" w:sz="12" w:space="0" w:color="auto"/>
      </w:pBdr>
      <w:spacing w:before="100" w:beforeAutospacing="1" w:after="100" w:afterAutospacing="1"/>
    </w:pPr>
    <w:rPr>
      <w:rFonts w:ascii="Arial" w:eastAsia="Times New Roman" w:hAnsi="Arial" w:cs="Arial"/>
      <w:sz w:val="18"/>
      <w:szCs w:val="18"/>
      <w:lang w:eastAsia="lt-LT"/>
    </w:rPr>
  </w:style>
  <w:style w:type="paragraph" w:customStyle="1" w:styleId="xl112">
    <w:name w:val="xl112"/>
    <w:basedOn w:val="Normal"/>
    <w:rsid w:val="000D0A8B"/>
    <w:pPr>
      <w:shd w:val="clear" w:color="000000" w:fill="FFFF00"/>
      <w:spacing w:before="100" w:beforeAutospacing="1" w:after="100" w:afterAutospacing="1"/>
    </w:pPr>
    <w:rPr>
      <w:rFonts w:ascii="Arial" w:eastAsia="Times New Roman" w:hAnsi="Arial" w:cs="Arial"/>
      <w:b/>
      <w:bCs/>
      <w:sz w:val="18"/>
      <w:szCs w:val="18"/>
      <w:lang w:eastAsia="lt-LT"/>
    </w:rPr>
  </w:style>
  <w:style w:type="paragraph" w:customStyle="1" w:styleId="xl113">
    <w:name w:val="xl113"/>
    <w:basedOn w:val="Normal"/>
    <w:rsid w:val="000D0A8B"/>
    <w:pPr>
      <w:spacing w:before="100" w:beforeAutospacing="1" w:after="100" w:afterAutospacing="1"/>
      <w:jc w:val="right"/>
    </w:pPr>
    <w:rPr>
      <w:rFonts w:ascii="Arial" w:eastAsia="Times New Roman" w:hAnsi="Arial" w:cs="Arial"/>
      <w:b/>
      <w:bCs/>
      <w:sz w:val="18"/>
      <w:szCs w:val="18"/>
      <w:lang w:eastAsia="lt-LT"/>
    </w:rPr>
  </w:style>
  <w:style w:type="paragraph" w:customStyle="1" w:styleId="xl114">
    <w:name w:val="xl114"/>
    <w:basedOn w:val="Normal"/>
    <w:rsid w:val="000D0A8B"/>
    <w:pPr>
      <w:pBdr>
        <w:bottom w:val="single" w:sz="12" w:space="0" w:color="auto"/>
      </w:pBdr>
      <w:spacing w:before="100" w:beforeAutospacing="1" w:after="100" w:afterAutospacing="1"/>
      <w:jc w:val="right"/>
    </w:pPr>
    <w:rPr>
      <w:rFonts w:ascii="Arial" w:eastAsia="Times New Roman" w:hAnsi="Arial" w:cs="Arial"/>
      <w:b/>
      <w:bCs/>
      <w:sz w:val="18"/>
      <w:szCs w:val="18"/>
      <w:lang w:eastAsia="lt-LT"/>
    </w:rPr>
  </w:style>
  <w:style w:type="paragraph" w:customStyle="1" w:styleId="xl115">
    <w:name w:val="xl115"/>
    <w:basedOn w:val="Normal"/>
    <w:rsid w:val="000D0A8B"/>
    <w:pPr>
      <w:pBdr>
        <w:bottom w:val="single" w:sz="12" w:space="0" w:color="auto"/>
      </w:pBdr>
      <w:spacing w:before="100" w:beforeAutospacing="1" w:after="100" w:afterAutospacing="1"/>
    </w:pPr>
    <w:rPr>
      <w:rFonts w:eastAsia="Times New Roman"/>
      <w:lang w:eastAsia="lt-LT"/>
    </w:rPr>
  </w:style>
  <w:style w:type="paragraph" w:customStyle="1" w:styleId="xl116">
    <w:name w:val="xl116"/>
    <w:basedOn w:val="Normal"/>
    <w:rsid w:val="000D0A8B"/>
    <w:pPr>
      <w:spacing w:before="100" w:beforeAutospacing="1" w:after="100" w:afterAutospacing="1"/>
    </w:pPr>
    <w:rPr>
      <w:rFonts w:eastAsia="Times New Roman"/>
      <w:b/>
      <w:bCs/>
      <w:lang w:eastAsia="lt-LT"/>
    </w:rPr>
  </w:style>
  <w:style w:type="character" w:customStyle="1" w:styleId="apple-converted-space">
    <w:name w:val="apple-converted-space"/>
    <w:basedOn w:val="DefaultParagraphFont"/>
    <w:rsid w:val="000D0A8B"/>
  </w:style>
  <w:style w:type="paragraph" w:customStyle="1" w:styleId="xl117">
    <w:name w:val="xl117"/>
    <w:basedOn w:val="Normal"/>
    <w:rsid w:val="000D0A8B"/>
    <w:pPr>
      <w:spacing w:before="100" w:beforeAutospacing="1" w:after="100" w:afterAutospacing="1"/>
    </w:pPr>
    <w:rPr>
      <w:rFonts w:eastAsia="Times New Roman"/>
      <w:lang w:eastAsia="lt-LT"/>
    </w:rPr>
  </w:style>
  <w:style w:type="numbering" w:customStyle="1" w:styleId="NoList5">
    <w:name w:val="No List5"/>
    <w:next w:val="NoList"/>
    <w:uiPriority w:val="99"/>
    <w:semiHidden/>
    <w:unhideWhenUsed/>
    <w:rsid w:val="000D0A8B"/>
  </w:style>
  <w:style w:type="table" w:customStyle="1" w:styleId="TableColumns34">
    <w:name w:val="Table Columns 34"/>
    <w:basedOn w:val="TableNormal"/>
    <w:next w:val="TableColumns3"/>
    <w:rsid w:val="000D0A8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6">
    <w:name w:val="Table Grid6"/>
    <w:basedOn w:val="TableNormal"/>
    <w:next w:val="TableGrid"/>
    <w:uiPriority w:val="5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PERSChar">
    <w:name w:val="SUPERS Char"/>
    <w:aliases w:val="EN Footnote Reference Char"/>
    <w:basedOn w:val="Normal"/>
    <w:link w:val="FootnoteReference"/>
    <w:uiPriority w:val="99"/>
    <w:rsid w:val="000D0A8B"/>
    <w:pPr>
      <w:spacing w:after="160" w:line="240" w:lineRule="exact"/>
    </w:pPr>
    <w:rPr>
      <w:rFonts w:ascii="PF Square Sans Pro" w:hAnsi="PF Square Sans Pro" w:cstheme="minorBidi"/>
      <w:sz w:val="22"/>
      <w:szCs w:val="22"/>
      <w:vertAlign w:val="superscript"/>
    </w:rPr>
  </w:style>
  <w:style w:type="paragraph" w:customStyle="1" w:styleId="TableParagraph">
    <w:name w:val="Table Paragraph"/>
    <w:basedOn w:val="Normal"/>
    <w:uiPriority w:val="1"/>
    <w:qFormat/>
    <w:rsid w:val="000D0A8B"/>
    <w:pPr>
      <w:widowControl w:val="0"/>
    </w:pPr>
    <w:rPr>
      <w:rFonts w:ascii="Calibri" w:hAnsi="Calibri"/>
      <w:sz w:val="22"/>
      <w:szCs w:val="22"/>
      <w:lang w:val="en-US"/>
    </w:rPr>
  </w:style>
  <w:style w:type="paragraph" w:customStyle="1" w:styleId="p24">
    <w:name w:val="p24"/>
    <w:basedOn w:val="Normal"/>
    <w:rsid w:val="000D0A8B"/>
    <w:pPr>
      <w:spacing w:before="100" w:beforeAutospacing="1" w:after="100" w:afterAutospacing="1"/>
    </w:pPr>
    <w:rPr>
      <w:rFonts w:eastAsia="Times New Roman"/>
      <w:lang w:eastAsia="lt-LT"/>
    </w:rPr>
  </w:style>
  <w:style w:type="paragraph" w:customStyle="1" w:styleId="p25">
    <w:name w:val="p25"/>
    <w:basedOn w:val="Normal"/>
    <w:rsid w:val="000D0A8B"/>
    <w:pPr>
      <w:spacing w:before="100" w:beforeAutospacing="1" w:after="100" w:afterAutospacing="1"/>
    </w:pPr>
    <w:rPr>
      <w:rFonts w:eastAsia="Times New Roman"/>
      <w:lang w:eastAsia="lt-LT"/>
    </w:rPr>
  </w:style>
  <w:style w:type="character" w:customStyle="1" w:styleId="ft17">
    <w:name w:val="ft17"/>
    <w:rsid w:val="000D0A8B"/>
  </w:style>
  <w:style w:type="character" w:customStyle="1" w:styleId="ft7">
    <w:name w:val="ft7"/>
    <w:rsid w:val="000D0A8B"/>
  </w:style>
  <w:style w:type="paragraph" w:customStyle="1" w:styleId="p27">
    <w:name w:val="p27"/>
    <w:basedOn w:val="Normal"/>
    <w:rsid w:val="000D0A8B"/>
    <w:pPr>
      <w:spacing w:before="100" w:beforeAutospacing="1" w:after="100" w:afterAutospacing="1"/>
    </w:pPr>
    <w:rPr>
      <w:rFonts w:eastAsia="Times New Roman"/>
      <w:lang w:eastAsia="lt-LT"/>
    </w:rPr>
  </w:style>
  <w:style w:type="character" w:customStyle="1" w:styleId="ft0">
    <w:name w:val="ft0"/>
    <w:rsid w:val="000D0A8B"/>
  </w:style>
  <w:style w:type="paragraph" w:customStyle="1" w:styleId="p29">
    <w:name w:val="p29"/>
    <w:basedOn w:val="Normal"/>
    <w:rsid w:val="000D0A8B"/>
    <w:pPr>
      <w:spacing w:before="100" w:beforeAutospacing="1" w:after="100" w:afterAutospacing="1"/>
    </w:pPr>
    <w:rPr>
      <w:rFonts w:eastAsia="Times New Roman"/>
      <w:lang w:eastAsia="lt-LT"/>
    </w:rPr>
  </w:style>
  <w:style w:type="character" w:customStyle="1" w:styleId="ListParagraphChar">
    <w:name w:val="List Paragraph Char"/>
    <w:aliases w:val="Bullet EY Char,ERP-List Paragraph Char,List Paragraph11 Char,List Paragraph Red Char,Numbering Char,List Paragraph21 Char,Lentele Char,Table of contents numbered Char"/>
    <w:link w:val="ListParagraph"/>
    <w:uiPriority w:val="34"/>
    <w:locked/>
    <w:rsid w:val="000D0A8B"/>
    <w:rPr>
      <w:rFonts w:ascii="Times New Roman" w:eastAsia="Calibri" w:hAnsi="Times New Roman" w:cs="Times New Roman"/>
      <w:sz w:val="24"/>
      <w:szCs w:val="24"/>
    </w:rPr>
  </w:style>
  <w:style w:type="character" w:customStyle="1" w:styleId="5yl5">
    <w:name w:val="_5yl5"/>
    <w:rsid w:val="000D0A8B"/>
  </w:style>
  <w:style w:type="character" w:customStyle="1" w:styleId="highlight">
    <w:name w:val="highlight"/>
    <w:rsid w:val="000D0A8B"/>
  </w:style>
  <w:style w:type="paragraph" w:customStyle="1" w:styleId="CharDiagramaCharChar1">
    <w:name w:val="Char Diagrama Char Char1"/>
    <w:basedOn w:val="Normal"/>
    <w:rsid w:val="000D0A8B"/>
    <w:pPr>
      <w:spacing w:after="160" w:line="240" w:lineRule="exact"/>
    </w:pPr>
    <w:rPr>
      <w:rFonts w:ascii="Tahoma" w:eastAsia="MS Mincho" w:hAnsi="Tahoma"/>
      <w:sz w:val="20"/>
      <w:szCs w:val="20"/>
      <w:lang w:eastAsia="lt-LT"/>
    </w:rPr>
  </w:style>
  <w:style w:type="table" w:customStyle="1" w:styleId="TableGrid21">
    <w:name w:val="Table Grid21"/>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8">
    <w:name w:val="xl118"/>
    <w:basedOn w:val="Normal"/>
    <w:rsid w:val="000D0A8B"/>
    <w:pPr>
      <w:pBdr>
        <w:top w:val="single" w:sz="8" w:space="0" w:color="auto"/>
        <w:left w:val="single" w:sz="4" w:space="0" w:color="auto"/>
        <w:right w:val="single" w:sz="4" w:space="0" w:color="auto"/>
      </w:pBdr>
      <w:spacing w:before="100" w:beforeAutospacing="1" w:after="100" w:afterAutospacing="1"/>
    </w:pPr>
    <w:rPr>
      <w:rFonts w:eastAsia="Times New Roman"/>
      <w:b/>
      <w:bCs/>
      <w:color w:val="FF0000"/>
      <w:lang w:eastAsia="lt-LT"/>
    </w:rPr>
  </w:style>
  <w:style w:type="paragraph" w:customStyle="1" w:styleId="xl119">
    <w:name w:val="xl119"/>
    <w:basedOn w:val="Normal"/>
    <w:rsid w:val="000D0A8B"/>
    <w:pPr>
      <w:shd w:val="clear" w:color="000000" w:fill="808080"/>
      <w:spacing w:before="100" w:beforeAutospacing="1" w:after="100" w:afterAutospacing="1"/>
    </w:pPr>
    <w:rPr>
      <w:rFonts w:eastAsia="Times New Roman"/>
      <w:lang w:eastAsia="lt-LT"/>
    </w:rPr>
  </w:style>
  <w:style w:type="paragraph" w:customStyle="1" w:styleId="xl120">
    <w:name w:val="xl120"/>
    <w:basedOn w:val="Normal"/>
    <w:rsid w:val="000D0A8B"/>
    <w:pPr>
      <w:shd w:val="clear" w:color="000000" w:fill="808080"/>
      <w:spacing w:before="100" w:beforeAutospacing="1" w:after="100" w:afterAutospacing="1"/>
      <w:jc w:val="right"/>
    </w:pPr>
    <w:rPr>
      <w:rFonts w:eastAsia="Times New Roman"/>
      <w:lang w:eastAsia="lt-LT"/>
    </w:rPr>
  </w:style>
  <w:style w:type="paragraph" w:customStyle="1" w:styleId="xl121">
    <w:name w:val="xl121"/>
    <w:basedOn w:val="Normal"/>
    <w:rsid w:val="000D0A8B"/>
    <w:pPr>
      <w:shd w:val="clear" w:color="000000" w:fill="808080"/>
      <w:spacing w:before="100" w:beforeAutospacing="1" w:after="100" w:afterAutospacing="1"/>
    </w:pPr>
    <w:rPr>
      <w:rFonts w:eastAsia="Times New Roman"/>
      <w:sz w:val="20"/>
      <w:szCs w:val="20"/>
      <w:lang w:eastAsia="lt-LT"/>
    </w:rPr>
  </w:style>
  <w:style w:type="paragraph" w:customStyle="1" w:styleId="xl122">
    <w:name w:val="xl122"/>
    <w:basedOn w:val="Normal"/>
    <w:rsid w:val="000D0A8B"/>
    <w:pPr>
      <w:shd w:val="clear" w:color="000000" w:fill="808080"/>
      <w:spacing w:before="100" w:beforeAutospacing="1" w:after="100" w:afterAutospacing="1"/>
    </w:pPr>
    <w:rPr>
      <w:rFonts w:eastAsia="Times New Roman"/>
      <w:b/>
      <w:bCs/>
      <w:i/>
      <w:iCs/>
      <w:color w:val="FFFFFF"/>
      <w:sz w:val="28"/>
      <w:szCs w:val="28"/>
      <w:lang w:eastAsia="lt-LT"/>
    </w:rPr>
  </w:style>
  <w:style w:type="paragraph" w:customStyle="1" w:styleId="xl123">
    <w:name w:val="xl123"/>
    <w:basedOn w:val="Normal"/>
    <w:rsid w:val="000D0A8B"/>
    <w:pPr>
      <w:pBdr>
        <w:top w:val="single" w:sz="4" w:space="0" w:color="auto"/>
        <w:left w:val="single" w:sz="4" w:space="0" w:color="auto"/>
        <w:bottom w:val="single" w:sz="4" w:space="0" w:color="auto"/>
      </w:pBdr>
      <w:spacing w:before="100" w:beforeAutospacing="1" w:after="100" w:afterAutospacing="1"/>
    </w:pPr>
    <w:rPr>
      <w:rFonts w:eastAsia="Times New Roman"/>
      <w:lang w:eastAsia="lt-LT"/>
    </w:rPr>
  </w:style>
  <w:style w:type="paragraph" w:customStyle="1" w:styleId="xl124">
    <w:name w:val="xl124"/>
    <w:basedOn w:val="Normal"/>
    <w:rsid w:val="000D0A8B"/>
    <w:pPr>
      <w:pBdr>
        <w:left w:val="single" w:sz="4" w:space="0" w:color="auto"/>
        <w:bottom w:val="single" w:sz="4" w:space="0" w:color="auto"/>
        <w:right w:val="single" w:sz="4" w:space="0" w:color="auto"/>
      </w:pBdr>
      <w:spacing w:before="100" w:beforeAutospacing="1" w:after="100" w:afterAutospacing="1"/>
      <w:jc w:val="right"/>
    </w:pPr>
    <w:rPr>
      <w:rFonts w:eastAsia="Times New Roman"/>
      <w:sz w:val="20"/>
      <w:szCs w:val="20"/>
      <w:lang w:eastAsia="lt-LT"/>
    </w:rPr>
  </w:style>
  <w:style w:type="paragraph" w:customStyle="1" w:styleId="xl125">
    <w:name w:val="xl125"/>
    <w:basedOn w:val="Normal"/>
    <w:rsid w:val="000D0A8B"/>
    <w:pPr>
      <w:pBdr>
        <w:left w:val="single" w:sz="4" w:space="0" w:color="auto"/>
        <w:bottom w:val="single" w:sz="4" w:space="0" w:color="auto"/>
        <w:right w:val="single" w:sz="4" w:space="0" w:color="auto"/>
      </w:pBdr>
      <w:spacing w:before="100" w:beforeAutospacing="1" w:after="100" w:afterAutospacing="1"/>
      <w:jc w:val="right"/>
    </w:pPr>
    <w:rPr>
      <w:rFonts w:eastAsia="Times New Roman"/>
      <w:lang w:eastAsia="lt-LT"/>
    </w:rPr>
  </w:style>
  <w:style w:type="paragraph" w:customStyle="1" w:styleId="xl126">
    <w:name w:val="xl126"/>
    <w:basedOn w:val="Normal"/>
    <w:rsid w:val="000D0A8B"/>
    <w:pPr>
      <w:pBdr>
        <w:top w:val="single" w:sz="4" w:space="0" w:color="auto"/>
        <w:left w:val="single" w:sz="4" w:space="0" w:color="auto"/>
        <w:bottom w:val="single" w:sz="4" w:space="0" w:color="auto"/>
      </w:pBdr>
      <w:spacing w:before="100" w:beforeAutospacing="1" w:after="100" w:afterAutospacing="1"/>
    </w:pPr>
    <w:rPr>
      <w:rFonts w:eastAsia="Times New Roman"/>
      <w:lang w:eastAsia="lt-LT"/>
    </w:rPr>
  </w:style>
  <w:style w:type="paragraph" w:customStyle="1" w:styleId="xl127">
    <w:name w:val="xl127"/>
    <w:basedOn w:val="Normal"/>
    <w:rsid w:val="000D0A8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lt-LT"/>
    </w:rPr>
  </w:style>
  <w:style w:type="paragraph" w:customStyle="1" w:styleId="xl128">
    <w:name w:val="xl128"/>
    <w:basedOn w:val="Normal"/>
    <w:rsid w:val="000D0A8B"/>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lang w:eastAsia="lt-LT"/>
    </w:rPr>
  </w:style>
  <w:style w:type="paragraph" w:customStyle="1" w:styleId="xl129">
    <w:name w:val="xl129"/>
    <w:basedOn w:val="Normal"/>
    <w:rsid w:val="000D0A8B"/>
    <w:pPr>
      <w:pBdr>
        <w:top w:val="single" w:sz="4" w:space="0" w:color="auto"/>
        <w:left w:val="single" w:sz="4" w:space="0" w:color="auto"/>
        <w:right w:val="single" w:sz="4" w:space="0" w:color="auto"/>
      </w:pBdr>
      <w:spacing w:before="100" w:beforeAutospacing="1" w:after="100" w:afterAutospacing="1"/>
      <w:jc w:val="right"/>
    </w:pPr>
    <w:rPr>
      <w:rFonts w:eastAsia="Times New Roman"/>
      <w:sz w:val="20"/>
      <w:szCs w:val="20"/>
      <w:lang w:eastAsia="lt-LT"/>
    </w:rPr>
  </w:style>
  <w:style w:type="paragraph" w:customStyle="1" w:styleId="xl130">
    <w:name w:val="xl130"/>
    <w:basedOn w:val="Normal"/>
    <w:rsid w:val="000D0A8B"/>
    <w:pPr>
      <w:pBdr>
        <w:left w:val="single" w:sz="4" w:space="0" w:color="auto"/>
        <w:right w:val="single" w:sz="4" w:space="0" w:color="auto"/>
      </w:pBdr>
      <w:spacing w:before="100" w:beforeAutospacing="1" w:after="100" w:afterAutospacing="1"/>
      <w:jc w:val="right"/>
    </w:pPr>
    <w:rPr>
      <w:rFonts w:eastAsia="Times New Roman"/>
      <w:sz w:val="20"/>
      <w:szCs w:val="20"/>
      <w:lang w:eastAsia="lt-LT"/>
    </w:rPr>
  </w:style>
  <w:style w:type="paragraph" w:customStyle="1" w:styleId="xl131">
    <w:name w:val="xl131"/>
    <w:basedOn w:val="Normal"/>
    <w:rsid w:val="000D0A8B"/>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0"/>
      <w:szCs w:val="20"/>
      <w:lang w:eastAsia="lt-LT"/>
    </w:rPr>
  </w:style>
  <w:style w:type="paragraph" w:customStyle="1" w:styleId="xl132">
    <w:name w:val="xl132"/>
    <w:basedOn w:val="Normal"/>
    <w:rsid w:val="000D0A8B"/>
    <w:pPr>
      <w:pBdr>
        <w:top w:val="single" w:sz="4" w:space="0" w:color="auto"/>
        <w:left w:val="single" w:sz="4" w:space="0" w:color="auto"/>
        <w:right w:val="single" w:sz="4" w:space="0" w:color="auto"/>
      </w:pBdr>
      <w:spacing w:before="100" w:beforeAutospacing="1" w:after="100" w:afterAutospacing="1"/>
    </w:pPr>
    <w:rPr>
      <w:rFonts w:eastAsia="Times New Roman"/>
      <w:lang w:eastAsia="lt-LT"/>
    </w:rPr>
  </w:style>
  <w:style w:type="paragraph" w:customStyle="1" w:styleId="xl133">
    <w:name w:val="xl133"/>
    <w:basedOn w:val="Normal"/>
    <w:rsid w:val="000D0A8B"/>
    <w:pPr>
      <w:pBdr>
        <w:top w:val="single" w:sz="4" w:space="0" w:color="auto"/>
        <w:left w:val="single" w:sz="4" w:space="0" w:color="auto"/>
        <w:right w:val="single" w:sz="4" w:space="0" w:color="auto"/>
      </w:pBdr>
      <w:spacing w:before="100" w:beforeAutospacing="1" w:after="100" w:afterAutospacing="1"/>
    </w:pPr>
    <w:rPr>
      <w:rFonts w:eastAsia="Times New Roman"/>
      <w:lang w:eastAsia="lt-LT"/>
    </w:rPr>
  </w:style>
  <w:style w:type="paragraph" w:customStyle="1" w:styleId="xl134">
    <w:name w:val="xl134"/>
    <w:basedOn w:val="Normal"/>
    <w:rsid w:val="000D0A8B"/>
    <w:pPr>
      <w:pBdr>
        <w:top w:val="single" w:sz="4" w:space="0" w:color="auto"/>
        <w:left w:val="single" w:sz="4" w:space="0" w:color="auto"/>
        <w:right w:val="single" w:sz="4" w:space="0" w:color="auto"/>
      </w:pBdr>
      <w:spacing w:before="100" w:beforeAutospacing="1" w:after="100" w:afterAutospacing="1"/>
    </w:pPr>
    <w:rPr>
      <w:rFonts w:eastAsia="Times New Roman"/>
      <w:lang w:eastAsia="lt-LT"/>
    </w:rPr>
  </w:style>
  <w:style w:type="paragraph" w:customStyle="1" w:styleId="xl135">
    <w:name w:val="xl135"/>
    <w:basedOn w:val="Normal"/>
    <w:rsid w:val="000D0A8B"/>
    <w:pPr>
      <w:pBdr>
        <w:left w:val="single" w:sz="4" w:space="0" w:color="auto"/>
        <w:bottom w:val="single" w:sz="4" w:space="0" w:color="auto"/>
        <w:right w:val="single" w:sz="4" w:space="0" w:color="auto"/>
      </w:pBdr>
      <w:spacing w:before="100" w:beforeAutospacing="1" w:after="100" w:afterAutospacing="1"/>
    </w:pPr>
    <w:rPr>
      <w:rFonts w:eastAsia="Times New Roman"/>
      <w:lang w:eastAsia="lt-LT"/>
    </w:rPr>
  </w:style>
  <w:style w:type="paragraph" w:customStyle="1" w:styleId="xl136">
    <w:name w:val="xl136"/>
    <w:basedOn w:val="Normal"/>
    <w:rsid w:val="000D0A8B"/>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20"/>
      <w:szCs w:val="20"/>
      <w:lang w:eastAsia="lt-LT"/>
    </w:rPr>
  </w:style>
  <w:style w:type="paragraph" w:customStyle="1" w:styleId="xl137">
    <w:name w:val="xl137"/>
    <w:basedOn w:val="Normal"/>
    <w:rsid w:val="000D0A8B"/>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lang w:eastAsia="lt-LT"/>
    </w:rPr>
  </w:style>
  <w:style w:type="paragraph" w:customStyle="1" w:styleId="xl138">
    <w:name w:val="xl138"/>
    <w:basedOn w:val="Normal"/>
    <w:rsid w:val="000D0A8B"/>
    <w:pPr>
      <w:pBdr>
        <w:top w:val="single" w:sz="4" w:space="0" w:color="auto"/>
        <w:left w:val="single" w:sz="4" w:space="0" w:color="auto"/>
      </w:pBdr>
      <w:spacing w:before="100" w:beforeAutospacing="1" w:after="100" w:afterAutospacing="1"/>
    </w:pPr>
    <w:rPr>
      <w:rFonts w:eastAsia="Times New Roman"/>
      <w:lang w:eastAsia="lt-LT"/>
    </w:rPr>
  </w:style>
  <w:style w:type="paragraph" w:customStyle="1" w:styleId="xl139">
    <w:name w:val="xl139"/>
    <w:basedOn w:val="Normal"/>
    <w:rsid w:val="000D0A8B"/>
    <w:pPr>
      <w:pBdr>
        <w:left w:val="single" w:sz="4" w:space="0" w:color="auto"/>
        <w:bottom w:val="single" w:sz="4" w:space="0" w:color="auto"/>
      </w:pBdr>
      <w:spacing w:before="100" w:beforeAutospacing="1" w:after="100" w:afterAutospacing="1"/>
    </w:pPr>
    <w:rPr>
      <w:rFonts w:eastAsia="Times New Roman"/>
      <w:lang w:eastAsia="lt-LT"/>
    </w:rPr>
  </w:style>
  <w:style w:type="paragraph" w:customStyle="1" w:styleId="xl140">
    <w:name w:val="xl140"/>
    <w:basedOn w:val="Normal"/>
    <w:rsid w:val="000D0A8B"/>
    <w:pPr>
      <w:pBdr>
        <w:top w:val="single" w:sz="4" w:space="0" w:color="auto"/>
        <w:left w:val="single" w:sz="4" w:space="0" w:color="auto"/>
        <w:right w:val="single" w:sz="4" w:space="0" w:color="auto"/>
      </w:pBdr>
      <w:spacing w:before="100" w:beforeAutospacing="1" w:after="100" w:afterAutospacing="1"/>
    </w:pPr>
    <w:rPr>
      <w:rFonts w:eastAsia="Times New Roman"/>
      <w:sz w:val="20"/>
      <w:szCs w:val="20"/>
      <w:lang w:eastAsia="lt-LT"/>
    </w:rPr>
  </w:style>
  <w:style w:type="paragraph" w:customStyle="1" w:styleId="xl141">
    <w:name w:val="xl141"/>
    <w:basedOn w:val="Normal"/>
    <w:rsid w:val="000D0A8B"/>
    <w:pPr>
      <w:pBdr>
        <w:left w:val="single" w:sz="4" w:space="0" w:color="auto"/>
        <w:bottom w:val="single" w:sz="4" w:space="0" w:color="auto"/>
        <w:right w:val="single" w:sz="4" w:space="0" w:color="auto"/>
      </w:pBdr>
      <w:spacing w:before="100" w:beforeAutospacing="1" w:after="100" w:afterAutospacing="1"/>
    </w:pPr>
    <w:rPr>
      <w:rFonts w:eastAsia="Times New Roman"/>
      <w:sz w:val="20"/>
      <w:szCs w:val="20"/>
      <w:lang w:eastAsia="lt-LT"/>
    </w:rPr>
  </w:style>
  <w:style w:type="paragraph" w:customStyle="1" w:styleId="xl142">
    <w:name w:val="xl142"/>
    <w:basedOn w:val="Normal"/>
    <w:rsid w:val="000D0A8B"/>
    <w:pPr>
      <w:pBdr>
        <w:top w:val="single" w:sz="4" w:space="0" w:color="auto"/>
        <w:left w:val="single" w:sz="4" w:space="0" w:color="auto"/>
        <w:right w:val="single" w:sz="4" w:space="0" w:color="auto"/>
      </w:pBdr>
      <w:shd w:val="clear" w:color="000000" w:fill="FFFFFF"/>
      <w:spacing w:before="100" w:beforeAutospacing="1" w:after="100" w:afterAutospacing="1"/>
    </w:pPr>
    <w:rPr>
      <w:rFonts w:eastAsia="Times New Roman"/>
      <w:lang w:eastAsia="lt-LT"/>
    </w:rPr>
  </w:style>
  <w:style w:type="paragraph" w:customStyle="1" w:styleId="xl143">
    <w:name w:val="xl143"/>
    <w:basedOn w:val="Normal"/>
    <w:rsid w:val="000D0A8B"/>
    <w:pPr>
      <w:pBdr>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lang w:eastAsia="lt-LT"/>
    </w:rPr>
  </w:style>
  <w:style w:type="paragraph" w:customStyle="1" w:styleId="xl144">
    <w:name w:val="xl144"/>
    <w:basedOn w:val="Normal"/>
    <w:rsid w:val="000D0A8B"/>
    <w:pPr>
      <w:pBdr>
        <w:top w:val="single" w:sz="4" w:space="0" w:color="auto"/>
        <w:left w:val="single" w:sz="4" w:space="0" w:color="auto"/>
        <w:right w:val="single" w:sz="4" w:space="0" w:color="auto"/>
      </w:pBdr>
      <w:spacing w:before="100" w:beforeAutospacing="1" w:after="100" w:afterAutospacing="1"/>
    </w:pPr>
    <w:rPr>
      <w:rFonts w:eastAsia="Times New Roman"/>
      <w:lang w:eastAsia="lt-LT"/>
    </w:rPr>
  </w:style>
  <w:style w:type="paragraph" w:customStyle="1" w:styleId="xl145">
    <w:name w:val="xl145"/>
    <w:basedOn w:val="Normal"/>
    <w:rsid w:val="000D0A8B"/>
    <w:pPr>
      <w:pBdr>
        <w:left w:val="single" w:sz="4" w:space="0" w:color="auto"/>
        <w:bottom w:val="single" w:sz="4" w:space="0" w:color="auto"/>
        <w:right w:val="single" w:sz="4" w:space="0" w:color="auto"/>
      </w:pBdr>
      <w:spacing w:before="100" w:beforeAutospacing="1" w:after="100" w:afterAutospacing="1"/>
    </w:pPr>
    <w:rPr>
      <w:rFonts w:eastAsia="Times New Roman"/>
      <w:lang w:eastAsia="lt-LT"/>
    </w:rPr>
  </w:style>
  <w:style w:type="paragraph" w:customStyle="1" w:styleId="xl146">
    <w:name w:val="xl146"/>
    <w:basedOn w:val="Normal"/>
    <w:rsid w:val="000D0A8B"/>
    <w:pPr>
      <w:pBdr>
        <w:top w:val="single" w:sz="4" w:space="0" w:color="auto"/>
        <w:right w:val="single" w:sz="4" w:space="0" w:color="auto"/>
      </w:pBdr>
      <w:spacing w:before="100" w:beforeAutospacing="1" w:after="100" w:afterAutospacing="1"/>
    </w:pPr>
    <w:rPr>
      <w:rFonts w:eastAsia="Times New Roman"/>
      <w:sz w:val="20"/>
      <w:szCs w:val="20"/>
      <w:lang w:eastAsia="lt-LT"/>
    </w:rPr>
  </w:style>
  <w:style w:type="paragraph" w:customStyle="1" w:styleId="xl147">
    <w:name w:val="xl147"/>
    <w:basedOn w:val="Normal"/>
    <w:rsid w:val="000D0A8B"/>
    <w:pPr>
      <w:pBdr>
        <w:right w:val="single" w:sz="4" w:space="0" w:color="auto"/>
      </w:pBdr>
      <w:spacing w:before="100" w:beforeAutospacing="1" w:after="100" w:afterAutospacing="1"/>
    </w:pPr>
    <w:rPr>
      <w:rFonts w:eastAsia="Times New Roman"/>
      <w:sz w:val="20"/>
      <w:szCs w:val="20"/>
      <w:lang w:eastAsia="lt-LT"/>
    </w:rPr>
  </w:style>
  <w:style w:type="paragraph" w:customStyle="1" w:styleId="xl148">
    <w:name w:val="xl148"/>
    <w:basedOn w:val="Normal"/>
    <w:rsid w:val="000D0A8B"/>
    <w:pPr>
      <w:pBdr>
        <w:left w:val="single" w:sz="4" w:space="0" w:color="auto"/>
      </w:pBdr>
      <w:spacing w:before="100" w:beforeAutospacing="1" w:after="100" w:afterAutospacing="1"/>
    </w:pPr>
    <w:rPr>
      <w:rFonts w:eastAsia="Times New Roman"/>
      <w:lang w:eastAsia="lt-LT"/>
    </w:rPr>
  </w:style>
  <w:style w:type="paragraph" w:customStyle="1" w:styleId="xl149">
    <w:name w:val="xl149"/>
    <w:basedOn w:val="Normal"/>
    <w:rsid w:val="000D0A8B"/>
    <w:pPr>
      <w:pBdr>
        <w:top w:val="single" w:sz="4" w:space="0" w:color="auto"/>
      </w:pBdr>
      <w:spacing w:before="100" w:beforeAutospacing="1" w:after="100" w:afterAutospacing="1"/>
    </w:pPr>
    <w:rPr>
      <w:rFonts w:eastAsia="Times New Roman"/>
      <w:lang w:eastAsia="lt-LT"/>
    </w:rPr>
  </w:style>
  <w:style w:type="paragraph" w:customStyle="1" w:styleId="xl150">
    <w:name w:val="xl150"/>
    <w:basedOn w:val="Normal"/>
    <w:rsid w:val="000D0A8B"/>
    <w:pPr>
      <w:spacing w:before="100" w:beforeAutospacing="1" w:after="100" w:afterAutospacing="1"/>
    </w:pPr>
    <w:rPr>
      <w:rFonts w:eastAsia="Times New Roman"/>
      <w:lang w:eastAsia="lt-LT"/>
    </w:rPr>
  </w:style>
  <w:style w:type="paragraph" w:customStyle="1" w:styleId="xl151">
    <w:name w:val="xl151"/>
    <w:basedOn w:val="Normal"/>
    <w:rsid w:val="000D0A8B"/>
    <w:pPr>
      <w:pBdr>
        <w:top w:val="single" w:sz="4" w:space="0" w:color="auto"/>
        <w:left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52">
    <w:name w:val="xl152"/>
    <w:basedOn w:val="Normal"/>
    <w:rsid w:val="000D0A8B"/>
    <w:pPr>
      <w:pBdr>
        <w:left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53">
    <w:name w:val="xl153"/>
    <w:basedOn w:val="Normal"/>
    <w:rsid w:val="000D0A8B"/>
    <w:pPr>
      <w:pBdr>
        <w:left w:val="single" w:sz="4" w:space="0" w:color="auto"/>
        <w:bottom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54">
    <w:name w:val="xl154"/>
    <w:basedOn w:val="Normal"/>
    <w:rsid w:val="000D0A8B"/>
    <w:pPr>
      <w:pBdr>
        <w:top w:val="single" w:sz="4" w:space="0" w:color="auto"/>
        <w:left w:val="single" w:sz="4" w:space="0" w:color="auto"/>
      </w:pBdr>
      <w:spacing w:before="100" w:beforeAutospacing="1" w:after="100" w:afterAutospacing="1"/>
    </w:pPr>
    <w:rPr>
      <w:rFonts w:eastAsia="Times New Roman"/>
      <w:lang w:eastAsia="lt-LT"/>
    </w:rPr>
  </w:style>
  <w:style w:type="paragraph" w:customStyle="1" w:styleId="xl155">
    <w:name w:val="xl155"/>
    <w:basedOn w:val="Normal"/>
    <w:rsid w:val="000D0A8B"/>
    <w:pPr>
      <w:pBdr>
        <w:left w:val="single" w:sz="4" w:space="0" w:color="auto"/>
      </w:pBdr>
      <w:spacing w:before="100" w:beforeAutospacing="1" w:after="100" w:afterAutospacing="1"/>
    </w:pPr>
    <w:rPr>
      <w:rFonts w:eastAsia="Times New Roman"/>
      <w:lang w:eastAsia="lt-LT"/>
    </w:rPr>
  </w:style>
  <w:style w:type="paragraph" w:customStyle="1" w:styleId="xl156">
    <w:name w:val="xl156"/>
    <w:basedOn w:val="Normal"/>
    <w:rsid w:val="000D0A8B"/>
    <w:pPr>
      <w:pBdr>
        <w:left w:val="single" w:sz="4" w:space="0" w:color="auto"/>
        <w:bottom w:val="single" w:sz="4" w:space="0" w:color="auto"/>
      </w:pBdr>
      <w:spacing w:before="100" w:beforeAutospacing="1" w:after="100" w:afterAutospacing="1"/>
    </w:pPr>
    <w:rPr>
      <w:rFonts w:eastAsia="Times New Roman"/>
      <w:lang w:eastAsia="lt-LT"/>
    </w:rPr>
  </w:style>
  <w:style w:type="paragraph" w:customStyle="1" w:styleId="xl157">
    <w:name w:val="xl157"/>
    <w:basedOn w:val="Normal"/>
    <w:rsid w:val="000D0A8B"/>
    <w:pPr>
      <w:pBdr>
        <w:top w:val="single" w:sz="4" w:space="0" w:color="auto"/>
        <w:left w:val="single" w:sz="4" w:space="0" w:color="auto"/>
        <w:right w:val="single" w:sz="4" w:space="0" w:color="auto"/>
      </w:pBdr>
      <w:spacing w:before="100" w:beforeAutospacing="1" w:after="100" w:afterAutospacing="1"/>
      <w:jc w:val="center"/>
    </w:pPr>
    <w:rPr>
      <w:rFonts w:eastAsia="Times New Roman"/>
      <w:sz w:val="20"/>
      <w:szCs w:val="20"/>
      <w:lang w:eastAsia="lt-LT"/>
    </w:rPr>
  </w:style>
  <w:style w:type="paragraph" w:customStyle="1" w:styleId="xl158">
    <w:name w:val="xl158"/>
    <w:basedOn w:val="Normal"/>
    <w:rsid w:val="000D0A8B"/>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lang w:eastAsia="lt-LT"/>
    </w:rPr>
  </w:style>
  <w:style w:type="paragraph" w:customStyle="1" w:styleId="xl159">
    <w:name w:val="xl159"/>
    <w:basedOn w:val="Normal"/>
    <w:rsid w:val="000D0A8B"/>
    <w:pPr>
      <w:pBdr>
        <w:top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60">
    <w:name w:val="xl160"/>
    <w:basedOn w:val="Normal"/>
    <w:rsid w:val="000D0A8B"/>
    <w:pPr>
      <w:pBdr>
        <w:right w:val="single" w:sz="4" w:space="0" w:color="auto"/>
      </w:pBdr>
      <w:spacing w:before="100" w:beforeAutospacing="1" w:after="100" w:afterAutospacing="1"/>
      <w:jc w:val="center"/>
    </w:pPr>
    <w:rPr>
      <w:rFonts w:eastAsia="Times New Roman"/>
      <w:lang w:eastAsia="lt-LT"/>
    </w:rPr>
  </w:style>
  <w:style w:type="paragraph" w:customStyle="1" w:styleId="xl161">
    <w:name w:val="xl161"/>
    <w:basedOn w:val="Normal"/>
    <w:rsid w:val="000D0A8B"/>
    <w:pPr>
      <w:pBdr>
        <w:bottom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62">
    <w:name w:val="xl162"/>
    <w:basedOn w:val="Normal"/>
    <w:rsid w:val="000D0A8B"/>
    <w:pPr>
      <w:pBdr>
        <w:top w:val="single" w:sz="4" w:space="0" w:color="auto"/>
        <w:right w:val="single" w:sz="4" w:space="0" w:color="auto"/>
      </w:pBdr>
      <w:spacing w:before="100" w:beforeAutospacing="1" w:after="100" w:afterAutospacing="1"/>
    </w:pPr>
    <w:rPr>
      <w:rFonts w:eastAsia="Times New Roman"/>
      <w:lang w:eastAsia="lt-LT"/>
    </w:rPr>
  </w:style>
  <w:style w:type="paragraph" w:customStyle="1" w:styleId="xl163">
    <w:name w:val="xl163"/>
    <w:basedOn w:val="Normal"/>
    <w:rsid w:val="000D0A8B"/>
    <w:pPr>
      <w:pBdr>
        <w:right w:val="single" w:sz="4" w:space="0" w:color="auto"/>
      </w:pBdr>
      <w:spacing w:before="100" w:beforeAutospacing="1" w:after="100" w:afterAutospacing="1"/>
    </w:pPr>
    <w:rPr>
      <w:rFonts w:eastAsia="Times New Roman"/>
      <w:lang w:eastAsia="lt-LT"/>
    </w:rPr>
  </w:style>
  <w:style w:type="paragraph" w:customStyle="1" w:styleId="xl164">
    <w:name w:val="xl164"/>
    <w:basedOn w:val="Normal"/>
    <w:rsid w:val="000D0A8B"/>
    <w:pPr>
      <w:pBdr>
        <w:bottom w:val="single" w:sz="4" w:space="0" w:color="auto"/>
        <w:right w:val="single" w:sz="4" w:space="0" w:color="auto"/>
      </w:pBdr>
      <w:spacing w:before="100" w:beforeAutospacing="1" w:after="100" w:afterAutospacing="1"/>
    </w:pPr>
    <w:rPr>
      <w:rFonts w:eastAsia="Times New Roman"/>
      <w:lang w:eastAsia="lt-LT"/>
    </w:rPr>
  </w:style>
  <w:style w:type="paragraph" w:customStyle="1" w:styleId="xl165">
    <w:name w:val="xl165"/>
    <w:basedOn w:val="Normal"/>
    <w:rsid w:val="000D0A8B"/>
    <w:pPr>
      <w:pBdr>
        <w:top w:val="single" w:sz="4" w:space="0" w:color="auto"/>
        <w:left w:val="single" w:sz="4" w:space="0" w:color="auto"/>
        <w:bottom w:val="single" w:sz="4" w:space="0" w:color="auto"/>
        <w:right w:val="single" w:sz="4" w:space="0" w:color="auto"/>
      </w:pBdr>
      <w:shd w:val="clear" w:color="000000" w:fill="1F4E78"/>
      <w:spacing w:before="100" w:beforeAutospacing="1" w:after="100" w:afterAutospacing="1"/>
      <w:jc w:val="center"/>
      <w:textAlignment w:val="center"/>
    </w:pPr>
    <w:rPr>
      <w:rFonts w:eastAsia="Times New Roman"/>
      <w:b/>
      <w:bCs/>
      <w:color w:val="FFFFFF"/>
      <w:lang w:eastAsia="lt-LT"/>
    </w:rPr>
  </w:style>
  <w:style w:type="paragraph" w:customStyle="1" w:styleId="xl166">
    <w:name w:val="xl166"/>
    <w:basedOn w:val="Normal"/>
    <w:rsid w:val="000D0A8B"/>
    <w:pPr>
      <w:pBdr>
        <w:top w:val="single" w:sz="4" w:space="0" w:color="auto"/>
        <w:left w:val="single" w:sz="4" w:space="0" w:color="auto"/>
        <w:bottom w:val="single" w:sz="4" w:space="0" w:color="auto"/>
        <w:right w:val="single" w:sz="4" w:space="0" w:color="auto"/>
      </w:pBdr>
      <w:shd w:val="clear" w:color="000000" w:fill="1F4E78"/>
      <w:spacing w:before="100" w:beforeAutospacing="1" w:after="100" w:afterAutospacing="1"/>
      <w:jc w:val="center"/>
      <w:textAlignment w:val="center"/>
    </w:pPr>
    <w:rPr>
      <w:rFonts w:eastAsia="Times New Roman"/>
      <w:b/>
      <w:bCs/>
      <w:color w:val="FFFFFF"/>
      <w:sz w:val="20"/>
      <w:szCs w:val="20"/>
      <w:lang w:eastAsia="lt-LT"/>
    </w:rPr>
  </w:style>
  <w:style w:type="numbering" w:customStyle="1" w:styleId="NoList11">
    <w:name w:val="No List11"/>
    <w:next w:val="NoList"/>
    <w:uiPriority w:val="99"/>
    <w:semiHidden/>
    <w:unhideWhenUsed/>
    <w:rsid w:val="000D0A8B"/>
  </w:style>
  <w:style w:type="numbering" w:customStyle="1" w:styleId="NoList6">
    <w:name w:val="No List6"/>
    <w:next w:val="NoList"/>
    <w:uiPriority w:val="99"/>
    <w:semiHidden/>
    <w:unhideWhenUsed/>
    <w:rsid w:val="000D0A8B"/>
  </w:style>
  <w:style w:type="table" w:customStyle="1" w:styleId="TableColumns35">
    <w:name w:val="Table Columns 35"/>
    <w:basedOn w:val="TableNormal"/>
    <w:next w:val="TableColumns3"/>
    <w:rsid w:val="000D0A8B"/>
    <w:pPr>
      <w:spacing w:after="0" w:line="240" w:lineRule="auto"/>
    </w:pPr>
    <w:rPr>
      <w:rFonts w:ascii="Times New Roman" w:eastAsia="Times New Roman" w:hAnsi="Times New Roman" w:cs="Times New Roman"/>
      <w:b/>
      <w:bCs/>
      <w:sz w:val="20"/>
      <w:szCs w:val="20"/>
      <w:lang w:eastAsia="lt-LT"/>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7">
    <w:name w:val="Table Grid7"/>
    <w:basedOn w:val="TableNormal"/>
    <w:next w:val="TableGrid"/>
    <w:uiPriority w:val="59"/>
    <w:rsid w:val="000D0A8B"/>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0D0A8B"/>
  </w:style>
  <w:style w:type="table" w:customStyle="1" w:styleId="TableGrid43">
    <w:name w:val="Table Grid43"/>
    <w:basedOn w:val="TableNormal"/>
    <w:next w:val="TableGrid"/>
    <w:uiPriority w:val="39"/>
    <w:rsid w:val="000D0A8B"/>
    <w:pPr>
      <w:spacing w:after="0" w:line="240" w:lineRule="auto"/>
    </w:pPr>
    <w:rPr>
      <w:rFonts w:ascii="Calibri" w:eastAsia="Calibri" w:hAnsi="Calibri" w:cs="Times New Roman"/>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nktas">
    <w:name w:val="Punktas"/>
    <w:basedOn w:val="BodyTextIndent"/>
    <w:rsid w:val="000D0A8B"/>
    <w:pPr>
      <w:numPr>
        <w:numId w:val="2"/>
      </w:numPr>
      <w:spacing w:before="60" w:after="60"/>
      <w:ind w:left="450" w:hanging="450"/>
      <w:jc w:val="both"/>
    </w:pPr>
    <w:rPr>
      <w:rFonts w:eastAsia="Times New Roman"/>
      <w:b/>
    </w:rPr>
  </w:style>
  <w:style w:type="paragraph" w:customStyle="1" w:styleId="Papunktis">
    <w:name w:val="Papunktis"/>
    <w:basedOn w:val="BodyTextIndent"/>
    <w:rsid w:val="000D0A8B"/>
    <w:pPr>
      <w:numPr>
        <w:ilvl w:val="1"/>
        <w:numId w:val="2"/>
      </w:numPr>
      <w:spacing w:after="0"/>
      <w:ind w:left="720" w:hanging="720"/>
      <w:jc w:val="both"/>
    </w:pPr>
    <w:rPr>
      <w:rFonts w:eastAsia="Times New Roman"/>
    </w:rPr>
  </w:style>
  <w:style w:type="paragraph" w:customStyle="1" w:styleId="Papunkiopapunktis">
    <w:name w:val="Papunkčio papunktis"/>
    <w:basedOn w:val="Normal"/>
    <w:rsid w:val="000D0A8B"/>
    <w:pPr>
      <w:numPr>
        <w:ilvl w:val="2"/>
        <w:numId w:val="2"/>
      </w:numPr>
      <w:jc w:val="both"/>
    </w:pPr>
    <w:rPr>
      <w:rFonts w:eastAsia="Times New Roman"/>
    </w:rPr>
  </w:style>
  <w:style w:type="paragraph" w:styleId="BodyTextIndent">
    <w:name w:val="Body Text Indent"/>
    <w:basedOn w:val="Normal"/>
    <w:link w:val="BodyTextIndentChar"/>
    <w:semiHidden/>
    <w:unhideWhenUsed/>
    <w:rsid w:val="000D0A8B"/>
    <w:pPr>
      <w:spacing w:after="120"/>
      <w:ind w:left="283"/>
    </w:pPr>
  </w:style>
  <w:style w:type="character" w:customStyle="1" w:styleId="BodyTextIndentChar">
    <w:name w:val="Body Text Indent Char"/>
    <w:basedOn w:val="DefaultParagraphFont"/>
    <w:link w:val="BodyTextIndent"/>
    <w:semiHidden/>
    <w:rsid w:val="000D0A8B"/>
    <w:rPr>
      <w:rFonts w:ascii="Times New Roman" w:eastAsia="Calibri" w:hAnsi="Times New Roman" w:cs="Times New Roman"/>
      <w:sz w:val="24"/>
      <w:szCs w:val="24"/>
    </w:rPr>
  </w:style>
  <w:style w:type="paragraph" w:customStyle="1" w:styleId="ListParagraph1">
    <w:name w:val="List Paragraph1"/>
    <w:basedOn w:val="Normal"/>
    <w:qFormat/>
    <w:rsid w:val="000D0A8B"/>
    <w:pPr>
      <w:contextualSpacing/>
    </w:pPr>
    <w:rPr>
      <w:sz w:val="20"/>
      <w:szCs w:val="22"/>
    </w:rPr>
  </w:style>
  <w:style w:type="table" w:customStyle="1" w:styleId="TableGrid13">
    <w:name w:val="Table Grid13"/>
    <w:basedOn w:val="TableNormal"/>
    <w:next w:val="TableGrid"/>
    <w:uiPriority w:val="39"/>
    <w:rsid w:val="00AF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Normal"/>
    <w:link w:val="TextChar"/>
    <w:qFormat/>
    <w:rsid w:val="004910C5"/>
    <w:pPr>
      <w:tabs>
        <w:tab w:val="left" w:pos="9600"/>
      </w:tabs>
      <w:spacing w:after="240" w:line="276" w:lineRule="auto"/>
      <w:ind w:left="505" w:right="74"/>
      <w:jc w:val="both"/>
    </w:pPr>
    <w:rPr>
      <w:rFonts w:ascii="Cambria" w:eastAsia="Times New Roman" w:hAnsi="Cambria"/>
      <w:noProof/>
      <w:szCs w:val="22"/>
      <w:lang w:eastAsia="lt-LT"/>
    </w:rPr>
  </w:style>
  <w:style w:type="character" w:customStyle="1" w:styleId="TextChar">
    <w:name w:val="Text Char"/>
    <w:link w:val="Text"/>
    <w:rsid w:val="004910C5"/>
    <w:rPr>
      <w:rFonts w:ascii="Cambria" w:eastAsia="Times New Roman" w:hAnsi="Cambria" w:cs="Times New Roman"/>
      <w:noProof/>
      <w:sz w:val="24"/>
      <w:lang w:eastAsia="lt-LT"/>
    </w:rPr>
  </w:style>
  <w:style w:type="paragraph" w:customStyle="1" w:styleId="DiagramaDiagramaDiagramaCharCharDiagramaCharDiagramaCharCharDiagramaCharCharDiagramaCharChar">
    <w:name w:val="Diagrama Diagrama Diagrama Char Char Diagrama Char Diagrama Char Char Diagrama Char Char Diagrama Char Char"/>
    <w:basedOn w:val="Normal"/>
    <w:rsid w:val="005231A1"/>
    <w:pPr>
      <w:spacing w:after="160" w:line="240" w:lineRule="exact"/>
    </w:pPr>
    <w:rPr>
      <w:rFonts w:ascii="Tahoma" w:eastAsia="Times New Roman" w:hAnsi="Tahoma"/>
      <w:sz w:val="20"/>
      <w:szCs w:val="20"/>
      <w:lang w:val="en-US"/>
    </w:rPr>
  </w:style>
  <w:style w:type="paragraph" w:customStyle="1" w:styleId="DiagramaDiagramaDiagramaDiagramaCharCharDiagramaCharChar">
    <w:name w:val="Diagrama Diagrama Diagrama Diagrama Char Char Diagrama Char Char"/>
    <w:basedOn w:val="Normal"/>
    <w:rsid w:val="005231A1"/>
    <w:pPr>
      <w:spacing w:after="160" w:line="240" w:lineRule="exact"/>
    </w:pPr>
    <w:rPr>
      <w:rFonts w:ascii="Tahoma" w:eastAsia="Times New Roman" w:hAnsi="Tahoma"/>
      <w:sz w:val="20"/>
      <w:szCs w:val="20"/>
      <w:lang w:val="en-US"/>
    </w:rPr>
  </w:style>
  <w:style w:type="paragraph" w:customStyle="1" w:styleId="Pagrindinistekstas21">
    <w:name w:val="Pagrindinis tekstas 21"/>
    <w:basedOn w:val="Normal"/>
    <w:rsid w:val="005231A1"/>
    <w:pPr>
      <w:widowControl w:val="0"/>
      <w:suppressAutoHyphens/>
      <w:ind w:left="1800" w:hanging="1800"/>
    </w:pPr>
    <w:rPr>
      <w:rFonts w:eastAsia="Lucida Sans Unicode"/>
      <w:color w:val="000000"/>
      <w:lang w:eastAsia="lt-LT"/>
    </w:rPr>
  </w:style>
  <w:style w:type="paragraph" w:styleId="HTMLPreformatted">
    <w:name w:val="HTML Preformatted"/>
    <w:basedOn w:val="Normal"/>
    <w:link w:val="HTMLPreformattedChar"/>
    <w:rsid w:val="00523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lt-LT"/>
    </w:rPr>
  </w:style>
  <w:style w:type="character" w:customStyle="1" w:styleId="HTMLPreformattedChar">
    <w:name w:val="HTML Preformatted Char"/>
    <w:basedOn w:val="DefaultParagraphFont"/>
    <w:link w:val="HTMLPreformatted"/>
    <w:rsid w:val="005231A1"/>
    <w:rPr>
      <w:rFonts w:ascii="Courier New" w:eastAsia="Times New Roman" w:hAnsi="Courier New" w:cs="Courier New"/>
      <w:sz w:val="20"/>
      <w:szCs w:val="20"/>
      <w:lang w:eastAsia="lt-LT"/>
    </w:rPr>
  </w:style>
  <w:style w:type="paragraph" w:customStyle="1" w:styleId="DiagramaCharChar">
    <w:name w:val="Diagrama Char Char"/>
    <w:basedOn w:val="Normal"/>
    <w:rsid w:val="005231A1"/>
    <w:pPr>
      <w:spacing w:after="160" w:line="240" w:lineRule="exact"/>
    </w:pPr>
    <w:rPr>
      <w:rFonts w:ascii="Tahoma" w:eastAsia="Times New Roman" w:hAnsi="Tahoma"/>
      <w:sz w:val="20"/>
      <w:szCs w:val="20"/>
      <w:lang w:val="en-US"/>
    </w:rPr>
  </w:style>
  <w:style w:type="paragraph" w:customStyle="1" w:styleId="CharChar4">
    <w:name w:val="Char Char4"/>
    <w:basedOn w:val="Normal"/>
    <w:rsid w:val="005231A1"/>
    <w:pPr>
      <w:spacing w:after="160" w:line="240" w:lineRule="exact"/>
    </w:pPr>
    <w:rPr>
      <w:rFonts w:ascii="Tahoma" w:eastAsia="Times New Roman" w:hAnsi="Tahoma"/>
      <w:sz w:val="20"/>
      <w:szCs w:val="20"/>
      <w:lang w:val="en-US"/>
    </w:rPr>
  </w:style>
  <w:style w:type="paragraph" w:styleId="BodyText3">
    <w:name w:val="Body Text 3"/>
    <w:basedOn w:val="Normal"/>
    <w:link w:val="BodyText3Char"/>
    <w:rsid w:val="005231A1"/>
    <w:pPr>
      <w:spacing w:after="120"/>
    </w:pPr>
    <w:rPr>
      <w:rFonts w:eastAsia="Times New Roman"/>
      <w:sz w:val="16"/>
      <w:szCs w:val="16"/>
      <w:lang w:eastAsia="lt-LT"/>
    </w:rPr>
  </w:style>
  <w:style w:type="character" w:customStyle="1" w:styleId="BodyText3Char">
    <w:name w:val="Body Text 3 Char"/>
    <w:basedOn w:val="DefaultParagraphFont"/>
    <w:link w:val="BodyText3"/>
    <w:rsid w:val="005231A1"/>
    <w:rPr>
      <w:rFonts w:ascii="Times New Roman" w:eastAsia="Times New Roman" w:hAnsi="Times New Roman" w:cs="Times New Roman"/>
      <w:sz w:val="16"/>
      <w:szCs w:val="16"/>
      <w:lang w:eastAsia="lt-LT"/>
    </w:rPr>
  </w:style>
  <w:style w:type="paragraph" w:customStyle="1" w:styleId="DiagramaDiagramaDiagramaCharCharDiagramaChar">
    <w:name w:val="Diagrama Diagrama Diagrama Char Char Diagrama Char"/>
    <w:basedOn w:val="Normal"/>
    <w:rsid w:val="005231A1"/>
    <w:pPr>
      <w:spacing w:after="160" w:line="240" w:lineRule="exact"/>
    </w:pPr>
    <w:rPr>
      <w:rFonts w:ascii="Tahoma" w:eastAsia="Batang" w:hAnsi="Tahoma"/>
      <w:sz w:val="20"/>
      <w:szCs w:val="20"/>
      <w:lang w:val="en-US"/>
    </w:rPr>
  </w:style>
  <w:style w:type="paragraph" w:customStyle="1" w:styleId="IvadosRekomendacijos">
    <w:name w:val="Išvados&amp;Rekomendacijos"/>
    <w:basedOn w:val="Normal"/>
    <w:link w:val="IvadosRekomendacijosDiagrama"/>
    <w:rsid w:val="005231A1"/>
    <w:pPr>
      <w:keepNext/>
      <w:spacing w:before="240" w:after="120"/>
      <w:ind w:left="709"/>
    </w:pPr>
    <w:rPr>
      <w:rFonts w:eastAsia="Times New Roman"/>
      <w:b/>
      <w:bCs/>
      <w:color w:val="666699"/>
      <w:sz w:val="28"/>
      <w:lang w:eastAsia="lt-LT"/>
    </w:rPr>
  </w:style>
  <w:style w:type="character" w:customStyle="1" w:styleId="IvadosRekomendacijosDiagrama">
    <w:name w:val="Išvados&amp;Rekomendacijos Diagrama"/>
    <w:link w:val="IvadosRekomendacijos"/>
    <w:rsid w:val="005231A1"/>
    <w:rPr>
      <w:rFonts w:ascii="Times New Roman" w:eastAsia="Times New Roman" w:hAnsi="Times New Roman" w:cs="Times New Roman"/>
      <w:b/>
      <w:bCs/>
      <w:color w:val="666699"/>
      <w:sz w:val="28"/>
      <w:szCs w:val="24"/>
      <w:lang w:eastAsia="lt-LT"/>
    </w:rPr>
  </w:style>
  <w:style w:type="character" w:customStyle="1" w:styleId="IvadosRekomendacijosChar">
    <w:name w:val="Išvados&amp;Rekomendacijos Char"/>
    <w:rsid w:val="005231A1"/>
    <w:rPr>
      <w:b/>
      <w:bCs/>
      <w:color w:val="666699"/>
      <w:sz w:val="28"/>
      <w:szCs w:val="24"/>
      <w:lang w:val="lt-LT" w:eastAsia="lt-LT" w:bidi="ar-SA"/>
    </w:rPr>
  </w:style>
  <w:style w:type="paragraph" w:customStyle="1" w:styleId="DiagramaDiagramaDiagramaCharCharDiagramaCharDiagramaCharCharDiagramaCharCharDiagrama1">
    <w:name w:val="Diagrama Diagrama Diagrama Char Char Diagrama Char Diagrama Char Char Diagrama Char Char Diagrama1"/>
    <w:basedOn w:val="Normal"/>
    <w:rsid w:val="005231A1"/>
    <w:pPr>
      <w:spacing w:after="160" w:line="240" w:lineRule="exact"/>
    </w:pPr>
    <w:rPr>
      <w:rFonts w:ascii="Tahoma" w:eastAsia="Times New Roman" w:hAnsi="Tahoma"/>
      <w:sz w:val="20"/>
      <w:szCs w:val="20"/>
      <w:lang w:val="en-US"/>
    </w:rPr>
  </w:style>
  <w:style w:type="paragraph" w:customStyle="1" w:styleId="DiagramaDiagramaDiagramaCharCharDiagramaCharDiagrama">
    <w:name w:val="Diagrama Diagrama Diagrama Char Char Diagrama Char Diagrama"/>
    <w:basedOn w:val="Normal"/>
    <w:rsid w:val="005231A1"/>
    <w:pPr>
      <w:spacing w:after="160" w:line="240" w:lineRule="exact"/>
    </w:pPr>
    <w:rPr>
      <w:rFonts w:ascii="Tahoma" w:eastAsia="Batang" w:hAnsi="Tahoma"/>
      <w:sz w:val="20"/>
      <w:szCs w:val="20"/>
      <w:lang w:val="en-US"/>
    </w:rPr>
  </w:style>
  <w:style w:type="paragraph" w:styleId="BodyTextIndent3">
    <w:name w:val="Body Text Indent 3"/>
    <w:basedOn w:val="Normal"/>
    <w:link w:val="BodyTextIndent3Char"/>
    <w:semiHidden/>
    <w:rsid w:val="005231A1"/>
    <w:pPr>
      <w:spacing w:after="120"/>
      <w:ind w:left="283"/>
    </w:pPr>
    <w:rPr>
      <w:rFonts w:eastAsia="Times New Roman"/>
      <w:sz w:val="16"/>
      <w:szCs w:val="16"/>
      <w:lang w:eastAsia="lt-LT"/>
    </w:rPr>
  </w:style>
  <w:style w:type="character" w:customStyle="1" w:styleId="BodyTextIndent3Char">
    <w:name w:val="Body Text Indent 3 Char"/>
    <w:basedOn w:val="DefaultParagraphFont"/>
    <w:link w:val="BodyTextIndent3"/>
    <w:semiHidden/>
    <w:rsid w:val="005231A1"/>
    <w:rPr>
      <w:rFonts w:ascii="Times New Roman" w:eastAsia="Times New Roman" w:hAnsi="Times New Roman" w:cs="Times New Roman"/>
      <w:sz w:val="16"/>
      <w:szCs w:val="16"/>
      <w:lang w:eastAsia="lt-LT"/>
    </w:rPr>
  </w:style>
  <w:style w:type="paragraph" w:customStyle="1" w:styleId="DiagramaDiagramaDiagramaCharCharDiagramaCharDiagramaCharChar">
    <w:name w:val="Diagrama Diagrama Diagrama Char Char Diagrama Char Diagrama Char Char"/>
    <w:basedOn w:val="Normal"/>
    <w:rsid w:val="005231A1"/>
    <w:pPr>
      <w:spacing w:after="160" w:line="240" w:lineRule="exact"/>
    </w:pPr>
    <w:rPr>
      <w:rFonts w:ascii="Tahoma" w:eastAsia="Times New Roman" w:hAnsi="Tahoma"/>
      <w:sz w:val="20"/>
      <w:szCs w:val="20"/>
      <w:lang w:val="en-US"/>
    </w:rPr>
  </w:style>
  <w:style w:type="paragraph" w:customStyle="1" w:styleId="DiagramaDiagramaDiagramaCharCharDiagramaCharDiagramaCharCharDiagrama">
    <w:name w:val="Diagrama Diagrama Diagrama Char Char Diagrama Char Diagrama Char Char Diagrama"/>
    <w:basedOn w:val="Normal"/>
    <w:rsid w:val="005231A1"/>
    <w:pPr>
      <w:spacing w:after="160" w:line="240" w:lineRule="exact"/>
    </w:pPr>
    <w:rPr>
      <w:rFonts w:ascii="Tahoma" w:eastAsia="Times New Roman" w:hAnsi="Tahoma"/>
      <w:sz w:val="20"/>
      <w:szCs w:val="20"/>
      <w:lang w:val="en-US"/>
    </w:rPr>
  </w:style>
  <w:style w:type="paragraph" w:customStyle="1" w:styleId="DiagramaCharCharDiagrama">
    <w:name w:val="Diagrama Char Char Diagrama"/>
    <w:basedOn w:val="Normal"/>
    <w:rsid w:val="005231A1"/>
    <w:pPr>
      <w:spacing w:after="160" w:line="240" w:lineRule="exact"/>
    </w:pPr>
    <w:rPr>
      <w:rFonts w:ascii="Tahoma" w:eastAsia="Times New Roman" w:hAnsi="Tahoma"/>
      <w:sz w:val="20"/>
      <w:szCs w:val="20"/>
      <w:lang w:val="en-US"/>
    </w:rPr>
  </w:style>
  <w:style w:type="paragraph" w:customStyle="1" w:styleId="CharChar">
    <w:name w:val="Char Char"/>
    <w:basedOn w:val="Normal"/>
    <w:rsid w:val="005231A1"/>
    <w:pPr>
      <w:spacing w:after="160" w:line="240" w:lineRule="exact"/>
    </w:pPr>
    <w:rPr>
      <w:rFonts w:ascii="Tahoma" w:eastAsia="Times New Roman" w:hAnsi="Tahoma"/>
      <w:sz w:val="20"/>
      <w:szCs w:val="20"/>
      <w:lang w:val="en-US"/>
    </w:rPr>
  </w:style>
  <w:style w:type="paragraph" w:customStyle="1" w:styleId="DiagramaDiagramaDiagramaDiagramaDiagramaDiagramaDiagramaDiagramaDiagramaDiagramaDiagramaDiagramaDiagramaDiagramaDiagramaDiagramaDiagramaDiagramaDiagramaDiagrama">
    <w:name w:val="Diagrama Diagrama Diagrama Diagrama Diagrama Diagrama Diagrama Diagrama Diagrama Diagrama Diagrama Diagrama Diagrama Diagrama Diagrama Diagrama Diagrama Diagrama Diagrama Diagrama"/>
    <w:basedOn w:val="Normal"/>
    <w:rsid w:val="005231A1"/>
    <w:pPr>
      <w:spacing w:after="160" w:line="240" w:lineRule="exact"/>
    </w:pPr>
    <w:rPr>
      <w:rFonts w:ascii="Tahoma" w:eastAsia="Times New Roman" w:hAnsi="Tahoma"/>
      <w:sz w:val="20"/>
      <w:szCs w:val="20"/>
      <w:lang w:val="en-US"/>
    </w:rPr>
  </w:style>
  <w:style w:type="paragraph" w:customStyle="1" w:styleId="tekstas0">
    <w:name w:val="tekstas"/>
    <w:basedOn w:val="Normal"/>
    <w:rsid w:val="005231A1"/>
    <w:pPr>
      <w:ind w:firstLine="720"/>
      <w:jc w:val="both"/>
    </w:pPr>
    <w:rPr>
      <w:rFonts w:eastAsia="Times New Roman"/>
      <w:szCs w:val="20"/>
    </w:rPr>
  </w:style>
  <w:style w:type="paragraph" w:customStyle="1" w:styleId="Text3">
    <w:name w:val="Text 3"/>
    <w:basedOn w:val="Normal"/>
    <w:rsid w:val="005231A1"/>
    <w:pPr>
      <w:spacing w:after="240" w:line="360" w:lineRule="auto"/>
      <w:ind w:left="1917"/>
      <w:jc w:val="both"/>
    </w:pPr>
    <w:rPr>
      <w:rFonts w:eastAsia="Calibri"/>
      <w:color w:val="183883"/>
      <w:lang w:eastAsia="lt-LT"/>
    </w:rPr>
  </w:style>
  <w:style w:type="paragraph" w:customStyle="1" w:styleId="Pagrtekstas">
    <w:name w:val="Pagr_tekstas"/>
    <w:basedOn w:val="Normal"/>
    <w:rsid w:val="005231A1"/>
    <w:pPr>
      <w:ind w:firstLine="720"/>
      <w:jc w:val="both"/>
    </w:pPr>
    <w:rPr>
      <w:rFonts w:ascii="Arial" w:eastAsia="Calibri" w:hAnsi="Arial" w:cs="Arial"/>
      <w:sz w:val="20"/>
      <w:szCs w:val="20"/>
      <w:lang w:eastAsia="lt-LT"/>
    </w:rPr>
  </w:style>
  <w:style w:type="paragraph" w:customStyle="1" w:styleId="afoutputdocumentparagraph">
    <w:name w:val="af_outputdocument_paragraph"/>
    <w:basedOn w:val="Normal"/>
    <w:rsid w:val="005231A1"/>
    <w:pPr>
      <w:jc w:val="both"/>
    </w:pPr>
    <w:rPr>
      <w:rFonts w:eastAsia="Times New Roman"/>
      <w:lang w:eastAsia="lt-LT"/>
    </w:rPr>
  </w:style>
  <w:style w:type="paragraph" w:customStyle="1" w:styleId="Diagrama3CharChar">
    <w:name w:val="Diagrama3 Char Char"/>
    <w:basedOn w:val="Normal"/>
    <w:rsid w:val="005231A1"/>
    <w:pPr>
      <w:spacing w:after="160" w:line="240" w:lineRule="exact"/>
    </w:pPr>
    <w:rPr>
      <w:rFonts w:ascii="Tahoma" w:eastAsia="Times New Roman" w:hAnsi="Tahoma"/>
      <w:sz w:val="20"/>
      <w:szCs w:val="20"/>
      <w:lang w:val="en-US"/>
    </w:rPr>
  </w:style>
  <w:style w:type="paragraph" w:customStyle="1" w:styleId="xmsonormal">
    <w:name w:val="x_msonormal"/>
    <w:basedOn w:val="Normal"/>
    <w:rsid w:val="005231A1"/>
    <w:pPr>
      <w:spacing w:before="100" w:beforeAutospacing="1" w:after="100" w:afterAutospacing="1"/>
    </w:pPr>
    <w:rPr>
      <w:rFonts w:eastAsia="Times New Roman"/>
      <w:lang w:eastAsia="lt-LT"/>
    </w:rPr>
  </w:style>
  <w:style w:type="paragraph" w:customStyle="1" w:styleId="DiagramaDiagrama6">
    <w:name w:val="Diagrama Diagrama6"/>
    <w:basedOn w:val="Normal"/>
    <w:rsid w:val="005231A1"/>
    <w:pPr>
      <w:spacing w:after="160" w:line="240" w:lineRule="exact"/>
    </w:pPr>
    <w:rPr>
      <w:rFonts w:ascii="Tahoma" w:eastAsia="Times New Roman" w:hAnsi="Tahoma"/>
      <w:sz w:val="20"/>
      <w:szCs w:val="20"/>
      <w:lang w:val="en-US"/>
    </w:rPr>
  </w:style>
  <w:style w:type="paragraph" w:customStyle="1" w:styleId="Sraopastraipa1">
    <w:name w:val="Sąrašo pastraipa1"/>
    <w:basedOn w:val="Normal"/>
    <w:qFormat/>
    <w:rsid w:val="005231A1"/>
    <w:pPr>
      <w:spacing w:after="200" w:line="276" w:lineRule="auto"/>
      <w:ind w:left="720"/>
    </w:pPr>
    <w:rPr>
      <w:rFonts w:ascii="Calibri" w:eastAsia="Times New Roman" w:hAnsi="Calibri"/>
      <w:sz w:val="22"/>
      <w:szCs w:val="22"/>
    </w:rPr>
  </w:style>
  <w:style w:type="paragraph" w:customStyle="1" w:styleId="StiliusAbipuslygiuot">
    <w:name w:val="Stilius Abipusė lygiuotė"/>
    <w:basedOn w:val="Normal"/>
    <w:rsid w:val="005231A1"/>
    <w:pPr>
      <w:spacing w:after="120"/>
      <w:jc w:val="both"/>
    </w:pPr>
    <w:rPr>
      <w:rFonts w:eastAsia="Batang"/>
      <w:szCs w:val="20"/>
      <w:lang w:val="en-US" w:eastAsia="ko-KR"/>
    </w:rPr>
  </w:style>
  <w:style w:type="paragraph" w:customStyle="1" w:styleId="Caption1">
    <w:name w:val="Caption1"/>
    <w:basedOn w:val="Normal"/>
    <w:next w:val="Normal"/>
    <w:rsid w:val="005231A1"/>
    <w:pPr>
      <w:ind w:left="1296"/>
    </w:pPr>
    <w:rPr>
      <w:rFonts w:eastAsia="Times New Roman"/>
      <w:b/>
      <w:bCs/>
      <w:szCs w:val="20"/>
    </w:rPr>
  </w:style>
  <w:style w:type="paragraph" w:customStyle="1" w:styleId="CharChar2">
    <w:name w:val="Char Char2"/>
    <w:basedOn w:val="Normal"/>
    <w:rsid w:val="005231A1"/>
    <w:pPr>
      <w:spacing w:after="160" w:line="240" w:lineRule="exact"/>
    </w:pPr>
    <w:rPr>
      <w:rFonts w:ascii="Tahoma" w:eastAsia="Times New Roman" w:hAnsi="Tahoma"/>
      <w:sz w:val="20"/>
      <w:szCs w:val="20"/>
      <w:lang w:val="en-US"/>
    </w:rPr>
  </w:style>
  <w:style w:type="paragraph" w:customStyle="1" w:styleId="DiagramaDiagramaCharCharDiagramaCharChar">
    <w:name w:val="Diagrama Diagrama Char Char Diagrama Char Char"/>
    <w:basedOn w:val="Normal"/>
    <w:rsid w:val="005231A1"/>
    <w:pPr>
      <w:spacing w:after="160" w:line="240" w:lineRule="exact"/>
    </w:pPr>
    <w:rPr>
      <w:rFonts w:ascii="Tahoma" w:eastAsia="Times New Roman" w:hAnsi="Tahoma"/>
      <w:sz w:val="20"/>
      <w:szCs w:val="20"/>
      <w:lang w:val="en-US"/>
    </w:rPr>
  </w:style>
  <w:style w:type="paragraph" w:customStyle="1" w:styleId="DiagramaDiagrama3">
    <w:name w:val="Diagrama Diagrama3"/>
    <w:basedOn w:val="Normal"/>
    <w:rsid w:val="005231A1"/>
    <w:pPr>
      <w:spacing w:after="160" w:line="240" w:lineRule="exact"/>
    </w:pPr>
    <w:rPr>
      <w:rFonts w:ascii="Tahoma" w:eastAsia="Times New Roman" w:hAnsi="Tahoma"/>
      <w:sz w:val="20"/>
      <w:szCs w:val="20"/>
      <w:lang w:val="en-US"/>
    </w:rPr>
  </w:style>
  <w:style w:type="paragraph" w:styleId="NormalIndent">
    <w:name w:val="Normal Indent"/>
    <w:aliases w:val="Normal Indent Char1,Normal Indent Char Char,Normal Indent Char1 Char Char,Normal Indent Char Char1 Char Char,Normal Indent Char2 Char Char Char Char,Normal Indent Char1 Char Char Char Char Char,Normal Indent Char,Normal Indent Char1 Ch"/>
    <w:basedOn w:val="Normal"/>
    <w:link w:val="NormalIndentChar2"/>
    <w:rsid w:val="005231A1"/>
    <w:pPr>
      <w:spacing w:after="120"/>
      <w:ind w:left="1304"/>
    </w:pPr>
    <w:rPr>
      <w:rFonts w:eastAsia="Batang"/>
      <w:lang w:val="en-GB" w:eastAsia="x-none"/>
    </w:rPr>
  </w:style>
  <w:style w:type="character" w:customStyle="1" w:styleId="NormalIndentChar2">
    <w:name w:val="Normal Indent Char2"/>
    <w:aliases w:val="Normal Indent Char1 Char,Normal Indent Char Char Char,Normal Indent Char1 Char Char Char,Normal Indent Char Char1 Char Char Char,Normal Indent Char2 Char Char Char Char Char,Normal Indent Char1 Char Char Char Char Char Char"/>
    <w:link w:val="NormalIndent"/>
    <w:rsid w:val="005231A1"/>
    <w:rPr>
      <w:rFonts w:ascii="Times New Roman" w:eastAsia="Batang" w:hAnsi="Times New Roman" w:cs="Times New Roman"/>
      <w:sz w:val="24"/>
      <w:szCs w:val="24"/>
      <w:lang w:val="en-GB" w:eastAsia="x-none"/>
    </w:rPr>
  </w:style>
  <w:style w:type="paragraph" w:styleId="TOCHeading">
    <w:name w:val="TOC Heading"/>
    <w:basedOn w:val="Heading1"/>
    <w:next w:val="Normal"/>
    <w:uiPriority w:val="39"/>
    <w:qFormat/>
    <w:rsid w:val="005231A1"/>
    <w:pPr>
      <w:keepLines/>
      <w:spacing w:before="480" w:after="0" w:line="276" w:lineRule="auto"/>
      <w:outlineLvl w:val="9"/>
    </w:pPr>
    <w:rPr>
      <w:rFonts w:ascii="Cambria" w:eastAsia="Times New Roman" w:hAnsi="Cambria"/>
      <w:b/>
      <w:color w:val="365F91"/>
      <w:kern w:val="0"/>
      <w:sz w:val="28"/>
      <w:szCs w:val="28"/>
    </w:rPr>
  </w:style>
  <w:style w:type="character" w:customStyle="1" w:styleId="antrat2">
    <w:name w:val="antraštė 2"/>
    <w:rsid w:val="005231A1"/>
    <w:rPr>
      <w:rFonts w:ascii="Times New Roman" w:hAnsi="Times New Roman"/>
      <w:b/>
      <w:sz w:val="26"/>
    </w:rPr>
  </w:style>
  <w:style w:type="paragraph" w:customStyle="1" w:styleId="1vidutinistinklelis2parykinimas1">
    <w:name w:val="1 vidutinis tinklelis – 2 paryškinimas1"/>
    <w:basedOn w:val="Normal"/>
    <w:rsid w:val="005231A1"/>
    <w:pPr>
      <w:spacing w:before="120" w:after="120"/>
      <w:ind w:firstLine="562"/>
      <w:contextualSpacing/>
      <w:jc w:val="both"/>
    </w:pPr>
    <w:rPr>
      <w:rFonts w:eastAsia="Arial"/>
      <w:sz w:val="20"/>
      <w:szCs w:val="20"/>
      <w:lang w:eastAsia="lt-LT"/>
    </w:rPr>
  </w:style>
  <w:style w:type="paragraph" w:customStyle="1" w:styleId="NDPtext">
    <w:name w:val="NDP text"/>
    <w:rsid w:val="005231A1"/>
    <w:pPr>
      <w:spacing w:after="0" w:line="240" w:lineRule="auto"/>
      <w:jc w:val="both"/>
    </w:pPr>
    <w:rPr>
      <w:rFonts w:ascii="Times New Roman" w:eastAsia="Times New Roman" w:hAnsi="Times New Roman" w:cs="Times New Roman"/>
      <w:noProof/>
      <w:sz w:val="20"/>
      <w:szCs w:val="20"/>
      <w:lang w:eastAsia="lt-LT"/>
    </w:rPr>
  </w:style>
  <w:style w:type="paragraph" w:customStyle="1" w:styleId="Sraopastraipa2">
    <w:name w:val="Sąrašo pastraipa2"/>
    <w:basedOn w:val="Normal"/>
    <w:qFormat/>
    <w:rsid w:val="005231A1"/>
    <w:pPr>
      <w:spacing w:before="120" w:after="120"/>
      <w:ind w:left="720"/>
    </w:pPr>
    <w:rPr>
      <w:rFonts w:ascii="Arial" w:eastAsia="Times New Roman" w:hAnsi="Arial" w:cs="Arial"/>
      <w:sz w:val="20"/>
      <w:szCs w:val="20"/>
      <w:lang w:eastAsia="lt-LT"/>
    </w:rPr>
  </w:style>
  <w:style w:type="paragraph" w:customStyle="1" w:styleId="Hyperlink1">
    <w:name w:val="Hyperlink1"/>
    <w:qFormat/>
    <w:rsid w:val="005231A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datametai">
    <w:name w:val="datametai"/>
    <w:rsid w:val="005231A1"/>
  </w:style>
  <w:style w:type="character" w:customStyle="1" w:styleId="datamnuo">
    <w:name w:val="datamnuo"/>
    <w:rsid w:val="005231A1"/>
  </w:style>
  <w:style w:type="character" w:customStyle="1" w:styleId="datadiena">
    <w:name w:val="datadiena"/>
    <w:rsid w:val="005231A1"/>
  </w:style>
  <w:style w:type="character" w:customStyle="1" w:styleId="statymonr">
    <w:name w:val="statymonr"/>
    <w:rsid w:val="005231A1"/>
  </w:style>
  <w:style w:type="paragraph" w:customStyle="1" w:styleId="statymopavad">
    <w:name w:val="statymopavad"/>
    <w:basedOn w:val="Normal"/>
    <w:rsid w:val="005231A1"/>
    <w:pPr>
      <w:spacing w:before="100" w:beforeAutospacing="1" w:after="100" w:afterAutospacing="1"/>
    </w:pPr>
    <w:rPr>
      <w:rFonts w:eastAsia="Times New Roman"/>
      <w:lang w:eastAsia="lt-LT"/>
    </w:rPr>
  </w:style>
  <w:style w:type="table" w:customStyle="1" w:styleId="TableGrid20">
    <w:name w:val="Table Grid20"/>
    <w:basedOn w:val="TableNormal"/>
    <w:next w:val="TableGrid"/>
    <w:uiPriority w:val="39"/>
    <w:rsid w:val="005231A1"/>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srefss">
    <w:name w:val="Footnotes refss"/>
    <w:aliases w:val="Appel note de bas de p,Exposant 3 Point,Footnote anchor,Footnote reference number,Footnote number,SUPERS"/>
    <w:basedOn w:val="Normal"/>
    <w:uiPriority w:val="99"/>
    <w:rsid w:val="005231A1"/>
    <w:pPr>
      <w:spacing w:after="160" w:line="240" w:lineRule="exact"/>
    </w:pPr>
    <w:rPr>
      <w:rFonts w:ascii="Cambria" w:hAnsi="Cambria" w:cstheme="minorBidi"/>
      <w:sz w:val="22"/>
      <w:szCs w:val="22"/>
      <w:vertAlign w:val="superscript"/>
    </w:rPr>
  </w:style>
  <w:style w:type="paragraph" w:customStyle="1" w:styleId="DiagramaDiagramaDiagrama">
    <w:name w:val="Diagrama Diagrama Diagrama"/>
    <w:basedOn w:val="Normal"/>
    <w:rsid w:val="000F4F5C"/>
    <w:pPr>
      <w:spacing w:after="160" w:line="240" w:lineRule="exact"/>
    </w:pPr>
    <w:rPr>
      <w:rFonts w:ascii="Tahoma" w:eastAsia="Batang" w:hAnsi="Tahoma"/>
      <w:sz w:val="20"/>
      <w:szCs w:val="20"/>
      <w:lang w:val="en-US"/>
    </w:rPr>
  </w:style>
  <w:style w:type="paragraph" w:customStyle="1" w:styleId="DiagramaDiagramaDiagramaDiagramaCharCharDiagramaDiagramaCharCharDiagramaDiagramaCharCharDiagramaDiagramaCharCharDiagrama">
    <w:name w:val="Diagrama Diagrama Diagrama Diagrama Char Char Diagrama Diagrama Char Char Diagrama Diagrama Char Char Diagrama Diagrama Char Char Diagrama"/>
    <w:basedOn w:val="Normal"/>
    <w:rsid w:val="000F4F5C"/>
    <w:pPr>
      <w:spacing w:after="160" w:line="240" w:lineRule="exact"/>
    </w:pPr>
    <w:rPr>
      <w:rFonts w:ascii="Tahoma" w:eastAsia="Batang" w:hAnsi="Tahoma"/>
      <w:sz w:val="20"/>
      <w:szCs w:val="20"/>
      <w:lang w:val="en-US"/>
    </w:rPr>
  </w:style>
  <w:style w:type="paragraph" w:customStyle="1" w:styleId="DiagramaDiagramaDiagramaCharCharDiagramaCharDiagramaCharCharDiagramaDiagramaCharCharDiagramaDiagramaCharCharDiagramaCharCharDiagrama">
    <w:name w:val="Diagrama Diagrama Diagrama Char Char Diagrama Char Diagrama Char Char Diagrama Diagrama Char Char Diagrama Diagrama Char Char Diagrama Char Char Diagrama"/>
    <w:basedOn w:val="Normal"/>
    <w:rsid w:val="000F4F5C"/>
    <w:pPr>
      <w:spacing w:after="160" w:line="240" w:lineRule="exact"/>
    </w:pPr>
    <w:rPr>
      <w:rFonts w:ascii="Tahoma" w:eastAsia="Batang" w:hAnsi="Tahoma"/>
      <w:sz w:val="20"/>
      <w:szCs w:val="20"/>
      <w:lang w:val="en-US"/>
    </w:rPr>
  </w:style>
  <w:style w:type="paragraph" w:customStyle="1" w:styleId="DiagramaDiagramaDiagramaDiagramaCharCharDiagramaDiagramaCharCharDiagramaDiagramaCharCharDiagramaDiagramaCharChar">
    <w:name w:val="Diagrama Diagrama Diagrama Diagrama Char Char Diagrama Diagrama Char Char Diagrama Diagrama Char Char Diagrama Diagrama Char Char"/>
    <w:basedOn w:val="Normal"/>
    <w:rsid w:val="000F4F5C"/>
    <w:pPr>
      <w:spacing w:after="160" w:line="240" w:lineRule="exact"/>
    </w:pPr>
    <w:rPr>
      <w:rFonts w:ascii="Tahoma" w:eastAsia="Batang" w:hAnsi="Tahoma"/>
      <w:sz w:val="20"/>
      <w:szCs w:val="20"/>
      <w:lang w:val="en-US"/>
    </w:rPr>
  </w:style>
  <w:style w:type="paragraph" w:customStyle="1" w:styleId="DiagramaDiagramaDiagramaCharCharDiagramaCharDiagramaCharCharDiagramaDiagramaCharCharDiagramaDiagramaCharCharDiagramaDiagramaCharCharDiagramaDiagrama">
    <w:name w:val="Diagrama Diagrama Diagrama Char Char Diagrama Char Diagrama Char Char Diagrama Diagrama Char Char Diagrama Diagrama Char Char Diagrama Diagrama Char Char Diagrama Diagrama"/>
    <w:basedOn w:val="Normal"/>
    <w:rsid w:val="000F4F5C"/>
    <w:pPr>
      <w:spacing w:after="160" w:line="240" w:lineRule="exact"/>
    </w:pPr>
    <w:rPr>
      <w:rFonts w:ascii="Tahoma" w:eastAsia="Batang" w:hAnsi="Tahoma"/>
      <w:sz w:val="20"/>
      <w:szCs w:val="20"/>
      <w:lang w:val="en-US"/>
    </w:rPr>
  </w:style>
  <w:style w:type="paragraph" w:customStyle="1" w:styleId="ListParagraph2">
    <w:name w:val="List Paragraph2"/>
    <w:basedOn w:val="Normal"/>
    <w:qFormat/>
    <w:rsid w:val="000F4F5C"/>
    <w:pPr>
      <w:spacing w:after="200" w:line="276" w:lineRule="auto"/>
      <w:ind w:left="720"/>
      <w:contextualSpacing/>
    </w:pPr>
    <w:rPr>
      <w:rFonts w:eastAsia="Calibri"/>
      <w:szCs w:val="22"/>
    </w:rPr>
  </w:style>
  <w:style w:type="paragraph" w:customStyle="1" w:styleId="NormalJustified">
    <w:name w:val="Normal + Justified"/>
    <w:basedOn w:val="Normal"/>
    <w:rsid w:val="000F4F5C"/>
    <w:pPr>
      <w:jc w:val="both"/>
    </w:pPr>
    <w:rPr>
      <w:rFonts w:eastAsia="Times New Roman"/>
    </w:rPr>
  </w:style>
  <w:style w:type="paragraph" w:customStyle="1" w:styleId="DiagramaDiagramaDiagramaDiagrama">
    <w:name w:val="Diagrama Diagrama Diagrama Diagrama"/>
    <w:basedOn w:val="Normal"/>
    <w:rsid w:val="000F4F5C"/>
    <w:pPr>
      <w:spacing w:after="160" w:line="240" w:lineRule="exact"/>
    </w:pPr>
    <w:rPr>
      <w:rFonts w:ascii="Tahoma" w:eastAsia="Times New Roman" w:hAnsi="Tahoma"/>
      <w:sz w:val="20"/>
      <w:szCs w:val="20"/>
      <w:lang w:val="en-US"/>
    </w:rPr>
  </w:style>
  <w:style w:type="paragraph" w:customStyle="1" w:styleId="5Normal">
    <w:name w:val="5 Normal"/>
    <w:rsid w:val="000F4F5C"/>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eastAsia="Times New Roman" w:hAnsi="Arial" w:cs="Times New Roman"/>
      <w:snapToGrid w:val="0"/>
      <w:spacing w:val="-2"/>
      <w:szCs w:val="20"/>
      <w:lang w:val="en-GB" w:eastAsia="en-GB"/>
    </w:rPr>
  </w:style>
  <w:style w:type="paragraph" w:customStyle="1" w:styleId="Char">
    <w:name w:val="Char"/>
    <w:basedOn w:val="Normal"/>
    <w:rsid w:val="000F4F5C"/>
    <w:pPr>
      <w:spacing w:after="160" w:line="240" w:lineRule="exact"/>
    </w:pPr>
    <w:rPr>
      <w:rFonts w:ascii="Tahoma" w:eastAsia="Times New Roman" w:hAnsi="Tahoma"/>
      <w:sz w:val="20"/>
      <w:szCs w:val="20"/>
      <w:lang w:val="en-US"/>
    </w:rPr>
  </w:style>
  <w:style w:type="paragraph" w:customStyle="1" w:styleId="CharCharDiagramaCharCharDiagramaCharChar">
    <w:name w:val="Char Char Diagrama Char Char Diagrama Char Char"/>
    <w:basedOn w:val="Normal"/>
    <w:rsid w:val="000F4F5C"/>
    <w:pPr>
      <w:spacing w:after="160" w:line="240" w:lineRule="exact"/>
    </w:pPr>
    <w:rPr>
      <w:rFonts w:ascii="Tahoma" w:eastAsia="Times New Roman" w:hAnsi="Tahoma"/>
      <w:sz w:val="20"/>
      <w:szCs w:val="20"/>
      <w:lang w:val="en-US"/>
    </w:rPr>
  </w:style>
  <w:style w:type="character" w:customStyle="1" w:styleId="Diagrama1">
    <w:name w:val="Diagrama1"/>
    <w:rsid w:val="000F4F5C"/>
    <w:rPr>
      <w:rFonts w:eastAsia="Batang"/>
      <w:sz w:val="24"/>
      <w:szCs w:val="24"/>
      <w:lang w:val="lt-LT" w:eastAsia="lt-LT" w:bidi="ar-SA"/>
    </w:rPr>
  </w:style>
  <w:style w:type="paragraph" w:customStyle="1" w:styleId="DiagramaDiagramaDiagramaCharCharDiagramaCharDiagramaDiagramaDiagrama">
    <w:name w:val="Diagrama Diagrama Diagrama Char Char Diagrama Char Diagrama Diagrama Diagrama"/>
    <w:basedOn w:val="Normal"/>
    <w:rsid w:val="000F4F5C"/>
    <w:pPr>
      <w:spacing w:after="160" w:line="240" w:lineRule="exact"/>
    </w:pPr>
    <w:rPr>
      <w:rFonts w:ascii="Tahoma" w:eastAsia="Batang" w:hAnsi="Tahoma"/>
      <w:sz w:val="20"/>
      <w:szCs w:val="20"/>
      <w:lang w:val="en-US"/>
    </w:rPr>
  </w:style>
  <w:style w:type="paragraph" w:customStyle="1" w:styleId="DiagramaDiagramaDiagramaCharCharDiagramaCharDiagramaDiagramaDiagramaDiagrama">
    <w:name w:val="Diagrama Diagrama Diagrama Char Char Diagrama Char Diagrama Diagrama Diagrama Diagrama"/>
    <w:basedOn w:val="Normal"/>
    <w:rsid w:val="000F4F5C"/>
    <w:pPr>
      <w:spacing w:after="160" w:line="240" w:lineRule="exact"/>
    </w:pPr>
    <w:rPr>
      <w:rFonts w:ascii="Tahoma" w:eastAsia="Batang" w:hAnsi="Tahoma"/>
      <w:sz w:val="20"/>
      <w:szCs w:val="20"/>
      <w:lang w:val="en-US"/>
    </w:rPr>
  </w:style>
  <w:style w:type="character" w:customStyle="1" w:styleId="FootnoteDiagramaDiagrama1">
    <w:name w:val="Footnote Diagrama Diagrama1"/>
    <w:aliases w:val="Footnote Diagrama Diagrama Diagrama,Footnote Diagrama Diagrama Diagrama Diagrama Diagrama,Puslapio išnašos tekstas1,Footnote Diagrama Diagrama2,Footnote Diagrama Diagrama3,Footnote Diagrama Diagrama Diagrama Diagrama1"/>
    <w:rsid w:val="000F4F5C"/>
    <w:rPr>
      <w:rFonts w:eastAsia="Batang"/>
      <w:lang w:val="lt-LT" w:eastAsia="lt-LT" w:bidi="ar-SA"/>
    </w:rPr>
  </w:style>
  <w:style w:type="character" w:customStyle="1" w:styleId="fullparam">
    <w:name w:val="full_param"/>
    <w:rsid w:val="000F4F5C"/>
    <w:rPr>
      <w:b w:val="0"/>
      <w:bCs w:val="0"/>
    </w:rPr>
  </w:style>
  <w:style w:type="paragraph" w:customStyle="1" w:styleId="DiagramaDiagramaDiagramaCharChar">
    <w:name w:val="Diagrama Diagrama Diagrama Char Char"/>
    <w:basedOn w:val="Normal"/>
    <w:rsid w:val="000F4F5C"/>
    <w:pPr>
      <w:spacing w:after="160" w:line="240" w:lineRule="exact"/>
    </w:pPr>
    <w:rPr>
      <w:rFonts w:ascii="Tahoma" w:eastAsia="Times New Roman" w:hAnsi="Tahoma"/>
      <w:sz w:val="20"/>
      <w:szCs w:val="20"/>
      <w:lang w:val="en-US"/>
    </w:rPr>
  </w:style>
  <w:style w:type="character" w:customStyle="1" w:styleId="Diagrama8">
    <w:name w:val="Diagrama8"/>
    <w:rsid w:val="000F4F5C"/>
    <w:rPr>
      <w:rFonts w:ascii="Times New Roman" w:eastAsia="Batang" w:hAnsi="Times New Roman" w:cs="Times New Roman"/>
      <w:sz w:val="24"/>
      <w:szCs w:val="24"/>
      <w:lang w:eastAsia="lt-LT"/>
    </w:rPr>
  </w:style>
  <w:style w:type="paragraph" w:customStyle="1" w:styleId="Style13">
    <w:name w:val="Style13"/>
    <w:basedOn w:val="Normal"/>
    <w:rsid w:val="000F4F5C"/>
    <w:pPr>
      <w:widowControl w:val="0"/>
      <w:autoSpaceDE w:val="0"/>
      <w:autoSpaceDN w:val="0"/>
      <w:adjustRightInd w:val="0"/>
      <w:spacing w:line="283" w:lineRule="exact"/>
      <w:jc w:val="both"/>
    </w:pPr>
    <w:rPr>
      <w:rFonts w:ascii="Arial" w:eastAsia="Times New Roman" w:hAnsi="Arial" w:cs="Arial"/>
      <w:lang w:eastAsia="lt-LT"/>
    </w:rPr>
  </w:style>
  <w:style w:type="character" w:customStyle="1" w:styleId="Diagrama2">
    <w:name w:val="Diagrama2"/>
    <w:rsid w:val="000F4F5C"/>
    <w:rPr>
      <w:rFonts w:eastAsia="Batang"/>
      <w:sz w:val="24"/>
      <w:szCs w:val="24"/>
      <w:lang w:val="lt-LT" w:eastAsia="lt-LT" w:bidi="ar-SA"/>
    </w:rPr>
  </w:style>
  <w:style w:type="paragraph" w:customStyle="1" w:styleId="AntrasteIP1">
    <w:name w:val="Antraste IP 1"/>
    <w:basedOn w:val="Heading1"/>
    <w:rsid w:val="000F4F5C"/>
    <w:pPr>
      <w:spacing w:after="60"/>
    </w:pPr>
    <w:rPr>
      <w:rFonts w:ascii="Times New Roman" w:eastAsia="Batang" w:hAnsi="Times New Roman" w:cs="Arial"/>
      <w:b/>
      <w:bCs w:val="0"/>
      <w:color w:val="auto"/>
      <w:sz w:val="24"/>
    </w:rPr>
  </w:style>
  <w:style w:type="paragraph" w:customStyle="1" w:styleId="AntrasteIP2">
    <w:name w:val="Antraste IP 2"/>
    <w:basedOn w:val="Heading2"/>
    <w:rsid w:val="000F4F5C"/>
    <w:pPr>
      <w:numPr>
        <w:ilvl w:val="0"/>
        <w:numId w:val="0"/>
      </w:numPr>
    </w:pPr>
    <w:rPr>
      <w:rFonts w:eastAsia="Times New Roman" w:cs="Arial"/>
      <w:i/>
      <w:color w:val="auto"/>
      <w:sz w:val="24"/>
      <w:lang w:val="en-GB"/>
    </w:rPr>
  </w:style>
  <w:style w:type="paragraph" w:customStyle="1" w:styleId="AntrasteIP3">
    <w:name w:val="Antraste IP 3"/>
    <w:basedOn w:val="Heading3"/>
    <w:rsid w:val="000F4F5C"/>
    <w:rPr>
      <w:rFonts w:ascii="Times New Roman" w:eastAsia="Batang" w:hAnsi="Times New Roman" w:cs="Arial"/>
      <w:lang w:eastAsia="lt-LT"/>
    </w:rPr>
  </w:style>
  <w:style w:type="paragraph" w:customStyle="1" w:styleId="CM4">
    <w:name w:val="CM4"/>
    <w:basedOn w:val="Normal"/>
    <w:next w:val="Normal"/>
    <w:rsid w:val="000F4F5C"/>
    <w:pPr>
      <w:autoSpaceDE w:val="0"/>
      <w:autoSpaceDN w:val="0"/>
      <w:adjustRightInd w:val="0"/>
    </w:pPr>
    <w:rPr>
      <w:rFonts w:eastAsia="Times New Roman"/>
      <w:lang w:eastAsia="lt-LT"/>
    </w:rPr>
  </w:style>
  <w:style w:type="paragraph" w:customStyle="1" w:styleId="DiagramaDiagramaDiagramaCharCharDiagramaCharDiagramaCharCharDiagramaDiagramaCharCharDiagramaDiagramaCharCharDiagramaDiagramaCharCharDiagramaDiagrama1">
    <w:name w:val="Diagrama Diagrama Diagrama Char Char Diagrama Char Diagrama Char Char Diagrama Diagrama Char Char Diagrama Diagrama Char Char Diagrama Diagrama Char Char Diagrama Diagrama1"/>
    <w:basedOn w:val="Normal"/>
    <w:rsid w:val="000F4F5C"/>
    <w:pPr>
      <w:spacing w:after="160" w:line="240" w:lineRule="exact"/>
    </w:pPr>
    <w:rPr>
      <w:rFonts w:ascii="Tahoma" w:eastAsia="Times New Roman" w:hAnsi="Tahoma"/>
      <w:sz w:val="20"/>
      <w:szCs w:val="20"/>
      <w:lang w:val="en-US"/>
    </w:rPr>
  </w:style>
  <w:style w:type="paragraph" w:customStyle="1" w:styleId="CharCharDiagramaCharChar">
    <w:name w:val="Char Char Diagrama Char Char"/>
    <w:basedOn w:val="Normal"/>
    <w:rsid w:val="000F4F5C"/>
    <w:pPr>
      <w:spacing w:after="160" w:line="240" w:lineRule="exact"/>
    </w:pPr>
    <w:rPr>
      <w:rFonts w:ascii="Tahoma" w:eastAsia="Times New Roman" w:hAnsi="Tahoma"/>
      <w:sz w:val="20"/>
      <w:szCs w:val="20"/>
      <w:lang w:val="en-US"/>
    </w:rPr>
  </w:style>
  <w:style w:type="paragraph" w:customStyle="1" w:styleId="DiagramaDiagramaDiagramaCharCharDiagramaCharDiagramaCharCharDiagramaDiagrama">
    <w:name w:val="Diagrama Diagrama Diagrama Char Char Diagrama Char Diagrama Char Char Diagrama Diagrama"/>
    <w:basedOn w:val="Normal"/>
    <w:rsid w:val="000F4F5C"/>
    <w:pPr>
      <w:spacing w:after="160" w:line="240" w:lineRule="exact"/>
    </w:pPr>
    <w:rPr>
      <w:rFonts w:ascii="Tahoma" w:eastAsia="Times New Roman" w:hAnsi="Tahoma"/>
      <w:sz w:val="20"/>
      <w:szCs w:val="20"/>
      <w:lang w:val="en-US"/>
    </w:rPr>
  </w:style>
  <w:style w:type="paragraph" w:customStyle="1" w:styleId="CharChar2Diagrama">
    <w:name w:val="Char Char2 Diagrama"/>
    <w:basedOn w:val="Normal"/>
    <w:rsid w:val="000F4F5C"/>
    <w:pPr>
      <w:spacing w:after="160" w:line="240" w:lineRule="exact"/>
    </w:pPr>
    <w:rPr>
      <w:rFonts w:ascii="Tahoma" w:eastAsia="Times New Roman" w:hAnsi="Tahoma"/>
      <w:sz w:val="20"/>
      <w:szCs w:val="20"/>
      <w:lang w:val="en-US"/>
    </w:rPr>
  </w:style>
  <w:style w:type="paragraph" w:customStyle="1" w:styleId="Hyperlink2">
    <w:name w:val="Hyperlink2"/>
    <w:basedOn w:val="Normal"/>
    <w:rsid w:val="000F4F5C"/>
    <w:pPr>
      <w:spacing w:before="100" w:beforeAutospacing="1" w:after="100" w:afterAutospacing="1"/>
    </w:pPr>
    <w:rPr>
      <w:rFonts w:eastAsia="Times New Roman"/>
      <w:lang w:eastAsia="lt-LT"/>
    </w:rPr>
  </w:style>
  <w:style w:type="paragraph" w:customStyle="1" w:styleId="BodyText20">
    <w:name w:val="Body Text2"/>
    <w:basedOn w:val="Normal"/>
    <w:next w:val="Normal"/>
    <w:rsid w:val="000F4F5C"/>
    <w:pPr>
      <w:autoSpaceDE w:val="0"/>
      <w:autoSpaceDN w:val="0"/>
      <w:adjustRightInd w:val="0"/>
    </w:pPr>
    <w:rPr>
      <w:rFonts w:eastAsia="SimSun"/>
      <w:lang w:eastAsia="zh-CN"/>
    </w:rPr>
  </w:style>
  <w:style w:type="paragraph" w:customStyle="1" w:styleId="Pa7">
    <w:name w:val="Pa7"/>
    <w:basedOn w:val="Default"/>
    <w:next w:val="Default"/>
    <w:uiPriority w:val="99"/>
    <w:rsid w:val="000F4F5C"/>
    <w:pPr>
      <w:spacing w:line="181" w:lineRule="atLeast"/>
    </w:pPr>
    <w:rPr>
      <w:rFonts w:ascii="Macho Light" w:eastAsia="Batang" w:hAnsi="Macho Light"/>
      <w:color w:val="auto"/>
    </w:rPr>
  </w:style>
  <w:style w:type="paragraph" w:customStyle="1" w:styleId="TableText">
    <w:name w:val="Table Text"/>
    <w:basedOn w:val="Normal"/>
    <w:rsid w:val="000F4F5C"/>
    <w:pPr>
      <w:autoSpaceDE w:val="0"/>
      <w:autoSpaceDN w:val="0"/>
      <w:adjustRightInd w:val="0"/>
      <w:jc w:val="right"/>
    </w:pPr>
    <w:rPr>
      <w:rFonts w:eastAsia="Times New Roman"/>
      <w:lang w:val="en-US"/>
    </w:rPr>
  </w:style>
  <w:style w:type="paragraph" w:customStyle="1" w:styleId="Hipersaitas1">
    <w:name w:val="Hipersaitas1"/>
    <w:basedOn w:val="Normal"/>
    <w:rsid w:val="000F4F5C"/>
    <w:pPr>
      <w:suppressAutoHyphens/>
      <w:autoSpaceDE w:val="0"/>
      <w:autoSpaceDN w:val="0"/>
      <w:adjustRightInd w:val="0"/>
      <w:spacing w:line="298" w:lineRule="auto"/>
      <w:ind w:firstLine="312"/>
      <w:jc w:val="both"/>
      <w:textAlignment w:val="center"/>
    </w:pPr>
    <w:rPr>
      <w:rFonts w:eastAsia="Times New Roman"/>
      <w:color w:val="000000"/>
      <w:sz w:val="20"/>
      <w:szCs w:val="20"/>
      <w:lang w:val="en-GB"/>
    </w:rPr>
  </w:style>
  <w:style w:type="character" w:customStyle="1" w:styleId="TRTEKSTASChar">
    <w:name w:val="TR_TEKSTAS Char"/>
    <w:link w:val="TRTEKSTAS"/>
    <w:uiPriority w:val="99"/>
    <w:locked/>
    <w:rsid w:val="000F4F5C"/>
    <w:rPr>
      <w:rFonts w:eastAsia="Times New Roman"/>
      <w:color w:val="000000"/>
      <w:szCs w:val="24"/>
    </w:rPr>
  </w:style>
  <w:style w:type="paragraph" w:customStyle="1" w:styleId="TRTEKSTAS">
    <w:name w:val="TR_TEKSTAS"/>
    <w:basedOn w:val="Normal"/>
    <w:link w:val="TRTEKSTASChar"/>
    <w:uiPriority w:val="99"/>
    <w:rsid w:val="000F4F5C"/>
    <w:pPr>
      <w:tabs>
        <w:tab w:val="left" w:pos="680"/>
      </w:tabs>
      <w:ind w:firstLine="425"/>
      <w:jc w:val="both"/>
    </w:pPr>
    <w:rPr>
      <w:rFonts w:asciiTheme="minorHAnsi" w:eastAsia="Times New Roman" w:hAnsiTheme="minorHAnsi" w:cstheme="minorBidi"/>
      <w:color w:val="000000"/>
      <w:sz w:val="22"/>
    </w:rPr>
  </w:style>
  <w:style w:type="paragraph" w:customStyle="1" w:styleId="Hipersaitas2">
    <w:name w:val="Hipersaitas2"/>
    <w:basedOn w:val="Normal"/>
    <w:rsid w:val="000F4F5C"/>
    <w:pPr>
      <w:spacing w:before="100" w:beforeAutospacing="1" w:after="100" w:afterAutospacing="1"/>
    </w:pPr>
    <w:rPr>
      <w:rFonts w:eastAsia="Times New Roman"/>
      <w:lang w:eastAsia="lt-LT"/>
    </w:rPr>
  </w:style>
  <w:style w:type="paragraph" w:customStyle="1" w:styleId="Pagrindinistekstas1">
    <w:name w:val="Pagrindinis tekstas1"/>
    <w:basedOn w:val="Normal"/>
    <w:next w:val="Normal"/>
    <w:rsid w:val="000F4F5C"/>
    <w:pPr>
      <w:autoSpaceDE w:val="0"/>
      <w:autoSpaceDN w:val="0"/>
      <w:adjustRightInd w:val="0"/>
    </w:pPr>
    <w:rPr>
      <w:rFonts w:eastAsia="SimSun"/>
      <w:lang w:eastAsia="zh-CN"/>
    </w:rPr>
  </w:style>
  <w:style w:type="character" w:customStyle="1" w:styleId="ms-vb12">
    <w:name w:val="ms-vb12"/>
    <w:rsid w:val="000F4F5C"/>
    <w:rPr>
      <w:rFonts w:ascii="Verdana" w:hAnsi="Verdana" w:hint="default"/>
      <w:color w:val="6D6F72"/>
      <w:sz w:val="16"/>
      <w:szCs w:val="16"/>
    </w:rPr>
  </w:style>
  <w:style w:type="character" w:customStyle="1" w:styleId="dpav">
    <w:name w:val="dpav"/>
    <w:rsid w:val="000F4F5C"/>
    <w:rPr>
      <w:sz w:val="26"/>
      <w:szCs w:val="26"/>
    </w:rPr>
  </w:style>
  <w:style w:type="table" w:customStyle="1" w:styleId="TableGrid8">
    <w:name w:val="Table Grid8"/>
    <w:basedOn w:val="TableNormal"/>
    <w:next w:val="TableGrid"/>
    <w:uiPriority w:val="39"/>
    <w:rsid w:val="00830A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107F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4.xml"/><Relationship Id="rId25" Type="http://schemas.openxmlformats.org/officeDocument/2006/relationships/image" Target="media/image10.jpeg"/><Relationship Id="rId33" Type="http://schemas.openxmlformats.org/officeDocument/2006/relationships/chart" Target="charts/chart1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7.xml"/><Relationship Id="rId32" Type="http://schemas.openxmlformats.org/officeDocument/2006/relationships/image" Target="media/image14.jpeg"/><Relationship Id="rId37"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g"/><Relationship Id="rId28" Type="http://schemas.openxmlformats.org/officeDocument/2006/relationships/image" Target="media/image12.jpeg"/><Relationship Id="rId36"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chart" Target="charts/chart5.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6.xml"/><Relationship Id="rId27" Type="http://schemas.openxmlformats.org/officeDocument/2006/relationships/chart" Target="charts/chart8.xml"/><Relationship Id="rId30" Type="http://schemas.openxmlformats.org/officeDocument/2006/relationships/chart" Target="charts/chart10.xml"/><Relationship Id="rId35" Type="http://schemas.openxmlformats.org/officeDocument/2006/relationships/chart" Target="charts/chart1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Darbas\FM%20vertinimas%20su%20ESTEP\VP3%20&#352;MM%20finansavimas%20pagal%20priemon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neringa.virseliene\AppData\Local\Microsoft\Windows\INetCache\Content.Outlook\IB6T5IQ0\Paveikslelis%20ESTEP.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neringa.virseliene\Dropbox\!ESTEP%20projektai\2016.05.16%20-%20FM%20kiekybinis-kokybinis\0_&#302;vadin&#279;%20ataskaita_aktualios%20dalys\3%20priedas.%20Strateginiai%20konteksto%20rodikliai_NV.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j-lt"/>
                <a:ea typeface="+mn-ea"/>
                <a:cs typeface="+mn-cs"/>
              </a:defRPr>
            </a:pPr>
            <a:r>
              <a:rPr lang="lt-LT"/>
              <a:t>SSVP investicijų pasiskirstymas pagal prioritetus, mln. Eur</a:t>
            </a:r>
          </a:p>
        </c:rich>
      </c:tx>
      <c:layout>
        <c:manualLayout>
          <c:xMode val="edge"/>
          <c:yMode val="edge"/>
          <c:x val="9.0180348335578933E-2"/>
          <c:y val="2.2020368841178091E-2"/>
        </c:manualLayout>
      </c:layout>
      <c:overlay val="0"/>
      <c:spPr>
        <a:noFill/>
        <a:ln>
          <a:noFill/>
        </a:ln>
        <a:effectLst/>
      </c:spPr>
    </c:title>
    <c:autoTitleDeleted val="0"/>
    <c:plotArea>
      <c:layout>
        <c:manualLayout>
          <c:layoutTarget val="inner"/>
          <c:xMode val="edge"/>
          <c:yMode val="edge"/>
          <c:x val="2.3923134256765233E-2"/>
          <c:y val="0.18490044414551277"/>
          <c:w val="0.41194823174575707"/>
          <c:h val="0.84160046062234528"/>
        </c:manualLayout>
      </c:layout>
      <c:doughnutChart>
        <c:varyColors val="1"/>
        <c:ser>
          <c:idx val="0"/>
          <c:order val="0"/>
          <c:dPt>
            <c:idx val="0"/>
            <c:bubble3D val="0"/>
            <c:spPr>
              <a:solidFill>
                <a:schemeClr val="accent1">
                  <a:shade val="58000"/>
                </a:schemeClr>
              </a:solidFill>
              <a:ln w="19050">
                <a:solidFill>
                  <a:schemeClr val="lt1"/>
                </a:solidFill>
              </a:ln>
              <a:effectLst/>
            </c:spPr>
          </c:dPt>
          <c:dPt>
            <c:idx val="1"/>
            <c:bubble3D val="0"/>
            <c:spPr>
              <a:solidFill>
                <a:schemeClr val="accent1">
                  <a:shade val="86000"/>
                </a:schemeClr>
              </a:solidFill>
              <a:ln w="19050">
                <a:solidFill>
                  <a:schemeClr val="lt1"/>
                </a:solidFill>
              </a:ln>
              <a:effectLst/>
            </c:spPr>
          </c:dPt>
          <c:dPt>
            <c:idx val="2"/>
            <c:bubble3D val="0"/>
            <c:spPr>
              <a:solidFill>
                <a:schemeClr val="accent1">
                  <a:tint val="86000"/>
                </a:schemeClr>
              </a:solidFill>
              <a:ln w="19050">
                <a:solidFill>
                  <a:schemeClr val="lt1"/>
                </a:solidFill>
              </a:ln>
              <a:effectLst/>
            </c:spPr>
          </c:dPt>
          <c:dPt>
            <c:idx val="3"/>
            <c:bubble3D val="0"/>
            <c:spPr>
              <a:solidFill>
                <a:schemeClr val="accent1">
                  <a:tint val="58000"/>
                </a:schemeClr>
              </a:solidFill>
              <a:ln w="19050">
                <a:solidFill>
                  <a:schemeClr val="lt1"/>
                </a:solidFill>
              </a:ln>
              <a:effectLst/>
            </c:spPr>
          </c:dPt>
          <c:dLbls>
            <c:dLbl>
              <c:idx val="0"/>
              <c:layout>
                <c:manualLayout>
                  <c:x val="-1.4660255380171148E-4"/>
                  <c:y val="-5.9172372239597218E-2"/>
                </c:manualLayout>
              </c:layout>
              <c:showLegendKey val="0"/>
              <c:showVal val="1"/>
              <c:showCatName val="0"/>
              <c:showSerName val="0"/>
              <c:showPercent val="1"/>
              <c:showBubbleSize val="0"/>
              <c:separator>
</c:separator>
              <c:extLst>
                <c:ext xmlns:c15="http://schemas.microsoft.com/office/drawing/2012/chart" uri="{CE6537A1-D6FC-4f65-9D91-7224C49458BB}">
                  <c15:layout/>
                </c:ext>
              </c:extLst>
            </c:dLbl>
            <c:dLbl>
              <c:idx val="1"/>
              <c:layout>
                <c:manualLayout>
                  <c:x val="4.4470265392650091E-3"/>
                  <c:y val="-1.8101350048007107E-2"/>
                </c:manualLayout>
              </c:layout>
              <c:showLegendKey val="0"/>
              <c:showVal val="1"/>
              <c:showCatName val="0"/>
              <c:showSerName val="0"/>
              <c:showPercent val="1"/>
              <c:showBubbleSize val="0"/>
              <c:separator>
</c:separator>
              <c:extLst>
                <c:ext xmlns:c15="http://schemas.microsoft.com/office/drawing/2012/chart" uri="{CE6537A1-D6FC-4f65-9D91-7224C49458BB}">
                  <c15:layout/>
                </c:ext>
              </c:extLst>
            </c:dLbl>
            <c:dLbl>
              <c:idx val="2"/>
              <c:layout>
                <c:manualLayout>
                  <c:x val="1.3512263638085539E-2"/>
                  <c:y val="0.11473890505954797"/>
                </c:manualLayout>
              </c:layout>
              <c:showLegendKey val="0"/>
              <c:showVal val="1"/>
              <c:showCatName val="0"/>
              <c:showSerName val="0"/>
              <c:showPercent val="1"/>
              <c:showBubbleSize val="0"/>
              <c:separator>
</c:separator>
              <c:extLst>
                <c:ext xmlns:c15="http://schemas.microsoft.com/office/drawing/2012/chart" uri="{CE6537A1-D6FC-4f65-9D91-7224C49458BB}">
                  <c15:layout/>
                </c:ext>
              </c:extLst>
            </c:dLbl>
            <c:dLbl>
              <c:idx val="3"/>
              <c:layout>
                <c:manualLayout>
                  <c:x val="-2.2419175110140288E-3"/>
                  <c:y val="0.17001565525958739"/>
                </c:manualLayout>
              </c:layout>
              <c:showLegendKey val="0"/>
              <c:showVal val="1"/>
              <c:showCatName val="0"/>
              <c:showSerName val="0"/>
              <c:showPercent val="1"/>
              <c:showBubbleSize val="0"/>
              <c:separator>
</c:separator>
              <c:extLst>
                <c:ext xmlns:c15="http://schemas.microsoft.com/office/drawing/2012/chart" uri="{CE6537A1-D6FC-4f65-9D91-7224C49458BB}">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mj-lt"/>
                    <a:ea typeface="+mn-ea"/>
                    <a:cs typeface="+mn-cs"/>
                  </a:defRPr>
                </a:pPr>
                <a:endParaRPr lang="lt-LT"/>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Sheet1!$A$12:$A$15</c:f>
              <c:strCache>
                <c:ptCount val="4"/>
                <c:pt idx="0">
                  <c:v>1 prioritetas: „Vietinė ir urbanistinė plėtra, kultūros paveldo ir gamtos išteklių išsaugojimas bei pritaikymas turizmo plėtrai“</c:v>
                </c:pt>
                <c:pt idx="1">
                  <c:v>2 prioritetas: „Viešųjų paslaugų kokybė ir prieinamumas: sveikatos, švietimo ir socialinė infrastruktūra“</c:v>
                </c:pt>
                <c:pt idx="2">
                  <c:v>3 prioritetas: „Aplinka ir darnus vystymasis“</c:v>
                </c:pt>
                <c:pt idx="3">
                  <c:v>4 prioritetas: „Techninė parama Sanglaudos skatinimo veiksmų programos įgyvendinimui“</c:v>
                </c:pt>
              </c:strCache>
            </c:strRef>
          </c:cat>
          <c:val>
            <c:numRef>
              <c:f>Sheet1!$B$12:$B$15</c:f>
              <c:numCache>
                <c:formatCode>#\ ##0.0</c:formatCode>
                <c:ptCount val="4"/>
                <c:pt idx="0">
                  <c:v>1108.5908206500001</c:v>
                </c:pt>
                <c:pt idx="1">
                  <c:v>756.47627111999998</c:v>
                </c:pt>
                <c:pt idx="2">
                  <c:v>1471.7036511199999</c:v>
                </c:pt>
                <c:pt idx="3">
                  <c:v>35.266229989999999</c:v>
                </c:pt>
              </c:numCache>
            </c:numRef>
          </c:val>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layout>
        <c:manualLayout>
          <c:xMode val="edge"/>
          <c:yMode val="edge"/>
          <c:x val="0.4484809127069051"/>
          <c:y val="0.12537102965222127"/>
          <c:w val="0.52478137983454975"/>
          <c:h val="0.8392828731460112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lt-LT"/>
        </a:p>
      </c:txPr>
    </c:legend>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sz="800">
          <a:latin typeface="+mj-lt"/>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45008612204724407"/>
          <c:y val="2.8567795997977312E-2"/>
          <c:w val="0.50624721128608929"/>
          <c:h val="0.82998598569674209"/>
        </c:manualLayout>
      </c:layout>
      <c:barChart>
        <c:barDir val="bar"/>
        <c:grouping val="clustered"/>
        <c:varyColors val="0"/>
        <c:ser>
          <c:idx val="0"/>
          <c:order val="0"/>
          <c:tx>
            <c:strRef>
              <c:f>Sheet1!$A$2</c:f>
              <c:strCache>
                <c:ptCount val="1"/>
                <c:pt idx="0">
                  <c:v>Pasiekta</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Švietimo infrastruktūros atnaujinimo ir plėtros projektai</c:v>
                </c:pt>
                <c:pt idx="1">
                  <c:v>Švietimo paslaugas teikiantys objektai (įstaigos), gavę paramą</c:v>
                </c:pt>
                <c:pt idx="2">
                  <c:v>Tiesioginės naudos gavėjai iš investicijų į švietimo infrastruktūrą (tūkst.)</c:v>
                </c:pt>
              </c:strCache>
            </c:strRef>
          </c:cat>
          <c:val>
            <c:numRef>
              <c:f>Sheet1!$B$2:$D$2</c:f>
              <c:numCache>
                <c:formatCode>General</c:formatCode>
                <c:ptCount val="3"/>
                <c:pt idx="0" formatCode="#,##0">
                  <c:v>321</c:v>
                </c:pt>
                <c:pt idx="1">
                  <c:v>2818</c:v>
                </c:pt>
                <c:pt idx="2">
                  <c:v>650.20000000000005</c:v>
                </c:pt>
              </c:numCache>
            </c:numRef>
          </c:val>
        </c:ser>
        <c:ser>
          <c:idx val="1"/>
          <c:order val="1"/>
          <c:tx>
            <c:strRef>
              <c:f>Sheet1!$A$3</c:f>
              <c:strCache>
                <c:ptCount val="1"/>
                <c:pt idx="0">
                  <c:v>Suplanuota VP</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Švietimo infrastruktūros atnaujinimo ir plėtros projektai</c:v>
                </c:pt>
                <c:pt idx="1">
                  <c:v>Švietimo paslaugas teikiantys objektai (įstaigos), gavę paramą</c:v>
                </c:pt>
                <c:pt idx="2">
                  <c:v>Tiesioginės naudos gavėjai iš investicijų į švietimo infrastruktūrą (tūkst.)</c:v>
                </c:pt>
              </c:strCache>
            </c:strRef>
          </c:cat>
          <c:val>
            <c:numRef>
              <c:f>Sheet1!$B$3:$D$3</c:f>
              <c:numCache>
                <c:formatCode>General</c:formatCode>
                <c:ptCount val="3"/>
                <c:pt idx="0" formatCode="#,##0">
                  <c:v>300</c:v>
                </c:pt>
                <c:pt idx="1">
                  <c:v>1600</c:v>
                </c:pt>
                <c:pt idx="2">
                  <c:v>550</c:v>
                </c:pt>
              </c:numCache>
            </c:numRef>
          </c:val>
        </c:ser>
        <c:dLbls>
          <c:showLegendKey val="0"/>
          <c:showVal val="1"/>
          <c:showCatName val="0"/>
          <c:showSerName val="0"/>
          <c:showPercent val="0"/>
          <c:showBubbleSize val="0"/>
        </c:dLbls>
        <c:gapWidth val="247"/>
        <c:axId val="689636768"/>
        <c:axId val="689637944"/>
      </c:barChart>
      <c:catAx>
        <c:axId val="6896367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cap="none" spc="0" normalizeH="0" baseline="0">
                <a:solidFill>
                  <a:schemeClr val="dk1">
                    <a:lumMod val="65000"/>
                    <a:lumOff val="35000"/>
                  </a:schemeClr>
                </a:solidFill>
                <a:latin typeface="+mj-lt"/>
                <a:ea typeface="+mn-ea"/>
                <a:cs typeface="+mn-cs"/>
              </a:defRPr>
            </a:pPr>
            <a:endParaRPr lang="lt-LT"/>
          </a:p>
        </c:txPr>
        <c:crossAx val="689637944"/>
        <c:crosses val="autoZero"/>
        <c:auto val="1"/>
        <c:lblAlgn val="ctr"/>
        <c:lblOffset val="100"/>
        <c:tickLblSkip val="1"/>
        <c:tickMarkSkip val="1"/>
        <c:noMultiLvlLbl val="0"/>
      </c:catAx>
      <c:valAx>
        <c:axId val="689637944"/>
        <c:scaling>
          <c:orientation val="minMax"/>
          <c:max val="3000"/>
          <c:min val="0"/>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dk1">
                    <a:lumMod val="65000"/>
                    <a:lumOff val="35000"/>
                  </a:schemeClr>
                </a:solidFill>
                <a:latin typeface="+mj-lt"/>
                <a:ea typeface="+mn-ea"/>
                <a:cs typeface="+mn-cs"/>
              </a:defRPr>
            </a:pPr>
            <a:endParaRPr lang="lt-LT"/>
          </a:p>
        </c:txPr>
        <c:crossAx val="689636768"/>
        <c:crosses val="autoZero"/>
        <c:crossBetween val="between"/>
        <c:majorUnit val="5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67052034120734916"/>
          <c:y val="0.68114194899949432"/>
          <c:w val="0.27172093054135521"/>
          <c:h val="0.144948518720307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j-lt"/>
              <a:ea typeface="+mn-ea"/>
              <a:cs typeface="+mn-cs"/>
            </a:defRPr>
          </a:pPr>
          <a:endParaRPr lang="lt-LT"/>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sz="900">
          <a:latin typeface="+mj-lt"/>
        </a:defRPr>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3.3021554123916337E-2"/>
          <c:y val="0.10799520621620161"/>
          <c:w val="0.48529729238390656"/>
          <c:h val="0.87410218880107926"/>
        </c:manualLayout>
      </c:layout>
      <c:pieChart>
        <c:varyColors val="1"/>
        <c:ser>
          <c:idx val="0"/>
          <c:order val="0"/>
          <c:dPt>
            <c:idx val="0"/>
            <c:bubble3D val="0"/>
            <c:spPr>
              <a:gradFill>
                <a:gsLst>
                  <a:gs pos="100000">
                    <a:schemeClr val="accent1">
                      <a:tint val="54000"/>
                      <a:lumMod val="60000"/>
                      <a:lumOff val="40000"/>
                    </a:schemeClr>
                  </a:gs>
                  <a:gs pos="0">
                    <a:schemeClr val="accent1">
                      <a:tint val="54000"/>
                    </a:schemeClr>
                  </a:gs>
                </a:gsLst>
                <a:lin ang="5400000" scaled="0"/>
              </a:gradFill>
              <a:ln w="19050">
                <a:solidFill>
                  <a:schemeClr val="lt1"/>
                </a:solidFill>
              </a:ln>
              <a:effectLst/>
            </c:spPr>
          </c:dPt>
          <c:dPt>
            <c:idx val="1"/>
            <c:bubble3D val="0"/>
            <c:spPr>
              <a:gradFill>
                <a:gsLst>
                  <a:gs pos="100000">
                    <a:schemeClr val="accent1">
                      <a:tint val="77000"/>
                      <a:lumMod val="60000"/>
                      <a:lumOff val="40000"/>
                    </a:schemeClr>
                  </a:gs>
                  <a:gs pos="0">
                    <a:schemeClr val="accent1">
                      <a:tint val="77000"/>
                    </a:schemeClr>
                  </a:gs>
                </a:gsLst>
                <a:lin ang="5400000" scaled="0"/>
              </a:gradFill>
              <a:ln w="19050">
                <a:solidFill>
                  <a:schemeClr val="lt1"/>
                </a:solidFill>
              </a:ln>
              <a:effectLst/>
            </c:spPr>
          </c:dPt>
          <c:dPt>
            <c:idx val="2"/>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3"/>
            <c:bubble3D val="0"/>
            <c:spPr>
              <a:gradFill>
                <a:gsLst>
                  <a:gs pos="100000">
                    <a:schemeClr val="accent1">
                      <a:shade val="76000"/>
                      <a:lumMod val="60000"/>
                      <a:lumOff val="40000"/>
                    </a:schemeClr>
                  </a:gs>
                  <a:gs pos="0">
                    <a:schemeClr val="accent1">
                      <a:shade val="76000"/>
                    </a:schemeClr>
                  </a:gs>
                </a:gsLst>
                <a:lin ang="5400000" scaled="0"/>
              </a:gradFill>
              <a:ln w="19050">
                <a:solidFill>
                  <a:schemeClr val="lt1"/>
                </a:solidFill>
              </a:ln>
              <a:effectLst/>
            </c:spPr>
          </c:dPt>
          <c:dPt>
            <c:idx val="4"/>
            <c:bubble3D val="0"/>
            <c:spPr>
              <a:gradFill>
                <a:gsLst>
                  <a:gs pos="100000">
                    <a:schemeClr val="accent1">
                      <a:shade val="53000"/>
                      <a:lumMod val="60000"/>
                      <a:lumOff val="40000"/>
                    </a:schemeClr>
                  </a:gs>
                  <a:gs pos="0">
                    <a:schemeClr val="accent1">
                      <a:shade val="53000"/>
                    </a:schemeClr>
                  </a:gs>
                </a:gsLst>
                <a:lin ang="5400000" scaled="0"/>
              </a:gradFill>
              <a:ln w="19050">
                <a:solidFill>
                  <a:schemeClr val="lt1"/>
                </a:solidFill>
              </a:ln>
              <a:effectLst/>
            </c:spPr>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ext>
            </c:extLst>
          </c:dLbls>
          <c:cat>
            <c:strRef>
              <c:f>Sheet1!$A$34:$A$38</c:f>
              <c:strCache>
                <c:ptCount val="5"/>
                <c:pt idx="0">
                  <c:v>Ikimokyklinis ugdymas</c:v>
                </c:pt>
                <c:pt idx="1">
                  <c:v>Bendrasis lavinimas</c:v>
                </c:pt>
                <c:pt idx="2">
                  <c:v>Profesinis mokymas</c:v>
                </c:pt>
                <c:pt idx="3">
                  <c:v>Aukštasis mokslas</c:v>
                </c:pt>
                <c:pt idx="4">
                  <c:v>Suaugusiųjų švietimas</c:v>
                </c:pt>
              </c:strCache>
            </c:strRef>
          </c:cat>
          <c:val>
            <c:numRef>
              <c:f>Sheet1!$C$34:$C$38</c:f>
              <c:numCache>
                <c:formatCode>#,##0.00\ "€"</c:formatCode>
                <c:ptCount val="5"/>
                <c:pt idx="0">
                  <c:v>21.576405600000001</c:v>
                </c:pt>
                <c:pt idx="1">
                  <c:v>82.988040900000001</c:v>
                </c:pt>
                <c:pt idx="2">
                  <c:v>125.61390965</c:v>
                </c:pt>
                <c:pt idx="3">
                  <c:v>82.434175020000012</c:v>
                </c:pt>
                <c:pt idx="4">
                  <c:v>2.9160502200000002</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53125705258406675"/>
          <c:y val="7.2828483396097224E-2"/>
          <c:w val="0.4416610245994132"/>
          <c:h val="0.8543430332078055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j-lt"/>
              <a:ea typeface="+mn-ea"/>
              <a:cs typeface="+mn-cs"/>
            </a:defRPr>
          </a:pPr>
          <a:endParaRPr lang="lt-LT"/>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sz="800">
          <a:latin typeface="+mj-lt"/>
        </a:defRPr>
      </a:pPr>
      <a:endParaRPr lang="lt-L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1015201804545116"/>
          <c:y val="7.4652188666440453E-2"/>
          <c:w val="0.85293895861906921"/>
          <c:h val="0.70270714368589227"/>
        </c:manualLayout>
      </c:layout>
      <c:lineChart>
        <c:grouping val="standard"/>
        <c:varyColors val="0"/>
        <c:ser>
          <c:idx val="0"/>
          <c:order val="0"/>
          <c:tx>
            <c:strRef>
              <c:f>'C:\Users\user\Desktop\Darbas\FM vertinimas su ESTEP\[Paveikslėliai.xlsx]VP3'!$A$49</c:f>
              <c:strCache>
                <c:ptCount val="1"/>
                <c:pt idx="0">
                  <c:v>Profesinis mokymas</c:v>
                </c:pt>
              </c:strCache>
            </c:strRef>
          </c:tx>
          <c:spPr>
            <a:ln w="28575" cap="rnd">
              <a:solidFill>
                <a:schemeClr val="accent1">
                  <a:shade val="76000"/>
                </a:schemeClr>
              </a:solidFill>
              <a:round/>
            </a:ln>
            <a:effectLst/>
          </c:spPr>
          <c:marker>
            <c:symbol val="circle"/>
            <c:size val="5"/>
            <c:spPr>
              <a:solidFill>
                <a:schemeClr val="accent1">
                  <a:shade val="76000"/>
                </a:schemeClr>
              </a:solidFill>
              <a:ln w="9525">
                <a:solidFill>
                  <a:schemeClr val="accent1">
                    <a:shade val="76000"/>
                  </a:schemeClr>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Cambria" panose="02040503050406030204" pitchFamily="18" charset="0"/>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'C:\Users\user\Desktop\Darbas\FM vertinimas su ESTEP\[Paveikslėliai.xlsx]VP3'!$E$47:$M$47</c:f>
              <c:strCache>
                <c:ptCount val="9"/>
                <c:pt idx="0">
                  <c:v>2007</c:v>
                </c:pt>
                <c:pt idx="1">
                  <c:v>2008</c:v>
                </c:pt>
                <c:pt idx="2">
                  <c:v>2009</c:v>
                </c:pt>
                <c:pt idx="3">
                  <c:v>2010</c:v>
                </c:pt>
                <c:pt idx="4">
                  <c:v>2011</c:v>
                </c:pt>
                <c:pt idx="5">
                  <c:v>2012</c:v>
                </c:pt>
                <c:pt idx="6">
                  <c:v>2013</c:v>
                </c:pt>
                <c:pt idx="7">
                  <c:v>2014</c:v>
                </c:pt>
                <c:pt idx="8">
                  <c:v>2015</c:v>
                </c:pt>
              </c:strCache>
            </c:strRef>
          </c:cat>
          <c:val>
            <c:numRef>
              <c:f>'C:\Users\user\Desktop\Darbas\FM vertinimas su ESTEP\[Paveikslėliai.xlsx]VP3'!$E$49:$M$49</c:f>
              <c:numCache>
                <c:formatCode>General</c:formatCode>
                <c:ptCount val="9"/>
                <c:pt idx="0">
                  <c:v>0.25630174060708977</c:v>
                </c:pt>
                <c:pt idx="1">
                  <c:v>0.26371394786900415</c:v>
                </c:pt>
                <c:pt idx="2">
                  <c:v>0.32907807598466365</c:v>
                </c:pt>
                <c:pt idx="3">
                  <c:v>0.36684463692414498</c:v>
                </c:pt>
                <c:pt idx="4">
                  <c:v>0.34149154497192963</c:v>
                </c:pt>
                <c:pt idx="5">
                  <c:v>0.358006897616719</c:v>
                </c:pt>
                <c:pt idx="6">
                  <c:v>0.38988623316981524</c:v>
                </c:pt>
                <c:pt idx="7">
                  <c:v>0.40563193754683119</c:v>
                </c:pt>
                <c:pt idx="8">
                  <c:v>0.42791033984092552</c:v>
                </c:pt>
              </c:numCache>
            </c:numRef>
          </c:val>
          <c:smooth val="0"/>
        </c:ser>
        <c:ser>
          <c:idx val="1"/>
          <c:order val="1"/>
          <c:tx>
            <c:strRef>
              <c:f>'C:\Users\user\Desktop\Darbas\FM vertinimas su ESTEP\[Paveikslėliai.xlsx]VP3'!$A$50</c:f>
              <c:strCache>
                <c:ptCount val="1"/>
                <c:pt idx="0">
                  <c:v>Aukštasis mokslas (I pakopos studijos)</c:v>
                </c:pt>
              </c:strCache>
            </c:strRef>
          </c:tx>
          <c:spPr>
            <a:ln w="28575" cap="rnd">
              <a:solidFill>
                <a:schemeClr val="accent1">
                  <a:tint val="77000"/>
                </a:schemeClr>
              </a:solidFill>
              <a:round/>
            </a:ln>
            <a:effectLst/>
          </c:spPr>
          <c:marker>
            <c:symbol val="circle"/>
            <c:size val="5"/>
            <c:spPr>
              <a:solidFill>
                <a:schemeClr val="accent1">
                  <a:tint val="77000"/>
                </a:schemeClr>
              </a:solidFill>
              <a:ln w="9525">
                <a:solidFill>
                  <a:schemeClr val="accent1">
                    <a:tint val="77000"/>
                  </a:schemeClr>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Cambria" panose="02040503050406030204" pitchFamily="18" charset="0"/>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'C:\Users\user\Desktop\Darbas\FM vertinimas su ESTEP\[Paveikslėliai.xlsx]VP3'!$E$47:$M$47</c:f>
              <c:strCache>
                <c:ptCount val="9"/>
                <c:pt idx="0">
                  <c:v>2007</c:v>
                </c:pt>
                <c:pt idx="1">
                  <c:v>2008</c:v>
                </c:pt>
                <c:pt idx="2">
                  <c:v>2009</c:v>
                </c:pt>
                <c:pt idx="3">
                  <c:v>2010</c:v>
                </c:pt>
                <c:pt idx="4">
                  <c:v>2011</c:v>
                </c:pt>
                <c:pt idx="5">
                  <c:v>2012</c:v>
                </c:pt>
                <c:pt idx="6">
                  <c:v>2013</c:v>
                </c:pt>
                <c:pt idx="7">
                  <c:v>2014</c:v>
                </c:pt>
                <c:pt idx="8">
                  <c:v>2015</c:v>
                </c:pt>
              </c:strCache>
            </c:strRef>
          </c:cat>
          <c:val>
            <c:numRef>
              <c:f>'C:\Users\user\Desktop\Darbas\FM vertinimas su ESTEP\[Paveikslėliai.xlsx]VP3'!$E$50:$M$50</c:f>
              <c:numCache>
                <c:formatCode>General</c:formatCode>
                <c:ptCount val="9"/>
                <c:pt idx="0">
                  <c:v>0.74369825939291023</c:v>
                </c:pt>
                <c:pt idx="1">
                  <c:v>0.73628605213099585</c:v>
                </c:pt>
                <c:pt idx="2">
                  <c:v>0.67092192401533635</c:v>
                </c:pt>
                <c:pt idx="3">
                  <c:v>0.63315536307585496</c:v>
                </c:pt>
                <c:pt idx="4">
                  <c:v>0.65850845502807032</c:v>
                </c:pt>
                <c:pt idx="5">
                  <c:v>0.641993102383281</c:v>
                </c:pt>
                <c:pt idx="6">
                  <c:v>0.6101137668301847</c:v>
                </c:pt>
                <c:pt idx="7">
                  <c:v>0.59436806245316887</c:v>
                </c:pt>
                <c:pt idx="8">
                  <c:v>0.57208966015907448</c:v>
                </c:pt>
              </c:numCache>
            </c:numRef>
          </c:val>
          <c:smooth val="0"/>
        </c:ser>
        <c:dLbls>
          <c:showLegendKey val="0"/>
          <c:showVal val="0"/>
          <c:showCatName val="0"/>
          <c:showSerName val="0"/>
          <c:showPercent val="0"/>
          <c:showBubbleSize val="0"/>
        </c:dLbls>
        <c:marker val="1"/>
        <c:smooth val="0"/>
        <c:axId val="689639512"/>
        <c:axId val="689639904"/>
      </c:lineChart>
      <c:catAx>
        <c:axId val="689639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Cambria" panose="02040503050406030204" pitchFamily="18" charset="0"/>
                <a:ea typeface="+mn-ea"/>
                <a:cs typeface="+mn-cs"/>
              </a:defRPr>
            </a:pPr>
            <a:endParaRPr lang="lt-LT"/>
          </a:p>
        </c:txPr>
        <c:crossAx val="689639904"/>
        <c:crosses val="autoZero"/>
        <c:auto val="1"/>
        <c:lblAlgn val="ctr"/>
        <c:lblOffset val="100"/>
        <c:noMultiLvlLbl val="0"/>
      </c:catAx>
      <c:valAx>
        <c:axId val="689639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Cambria" panose="02040503050406030204" pitchFamily="18" charset="0"/>
                <a:ea typeface="+mn-ea"/>
                <a:cs typeface="+mn-cs"/>
              </a:defRPr>
            </a:pPr>
            <a:endParaRPr lang="lt-LT"/>
          </a:p>
        </c:txPr>
        <c:crossAx val="689639512"/>
        <c:crosses val="autoZero"/>
        <c:crossBetween val="between"/>
      </c:valAx>
      <c:spPr>
        <a:noFill/>
        <a:ln>
          <a:noFill/>
        </a:ln>
        <a:effectLst/>
      </c:spPr>
    </c:plotArea>
    <c:legend>
      <c:legendPos val="b"/>
      <c:layout>
        <c:manualLayout>
          <c:xMode val="edge"/>
          <c:yMode val="edge"/>
          <c:x val="1.7433531801841203E-2"/>
          <c:y val="0.90886127357595736"/>
          <c:w val="0.94669550841752059"/>
          <c:h val="6.399247599988242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Cambria" panose="02040503050406030204" pitchFamily="18" charset="0"/>
              <a:ea typeface="+mn-ea"/>
              <a:cs typeface="+mn-cs"/>
            </a:defRPr>
          </a:pPr>
          <a:endParaRPr lang="lt-LT"/>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sz="600">
          <a:latin typeface="Cambria" panose="02040503050406030204" pitchFamily="18" charset="0"/>
        </a:defRPr>
      </a:pPr>
      <a:endParaRPr lang="lt-LT"/>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5029706328096728"/>
          <c:y val="6.3542990178757142E-2"/>
          <c:w val="0.47459472217135651"/>
          <c:h val="0.84285282986137178"/>
        </c:manualLayout>
      </c:layout>
      <c:barChart>
        <c:barDir val="bar"/>
        <c:grouping val="clustered"/>
        <c:varyColors val="0"/>
        <c:ser>
          <c:idx val="0"/>
          <c:order val="0"/>
          <c:tx>
            <c:strRef>
              <c:f>Sheet1!$A$2</c:f>
              <c:strCache>
                <c:ptCount val="1"/>
                <c:pt idx="0">
                  <c:v>Pasiekta</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4"/>
                <c:pt idx="0">
                  <c:v>Valstybės užimtumo rėmimo politiką įgyvendinančios institucijos, kurioms skirtos investicijos</c:v>
                </c:pt>
                <c:pt idx="1">
                  <c:v>Asmenys, gavę tiesioginės naudos iš investicijų į valstybės užimtumo rėmimo politiką įgyvendinančių įstaigų infrastruktūrą (tūkst.)</c:v>
                </c:pt>
                <c:pt idx="2">
                  <c:v>Socialines paslaugas ir paslaugas neįgaliesiems teikiančios institucijos, kurioms skirtos investicijos</c:v>
                </c:pt>
                <c:pt idx="3">
                  <c:v>Asmenys, gavę tiesioginės naudos iš investicijų į socialinių paslaugų bei neįgaliesiems skirtos infrastruktūros plėtrą (tūkst.)</c:v>
                </c:pt>
              </c:strCache>
            </c:strRef>
          </c:cat>
          <c:val>
            <c:numRef>
              <c:f>Sheet1!$B$2:$E$2</c:f>
              <c:numCache>
                <c:formatCode>#\ ##0.0</c:formatCode>
                <c:ptCount val="4"/>
                <c:pt idx="0" formatCode="#,##0">
                  <c:v>12</c:v>
                </c:pt>
                <c:pt idx="1">
                  <c:v>98.9</c:v>
                </c:pt>
                <c:pt idx="2" formatCode="#,##0">
                  <c:v>216</c:v>
                </c:pt>
                <c:pt idx="3" formatCode="0.0">
                  <c:v>31.6</c:v>
                </c:pt>
              </c:numCache>
            </c:numRef>
          </c:val>
        </c:ser>
        <c:ser>
          <c:idx val="1"/>
          <c:order val="1"/>
          <c:tx>
            <c:strRef>
              <c:f>Sheet1!$A$3</c:f>
              <c:strCache>
                <c:ptCount val="1"/>
                <c:pt idx="0">
                  <c:v>Suplanuota VP</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4"/>
                <c:pt idx="0">
                  <c:v>Valstybės užimtumo rėmimo politiką įgyvendinančios institucijos, kurioms skirtos investicijos</c:v>
                </c:pt>
                <c:pt idx="1">
                  <c:v>Asmenys, gavę tiesioginės naudos iš investicijų į valstybės užimtumo rėmimo politiką įgyvendinančių įstaigų infrastruktūrą (tūkst.)</c:v>
                </c:pt>
                <c:pt idx="2">
                  <c:v>Socialines paslaugas ir paslaugas neįgaliesiems teikiančios institucijos, kurioms skirtos investicijos</c:v>
                </c:pt>
                <c:pt idx="3">
                  <c:v>Asmenys, gavę tiesioginės naudos iš investicijų į socialinių paslaugų bei neįgaliesiems skirtos infrastruktūros plėtrą (tūkst.)</c:v>
                </c:pt>
              </c:strCache>
            </c:strRef>
          </c:cat>
          <c:val>
            <c:numRef>
              <c:f>Sheet1!$B$3:$E$3</c:f>
              <c:numCache>
                <c:formatCode>#,##0</c:formatCode>
                <c:ptCount val="4"/>
                <c:pt idx="0">
                  <c:v>12</c:v>
                </c:pt>
                <c:pt idx="1">
                  <c:v>65</c:v>
                </c:pt>
                <c:pt idx="2">
                  <c:v>208</c:v>
                </c:pt>
                <c:pt idx="3" formatCode="General">
                  <c:v>132</c:v>
                </c:pt>
              </c:numCache>
            </c:numRef>
          </c:val>
        </c:ser>
        <c:dLbls>
          <c:showLegendKey val="0"/>
          <c:showVal val="1"/>
          <c:showCatName val="0"/>
          <c:showSerName val="0"/>
          <c:showPercent val="0"/>
          <c:showBubbleSize val="0"/>
        </c:dLbls>
        <c:gapWidth val="247"/>
        <c:axId val="689640296"/>
        <c:axId val="689635200"/>
      </c:barChart>
      <c:catAx>
        <c:axId val="68964029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cap="none" spc="0" normalizeH="0" baseline="0">
                <a:solidFill>
                  <a:schemeClr val="dk1">
                    <a:lumMod val="65000"/>
                    <a:lumOff val="35000"/>
                  </a:schemeClr>
                </a:solidFill>
                <a:latin typeface="+mj-lt"/>
                <a:ea typeface="+mn-ea"/>
                <a:cs typeface="+mn-cs"/>
              </a:defRPr>
            </a:pPr>
            <a:endParaRPr lang="lt-LT"/>
          </a:p>
        </c:txPr>
        <c:crossAx val="689635200"/>
        <c:crosses val="autoZero"/>
        <c:auto val="1"/>
        <c:lblAlgn val="l"/>
        <c:lblOffset val="100"/>
        <c:tickLblSkip val="1"/>
        <c:tickMarkSkip val="1"/>
        <c:noMultiLvlLbl val="0"/>
      </c:catAx>
      <c:valAx>
        <c:axId val="689635200"/>
        <c:scaling>
          <c:orientation val="minMax"/>
          <c:min val="0"/>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dk1">
                    <a:lumMod val="65000"/>
                    <a:lumOff val="35000"/>
                  </a:schemeClr>
                </a:solidFill>
                <a:latin typeface="+mj-lt"/>
                <a:ea typeface="+mn-ea"/>
                <a:cs typeface="+mn-cs"/>
              </a:defRPr>
            </a:pPr>
            <a:endParaRPr lang="lt-LT"/>
          </a:p>
        </c:txPr>
        <c:crossAx val="68964029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67396626584467634"/>
          <c:y val="0.73600072704732566"/>
          <c:w val="0.26746427938337775"/>
          <c:h val="0.105480496785239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j-lt"/>
              <a:ea typeface="+mn-ea"/>
              <a:cs typeface="+mn-cs"/>
            </a:defRPr>
          </a:pPr>
          <a:endParaRPr lang="lt-LT"/>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sz="900">
          <a:latin typeface="+mj-lt"/>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51552795031055898"/>
          <c:y val="5.5206582323277006E-2"/>
          <c:w val="0.46271876577785115"/>
          <c:h val="0.79211549867128028"/>
        </c:manualLayout>
      </c:layout>
      <c:barChart>
        <c:barDir val="bar"/>
        <c:grouping val="clustered"/>
        <c:varyColors val="0"/>
        <c:ser>
          <c:idx val="0"/>
          <c:order val="0"/>
          <c:tx>
            <c:strRef>
              <c:f>Sheet1!$A$2</c:f>
              <c:strCache>
                <c:ptCount val="1"/>
                <c:pt idx="0">
                  <c:v>Pasiekta</c:v>
                </c:pt>
              </c:strCache>
            </c:strRef>
          </c:tx>
          <c:spPr>
            <a:solidFill>
              <a:schemeClr val="accent1">
                <a:shade val="76000"/>
              </a:schemeClr>
            </a:solidFill>
            <a:ln>
              <a:noFill/>
            </a:ln>
            <a:effectLst/>
          </c:spPr>
          <c:invertIfNegative val="0"/>
          <c:dLbls>
            <c:dLbl>
              <c:idx val="2"/>
              <c:layout>
                <c:manualLayout>
                  <c:x val="-1.0391322476610523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 Kaimo bendruomeninės ir viešosios infrastruktūros integruotos plėtros projektai</c:v>
                </c:pt>
                <c:pt idx="1">
                  <c:v>Regioninių ekonomikos augimo centrų integruotos urbanistinės plėtros projektai</c:v>
                </c:pt>
                <c:pt idx="2">
                  <c:v>Probleminių teritorijų kompleksiniai plėtros projektai</c:v>
                </c:pt>
              </c:strCache>
            </c:strRef>
          </c:cat>
          <c:val>
            <c:numRef>
              <c:f>Sheet1!$B$2:$D$2</c:f>
              <c:numCache>
                <c:formatCode>#,##0</c:formatCode>
                <c:ptCount val="3"/>
                <c:pt idx="0">
                  <c:v>213</c:v>
                </c:pt>
                <c:pt idx="1">
                  <c:v>75</c:v>
                </c:pt>
                <c:pt idx="2">
                  <c:v>234</c:v>
                </c:pt>
              </c:numCache>
            </c:numRef>
          </c:val>
        </c:ser>
        <c:ser>
          <c:idx val="1"/>
          <c:order val="1"/>
          <c:tx>
            <c:strRef>
              <c:f>Sheet1!$A$3</c:f>
              <c:strCache>
                <c:ptCount val="1"/>
                <c:pt idx="0">
                  <c:v>Suplanuota VP</c:v>
                </c:pt>
              </c:strCache>
            </c:strRef>
          </c:tx>
          <c:spPr>
            <a:solidFill>
              <a:schemeClr val="accent1">
                <a:tint val="77000"/>
              </a:schemeClr>
            </a:solidFill>
            <a:ln>
              <a:noFill/>
            </a:ln>
            <a:effectLst/>
          </c:spPr>
          <c:invertIfNegative val="0"/>
          <c:dLbls>
            <c:dLbl>
              <c:idx val="2"/>
              <c:layout>
                <c:manualLayout>
                  <c:x val="-6.2347934859663147E-3"/>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Sheet1!$B$1:$D$1</c:f>
              <c:strCache>
                <c:ptCount val="3"/>
                <c:pt idx="0">
                  <c:v> Kaimo bendruomeninės ir viešosios infrastruktūros integruotos plėtros projektai</c:v>
                </c:pt>
                <c:pt idx="1">
                  <c:v>Regioninių ekonomikos augimo centrų integruotos urbanistinės plėtros projektai</c:v>
                </c:pt>
                <c:pt idx="2">
                  <c:v>Probleminių teritorijų kompleksiniai plėtros projektai</c:v>
                </c:pt>
              </c:strCache>
            </c:strRef>
          </c:cat>
          <c:val>
            <c:numRef>
              <c:f>Sheet1!$B$3:$D$3</c:f>
              <c:numCache>
                <c:formatCode>#,##0</c:formatCode>
                <c:ptCount val="3"/>
                <c:pt idx="0">
                  <c:v>200</c:v>
                </c:pt>
                <c:pt idx="1">
                  <c:v>74</c:v>
                </c:pt>
                <c:pt idx="2">
                  <c:v>200</c:v>
                </c:pt>
              </c:numCache>
            </c:numRef>
          </c:val>
        </c:ser>
        <c:dLbls>
          <c:showLegendKey val="0"/>
          <c:showVal val="1"/>
          <c:showCatName val="0"/>
          <c:showSerName val="0"/>
          <c:showPercent val="0"/>
          <c:showBubbleSize val="0"/>
        </c:dLbls>
        <c:gapWidth val="247"/>
        <c:axId val="652245896"/>
        <c:axId val="652247464"/>
      </c:barChart>
      <c:catAx>
        <c:axId val="65224589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cap="none" spc="0" normalizeH="0" baseline="0">
                <a:solidFill>
                  <a:schemeClr val="dk1">
                    <a:lumMod val="65000"/>
                    <a:lumOff val="35000"/>
                  </a:schemeClr>
                </a:solidFill>
                <a:latin typeface="+mj-lt"/>
                <a:ea typeface="+mn-ea"/>
                <a:cs typeface="+mn-cs"/>
              </a:defRPr>
            </a:pPr>
            <a:endParaRPr lang="lt-LT"/>
          </a:p>
        </c:txPr>
        <c:crossAx val="652247464"/>
        <c:crosses val="autoZero"/>
        <c:auto val="1"/>
        <c:lblAlgn val="ctr"/>
        <c:lblOffset val="100"/>
        <c:tickLblSkip val="1"/>
        <c:tickMarkSkip val="1"/>
        <c:noMultiLvlLbl val="0"/>
      </c:catAx>
      <c:valAx>
        <c:axId val="652247464"/>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dk1">
                    <a:lumMod val="65000"/>
                    <a:lumOff val="35000"/>
                  </a:schemeClr>
                </a:solidFill>
                <a:latin typeface="+mj-lt"/>
                <a:ea typeface="+mn-ea"/>
                <a:cs typeface="+mn-cs"/>
              </a:defRPr>
            </a:pPr>
            <a:endParaRPr lang="lt-LT"/>
          </a:p>
        </c:txPr>
        <c:crossAx val="65224589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7038877492490514"/>
          <c:y val="0.36924054905121878"/>
          <c:w val="0.24963783449044383"/>
          <c:h val="0.132455976228907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j-lt"/>
              <a:ea typeface="+mn-ea"/>
              <a:cs typeface="+mn-cs"/>
            </a:defRPr>
          </a:pPr>
          <a:endParaRPr lang="lt-LT"/>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sz="900">
          <a:latin typeface="+mj-lt"/>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3707639372707795"/>
          <c:y val="4.2991076653603855E-2"/>
          <c:w val="0.7235596072193814"/>
          <c:h val="0.71140178466927928"/>
        </c:manualLayout>
      </c:layout>
      <c:barChart>
        <c:barDir val="bar"/>
        <c:grouping val="clustered"/>
        <c:varyColors val="0"/>
        <c:ser>
          <c:idx val="0"/>
          <c:order val="0"/>
          <c:tx>
            <c:strRef>
              <c:f>Sheet1!$A$2:$B$2</c:f>
              <c:strCache>
                <c:ptCount val="2"/>
                <c:pt idx="0">
                  <c:v>Pasiekta</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Sheet1!$C$1:$D$1</c:f>
              <c:strCache>
                <c:ptCount val="2"/>
                <c:pt idx="0">
                  <c:v>Paskatintos privačios investicijos (mln. EUR)</c:v>
                </c:pt>
                <c:pt idx="1">
                  <c:v>Naujai sukurtų darbo vietų skaičius</c:v>
                </c:pt>
              </c:strCache>
            </c:strRef>
          </c:cat>
          <c:val>
            <c:numRef>
              <c:f>Sheet1!$C$2:$D$2</c:f>
              <c:numCache>
                <c:formatCode>#,##0</c:formatCode>
                <c:ptCount val="2"/>
                <c:pt idx="0">
                  <c:v>120.27</c:v>
                </c:pt>
                <c:pt idx="1">
                  <c:v>1045.8</c:v>
                </c:pt>
              </c:numCache>
            </c:numRef>
          </c:val>
        </c:ser>
        <c:ser>
          <c:idx val="1"/>
          <c:order val="1"/>
          <c:tx>
            <c:strRef>
              <c:f>Sheet1!$A$3:$B$3</c:f>
              <c:strCache>
                <c:ptCount val="2"/>
                <c:pt idx="0">
                  <c:v>Suplanuota VP</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Sheet1!$C$1:$D$1</c:f>
              <c:strCache>
                <c:ptCount val="2"/>
                <c:pt idx="0">
                  <c:v>Paskatintos privačios investicijos (mln. EUR)</c:v>
                </c:pt>
                <c:pt idx="1">
                  <c:v>Naujai sukurtų darbo vietų skaičius</c:v>
                </c:pt>
              </c:strCache>
            </c:strRef>
          </c:cat>
          <c:val>
            <c:numRef>
              <c:f>Sheet1!$C$3:$D$3</c:f>
              <c:numCache>
                <c:formatCode>#,##0</c:formatCode>
                <c:ptCount val="2"/>
                <c:pt idx="0">
                  <c:v>100</c:v>
                </c:pt>
                <c:pt idx="1">
                  <c:v>780</c:v>
                </c:pt>
              </c:numCache>
            </c:numRef>
          </c:val>
        </c:ser>
        <c:dLbls>
          <c:showLegendKey val="0"/>
          <c:showVal val="1"/>
          <c:showCatName val="0"/>
          <c:showSerName val="0"/>
          <c:showPercent val="0"/>
          <c:showBubbleSize val="0"/>
        </c:dLbls>
        <c:gapWidth val="247"/>
        <c:axId val="652250992"/>
        <c:axId val="652251384"/>
      </c:barChart>
      <c:catAx>
        <c:axId val="6522509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cap="none" spc="0" normalizeH="0" baseline="0">
                <a:solidFill>
                  <a:schemeClr val="dk1">
                    <a:lumMod val="65000"/>
                    <a:lumOff val="35000"/>
                  </a:schemeClr>
                </a:solidFill>
                <a:latin typeface="+mj-lt"/>
                <a:ea typeface="+mn-ea"/>
                <a:cs typeface="+mn-cs"/>
              </a:defRPr>
            </a:pPr>
            <a:endParaRPr lang="lt-LT"/>
          </a:p>
        </c:txPr>
        <c:crossAx val="652251384"/>
        <c:crosses val="autoZero"/>
        <c:auto val="1"/>
        <c:lblAlgn val="ctr"/>
        <c:lblOffset val="100"/>
        <c:tickLblSkip val="1"/>
        <c:tickMarkSkip val="1"/>
        <c:noMultiLvlLbl val="0"/>
      </c:catAx>
      <c:valAx>
        <c:axId val="652251384"/>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dk1">
                    <a:lumMod val="65000"/>
                    <a:lumOff val="35000"/>
                  </a:schemeClr>
                </a:solidFill>
                <a:latin typeface="+mj-lt"/>
                <a:ea typeface="+mn-ea"/>
                <a:cs typeface="+mn-cs"/>
              </a:defRPr>
            </a:pPr>
            <a:endParaRPr lang="lt-LT"/>
          </a:p>
        </c:txPr>
        <c:crossAx val="652250992"/>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6597408081710987"/>
          <c:y val="0.51364008765946811"/>
          <c:w val="0.26899918499336167"/>
          <c:h val="0.168574161443556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j-lt"/>
              <a:ea typeface="+mn-ea"/>
              <a:cs typeface="+mn-cs"/>
            </a:defRPr>
          </a:pPr>
          <a:endParaRPr lang="lt-LT"/>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latin typeface="+mj-lt"/>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49017467248908297"/>
          <c:y val="6.4540150643253538E-2"/>
          <c:w val="0.47212349247483304"/>
          <c:h val="0.77381975227047417"/>
        </c:manualLayout>
      </c:layout>
      <c:barChart>
        <c:barDir val="bar"/>
        <c:grouping val="clustered"/>
        <c:varyColors val="0"/>
        <c:ser>
          <c:idx val="0"/>
          <c:order val="0"/>
          <c:tx>
            <c:strRef>
              <c:f>Sheet1!$A$2</c:f>
              <c:strCache>
                <c:ptCount val="1"/>
                <c:pt idx="0">
                  <c:v>Pasiekta</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Saugomos teritorijos (valstybiniai parkai ir rezervatai), kuriose įrengti lankytojų centrai ir vizualinės informacinės sistemos</c:v>
                </c:pt>
                <c:pt idx="1">
                  <c:v>Saugomų teritorijų, kuriose sudarytos sąlygos lankytis be žalos gamtai, dalis</c:v>
                </c:pt>
              </c:strCache>
            </c:strRef>
          </c:cat>
          <c:val>
            <c:numRef>
              <c:f>Sheet1!$B$2:$C$2</c:f>
              <c:numCache>
                <c:formatCode>#,##0</c:formatCode>
                <c:ptCount val="2"/>
                <c:pt idx="0">
                  <c:v>24</c:v>
                </c:pt>
                <c:pt idx="1">
                  <c:v>97.2</c:v>
                </c:pt>
              </c:numCache>
            </c:numRef>
          </c:val>
        </c:ser>
        <c:ser>
          <c:idx val="1"/>
          <c:order val="1"/>
          <c:tx>
            <c:strRef>
              <c:f>Sheet1!$A$3</c:f>
              <c:strCache>
                <c:ptCount val="1"/>
                <c:pt idx="0">
                  <c:v>Suplanuota VP</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Saugomos teritorijos (valstybiniai parkai ir rezervatai), kuriose įrengti lankytojų centrai ir vizualinės informacinės sistemos</c:v>
                </c:pt>
                <c:pt idx="1">
                  <c:v>Saugomų teritorijų, kuriose sudarytos sąlygos lankytis be žalos gamtai, dalis</c:v>
                </c:pt>
              </c:strCache>
            </c:strRef>
          </c:cat>
          <c:val>
            <c:numRef>
              <c:f>Sheet1!$B$3:$C$3</c:f>
              <c:numCache>
                <c:formatCode>#,##0</c:formatCode>
                <c:ptCount val="2"/>
                <c:pt idx="0">
                  <c:v>25</c:v>
                </c:pt>
                <c:pt idx="1">
                  <c:v>100</c:v>
                </c:pt>
              </c:numCache>
            </c:numRef>
          </c:val>
        </c:ser>
        <c:dLbls>
          <c:showLegendKey val="0"/>
          <c:showVal val="1"/>
          <c:showCatName val="0"/>
          <c:showSerName val="0"/>
          <c:showPercent val="0"/>
          <c:showBubbleSize val="0"/>
        </c:dLbls>
        <c:gapWidth val="247"/>
        <c:axId val="652257656"/>
        <c:axId val="652258048"/>
      </c:barChart>
      <c:catAx>
        <c:axId val="65225765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cap="none" spc="0" normalizeH="0" baseline="0">
                <a:solidFill>
                  <a:schemeClr val="dk1">
                    <a:lumMod val="65000"/>
                    <a:lumOff val="35000"/>
                  </a:schemeClr>
                </a:solidFill>
                <a:latin typeface="+mj-lt"/>
                <a:ea typeface="+mn-ea"/>
                <a:cs typeface="+mn-cs"/>
              </a:defRPr>
            </a:pPr>
            <a:endParaRPr lang="lt-LT"/>
          </a:p>
        </c:txPr>
        <c:crossAx val="652258048"/>
        <c:crosses val="autoZero"/>
        <c:auto val="1"/>
        <c:lblAlgn val="ctr"/>
        <c:lblOffset val="100"/>
        <c:tickLblSkip val="1"/>
        <c:tickMarkSkip val="1"/>
        <c:noMultiLvlLbl val="0"/>
      </c:catAx>
      <c:valAx>
        <c:axId val="652258048"/>
        <c:scaling>
          <c:orientation val="minMax"/>
          <c:min val="0"/>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dk1">
                    <a:lumMod val="65000"/>
                    <a:lumOff val="35000"/>
                  </a:schemeClr>
                </a:solidFill>
                <a:latin typeface="+mj-lt"/>
                <a:ea typeface="+mn-ea"/>
                <a:cs typeface="+mn-cs"/>
              </a:defRPr>
            </a:pPr>
            <a:endParaRPr lang="lt-LT"/>
          </a:p>
        </c:txPr>
        <c:crossAx val="652257656"/>
        <c:crosses val="autoZero"/>
        <c:crossBetween val="between"/>
        <c:majorUnit val="25"/>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6559579616772846"/>
          <c:y val="0.62821956788708155"/>
          <c:w val="0.2670210449483561"/>
          <c:h val="0.160433262915306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j-lt"/>
              <a:ea typeface="+mn-ea"/>
              <a:cs typeface="+mn-cs"/>
            </a:defRPr>
          </a:pPr>
          <a:endParaRPr lang="lt-LT"/>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sz="900">
          <a:latin typeface="+mj-lt"/>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4453047445992328"/>
          <c:y val="3.127720393525419E-2"/>
          <c:w val="0.51618691914345427"/>
          <c:h val="0.7927762481805587"/>
        </c:manualLayout>
      </c:layout>
      <c:barChart>
        <c:barDir val="bar"/>
        <c:grouping val="clustered"/>
        <c:varyColors val="0"/>
        <c:ser>
          <c:idx val="0"/>
          <c:order val="0"/>
          <c:tx>
            <c:strRef>
              <c:f>Sheet1!$A$2</c:f>
              <c:strCache>
                <c:ptCount val="1"/>
                <c:pt idx="0">
                  <c:v>Pasiekta</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Gyvenamosios vietovės, kuriose renuovuotos vandens tiekimo ir nuotekų sistemos</c:v>
                </c:pt>
                <c:pt idx="1">
                  <c:v>Uždaryti ir sutvarkyti savartynai / šiukšlynai</c:v>
                </c:pt>
              </c:strCache>
            </c:strRef>
          </c:cat>
          <c:val>
            <c:numRef>
              <c:f>Sheet1!$B$2:$C$2</c:f>
              <c:numCache>
                <c:formatCode>General</c:formatCode>
                <c:ptCount val="2"/>
                <c:pt idx="0" formatCode="#,##0">
                  <c:v>344</c:v>
                </c:pt>
                <c:pt idx="1">
                  <c:v>341</c:v>
                </c:pt>
              </c:numCache>
            </c:numRef>
          </c:val>
        </c:ser>
        <c:ser>
          <c:idx val="1"/>
          <c:order val="1"/>
          <c:tx>
            <c:strRef>
              <c:f>Sheet1!$A$3</c:f>
              <c:strCache>
                <c:ptCount val="1"/>
                <c:pt idx="0">
                  <c:v>Suplanuota VP</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Gyvenamosios vietovės, kuriose renuovuotos vandens tiekimo ir nuotekų sistemos</c:v>
                </c:pt>
                <c:pt idx="1">
                  <c:v>Uždaryti ir sutvarkyti savartynai / šiukšlynai</c:v>
                </c:pt>
              </c:strCache>
            </c:strRef>
          </c:cat>
          <c:val>
            <c:numRef>
              <c:f>Sheet1!$B$3:$C$3</c:f>
              <c:numCache>
                <c:formatCode>General</c:formatCode>
                <c:ptCount val="2"/>
                <c:pt idx="0" formatCode="#,##0">
                  <c:v>316</c:v>
                </c:pt>
                <c:pt idx="1">
                  <c:v>341</c:v>
                </c:pt>
              </c:numCache>
            </c:numRef>
          </c:val>
        </c:ser>
        <c:dLbls>
          <c:showLegendKey val="0"/>
          <c:showVal val="1"/>
          <c:showCatName val="0"/>
          <c:showSerName val="0"/>
          <c:showPercent val="0"/>
          <c:showBubbleSize val="0"/>
        </c:dLbls>
        <c:gapWidth val="247"/>
        <c:axId val="652256872"/>
        <c:axId val="652259224"/>
      </c:barChart>
      <c:catAx>
        <c:axId val="6522568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t" anchorCtr="1"/>
          <a:lstStyle/>
          <a:p>
            <a:pPr>
              <a:defRPr sz="900" b="0" i="0" u="none" strike="noStrike" kern="1200" cap="none" spc="0" normalizeH="0" baseline="0">
                <a:solidFill>
                  <a:schemeClr val="dk1">
                    <a:lumMod val="65000"/>
                    <a:lumOff val="35000"/>
                  </a:schemeClr>
                </a:solidFill>
                <a:latin typeface="+mj-lt"/>
                <a:ea typeface="+mn-ea"/>
                <a:cs typeface="+mn-cs"/>
              </a:defRPr>
            </a:pPr>
            <a:endParaRPr lang="lt-LT"/>
          </a:p>
        </c:txPr>
        <c:crossAx val="652259224"/>
        <c:crosses val="autoZero"/>
        <c:auto val="1"/>
        <c:lblAlgn val="ctr"/>
        <c:lblOffset val="100"/>
        <c:tickLblSkip val="1"/>
        <c:tickMarkSkip val="1"/>
        <c:noMultiLvlLbl val="0"/>
      </c:catAx>
      <c:valAx>
        <c:axId val="652259224"/>
        <c:scaling>
          <c:orientation val="minMax"/>
          <c:max val="500"/>
          <c:min val="0"/>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dk1">
                    <a:lumMod val="65000"/>
                    <a:lumOff val="35000"/>
                  </a:schemeClr>
                </a:solidFill>
                <a:latin typeface="+mj-lt"/>
                <a:ea typeface="+mn-ea"/>
                <a:cs typeface="+mn-cs"/>
              </a:defRPr>
            </a:pPr>
            <a:endParaRPr lang="lt-LT"/>
          </a:p>
        </c:txPr>
        <c:crossAx val="652256872"/>
        <c:crosses val="autoZero"/>
        <c:crossBetween val="between"/>
        <c:majorUnit val="1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5306392085604686"/>
          <c:y val="0.82974103027037582"/>
          <c:w val="0.2670210449483561"/>
          <c:h val="0.170259041181799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j-lt"/>
              <a:ea typeface="+mn-ea"/>
              <a:cs typeface="+mn-cs"/>
            </a:defRPr>
          </a:pPr>
          <a:endParaRPr lang="lt-LT"/>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sz="900">
          <a:latin typeface="+mj-lt"/>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47525973113806258"/>
          <c:y val="6.879110699397871E-2"/>
          <c:w val="0.48396561798929572"/>
          <c:h val="0.76623313262312798"/>
        </c:manualLayout>
      </c:layout>
      <c:barChart>
        <c:barDir val="bar"/>
        <c:grouping val="clustered"/>
        <c:varyColors val="0"/>
        <c:ser>
          <c:idx val="0"/>
          <c:order val="0"/>
          <c:tx>
            <c:strRef>
              <c:f>Sheet1!$A$2</c:f>
              <c:strCache>
                <c:ptCount val="1"/>
                <c:pt idx="0">
                  <c:v>Pasiekta</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Atnaujintų viešojo transporto priemonių skaičius</c:v>
                </c:pt>
                <c:pt idx="1">
                  <c:v>Nutiestas naujas troleibusų kontaktinis tinklas (km)</c:v>
                </c:pt>
                <c:pt idx="2">
                  <c:v>Padidėjusi švaresnių degalų ir elektros energijos dalis sąlyginiais vnt. bendrame viešojo transporto sunaudojamų degalų kiekyje (proc. p.)</c:v>
                </c:pt>
              </c:strCache>
            </c:strRef>
          </c:cat>
          <c:val>
            <c:numRef>
              <c:f>Sheet1!$B$2:$D$2</c:f>
              <c:numCache>
                <c:formatCode>General</c:formatCode>
                <c:ptCount val="3"/>
                <c:pt idx="0" formatCode="#,##0">
                  <c:v>87</c:v>
                </c:pt>
                <c:pt idx="1">
                  <c:v>2.1</c:v>
                </c:pt>
                <c:pt idx="2">
                  <c:v>11</c:v>
                </c:pt>
              </c:numCache>
            </c:numRef>
          </c:val>
        </c:ser>
        <c:ser>
          <c:idx val="1"/>
          <c:order val="1"/>
          <c:tx>
            <c:strRef>
              <c:f>Sheet1!$A$3</c:f>
              <c:strCache>
                <c:ptCount val="1"/>
                <c:pt idx="0">
                  <c:v>Suplanuota VP</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Atnaujintų viešojo transporto priemonių skaičius</c:v>
                </c:pt>
                <c:pt idx="1">
                  <c:v>Nutiestas naujas troleibusų kontaktinis tinklas (km)</c:v>
                </c:pt>
                <c:pt idx="2">
                  <c:v>Padidėjusi švaresnių degalų ir elektros energijos dalis sąlyginiais vnt. bendrame viešojo transporto sunaudojamų degalų kiekyje (proc. p.)</c:v>
                </c:pt>
              </c:strCache>
            </c:strRef>
          </c:cat>
          <c:val>
            <c:numRef>
              <c:f>Sheet1!$B$3:$D$3</c:f>
              <c:numCache>
                <c:formatCode>General</c:formatCode>
                <c:ptCount val="3"/>
                <c:pt idx="0" formatCode="#,##0">
                  <c:v>85</c:v>
                </c:pt>
                <c:pt idx="1">
                  <c:v>2</c:v>
                </c:pt>
                <c:pt idx="2">
                  <c:v>3</c:v>
                </c:pt>
              </c:numCache>
            </c:numRef>
          </c:val>
        </c:ser>
        <c:dLbls>
          <c:showLegendKey val="0"/>
          <c:showVal val="1"/>
          <c:showCatName val="0"/>
          <c:showSerName val="0"/>
          <c:showPercent val="0"/>
          <c:showBubbleSize val="0"/>
        </c:dLbls>
        <c:gapWidth val="247"/>
        <c:axId val="652259616"/>
        <c:axId val="652256480"/>
      </c:barChart>
      <c:catAx>
        <c:axId val="65225961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cap="none" spc="0" normalizeH="0" baseline="0">
                <a:solidFill>
                  <a:schemeClr val="dk1">
                    <a:lumMod val="65000"/>
                    <a:lumOff val="35000"/>
                  </a:schemeClr>
                </a:solidFill>
                <a:latin typeface="+mj-lt"/>
                <a:ea typeface="+mn-ea"/>
                <a:cs typeface="+mn-cs"/>
              </a:defRPr>
            </a:pPr>
            <a:endParaRPr lang="lt-LT"/>
          </a:p>
        </c:txPr>
        <c:crossAx val="652256480"/>
        <c:crosses val="autoZero"/>
        <c:auto val="1"/>
        <c:lblAlgn val="ctr"/>
        <c:lblOffset val="100"/>
        <c:tickLblSkip val="1"/>
        <c:tickMarkSkip val="1"/>
        <c:noMultiLvlLbl val="0"/>
      </c:catAx>
      <c:valAx>
        <c:axId val="652256480"/>
        <c:scaling>
          <c:orientation val="minMax"/>
          <c:max val="100"/>
          <c:min val="0"/>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dk1">
                    <a:lumMod val="65000"/>
                    <a:lumOff val="35000"/>
                  </a:schemeClr>
                </a:solidFill>
                <a:latin typeface="+mj-lt"/>
                <a:ea typeface="+mn-ea"/>
                <a:cs typeface="+mn-cs"/>
              </a:defRPr>
            </a:pPr>
            <a:endParaRPr lang="lt-LT"/>
          </a:p>
        </c:txPr>
        <c:crossAx val="652259616"/>
        <c:crosses val="autoZero"/>
        <c:crossBetween val="between"/>
        <c:majorUnit val="25"/>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63594073767094905"/>
          <c:y val="0.37320271448800141"/>
          <c:w val="0.26922391280037367"/>
          <c:h val="0.130562996814759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j-lt"/>
              <a:ea typeface="+mn-ea"/>
              <a:cs typeface="+mn-cs"/>
            </a:defRPr>
          </a:pPr>
          <a:endParaRPr lang="lt-LT"/>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sz="900">
          <a:latin typeface="+mj-lt"/>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45885515987315123"/>
          <c:y val="2.5292691635502601E-2"/>
          <c:w val="0.50591627754300805"/>
          <c:h val="0.83779010768045403"/>
        </c:manualLayout>
      </c:layout>
      <c:barChart>
        <c:barDir val="bar"/>
        <c:grouping val="clustered"/>
        <c:varyColors val="0"/>
        <c:ser>
          <c:idx val="0"/>
          <c:order val="0"/>
          <c:tx>
            <c:strRef>
              <c:f>Sheet1!$A$2</c:f>
              <c:strCache>
                <c:ptCount val="1"/>
                <c:pt idx="0">
                  <c:v>Pasiekta</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4"/>
                <c:pt idx="0">
                  <c:v>Sutaupytos energijos kiekis renovuotuose viešuosiuose pastatuose (GWh)</c:v>
                </c:pt>
                <c:pt idx="1">
                  <c:v> Renovuoti viešosios paskirties pastatai siekiant sutaupyti energijos</c:v>
                </c:pt>
                <c:pt idx="2">
                  <c:v> Paskolos daugiabučių gyvenamųjų namų ir bendrabučių renovacijai (JESSICA)</c:v>
                </c:pt>
                <c:pt idx="3">
                  <c:v>Probleminėse teritorijose renovuoti daugiabučiai gyvenamieji namai (VRM)</c:v>
                </c:pt>
              </c:strCache>
            </c:strRef>
          </c:cat>
          <c:val>
            <c:numRef>
              <c:f>Sheet1!$B$2:$E$2</c:f>
              <c:numCache>
                <c:formatCode>#,##0</c:formatCode>
                <c:ptCount val="4"/>
                <c:pt idx="0" formatCode="General">
                  <c:v>262</c:v>
                </c:pt>
                <c:pt idx="1">
                  <c:v>901</c:v>
                </c:pt>
                <c:pt idx="2" formatCode="General">
                  <c:v>1055</c:v>
                </c:pt>
                <c:pt idx="3" formatCode="General">
                  <c:v>368</c:v>
                </c:pt>
              </c:numCache>
            </c:numRef>
          </c:val>
        </c:ser>
        <c:ser>
          <c:idx val="1"/>
          <c:order val="1"/>
          <c:tx>
            <c:strRef>
              <c:f>Sheet1!$A$3</c:f>
              <c:strCache>
                <c:ptCount val="1"/>
                <c:pt idx="0">
                  <c:v>Suplanuota VP</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4"/>
                <c:pt idx="0">
                  <c:v>Sutaupytos energijos kiekis renovuotuose viešuosiuose pastatuose (GWh)</c:v>
                </c:pt>
                <c:pt idx="1">
                  <c:v> Renovuoti viešosios paskirties pastatai siekiant sutaupyti energijos</c:v>
                </c:pt>
                <c:pt idx="2">
                  <c:v> Paskolos daugiabučių gyvenamųjų namų ir bendrabučių renovacijai (JESSICA)</c:v>
                </c:pt>
                <c:pt idx="3">
                  <c:v>Probleminėse teritorijose renovuoti daugiabučiai gyvenamieji namai (VRM)</c:v>
                </c:pt>
              </c:strCache>
            </c:strRef>
          </c:cat>
          <c:val>
            <c:numRef>
              <c:f>Sheet1!$B$3:$E$3</c:f>
              <c:numCache>
                <c:formatCode>#,##0</c:formatCode>
                <c:ptCount val="4"/>
                <c:pt idx="0" formatCode="General">
                  <c:v>200</c:v>
                </c:pt>
                <c:pt idx="1">
                  <c:v>850</c:v>
                </c:pt>
                <c:pt idx="2" formatCode="General">
                  <c:v>1042</c:v>
                </c:pt>
                <c:pt idx="3" formatCode="General">
                  <c:v>300</c:v>
                </c:pt>
              </c:numCache>
            </c:numRef>
          </c:val>
        </c:ser>
        <c:dLbls>
          <c:showLegendKey val="0"/>
          <c:showVal val="1"/>
          <c:showCatName val="0"/>
          <c:showSerName val="0"/>
          <c:showPercent val="0"/>
          <c:showBubbleSize val="0"/>
        </c:dLbls>
        <c:gapWidth val="247"/>
        <c:axId val="614669264"/>
        <c:axId val="689642256"/>
      </c:barChart>
      <c:catAx>
        <c:axId val="61466926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cap="none" spc="0" normalizeH="0" baseline="0">
                <a:solidFill>
                  <a:schemeClr val="dk1">
                    <a:lumMod val="65000"/>
                    <a:lumOff val="35000"/>
                  </a:schemeClr>
                </a:solidFill>
                <a:latin typeface="+mj-lt"/>
                <a:ea typeface="+mn-ea"/>
                <a:cs typeface="+mn-cs"/>
              </a:defRPr>
            </a:pPr>
            <a:endParaRPr lang="lt-LT"/>
          </a:p>
        </c:txPr>
        <c:crossAx val="689642256"/>
        <c:crosses val="autoZero"/>
        <c:auto val="1"/>
        <c:lblAlgn val="r"/>
        <c:lblOffset val="100"/>
        <c:tickLblSkip val="1"/>
        <c:tickMarkSkip val="1"/>
        <c:noMultiLvlLbl val="0"/>
      </c:catAx>
      <c:valAx>
        <c:axId val="6896422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dk1">
                    <a:lumMod val="65000"/>
                    <a:lumOff val="35000"/>
                  </a:schemeClr>
                </a:solidFill>
                <a:latin typeface="+mj-lt"/>
                <a:ea typeface="+mn-ea"/>
                <a:cs typeface="+mn-cs"/>
              </a:defRPr>
            </a:pPr>
            <a:endParaRPr lang="lt-LT"/>
          </a:p>
        </c:txPr>
        <c:crossAx val="614669264"/>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68041717414566805"/>
          <c:y val="0.72194106703249206"/>
          <c:w val="0.27058020455251663"/>
          <c:h val="0.11360559204710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j-lt"/>
              <a:ea typeface="+mn-ea"/>
              <a:cs typeface="+mn-cs"/>
            </a:defRPr>
          </a:pPr>
          <a:endParaRPr lang="lt-LT"/>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sz="900">
          <a:latin typeface="+mj-lt"/>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46284699191583539"/>
          <c:y val="4.8728298579141592E-2"/>
          <c:w val="0.50007060250463409"/>
          <c:h val="0.78522867055088652"/>
        </c:manualLayout>
      </c:layout>
      <c:barChart>
        <c:barDir val="bar"/>
        <c:grouping val="clustered"/>
        <c:varyColors val="0"/>
        <c:ser>
          <c:idx val="0"/>
          <c:order val="0"/>
          <c:tx>
            <c:strRef>
              <c:f>Sheet1!$A$2</c:f>
              <c:strCache>
                <c:ptCount val="1"/>
                <c:pt idx="0">
                  <c:v>Pasiekta</c:v>
                </c:pt>
              </c:strCache>
            </c:strRef>
          </c:tx>
          <c:spPr>
            <a:solidFill>
              <a:schemeClr val="accent1">
                <a:shade val="76000"/>
              </a:schemeClr>
            </a:solidFill>
            <a:ln>
              <a:noFill/>
            </a:ln>
            <a:effectLst/>
          </c:spPr>
          <c:invertIfNegative val="0"/>
          <c:dLbls>
            <c:dLbl>
              <c:idx val="1"/>
              <c:layout>
                <c:manualLayout>
                  <c:x val="0"/>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Paramą gavusios sveikatos priežiūros įstaigos </c:v>
                </c:pt>
                <c:pt idx="1">
                  <c:v>Pacientai, kuriems pagerėjo sveikatos priežiūros paslaugų kokybė ir prieinamumas (tūkst.)</c:v>
                </c:pt>
              </c:strCache>
            </c:strRef>
          </c:cat>
          <c:val>
            <c:numRef>
              <c:f>Sheet1!$B$2:$C$2</c:f>
              <c:numCache>
                <c:formatCode>General</c:formatCode>
                <c:ptCount val="2"/>
                <c:pt idx="0" formatCode="#,##0">
                  <c:v>218</c:v>
                </c:pt>
                <c:pt idx="1">
                  <c:v>1340.6</c:v>
                </c:pt>
              </c:numCache>
            </c:numRef>
          </c:val>
        </c:ser>
        <c:ser>
          <c:idx val="1"/>
          <c:order val="1"/>
          <c:tx>
            <c:strRef>
              <c:f>Sheet1!$A$3</c:f>
              <c:strCache>
                <c:ptCount val="1"/>
                <c:pt idx="0">
                  <c:v>Suplanuota VP</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Paramą gavusios sveikatos priežiūros įstaigos </c:v>
                </c:pt>
                <c:pt idx="1">
                  <c:v>Pacientai, kuriems pagerėjo sveikatos priežiūros paslaugų kokybė ir prieinamumas (tūkst.)</c:v>
                </c:pt>
              </c:strCache>
            </c:strRef>
          </c:cat>
          <c:val>
            <c:numRef>
              <c:f>Sheet1!$B$3:$C$3</c:f>
              <c:numCache>
                <c:formatCode>General</c:formatCode>
                <c:ptCount val="2"/>
                <c:pt idx="0" formatCode="#,##0">
                  <c:v>210</c:v>
                </c:pt>
                <c:pt idx="1">
                  <c:v>1050.5</c:v>
                </c:pt>
              </c:numCache>
            </c:numRef>
          </c:val>
        </c:ser>
        <c:dLbls>
          <c:showLegendKey val="0"/>
          <c:showVal val="1"/>
          <c:showCatName val="0"/>
          <c:showSerName val="0"/>
          <c:showPercent val="0"/>
          <c:showBubbleSize val="0"/>
        </c:dLbls>
        <c:gapWidth val="247"/>
        <c:axId val="689636376"/>
        <c:axId val="689637552"/>
      </c:barChart>
      <c:catAx>
        <c:axId val="68963637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cap="none" spc="0" normalizeH="0" baseline="0">
                <a:solidFill>
                  <a:schemeClr val="dk1">
                    <a:lumMod val="65000"/>
                    <a:lumOff val="35000"/>
                  </a:schemeClr>
                </a:solidFill>
                <a:latin typeface="+mj-lt"/>
                <a:ea typeface="+mn-ea"/>
                <a:cs typeface="+mn-cs"/>
              </a:defRPr>
            </a:pPr>
            <a:endParaRPr lang="lt-LT"/>
          </a:p>
        </c:txPr>
        <c:crossAx val="689637552"/>
        <c:crosses val="autoZero"/>
        <c:auto val="1"/>
        <c:lblAlgn val="ctr"/>
        <c:lblOffset val="100"/>
        <c:tickLblSkip val="1"/>
        <c:tickMarkSkip val="1"/>
        <c:noMultiLvlLbl val="0"/>
      </c:catAx>
      <c:valAx>
        <c:axId val="689637552"/>
        <c:scaling>
          <c:orientation val="minMax"/>
          <c:max val="1400"/>
          <c:min val="0"/>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dk1">
                    <a:lumMod val="65000"/>
                    <a:lumOff val="35000"/>
                  </a:schemeClr>
                </a:solidFill>
                <a:latin typeface="+mj-lt"/>
                <a:ea typeface="+mn-ea"/>
                <a:cs typeface="+mn-cs"/>
              </a:defRPr>
            </a:pPr>
            <a:endParaRPr lang="lt-LT"/>
          </a:p>
        </c:txPr>
        <c:crossAx val="689636376"/>
        <c:crosses val="autoZero"/>
        <c:crossBetween val="between"/>
        <c:majorUnit val="2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6656870113573683"/>
          <c:y val="0.61698775368066694"/>
          <c:w val="0.26813189692942052"/>
          <c:h val="0.167543652051134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j-lt"/>
              <a:ea typeface="+mn-ea"/>
              <a:cs typeface="+mn-cs"/>
            </a:defRPr>
          </a:pPr>
          <a:endParaRPr lang="lt-LT"/>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latin typeface="+mj-lt"/>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900" b="1" i="0" u="none" strike="noStrike" kern="1200" baseline="0">
                <a:solidFill>
                  <a:schemeClr val="tx2"/>
                </a:solidFill>
                <a:latin typeface="+mj-lt"/>
                <a:ea typeface="+mn-ea"/>
                <a:cs typeface="+mn-cs"/>
              </a:defRPr>
            </a:pPr>
            <a:r>
              <a:rPr lang="lt-LT" sz="900" b="1" i="0" u="none" strike="noStrike" baseline="0">
                <a:effectLst/>
              </a:rPr>
              <a:t>Mirtingumo ir savižudybių rodikliai 2005 m. ir 2015 m.</a:t>
            </a:r>
            <a:endParaRPr lang="lt-LT" sz="900"/>
          </a:p>
        </c:rich>
      </c:tx>
      <c:layout>
        <c:manualLayout>
          <c:xMode val="edge"/>
          <c:yMode val="edge"/>
          <c:x val="0.1125086079416788"/>
          <c:y val="2.2365110427732739E-2"/>
        </c:manualLayout>
      </c:layout>
      <c:overlay val="0"/>
      <c:spPr>
        <a:noFill/>
        <a:ln>
          <a:noFill/>
        </a:ln>
        <a:effectLst/>
      </c:spPr>
    </c:title>
    <c:autoTitleDeleted val="0"/>
    <c:plotArea>
      <c:layout>
        <c:manualLayout>
          <c:layoutTarget val="inner"/>
          <c:xMode val="edge"/>
          <c:yMode val="edge"/>
          <c:x val="0.48666566818066315"/>
          <c:y val="0.10286233790247844"/>
          <c:w val="0.4706756440655433"/>
          <c:h val="0.70423902491640589"/>
        </c:manualLayout>
      </c:layout>
      <c:barChart>
        <c:barDir val="bar"/>
        <c:grouping val="clustered"/>
        <c:varyColors val="0"/>
        <c:ser>
          <c:idx val="0"/>
          <c:order val="0"/>
          <c:tx>
            <c:strRef>
              <c:f>Sheet2!$B$17</c:f>
              <c:strCache>
                <c:ptCount val="1"/>
                <c:pt idx="0">
                  <c:v>Pradinė reikšmė 2005 m.</c:v>
                </c:pt>
              </c:strCache>
            </c:strRef>
          </c:tx>
          <c:spPr>
            <a:gradFill rotWithShape="1">
              <a:gsLst>
                <a:gs pos="0">
                  <a:schemeClr val="accent1">
                    <a:tint val="65000"/>
                    <a:shade val="51000"/>
                    <a:satMod val="130000"/>
                  </a:schemeClr>
                </a:gs>
                <a:gs pos="80000">
                  <a:schemeClr val="accent1">
                    <a:tint val="65000"/>
                    <a:shade val="93000"/>
                    <a:satMod val="130000"/>
                  </a:schemeClr>
                </a:gs>
                <a:gs pos="100000">
                  <a:schemeClr val="accent1">
                    <a:tint val="65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Sheet2!$A$18:$A$21</c:f>
              <c:strCache>
                <c:ptCount val="4"/>
                <c:pt idx="0">
                  <c:v>Jaunesnių nei 65 metų amžiaus gyventojų mirtingumas nuo kraujotakos sistemos ligų (atvejai)</c:v>
                </c:pt>
                <c:pt idx="1">
                  <c:v>Jaunesnių nei 65 metų amžiaus gyventojų mirtingumas nuo piktybinių navikų (atvejai)</c:v>
                </c:pt>
                <c:pt idx="2">
                  <c:v>Hospitalinis mirštamumas dėl traumų, apsinuodijimų ir kitų išorinių priežasčių (atvejai)</c:v>
                </c:pt>
                <c:pt idx="3">
                  <c:v>Savižudybių skaičius</c:v>
                </c:pt>
              </c:strCache>
            </c:strRef>
          </c:cat>
          <c:val>
            <c:numRef>
              <c:f>Sheet2!$B$18:$B$21</c:f>
              <c:numCache>
                <c:formatCode>#,##0</c:formatCode>
                <c:ptCount val="4"/>
                <c:pt idx="0">
                  <c:v>4295</c:v>
                </c:pt>
                <c:pt idx="1">
                  <c:v>2759</c:v>
                </c:pt>
                <c:pt idx="2">
                  <c:v>1337</c:v>
                </c:pt>
                <c:pt idx="3">
                  <c:v>1319</c:v>
                </c:pt>
              </c:numCache>
            </c:numRef>
          </c:val>
        </c:ser>
        <c:ser>
          <c:idx val="1"/>
          <c:order val="1"/>
          <c:tx>
            <c:strRef>
              <c:f>Sheet2!$C$17</c:f>
              <c:strCache>
                <c:ptCount val="1"/>
                <c:pt idx="0">
                  <c:v>Tikslas 2015 m.</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Sheet2!$A$18:$A$21</c:f>
              <c:strCache>
                <c:ptCount val="4"/>
                <c:pt idx="0">
                  <c:v>Jaunesnių nei 65 metų amžiaus gyventojų mirtingumas nuo kraujotakos sistemos ligų (atvejai)</c:v>
                </c:pt>
                <c:pt idx="1">
                  <c:v>Jaunesnių nei 65 metų amžiaus gyventojų mirtingumas nuo piktybinių navikų (atvejai)</c:v>
                </c:pt>
                <c:pt idx="2">
                  <c:v>Hospitalinis mirštamumas dėl traumų, apsinuodijimų ir kitų išorinių priežasčių (atvejai)</c:v>
                </c:pt>
                <c:pt idx="3">
                  <c:v>Savižudybių skaičius</c:v>
                </c:pt>
              </c:strCache>
            </c:strRef>
          </c:cat>
          <c:val>
            <c:numRef>
              <c:f>Sheet2!$C$18:$C$21</c:f>
              <c:numCache>
                <c:formatCode>#,##0</c:formatCode>
                <c:ptCount val="4"/>
                <c:pt idx="0">
                  <c:v>4200</c:v>
                </c:pt>
                <c:pt idx="1">
                  <c:v>2700</c:v>
                </c:pt>
                <c:pt idx="2">
                  <c:v>1203</c:v>
                </c:pt>
                <c:pt idx="3">
                  <c:v>1200</c:v>
                </c:pt>
              </c:numCache>
            </c:numRef>
          </c:val>
        </c:ser>
        <c:ser>
          <c:idx val="2"/>
          <c:order val="2"/>
          <c:tx>
            <c:strRef>
              <c:f>Sheet2!$D$17</c:f>
              <c:strCache>
                <c:ptCount val="1"/>
                <c:pt idx="0">
                  <c:v>Faktinė reikšmė 2015 m.*</c:v>
                </c:pt>
              </c:strCache>
            </c:strRef>
          </c:tx>
          <c:spPr>
            <a:gradFill rotWithShape="1">
              <a:gsLst>
                <a:gs pos="0">
                  <a:schemeClr val="accent1">
                    <a:shade val="65000"/>
                    <a:shade val="51000"/>
                    <a:satMod val="130000"/>
                  </a:schemeClr>
                </a:gs>
                <a:gs pos="80000">
                  <a:schemeClr val="accent1">
                    <a:shade val="65000"/>
                    <a:shade val="93000"/>
                    <a:satMod val="130000"/>
                  </a:schemeClr>
                </a:gs>
                <a:gs pos="100000">
                  <a:schemeClr val="accent1">
                    <a:shade val="65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j-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Sheet2!$A$18:$A$21</c:f>
              <c:strCache>
                <c:ptCount val="4"/>
                <c:pt idx="0">
                  <c:v>Jaunesnių nei 65 metų amžiaus gyventojų mirtingumas nuo kraujotakos sistemos ligų (atvejai)</c:v>
                </c:pt>
                <c:pt idx="1">
                  <c:v>Jaunesnių nei 65 metų amžiaus gyventojų mirtingumas nuo piktybinių navikų (atvejai)</c:v>
                </c:pt>
                <c:pt idx="2">
                  <c:v>Hospitalinis mirštamumas dėl traumų, apsinuodijimų ir kitų išorinių priežasčių (atvejai)</c:v>
                </c:pt>
                <c:pt idx="3">
                  <c:v>Savižudybių skaičius</c:v>
                </c:pt>
              </c:strCache>
            </c:strRef>
          </c:cat>
          <c:val>
            <c:numRef>
              <c:f>Sheet2!$D$18:$D$21</c:f>
              <c:numCache>
                <c:formatCode>#,##0</c:formatCode>
                <c:ptCount val="4"/>
                <c:pt idx="0">
                  <c:v>3070</c:v>
                </c:pt>
                <c:pt idx="1">
                  <c:v>2578</c:v>
                </c:pt>
                <c:pt idx="2">
                  <c:v>1126</c:v>
                </c:pt>
                <c:pt idx="3">
                  <c:v>896</c:v>
                </c:pt>
              </c:numCache>
            </c:numRef>
          </c:val>
        </c:ser>
        <c:dLbls>
          <c:showLegendKey val="0"/>
          <c:showVal val="0"/>
          <c:showCatName val="0"/>
          <c:showSerName val="0"/>
          <c:showPercent val="0"/>
          <c:showBubbleSize val="0"/>
        </c:dLbls>
        <c:gapWidth val="100"/>
        <c:axId val="689637160"/>
        <c:axId val="689634808"/>
      </c:barChart>
      <c:catAx>
        <c:axId val="6896371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j-lt"/>
                <a:ea typeface="+mn-ea"/>
                <a:cs typeface="+mn-cs"/>
              </a:defRPr>
            </a:pPr>
            <a:endParaRPr lang="lt-LT"/>
          </a:p>
        </c:txPr>
        <c:crossAx val="689634808"/>
        <c:crosses val="autoZero"/>
        <c:auto val="1"/>
        <c:lblAlgn val="ctr"/>
        <c:lblOffset val="100"/>
        <c:noMultiLvlLbl val="0"/>
      </c:catAx>
      <c:valAx>
        <c:axId val="689634808"/>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j-lt"/>
                <a:ea typeface="+mn-ea"/>
                <a:cs typeface="+mn-cs"/>
              </a:defRPr>
            </a:pPr>
            <a:endParaRPr lang="lt-LT"/>
          </a:p>
        </c:txPr>
        <c:crossAx val="689637160"/>
        <c:crosses val="autoZero"/>
        <c:crossBetween val="between"/>
      </c:valAx>
      <c:spPr>
        <a:noFill/>
        <a:ln>
          <a:noFill/>
        </a:ln>
        <a:effectLst/>
      </c:spPr>
    </c:plotArea>
    <c:legend>
      <c:legendPos val="b"/>
      <c:layout>
        <c:manualLayout>
          <c:xMode val="edge"/>
          <c:yMode val="edge"/>
          <c:x val="5.2771937246251635E-2"/>
          <c:y val="0.91693847762294611"/>
          <c:w val="0.9"/>
          <c:h val="7.579815371661165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j-lt"/>
              <a:ea typeface="+mn-ea"/>
              <a:cs typeface="+mn-cs"/>
            </a:defRPr>
          </a:pPr>
          <a:endParaRPr lang="lt-LT"/>
        </a:p>
      </c:txPr>
    </c:legend>
    <c:plotVisOnly val="1"/>
    <c:dispBlanksAs val="gap"/>
    <c:showDLblsOverMax val="0"/>
  </c:chart>
  <c:spPr>
    <a:noFill/>
    <a:ln w="9525" cap="flat" cmpd="sng" algn="ctr">
      <a:solidFill>
        <a:schemeClr val="tx2">
          <a:lumMod val="15000"/>
          <a:lumOff val="85000"/>
        </a:schemeClr>
      </a:solidFill>
      <a:round/>
    </a:ln>
    <a:effectLst/>
  </c:spPr>
  <c:txPr>
    <a:bodyPr/>
    <a:lstStyle/>
    <a:p>
      <a:pPr>
        <a:defRPr sz="900">
          <a:latin typeface="+mj-lt"/>
        </a:defRPr>
      </a:pPr>
      <a:endParaRPr lang="lt-LT"/>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6C6AD-1E38-43CE-92AF-F72048109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Pages>
  <Words>17709</Words>
  <Characters>10095</Characters>
  <Application>Microsoft Office Word</Application>
  <DocSecurity>0</DocSecurity>
  <Lines>84</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AgneM</dc:creator>
  <cp:keywords/>
  <dc:description/>
  <cp:lastModifiedBy>AgneM</cp:lastModifiedBy>
  <cp:revision>4</cp:revision>
  <cp:lastPrinted>2016-09-04T12:42:00Z</cp:lastPrinted>
  <dcterms:created xsi:type="dcterms:W3CDTF">2017-03-01T16:17:00Z</dcterms:created>
  <dcterms:modified xsi:type="dcterms:W3CDTF">2017-03-01T16:41:00Z</dcterms:modified>
</cp:coreProperties>
</file>