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64" w:rsidRPr="0087422E" w:rsidRDefault="00E30964" w:rsidP="00AA56EE">
      <w:pPr>
        <w:spacing w:after="0" w:line="240" w:lineRule="auto"/>
        <w:jc w:val="center"/>
        <w:rPr>
          <w:b/>
          <w:color w:val="2E74B5" w:themeColor="accent1" w:themeShade="BF"/>
          <w:sz w:val="28"/>
          <w:szCs w:val="28"/>
          <w:lang w:val="en-GB"/>
        </w:rPr>
      </w:pPr>
      <w:r w:rsidRPr="0087422E">
        <w:rPr>
          <w:b/>
          <w:color w:val="2E74B5" w:themeColor="accent1" w:themeShade="BF"/>
          <w:sz w:val="28"/>
          <w:szCs w:val="28"/>
          <w:lang w:val="en-GB"/>
        </w:rPr>
        <w:t>SUMMARY OF</w:t>
      </w:r>
      <w:r w:rsidR="00054B28" w:rsidRPr="0087422E">
        <w:rPr>
          <w:b/>
          <w:color w:val="2E74B5" w:themeColor="accent1" w:themeShade="BF"/>
          <w:sz w:val="28"/>
          <w:szCs w:val="28"/>
          <w:lang w:val="en-GB"/>
        </w:rPr>
        <w:t xml:space="preserve"> </w:t>
      </w:r>
      <w:r w:rsidR="00367FE7" w:rsidRPr="0087422E">
        <w:rPr>
          <w:b/>
          <w:color w:val="2E74B5" w:themeColor="accent1" w:themeShade="BF"/>
          <w:sz w:val="28"/>
          <w:szCs w:val="28"/>
          <w:lang w:val="en-GB"/>
        </w:rPr>
        <w:t>THE</w:t>
      </w:r>
      <w:r w:rsidRPr="0087422E">
        <w:rPr>
          <w:b/>
          <w:color w:val="2E74B5" w:themeColor="accent1" w:themeShade="BF"/>
          <w:sz w:val="28"/>
          <w:szCs w:val="28"/>
          <w:lang w:val="en-GB"/>
        </w:rPr>
        <w:t xml:space="preserve"> </w:t>
      </w:r>
      <w:r w:rsidR="00367FE7" w:rsidRPr="0087422E">
        <w:rPr>
          <w:b/>
          <w:color w:val="2E74B5" w:themeColor="accent1" w:themeShade="BF"/>
          <w:sz w:val="28"/>
          <w:szCs w:val="28"/>
          <w:lang w:val="en-GB"/>
        </w:rPr>
        <w:t xml:space="preserve">EVALUATION OF THE ACHIEVED GOALS AND OBJECTIVES OF THE </w:t>
      </w:r>
      <w:r w:rsidRPr="0087422E">
        <w:rPr>
          <w:b/>
          <w:color w:val="2E74B5" w:themeColor="accent1" w:themeShade="BF"/>
          <w:sz w:val="28"/>
          <w:szCs w:val="28"/>
          <w:lang w:val="en-GB"/>
        </w:rPr>
        <w:t>HUMAN RESOURCES DEVELOPMENT OPERATIONAL PROGRAMME FOR 2007–2013</w:t>
      </w:r>
    </w:p>
    <w:p w:rsidR="00857C57" w:rsidRPr="0087422E" w:rsidRDefault="00857C57" w:rsidP="00857C57">
      <w:pPr>
        <w:spacing w:after="0" w:line="240" w:lineRule="auto"/>
        <w:jc w:val="both"/>
        <w:rPr>
          <w:lang w:val="en-GB"/>
        </w:rPr>
      </w:pPr>
    </w:p>
    <w:p w:rsidR="0040306E" w:rsidRPr="0087422E" w:rsidRDefault="0040306E" w:rsidP="00857C57">
      <w:pPr>
        <w:spacing w:after="0" w:line="240" w:lineRule="auto"/>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10421"/>
      </w:tblGrid>
      <w:tr w:rsidR="00685D21" w:rsidRPr="0087422E" w:rsidTr="003F252F">
        <w:tc>
          <w:tcPr>
            <w:tcW w:w="10421" w:type="dxa"/>
            <w:shd w:val="clear" w:color="auto" w:fill="DEEAF6" w:themeFill="accent1" w:themeFillTint="33"/>
          </w:tcPr>
          <w:p w:rsidR="00685D21" w:rsidRPr="0087422E" w:rsidRDefault="00E30964" w:rsidP="00054B28">
            <w:pPr>
              <w:jc w:val="center"/>
              <w:rPr>
                <w:b/>
                <w:lang w:val="en-GB"/>
              </w:rPr>
            </w:pPr>
            <w:r w:rsidRPr="0087422E">
              <w:rPr>
                <w:b/>
                <w:color w:val="2E74B5" w:themeColor="accent1" w:themeShade="BF"/>
                <w:lang w:val="en-GB"/>
              </w:rPr>
              <w:t xml:space="preserve">AIMS OF EU </w:t>
            </w:r>
            <w:r w:rsidR="00EF7FCF" w:rsidRPr="0087422E">
              <w:rPr>
                <w:b/>
                <w:color w:val="2E74B5" w:themeColor="accent1" w:themeShade="BF"/>
                <w:lang w:val="en-GB"/>
              </w:rPr>
              <w:t>INVESTMENTS</w:t>
            </w:r>
            <w:r w:rsidRPr="0087422E">
              <w:rPr>
                <w:b/>
                <w:color w:val="2E74B5" w:themeColor="accent1" w:themeShade="BF"/>
                <w:lang w:val="en-GB"/>
              </w:rPr>
              <w:t xml:space="preserve"> IN</w:t>
            </w:r>
            <w:r w:rsidR="00054B28" w:rsidRPr="0087422E">
              <w:rPr>
                <w:b/>
                <w:color w:val="2E74B5" w:themeColor="accent1" w:themeShade="BF"/>
                <w:lang w:val="en-GB"/>
              </w:rPr>
              <w:t>TO</w:t>
            </w:r>
            <w:r w:rsidRPr="0087422E">
              <w:rPr>
                <w:b/>
                <w:color w:val="2E74B5" w:themeColor="accent1" w:themeShade="BF"/>
                <w:lang w:val="en-GB"/>
              </w:rPr>
              <w:t xml:space="preserve"> HUMAN</w:t>
            </w:r>
            <w:r w:rsidR="0095189B" w:rsidRPr="0087422E">
              <w:rPr>
                <w:b/>
                <w:color w:val="2E74B5" w:themeColor="accent1" w:themeShade="BF"/>
                <w:lang w:val="en-GB"/>
              </w:rPr>
              <w:t xml:space="preserve"> RESOURCES DEVELOPMENT AND </w:t>
            </w:r>
            <w:r w:rsidR="00054B28" w:rsidRPr="0087422E">
              <w:rPr>
                <w:b/>
                <w:color w:val="2E74B5" w:themeColor="accent1" w:themeShade="BF"/>
                <w:lang w:val="en-GB"/>
              </w:rPr>
              <w:t xml:space="preserve">FUNDS ALLOCATED </w:t>
            </w:r>
            <w:r w:rsidR="0095189B" w:rsidRPr="0087422E">
              <w:rPr>
                <w:b/>
                <w:color w:val="2E74B5" w:themeColor="accent1" w:themeShade="BF"/>
                <w:lang w:val="en-GB"/>
              </w:rPr>
              <w:t>TO</w:t>
            </w:r>
            <w:r w:rsidR="00054B28" w:rsidRPr="0087422E">
              <w:rPr>
                <w:b/>
                <w:color w:val="2E74B5" w:themeColor="accent1" w:themeShade="BF"/>
                <w:lang w:val="en-GB"/>
              </w:rPr>
              <w:t xml:space="preserve"> ACHIEVE</w:t>
            </w:r>
            <w:r w:rsidR="0095189B" w:rsidRPr="0087422E">
              <w:rPr>
                <w:b/>
                <w:color w:val="2E74B5" w:themeColor="accent1" w:themeShade="BF"/>
                <w:lang w:val="en-GB"/>
              </w:rPr>
              <w:t xml:space="preserve"> </w:t>
            </w:r>
            <w:r w:rsidR="00367FE7" w:rsidRPr="0087422E">
              <w:rPr>
                <w:b/>
                <w:color w:val="2E74B5" w:themeColor="accent1" w:themeShade="BF"/>
                <w:lang w:val="en-GB"/>
              </w:rPr>
              <w:t>THEM</w:t>
            </w:r>
          </w:p>
        </w:tc>
      </w:tr>
    </w:tbl>
    <w:p w:rsidR="00685D21" w:rsidRPr="0087422E" w:rsidRDefault="00685D21" w:rsidP="00857C57">
      <w:pPr>
        <w:spacing w:after="0" w:line="240" w:lineRule="auto"/>
        <w:jc w:val="both"/>
        <w:rPr>
          <w:lang w:val="en-GB"/>
        </w:rPr>
      </w:pPr>
    </w:p>
    <w:p w:rsidR="007C3F20" w:rsidRPr="0087422E" w:rsidRDefault="00367FE7" w:rsidP="00857C57">
      <w:pPr>
        <w:spacing w:after="0" w:line="240" w:lineRule="auto"/>
        <w:jc w:val="both"/>
        <w:rPr>
          <w:lang w:val="en-GB"/>
        </w:rPr>
      </w:pPr>
      <w:r w:rsidRPr="0087422E">
        <w:rPr>
          <w:lang w:val="en-GB"/>
        </w:rPr>
        <w:t xml:space="preserve">The </w:t>
      </w:r>
      <w:r w:rsidR="00E30964" w:rsidRPr="0087422E">
        <w:rPr>
          <w:lang w:val="en-GB"/>
        </w:rPr>
        <w:t xml:space="preserve">Human Resources </w:t>
      </w:r>
      <w:r w:rsidR="00A32709" w:rsidRPr="0087422E">
        <w:rPr>
          <w:lang w:val="en-GB"/>
        </w:rPr>
        <w:t xml:space="preserve">Development </w:t>
      </w:r>
      <w:r w:rsidR="00E30964" w:rsidRPr="0087422E">
        <w:rPr>
          <w:lang w:val="en-GB"/>
        </w:rPr>
        <w:t>Operational Programme for 2007–2013 (</w:t>
      </w:r>
      <w:r w:rsidRPr="0087422E">
        <w:rPr>
          <w:lang w:val="en-GB"/>
        </w:rPr>
        <w:t>hereinafter </w:t>
      </w:r>
      <w:r w:rsidR="00E30964" w:rsidRPr="0087422E">
        <w:rPr>
          <w:lang w:val="en-GB"/>
        </w:rPr>
        <w:t xml:space="preserve">– </w:t>
      </w:r>
      <w:r w:rsidRPr="0087422E">
        <w:rPr>
          <w:lang w:val="en-GB"/>
        </w:rPr>
        <w:t>the “</w:t>
      </w:r>
      <w:r w:rsidR="00E30964" w:rsidRPr="0087422E">
        <w:rPr>
          <w:lang w:val="en-GB"/>
        </w:rPr>
        <w:t>HR</w:t>
      </w:r>
      <w:r w:rsidR="00A32709" w:rsidRPr="0087422E">
        <w:rPr>
          <w:lang w:val="en-GB"/>
        </w:rPr>
        <w:t>D</w:t>
      </w:r>
      <w:r w:rsidR="00EF7FCF" w:rsidRPr="0087422E">
        <w:rPr>
          <w:lang w:val="en-GB"/>
        </w:rPr>
        <w:t>OP</w:t>
      </w:r>
      <w:r w:rsidRPr="0087422E">
        <w:rPr>
          <w:lang w:val="en-GB"/>
        </w:rPr>
        <w:t>”</w:t>
      </w:r>
      <w:r w:rsidR="00EF7FCF" w:rsidRPr="0087422E">
        <w:rPr>
          <w:lang w:val="en-GB"/>
        </w:rPr>
        <w:t>) was</w:t>
      </w:r>
      <w:r w:rsidR="00E30964" w:rsidRPr="0087422E">
        <w:rPr>
          <w:lang w:val="en-GB"/>
        </w:rPr>
        <w:t xml:space="preserve"> </w:t>
      </w:r>
      <w:r w:rsidRPr="0087422E">
        <w:rPr>
          <w:lang w:val="en-GB"/>
        </w:rPr>
        <w:t>focused on</w:t>
      </w:r>
      <w:r w:rsidR="007C3F20" w:rsidRPr="0087422E">
        <w:rPr>
          <w:lang w:val="en-GB"/>
        </w:rPr>
        <w:t xml:space="preserve"> investments in</w:t>
      </w:r>
      <w:r w:rsidRPr="0087422E">
        <w:rPr>
          <w:lang w:val="en-GB"/>
        </w:rPr>
        <w:t>to</w:t>
      </w:r>
      <w:r w:rsidR="007C3F20" w:rsidRPr="0087422E">
        <w:rPr>
          <w:lang w:val="en-GB"/>
        </w:rPr>
        <w:t xml:space="preserve"> str</w:t>
      </w:r>
      <w:r w:rsidR="00EF7FCF" w:rsidRPr="0087422E">
        <w:rPr>
          <w:lang w:val="en-GB"/>
        </w:rPr>
        <w:t>engthening employees’ competenc</w:t>
      </w:r>
      <w:r w:rsidR="007C3F20" w:rsidRPr="0087422E">
        <w:rPr>
          <w:lang w:val="en-GB"/>
        </w:rPr>
        <w:t xml:space="preserve">es and boosting employment. The programme had four main objectives: (1) to increase the economic activity and employment, and to promote the creation of </w:t>
      </w:r>
      <w:r w:rsidRPr="0087422E">
        <w:rPr>
          <w:lang w:val="en-GB"/>
        </w:rPr>
        <w:t>high</w:t>
      </w:r>
      <w:r w:rsidR="00054B28" w:rsidRPr="0087422E">
        <w:rPr>
          <w:lang w:val="en-GB"/>
        </w:rPr>
        <w:t>-</w:t>
      </w:r>
      <w:r w:rsidRPr="0087422E">
        <w:rPr>
          <w:lang w:val="en-GB"/>
        </w:rPr>
        <w:t xml:space="preserve">quality </w:t>
      </w:r>
      <w:r w:rsidR="007C3F20" w:rsidRPr="0087422E">
        <w:rPr>
          <w:lang w:val="en-GB"/>
        </w:rPr>
        <w:t xml:space="preserve">jobs; (2) to increase </w:t>
      </w:r>
      <w:r w:rsidRPr="0087422E">
        <w:rPr>
          <w:lang w:val="en-GB"/>
        </w:rPr>
        <w:t xml:space="preserve">access of the </w:t>
      </w:r>
      <w:r w:rsidR="007C3F20" w:rsidRPr="0087422E">
        <w:rPr>
          <w:lang w:val="en-GB"/>
        </w:rPr>
        <w:t>Lithuanian population to lifelong learning; (3)</w:t>
      </w:r>
      <w:r w:rsidR="006D5CCB">
        <w:rPr>
          <w:lang w:val="en-GB"/>
        </w:rPr>
        <w:t> </w:t>
      </w:r>
      <w:r w:rsidR="007C3F20" w:rsidRPr="0087422E">
        <w:rPr>
          <w:lang w:val="en-GB"/>
        </w:rPr>
        <w:t>to improve the qualification and competence of researchers, and to increase the number of them; (4) to strengthen administrative capacity and to increase the efficiency of public administration.</w:t>
      </w:r>
    </w:p>
    <w:p w:rsidR="00E30964" w:rsidRPr="0087422E" w:rsidRDefault="00E30964" w:rsidP="00857C57">
      <w:pPr>
        <w:spacing w:after="0" w:line="240" w:lineRule="auto"/>
        <w:jc w:val="both"/>
        <w:rPr>
          <w:lang w:val="en-GB"/>
        </w:rPr>
      </w:pPr>
    </w:p>
    <w:p w:rsidR="007C3F20" w:rsidRPr="0087422E" w:rsidRDefault="007C3F20" w:rsidP="00857C57">
      <w:pPr>
        <w:spacing w:after="0" w:line="240" w:lineRule="auto"/>
        <w:jc w:val="both"/>
        <w:rPr>
          <w:lang w:val="en-GB"/>
        </w:rPr>
      </w:pPr>
      <w:r w:rsidRPr="0087422E">
        <w:rPr>
          <w:b/>
          <w:color w:val="336699"/>
          <w:lang w:val="en-GB"/>
        </w:rPr>
        <w:t>More than EUR</w:t>
      </w:r>
      <w:r w:rsidR="00367FE7" w:rsidRPr="0087422E">
        <w:rPr>
          <w:b/>
          <w:color w:val="336699"/>
          <w:lang w:val="en-GB"/>
        </w:rPr>
        <w:t> </w:t>
      </w:r>
      <w:r w:rsidRPr="0087422E">
        <w:rPr>
          <w:b/>
          <w:color w:val="336699"/>
          <w:lang w:val="en-GB"/>
        </w:rPr>
        <w:t>1.138</w:t>
      </w:r>
      <w:r w:rsidR="00367FE7" w:rsidRPr="0087422E">
        <w:rPr>
          <w:b/>
          <w:color w:val="336699"/>
          <w:lang w:val="en-GB"/>
        </w:rPr>
        <w:t> </w:t>
      </w:r>
      <w:r w:rsidRPr="0087422E">
        <w:rPr>
          <w:b/>
          <w:color w:val="336699"/>
          <w:lang w:val="en-GB"/>
        </w:rPr>
        <w:t>billion</w:t>
      </w:r>
      <w:r w:rsidRPr="0087422E">
        <w:rPr>
          <w:lang w:val="en-GB"/>
        </w:rPr>
        <w:t xml:space="preserve"> from </w:t>
      </w:r>
      <w:r w:rsidR="00367FE7" w:rsidRPr="0087422E">
        <w:rPr>
          <w:lang w:val="en-GB"/>
        </w:rPr>
        <w:t xml:space="preserve">the </w:t>
      </w:r>
      <w:r w:rsidRPr="0087422E">
        <w:rPr>
          <w:lang w:val="en-GB"/>
        </w:rPr>
        <w:t xml:space="preserve">EU </w:t>
      </w:r>
      <w:r w:rsidR="00367FE7" w:rsidRPr="0087422E">
        <w:rPr>
          <w:lang w:val="en-GB"/>
        </w:rPr>
        <w:t>S</w:t>
      </w:r>
      <w:r w:rsidRPr="0087422E">
        <w:rPr>
          <w:lang w:val="en-GB"/>
        </w:rPr>
        <w:t xml:space="preserve">tructural </w:t>
      </w:r>
      <w:r w:rsidR="00367FE7" w:rsidRPr="0087422E">
        <w:rPr>
          <w:lang w:val="en-GB"/>
        </w:rPr>
        <w:t>F</w:t>
      </w:r>
      <w:r w:rsidRPr="0087422E">
        <w:rPr>
          <w:lang w:val="en-GB"/>
        </w:rPr>
        <w:t>unds and national b</w:t>
      </w:r>
      <w:r w:rsidR="00EF7FCF" w:rsidRPr="0087422E">
        <w:rPr>
          <w:lang w:val="en-GB"/>
        </w:rPr>
        <w:t>udget was allocated to promote</w:t>
      </w:r>
      <w:r w:rsidRPr="0087422E">
        <w:rPr>
          <w:lang w:val="en-GB"/>
        </w:rPr>
        <w:t xml:space="preserve"> the development of human resources </w:t>
      </w:r>
      <w:r w:rsidR="00B255BE" w:rsidRPr="0087422E">
        <w:rPr>
          <w:lang w:val="en-GB"/>
        </w:rPr>
        <w:t xml:space="preserve">in 2007–2015. At the end of 2015, </w:t>
      </w:r>
      <w:r w:rsidR="00B255BE" w:rsidRPr="0087422E">
        <w:rPr>
          <w:b/>
          <w:color w:val="336699"/>
          <w:lang w:val="en-GB"/>
        </w:rPr>
        <w:t>2</w:t>
      </w:r>
      <w:r w:rsidR="00367FE7" w:rsidRPr="0087422E">
        <w:rPr>
          <w:b/>
          <w:color w:val="336699"/>
          <w:lang w:val="en-GB"/>
        </w:rPr>
        <w:t>,</w:t>
      </w:r>
      <w:r w:rsidR="00B255BE" w:rsidRPr="0087422E">
        <w:rPr>
          <w:b/>
          <w:color w:val="336699"/>
          <w:lang w:val="en-GB"/>
        </w:rPr>
        <w:t>218</w:t>
      </w:r>
      <w:r w:rsidR="00367FE7" w:rsidRPr="0087422E">
        <w:rPr>
          <w:b/>
          <w:color w:val="336699"/>
          <w:lang w:val="en-GB"/>
        </w:rPr>
        <w:t> </w:t>
      </w:r>
      <w:r w:rsidR="00B255BE" w:rsidRPr="0087422E">
        <w:rPr>
          <w:b/>
          <w:color w:val="336699"/>
          <w:lang w:val="en-GB"/>
        </w:rPr>
        <w:t>projects</w:t>
      </w:r>
      <w:r w:rsidR="00B255BE" w:rsidRPr="0087422E">
        <w:rPr>
          <w:lang w:val="en-GB"/>
        </w:rPr>
        <w:t xml:space="preserve"> were implemented. The largest part of financial resources was allocated to </w:t>
      </w:r>
      <w:r w:rsidR="00367FE7" w:rsidRPr="0087422E">
        <w:rPr>
          <w:lang w:val="en-GB"/>
        </w:rPr>
        <w:t xml:space="preserve">the </w:t>
      </w:r>
      <w:r w:rsidR="00B255BE" w:rsidRPr="0087422E">
        <w:rPr>
          <w:lang w:val="en-GB"/>
        </w:rPr>
        <w:t xml:space="preserve">promotion of employment and social inclusion (47%) and to </w:t>
      </w:r>
      <w:r w:rsidR="00367FE7" w:rsidRPr="0087422E">
        <w:rPr>
          <w:lang w:val="en-GB"/>
        </w:rPr>
        <w:t xml:space="preserve">the promotion </w:t>
      </w:r>
      <w:r w:rsidR="00B255BE" w:rsidRPr="0087422E">
        <w:rPr>
          <w:lang w:val="en-GB"/>
        </w:rPr>
        <w:t>of lifelong learning (23%</w:t>
      </w:r>
      <w:r w:rsidR="00E83B68" w:rsidRPr="0087422E">
        <w:rPr>
          <w:lang w:val="en-GB"/>
        </w:rPr>
        <w:t>).</w:t>
      </w:r>
    </w:p>
    <w:p w:rsidR="007C3F20" w:rsidRPr="0087422E" w:rsidRDefault="007C3F20" w:rsidP="00857C57">
      <w:pPr>
        <w:spacing w:after="0" w:line="240" w:lineRule="auto"/>
        <w:jc w:val="both"/>
        <w:rPr>
          <w:lang w:val="en-GB"/>
        </w:rPr>
      </w:pPr>
    </w:p>
    <w:p w:rsidR="0074589C" w:rsidRPr="0087422E" w:rsidRDefault="00367FE7" w:rsidP="0074589C">
      <w:pPr>
        <w:pStyle w:val="Caption"/>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74589C"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1</w:t>
      </w:r>
      <w:r w:rsidR="00CF4339" w:rsidRPr="0087422E">
        <w:rPr>
          <w:rFonts w:ascii="Cambria" w:hAnsi="Cambria"/>
          <w:color w:val="1F4E79" w:themeColor="accent1" w:themeShade="80"/>
          <w:sz w:val="20"/>
          <w:szCs w:val="20"/>
          <w:lang w:val="en-GB"/>
        </w:rPr>
        <w:fldChar w:fldCharType="end"/>
      </w:r>
      <w:r w:rsidR="00E83B68" w:rsidRPr="0087422E">
        <w:rPr>
          <w:rFonts w:ascii="Cambria" w:hAnsi="Cambria"/>
          <w:color w:val="1F4E79" w:themeColor="accent1" w:themeShade="80"/>
          <w:sz w:val="20"/>
          <w:szCs w:val="20"/>
          <w:lang w:val="en-GB"/>
        </w:rPr>
        <w:t>.</w:t>
      </w:r>
      <w:proofErr w:type="gramEnd"/>
      <w:r w:rsidR="00E83B68" w:rsidRPr="0087422E">
        <w:rPr>
          <w:rFonts w:ascii="Cambria" w:hAnsi="Cambria"/>
          <w:color w:val="1F4E79" w:themeColor="accent1" w:themeShade="80"/>
          <w:sz w:val="20"/>
          <w:szCs w:val="20"/>
          <w:lang w:val="en-GB"/>
        </w:rPr>
        <w:t xml:space="preserve"> Dist</w:t>
      </w:r>
      <w:r w:rsidR="00726FC1" w:rsidRPr="0087422E">
        <w:rPr>
          <w:rFonts w:ascii="Cambria" w:hAnsi="Cambria"/>
          <w:color w:val="1F4E79" w:themeColor="accent1" w:themeShade="80"/>
          <w:sz w:val="20"/>
          <w:szCs w:val="20"/>
          <w:lang w:val="en-GB"/>
        </w:rPr>
        <w:t>ribution of financial resources for human development</w:t>
      </w:r>
    </w:p>
    <w:p w:rsidR="00EA3123" w:rsidRPr="0087422E" w:rsidRDefault="00EF7FCF" w:rsidP="00857C57">
      <w:pPr>
        <w:spacing w:after="0" w:line="240" w:lineRule="auto"/>
        <w:jc w:val="both"/>
        <w:rPr>
          <w:lang w:val="en-GB"/>
        </w:rPr>
      </w:pPr>
      <w:r w:rsidRPr="0087422E">
        <w:rPr>
          <w:noProof/>
          <w:lang w:eastAsia="lt-LT"/>
        </w:rPr>
        <w:drawing>
          <wp:inline distT="0" distB="0" distL="0" distR="0" wp14:anchorId="5FF3E1A6" wp14:editId="2A247725">
            <wp:extent cx="5638800" cy="2200275"/>
            <wp:effectExtent l="0" t="0" r="190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80443" w:rsidRPr="0087422E" w:rsidRDefault="00F80443" w:rsidP="00857C57">
      <w:pPr>
        <w:spacing w:after="0" w:line="240" w:lineRule="auto"/>
        <w:jc w:val="both"/>
        <w:rPr>
          <w:lang w:val="en-GB"/>
        </w:rPr>
      </w:pPr>
    </w:p>
    <w:p w:rsidR="0040306E" w:rsidRPr="0087422E" w:rsidRDefault="0040306E" w:rsidP="00857C57">
      <w:pPr>
        <w:spacing w:after="0" w:line="240" w:lineRule="auto"/>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10421"/>
      </w:tblGrid>
      <w:tr w:rsidR="0040306E" w:rsidRPr="0087422E" w:rsidTr="003F252F">
        <w:tc>
          <w:tcPr>
            <w:tcW w:w="10421" w:type="dxa"/>
            <w:shd w:val="clear" w:color="auto" w:fill="DEEAF6" w:themeFill="accent1" w:themeFillTint="33"/>
          </w:tcPr>
          <w:p w:rsidR="0040306E" w:rsidRPr="0087422E" w:rsidRDefault="00726FC1" w:rsidP="00054B28">
            <w:pPr>
              <w:jc w:val="center"/>
              <w:rPr>
                <w:b/>
                <w:color w:val="2E74B5" w:themeColor="accent1" w:themeShade="BF"/>
                <w:lang w:val="en-GB"/>
              </w:rPr>
            </w:pPr>
            <w:r w:rsidRPr="0087422E">
              <w:rPr>
                <w:b/>
                <w:color w:val="2E74B5" w:themeColor="accent1" w:themeShade="BF"/>
                <w:lang w:val="en-GB"/>
              </w:rPr>
              <w:t xml:space="preserve">EU INVESTMENTS CONTRIBUTED TO </w:t>
            </w:r>
            <w:r w:rsidR="00367FE7" w:rsidRPr="0087422E">
              <w:rPr>
                <w:b/>
                <w:color w:val="2E74B5" w:themeColor="accent1" w:themeShade="BF"/>
                <w:lang w:val="en-GB"/>
              </w:rPr>
              <w:t xml:space="preserve">THE PROMOTION OF </w:t>
            </w:r>
            <w:r w:rsidRPr="0087422E">
              <w:rPr>
                <w:b/>
                <w:color w:val="2E74B5" w:themeColor="accent1" w:themeShade="BF"/>
                <w:lang w:val="en-GB"/>
              </w:rPr>
              <w:t>EMPLOYMENT AND REDUC</w:t>
            </w:r>
            <w:r w:rsidR="00367FE7" w:rsidRPr="0087422E">
              <w:rPr>
                <w:b/>
                <w:color w:val="2E74B5" w:themeColor="accent1" w:themeShade="BF"/>
                <w:lang w:val="en-GB"/>
              </w:rPr>
              <w:t>TION</w:t>
            </w:r>
            <w:r w:rsidRPr="0087422E">
              <w:rPr>
                <w:b/>
                <w:color w:val="2E74B5" w:themeColor="accent1" w:themeShade="BF"/>
                <w:lang w:val="en-GB"/>
              </w:rPr>
              <w:t xml:space="preserve"> OF SOCIAL EXCLUSION</w:t>
            </w:r>
          </w:p>
        </w:tc>
      </w:tr>
    </w:tbl>
    <w:p w:rsidR="0040306E" w:rsidRPr="0087422E" w:rsidRDefault="0040306E" w:rsidP="0040306E">
      <w:pPr>
        <w:spacing w:after="0" w:line="240" w:lineRule="auto"/>
        <w:jc w:val="both"/>
        <w:rPr>
          <w:lang w:val="en-GB"/>
        </w:rPr>
      </w:pPr>
    </w:p>
    <w:p w:rsidR="00726FC1" w:rsidRPr="0087422E" w:rsidRDefault="00726FC1" w:rsidP="0040306E">
      <w:pPr>
        <w:spacing w:after="0" w:line="240" w:lineRule="auto"/>
        <w:jc w:val="both"/>
        <w:rPr>
          <w:lang w:val="en-GB"/>
        </w:rPr>
      </w:pPr>
      <w:r w:rsidRPr="0087422E">
        <w:rPr>
          <w:lang w:val="en-GB"/>
        </w:rPr>
        <w:t>The first investment axis was aimed at promoting high-quality employment and reducing social exclusion. Under this axis</w:t>
      </w:r>
      <w:r w:rsidR="00054B28" w:rsidRPr="0087422E">
        <w:rPr>
          <w:lang w:val="en-GB"/>
        </w:rPr>
        <w:t>,</w:t>
      </w:r>
      <w:r w:rsidR="00367FE7" w:rsidRPr="0087422E">
        <w:rPr>
          <w:lang w:val="en-GB"/>
        </w:rPr>
        <w:t xml:space="preserve"> financing was provided to the</w:t>
      </w:r>
      <w:r w:rsidRPr="0087422E">
        <w:rPr>
          <w:lang w:val="en-GB"/>
        </w:rPr>
        <w:t xml:space="preserve"> </w:t>
      </w:r>
      <w:r w:rsidRPr="0087422E">
        <w:rPr>
          <w:b/>
          <w:color w:val="336699"/>
          <w:lang w:val="en-GB"/>
        </w:rPr>
        <w:t>adaptation of workers to the labour market needs</w:t>
      </w:r>
      <w:r w:rsidRPr="0087422E">
        <w:rPr>
          <w:lang w:val="en-GB"/>
        </w:rPr>
        <w:t xml:space="preserve"> (</w:t>
      </w:r>
      <w:r w:rsidR="00054B28" w:rsidRPr="0087422E">
        <w:rPr>
          <w:lang w:val="en-GB"/>
        </w:rPr>
        <w:t xml:space="preserve">training of </w:t>
      </w:r>
      <w:r w:rsidRPr="0087422E">
        <w:rPr>
          <w:lang w:val="en-GB"/>
        </w:rPr>
        <w:t>employees and managers, social dialogue and corporate social responsibility initiatives, actions for combining family and work responsibilities</w:t>
      </w:r>
      <w:r w:rsidR="00367FE7" w:rsidRPr="0087422E">
        <w:rPr>
          <w:lang w:val="en-GB"/>
        </w:rPr>
        <w:t>,</w:t>
      </w:r>
      <w:r w:rsidRPr="0087422E">
        <w:rPr>
          <w:lang w:val="en-GB"/>
        </w:rPr>
        <w:t xml:space="preserve"> etc.),</w:t>
      </w:r>
      <w:r w:rsidR="00367FE7" w:rsidRPr="0087422E">
        <w:rPr>
          <w:lang w:val="en-GB"/>
        </w:rPr>
        <w:t xml:space="preserve"> the</w:t>
      </w:r>
      <w:r w:rsidRPr="0087422E">
        <w:rPr>
          <w:lang w:val="en-GB"/>
        </w:rPr>
        <w:t xml:space="preserve"> </w:t>
      </w:r>
      <w:r w:rsidR="00011BBB" w:rsidRPr="0087422E">
        <w:rPr>
          <w:b/>
          <w:color w:val="336699"/>
          <w:lang w:val="en-GB"/>
        </w:rPr>
        <w:t>promotion of e</w:t>
      </w:r>
      <w:r w:rsidRPr="0087422E">
        <w:rPr>
          <w:b/>
          <w:color w:val="336699"/>
          <w:lang w:val="en-GB"/>
        </w:rPr>
        <w:t>mployment and participation in the labo</w:t>
      </w:r>
      <w:r w:rsidR="00011BBB" w:rsidRPr="0087422E">
        <w:rPr>
          <w:b/>
          <w:color w:val="336699"/>
          <w:lang w:val="en-GB"/>
        </w:rPr>
        <w:t>u</w:t>
      </w:r>
      <w:r w:rsidRPr="0087422E">
        <w:rPr>
          <w:b/>
          <w:color w:val="336699"/>
          <w:lang w:val="en-GB"/>
        </w:rPr>
        <w:t>r market</w:t>
      </w:r>
      <w:r w:rsidRPr="0087422E">
        <w:rPr>
          <w:color w:val="336699"/>
          <w:lang w:val="en-GB"/>
        </w:rPr>
        <w:t xml:space="preserve"> </w:t>
      </w:r>
      <w:r w:rsidRPr="0087422E">
        <w:rPr>
          <w:lang w:val="en-GB"/>
        </w:rPr>
        <w:t>(active labo</w:t>
      </w:r>
      <w:r w:rsidR="001F228D" w:rsidRPr="0087422E">
        <w:rPr>
          <w:lang w:val="en-GB"/>
        </w:rPr>
        <w:t>ur market policy measures</w:t>
      </w:r>
      <w:r w:rsidRPr="0087422E">
        <w:rPr>
          <w:lang w:val="en-GB"/>
        </w:rPr>
        <w:t xml:space="preserve">, </w:t>
      </w:r>
      <w:r w:rsidR="001F228D" w:rsidRPr="0087422E">
        <w:rPr>
          <w:lang w:val="en-GB"/>
        </w:rPr>
        <w:t xml:space="preserve">development of </w:t>
      </w:r>
      <w:r w:rsidR="00367FE7" w:rsidRPr="0087422E">
        <w:rPr>
          <w:lang w:val="en-GB"/>
        </w:rPr>
        <w:t xml:space="preserve">a </w:t>
      </w:r>
      <w:r w:rsidRPr="0087422E">
        <w:rPr>
          <w:lang w:val="en-GB"/>
        </w:rPr>
        <w:t>vocational rehabilitation system</w:t>
      </w:r>
      <w:r w:rsidR="001F228D" w:rsidRPr="0087422E">
        <w:rPr>
          <w:lang w:val="en-GB"/>
        </w:rPr>
        <w:t xml:space="preserve"> for disabled people</w:t>
      </w:r>
      <w:r w:rsidRPr="0087422E">
        <w:rPr>
          <w:lang w:val="en-GB"/>
        </w:rPr>
        <w:t xml:space="preserve">, </w:t>
      </w:r>
      <w:r w:rsidR="001F228D" w:rsidRPr="0087422E">
        <w:rPr>
          <w:lang w:val="en-GB"/>
        </w:rPr>
        <w:t xml:space="preserve">youth first job </w:t>
      </w:r>
      <w:r w:rsidR="00C1279E" w:rsidRPr="0087422E">
        <w:rPr>
          <w:lang w:val="en-GB"/>
        </w:rPr>
        <w:t>support initiative, promotion of youth employment and their motivation</w:t>
      </w:r>
      <w:r w:rsidRPr="0087422E">
        <w:rPr>
          <w:lang w:val="en-GB"/>
        </w:rPr>
        <w:t>), and</w:t>
      </w:r>
      <w:r w:rsidR="00367FE7" w:rsidRPr="0087422E">
        <w:rPr>
          <w:lang w:val="en-GB"/>
        </w:rPr>
        <w:t xml:space="preserve"> the</w:t>
      </w:r>
      <w:r w:rsidRPr="0087422E">
        <w:rPr>
          <w:lang w:val="en-GB"/>
        </w:rPr>
        <w:t xml:space="preserve"> </w:t>
      </w:r>
      <w:r w:rsidRPr="0087422E">
        <w:rPr>
          <w:b/>
          <w:color w:val="336699"/>
          <w:lang w:val="en-GB"/>
        </w:rPr>
        <w:t xml:space="preserve">strengthening </w:t>
      </w:r>
      <w:r w:rsidR="00C1279E" w:rsidRPr="0087422E">
        <w:rPr>
          <w:b/>
          <w:color w:val="336699"/>
          <w:lang w:val="en-GB"/>
        </w:rPr>
        <w:t>of social inclusion</w:t>
      </w:r>
      <w:r w:rsidR="00C1279E" w:rsidRPr="0087422E">
        <w:rPr>
          <w:color w:val="336699"/>
          <w:lang w:val="en-GB"/>
        </w:rPr>
        <w:t xml:space="preserve"> </w:t>
      </w:r>
      <w:r w:rsidR="00236486" w:rsidRPr="0087422E">
        <w:rPr>
          <w:lang w:val="en-GB"/>
        </w:rPr>
        <w:t>(</w:t>
      </w:r>
      <w:r w:rsidRPr="0087422E">
        <w:rPr>
          <w:lang w:val="en-GB"/>
        </w:rPr>
        <w:t>prevention of social problems, reduction</w:t>
      </w:r>
      <w:r w:rsidR="00236486" w:rsidRPr="0087422E">
        <w:rPr>
          <w:lang w:val="en-GB"/>
        </w:rPr>
        <w:t xml:space="preserve"> of discrimination</w:t>
      </w:r>
      <w:r w:rsidRPr="0087422E">
        <w:rPr>
          <w:lang w:val="en-GB"/>
        </w:rPr>
        <w:t xml:space="preserve">, </w:t>
      </w:r>
      <w:r w:rsidR="00236486" w:rsidRPr="0087422E">
        <w:rPr>
          <w:lang w:val="en-GB"/>
        </w:rPr>
        <w:t xml:space="preserve">integration of persons living in social </w:t>
      </w:r>
      <w:r w:rsidRPr="0087422E">
        <w:rPr>
          <w:lang w:val="en-GB"/>
        </w:rPr>
        <w:t xml:space="preserve">risk and social exclusion </w:t>
      </w:r>
      <w:r w:rsidR="00C1279E" w:rsidRPr="0087422E">
        <w:rPr>
          <w:lang w:val="en-GB"/>
        </w:rPr>
        <w:t>into the labo</w:t>
      </w:r>
      <w:r w:rsidR="0087422E">
        <w:rPr>
          <w:lang w:val="en-GB"/>
        </w:rPr>
        <w:t>u</w:t>
      </w:r>
      <w:r w:rsidR="00C1279E" w:rsidRPr="0087422E">
        <w:rPr>
          <w:lang w:val="en-GB"/>
        </w:rPr>
        <w:t>r market).</w:t>
      </w:r>
    </w:p>
    <w:p w:rsidR="00726FC1" w:rsidRPr="0087422E" w:rsidRDefault="00726FC1" w:rsidP="0040306E">
      <w:pPr>
        <w:spacing w:after="0" w:line="240" w:lineRule="auto"/>
        <w:jc w:val="both"/>
        <w:rPr>
          <w:lang w:val="en-GB"/>
        </w:rPr>
      </w:pPr>
    </w:p>
    <w:p w:rsidR="000E4133" w:rsidRPr="0087422E" w:rsidRDefault="00C1279E" w:rsidP="00857C57">
      <w:pPr>
        <w:spacing w:after="0" w:line="240" w:lineRule="auto"/>
        <w:jc w:val="both"/>
        <w:rPr>
          <w:b/>
          <w:color w:val="1F4E79" w:themeColor="accent1" w:themeShade="80"/>
          <w:lang w:val="en-GB"/>
        </w:rPr>
      </w:pPr>
      <w:r w:rsidRPr="0087422E">
        <w:rPr>
          <w:b/>
          <w:color w:val="1F4E79" w:themeColor="accent1" w:themeShade="80"/>
          <w:lang w:val="en-GB"/>
        </w:rPr>
        <w:t>RESULTS</w:t>
      </w:r>
      <w:r w:rsidR="002D1E62" w:rsidRPr="0087422E">
        <w:rPr>
          <w:b/>
          <w:color w:val="1F4E79" w:themeColor="accent1" w:themeShade="80"/>
          <w:lang w:val="en-GB"/>
        </w:rPr>
        <w:t xml:space="preserve"> OF </w:t>
      </w:r>
      <w:r w:rsidR="00AF2E9A">
        <w:rPr>
          <w:b/>
          <w:color w:val="1F4E79" w:themeColor="accent1" w:themeShade="80"/>
          <w:lang w:val="en-GB"/>
        </w:rPr>
        <w:t xml:space="preserve">THE </w:t>
      </w:r>
      <w:r w:rsidR="002D1E62" w:rsidRPr="0087422E">
        <w:rPr>
          <w:b/>
          <w:color w:val="1F4E79" w:themeColor="accent1" w:themeShade="80"/>
          <w:lang w:val="en-GB"/>
        </w:rPr>
        <w:t>INVESTMENTS</w:t>
      </w:r>
    </w:p>
    <w:p w:rsidR="000E4133" w:rsidRPr="0087422E" w:rsidRDefault="000E4133" w:rsidP="00A32709">
      <w:pPr>
        <w:spacing w:after="0" w:line="240" w:lineRule="auto"/>
        <w:jc w:val="both"/>
        <w:rPr>
          <w:lang w:val="en-GB"/>
        </w:rPr>
      </w:pPr>
    </w:p>
    <w:p w:rsidR="00A32709" w:rsidRPr="0087422E" w:rsidRDefault="00A32709" w:rsidP="00A32709">
      <w:pPr>
        <w:spacing w:after="0" w:line="240" w:lineRule="auto"/>
        <w:jc w:val="both"/>
        <w:rPr>
          <w:color w:val="000000" w:themeColor="text1"/>
          <w:lang w:val="en-GB"/>
        </w:rPr>
      </w:pPr>
      <w:r w:rsidRPr="0087422E">
        <w:rPr>
          <w:color w:val="000000" w:themeColor="text1"/>
          <w:lang w:val="en-GB"/>
        </w:rPr>
        <w:t xml:space="preserve">While implementing </w:t>
      </w:r>
      <w:r w:rsidRPr="0087422E">
        <w:rPr>
          <w:b/>
          <w:color w:val="336699"/>
          <w:lang w:val="en-GB"/>
        </w:rPr>
        <w:t xml:space="preserve">measures </w:t>
      </w:r>
      <w:r w:rsidR="00367FE7" w:rsidRPr="0087422E">
        <w:rPr>
          <w:b/>
          <w:color w:val="336699"/>
          <w:lang w:val="en-GB"/>
        </w:rPr>
        <w:t>focused on the</w:t>
      </w:r>
      <w:r w:rsidRPr="0087422E">
        <w:rPr>
          <w:b/>
          <w:color w:val="336699"/>
          <w:lang w:val="en-GB"/>
        </w:rPr>
        <w:t xml:space="preserve"> adaptation to labour market needs</w:t>
      </w:r>
      <w:r w:rsidRPr="0087422E">
        <w:rPr>
          <w:color w:val="000000" w:themeColor="text1"/>
          <w:lang w:val="en-GB"/>
        </w:rPr>
        <w:t xml:space="preserve">, training was one of the main activities to </w:t>
      </w:r>
      <w:r w:rsidR="00054B28" w:rsidRPr="0087422E">
        <w:rPr>
          <w:color w:val="000000" w:themeColor="text1"/>
          <w:lang w:val="en-GB"/>
        </w:rPr>
        <w:t xml:space="preserve">receive </w:t>
      </w:r>
      <w:r w:rsidRPr="0087422E">
        <w:rPr>
          <w:color w:val="000000" w:themeColor="text1"/>
          <w:lang w:val="en-GB"/>
        </w:rPr>
        <w:t>financ</w:t>
      </w:r>
      <w:r w:rsidR="00054B28" w:rsidRPr="0087422E">
        <w:rPr>
          <w:color w:val="000000" w:themeColor="text1"/>
          <w:lang w:val="en-GB"/>
        </w:rPr>
        <w:t>ing</w:t>
      </w:r>
      <w:r w:rsidRPr="0087422E">
        <w:rPr>
          <w:color w:val="000000" w:themeColor="text1"/>
          <w:lang w:val="en-GB"/>
        </w:rPr>
        <w:t>. In 2007–2015, the num</w:t>
      </w:r>
      <w:r w:rsidR="00584914" w:rsidRPr="0087422E">
        <w:rPr>
          <w:color w:val="000000" w:themeColor="text1"/>
          <w:lang w:val="en-GB"/>
        </w:rPr>
        <w:t>ber of participants in training</w:t>
      </w:r>
      <w:r w:rsidRPr="0087422E">
        <w:rPr>
          <w:color w:val="000000" w:themeColor="text1"/>
          <w:lang w:val="en-GB"/>
        </w:rPr>
        <w:t xml:space="preserve"> reached more </w:t>
      </w:r>
      <w:r w:rsidR="00DE06B8" w:rsidRPr="0087422E">
        <w:rPr>
          <w:color w:val="000000" w:themeColor="text1"/>
          <w:lang w:val="en-GB"/>
        </w:rPr>
        <w:t>than 235</w:t>
      </w:r>
      <w:r w:rsidR="00367FE7" w:rsidRPr="0087422E">
        <w:rPr>
          <w:color w:val="000000" w:themeColor="text1"/>
          <w:lang w:val="en-GB"/>
        </w:rPr>
        <w:t>,000 </w:t>
      </w:r>
      <w:r w:rsidRPr="0087422E">
        <w:rPr>
          <w:color w:val="000000" w:themeColor="text1"/>
          <w:lang w:val="en-GB"/>
        </w:rPr>
        <w:t xml:space="preserve">persons. 90% of </w:t>
      </w:r>
      <w:r w:rsidR="00367FE7" w:rsidRPr="0087422E">
        <w:rPr>
          <w:color w:val="000000" w:themeColor="text1"/>
          <w:lang w:val="en-GB"/>
        </w:rPr>
        <w:t xml:space="preserve">the </w:t>
      </w:r>
      <w:r w:rsidRPr="0087422E">
        <w:rPr>
          <w:color w:val="000000" w:themeColor="text1"/>
          <w:lang w:val="en-GB"/>
        </w:rPr>
        <w:t>participants applied new</w:t>
      </w:r>
      <w:r w:rsidR="00584914" w:rsidRPr="0087422E">
        <w:rPr>
          <w:color w:val="000000" w:themeColor="text1"/>
          <w:lang w:val="en-GB"/>
        </w:rPr>
        <w:t>ly gained</w:t>
      </w:r>
      <w:r w:rsidRPr="0087422E">
        <w:rPr>
          <w:color w:val="000000" w:themeColor="text1"/>
          <w:lang w:val="en-GB"/>
        </w:rPr>
        <w:t xml:space="preserve"> knowledge in the</w:t>
      </w:r>
      <w:r w:rsidR="00584914" w:rsidRPr="0087422E">
        <w:rPr>
          <w:color w:val="000000" w:themeColor="text1"/>
          <w:lang w:val="en-GB"/>
        </w:rPr>
        <w:t>ir</w:t>
      </w:r>
      <w:r w:rsidRPr="0087422E">
        <w:rPr>
          <w:color w:val="000000" w:themeColor="text1"/>
          <w:lang w:val="en-GB"/>
        </w:rPr>
        <w:t xml:space="preserve"> </w:t>
      </w:r>
      <w:r w:rsidR="00054B28" w:rsidRPr="0087422E">
        <w:rPr>
          <w:color w:val="000000" w:themeColor="text1"/>
          <w:lang w:val="en-GB"/>
        </w:rPr>
        <w:t>jobs</w:t>
      </w:r>
      <w:r w:rsidRPr="0087422E">
        <w:rPr>
          <w:color w:val="000000" w:themeColor="text1"/>
          <w:lang w:val="en-GB"/>
        </w:rPr>
        <w:t xml:space="preserve">. It was identified that 68% of the companies which participated in the </w:t>
      </w:r>
      <w:r w:rsidR="00367FE7" w:rsidRPr="0087422E">
        <w:rPr>
          <w:color w:val="000000" w:themeColor="text1"/>
          <w:lang w:val="en-GB"/>
        </w:rPr>
        <w:t xml:space="preserve">EU-funded </w:t>
      </w:r>
      <w:r w:rsidRPr="0087422E">
        <w:rPr>
          <w:color w:val="000000" w:themeColor="text1"/>
          <w:lang w:val="en-GB"/>
        </w:rPr>
        <w:t>training organi</w:t>
      </w:r>
      <w:r w:rsidR="00367FE7" w:rsidRPr="0087422E">
        <w:rPr>
          <w:color w:val="000000" w:themeColor="text1"/>
          <w:lang w:val="en-GB"/>
        </w:rPr>
        <w:t>s</w:t>
      </w:r>
      <w:r w:rsidRPr="0087422E">
        <w:rPr>
          <w:color w:val="000000" w:themeColor="text1"/>
          <w:lang w:val="en-GB"/>
        </w:rPr>
        <w:t>ed continuous training for their employees</w:t>
      </w:r>
      <w:r w:rsidR="00367FE7" w:rsidRPr="0087422E">
        <w:rPr>
          <w:color w:val="000000" w:themeColor="text1"/>
          <w:lang w:val="en-GB"/>
        </w:rPr>
        <w:t xml:space="preserve"> even after the end of the projects</w:t>
      </w:r>
      <w:r w:rsidRPr="0087422E">
        <w:rPr>
          <w:color w:val="000000" w:themeColor="text1"/>
          <w:lang w:val="en-GB"/>
        </w:rPr>
        <w:t xml:space="preserve">. EU support helped to maintain a relatively </w:t>
      </w:r>
      <w:r w:rsidRPr="0087422E">
        <w:rPr>
          <w:color w:val="000000" w:themeColor="text1"/>
          <w:lang w:val="en-GB"/>
        </w:rPr>
        <w:lastRenderedPageBreak/>
        <w:t>high level of training organi</w:t>
      </w:r>
      <w:r w:rsidR="00367FE7" w:rsidRPr="0087422E">
        <w:rPr>
          <w:color w:val="000000" w:themeColor="text1"/>
          <w:lang w:val="en-GB"/>
        </w:rPr>
        <w:t>s</w:t>
      </w:r>
      <w:r w:rsidRPr="0087422E">
        <w:rPr>
          <w:color w:val="000000" w:themeColor="text1"/>
          <w:lang w:val="en-GB"/>
        </w:rPr>
        <w:t>ation in companies during the economic crisis, when financial capacity to organi</w:t>
      </w:r>
      <w:r w:rsidR="00367FE7" w:rsidRPr="0087422E">
        <w:rPr>
          <w:color w:val="000000" w:themeColor="text1"/>
          <w:lang w:val="en-GB"/>
        </w:rPr>
        <w:t>s</w:t>
      </w:r>
      <w:r w:rsidRPr="0087422E">
        <w:rPr>
          <w:color w:val="000000" w:themeColor="text1"/>
          <w:lang w:val="en-GB"/>
        </w:rPr>
        <w:t xml:space="preserve">e training for employees </w:t>
      </w:r>
      <w:r w:rsidR="00367FE7" w:rsidRPr="0087422E">
        <w:rPr>
          <w:color w:val="000000" w:themeColor="text1"/>
          <w:lang w:val="en-GB"/>
        </w:rPr>
        <w:t>was</w:t>
      </w:r>
      <w:r w:rsidRPr="0087422E">
        <w:rPr>
          <w:color w:val="000000" w:themeColor="text1"/>
          <w:lang w:val="en-GB"/>
        </w:rPr>
        <w:t xml:space="preserve"> reduced.</w:t>
      </w:r>
    </w:p>
    <w:p w:rsidR="00A32709" w:rsidRPr="0087422E" w:rsidRDefault="00A32709" w:rsidP="00A32709">
      <w:pPr>
        <w:spacing w:after="0" w:line="240" w:lineRule="auto"/>
        <w:jc w:val="both"/>
        <w:rPr>
          <w:color w:val="000000" w:themeColor="text1"/>
          <w:lang w:val="en-GB"/>
        </w:rPr>
      </w:pPr>
    </w:p>
    <w:p w:rsidR="00A32709" w:rsidRPr="0087422E" w:rsidRDefault="006D5CCB" w:rsidP="00A32709">
      <w:pPr>
        <w:spacing w:after="0" w:line="240" w:lineRule="auto"/>
        <w:jc w:val="both"/>
        <w:rPr>
          <w:lang w:val="en-GB"/>
        </w:rPr>
      </w:pPr>
      <w:r>
        <w:rPr>
          <w:lang w:val="en-GB" w:eastAsia="lt-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5.05pt;margin-top:113.45pt;width:312.75pt;height:326.25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" adj="1739" fillcolor="#943634" strokecolor="#5b9bd5 [3204]" strokeweight="3pt">
            <v:shadow color="#5d7035" offset="1pt,1pt"/>
            <v:textbox style="mso-next-textbox:#AutoShape 2" inset="3.6pt,,3.6pt">
              <w:txbxContent>
                <w:p w:rsidR="006D5CCB" w:rsidRPr="00726FC1" w:rsidRDefault="006D5CCB" w:rsidP="003F252F">
                  <w:pPr>
                    <w:pBdr>
                      <w:bottom w:val="single" w:sz="4" w:space="1" w:color="auto"/>
                    </w:pBdr>
                    <w:spacing w:after="0"/>
                    <w:jc w:val="both"/>
                    <w:rPr>
                      <w:b/>
                      <w:i/>
                      <w:iCs/>
                      <w:sz w:val="18"/>
                      <w:szCs w:val="18"/>
                      <w:lang w:val="en-GB"/>
                    </w:rPr>
                  </w:pPr>
                  <w:r w:rsidRPr="00726FC1">
                    <w:rPr>
                      <w:b/>
                      <w:i/>
                      <w:iCs/>
                      <w:sz w:val="18"/>
                      <w:szCs w:val="18"/>
                      <w:lang w:val="en-GB"/>
                    </w:rPr>
                    <w:t>Implementation of innovat</w:t>
                  </w:r>
                  <w:r>
                    <w:rPr>
                      <w:b/>
                      <w:i/>
                      <w:iCs/>
                      <w:sz w:val="18"/>
                      <w:szCs w:val="18"/>
                      <w:lang w:val="en-GB"/>
                    </w:rPr>
                    <w:t>ive actions to combine family and work commitments</w:t>
                  </w:r>
                </w:p>
                <w:p w:rsidR="006D5CCB" w:rsidRPr="00726FC1" w:rsidRDefault="006D5CCB" w:rsidP="00271A42">
                  <w:pPr>
                    <w:spacing w:after="0"/>
                    <w:jc w:val="both"/>
                    <w:rPr>
                      <w:iCs/>
                      <w:sz w:val="18"/>
                      <w:szCs w:val="18"/>
                      <w:lang w:val="en-GB"/>
                    </w:rPr>
                  </w:pPr>
                </w:p>
                <w:p w:rsidR="006D5CCB" w:rsidRDefault="006D5CCB" w:rsidP="00056EE3">
                  <w:pPr>
                    <w:spacing w:after="0"/>
                    <w:jc w:val="both"/>
                    <w:rPr>
                      <w:iCs/>
                      <w:sz w:val="18"/>
                      <w:szCs w:val="18"/>
                      <w:lang w:val="en-GB"/>
                    </w:rPr>
                  </w:pPr>
                  <w:r>
                    <w:rPr>
                      <w:iCs/>
                      <w:sz w:val="18"/>
                      <w:szCs w:val="18"/>
                      <w:lang w:val="en-GB"/>
                    </w:rPr>
                    <w:t>EU funds were used to implement innovative measure “Combining work and family responsibilities: development of integral assistance”. The aim of this measure was to create and develop a system of integral assistance (care and social services) in Lithuanian municipalities in order to create opportunities for older or disabled people to receive social services in their home. Pilot projects were implemented in 21 municipalities.</w:t>
                  </w:r>
                </w:p>
                <w:p w:rsidR="006D5CCB" w:rsidRPr="00726FC1" w:rsidRDefault="006D5CCB" w:rsidP="00056EE3">
                  <w:pPr>
                    <w:spacing w:after="0"/>
                    <w:jc w:val="both"/>
                    <w:rPr>
                      <w:iCs/>
                      <w:sz w:val="18"/>
                      <w:szCs w:val="18"/>
                      <w:lang w:val="en-GB"/>
                    </w:rPr>
                  </w:pPr>
                  <w:r>
                    <w:rPr>
                      <w:iCs/>
                      <w:sz w:val="18"/>
                      <w:szCs w:val="18"/>
                      <w:lang w:val="en-GB"/>
                    </w:rPr>
                    <w:t>While implementing pilot projects, mobile teams of professionals were recruited and trained. In addition, these teams were equipped with vehicles. Healthcare professionals were also included into the process of providing social assistance. Consultations were provided to family members who are taking care of their relatives in older age or with disabilities. Integral assistance at home was offered to more than 1,500 persons. 635 nursing professionals were employed, and 819 employees and volunteers were trained. This integral assistance model will be applied in other municipalities of the country.</w:t>
                  </w:r>
                </w:p>
                <w:p w:rsidR="006D5CCB" w:rsidRDefault="006D5CCB" w:rsidP="003C1B08">
                  <w:pPr>
                    <w:spacing w:after="0"/>
                    <w:jc w:val="center"/>
                    <w:rPr>
                      <w:iCs/>
                      <w:sz w:val="18"/>
                      <w:szCs w:val="18"/>
                    </w:rPr>
                  </w:pPr>
                  <w:r w:rsidRPr="003C1B08">
                    <w:rPr>
                      <w:iCs/>
                      <w:noProof/>
                      <w:sz w:val="18"/>
                      <w:szCs w:val="18"/>
                      <w:lang w:eastAsia="lt-LT"/>
                    </w:rPr>
                    <w:drawing>
                      <wp:inline distT="0" distB="0" distL="0" distR="0" wp14:anchorId="6E8509AA" wp14:editId="00D0A065">
                        <wp:extent cx="1257300" cy="1076325"/>
                        <wp:effectExtent l="0" t="0" r="0" b="9525"/>
                        <wp:docPr id="6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6"/>
                                <pic:cNvPicPr>
                                  <a:picLocks noChangeAspect="1"/>
                                </pic:cNvPicPr>
                              </pic:nvPicPr>
                              <pic:blipFill>
                                <a:blip r:embed="rId8">
                                  <a:extLst>
                                    <a:ext uri="{28A0092B-C50C-407E-A947-70E740481C1C}">
                                      <a14:useLocalDpi xmlns:a14="http://schemas.microsoft.com/office/drawing/2010/main" val="0"/>
                                    </a:ext>
                                  </a:extLst>
                                </a:blip>
                                <a:srcRect l="9158" t="-15" r="-2122" b="478"/>
                                <a:stretch>
                                  <a:fillRect/>
                                </a:stretch>
                              </pic:blipFill>
                              <pic:spPr bwMode="auto">
                                <a:xfrm>
                                  <a:off x="0" y="0"/>
                                  <a:ext cx="1257300" cy="1076325"/>
                                </a:xfrm>
                                <a:prstGeom prst="rect">
                                  <a:avLst/>
                                </a:prstGeom>
                                <a:noFill/>
                                <a:ln>
                                  <a:noFill/>
                                </a:ln>
                                <a:extLst/>
                              </pic:spPr>
                            </pic:pic>
                          </a:graphicData>
                        </a:graphic>
                      </wp:inline>
                    </w:drawing>
                  </w:r>
                </w:p>
              </w:txbxContent>
            </v:textbox>
            <w10:wrap type="square" anchorx="margin" anchory="margin"/>
          </v:shape>
        </w:pict>
      </w:r>
      <w:r w:rsidR="00A32709" w:rsidRPr="0087422E">
        <w:rPr>
          <w:color w:val="000000" w:themeColor="text1"/>
          <w:lang w:val="en-GB"/>
        </w:rPr>
        <w:t xml:space="preserve">EU funds were also used to provide loans </w:t>
      </w:r>
      <w:r w:rsidR="00054B28" w:rsidRPr="0087422E">
        <w:rPr>
          <w:color w:val="000000" w:themeColor="text1"/>
          <w:lang w:val="en-GB"/>
        </w:rPr>
        <w:t xml:space="preserve">to </w:t>
      </w:r>
      <w:r w:rsidR="00A32709" w:rsidRPr="0087422E">
        <w:rPr>
          <w:color w:val="000000" w:themeColor="text1"/>
          <w:lang w:val="en-GB"/>
        </w:rPr>
        <w:t>persons wanting to start their own small business. These loans were provided from</w:t>
      </w:r>
      <w:r w:rsidR="00554AE6" w:rsidRPr="0087422E">
        <w:rPr>
          <w:color w:val="000000" w:themeColor="text1"/>
          <w:lang w:val="en-GB"/>
        </w:rPr>
        <w:t xml:space="preserve"> the</w:t>
      </w:r>
      <w:r w:rsidR="00A32709" w:rsidRPr="0087422E">
        <w:rPr>
          <w:color w:val="000000" w:themeColor="text1"/>
          <w:lang w:val="en-GB"/>
        </w:rPr>
        <w:t xml:space="preserve"> Entrepreneurship </w:t>
      </w:r>
      <w:r w:rsidR="00E12077" w:rsidRPr="0087422E">
        <w:rPr>
          <w:color w:val="000000" w:themeColor="text1"/>
          <w:lang w:val="en-GB"/>
        </w:rPr>
        <w:t xml:space="preserve">Promotion </w:t>
      </w:r>
      <w:r w:rsidR="00A32709" w:rsidRPr="0087422E">
        <w:rPr>
          <w:color w:val="000000" w:themeColor="text1"/>
          <w:lang w:val="en-GB"/>
        </w:rPr>
        <w:t xml:space="preserve">Fund which was established </w:t>
      </w:r>
      <w:r w:rsidR="0087422E">
        <w:rPr>
          <w:color w:val="000000" w:themeColor="text1"/>
          <w:lang w:val="en-GB"/>
        </w:rPr>
        <w:t>by</w:t>
      </w:r>
      <w:r w:rsidR="0087422E" w:rsidRPr="0087422E">
        <w:rPr>
          <w:color w:val="000000" w:themeColor="text1"/>
          <w:lang w:val="en-GB"/>
        </w:rPr>
        <w:t xml:space="preserve"> </w:t>
      </w:r>
      <w:r w:rsidR="00A32709" w:rsidRPr="0087422E">
        <w:rPr>
          <w:color w:val="000000" w:themeColor="text1"/>
          <w:lang w:val="en-GB"/>
        </w:rPr>
        <w:t xml:space="preserve">one of </w:t>
      </w:r>
      <w:r w:rsidR="00554AE6" w:rsidRPr="0087422E">
        <w:rPr>
          <w:color w:val="000000" w:themeColor="text1"/>
          <w:lang w:val="en-GB"/>
        </w:rPr>
        <w:t xml:space="preserve">the HRDOP </w:t>
      </w:r>
      <w:r w:rsidR="00A32709" w:rsidRPr="0087422E">
        <w:rPr>
          <w:color w:val="000000" w:themeColor="text1"/>
          <w:lang w:val="en-GB"/>
        </w:rPr>
        <w:t xml:space="preserve">measures. At the end of 2015, </w:t>
      </w:r>
      <w:r w:rsidR="00554AE6" w:rsidRPr="0087422E">
        <w:rPr>
          <w:color w:val="000000" w:themeColor="text1"/>
          <w:lang w:val="en-GB"/>
        </w:rPr>
        <w:t>over</w:t>
      </w:r>
      <w:r w:rsidR="00A32709" w:rsidRPr="0087422E">
        <w:rPr>
          <w:color w:val="000000" w:themeColor="text1"/>
          <w:lang w:val="en-GB"/>
        </w:rPr>
        <w:t xml:space="preserve"> 1</w:t>
      </w:r>
      <w:r w:rsidR="00554AE6" w:rsidRPr="0087422E">
        <w:rPr>
          <w:color w:val="000000" w:themeColor="text1"/>
          <w:lang w:val="en-GB"/>
        </w:rPr>
        <w:t>,</w:t>
      </w:r>
      <w:r w:rsidR="00A32709" w:rsidRPr="0087422E">
        <w:rPr>
          <w:color w:val="000000" w:themeColor="text1"/>
          <w:lang w:val="en-GB"/>
        </w:rPr>
        <w:t>2</w:t>
      </w:r>
      <w:r w:rsidR="00554AE6" w:rsidRPr="0087422E">
        <w:rPr>
          <w:color w:val="000000" w:themeColor="text1"/>
          <w:lang w:val="en-GB"/>
        </w:rPr>
        <w:t>00 </w:t>
      </w:r>
      <w:r w:rsidR="00A32709" w:rsidRPr="0087422E">
        <w:rPr>
          <w:color w:val="000000" w:themeColor="text1"/>
          <w:lang w:val="en-GB"/>
        </w:rPr>
        <w:t xml:space="preserve">loans </w:t>
      </w:r>
      <w:r w:rsidR="00554AE6" w:rsidRPr="0087422E">
        <w:rPr>
          <w:color w:val="000000" w:themeColor="text1"/>
          <w:lang w:val="en-GB"/>
        </w:rPr>
        <w:t xml:space="preserve">were issued </w:t>
      </w:r>
      <w:r w:rsidR="00A32709" w:rsidRPr="0087422E">
        <w:rPr>
          <w:color w:val="000000" w:themeColor="text1"/>
          <w:lang w:val="en-GB"/>
        </w:rPr>
        <w:t>for</w:t>
      </w:r>
      <w:r w:rsidR="00554AE6" w:rsidRPr="0087422E">
        <w:rPr>
          <w:color w:val="000000" w:themeColor="text1"/>
          <w:lang w:val="en-GB"/>
        </w:rPr>
        <w:t xml:space="preserve"> the total amount of</w:t>
      </w:r>
      <w:r w:rsidR="00A32709" w:rsidRPr="0087422E">
        <w:rPr>
          <w:color w:val="000000" w:themeColor="text1"/>
          <w:lang w:val="en-GB"/>
        </w:rPr>
        <w:t xml:space="preserve"> EUR 19.5 million. </w:t>
      </w:r>
      <w:r w:rsidR="00584914" w:rsidRPr="0087422E">
        <w:rPr>
          <w:color w:val="000000" w:themeColor="text1"/>
          <w:lang w:val="en-GB"/>
        </w:rPr>
        <w:t>T</w:t>
      </w:r>
      <w:r w:rsidR="00A32709" w:rsidRPr="0087422E">
        <w:rPr>
          <w:color w:val="000000" w:themeColor="text1"/>
          <w:lang w:val="en-GB"/>
        </w:rPr>
        <w:t xml:space="preserve">he financing of business start-ups contributed to </w:t>
      </w:r>
      <w:r w:rsidR="00554AE6" w:rsidRPr="0087422E">
        <w:rPr>
          <w:color w:val="000000" w:themeColor="text1"/>
          <w:lang w:val="en-GB"/>
        </w:rPr>
        <w:t>job creation</w:t>
      </w:r>
      <w:r w:rsidR="00A32709" w:rsidRPr="0087422E">
        <w:rPr>
          <w:color w:val="000000" w:themeColor="text1"/>
          <w:lang w:val="en-GB"/>
        </w:rPr>
        <w:t xml:space="preserve">. </w:t>
      </w:r>
      <w:r w:rsidR="00554AE6" w:rsidRPr="0087422E">
        <w:rPr>
          <w:color w:val="000000" w:themeColor="text1"/>
          <w:lang w:val="en-GB"/>
        </w:rPr>
        <w:t>M</w:t>
      </w:r>
      <w:r w:rsidR="00E12077" w:rsidRPr="0087422E">
        <w:rPr>
          <w:color w:val="000000" w:themeColor="text1"/>
          <w:lang w:val="en-GB"/>
        </w:rPr>
        <w:t>ore than 3</w:t>
      </w:r>
      <w:r w:rsidR="00554AE6" w:rsidRPr="0087422E">
        <w:rPr>
          <w:color w:val="000000" w:themeColor="text1"/>
          <w:lang w:val="en-GB"/>
        </w:rPr>
        <w:t>,</w:t>
      </w:r>
      <w:r w:rsidR="00E12077" w:rsidRPr="0087422E">
        <w:rPr>
          <w:color w:val="000000" w:themeColor="text1"/>
          <w:lang w:val="en-GB"/>
        </w:rPr>
        <w:t>8</w:t>
      </w:r>
      <w:r w:rsidR="00554AE6" w:rsidRPr="0087422E">
        <w:rPr>
          <w:color w:val="000000" w:themeColor="text1"/>
          <w:lang w:val="en-GB"/>
        </w:rPr>
        <w:t>00</w:t>
      </w:r>
      <w:r w:rsidR="00E12077" w:rsidRPr="0087422E">
        <w:rPr>
          <w:color w:val="000000" w:themeColor="text1"/>
          <w:lang w:val="en-GB"/>
        </w:rPr>
        <w:t> </w:t>
      </w:r>
      <w:r w:rsidR="00A32709" w:rsidRPr="0087422E">
        <w:rPr>
          <w:color w:val="000000" w:themeColor="text1"/>
          <w:lang w:val="en-GB"/>
        </w:rPr>
        <w:t>new j</w:t>
      </w:r>
      <w:r w:rsidR="00584914" w:rsidRPr="0087422E">
        <w:rPr>
          <w:color w:val="000000" w:themeColor="text1"/>
          <w:lang w:val="en-GB"/>
        </w:rPr>
        <w:t>ob</w:t>
      </w:r>
      <w:r w:rsidR="00554AE6" w:rsidRPr="0087422E">
        <w:rPr>
          <w:color w:val="000000" w:themeColor="text1"/>
          <w:lang w:val="en-GB"/>
        </w:rPr>
        <w:t>s were created</w:t>
      </w:r>
      <w:r w:rsidR="00584914" w:rsidRPr="0087422E">
        <w:rPr>
          <w:color w:val="000000" w:themeColor="text1"/>
          <w:lang w:val="en-GB"/>
        </w:rPr>
        <w:t>, i.e. one loan issued</w:t>
      </w:r>
      <w:r w:rsidR="00A32709" w:rsidRPr="0087422E">
        <w:rPr>
          <w:color w:val="000000" w:themeColor="text1"/>
          <w:lang w:val="en-GB"/>
        </w:rPr>
        <w:t xml:space="preserve"> </w:t>
      </w:r>
      <w:r w:rsidR="00554AE6" w:rsidRPr="0087422E">
        <w:rPr>
          <w:color w:val="000000" w:themeColor="text1"/>
          <w:lang w:val="en-GB"/>
        </w:rPr>
        <w:t xml:space="preserve">by the </w:t>
      </w:r>
      <w:r w:rsidR="00A32709" w:rsidRPr="0087422E">
        <w:rPr>
          <w:color w:val="000000" w:themeColor="text1"/>
          <w:lang w:val="en-GB"/>
        </w:rPr>
        <w:t xml:space="preserve">Entrepreneurship </w:t>
      </w:r>
      <w:r w:rsidR="00E12077" w:rsidRPr="0087422E">
        <w:rPr>
          <w:color w:val="000000" w:themeColor="text1"/>
          <w:lang w:val="en-GB"/>
        </w:rPr>
        <w:t xml:space="preserve">Promotion </w:t>
      </w:r>
      <w:r w:rsidR="00A32709" w:rsidRPr="0087422E">
        <w:rPr>
          <w:color w:val="000000" w:themeColor="text1"/>
          <w:lang w:val="en-GB"/>
        </w:rPr>
        <w:t xml:space="preserve">Fund created </w:t>
      </w:r>
      <w:r w:rsidR="00E12077" w:rsidRPr="0087422E">
        <w:rPr>
          <w:color w:val="000000" w:themeColor="text1"/>
          <w:lang w:val="en-GB"/>
        </w:rPr>
        <w:t>on average 2.7 </w:t>
      </w:r>
      <w:r w:rsidR="00A32709" w:rsidRPr="0087422E">
        <w:rPr>
          <w:color w:val="000000" w:themeColor="text1"/>
          <w:lang w:val="en-GB"/>
        </w:rPr>
        <w:t>jobs.</w:t>
      </w:r>
    </w:p>
    <w:p w:rsidR="00A32709" w:rsidRPr="0087422E" w:rsidRDefault="00A32709" w:rsidP="00857C57">
      <w:pPr>
        <w:spacing w:after="0" w:line="240" w:lineRule="auto"/>
        <w:jc w:val="both"/>
        <w:rPr>
          <w:lang w:val="en-GB"/>
        </w:rPr>
      </w:pPr>
    </w:p>
    <w:p w:rsidR="00516FE3" w:rsidRPr="0087422E" w:rsidRDefault="00516FE3" w:rsidP="00516FE3">
      <w:pPr>
        <w:spacing w:after="0" w:line="240" w:lineRule="auto"/>
        <w:jc w:val="both"/>
        <w:rPr>
          <w:lang w:val="en-GB"/>
        </w:rPr>
      </w:pPr>
      <w:r w:rsidRPr="0087422E">
        <w:rPr>
          <w:lang w:val="en-GB"/>
        </w:rPr>
        <w:t xml:space="preserve">While implementing </w:t>
      </w:r>
      <w:r w:rsidRPr="0087422E">
        <w:rPr>
          <w:b/>
          <w:color w:val="336699"/>
          <w:lang w:val="en-GB"/>
        </w:rPr>
        <w:t>employment and labour market promotion measures</w:t>
      </w:r>
      <w:r w:rsidRPr="0087422E">
        <w:rPr>
          <w:lang w:val="en-GB"/>
        </w:rPr>
        <w:t xml:space="preserve">, the largest part of financial resources was allocated to </w:t>
      </w:r>
      <w:r w:rsidR="00554AE6" w:rsidRPr="0087422E">
        <w:rPr>
          <w:lang w:val="en-GB"/>
        </w:rPr>
        <w:t xml:space="preserve">the </w:t>
      </w:r>
      <w:r w:rsidRPr="0087422E">
        <w:rPr>
          <w:lang w:val="en-GB"/>
        </w:rPr>
        <w:t>implementation of active labour market measures (hereinafter</w:t>
      </w:r>
      <w:r w:rsidR="00554AE6" w:rsidRPr="0087422E">
        <w:rPr>
          <w:lang w:val="en-GB"/>
        </w:rPr>
        <w:t> </w:t>
      </w:r>
      <w:r w:rsidRPr="0087422E">
        <w:rPr>
          <w:lang w:val="en-GB"/>
        </w:rPr>
        <w:t xml:space="preserve">– </w:t>
      </w:r>
      <w:r w:rsidR="00554AE6" w:rsidRPr="0087422E">
        <w:rPr>
          <w:lang w:val="en-GB"/>
        </w:rPr>
        <w:t>“</w:t>
      </w:r>
      <w:r w:rsidRPr="0087422E">
        <w:rPr>
          <w:lang w:val="en-GB"/>
        </w:rPr>
        <w:t>ALMM</w:t>
      </w:r>
      <w:r w:rsidR="00554AE6" w:rsidRPr="0087422E">
        <w:rPr>
          <w:lang w:val="en-GB"/>
        </w:rPr>
        <w:t>”</w:t>
      </w:r>
      <w:r w:rsidRPr="0087422E">
        <w:rPr>
          <w:lang w:val="en-GB"/>
        </w:rPr>
        <w:t xml:space="preserve">), i.e. vocational training, supported employment initiatives, for which more than EUR 200 million was paid </w:t>
      </w:r>
      <w:r w:rsidR="00C36966" w:rsidRPr="0087422E">
        <w:rPr>
          <w:lang w:val="en-GB"/>
        </w:rPr>
        <w:t>by</w:t>
      </w:r>
      <w:r w:rsidRPr="0087422E">
        <w:rPr>
          <w:lang w:val="en-GB"/>
        </w:rPr>
        <w:t xml:space="preserve"> the end of 2015. More than 245</w:t>
      </w:r>
      <w:r w:rsidR="00554AE6" w:rsidRPr="0087422E">
        <w:rPr>
          <w:lang w:val="en-GB"/>
        </w:rPr>
        <w:t>,000 </w:t>
      </w:r>
      <w:r w:rsidRPr="0087422E">
        <w:rPr>
          <w:lang w:val="en-GB"/>
        </w:rPr>
        <w:t>unemployed persons participated in ALMM</w:t>
      </w:r>
      <w:r w:rsidR="00554AE6" w:rsidRPr="0087422E">
        <w:rPr>
          <w:lang w:val="en-GB"/>
        </w:rPr>
        <w:t>s</w:t>
      </w:r>
      <w:r w:rsidRPr="0087422E">
        <w:rPr>
          <w:lang w:val="en-GB"/>
        </w:rPr>
        <w:t xml:space="preserve">, of </w:t>
      </w:r>
      <w:r w:rsidR="00554AE6" w:rsidRPr="0087422E">
        <w:rPr>
          <w:lang w:val="en-GB"/>
        </w:rPr>
        <w:t xml:space="preserve">which </w:t>
      </w:r>
      <w:r w:rsidRPr="0087422E">
        <w:rPr>
          <w:lang w:val="en-GB"/>
        </w:rPr>
        <w:t xml:space="preserve">every second participant found a job or </w:t>
      </w:r>
      <w:r w:rsidR="00C36966" w:rsidRPr="0087422E">
        <w:rPr>
          <w:lang w:val="en-GB"/>
        </w:rPr>
        <w:t xml:space="preserve">stayed </w:t>
      </w:r>
      <w:r w:rsidRPr="0087422E">
        <w:rPr>
          <w:lang w:val="en-GB"/>
        </w:rPr>
        <w:t>in the labour market for more than a year</w:t>
      </w:r>
      <w:r w:rsidR="00584914" w:rsidRPr="0087422E">
        <w:rPr>
          <w:lang w:val="en-GB"/>
        </w:rPr>
        <w:t xml:space="preserve"> after </w:t>
      </w:r>
      <w:r w:rsidR="00554AE6" w:rsidRPr="0087422E">
        <w:rPr>
          <w:lang w:val="en-GB"/>
        </w:rPr>
        <w:t xml:space="preserve">the </w:t>
      </w:r>
      <w:r w:rsidR="00584914" w:rsidRPr="0087422E">
        <w:rPr>
          <w:lang w:val="en-GB"/>
        </w:rPr>
        <w:t>project implementation</w:t>
      </w:r>
      <w:r w:rsidRPr="0087422E">
        <w:rPr>
          <w:lang w:val="en-GB"/>
        </w:rPr>
        <w:t xml:space="preserve">. It should be noted that because of the EU investments about 6% of </w:t>
      </w:r>
      <w:r w:rsidR="00554AE6" w:rsidRPr="0087422E">
        <w:rPr>
          <w:lang w:val="en-GB"/>
        </w:rPr>
        <w:t xml:space="preserve">the </w:t>
      </w:r>
      <w:r w:rsidRPr="0087422E">
        <w:rPr>
          <w:lang w:val="en-GB"/>
        </w:rPr>
        <w:t xml:space="preserve">unemployed persons registered </w:t>
      </w:r>
      <w:r w:rsidR="00554AE6" w:rsidRPr="0087422E">
        <w:rPr>
          <w:lang w:val="en-GB"/>
        </w:rPr>
        <w:t>with</w:t>
      </w:r>
      <w:r w:rsidRPr="0087422E">
        <w:rPr>
          <w:lang w:val="en-GB"/>
        </w:rPr>
        <w:t xml:space="preserve"> the </w:t>
      </w:r>
      <w:r w:rsidR="00266475" w:rsidRPr="0087422E">
        <w:rPr>
          <w:lang w:val="en-GB"/>
        </w:rPr>
        <w:t xml:space="preserve">Lithuanian </w:t>
      </w:r>
      <w:r w:rsidRPr="0087422E">
        <w:rPr>
          <w:lang w:val="en-GB"/>
        </w:rPr>
        <w:t xml:space="preserve">labour office </w:t>
      </w:r>
      <w:r w:rsidR="00C36966" w:rsidRPr="0087422E">
        <w:rPr>
          <w:lang w:val="en-GB"/>
        </w:rPr>
        <w:t xml:space="preserve">within a specific </w:t>
      </w:r>
      <w:r w:rsidRPr="0087422E">
        <w:rPr>
          <w:lang w:val="en-GB"/>
        </w:rPr>
        <w:t xml:space="preserve">year found a job. The greatest impact on the income </w:t>
      </w:r>
      <w:r w:rsidR="00266475" w:rsidRPr="0087422E">
        <w:rPr>
          <w:lang w:val="en-GB"/>
        </w:rPr>
        <w:t xml:space="preserve">of </w:t>
      </w:r>
      <w:proofErr w:type="spellStart"/>
      <w:r w:rsidR="00266475" w:rsidRPr="0087422E">
        <w:rPr>
          <w:lang w:val="en-GB"/>
        </w:rPr>
        <w:t>projetc</w:t>
      </w:r>
      <w:r w:rsidR="00554AE6" w:rsidRPr="0087422E">
        <w:rPr>
          <w:lang w:val="en-GB"/>
        </w:rPr>
        <w:t>t</w:t>
      </w:r>
      <w:proofErr w:type="spellEnd"/>
      <w:r w:rsidR="00266475" w:rsidRPr="0087422E">
        <w:rPr>
          <w:lang w:val="en-GB"/>
        </w:rPr>
        <w:t xml:space="preserve"> participants </w:t>
      </w:r>
      <w:r w:rsidRPr="0087422E">
        <w:rPr>
          <w:lang w:val="en-GB"/>
        </w:rPr>
        <w:t xml:space="preserve">and </w:t>
      </w:r>
      <w:r w:rsidR="009E5499" w:rsidRPr="0087422E">
        <w:rPr>
          <w:lang w:val="en-GB"/>
        </w:rPr>
        <w:t xml:space="preserve">on </w:t>
      </w:r>
      <w:r w:rsidR="00266475" w:rsidRPr="0087422E">
        <w:rPr>
          <w:lang w:val="en-GB"/>
        </w:rPr>
        <w:t xml:space="preserve">their </w:t>
      </w:r>
      <w:r w:rsidR="00C36966" w:rsidRPr="0087422E">
        <w:rPr>
          <w:lang w:val="en-GB"/>
        </w:rPr>
        <w:t xml:space="preserve">staying </w:t>
      </w:r>
      <w:r w:rsidRPr="0087422E">
        <w:rPr>
          <w:lang w:val="en-GB"/>
        </w:rPr>
        <w:t>in the labour market had ALMM</w:t>
      </w:r>
      <w:r w:rsidR="00554AE6" w:rsidRPr="0087422E">
        <w:rPr>
          <w:lang w:val="en-GB"/>
        </w:rPr>
        <w:t>s</w:t>
      </w:r>
      <w:r w:rsidRPr="0087422E">
        <w:rPr>
          <w:lang w:val="en-GB"/>
        </w:rPr>
        <w:t xml:space="preserve"> aimed at supporting the acquisition of labour skills and vocational training.</w:t>
      </w:r>
    </w:p>
    <w:p w:rsidR="00516FE3" w:rsidRPr="0087422E" w:rsidRDefault="00516FE3" w:rsidP="00516FE3">
      <w:pPr>
        <w:spacing w:after="0" w:line="240" w:lineRule="auto"/>
        <w:jc w:val="both"/>
        <w:rPr>
          <w:lang w:val="en-GB"/>
        </w:rPr>
      </w:pPr>
    </w:p>
    <w:p w:rsidR="00516FE3" w:rsidRPr="0087422E" w:rsidRDefault="00554AE6" w:rsidP="00516FE3">
      <w:pPr>
        <w:spacing w:after="0" w:line="240" w:lineRule="auto"/>
        <w:jc w:val="both"/>
        <w:rPr>
          <w:lang w:val="en-GB"/>
        </w:rPr>
      </w:pPr>
      <w:r w:rsidRPr="0087422E">
        <w:rPr>
          <w:lang w:val="en-GB"/>
        </w:rPr>
        <w:t>V</w:t>
      </w:r>
      <w:r w:rsidR="00516FE3" w:rsidRPr="0087422E">
        <w:rPr>
          <w:lang w:val="en-GB"/>
        </w:rPr>
        <w:t>ocational rehabilitation projects were implemented</w:t>
      </w:r>
      <w:r w:rsidRPr="0087422E">
        <w:rPr>
          <w:lang w:val="en-GB"/>
        </w:rPr>
        <w:t xml:space="preserve"> to promote the integration of disabled people into the labour market</w:t>
      </w:r>
      <w:r w:rsidR="00516FE3" w:rsidRPr="0087422E">
        <w:rPr>
          <w:lang w:val="en-GB"/>
        </w:rPr>
        <w:t xml:space="preserve">. Almost all disabled people with </w:t>
      </w:r>
      <w:r w:rsidRPr="0087422E">
        <w:rPr>
          <w:lang w:val="en-GB"/>
        </w:rPr>
        <w:t xml:space="preserve">the </w:t>
      </w:r>
      <w:r w:rsidR="00516FE3" w:rsidRPr="0087422E">
        <w:rPr>
          <w:lang w:val="en-GB"/>
        </w:rPr>
        <w:t>established need for vocational rehabilitation services were included into vocational rehabilitation</w:t>
      </w:r>
      <w:r w:rsidR="00160A71" w:rsidRPr="0087422E">
        <w:rPr>
          <w:lang w:val="en-GB"/>
        </w:rPr>
        <w:t xml:space="preserve"> programmes</w:t>
      </w:r>
      <w:r w:rsidR="00516FE3" w:rsidRPr="0087422E">
        <w:rPr>
          <w:lang w:val="en-GB"/>
        </w:rPr>
        <w:t xml:space="preserve"> </w:t>
      </w:r>
      <w:r w:rsidRPr="0087422E">
        <w:rPr>
          <w:lang w:val="en-GB"/>
        </w:rPr>
        <w:t xml:space="preserve">on an </w:t>
      </w:r>
      <w:r w:rsidR="00516FE3" w:rsidRPr="0087422E">
        <w:rPr>
          <w:lang w:val="en-GB"/>
        </w:rPr>
        <w:t>annual</w:t>
      </w:r>
      <w:r w:rsidRPr="0087422E">
        <w:rPr>
          <w:lang w:val="en-GB"/>
        </w:rPr>
        <w:t xml:space="preserve"> basis</w:t>
      </w:r>
      <w:r w:rsidR="00516FE3" w:rsidRPr="0087422E">
        <w:rPr>
          <w:lang w:val="en-GB"/>
        </w:rPr>
        <w:t xml:space="preserve">. </w:t>
      </w:r>
      <w:r w:rsidRPr="0087422E">
        <w:rPr>
          <w:lang w:val="en-GB"/>
        </w:rPr>
        <w:t xml:space="preserve">By </w:t>
      </w:r>
      <w:r w:rsidR="009E5499" w:rsidRPr="0087422E">
        <w:rPr>
          <w:lang w:val="en-GB"/>
        </w:rPr>
        <w:t>the end of 2015, m</w:t>
      </w:r>
      <w:r w:rsidR="00516FE3" w:rsidRPr="0087422E">
        <w:rPr>
          <w:lang w:val="en-GB"/>
        </w:rPr>
        <w:t>ore than 2</w:t>
      </w:r>
      <w:r w:rsidRPr="0087422E">
        <w:rPr>
          <w:lang w:val="en-GB"/>
        </w:rPr>
        <w:t>,</w:t>
      </w:r>
      <w:r w:rsidR="00516FE3" w:rsidRPr="0087422E">
        <w:rPr>
          <w:lang w:val="en-GB"/>
        </w:rPr>
        <w:t>3</w:t>
      </w:r>
      <w:r w:rsidRPr="0087422E">
        <w:rPr>
          <w:lang w:val="en-GB"/>
        </w:rPr>
        <w:t>00 </w:t>
      </w:r>
      <w:r w:rsidR="00516FE3" w:rsidRPr="0087422E">
        <w:rPr>
          <w:lang w:val="en-GB"/>
        </w:rPr>
        <w:t xml:space="preserve">persons took part in </w:t>
      </w:r>
      <w:r w:rsidR="009E5499" w:rsidRPr="0087422E">
        <w:rPr>
          <w:lang w:val="en-GB"/>
        </w:rPr>
        <w:t>EU</w:t>
      </w:r>
      <w:r w:rsidRPr="0087422E">
        <w:rPr>
          <w:lang w:val="en-GB"/>
        </w:rPr>
        <w:t>-funded</w:t>
      </w:r>
      <w:r w:rsidR="009E5499" w:rsidRPr="0087422E">
        <w:rPr>
          <w:lang w:val="en-GB"/>
        </w:rPr>
        <w:t xml:space="preserve"> </w:t>
      </w:r>
      <w:r w:rsidR="00516FE3" w:rsidRPr="0087422E">
        <w:rPr>
          <w:lang w:val="en-GB"/>
        </w:rPr>
        <w:t>vocational rehabilitation</w:t>
      </w:r>
      <w:r w:rsidRPr="0087422E">
        <w:rPr>
          <w:lang w:val="en-GB"/>
        </w:rPr>
        <w:t xml:space="preserve"> programmes</w:t>
      </w:r>
      <w:r w:rsidR="00516FE3" w:rsidRPr="0087422E">
        <w:rPr>
          <w:lang w:val="en-GB"/>
        </w:rPr>
        <w:t xml:space="preserve">, </w:t>
      </w:r>
      <w:r w:rsidRPr="0087422E">
        <w:rPr>
          <w:lang w:val="en-GB"/>
        </w:rPr>
        <w:t xml:space="preserve">of which </w:t>
      </w:r>
      <w:r w:rsidR="00516FE3" w:rsidRPr="0087422E">
        <w:rPr>
          <w:lang w:val="en-GB"/>
        </w:rPr>
        <w:t xml:space="preserve">50% found a job </w:t>
      </w:r>
      <w:r w:rsidRPr="0087422E">
        <w:rPr>
          <w:lang w:val="en-GB"/>
        </w:rPr>
        <w:t>wit</w:t>
      </w:r>
      <w:r w:rsidR="0087422E">
        <w:rPr>
          <w:lang w:val="en-GB"/>
        </w:rPr>
        <w:t>h</w:t>
      </w:r>
      <w:r w:rsidR="00516FE3" w:rsidRPr="0087422E">
        <w:rPr>
          <w:lang w:val="en-GB"/>
        </w:rPr>
        <w:t xml:space="preserve">in </w:t>
      </w:r>
      <w:r w:rsidRPr="0087422E">
        <w:rPr>
          <w:lang w:val="en-GB"/>
        </w:rPr>
        <w:t xml:space="preserve">six </w:t>
      </w:r>
      <w:r w:rsidR="00516FE3" w:rsidRPr="0087422E">
        <w:rPr>
          <w:lang w:val="en-GB"/>
        </w:rPr>
        <w:t xml:space="preserve">months after participating in these programmes. The greatest impact on the income of disabled people and on their </w:t>
      </w:r>
      <w:r w:rsidR="00160A71" w:rsidRPr="0087422E">
        <w:rPr>
          <w:lang w:val="en-GB"/>
        </w:rPr>
        <w:t xml:space="preserve">staying </w:t>
      </w:r>
      <w:r w:rsidR="00516FE3" w:rsidRPr="0087422E">
        <w:rPr>
          <w:lang w:val="en-GB"/>
        </w:rPr>
        <w:t>in the labour market had subsidi</w:t>
      </w:r>
      <w:r w:rsidRPr="0087422E">
        <w:rPr>
          <w:lang w:val="en-GB"/>
        </w:rPr>
        <w:t>s</w:t>
      </w:r>
      <w:r w:rsidR="00516FE3" w:rsidRPr="0087422E">
        <w:rPr>
          <w:lang w:val="en-GB"/>
        </w:rPr>
        <w:t>ed employment.</w:t>
      </w:r>
    </w:p>
    <w:p w:rsidR="00516FE3" w:rsidRPr="0087422E" w:rsidRDefault="00516FE3" w:rsidP="00857C57">
      <w:pPr>
        <w:spacing w:after="0" w:line="240" w:lineRule="auto"/>
        <w:jc w:val="both"/>
        <w:rPr>
          <w:lang w:val="en-GB"/>
        </w:rPr>
      </w:pPr>
    </w:p>
    <w:p w:rsidR="003C1B08" w:rsidRPr="0087422E" w:rsidRDefault="00554AE6" w:rsidP="00516FE3">
      <w:pPr>
        <w:pStyle w:val="Caption"/>
        <w:jc w:val="both"/>
        <w:rPr>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3C1B08"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2</w:t>
      </w:r>
      <w:r w:rsidR="00CF4339" w:rsidRPr="0087422E">
        <w:rPr>
          <w:rFonts w:ascii="Cambria" w:hAnsi="Cambria"/>
          <w:color w:val="1F4E79" w:themeColor="accent1" w:themeShade="80"/>
          <w:sz w:val="20"/>
          <w:szCs w:val="20"/>
          <w:lang w:val="en-GB"/>
        </w:rPr>
        <w:fldChar w:fldCharType="end"/>
      </w:r>
      <w:r w:rsidR="003C1B08" w:rsidRPr="0087422E">
        <w:rPr>
          <w:rFonts w:ascii="Cambria" w:hAnsi="Cambria"/>
          <w:color w:val="1F4E79" w:themeColor="accent1" w:themeShade="80"/>
          <w:sz w:val="20"/>
          <w:szCs w:val="20"/>
          <w:lang w:val="en-GB"/>
        </w:rPr>
        <w:t>.</w:t>
      </w:r>
      <w:proofErr w:type="gramEnd"/>
      <w:r w:rsidR="003C1B08" w:rsidRPr="0087422E">
        <w:rPr>
          <w:rFonts w:ascii="Cambria" w:hAnsi="Cambria"/>
          <w:color w:val="1F4E79" w:themeColor="accent1" w:themeShade="80"/>
          <w:sz w:val="20"/>
          <w:szCs w:val="20"/>
          <w:lang w:val="en-GB"/>
        </w:rPr>
        <w:t xml:space="preserve"> </w:t>
      </w:r>
      <w:r w:rsidR="00516FE3" w:rsidRPr="0087422E">
        <w:rPr>
          <w:rFonts w:ascii="Cambria" w:hAnsi="Cambria"/>
          <w:color w:val="1F4E79" w:themeColor="accent1" w:themeShade="80"/>
          <w:sz w:val="20"/>
          <w:szCs w:val="20"/>
          <w:lang w:val="en-GB"/>
        </w:rPr>
        <w:t xml:space="preserve">Results of investments </w:t>
      </w:r>
      <w:r w:rsidRPr="0087422E">
        <w:rPr>
          <w:rFonts w:ascii="Cambria" w:hAnsi="Cambria"/>
          <w:color w:val="1F4E79" w:themeColor="accent1" w:themeShade="80"/>
          <w:sz w:val="20"/>
          <w:szCs w:val="20"/>
          <w:lang w:val="en-GB"/>
        </w:rPr>
        <w:t>into</w:t>
      </w:r>
      <w:r w:rsidR="00516FE3" w:rsidRPr="0087422E">
        <w:rPr>
          <w:rFonts w:ascii="Cambria" w:hAnsi="Cambria"/>
          <w:color w:val="1F4E79" w:themeColor="accent1" w:themeShade="80"/>
          <w:sz w:val="20"/>
          <w:szCs w:val="20"/>
          <w:lang w:val="en-GB"/>
        </w:rPr>
        <w:t xml:space="preserve"> adaptation to labour market needs and promotion of employment</w:t>
      </w:r>
    </w:p>
    <w:p w:rsidR="003C1B08" w:rsidRPr="0087422E" w:rsidRDefault="00823D6E" w:rsidP="003C1B08">
      <w:pPr>
        <w:spacing w:after="0" w:line="240" w:lineRule="auto"/>
        <w:jc w:val="both"/>
        <w:rPr>
          <w:lang w:val="en-GB"/>
        </w:rPr>
      </w:pPr>
      <w:r w:rsidRPr="0087422E">
        <w:rPr>
          <w:noProof/>
          <w:lang w:eastAsia="lt-LT"/>
        </w:rPr>
        <w:drawing>
          <wp:inline distT="0" distB="0" distL="0" distR="0" wp14:anchorId="5BDE684A" wp14:editId="7E53B319">
            <wp:extent cx="6334125" cy="18288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3D6E" w:rsidRPr="0087422E" w:rsidRDefault="00823D6E" w:rsidP="00714527">
      <w:pPr>
        <w:spacing w:after="0" w:line="240" w:lineRule="auto"/>
        <w:jc w:val="both"/>
        <w:rPr>
          <w:lang w:val="en-GB"/>
        </w:rPr>
      </w:pPr>
    </w:p>
    <w:p w:rsidR="001B70FC" w:rsidRPr="0087422E" w:rsidRDefault="00554AE6" w:rsidP="00714527">
      <w:pPr>
        <w:spacing w:after="0" w:line="240" w:lineRule="auto"/>
        <w:jc w:val="both"/>
        <w:rPr>
          <w:lang w:val="en-GB"/>
        </w:rPr>
      </w:pPr>
      <w:r w:rsidRPr="0087422E">
        <w:rPr>
          <w:lang w:val="en-GB" w:eastAsia="lt-LT"/>
        </w:rPr>
        <w:t>Over</w:t>
      </w:r>
      <w:r w:rsidR="00EC015B" w:rsidRPr="0087422E">
        <w:rPr>
          <w:lang w:val="en-GB"/>
        </w:rPr>
        <w:t xml:space="preserve"> 26</w:t>
      </w:r>
      <w:r w:rsidRPr="0087422E">
        <w:rPr>
          <w:lang w:val="en-GB"/>
        </w:rPr>
        <w:t>,000 </w:t>
      </w:r>
      <w:r w:rsidR="00EC015B" w:rsidRPr="0087422E">
        <w:rPr>
          <w:lang w:val="en-GB"/>
        </w:rPr>
        <w:t xml:space="preserve">socially excluded persons </w:t>
      </w:r>
      <w:r w:rsidR="00E832EF" w:rsidRPr="0087422E">
        <w:rPr>
          <w:lang w:val="en-GB"/>
        </w:rPr>
        <w:t xml:space="preserve">participated in </w:t>
      </w:r>
      <w:r w:rsidR="009E5499" w:rsidRPr="0087422E">
        <w:rPr>
          <w:lang w:val="en-GB"/>
        </w:rPr>
        <w:t>EU</w:t>
      </w:r>
      <w:r w:rsidRPr="0087422E">
        <w:rPr>
          <w:lang w:val="en-GB"/>
        </w:rPr>
        <w:t xml:space="preserve">-funded </w:t>
      </w:r>
      <w:r w:rsidR="00EC015B" w:rsidRPr="0087422E">
        <w:rPr>
          <w:lang w:val="en-GB"/>
        </w:rPr>
        <w:t xml:space="preserve">activities under measures </w:t>
      </w:r>
      <w:r w:rsidRPr="0087422E">
        <w:rPr>
          <w:lang w:val="en-GB"/>
        </w:rPr>
        <w:t>aimed at</w:t>
      </w:r>
      <w:r w:rsidR="00EC015B" w:rsidRPr="0087422E">
        <w:rPr>
          <w:lang w:val="en-GB"/>
        </w:rPr>
        <w:t xml:space="preserve"> </w:t>
      </w:r>
      <w:r w:rsidR="00EC015B" w:rsidRPr="0087422E">
        <w:rPr>
          <w:b/>
          <w:color w:val="336699"/>
          <w:lang w:val="en-GB"/>
        </w:rPr>
        <w:t>promot</w:t>
      </w:r>
      <w:r w:rsidRPr="0087422E">
        <w:rPr>
          <w:b/>
          <w:color w:val="336699"/>
          <w:lang w:val="en-GB"/>
        </w:rPr>
        <w:t>ing</w:t>
      </w:r>
      <w:r w:rsidR="00EC015B" w:rsidRPr="0087422E">
        <w:rPr>
          <w:b/>
          <w:color w:val="336699"/>
          <w:lang w:val="en-GB"/>
        </w:rPr>
        <w:t xml:space="preserve"> social inclusion</w:t>
      </w:r>
      <w:r w:rsidR="009E5499" w:rsidRPr="0087422E">
        <w:rPr>
          <w:lang w:val="en-GB"/>
        </w:rPr>
        <w:t>. Participants</w:t>
      </w:r>
      <w:r w:rsidR="00EC015B" w:rsidRPr="0087422E">
        <w:rPr>
          <w:lang w:val="en-GB"/>
        </w:rPr>
        <w:t xml:space="preserve"> acquired new qualifications and skills necessary for integration </w:t>
      </w:r>
      <w:r w:rsidR="00EC015B" w:rsidRPr="0087422E">
        <w:rPr>
          <w:lang w:val="en-GB"/>
        </w:rPr>
        <w:lastRenderedPageBreak/>
        <w:t xml:space="preserve">into social and working life. Psychological and social consultations had the greatest impact on all </w:t>
      </w:r>
      <w:r w:rsidR="006D5CCB">
        <w:rPr>
          <w:lang w:val="en-GB" w:eastAsia="lt-LT"/>
        </w:rPr>
        <w:pict>
          <v:shape id="_x0000_s1032" type="#_x0000_t185" style="position:absolute;left:0;text-align:left;margin-left:259.8pt;margin-top:18.95pt;width:258pt;height:186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" o:allowincell="f" adj="1739" fillcolor="#943634" strokecolor="#5b9bd5 [3204]" strokeweight="3pt">
            <v:shadow color="#5d7035" offset="1pt,1pt"/>
            <v:textbox inset="3.6pt,,3.6pt">
              <w:txbxContent>
                <w:p w:rsidR="006D5CCB" w:rsidRPr="00C21F4D" w:rsidRDefault="006D5CCB" w:rsidP="00407EA4">
                  <w:pPr>
                    <w:pBdr>
                      <w:bottom w:val="single" w:sz="4" w:space="1" w:color="auto"/>
                    </w:pBdr>
                    <w:spacing w:after="0"/>
                    <w:jc w:val="both"/>
                    <w:rPr>
                      <w:b/>
                      <w:i/>
                      <w:iCs/>
                      <w:sz w:val="18"/>
                      <w:szCs w:val="18"/>
                    </w:rPr>
                  </w:pPr>
                  <w:r w:rsidRPr="00C21F4D">
                    <w:rPr>
                      <w:b/>
                      <w:i/>
                      <w:sz w:val="18"/>
                      <w:szCs w:val="18"/>
                      <w:lang w:val="en-GB"/>
                    </w:rPr>
                    <w:t>Psychological and social rehabilitation of persons suffering from addiction to psychoactive substances</w:t>
                  </w:r>
                </w:p>
                <w:p w:rsidR="006D5CCB" w:rsidRPr="00393F2F" w:rsidRDefault="006D5CCB" w:rsidP="00407EA4">
                  <w:pPr>
                    <w:spacing w:after="0"/>
                    <w:jc w:val="both"/>
                    <w:rPr>
                      <w:iCs/>
                      <w:sz w:val="18"/>
                      <w:szCs w:val="18"/>
                    </w:rPr>
                  </w:pPr>
                </w:p>
                <w:p w:rsidR="006D5CCB" w:rsidRPr="00C21F4D" w:rsidRDefault="006D5CCB" w:rsidP="00407EA4">
                  <w:pPr>
                    <w:spacing w:after="0"/>
                    <w:jc w:val="both"/>
                    <w:rPr>
                      <w:iCs/>
                      <w:sz w:val="18"/>
                      <w:szCs w:val="18"/>
                    </w:rPr>
                  </w:pPr>
                  <w:r>
                    <w:rPr>
                      <w:sz w:val="18"/>
                      <w:szCs w:val="18"/>
                      <w:lang w:val="en-GB"/>
                    </w:rPr>
                    <w:t>The p</w:t>
                  </w:r>
                  <w:r w:rsidRPr="00C21F4D">
                    <w:rPr>
                      <w:sz w:val="18"/>
                      <w:szCs w:val="18"/>
                      <w:lang w:val="en-GB"/>
                    </w:rPr>
                    <w:t xml:space="preserve">roject was aimed at helping persons suffering from addiction to psychoactive substances to integrate </w:t>
                  </w:r>
                  <w:r>
                    <w:rPr>
                      <w:sz w:val="18"/>
                      <w:szCs w:val="18"/>
                      <w:lang w:val="en-GB"/>
                    </w:rPr>
                    <w:t xml:space="preserve">them </w:t>
                  </w:r>
                  <w:r w:rsidRPr="00C21F4D">
                    <w:rPr>
                      <w:sz w:val="18"/>
                      <w:szCs w:val="18"/>
                      <w:lang w:val="en-GB"/>
                    </w:rPr>
                    <w:t xml:space="preserve">into the labour market and to prevent their social exclusion </w:t>
                  </w:r>
                  <w:r>
                    <w:rPr>
                      <w:sz w:val="18"/>
                      <w:szCs w:val="18"/>
                      <w:lang w:val="en-GB"/>
                    </w:rPr>
                    <w:t>by</w:t>
                  </w:r>
                  <w:r w:rsidRPr="00C21F4D">
                    <w:rPr>
                      <w:sz w:val="18"/>
                      <w:szCs w:val="18"/>
                      <w:lang w:val="en-GB"/>
                    </w:rPr>
                    <w:t xml:space="preserve"> providing short-term social care</w:t>
                  </w:r>
                  <w:r>
                    <w:rPr>
                      <w:sz w:val="18"/>
                      <w:szCs w:val="18"/>
                      <w:lang w:val="en-GB"/>
                    </w:rPr>
                    <w:t xml:space="preserve"> </w:t>
                  </w:r>
                  <w:r w:rsidRPr="00C21F4D">
                    <w:rPr>
                      <w:sz w:val="18"/>
                      <w:szCs w:val="18"/>
                      <w:lang w:val="en-GB"/>
                    </w:rPr>
                    <w:t>services. In addition,</w:t>
                  </w:r>
                  <w:r>
                    <w:rPr>
                      <w:sz w:val="18"/>
                      <w:szCs w:val="18"/>
                      <w:lang w:val="en-GB"/>
                    </w:rPr>
                    <w:t xml:space="preserve"> the</w:t>
                  </w:r>
                  <w:r w:rsidRPr="00C21F4D">
                    <w:rPr>
                      <w:sz w:val="18"/>
                      <w:szCs w:val="18"/>
                      <w:lang w:val="en-GB"/>
                    </w:rPr>
                    <w:t xml:space="preserve"> monitoring system of psychological and social rehabilitation services was modernised. This system helps to ensure cooperation of organi</w:t>
                  </w:r>
                  <w:r>
                    <w:rPr>
                      <w:sz w:val="18"/>
                      <w:szCs w:val="18"/>
                      <w:lang w:val="en-GB"/>
                    </w:rPr>
                    <w:t>s</w:t>
                  </w:r>
                  <w:r w:rsidRPr="00C21F4D">
                    <w:rPr>
                      <w:sz w:val="18"/>
                      <w:szCs w:val="18"/>
                      <w:lang w:val="en-GB"/>
                    </w:rPr>
                    <w:t>ations providing social services. 540</w:t>
                  </w:r>
                  <w:r>
                    <w:rPr>
                      <w:sz w:val="18"/>
                      <w:szCs w:val="18"/>
                      <w:lang w:val="en-GB"/>
                    </w:rPr>
                    <w:t> </w:t>
                  </w:r>
                  <w:r w:rsidRPr="00C21F4D">
                    <w:rPr>
                      <w:sz w:val="18"/>
                      <w:szCs w:val="18"/>
                      <w:lang w:val="en-GB"/>
                    </w:rPr>
                    <w:t xml:space="preserve">persons took part in the </w:t>
                  </w:r>
                  <w:proofErr w:type="gramStart"/>
                  <w:r w:rsidRPr="00C21F4D">
                    <w:rPr>
                      <w:sz w:val="18"/>
                      <w:szCs w:val="18"/>
                      <w:lang w:val="en-GB"/>
                    </w:rPr>
                    <w:t>project,</w:t>
                  </w:r>
                  <w:proofErr w:type="gramEnd"/>
                  <w:r w:rsidRPr="00C21F4D">
                    <w:rPr>
                      <w:sz w:val="18"/>
                      <w:szCs w:val="18"/>
                      <w:lang w:val="en-GB"/>
                    </w:rPr>
                    <w:t xml:space="preserve"> one-third of </w:t>
                  </w:r>
                  <w:r>
                    <w:rPr>
                      <w:sz w:val="18"/>
                      <w:szCs w:val="18"/>
                      <w:lang w:val="en-GB"/>
                    </w:rPr>
                    <w:t>them</w:t>
                  </w:r>
                  <w:r w:rsidRPr="00C21F4D">
                    <w:rPr>
                      <w:sz w:val="18"/>
                      <w:szCs w:val="18"/>
                      <w:lang w:val="en-GB"/>
                    </w:rPr>
                    <w:t xml:space="preserve"> found a job or continued training</w:t>
                  </w:r>
                  <w:r>
                    <w:rPr>
                      <w:sz w:val="18"/>
                      <w:szCs w:val="18"/>
                      <w:lang w:val="en-GB"/>
                    </w:rPr>
                    <w:t xml:space="preserve"> </w:t>
                  </w:r>
                  <w:r w:rsidRPr="00C21F4D">
                    <w:rPr>
                      <w:sz w:val="18"/>
                      <w:szCs w:val="18"/>
                      <w:lang w:val="en-GB"/>
                    </w:rPr>
                    <w:t>after participating in the activities.</w:t>
                  </w:r>
                </w:p>
              </w:txbxContent>
            </v:textbox>
            <w10:wrap type="square" anchorx="margin" anchory="margin"/>
          </v:shape>
        </w:pict>
      </w:r>
      <w:r w:rsidR="00EC015B" w:rsidRPr="0087422E">
        <w:rPr>
          <w:lang w:val="en-GB"/>
        </w:rPr>
        <w:t xml:space="preserve">target groups because these activities helped to strengthen </w:t>
      </w:r>
      <w:r w:rsidR="00063D7E" w:rsidRPr="0087422E">
        <w:rPr>
          <w:lang w:val="en-GB"/>
        </w:rPr>
        <w:t>social skills</w:t>
      </w:r>
      <w:r w:rsidR="009E5499" w:rsidRPr="0087422E">
        <w:rPr>
          <w:lang w:val="en-GB"/>
        </w:rPr>
        <w:t xml:space="preserve"> which socially excluded people</w:t>
      </w:r>
      <w:r w:rsidR="00E832EF" w:rsidRPr="0087422E">
        <w:rPr>
          <w:lang w:val="en-GB"/>
        </w:rPr>
        <w:t xml:space="preserve"> often lack</w:t>
      </w:r>
      <w:r w:rsidR="00063D7E" w:rsidRPr="0087422E">
        <w:rPr>
          <w:lang w:val="en-GB"/>
        </w:rPr>
        <w:t xml:space="preserve">. </w:t>
      </w:r>
      <w:r w:rsidRPr="0087422E">
        <w:rPr>
          <w:lang w:val="en-GB"/>
        </w:rPr>
        <w:t>On the job training</w:t>
      </w:r>
      <w:r w:rsidR="00063D7E" w:rsidRPr="0087422E">
        <w:rPr>
          <w:lang w:val="en-GB"/>
        </w:rPr>
        <w:t xml:space="preserve"> </w:t>
      </w:r>
      <w:r w:rsidR="00EC015B" w:rsidRPr="0087422E">
        <w:rPr>
          <w:lang w:val="en-GB"/>
        </w:rPr>
        <w:t>and apprenticeship</w:t>
      </w:r>
      <w:r w:rsidRPr="0087422E">
        <w:rPr>
          <w:lang w:val="en-GB"/>
        </w:rPr>
        <w:t>s</w:t>
      </w:r>
      <w:r w:rsidR="009E5499" w:rsidRPr="0087422E">
        <w:rPr>
          <w:lang w:val="en-GB"/>
        </w:rPr>
        <w:t xml:space="preserve"> had a </w:t>
      </w:r>
      <w:r w:rsidRPr="0087422E">
        <w:rPr>
          <w:lang w:val="en-GB"/>
        </w:rPr>
        <w:t>significant</w:t>
      </w:r>
      <w:r w:rsidR="00063D7E" w:rsidRPr="0087422E">
        <w:rPr>
          <w:lang w:val="en-GB"/>
        </w:rPr>
        <w:t xml:space="preserve"> impact as well</w:t>
      </w:r>
      <w:r w:rsidR="00E832EF" w:rsidRPr="0087422E">
        <w:rPr>
          <w:lang w:val="en-GB"/>
        </w:rPr>
        <w:t xml:space="preserve"> because these init</w:t>
      </w:r>
      <w:r w:rsidR="0087422E">
        <w:rPr>
          <w:lang w:val="en-GB"/>
        </w:rPr>
        <w:t>i</w:t>
      </w:r>
      <w:r w:rsidR="00E832EF" w:rsidRPr="0087422E">
        <w:rPr>
          <w:lang w:val="en-GB"/>
        </w:rPr>
        <w:t>atives</w:t>
      </w:r>
      <w:r w:rsidR="00EC015B" w:rsidRPr="0087422E">
        <w:rPr>
          <w:lang w:val="en-GB"/>
        </w:rPr>
        <w:t xml:space="preserve"> helped to gain practical work experience. More than 28% of </w:t>
      </w:r>
      <w:r w:rsidRPr="0087422E">
        <w:rPr>
          <w:lang w:val="en-GB"/>
        </w:rPr>
        <w:t xml:space="preserve">the </w:t>
      </w:r>
      <w:r w:rsidR="00EC015B" w:rsidRPr="0087422E">
        <w:rPr>
          <w:lang w:val="en-GB"/>
        </w:rPr>
        <w:t xml:space="preserve">project participants found a job or continued </w:t>
      </w:r>
      <w:r w:rsidR="00063D7E" w:rsidRPr="0087422E">
        <w:rPr>
          <w:lang w:val="en-GB"/>
        </w:rPr>
        <w:t xml:space="preserve">training after </w:t>
      </w:r>
      <w:r w:rsidRPr="0087422E">
        <w:rPr>
          <w:lang w:val="en-GB"/>
        </w:rPr>
        <w:t xml:space="preserve">completing </w:t>
      </w:r>
      <w:r w:rsidR="00063D7E" w:rsidRPr="0087422E">
        <w:rPr>
          <w:lang w:val="en-GB"/>
        </w:rPr>
        <w:t xml:space="preserve">project activities. </w:t>
      </w:r>
      <w:r w:rsidR="00EC015B" w:rsidRPr="0087422E">
        <w:rPr>
          <w:lang w:val="en-GB"/>
        </w:rPr>
        <w:t xml:space="preserve">The largest </w:t>
      </w:r>
      <w:r w:rsidRPr="0087422E">
        <w:rPr>
          <w:lang w:val="en-GB"/>
        </w:rPr>
        <w:t xml:space="preserve">share </w:t>
      </w:r>
      <w:r w:rsidR="00EC015B" w:rsidRPr="0087422E">
        <w:rPr>
          <w:lang w:val="en-GB"/>
        </w:rPr>
        <w:t xml:space="preserve">of employed people – 34% – was recorded amongst people with disabilities because disabled people, in comparison to other groups, had </w:t>
      </w:r>
      <w:r w:rsidRPr="0087422E">
        <w:rPr>
          <w:lang w:val="en-GB"/>
        </w:rPr>
        <w:t>more</w:t>
      </w:r>
      <w:r w:rsidR="00EC015B" w:rsidRPr="0087422E">
        <w:rPr>
          <w:lang w:val="en-GB"/>
        </w:rPr>
        <w:t xml:space="preserve"> motivation. In addition, </w:t>
      </w:r>
      <w:r w:rsidRPr="0087422E">
        <w:rPr>
          <w:lang w:val="en-GB"/>
        </w:rPr>
        <w:t xml:space="preserve">organisations implementing </w:t>
      </w:r>
      <w:r w:rsidR="00EC015B" w:rsidRPr="0087422E">
        <w:rPr>
          <w:lang w:val="en-GB"/>
        </w:rPr>
        <w:t>projects had more experience working specifically with disabled people and helping them to integrate into the labour market. Fairly good results were achieved while promoting the integration of convicted persons and persons released from prison into the labour market (8</w:t>
      </w:r>
      <w:r w:rsidRPr="0087422E">
        <w:rPr>
          <w:lang w:val="en-GB"/>
        </w:rPr>
        <w:t>,000 </w:t>
      </w:r>
      <w:r w:rsidR="00EC015B" w:rsidRPr="0087422E">
        <w:rPr>
          <w:lang w:val="en-GB"/>
        </w:rPr>
        <w:t>persons participated in financed activities).</w:t>
      </w:r>
    </w:p>
    <w:p w:rsidR="00EC015B" w:rsidRPr="0087422E" w:rsidRDefault="00EC015B" w:rsidP="00714527">
      <w:pPr>
        <w:spacing w:after="0" w:line="240" w:lineRule="auto"/>
        <w:jc w:val="both"/>
        <w:rPr>
          <w:lang w:val="en-GB"/>
        </w:rPr>
      </w:pPr>
    </w:p>
    <w:p w:rsidR="00EC015B" w:rsidRPr="0087422E" w:rsidRDefault="00EC015B" w:rsidP="00714527">
      <w:pPr>
        <w:spacing w:after="0" w:line="240" w:lineRule="auto"/>
        <w:jc w:val="both"/>
        <w:rPr>
          <w:lang w:val="en-GB"/>
        </w:rPr>
      </w:pPr>
      <w:r w:rsidRPr="0087422E">
        <w:rPr>
          <w:lang w:val="en-GB"/>
        </w:rPr>
        <w:t xml:space="preserve">In conclusion, </w:t>
      </w:r>
      <w:r w:rsidR="00554AE6" w:rsidRPr="0087422E">
        <w:rPr>
          <w:lang w:val="en-GB"/>
        </w:rPr>
        <w:t xml:space="preserve">EU-funded </w:t>
      </w:r>
      <w:r w:rsidRPr="0087422E">
        <w:rPr>
          <w:lang w:val="en-GB"/>
        </w:rPr>
        <w:t xml:space="preserve">measures increased the </w:t>
      </w:r>
      <w:r w:rsidR="00DD4433" w:rsidRPr="0087422E">
        <w:rPr>
          <w:lang w:val="en-GB"/>
        </w:rPr>
        <w:t xml:space="preserve">employability of </w:t>
      </w:r>
      <w:r w:rsidRPr="0087422E">
        <w:rPr>
          <w:lang w:val="en-GB"/>
        </w:rPr>
        <w:t xml:space="preserve">socially excluded persons. </w:t>
      </w:r>
      <w:r w:rsidR="00DD4433" w:rsidRPr="0087422E">
        <w:rPr>
          <w:lang w:val="en-GB"/>
        </w:rPr>
        <w:t>I</w:t>
      </w:r>
      <w:r w:rsidRPr="0087422E">
        <w:rPr>
          <w:lang w:val="en-GB"/>
        </w:rPr>
        <w:t>ntervention</w:t>
      </w:r>
      <w:r w:rsidR="00E832EF" w:rsidRPr="0087422E">
        <w:rPr>
          <w:lang w:val="en-GB"/>
        </w:rPr>
        <w:t xml:space="preserve">s </w:t>
      </w:r>
      <w:r w:rsidR="00DD4433" w:rsidRPr="0087422E">
        <w:rPr>
          <w:lang w:val="en-GB"/>
        </w:rPr>
        <w:t xml:space="preserve">also </w:t>
      </w:r>
      <w:r w:rsidR="00E832EF" w:rsidRPr="0087422E">
        <w:rPr>
          <w:lang w:val="en-GB"/>
        </w:rPr>
        <w:t>contributed to the increase in</w:t>
      </w:r>
      <w:r w:rsidRPr="0087422E">
        <w:rPr>
          <w:lang w:val="en-GB"/>
        </w:rPr>
        <w:t xml:space="preserve"> employment’s duration and income of participants.</w:t>
      </w:r>
    </w:p>
    <w:p w:rsidR="001B70FC" w:rsidRPr="0087422E" w:rsidRDefault="001B70FC" w:rsidP="00714527">
      <w:pPr>
        <w:spacing w:after="0" w:line="240" w:lineRule="auto"/>
        <w:jc w:val="both"/>
        <w:rPr>
          <w:lang w:val="en-GB"/>
        </w:rPr>
      </w:pPr>
    </w:p>
    <w:p w:rsidR="00E61DCB" w:rsidRPr="0087422E" w:rsidRDefault="00DD4433" w:rsidP="00673DE7">
      <w:pPr>
        <w:pStyle w:val="Caption"/>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673DE7"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3</w:t>
      </w:r>
      <w:r w:rsidR="00CF4339" w:rsidRPr="0087422E">
        <w:rPr>
          <w:rFonts w:ascii="Cambria" w:hAnsi="Cambria"/>
          <w:color w:val="1F4E79" w:themeColor="accent1" w:themeShade="80"/>
          <w:sz w:val="20"/>
          <w:szCs w:val="20"/>
          <w:lang w:val="en-GB"/>
        </w:rPr>
        <w:fldChar w:fldCharType="end"/>
      </w:r>
      <w:r w:rsidR="00673DE7" w:rsidRPr="0087422E">
        <w:rPr>
          <w:rFonts w:ascii="Cambria" w:hAnsi="Cambria"/>
          <w:color w:val="1F4E79" w:themeColor="accent1" w:themeShade="80"/>
          <w:sz w:val="20"/>
          <w:szCs w:val="20"/>
          <w:lang w:val="en-GB"/>
        </w:rPr>
        <w:t>.</w:t>
      </w:r>
      <w:proofErr w:type="gramEnd"/>
      <w:r w:rsidR="00673DE7" w:rsidRPr="0087422E">
        <w:rPr>
          <w:rFonts w:ascii="Cambria" w:hAnsi="Cambria"/>
          <w:color w:val="1F4E79" w:themeColor="accent1" w:themeShade="80"/>
          <w:sz w:val="20"/>
          <w:szCs w:val="20"/>
          <w:lang w:val="en-GB"/>
        </w:rPr>
        <w:t xml:space="preserve"> </w:t>
      </w:r>
      <w:r w:rsidR="00AB7653" w:rsidRPr="0087422E">
        <w:rPr>
          <w:rFonts w:ascii="Cambria" w:hAnsi="Cambria"/>
          <w:color w:val="1F4E79" w:themeColor="accent1" w:themeShade="80"/>
          <w:sz w:val="20"/>
          <w:szCs w:val="20"/>
          <w:lang w:val="en-GB"/>
        </w:rPr>
        <w:t xml:space="preserve">Results of investments </w:t>
      </w:r>
      <w:r w:rsidRPr="0087422E">
        <w:rPr>
          <w:rFonts w:ascii="Cambria" w:hAnsi="Cambria"/>
          <w:color w:val="1F4E79" w:themeColor="accent1" w:themeShade="80"/>
          <w:sz w:val="20"/>
          <w:szCs w:val="20"/>
          <w:lang w:val="en-GB"/>
        </w:rPr>
        <w:t>into the</w:t>
      </w:r>
      <w:r w:rsidR="00AB7653" w:rsidRPr="0087422E">
        <w:rPr>
          <w:rFonts w:ascii="Cambria" w:hAnsi="Cambria"/>
          <w:color w:val="1F4E79" w:themeColor="accent1" w:themeShade="80"/>
          <w:sz w:val="20"/>
          <w:szCs w:val="20"/>
          <w:lang w:val="en-GB"/>
        </w:rPr>
        <w:t xml:space="preserve"> strengthening </w:t>
      </w:r>
      <w:r w:rsidRPr="0087422E">
        <w:rPr>
          <w:rFonts w:ascii="Cambria" w:hAnsi="Cambria"/>
          <w:color w:val="1F4E79" w:themeColor="accent1" w:themeShade="80"/>
          <w:sz w:val="20"/>
          <w:szCs w:val="20"/>
          <w:lang w:val="en-GB"/>
        </w:rPr>
        <w:t xml:space="preserve">of </w:t>
      </w:r>
      <w:r w:rsidR="00AB7653" w:rsidRPr="0087422E">
        <w:rPr>
          <w:rFonts w:ascii="Cambria" w:hAnsi="Cambria"/>
          <w:color w:val="1F4E79" w:themeColor="accent1" w:themeShade="80"/>
          <w:sz w:val="20"/>
          <w:szCs w:val="20"/>
          <w:lang w:val="en-GB"/>
        </w:rPr>
        <w:t>social inclusion</w:t>
      </w:r>
    </w:p>
    <w:p w:rsidR="00714527" w:rsidRPr="0087422E" w:rsidRDefault="00EC015B" w:rsidP="00714527">
      <w:pPr>
        <w:spacing w:after="0" w:line="240" w:lineRule="auto"/>
        <w:jc w:val="both"/>
        <w:rPr>
          <w:lang w:val="en-GB"/>
        </w:rPr>
      </w:pPr>
      <w:r w:rsidRPr="0087422E">
        <w:rPr>
          <w:noProof/>
          <w:lang w:eastAsia="lt-LT"/>
        </w:rPr>
        <w:drawing>
          <wp:inline distT="0" distB="0" distL="0" distR="0" wp14:anchorId="688D790A" wp14:editId="16695452">
            <wp:extent cx="6534150" cy="20383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4527" w:rsidRPr="0087422E" w:rsidRDefault="00714527" w:rsidP="00714527">
      <w:pPr>
        <w:spacing w:after="0" w:line="240" w:lineRule="auto"/>
        <w:jc w:val="both"/>
        <w:rPr>
          <w:lang w:val="en-GB"/>
        </w:rPr>
      </w:pPr>
    </w:p>
    <w:p w:rsidR="00673DE7" w:rsidRPr="0087422E" w:rsidRDefault="002D1E62" w:rsidP="00673DE7">
      <w:pPr>
        <w:spacing w:after="0" w:line="240" w:lineRule="auto"/>
        <w:jc w:val="both"/>
        <w:rPr>
          <w:b/>
          <w:color w:val="1F4E79" w:themeColor="accent1" w:themeShade="80"/>
          <w:lang w:val="en-GB"/>
        </w:rPr>
      </w:pPr>
      <w:r w:rsidRPr="0087422E">
        <w:rPr>
          <w:b/>
          <w:color w:val="1F4E79" w:themeColor="accent1" w:themeShade="80"/>
          <w:lang w:val="en-GB"/>
        </w:rPr>
        <w:t xml:space="preserve">IMPACT OF </w:t>
      </w:r>
      <w:r w:rsidR="00AF2E9A">
        <w:rPr>
          <w:b/>
          <w:color w:val="1F4E79" w:themeColor="accent1" w:themeShade="80"/>
          <w:lang w:val="en-GB"/>
        </w:rPr>
        <w:t xml:space="preserve">THE </w:t>
      </w:r>
      <w:r w:rsidRPr="0087422E">
        <w:rPr>
          <w:b/>
          <w:color w:val="1F4E79" w:themeColor="accent1" w:themeShade="80"/>
          <w:lang w:val="en-GB"/>
        </w:rPr>
        <w:t>INVESTMENTS</w:t>
      </w:r>
    </w:p>
    <w:p w:rsidR="00673DE7" w:rsidRPr="0087422E" w:rsidRDefault="00673DE7" w:rsidP="00714527">
      <w:pPr>
        <w:spacing w:after="0" w:line="240" w:lineRule="auto"/>
        <w:jc w:val="both"/>
        <w:rPr>
          <w:lang w:val="en-GB"/>
        </w:rPr>
      </w:pPr>
    </w:p>
    <w:p w:rsidR="00F93A86" w:rsidRPr="0087422E" w:rsidRDefault="00F93A86" w:rsidP="00F93A86">
      <w:pPr>
        <w:spacing w:after="0" w:line="240" w:lineRule="auto"/>
        <w:jc w:val="both"/>
        <w:rPr>
          <w:lang w:val="en-GB"/>
        </w:rPr>
      </w:pPr>
      <w:r w:rsidRPr="0087422E">
        <w:rPr>
          <w:lang w:val="en-GB"/>
        </w:rPr>
        <w:t>Measures aimed at promoting employment and social inclusion ha</w:t>
      </w:r>
      <w:r w:rsidR="00B75496" w:rsidRPr="0087422E">
        <w:rPr>
          <w:lang w:val="en-GB"/>
        </w:rPr>
        <w:t>d</w:t>
      </w:r>
      <w:r w:rsidRPr="0087422E">
        <w:rPr>
          <w:lang w:val="en-GB"/>
        </w:rPr>
        <w:t xml:space="preserve"> a positive impact on the employment situation in the country</w:t>
      </w:r>
      <w:r w:rsidR="002F1DA0" w:rsidRPr="0087422E">
        <w:rPr>
          <w:lang w:val="en-GB"/>
        </w:rPr>
        <w:t xml:space="preserve"> and</w:t>
      </w:r>
      <w:r w:rsidRPr="0087422E">
        <w:rPr>
          <w:lang w:val="en-GB"/>
        </w:rPr>
        <w:t xml:space="preserve"> </w:t>
      </w:r>
      <w:r w:rsidR="002F1DA0" w:rsidRPr="0087422E">
        <w:rPr>
          <w:lang w:val="en-GB"/>
        </w:rPr>
        <w:t xml:space="preserve">significantly </w:t>
      </w:r>
      <w:r w:rsidRPr="0087422E">
        <w:rPr>
          <w:lang w:val="en-GB"/>
        </w:rPr>
        <w:t xml:space="preserve">contributed to the </w:t>
      </w:r>
      <w:r w:rsidR="00EB780C" w:rsidRPr="0087422E">
        <w:rPr>
          <w:lang w:val="en-GB"/>
        </w:rPr>
        <w:t xml:space="preserve">mitigation </w:t>
      </w:r>
      <w:r w:rsidRPr="0087422E">
        <w:rPr>
          <w:lang w:val="en-GB"/>
        </w:rPr>
        <w:t xml:space="preserve">of negative consequences of </w:t>
      </w:r>
      <w:r w:rsidR="002F1DA0" w:rsidRPr="0087422E">
        <w:rPr>
          <w:lang w:val="en-GB"/>
        </w:rPr>
        <w:t xml:space="preserve">the </w:t>
      </w:r>
      <w:r w:rsidRPr="0087422E">
        <w:rPr>
          <w:lang w:val="en-GB"/>
        </w:rPr>
        <w:t xml:space="preserve">economic crisis. </w:t>
      </w:r>
      <w:r w:rsidRPr="0087422E">
        <w:rPr>
          <w:b/>
          <w:color w:val="336699"/>
          <w:lang w:val="en-GB"/>
        </w:rPr>
        <w:t>The short-term impact of investments</w:t>
      </w:r>
      <w:r w:rsidR="00CF4339" w:rsidRPr="006D5CCB">
        <w:rPr>
          <w:lang w:val="en-GB"/>
        </w:rPr>
        <w:t xml:space="preserve">, </w:t>
      </w:r>
      <w:r w:rsidRPr="0087422E">
        <w:rPr>
          <w:lang w:val="en-GB"/>
        </w:rPr>
        <w:t xml:space="preserve">which was measured as employment of </w:t>
      </w:r>
      <w:r w:rsidR="00B75496" w:rsidRPr="0087422E">
        <w:rPr>
          <w:lang w:val="en-GB"/>
        </w:rPr>
        <w:t xml:space="preserve">the </w:t>
      </w:r>
      <w:r w:rsidRPr="0087422E">
        <w:rPr>
          <w:lang w:val="en-GB"/>
        </w:rPr>
        <w:t>project participants after taking part in the financed</w:t>
      </w:r>
      <w:r w:rsidR="00B75496" w:rsidRPr="0087422E">
        <w:rPr>
          <w:lang w:val="en-GB"/>
        </w:rPr>
        <w:t xml:space="preserve"> activities, was significant because </w:t>
      </w:r>
      <w:r w:rsidRPr="0087422E">
        <w:rPr>
          <w:lang w:val="en-GB"/>
        </w:rPr>
        <w:t xml:space="preserve">every second project participant found a job or remained </w:t>
      </w:r>
      <w:r w:rsidR="002F1DA0" w:rsidRPr="0087422E">
        <w:rPr>
          <w:lang w:val="en-GB"/>
        </w:rPr>
        <w:t>employed</w:t>
      </w:r>
      <w:r w:rsidRPr="0087422E">
        <w:rPr>
          <w:lang w:val="en-GB"/>
        </w:rPr>
        <w:t xml:space="preserve"> for more than </w:t>
      </w:r>
      <w:r w:rsidR="002F1DA0" w:rsidRPr="0087422E">
        <w:rPr>
          <w:lang w:val="en-GB"/>
        </w:rPr>
        <w:t>one</w:t>
      </w:r>
      <w:r w:rsidRPr="0087422E">
        <w:rPr>
          <w:lang w:val="en-GB"/>
        </w:rPr>
        <w:t xml:space="preserve"> year after interventions. </w:t>
      </w:r>
      <w:r w:rsidRPr="0087422E">
        <w:rPr>
          <w:b/>
          <w:color w:val="336699"/>
          <w:lang w:val="en-GB"/>
        </w:rPr>
        <w:t>The long-term impact of investments</w:t>
      </w:r>
      <w:r w:rsidRPr="0087422E">
        <w:rPr>
          <w:lang w:val="en-GB"/>
        </w:rPr>
        <w:t xml:space="preserve"> depended on specific active labour marker measures. For example, the greatest impact on </w:t>
      </w:r>
      <w:r w:rsidR="00B75496" w:rsidRPr="0087422E">
        <w:rPr>
          <w:lang w:val="en-GB"/>
        </w:rPr>
        <w:t xml:space="preserve">employability, longer </w:t>
      </w:r>
      <w:r w:rsidR="00EB780C" w:rsidRPr="0087422E">
        <w:rPr>
          <w:lang w:val="en-GB"/>
        </w:rPr>
        <w:t xml:space="preserve">stay </w:t>
      </w:r>
      <w:r w:rsidRPr="0087422E">
        <w:rPr>
          <w:lang w:val="en-GB"/>
        </w:rPr>
        <w:t xml:space="preserve">in the labour market and higher income </w:t>
      </w:r>
      <w:r w:rsidR="00EB780C" w:rsidRPr="0087422E">
        <w:rPr>
          <w:lang w:val="en-GB"/>
        </w:rPr>
        <w:t xml:space="preserve">was made by </w:t>
      </w:r>
      <w:r w:rsidRPr="0087422E">
        <w:rPr>
          <w:lang w:val="en-GB"/>
        </w:rPr>
        <w:t xml:space="preserve">support to </w:t>
      </w:r>
      <w:r w:rsidR="002F1DA0" w:rsidRPr="0087422E">
        <w:rPr>
          <w:lang w:val="en-GB"/>
        </w:rPr>
        <w:t xml:space="preserve">the acquisition of </w:t>
      </w:r>
      <w:r w:rsidRPr="0087422E">
        <w:rPr>
          <w:lang w:val="en-GB"/>
        </w:rPr>
        <w:t xml:space="preserve">working skills and vocational training. </w:t>
      </w:r>
      <w:r w:rsidR="002F1DA0" w:rsidRPr="0087422E">
        <w:rPr>
          <w:lang w:val="en-GB"/>
        </w:rPr>
        <w:t>The e</w:t>
      </w:r>
      <w:r w:rsidRPr="0087422E">
        <w:rPr>
          <w:lang w:val="en-GB"/>
        </w:rPr>
        <w:t>mployment of disabled people and their income w</w:t>
      </w:r>
      <w:r w:rsidR="002F1DA0" w:rsidRPr="0087422E">
        <w:rPr>
          <w:lang w:val="en-GB"/>
        </w:rPr>
        <w:t>ere</w:t>
      </w:r>
      <w:r w:rsidRPr="0087422E">
        <w:rPr>
          <w:lang w:val="en-GB"/>
        </w:rPr>
        <w:t xml:space="preserve"> mainly influenced by subsidi</w:t>
      </w:r>
      <w:r w:rsidR="002F1DA0" w:rsidRPr="0087422E">
        <w:rPr>
          <w:lang w:val="en-GB"/>
        </w:rPr>
        <w:t>s</w:t>
      </w:r>
      <w:r w:rsidRPr="0087422E">
        <w:rPr>
          <w:lang w:val="en-GB"/>
        </w:rPr>
        <w:t>ed employment. Investments from EU funds had an impact not only on these vulnerable groups (unemployed, socially excluded people) who participated in the projects, but also on organi</w:t>
      </w:r>
      <w:r w:rsidR="002F1DA0" w:rsidRPr="0087422E">
        <w:rPr>
          <w:lang w:val="en-GB"/>
        </w:rPr>
        <w:t>s</w:t>
      </w:r>
      <w:r w:rsidRPr="0087422E">
        <w:rPr>
          <w:lang w:val="en-GB"/>
        </w:rPr>
        <w:t>ations working with them. Using EU funds, organi</w:t>
      </w:r>
      <w:r w:rsidR="002F1DA0" w:rsidRPr="0087422E">
        <w:rPr>
          <w:lang w:val="en-GB"/>
        </w:rPr>
        <w:t>s</w:t>
      </w:r>
      <w:r w:rsidRPr="0087422E">
        <w:rPr>
          <w:lang w:val="en-GB"/>
        </w:rPr>
        <w:t xml:space="preserve">ations were properly prepared </w:t>
      </w:r>
      <w:r w:rsidR="002F1DA0" w:rsidRPr="0087422E">
        <w:rPr>
          <w:lang w:val="en-GB"/>
        </w:rPr>
        <w:t xml:space="preserve">and </w:t>
      </w:r>
      <w:r w:rsidRPr="0087422E">
        <w:rPr>
          <w:lang w:val="en-GB"/>
        </w:rPr>
        <w:t>therefore in the future th</w:t>
      </w:r>
      <w:r w:rsidR="002F1DA0" w:rsidRPr="0087422E">
        <w:rPr>
          <w:lang w:val="en-GB"/>
        </w:rPr>
        <w:t>ey</w:t>
      </w:r>
      <w:r w:rsidRPr="0087422E">
        <w:rPr>
          <w:lang w:val="en-GB"/>
        </w:rPr>
        <w:t xml:space="preserve"> will be able to work independently. In addition, qualifications of employees working in social services institutions were improved and their practical skills were strengthened.</w:t>
      </w:r>
    </w:p>
    <w:p w:rsidR="00F93A86" w:rsidRPr="0087422E" w:rsidRDefault="00F93A86" w:rsidP="00F93A86">
      <w:pPr>
        <w:spacing w:after="0" w:line="240" w:lineRule="auto"/>
        <w:jc w:val="both"/>
        <w:rPr>
          <w:lang w:val="en-GB"/>
        </w:rPr>
      </w:pPr>
    </w:p>
    <w:p w:rsidR="008168A2" w:rsidRPr="0087422E" w:rsidRDefault="00F93A86" w:rsidP="00F93A86">
      <w:pPr>
        <w:spacing w:after="0" w:line="240" w:lineRule="auto"/>
        <w:jc w:val="both"/>
        <w:rPr>
          <w:lang w:val="en-GB"/>
        </w:rPr>
      </w:pPr>
      <w:r w:rsidRPr="0087422E">
        <w:rPr>
          <w:lang w:val="en-GB"/>
        </w:rPr>
        <w:t>Investments aimed at promoting employment and social inclusion had a positive impact on the country</w:t>
      </w:r>
      <w:r w:rsidR="00EB780C" w:rsidRPr="0087422E">
        <w:rPr>
          <w:lang w:val="en-GB"/>
        </w:rPr>
        <w:t>’</w:t>
      </w:r>
      <w:r w:rsidRPr="0087422E">
        <w:rPr>
          <w:lang w:val="en-GB"/>
        </w:rPr>
        <w:t>s overall employment trend</w:t>
      </w:r>
      <w:r w:rsidR="00EB780C" w:rsidRPr="0087422E">
        <w:rPr>
          <w:lang w:val="en-GB"/>
        </w:rPr>
        <w:t>,</w:t>
      </w:r>
      <w:r w:rsidRPr="0087422E">
        <w:rPr>
          <w:lang w:val="en-GB"/>
        </w:rPr>
        <w:t xml:space="preserve"> which is reflected by strategic context indicators.</w:t>
      </w:r>
    </w:p>
    <w:p w:rsidR="00F93A86" w:rsidRDefault="00F93A86" w:rsidP="00F93A86">
      <w:pPr>
        <w:spacing w:after="0" w:line="240" w:lineRule="auto"/>
        <w:jc w:val="both"/>
        <w:rPr>
          <w:lang w:val="en-GB"/>
        </w:rPr>
      </w:pPr>
    </w:p>
    <w:p w:rsidR="00901D79" w:rsidRDefault="00901D79">
      <w:pPr>
        <w:rPr>
          <w:lang w:val="en-GB"/>
        </w:rPr>
      </w:pPr>
      <w:r>
        <w:rPr>
          <w:lang w:val="en-GB"/>
        </w:rPr>
        <w:br w:type="page"/>
      </w:r>
    </w:p>
    <w:p w:rsidR="001C18EC" w:rsidRPr="0087422E" w:rsidRDefault="002F1DA0" w:rsidP="001C18EC">
      <w:pPr>
        <w:pStyle w:val="Caption"/>
        <w:jc w:val="both"/>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lastRenderedPageBreak/>
        <w:t>Figure </w:t>
      </w:r>
      <w:r w:rsidR="00CF4339" w:rsidRPr="0087422E">
        <w:rPr>
          <w:rFonts w:ascii="Cambria" w:hAnsi="Cambria"/>
          <w:color w:val="1F4E79" w:themeColor="accent1" w:themeShade="80"/>
          <w:sz w:val="20"/>
          <w:szCs w:val="20"/>
          <w:lang w:val="en-GB"/>
        </w:rPr>
        <w:fldChar w:fldCharType="begin"/>
      </w:r>
      <w:r w:rsidR="001C18EC"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4</w:t>
      </w:r>
      <w:r w:rsidR="00CF4339" w:rsidRPr="0087422E">
        <w:rPr>
          <w:rFonts w:ascii="Cambria" w:hAnsi="Cambria"/>
          <w:color w:val="1F4E79" w:themeColor="accent1" w:themeShade="80"/>
          <w:sz w:val="20"/>
          <w:szCs w:val="20"/>
          <w:lang w:val="en-GB"/>
        </w:rPr>
        <w:fldChar w:fldCharType="end"/>
      </w:r>
      <w:r w:rsidR="001C18EC" w:rsidRPr="0087422E">
        <w:rPr>
          <w:rFonts w:ascii="Cambria" w:hAnsi="Cambria"/>
          <w:color w:val="1F4E79" w:themeColor="accent1" w:themeShade="80"/>
          <w:sz w:val="20"/>
          <w:szCs w:val="20"/>
          <w:lang w:val="en-GB"/>
        </w:rPr>
        <w:t>.</w:t>
      </w:r>
      <w:proofErr w:type="gramEnd"/>
      <w:r w:rsidR="001C18EC" w:rsidRPr="0087422E">
        <w:rPr>
          <w:rFonts w:ascii="Cambria" w:hAnsi="Cambria"/>
          <w:color w:val="1F4E79" w:themeColor="accent1" w:themeShade="80"/>
          <w:sz w:val="20"/>
          <w:szCs w:val="20"/>
          <w:lang w:val="en-GB"/>
        </w:rPr>
        <w:t xml:space="preserve"> </w:t>
      </w:r>
      <w:r w:rsidR="00F93A86" w:rsidRPr="0087422E">
        <w:rPr>
          <w:rFonts w:ascii="Cambria" w:hAnsi="Cambria"/>
          <w:color w:val="1F4E79" w:themeColor="accent1" w:themeShade="80"/>
          <w:sz w:val="20"/>
          <w:szCs w:val="20"/>
          <w:lang w:val="en-GB"/>
        </w:rPr>
        <w:t xml:space="preserve">Changes </w:t>
      </w:r>
      <w:r w:rsidRPr="0087422E">
        <w:rPr>
          <w:rFonts w:ascii="Cambria" w:hAnsi="Cambria"/>
          <w:color w:val="1F4E79" w:themeColor="accent1" w:themeShade="80"/>
          <w:sz w:val="20"/>
          <w:szCs w:val="20"/>
          <w:lang w:val="en-GB"/>
        </w:rPr>
        <w:t>in</w:t>
      </w:r>
      <w:r w:rsidR="00F93A86" w:rsidRPr="0087422E">
        <w:rPr>
          <w:rFonts w:ascii="Cambria" w:hAnsi="Cambria"/>
          <w:color w:val="1F4E79" w:themeColor="accent1" w:themeShade="80"/>
          <w:sz w:val="20"/>
          <w:szCs w:val="20"/>
          <w:lang w:val="en-GB"/>
        </w:rPr>
        <w:t xml:space="preserve"> strategic context indicators illustrating the </w:t>
      </w:r>
      <w:r w:rsidRPr="0087422E">
        <w:rPr>
          <w:rFonts w:ascii="Cambria" w:hAnsi="Cambria"/>
          <w:color w:val="1F4E79" w:themeColor="accent1" w:themeShade="80"/>
          <w:sz w:val="20"/>
          <w:szCs w:val="20"/>
          <w:lang w:val="en-GB"/>
        </w:rPr>
        <w:t xml:space="preserve">employment </w:t>
      </w:r>
      <w:r w:rsidR="00F93A86" w:rsidRPr="0087422E">
        <w:rPr>
          <w:rFonts w:ascii="Cambria" w:hAnsi="Cambria"/>
          <w:color w:val="1F4E79" w:themeColor="accent1" w:themeShade="80"/>
          <w:sz w:val="20"/>
          <w:szCs w:val="20"/>
          <w:lang w:val="en-GB"/>
        </w:rPr>
        <w:t>situation</w:t>
      </w:r>
    </w:p>
    <w:p w:rsidR="007F7984" w:rsidRPr="0087422E" w:rsidRDefault="00E00F44" w:rsidP="00714527">
      <w:pPr>
        <w:spacing w:after="0" w:line="240" w:lineRule="auto"/>
        <w:jc w:val="both"/>
        <w:rPr>
          <w:lang w:val="en-GB"/>
        </w:rPr>
      </w:pPr>
      <w:r w:rsidRPr="0087422E">
        <w:rPr>
          <w:noProof/>
          <w:lang w:eastAsia="lt-LT"/>
        </w:rPr>
        <w:drawing>
          <wp:inline distT="0" distB="0" distL="0" distR="0" wp14:anchorId="51E06E3D" wp14:editId="29F1F2E0">
            <wp:extent cx="6486525" cy="2657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7984" w:rsidRPr="0087422E" w:rsidRDefault="007F7984" w:rsidP="00714527">
      <w:pPr>
        <w:spacing w:after="0" w:line="240" w:lineRule="auto"/>
        <w:jc w:val="both"/>
        <w:rPr>
          <w:lang w:val="en-GB"/>
        </w:rPr>
      </w:pPr>
    </w:p>
    <w:p w:rsidR="00097D7F" w:rsidRPr="0087422E" w:rsidRDefault="00097D7F" w:rsidP="00714527">
      <w:pPr>
        <w:spacing w:after="0" w:line="240" w:lineRule="auto"/>
        <w:jc w:val="both"/>
        <w:rPr>
          <w:lang w:val="en-GB"/>
        </w:rPr>
      </w:pPr>
      <w:r w:rsidRPr="0087422E">
        <w:rPr>
          <w:lang w:val="en-GB"/>
        </w:rPr>
        <w:t>In 2007–2015,</w:t>
      </w:r>
      <w:r w:rsidR="00AF2058" w:rsidRPr="0087422E">
        <w:rPr>
          <w:lang w:val="en-GB"/>
        </w:rPr>
        <w:t xml:space="preserve"> the</w:t>
      </w:r>
      <w:r w:rsidRPr="0087422E">
        <w:rPr>
          <w:lang w:val="en-GB"/>
        </w:rPr>
        <w:t xml:space="preserve"> </w:t>
      </w:r>
      <w:r w:rsidRPr="0087422E">
        <w:rPr>
          <w:b/>
          <w:color w:val="336699"/>
          <w:lang w:val="en-GB"/>
        </w:rPr>
        <w:t>labour force participation rate</w:t>
      </w:r>
      <w:r w:rsidRPr="0087422E">
        <w:rPr>
          <w:lang w:val="en-GB"/>
        </w:rPr>
        <w:t xml:space="preserve"> grew by 6.2</w:t>
      </w:r>
      <w:r w:rsidR="00AF2058" w:rsidRPr="0087422E">
        <w:rPr>
          <w:lang w:val="en-GB"/>
        </w:rPr>
        <w:t>pp</w:t>
      </w:r>
      <w:r w:rsidRPr="0087422E">
        <w:rPr>
          <w:lang w:val="en-GB"/>
        </w:rPr>
        <w:t xml:space="preserve"> (from 67.9% to 74.1%). This growth was </w:t>
      </w:r>
      <w:r w:rsidR="00EB780C" w:rsidRPr="0087422E">
        <w:rPr>
          <w:lang w:val="en-GB"/>
        </w:rPr>
        <w:t xml:space="preserve">also </w:t>
      </w:r>
      <w:r w:rsidRPr="0087422E">
        <w:rPr>
          <w:lang w:val="en-GB"/>
        </w:rPr>
        <w:t>influenced by EU interventions because EU funds contributed to</w:t>
      </w:r>
      <w:r w:rsidR="00AF2058" w:rsidRPr="0087422E">
        <w:rPr>
          <w:lang w:val="en-GB"/>
        </w:rPr>
        <w:t xml:space="preserve"> the</w:t>
      </w:r>
      <w:r w:rsidRPr="0087422E">
        <w:rPr>
          <w:lang w:val="en-GB"/>
        </w:rPr>
        <w:t xml:space="preserve"> improvement of employees’ qualifications and their access to </w:t>
      </w:r>
      <w:r w:rsidR="00AF2058" w:rsidRPr="0087422E">
        <w:rPr>
          <w:lang w:val="en-GB"/>
        </w:rPr>
        <w:t xml:space="preserve">the </w:t>
      </w:r>
      <w:r w:rsidRPr="0087422E">
        <w:rPr>
          <w:lang w:val="en-GB"/>
        </w:rPr>
        <w:t xml:space="preserve">labour market. In 2007–2015, the </w:t>
      </w:r>
      <w:r w:rsidRPr="0087422E">
        <w:rPr>
          <w:b/>
          <w:color w:val="336699"/>
          <w:lang w:val="en-GB"/>
        </w:rPr>
        <w:t>overall employment rate</w:t>
      </w:r>
      <w:r w:rsidRPr="0087422E">
        <w:rPr>
          <w:color w:val="336699"/>
          <w:lang w:val="en-GB"/>
        </w:rPr>
        <w:t xml:space="preserve"> </w:t>
      </w:r>
      <w:r w:rsidRPr="0087422E">
        <w:rPr>
          <w:lang w:val="en-GB"/>
        </w:rPr>
        <w:t>increased by more than 2</w:t>
      </w:r>
      <w:r w:rsidR="00AF2058" w:rsidRPr="0087422E">
        <w:rPr>
          <w:lang w:val="en-GB"/>
        </w:rPr>
        <w:t>pp</w:t>
      </w:r>
      <w:r w:rsidRPr="0087422E">
        <w:rPr>
          <w:lang w:val="en-GB"/>
        </w:rPr>
        <w:t xml:space="preserve"> (from 65% to 67.2%). EU funds contributed to this change</w:t>
      </w:r>
      <w:r w:rsidR="00AF2058" w:rsidRPr="0087422E">
        <w:rPr>
          <w:lang w:val="en-GB"/>
        </w:rPr>
        <w:t xml:space="preserve"> by</w:t>
      </w:r>
      <w:r w:rsidRPr="0087422E">
        <w:rPr>
          <w:lang w:val="en-GB"/>
        </w:rPr>
        <w:t xml:space="preserve"> </w:t>
      </w:r>
      <w:r w:rsidR="00AF2058" w:rsidRPr="0087422E">
        <w:rPr>
          <w:lang w:val="en-GB"/>
        </w:rPr>
        <w:t xml:space="preserve">supporting </w:t>
      </w:r>
      <w:r w:rsidRPr="0087422E">
        <w:rPr>
          <w:lang w:val="en-GB"/>
        </w:rPr>
        <w:t xml:space="preserve">temporary employment. In addition, loans issued </w:t>
      </w:r>
      <w:r w:rsidR="00AF2058" w:rsidRPr="0087422E">
        <w:rPr>
          <w:lang w:val="en-GB"/>
        </w:rPr>
        <w:t xml:space="preserve">by the </w:t>
      </w:r>
      <w:r w:rsidRPr="0087422E">
        <w:rPr>
          <w:lang w:val="en-GB"/>
        </w:rPr>
        <w:t xml:space="preserve">Entrepreneurship </w:t>
      </w:r>
      <w:r w:rsidR="00E12077" w:rsidRPr="0087422E">
        <w:rPr>
          <w:lang w:val="en-GB"/>
        </w:rPr>
        <w:t xml:space="preserve">Promotion </w:t>
      </w:r>
      <w:r w:rsidRPr="0087422E">
        <w:rPr>
          <w:lang w:val="en-GB"/>
        </w:rPr>
        <w:t xml:space="preserve">Fund were directly </w:t>
      </w:r>
      <w:r w:rsidR="00AF2058" w:rsidRPr="0087422E">
        <w:rPr>
          <w:lang w:val="en-GB"/>
        </w:rPr>
        <w:t>aimed at job creation</w:t>
      </w:r>
      <w:r w:rsidRPr="0087422E">
        <w:rPr>
          <w:lang w:val="en-GB"/>
        </w:rPr>
        <w:t>. Because of active labour market measures which were implemented using EU funds</w:t>
      </w:r>
      <w:r w:rsidR="004842F0" w:rsidRPr="0087422E">
        <w:rPr>
          <w:lang w:val="en-GB"/>
        </w:rPr>
        <w:t>,</w:t>
      </w:r>
      <w:r w:rsidRPr="0087422E">
        <w:rPr>
          <w:lang w:val="en-GB"/>
        </w:rPr>
        <w:t xml:space="preserve"> </w:t>
      </w:r>
      <w:r w:rsidR="00AF2058" w:rsidRPr="0087422E">
        <w:rPr>
          <w:lang w:val="en-GB"/>
        </w:rPr>
        <w:t xml:space="preserve">the </w:t>
      </w:r>
      <w:r w:rsidRPr="0087422E">
        <w:rPr>
          <w:b/>
          <w:color w:val="336699"/>
          <w:lang w:val="en-GB"/>
        </w:rPr>
        <w:t>unemployment rate</w:t>
      </w:r>
      <w:r w:rsidRPr="0087422E">
        <w:rPr>
          <w:color w:val="336699"/>
          <w:lang w:val="en-GB"/>
        </w:rPr>
        <w:t xml:space="preserve"> </w:t>
      </w:r>
      <w:r w:rsidRPr="0087422E">
        <w:rPr>
          <w:lang w:val="en-GB"/>
        </w:rPr>
        <w:t xml:space="preserve">in the country was decreasing by 1% every year. In 2009–2015, the </w:t>
      </w:r>
      <w:r w:rsidRPr="0087422E">
        <w:rPr>
          <w:b/>
          <w:color w:val="336699"/>
          <w:lang w:val="en-GB"/>
        </w:rPr>
        <w:t>employment rate</w:t>
      </w:r>
      <w:r w:rsidRPr="0087422E">
        <w:rPr>
          <w:color w:val="336699"/>
          <w:lang w:val="en-GB"/>
        </w:rPr>
        <w:t xml:space="preserve"> </w:t>
      </w:r>
      <w:r w:rsidRPr="0087422E">
        <w:rPr>
          <w:lang w:val="en-GB"/>
        </w:rPr>
        <w:t>was on average</w:t>
      </w:r>
      <w:r w:rsidR="004842F0" w:rsidRPr="0087422E">
        <w:rPr>
          <w:lang w:val="en-GB"/>
        </w:rPr>
        <w:t xml:space="preserve"> 0.8% higher, in comparison to</w:t>
      </w:r>
      <w:r w:rsidRPr="0087422E">
        <w:rPr>
          <w:lang w:val="en-GB"/>
        </w:rPr>
        <w:t xml:space="preserve"> the situation without E</w:t>
      </w:r>
      <w:r w:rsidR="00AF2058" w:rsidRPr="0087422E">
        <w:rPr>
          <w:lang w:val="en-GB"/>
        </w:rPr>
        <w:t>U</w:t>
      </w:r>
      <w:r w:rsidRPr="0087422E">
        <w:rPr>
          <w:lang w:val="en-GB"/>
        </w:rPr>
        <w:t xml:space="preserve"> investments. Interventions had a positive impact on</w:t>
      </w:r>
      <w:r w:rsidR="00AF2058" w:rsidRPr="0087422E">
        <w:rPr>
          <w:lang w:val="en-GB"/>
        </w:rPr>
        <w:t xml:space="preserve"> the</w:t>
      </w:r>
      <w:r w:rsidRPr="0087422E">
        <w:rPr>
          <w:lang w:val="en-GB"/>
        </w:rPr>
        <w:t xml:space="preserve"> </w:t>
      </w:r>
      <w:r w:rsidRPr="0087422E">
        <w:rPr>
          <w:b/>
          <w:color w:val="336699"/>
          <w:lang w:val="en-GB"/>
        </w:rPr>
        <w:t>employment rate of women</w:t>
      </w:r>
      <w:r w:rsidR="00CF4339" w:rsidRPr="006D5CCB">
        <w:rPr>
          <w:lang w:val="en-GB"/>
        </w:rPr>
        <w:t xml:space="preserve">, </w:t>
      </w:r>
      <w:r w:rsidRPr="0087422E">
        <w:rPr>
          <w:lang w:val="en-GB"/>
        </w:rPr>
        <w:t>which grew by 4.5</w:t>
      </w:r>
      <w:r w:rsidR="00AF2058" w:rsidRPr="0087422E">
        <w:rPr>
          <w:lang w:val="en-GB"/>
        </w:rPr>
        <w:t>pp</w:t>
      </w:r>
      <w:r w:rsidRPr="0087422E">
        <w:rPr>
          <w:lang w:val="en-GB"/>
        </w:rPr>
        <w:t xml:space="preserve"> in 2007–2015 (from 62% to 66.5%). Implemented projects helped women to combine family and work commitments and to enter </w:t>
      </w:r>
      <w:r w:rsidR="004842F0" w:rsidRPr="0087422E">
        <w:rPr>
          <w:lang w:val="en-GB"/>
        </w:rPr>
        <w:t xml:space="preserve">into </w:t>
      </w:r>
      <w:r w:rsidRPr="0087422E">
        <w:rPr>
          <w:lang w:val="en-GB"/>
        </w:rPr>
        <w:t>the labour market.</w:t>
      </w:r>
    </w:p>
    <w:p w:rsidR="00097D7F" w:rsidRPr="0087422E" w:rsidRDefault="00097D7F" w:rsidP="00714527">
      <w:pPr>
        <w:spacing w:after="0" w:line="240" w:lineRule="auto"/>
        <w:jc w:val="both"/>
        <w:rPr>
          <w:lang w:val="en-GB"/>
        </w:rPr>
      </w:pPr>
    </w:p>
    <w:p w:rsidR="00E12077" w:rsidRPr="0087422E" w:rsidRDefault="00AF2058" w:rsidP="00E12077">
      <w:pPr>
        <w:spacing w:after="0" w:line="240" w:lineRule="auto"/>
        <w:jc w:val="both"/>
        <w:rPr>
          <w:lang w:val="en-GB"/>
        </w:rPr>
      </w:pPr>
      <w:r w:rsidRPr="0087422E">
        <w:rPr>
          <w:b/>
          <w:color w:val="336699"/>
          <w:lang w:val="en-GB"/>
        </w:rPr>
        <w:t>The e</w:t>
      </w:r>
      <w:r w:rsidR="00E12077" w:rsidRPr="0087422E">
        <w:rPr>
          <w:b/>
          <w:color w:val="336699"/>
          <w:lang w:val="en-GB"/>
        </w:rPr>
        <w:t>mployment rate of elderly people</w:t>
      </w:r>
      <w:r w:rsidR="00E12077" w:rsidRPr="0087422E">
        <w:rPr>
          <w:lang w:val="en-GB"/>
        </w:rPr>
        <w:t xml:space="preserve"> rose by more than 7</w:t>
      </w:r>
      <w:r w:rsidRPr="0087422E">
        <w:rPr>
          <w:lang w:val="en-GB"/>
        </w:rPr>
        <w:t xml:space="preserve">pp </w:t>
      </w:r>
      <w:r w:rsidR="00E12077" w:rsidRPr="0087422E">
        <w:rPr>
          <w:lang w:val="en-GB"/>
        </w:rPr>
        <w:t xml:space="preserve">(from 53.2% to 60.4%). It was mostly affected by the economic cycle and regulatory environment, but EU </w:t>
      </w:r>
      <w:r w:rsidR="004842F0" w:rsidRPr="0087422E">
        <w:rPr>
          <w:lang w:val="en-GB"/>
        </w:rPr>
        <w:t xml:space="preserve">investments </w:t>
      </w:r>
      <w:r w:rsidR="00EB780C" w:rsidRPr="0087422E">
        <w:rPr>
          <w:lang w:val="en-GB"/>
        </w:rPr>
        <w:t>were also a contributing factor</w:t>
      </w:r>
      <w:r w:rsidR="00E12077" w:rsidRPr="0087422E">
        <w:rPr>
          <w:lang w:val="en-GB"/>
        </w:rPr>
        <w:t xml:space="preserve"> (for example, elderly people </w:t>
      </w:r>
      <w:r w:rsidRPr="0087422E">
        <w:rPr>
          <w:lang w:val="en-GB"/>
        </w:rPr>
        <w:t>were</w:t>
      </w:r>
      <w:r w:rsidR="00E12077" w:rsidRPr="0087422E">
        <w:rPr>
          <w:lang w:val="en-GB"/>
        </w:rPr>
        <w:t xml:space="preserve"> identified as </w:t>
      </w:r>
      <w:r w:rsidR="00EB780C" w:rsidRPr="0087422E">
        <w:rPr>
          <w:lang w:val="en-GB"/>
        </w:rPr>
        <w:t>a</w:t>
      </w:r>
      <w:r w:rsidR="00E12077" w:rsidRPr="0087422E">
        <w:rPr>
          <w:lang w:val="en-GB"/>
        </w:rPr>
        <w:t xml:space="preserve"> priority group</w:t>
      </w:r>
      <w:r w:rsidRPr="0087422E">
        <w:rPr>
          <w:lang w:val="en-GB"/>
        </w:rPr>
        <w:t xml:space="preserve"> for loans granted by the Entrepreneurship Promotion Fund</w:t>
      </w:r>
      <w:r w:rsidR="00E12077" w:rsidRPr="0087422E">
        <w:rPr>
          <w:lang w:val="en-GB"/>
        </w:rPr>
        <w:t xml:space="preserve">). EU funds helped to reduce the digital </w:t>
      </w:r>
      <w:r w:rsidRPr="0087422E">
        <w:rPr>
          <w:lang w:val="en-GB"/>
        </w:rPr>
        <w:t xml:space="preserve">gap </w:t>
      </w:r>
      <w:r w:rsidR="00E12077" w:rsidRPr="0087422E">
        <w:rPr>
          <w:lang w:val="en-GB"/>
        </w:rPr>
        <w:t xml:space="preserve">of elderly people and to create better conditions </w:t>
      </w:r>
      <w:r w:rsidR="004842F0" w:rsidRPr="0087422E">
        <w:rPr>
          <w:lang w:val="en-GB"/>
        </w:rPr>
        <w:t xml:space="preserve">for them </w:t>
      </w:r>
      <w:r w:rsidR="00E12077" w:rsidRPr="0087422E">
        <w:rPr>
          <w:lang w:val="en-GB"/>
        </w:rPr>
        <w:t xml:space="preserve">to find a job or stay in the labour market. In 2007–2015, </w:t>
      </w:r>
      <w:r w:rsidRPr="0087422E">
        <w:rPr>
          <w:lang w:val="en-GB"/>
        </w:rPr>
        <w:t xml:space="preserve">the </w:t>
      </w:r>
      <w:r w:rsidR="00E12077" w:rsidRPr="0087422E">
        <w:rPr>
          <w:b/>
          <w:color w:val="336699"/>
          <w:lang w:val="en-GB"/>
        </w:rPr>
        <w:t>share of working people with disabilities</w:t>
      </w:r>
      <w:r w:rsidR="00E12077" w:rsidRPr="0087422E">
        <w:rPr>
          <w:color w:val="336699"/>
          <w:lang w:val="en-GB"/>
        </w:rPr>
        <w:t xml:space="preserve"> </w:t>
      </w:r>
      <w:r w:rsidR="00E12077" w:rsidRPr="0087422E">
        <w:rPr>
          <w:lang w:val="en-GB"/>
        </w:rPr>
        <w:t>grew by 1.6</w:t>
      </w:r>
      <w:r w:rsidRPr="0087422E">
        <w:rPr>
          <w:lang w:val="en-GB"/>
        </w:rPr>
        <w:t>pp</w:t>
      </w:r>
      <w:r w:rsidR="00E12077" w:rsidRPr="0087422E">
        <w:rPr>
          <w:lang w:val="en-GB"/>
        </w:rPr>
        <w:t xml:space="preserve"> (from 27.2% to 28.8%). EU</w:t>
      </w:r>
      <w:r w:rsidRPr="0087422E">
        <w:rPr>
          <w:lang w:val="en-GB"/>
        </w:rPr>
        <w:t xml:space="preserve">–funded </w:t>
      </w:r>
      <w:r w:rsidR="00E12077" w:rsidRPr="0087422E">
        <w:rPr>
          <w:lang w:val="en-GB"/>
        </w:rPr>
        <w:t xml:space="preserve">interventions contributed to these changes (for example, disabled people employed using EU funding accounted for 3% of </w:t>
      </w:r>
      <w:r w:rsidRPr="0087422E">
        <w:rPr>
          <w:lang w:val="en-GB"/>
        </w:rPr>
        <w:t xml:space="preserve">the labour force </w:t>
      </w:r>
      <w:r w:rsidR="00E12077" w:rsidRPr="0087422E">
        <w:rPr>
          <w:lang w:val="en-GB"/>
        </w:rPr>
        <w:t>with disabilities</w:t>
      </w:r>
      <w:r w:rsidR="004842F0" w:rsidRPr="0087422E">
        <w:rPr>
          <w:lang w:val="en-GB"/>
        </w:rPr>
        <w:t xml:space="preserve"> in 2015</w:t>
      </w:r>
      <w:r w:rsidR="00E12077" w:rsidRPr="0087422E">
        <w:rPr>
          <w:lang w:val="en-GB"/>
        </w:rPr>
        <w:t>).</w:t>
      </w:r>
    </w:p>
    <w:p w:rsidR="00E5040B" w:rsidRPr="0087422E" w:rsidRDefault="00E5040B" w:rsidP="00714527">
      <w:pPr>
        <w:spacing w:after="0" w:line="240" w:lineRule="auto"/>
        <w:jc w:val="both"/>
        <w:rPr>
          <w:lang w:val="en-GB"/>
        </w:rPr>
      </w:pPr>
    </w:p>
    <w:p w:rsidR="00E5040B" w:rsidRPr="0087422E" w:rsidRDefault="00E5040B" w:rsidP="00714527">
      <w:pPr>
        <w:spacing w:after="0" w:line="240" w:lineRule="auto"/>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10421"/>
      </w:tblGrid>
      <w:tr w:rsidR="0040306E" w:rsidRPr="0087422E" w:rsidTr="003F252F">
        <w:tc>
          <w:tcPr>
            <w:tcW w:w="10421" w:type="dxa"/>
            <w:shd w:val="clear" w:color="auto" w:fill="DEEAF6" w:themeFill="accent1" w:themeFillTint="33"/>
          </w:tcPr>
          <w:p w:rsidR="0040306E" w:rsidRPr="0087422E" w:rsidRDefault="00EB780C" w:rsidP="00EB780C">
            <w:pPr>
              <w:jc w:val="center"/>
              <w:rPr>
                <w:b/>
                <w:lang w:val="en-GB"/>
              </w:rPr>
            </w:pPr>
            <w:r w:rsidRPr="0087422E">
              <w:rPr>
                <w:b/>
                <w:color w:val="2E74B5" w:themeColor="accent1" w:themeShade="BF"/>
                <w:lang w:val="en-GB"/>
              </w:rPr>
              <w:t xml:space="preserve">EU-FUNDED </w:t>
            </w:r>
            <w:r w:rsidR="00F93A86" w:rsidRPr="0087422E">
              <w:rPr>
                <w:b/>
                <w:color w:val="2E74B5" w:themeColor="accent1" w:themeShade="BF"/>
                <w:lang w:val="en-GB"/>
              </w:rPr>
              <w:t xml:space="preserve">MEASURES AIMED AT DEVELOPING </w:t>
            </w:r>
            <w:r w:rsidRPr="0087422E">
              <w:rPr>
                <w:b/>
                <w:color w:val="2E74B5" w:themeColor="accent1" w:themeShade="BF"/>
                <w:lang w:val="en-GB"/>
              </w:rPr>
              <w:t xml:space="preserve">A </w:t>
            </w:r>
            <w:r w:rsidR="00F93A86" w:rsidRPr="0087422E">
              <w:rPr>
                <w:b/>
                <w:color w:val="2E74B5" w:themeColor="accent1" w:themeShade="BF"/>
                <w:lang w:val="en-GB"/>
              </w:rPr>
              <w:t xml:space="preserve">LIFELONG LEARNING </w:t>
            </w:r>
            <w:r w:rsidRPr="0087422E">
              <w:rPr>
                <w:b/>
                <w:color w:val="2E74B5" w:themeColor="accent1" w:themeShade="BF"/>
                <w:lang w:val="en-GB"/>
              </w:rPr>
              <w:t xml:space="preserve">SYSTEM </w:t>
            </w:r>
            <w:r w:rsidR="00F93A86" w:rsidRPr="0087422E">
              <w:rPr>
                <w:b/>
                <w:color w:val="2E74B5" w:themeColor="accent1" w:themeShade="BF"/>
                <w:lang w:val="en-GB"/>
              </w:rPr>
              <w:t>AND IMPROVING THE QUALITY OF SERVICES</w:t>
            </w:r>
          </w:p>
        </w:tc>
      </w:tr>
    </w:tbl>
    <w:p w:rsidR="0040306E" w:rsidRPr="0087422E" w:rsidRDefault="0040306E" w:rsidP="0040306E">
      <w:pPr>
        <w:spacing w:after="0" w:line="240" w:lineRule="auto"/>
        <w:jc w:val="both"/>
        <w:rPr>
          <w:lang w:val="en-GB"/>
        </w:rPr>
      </w:pPr>
    </w:p>
    <w:p w:rsidR="00B228F9" w:rsidRPr="0087422E" w:rsidRDefault="00B228F9" w:rsidP="00B228F9">
      <w:pPr>
        <w:spacing w:after="0" w:line="240" w:lineRule="auto"/>
        <w:jc w:val="both"/>
        <w:rPr>
          <w:lang w:val="en-GB"/>
        </w:rPr>
      </w:pPr>
      <w:r w:rsidRPr="0087422E">
        <w:rPr>
          <w:lang w:val="en-GB"/>
        </w:rPr>
        <w:t xml:space="preserve">The second investment axis was aimed at promoting lifelong learning because in Lithuania compared to other EU </w:t>
      </w:r>
      <w:r w:rsidR="00AF2058" w:rsidRPr="0087422E">
        <w:rPr>
          <w:lang w:val="en-GB"/>
        </w:rPr>
        <w:t>M</w:t>
      </w:r>
      <w:r w:rsidRPr="0087422E">
        <w:rPr>
          <w:lang w:val="en-GB"/>
        </w:rPr>
        <w:t xml:space="preserve">ember </w:t>
      </w:r>
      <w:r w:rsidR="00AF2058" w:rsidRPr="0087422E">
        <w:rPr>
          <w:lang w:val="en-GB"/>
        </w:rPr>
        <w:t>S</w:t>
      </w:r>
      <w:r w:rsidRPr="0087422E">
        <w:rPr>
          <w:lang w:val="en-GB"/>
        </w:rPr>
        <w:t xml:space="preserve">tates only a small part of adults </w:t>
      </w:r>
      <w:r w:rsidR="00AF2058" w:rsidRPr="0087422E">
        <w:rPr>
          <w:lang w:val="en-GB"/>
        </w:rPr>
        <w:t xml:space="preserve">is </w:t>
      </w:r>
      <w:r w:rsidRPr="0087422E">
        <w:rPr>
          <w:lang w:val="en-GB"/>
        </w:rPr>
        <w:t xml:space="preserve">involved in educational activities. </w:t>
      </w:r>
      <w:r w:rsidR="00241E9A" w:rsidRPr="0087422E">
        <w:rPr>
          <w:lang w:val="en-GB"/>
        </w:rPr>
        <w:t>T</w:t>
      </w:r>
      <w:r w:rsidRPr="0087422E">
        <w:rPr>
          <w:lang w:val="en-GB"/>
        </w:rPr>
        <w:t xml:space="preserve">he </w:t>
      </w:r>
      <w:r w:rsidRPr="0087422E">
        <w:rPr>
          <w:b/>
          <w:color w:val="336699"/>
          <w:lang w:val="en-GB"/>
        </w:rPr>
        <w:t xml:space="preserve">strengthening of the institutional </w:t>
      </w:r>
      <w:r w:rsidR="00EB780C" w:rsidRPr="0087422E">
        <w:rPr>
          <w:b/>
          <w:color w:val="336699"/>
          <w:lang w:val="en-GB"/>
        </w:rPr>
        <w:t>lifelong learning</w:t>
      </w:r>
      <w:r w:rsidR="00EB780C" w:rsidRPr="0087422E">
        <w:rPr>
          <w:color w:val="336699"/>
          <w:lang w:val="en-GB"/>
        </w:rPr>
        <w:t xml:space="preserve"> </w:t>
      </w:r>
      <w:r w:rsidRPr="0087422E">
        <w:rPr>
          <w:b/>
          <w:color w:val="336699"/>
          <w:lang w:val="en-GB"/>
        </w:rPr>
        <w:t xml:space="preserve">system </w:t>
      </w:r>
      <w:r w:rsidRPr="0087422E">
        <w:rPr>
          <w:lang w:val="en-GB"/>
        </w:rPr>
        <w:t xml:space="preserve">was financed (design and development of educational institutions’ quality evaluation systems, staff training, improvement of universities’ internal management structures, development of information systems, etc.). </w:t>
      </w:r>
      <w:r w:rsidR="00AF2058" w:rsidRPr="0087422E">
        <w:rPr>
          <w:lang w:val="en-GB"/>
        </w:rPr>
        <w:t xml:space="preserve">The </w:t>
      </w:r>
      <w:r w:rsidRPr="0087422E">
        <w:rPr>
          <w:lang w:val="en-GB"/>
        </w:rPr>
        <w:t xml:space="preserve">EU </w:t>
      </w:r>
      <w:r w:rsidR="00AF2058" w:rsidRPr="0087422E">
        <w:rPr>
          <w:lang w:val="en-GB"/>
        </w:rPr>
        <w:t>also financed</w:t>
      </w:r>
      <w:r w:rsidRPr="0087422E">
        <w:rPr>
          <w:lang w:val="en-GB"/>
        </w:rPr>
        <w:t xml:space="preserve"> </w:t>
      </w:r>
      <w:r w:rsidR="00AF2058" w:rsidRPr="0087422E">
        <w:rPr>
          <w:lang w:val="en-GB"/>
        </w:rPr>
        <w:t xml:space="preserve">the </w:t>
      </w:r>
      <w:r w:rsidRPr="0087422E">
        <w:rPr>
          <w:b/>
          <w:color w:val="336699"/>
          <w:lang w:val="en-GB"/>
        </w:rPr>
        <w:t>improve</w:t>
      </w:r>
      <w:r w:rsidR="00AF2058" w:rsidRPr="0087422E">
        <w:rPr>
          <w:b/>
          <w:color w:val="336699"/>
          <w:lang w:val="en-GB"/>
        </w:rPr>
        <w:t>ment of the</w:t>
      </w:r>
      <w:r w:rsidRPr="0087422E">
        <w:rPr>
          <w:b/>
          <w:color w:val="336699"/>
          <w:lang w:val="en-GB"/>
        </w:rPr>
        <w:t xml:space="preserve"> quality and accessibility of lifelong learning services</w:t>
      </w:r>
      <w:r w:rsidRPr="0087422E">
        <w:rPr>
          <w:color w:val="336699"/>
          <w:lang w:val="en-GB"/>
        </w:rPr>
        <w:t xml:space="preserve"> </w:t>
      </w:r>
      <w:r w:rsidRPr="0087422E">
        <w:rPr>
          <w:lang w:val="en-GB"/>
        </w:rPr>
        <w:t>(formal and non-formal education of teachers, professors, pupils and students</w:t>
      </w:r>
      <w:r w:rsidR="000E250B" w:rsidRPr="0087422E">
        <w:rPr>
          <w:lang w:val="en-GB"/>
        </w:rPr>
        <w:t>;</w:t>
      </w:r>
      <w:r w:rsidRPr="0087422E">
        <w:rPr>
          <w:lang w:val="en-GB"/>
        </w:rPr>
        <w:t xml:space="preserve"> improvement of adults’ basic skills</w:t>
      </w:r>
      <w:r w:rsidR="000E250B" w:rsidRPr="0087422E">
        <w:rPr>
          <w:lang w:val="en-GB"/>
        </w:rPr>
        <w:t>;</w:t>
      </w:r>
      <w:r w:rsidRPr="0087422E">
        <w:rPr>
          <w:lang w:val="en-GB"/>
        </w:rPr>
        <w:t xml:space="preserve"> improvement of </w:t>
      </w:r>
      <w:r w:rsidR="000E250B" w:rsidRPr="0087422E">
        <w:rPr>
          <w:lang w:val="en-GB"/>
        </w:rPr>
        <w:t xml:space="preserve">the </w:t>
      </w:r>
      <w:r w:rsidRPr="0087422E">
        <w:rPr>
          <w:lang w:val="en-GB"/>
        </w:rPr>
        <w:t xml:space="preserve">accessibility </w:t>
      </w:r>
      <w:r w:rsidR="000E250B" w:rsidRPr="0087422E">
        <w:rPr>
          <w:lang w:val="en-GB"/>
        </w:rPr>
        <w:t>of the</w:t>
      </w:r>
      <w:r w:rsidRPr="0087422E">
        <w:rPr>
          <w:lang w:val="en-GB"/>
        </w:rPr>
        <w:t xml:space="preserve"> higher education system</w:t>
      </w:r>
      <w:r w:rsidR="000E250B" w:rsidRPr="0087422E">
        <w:rPr>
          <w:lang w:val="en-GB"/>
        </w:rPr>
        <w:t>;</w:t>
      </w:r>
      <w:r w:rsidRPr="0087422E">
        <w:rPr>
          <w:lang w:val="en-GB"/>
        </w:rPr>
        <w:t xml:space="preserve"> renewal of stud</w:t>
      </w:r>
      <w:r w:rsidR="000E250B" w:rsidRPr="0087422E">
        <w:rPr>
          <w:lang w:val="en-GB"/>
        </w:rPr>
        <w:t>y</w:t>
      </w:r>
      <w:r w:rsidRPr="0087422E">
        <w:rPr>
          <w:lang w:val="en-GB"/>
        </w:rPr>
        <w:t xml:space="preserve"> programmes</w:t>
      </w:r>
      <w:r w:rsidR="000E250B" w:rsidRPr="0087422E">
        <w:rPr>
          <w:lang w:val="en-GB"/>
        </w:rPr>
        <w:t>;</w:t>
      </w:r>
      <w:r w:rsidRPr="0087422E">
        <w:rPr>
          <w:lang w:val="en-GB"/>
        </w:rPr>
        <w:t xml:space="preserve"> development of non-formal education system</w:t>
      </w:r>
      <w:r w:rsidR="000E250B" w:rsidRPr="0087422E">
        <w:rPr>
          <w:lang w:val="en-GB"/>
        </w:rPr>
        <w:t>;</w:t>
      </w:r>
      <w:r w:rsidRPr="0087422E">
        <w:rPr>
          <w:lang w:val="en-GB"/>
        </w:rPr>
        <w:t xml:space="preserve"> creation of vocational orientation measures</w:t>
      </w:r>
      <w:r w:rsidR="000E250B" w:rsidRPr="0087422E">
        <w:rPr>
          <w:lang w:val="en-GB"/>
        </w:rPr>
        <w:t>;</w:t>
      </w:r>
      <w:r w:rsidRPr="0087422E">
        <w:rPr>
          <w:lang w:val="en-GB"/>
        </w:rPr>
        <w:t xml:space="preserve"> creation of career education</w:t>
      </w:r>
      <w:r w:rsidR="000E250B" w:rsidRPr="0087422E">
        <w:rPr>
          <w:lang w:val="en-GB"/>
        </w:rPr>
        <w:t xml:space="preserve"> models;</w:t>
      </w:r>
      <w:r w:rsidRPr="0087422E">
        <w:rPr>
          <w:lang w:val="en-GB"/>
        </w:rPr>
        <w:t xml:space="preserve"> training of specialists working with pupils and students, etc.).</w:t>
      </w:r>
    </w:p>
    <w:p w:rsidR="00B228F9" w:rsidRDefault="00B228F9" w:rsidP="00B228F9">
      <w:pPr>
        <w:spacing w:after="0" w:line="240" w:lineRule="auto"/>
        <w:jc w:val="both"/>
        <w:rPr>
          <w:lang w:val="en-GB"/>
        </w:rPr>
      </w:pPr>
    </w:p>
    <w:p w:rsidR="00901D79" w:rsidRDefault="00901D79">
      <w:pPr>
        <w:rPr>
          <w:lang w:val="en-GB"/>
        </w:rPr>
      </w:pPr>
      <w:r>
        <w:rPr>
          <w:lang w:val="en-GB"/>
        </w:rPr>
        <w:br w:type="page"/>
      </w:r>
    </w:p>
    <w:p w:rsidR="00915BCF" w:rsidRPr="0087422E" w:rsidRDefault="00CC3B12" w:rsidP="00915BCF">
      <w:pPr>
        <w:spacing w:after="0" w:line="240" w:lineRule="auto"/>
        <w:jc w:val="both"/>
        <w:rPr>
          <w:b/>
          <w:color w:val="1F4E79" w:themeColor="accent1" w:themeShade="80"/>
          <w:lang w:val="en-GB"/>
        </w:rPr>
      </w:pPr>
      <w:r w:rsidRPr="0087422E">
        <w:rPr>
          <w:b/>
          <w:color w:val="1F4E79" w:themeColor="accent1" w:themeShade="80"/>
          <w:lang w:val="en-GB"/>
        </w:rPr>
        <w:lastRenderedPageBreak/>
        <w:t>RESULTS OF</w:t>
      </w:r>
      <w:r w:rsidR="00AF2E9A">
        <w:rPr>
          <w:b/>
          <w:color w:val="1F4E79" w:themeColor="accent1" w:themeShade="80"/>
          <w:lang w:val="en-GB"/>
        </w:rPr>
        <w:t xml:space="preserve"> THE</w:t>
      </w:r>
      <w:r w:rsidRPr="0087422E">
        <w:rPr>
          <w:b/>
          <w:color w:val="1F4E79" w:themeColor="accent1" w:themeShade="80"/>
          <w:lang w:val="en-GB"/>
        </w:rPr>
        <w:t xml:space="preserve"> INVESTMENTS</w:t>
      </w:r>
    </w:p>
    <w:p w:rsidR="00915BCF" w:rsidRPr="0087422E" w:rsidRDefault="00915BCF" w:rsidP="00915BCF">
      <w:pPr>
        <w:spacing w:after="0" w:line="240" w:lineRule="auto"/>
        <w:jc w:val="both"/>
        <w:rPr>
          <w:lang w:val="en-GB"/>
        </w:rPr>
      </w:pPr>
    </w:p>
    <w:p w:rsidR="00B228F9" w:rsidRPr="0087422E" w:rsidRDefault="00E126BA" w:rsidP="00915BCF">
      <w:pPr>
        <w:spacing w:after="0" w:line="240" w:lineRule="auto"/>
        <w:jc w:val="both"/>
        <w:rPr>
          <w:lang w:val="en-GB"/>
        </w:rPr>
      </w:pPr>
      <w:r w:rsidRPr="0087422E">
        <w:rPr>
          <w:lang w:val="en-GB"/>
        </w:rPr>
        <w:t>While implementing measure</w:t>
      </w:r>
      <w:r w:rsidR="00241E9A" w:rsidRPr="0087422E">
        <w:rPr>
          <w:lang w:val="en-GB"/>
        </w:rPr>
        <w:t>s</w:t>
      </w:r>
      <w:r w:rsidR="00B228F9" w:rsidRPr="0087422E">
        <w:rPr>
          <w:lang w:val="en-GB"/>
        </w:rPr>
        <w:t xml:space="preserve"> </w:t>
      </w:r>
      <w:r w:rsidR="00AF2058" w:rsidRPr="0087422E">
        <w:rPr>
          <w:lang w:val="en-GB"/>
        </w:rPr>
        <w:t>aimed at</w:t>
      </w:r>
      <w:r w:rsidR="00B228F9" w:rsidRPr="0087422E">
        <w:rPr>
          <w:lang w:val="en-GB"/>
        </w:rPr>
        <w:t xml:space="preserve"> </w:t>
      </w:r>
      <w:r w:rsidR="00B228F9" w:rsidRPr="0087422E">
        <w:rPr>
          <w:b/>
          <w:color w:val="336699"/>
          <w:lang w:val="en-GB"/>
        </w:rPr>
        <w:t>improv</w:t>
      </w:r>
      <w:r w:rsidR="00AF2058" w:rsidRPr="0087422E">
        <w:rPr>
          <w:b/>
          <w:color w:val="336699"/>
          <w:lang w:val="en-GB"/>
        </w:rPr>
        <w:t>ing</w:t>
      </w:r>
      <w:r w:rsidR="00B228F9" w:rsidRPr="0087422E">
        <w:rPr>
          <w:b/>
          <w:color w:val="336699"/>
          <w:lang w:val="en-GB"/>
        </w:rPr>
        <w:t xml:space="preserve"> the institutional </w:t>
      </w:r>
      <w:r w:rsidR="00AF2058" w:rsidRPr="0087422E">
        <w:rPr>
          <w:b/>
          <w:color w:val="336699"/>
          <w:lang w:val="en-GB"/>
        </w:rPr>
        <w:t xml:space="preserve">lifelong learning </w:t>
      </w:r>
      <w:r w:rsidR="00B228F9" w:rsidRPr="0087422E">
        <w:rPr>
          <w:b/>
          <w:color w:val="336699"/>
          <w:lang w:val="en-GB"/>
        </w:rPr>
        <w:t>system</w:t>
      </w:r>
      <w:r w:rsidR="00B228F9" w:rsidRPr="0087422E">
        <w:rPr>
          <w:lang w:val="en-GB"/>
        </w:rPr>
        <w:t>, 117 educational institutions introduced quality management evaluation</w:t>
      </w:r>
      <w:r w:rsidR="000E250B" w:rsidRPr="0087422E">
        <w:rPr>
          <w:lang w:val="en-GB"/>
        </w:rPr>
        <w:t xml:space="preserve"> systems</w:t>
      </w:r>
      <w:r w:rsidR="00B228F9" w:rsidRPr="0087422E">
        <w:rPr>
          <w:lang w:val="en-GB"/>
        </w:rPr>
        <w:t xml:space="preserve">, i.e. 12% of </w:t>
      </w:r>
      <w:r w:rsidR="00AF2058" w:rsidRPr="0087422E">
        <w:rPr>
          <w:lang w:val="en-GB"/>
        </w:rPr>
        <w:t>the</w:t>
      </w:r>
      <w:r w:rsidR="00B228F9" w:rsidRPr="0087422E">
        <w:rPr>
          <w:lang w:val="en-GB"/>
        </w:rPr>
        <w:t xml:space="preserve"> educational institutions in the country. </w:t>
      </w:r>
      <w:r w:rsidR="00AF2058" w:rsidRPr="0087422E">
        <w:rPr>
          <w:lang w:val="en-GB"/>
        </w:rPr>
        <w:t>A</w:t>
      </w:r>
      <w:r w:rsidR="00B228F9" w:rsidRPr="0087422E">
        <w:rPr>
          <w:lang w:val="en-GB"/>
        </w:rPr>
        <w:t xml:space="preserve">lmost </w:t>
      </w:r>
      <w:r w:rsidR="00AF2058" w:rsidRPr="0087422E">
        <w:rPr>
          <w:lang w:val="en-GB"/>
        </w:rPr>
        <w:t>150 </w:t>
      </w:r>
      <w:r w:rsidR="00B228F9" w:rsidRPr="0087422E">
        <w:rPr>
          <w:lang w:val="en-GB"/>
        </w:rPr>
        <w:t xml:space="preserve">employees of </w:t>
      </w:r>
      <w:r w:rsidR="00241E9A" w:rsidRPr="0087422E">
        <w:rPr>
          <w:lang w:val="en-GB"/>
        </w:rPr>
        <w:t xml:space="preserve">the </w:t>
      </w:r>
      <w:r w:rsidR="00AF2058" w:rsidRPr="0087422E">
        <w:rPr>
          <w:lang w:val="en-GB"/>
        </w:rPr>
        <w:t xml:space="preserve">lifelong learning </w:t>
      </w:r>
      <w:r w:rsidR="00241E9A" w:rsidRPr="0087422E">
        <w:rPr>
          <w:lang w:val="en-GB"/>
        </w:rPr>
        <w:t xml:space="preserve">system </w:t>
      </w:r>
      <w:r w:rsidR="00AF2058" w:rsidRPr="0087422E">
        <w:rPr>
          <w:lang w:val="en-GB"/>
        </w:rPr>
        <w:t>participated in EU-funded training</w:t>
      </w:r>
      <w:r w:rsidR="00B228F9" w:rsidRPr="0087422E">
        <w:rPr>
          <w:lang w:val="en-GB"/>
        </w:rPr>
        <w:t xml:space="preserve">. </w:t>
      </w:r>
      <w:r w:rsidR="000E250B" w:rsidRPr="0087422E">
        <w:rPr>
          <w:lang w:val="en-GB"/>
        </w:rPr>
        <w:t>T</w:t>
      </w:r>
      <w:r w:rsidRPr="0087422E">
        <w:rPr>
          <w:lang w:val="en-GB"/>
        </w:rPr>
        <w:t xml:space="preserve">raining </w:t>
      </w:r>
      <w:r w:rsidR="00AF2058" w:rsidRPr="0087422E">
        <w:rPr>
          <w:lang w:val="en-GB"/>
        </w:rPr>
        <w:t xml:space="preserve">was </w:t>
      </w:r>
      <w:r w:rsidR="000E250B" w:rsidRPr="0087422E">
        <w:rPr>
          <w:lang w:val="en-GB"/>
        </w:rPr>
        <w:t xml:space="preserve">also </w:t>
      </w:r>
      <w:r w:rsidRPr="0087422E">
        <w:rPr>
          <w:lang w:val="en-GB"/>
        </w:rPr>
        <w:t xml:space="preserve">organised </w:t>
      </w:r>
      <w:r w:rsidR="00AF2058" w:rsidRPr="0087422E">
        <w:rPr>
          <w:lang w:val="en-GB"/>
        </w:rPr>
        <w:t xml:space="preserve">for </w:t>
      </w:r>
      <w:r w:rsidRPr="0087422E">
        <w:rPr>
          <w:lang w:val="en-GB"/>
        </w:rPr>
        <w:t>more than 22</w:t>
      </w:r>
      <w:r w:rsidR="00AF2058" w:rsidRPr="0087422E">
        <w:rPr>
          <w:lang w:val="en-GB"/>
        </w:rPr>
        <w:t>,000 </w:t>
      </w:r>
      <w:r w:rsidR="000E250B" w:rsidRPr="0087422E">
        <w:rPr>
          <w:lang w:val="en-GB"/>
        </w:rPr>
        <w:t>employees from</w:t>
      </w:r>
      <w:r w:rsidR="00AF2058" w:rsidRPr="0087422E">
        <w:rPr>
          <w:lang w:val="en-GB"/>
        </w:rPr>
        <w:t xml:space="preserve"> the </w:t>
      </w:r>
      <w:r w:rsidR="00656F1A" w:rsidRPr="0087422E">
        <w:rPr>
          <w:lang w:val="en-GB"/>
        </w:rPr>
        <w:t>education</w:t>
      </w:r>
      <w:r w:rsidR="00AF2058" w:rsidRPr="0087422E">
        <w:rPr>
          <w:lang w:val="en-GB"/>
        </w:rPr>
        <w:t xml:space="preserve"> sector</w:t>
      </w:r>
      <w:r w:rsidRPr="0087422E">
        <w:rPr>
          <w:lang w:val="en-GB"/>
        </w:rPr>
        <w:t>.</w:t>
      </w:r>
    </w:p>
    <w:p w:rsidR="00B228F9" w:rsidRPr="0087422E" w:rsidRDefault="00B228F9" w:rsidP="00915BCF">
      <w:pPr>
        <w:spacing w:after="0" w:line="240" w:lineRule="auto"/>
        <w:jc w:val="both"/>
        <w:rPr>
          <w:lang w:val="en-GB"/>
        </w:rPr>
      </w:pPr>
    </w:p>
    <w:p w:rsidR="00915BCF" w:rsidRPr="0087422E" w:rsidRDefault="00AF2058" w:rsidP="00063D7E">
      <w:pPr>
        <w:pStyle w:val="Caption"/>
        <w:jc w:val="both"/>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915BCF"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5</w:t>
      </w:r>
      <w:r w:rsidR="00CF4339" w:rsidRPr="0087422E">
        <w:rPr>
          <w:rFonts w:ascii="Cambria" w:hAnsi="Cambria"/>
          <w:color w:val="1F4E79" w:themeColor="accent1" w:themeShade="80"/>
          <w:sz w:val="20"/>
          <w:szCs w:val="20"/>
          <w:lang w:val="en-GB"/>
        </w:rPr>
        <w:fldChar w:fldCharType="end"/>
      </w:r>
      <w:r w:rsidR="00915BCF" w:rsidRPr="0087422E">
        <w:rPr>
          <w:rFonts w:ascii="Cambria" w:hAnsi="Cambria"/>
          <w:color w:val="1F4E79" w:themeColor="accent1" w:themeShade="80"/>
          <w:sz w:val="20"/>
          <w:szCs w:val="20"/>
          <w:lang w:val="en-GB"/>
        </w:rPr>
        <w:t>.</w:t>
      </w:r>
      <w:proofErr w:type="gramEnd"/>
      <w:r w:rsidR="00915BCF" w:rsidRPr="0087422E">
        <w:rPr>
          <w:rFonts w:ascii="Cambria" w:hAnsi="Cambria"/>
          <w:color w:val="1F4E79" w:themeColor="accent1" w:themeShade="80"/>
          <w:sz w:val="20"/>
          <w:szCs w:val="20"/>
          <w:lang w:val="en-GB"/>
        </w:rPr>
        <w:t xml:space="preserve"> </w:t>
      </w:r>
      <w:r w:rsidR="00CC3B12" w:rsidRPr="0087422E">
        <w:rPr>
          <w:rFonts w:ascii="Cambria" w:hAnsi="Cambria"/>
          <w:color w:val="1F4E79" w:themeColor="accent1" w:themeShade="80"/>
          <w:sz w:val="20"/>
          <w:szCs w:val="20"/>
          <w:lang w:val="en-GB"/>
        </w:rPr>
        <w:t xml:space="preserve">Results of investments </w:t>
      </w:r>
      <w:r w:rsidRPr="0087422E">
        <w:rPr>
          <w:rFonts w:ascii="Cambria" w:hAnsi="Cambria"/>
          <w:color w:val="1F4E79" w:themeColor="accent1" w:themeShade="80"/>
          <w:sz w:val="20"/>
          <w:szCs w:val="20"/>
          <w:lang w:val="en-GB"/>
        </w:rPr>
        <w:t>into the</w:t>
      </w:r>
      <w:r w:rsidR="00CC3B12" w:rsidRPr="0087422E">
        <w:rPr>
          <w:rFonts w:ascii="Cambria" w:hAnsi="Cambria"/>
          <w:color w:val="1F4E79" w:themeColor="accent1" w:themeShade="80"/>
          <w:sz w:val="20"/>
          <w:szCs w:val="20"/>
          <w:lang w:val="en-GB"/>
        </w:rPr>
        <w:t xml:space="preserve"> improve</w:t>
      </w:r>
      <w:r w:rsidRPr="0087422E">
        <w:rPr>
          <w:rFonts w:ascii="Cambria" w:hAnsi="Cambria"/>
          <w:color w:val="1F4E79" w:themeColor="accent1" w:themeShade="80"/>
          <w:sz w:val="20"/>
          <w:szCs w:val="20"/>
          <w:lang w:val="en-GB"/>
        </w:rPr>
        <w:t>ment of</w:t>
      </w:r>
      <w:r w:rsidR="00CC3B12" w:rsidRPr="0087422E">
        <w:rPr>
          <w:rFonts w:ascii="Cambria" w:hAnsi="Cambria"/>
          <w:color w:val="1F4E79" w:themeColor="accent1" w:themeShade="80"/>
          <w:sz w:val="20"/>
          <w:szCs w:val="20"/>
          <w:lang w:val="en-GB"/>
        </w:rPr>
        <w:t xml:space="preserve"> the institutional </w:t>
      </w:r>
      <w:r w:rsidRPr="0087422E">
        <w:rPr>
          <w:rFonts w:ascii="Cambria" w:hAnsi="Cambria"/>
          <w:color w:val="1F4E79" w:themeColor="accent1" w:themeShade="80"/>
          <w:sz w:val="20"/>
          <w:szCs w:val="20"/>
          <w:lang w:val="en-GB"/>
        </w:rPr>
        <w:t xml:space="preserve">lifelong learning </w:t>
      </w:r>
      <w:r w:rsidR="00CC3B12" w:rsidRPr="0087422E">
        <w:rPr>
          <w:rFonts w:ascii="Cambria" w:hAnsi="Cambria"/>
          <w:color w:val="1F4E79" w:themeColor="accent1" w:themeShade="80"/>
          <w:sz w:val="20"/>
          <w:szCs w:val="20"/>
          <w:lang w:val="en-GB"/>
        </w:rPr>
        <w:t>system</w:t>
      </w:r>
    </w:p>
    <w:p w:rsidR="00CE39F8" w:rsidRPr="0087422E" w:rsidRDefault="007B5B40" w:rsidP="00857C57">
      <w:pPr>
        <w:spacing w:after="0" w:line="240" w:lineRule="auto"/>
        <w:jc w:val="both"/>
        <w:rPr>
          <w:lang w:val="en-GB"/>
        </w:rPr>
      </w:pPr>
      <w:r w:rsidRPr="0087422E">
        <w:rPr>
          <w:noProof/>
          <w:lang w:eastAsia="lt-LT"/>
        </w:rPr>
        <w:drawing>
          <wp:inline distT="0" distB="0" distL="0" distR="0" wp14:anchorId="5DA2DD35" wp14:editId="4C0D25ED">
            <wp:extent cx="6332220" cy="1738630"/>
            <wp:effectExtent l="0" t="0" r="11430" b="139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1A55" w:rsidRPr="0087422E" w:rsidRDefault="006B1A55" w:rsidP="00857C57">
      <w:pPr>
        <w:spacing w:after="0" w:line="240" w:lineRule="auto"/>
        <w:jc w:val="both"/>
        <w:rPr>
          <w:lang w:val="en-GB"/>
        </w:rPr>
      </w:pPr>
    </w:p>
    <w:p w:rsidR="00AE22B2" w:rsidRPr="0087422E" w:rsidRDefault="00AE22B2" w:rsidP="00AE22B2">
      <w:pPr>
        <w:spacing w:after="0" w:line="240" w:lineRule="auto"/>
        <w:jc w:val="both"/>
        <w:rPr>
          <w:lang w:val="en-GB"/>
        </w:rPr>
      </w:pPr>
      <w:r w:rsidRPr="0087422E">
        <w:rPr>
          <w:lang w:val="en-GB"/>
        </w:rPr>
        <w:t xml:space="preserve">In 2007–2015, </w:t>
      </w:r>
      <w:r w:rsidR="00656F1A" w:rsidRPr="0087422E">
        <w:rPr>
          <w:lang w:val="en-GB"/>
        </w:rPr>
        <w:t xml:space="preserve">a </w:t>
      </w:r>
      <w:r w:rsidRPr="0087422E">
        <w:rPr>
          <w:lang w:val="en-GB"/>
        </w:rPr>
        <w:t>responsible management system was installed in the education sector</w:t>
      </w:r>
      <w:r w:rsidR="00656F1A" w:rsidRPr="0087422E">
        <w:rPr>
          <w:lang w:val="en-GB"/>
        </w:rPr>
        <w:t xml:space="preserve"> – </w:t>
      </w:r>
      <w:r w:rsidRPr="0087422E">
        <w:rPr>
          <w:lang w:val="en-GB"/>
        </w:rPr>
        <w:t xml:space="preserve">monitoring and evaluation systems </w:t>
      </w:r>
      <w:r w:rsidR="00656F1A" w:rsidRPr="0087422E">
        <w:rPr>
          <w:lang w:val="en-GB"/>
        </w:rPr>
        <w:t xml:space="preserve">were created to facilitate </w:t>
      </w:r>
      <w:r w:rsidRPr="0087422E">
        <w:rPr>
          <w:lang w:val="en-GB"/>
        </w:rPr>
        <w:t>evidence</w:t>
      </w:r>
      <w:r w:rsidR="00656F1A" w:rsidRPr="0087422E">
        <w:rPr>
          <w:lang w:val="en-GB"/>
        </w:rPr>
        <w:t>-</w:t>
      </w:r>
      <w:r w:rsidR="007B5B40" w:rsidRPr="0087422E">
        <w:rPr>
          <w:lang w:val="en-GB"/>
        </w:rPr>
        <w:t>based decision-making</w:t>
      </w:r>
      <w:r w:rsidRPr="0087422E">
        <w:rPr>
          <w:lang w:val="en-GB"/>
        </w:rPr>
        <w:t xml:space="preserve">. More decision-making functions </w:t>
      </w:r>
      <w:r w:rsidR="00656F1A" w:rsidRPr="0087422E">
        <w:rPr>
          <w:lang w:val="en-GB"/>
        </w:rPr>
        <w:t>were</w:t>
      </w:r>
      <w:r w:rsidRPr="0087422E">
        <w:rPr>
          <w:lang w:val="en-GB"/>
        </w:rPr>
        <w:t xml:space="preserve"> delegated to educational communities (from </w:t>
      </w:r>
      <w:r w:rsidR="00656F1A" w:rsidRPr="0087422E">
        <w:rPr>
          <w:lang w:val="en-GB"/>
        </w:rPr>
        <w:t>preschool</w:t>
      </w:r>
      <w:r w:rsidRPr="0087422E">
        <w:rPr>
          <w:lang w:val="en-GB"/>
        </w:rPr>
        <w:t xml:space="preserve"> to higher education). </w:t>
      </w:r>
      <w:r w:rsidR="00656F1A" w:rsidRPr="0087422E">
        <w:rPr>
          <w:lang w:val="en-GB"/>
        </w:rPr>
        <w:t>A f</w:t>
      </w:r>
      <w:r w:rsidRPr="0087422E">
        <w:rPr>
          <w:lang w:val="en-GB"/>
        </w:rPr>
        <w:t xml:space="preserve">lexible and open </w:t>
      </w:r>
      <w:r w:rsidR="00656F1A" w:rsidRPr="0087422E">
        <w:rPr>
          <w:lang w:val="en-GB"/>
        </w:rPr>
        <w:t xml:space="preserve">educational </w:t>
      </w:r>
      <w:r w:rsidRPr="0087422E">
        <w:rPr>
          <w:lang w:val="en-GB"/>
        </w:rPr>
        <w:t xml:space="preserve">structure </w:t>
      </w:r>
      <w:r w:rsidR="00656F1A" w:rsidRPr="0087422E">
        <w:rPr>
          <w:lang w:val="en-GB"/>
        </w:rPr>
        <w:t>was being developed</w:t>
      </w:r>
      <w:r w:rsidRPr="0087422E">
        <w:rPr>
          <w:lang w:val="en-GB"/>
        </w:rPr>
        <w:t xml:space="preserve">. This structure combines general education, vocational training, higher education, </w:t>
      </w:r>
      <w:r w:rsidR="000E250B" w:rsidRPr="0087422E">
        <w:rPr>
          <w:lang w:val="en-GB"/>
        </w:rPr>
        <w:t xml:space="preserve">and </w:t>
      </w:r>
      <w:r w:rsidRPr="0087422E">
        <w:rPr>
          <w:lang w:val="en-GB"/>
        </w:rPr>
        <w:t>formal, non-formal and informal learning into a single educational space. In addition, various quality assurance and evaluation systems were created, for example, self-assessment system of secondary school</w:t>
      </w:r>
      <w:r w:rsidR="007B5B40" w:rsidRPr="0087422E">
        <w:rPr>
          <w:lang w:val="en-GB"/>
        </w:rPr>
        <w:t>s</w:t>
      </w:r>
      <w:r w:rsidRPr="0087422E">
        <w:rPr>
          <w:lang w:val="en-GB"/>
        </w:rPr>
        <w:t>, Lithuanian higher education external quality assurance system</w:t>
      </w:r>
      <w:r w:rsidR="00656F1A" w:rsidRPr="0087422E">
        <w:rPr>
          <w:lang w:val="en-GB"/>
        </w:rPr>
        <w:t xml:space="preserve"> and a</w:t>
      </w:r>
      <w:r w:rsidRPr="0087422E">
        <w:rPr>
          <w:lang w:val="en-GB"/>
        </w:rPr>
        <w:t xml:space="preserve"> national system </w:t>
      </w:r>
      <w:r w:rsidR="00656F1A" w:rsidRPr="0087422E">
        <w:rPr>
          <w:lang w:val="en-GB"/>
        </w:rPr>
        <w:t>for forecasts and insights of</w:t>
      </w:r>
      <w:r w:rsidRPr="0087422E">
        <w:rPr>
          <w:lang w:val="en-GB"/>
        </w:rPr>
        <w:t xml:space="preserve"> education, science and technology. 42</w:t>
      </w:r>
      <w:r w:rsidR="000E250B" w:rsidRPr="0087422E">
        <w:rPr>
          <w:lang w:val="en-GB"/>
        </w:rPr>
        <w:t> </w:t>
      </w:r>
      <w:r w:rsidRPr="0087422E">
        <w:rPr>
          <w:lang w:val="en-GB"/>
        </w:rPr>
        <w:t>high</w:t>
      </w:r>
      <w:r w:rsidR="000E250B" w:rsidRPr="0087422E">
        <w:rPr>
          <w:lang w:val="en-GB"/>
        </w:rPr>
        <w:t>er</w:t>
      </w:r>
      <w:r w:rsidRPr="0087422E">
        <w:rPr>
          <w:lang w:val="en-GB"/>
        </w:rPr>
        <w:t xml:space="preserve"> schools, i.e. 93% of all</w:t>
      </w:r>
      <w:r w:rsidR="00656F1A" w:rsidRPr="0087422E">
        <w:rPr>
          <w:lang w:val="en-GB"/>
        </w:rPr>
        <w:t xml:space="preserve"> the</w:t>
      </w:r>
      <w:r w:rsidRPr="0087422E">
        <w:rPr>
          <w:lang w:val="en-GB"/>
        </w:rPr>
        <w:t xml:space="preserve"> </w:t>
      </w:r>
      <w:r w:rsidR="00656F1A" w:rsidRPr="0087422E">
        <w:rPr>
          <w:lang w:val="en-GB"/>
        </w:rPr>
        <w:t>high</w:t>
      </w:r>
      <w:r w:rsidR="000E250B" w:rsidRPr="0087422E">
        <w:rPr>
          <w:lang w:val="en-GB"/>
        </w:rPr>
        <w:t>er</w:t>
      </w:r>
      <w:r w:rsidR="00656F1A" w:rsidRPr="0087422E">
        <w:rPr>
          <w:lang w:val="en-GB"/>
        </w:rPr>
        <w:t xml:space="preserve"> schools registered </w:t>
      </w:r>
      <w:r w:rsidRPr="0087422E">
        <w:rPr>
          <w:lang w:val="en-GB"/>
        </w:rPr>
        <w:t xml:space="preserve">in the country, </w:t>
      </w:r>
      <w:r w:rsidR="000E250B" w:rsidRPr="0087422E">
        <w:rPr>
          <w:lang w:val="en-GB"/>
        </w:rPr>
        <w:t>introduced</w:t>
      </w:r>
      <w:r w:rsidRPr="0087422E">
        <w:rPr>
          <w:lang w:val="en-GB"/>
        </w:rPr>
        <w:t xml:space="preserve"> assessment and recognition systems for competences acquired in non-formal adult education.</w:t>
      </w:r>
    </w:p>
    <w:p w:rsidR="00AE22B2" w:rsidRPr="0087422E" w:rsidRDefault="00AE22B2" w:rsidP="00AE22B2">
      <w:pPr>
        <w:spacing w:after="0" w:line="240" w:lineRule="auto"/>
        <w:jc w:val="both"/>
        <w:rPr>
          <w:lang w:val="en-GB"/>
        </w:rPr>
      </w:pPr>
    </w:p>
    <w:p w:rsidR="00AE22B2" w:rsidRPr="0087422E" w:rsidRDefault="00AE22B2" w:rsidP="00AE22B2">
      <w:pPr>
        <w:spacing w:after="0" w:line="240" w:lineRule="auto"/>
        <w:jc w:val="both"/>
        <w:rPr>
          <w:lang w:val="en-GB"/>
        </w:rPr>
      </w:pPr>
      <w:r w:rsidRPr="0087422E">
        <w:rPr>
          <w:lang w:val="en-GB"/>
        </w:rPr>
        <w:t xml:space="preserve">While implementing measures </w:t>
      </w:r>
      <w:r w:rsidR="00656F1A" w:rsidRPr="0087422E">
        <w:rPr>
          <w:lang w:val="en-GB"/>
        </w:rPr>
        <w:t>focused on the</w:t>
      </w:r>
      <w:r w:rsidRPr="0087422E">
        <w:rPr>
          <w:lang w:val="en-GB"/>
        </w:rPr>
        <w:t xml:space="preserve"> </w:t>
      </w:r>
      <w:r w:rsidRPr="0087422E">
        <w:rPr>
          <w:b/>
          <w:color w:val="336699"/>
          <w:lang w:val="en-GB"/>
        </w:rPr>
        <w:t>improve</w:t>
      </w:r>
      <w:r w:rsidR="00656F1A" w:rsidRPr="0087422E">
        <w:rPr>
          <w:b/>
          <w:color w:val="336699"/>
          <w:lang w:val="en-GB"/>
        </w:rPr>
        <w:t>ment of the</w:t>
      </w:r>
      <w:r w:rsidRPr="0087422E">
        <w:rPr>
          <w:b/>
          <w:color w:val="336699"/>
          <w:lang w:val="en-GB"/>
        </w:rPr>
        <w:t xml:space="preserve"> quality and accessibility of lifelong learning services</w:t>
      </w:r>
      <w:r w:rsidRPr="0087422E">
        <w:rPr>
          <w:lang w:val="en-GB"/>
        </w:rPr>
        <w:t xml:space="preserve">, </w:t>
      </w:r>
      <w:r w:rsidR="00656F1A" w:rsidRPr="0087422E">
        <w:rPr>
          <w:lang w:val="en-GB"/>
        </w:rPr>
        <w:t xml:space="preserve">financing was provided to </w:t>
      </w:r>
      <w:r w:rsidRPr="0087422E">
        <w:rPr>
          <w:lang w:val="en-GB"/>
        </w:rPr>
        <w:t xml:space="preserve">formal and non-formal training of teachers, professors, pupils and students as well as </w:t>
      </w:r>
      <w:r w:rsidR="000E250B" w:rsidRPr="0087422E">
        <w:rPr>
          <w:lang w:val="en-GB"/>
        </w:rPr>
        <w:t xml:space="preserve">to the </w:t>
      </w:r>
      <w:r w:rsidRPr="0087422E">
        <w:rPr>
          <w:lang w:val="en-GB"/>
        </w:rPr>
        <w:t>acquisition of basic skills for adults. More than 73</w:t>
      </w:r>
      <w:r w:rsidR="00656F1A" w:rsidRPr="0087422E">
        <w:rPr>
          <w:lang w:val="en-GB"/>
        </w:rPr>
        <w:t>,000 </w:t>
      </w:r>
      <w:r w:rsidRPr="0087422E">
        <w:rPr>
          <w:lang w:val="en-GB"/>
        </w:rPr>
        <w:t xml:space="preserve">pupils and students studied </w:t>
      </w:r>
      <w:r w:rsidR="00656F1A" w:rsidRPr="0087422E">
        <w:rPr>
          <w:lang w:val="en-GB"/>
        </w:rPr>
        <w:t>under</w:t>
      </w:r>
      <w:r w:rsidRPr="0087422E">
        <w:rPr>
          <w:lang w:val="en-GB"/>
        </w:rPr>
        <w:t xml:space="preserve"> formal education programmes. It should be noted that pupils </w:t>
      </w:r>
      <w:r w:rsidR="00656F1A" w:rsidRPr="0087422E">
        <w:rPr>
          <w:lang w:val="en-GB"/>
        </w:rPr>
        <w:t xml:space="preserve">who </w:t>
      </w:r>
      <w:r w:rsidRPr="0087422E">
        <w:rPr>
          <w:lang w:val="en-GB"/>
        </w:rPr>
        <w:t xml:space="preserve">participated in EU-funded training accounted for 13.5% of </w:t>
      </w:r>
      <w:r w:rsidR="00656F1A" w:rsidRPr="0087422E">
        <w:rPr>
          <w:lang w:val="en-GB"/>
        </w:rPr>
        <w:t xml:space="preserve">the </w:t>
      </w:r>
      <w:r w:rsidRPr="0087422E">
        <w:rPr>
          <w:lang w:val="en-GB"/>
        </w:rPr>
        <w:t>total number of pupils studying in Lithuanian general education and vocational training schools. In 2007–2015, each teacher of general education and vocational training systems participated in two non-formal educational training</w:t>
      </w:r>
      <w:r w:rsidR="00656F1A" w:rsidRPr="0087422E">
        <w:rPr>
          <w:lang w:val="en-GB"/>
        </w:rPr>
        <w:t xml:space="preserve"> events</w:t>
      </w:r>
      <w:r w:rsidR="007B5B40" w:rsidRPr="0087422E">
        <w:rPr>
          <w:lang w:val="en-GB"/>
        </w:rPr>
        <w:t xml:space="preserve"> on average</w:t>
      </w:r>
      <w:r w:rsidRPr="0087422E">
        <w:rPr>
          <w:lang w:val="en-GB"/>
        </w:rPr>
        <w:t xml:space="preserve">. About 14% </w:t>
      </w:r>
      <w:r w:rsidR="00656F1A" w:rsidRPr="0087422E">
        <w:rPr>
          <w:lang w:val="en-GB"/>
        </w:rPr>
        <w:t xml:space="preserve">of the university or college </w:t>
      </w:r>
      <w:r w:rsidRPr="0087422E">
        <w:rPr>
          <w:lang w:val="en-GB"/>
        </w:rPr>
        <w:t xml:space="preserve">students </w:t>
      </w:r>
      <w:r w:rsidR="00656F1A" w:rsidRPr="0087422E">
        <w:rPr>
          <w:lang w:val="en-GB"/>
        </w:rPr>
        <w:t>received</w:t>
      </w:r>
      <w:r w:rsidRPr="0087422E">
        <w:rPr>
          <w:lang w:val="en-GB"/>
        </w:rPr>
        <w:t xml:space="preserve"> </w:t>
      </w:r>
      <w:r w:rsidR="00656F1A" w:rsidRPr="0087422E">
        <w:rPr>
          <w:lang w:val="en-GB"/>
        </w:rPr>
        <w:t xml:space="preserve">EU </w:t>
      </w:r>
      <w:r w:rsidRPr="0087422E">
        <w:rPr>
          <w:lang w:val="en-GB"/>
        </w:rPr>
        <w:t>funding.</w:t>
      </w:r>
    </w:p>
    <w:p w:rsidR="00483ECF" w:rsidRPr="0087422E" w:rsidRDefault="00483ECF" w:rsidP="00857C57">
      <w:pPr>
        <w:spacing w:after="0" w:line="240" w:lineRule="auto"/>
        <w:jc w:val="both"/>
        <w:rPr>
          <w:lang w:val="en-GB"/>
        </w:rPr>
      </w:pPr>
    </w:p>
    <w:p w:rsidR="0062476B" w:rsidRPr="0087422E" w:rsidRDefault="00656F1A" w:rsidP="00AE22B2">
      <w:pPr>
        <w:pStyle w:val="Caption"/>
        <w:jc w:val="both"/>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62476B"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6</w:t>
      </w:r>
      <w:r w:rsidR="00CF4339" w:rsidRPr="0087422E">
        <w:rPr>
          <w:rFonts w:ascii="Cambria" w:hAnsi="Cambria"/>
          <w:color w:val="1F4E79" w:themeColor="accent1" w:themeShade="80"/>
          <w:sz w:val="20"/>
          <w:szCs w:val="20"/>
          <w:lang w:val="en-GB"/>
        </w:rPr>
        <w:fldChar w:fldCharType="end"/>
      </w:r>
      <w:r w:rsidR="0062476B" w:rsidRPr="0087422E">
        <w:rPr>
          <w:rFonts w:ascii="Cambria" w:hAnsi="Cambria"/>
          <w:color w:val="1F4E79" w:themeColor="accent1" w:themeShade="80"/>
          <w:sz w:val="20"/>
          <w:szCs w:val="20"/>
          <w:lang w:val="en-GB"/>
        </w:rPr>
        <w:t>.</w:t>
      </w:r>
      <w:proofErr w:type="gramEnd"/>
      <w:r w:rsidR="0062476B" w:rsidRPr="0087422E">
        <w:rPr>
          <w:rFonts w:ascii="Cambria" w:hAnsi="Cambria"/>
          <w:color w:val="1F4E79" w:themeColor="accent1" w:themeShade="80"/>
          <w:sz w:val="20"/>
          <w:szCs w:val="20"/>
          <w:lang w:val="en-GB"/>
        </w:rPr>
        <w:t xml:space="preserve"> </w:t>
      </w:r>
      <w:r w:rsidR="00AE22B2" w:rsidRPr="0087422E">
        <w:rPr>
          <w:rFonts w:ascii="Cambria" w:hAnsi="Cambria"/>
          <w:color w:val="1F4E79" w:themeColor="accent1" w:themeShade="80"/>
          <w:sz w:val="20"/>
          <w:szCs w:val="20"/>
          <w:lang w:val="en-GB"/>
        </w:rPr>
        <w:t xml:space="preserve">Results of investments </w:t>
      </w:r>
      <w:r w:rsidRPr="0087422E">
        <w:rPr>
          <w:rFonts w:ascii="Cambria" w:hAnsi="Cambria"/>
          <w:color w:val="1F4E79" w:themeColor="accent1" w:themeShade="80"/>
          <w:sz w:val="20"/>
          <w:szCs w:val="20"/>
          <w:lang w:val="en-GB"/>
        </w:rPr>
        <w:t>into the</w:t>
      </w:r>
      <w:r w:rsidR="00AE22B2" w:rsidRPr="0087422E">
        <w:rPr>
          <w:rFonts w:ascii="Cambria" w:hAnsi="Cambria"/>
          <w:color w:val="1F4E79" w:themeColor="accent1" w:themeShade="80"/>
          <w:sz w:val="20"/>
          <w:szCs w:val="20"/>
          <w:lang w:val="en-GB"/>
        </w:rPr>
        <w:t xml:space="preserve"> improve</w:t>
      </w:r>
      <w:r w:rsidRPr="0087422E">
        <w:rPr>
          <w:rFonts w:ascii="Cambria" w:hAnsi="Cambria"/>
          <w:color w:val="1F4E79" w:themeColor="accent1" w:themeShade="80"/>
          <w:sz w:val="20"/>
          <w:szCs w:val="20"/>
          <w:lang w:val="en-GB"/>
        </w:rPr>
        <w:t>ment of the</w:t>
      </w:r>
      <w:r w:rsidR="00AE22B2" w:rsidRPr="0087422E">
        <w:rPr>
          <w:rFonts w:ascii="Cambria" w:hAnsi="Cambria"/>
          <w:color w:val="1F4E79" w:themeColor="accent1" w:themeShade="80"/>
          <w:sz w:val="20"/>
          <w:szCs w:val="20"/>
          <w:lang w:val="en-GB"/>
        </w:rPr>
        <w:t xml:space="preserve"> quality and accessibility of </w:t>
      </w:r>
      <w:r w:rsidRPr="0087422E">
        <w:rPr>
          <w:rFonts w:ascii="Cambria" w:hAnsi="Cambria"/>
          <w:color w:val="1F4E79" w:themeColor="accent1" w:themeShade="80"/>
          <w:sz w:val="20"/>
          <w:szCs w:val="20"/>
          <w:lang w:val="en-GB"/>
        </w:rPr>
        <w:t xml:space="preserve">the </w:t>
      </w:r>
      <w:r w:rsidR="00AE22B2" w:rsidRPr="0087422E">
        <w:rPr>
          <w:rFonts w:ascii="Cambria" w:hAnsi="Cambria"/>
          <w:color w:val="1F4E79" w:themeColor="accent1" w:themeShade="80"/>
          <w:sz w:val="20"/>
          <w:szCs w:val="20"/>
          <w:lang w:val="en-GB"/>
        </w:rPr>
        <w:t>lifelong learning system</w:t>
      </w:r>
    </w:p>
    <w:p w:rsidR="0062476B" w:rsidRPr="0087422E" w:rsidRDefault="00537072" w:rsidP="00857C57">
      <w:pPr>
        <w:spacing w:after="0" w:line="240" w:lineRule="auto"/>
        <w:jc w:val="both"/>
        <w:rPr>
          <w:lang w:val="en-GB"/>
        </w:rPr>
      </w:pPr>
      <w:r w:rsidRPr="0087422E">
        <w:rPr>
          <w:noProof/>
          <w:lang w:eastAsia="lt-LT"/>
        </w:rPr>
        <w:drawing>
          <wp:inline distT="0" distB="0" distL="0" distR="0" wp14:anchorId="0531DE1B" wp14:editId="652256BF">
            <wp:extent cx="6334125" cy="191452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476B" w:rsidRDefault="0062476B" w:rsidP="00857C57">
      <w:pPr>
        <w:spacing w:after="0" w:line="240" w:lineRule="auto"/>
        <w:jc w:val="both"/>
        <w:rPr>
          <w:lang w:val="en-GB"/>
        </w:rPr>
      </w:pPr>
    </w:p>
    <w:p w:rsidR="00901D79" w:rsidRDefault="00901D79">
      <w:pPr>
        <w:rPr>
          <w:lang w:val="en-GB"/>
        </w:rPr>
      </w:pPr>
      <w:r>
        <w:rPr>
          <w:lang w:val="en-GB"/>
        </w:rPr>
        <w:br w:type="page"/>
      </w:r>
    </w:p>
    <w:p w:rsidR="0024242A" w:rsidRPr="0087422E" w:rsidRDefault="00CC3B12" w:rsidP="0024242A">
      <w:pPr>
        <w:spacing w:after="0" w:line="240" w:lineRule="auto"/>
        <w:jc w:val="both"/>
        <w:rPr>
          <w:b/>
          <w:color w:val="1F4E79" w:themeColor="accent1" w:themeShade="80"/>
          <w:lang w:val="en-GB"/>
        </w:rPr>
      </w:pPr>
      <w:r w:rsidRPr="0087422E">
        <w:rPr>
          <w:b/>
          <w:color w:val="1F4E79" w:themeColor="accent1" w:themeShade="80"/>
          <w:lang w:val="en-GB"/>
        </w:rPr>
        <w:lastRenderedPageBreak/>
        <w:t xml:space="preserve">IMPACT OF </w:t>
      </w:r>
      <w:r w:rsidR="00AF2E9A">
        <w:rPr>
          <w:b/>
          <w:color w:val="1F4E79" w:themeColor="accent1" w:themeShade="80"/>
          <w:lang w:val="en-GB"/>
        </w:rPr>
        <w:t xml:space="preserve">THE </w:t>
      </w:r>
      <w:r w:rsidRPr="0087422E">
        <w:rPr>
          <w:b/>
          <w:color w:val="1F4E79" w:themeColor="accent1" w:themeShade="80"/>
          <w:lang w:val="en-GB"/>
        </w:rPr>
        <w:t>INVESTMENTS</w:t>
      </w:r>
    </w:p>
    <w:p w:rsidR="00C62837" w:rsidRPr="0087422E" w:rsidRDefault="00C62837" w:rsidP="00857C57">
      <w:pPr>
        <w:spacing w:after="0" w:line="240" w:lineRule="auto"/>
        <w:jc w:val="both"/>
        <w:rPr>
          <w:lang w:val="en-GB"/>
        </w:rPr>
      </w:pPr>
    </w:p>
    <w:p w:rsidR="009666E8" w:rsidRPr="0087422E" w:rsidRDefault="006D5CCB" w:rsidP="009666E8">
      <w:pPr>
        <w:spacing w:after="0" w:line="240" w:lineRule="auto"/>
        <w:jc w:val="both"/>
        <w:rPr>
          <w:lang w:val="en-GB"/>
        </w:rPr>
      </w:pPr>
      <w:r>
        <w:rPr>
          <w:color w:val="1F4E79" w:themeColor="accent1" w:themeShade="80"/>
          <w:lang w:val="en-GB" w:eastAsia="lt-LT"/>
        </w:rPr>
        <w:pict>
          <v:shape id="_x0000_s1028" type="#_x0000_t185" style="position:absolute;left:0;text-align:left;margin-left:214.8pt;margin-top:28.7pt;width:303pt;height:329.25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" o:allowincell="f" adj="1739" fillcolor="#943634" strokecolor="#5b9bd5 [3204]" strokeweight="3pt">
            <v:shadow color="#5d7035" offset="1pt,1pt"/>
            <v:textbox inset="3.6pt,,3.6pt">
              <w:txbxContent>
                <w:p w:rsidR="006D5CCB" w:rsidRPr="00194AED" w:rsidRDefault="006D5CCB" w:rsidP="000F123F">
                  <w:pPr>
                    <w:pBdr>
                      <w:bottom w:val="single" w:sz="4" w:space="1" w:color="auto"/>
                    </w:pBdr>
                    <w:spacing w:after="0"/>
                    <w:jc w:val="both"/>
                    <w:rPr>
                      <w:b/>
                      <w:i/>
                      <w:iCs/>
                      <w:sz w:val="18"/>
                      <w:szCs w:val="18"/>
                      <w:lang w:val="en-GB"/>
                    </w:rPr>
                  </w:pPr>
                  <w:r w:rsidRPr="00194AED">
                    <w:rPr>
                      <w:b/>
                      <w:i/>
                      <w:iCs/>
                      <w:sz w:val="18"/>
                      <w:szCs w:val="18"/>
                      <w:lang w:val="en-GB"/>
                    </w:rPr>
                    <w:t xml:space="preserve">Promotion of non-formal education of children – project </w:t>
                  </w:r>
                  <w:r>
                    <w:rPr>
                      <w:b/>
                      <w:i/>
                      <w:iCs/>
                      <w:sz w:val="18"/>
                      <w:szCs w:val="18"/>
                      <w:lang w:val="en-GB"/>
                    </w:rPr>
                    <w:t>“</w:t>
                  </w:r>
                  <w:r w:rsidRPr="00194AED">
                    <w:rPr>
                      <w:b/>
                      <w:i/>
                      <w:iCs/>
                      <w:sz w:val="18"/>
                      <w:szCs w:val="18"/>
                      <w:lang w:val="en-GB"/>
                    </w:rPr>
                    <w:t>Like“</w:t>
                  </w:r>
                </w:p>
                <w:p w:rsidR="006D5CCB" w:rsidRPr="00194AED" w:rsidRDefault="006D5CCB" w:rsidP="003C1B08">
                  <w:pPr>
                    <w:spacing w:after="0"/>
                    <w:jc w:val="both"/>
                    <w:rPr>
                      <w:iCs/>
                      <w:sz w:val="18"/>
                      <w:szCs w:val="18"/>
                      <w:lang w:val="en-GB"/>
                    </w:rPr>
                  </w:pPr>
                </w:p>
                <w:p w:rsidR="006D5CCB" w:rsidRDefault="006D5CCB" w:rsidP="003C1B08">
                  <w:pPr>
                    <w:spacing w:after="0"/>
                    <w:jc w:val="both"/>
                    <w:rPr>
                      <w:iCs/>
                      <w:sz w:val="18"/>
                      <w:szCs w:val="18"/>
                      <w:lang w:val="en-GB"/>
                    </w:rPr>
                  </w:pPr>
                  <w:r>
                    <w:rPr>
                      <w:iCs/>
                      <w:sz w:val="18"/>
                      <w:szCs w:val="18"/>
                      <w:lang w:val="en-GB"/>
                    </w:rPr>
                    <w:t xml:space="preserve">The project was aimed at ensuring non-formal education activities which should contribute to the development of information technology in Lithuania. It was implemented in 42 municipalities. 310 teachers and 3,317 pupils participated in the project’s activities. During the project, IT teachers were trained in training centres. Afterwards they shared their knowledge with pupils involving them into non-formal education activities. Offered programmes included </w:t>
                  </w:r>
                  <w:r w:rsidRPr="00F133B6">
                    <w:rPr>
                      <w:iCs/>
                      <w:sz w:val="18"/>
                      <w:szCs w:val="18"/>
                      <w:lang w:val="en-GB"/>
                    </w:rPr>
                    <w:t xml:space="preserve">robotics, programming, </w:t>
                  </w:r>
                  <w:proofErr w:type="gramStart"/>
                  <w:r w:rsidRPr="00F133B6">
                    <w:rPr>
                      <w:iCs/>
                      <w:sz w:val="18"/>
                      <w:szCs w:val="18"/>
                      <w:lang w:val="en-GB"/>
                    </w:rPr>
                    <w:t>school</w:t>
                  </w:r>
                  <w:proofErr w:type="gramEnd"/>
                  <w:r w:rsidRPr="00F133B6">
                    <w:rPr>
                      <w:iCs/>
                      <w:sz w:val="18"/>
                      <w:szCs w:val="18"/>
                      <w:lang w:val="en-GB"/>
                    </w:rPr>
                    <w:t xml:space="preserve"> for young programmers, computer graphics, Internet technology, young hackers’ school, laboratory </w:t>
                  </w:r>
                  <w:r>
                    <w:rPr>
                      <w:iCs/>
                      <w:sz w:val="18"/>
                      <w:szCs w:val="18"/>
                      <w:lang w:val="en-GB"/>
                    </w:rPr>
                    <w:t>of creative technology</w:t>
                  </w:r>
                  <w:r w:rsidRPr="00F133B6">
                    <w:rPr>
                      <w:iCs/>
                      <w:sz w:val="18"/>
                      <w:szCs w:val="18"/>
                      <w:lang w:val="en-GB"/>
                    </w:rPr>
                    <w:t xml:space="preserve">, project management academy. Teachers were allowed to freely choose </w:t>
                  </w:r>
                  <w:r>
                    <w:rPr>
                      <w:iCs/>
                      <w:sz w:val="18"/>
                      <w:szCs w:val="18"/>
                      <w:lang w:val="en-GB"/>
                    </w:rPr>
                    <w:t>the form of implementation of n</w:t>
                  </w:r>
                  <w:r w:rsidRPr="00F133B6">
                    <w:rPr>
                      <w:iCs/>
                      <w:sz w:val="18"/>
                      <w:szCs w:val="18"/>
                      <w:lang w:val="en-GB"/>
                    </w:rPr>
                    <w:t>on-formal educational ac</w:t>
                  </w:r>
                  <w:r>
                    <w:rPr>
                      <w:iCs/>
                      <w:sz w:val="18"/>
                      <w:szCs w:val="18"/>
                      <w:lang w:val="en-GB"/>
                    </w:rPr>
                    <w:t>tivities (class, competition</w:t>
                  </w:r>
                  <w:r w:rsidRPr="00F133B6">
                    <w:rPr>
                      <w:iCs/>
                      <w:sz w:val="18"/>
                      <w:szCs w:val="18"/>
                      <w:lang w:val="en-GB"/>
                    </w:rPr>
                    <w:t>, lectures, d</w:t>
                  </w:r>
                  <w:r>
                    <w:rPr>
                      <w:iCs/>
                      <w:sz w:val="18"/>
                      <w:szCs w:val="18"/>
                      <w:lang w:val="en-GB"/>
                    </w:rPr>
                    <w:t xml:space="preserve">istance learning courses, etc.) and this practice brought very positive results. </w:t>
                  </w:r>
                  <w:r w:rsidRPr="00F133B6">
                    <w:rPr>
                      <w:iCs/>
                      <w:sz w:val="18"/>
                      <w:szCs w:val="18"/>
                      <w:lang w:val="en-GB"/>
                    </w:rPr>
                    <w:t xml:space="preserve">The project </w:t>
                  </w:r>
                  <w:r>
                    <w:rPr>
                      <w:iCs/>
                      <w:sz w:val="18"/>
                      <w:szCs w:val="18"/>
                      <w:lang w:val="en-GB"/>
                    </w:rPr>
                    <w:t xml:space="preserve">created better </w:t>
                  </w:r>
                  <w:r w:rsidRPr="00F133B6">
                    <w:rPr>
                      <w:iCs/>
                      <w:sz w:val="18"/>
                      <w:szCs w:val="18"/>
                      <w:lang w:val="en-GB"/>
                    </w:rPr>
                    <w:t xml:space="preserve">opportunities </w:t>
                  </w:r>
                  <w:r>
                    <w:rPr>
                      <w:iCs/>
                      <w:sz w:val="18"/>
                      <w:szCs w:val="18"/>
                      <w:lang w:val="en-GB"/>
                    </w:rPr>
                    <w:t xml:space="preserve">for children in regions </w:t>
                  </w:r>
                  <w:r w:rsidRPr="00F133B6">
                    <w:rPr>
                      <w:iCs/>
                      <w:sz w:val="18"/>
                      <w:szCs w:val="18"/>
                      <w:lang w:val="en-GB"/>
                    </w:rPr>
                    <w:t>to learn and grow in the field of information technology.</w:t>
                  </w:r>
                </w:p>
                <w:p w:rsidR="006D5CCB" w:rsidRDefault="006D5CCB" w:rsidP="003C1B08">
                  <w:pPr>
                    <w:spacing w:after="0"/>
                    <w:jc w:val="both"/>
                    <w:rPr>
                      <w:iCs/>
                      <w:sz w:val="18"/>
                      <w:szCs w:val="18"/>
                      <w:lang w:val="en-GB"/>
                    </w:rPr>
                  </w:pPr>
                </w:p>
                <w:p w:rsidR="006D5CCB" w:rsidRPr="00393F2F" w:rsidRDefault="006D5CCB" w:rsidP="003C1B08">
                  <w:pPr>
                    <w:spacing w:after="0"/>
                    <w:jc w:val="center"/>
                    <w:rPr>
                      <w:iCs/>
                      <w:sz w:val="18"/>
                      <w:szCs w:val="18"/>
                    </w:rPr>
                  </w:pPr>
                  <w:r w:rsidRPr="00671F2B">
                    <w:rPr>
                      <w:iCs/>
                      <w:noProof/>
                      <w:sz w:val="18"/>
                      <w:szCs w:val="18"/>
                      <w:lang w:eastAsia="lt-LT"/>
                    </w:rPr>
                    <w:drawing>
                      <wp:inline distT="0" distB="0" distL="0" distR="0" wp14:anchorId="3D43CFAE" wp14:editId="6D832D76">
                        <wp:extent cx="1539241" cy="1300034"/>
                        <wp:effectExtent l="0" t="0" r="3810" b="0"/>
                        <wp:docPr id="7" name="Picture 2" descr="S:\24_vp_dep\bendras\0_Žmogiskuju VP skyrius\Asmeniniai\Lauros\1VP (darbinis)\skaidres 2016\2 prioriteta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Picture 2" descr="S:\24_vp_dep\bendras\0_Žmogiskuju VP skyrius\Asmeniniai\Lauros\1VP (darbinis)\skaidres 2016\2 prioritetas\Pictur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4604" cy="1304564"/>
                                </a:xfrm>
                                <a:prstGeom prst="rect">
                                  <a:avLst/>
                                </a:prstGeom>
                                <a:noFill/>
                                <a:ln>
                                  <a:noFill/>
                                </a:ln>
                                <a:extLst/>
                              </pic:spPr>
                            </pic:pic>
                          </a:graphicData>
                        </a:graphic>
                      </wp:inline>
                    </w:drawing>
                  </w:r>
                </w:p>
              </w:txbxContent>
            </v:textbox>
            <w10:wrap type="square" anchorx="margin" anchory="margin"/>
          </v:shape>
        </w:pict>
      </w:r>
      <w:r w:rsidR="009666E8" w:rsidRPr="0087422E">
        <w:rPr>
          <w:lang w:val="en-GB"/>
        </w:rPr>
        <w:t xml:space="preserve">Measures </w:t>
      </w:r>
      <w:r w:rsidR="00247FC1" w:rsidRPr="0087422E">
        <w:rPr>
          <w:lang w:val="en-GB"/>
        </w:rPr>
        <w:t>aimed at</w:t>
      </w:r>
      <w:r w:rsidR="009666E8" w:rsidRPr="0087422E">
        <w:rPr>
          <w:lang w:val="en-GB"/>
        </w:rPr>
        <w:t xml:space="preserve"> improv</w:t>
      </w:r>
      <w:r w:rsidR="00247FC1" w:rsidRPr="0087422E">
        <w:rPr>
          <w:lang w:val="en-GB"/>
        </w:rPr>
        <w:t>ing the</w:t>
      </w:r>
      <w:r w:rsidR="009666E8" w:rsidRPr="0087422E">
        <w:rPr>
          <w:lang w:val="en-GB"/>
        </w:rPr>
        <w:t xml:space="preserve"> accessibility and quality of educational services </w:t>
      </w:r>
      <w:r w:rsidR="009666E8" w:rsidRPr="0087422E">
        <w:rPr>
          <w:b/>
          <w:color w:val="336699"/>
          <w:lang w:val="en-GB"/>
        </w:rPr>
        <w:t>contributed to</w:t>
      </w:r>
      <w:r w:rsidR="009666E8" w:rsidRPr="0087422E">
        <w:rPr>
          <w:color w:val="336699"/>
          <w:lang w:val="en-GB"/>
        </w:rPr>
        <w:t xml:space="preserve"> </w:t>
      </w:r>
      <w:r w:rsidR="009666E8" w:rsidRPr="0087422E">
        <w:rPr>
          <w:b/>
          <w:color w:val="336699"/>
          <w:lang w:val="en-GB"/>
        </w:rPr>
        <w:t>changes in all levels of education</w:t>
      </w:r>
      <w:r w:rsidR="009666E8" w:rsidRPr="0087422E">
        <w:rPr>
          <w:color w:val="336699"/>
          <w:lang w:val="en-GB"/>
        </w:rPr>
        <w:t xml:space="preserve"> </w:t>
      </w:r>
      <w:r w:rsidR="009666E8" w:rsidRPr="0087422E">
        <w:rPr>
          <w:lang w:val="en-GB"/>
        </w:rPr>
        <w:t xml:space="preserve">(preschool education, general education, vocational training, higher education, education for persons with special needs, non-formal education). </w:t>
      </w:r>
      <w:r w:rsidR="00247FC1" w:rsidRPr="0087422E">
        <w:rPr>
          <w:lang w:val="en-GB"/>
        </w:rPr>
        <w:t>The d</w:t>
      </w:r>
      <w:r w:rsidR="008E0CF5" w:rsidRPr="0087422E">
        <w:rPr>
          <w:lang w:val="en-GB"/>
        </w:rPr>
        <w:t>evelopment of p</w:t>
      </w:r>
      <w:r w:rsidR="009666E8" w:rsidRPr="0087422E">
        <w:rPr>
          <w:lang w:val="en-GB"/>
        </w:rPr>
        <w:t>reschool and primary education was boosted (</w:t>
      </w:r>
      <w:r w:rsidR="008E0CF5" w:rsidRPr="0087422E">
        <w:rPr>
          <w:lang w:val="en-GB"/>
        </w:rPr>
        <w:t>preparation</w:t>
      </w:r>
      <w:r w:rsidR="009666E8" w:rsidRPr="0087422E">
        <w:rPr>
          <w:lang w:val="en-GB"/>
        </w:rPr>
        <w:t xml:space="preserve"> for financing preschool education using </w:t>
      </w:r>
      <w:r w:rsidR="00247FC1" w:rsidRPr="0087422E">
        <w:rPr>
          <w:lang w:val="en-GB"/>
        </w:rPr>
        <w:t xml:space="preserve">the </w:t>
      </w:r>
      <w:r w:rsidR="009666E8" w:rsidRPr="0087422E">
        <w:rPr>
          <w:lang w:val="en-GB"/>
        </w:rPr>
        <w:t xml:space="preserve">“basket principle”) and the number </w:t>
      </w:r>
      <w:r w:rsidR="008E0CF5" w:rsidRPr="0087422E">
        <w:rPr>
          <w:lang w:val="en-GB"/>
        </w:rPr>
        <w:t xml:space="preserve">of </w:t>
      </w:r>
      <w:r w:rsidR="009666E8" w:rsidRPr="0087422E">
        <w:rPr>
          <w:lang w:val="en-GB"/>
        </w:rPr>
        <w:t>children participating in preschool education increased.</w:t>
      </w:r>
    </w:p>
    <w:p w:rsidR="009666E8" w:rsidRPr="0087422E" w:rsidRDefault="009666E8" w:rsidP="009666E8">
      <w:pPr>
        <w:spacing w:after="0" w:line="240" w:lineRule="auto"/>
        <w:jc w:val="both"/>
        <w:rPr>
          <w:lang w:val="en-GB"/>
        </w:rPr>
      </w:pPr>
    </w:p>
    <w:p w:rsidR="009666E8" w:rsidRPr="0087422E" w:rsidRDefault="009666E8" w:rsidP="009666E8">
      <w:pPr>
        <w:spacing w:after="0" w:line="240" w:lineRule="auto"/>
        <w:jc w:val="both"/>
        <w:rPr>
          <w:lang w:val="en-GB"/>
        </w:rPr>
      </w:pPr>
      <w:r w:rsidRPr="0087422E">
        <w:rPr>
          <w:lang w:val="en-GB"/>
        </w:rPr>
        <w:t xml:space="preserve">In 2007–2015, </w:t>
      </w:r>
      <w:r w:rsidR="00247FC1" w:rsidRPr="0087422E">
        <w:rPr>
          <w:lang w:val="en-GB"/>
        </w:rPr>
        <w:t xml:space="preserve">financing was provided to the </w:t>
      </w:r>
      <w:r w:rsidRPr="0087422E">
        <w:rPr>
          <w:lang w:val="en-GB"/>
        </w:rPr>
        <w:t xml:space="preserve">improvement of </w:t>
      </w:r>
      <w:r w:rsidR="00247FC1" w:rsidRPr="0087422E">
        <w:rPr>
          <w:lang w:val="en-GB"/>
        </w:rPr>
        <w:t xml:space="preserve">the </w:t>
      </w:r>
      <w:r w:rsidRPr="0087422E">
        <w:rPr>
          <w:lang w:val="en-GB"/>
        </w:rPr>
        <w:t xml:space="preserve">quality of general education, for example, </w:t>
      </w:r>
      <w:r w:rsidR="00247FC1" w:rsidRPr="0087422E">
        <w:rPr>
          <w:lang w:val="en-GB"/>
        </w:rPr>
        <w:t xml:space="preserve">revising the </w:t>
      </w:r>
      <w:r w:rsidRPr="0087422E">
        <w:rPr>
          <w:lang w:val="en-GB"/>
        </w:rPr>
        <w:t xml:space="preserve">content of subjects, </w:t>
      </w:r>
      <w:r w:rsidR="00247FC1" w:rsidRPr="0087422E">
        <w:rPr>
          <w:lang w:val="en-GB"/>
        </w:rPr>
        <w:t xml:space="preserve">improving the </w:t>
      </w:r>
      <w:r w:rsidRPr="0087422E">
        <w:rPr>
          <w:lang w:val="en-GB"/>
        </w:rPr>
        <w:t>qualification of teachers</w:t>
      </w:r>
      <w:r w:rsidR="00247FC1" w:rsidRPr="0087422E">
        <w:rPr>
          <w:lang w:val="en-GB"/>
        </w:rPr>
        <w:t xml:space="preserve"> and implementing</w:t>
      </w:r>
      <w:r w:rsidRPr="0087422E">
        <w:rPr>
          <w:lang w:val="en-GB"/>
        </w:rPr>
        <w:t xml:space="preserve"> anti-bullying projects. EU investments also contributed to the moderni</w:t>
      </w:r>
      <w:r w:rsidR="00247FC1" w:rsidRPr="0087422E">
        <w:rPr>
          <w:lang w:val="en-GB"/>
        </w:rPr>
        <w:t>s</w:t>
      </w:r>
      <w:r w:rsidRPr="0087422E">
        <w:rPr>
          <w:lang w:val="en-GB"/>
        </w:rPr>
        <w:t xml:space="preserve">ation of </w:t>
      </w:r>
      <w:r w:rsidR="00247FC1" w:rsidRPr="0087422E">
        <w:rPr>
          <w:lang w:val="en-GB"/>
        </w:rPr>
        <w:t xml:space="preserve">the </w:t>
      </w:r>
      <w:r w:rsidRPr="0087422E">
        <w:rPr>
          <w:lang w:val="en-GB"/>
        </w:rPr>
        <w:t>vocational tra</w:t>
      </w:r>
      <w:r w:rsidR="008E0CF5" w:rsidRPr="0087422E">
        <w:rPr>
          <w:lang w:val="en-GB"/>
        </w:rPr>
        <w:t>ining system (</w:t>
      </w:r>
      <w:r w:rsidR="00247FC1" w:rsidRPr="0087422E">
        <w:rPr>
          <w:lang w:val="en-GB"/>
        </w:rPr>
        <w:t xml:space="preserve">the </w:t>
      </w:r>
      <w:r w:rsidR="008E0CF5" w:rsidRPr="0087422E">
        <w:rPr>
          <w:lang w:val="en-GB"/>
        </w:rPr>
        <w:t>development</w:t>
      </w:r>
      <w:r w:rsidRPr="0087422E">
        <w:rPr>
          <w:lang w:val="en-GB"/>
        </w:rPr>
        <w:t xml:space="preserve"> </w:t>
      </w:r>
      <w:r w:rsidR="008E0CF5" w:rsidRPr="0087422E">
        <w:rPr>
          <w:lang w:val="en-GB"/>
        </w:rPr>
        <w:t xml:space="preserve">of </w:t>
      </w:r>
      <w:r w:rsidRPr="0087422E">
        <w:rPr>
          <w:lang w:val="en-GB"/>
        </w:rPr>
        <w:t xml:space="preserve">programmes </w:t>
      </w:r>
      <w:r w:rsidR="00247FC1" w:rsidRPr="0087422E">
        <w:rPr>
          <w:lang w:val="en-GB"/>
        </w:rPr>
        <w:t xml:space="preserve">to </w:t>
      </w:r>
      <w:r w:rsidRPr="0087422E">
        <w:rPr>
          <w:lang w:val="en-GB"/>
        </w:rPr>
        <w:t xml:space="preserve">be used for raising qualification </w:t>
      </w:r>
      <w:r w:rsidR="008E0CF5" w:rsidRPr="0087422E">
        <w:rPr>
          <w:lang w:val="en-GB"/>
        </w:rPr>
        <w:t>of vocational teachers, improvement of the</w:t>
      </w:r>
      <w:r w:rsidRPr="0087422E">
        <w:rPr>
          <w:lang w:val="en-GB"/>
        </w:rPr>
        <w:t xml:space="preserve"> qualification of vocational teachers) and to the growth </w:t>
      </w:r>
      <w:r w:rsidR="008E0CF5" w:rsidRPr="0087422E">
        <w:rPr>
          <w:lang w:val="en-GB"/>
        </w:rPr>
        <w:t xml:space="preserve">in the number of students who </w:t>
      </w:r>
      <w:r w:rsidRPr="0087422E">
        <w:rPr>
          <w:lang w:val="en-GB"/>
        </w:rPr>
        <w:t>choos</w:t>
      </w:r>
      <w:r w:rsidR="00247FC1" w:rsidRPr="0087422E">
        <w:rPr>
          <w:lang w:val="en-GB"/>
        </w:rPr>
        <w:t>e</w:t>
      </w:r>
      <w:r w:rsidRPr="0087422E">
        <w:rPr>
          <w:lang w:val="en-GB"/>
        </w:rPr>
        <w:t xml:space="preserve"> vocational training (for example, in 2015 </w:t>
      </w:r>
      <w:r w:rsidR="00247FC1" w:rsidRPr="0087422E">
        <w:rPr>
          <w:lang w:val="en-GB"/>
        </w:rPr>
        <w:t xml:space="preserve">the </w:t>
      </w:r>
      <w:r w:rsidRPr="0087422E">
        <w:rPr>
          <w:lang w:val="en-GB"/>
        </w:rPr>
        <w:t xml:space="preserve">share of persons who opted for vocational training accounted </w:t>
      </w:r>
      <w:r w:rsidR="00247FC1" w:rsidRPr="0087422E">
        <w:rPr>
          <w:lang w:val="en-GB"/>
        </w:rPr>
        <w:t xml:space="preserve">for </w:t>
      </w:r>
      <w:r w:rsidRPr="0087422E">
        <w:rPr>
          <w:lang w:val="en-GB"/>
        </w:rPr>
        <w:t xml:space="preserve">43% of </w:t>
      </w:r>
      <w:r w:rsidR="00247FC1" w:rsidRPr="0087422E">
        <w:rPr>
          <w:lang w:val="en-GB"/>
        </w:rPr>
        <w:t xml:space="preserve">the </w:t>
      </w:r>
      <w:r w:rsidRPr="0087422E">
        <w:rPr>
          <w:lang w:val="en-GB"/>
        </w:rPr>
        <w:t xml:space="preserve">total number of higher education and vocational training students). </w:t>
      </w:r>
      <w:r w:rsidR="00247FC1" w:rsidRPr="0087422E">
        <w:rPr>
          <w:lang w:val="en-GB"/>
        </w:rPr>
        <w:t>Investments were also made</w:t>
      </w:r>
      <w:r w:rsidRPr="0087422E">
        <w:rPr>
          <w:lang w:val="en-GB"/>
        </w:rPr>
        <w:t xml:space="preserve"> in</w:t>
      </w:r>
      <w:r w:rsidR="00247FC1" w:rsidRPr="0087422E">
        <w:rPr>
          <w:lang w:val="en-GB"/>
        </w:rPr>
        <w:t>to</w:t>
      </w:r>
      <w:r w:rsidRPr="0087422E">
        <w:rPr>
          <w:lang w:val="en-GB"/>
        </w:rPr>
        <w:t xml:space="preserve"> improving the quality of higher education (descriptions of study fields were developed</w:t>
      </w:r>
      <w:r w:rsidR="00247FC1" w:rsidRPr="0087422E">
        <w:rPr>
          <w:lang w:val="en-GB"/>
        </w:rPr>
        <w:t xml:space="preserve"> and are used by</w:t>
      </w:r>
      <w:r w:rsidRPr="0087422E">
        <w:rPr>
          <w:lang w:val="en-GB"/>
        </w:rPr>
        <w:t xml:space="preserve"> high</w:t>
      </w:r>
      <w:r w:rsidR="000E250B" w:rsidRPr="0087422E">
        <w:rPr>
          <w:lang w:val="en-GB"/>
        </w:rPr>
        <w:t>er</w:t>
      </w:r>
      <w:r w:rsidRPr="0087422E">
        <w:rPr>
          <w:lang w:val="en-GB"/>
        </w:rPr>
        <w:t xml:space="preserve"> schools </w:t>
      </w:r>
      <w:r w:rsidR="00247FC1" w:rsidRPr="0087422E">
        <w:rPr>
          <w:lang w:val="en-GB"/>
        </w:rPr>
        <w:t xml:space="preserve">to </w:t>
      </w:r>
      <w:r w:rsidRPr="0087422E">
        <w:rPr>
          <w:lang w:val="en-GB"/>
        </w:rPr>
        <w:t>revis</w:t>
      </w:r>
      <w:r w:rsidR="00247FC1" w:rsidRPr="0087422E">
        <w:rPr>
          <w:lang w:val="en-GB"/>
        </w:rPr>
        <w:t>e</w:t>
      </w:r>
      <w:r w:rsidRPr="0087422E">
        <w:rPr>
          <w:lang w:val="en-GB"/>
        </w:rPr>
        <w:t xml:space="preserve"> their study programmes in order to adapt to changing circumstances in the labour market). EU investment</w:t>
      </w:r>
      <w:r w:rsidR="000E250B" w:rsidRPr="0087422E">
        <w:rPr>
          <w:lang w:val="en-GB"/>
        </w:rPr>
        <w:t>s</w:t>
      </w:r>
      <w:r w:rsidRPr="0087422E">
        <w:rPr>
          <w:lang w:val="en-GB"/>
        </w:rPr>
        <w:t xml:space="preserve"> helped to create a better learning environment for students with special needs. </w:t>
      </w:r>
      <w:r w:rsidR="00247FC1" w:rsidRPr="0087422E">
        <w:rPr>
          <w:lang w:val="en-GB"/>
        </w:rPr>
        <w:t>The n</w:t>
      </w:r>
      <w:r w:rsidRPr="0087422E">
        <w:rPr>
          <w:lang w:val="en-GB"/>
        </w:rPr>
        <w:t>umber of students with disabilities increased as well (in 2007</w:t>
      </w:r>
      <w:r w:rsidR="00247FC1" w:rsidRPr="0087422E">
        <w:rPr>
          <w:lang w:val="en-GB"/>
        </w:rPr>
        <w:t>,</w:t>
      </w:r>
      <w:r w:rsidRPr="0087422E">
        <w:rPr>
          <w:lang w:val="en-GB"/>
        </w:rPr>
        <w:t xml:space="preserve"> persons with disabilities accounted for 0.3% of the total number of </w:t>
      </w:r>
      <w:r w:rsidR="00247FC1" w:rsidRPr="0087422E">
        <w:rPr>
          <w:lang w:val="en-GB"/>
        </w:rPr>
        <w:t xml:space="preserve">university </w:t>
      </w:r>
      <w:r w:rsidRPr="0087422E">
        <w:rPr>
          <w:lang w:val="en-GB"/>
        </w:rPr>
        <w:t>students, in 2015</w:t>
      </w:r>
      <w:r w:rsidR="00247FC1" w:rsidRPr="0087422E">
        <w:rPr>
          <w:lang w:val="en-GB"/>
        </w:rPr>
        <w:t> </w:t>
      </w:r>
      <w:r w:rsidRPr="0087422E">
        <w:rPr>
          <w:lang w:val="en-GB"/>
        </w:rPr>
        <w:t xml:space="preserve">– </w:t>
      </w:r>
      <w:r w:rsidR="00247FC1" w:rsidRPr="0087422E">
        <w:rPr>
          <w:lang w:val="en-GB"/>
        </w:rPr>
        <w:t xml:space="preserve">for </w:t>
      </w:r>
      <w:r w:rsidRPr="0087422E">
        <w:rPr>
          <w:lang w:val="en-GB"/>
        </w:rPr>
        <w:t>0.6%).</w:t>
      </w:r>
    </w:p>
    <w:p w:rsidR="009666E8" w:rsidRPr="0087422E" w:rsidRDefault="009666E8" w:rsidP="009666E8">
      <w:pPr>
        <w:spacing w:after="0" w:line="240" w:lineRule="auto"/>
        <w:jc w:val="both"/>
        <w:rPr>
          <w:lang w:val="en-GB"/>
        </w:rPr>
      </w:pPr>
    </w:p>
    <w:p w:rsidR="009666E8" w:rsidRPr="0087422E" w:rsidRDefault="009666E8" w:rsidP="009666E8">
      <w:pPr>
        <w:spacing w:after="0" w:line="240" w:lineRule="auto"/>
        <w:jc w:val="both"/>
        <w:rPr>
          <w:lang w:val="en-GB"/>
        </w:rPr>
      </w:pPr>
      <w:r w:rsidRPr="0087422E">
        <w:rPr>
          <w:lang w:val="en-GB"/>
        </w:rPr>
        <w:t xml:space="preserve">Measures </w:t>
      </w:r>
      <w:r w:rsidR="00247FC1" w:rsidRPr="0087422E">
        <w:rPr>
          <w:lang w:val="en-GB"/>
        </w:rPr>
        <w:t>aimed at</w:t>
      </w:r>
      <w:r w:rsidRPr="0087422E">
        <w:rPr>
          <w:lang w:val="en-GB"/>
        </w:rPr>
        <w:t xml:space="preserve"> improv</w:t>
      </w:r>
      <w:r w:rsidR="00247FC1" w:rsidRPr="0087422E">
        <w:rPr>
          <w:lang w:val="en-GB"/>
        </w:rPr>
        <w:t>ing the</w:t>
      </w:r>
      <w:r w:rsidRPr="0087422E">
        <w:rPr>
          <w:lang w:val="en-GB"/>
        </w:rPr>
        <w:t xml:space="preserve"> accessibility and quality of educational services had a positive impact on the overall situation of education in the country</w:t>
      </w:r>
      <w:r w:rsidR="00247FC1" w:rsidRPr="0087422E">
        <w:rPr>
          <w:lang w:val="en-GB"/>
        </w:rPr>
        <w:t>,</w:t>
      </w:r>
      <w:r w:rsidRPr="0087422E">
        <w:rPr>
          <w:lang w:val="en-GB"/>
        </w:rPr>
        <w:t xml:space="preserve"> which is represented by strategic context indicators.</w:t>
      </w:r>
    </w:p>
    <w:p w:rsidR="009666E8" w:rsidRPr="0087422E" w:rsidRDefault="009666E8" w:rsidP="00857C57">
      <w:pPr>
        <w:spacing w:after="0" w:line="240" w:lineRule="auto"/>
        <w:jc w:val="both"/>
        <w:rPr>
          <w:lang w:val="en-GB"/>
        </w:rPr>
      </w:pPr>
    </w:p>
    <w:p w:rsidR="00D938E6" w:rsidRPr="0087422E" w:rsidRDefault="00A44E2F" w:rsidP="00D938E6">
      <w:pPr>
        <w:pStyle w:val="Caption"/>
        <w:jc w:val="both"/>
        <w:rPr>
          <w:rFonts w:ascii="Cambria" w:hAnsi="Cambria"/>
          <w:color w:val="1F4E79" w:themeColor="accent1" w:themeShade="80"/>
          <w:sz w:val="20"/>
          <w:szCs w:val="20"/>
          <w:lang w:val="en-GB"/>
        </w:rPr>
      </w:pPr>
      <w:r w:rsidRPr="0087422E">
        <w:rPr>
          <w:rFonts w:ascii="Cambria" w:hAnsi="Cambria"/>
          <w:color w:val="1F4E79" w:themeColor="accent1" w:themeShade="80"/>
          <w:sz w:val="20"/>
          <w:szCs w:val="20"/>
          <w:lang w:val="en-GB"/>
        </w:rPr>
        <w:t xml:space="preserve">Image No </w:t>
      </w:r>
      <w:r w:rsidR="00CF4339" w:rsidRPr="0087422E">
        <w:rPr>
          <w:rFonts w:ascii="Cambria" w:hAnsi="Cambria"/>
          <w:color w:val="1F4E79" w:themeColor="accent1" w:themeShade="80"/>
          <w:sz w:val="20"/>
          <w:szCs w:val="20"/>
          <w:lang w:val="en-GB"/>
        </w:rPr>
        <w:fldChar w:fldCharType="begin"/>
      </w:r>
      <w:r w:rsidR="00D938E6"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7</w:t>
      </w:r>
      <w:r w:rsidR="00CF4339" w:rsidRPr="0087422E">
        <w:rPr>
          <w:rFonts w:ascii="Cambria" w:hAnsi="Cambria"/>
          <w:color w:val="1F4E79" w:themeColor="accent1" w:themeShade="80"/>
          <w:sz w:val="20"/>
          <w:szCs w:val="20"/>
          <w:lang w:val="en-GB"/>
        </w:rPr>
        <w:fldChar w:fldCharType="end"/>
      </w:r>
      <w:r w:rsidR="00D938E6" w:rsidRPr="0087422E">
        <w:rPr>
          <w:rFonts w:ascii="Cambria" w:hAnsi="Cambria"/>
          <w:color w:val="1F4E79" w:themeColor="accent1" w:themeShade="80"/>
          <w:sz w:val="20"/>
          <w:szCs w:val="20"/>
          <w:lang w:val="en-GB"/>
        </w:rPr>
        <w:t xml:space="preserve">. </w:t>
      </w:r>
      <w:r w:rsidRPr="0087422E">
        <w:rPr>
          <w:rFonts w:ascii="Cambria" w:hAnsi="Cambria"/>
          <w:color w:val="1F4E79" w:themeColor="accent1" w:themeShade="80"/>
          <w:sz w:val="20"/>
          <w:szCs w:val="20"/>
          <w:lang w:val="en-GB"/>
        </w:rPr>
        <w:t xml:space="preserve">Changes </w:t>
      </w:r>
      <w:r w:rsidR="00247FC1" w:rsidRPr="0087422E">
        <w:rPr>
          <w:rFonts w:ascii="Cambria" w:hAnsi="Cambria"/>
          <w:color w:val="1F4E79" w:themeColor="accent1" w:themeShade="80"/>
          <w:sz w:val="20"/>
          <w:szCs w:val="20"/>
          <w:lang w:val="en-GB"/>
        </w:rPr>
        <w:t xml:space="preserve">in </w:t>
      </w:r>
      <w:r w:rsidRPr="0087422E">
        <w:rPr>
          <w:rFonts w:ascii="Cambria" w:hAnsi="Cambria"/>
          <w:color w:val="1F4E79" w:themeColor="accent1" w:themeShade="80"/>
          <w:sz w:val="20"/>
          <w:szCs w:val="20"/>
          <w:lang w:val="en-GB"/>
        </w:rPr>
        <w:t>strategic context indicators illustrating the situation of education</w:t>
      </w:r>
    </w:p>
    <w:p w:rsidR="00C62837" w:rsidRPr="0087422E" w:rsidRDefault="00FF4ABA" w:rsidP="00857C57">
      <w:pPr>
        <w:spacing w:after="0" w:line="240" w:lineRule="auto"/>
        <w:jc w:val="both"/>
        <w:rPr>
          <w:lang w:val="en-GB"/>
        </w:rPr>
      </w:pPr>
      <w:r w:rsidRPr="0087422E">
        <w:rPr>
          <w:noProof/>
          <w:lang w:eastAsia="lt-LT"/>
        </w:rPr>
        <w:drawing>
          <wp:inline distT="0" distB="0" distL="0" distR="0" wp14:anchorId="532F6450" wp14:editId="5C28376A">
            <wp:extent cx="6334125" cy="216217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5ACF" w:rsidRPr="0087422E" w:rsidRDefault="00265ACF" w:rsidP="00857C57">
      <w:pPr>
        <w:spacing w:after="0" w:line="240" w:lineRule="auto"/>
        <w:jc w:val="both"/>
        <w:rPr>
          <w:lang w:val="en-GB"/>
        </w:rPr>
      </w:pPr>
    </w:p>
    <w:p w:rsidR="004C328F" w:rsidRPr="0087422E" w:rsidRDefault="004C328F" w:rsidP="004C328F">
      <w:pPr>
        <w:spacing w:after="0" w:line="240" w:lineRule="auto"/>
        <w:jc w:val="both"/>
        <w:rPr>
          <w:lang w:val="en-GB"/>
        </w:rPr>
      </w:pPr>
      <w:r w:rsidRPr="0087422E">
        <w:rPr>
          <w:lang w:val="en-GB"/>
        </w:rPr>
        <w:t xml:space="preserve">In 2007–2015, the </w:t>
      </w:r>
      <w:r w:rsidRPr="0087422E">
        <w:rPr>
          <w:b/>
          <w:color w:val="336699"/>
          <w:lang w:val="en-GB"/>
        </w:rPr>
        <w:t xml:space="preserve">level of youth </w:t>
      </w:r>
      <w:r w:rsidR="00060925" w:rsidRPr="0087422E">
        <w:rPr>
          <w:b/>
          <w:color w:val="336699"/>
          <w:lang w:val="en-GB"/>
        </w:rPr>
        <w:t xml:space="preserve">academic </w:t>
      </w:r>
      <w:r w:rsidRPr="0087422E">
        <w:rPr>
          <w:b/>
          <w:color w:val="336699"/>
          <w:lang w:val="en-GB"/>
        </w:rPr>
        <w:t>achievements</w:t>
      </w:r>
      <w:r w:rsidRPr="0087422E">
        <w:rPr>
          <w:color w:val="336699"/>
          <w:lang w:val="en-GB"/>
        </w:rPr>
        <w:t xml:space="preserve"> </w:t>
      </w:r>
      <w:r w:rsidRPr="0087422E">
        <w:rPr>
          <w:lang w:val="en-GB"/>
        </w:rPr>
        <w:t xml:space="preserve">increased (from 88.3% to 90.9%) and the </w:t>
      </w:r>
      <w:r w:rsidR="00247FC1" w:rsidRPr="0087422E">
        <w:rPr>
          <w:b/>
          <w:color w:val="336699"/>
          <w:lang w:val="en-GB"/>
        </w:rPr>
        <w:t xml:space="preserve">school dropout rate </w:t>
      </w:r>
      <w:r w:rsidRPr="0087422E">
        <w:rPr>
          <w:lang w:val="en-GB"/>
        </w:rPr>
        <w:t>declined (from 7.8% to 5.5%). Lithuania was ahead of the EU average</w:t>
      </w:r>
      <w:r w:rsidR="00060925" w:rsidRPr="0087422E">
        <w:rPr>
          <w:lang w:val="en-GB"/>
        </w:rPr>
        <w:t xml:space="preserve"> in terms of both </w:t>
      </w:r>
      <w:r w:rsidR="00060925" w:rsidRPr="0087422E">
        <w:rPr>
          <w:lang w:val="en-GB"/>
        </w:rPr>
        <w:lastRenderedPageBreak/>
        <w:t>indicators</w:t>
      </w:r>
      <w:r w:rsidRPr="0087422E">
        <w:rPr>
          <w:lang w:val="en-GB"/>
        </w:rPr>
        <w:t>. EU intervention</w:t>
      </w:r>
      <w:r w:rsidR="00816E1D" w:rsidRPr="0087422E">
        <w:rPr>
          <w:lang w:val="en-GB"/>
        </w:rPr>
        <w:t>s</w:t>
      </w:r>
      <w:r w:rsidRPr="0087422E">
        <w:rPr>
          <w:lang w:val="en-GB"/>
        </w:rPr>
        <w:t xml:space="preserve"> had a positive </w:t>
      </w:r>
      <w:r w:rsidR="00060925" w:rsidRPr="0087422E">
        <w:rPr>
          <w:lang w:val="en-GB"/>
        </w:rPr>
        <w:t xml:space="preserve">impact </w:t>
      </w:r>
      <w:r w:rsidRPr="0087422E">
        <w:rPr>
          <w:lang w:val="en-GB"/>
        </w:rPr>
        <w:t xml:space="preserve">on changes </w:t>
      </w:r>
      <w:r w:rsidR="00247FC1" w:rsidRPr="0087422E">
        <w:rPr>
          <w:lang w:val="en-GB"/>
        </w:rPr>
        <w:t xml:space="preserve">in </w:t>
      </w:r>
      <w:r w:rsidRPr="0087422E">
        <w:rPr>
          <w:lang w:val="en-GB"/>
        </w:rPr>
        <w:t>these indicators at the individual level. The main indicator, which was</w:t>
      </w:r>
      <w:r w:rsidR="00247FC1" w:rsidRPr="0087422E">
        <w:rPr>
          <w:lang w:val="en-GB"/>
        </w:rPr>
        <w:t xml:space="preserve"> to</w:t>
      </w:r>
      <w:r w:rsidRPr="0087422E">
        <w:rPr>
          <w:lang w:val="en-GB"/>
        </w:rPr>
        <w:t xml:space="preserve"> </w:t>
      </w:r>
      <w:r w:rsidR="00247FC1" w:rsidRPr="0087422E">
        <w:rPr>
          <w:lang w:val="en-GB"/>
        </w:rPr>
        <w:t>be</w:t>
      </w:r>
      <w:r w:rsidRPr="0087422E">
        <w:rPr>
          <w:lang w:val="en-GB"/>
        </w:rPr>
        <w:t xml:space="preserve"> influence</w:t>
      </w:r>
      <w:r w:rsidR="00247FC1" w:rsidRPr="0087422E">
        <w:rPr>
          <w:lang w:val="en-GB"/>
        </w:rPr>
        <w:t>d</w:t>
      </w:r>
      <w:r w:rsidRPr="0087422E">
        <w:rPr>
          <w:lang w:val="en-GB"/>
        </w:rPr>
        <w:t xml:space="preserve"> </w:t>
      </w:r>
      <w:r w:rsidR="00247FC1" w:rsidRPr="0087422E">
        <w:rPr>
          <w:lang w:val="en-GB"/>
        </w:rPr>
        <w:t xml:space="preserve">by </w:t>
      </w:r>
      <w:r w:rsidRPr="0087422E">
        <w:rPr>
          <w:lang w:val="en-GB"/>
        </w:rPr>
        <w:t xml:space="preserve">EU investments, measures the </w:t>
      </w:r>
      <w:r w:rsidR="00CF4339" w:rsidRPr="006D5CCB">
        <w:rPr>
          <w:lang w:val="en-GB"/>
        </w:rPr>
        <w:t>level of</w:t>
      </w:r>
      <w:r w:rsidRPr="0087422E">
        <w:rPr>
          <w:b/>
          <w:color w:val="336699"/>
          <w:lang w:val="en-GB"/>
        </w:rPr>
        <w:t xml:space="preserve"> lifelong learning</w:t>
      </w:r>
      <w:r w:rsidRPr="0087422E">
        <w:rPr>
          <w:lang w:val="en-GB"/>
        </w:rPr>
        <w:t xml:space="preserve">. In 2007–2015, this indicator </w:t>
      </w:r>
      <w:r w:rsidR="00543E83" w:rsidRPr="0087422E">
        <w:rPr>
          <w:lang w:val="en-GB"/>
        </w:rPr>
        <w:t xml:space="preserve">slightly </w:t>
      </w:r>
      <w:r w:rsidRPr="0087422E">
        <w:rPr>
          <w:lang w:val="en-GB"/>
        </w:rPr>
        <w:t xml:space="preserve">increased (from 5.5% to 5.8%). </w:t>
      </w:r>
      <w:r w:rsidR="00543E83" w:rsidRPr="0087422E">
        <w:rPr>
          <w:lang w:val="en-GB"/>
        </w:rPr>
        <w:t>The i</w:t>
      </w:r>
      <w:r w:rsidRPr="0087422E">
        <w:rPr>
          <w:lang w:val="en-GB"/>
        </w:rPr>
        <w:t xml:space="preserve">mpact of EU investments on lifelong learning depends on their continuity. Most investments in the </w:t>
      </w:r>
      <w:r w:rsidR="00543E83" w:rsidRPr="0087422E">
        <w:rPr>
          <w:lang w:val="en-GB"/>
        </w:rPr>
        <w:t xml:space="preserve">2007–2013 </w:t>
      </w:r>
      <w:r w:rsidRPr="0087422E">
        <w:rPr>
          <w:lang w:val="en-GB"/>
        </w:rPr>
        <w:t>period were made in</w:t>
      </w:r>
      <w:r w:rsidR="00543E83" w:rsidRPr="0087422E">
        <w:rPr>
          <w:lang w:val="en-GB"/>
        </w:rPr>
        <w:t>to</w:t>
      </w:r>
      <w:r w:rsidRPr="0087422E">
        <w:rPr>
          <w:lang w:val="en-GB"/>
        </w:rPr>
        <w:t xml:space="preserve"> improving </w:t>
      </w:r>
      <w:r w:rsidR="00543E83" w:rsidRPr="0087422E">
        <w:rPr>
          <w:lang w:val="en-GB"/>
        </w:rPr>
        <w:t xml:space="preserve">the </w:t>
      </w:r>
      <w:r w:rsidRPr="0087422E">
        <w:rPr>
          <w:lang w:val="en-GB"/>
        </w:rPr>
        <w:t xml:space="preserve">quality of primary education, therefore it could have an impact on lifelong learning in the future (persons who begin to learn in primary education institutions </w:t>
      </w:r>
      <w:r w:rsidR="00816E1D" w:rsidRPr="0087422E">
        <w:rPr>
          <w:lang w:val="en-GB"/>
        </w:rPr>
        <w:t>continue this practice</w:t>
      </w:r>
      <w:r w:rsidRPr="0087422E">
        <w:rPr>
          <w:lang w:val="en-GB"/>
        </w:rPr>
        <w:t xml:space="preserve"> successfully the whole life). In order to change the indicator of lifelong learning, </w:t>
      </w:r>
      <w:r w:rsidR="00543E83" w:rsidRPr="0087422E">
        <w:rPr>
          <w:lang w:val="en-GB"/>
        </w:rPr>
        <w:t>it</w:t>
      </w:r>
      <w:r w:rsidRPr="0087422E">
        <w:rPr>
          <w:lang w:val="en-GB"/>
        </w:rPr>
        <w:t xml:space="preserve"> necessary to create an appropriate learning culture, i.e. </w:t>
      </w:r>
      <w:r w:rsidR="00543E83" w:rsidRPr="0087422E">
        <w:rPr>
          <w:lang w:val="en-GB"/>
        </w:rPr>
        <w:t xml:space="preserve">priority should be given to </w:t>
      </w:r>
      <w:r w:rsidRPr="0087422E">
        <w:rPr>
          <w:lang w:val="en-GB"/>
        </w:rPr>
        <w:t>investments in</w:t>
      </w:r>
      <w:r w:rsidR="00543E83" w:rsidRPr="0087422E">
        <w:rPr>
          <w:lang w:val="en-GB"/>
        </w:rPr>
        <w:t>to</w:t>
      </w:r>
      <w:r w:rsidRPr="0087422E">
        <w:rPr>
          <w:lang w:val="en-GB"/>
        </w:rPr>
        <w:t xml:space="preserve"> </w:t>
      </w:r>
      <w:r w:rsidR="00543E83" w:rsidRPr="0087422E">
        <w:rPr>
          <w:lang w:val="en-GB"/>
        </w:rPr>
        <w:t xml:space="preserve">raising </w:t>
      </w:r>
      <w:r w:rsidRPr="0087422E">
        <w:rPr>
          <w:lang w:val="en-GB"/>
        </w:rPr>
        <w:t>public self-awareness, promoti</w:t>
      </w:r>
      <w:r w:rsidR="00543E83" w:rsidRPr="0087422E">
        <w:rPr>
          <w:lang w:val="en-GB"/>
        </w:rPr>
        <w:t>ng</w:t>
      </w:r>
      <w:r w:rsidRPr="0087422E">
        <w:rPr>
          <w:lang w:val="en-GB"/>
        </w:rPr>
        <w:t xml:space="preserve"> lifelong learning</w:t>
      </w:r>
      <w:r w:rsidR="00060925" w:rsidRPr="0087422E">
        <w:rPr>
          <w:lang w:val="en-GB"/>
        </w:rPr>
        <w:t xml:space="preserve"> and</w:t>
      </w:r>
      <w:r w:rsidRPr="0087422E">
        <w:rPr>
          <w:lang w:val="en-GB"/>
        </w:rPr>
        <w:t xml:space="preserve"> awareness-raising activities. In addition, it is very important to invest in</w:t>
      </w:r>
      <w:r w:rsidR="00543E83" w:rsidRPr="0087422E">
        <w:rPr>
          <w:lang w:val="en-GB"/>
        </w:rPr>
        <w:t>to</w:t>
      </w:r>
      <w:r w:rsidRPr="0087422E">
        <w:rPr>
          <w:lang w:val="en-GB"/>
        </w:rPr>
        <w:t xml:space="preserve"> the training of unskilled workers. </w:t>
      </w:r>
      <w:r w:rsidR="00060925" w:rsidRPr="0087422E">
        <w:rPr>
          <w:lang w:val="en-GB"/>
        </w:rPr>
        <w:t>R</w:t>
      </w:r>
      <w:r w:rsidRPr="0087422E">
        <w:rPr>
          <w:lang w:val="en-GB"/>
        </w:rPr>
        <w:t xml:space="preserve">egional </w:t>
      </w:r>
      <w:r w:rsidR="00543E83" w:rsidRPr="0087422E">
        <w:rPr>
          <w:lang w:val="en-GB"/>
        </w:rPr>
        <w:t>disparities should be taken into account</w:t>
      </w:r>
      <w:r w:rsidR="00060925" w:rsidRPr="0087422E">
        <w:rPr>
          <w:lang w:val="en-GB"/>
        </w:rPr>
        <w:t xml:space="preserve"> when planning investments</w:t>
      </w:r>
      <w:r w:rsidRPr="0087422E">
        <w:rPr>
          <w:lang w:val="en-GB"/>
        </w:rPr>
        <w:t>. These factors will be considered when planning further investment</w:t>
      </w:r>
      <w:r w:rsidR="00543E83" w:rsidRPr="0087422E">
        <w:rPr>
          <w:lang w:val="en-GB"/>
        </w:rPr>
        <w:t>s</w:t>
      </w:r>
      <w:r w:rsidRPr="0087422E">
        <w:rPr>
          <w:lang w:val="en-GB"/>
        </w:rPr>
        <w:t xml:space="preserve"> for the </w:t>
      </w:r>
      <w:r w:rsidR="00543E83" w:rsidRPr="0087422E">
        <w:rPr>
          <w:lang w:val="en-GB"/>
        </w:rPr>
        <w:t>2014–2020</w:t>
      </w:r>
      <w:r w:rsidRPr="0087422E">
        <w:rPr>
          <w:lang w:val="en-GB"/>
        </w:rPr>
        <w:t>period.</w:t>
      </w:r>
    </w:p>
    <w:p w:rsidR="000A74AE" w:rsidRPr="0087422E" w:rsidRDefault="000A74AE" w:rsidP="00857C57">
      <w:pPr>
        <w:spacing w:after="0" w:line="240" w:lineRule="auto"/>
        <w:jc w:val="both"/>
        <w:rPr>
          <w:lang w:val="en-GB"/>
        </w:rPr>
      </w:pPr>
    </w:p>
    <w:p w:rsidR="00D938E6" w:rsidRPr="0087422E" w:rsidRDefault="00D938E6" w:rsidP="00857C57">
      <w:pPr>
        <w:spacing w:after="0" w:line="240" w:lineRule="auto"/>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10421"/>
      </w:tblGrid>
      <w:tr w:rsidR="00D938E6" w:rsidRPr="0087422E" w:rsidTr="003F252F">
        <w:tc>
          <w:tcPr>
            <w:tcW w:w="10421" w:type="dxa"/>
            <w:shd w:val="clear" w:color="auto" w:fill="DEEAF6" w:themeFill="accent1" w:themeFillTint="33"/>
          </w:tcPr>
          <w:p w:rsidR="00D938E6" w:rsidRPr="0087422E" w:rsidRDefault="00C25D51" w:rsidP="00060925">
            <w:pPr>
              <w:jc w:val="center"/>
              <w:rPr>
                <w:b/>
                <w:lang w:val="en-GB"/>
              </w:rPr>
            </w:pPr>
            <w:r w:rsidRPr="0087422E">
              <w:rPr>
                <w:b/>
                <w:color w:val="2E74B5" w:themeColor="accent1" w:themeShade="BF"/>
                <w:lang w:val="en-GB"/>
              </w:rPr>
              <w:t xml:space="preserve">EU </w:t>
            </w:r>
            <w:r w:rsidR="006F3A6A" w:rsidRPr="0087422E">
              <w:rPr>
                <w:b/>
                <w:color w:val="2E74B5" w:themeColor="accent1" w:themeShade="BF"/>
                <w:lang w:val="en-GB"/>
              </w:rPr>
              <w:t>INVESTMENT</w:t>
            </w:r>
            <w:r w:rsidR="00CF7A37" w:rsidRPr="0087422E">
              <w:rPr>
                <w:b/>
                <w:color w:val="2E74B5" w:themeColor="accent1" w:themeShade="BF"/>
                <w:lang w:val="en-GB"/>
              </w:rPr>
              <w:t>S</w:t>
            </w:r>
            <w:r w:rsidR="006F3A6A" w:rsidRPr="0087422E">
              <w:rPr>
                <w:b/>
                <w:color w:val="2E74B5" w:themeColor="accent1" w:themeShade="BF"/>
                <w:lang w:val="en-GB"/>
              </w:rPr>
              <w:t xml:space="preserve"> CONTRIBUTED TO IMPROVING THE QUALIFICATION OF RESEARCHES AND TO INCREASING THE NUMBER OF THEM IN LITHUANIA</w:t>
            </w:r>
          </w:p>
        </w:tc>
      </w:tr>
    </w:tbl>
    <w:p w:rsidR="00D938E6" w:rsidRPr="0087422E" w:rsidRDefault="00D938E6" w:rsidP="00D938E6">
      <w:pPr>
        <w:spacing w:after="0" w:line="240" w:lineRule="auto"/>
        <w:jc w:val="both"/>
        <w:rPr>
          <w:lang w:val="en-GB"/>
        </w:rPr>
      </w:pPr>
    </w:p>
    <w:p w:rsidR="00FE003F" w:rsidRPr="0087422E" w:rsidRDefault="00FE003F" w:rsidP="00FE003F">
      <w:pPr>
        <w:spacing w:after="0" w:line="240" w:lineRule="auto"/>
        <w:jc w:val="both"/>
        <w:rPr>
          <w:lang w:val="en-GB"/>
        </w:rPr>
      </w:pPr>
      <w:r w:rsidRPr="0087422E">
        <w:rPr>
          <w:lang w:val="en-GB"/>
        </w:rPr>
        <w:t xml:space="preserve">The third investment axis was aimed at </w:t>
      </w:r>
      <w:r w:rsidRPr="0087422E">
        <w:rPr>
          <w:b/>
          <w:color w:val="336699"/>
          <w:lang w:val="en-GB"/>
        </w:rPr>
        <w:t>improving the qualification and competences of researchers</w:t>
      </w:r>
      <w:r w:rsidRPr="0087422E">
        <w:rPr>
          <w:lang w:val="en-GB"/>
        </w:rPr>
        <w:t xml:space="preserve">, </w:t>
      </w:r>
      <w:r w:rsidRPr="0087422E">
        <w:rPr>
          <w:b/>
          <w:color w:val="336699"/>
          <w:lang w:val="en-GB"/>
        </w:rPr>
        <w:t>promoting the</w:t>
      </w:r>
      <w:r w:rsidR="00543E83" w:rsidRPr="0087422E">
        <w:rPr>
          <w:b/>
          <w:color w:val="336699"/>
          <w:lang w:val="en-GB"/>
        </w:rPr>
        <w:t>ir</w:t>
      </w:r>
      <w:r w:rsidRPr="0087422E">
        <w:rPr>
          <w:b/>
          <w:color w:val="336699"/>
          <w:lang w:val="en-GB"/>
        </w:rPr>
        <w:t xml:space="preserve"> mobility </w:t>
      </w:r>
      <w:r w:rsidRPr="0087422E">
        <w:rPr>
          <w:lang w:val="en-GB"/>
        </w:rPr>
        <w:t xml:space="preserve">and </w:t>
      </w:r>
      <w:r w:rsidRPr="0087422E">
        <w:rPr>
          <w:b/>
          <w:color w:val="336699"/>
          <w:lang w:val="en-GB"/>
        </w:rPr>
        <w:t>increasing the</w:t>
      </w:r>
      <w:r w:rsidR="00543E83" w:rsidRPr="0087422E">
        <w:rPr>
          <w:b/>
          <w:color w:val="336699"/>
          <w:lang w:val="en-GB"/>
        </w:rPr>
        <w:t>ir</w:t>
      </w:r>
      <w:r w:rsidRPr="0087422E">
        <w:rPr>
          <w:b/>
          <w:color w:val="336699"/>
          <w:lang w:val="en-GB"/>
        </w:rPr>
        <w:t xml:space="preserve"> number </w:t>
      </w:r>
      <w:r w:rsidRPr="0087422E">
        <w:rPr>
          <w:lang w:val="en-GB"/>
        </w:rPr>
        <w:t>in Lithuania. Main objectives of these investments were: to solve the problem of insufficient cooperation between business and science, to increase the number of researchers working in the private sector and in high</w:t>
      </w:r>
      <w:r w:rsidR="00060925" w:rsidRPr="0087422E">
        <w:rPr>
          <w:lang w:val="en-GB"/>
        </w:rPr>
        <w:t>-</w:t>
      </w:r>
      <w:r w:rsidRPr="0087422E">
        <w:rPr>
          <w:lang w:val="en-GB"/>
        </w:rPr>
        <w:t xml:space="preserve">tech companies. </w:t>
      </w:r>
      <w:r w:rsidR="00543E83" w:rsidRPr="0087422E">
        <w:rPr>
          <w:lang w:val="en-GB"/>
        </w:rPr>
        <w:t xml:space="preserve">EU funds were used to finance </w:t>
      </w:r>
      <w:r w:rsidRPr="0087422E">
        <w:rPr>
          <w:lang w:val="en-GB"/>
        </w:rPr>
        <w:t xml:space="preserve">internships, formal and non-formal education of scientists and researchers (for example, doctoral studies), high-level research, events for </w:t>
      </w:r>
      <w:r w:rsidR="00543E83" w:rsidRPr="0087422E">
        <w:rPr>
          <w:lang w:val="en-GB"/>
        </w:rPr>
        <w:t xml:space="preserve">the </w:t>
      </w:r>
      <w:r w:rsidRPr="0087422E">
        <w:rPr>
          <w:lang w:val="en-GB"/>
        </w:rPr>
        <w:t>populari</w:t>
      </w:r>
      <w:r w:rsidR="00543E83" w:rsidRPr="0087422E">
        <w:rPr>
          <w:lang w:val="en-GB"/>
        </w:rPr>
        <w:t>sation</w:t>
      </w:r>
      <w:r w:rsidRPr="0087422E">
        <w:rPr>
          <w:lang w:val="en-GB"/>
        </w:rPr>
        <w:t xml:space="preserve"> of science </w:t>
      </w:r>
      <w:r w:rsidR="00543E83" w:rsidRPr="0087422E">
        <w:rPr>
          <w:lang w:val="en-GB"/>
        </w:rPr>
        <w:t>and the</w:t>
      </w:r>
      <w:r w:rsidRPr="0087422E">
        <w:rPr>
          <w:lang w:val="en-GB"/>
        </w:rPr>
        <w:t xml:space="preserve"> employment of researchers in enterprises.</w:t>
      </w:r>
    </w:p>
    <w:p w:rsidR="00D459CE" w:rsidRPr="0087422E" w:rsidRDefault="00D459CE" w:rsidP="00857C57">
      <w:pPr>
        <w:spacing w:after="0" w:line="240" w:lineRule="auto"/>
        <w:jc w:val="both"/>
        <w:rPr>
          <w:lang w:val="en-GB"/>
        </w:rPr>
      </w:pPr>
    </w:p>
    <w:p w:rsidR="00D459CE" w:rsidRPr="0087422E" w:rsidRDefault="006676C6" w:rsidP="00D459CE">
      <w:pPr>
        <w:spacing w:after="0" w:line="240" w:lineRule="auto"/>
        <w:jc w:val="both"/>
        <w:rPr>
          <w:b/>
          <w:color w:val="1F4E79" w:themeColor="accent1" w:themeShade="80"/>
          <w:lang w:val="en-GB"/>
        </w:rPr>
      </w:pPr>
      <w:r w:rsidRPr="0087422E">
        <w:rPr>
          <w:b/>
          <w:color w:val="1F4E79" w:themeColor="accent1" w:themeShade="80"/>
          <w:lang w:val="en-GB"/>
        </w:rPr>
        <w:t>RESULTS OF</w:t>
      </w:r>
      <w:r w:rsidR="00AF2E9A">
        <w:rPr>
          <w:b/>
          <w:color w:val="1F4E79" w:themeColor="accent1" w:themeShade="80"/>
          <w:lang w:val="en-GB"/>
        </w:rPr>
        <w:t xml:space="preserve"> THE</w:t>
      </w:r>
      <w:r w:rsidRPr="0087422E">
        <w:rPr>
          <w:b/>
          <w:color w:val="1F4E79" w:themeColor="accent1" w:themeShade="80"/>
          <w:lang w:val="en-GB"/>
        </w:rPr>
        <w:t xml:space="preserve"> INVESTMENTS</w:t>
      </w:r>
    </w:p>
    <w:p w:rsidR="00D459CE" w:rsidRPr="0087422E" w:rsidRDefault="00D459CE" w:rsidP="00D459CE">
      <w:pPr>
        <w:spacing w:after="0" w:line="240" w:lineRule="auto"/>
        <w:jc w:val="both"/>
        <w:rPr>
          <w:lang w:val="en-GB"/>
        </w:rPr>
      </w:pPr>
    </w:p>
    <w:p w:rsidR="00A76340" w:rsidRPr="0087422E" w:rsidRDefault="00A76340" w:rsidP="00A76340">
      <w:pPr>
        <w:spacing w:after="0" w:line="240" w:lineRule="auto"/>
        <w:jc w:val="both"/>
        <w:rPr>
          <w:lang w:val="en-GB"/>
        </w:rPr>
      </w:pPr>
      <w:r w:rsidRPr="0087422E">
        <w:rPr>
          <w:lang w:val="en-GB"/>
        </w:rPr>
        <w:t>About 10</w:t>
      </w:r>
      <w:r w:rsidR="00543E83" w:rsidRPr="0087422E">
        <w:rPr>
          <w:lang w:val="en-GB"/>
        </w:rPr>
        <w:t>,000 </w:t>
      </w:r>
      <w:r w:rsidRPr="0087422E">
        <w:rPr>
          <w:lang w:val="en-GB"/>
        </w:rPr>
        <w:t xml:space="preserve">students, scientists and other researchers </w:t>
      </w:r>
      <w:r w:rsidR="00543E83" w:rsidRPr="0087422E">
        <w:rPr>
          <w:lang w:val="en-GB"/>
        </w:rPr>
        <w:t>studied</w:t>
      </w:r>
      <w:r w:rsidRPr="0087422E">
        <w:rPr>
          <w:lang w:val="en-GB"/>
        </w:rPr>
        <w:t xml:space="preserve"> </w:t>
      </w:r>
      <w:r w:rsidR="00543E83" w:rsidRPr="0087422E">
        <w:rPr>
          <w:lang w:val="en-GB"/>
        </w:rPr>
        <w:t>under</w:t>
      </w:r>
      <w:r w:rsidRPr="0087422E">
        <w:rPr>
          <w:lang w:val="en-GB"/>
        </w:rPr>
        <w:t xml:space="preserve"> formal and non-formal education programmes. 98% of them successfully finished training activities. More than 2</w:t>
      </w:r>
      <w:r w:rsidR="00543E83" w:rsidRPr="0087422E">
        <w:rPr>
          <w:lang w:val="en-GB"/>
        </w:rPr>
        <w:t>,000 </w:t>
      </w:r>
      <w:r w:rsidRPr="0087422E">
        <w:rPr>
          <w:lang w:val="en-GB"/>
        </w:rPr>
        <w:t xml:space="preserve">scientists and researchers were employed under employment contracts, </w:t>
      </w:r>
      <w:r w:rsidR="00543E83" w:rsidRPr="0087422E">
        <w:rPr>
          <w:lang w:val="en-GB"/>
        </w:rPr>
        <w:t xml:space="preserve">of which </w:t>
      </w:r>
      <w:r w:rsidRPr="0087422E">
        <w:rPr>
          <w:lang w:val="en-GB"/>
        </w:rPr>
        <w:t xml:space="preserve">99% in the public sector. About one third of all </w:t>
      </w:r>
      <w:r w:rsidR="00543E83" w:rsidRPr="0087422E">
        <w:rPr>
          <w:lang w:val="en-GB"/>
        </w:rPr>
        <w:t xml:space="preserve">the </w:t>
      </w:r>
      <w:r w:rsidRPr="0087422E">
        <w:rPr>
          <w:lang w:val="en-GB"/>
        </w:rPr>
        <w:t xml:space="preserve">employed researchers </w:t>
      </w:r>
      <w:r w:rsidR="00543E83" w:rsidRPr="0087422E">
        <w:rPr>
          <w:lang w:val="en-GB"/>
        </w:rPr>
        <w:t xml:space="preserve">stayed </w:t>
      </w:r>
      <w:r w:rsidRPr="0087422E">
        <w:rPr>
          <w:lang w:val="en-GB"/>
        </w:rPr>
        <w:t xml:space="preserve">at their job after </w:t>
      </w:r>
      <w:r w:rsidR="00543E83" w:rsidRPr="0087422E">
        <w:rPr>
          <w:lang w:val="en-GB"/>
        </w:rPr>
        <w:t xml:space="preserve">the project </w:t>
      </w:r>
      <w:r w:rsidRPr="0087422E">
        <w:rPr>
          <w:lang w:val="en-GB"/>
        </w:rPr>
        <w:t>implementation.</w:t>
      </w:r>
    </w:p>
    <w:p w:rsidR="00A76340" w:rsidRPr="0087422E" w:rsidRDefault="00A76340" w:rsidP="00A76340">
      <w:pPr>
        <w:spacing w:after="0" w:line="240" w:lineRule="auto"/>
        <w:jc w:val="both"/>
        <w:rPr>
          <w:lang w:val="en-GB"/>
        </w:rPr>
      </w:pPr>
    </w:p>
    <w:p w:rsidR="00311E58" w:rsidRPr="0087422E" w:rsidRDefault="00EC2802" w:rsidP="00311E58">
      <w:pPr>
        <w:pStyle w:val="Caption"/>
        <w:rPr>
          <w:rFonts w:ascii="Cambria" w:hAnsi="Cambria"/>
          <w:color w:val="1F4E79" w:themeColor="accent1" w:themeShade="80"/>
          <w:sz w:val="20"/>
          <w:szCs w:val="20"/>
          <w:lang w:val="en-GB"/>
        </w:rPr>
      </w:pPr>
      <w:r w:rsidRPr="0087422E">
        <w:rPr>
          <w:rFonts w:ascii="Cambria" w:hAnsi="Cambria"/>
          <w:color w:val="1F4E79" w:themeColor="accent1" w:themeShade="80"/>
          <w:sz w:val="20"/>
          <w:szCs w:val="20"/>
          <w:lang w:val="en-GB"/>
        </w:rPr>
        <w:t xml:space="preserve">Image No </w:t>
      </w:r>
      <w:r w:rsidR="00CF4339" w:rsidRPr="0087422E">
        <w:rPr>
          <w:rFonts w:ascii="Cambria" w:hAnsi="Cambria"/>
          <w:color w:val="1F4E79" w:themeColor="accent1" w:themeShade="80"/>
          <w:sz w:val="20"/>
          <w:szCs w:val="20"/>
          <w:lang w:val="en-GB"/>
        </w:rPr>
        <w:fldChar w:fldCharType="begin"/>
      </w:r>
      <w:r w:rsidR="00311E58"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8</w:t>
      </w:r>
      <w:r w:rsidR="00CF4339" w:rsidRPr="0087422E">
        <w:rPr>
          <w:rFonts w:ascii="Cambria" w:hAnsi="Cambria"/>
          <w:color w:val="1F4E79" w:themeColor="accent1" w:themeShade="80"/>
          <w:sz w:val="20"/>
          <w:szCs w:val="20"/>
          <w:lang w:val="en-GB"/>
        </w:rPr>
        <w:fldChar w:fldCharType="end"/>
      </w:r>
      <w:r w:rsidR="00311E58" w:rsidRPr="0087422E">
        <w:rPr>
          <w:rFonts w:ascii="Cambria" w:hAnsi="Cambria"/>
          <w:color w:val="1F4E79" w:themeColor="accent1" w:themeShade="80"/>
          <w:sz w:val="20"/>
          <w:szCs w:val="20"/>
          <w:lang w:val="en-GB"/>
        </w:rPr>
        <w:t xml:space="preserve">. </w:t>
      </w:r>
      <w:r w:rsidRPr="0087422E">
        <w:rPr>
          <w:rFonts w:ascii="Cambria" w:hAnsi="Cambria"/>
          <w:color w:val="1F4E79" w:themeColor="accent1" w:themeShade="80"/>
          <w:sz w:val="20"/>
          <w:szCs w:val="20"/>
          <w:lang w:val="en-GB"/>
        </w:rPr>
        <w:t xml:space="preserve">Results of investments into </w:t>
      </w:r>
      <w:r w:rsidR="00543E83" w:rsidRPr="0087422E">
        <w:rPr>
          <w:rFonts w:ascii="Cambria" w:hAnsi="Cambria"/>
          <w:color w:val="1F4E79" w:themeColor="accent1" w:themeShade="80"/>
          <w:sz w:val="20"/>
          <w:szCs w:val="20"/>
          <w:lang w:val="en-GB"/>
        </w:rPr>
        <w:t xml:space="preserve">the </w:t>
      </w:r>
      <w:r w:rsidRPr="0087422E">
        <w:rPr>
          <w:rFonts w:ascii="Cambria" w:hAnsi="Cambria"/>
          <w:color w:val="1F4E79" w:themeColor="accent1" w:themeShade="80"/>
          <w:sz w:val="20"/>
          <w:szCs w:val="20"/>
          <w:lang w:val="en-GB"/>
        </w:rPr>
        <w:t>improvement of researchers’ qualification</w:t>
      </w:r>
      <w:r w:rsidR="00543E83" w:rsidRPr="0087422E">
        <w:rPr>
          <w:rFonts w:ascii="Cambria" w:hAnsi="Cambria"/>
          <w:color w:val="1F4E79" w:themeColor="accent1" w:themeShade="80"/>
          <w:sz w:val="20"/>
          <w:szCs w:val="20"/>
          <w:lang w:val="en-GB"/>
        </w:rPr>
        <w:t>s</w:t>
      </w:r>
    </w:p>
    <w:p w:rsidR="00EE1950" w:rsidRPr="0087422E" w:rsidRDefault="006676C6" w:rsidP="00857C57">
      <w:pPr>
        <w:spacing w:after="0" w:line="240" w:lineRule="auto"/>
        <w:jc w:val="both"/>
        <w:rPr>
          <w:lang w:val="en-GB"/>
        </w:rPr>
      </w:pPr>
      <w:r w:rsidRPr="0087422E">
        <w:rPr>
          <w:noProof/>
          <w:lang w:eastAsia="lt-LT"/>
        </w:rPr>
        <w:drawing>
          <wp:inline distT="0" distB="0" distL="0" distR="0" wp14:anchorId="1DBC535E" wp14:editId="5CD6FBB6">
            <wp:extent cx="6505575" cy="28384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E1950" w:rsidRPr="0087422E" w:rsidRDefault="00EE1950" w:rsidP="00857C57">
      <w:pPr>
        <w:spacing w:after="0" w:line="240" w:lineRule="auto"/>
        <w:jc w:val="both"/>
        <w:rPr>
          <w:lang w:val="en-GB"/>
        </w:rPr>
      </w:pPr>
    </w:p>
    <w:p w:rsidR="00A76340" w:rsidRPr="0087422E" w:rsidRDefault="00A76340" w:rsidP="00A76340">
      <w:pPr>
        <w:spacing w:after="0" w:line="240" w:lineRule="auto"/>
        <w:jc w:val="both"/>
        <w:rPr>
          <w:lang w:val="en-GB"/>
        </w:rPr>
      </w:pPr>
      <w:r w:rsidRPr="0087422E">
        <w:rPr>
          <w:lang w:val="en-GB"/>
        </w:rPr>
        <w:t xml:space="preserve">In 2007–2015, </w:t>
      </w:r>
      <w:r w:rsidR="00543E83" w:rsidRPr="0087422E">
        <w:rPr>
          <w:lang w:val="en-GB"/>
        </w:rPr>
        <w:t>over</w:t>
      </w:r>
      <w:r w:rsidRPr="0087422E">
        <w:rPr>
          <w:lang w:val="en-GB"/>
        </w:rPr>
        <w:t xml:space="preserve"> 2</w:t>
      </w:r>
      <w:r w:rsidR="00543E83" w:rsidRPr="0087422E">
        <w:rPr>
          <w:lang w:val="en-GB"/>
        </w:rPr>
        <w:t>,000 </w:t>
      </w:r>
      <w:r w:rsidRPr="0087422E">
        <w:rPr>
          <w:lang w:val="en-GB"/>
        </w:rPr>
        <w:t xml:space="preserve">scientific internships and training courses were organised using EU funds. In addition, </w:t>
      </w:r>
      <w:r w:rsidR="00B46A4C" w:rsidRPr="0087422E">
        <w:rPr>
          <w:lang w:val="en-GB"/>
        </w:rPr>
        <w:t>1</w:t>
      </w:r>
      <w:r w:rsidR="00543E83" w:rsidRPr="0087422E">
        <w:rPr>
          <w:lang w:val="en-GB"/>
        </w:rPr>
        <w:t>,</w:t>
      </w:r>
      <w:r w:rsidR="00B46A4C" w:rsidRPr="0087422E">
        <w:rPr>
          <w:lang w:val="en-GB"/>
        </w:rPr>
        <w:t>1</w:t>
      </w:r>
      <w:r w:rsidRPr="0087422E">
        <w:rPr>
          <w:lang w:val="en-GB"/>
        </w:rPr>
        <w:t>26</w:t>
      </w:r>
      <w:r w:rsidR="00543E83" w:rsidRPr="0087422E">
        <w:rPr>
          <w:lang w:val="en-GB"/>
        </w:rPr>
        <w:t> </w:t>
      </w:r>
      <w:r w:rsidRPr="0087422E">
        <w:rPr>
          <w:lang w:val="en-GB"/>
        </w:rPr>
        <w:t>short-term research visits were organised, 303</w:t>
      </w:r>
      <w:r w:rsidR="00543E83" w:rsidRPr="0087422E">
        <w:rPr>
          <w:lang w:val="en-GB"/>
        </w:rPr>
        <w:t> </w:t>
      </w:r>
      <w:r w:rsidRPr="0087422E">
        <w:rPr>
          <w:lang w:val="en-GB"/>
        </w:rPr>
        <w:t xml:space="preserve">scientific articles were published, </w:t>
      </w:r>
      <w:r w:rsidR="00060925" w:rsidRPr="0087422E">
        <w:rPr>
          <w:lang w:val="en-GB"/>
        </w:rPr>
        <w:t xml:space="preserve">and </w:t>
      </w:r>
      <w:r w:rsidRPr="0087422E">
        <w:rPr>
          <w:lang w:val="en-GB"/>
        </w:rPr>
        <w:t>more than 400</w:t>
      </w:r>
      <w:r w:rsidR="00543E83" w:rsidRPr="0087422E">
        <w:rPr>
          <w:lang w:val="en-GB"/>
        </w:rPr>
        <w:t> </w:t>
      </w:r>
      <w:r w:rsidRPr="0087422E">
        <w:rPr>
          <w:lang w:val="en-GB"/>
        </w:rPr>
        <w:t xml:space="preserve">visits to secondary schools were organised </w:t>
      </w:r>
      <w:r w:rsidR="00B46A4C" w:rsidRPr="0087422E">
        <w:rPr>
          <w:lang w:val="en-GB"/>
        </w:rPr>
        <w:t xml:space="preserve">and </w:t>
      </w:r>
      <w:r w:rsidRPr="0087422E">
        <w:rPr>
          <w:lang w:val="en-GB"/>
        </w:rPr>
        <w:t>used as a platform to present technological and scientific processes</w:t>
      </w:r>
      <w:r w:rsidR="00543E83" w:rsidRPr="0087422E">
        <w:rPr>
          <w:lang w:val="en-GB"/>
        </w:rPr>
        <w:t xml:space="preserve"> to young people</w:t>
      </w:r>
      <w:r w:rsidRPr="0087422E">
        <w:rPr>
          <w:lang w:val="en-GB"/>
        </w:rPr>
        <w:t>.</w:t>
      </w:r>
    </w:p>
    <w:p w:rsidR="00BA3E13" w:rsidRDefault="00BA3E13" w:rsidP="00857C57">
      <w:pPr>
        <w:spacing w:after="0" w:line="240" w:lineRule="auto"/>
        <w:jc w:val="both"/>
        <w:rPr>
          <w:lang w:val="en-GB"/>
        </w:rPr>
      </w:pPr>
    </w:p>
    <w:p w:rsidR="00901D79" w:rsidRDefault="00901D79">
      <w:pPr>
        <w:rPr>
          <w:lang w:val="en-GB"/>
        </w:rPr>
      </w:pPr>
      <w:r>
        <w:rPr>
          <w:lang w:val="en-GB"/>
        </w:rPr>
        <w:br w:type="page"/>
      </w:r>
    </w:p>
    <w:p w:rsidR="00D459CE" w:rsidRPr="0087422E" w:rsidRDefault="006676C6" w:rsidP="00D459CE">
      <w:pPr>
        <w:spacing w:after="0" w:line="240" w:lineRule="auto"/>
        <w:jc w:val="both"/>
        <w:rPr>
          <w:b/>
          <w:color w:val="1F4E79" w:themeColor="accent1" w:themeShade="80"/>
          <w:lang w:val="en-GB"/>
        </w:rPr>
      </w:pPr>
      <w:bookmarkStart w:id="0" w:name="_GoBack"/>
      <w:bookmarkEnd w:id="0"/>
      <w:r w:rsidRPr="0087422E">
        <w:rPr>
          <w:b/>
          <w:color w:val="1F4E79" w:themeColor="accent1" w:themeShade="80"/>
          <w:lang w:val="en-GB"/>
        </w:rPr>
        <w:lastRenderedPageBreak/>
        <w:t xml:space="preserve">IMPACT OF </w:t>
      </w:r>
      <w:r w:rsidR="00AF2E9A">
        <w:rPr>
          <w:b/>
          <w:color w:val="1F4E79" w:themeColor="accent1" w:themeShade="80"/>
          <w:lang w:val="en-GB"/>
        </w:rPr>
        <w:t xml:space="preserve">THE </w:t>
      </w:r>
      <w:r w:rsidRPr="0087422E">
        <w:rPr>
          <w:b/>
          <w:color w:val="1F4E79" w:themeColor="accent1" w:themeShade="80"/>
          <w:lang w:val="en-GB"/>
        </w:rPr>
        <w:t>INVESTMENTS</w:t>
      </w:r>
    </w:p>
    <w:p w:rsidR="00D459CE" w:rsidRPr="0087422E" w:rsidRDefault="00D459CE" w:rsidP="00D459CE">
      <w:pPr>
        <w:spacing w:after="0" w:line="240" w:lineRule="auto"/>
        <w:jc w:val="both"/>
        <w:rPr>
          <w:lang w:val="en-GB"/>
        </w:rPr>
      </w:pPr>
    </w:p>
    <w:p w:rsidR="00D459CE" w:rsidRPr="0087422E" w:rsidRDefault="00B46A4C" w:rsidP="00D459CE">
      <w:pPr>
        <w:spacing w:after="0" w:line="240" w:lineRule="auto"/>
        <w:jc w:val="both"/>
        <w:rPr>
          <w:lang w:val="en-GB"/>
        </w:rPr>
      </w:pPr>
      <w:r w:rsidRPr="0087422E">
        <w:rPr>
          <w:lang w:val="en-GB"/>
        </w:rPr>
        <w:t>EU investments contributed to the increase</w:t>
      </w:r>
      <w:r w:rsidR="00543E83" w:rsidRPr="0087422E">
        <w:rPr>
          <w:lang w:val="en-GB"/>
        </w:rPr>
        <w:t xml:space="preserve">d </w:t>
      </w:r>
      <w:r w:rsidRPr="0087422E">
        <w:rPr>
          <w:lang w:val="en-GB"/>
        </w:rPr>
        <w:t>number of resea</w:t>
      </w:r>
      <w:r w:rsidR="0087422E">
        <w:rPr>
          <w:lang w:val="en-GB"/>
        </w:rPr>
        <w:t>r</w:t>
      </w:r>
      <w:r w:rsidRPr="0087422E">
        <w:rPr>
          <w:lang w:val="en-GB"/>
        </w:rPr>
        <w:t xml:space="preserve">chers in Lithuania (in </w:t>
      </w:r>
      <w:r w:rsidR="00543E83" w:rsidRPr="0087422E">
        <w:rPr>
          <w:lang w:val="en-GB"/>
        </w:rPr>
        <w:t xml:space="preserve">the </w:t>
      </w:r>
      <w:r w:rsidRPr="0087422E">
        <w:rPr>
          <w:lang w:val="en-GB"/>
        </w:rPr>
        <w:t>priva</w:t>
      </w:r>
      <w:r w:rsidR="00060925" w:rsidRPr="0087422E">
        <w:rPr>
          <w:lang w:val="en-GB"/>
        </w:rPr>
        <w:t>t</w:t>
      </w:r>
      <w:r w:rsidRPr="0087422E">
        <w:rPr>
          <w:lang w:val="en-GB"/>
        </w:rPr>
        <w:t xml:space="preserve">e as well as </w:t>
      </w:r>
      <w:r w:rsidR="006F21EA" w:rsidRPr="0087422E">
        <w:rPr>
          <w:lang w:val="en-GB"/>
        </w:rPr>
        <w:t xml:space="preserve">in </w:t>
      </w:r>
      <w:r w:rsidR="00543E83" w:rsidRPr="0087422E">
        <w:rPr>
          <w:lang w:val="en-GB"/>
        </w:rPr>
        <w:t xml:space="preserve">the </w:t>
      </w:r>
      <w:r w:rsidR="006F21EA" w:rsidRPr="0087422E">
        <w:rPr>
          <w:lang w:val="en-GB"/>
        </w:rPr>
        <w:t>public sector)</w:t>
      </w:r>
      <w:r w:rsidR="00543E83" w:rsidRPr="0087422E">
        <w:rPr>
          <w:lang w:val="en-GB"/>
        </w:rPr>
        <w:t xml:space="preserve"> and </w:t>
      </w:r>
      <w:r w:rsidR="006F21EA" w:rsidRPr="0087422E">
        <w:rPr>
          <w:lang w:val="en-GB"/>
        </w:rPr>
        <w:t xml:space="preserve">to the </w:t>
      </w:r>
      <w:r w:rsidR="00543E83" w:rsidRPr="0087422E">
        <w:rPr>
          <w:lang w:val="en-GB"/>
        </w:rPr>
        <w:t>increased</w:t>
      </w:r>
      <w:r w:rsidR="008231FC" w:rsidRPr="0087422E">
        <w:rPr>
          <w:lang w:val="en-GB"/>
        </w:rPr>
        <w:t xml:space="preserve"> number of scientific publications.</w:t>
      </w:r>
    </w:p>
    <w:p w:rsidR="00D459CE" w:rsidRPr="0087422E" w:rsidRDefault="00D459CE" w:rsidP="00D459CE">
      <w:pPr>
        <w:spacing w:after="0" w:line="240" w:lineRule="auto"/>
        <w:jc w:val="both"/>
        <w:rPr>
          <w:lang w:val="en-GB"/>
        </w:rPr>
      </w:pPr>
    </w:p>
    <w:p w:rsidR="00D459CE" w:rsidRPr="0087422E" w:rsidRDefault="00543E83" w:rsidP="00D459CE">
      <w:pPr>
        <w:pStyle w:val="Caption"/>
        <w:jc w:val="both"/>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D459CE"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9</w:t>
      </w:r>
      <w:r w:rsidR="00CF4339" w:rsidRPr="0087422E">
        <w:rPr>
          <w:rFonts w:ascii="Cambria" w:hAnsi="Cambria"/>
          <w:color w:val="1F4E79" w:themeColor="accent1" w:themeShade="80"/>
          <w:sz w:val="20"/>
          <w:szCs w:val="20"/>
          <w:lang w:val="en-GB"/>
        </w:rPr>
        <w:fldChar w:fldCharType="end"/>
      </w:r>
      <w:r w:rsidR="00D459CE" w:rsidRPr="0087422E">
        <w:rPr>
          <w:rFonts w:ascii="Cambria" w:hAnsi="Cambria"/>
          <w:color w:val="1F4E79" w:themeColor="accent1" w:themeShade="80"/>
          <w:sz w:val="20"/>
          <w:szCs w:val="20"/>
          <w:lang w:val="en-GB"/>
        </w:rPr>
        <w:t>.</w:t>
      </w:r>
      <w:proofErr w:type="gramEnd"/>
      <w:r w:rsidR="00D459CE" w:rsidRPr="0087422E">
        <w:rPr>
          <w:rFonts w:ascii="Cambria" w:hAnsi="Cambria"/>
          <w:color w:val="1F4E79" w:themeColor="accent1" w:themeShade="80"/>
          <w:sz w:val="20"/>
          <w:szCs w:val="20"/>
          <w:lang w:val="en-GB"/>
        </w:rPr>
        <w:t xml:space="preserve"> </w:t>
      </w:r>
      <w:r w:rsidR="00666279" w:rsidRPr="0087422E">
        <w:rPr>
          <w:rFonts w:ascii="Cambria" w:hAnsi="Cambria"/>
          <w:color w:val="1F4E79" w:themeColor="accent1" w:themeShade="80"/>
          <w:sz w:val="20"/>
          <w:szCs w:val="20"/>
          <w:lang w:val="en-GB"/>
        </w:rPr>
        <w:t xml:space="preserve">Changes </w:t>
      </w:r>
      <w:r w:rsidRPr="0087422E">
        <w:rPr>
          <w:rFonts w:ascii="Cambria" w:hAnsi="Cambria"/>
          <w:color w:val="1F4E79" w:themeColor="accent1" w:themeShade="80"/>
          <w:sz w:val="20"/>
          <w:szCs w:val="20"/>
          <w:lang w:val="en-GB"/>
        </w:rPr>
        <w:t xml:space="preserve">in </w:t>
      </w:r>
      <w:r w:rsidR="00666279" w:rsidRPr="0087422E">
        <w:rPr>
          <w:rFonts w:ascii="Cambria" w:hAnsi="Cambria"/>
          <w:color w:val="1F4E79" w:themeColor="accent1" w:themeShade="80"/>
          <w:sz w:val="20"/>
          <w:szCs w:val="20"/>
          <w:lang w:val="en-GB"/>
        </w:rPr>
        <w:t>strategic context indic</w:t>
      </w:r>
      <w:r w:rsidR="005335D0" w:rsidRPr="0087422E">
        <w:rPr>
          <w:rFonts w:ascii="Cambria" w:hAnsi="Cambria"/>
          <w:color w:val="1F4E79" w:themeColor="accent1" w:themeShade="80"/>
          <w:sz w:val="20"/>
          <w:szCs w:val="20"/>
          <w:lang w:val="en-GB"/>
        </w:rPr>
        <w:t xml:space="preserve">ators illustrating the dynamics of </w:t>
      </w:r>
      <w:r w:rsidRPr="0087422E">
        <w:rPr>
          <w:rFonts w:ascii="Cambria" w:hAnsi="Cambria"/>
          <w:color w:val="1F4E79" w:themeColor="accent1" w:themeShade="80"/>
          <w:sz w:val="20"/>
          <w:szCs w:val="20"/>
          <w:lang w:val="en-GB"/>
        </w:rPr>
        <w:t xml:space="preserve">the </w:t>
      </w:r>
      <w:r w:rsidR="005335D0" w:rsidRPr="0087422E">
        <w:rPr>
          <w:rFonts w:ascii="Cambria" w:hAnsi="Cambria"/>
          <w:color w:val="1F4E79" w:themeColor="accent1" w:themeShade="80"/>
          <w:sz w:val="20"/>
          <w:szCs w:val="20"/>
          <w:lang w:val="en-GB"/>
        </w:rPr>
        <w:t>number of researchers and research</w:t>
      </w:r>
      <w:r w:rsidRPr="0087422E">
        <w:rPr>
          <w:rFonts w:ascii="Cambria" w:hAnsi="Cambria"/>
          <w:color w:val="1F4E79" w:themeColor="accent1" w:themeShade="80"/>
          <w:sz w:val="20"/>
          <w:szCs w:val="20"/>
          <w:lang w:val="en-GB"/>
        </w:rPr>
        <w:t xml:space="preserve"> activities</w:t>
      </w:r>
    </w:p>
    <w:p w:rsidR="00E95EEF" w:rsidRPr="0087422E" w:rsidRDefault="00216BA2" w:rsidP="00857C57">
      <w:pPr>
        <w:spacing w:after="0" w:line="240" w:lineRule="auto"/>
        <w:jc w:val="both"/>
        <w:rPr>
          <w:lang w:val="en-GB"/>
        </w:rPr>
      </w:pPr>
      <w:r w:rsidRPr="0087422E">
        <w:rPr>
          <w:noProof/>
          <w:lang w:eastAsia="lt-LT"/>
        </w:rPr>
        <w:drawing>
          <wp:inline distT="0" distB="0" distL="0" distR="0" wp14:anchorId="1E10EFCF" wp14:editId="0ACC9319">
            <wp:extent cx="6334125" cy="20288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F767B" w:rsidRPr="0087422E" w:rsidRDefault="00AF767B" w:rsidP="00857C57">
      <w:pPr>
        <w:spacing w:after="0" w:line="240" w:lineRule="auto"/>
        <w:jc w:val="both"/>
        <w:rPr>
          <w:lang w:val="en-GB"/>
        </w:rPr>
      </w:pPr>
    </w:p>
    <w:p w:rsidR="009954F8" w:rsidRPr="0087422E" w:rsidRDefault="006D5CCB" w:rsidP="009954F8">
      <w:pPr>
        <w:spacing w:after="0" w:line="240" w:lineRule="auto"/>
        <w:jc w:val="both"/>
        <w:rPr>
          <w:lang w:val="en-GB"/>
        </w:rPr>
      </w:pPr>
      <w:r>
        <w:rPr>
          <w:color w:val="1F4E79" w:themeColor="accent1" w:themeShade="80"/>
          <w:lang w:val="en-GB" w:eastAsia="lt-LT"/>
        </w:rPr>
        <w:pict>
          <v:shape id="_x0000_s1029" type="#_x0000_t185" style="position:absolute;left:0;text-align:left;margin-left:187.05pt;margin-top:349.7pt;width:321pt;height:283.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" o:allowincell="f" adj="1739" fillcolor="#943634" strokecolor="#5b9bd5 [3204]" strokeweight="3pt">
            <v:shadow color="#5d7035" offset="1pt,1pt"/>
            <v:textbox inset="3.6pt,,3.6pt">
              <w:txbxContent>
                <w:p w:rsidR="006D5CCB" w:rsidRPr="0087422E" w:rsidRDefault="006D5CCB" w:rsidP="000F123F">
                  <w:pPr>
                    <w:pBdr>
                      <w:bottom w:val="single" w:sz="4" w:space="1" w:color="auto"/>
                    </w:pBdr>
                    <w:spacing w:after="0"/>
                    <w:jc w:val="both"/>
                    <w:rPr>
                      <w:b/>
                      <w:i/>
                      <w:iCs/>
                      <w:sz w:val="18"/>
                      <w:szCs w:val="18"/>
                      <w:lang w:val="en-GB"/>
                    </w:rPr>
                  </w:pPr>
                  <w:r w:rsidRPr="0087422E">
                    <w:rPr>
                      <w:b/>
                      <w:i/>
                      <w:iCs/>
                      <w:sz w:val="18"/>
                      <w:szCs w:val="18"/>
                      <w:lang w:val="en-GB"/>
                    </w:rPr>
                    <w:t>Creating a system for discovering and developing young researchers-students</w:t>
                  </w:r>
                </w:p>
                <w:p w:rsidR="006D5CCB" w:rsidRPr="0087422E" w:rsidRDefault="006D5CCB" w:rsidP="00EA578D">
                  <w:pPr>
                    <w:spacing w:after="0"/>
                    <w:jc w:val="both"/>
                    <w:rPr>
                      <w:iCs/>
                      <w:sz w:val="18"/>
                      <w:szCs w:val="18"/>
                      <w:lang w:val="en-GB"/>
                    </w:rPr>
                  </w:pPr>
                </w:p>
                <w:p w:rsidR="006D5CCB" w:rsidRPr="0087422E" w:rsidRDefault="006D5CCB" w:rsidP="004B10BD">
                  <w:pPr>
                    <w:spacing w:after="0" w:line="240" w:lineRule="auto"/>
                    <w:jc w:val="both"/>
                    <w:rPr>
                      <w:iCs/>
                      <w:sz w:val="18"/>
                      <w:szCs w:val="18"/>
                      <w:lang w:val="en-GB"/>
                    </w:rPr>
                  </w:pPr>
                  <w:r w:rsidRPr="0087422E">
                    <w:rPr>
                      <w:sz w:val="18"/>
                      <w:szCs w:val="18"/>
                      <w:lang w:val="en-GB"/>
                    </w:rPr>
                    <w:t>EU funds were used to boost the dissemination of scientific knowledge and its popularity among young people as well as to increase the number of young people who choose a career of researchers. These objectives were achieved by implementing project "Creation and development of a system for discovering and developing young researchers-students – Phase II". Most attention was focused on mobile laboratories, visits to schools and qualified assistance to young researchers while planning and implementing research activities. In total 330 visits were organised and 526 young people were provided with a deeper understanding of science and technology. In addition, 89 teachers – supervisors of young leaders – were trained.</w:t>
                  </w:r>
                </w:p>
                <w:p w:rsidR="006D5CCB" w:rsidRPr="0087422E" w:rsidRDefault="006D5CCB" w:rsidP="00EA578D">
                  <w:pPr>
                    <w:spacing w:after="0"/>
                    <w:jc w:val="both"/>
                    <w:rPr>
                      <w:iCs/>
                      <w:sz w:val="18"/>
                      <w:szCs w:val="18"/>
                      <w:lang w:val="en-GB"/>
                    </w:rPr>
                  </w:pPr>
                </w:p>
                <w:p w:rsidR="006D5CCB" w:rsidRPr="0087422E" w:rsidRDefault="006D5CCB" w:rsidP="00EA578D">
                  <w:pPr>
                    <w:spacing w:after="0"/>
                    <w:jc w:val="center"/>
                    <w:rPr>
                      <w:iCs/>
                      <w:color w:val="FF0000"/>
                      <w:sz w:val="18"/>
                      <w:szCs w:val="18"/>
                      <w:lang w:val="en-GB"/>
                    </w:rPr>
                  </w:pPr>
                  <w:r w:rsidRPr="0087422E">
                    <w:rPr>
                      <w:iCs/>
                      <w:noProof/>
                      <w:color w:val="FF0000"/>
                      <w:sz w:val="18"/>
                      <w:szCs w:val="18"/>
                      <w:lang w:eastAsia="lt-LT"/>
                    </w:rPr>
                    <w:drawing>
                      <wp:inline distT="0" distB="0" distL="0" distR="0" wp14:anchorId="16A68B8F" wp14:editId="0E44A06E">
                        <wp:extent cx="1123950" cy="1137843"/>
                        <wp:effectExtent l="0" t="0" r="0" b="5715"/>
                        <wp:docPr id="3" name="Picture 2" descr="S:\24_vp_dep\bendras\0_Žmogiskuju VP skyrius\Asmeniniai\Lauros\1VP (darbinis)\skaidres 2016\VP1-3.2-ŠMM-02-V-03-00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descr="S:\24_vp_dep\bendras\0_Žmogiskuju VP skyrius\Asmeniniai\Lauros\1VP (darbinis)\skaidres 2016\VP1-3.2-ŠMM-02-V-03-001_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1137843"/>
                                </a:xfrm>
                                <a:prstGeom prst="rect">
                                  <a:avLst/>
                                </a:prstGeom>
                                <a:noFill/>
                                <a:ln>
                                  <a:noFill/>
                                </a:ln>
                                <a:extLst/>
                              </pic:spPr>
                            </pic:pic>
                          </a:graphicData>
                        </a:graphic>
                      </wp:inline>
                    </w:drawing>
                  </w:r>
                </w:p>
              </w:txbxContent>
            </v:textbox>
            <w10:wrap type="square" anchorx="margin" anchory="margin"/>
          </v:shape>
        </w:pict>
      </w:r>
      <w:r w:rsidR="00F71B1B" w:rsidRPr="0087422E">
        <w:rPr>
          <w:b/>
          <w:color w:val="336699"/>
          <w:lang w:val="en-GB"/>
        </w:rPr>
        <w:t>The n</w:t>
      </w:r>
      <w:r w:rsidR="009954F8" w:rsidRPr="0087422E">
        <w:rPr>
          <w:b/>
          <w:color w:val="336699"/>
          <w:lang w:val="en-GB"/>
        </w:rPr>
        <w:t>umber of scientific publications</w:t>
      </w:r>
      <w:r w:rsidR="009954F8" w:rsidRPr="0087422E">
        <w:rPr>
          <w:color w:val="336699"/>
          <w:lang w:val="en-GB"/>
        </w:rPr>
        <w:t xml:space="preserve"> </w:t>
      </w:r>
      <w:r w:rsidR="009954F8" w:rsidRPr="0087422E">
        <w:rPr>
          <w:lang w:val="en-GB"/>
        </w:rPr>
        <w:t xml:space="preserve">per </w:t>
      </w:r>
      <w:r w:rsidR="00F71B1B" w:rsidRPr="0087422E">
        <w:rPr>
          <w:lang w:val="en-GB"/>
        </w:rPr>
        <w:t>one</w:t>
      </w:r>
      <w:r w:rsidR="009954F8" w:rsidRPr="0087422E">
        <w:rPr>
          <w:lang w:val="en-GB"/>
        </w:rPr>
        <w:t xml:space="preserve"> million inhabitants increas</w:t>
      </w:r>
      <w:r w:rsidR="002F699A" w:rsidRPr="0087422E">
        <w:rPr>
          <w:lang w:val="en-GB"/>
        </w:rPr>
        <w:t>ed more than tw</w:t>
      </w:r>
      <w:r w:rsidR="00F71B1B" w:rsidRPr="0087422E">
        <w:rPr>
          <w:lang w:val="en-GB"/>
        </w:rPr>
        <w:t xml:space="preserve">ice </w:t>
      </w:r>
      <w:r w:rsidR="002F699A" w:rsidRPr="0087422E">
        <w:rPr>
          <w:lang w:val="en-GB"/>
        </w:rPr>
        <w:t>(</w:t>
      </w:r>
      <w:r w:rsidR="00F71B1B" w:rsidRPr="0087422E">
        <w:rPr>
          <w:lang w:val="en-GB"/>
        </w:rPr>
        <w:t xml:space="preserve">from </w:t>
      </w:r>
      <w:r w:rsidR="009954F8" w:rsidRPr="0087422E">
        <w:rPr>
          <w:lang w:val="en-GB"/>
        </w:rPr>
        <w:t>465</w:t>
      </w:r>
      <w:r w:rsidR="00060925" w:rsidRPr="0087422E">
        <w:rPr>
          <w:lang w:val="en-GB"/>
        </w:rPr>
        <w:t xml:space="preserve"> </w:t>
      </w:r>
      <w:r w:rsidR="00F71B1B" w:rsidRPr="0087422E">
        <w:rPr>
          <w:lang w:val="en-GB"/>
        </w:rPr>
        <w:t>in 2005 to</w:t>
      </w:r>
      <w:r w:rsidR="009954F8" w:rsidRPr="0087422E">
        <w:rPr>
          <w:lang w:val="en-GB"/>
        </w:rPr>
        <w:t xml:space="preserve"> 1</w:t>
      </w:r>
      <w:r w:rsidR="00F71B1B" w:rsidRPr="0087422E">
        <w:rPr>
          <w:lang w:val="en-GB"/>
        </w:rPr>
        <w:t>,</w:t>
      </w:r>
      <w:r w:rsidR="009954F8" w:rsidRPr="0087422E">
        <w:rPr>
          <w:lang w:val="en-GB"/>
        </w:rPr>
        <w:t>011 in 2014). Thes</w:t>
      </w:r>
      <w:r w:rsidR="007B5B40" w:rsidRPr="0087422E">
        <w:rPr>
          <w:lang w:val="en-GB"/>
        </w:rPr>
        <w:t>e changes were influenced by EU-</w:t>
      </w:r>
      <w:r w:rsidR="009954F8" w:rsidRPr="0087422E">
        <w:rPr>
          <w:lang w:val="en-GB"/>
        </w:rPr>
        <w:t xml:space="preserve">funded interventions into </w:t>
      </w:r>
      <w:r w:rsidR="00F71B1B" w:rsidRPr="0087422E">
        <w:rPr>
          <w:lang w:val="en-GB"/>
        </w:rPr>
        <w:t xml:space="preserve">the </w:t>
      </w:r>
      <w:r w:rsidR="009954F8" w:rsidRPr="0087422E">
        <w:rPr>
          <w:lang w:val="en-GB"/>
        </w:rPr>
        <w:t>development of researchers’ competence, training</w:t>
      </w:r>
      <w:r w:rsidR="00060925" w:rsidRPr="0087422E">
        <w:rPr>
          <w:lang w:val="en-GB"/>
        </w:rPr>
        <w:t xml:space="preserve">, </w:t>
      </w:r>
      <w:r w:rsidR="009954F8" w:rsidRPr="0087422E">
        <w:rPr>
          <w:lang w:val="en-GB"/>
        </w:rPr>
        <w:t>high-level research</w:t>
      </w:r>
      <w:r w:rsidR="00060925" w:rsidRPr="0087422E">
        <w:rPr>
          <w:lang w:val="en-GB"/>
        </w:rPr>
        <w:t xml:space="preserve"> and</w:t>
      </w:r>
      <w:r w:rsidR="009954F8" w:rsidRPr="0087422E">
        <w:rPr>
          <w:lang w:val="en-GB"/>
        </w:rPr>
        <w:t xml:space="preserve"> subscription to databases</w:t>
      </w:r>
      <w:r w:rsidR="00F71B1B" w:rsidRPr="0087422E">
        <w:rPr>
          <w:lang w:val="en-GB"/>
        </w:rPr>
        <w:t>,</w:t>
      </w:r>
      <w:r w:rsidR="009954F8" w:rsidRPr="0087422E">
        <w:rPr>
          <w:lang w:val="en-GB"/>
        </w:rPr>
        <w:t xml:space="preserve"> which directly contributed to the growth of scientific production volumes and quality. Young and experienced scientists </w:t>
      </w:r>
      <w:r w:rsidR="00060925" w:rsidRPr="0087422E">
        <w:rPr>
          <w:lang w:val="en-GB"/>
        </w:rPr>
        <w:t>joined international research teams</w:t>
      </w:r>
      <w:r w:rsidR="00060925" w:rsidRPr="0087422E" w:rsidDel="00F71B1B">
        <w:rPr>
          <w:lang w:val="en-GB"/>
        </w:rPr>
        <w:t xml:space="preserve"> </w:t>
      </w:r>
      <w:r w:rsidR="00060925" w:rsidRPr="0087422E">
        <w:rPr>
          <w:lang w:val="en-GB"/>
        </w:rPr>
        <w:t>during</w:t>
      </w:r>
      <w:r w:rsidR="009954F8" w:rsidRPr="0087422E">
        <w:rPr>
          <w:lang w:val="en-GB"/>
        </w:rPr>
        <w:t xml:space="preserve"> international visits. </w:t>
      </w:r>
      <w:r w:rsidR="00F71B1B" w:rsidRPr="0087422E">
        <w:rPr>
          <w:lang w:val="en-GB"/>
        </w:rPr>
        <w:t xml:space="preserve">Research grants significantly </w:t>
      </w:r>
      <w:r w:rsidR="009954F8" w:rsidRPr="0087422E">
        <w:rPr>
          <w:lang w:val="en-GB"/>
        </w:rPr>
        <w:t xml:space="preserve">contributed to the creation and development of </w:t>
      </w:r>
      <w:r w:rsidR="00F71B1B" w:rsidRPr="0087422E">
        <w:rPr>
          <w:lang w:val="en-GB"/>
        </w:rPr>
        <w:t xml:space="preserve">a </w:t>
      </w:r>
      <w:r w:rsidR="009954F8" w:rsidRPr="0087422E">
        <w:rPr>
          <w:lang w:val="en-GB"/>
        </w:rPr>
        <w:t>competitive education funding system in Lithuania. All these interventions led to the increase</w:t>
      </w:r>
      <w:r w:rsidR="00F71B1B" w:rsidRPr="0087422E">
        <w:rPr>
          <w:lang w:val="en-GB"/>
        </w:rPr>
        <w:t>d</w:t>
      </w:r>
      <w:r w:rsidR="009954F8" w:rsidRPr="0087422E">
        <w:rPr>
          <w:lang w:val="en-GB"/>
        </w:rPr>
        <w:t xml:space="preserve"> number of scientific publications.</w:t>
      </w:r>
    </w:p>
    <w:p w:rsidR="009954F8" w:rsidRPr="0087422E" w:rsidRDefault="009954F8" w:rsidP="009954F8">
      <w:pPr>
        <w:spacing w:after="0" w:line="240" w:lineRule="auto"/>
        <w:jc w:val="both"/>
        <w:rPr>
          <w:lang w:val="en-GB"/>
        </w:rPr>
      </w:pPr>
    </w:p>
    <w:p w:rsidR="009954F8" w:rsidRPr="0087422E" w:rsidRDefault="002F699A" w:rsidP="009954F8">
      <w:pPr>
        <w:spacing w:after="0" w:line="240" w:lineRule="auto"/>
        <w:jc w:val="both"/>
        <w:rPr>
          <w:lang w:val="en-GB"/>
        </w:rPr>
      </w:pPr>
      <w:r w:rsidRPr="0087422E">
        <w:rPr>
          <w:lang w:val="en-GB"/>
        </w:rPr>
        <w:t>Investments</w:t>
      </w:r>
      <w:r w:rsidR="009954F8" w:rsidRPr="0087422E">
        <w:rPr>
          <w:lang w:val="en-GB"/>
        </w:rPr>
        <w:t xml:space="preserve"> directly contributed to the growth in the </w:t>
      </w:r>
      <w:r w:rsidR="009954F8" w:rsidRPr="0087422E">
        <w:rPr>
          <w:b/>
          <w:color w:val="336699"/>
          <w:lang w:val="en-GB"/>
        </w:rPr>
        <w:t>number of researchers</w:t>
      </w:r>
      <w:r w:rsidR="009954F8" w:rsidRPr="0087422E">
        <w:rPr>
          <w:color w:val="336699"/>
          <w:lang w:val="en-GB"/>
        </w:rPr>
        <w:t xml:space="preserve"> </w:t>
      </w:r>
      <w:r w:rsidR="009954F8" w:rsidRPr="0087422E">
        <w:rPr>
          <w:lang w:val="en-GB"/>
        </w:rPr>
        <w:t xml:space="preserve">(including in the business sector) </w:t>
      </w:r>
      <w:r w:rsidR="00F71B1B" w:rsidRPr="0087422E">
        <w:rPr>
          <w:lang w:val="en-GB"/>
        </w:rPr>
        <w:t xml:space="preserve">as they financed the </w:t>
      </w:r>
      <w:r w:rsidR="009954F8" w:rsidRPr="0087422E">
        <w:rPr>
          <w:lang w:val="en-GB"/>
        </w:rPr>
        <w:t>employment of researchers in the public sector and enterprises (</w:t>
      </w:r>
      <w:r w:rsidR="00F71B1B" w:rsidRPr="0087422E">
        <w:rPr>
          <w:lang w:val="en-GB"/>
        </w:rPr>
        <w:t xml:space="preserve">between </w:t>
      </w:r>
      <w:r w:rsidR="009954F8" w:rsidRPr="0087422E">
        <w:rPr>
          <w:lang w:val="en-GB"/>
        </w:rPr>
        <w:t>2007</w:t>
      </w:r>
      <w:r w:rsidR="00F71B1B" w:rsidRPr="0087422E">
        <w:rPr>
          <w:lang w:val="en-GB"/>
        </w:rPr>
        <w:t xml:space="preserve"> and </w:t>
      </w:r>
      <w:r w:rsidR="009954F8" w:rsidRPr="0087422E">
        <w:rPr>
          <w:lang w:val="en-GB"/>
        </w:rPr>
        <w:t xml:space="preserve">2015, </w:t>
      </w:r>
      <w:r w:rsidR="00F71B1B" w:rsidRPr="0087422E">
        <w:rPr>
          <w:lang w:val="en-GB"/>
        </w:rPr>
        <w:t xml:space="preserve">the </w:t>
      </w:r>
      <w:r w:rsidR="009954F8" w:rsidRPr="0087422E">
        <w:rPr>
          <w:lang w:val="en-GB"/>
        </w:rPr>
        <w:t xml:space="preserve">number of researchers per thousand inhabitants increased from 8.7% to 12.9%). It should be noted that in 2015 </w:t>
      </w:r>
      <w:r w:rsidR="00F71B1B" w:rsidRPr="0087422E">
        <w:rPr>
          <w:lang w:val="en-GB"/>
        </w:rPr>
        <w:t xml:space="preserve">the </w:t>
      </w:r>
      <w:r w:rsidR="009954F8" w:rsidRPr="0087422E">
        <w:rPr>
          <w:lang w:val="en-GB"/>
        </w:rPr>
        <w:t xml:space="preserve">share of researchers in business </w:t>
      </w:r>
      <w:r w:rsidR="00F71B1B" w:rsidRPr="0087422E">
        <w:rPr>
          <w:lang w:val="en-GB"/>
        </w:rPr>
        <w:t>was</w:t>
      </w:r>
      <w:r w:rsidR="009954F8" w:rsidRPr="0087422E">
        <w:rPr>
          <w:lang w:val="en-GB"/>
        </w:rPr>
        <w:t xml:space="preserve"> almost 16%. This figure is very important </w:t>
      </w:r>
      <w:r w:rsidR="00F71B1B" w:rsidRPr="0087422E">
        <w:rPr>
          <w:lang w:val="en-GB"/>
        </w:rPr>
        <w:t>for Lithuania to</w:t>
      </w:r>
      <w:r w:rsidR="009954F8" w:rsidRPr="0087422E">
        <w:rPr>
          <w:lang w:val="en-GB"/>
        </w:rPr>
        <w:t xml:space="preserve"> transition to higher value-added economy. Interventions had a significant impact on the growth in the number of young researchers</w:t>
      </w:r>
      <w:r w:rsidR="00F71B1B" w:rsidRPr="0087422E">
        <w:rPr>
          <w:lang w:val="en-GB"/>
        </w:rPr>
        <w:t xml:space="preserve"> – </w:t>
      </w:r>
      <w:r w:rsidRPr="0087422E">
        <w:rPr>
          <w:lang w:val="en-GB"/>
        </w:rPr>
        <w:t xml:space="preserve">EU-funded measures were directly </w:t>
      </w:r>
      <w:r w:rsidR="00F71B1B" w:rsidRPr="0087422E">
        <w:rPr>
          <w:lang w:val="en-GB"/>
        </w:rPr>
        <w:t>aimed at the</w:t>
      </w:r>
      <w:r w:rsidRPr="0087422E">
        <w:rPr>
          <w:lang w:val="en-GB"/>
        </w:rPr>
        <w:t xml:space="preserve"> employment of </w:t>
      </w:r>
      <w:r w:rsidR="009954F8" w:rsidRPr="0087422E">
        <w:rPr>
          <w:lang w:val="en-GB"/>
        </w:rPr>
        <w:t>researchers</w:t>
      </w:r>
      <w:r w:rsidRPr="0087422E">
        <w:rPr>
          <w:lang w:val="en-GB"/>
        </w:rPr>
        <w:t xml:space="preserve"> </w:t>
      </w:r>
      <w:r w:rsidR="009954F8" w:rsidRPr="0087422E">
        <w:rPr>
          <w:lang w:val="en-GB"/>
        </w:rPr>
        <w:t xml:space="preserve">and </w:t>
      </w:r>
      <w:r w:rsidR="00F71B1B" w:rsidRPr="0087422E">
        <w:rPr>
          <w:lang w:val="en-GB"/>
        </w:rPr>
        <w:t>the</w:t>
      </w:r>
      <w:r w:rsidRPr="0087422E">
        <w:rPr>
          <w:lang w:val="en-GB"/>
        </w:rPr>
        <w:t xml:space="preserve"> funding of </w:t>
      </w:r>
      <w:r w:rsidR="009954F8" w:rsidRPr="0087422E">
        <w:rPr>
          <w:lang w:val="en-GB"/>
        </w:rPr>
        <w:t xml:space="preserve">young researchers’ </w:t>
      </w:r>
      <w:r w:rsidRPr="0087422E">
        <w:rPr>
          <w:lang w:val="en-GB"/>
        </w:rPr>
        <w:t xml:space="preserve">projects </w:t>
      </w:r>
      <w:r w:rsidR="009954F8" w:rsidRPr="0087422E">
        <w:rPr>
          <w:lang w:val="en-GB"/>
        </w:rPr>
        <w:t>(</w:t>
      </w:r>
      <w:r w:rsidR="00F71B1B" w:rsidRPr="0087422E">
        <w:rPr>
          <w:lang w:val="en-GB"/>
        </w:rPr>
        <w:t xml:space="preserve">of </w:t>
      </w:r>
      <w:r w:rsidR="009954F8" w:rsidRPr="0087422E">
        <w:rPr>
          <w:lang w:val="en-GB"/>
        </w:rPr>
        <w:t>500</w:t>
      </w:r>
      <w:r w:rsidR="00F71B1B" w:rsidRPr="0087422E">
        <w:rPr>
          <w:lang w:val="en-GB"/>
        </w:rPr>
        <w:t> </w:t>
      </w:r>
      <w:r w:rsidR="009954F8" w:rsidRPr="0087422E">
        <w:rPr>
          <w:lang w:val="en-GB"/>
        </w:rPr>
        <w:t xml:space="preserve">researchers with </w:t>
      </w:r>
      <w:r w:rsidR="00F71B1B" w:rsidRPr="0087422E">
        <w:rPr>
          <w:lang w:val="en-GB"/>
        </w:rPr>
        <w:t xml:space="preserve">a PhD </w:t>
      </w:r>
      <w:r w:rsidR="009954F8" w:rsidRPr="0087422E">
        <w:rPr>
          <w:lang w:val="en-GB"/>
        </w:rPr>
        <w:t>who were employed in the public sector using EU funds more than 65% were young researchers).</w:t>
      </w:r>
    </w:p>
    <w:p w:rsidR="009122BC" w:rsidRPr="0087422E" w:rsidRDefault="009122BC" w:rsidP="009954F8">
      <w:pPr>
        <w:spacing w:after="0" w:line="240" w:lineRule="auto"/>
        <w:jc w:val="both"/>
        <w:rPr>
          <w:lang w:val="en-GB"/>
        </w:rPr>
      </w:pPr>
    </w:p>
    <w:p w:rsidR="009122BC" w:rsidRPr="0087422E" w:rsidRDefault="009122BC">
      <w:pPr>
        <w:rPr>
          <w:lang w:val="en-GB"/>
        </w:rPr>
      </w:pPr>
      <w:r w:rsidRPr="0087422E">
        <w:rPr>
          <w:lang w:val="en-GB"/>
        </w:rPr>
        <w:br w:type="page"/>
      </w:r>
    </w:p>
    <w:p w:rsidR="00AF767B" w:rsidRPr="0087422E" w:rsidRDefault="00AF767B" w:rsidP="00857C57">
      <w:pPr>
        <w:spacing w:after="0" w:line="240" w:lineRule="auto"/>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10421"/>
      </w:tblGrid>
      <w:tr w:rsidR="0077184E" w:rsidRPr="0087422E" w:rsidTr="003F252F">
        <w:tc>
          <w:tcPr>
            <w:tcW w:w="10421" w:type="dxa"/>
            <w:shd w:val="clear" w:color="auto" w:fill="DEEAF6" w:themeFill="accent1" w:themeFillTint="33"/>
          </w:tcPr>
          <w:p w:rsidR="0077184E" w:rsidRPr="0087422E" w:rsidRDefault="004F1833" w:rsidP="00BA2771">
            <w:pPr>
              <w:jc w:val="center"/>
              <w:rPr>
                <w:b/>
                <w:color w:val="2E74B5" w:themeColor="accent1" w:themeShade="BF"/>
                <w:lang w:val="en-GB"/>
              </w:rPr>
            </w:pPr>
            <w:r w:rsidRPr="0087422E">
              <w:rPr>
                <w:b/>
                <w:color w:val="2E74B5" w:themeColor="accent1" w:themeShade="BF"/>
                <w:lang w:val="en-GB"/>
              </w:rPr>
              <w:t xml:space="preserve">EU </w:t>
            </w:r>
            <w:r w:rsidR="00C25D51" w:rsidRPr="0087422E">
              <w:rPr>
                <w:b/>
                <w:color w:val="2E74B5" w:themeColor="accent1" w:themeShade="BF"/>
                <w:lang w:val="en-GB"/>
              </w:rPr>
              <w:t>INVESTMENTS</w:t>
            </w:r>
            <w:r w:rsidRPr="0087422E">
              <w:rPr>
                <w:b/>
                <w:color w:val="2E74B5" w:themeColor="accent1" w:themeShade="BF"/>
                <w:lang w:val="en-GB"/>
              </w:rPr>
              <w:t xml:space="preserve"> WERE IMPORTANT </w:t>
            </w:r>
            <w:r w:rsidR="00F71B1B" w:rsidRPr="0087422E">
              <w:rPr>
                <w:b/>
                <w:color w:val="2E74B5" w:themeColor="accent1" w:themeShade="BF"/>
                <w:lang w:val="en-GB"/>
              </w:rPr>
              <w:t xml:space="preserve">FOR </w:t>
            </w:r>
            <w:r w:rsidRPr="0087422E">
              <w:rPr>
                <w:b/>
                <w:color w:val="2E74B5" w:themeColor="accent1" w:themeShade="BF"/>
                <w:lang w:val="en-GB"/>
              </w:rPr>
              <w:t xml:space="preserve">STRENGTHENING ADMINISTRATIVE CAPACITY AND INCREASING </w:t>
            </w:r>
            <w:r w:rsidR="00F71B1B" w:rsidRPr="0087422E">
              <w:rPr>
                <w:b/>
                <w:color w:val="2E74B5" w:themeColor="accent1" w:themeShade="BF"/>
                <w:lang w:val="en-GB"/>
              </w:rPr>
              <w:t xml:space="preserve">THE </w:t>
            </w:r>
            <w:r w:rsidRPr="0087422E">
              <w:rPr>
                <w:b/>
                <w:color w:val="2E74B5" w:themeColor="accent1" w:themeShade="BF"/>
                <w:lang w:val="en-GB"/>
              </w:rPr>
              <w:t>EFFICIENCY OF PUBLIC ADMINISTRATION</w:t>
            </w:r>
          </w:p>
        </w:tc>
      </w:tr>
    </w:tbl>
    <w:p w:rsidR="0077184E" w:rsidRPr="0087422E" w:rsidRDefault="0077184E" w:rsidP="0077184E">
      <w:pPr>
        <w:spacing w:after="0" w:line="240" w:lineRule="auto"/>
        <w:jc w:val="both"/>
        <w:rPr>
          <w:lang w:val="en-GB"/>
        </w:rPr>
      </w:pPr>
    </w:p>
    <w:p w:rsidR="001F33A1" w:rsidRPr="0087422E" w:rsidRDefault="001F33A1" w:rsidP="001F33A1">
      <w:pPr>
        <w:spacing w:after="0" w:line="240" w:lineRule="auto"/>
        <w:jc w:val="both"/>
        <w:rPr>
          <w:lang w:val="en-GB"/>
        </w:rPr>
      </w:pPr>
      <w:r w:rsidRPr="0087422E">
        <w:rPr>
          <w:lang w:val="en-GB"/>
        </w:rPr>
        <w:t>The fourth investment axis was aimed at administrative capacity building in the public service, promoting</w:t>
      </w:r>
      <w:r w:rsidR="002F699A" w:rsidRPr="0087422E">
        <w:rPr>
          <w:lang w:val="en-GB"/>
        </w:rPr>
        <w:t xml:space="preserve"> administration efficiency</w:t>
      </w:r>
      <w:r w:rsidR="00F71B1B" w:rsidRPr="0087422E">
        <w:rPr>
          <w:lang w:val="en-GB"/>
        </w:rPr>
        <w:t xml:space="preserve"> and</w:t>
      </w:r>
      <w:r w:rsidRPr="0087422E">
        <w:rPr>
          <w:lang w:val="en-GB"/>
        </w:rPr>
        <w:t xml:space="preserve"> improving the quality of services provided to people and business. </w:t>
      </w:r>
      <w:r w:rsidR="00F71B1B" w:rsidRPr="0087422E">
        <w:rPr>
          <w:lang w:val="en-GB"/>
        </w:rPr>
        <w:t>Investments</w:t>
      </w:r>
      <w:r w:rsidRPr="0087422E">
        <w:rPr>
          <w:lang w:val="en-GB"/>
        </w:rPr>
        <w:t xml:space="preserve"> into </w:t>
      </w:r>
      <w:r w:rsidRPr="0087422E">
        <w:rPr>
          <w:b/>
          <w:color w:val="336699"/>
          <w:lang w:val="en-GB"/>
        </w:rPr>
        <w:t>administrative capacity building</w:t>
      </w:r>
      <w:r w:rsidR="00F71B1B" w:rsidRPr="0087422E">
        <w:rPr>
          <w:lang w:val="en-GB"/>
        </w:rPr>
        <w:t xml:space="preserve"> improved the </w:t>
      </w:r>
      <w:r w:rsidRPr="0087422E">
        <w:rPr>
          <w:lang w:val="en-GB"/>
        </w:rPr>
        <w:t>qualification of stat</w:t>
      </w:r>
      <w:r w:rsidR="00EE0657" w:rsidRPr="0087422E">
        <w:rPr>
          <w:lang w:val="en-GB"/>
        </w:rPr>
        <w:t>e and municipal civil service</w:t>
      </w:r>
      <w:r w:rsidRPr="0087422E">
        <w:rPr>
          <w:lang w:val="en-GB"/>
        </w:rPr>
        <w:t xml:space="preserve"> and </w:t>
      </w:r>
      <w:r w:rsidR="00F71B1B" w:rsidRPr="0087422E">
        <w:rPr>
          <w:lang w:val="en-GB"/>
        </w:rPr>
        <w:t xml:space="preserve">reinforced </w:t>
      </w:r>
      <w:r w:rsidRPr="0087422E">
        <w:rPr>
          <w:lang w:val="en-GB"/>
        </w:rPr>
        <w:t xml:space="preserve">cooperation. </w:t>
      </w:r>
      <w:r w:rsidR="00F71B1B" w:rsidRPr="0087422E">
        <w:rPr>
          <w:lang w:val="en-GB"/>
        </w:rPr>
        <w:t>T</w:t>
      </w:r>
      <w:r w:rsidRPr="0087422E">
        <w:rPr>
          <w:lang w:val="en-GB"/>
        </w:rPr>
        <w:t>raining projects were</w:t>
      </w:r>
      <w:r w:rsidR="00F71B1B" w:rsidRPr="0087422E">
        <w:rPr>
          <w:lang w:val="en-GB"/>
        </w:rPr>
        <w:t xml:space="preserve"> mostly</w:t>
      </w:r>
      <w:r w:rsidRPr="0087422E">
        <w:rPr>
          <w:lang w:val="en-GB"/>
        </w:rPr>
        <w:t xml:space="preserve"> implemented </w:t>
      </w:r>
      <w:r w:rsidR="00F71B1B" w:rsidRPr="0087422E">
        <w:rPr>
          <w:lang w:val="en-GB"/>
        </w:rPr>
        <w:t xml:space="preserve">using </w:t>
      </w:r>
      <w:r w:rsidRPr="0087422E">
        <w:rPr>
          <w:lang w:val="en-GB"/>
        </w:rPr>
        <w:t xml:space="preserve">EU funds. EU funding was also used </w:t>
      </w:r>
      <w:r w:rsidR="00BA2771" w:rsidRPr="0087422E">
        <w:rPr>
          <w:lang w:val="en-GB"/>
        </w:rPr>
        <w:t>for</w:t>
      </w:r>
      <w:r w:rsidRPr="0087422E">
        <w:rPr>
          <w:lang w:val="en-GB"/>
        </w:rPr>
        <w:t xml:space="preserve"> invest</w:t>
      </w:r>
      <w:r w:rsidR="00BA2771" w:rsidRPr="0087422E">
        <w:rPr>
          <w:lang w:val="en-GB"/>
        </w:rPr>
        <w:t>ing</w:t>
      </w:r>
      <w:r w:rsidRPr="0087422E">
        <w:rPr>
          <w:lang w:val="en-GB"/>
        </w:rPr>
        <w:t xml:space="preserve"> into</w:t>
      </w:r>
      <w:r w:rsidR="00F71B1B" w:rsidRPr="0087422E">
        <w:rPr>
          <w:lang w:val="en-GB"/>
        </w:rPr>
        <w:t xml:space="preserve"> the</w:t>
      </w:r>
      <w:r w:rsidRPr="0087422E">
        <w:rPr>
          <w:lang w:val="en-GB"/>
        </w:rPr>
        <w:t xml:space="preserve"> </w:t>
      </w:r>
      <w:r w:rsidRPr="0087422E">
        <w:rPr>
          <w:b/>
          <w:color w:val="336699"/>
          <w:lang w:val="en-GB"/>
        </w:rPr>
        <w:t>effective and results-oriented management of institutions accountable to</w:t>
      </w:r>
      <w:r w:rsidR="00F71B1B" w:rsidRPr="0087422E">
        <w:rPr>
          <w:b/>
          <w:color w:val="336699"/>
          <w:lang w:val="en-GB"/>
        </w:rPr>
        <w:t xml:space="preserve"> the</w:t>
      </w:r>
      <w:r w:rsidRPr="0087422E">
        <w:rPr>
          <w:b/>
          <w:color w:val="336699"/>
          <w:lang w:val="en-GB"/>
        </w:rPr>
        <w:t xml:space="preserve"> government</w:t>
      </w:r>
      <w:r w:rsidRPr="0087422E">
        <w:rPr>
          <w:lang w:val="en-GB"/>
        </w:rPr>
        <w:t xml:space="preserve"> (</w:t>
      </w:r>
      <w:r w:rsidR="00F71B1B" w:rsidRPr="0087422E">
        <w:rPr>
          <w:lang w:val="en-GB"/>
        </w:rPr>
        <w:t xml:space="preserve">financing was allocated to the </w:t>
      </w:r>
      <w:r w:rsidR="00BA2771" w:rsidRPr="0087422E">
        <w:rPr>
          <w:lang w:val="en-GB"/>
        </w:rPr>
        <w:t xml:space="preserve">introduction </w:t>
      </w:r>
      <w:r w:rsidRPr="0087422E">
        <w:rPr>
          <w:lang w:val="en-GB"/>
        </w:rPr>
        <w:t xml:space="preserve">of </w:t>
      </w:r>
      <w:r w:rsidR="00BA2771" w:rsidRPr="0087422E">
        <w:rPr>
          <w:lang w:val="en-GB"/>
        </w:rPr>
        <w:t xml:space="preserve">performance </w:t>
      </w:r>
      <w:r w:rsidRPr="0087422E">
        <w:rPr>
          <w:lang w:val="en-GB"/>
        </w:rPr>
        <w:t>management systems</w:t>
      </w:r>
      <w:r w:rsidR="00F71B1B" w:rsidRPr="0087422E">
        <w:rPr>
          <w:lang w:val="en-GB"/>
        </w:rPr>
        <w:t xml:space="preserve"> and the drafting </w:t>
      </w:r>
      <w:r w:rsidRPr="0087422E">
        <w:rPr>
          <w:lang w:val="en-GB"/>
        </w:rPr>
        <w:t xml:space="preserve">of general territorial plans </w:t>
      </w:r>
      <w:r w:rsidR="00F71B1B" w:rsidRPr="0087422E">
        <w:rPr>
          <w:lang w:val="en-GB"/>
        </w:rPr>
        <w:t xml:space="preserve">for </w:t>
      </w:r>
      <w:r w:rsidRPr="0087422E">
        <w:rPr>
          <w:lang w:val="en-GB"/>
        </w:rPr>
        <w:t>municipalities) and into</w:t>
      </w:r>
      <w:r w:rsidR="00F71B1B" w:rsidRPr="0087422E">
        <w:rPr>
          <w:lang w:val="en-GB"/>
        </w:rPr>
        <w:t xml:space="preserve"> the</w:t>
      </w:r>
      <w:r w:rsidRPr="0087422E">
        <w:rPr>
          <w:lang w:val="en-GB"/>
        </w:rPr>
        <w:t xml:space="preserve"> </w:t>
      </w:r>
      <w:r w:rsidRPr="0087422E">
        <w:rPr>
          <w:b/>
          <w:color w:val="336699"/>
          <w:lang w:val="en-GB"/>
        </w:rPr>
        <w:t>improvement of the quality of public services</w:t>
      </w:r>
      <w:r w:rsidRPr="0087422E">
        <w:rPr>
          <w:color w:val="336699"/>
          <w:lang w:val="en-GB"/>
        </w:rPr>
        <w:t xml:space="preserve"> </w:t>
      </w:r>
      <w:r w:rsidRPr="0087422E">
        <w:rPr>
          <w:lang w:val="en-GB"/>
        </w:rPr>
        <w:t>(</w:t>
      </w:r>
      <w:r w:rsidR="00F71B1B" w:rsidRPr="0087422E">
        <w:rPr>
          <w:lang w:val="en-GB"/>
        </w:rPr>
        <w:t xml:space="preserve">financing was channelled to the introduction </w:t>
      </w:r>
      <w:r w:rsidRPr="0087422E">
        <w:rPr>
          <w:lang w:val="en-GB"/>
        </w:rPr>
        <w:t xml:space="preserve">of modern service delivery models in public institutions, </w:t>
      </w:r>
      <w:r w:rsidR="00F71B1B" w:rsidRPr="0087422E">
        <w:rPr>
          <w:lang w:val="en-GB"/>
        </w:rPr>
        <w:t xml:space="preserve">the </w:t>
      </w:r>
      <w:r w:rsidRPr="0087422E">
        <w:rPr>
          <w:lang w:val="en-GB"/>
        </w:rPr>
        <w:t xml:space="preserve">implementation of public policy reforms, for example, in vocational training, higher education, health care system, social services, social security, pension system and </w:t>
      </w:r>
      <w:r w:rsidR="00F71B1B" w:rsidRPr="0087422E">
        <w:rPr>
          <w:lang w:val="en-GB"/>
        </w:rPr>
        <w:t>functions of business supervisory authorit</w:t>
      </w:r>
      <w:r w:rsidR="0087422E">
        <w:rPr>
          <w:lang w:val="en-GB"/>
        </w:rPr>
        <w:t>i</w:t>
      </w:r>
      <w:r w:rsidR="00F71B1B" w:rsidRPr="0087422E">
        <w:rPr>
          <w:lang w:val="en-GB"/>
        </w:rPr>
        <w:t>es</w:t>
      </w:r>
      <w:r w:rsidR="001408FC" w:rsidRPr="0087422E">
        <w:rPr>
          <w:lang w:val="en-GB"/>
        </w:rPr>
        <w:t>).</w:t>
      </w:r>
    </w:p>
    <w:p w:rsidR="007C5FAE" w:rsidRPr="0087422E" w:rsidRDefault="007C5FAE" w:rsidP="00857C57">
      <w:pPr>
        <w:spacing w:after="0" w:line="240" w:lineRule="auto"/>
        <w:jc w:val="both"/>
        <w:rPr>
          <w:lang w:val="en-GB"/>
        </w:rPr>
      </w:pPr>
    </w:p>
    <w:p w:rsidR="00C80870" w:rsidRPr="0087422E" w:rsidRDefault="004F1833" w:rsidP="00C80870">
      <w:pPr>
        <w:spacing w:after="0" w:line="240" w:lineRule="auto"/>
        <w:jc w:val="both"/>
        <w:rPr>
          <w:b/>
          <w:color w:val="1F4E79" w:themeColor="accent1" w:themeShade="80"/>
          <w:lang w:val="en-GB"/>
        </w:rPr>
      </w:pPr>
      <w:r w:rsidRPr="0087422E">
        <w:rPr>
          <w:b/>
          <w:color w:val="1F4E79" w:themeColor="accent1" w:themeShade="80"/>
          <w:lang w:val="en-GB"/>
        </w:rPr>
        <w:t>RESULTS OF</w:t>
      </w:r>
      <w:r w:rsidR="00AF2E9A">
        <w:rPr>
          <w:b/>
          <w:color w:val="1F4E79" w:themeColor="accent1" w:themeShade="80"/>
          <w:lang w:val="en-GB"/>
        </w:rPr>
        <w:t xml:space="preserve"> THE</w:t>
      </w:r>
      <w:r w:rsidRPr="0087422E">
        <w:rPr>
          <w:b/>
          <w:color w:val="1F4E79" w:themeColor="accent1" w:themeShade="80"/>
          <w:lang w:val="en-GB"/>
        </w:rPr>
        <w:t xml:space="preserve"> INVESTMENTS</w:t>
      </w:r>
    </w:p>
    <w:p w:rsidR="00C80870" w:rsidRPr="0087422E" w:rsidRDefault="00C80870" w:rsidP="00C80870">
      <w:pPr>
        <w:spacing w:after="0" w:line="240" w:lineRule="auto"/>
        <w:jc w:val="both"/>
        <w:rPr>
          <w:lang w:val="en-GB"/>
        </w:rPr>
      </w:pPr>
    </w:p>
    <w:p w:rsidR="00CD3750" w:rsidRPr="0087422E" w:rsidRDefault="00F71B1B" w:rsidP="004912D8">
      <w:pPr>
        <w:pStyle w:val="Caption"/>
        <w:jc w:val="both"/>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CD3750"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10</w:t>
      </w:r>
      <w:r w:rsidR="00CF4339" w:rsidRPr="0087422E">
        <w:rPr>
          <w:rFonts w:ascii="Cambria" w:hAnsi="Cambria"/>
          <w:color w:val="1F4E79" w:themeColor="accent1" w:themeShade="80"/>
          <w:sz w:val="20"/>
          <w:szCs w:val="20"/>
          <w:lang w:val="en-GB"/>
        </w:rPr>
        <w:fldChar w:fldCharType="end"/>
      </w:r>
      <w:r w:rsidR="00CD3750" w:rsidRPr="0087422E">
        <w:rPr>
          <w:rFonts w:ascii="Cambria" w:hAnsi="Cambria"/>
          <w:color w:val="1F4E79" w:themeColor="accent1" w:themeShade="80"/>
          <w:sz w:val="20"/>
          <w:szCs w:val="20"/>
          <w:lang w:val="en-GB"/>
        </w:rPr>
        <w:t>.</w:t>
      </w:r>
      <w:proofErr w:type="gramEnd"/>
      <w:r w:rsidR="00CD3750" w:rsidRPr="0087422E">
        <w:rPr>
          <w:rFonts w:ascii="Cambria" w:hAnsi="Cambria"/>
          <w:color w:val="1F4E79" w:themeColor="accent1" w:themeShade="80"/>
          <w:sz w:val="20"/>
          <w:szCs w:val="20"/>
          <w:lang w:val="en-GB"/>
        </w:rPr>
        <w:t xml:space="preserve"> </w:t>
      </w:r>
      <w:r w:rsidR="009122BC" w:rsidRPr="0087422E">
        <w:rPr>
          <w:rFonts w:ascii="Cambria" w:hAnsi="Cambria"/>
          <w:color w:val="1F4E79" w:themeColor="accent1" w:themeShade="80"/>
          <w:sz w:val="20"/>
          <w:szCs w:val="20"/>
          <w:lang w:val="en-GB"/>
        </w:rPr>
        <w:t xml:space="preserve">Results of investments into administrative capacity building </w:t>
      </w:r>
      <w:r w:rsidR="00EE0657" w:rsidRPr="0087422E">
        <w:rPr>
          <w:rFonts w:ascii="Cambria" w:hAnsi="Cambria"/>
          <w:color w:val="1F4E79" w:themeColor="accent1" w:themeShade="80"/>
          <w:sz w:val="20"/>
          <w:szCs w:val="20"/>
          <w:lang w:val="en-GB"/>
        </w:rPr>
        <w:t>and increase of administration efficiency</w:t>
      </w:r>
    </w:p>
    <w:p w:rsidR="00AF767B" w:rsidRPr="0087422E" w:rsidRDefault="005C5E5F" w:rsidP="00857C57">
      <w:pPr>
        <w:spacing w:after="0" w:line="240" w:lineRule="auto"/>
        <w:jc w:val="both"/>
        <w:rPr>
          <w:lang w:val="en-GB"/>
        </w:rPr>
      </w:pPr>
      <w:r w:rsidRPr="0087422E">
        <w:rPr>
          <w:noProof/>
          <w:lang w:eastAsia="lt-LT"/>
        </w:rPr>
        <w:drawing>
          <wp:inline distT="0" distB="0" distL="0" distR="0" wp14:anchorId="78F6A65B" wp14:editId="2958D9BC">
            <wp:extent cx="6248399" cy="2147887"/>
            <wp:effectExtent l="0" t="0" r="19685" b="241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38BA" w:rsidRPr="0087422E" w:rsidRDefault="00F638BA" w:rsidP="00857C57">
      <w:pPr>
        <w:spacing w:after="0" w:line="240" w:lineRule="auto"/>
        <w:jc w:val="both"/>
        <w:rPr>
          <w:lang w:val="en-GB"/>
        </w:rPr>
      </w:pPr>
    </w:p>
    <w:p w:rsidR="004F1833" w:rsidRPr="0087422E" w:rsidRDefault="006D5CCB" w:rsidP="004F1833">
      <w:pPr>
        <w:spacing w:after="0" w:line="240" w:lineRule="auto"/>
        <w:jc w:val="both"/>
        <w:rPr>
          <w:lang w:val="en-GB"/>
        </w:rPr>
      </w:pPr>
      <w:r>
        <w:rPr>
          <w:lang w:val="en-GB" w:eastAsia="lt-LT"/>
        </w:rPr>
        <w:pict>
          <v:shape id="_x0000_s1030" type="#_x0000_t185" style="position:absolute;left:0;text-align:left;margin-left:172pt;margin-top:472.7pt;width:341.25pt;height:258.75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" o:allowincell="f" adj="1739" fillcolor="#943634" strokecolor="#5b9bd5 [3204]" strokeweight="3pt">
            <v:shadow color="#5d7035" offset="1pt,1pt"/>
            <v:textbox inset="3.6pt,,3.6pt">
              <w:txbxContent>
                <w:p w:rsidR="006D5CCB" w:rsidRPr="0087422E" w:rsidRDefault="006D5CCB" w:rsidP="000F123F">
                  <w:pPr>
                    <w:pBdr>
                      <w:bottom w:val="single" w:sz="4" w:space="1" w:color="auto"/>
                    </w:pBdr>
                    <w:spacing w:after="0"/>
                    <w:jc w:val="both"/>
                    <w:rPr>
                      <w:b/>
                      <w:i/>
                      <w:iCs/>
                      <w:sz w:val="18"/>
                      <w:szCs w:val="18"/>
                      <w:lang w:val="en-GB"/>
                    </w:rPr>
                  </w:pPr>
                  <w:r w:rsidRPr="0087422E">
                    <w:rPr>
                      <w:b/>
                      <w:i/>
                      <w:iCs/>
                      <w:sz w:val="18"/>
                      <w:szCs w:val="18"/>
                      <w:lang w:val="en-GB"/>
                    </w:rPr>
                    <w:t>EU funds helped to improve civil service selection</w:t>
                  </w:r>
                </w:p>
                <w:p w:rsidR="006D5CCB" w:rsidRPr="0087422E" w:rsidRDefault="006D5CCB" w:rsidP="003C1B08">
                  <w:pPr>
                    <w:spacing w:after="0"/>
                    <w:jc w:val="both"/>
                    <w:rPr>
                      <w:iCs/>
                      <w:sz w:val="18"/>
                      <w:szCs w:val="18"/>
                      <w:lang w:val="en-GB"/>
                    </w:rPr>
                  </w:pPr>
                </w:p>
                <w:p w:rsidR="006D5CCB" w:rsidRPr="0087422E" w:rsidRDefault="006D5CCB" w:rsidP="003C1B08">
                  <w:pPr>
                    <w:spacing w:after="0"/>
                    <w:jc w:val="both"/>
                    <w:rPr>
                      <w:iCs/>
                      <w:sz w:val="18"/>
                      <w:szCs w:val="18"/>
                      <w:lang w:val="en-GB"/>
                    </w:rPr>
                  </w:pPr>
                  <w:r w:rsidRPr="0087422E">
                    <w:rPr>
                      <w:sz w:val="18"/>
                      <w:szCs w:val="18"/>
                      <w:lang w:val="en-GB"/>
                    </w:rPr>
                    <w:t>The project was aimed at increasing the efficiency and transparency of a civil service selection process in Lithuania. A conception for the improvement of the civil service selection process was prepared. In addition, tests for basic skills and foreign languages as well as tasks to evaluate leadership skills were created. The selection software was installed and the room for selection procedures was equipped with computerised testing facilities. Nearly 1,000 employees responsible for personnel management and administration were trained. Moreover, a practical guide was developed for civil service selection committees conducting competitions in specific institutions. Using the project results, in 2013 a semi-centralised civil service selection to state and municipal institutions was launched. The civil service selection process has become more transparent and more efficient, allowing for a more comprehensive evaluation of civil servants’ capabilities.</w:t>
                  </w:r>
                </w:p>
                <w:p w:rsidR="006D5CCB" w:rsidRPr="0087422E" w:rsidRDefault="006D5CCB" w:rsidP="003C1B08">
                  <w:pPr>
                    <w:spacing w:after="0"/>
                    <w:jc w:val="center"/>
                    <w:rPr>
                      <w:iCs/>
                      <w:sz w:val="18"/>
                      <w:szCs w:val="18"/>
                      <w:lang w:val="en-GB"/>
                    </w:rPr>
                  </w:pPr>
                  <w:r w:rsidRPr="0087422E">
                    <w:rPr>
                      <w:iCs/>
                      <w:noProof/>
                      <w:sz w:val="18"/>
                      <w:szCs w:val="18"/>
                      <w:lang w:eastAsia="lt-LT"/>
                    </w:rPr>
                    <w:drawing>
                      <wp:inline distT="0" distB="0" distL="0" distR="0" wp14:anchorId="11A84ED1" wp14:editId="00E45E07">
                        <wp:extent cx="1752600" cy="1019175"/>
                        <wp:effectExtent l="0" t="0" r="0" b="9525"/>
                        <wp:docPr id="22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2"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3110" cy="1025287"/>
                                </a:xfrm>
                                <a:prstGeom prst="rect">
                                  <a:avLst/>
                                </a:prstGeom>
                                <a:noFill/>
                                <a:ln>
                                  <a:noFill/>
                                </a:ln>
                                <a:extLst/>
                              </pic:spPr>
                            </pic:pic>
                          </a:graphicData>
                        </a:graphic>
                      </wp:inline>
                    </w:drawing>
                  </w:r>
                </w:p>
              </w:txbxContent>
            </v:textbox>
            <w10:wrap type="square" anchorx="margin" anchory="margin"/>
          </v:shape>
        </w:pict>
      </w:r>
      <w:r w:rsidR="006D0082" w:rsidRPr="0087422E">
        <w:rPr>
          <w:lang w:val="en-GB"/>
        </w:rPr>
        <w:t xml:space="preserve">While implementing the measures </w:t>
      </w:r>
      <w:r w:rsidR="00366542" w:rsidRPr="0087422E">
        <w:rPr>
          <w:lang w:val="en-GB"/>
        </w:rPr>
        <w:t>focused on</w:t>
      </w:r>
      <w:r w:rsidR="006D0082" w:rsidRPr="0087422E">
        <w:rPr>
          <w:lang w:val="en-GB"/>
        </w:rPr>
        <w:t xml:space="preserve"> </w:t>
      </w:r>
      <w:r w:rsidR="006D0082" w:rsidRPr="0087422E">
        <w:rPr>
          <w:b/>
          <w:color w:val="336699"/>
          <w:lang w:val="en-GB"/>
        </w:rPr>
        <w:t>administrative capacity building</w:t>
      </w:r>
      <w:r w:rsidR="006D0082" w:rsidRPr="0087422E">
        <w:rPr>
          <w:lang w:val="en-GB"/>
        </w:rPr>
        <w:t>, more than 47</w:t>
      </w:r>
      <w:r w:rsidR="00366542" w:rsidRPr="0087422E">
        <w:rPr>
          <w:lang w:val="en-GB"/>
        </w:rPr>
        <w:t>,000 </w:t>
      </w:r>
      <w:r w:rsidR="006D0082" w:rsidRPr="0087422E">
        <w:rPr>
          <w:lang w:val="en-GB"/>
        </w:rPr>
        <w:t xml:space="preserve">persons took part in </w:t>
      </w:r>
      <w:r w:rsidR="00366542" w:rsidRPr="0087422E">
        <w:rPr>
          <w:lang w:val="en-GB"/>
        </w:rPr>
        <w:t xml:space="preserve">EU-funded </w:t>
      </w:r>
      <w:r w:rsidR="006D0082" w:rsidRPr="0087422E">
        <w:rPr>
          <w:lang w:val="en-GB"/>
        </w:rPr>
        <w:t>training aimed at raising the qualification of civil serv</w:t>
      </w:r>
      <w:r w:rsidR="00366542" w:rsidRPr="0087422E">
        <w:rPr>
          <w:lang w:val="en-GB"/>
        </w:rPr>
        <w:t>ants</w:t>
      </w:r>
      <w:r w:rsidR="006D0082" w:rsidRPr="0087422E">
        <w:rPr>
          <w:lang w:val="en-GB"/>
        </w:rPr>
        <w:t xml:space="preserve">. Knowledge gained in the training was useful because 73.2% of the training participants applied the information obtained </w:t>
      </w:r>
      <w:r w:rsidR="00BA2771" w:rsidRPr="0087422E">
        <w:rPr>
          <w:lang w:val="en-GB"/>
        </w:rPr>
        <w:t xml:space="preserve">in </w:t>
      </w:r>
      <w:r w:rsidR="006D0082" w:rsidRPr="0087422E">
        <w:rPr>
          <w:lang w:val="en-GB"/>
        </w:rPr>
        <w:t xml:space="preserve">their </w:t>
      </w:r>
      <w:r w:rsidR="00366542" w:rsidRPr="0087422E">
        <w:rPr>
          <w:lang w:val="en-GB"/>
        </w:rPr>
        <w:t>job</w:t>
      </w:r>
      <w:r w:rsidR="00BA2771" w:rsidRPr="0087422E">
        <w:rPr>
          <w:lang w:val="en-GB"/>
        </w:rPr>
        <w:t>s</w:t>
      </w:r>
      <w:r w:rsidR="006D0082" w:rsidRPr="0087422E">
        <w:rPr>
          <w:lang w:val="en-GB"/>
        </w:rPr>
        <w:t>. Many participants who successfully complete</w:t>
      </w:r>
      <w:r w:rsidR="002F699A" w:rsidRPr="0087422E">
        <w:rPr>
          <w:lang w:val="en-GB"/>
        </w:rPr>
        <w:t>d training</w:t>
      </w:r>
      <w:r w:rsidR="006D0082" w:rsidRPr="0087422E">
        <w:rPr>
          <w:lang w:val="en-GB"/>
        </w:rPr>
        <w:t xml:space="preserve"> regularly used the </w:t>
      </w:r>
      <w:r w:rsidR="00366542" w:rsidRPr="0087422E">
        <w:rPr>
          <w:lang w:val="en-GB"/>
        </w:rPr>
        <w:t xml:space="preserve">acquired </w:t>
      </w:r>
      <w:r w:rsidR="006D0082" w:rsidRPr="0087422E">
        <w:rPr>
          <w:lang w:val="en-GB"/>
        </w:rPr>
        <w:t xml:space="preserve">knowledge. The most useful information </w:t>
      </w:r>
      <w:r w:rsidR="002F699A" w:rsidRPr="0087422E">
        <w:rPr>
          <w:lang w:val="en-GB"/>
        </w:rPr>
        <w:t xml:space="preserve">was </w:t>
      </w:r>
      <w:r w:rsidR="006D0082" w:rsidRPr="0087422E">
        <w:rPr>
          <w:lang w:val="en-GB"/>
        </w:rPr>
        <w:t xml:space="preserve">related to </w:t>
      </w:r>
      <w:r w:rsidR="002F699A" w:rsidRPr="0087422E">
        <w:rPr>
          <w:lang w:val="en-GB"/>
        </w:rPr>
        <w:t xml:space="preserve">the improvement of general competences </w:t>
      </w:r>
      <w:r w:rsidR="00366542" w:rsidRPr="0087422E">
        <w:rPr>
          <w:lang w:val="en-GB"/>
        </w:rPr>
        <w:t>and the</w:t>
      </w:r>
      <w:r w:rsidR="002F699A" w:rsidRPr="0087422E">
        <w:rPr>
          <w:lang w:val="en-GB"/>
        </w:rPr>
        <w:t xml:space="preserve"> presentation of </w:t>
      </w:r>
      <w:r w:rsidR="006D0082" w:rsidRPr="0087422E">
        <w:rPr>
          <w:lang w:val="en-GB"/>
        </w:rPr>
        <w:t>organi</w:t>
      </w:r>
      <w:r w:rsidR="00366542" w:rsidRPr="0087422E">
        <w:rPr>
          <w:lang w:val="en-GB"/>
        </w:rPr>
        <w:t>s</w:t>
      </w:r>
      <w:r w:rsidR="006D0082" w:rsidRPr="0087422E">
        <w:rPr>
          <w:lang w:val="en-GB"/>
        </w:rPr>
        <w:t>ational changes in state and municipal institutions (for example, property maintenance and management, document management and administration, analytical expertise, managerial competence).</w:t>
      </w:r>
    </w:p>
    <w:p w:rsidR="004F1833" w:rsidRPr="0087422E" w:rsidRDefault="004F1833" w:rsidP="00857C57">
      <w:pPr>
        <w:spacing w:after="0" w:line="240" w:lineRule="auto"/>
        <w:jc w:val="both"/>
        <w:rPr>
          <w:lang w:val="en-GB"/>
        </w:rPr>
      </w:pPr>
    </w:p>
    <w:p w:rsidR="00B36E2D" w:rsidRPr="0087422E" w:rsidRDefault="00B36E2D" w:rsidP="00B36E2D">
      <w:pPr>
        <w:spacing w:after="0" w:line="240" w:lineRule="auto"/>
        <w:jc w:val="both"/>
        <w:rPr>
          <w:lang w:val="en-GB"/>
        </w:rPr>
      </w:pPr>
      <w:r w:rsidRPr="0087422E">
        <w:rPr>
          <w:lang w:val="en-GB"/>
        </w:rPr>
        <w:t xml:space="preserve">In order to ensure more </w:t>
      </w:r>
      <w:r w:rsidRPr="0087422E">
        <w:rPr>
          <w:b/>
          <w:color w:val="336699"/>
          <w:lang w:val="en-GB"/>
        </w:rPr>
        <w:t xml:space="preserve">effective management of public </w:t>
      </w:r>
      <w:r w:rsidRPr="0087422E">
        <w:rPr>
          <w:b/>
          <w:color w:val="336699"/>
          <w:lang w:val="en-GB"/>
        </w:rPr>
        <w:lastRenderedPageBreak/>
        <w:t>institutions</w:t>
      </w:r>
      <w:r w:rsidRPr="0087422E">
        <w:rPr>
          <w:lang w:val="en-GB"/>
        </w:rPr>
        <w:t xml:space="preserve">, </w:t>
      </w:r>
      <w:r w:rsidR="00BA2771" w:rsidRPr="0087422E">
        <w:rPr>
          <w:lang w:val="en-GB"/>
        </w:rPr>
        <w:t xml:space="preserve">performance </w:t>
      </w:r>
      <w:r w:rsidRPr="0087422E">
        <w:rPr>
          <w:lang w:val="en-GB"/>
        </w:rPr>
        <w:t xml:space="preserve">management systems </w:t>
      </w:r>
      <w:r w:rsidR="00366542" w:rsidRPr="0087422E">
        <w:rPr>
          <w:lang w:val="en-GB"/>
        </w:rPr>
        <w:t>were</w:t>
      </w:r>
      <w:r w:rsidRPr="0087422E">
        <w:rPr>
          <w:lang w:val="en-GB"/>
        </w:rPr>
        <w:t xml:space="preserve"> put in place in 14</w:t>
      </w:r>
      <w:r w:rsidR="00366542" w:rsidRPr="0087422E">
        <w:rPr>
          <w:lang w:val="en-GB"/>
        </w:rPr>
        <w:t> </w:t>
      </w:r>
      <w:r w:rsidRPr="0087422E">
        <w:rPr>
          <w:lang w:val="en-GB"/>
        </w:rPr>
        <w:t xml:space="preserve">ministries. </w:t>
      </w:r>
      <w:r w:rsidR="00ED5629" w:rsidRPr="0087422E">
        <w:rPr>
          <w:lang w:val="en-GB"/>
        </w:rPr>
        <w:t>A</w:t>
      </w:r>
      <w:r w:rsidRPr="0087422E">
        <w:rPr>
          <w:lang w:val="en-GB"/>
        </w:rPr>
        <w:t xml:space="preserve"> large-scale project “Improvement of the </w:t>
      </w:r>
      <w:r w:rsidR="00366542" w:rsidRPr="0087422E">
        <w:rPr>
          <w:lang w:val="en-GB"/>
        </w:rPr>
        <w:t>Results-Oriented M</w:t>
      </w:r>
      <w:r w:rsidRPr="0087422E">
        <w:rPr>
          <w:lang w:val="en-GB"/>
        </w:rPr>
        <w:t xml:space="preserve">anagement” </w:t>
      </w:r>
      <w:r w:rsidR="00ED5629" w:rsidRPr="0087422E">
        <w:rPr>
          <w:lang w:val="en-GB"/>
        </w:rPr>
        <w:t>contributed to the increase</w:t>
      </w:r>
      <w:r w:rsidR="00366542" w:rsidRPr="0087422E">
        <w:rPr>
          <w:lang w:val="en-GB"/>
        </w:rPr>
        <w:t>d</w:t>
      </w:r>
      <w:r w:rsidR="00ED5629" w:rsidRPr="0087422E">
        <w:rPr>
          <w:lang w:val="en-GB"/>
        </w:rPr>
        <w:t xml:space="preserve"> </w:t>
      </w:r>
      <w:r w:rsidRPr="0087422E">
        <w:rPr>
          <w:lang w:val="en-GB"/>
        </w:rPr>
        <w:t>institutional efficiency. In 2007–2015, 132</w:t>
      </w:r>
      <w:r w:rsidR="00366542" w:rsidRPr="0087422E">
        <w:rPr>
          <w:lang w:val="en-GB"/>
        </w:rPr>
        <w:t> </w:t>
      </w:r>
      <w:r w:rsidRPr="0087422E">
        <w:rPr>
          <w:lang w:val="en-GB"/>
        </w:rPr>
        <w:t xml:space="preserve">general territorial plans for municipalities were </w:t>
      </w:r>
      <w:r w:rsidR="00366542" w:rsidRPr="0087422E">
        <w:rPr>
          <w:lang w:val="en-GB"/>
        </w:rPr>
        <w:t>drafted</w:t>
      </w:r>
      <w:r w:rsidRPr="0087422E">
        <w:rPr>
          <w:lang w:val="en-GB"/>
        </w:rPr>
        <w:t xml:space="preserve">. It is important to note that the plans were </w:t>
      </w:r>
      <w:r w:rsidR="00366542" w:rsidRPr="0087422E">
        <w:rPr>
          <w:lang w:val="en-GB"/>
        </w:rPr>
        <w:t xml:space="preserve">drafted </w:t>
      </w:r>
      <w:r w:rsidRPr="0087422E">
        <w:rPr>
          <w:lang w:val="en-GB"/>
        </w:rPr>
        <w:t xml:space="preserve">not only </w:t>
      </w:r>
      <w:r w:rsidR="00BA2771" w:rsidRPr="0087422E">
        <w:rPr>
          <w:lang w:val="en-GB"/>
        </w:rPr>
        <w:t xml:space="preserve">for </w:t>
      </w:r>
      <w:r w:rsidRPr="0087422E">
        <w:rPr>
          <w:lang w:val="en-GB"/>
        </w:rPr>
        <w:t xml:space="preserve">the whole territory of the municipality, but also </w:t>
      </w:r>
      <w:r w:rsidR="00BA2771" w:rsidRPr="0087422E">
        <w:rPr>
          <w:lang w:val="en-GB"/>
        </w:rPr>
        <w:t xml:space="preserve">for </w:t>
      </w:r>
      <w:r w:rsidRPr="0087422E">
        <w:rPr>
          <w:lang w:val="en-GB"/>
        </w:rPr>
        <w:t>individual municipal areas (cities, towns). These activities contributed to the inc</w:t>
      </w:r>
      <w:r w:rsidR="00ED5629" w:rsidRPr="0087422E">
        <w:rPr>
          <w:lang w:val="en-GB"/>
        </w:rPr>
        <w:t xml:space="preserve">reased </w:t>
      </w:r>
      <w:r w:rsidRPr="0087422E">
        <w:rPr>
          <w:lang w:val="en-GB"/>
        </w:rPr>
        <w:t xml:space="preserve">clarity and validity of </w:t>
      </w:r>
      <w:r w:rsidR="00366542" w:rsidRPr="0087422E">
        <w:rPr>
          <w:lang w:val="en-GB"/>
        </w:rPr>
        <w:t xml:space="preserve">municipal </w:t>
      </w:r>
      <w:r w:rsidRPr="0087422E">
        <w:rPr>
          <w:lang w:val="en-GB"/>
        </w:rPr>
        <w:t xml:space="preserve">decisions. </w:t>
      </w:r>
      <w:r w:rsidR="00366542" w:rsidRPr="0087422E">
        <w:rPr>
          <w:lang w:val="en-GB"/>
        </w:rPr>
        <w:t>A c</w:t>
      </w:r>
      <w:r w:rsidRPr="0087422E">
        <w:rPr>
          <w:lang w:val="en-GB"/>
        </w:rPr>
        <w:t xml:space="preserve">lear vision and development strategy as well as strategy and leadership in project planning and implementation are very important for </w:t>
      </w:r>
      <w:r w:rsidR="00366542" w:rsidRPr="0087422E">
        <w:rPr>
          <w:lang w:val="en-GB"/>
        </w:rPr>
        <w:t xml:space="preserve">the </w:t>
      </w:r>
      <w:r w:rsidRPr="0087422E">
        <w:rPr>
          <w:lang w:val="en-GB"/>
        </w:rPr>
        <w:t>economic and social development of specific areas (regional and municipal).</w:t>
      </w:r>
      <w:r w:rsidR="00ED5629" w:rsidRPr="0087422E">
        <w:rPr>
          <w:lang w:val="en-GB"/>
        </w:rPr>
        <w:t xml:space="preserve"> In this context, </w:t>
      </w:r>
      <w:r w:rsidRPr="0087422E">
        <w:rPr>
          <w:lang w:val="en-GB"/>
        </w:rPr>
        <w:t xml:space="preserve">EU investments may serve as a catalyst </w:t>
      </w:r>
      <w:r w:rsidR="00366542" w:rsidRPr="0087422E">
        <w:rPr>
          <w:lang w:val="en-GB"/>
        </w:rPr>
        <w:t>for</w:t>
      </w:r>
      <w:r w:rsidRPr="0087422E">
        <w:rPr>
          <w:lang w:val="en-GB"/>
        </w:rPr>
        <w:t xml:space="preserve"> social and economic development.</w:t>
      </w:r>
    </w:p>
    <w:p w:rsidR="00B36E2D" w:rsidRPr="0087422E" w:rsidRDefault="00B36E2D" w:rsidP="00B36E2D">
      <w:pPr>
        <w:spacing w:after="0" w:line="240" w:lineRule="auto"/>
        <w:jc w:val="both"/>
        <w:rPr>
          <w:lang w:val="en-GB"/>
        </w:rPr>
      </w:pPr>
    </w:p>
    <w:p w:rsidR="00B36E2D" w:rsidRPr="0087422E" w:rsidRDefault="00C64C19" w:rsidP="00B36E2D">
      <w:pPr>
        <w:spacing w:after="0" w:line="240" w:lineRule="auto"/>
        <w:jc w:val="both"/>
        <w:rPr>
          <w:lang w:val="en-GB"/>
        </w:rPr>
      </w:pPr>
      <w:r w:rsidRPr="0087422E">
        <w:rPr>
          <w:lang w:val="en-GB"/>
        </w:rPr>
        <w:t>Investments into the</w:t>
      </w:r>
      <w:r w:rsidR="00B36E2D" w:rsidRPr="0087422E">
        <w:rPr>
          <w:lang w:val="en-GB"/>
        </w:rPr>
        <w:t xml:space="preserve"> </w:t>
      </w:r>
      <w:r w:rsidR="00B36E2D" w:rsidRPr="0087422E">
        <w:rPr>
          <w:b/>
          <w:color w:val="336699"/>
          <w:lang w:val="en-GB"/>
        </w:rPr>
        <w:t>improvement of</w:t>
      </w:r>
      <w:r w:rsidRPr="0087422E">
        <w:rPr>
          <w:b/>
          <w:color w:val="336699"/>
          <w:lang w:val="en-GB"/>
        </w:rPr>
        <w:t xml:space="preserve"> the</w:t>
      </w:r>
      <w:r w:rsidR="00B36E2D" w:rsidRPr="0087422E">
        <w:rPr>
          <w:b/>
          <w:color w:val="336699"/>
          <w:lang w:val="en-GB"/>
        </w:rPr>
        <w:t xml:space="preserve"> quality of public services</w:t>
      </w:r>
      <w:r w:rsidRPr="0087422E">
        <w:rPr>
          <w:lang w:val="en-GB"/>
        </w:rPr>
        <w:t xml:space="preserve"> were used to </w:t>
      </w:r>
      <w:r w:rsidR="00BA2771" w:rsidRPr="0087422E">
        <w:rPr>
          <w:lang w:val="en-GB"/>
        </w:rPr>
        <w:t>introduce</w:t>
      </w:r>
      <w:r w:rsidRPr="0087422E">
        <w:rPr>
          <w:lang w:val="en-GB"/>
        </w:rPr>
        <w:t xml:space="preserve"> </w:t>
      </w:r>
      <w:r w:rsidR="00B36E2D" w:rsidRPr="0087422E">
        <w:rPr>
          <w:lang w:val="en-GB"/>
        </w:rPr>
        <w:t>127</w:t>
      </w:r>
      <w:r w:rsidRPr="0087422E">
        <w:rPr>
          <w:lang w:val="en-GB"/>
        </w:rPr>
        <w:t> </w:t>
      </w:r>
      <w:r w:rsidR="00B36E2D" w:rsidRPr="0087422E">
        <w:rPr>
          <w:lang w:val="en-GB"/>
        </w:rPr>
        <w:t>quality management systems in state and municipal institutions in 2007–2015</w:t>
      </w:r>
      <w:r w:rsidRPr="0087422E">
        <w:rPr>
          <w:lang w:val="en-GB"/>
        </w:rPr>
        <w:t>,</w:t>
      </w:r>
      <w:r w:rsidR="00B36E2D" w:rsidRPr="0087422E">
        <w:rPr>
          <w:lang w:val="en-GB"/>
        </w:rPr>
        <w:t xml:space="preserve"> which contributed to </w:t>
      </w:r>
      <w:r w:rsidRPr="0087422E">
        <w:rPr>
          <w:lang w:val="en-GB"/>
        </w:rPr>
        <w:t xml:space="preserve">a </w:t>
      </w:r>
      <w:r w:rsidR="00B36E2D" w:rsidRPr="0087422E">
        <w:rPr>
          <w:lang w:val="en-GB"/>
        </w:rPr>
        <w:t xml:space="preserve">more effective implementation of their functions. The quality of services provided for business </w:t>
      </w:r>
      <w:r w:rsidRPr="0087422E">
        <w:rPr>
          <w:lang w:val="en-GB"/>
        </w:rPr>
        <w:t>also</w:t>
      </w:r>
      <w:r w:rsidR="00B36E2D" w:rsidRPr="0087422E">
        <w:rPr>
          <w:lang w:val="en-GB"/>
        </w:rPr>
        <w:t xml:space="preserve"> improved. Procedures for regist</w:t>
      </w:r>
      <w:r w:rsidRPr="0087422E">
        <w:rPr>
          <w:lang w:val="en-GB"/>
        </w:rPr>
        <w:t>ering</w:t>
      </w:r>
      <w:r w:rsidR="00B36E2D" w:rsidRPr="0087422E">
        <w:rPr>
          <w:lang w:val="en-GB"/>
        </w:rPr>
        <w:t xml:space="preserve"> new enterprise</w:t>
      </w:r>
      <w:r w:rsidRPr="0087422E">
        <w:rPr>
          <w:lang w:val="en-GB"/>
        </w:rPr>
        <w:t>s</w:t>
      </w:r>
      <w:r w:rsidR="00B36E2D" w:rsidRPr="0087422E">
        <w:rPr>
          <w:lang w:val="en-GB"/>
        </w:rPr>
        <w:t xml:space="preserve"> speeded up when electronic services for </w:t>
      </w:r>
      <w:r w:rsidRPr="0087422E">
        <w:rPr>
          <w:lang w:val="en-GB"/>
        </w:rPr>
        <w:t xml:space="preserve">the </w:t>
      </w:r>
      <w:r w:rsidR="00B36E2D" w:rsidRPr="0087422E">
        <w:rPr>
          <w:lang w:val="en-GB"/>
        </w:rPr>
        <w:t>establishment of new enterprises and organi</w:t>
      </w:r>
      <w:r w:rsidRPr="0087422E">
        <w:rPr>
          <w:lang w:val="en-GB"/>
        </w:rPr>
        <w:t>s</w:t>
      </w:r>
      <w:r w:rsidR="00B36E2D" w:rsidRPr="0087422E">
        <w:rPr>
          <w:lang w:val="en-GB"/>
        </w:rPr>
        <w:t xml:space="preserve">ations were put into use </w:t>
      </w:r>
      <w:r w:rsidR="007836A7" w:rsidRPr="0087422E">
        <w:rPr>
          <w:lang w:val="en-GB"/>
        </w:rPr>
        <w:t xml:space="preserve">online </w:t>
      </w:r>
      <w:r w:rsidR="00B36E2D" w:rsidRPr="0087422E">
        <w:rPr>
          <w:lang w:val="en-GB"/>
        </w:rPr>
        <w:t>by the Centre of Register</w:t>
      </w:r>
      <w:r w:rsidRPr="0087422E">
        <w:rPr>
          <w:lang w:val="en-GB"/>
        </w:rPr>
        <w:t>s</w:t>
      </w:r>
      <w:r w:rsidR="00B36E2D" w:rsidRPr="0087422E">
        <w:rPr>
          <w:lang w:val="en-GB"/>
        </w:rPr>
        <w:t>.</w:t>
      </w:r>
    </w:p>
    <w:p w:rsidR="001560A7" w:rsidRPr="0087422E" w:rsidRDefault="001560A7" w:rsidP="00245D0B">
      <w:pPr>
        <w:spacing w:after="0" w:line="240" w:lineRule="auto"/>
        <w:jc w:val="both"/>
        <w:rPr>
          <w:lang w:val="en-GB"/>
        </w:rPr>
      </w:pPr>
    </w:p>
    <w:p w:rsidR="004722A7" w:rsidRPr="0087422E" w:rsidRDefault="004F1833" w:rsidP="004722A7">
      <w:pPr>
        <w:spacing w:after="0" w:line="240" w:lineRule="auto"/>
        <w:jc w:val="both"/>
        <w:rPr>
          <w:b/>
          <w:color w:val="1F4E79" w:themeColor="accent1" w:themeShade="80"/>
          <w:lang w:val="en-GB"/>
        </w:rPr>
      </w:pPr>
      <w:r w:rsidRPr="0087422E">
        <w:rPr>
          <w:b/>
          <w:color w:val="1F4E79" w:themeColor="accent1" w:themeShade="80"/>
          <w:lang w:val="en-GB"/>
        </w:rPr>
        <w:t xml:space="preserve">IMPACT OF </w:t>
      </w:r>
      <w:r w:rsidR="00AF2E9A">
        <w:rPr>
          <w:b/>
          <w:color w:val="1F4E79" w:themeColor="accent1" w:themeShade="80"/>
          <w:lang w:val="en-GB"/>
        </w:rPr>
        <w:t xml:space="preserve">THE </w:t>
      </w:r>
      <w:r w:rsidRPr="0087422E">
        <w:rPr>
          <w:b/>
          <w:color w:val="1F4E79" w:themeColor="accent1" w:themeShade="80"/>
          <w:lang w:val="en-GB"/>
        </w:rPr>
        <w:t>INVESTMENTS</w:t>
      </w:r>
    </w:p>
    <w:p w:rsidR="004722A7" w:rsidRPr="0087422E" w:rsidRDefault="004722A7" w:rsidP="004722A7">
      <w:pPr>
        <w:spacing w:after="0" w:line="240" w:lineRule="auto"/>
        <w:jc w:val="both"/>
        <w:rPr>
          <w:lang w:val="en-GB"/>
        </w:rPr>
      </w:pPr>
    </w:p>
    <w:p w:rsidR="005629E1" w:rsidRPr="0087422E" w:rsidRDefault="005629E1" w:rsidP="005629E1">
      <w:pPr>
        <w:spacing w:after="0" w:line="240" w:lineRule="auto"/>
        <w:jc w:val="both"/>
        <w:rPr>
          <w:lang w:val="en-GB"/>
        </w:rPr>
      </w:pPr>
      <w:r w:rsidRPr="0087422E">
        <w:rPr>
          <w:lang w:val="en-GB"/>
        </w:rPr>
        <w:t xml:space="preserve">EU investments had a positive impact on various areas of public administration. In case of </w:t>
      </w:r>
      <w:r w:rsidR="00C64C19" w:rsidRPr="0087422E">
        <w:rPr>
          <w:b/>
          <w:color w:val="336699"/>
          <w:lang w:val="en-GB"/>
        </w:rPr>
        <w:t>human resources</w:t>
      </w:r>
      <w:r w:rsidR="00C64C19" w:rsidRPr="0087422E">
        <w:rPr>
          <w:lang w:val="en-GB"/>
        </w:rPr>
        <w:t xml:space="preserve"> </w:t>
      </w:r>
      <w:r w:rsidR="00CF4339" w:rsidRPr="006D5CCB">
        <w:rPr>
          <w:b/>
          <w:color w:val="336699"/>
          <w:lang w:val="en-GB"/>
        </w:rPr>
        <w:t xml:space="preserve">of </w:t>
      </w:r>
      <w:r w:rsidRPr="0087422E">
        <w:rPr>
          <w:b/>
          <w:color w:val="336699"/>
          <w:lang w:val="en-GB"/>
        </w:rPr>
        <w:t xml:space="preserve">public </w:t>
      </w:r>
      <w:r w:rsidR="00C64C19" w:rsidRPr="0087422E">
        <w:rPr>
          <w:b/>
          <w:color w:val="336699"/>
          <w:lang w:val="en-GB"/>
        </w:rPr>
        <w:t>administration</w:t>
      </w:r>
      <w:r w:rsidRPr="0087422E">
        <w:rPr>
          <w:lang w:val="en-GB"/>
        </w:rPr>
        <w:t xml:space="preserve">, the </w:t>
      </w:r>
      <w:r w:rsidR="007836A7" w:rsidRPr="0087422E">
        <w:rPr>
          <w:lang w:val="en-GB"/>
        </w:rPr>
        <w:t>greatest</w:t>
      </w:r>
      <w:r w:rsidRPr="0087422E">
        <w:rPr>
          <w:lang w:val="en-GB"/>
        </w:rPr>
        <w:t xml:space="preserve"> impact of investments could be observed in </w:t>
      </w:r>
      <w:r w:rsidR="00C64C19" w:rsidRPr="0087422E">
        <w:rPr>
          <w:lang w:val="en-GB"/>
        </w:rPr>
        <w:t>civil service</w:t>
      </w:r>
      <w:r w:rsidRPr="0087422E">
        <w:rPr>
          <w:lang w:val="en-GB"/>
        </w:rPr>
        <w:t xml:space="preserve"> selection, personnel management </w:t>
      </w:r>
      <w:r w:rsidR="00C64C19" w:rsidRPr="0087422E">
        <w:rPr>
          <w:lang w:val="en-GB"/>
        </w:rPr>
        <w:t>and the</w:t>
      </w:r>
      <w:r w:rsidRPr="0087422E">
        <w:rPr>
          <w:lang w:val="en-GB"/>
        </w:rPr>
        <w:t xml:space="preserve"> use of information technolog</w:t>
      </w:r>
      <w:r w:rsidR="00C64C19" w:rsidRPr="0087422E">
        <w:rPr>
          <w:lang w:val="en-GB"/>
        </w:rPr>
        <w:t>y</w:t>
      </w:r>
      <w:r w:rsidRPr="0087422E">
        <w:rPr>
          <w:lang w:val="en-GB"/>
        </w:rPr>
        <w:t xml:space="preserve"> in civil service management, i.e. in the areas where systematic changes </w:t>
      </w:r>
      <w:r w:rsidR="00C64C19" w:rsidRPr="0087422E">
        <w:rPr>
          <w:lang w:val="en-GB"/>
        </w:rPr>
        <w:t>in</w:t>
      </w:r>
      <w:r w:rsidRPr="0087422E">
        <w:rPr>
          <w:lang w:val="en-GB"/>
        </w:rPr>
        <w:t xml:space="preserve"> human resources management </w:t>
      </w:r>
      <w:r w:rsidR="00C64C19" w:rsidRPr="0087422E">
        <w:rPr>
          <w:lang w:val="en-GB"/>
        </w:rPr>
        <w:t>were</w:t>
      </w:r>
      <w:r w:rsidRPr="0087422E">
        <w:rPr>
          <w:lang w:val="en-GB"/>
        </w:rPr>
        <w:t xml:space="preserve"> carried out. </w:t>
      </w:r>
      <w:r w:rsidR="00C64C19" w:rsidRPr="0087422E">
        <w:rPr>
          <w:lang w:val="en-GB"/>
        </w:rPr>
        <w:t xml:space="preserve">The impact of </w:t>
      </w:r>
      <w:r w:rsidRPr="0087422E">
        <w:rPr>
          <w:lang w:val="en-GB"/>
        </w:rPr>
        <w:t xml:space="preserve">EU investments on </w:t>
      </w:r>
      <w:r w:rsidR="00BA2771" w:rsidRPr="0087422E">
        <w:rPr>
          <w:b/>
          <w:color w:val="336699"/>
          <w:lang w:val="en-GB"/>
        </w:rPr>
        <w:t xml:space="preserve">performance </w:t>
      </w:r>
      <w:r w:rsidRPr="0087422E">
        <w:rPr>
          <w:b/>
          <w:color w:val="336699"/>
          <w:lang w:val="en-GB"/>
        </w:rPr>
        <w:t>management</w:t>
      </w:r>
      <w:r w:rsidRPr="0087422E">
        <w:rPr>
          <w:color w:val="336699"/>
          <w:lang w:val="en-GB"/>
        </w:rPr>
        <w:t xml:space="preserve"> </w:t>
      </w:r>
      <w:r w:rsidRPr="0087422E">
        <w:rPr>
          <w:lang w:val="en-GB"/>
        </w:rPr>
        <w:t>was also relatively high (system</w:t>
      </w:r>
      <w:r w:rsidR="00C64C19" w:rsidRPr="0087422E">
        <w:rPr>
          <w:lang w:val="en-GB"/>
        </w:rPr>
        <w:t>-</w:t>
      </w:r>
      <w:r w:rsidRPr="0087422E">
        <w:rPr>
          <w:lang w:val="en-GB"/>
        </w:rPr>
        <w:t>level projects related to</w:t>
      </w:r>
      <w:r w:rsidR="00C64C19" w:rsidRPr="0087422E">
        <w:rPr>
          <w:lang w:val="en-GB"/>
        </w:rPr>
        <w:t xml:space="preserve"> the</w:t>
      </w:r>
      <w:r w:rsidRPr="0087422E">
        <w:rPr>
          <w:lang w:val="en-GB"/>
        </w:rPr>
        <w:t xml:space="preserve"> implementation of reforms in strategic planning and accounting of </w:t>
      </w:r>
      <w:r w:rsidR="00C64C19" w:rsidRPr="0087422E">
        <w:rPr>
          <w:lang w:val="en-GB"/>
        </w:rPr>
        <w:t xml:space="preserve">the </w:t>
      </w:r>
      <w:r w:rsidRPr="0087422E">
        <w:rPr>
          <w:lang w:val="en-GB"/>
        </w:rPr>
        <w:t xml:space="preserve">public sector). In case of </w:t>
      </w:r>
      <w:r w:rsidRPr="0087422E">
        <w:rPr>
          <w:b/>
          <w:color w:val="336699"/>
          <w:lang w:val="en-GB"/>
        </w:rPr>
        <w:t>system</w:t>
      </w:r>
      <w:r w:rsidR="00C64C19" w:rsidRPr="0087422E">
        <w:rPr>
          <w:b/>
          <w:color w:val="336699"/>
          <w:lang w:val="en-GB"/>
        </w:rPr>
        <w:t>at</w:t>
      </w:r>
      <w:r w:rsidRPr="0087422E">
        <w:rPr>
          <w:b/>
          <w:color w:val="336699"/>
          <w:lang w:val="en-GB"/>
        </w:rPr>
        <w:t>ic public policy reforms</w:t>
      </w:r>
      <w:r w:rsidRPr="0087422E">
        <w:rPr>
          <w:lang w:val="en-GB"/>
        </w:rPr>
        <w:t>, the impact related to the introduction of regulation (for example, reducing administrative burden) should</w:t>
      </w:r>
      <w:r w:rsidR="007836A7" w:rsidRPr="0087422E">
        <w:rPr>
          <w:lang w:val="en-GB"/>
        </w:rPr>
        <w:t xml:space="preserve"> be distinguished as the greatest</w:t>
      </w:r>
      <w:r w:rsidRPr="0087422E">
        <w:rPr>
          <w:lang w:val="en-GB"/>
        </w:rPr>
        <w:t>.</w:t>
      </w:r>
    </w:p>
    <w:p w:rsidR="005629E1" w:rsidRPr="0087422E" w:rsidRDefault="005629E1" w:rsidP="005629E1">
      <w:pPr>
        <w:spacing w:after="0" w:line="240" w:lineRule="auto"/>
        <w:jc w:val="both"/>
        <w:rPr>
          <w:lang w:val="en-GB"/>
        </w:rPr>
      </w:pPr>
    </w:p>
    <w:p w:rsidR="005629E1" w:rsidRPr="0087422E" w:rsidRDefault="005629E1" w:rsidP="005629E1">
      <w:pPr>
        <w:spacing w:after="0" w:line="240" w:lineRule="auto"/>
        <w:jc w:val="both"/>
        <w:rPr>
          <w:lang w:val="en-GB"/>
        </w:rPr>
      </w:pPr>
      <w:r w:rsidRPr="0087422E">
        <w:rPr>
          <w:lang w:val="en-GB"/>
        </w:rPr>
        <w:t xml:space="preserve">EU investments aimed at administrative capacity </w:t>
      </w:r>
      <w:r w:rsidR="007836A7" w:rsidRPr="0087422E">
        <w:rPr>
          <w:lang w:val="en-GB"/>
        </w:rPr>
        <w:t xml:space="preserve">building and increasing </w:t>
      </w:r>
      <w:r w:rsidR="00C64C19" w:rsidRPr="0087422E">
        <w:rPr>
          <w:lang w:val="en-GB"/>
        </w:rPr>
        <w:t xml:space="preserve">the efficiency of </w:t>
      </w:r>
      <w:r w:rsidRPr="0087422E">
        <w:rPr>
          <w:lang w:val="en-GB"/>
        </w:rPr>
        <w:t>public administration co</w:t>
      </w:r>
      <w:r w:rsidR="007836A7" w:rsidRPr="0087422E">
        <w:rPr>
          <w:lang w:val="en-GB"/>
        </w:rPr>
        <w:t xml:space="preserve">ntributed to positive changes </w:t>
      </w:r>
      <w:r w:rsidR="00C64C19" w:rsidRPr="0087422E">
        <w:rPr>
          <w:lang w:val="en-GB"/>
        </w:rPr>
        <w:t>in</w:t>
      </w:r>
      <w:r w:rsidRPr="0087422E">
        <w:rPr>
          <w:lang w:val="en-GB"/>
        </w:rPr>
        <w:t xml:space="preserve"> </w:t>
      </w:r>
      <w:r w:rsidR="007836A7" w:rsidRPr="0087422E">
        <w:rPr>
          <w:lang w:val="en-GB"/>
        </w:rPr>
        <w:t xml:space="preserve">strategic </w:t>
      </w:r>
      <w:r w:rsidRPr="0087422E">
        <w:rPr>
          <w:lang w:val="en-GB"/>
        </w:rPr>
        <w:t>context indicators measuring the efficiency of public administration.</w:t>
      </w:r>
    </w:p>
    <w:p w:rsidR="007E7EF8" w:rsidRPr="0087422E" w:rsidRDefault="007E7EF8" w:rsidP="00857C57">
      <w:pPr>
        <w:spacing w:after="0" w:line="240" w:lineRule="auto"/>
        <w:jc w:val="both"/>
        <w:rPr>
          <w:lang w:val="en-GB"/>
        </w:rPr>
      </w:pPr>
    </w:p>
    <w:p w:rsidR="00AE3F25" w:rsidRPr="0087422E" w:rsidRDefault="00C64C19" w:rsidP="00AE3F25">
      <w:pPr>
        <w:pStyle w:val="Caption"/>
        <w:jc w:val="both"/>
        <w:rPr>
          <w:rFonts w:ascii="Cambria" w:hAnsi="Cambria"/>
          <w:color w:val="1F4E79" w:themeColor="accent1" w:themeShade="80"/>
          <w:sz w:val="20"/>
          <w:szCs w:val="20"/>
          <w:lang w:val="en-GB"/>
        </w:rPr>
      </w:pPr>
      <w:proofErr w:type="gramStart"/>
      <w:r w:rsidRPr="0087422E">
        <w:rPr>
          <w:rFonts w:ascii="Cambria" w:hAnsi="Cambria"/>
          <w:color w:val="1F4E79" w:themeColor="accent1" w:themeShade="80"/>
          <w:sz w:val="20"/>
          <w:szCs w:val="20"/>
          <w:lang w:val="en-GB"/>
        </w:rPr>
        <w:t>Figure </w:t>
      </w:r>
      <w:r w:rsidR="00CF4339" w:rsidRPr="0087422E">
        <w:rPr>
          <w:rFonts w:ascii="Cambria" w:hAnsi="Cambria"/>
          <w:color w:val="1F4E79" w:themeColor="accent1" w:themeShade="80"/>
          <w:sz w:val="20"/>
          <w:szCs w:val="20"/>
          <w:lang w:val="en-GB"/>
        </w:rPr>
        <w:fldChar w:fldCharType="begin"/>
      </w:r>
      <w:r w:rsidR="00AE3F25" w:rsidRPr="0087422E">
        <w:rPr>
          <w:rFonts w:ascii="Cambria" w:hAnsi="Cambria"/>
          <w:color w:val="1F4E79" w:themeColor="accent1" w:themeShade="80"/>
          <w:sz w:val="20"/>
          <w:szCs w:val="20"/>
          <w:lang w:val="en-GB"/>
        </w:rPr>
        <w:instrText xml:space="preserve"> SEQ Paveikslas \* ARABIC </w:instrText>
      </w:r>
      <w:r w:rsidR="00CF4339" w:rsidRPr="0087422E">
        <w:rPr>
          <w:rFonts w:ascii="Cambria" w:hAnsi="Cambria"/>
          <w:color w:val="1F4E79" w:themeColor="accent1" w:themeShade="80"/>
          <w:sz w:val="20"/>
          <w:szCs w:val="20"/>
          <w:lang w:val="en-GB"/>
        </w:rPr>
        <w:fldChar w:fldCharType="separate"/>
      </w:r>
      <w:r w:rsidR="00E60671" w:rsidRPr="0087422E">
        <w:rPr>
          <w:rFonts w:ascii="Cambria" w:hAnsi="Cambria"/>
          <w:color w:val="1F4E79" w:themeColor="accent1" w:themeShade="80"/>
          <w:sz w:val="20"/>
          <w:szCs w:val="20"/>
          <w:lang w:val="en-GB"/>
        </w:rPr>
        <w:t>11</w:t>
      </w:r>
      <w:r w:rsidR="00CF4339" w:rsidRPr="0087422E">
        <w:rPr>
          <w:rFonts w:ascii="Cambria" w:hAnsi="Cambria"/>
          <w:color w:val="1F4E79" w:themeColor="accent1" w:themeShade="80"/>
          <w:sz w:val="20"/>
          <w:szCs w:val="20"/>
          <w:lang w:val="en-GB"/>
        </w:rPr>
        <w:fldChar w:fldCharType="end"/>
      </w:r>
      <w:r w:rsidR="00AE3F25" w:rsidRPr="0087422E">
        <w:rPr>
          <w:rFonts w:ascii="Cambria" w:hAnsi="Cambria"/>
          <w:color w:val="1F4E79" w:themeColor="accent1" w:themeShade="80"/>
          <w:sz w:val="20"/>
          <w:szCs w:val="20"/>
          <w:lang w:val="en-GB"/>
        </w:rPr>
        <w:t>.</w:t>
      </w:r>
      <w:proofErr w:type="gramEnd"/>
      <w:r w:rsidR="00AE3F25" w:rsidRPr="0087422E">
        <w:rPr>
          <w:rFonts w:ascii="Cambria" w:hAnsi="Cambria"/>
          <w:color w:val="1F4E79" w:themeColor="accent1" w:themeShade="80"/>
          <w:sz w:val="20"/>
          <w:szCs w:val="20"/>
          <w:lang w:val="en-GB"/>
        </w:rPr>
        <w:t xml:space="preserve"> </w:t>
      </w:r>
      <w:r w:rsidR="005C5E5F" w:rsidRPr="0087422E">
        <w:rPr>
          <w:rFonts w:ascii="Cambria" w:hAnsi="Cambria"/>
          <w:color w:val="1F4E79" w:themeColor="accent1" w:themeShade="80"/>
          <w:sz w:val="20"/>
          <w:szCs w:val="20"/>
          <w:lang w:val="en-GB"/>
        </w:rPr>
        <w:t xml:space="preserve">Changes </w:t>
      </w:r>
      <w:r w:rsidRPr="0087422E">
        <w:rPr>
          <w:rFonts w:ascii="Cambria" w:hAnsi="Cambria"/>
          <w:color w:val="1F4E79" w:themeColor="accent1" w:themeShade="80"/>
          <w:sz w:val="20"/>
          <w:szCs w:val="20"/>
          <w:lang w:val="en-GB"/>
        </w:rPr>
        <w:t xml:space="preserve">in </w:t>
      </w:r>
      <w:r w:rsidR="005C5E5F" w:rsidRPr="0087422E">
        <w:rPr>
          <w:rFonts w:ascii="Cambria" w:hAnsi="Cambria"/>
          <w:color w:val="1F4E79" w:themeColor="accent1" w:themeShade="80"/>
          <w:sz w:val="20"/>
          <w:szCs w:val="20"/>
          <w:lang w:val="en-GB"/>
        </w:rPr>
        <w:t xml:space="preserve">strategic context indicators illustrating </w:t>
      </w:r>
      <w:r w:rsidR="007836A7" w:rsidRPr="0087422E">
        <w:rPr>
          <w:rFonts w:ascii="Cambria" w:hAnsi="Cambria"/>
          <w:color w:val="1F4E79" w:themeColor="accent1" w:themeShade="80"/>
          <w:sz w:val="20"/>
          <w:szCs w:val="20"/>
          <w:lang w:val="en-GB"/>
        </w:rPr>
        <w:t xml:space="preserve">the </w:t>
      </w:r>
      <w:r w:rsidR="005C5E5F" w:rsidRPr="0087422E">
        <w:rPr>
          <w:rFonts w:ascii="Cambria" w:hAnsi="Cambria"/>
          <w:color w:val="1F4E79" w:themeColor="accent1" w:themeShade="80"/>
          <w:sz w:val="20"/>
          <w:szCs w:val="20"/>
          <w:lang w:val="en-GB"/>
        </w:rPr>
        <w:t>situation in public administration</w:t>
      </w:r>
    </w:p>
    <w:p w:rsidR="007E7EF8" w:rsidRPr="0087422E" w:rsidRDefault="00AC6BD2" w:rsidP="00857C57">
      <w:pPr>
        <w:spacing w:after="0" w:line="240" w:lineRule="auto"/>
        <w:jc w:val="both"/>
        <w:rPr>
          <w:lang w:val="en-GB"/>
        </w:rPr>
      </w:pPr>
      <w:r w:rsidRPr="0087422E">
        <w:rPr>
          <w:noProof/>
          <w:lang w:eastAsia="lt-LT"/>
        </w:rPr>
        <w:drawing>
          <wp:inline distT="0" distB="0" distL="0" distR="0" wp14:anchorId="2E792410" wp14:editId="78693634">
            <wp:extent cx="5600700" cy="2252663"/>
            <wp:effectExtent l="0" t="0" r="19050" b="1460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7E53" w:rsidRPr="0087422E" w:rsidRDefault="00BF7E53" w:rsidP="00BF7E53">
      <w:pPr>
        <w:spacing w:after="0" w:line="240" w:lineRule="auto"/>
        <w:jc w:val="both"/>
        <w:rPr>
          <w:lang w:val="en-GB"/>
        </w:rPr>
      </w:pPr>
    </w:p>
    <w:p w:rsidR="007E7EF8" w:rsidRPr="0087422E" w:rsidRDefault="00BF7E53" w:rsidP="00857C57">
      <w:pPr>
        <w:spacing w:after="0" w:line="240" w:lineRule="auto"/>
        <w:jc w:val="both"/>
        <w:rPr>
          <w:lang w:val="en-GB"/>
        </w:rPr>
      </w:pPr>
      <w:r w:rsidRPr="0087422E">
        <w:rPr>
          <w:lang w:val="en-GB"/>
        </w:rPr>
        <w:t>In 2007–2015,</w:t>
      </w:r>
      <w:r w:rsidR="00C64C19" w:rsidRPr="0087422E">
        <w:rPr>
          <w:lang w:val="en-GB"/>
        </w:rPr>
        <w:t xml:space="preserve"> the</w:t>
      </w:r>
      <w:r w:rsidRPr="0087422E">
        <w:rPr>
          <w:lang w:val="en-GB"/>
        </w:rPr>
        <w:t xml:space="preserve"> perception of regulatory quality and </w:t>
      </w:r>
      <w:r w:rsidR="00BA2771" w:rsidRPr="0087422E">
        <w:rPr>
          <w:lang w:val="en-GB"/>
        </w:rPr>
        <w:t xml:space="preserve">the </w:t>
      </w:r>
      <w:r w:rsidRPr="0087422E">
        <w:rPr>
          <w:lang w:val="en-GB"/>
        </w:rPr>
        <w:t xml:space="preserve">effectiveness of governance in Lithuania had a positive trend. Public trust in state and municipal institutions increased in 2015 to 64% of </w:t>
      </w:r>
      <w:r w:rsidR="00C64C19" w:rsidRPr="0087422E">
        <w:rPr>
          <w:lang w:val="en-GB"/>
        </w:rPr>
        <w:t xml:space="preserve">the </w:t>
      </w:r>
      <w:r w:rsidRPr="0087422E">
        <w:rPr>
          <w:lang w:val="en-GB"/>
        </w:rPr>
        <w:t xml:space="preserve">population. EU investments aimed at improving the quality of public services, </w:t>
      </w:r>
      <w:r w:rsidR="00C64C19" w:rsidRPr="0087422E">
        <w:rPr>
          <w:lang w:val="en-GB"/>
        </w:rPr>
        <w:t xml:space="preserve">civil </w:t>
      </w:r>
      <w:r w:rsidRPr="0087422E">
        <w:rPr>
          <w:lang w:val="en-GB"/>
        </w:rPr>
        <w:t xml:space="preserve">service and </w:t>
      </w:r>
      <w:r w:rsidR="00C64C19" w:rsidRPr="0087422E">
        <w:rPr>
          <w:lang w:val="en-GB"/>
        </w:rPr>
        <w:t xml:space="preserve">better </w:t>
      </w:r>
      <w:r w:rsidRPr="0087422E">
        <w:rPr>
          <w:lang w:val="en-GB"/>
        </w:rPr>
        <w:t>regulation policy also contributed to positive changes.</w:t>
      </w:r>
    </w:p>
    <w:sectPr w:rsidR="007E7EF8" w:rsidRPr="0087422E" w:rsidSect="003C1B08">
      <w:pgSz w:w="11906" w:h="16838"/>
      <w:pgMar w:top="85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002"/>
    <w:multiLevelType w:val="hybridMultilevel"/>
    <w:tmpl w:val="7B225410"/>
    <w:lvl w:ilvl="0" w:tplc="5CBCF13E">
      <w:start w:val="1"/>
      <w:numFmt w:val="bullet"/>
      <w:lvlText w:val="•"/>
      <w:lvlJc w:val="left"/>
      <w:pPr>
        <w:tabs>
          <w:tab w:val="num" w:pos="720"/>
        </w:tabs>
        <w:ind w:left="720" w:hanging="360"/>
      </w:pPr>
      <w:rPr>
        <w:rFonts w:ascii="Arial" w:hAnsi="Arial" w:hint="default"/>
      </w:rPr>
    </w:lvl>
    <w:lvl w:ilvl="1" w:tplc="6082E294" w:tentative="1">
      <w:start w:val="1"/>
      <w:numFmt w:val="bullet"/>
      <w:lvlText w:val="•"/>
      <w:lvlJc w:val="left"/>
      <w:pPr>
        <w:tabs>
          <w:tab w:val="num" w:pos="1440"/>
        </w:tabs>
        <w:ind w:left="1440" w:hanging="360"/>
      </w:pPr>
      <w:rPr>
        <w:rFonts w:ascii="Arial" w:hAnsi="Arial" w:hint="default"/>
      </w:rPr>
    </w:lvl>
    <w:lvl w:ilvl="2" w:tplc="F6BE8372" w:tentative="1">
      <w:start w:val="1"/>
      <w:numFmt w:val="bullet"/>
      <w:lvlText w:val="•"/>
      <w:lvlJc w:val="left"/>
      <w:pPr>
        <w:tabs>
          <w:tab w:val="num" w:pos="2160"/>
        </w:tabs>
        <w:ind w:left="2160" w:hanging="360"/>
      </w:pPr>
      <w:rPr>
        <w:rFonts w:ascii="Arial" w:hAnsi="Arial" w:hint="default"/>
      </w:rPr>
    </w:lvl>
    <w:lvl w:ilvl="3" w:tplc="2D707C82" w:tentative="1">
      <w:start w:val="1"/>
      <w:numFmt w:val="bullet"/>
      <w:lvlText w:val="•"/>
      <w:lvlJc w:val="left"/>
      <w:pPr>
        <w:tabs>
          <w:tab w:val="num" w:pos="2880"/>
        </w:tabs>
        <w:ind w:left="2880" w:hanging="360"/>
      </w:pPr>
      <w:rPr>
        <w:rFonts w:ascii="Arial" w:hAnsi="Arial" w:hint="default"/>
      </w:rPr>
    </w:lvl>
    <w:lvl w:ilvl="4" w:tplc="F63A942C" w:tentative="1">
      <w:start w:val="1"/>
      <w:numFmt w:val="bullet"/>
      <w:lvlText w:val="•"/>
      <w:lvlJc w:val="left"/>
      <w:pPr>
        <w:tabs>
          <w:tab w:val="num" w:pos="3600"/>
        </w:tabs>
        <w:ind w:left="3600" w:hanging="360"/>
      </w:pPr>
      <w:rPr>
        <w:rFonts w:ascii="Arial" w:hAnsi="Arial" w:hint="default"/>
      </w:rPr>
    </w:lvl>
    <w:lvl w:ilvl="5" w:tplc="FE62A19C" w:tentative="1">
      <w:start w:val="1"/>
      <w:numFmt w:val="bullet"/>
      <w:lvlText w:val="•"/>
      <w:lvlJc w:val="left"/>
      <w:pPr>
        <w:tabs>
          <w:tab w:val="num" w:pos="4320"/>
        </w:tabs>
        <w:ind w:left="4320" w:hanging="360"/>
      </w:pPr>
      <w:rPr>
        <w:rFonts w:ascii="Arial" w:hAnsi="Arial" w:hint="default"/>
      </w:rPr>
    </w:lvl>
    <w:lvl w:ilvl="6" w:tplc="5DAE40A4" w:tentative="1">
      <w:start w:val="1"/>
      <w:numFmt w:val="bullet"/>
      <w:lvlText w:val="•"/>
      <w:lvlJc w:val="left"/>
      <w:pPr>
        <w:tabs>
          <w:tab w:val="num" w:pos="5040"/>
        </w:tabs>
        <w:ind w:left="5040" w:hanging="360"/>
      </w:pPr>
      <w:rPr>
        <w:rFonts w:ascii="Arial" w:hAnsi="Arial" w:hint="default"/>
      </w:rPr>
    </w:lvl>
    <w:lvl w:ilvl="7" w:tplc="6248C7B4" w:tentative="1">
      <w:start w:val="1"/>
      <w:numFmt w:val="bullet"/>
      <w:lvlText w:val="•"/>
      <w:lvlJc w:val="left"/>
      <w:pPr>
        <w:tabs>
          <w:tab w:val="num" w:pos="5760"/>
        </w:tabs>
        <w:ind w:left="5760" w:hanging="360"/>
      </w:pPr>
      <w:rPr>
        <w:rFonts w:ascii="Arial" w:hAnsi="Arial" w:hint="default"/>
      </w:rPr>
    </w:lvl>
    <w:lvl w:ilvl="8" w:tplc="E056CC58" w:tentative="1">
      <w:start w:val="1"/>
      <w:numFmt w:val="bullet"/>
      <w:lvlText w:val="•"/>
      <w:lvlJc w:val="left"/>
      <w:pPr>
        <w:tabs>
          <w:tab w:val="num" w:pos="6480"/>
        </w:tabs>
        <w:ind w:left="6480" w:hanging="360"/>
      </w:pPr>
      <w:rPr>
        <w:rFonts w:ascii="Arial" w:hAnsi="Arial" w:hint="default"/>
      </w:rPr>
    </w:lvl>
  </w:abstractNum>
  <w:abstractNum w:abstractNumId="1">
    <w:nsid w:val="02523C71"/>
    <w:multiLevelType w:val="hybridMultilevel"/>
    <w:tmpl w:val="1B92FA78"/>
    <w:lvl w:ilvl="0" w:tplc="7B26E472">
      <w:start w:val="1"/>
      <w:numFmt w:val="bullet"/>
      <w:lvlText w:val="•"/>
      <w:lvlJc w:val="left"/>
      <w:pPr>
        <w:tabs>
          <w:tab w:val="num" w:pos="720"/>
        </w:tabs>
        <w:ind w:left="720" w:hanging="360"/>
      </w:pPr>
      <w:rPr>
        <w:rFonts w:ascii="Arial" w:hAnsi="Arial" w:hint="default"/>
      </w:rPr>
    </w:lvl>
    <w:lvl w:ilvl="1" w:tplc="9E20B54C" w:tentative="1">
      <w:start w:val="1"/>
      <w:numFmt w:val="bullet"/>
      <w:lvlText w:val="•"/>
      <w:lvlJc w:val="left"/>
      <w:pPr>
        <w:tabs>
          <w:tab w:val="num" w:pos="1440"/>
        </w:tabs>
        <w:ind w:left="1440" w:hanging="360"/>
      </w:pPr>
      <w:rPr>
        <w:rFonts w:ascii="Arial" w:hAnsi="Arial" w:hint="default"/>
      </w:rPr>
    </w:lvl>
    <w:lvl w:ilvl="2" w:tplc="95382604" w:tentative="1">
      <w:start w:val="1"/>
      <w:numFmt w:val="bullet"/>
      <w:lvlText w:val="•"/>
      <w:lvlJc w:val="left"/>
      <w:pPr>
        <w:tabs>
          <w:tab w:val="num" w:pos="2160"/>
        </w:tabs>
        <w:ind w:left="2160" w:hanging="360"/>
      </w:pPr>
      <w:rPr>
        <w:rFonts w:ascii="Arial" w:hAnsi="Arial" w:hint="default"/>
      </w:rPr>
    </w:lvl>
    <w:lvl w:ilvl="3" w:tplc="B94AC9D8" w:tentative="1">
      <w:start w:val="1"/>
      <w:numFmt w:val="bullet"/>
      <w:lvlText w:val="•"/>
      <w:lvlJc w:val="left"/>
      <w:pPr>
        <w:tabs>
          <w:tab w:val="num" w:pos="2880"/>
        </w:tabs>
        <w:ind w:left="2880" w:hanging="360"/>
      </w:pPr>
      <w:rPr>
        <w:rFonts w:ascii="Arial" w:hAnsi="Arial" w:hint="default"/>
      </w:rPr>
    </w:lvl>
    <w:lvl w:ilvl="4" w:tplc="13642648" w:tentative="1">
      <w:start w:val="1"/>
      <w:numFmt w:val="bullet"/>
      <w:lvlText w:val="•"/>
      <w:lvlJc w:val="left"/>
      <w:pPr>
        <w:tabs>
          <w:tab w:val="num" w:pos="3600"/>
        </w:tabs>
        <w:ind w:left="3600" w:hanging="360"/>
      </w:pPr>
      <w:rPr>
        <w:rFonts w:ascii="Arial" w:hAnsi="Arial" w:hint="default"/>
      </w:rPr>
    </w:lvl>
    <w:lvl w:ilvl="5" w:tplc="F4E6B01C" w:tentative="1">
      <w:start w:val="1"/>
      <w:numFmt w:val="bullet"/>
      <w:lvlText w:val="•"/>
      <w:lvlJc w:val="left"/>
      <w:pPr>
        <w:tabs>
          <w:tab w:val="num" w:pos="4320"/>
        </w:tabs>
        <w:ind w:left="4320" w:hanging="360"/>
      </w:pPr>
      <w:rPr>
        <w:rFonts w:ascii="Arial" w:hAnsi="Arial" w:hint="default"/>
      </w:rPr>
    </w:lvl>
    <w:lvl w:ilvl="6" w:tplc="ABE86222" w:tentative="1">
      <w:start w:val="1"/>
      <w:numFmt w:val="bullet"/>
      <w:lvlText w:val="•"/>
      <w:lvlJc w:val="left"/>
      <w:pPr>
        <w:tabs>
          <w:tab w:val="num" w:pos="5040"/>
        </w:tabs>
        <w:ind w:left="5040" w:hanging="360"/>
      </w:pPr>
      <w:rPr>
        <w:rFonts w:ascii="Arial" w:hAnsi="Arial" w:hint="default"/>
      </w:rPr>
    </w:lvl>
    <w:lvl w:ilvl="7" w:tplc="443C1DF8" w:tentative="1">
      <w:start w:val="1"/>
      <w:numFmt w:val="bullet"/>
      <w:lvlText w:val="•"/>
      <w:lvlJc w:val="left"/>
      <w:pPr>
        <w:tabs>
          <w:tab w:val="num" w:pos="5760"/>
        </w:tabs>
        <w:ind w:left="5760" w:hanging="360"/>
      </w:pPr>
      <w:rPr>
        <w:rFonts w:ascii="Arial" w:hAnsi="Arial" w:hint="default"/>
      </w:rPr>
    </w:lvl>
    <w:lvl w:ilvl="8" w:tplc="F4F8594C" w:tentative="1">
      <w:start w:val="1"/>
      <w:numFmt w:val="bullet"/>
      <w:lvlText w:val="•"/>
      <w:lvlJc w:val="left"/>
      <w:pPr>
        <w:tabs>
          <w:tab w:val="num" w:pos="6480"/>
        </w:tabs>
        <w:ind w:left="6480" w:hanging="360"/>
      </w:pPr>
      <w:rPr>
        <w:rFonts w:ascii="Arial" w:hAnsi="Arial" w:hint="default"/>
      </w:rPr>
    </w:lvl>
  </w:abstractNum>
  <w:abstractNum w:abstractNumId="2">
    <w:nsid w:val="050E1DAA"/>
    <w:multiLevelType w:val="hybridMultilevel"/>
    <w:tmpl w:val="94F863BA"/>
    <w:lvl w:ilvl="0" w:tplc="74403D36">
      <w:start w:val="1"/>
      <w:numFmt w:val="bullet"/>
      <w:lvlText w:val="•"/>
      <w:lvlJc w:val="left"/>
      <w:pPr>
        <w:tabs>
          <w:tab w:val="num" w:pos="720"/>
        </w:tabs>
        <w:ind w:left="720" w:hanging="360"/>
      </w:pPr>
      <w:rPr>
        <w:rFonts w:ascii="Arial" w:hAnsi="Arial" w:hint="default"/>
      </w:rPr>
    </w:lvl>
    <w:lvl w:ilvl="1" w:tplc="B2F85E0A" w:tentative="1">
      <w:start w:val="1"/>
      <w:numFmt w:val="bullet"/>
      <w:lvlText w:val="•"/>
      <w:lvlJc w:val="left"/>
      <w:pPr>
        <w:tabs>
          <w:tab w:val="num" w:pos="1440"/>
        </w:tabs>
        <w:ind w:left="1440" w:hanging="360"/>
      </w:pPr>
      <w:rPr>
        <w:rFonts w:ascii="Arial" w:hAnsi="Arial" w:hint="default"/>
      </w:rPr>
    </w:lvl>
    <w:lvl w:ilvl="2" w:tplc="136A4AAE" w:tentative="1">
      <w:start w:val="1"/>
      <w:numFmt w:val="bullet"/>
      <w:lvlText w:val="•"/>
      <w:lvlJc w:val="left"/>
      <w:pPr>
        <w:tabs>
          <w:tab w:val="num" w:pos="2160"/>
        </w:tabs>
        <w:ind w:left="2160" w:hanging="360"/>
      </w:pPr>
      <w:rPr>
        <w:rFonts w:ascii="Arial" w:hAnsi="Arial" w:hint="default"/>
      </w:rPr>
    </w:lvl>
    <w:lvl w:ilvl="3" w:tplc="4880BBF2" w:tentative="1">
      <w:start w:val="1"/>
      <w:numFmt w:val="bullet"/>
      <w:lvlText w:val="•"/>
      <w:lvlJc w:val="left"/>
      <w:pPr>
        <w:tabs>
          <w:tab w:val="num" w:pos="2880"/>
        </w:tabs>
        <w:ind w:left="2880" w:hanging="360"/>
      </w:pPr>
      <w:rPr>
        <w:rFonts w:ascii="Arial" w:hAnsi="Arial" w:hint="default"/>
      </w:rPr>
    </w:lvl>
    <w:lvl w:ilvl="4" w:tplc="E4149470" w:tentative="1">
      <w:start w:val="1"/>
      <w:numFmt w:val="bullet"/>
      <w:lvlText w:val="•"/>
      <w:lvlJc w:val="left"/>
      <w:pPr>
        <w:tabs>
          <w:tab w:val="num" w:pos="3600"/>
        </w:tabs>
        <w:ind w:left="3600" w:hanging="360"/>
      </w:pPr>
      <w:rPr>
        <w:rFonts w:ascii="Arial" w:hAnsi="Arial" w:hint="default"/>
      </w:rPr>
    </w:lvl>
    <w:lvl w:ilvl="5" w:tplc="FAE0F25E" w:tentative="1">
      <w:start w:val="1"/>
      <w:numFmt w:val="bullet"/>
      <w:lvlText w:val="•"/>
      <w:lvlJc w:val="left"/>
      <w:pPr>
        <w:tabs>
          <w:tab w:val="num" w:pos="4320"/>
        </w:tabs>
        <w:ind w:left="4320" w:hanging="360"/>
      </w:pPr>
      <w:rPr>
        <w:rFonts w:ascii="Arial" w:hAnsi="Arial" w:hint="default"/>
      </w:rPr>
    </w:lvl>
    <w:lvl w:ilvl="6" w:tplc="A4EECABC" w:tentative="1">
      <w:start w:val="1"/>
      <w:numFmt w:val="bullet"/>
      <w:lvlText w:val="•"/>
      <w:lvlJc w:val="left"/>
      <w:pPr>
        <w:tabs>
          <w:tab w:val="num" w:pos="5040"/>
        </w:tabs>
        <w:ind w:left="5040" w:hanging="360"/>
      </w:pPr>
      <w:rPr>
        <w:rFonts w:ascii="Arial" w:hAnsi="Arial" w:hint="default"/>
      </w:rPr>
    </w:lvl>
    <w:lvl w:ilvl="7" w:tplc="110AEF0A" w:tentative="1">
      <w:start w:val="1"/>
      <w:numFmt w:val="bullet"/>
      <w:lvlText w:val="•"/>
      <w:lvlJc w:val="left"/>
      <w:pPr>
        <w:tabs>
          <w:tab w:val="num" w:pos="5760"/>
        </w:tabs>
        <w:ind w:left="5760" w:hanging="360"/>
      </w:pPr>
      <w:rPr>
        <w:rFonts w:ascii="Arial" w:hAnsi="Arial" w:hint="default"/>
      </w:rPr>
    </w:lvl>
    <w:lvl w:ilvl="8" w:tplc="D160E8A2" w:tentative="1">
      <w:start w:val="1"/>
      <w:numFmt w:val="bullet"/>
      <w:lvlText w:val="•"/>
      <w:lvlJc w:val="left"/>
      <w:pPr>
        <w:tabs>
          <w:tab w:val="num" w:pos="6480"/>
        </w:tabs>
        <w:ind w:left="6480" w:hanging="360"/>
      </w:pPr>
      <w:rPr>
        <w:rFonts w:ascii="Arial" w:hAnsi="Arial" w:hint="default"/>
      </w:rPr>
    </w:lvl>
  </w:abstractNum>
  <w:abstractNum w:abstractNumId="3">
    <w:nsid w:val="063E38F8"/>
    <w:multiLevelType w:val="hybridMultilevel"/>
    <w:tmpl w:val="5F98D270"/>
    <w:lvl w:ilvl="0" w:tplc="967EDD12">
      <w:start w:val="1"/>
      <w:numFmt w:val="bullet"/>
      <w:lvlText w:val="•"/>
      <w:lvlJc w:val="left"/>
      <w:pPr>
        <w:tabs>
          <w:tab w:val="num" w:pos="720"/>
        </w:tabs>
        <w:ind w:left="720" w:hanging="360"/>
      </w:pPr>
      <w:rPr>
        <w:rFonts w:ascii="Arial" w:hAnsi="Arial" w:hint="default"/>
      </w:rPr>
    </w:lvl>
    <w:lvl w:ilvl="1" w:tplc="75ACBDCC" w:tentative="1">
      <w:start w:val="1"/>
      <w:numFmt w:val="bullet"/>
      <w:lvlText w:val="•"/>
      <w:lvlJc w:val="left"/>
      <w:pPr>
        <w:tabs>
          <w:tab w:val="num" w:pos="1440"/>
        </w:tabs>
        <w:ind w:left="1440" w:hanging="360"/>
      </w:pPr>
      <w:rPr>
        <w:rFonts w:ascii="Arial" w:hAnsi="Arial" w:hint="default"/>
      </w:rPr>
    </w:lvl>
    <w:lvl w:ilvl="2" w:tplc="EA1E2546" w:tentative="1">
      <w:start w:val="1"/>
      <w:numFmt w:val="bullet"/>
      <w:lvlText w:val="•"/>
      <w:lvlJc w:val="left"/>
      <w:pPr>
        <w:tabs>
          <w:tab w:val="num" w:pos="2160"/>
        </w:tabs>
        <w:ind w:left="2160" w:hanging="360"/>
      </w:pPr>
      <w:rPr>
        <w:rFonts w:ascii="Arial" w:hAnsi="Arial" w:hint="default"/>
      </w:rPr>
    </w:lvl>
    <w:lvl w:ilvl="3" w:tplc="5E58E36C" w:tentative="1">
      <w:start w:val="1"/>
      <w:numFmt w:val="bullet"/>
      <w:lvlText w:val="•"/>
      <w:lvlJc w:val="left"/>
      <w:pPr>
        <w:tabs>
          <w:tab w:val="num" w:pos="2880"/>
        </w:tabs>
        <w:ind w:left="2880" w:hanging="360"/>
      </w:pPr>
      <w:rPr>
        <w:rFonts w:ascii="Arial" w:hAnsi="Arial" w:hint="default"/>
      </w:rPr>
    </w:lvl>
    <w:lvl w:ilvl="4" w:tplc="2B8AC4A0" w:tentative="1">
      <w:start w:val="1"/>
      <w:numFmt w:val="bullet"/>
      <w:lvlText w:val="•"/>
      <w:lvlJc w:val="left"/>
      <w:pPr>
        <w:tabs>
          <w:tab w:val="num" w:pos="3600"/>
        </w:tabs>
        <w:ind w:left="3600" w:hanging="360"/>
      </w:pPr>
      <w:rPr>
        <w:rFonts w:ascii="Arial" w:hAnsi="Arial" w:hint="default"/>
      </w:rPr>
    </w:lvl>
    <w:lvl w:ilvl="5" w:tplc="D76AA224" w:tentative="1">
      <w:start w:val="1"/>
      <w:numFmt w:val="bullet"/>
      <w:lvlText w:val="•"/>
      <w:lvlJc w:val="left"/>
      <w:pPr>
        <w:tabs>
          <w:tab w:val="num" w:pos="4320"/>
        </w:tabs>
        <w:ind w:left="4320" w:hanging="360"/>
      </w:pPr>
      <w:rPr>
        <w:rFonts w:ascii="Arial" w:hAnsi="Arial" w:hint="default"/>
      </w:rPr>
    </w:lvl>
    <w:lvl w:ilvl="6" w:tplc="A9128C16" w:tentative="1">
      <w:start w:val="1"/>
      <w:numFmt w:val="bullet"/>
      <w:lvlText w:val="•"/>
      <w:lvlJc w:val="left"/>
      <w:pPr>
        <w:tabs>
          <w:tab w:val="num" w:pos="5040"/>
        </w:tabs>
        <w:ind w:left="5040" w:hanging="360"/>
      </w:pPr>
      <w:rPr>
        <w:rFonts w:ascii="Arial" w:hAnsi="Arial" w:hint="default"/>
      </w:rPr>
    </w:lvl>
    <w:lvl w:ilvl="7" w:tplc="C946144C" w:tentative="1">
      <w:start w:val="1"/>
      <w:numFmt w:val="bullet"/>
      <w:lvlText w:val="•"/>
      <w:lvlJc w:val="left"/>
      <w:pPr>
        <w:tabs>
          <w:tab w:val="num" w:pos="5760"/>
        </w:tabs>
        <w:ind w:left="5760" w:hanging="360"/>
      </w:pPr>
      <w:rPr>
        <w:rFonts w:ascii="Arial" w:hAnsi="Arial" w:hint="default"/>
      </w:rPr>
    </w:lvl>
    <w:lvl w:ilvl="8" w:tplc="0D2E0412" w:tentative="1">
      <w:start w:val="1"/>
      <w:numFmt w:val="bullet"/>
      <w:lvlText w:val="•"/>
      <w:lvlJc w:val="left"/>
      <w:pPr>
        <w:tabs>
          <w:tab w:val="num" w:pos="6480"/>
        </w:tabs>
        <w:ind w:left="6480" w:hanging="360"/>
      </w:pPr>
      <w:rPr>
        <w:rFonts w:ascii="Arial" w:hAnsi="Arial" w:hint="default"/>
      </w:rPr>
    </w:lvl>
  </w:abstractNum>
  <w:abstractNum w:abstractNumId="4">
    <w:nsid w:val="0963450C"/>
    <w:multiLevelType w:val="hybridMultilevel"/>
    <w:tmpl w:val="48FE8C4A"/>
    <w:lvl w:ilvl="0" w:tplc="8D78C23E">
      <w:start w:val="1"/>
      <w:numFmt w:val="bullet"/>
      <w:lvlText w:val="•"/>
      <w:lvlJc w:val="left"/>
      <w:pPr>
        <w:tabs>
          <w:tab w:val="num" w:pos="720"/>
        </w:tabs>
        <w:ind w:left="720" w:hanging="360"/>
      </w:pPr>
      <w:rPr>
        <w:rFonts w:ascii="Arial" w:hAnsi="Arial" w:hint="default"/>
      </w:rPr>
    </w:lvl>
    <w:lvl w:ilvl="1" w:tplc="78909460" w:tentative="1">
      <w:start w:val="1"/>
      <w:numFmt w:val="bullet"/>
      <w:lvlText w:val="•"/>
      <w:lvlJc w:val="left"/>
      <w:pPr>
        <w:tabs>
          <w:tab w:val="num" w:pos="1440"/>
        </w:tabs>
        <w:ind w:left="1440" w:hanging="360"/>
      </w:pPr>
      <w:rPr>
        <w:rFonts w:ascii="Arial" w:hAnsi="Arial" w:hint="default"/>
      </w:rPr>
    </w:lvl>
    <w:lvl w:ilvl="2" w:tplc="A56CBF48" w:tentative="1">
      <w:start w:val="1"/>
      <w:numFmt w:val="bullet"/>
      <w:lvlText w:val="•"/>
      <w:lvlJc w:val="left"/>
      <w:pPr>
        <w:tabs>
          <w:tab w:val="num" w:pos="2160"/>
        </w:tabs>
        <w:ind w:left="2160" w:hanging="360"/>
      </w:pPr>
      <w:rPr>
        <w:rFonts w:ascii="Arial" w:hAnsi="Arial" w:hint="default"/>
      </w:rPr>
    </w:lvl>
    <w:lvl w:ilvl="3" w:tplc="CAA0D4C4" w:tentative="1">
      <w:start w:val="1"/>
      <w:numFmt w:val="bullet"/>
      <w:lvlText w:val="•"/>
      <w:lvlJc w:val="left"/>
      <w:pPr>
        <w:tabs>
          <w:tab w:val="num" w:pos="2880"/>
        </w:tabs>
        <w:ind w:left="2880" w:hanging="360"/>
      </w:pPr>
      <w:rPr>
        <w:rFonts w:ascii="Arial" w:hAnsi="Arial" w:hint="default"/>
      </w:rPr>
    </w:lvl>
    <w:lvl w:ilvl="4" w:tplc="0A3AA782" w:tentative="1">
      <w:start w:val="1"/>
      <w:numFmt w:val="bullet"/>
      <w:lvlText w:val="•"/>
      <w:lvlJc w:val="left"/>
      <w:pPr>
        <w:tabs>
          <w:tab w:val="num" w:pos="3600"/>
        </w:tabs>
        <w:ind w:left="3600" w:hanging="360"/>
      </w:pPr>
      <w:rPr>
        <w:rFonts w:ascii="Arial" w:hAnsi="Arial" w:hint="default"/>
      </w:rPr>
    </w:lvl>
    <w:lvl w:ilvl="5" w:tplc="B4187D84" w:tentative="1">
      <w:start w:val="1"/>
      <w:numFmt w:val="bullet"/>
      <w:lvlText w:val="•"/>
      <w:lvlJc w:val="left"/>
      <w:pPr>
        <w:tabs>
          <w:tab w:val="num" w:pos="4320"/>
        </w:tabs>
        <w:ind w:left="4320" w:hanging="360"/>
      </w:pPr>
      <w:rPr>
        <w:rFonts w:ascii="Arial" w:hAnsi="Arial" w:hint="default"/>
      </w:rPr>
    </w:lvl>
    <w:lvl w:ilvl="6" w:tplc="952A1250" w:tentative="1">
      <w:start w:val="1"/>
      <w:numFmt w:val="bullet"/>
      <w:lvlText w:val="•"/>
      <w:lvlJc w:val="left"/>
      <w:pPr>
        <w:tabs>
          <w:tab w:val="num" w:pos="5040"/>
        </w:tabs>
        <w:ind w:left="5040" w:hanging="360"/>
      </w:pPr>
      <w:rPr>
        <w:rFonts w:ascii="Arial" w:hAnsi="Arial" w:hint="default"/>
      </w:rPr>
    </w:lvl>
    <w:lvl w:ilvl="7" w:tplc="E50ED2D8" w:tentative="1">
      <w:start w:val="1"/>
      <w:numFmt w:val="bullet"/>
      <w:lvlText w:val="•"/>
      <w:lvlJc w:val="left"/>
      <w:pPr>
        <w:tabs>
          <w:tab w:val="num" w:pos="5760"/>
        </w:tabs>
        <w:ind w:left="5760" w:hanging="360"/>
      </w:pPr>
      <w:rPr>
        <w:rFonts w:ascii="Arial" w:hAnsi="Arial" w:hint="default"/>
      </w:rPr>
    </w:lvl>
    <w:lvl w:ilvl="8" w:tplc="6A4A20A2" w:tentative="1">
      <w:start w:val="1"/>
      <w:numFmt w:val="bullet"/>
      <w:lvlText w:val="•"/>
      <w:lvlJc w:val="left"/>
      <w:pPr>
        <w:tabs>
          <w:tab w:val="num" w:pos="6480"/>
        </w:tabs>
        <w:ind w:left="6480" w:hanging="360"/>
      </w:pPr>
      <w:rPr>
        <w:rFonts w:ascii="Arial" w:hAnsi="Arial" w:hint="default"/>
      </w:rPr>
    </w:lvl>
  </w:abstractNum>
  <w:abstractNum w:abstractNumId="5">
    <w:nsid w:val="148E3C55"/>
    <w:multiLevelType w:val="hybridMultilevel"/>
    <w:tmpl w:val="A0962236"/>
    <w:lvl w:ilvl="0" w:tplc="C640FADC">
      <w:start w:val="1"/>
      <w:numFmt w:val="bullet"/>
      <w:lvlText w:val="•"/>
      <w:lvlJc w:val="left"/>
      <w:pPr>
        <w:tabs>
          <w:tab w:val="num" w:pos="720"/>
        </w:tabs>
        <w:ind w:left="720" w:hanging="360"/>
      </w:pPr>
      <w:rPr>
        <w:rFonts w:ascii="Arial" w:hAnsi="Arial" w:hint="default"/>
      </w:rPr>
    </w:lvl>
    <w:lvl w:ilvl="1" w:tplc="72AC903A" w:tentative="1">
      <w:start w:val="1"/>
      <w:numFmt w:val="bullet"/>
      <w:lvlText w:val="•"/>
      <w:lvlJc w:val="left"/>
      <w:pPr>
        <w:tabs>
          <w:tab w:val="num" w:pos="1440"/>
        </w:tabs>
        <w:ind w:left="1440" w:hanging="360"/>
      </w:pPr>
      <w:rPr>
        <w:rFonts w:ascii="Arial" w:hAnsi="Arial" w:hint="default"/>
      </w:rPr>
    </w:lvl>
    <w:lvl w:ilvl="2" w:tplc="7FAC79DE" w:tentative="1">
      <w:start w:val="1"/>
      <w:numFmt w:val="bullet"/>
      <w:lvlText w:val="•"/>
      <w:lvlJc w:val="left"/>
      <w:pPr>
        <w:tabs>
          <w:tab w:val="num" w:pos="2160"/>
        </w:tabs>
        <w:ind w:left="2160" w:hanging="360"/>
      </w:pPr>
      <w:rPr>
        <w:rFonts w:ascii="Arial" w:hAnsi="Arial" w:hint="default"/>
      </w:rPr>
    </w:lvl>
    <w:lvl w:ilvl="3" w:tplc="A7028F18" w:tentative="1">
      <w:start w:val="1"/>
      <w:numFmt w:val="bullet"/>
      <w:lvlText w:val="•"/>
      <w:lvlJc w:val="left"/>
      <w:pPr>
        <w:tabs>
          <w:tab w:val="num" w:pos="2880"/>
        </w:tabs>
        <w:ind w:left="2880" w:hanging="360"/>
      </w:pPr>
      <w:rPr>
        <w:rFonts w:ascii="Arial" w:hAnsi="Arial" w:hint="default"/>
      </w:rPr>
    </w:lvl>
    <w:lvl w:ilvl="4" w:tplc="EEB06900" w:tentative="1">
      <w:start w:val="1"/>
      <w:numFmt w:val="bullet"/>
      <w:lvlText w:val="•"/>
      <w:lvlJc w:val="left"/>
      <w:pPr>
        <w:tabs>
          <w:tab w:val="num" w:pos="3600"/>
        </w:tabs>
        <w:ind w:left="3600" w:hanging="360"/>
      </w:pPr>
      <w:rPr>
        <w:rFonts w:ascii="Arial" w:hAnsi="Arial" w:hint="default"/>
      </w:rPr>
    </w:lvl>
    <w:lvl w:ilvl="5" w:tplc="A83C9C88" w:tentative="1">
      <w:start w:val="1"/>
      <w:numFmt w:val="bullet"/>
      <w:lvlText w:val="•"/>
      <w:lvlJc w:val="left"/>
      <w:pPr>
        <w:tabs>
          <w:tab w:val="num" w:pos="4320"/>
        </w:tabs>
        <w:ind w:left="4320" w:hanging="360"/>
      </w:pPr>
      <w:rPr>
        <w:rFonts w:ascii="Arial" w:hAnsi="Arial" w:hint="default"/>
      </w:rPr>
    </w:lvl>
    <w:lvl w:ilvl="6" w:tplc="9E965806" w:tentative="1">
      <w:start w:val="1"/>
      <w:numFmt w:val="bullet"/>
      <w:lvlText w:val="•"/>
      <w:lvlJc w:val="left"/>
      <w:pPr>
        <w:tabs>
          <w:tab w:val="num" w:pos="5040"/>
        </w:tabs>
        <w:ind w:left="5040" w:hanging="360"/>
      </w:pPr>
      <w:rPr>
        <w:rFonts w:ascii="Arial" w:hAnsi="Arial" w:hint="default"/>
      </w:rPr>
    </w:lvl>
    <w:lvl w:ilvl="7" w:tplc="4CDC1712" w:tentative="1">
      <w:start w:val="1"/>
      <w:numFmt w:val="bullet"/>
      <w:lvlText w:val="•"/>
      <w:lvlJc w:val="left"/>
      <w:pPr>
        <w:tabs>
          <w:tab w:val="num" w:pos="5760"/>
        </w:tabs>
        <w:ind w:left="5760" w:hanging="360"/>
      </w:pPr>
      <w:rPr>
        <w:rFonts w:ascii="Arial" w:hAnsi="Arial" w:hint="default"/>
      </w:rPr>
    </w:lvl>
    <w:lvl w:ilvl="8" w:tplc="54A2548E" w:tentative="1">
      <w:start w:val="1"/>
      <w:numFmt w:val="bullet"/>
      <w:lvlText w:val="•"/>
      <w:lvlJc w:val="left"/>
      <w:pPr>
        <w:tabs>
          <w:tab w:val="num" w:pos="6480"/>
        </w:tabs>
        <w:ind w:left="6480" w:hanging="360"/>
      </w:pPr>
      <w:rPr>
        <w:rFonts w:ascii="Arial" w:hAnsi="Arial" w:hint="default"/>
      </w:rPr>
    </w:lvl>
  </w:abstractNum>
  <w:abstractNum w:abstractNumId="6">
    <w:nsid w:val="1BB52471"/>
    <w:multiLevelType w:val="hybridMultilevel"/>
    <w:tmpl w:val="76A0637E"/>
    <w:lvl w:ilvl="0" w:tplc="6B10D338">
      <w:start w:val="1"/>
      <w:numFmt w:val="bullet"/>
      <w:lvlText w:val="•"/>
      <w:lvlJc w:val="left"/>
      <w:pPr>
        <w:tabs>
          <w:tab w:val="num" w:pos="720"/>
        </w:tabs>
        <w:ind w:left="720" w:hanging="360"/>
      </w:pPr>
      <w:rPr>
        <w:rFonts w:ascii="Arial" w:hAnsi="Arial" w:hint="default"/>
      </w:rPr>
    </w:lvl>
    <w:lvl w:ilvl="1" w:tplc="984280DC" w:tentative="1">
      <w:start w:val="1"/>
      <w:numFmt w:val="bullet"/>
      <w:lvlText w:val="•"/>
      <w:lvlJc w:val="left"/>
      <w:pPr>
        <w:tabs>
          <w:tab w:val="num" w:pos="1440"/>
        </w:tabs>
        <w:ind w:left="1440" w:hanging="360"/>
      </w:pPr>
      <w:rPr>
        <w:rFonts w:ascii="Arial" w:hAnsi="Arial" w:hint="default"/>
      </w:rPr>
    </w:lvl>
    <w:lvl w:ilvl="2" w:tplc="11CAE0C2" w:tentative="1">
      <w:start w:val="1"/>
      <w:numFmt w:val="bullet"/>
      <w:lvlText w:val="•"/>
      <w:lvlJc w:val="left"/>
      <w:pPr>
        <w:tabs>
          <w:tab w:val="num" w:pos="2160"/>
        </w:tabs>
        <w:ind w:left="2160" w:hanging="360"/>
      </w:pPr>
      <w:rPr>
        <w:rFonts w:ascii="Arial" w:hAnsi="Arial" w:hint="default"/>
      </w:rPr>
    </w:lvl>
    <w:lvl w:ilvl="3" w:tplc="FFC60612" w:tentative="1">
      <w:start w:val="1"/>
      <w:numFmt w:val="bullet"/>
      <w:lvlText w:val="•"/>
      <w:lvlJc w:val="left"/>
      <w:pPr>
        <w:tabs>
          <w:tab w:val="num" w:pos="2880"/>
        </w:tabs>
        <w:ind w:left="2880" w:hanging="360"/>
      </w:pPr>
      <w:rPr>
        <w:rFonts w:ascii="Arial" w:hAnsi="Arial" w:hint="default"/>
      </w:rPr>
    </w:lvl>
    <w:lvl w:ilvl="4" w:tplc="33885418" w:tentative="1">
      <w:start w:val="1"/>
      <w:numFmt w:val="bullet"/>
      <w:lvlText w:val="•"/>
      <w:lvlJc w:val="left"/>
      <w:pPr>
        <w:tabs>
          <w:tab w:val="num" w:pos="3600"/>
        </w:tabs>
        <w:ind w:left="3600" w:hanging="360"/>
      </w:pPr>
      <w:rPr>
        <w:rFonts w:ascii="Arial" w:hAnsi="Arial" w:hint="default"/>
      </w:rPr>
    </w:lvl>
    <w:lvl w:ilvl="5" w:tplc="AD16B6C8" w:tentative="1">
      <w:start w:val="1"/>
      <w:numFmt w:val="bullet"/>
      <w:lvlText w:val="•"/>
      <w:lvlJc w:val="left"/>
      <w:pPr>
        <w:tabs>
          <w:tab w:val="num" w:pos="4320"/>
        </w:tabs>
        <w:ind w:left="4320" w:hanging="360"/>
      </w:pPr>
      <w:rPr>
        <w:rFonts w:ascii="Arial" w:hAnsi="Arial" w:hint="default"/>
      </w:rPr>
    </w:lvl>
    <w:lvl w:ilvl="6" w:tplc="AE988A14" w:tentative="1">
      <w:start w:val="1"/>
      <w:numFmt w:val="bullet"/>
      <w:lvlText w:val="•"/>
      <w:lvlJc w:val="left"/>
      <w:pPr>
        <w:tabs>
          <w:tab w:val="num" w:pos="5040"/>
        </w:tabs>
        <w:ind w:left="5040" w:hanging="360"/>
      </w:pPr>
      <w:rPr>
        <w:rFonts w:ascii="Arial" w:hAnsi="Arial" w:hint="default"/>
      </w:rPr>
    </w:lvl>
    <w:lvl w:ilvl="7" w:tplc="88FCB3A0" w:tentative="1">
      <w:start w:val="1"/>
      <w:numFmt w:val="bullet"/>
      <w:lvlText w:val="•"/>
      <w:lvlJc w:val="left"/>
      <w:pPr>
        <w:tabs>
          <w:tab w:val="num" w:pos="5760"/>
        </w:tabs>
        <w:ind w:left="5760" w:hanging="360"/>
      </w:pPr>
      <w:rPr>
        <w:rFonts w:ascii="Arial" w:hAnsi="Arial" w:hint="default"/>
      </w:rPr>
    </w:lvl>
    <w:lvl w:ilvl="8" w:tplc="9E98A9CA" w:tentative="1">
      <w:start w:val="1"/>
      <w:numFmt w:val="bullet"/>
      <w:lvlText w:val="•"/>
      <w:lvlJc w:val="left"/>
      <w:pPr>
        <w:tabs>
          <w:tab w:val="num" w:pos="6480"/>
        </w:tabs>
        <w:ind w:left="6480" w:hanging="360"/>
      </w:pPr>
      <w:rPr>
        <w:rFonts w:ascii="Arial" w:hAnsi="Arial" w:hint="default"/>
      </w:rPr>
    </w:lvl>
  </w:abstractNum>
  <w:abstractNum w:abstractNumId="7">
    <w:nsid w:val="1DFD36C4"/>
    <w:multiLevelType w:val="hybridMultilevel"/>
    <w:tmpl w:val="7E24CA3A"/>
    <w:lvl w:ilvl="0" w:tplc="8EEC8E62">
      <w:start w:val="1"/>
      <w:numFmt w:val="bullet"/>
      <w:lvlText w:val="•"/>
      <w:lvlJc w:val="left"/>
      <w:pPr>
        <w:tabs>
          <w:tab w:val="num" w:pos="720"/>
        </w:tabs>
        <w:ind w:left="720" w:hanging="360"/>
      </w:pPr>
      <w:rPr>
        <w:rFonts w:ascii="Arial" w:hAnsi="Arial" w:hint="default"/>
      </w:rPr>
    </w:lvl>
    <w:lvl w:ilvl="1" w:tplc="DEA4E8B0" w:tentative="1">
      <w:start w:val="1"/>
      <w:numFmt w:val="bullet"/>
      <w:lvlText w:val="•"/>
      <w:lvlJc w:val="left"/>
      <w:pPr>
        <w:tabs>
          <w:tab w:val="num" w:pos="1440"/>
        </w:tabs>
        <w:ind w:left="1440" w:hanging="360"/>
      </w:pPr>
      <w:rPr>
        <w:rFonts w:ascii="Arial" w:hAnsi="Arial" w:hint="default"/>
      </w:rPr>
    </w:lvl>
    <w:lvl w:ilvl="2" w:tplc="3EC6B466" w:tentative="1">
      <w:start w:val="1"/>
      <w:numFmt w:val="bullet"/>
      <w:lvlText w:val="•"/>
      <w:lvlJc w:val="left"/>
      <w:pPr>
        <w:tabs>
          <w:tab w:val="num" w:pos="2160"/>
        </w:tabs>
        <w:ind w:left="2160" w:hanging="360"/>
      </w:pPr>
      <w:rPr>
        <w:rFonts w:ascii="Arial" w:hAnsi="Arial" w:hint="default"/>
      </w:rPr>
    </w:lvl>
    <w:lvl w:ilvl="3" w:tplc="5F860452" w:tentative="1">
      <w:start w:val="1"/>
      <w:numFmt w:val="bullet"/>
      <w:lvlText w:val="•"/>
      <w:lvlJc w:val="left"/>
      <w:pPr>
        <w:tabs>
          <w:tab w:val="num" w:pos="2880"/>
        </w:tabs>
        <w:ind w:left="2880" w:hanging="360"/>
      </w:pPr>
      <w:rPr>
        <w:rFonts w:ascii="Arial" w:hAnsi="Arial" w:hint="default"/>
      </w:rPr>
    </w:lvl>
    <w:lvl w:ilvl="4" w:tplc="11EC0E9E" w:tentative="1">
      <w:start w:val="1"/>
      <w:numFmt w:val="bullet"/>
      <w:lvlText w:val="•"/>
      <w:lvlJc w:val="left"/>
      <w:pPr>
        <w:tabs>
          <w:tab w:val="num" w:pos="3600"/>
        </w:tabs>
        <w:ind w:left="3600" w:hanging="360"/>
      </w:pPr>
      <w:rPr>
        <w:rFonts w:ascii="Arial" w:hAnsi="Arial" w:hint="default"/>
      </w:rPr>
    </w:lvl>
    <w:lvl w:ilvl="5" w:tplc="4724AECE" w:tentative="1">
      <w:start w:val="1"/>
      <w:numFmt w:val="bullet"/>
      <w:lvlText w:val="•"/>
      <w:lvlJc w:val="left"/>
      <w:pPr>
        <w:tabs>
          <w:tab w:val="num" w:pos="4320"/>
        </w:tabs>
        <w:ind w:left="4320" w:hanging="360"/>
      </w:pPr>
      <w:rPr>
        <w:rFonts w:ascii="Arial" w:hAnsi="Arial" w:hint="default"/>
      </w:rPr>
    </w:lvl>
    <w:lvl w:ilvl="6" w:tplc="922620D4" w:tentative="1">
      <w:start w:val="1"/>
      <w:numFmt w:val="bullet"/>
      <w:lvlText w:val="•"/>
      <w:lvlJc w:val="left"/>
      <w:pPr>
        <w:tabs>
          <w:tab w:val="num" w:pos="5040"/>
        </w:tabs>
        <w:ind w:left="5040" w:hanging="360"/>
      </w:pPr>
      <w:rPr>
        <w:rFonts w:ascii="Arial" w:hAnsi="Arial" w:hint="default"/>
      </w:rPr>
    </w:lvl>
    <w:lvl w:ilvl="7" w:tplc="AD24CAD2" w:tentative="1">
      <w:start w:val="1"/>
      <w:numFmt w:val="bullet"/>
      <w:lvlText w:val="•"/>
      <w:lvlJc w:val="left"/>
      <w:pPr>
        <w:tabs>
          <w:tab w:val="num" w:pos="5760"/>
        </w:tabs>
        <w:ind w:left="5760" w:hanging="360"/>
      </w:pPr>
      <w:rPr>
        <w:rFonts w:ascii="Arial" w:hAnsi="Arial" w:hint="default"/>
      </w:rPr>
    </w:lvl>
    <w:lvl w:ilvl="8" w:tplc="9050F22C" w:tentative="1">
      <w:start w:val="1"/>
      <w:numFmt w:val="bullet"/>
      <w:lvlText w:val="•"/>
      <w:lvlJc w:val="left"/>
      <w:pPr>
        <w:tabs>
          <w:tab w:val="num" w:pos="6480"/>
        </w:tabs>
        <w:ind w:left="6480" w:hanging="360"/>
      </w:pPr>
      <w:rPr>
        <w:rFonts w:ascii="Arial" w:hAnsi="Arial" w:hint="default"/>
      </w:rPr>
    </w:lvl>
  </w:abstractNum>
  <w:abstractNum w:abstractNumId="8">
    <w:nsid w:val="21A864FD"/>
    <w:multiLevelType w:val="hybridMultilevel"/>
    <w:tmpl w:val="1F042DB6"/>
    <w:lvl w:ilvl="0" w:tplc="0E820DF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82F5018"/>
    <w:multiLevelType w:val="hybridMultilevel"/>
    <w:tmpl w:val="DD9076F0"/>
    <w:lvl w:ilvl="0" w:tplc="79B821A0">
      <w:start w:val="1"/>
      <w:numFmt w:val="bullet"/>
      <w:lvlText w:val="•"/>
      <w:lvlJc w:val="left"/>
      <w:pPr>
        <w:tabs>
          <w:tab w:val="num" w:pos="720"/>
        </w:tabs>
        <w:ind w:left="720" w:hanging="360"/>
      </w:pPr>
      <w:rPr>
        <w:rFonts w:ascii="Arial" w:hAnsi="Arial" w:hint="default"/>
      </w:rPr>
    </w:lvl>
    <w:lvl w:ilvl="1" w:tplc="3AC8771E" w:tentative="1">
      <w:start w:val="1"/>
      <w:numFmt w:val="bullet"/>
      <w:lvlText w:val="•"/>
      <w:lvlJc w:val="left"/>
      <w:pPr>
        <w:tabs>
          <w:tab w:val="num" w:pos="1440"/>
        </w:tabs>
        <w:ind w:left="1440" w:hanging="360"/>
      </w:pPr>
      <w:rPr>
        <w:rFonts w:ascii="Arial" w:hAnsi="Arial" w:hint="default"/>
      </w:rPr>
    </w:lvl>
    <w:lvl w:ilvl="2" w:tplc="52D07B6A" w:tentative="1">
      <w:start w:val="1"/>
      <w:numFmt w:val="bullet"/>
      <w:lvlText w:val="•"/>
      <w:lvlJc w:val="left"/>
      <w:pPr>
        <w:tabs>
          <w:tab w:val="num" w:pos="2160"/>
        </w:tabs>
        <w:ind w:left="2160" w:hanging="360"/>
      </w:pPr>
      <w:rPr>
        <w:rFonts w:ascii="Arial" w:hAnsi="Arial" w:hint="default"/>
      </w:rPr>
    </w:lvl>
    <w:lvl w:ilvl="3" w:tplc="FBC678EA" w:tentative="1">
      <w:start w:val="1"/>
      <w:numFmt w:val="bullet"/>
      <w:lvlText w:val="•"/>
      <w:lvlJc w:val="left"/>
      <w:pPr>
        <w:tabs>
          <w:tab w:val="num" w:pos="2880"/>
        </w:tabs>
        <w:ind w:left="2880" w:hanging="360"/>
      </w:pPr>
      <w:rPr>
        <w:rFonts w:ascii="Arial" w:hAnsi="Arial" w:hint="default"/>
      </w:rPr>
    </w:lvl>
    <w:lvl w:ilvl="4" w:tplc="1CE25656" w:tentative="1">
      <w:start w:val="1"/>
      <w:numFmt w:val="bullet"/>
      <w:lvlText w:val="•"/>
      <w:lvlJc w:val="left"/>
      <w:pPr>
        <w:tabs>
          <w:tab w:val="num" w:pos="3600"/>
        </w:tabs>
        <w:ind w:left="3600" w:hanging="360"/>
      </w:pPr>
      <w:rPr>
        <w:rFonts w:ascii="Arial" w:hAnsi="Arial" w:hint="default"/>
      </w:rPr>
    </w:lvl>
    <w:lvl w:ilvl="5" w:tplc="77902D2E" w:tentative="1">
      <w:start w:val="1"/>
      <w:numFmt w:val="bullet"/>
      <w:lvlText w:val="•"/>
      <w:lvlJc w:val="left"/>
      <w:pPr>
        <w:tabs>
          <w:tab w:val="num" w:pos="4320"/>
        </w:tabs>
        <w:ind w:left="4320" w:hanging="360"/>
      </w:pPr>
      <w:rPr>
        <w:rFonts w:ascii="Arial" w:hAnsi="Arial" w:hint="default"/>
      </w:rPr>
    </w:lvl>
    <w:lvl w:ilvl="6" w:tplc="8432F90C" w:tentative="1">
      <w:start w:val="1"/>
      <w:numFmt w:val="bullet"/>
      <w:lvlText w:val="•"/>
      <w:lvlJc w:val="left"/>
      <w:pPr>
        <w:tabs>
          <w:tab w:val="num" w:pos="5040"/>
        </w:tabs>
        <w:ind w:left="5040" w:hanging="360"/>
      </w:pPr>
      <w:rPr>
        <w:rFonts w:ascii="Arial" w:hAnsi="Arial" w:hint="default"/>
      </w:rPr>
    </w:lvl>
    <w:lvl w:ilvl="7" w:tplc="F4C27C9E" w:tentative="1">
      <w:start w:val="1"/>
      <w:numFmt w:val="bullet"/>
      <w:lvlText w:val="•"/>
      <w:lvlJc w:val="left"/>
      <w:pPr>
        <w:tabs>
          <w:tab w:val="num" w:pos="5760"/>
        </w:tabs>
        <w:ind w:left="5760" w:hanging="360"/>
      </w:pPr>
      <w:rPr>
        <w:rFonts w:ascii="Arial" w:hAnsi="Arial" w:hint="default"/>
      </w:rPr>
    </w:lvl>
    <w:lvl w:ilvl="8" w:tplc="317A6E32" w:tentative="1">
      <w:start w:val="1"/>
      <w:numFmt w:val="bullet"/>
      <w:lvlText w:val="•"/>
      <w:lvlJc w:val="left"/>
      <w:pPr>
        <w:tabs>
          <w:tab w:val="num" w:pos="6480"/>
        </w:tabs>
        <w:ind w:left="6480" w:hanging="360"/>
      </w:pPr>
      <w:rPr>
        <w:rFonts w:ascii="Arial" w:hAnsi="Arial" w:hint="default"/>
      </w:rPr>
    </w:lvl>
  </w:abstractNum>
  <w:abstractNum w:abstractNumId="10">
    <w:nsid w:val="29AF5C4D"/>
    <w:multiLevelType w:val="hybridMultilevel"/>
    <w:tmpl w:val="8B2C7A28"/>
    <w:lvl w:ilvl="0" w:tplc="E5101774">
      <w:start w:val="1"/>
      <w:numFmt w:val="bullet"/>
      <w:lvlText w:val="•"/>
      <w:lvlJc w:val="left"/>
      <w:pPr>
        <w:tabs>
          <w:tab w:val="num" w:pos="720"/>
        </w:tabs>
        <w:ind w:left="720" w:hanging="360"/>
      </w:pPr>
      <w:rPr>
        <w:rFonts w:ascii="Arial" w:hAnsi="Arial" w:hint="default"/>
      </w:rPr>
    </w:lvl>
    <w:lvl w:ilvl="1" w:tplc="0306361A" w:tentative="1">
      <w:start w:val="1"/>
      <w:numFmt w:val="bullet"/>
      <w:lvlText w:val="•"/>
      <w:lvlJc w:val="left"/>
      <w:pPr>
        <w:tabs>
          <w:tab w:val="num" w:pos="1440"/>
        </w:tabs>
        <w:ind w:left="1440" w:hanging="360"/>
      </w:pPr>
      <w:rPr>
        <w:rFonts w:ascii="Arial" w:hAnsi="Arial" w:hint="default"/>
      </w:rPr>
    </w:lvl>
    <w:lvl w:ilvl="2" w:tplc="093EE14C" w:tentative="1">
      <w:start w:val="1"/>
      <w:numFmt w:val="bullet"/>
      <w:lvlText w:val="•"/>
      <w:lvlJc w:val="left"/>
      <w:pPr>
        <w:tabs>
          <w:tab w:val="num" w:pos="2160"/>
        </w:tabs>
        <w:ind w:left="2160" w:hanging="360"/>
      </w:pPr>
      <w:rPr>
        <w:rFonts w:ascii="Arial" w:hAnsi="Arial" w:hint="default"/>
      </w:rPr>
    </w:lvl>
    <w:lvl w:ilvl="3" w:tplc="9C4A599E" w:tentative="1">
      <w:start w:val="1"/>
      <w:numFmt w:val="bullet"/>
      <w:lvlText w:val="•"/>
      <w:lvlJc w:val="left"/>
      <w:pPr>
        <w:tabs>
          <w:tab w:val="num" w:pos="2880"/>
        </w:tabs>
        <w:ind w:left="2880" w:hanging="360"/>
      </w:pPr>
      <w:rPr>
        <w:rFonts w:ascii="Arial" w:hAnsi="Arial" w:hint="default"/>
      </w:rPr>
    </w:lvl>
    <w:lvl w:ilvl="4" w:tplc="9B3CD3E0" w:tentative="1">
      <w:start w:val="1"/>
      <w:numFmt w:val="bullet"/>
      <w:lvlText w:val="•"/>
      <w:lvlJc w:val="left"/>
      <w:pPr>
        <w:tabs>
          <w:tab w:val="num" w:pos="3600"/>
        </w:tabs>
        <w:ind w:left="3600" w:hanging="360"/>
      </w:pPr>
      <w:rPr>
        <w:rFonts w:ascii="Arial" w:hAnsi="Arial" w:hint="default"/>
      </w:rPr>
    </w:lvl>
    <w:lvl w:ilvl="5" w:tplc="F796F884" w:tentative="1">
      <w:start w:val="1"/>
      <w:numFmt w:val="bullet"/>
      <w:lvlText w:val="•"/>
      <w:lvlJc w:val="left"/>
      <w:pPr>
        <w:tabs>
          <w:tab w:val="num" w:pos="4320"/>
        </w:tabs>
        <w:ind w:left="4320" w:hanging="360"/>
      </w:pPr>
      <w:rPr>
        <w:rFonts w:ascii="Arial" w:hAnsi="Arial" w:hint="default"/>
      </w:rPr>
    </w:lvl>
    <w:lvl w:ilvl="6" w:tplc="6A6E9100" w:tentative="1">
      <w:start w:val="1"/>
      <w:numFmt w:val="bullet"/>
      <w:lvlText w:val="•"/>
      <w:lvlJc w:val="left"/>
      <w:pPr>
        <w:tabs>
          <w:tab w:val="num" w:pos="5040"/>
        </w:tabs>
        <w:ind w:left="5040" w:hanging="360"/>
      </w:pPr>
      <w:rPr>
        <w:rFonts w:ascii="Arial" w:hAnsi="Arial" w:hint="default"/>
      </w:rPr>
    </w:lvl>
    <w:lvl w:ilvl="7" w:tplc="44C2476E" w:tentative="1">
      <w:start w:val="1"/>
      <w:numFmt w:val="bullet"/>
      <w:lvlText w:val="•"/>
      <w:lvlJc w:val="left"/>
      <w:pPr>
        <w:tabs>
          <w:tab w:val="num" w:pos="5760"/>
        </w:tabs>
        <w:ind w:left="5760" w:hanging="360"/>
      </w:pPr>
      <w:rPr>
        <w:rFonts w:ascii="Arial" w:hAnsi="Arial" w:hint="default"/>
      </w:rPr>
    </w:lvl>
    <w:lvl w:ilvl="8" w:tplc="AC0CF4F6" w:tentative="1">
      <w:start w:val="1"/>
      <w:numFmt w:val="bullet"/>
      <w:lvlText w:val="•"/>
      <w:lvlJc w:val="left"/>
      <w:pPr>
        <w:tabs>
          <w:tab w:val="num" w:pos="6480"/>
        </w:tabs>
        <w:ind w:left="6480" w:hanging="360"/>
      </w:pPr>
      <w:rPr>
        <w:rFonts w:ascii="Arial" w:hAnsi="Arial" w:hint="default"/>
      </w:rPr>
    </w:lvl>
  </w:abstractNum>
  <w:abstractNum w:abstractNumId="11">
    <w:nsid w:val="2CD53432"/>
    <w:multiLevelType w:val="hybridMultilevel"/>
    <w:tmpl w:val="2D06BBCE"/>
    <w:lvl w:ilvl="0" w:tplc="62586422">
      <w:start w:val="1"/>
      <w:numFmt w:val="bullet"/>
      <w:lvlText w:val="•"/>
      <w:lvlJc w:val="left"/>
      <w:pPr>
        <w:tabs>
          <w:tab w:val="num" w:pos="720"/>
        </w:tabs>
        <w:ind w:left="720" w:hanging="360"/>
      </w:pPr>
      <w:rPr>
        <w:rFonts w:ascii="Arial" w:hAnsi="Arial" w:hint="default"/>
      </w:rPr>
    </w:lvl>
    <w:lvl w:ilvl="1" w:tplc="EA22C974" w:tentative="1">
      <w:start w:val="1"/>
      <w:numFmt w:val="bullet"/>
      <w:lvlText w:val="•"/>
      <w:lvlJc w:val="left"/>
      <w:pPr>
        <w:tabs>
          <w:tab w:val="num" w:pos="1440"/>
        </w:tabs>
        <w:ind w:left="1440" w:hanging="360"/>
      </w:pPr>
      <w:rPr>
        <w:rFonts w:ascii="Arial" w:hAnsi="Arial" w:hint="default"/>
      </w:rPr>
    </w:lvl>
    <w:lvl w:ilvl="2" w:tplc="F438A362" w:tentative="1">
      <w:start w:val="1"/>
      <w:numFmt w:val="bullet"/>
      <w:lvlText w:val="•"/>
      <w:lvlJc w:val="left"/>
      <w:pPr>
        <w:tabs>
          <w:tab w:val="num" w:pos="2160"/>
        </w:tabs>
        <w:ind w:left="2160" w:hanging="360"/>
      </w:pPr>
      <w:rPr>
        <w:rFonts w:ascii="Arial" w:hAnsi="Arial" w:hint="default"/>
      </w:rPr>
    </w:lvl>
    <w:lvl w:ilvl="3" w:tplc="5CDCE1C0" w:tentative="1">
      <w:start w:val="1"/>
      <w:numFmt w:val="bullet"/>
      <w:lvlText w:val="•"/>
      <w:lvlJc w:val="left"/>
      <w:pPr>
        <w:tabs>
          <w:tab w:val="num" w:pos="2880"/>
        </w:tabs>
        <w:ind w:left="2880" w:hanging="360"/>
      </w:pPr>
      <w:rPr>
        <w:rFonts w:ascii="Arial" w:hAnsi="Arial" w:hint="default"/>
      </w:rPr>
    </w:lvl>
    <w:lvl w:ilvl="4" w:tplc="48C0419A" w:tentative="1">
      <w:start w:val="1"/>
      <w:numFmt w:val="bullet"/>
      <w:lvlText w:val="•"/>
      <w:lvlJc w:val="left"/>
      <w:pPr>
        <w:tabs>
          <w:tab w:val="num" w:pos="3600"/>
        </w:tabs>
        <w:ind w:left="3600" w:hanging="360"/>
      </w:pPr>
      <w:rPr>
        <w:rFonts w:ascii="Arial" w:hAnsi="Arial" w:hint="default"/>
      </w:rPr>
    </w:lvl>
    <w:lvl w:ilvl="5" w:tplc="00D669CA" w:tentative="1">
      <w:start w:val="1"/>
      <w:numFmt w:val="bullet"/>
      <w:lvlText w:val="•"/>
      <w:lvlJc w:val="left"/>
      <w:pPr>
        <w:tabs>
          <w:tab w:val="num" w:pos="4320"/>
        </w:tabs>
        <w:ind w:left="4320" w:hanging="360"/>
      </w:pPr>
      <w:rPr>
        <w:rFonts w:ascii="Arial" w:hAnsi="Arial" w:hint="default"/>
      </w:rPr>
    </w:lvl>
    <w:lvl w:ilvl="6" w:tplc="EA682DCC" w:tentative="1">
      <w:start w:val="1"/>
      <w:numFmt w:val="bullet"/>
      <w:lvlText w:val="•"/>
      <w:lvlJc w:val="left"/>
      <w:pPr>
        <w:tabs>
          <w:tab w:val="num" w:pos="5040"/>
        </w:tabs>
        <w:ind w:left="5040" w:hanging="360"/>
      </w:pPr>
      <w:rPr>
        <w:rFonts w:ascii="Arial" w:hAnsi="Arial" w:hint="default"/>
      </w:rPr>
    </w:lvl>
    <w:lvl w:ilvl="7" w:tplc="4824E9E8" w:tentative="1">
      <w:start w:val="1"/>
      <w:numFmt w:val="bullet"/>
      <w:lvlText w:val="•"/>
      <w:lvlJc w:val="left"/>
      <w:pPr>
        <w:tabs>
          <w:tab w:val="num" w:pos="5760"/>
        </w:tabs>
        <w:ind w:left="5760" w:hanging="360"/>
      </w:pPr>
      <w:rPr>
        <w:rFonts w:ascii="Arial" w:hAnsi="Arial" w:hint="default"/>
      </w:rPr>
    </w:lvl>
    <w:lvl w:ilvl="8" w:tplc="2DD6EF6E" w:tentative="1">
      <w:start w:val="1"/>
      <w:numFmt w:val="bullet"/>
      <w:lvlText w:val="•"/>
      <w:lvlJc w:val="left"/>
      <w:pPr>
        <w:tabs>
          <w:tab w:val="num" w:pos="6480"/>
        </w:tabs>
        <w:ind w:left="6480" w:hanging="360"/>
      </w:pPr>
      <w:rPr>
        <w:rFonts w:ascii="Arial" w:hAnsi="Arial" w:hint="default"/>
      </w:rPr>
    </w:lvl>
  </w:abstractNum>
  <w:abstractNum w:abstractNumId="12">
    <w:nsid w:val="2F9D4398"/>
    <w:multiLevelType w:val="hybridMultilevel"/>
    <w:tmpl w:val="CF129CE0"/>
    <w:lvl w:ilvl="0" w:tplc="CB16B26E">
      <w:start w:val="1"/>
      <w:numFmt w:val="bullet"/>
      <w:lvlText w:val="•"/>
      <w:lvlJc w:val="left"/>
      <w:pPr>
        <w:tabs>
          <w:tab w:val="num" w:pos="720"/>
        </w:tabs>
        <w:ind w:left="720" w:hanging="360"/>
      </w:pPr>
      <w:rPr>
        <w:rFonts w:ascii="Arial" w:hAnsi="Arial" w:hint="default"/>
      </w:rPr>
    </w:lvl>
    <w:lvl w:ilvl="1" w:tplc="D8DAE2BA" w:tentative="1">
      <w:start w:val="1"/>
      <w:numFmt w:val="bullet"/>
      <w:lvlText w:val="•"/>
      <w:lvlJc w:val="left"/>
      <w:pPr>
        <w:tabs>
          <w:tab w:val="num" w:pos="1440"/>
        </w:tabs>
        <w:ind w:left="1440" w:hanging="360"/>
      </w:pPr>
      <w:rPr>
        <w:rFonts w:ascii="Arial" w:hAnsi="Arial" w:hint="default"/>
      </w:rPr>
    </w:lvl>
    <w:lvl w:ilvl="2" w:tplc="BB869868" w:tentative="1">
      <w:start w:val="1"/>
      <w:numFmt w:val="bullet"/>
      <w:lvlText w:val="•"/>
      <w:lvlJc w:val="left"/>
      <w:pPr>
        <w:tabs>
          <w:tab w:val="num" w:pos="2160"/>
        </w:tabs>
        <w:ind w:left="2160" w:hanging="360"/>
      </w:pPr>
      <w:rPr>
        <w:rFonts w:ascii="Arial" w:hAnsi="Arial" w:hint="default"/>
      </w:rPr>
    </w:lvl>
    <w:lvl w:ilvl="3" w:tplc="38FEE466" w:tentative="1">
      <w:start w:val="1"/>
      <w:numFmt w:val="bullet"/>
      <w:lvlText w:val="•"/>
      <w:lvlJc w:val="left"/>
      <w:pPr>
        <w:tabs>
          <w:tab w:val="num" w:pos="2880"/>
        </w:tabs>
        <w:ind w:left="2880" w:hanging="360"/>
      </w:pPr>
      <w:rPr>
        <w:rFonts w:ascii="Arial" w:hAnsi="Arial" w:hint="default"/>
      </w:rPr>
    </w:lvl>
    <w:lvl w:ilvl="4" w:tplc="A7446816" w:tentative="1">
      <w:start w:val="1"/>
      <w:numFmt w:val="bullet"/>
      <w:lvlText w:val="•"/>
      <w:lvlJc w:val="left"/>
      <w:pPr>
        <w:tabs>
          <w:tab w:val="num" w:pos="3600"/>
        </w:tabs>
        <w:ind w:left="3600" w:hanging="360"/>
      </w:pPr>
      <w:rPr>
        <w:rFonts w:ascii="Arial" w:hAnsi="Arial" w:hint="default"/>
      </w:rPr>
    </w:lvl>
    <w:lvl w:ilvl="5" w:tplc="823CDDB6" w:tentative="1">
      <w:start w:val="1"/>
      <w:numFmt w:val="bullet"/>
      <w:lvlText w:val="•"/>
      <w:lvlJc w:val="left"/>
      <w:pPr>
        <w:tabs>
          <w:tab w:val="num" w:pos="4320"/>
        </w:tabs>
        <w:ind w:left="4320" w:hanging="360"/>
      </w:pPr>
      <w:rPr>
        <w:rFonts w:ascii="Arial" w:hAnsi="Arial" w:hint="default"/>
      </w:rPr>
    </w:lvl>
    <w:lvl w:ilvl="6" w:tplc="492EE8A2" w:tentative="1">
      <w:start w:val="1"/>
      <w:numFmt w:val="bullet"/>
      <w:lvlText w:val="•"/>
      <w:lvlJc w:val="left"/>
      <w:pPr>
        <w:tabs>
          <w:tab w:val="num" w:pos="5040"/>
        </w:tabs>
        <w:ind w:left="5040" w:hanging="360"/>
      </w:pPr>
      <w:rPr>
        <w:rFonts w:ascii="Arial" w:hAnsi="Arial" w:hint="default"/>
      </w:rPr>
    </w:lvl>
    <w:lvl w:ilvl="7" w:tplc="3CD8804A" w:tentative="1">
      <w:start w:val="1"/>
      <w:numFmt w:val="bullet"/>
      <w:lvlText w:val="•"/>
      <w:lvlJc w:val="left"/>
      <w:pPr>
        <w:tabs>
          <w:tab w:val="num" w:pos="5760"/>
        </w:tabs>
        <w:ind w:left="5760" w:hanging="360"/>
      </w:pPr>
      <w:rPr>
        <w:rFonts w:ascii="Arial" w:hAnsi="Arial" w:hint="default"/>
      </w:rPr>
    </w:lvl>
    <w:lvl w:ilvl="8" w:tplc="121633C8" w:tentative="1">
      <w:start w:val="1"/>
      <w:numFmt w:val="bullet"/>
      <w:lvlText w:val="•"/>
      <w:lvlJc w:val="left"/>
      <w:pPr>
        <w:tabs>
          <w:tab w:val="num" w:pos="6480"/>
        </w:tabs>
        <w:ind w:left="6480" w:hanging="360"/>
      </w:pPr>
      <w:rPr>
        <w:rFonts w:ascii="Arial" w:hAnsi="Arial" w:hint="default"/>
      </w:rPr>
    </w:lvl>
  </w:abstractNum>
  <w:abstractNum w:abstractNumId="13">
    <w:nsid w:val="31233793"/>
    <w:multiLevelType w:val="hybridMultilevel"/>
    <w:tmpl w:val="5C80325A"/>
    <w:lvl w:ilvl="0" w:tplc="33CA58FA">
      <w:start w:val="1"/>
      <w:numFmt w:val="bullet"/>
      <w:lvlText w:val="•"/>
      <w:lvlJc w:val="left"/>
      <w:pPr>
        <w:tabs>
          <w:tab w:val="num" w:pos="720"/>
        </w:tabs>
        <w:ind w:left="720" w:hanging="360"/>
      </w:pPr>
      <w:rPr>
        <w:rFonts w:ascii="Arial" w:hAnsi="Arial" w:hint="default"/>
      </w:rPr>
    </w:lvl>
    <w:lvl w:ilvl="1" w:tplc="EE828DFE" w:tentative="1">
      <w:start w:val="1"/>
      <w:numFmt w:val="bullet"/>
      <w:lvlText w:val="•"/>
      <w:lvlJc w:val="left"/>
      <w:pPr>
        <w:tabs>
          <w:tab w:val="num" w:pos="1440"/>
        </w:tabs>
        <w:ind w:left="1440" w:hanging="360"/>
      </w:pPr>
      <w:rPr>
        <w:rFonts w:ascii="Arial" w:hAnsi="Arial" w:hint="default"/>
      </w:rPr>
    </w:lvl>
    <w:lvl w:ilvl="2" w:tplc="D7DC915A" w:tentative="1">
      <w:start w:val="1"/>
      <w:numFmt w:val="bullet"/>
      <w:lvlText w:val="•"/>
      <w:lvlJc w:val="left"/>
      <w:pPr>
        <w:tabs>
          <w:tab w:val="num" w:pos="2160"/>
        </w:tabs>
        <w:ind w:left="2160" w:hanging="360"/>
      </w:pPr>
      <w:rPr>
        <w:rFonts w:ascii="Arial" w:hAnsi="Arial" w:hint="default"/>
      </w:rPr>
    </w:lvl>
    <w:lvl w:ilvl="3" w:tplc="B52A7FF2" w:tentative="1">
      <w:start w:val="1"/>
      <w:numFmt w:val="bullet"/>
      <w:lvlText w:val="•"/>
      <w:lvlJc w:val="left"/>
      <w:pPr>
        <w:tabs>
          <w:tab w:val="num" w:pos="2880"/>
        </w:tabs>
        <w:ind w:left="2880" w:hanging="360"/>
      </w:pPr>
      <w:rPr>
        <w:rFonts w:ascii="Arial" w:hAnsi="Arial" w:hint="default"/>
      </w:rPr>
    </w:lvl>
    <w:lvl w:ilvl="4" w:tplc="D8969234" w:tentative="1">
      <w:start w:val="1"/>
      <w:numFmt w:val="bullet"/>
      <w:lvlText w:val="•"/>
      <w:lvlJc w:val="left"/>
      <w:pPr>
        <w:tabs>
          <w:tab w:val="num" w:pos="3600"/>
        </w:tabs>
        <w:ind w:left="3600" w:hanging="360"/>
      </w:pPr>
      <w:rPr>
        <w:rFonts w:ascii="Arial" w:hAnsi="Arial" w:hint="default"/>
      </w:rPr>
    </w:lvl>
    <w:lvl w:ilvl="5" w:tplc="464679B8" w:tentative="1">
      <w:start w:val="1"/>
      <w:numFmt w:val="bullet"/>
      <w:lvlText w:val="•"/>
      <w:lvlJc w:val="left"/>
      <w:pPr>
        <w:tabs>
          <w:tab w:val="num" w:pos="4320"/>
        </w:tabs>
        <w:ind w:left="4320" w:hanging="360"/>
      </w:pPr>
      <w:rPr>
        <w:rFonts w:ascii="Arial" w:hAnsi="Arial" w:hint="default"/>
      </w:rPr>
    </w:lvl>
    <w:lvl w:ilvl="6" w:tplc="F982B53A" w:tentative="1">
      <w:start w:val="1"/>
      <w:numFmt w:val="bullet"/>
      <w:lvlText w:val="•"/>
      <w:lvlJc w:val="left"/>
      <w:pPr>
        <w:tabs>
          <w:tab w:val="num" w:pos="5040"/>
        </w:tabs>
        <w:ind w:left="5040" w:hanging="360"/>
      </w:pPr>
      <w:rPr>
        <w:rFonts w:ascii="Arial" w:hAnsi="Arial" w:hint="default"/>
      </w:rPr>
    </w:lvl>
    <w:lvl w:ilvl="7" w:tplc="0128CF70" w:tentative="1">
      <w:start w:val="1"/>
      <w:numFmt w:val="bullet"/>
      <w:lvlText w:val="•"/>
      <w:lvlJc w:val="left"/>
      <w:pPr>
        <w:tabs>
          <w:tab w:val="num" w:pos="5760"/>
        </w:tabs>
        <w:ind w:left="5760" w:hanging="360"/>
      </w:pPr>
      <w:rPr>
        <w:rFonts w:ascii="Arial" w:hAnsi="Arial" w:hint="default"/>
      </w:rPr>
    </w:lvl>
    <w:lvl w:ilvl="8" w:tplc="AF46BEAA" w:tentative="1">
      <w:start w:val="1"/>
      <w:numFmt w:val="bullet"/>
      <w:lvlText w:val="•"/>
      <w:lvlJc w:val="left"/>
      <w:pPr>
        <w:tabs>
          <w:tab w:val="num" w:pos="6480"/>
        </w:tabs>
        <w:ind w:left="6480" w:hanging="360"/>
      </w:pPr>
      <w:rPr>
        <w:rFonts w:ascii="Arial" w:hAnsi="Arial" w:hint="default"/>
      </w:rPr>
    </w:lvl>
  </w:abstractNum>
  <w:abstractNum w:abstractNumId="14">
    <w:nsid w:val="3A5F1DD0"/>
    <w:multiLevelType w:val="hybridMultilevel"/>
    <w:tmpl w:val="F7868934"/>
    <w:lvl w:ilvl="0" w:tplc="19066ED0">
      <w:start w:val="1"/>
      <w:numFmt w:val="bullet"/>
      <w:lvlText w:val="•"/>
      <w:lvlJc w:val="left"/>
      <w:pPr>
        <w:tabs>
          <w:tab w:val="num" w:pos="720"/>
        </w:tabs>
        <w:ind w:left="720" w:hanging="360"/>
      </w:pPr>
      <w:rPr>
        <w:rFonts w:ascii="Arial" w:hAnsi="Arial" w:hint="default"/>
      </w:rPr>
    </w:lvl>
    <w:lvl w:ilvl="1" w:tplc="85B88DFC" w:tentative="1">
      <w:start w:val="1"/>
      <w:numFmt w:val="bullet"/>
      <w:lvlText w:val="•"/>
      <w:lvlJc w:val="left"/>
      <w:pPr>
        <w:tabs>
          <w:tab w:val="num" w:pos="1440"/>
        </w:tabs>
        <w:ind w:left="1440" w:hanging="360"/>
      </w:pPr>
      <w:rPr>
        <w:rFonts w:ascii="Arial" w:hAnsi="Arial" w:hint="default"/>
      </w:rPr>
    </w:lvl>
    <w:lvl w:ilvl="2" w:tplc="9350DBBE" w:tentative="1">
      <w:start w:val="1"/>
      <w:numFmt w:val="bullet"/>
      <w:lvlText w:val="•"/>
      <w:lvlJc w:val="left"/>
      <w:pPr>
        <w:tabs>
          <w:tab w:val="num" w:pos="2160"/>
        </w:tabs>
        <w:ind w:left="2160" w:hanging="360"/>
      </w:pPr>
      <w:rPr>
        <w:rFonts w:ascii="Arial" w:hAnsi="Arial" w:hint="default"/>
      </w:rPr>
    </w:lvl>
    <w:lvl w:ilvl="3" w:tplc="9628FF8E" w:tentative="1">
      <w:start w:val="1"/>
      <w:numFmt w:val="bullet"/>
      <w:lvlText w:val="•"/>
      <w:lvlJc w:val="left"/>
      <w:pPr>
        <w:tabs>
          <w:tab w:val="num" w:pos="2880"/>
        </w:tabs>
        <w:ind w:left="2880" w:hanging="360"/>
      </w:pPr>
      <w:rPr>
        <w:rFonts w:ascii="Arial" w:hAnsi="Arial" w:hint="default"/>
      </w:rPr>
    </w:lvl>
    <w:lvl w:ilvl="4" w:tplc="AFF26C2A" w:tentative="1">
      <w:start w:val="1"/>
      <w:numFmt w:val="bullet"/>
      <w:lvlText w:val="•"/>
      <w:lvlJc w:val="left"/>
      <w:pPr>
        <w:tabs>
          <w:tab w:val="num" w:pos="3600"/>
        </w:tabs>
        <w:ind w:left="3600" w:hanging="360"/>
      </w:pPr>
      <w:rPr>
        <w:rFonts w:ascii="Arial" w:hAnsi="Arial" w:hint="default"/>
      </w:rPr>
    </w:lvl>
    <w:lvl w:ilvl="5" w:tplc="E5580F3C" w:tentative="1">
      <w:start w:val="1"/>
      <w:numFmt w:val="bullet"/>
      <w:lvlText w:val="•"/>
      <w:lvlJc w:val="left"/>
      <w:pPr>
        <w:tabs>
          <w:tab w:val="num" w:pos="4320"/>
        </w:tabs>
        <w:ind w:left="4320" w:hanging="360"/>
      </w:pPr>
      <w:rPr>
        <w:rFonts w:ascii="Arial" w:hAnsi="Arial" w:hint="default"/>
      </w:rPr>
    </w:lvl>
    <w:lvl w:ilvl="6" w:tplc="D80A9EC8" w:tentative="1">
      <w:start w:val="1"/>
      <w:numFmt w:val="bullet"/>
      <w:lvlText w:val="•"/>
      <w:lvlJc w:val="left"/>
      <w:pPr>
        <w:tabs>
          <w:tab w:val="num" w:pos="5040"/>
        </w:tabs>
        <w:ind w:left="5040" w:hanging="360"/>
      </w:pPr>
      <w:rPr>
        <w:rFonts w:ascii="Arial" w:hAnsi="Arial" w:hint="default"/>
      </w:rPr>
    </w:lvl>
    <w:lvl w:ilvl="7" w:tplc="0C601342" w:tentative="1">
      <w:start w:val="1"/>
      <w:numFmt w:val="bullet"/>
      <w:lvlText w:val="•"/>
      <w:lvlJc w:val="left"/>
      <w:pPr>
        <w:tabs>
          <w:tab w:val="num" w:pos="5760"/>
        </w:tabs>
        <w:ind w:left="5760" w:hanging="360"/>
      </w:pPr>
      <w:rPr>
        <w:rFonts w:ascii="Arial" w:hAnsi="Arial" w:hint="default"/>
      </w:rPr>
    </w:lvl>
    <w:lvl w:ilvl="8" w:tplc="4B4AA7A4" w:tentative="1">
      <w:start w:val="1"/>
      <w:numFmt w:val="bullet"/>
      <w:lvlText w:val="•"/>
      <w:lvlJc w:val="left"/>
      <w:pPr>
        <w:tabs>
          <w:tab w:val="num" w:pos="6480"/>
        </w:tabs>
        <w:ind w:left="6480" w:hanging="360"/>
      </w:pPr>
      <w:rPr>
        <w:rFonts w:ascii="Arial" w:hAnsi="Arial" w:hint="default"/>
      </w:rPr>
    </w:lvl>
  </w:abstractNum>
  <w:abstractNum w:abstractNumId="15">
    <w:nsid w:val="3CDB5FA6"/>
    <w:multiLevelType w:val="hybridMultilevel"/>
    <w:tmpl w:val="436010A8"/>
    <w:lvl w:ilvl="0" w:tplc="764245E6">
      <w:start w:val="1"/>
      <w:numFmt w:val="bullet"/>
      <w:lvlText w:val="•"/>
      <w:lvlJc w:val="left"/>
      <w:pPr>
        <w:tabs>
          <w:tab w:val="num" w:pos="720"/>
        </w:tabs>
        <w:ind w:left="720" w:hanging="360"/>
      </w:pPr>
      <w:rPr>
        <w:rFonts w:ascii="Arial" w:hAnsi="Arial" w:hint="default"/>
      </w:rPr>
    </w:lvl>
    <w:lvl w:ilvl="1" w:tplc="E3E4556C" w:tentative="1">
      <w:start w:val="1"/>
      <w:numFmt w:val="bullet"/>
      <w:lvlText w:val="•"/>
      <w:lvlJc w:val="left"/>
      <w:pPr>
        <w:tabs>
          <w:tab w:val="num" w:pos="1440"/>
        </w:tabs>
        <w:ind w:left="1440" w:hanging="360"/>
      </w:pPr>
      <w:rPr>
        <w:rFonts w:ascii="Arial" w:hAnsi="Arial" w:hint="default"/>
      </w:rPr>
    </w:lvl>
    <w:lvl w:ilvl="2" w:tplc="855459B4" w:tentative="1">
      <w:start w:val="1"/>
      <w:numFmt w:val="bullet"/>
      <w:lvlText w:val="•"/>
      <w:lvlJc w:val="left"/>
      <w:pPr>
        <w:tabs>
          <w:tab w:val="num" w:pos="2160"/>
        </w:tabs>
        <w:ind w:left="2160" w:hanging="360"/>
      </w:pPr>
      <w:rPr>
        <w:rFonts w:ascii="Arial" w:hAnsi="Arial" w:hint="default"/>
      </w:rPr>
    </w:lvl>
    <w:lvl w:ilvl="3" w:tplc="E90E483C" w:tentative="1">
      <w:start w:val="1"/>
      <w:numFmt w:val="bullet"/>
      <w:lvlText w:val="•"/>
      <w:lvlJc w:val="left"/>
      <w:pPr>
        <w:tabs>
          <w:tab w:val="num" w:pos="2880"/>
        </w:tabs>
        <w:ind w:left="2880" w:hanging="360"/>
      </w:pPr>
      <w:rPr>
        <w:rFonts w:ascii="Arial" w:hAnsi="Arial" w:hint="default"/>
      </w:rPr>
    </w:lvl>
    <w:lvl w:ilvl="4" w:tplc="B8C03E98" w:tentative="1">
      <w:start w:val="1"/>
      <w:numFmt w:val="bullet"/>
      <w:lvlText w:val="•"/>
      <w:lvlJc w:val="left"/>
      <w:pPr>
        <w:tabs>
          <w:tab w:val="num" w:pos="3600"/>
        </w:tabs>
        <w:ind w:left="3600" w:hanging="360"/>
      </w:pPr>
      <w:rPr>
        <w:rFonts w:ascii="Arial" w:hAnsi="Arial" w:hint="default"/>
      </w:rPr>
    </w:lvl>
    <w:lvl w:ilvl="5" w:tplc="D096B1CC" w:tentative="1">
      <w:start w:val="1"/>
      <w:numFmt w:val="bullet"/>
      <w:lvlText w:val="•"/>
      <w:lvlJc w:val="left"/>
      <w:pPr>
        <w:tabs>
          <w:tab w:val="num" w:pos="4320"/>
        </w:tabs>
        <w:ind w:left="4320" w:hanging="360"/>
      </w:pPr>
      <w:rPr>
        <w:rFonts w:ascii="Arial" w:hAnsi="Arial" w:hint="default"/>
      </w:rPr>
    </w:lvl>
    <w:lvl w:ilvl="6" w:tplc="5FD27576" w:tentative="1">
      <w:start w:val="1"/>
      <w:numFmt w:val="bullet"/>
      <w:lvlText w:val="•"/>
      <w:lvlJc w:val="left"/>
      <w:pPr>
        <w:tabs>
          <w:tab w:val="num" w:pos="5040"/>
        </w:tabs>
        <w:ind w:left="5040" w:hanging="360"/>
      </w:pPr>
      <w:rPr>
        <w:rFonts w:ascii="Arial" w:hAnsi="Arial" w:hint="default"/>
      </w:rPr>
    </w:lvl>
    <w:lvl w:ilvl="7" w:tplc="922C4332" w:tentative="1">
      <w:start w:val="1"/>
      <w:numFmt w:val="bullet"/>
      <w:lvlText w:val="•"/>
      <w:lvlJc w:val="left"/>
      <w:pPr>
        <w:tabs>
          <w:tab w:val="num" w:pos="5760"/>
        </w:tabs>
        <w:ind w:left="5760" w:hanging="360"/>
      </w:pPr>
      <w:rPr>
        <w:rFonts w:ascii="Arial" w:hAnsi="Arial" w:hint="default"/>
      </w:rPr>
    </w:lvl>
    <w:lvl w:ilvl="8" w:tplc="59A8E484" w:tentative="1">
      <w:start w:val="1"/>
      <w:numFmt w:val="bullet"/>
      <w:lvlText w:val="•"/>
      <w:lvlJc w:val="left"/>
      <w:pPr>
        <w:tabs>
          <w:tab w:val="num" w:pos="6480"/>
        </w:tabs>
        <w:ind w:left="6480" w:hanging="360"/>
      </w:pPr>
      <w:rPr>
        <w:rFonts w:ascii="Arial" w:hAnsi="Arial" w:hint="default"/>
      </w:rPr>
    </w:lvl>
  </w:abstractNum>
  <w:abstractNum w:abstractNumId="16">
    <w:nsid w:val="3D593061"/>
    <w:multiLevelType w:val="hybridMultilevel"/>
    <w:tmpl w:val="8A543834"/>
    <w:lvl w:ilvl="0" w:tplc="A9DA9476">
      <w:start w:val="1"/>
      <w:numFmt w:val="bullet"/>
      <w:lvlText w:val="•"/>
      <w:lvlJc w:val="left"/>
      <w:pPr>
        <w:tabs>
          <w:tab w:val="num" w:pos="720"/>
        </w:tabs>
        <w:ind w:left="720" w:hanging="360"/>
      </w:pPr>
      <w:rPr>
        <w:rFonts w:ascii="Arial" w:hAnsi="Arial" w:hint="default"/>
      </w:rPr>
    </w:lvl>
    <w:lvl w:ilvl="1" w:tplc="0CEC355A" w:tentative="1">
      <w:start w:val="1"/>
      <w:numFmt w:val="bullet"/>
      <w:lvlText w:val="•"/>
      <w:lvlJc w:val="left"/>
      <w:pPr>
        <w:tabs>
          <w:tab w:val="num" w:pos="1440"/>
        </w:tabs>
        <w:ind w:left="1440" w:hanging="360"/>
      </w:pPr>
      <w:rPr>
        <w:rFonts w:ascii="Arial" w:hAnsi="Arial" w:hint="default"/>
      </w:rPr>
    </w:lvl>
    <w:lvl w:ilvl="2" w:tplc="39FCFB8E" w:tentative="1">
      <w:start w:val="1"/>
      <w:numFmt w:val="bullet"/>
      <w:lvlText w:val="•"/>
      <w:lvlJc w:val="left"/>
      <w:pPr>
        <w:tabs>
          <w:tab w:val="num" w:pos="2160"/>
        </w:tabs>
        <w:ind w:left="2160" w:hanging="360"/>
      </w:pPr>
      <w:rPr>
        <w:rFonts w:ascii="Arial" w:hAnsi="Arial" w:hint="default"/>
      </w:rPr>
    </w:lvl>
    <w:lvl w:ilvl="3" w:tplc="22E4FE80" w:tentative="1">
      <w:start w:val="1"/>
      <w:numFmt w:val="bullet"/>
      <w:lvlText w:val="•"/>
      <w:lvlJc w:val="left"/>
      <w:pPr>
        <w:tabs>
          <w:tab w:val="num" w:pos="2880"/>
        </w:tabs>
        <w:ind w:left="2880" w:hanging="360"/>
      </w:pPr>
      <w:rPr>
        <w:rFonts w:ascii="Arial" w:hAnsi="Arial" w:hint="default"/>
      </w:rPr>
    </w:lvl>
    <w:lvl w:ilvl="4" w:tplc="2046A68E" w:tentative="1">
      <w:start w:val="1"/>
      <w:numFmt w:val="bullet"/>
      <w:lvlText w:val="•"/>
      <w:lvlJc w:val="left"/>
      <w:pPr>
        <w:tabs>
          <w:tab w:val="num" w:pos="3600"/>
        </w:tabs>
        <w:ind w:left="3600" w:hanging="360"/>
      </w:pPr>
      <w:rPr>
        <w:rFonts w:ascii="Arial" w:hAnsi="Arial" w:hint="default"/>
      </w:rPr>
    </w:lvl>
    <w:lvl w:ilvl="5" w:tplc="FFC001C4" w:tentative="1">
      <w:start w:val="1"/>
      <w:numFmt w:val="bullet"/>
      <w:lvlText w:val="•"/>
      <w:lvlJc w:val="left"/>
      <w:pPr>
        <w:tabs>
          <w:tab w:val="num" w:pos="4320"/>
        </w:tabs>
        <w:ind w:left="4320" w:hanging="360"/>
      </w:pPr>
      <w:rPr>
        <w:rFonts w:ascii="Arial" w:hAnsi="Arial" w:hint="default"/>
      </w:rPr>
    </w:lvl>
    <w:lvl w:ilvl="6" w:tplc="3D7AE844" w:tentative="1">
      <w:start w:val="1"/>
      <w:numFmt w:val="bullet"/>
      <w:lvlText w:val="•"/>
      <w:lvlJc w:val="left"/>
      <w:pPr>
        <w:tabs>
          <w:tab w:val="num" w:pos="5040"/>
        </w:tabs>
        <w:ind w:left="5040" w:hanging="360"/>
      </w:pPr>
      <w:rPr>
        <w:rFonts w:ascii="Arial" w:hAnsi="Arial" w:hint="default"/>
      </w:rPr>
    </w:lvl>
    <w:lvl w:ilvl="7" w:tplc="3ED0107C" w:tentative="1">
      <w:start w:val="1"/>
      <w:numFmt w:val="bullet"/>
      <w:lvlText w:val="•"/>
      <w:lvlJc w:val="left"/>
      <w:pPr>
        <w:tabs>
          <w:tab w:val="num" w:pos="5760"/>
        </w:tabs>
        <w:ind w:left="5760" w:hanging="360"/>
      </w:pPr>
      <w:rPr>
        <w:rFonts w:ascii="Arial" w:hAnsi="Arial" w:hint="default"/>
      </w:rPr>
    </w:lvl>
    <w:lvl w:ilvl="8" w:tplc="D38C3948" w:tentative="1">
      <w:start w:val="1"/>
      <w:numFmt w:val="bullet"/>
      <w:lvlText w:val="•"/>
      <w:lvlJc w:val="left"/>
      <w:pPr>
        <w:tabs>
          <w:tab w:val="num" w:pos="6480"/>
        </w:tabs>
        <w:ind w:left="6480" w:hanging="360"/>
      </w:pPr>
      <w:rPr>
        <w:rFonts w:ascii="Arial" w:hAnsi="Arial" w:hint="default"/>
      </w:rPr>
    </w:lvl>
  </w:abstractNum>
  <w:abstractNum w:abstractNumId="17">
    <w:nsid w:val="3DB75A67"/>
    <w:multiLevelType w:val="hybridMultilevel"/>
    <w:tmpl w:val="C57E2B0C"/>
    <w:lvl w:ilvl="0" w:tplc="F0941DE2">
      <w:start w:val="1"/>
      <w:numFmt w:val="bullet"/>
      <w:lvlText w:val="•"/>
      <w:lvlJc w:val="left"/>
      <w:pPr>
        <w:tabs>
          <w:tab w:val="num" w:pos="720"/>
        </w:tabs>
        <w:ind w:left="720" w:hanging="360"/>
      </w:pPr>
      <w:rPr>
        <w:rFonts w:ascii="Arial" w:hAnsi="Arial" w:hint="default"/>
      </w:rPr>
    </w:lvl>
    <w:lvl w:ilvl="1" w:tplc="C1E89272" w:tentative="1">
      <w:start w:val="1"/>
      <w:numFmt w:val="bullet"/>
      <w:lvlText w:val="•"/>
      <w:lvlJc w:val="left"/>
      <w:pPr>
        <w:tabs>
          <w:tab w:val="num" w:pos="1440"/>
        </w:tabs>
        <w:ind w:left="1440" w:hanging="360"/>
      </w:pPr>
      <w:rPr>
        <w:rFonts w:ascii="Arial" w:hAnsi="Arial" w:hint="default"/>
      </w:rPr>
    </w:lvl>
    <w:lvl w:ilvl="2" w:tplc="9824020A" w:tentative="1">
      <w:start w:val="1"/>
      <w:numFmt w:val="bullet"/>
      <w:lvlText w:val="•"/>
      <w:lvlJc w:val="left"/>
      <w:pPr>
        <w:tabs>
          <w:tab w:val="num" w:pos="2160"/>
        </w:tabs>
        <w:ind w:left="2160" w:hanging="360"/>
      </w:pPr>
      <w:rPr>
        <w:rFonts w:ascii="Arial" w:hAnsi="Arial" w:hint="default"/>
      </w:rPr>
    </w:lvl>
    <w:lvl w:ilvl="3" w:tplc="AADAE76A" w:tentative="1">
      <w:start w:val="1"/>
      <w:numFmt w:val="bullet"/>
      <w:lvlText w:val="•"/>
      <w:lvlJc w:val="left"/>
      <w:pPr>
        <w:tabs>
          <w:tab w:val="num" w:pos="2880"/>
        </w:tabs>
        <w:ind w:left="2880" w:hanging="360"/>
      </w:pPr>
      <w:rPr>
        <w:rFonts w:ascii="Arial" w:hAnsi="Arial" w:hint="default"/>
      </w:rPr>
    </w:lvl>
    <w:lvl w:ilvl="4" w:tplc="87DC6764" w:tentative="1">
      <w:start w:val="1"/>
      <w:numFmt w:val="bullet"/>
      <w:lvlText w:val="•"/>
      <w:lvlJc w:val="left"/>
      <w:pPr>
        <w:tabs>
          <w:tab w:val="num" w:pos="3600"/>
        </w:tabs>
        <w:ind w:left="3600" w:hanging="360"/>
      </w:pPr>
      <w:rPr>
        <w:rFonts w:ascii="Arial" w:hAnsi="Arial" w:hint="default"/>
      </w:rPr>
    </w:lvl>
    <w:lvl w:ilvl="5" w:tplc="DA7EB9A4" w:tentative="1">
      <w:start w:val="1"/>
      <w:numFmt w:val="bullet"/>
      <w:lvlText w:val="•"/>
      <w:lvlJc w:val="left"/>
      <w:pPr>
        <w:tabs>
          <w:tab w:val="num" w:pos="4320"/>
        </w:tabs>
        <w:ind w:left="4320" w:hanging="360"/>
      </w:pPr>
      <w:rPr>
        <w:rFonts w:ascii="Arial" w:hAnsi="Arial" w:hint="default"/>
      </w:rPr>
    </w:lvl>
    <w:lvl w:ilvl="6" w:tplc="65CCC26E" w:tentative="1">
      <w:start w:val="1"/>
      <w:numFmt w:val="bullet"/>
      <w:lvlText w:val="•"/>
      <w:lvlJc w:val="left"/>
      <w:pPr>
        <w:tabs>
          <w:tab w:val="num" w:pos="5040"/>
        </w:tabs>
        <w:ind w:left="5040" w:hanging="360"/>
      </w:pPr>
      <w:rPr>
        <w:rFonts w:ascii="Arial" w:hAnsi="Arial" w:hint="default"/>
      </w:rPr>
    </w:lvl>
    <w:lvl w:ilvl="7" w:tplc="69B4A6D0" w:tentative="1">
      <w:start w:val="1"/>
      <w:numFmt w:val="bullet"/>
      <w:lvlText w:val="•"/>
      <w:lvlJc w:val="left"/>
      <w:pPr>
        <w:tabs>
          <w:tab w:val="num" w:pos="5760"/>
        </w:tabs>
        <w:ind w:left="5760" w:hanging="360"/>
      </w:pPr>
      <w:rPr>
        <w:rFonts w:ascii="Arial" w:hAnsi="Arial" w:hint="default"/>
      </w:rPr>
    </w:lvl>
    <w:lvl w:ilvl="8" w:tplc="E222CB66" w:tentative="1">
      <w:start w:val="1"/>
      <w:numFmt w:val="bullet"/>
      <w:lvlText w:val="•"/>
      <w:lvlJc w:val="left"/>
      <w:pPr>
        <w:tabs>
          <w:tab w:val="num" w:pos="6480"/>
        </w:tabs>
        <w:ind w:left="6480" w:hanging="360"/>
      </w:pPr>
      <w:rPr>
        <w:rFonts w:ascii="Arial" w:hAnsi="Arial" w:hint="default"/>
      </w:rPr>
    </w:lvl>
  </w:abstractNum>
  <w:abstractNum w:abstractNumId="18">
    <w:nsid w:val="3F8C2278"/>
    <w:multiLevelType w:val="hybridMultilevel"/>
    <w:tmpl w:val="19C26C66"/>
    <w:lvl w:ilvl="0" w:tplc="142A0A34">
      <w:start w:val="1"/>
      <w:numFmt w:val="bullet"/>
      <w:lvlText w:val="•"/>
      <w:lvlJc w:val="left"/>
      <w:pPr>
        <w:tabs>
          <w:tab w:val="num" w:pos="720"/>
        </w:tabs>
        <w:ind w:left="720" w:hanging="360"/>
      </w:pPr>
      <w:rPr>
        <w:rFonts w:ascii="Arial" w:hAnsi="Arial" w:hint="default"/>
      </w:rPr>
    </w:lvl>
    <w:lvl w:ilvl="1" w:tplc="E9E8293A" w:tentative="1">
      <w:start w:val="1"/>
      <w:numFmt w:val="bullet"/>
      <w:lvlText w:val="•"/>
      <w:lvlJc w:val="left"/>
      <w:pPr>
        <w:tabs>
          <w:tab w:val="num" w:pos="1440"/>
        </w:tabs>
        <w:ind w:left="1440" w:hanging="360"/>
      </w:pPr>
      <w:rPr>
        <w:rFonts w:ascii="Arial" w:hAnsi="Arial" w:hint="default"/>
      </w:rPr>
    </w:lvl>
    <w:lvl w:ilvl="2" w:tplc="F4A28032" w:tentative="1">
      <w:start w:val="1"/>
      <w:numFmt w:val="bullet"/>
      <w:lvlText w:val="•"/>
      <w:lvlJc w:val="left"/>
      <w:pPr>
        <w:tabs>
          <w:tab w:val="num" w:pos="2160"/>
        </w:tabs>
        <w:ind w:left="2160" w:hanging="360"/>
      </w:pPr>
      <w:rPr>
        <w:rFonts w:ascii="Arial" w:hAnsi="Arial" w:hint="default"/>
      </w:rPr>
    </w:lvl>
    <w:lvl w:ilvl="3" w:tplc="8416DC60" w:tentative="1">
      <w:start w:val="1"/>
      <w:numFmt w:val="bullet"/>
      <w:lvlText w:val="•"/>
      <w:lvlJc w:val="left"/>
      <w:pPr>
        <w:tabs>
          <w:tab w:val="num" w:pos="2880"/>
        </w:tabs>
        <w:ind w:left="2880" w:hanging="360"/>
      </w:pPr>
      <w:rPr>
        <w:rFonts w:ascii="Arial" w:hAnsi="Arial" w:hint="default"/>
      </w:rPr>
    </w:lvl>
    <w:lvl w:ilvl="4" w:tplc="D6E46514" w:tentative="1">
      <w:start w:val="1"/>
      <w:numFmt w:val="bullet"/>
      <w:lvlText w:val="•"/>
      <w:lvlJc w:val="left"/>
      <w:pPr>
        <w:tabs>
          <w:tab w:val="num" w:pos="3600"/>
        </w:tabs>
        <w:ind w:left="3600" w:hanging="360"/>
      </w:pPr>
      <w:rPr>
        <w:rFonts w:ascii="Arial" w:hAnsi="Arial" w:hint="default"/>
      </w:rPr>
    </w:lvl>
    <w:lvl w:ilvl="5" w:tplc="311A1FC8" w:tentative="1">
      <w:start w:val="1"/>
      <w:numFmt w:val="bullet"/>
      <w:lvlText w:val="•"/>
      <w:lvlJc w:val="left"/>
      <w:pPr>
        <w:tabs>
          <w:tab w:val="num" w:pos="4320"/>
        </w:tabs>
        <w:ind w:left="4320" w:hanging="360"/>
      </w:pPr>
      <w:rPr>
        <w:rFonts w:ascii="Arial" w:hAnsi="Arial" w:hint="default"/>
      </w:rPr>
    </w:lvl>
    <w:lvl w:ilvl="6" w:tplc="980A67B0" w:tentative="1">
      <w:start w:val="1"/>
      <w:numFmt w:val="bullet"/>
      <w:lvlText w:val="•"/>
      <w:lvlJc w:val="left"/>
      <w:pPr>
        <w:tabs>
          <w:tab w:val="num" w:pos="5040"/>
        </w:tabs>
        <w:ind w:left="5040" w:hanging="360"/>
      </w:pPr>
      <w:rPr>
        <w:rFonts w:ascii="Arial" w:hAnsi="Arial" w:hint="default"/>
      </w:rPr>
    </w:lvl>
    <w:lvl w:ilvl="7" w:tplc="60589728" w:tentative="1">
      <w:start w:val="1"/>
      <w:numFmt w:val="bullet"/>
      <w:lvlText w:val="•"/>
      <w:lvlJc w:val="left"/>
      <w:pPr>
        <w:tabs>
          <w:tab w:val="num" w:pos="5760"/>
        </w:tabs>
        <w:ind w:left="5760" w:hanging="360"/>
      </w:pPr>
      <w:rPr>
        <w:rFonts w:ascii="Arial" w:hAnsi="Arial" w:hint="default"/>
      </w:rPr>
    </w:lvl>
    <w:lvl w:ilvl="8" w:tplc="52841E94" w:tentative="1">
      <w:start w:val="1"/>
      <w:numFmt w:val="bullet"/>
      <w:lvlText w:val="•"/>
      <w:lvlJc w:val="left"/>
      <w:pPr>
        <w:tabs>
          <w:tab w:val="num" w:pos="6480"/>
        </w:tabs>
        <w:ind w:left="6480" w:hanging="360"/>
      </w:pPr>
      <w:rPr>
        <w:rFonts w:ascii="Arial" w:hAnsi="Arial" w:hint="default"/>
      </w:rPr>
    </w:lvl>
  </w:abstractNum>
  <w:abstractNum w:abstractNumId="19">
    <w:nsid w:val="420E66EA"/>
    <w:multiLevelType w:val="hybridMultilevel"/>
    <w:tmpl w:val="D9FC4022"/>
    <w:lvl w:ilvl="0" w:tplc="D5F24A02">
      <w:start w:val="1"/>
      <w:numFmt w:val="bullet"/>
      <w:lvlText w:val="•"/>
      <w:lvlJc w:val="left"/>
      <w:pPr>
        <w:tabs>
          <w:tab w:val="num" w:pos="720"/>
        </w:tabs>
        <w:ind w:left="720" w:hanging="360"/>
      </w:pPr>
      <w:rPr>
        <w:rFonts w:ascii="Arial" w:hAnsi="Arial" w:hint="default"/>
      </w:rPr>
    </w:lvl>
    <w:lvl w:ilvl="1" w:tplc="C73CF676" w:tentative="1">
      <w:start w:val="1"/>
      <w:numFmt w:val="bullet"/>
      <w:lvlText w:val="•"/>
      <w:lvlJc w:val="left"/>
      <w:pPr>
        <w:tabs>
          <w:tab w:val="num" w:pos="1440"/>
        </w:tabs>
        <w:ind w:left="1440" w:hanging="360"/>
      </w:pPr>
      <w:rPr>
        <w:rFonts w:ascii="Arial" w:hAnsi="Arial" w:hint="default"/>
      </w:rPr>
    </w:lvl>
    <w:lvl w:ilvl="2" w:tplc="CBFE53DC" w:tentative="1">
      <w:start w:val="1"/>
      <w:numFmt w:val="bullet"/>
      <w:lvlText w:val="•"/>
      <w:lvlJc w:val="left"/>
      <w:pPr>
        <w:tabs>
          <w:tab w:val="num" w:pos="2160"/>
        </w:tabs>
        <w:ind w:left="2160" w:hanging="360"/>
      </w:pPr>
      <w:rPr>
        <w:rFonts w:ascii="Arial" w:hAnsi="Arial" w:hint="default"/>
      </w:rPr>
    </w:lvl>
    <w:lvl w:ilvl="3" w:tplc="976E01AC" w:tentative="1">
      <w:start w:val="1"/>
      <w:numFmt w:val="bullet"/>
      <w:lvlText w:val="•"/>
      <w:lvlJc w:val="left"/>
      <w:pPr>
        <w:tabs>
          <w:tab w:val="num" w:pos="2880"/>
        </w:tabs>
        <w:ind w:left="2880" w:hanging="360"/>
      </w:pPr>
      <w:rPr>
        <w:rFonts w:ascii="Arial" w:hAnsi="Arial" w:hint="default"/>
      </w:rPr>
    </w:lvl>
    <w:lvl w:ilvl="4" w:tplc="789C8B82" w:tentative="1">
      <w:start w:val="1"/>
      <w:numFmt w:val="bullet"/>
      <w:lvlText w:val="•"/>
      <w:lvlJc w:val="left"/>
      <w:pPr>
        <w:tabs>
          <w:tab w:val="num" w:pos="3600"/>
        </w:tabs>
        <w:ind w:left="3600" w:hanging="360"/>
      </w:pPr>
      <w:rPr>
        <w:rFonts w:ascii="Arial" w:hAnsi="Arial" w:hint="default"/>
      </w:rPr>
    </w:lvl>
    <w:lvl w:ilvl="5" w:tplc="67E41FCE" w:tentative="1">
      <w:start w:val="1"/>
      <w:numFmt w:val="bullet"/>
      <w:lvlText w:val="•"/>
      <w:lvlJc w:val="left"/>
      <w:pPr>
        <w:tabs>
          <w:tab w:val="num" w:pos="4320"/>
        </w:tabs>
        <w:ind w:left="4320" w:hanging="360"/>
      </w:pPr>
      <w:rPr>
        <w:rFonts w:ascii="Arial" w:hAnsi="Arial" w:hint="default"/>
      </w:rPr>
    </w:lvl>
    <w:lvl w:ilvl="6" w:tplc="6712BC18" w:tentative="1">
      <w:start w:val="1"/>
      <w:numFmt w:val="bullet"/>
      <w:lvlText w:val="•"/>
      <w:lvlJc w:val="left"/>
      <w:pPr>
        <w:tabs>
          <w:tab w:val="num" w:pos="5040"/>
        </w:tabs>
        <w:ind w:left="5040" w:hanging="360"/>
      </w:pPr>
      <w:rPr>
        <w:rFonts w:ascii="Arial" w:hAnsi="Arial" w:hint="default"/>
      </w:rPr>
    </w:lvl>
    <w:lvl w:ilvl="7" w:tplc="8EACBEA4" w:tentative="1">
      <w:start w:val="1"/>
      <w:numFmt w:val="bullet"/>
      <w:lvlText w:val="•"/>
      <w:lvlJc w:val="left"/>
      <w:pPr>
        <w:tabs>
          <w:tab w:val="num" w:pos="5760"/>
        </w:tabs>
        <w:ind w:left="5760" w:hanging="360"/>
      </w:pPr>
      <w:rPr>
        <w:rFonts w:ascii="Arial" w:hAnsi="Arial" w:hint="default"/>
      </w:rPr>
    </w:lvl>
    <w:lvl w:ilvl="8" w:tplc="231670A2" w:tentative="1">
      <w:start w:val="1"/>
      <w:numFmt w:val="bullet"/>
      <w:lvlText w:val="•"/>
      <w:lvlJc w:val="left"/>
      <w:pPr>
        <w:tabs>
          <w:tab w:val="num" w:pos="6480"/>
        </w:tabs>
        <w:ind w:left="6480" w:hanging="360"/>
      </w:pPr>
      <w:rPr>
        <w:rFonts w:ascii="Arial" w:hAnsi="Arial" w:hint="default"/>
      </w:rPr>
    </w:lvl>
  </w:abstractNum>
  <w:abstractNum w:abstractNumId="20">
    <w:nsid w:val="488E265D"/>
    <w:multiLevelType w:val="hybridMultilevel"/>
    <w:tmpl w:val="E3749F52"/>
    <w:lvl w:ilvl="0" w:tplc="B2785268">
      <w:start w:val="1"/>
      <w:numFmt w:val="bullet"/>
      <w:lvlText w:val="•"/>
      <w:lvlJc w:val="left"/>
      <w:pPr>
        <w:tabs>
          <w:tab w:val="num" w:pos="720"/>
        </w:tabs>
        <w:ind w:left="720" w:hanging="360"/>
      </w:pPr>
      <w:rPr>
        <w:rFonts w:ascii="Arial" w:hAnsi="Arial" w:hint="default"/>
      </w:rPr>
    </w:lvl>
    <w:lvl w:ilvl="1" w:tplc="E4AEA0FC" w:tentative="1">
      <w:start w:val="1"/>
      <w:numFmt w:val="bullet"/>
      <w:lvlText w:val="•"/>
      <w:lvlJc w:val="left"/>
      <w:pPr>
        <w:tabs>
          <w:tab w:val="num" w:pos="1440"/>
        </w:tabs>
        <w:ind w:left="1440" w:hanging="360"/>
      </w:pPr>
      <w:rPr>
        <w:rFonts w:ascii="Arial" w:hAnsi="Arial" w:hint="default"/>
      </w:rPr>
    </w:lvl>
    <w:lvl w:ilvl="2" w:tplc="541C1274" w:tentative="1">
      <w:start w:val="1"/>
      <w:numFmt w:val="bullet"/>
      <w:lvlText w:val="•"/>
      <w:lvlJc w:val="left"/>
      <w:pPr>
        <w:tabs>
          <w:tab w:val="num" w:pos="2160"/>
        </w:tabs>
        <w:ind w:left="2160" w:hanging="360"/>
      </w:pPr>
      <w:rPr>
        <w:rFonts w:ascii="Arial" w:hAnsi="Arial" w:hint="default"/>
      </w:rPr>
    </w:lvl>
    <w:lvl w:ilvl="3" w:tplc="3F785910" w:tentative="1">
      <w:start w:val="1"/>
      <w:numFmt w:val="bullet"/>
      <w:lvlText w:val="•"/>
      <w:lvlJc w:val="left"/>
      <w:pPr>
        <w:tabs>
          <w:tab w:val="num" w:pos="2880"/>
        </w:tabs>
        <w:ind w:left="2880" w:hanging="360"/>
      </w:pPr>
      <w:rPr>
        <w:rFonts w:ascii="Arial" w:hAnsi="Arial" w:hint="default"/>
      </w:rPr>
    </w:lvl>
    <w:lvl w:ilvl="4" w:tplc="47529FF8" w:tentative="1">
      <w:start w:val="1"/>
      <w:numFmt w:val="bullet"/>
      <w:lvlText w:val="•"/>
      <w:lvlJc w:val="left"/>
      <w:pPr>
        <w:tabs>
          <w:tab w:val="num" w:pos="3600"/>
        </w:tabs>
        <w:ind w:left="3600" w:hanging="360"/>
      </w:pPr>
      <w:rPr>
        <w:rFonts w:ascii="Arial" w:hAnsi="Arial" w:hint="default"/>
      </w:rPr>
    </w:lvl>
    <w:lvl w:ilvl="5" w:tplc="6B5C405E" w:tentative="1">
      <w:start w:val="1"/>
      <w:numFmt w:val="bullet"/>
      <w:lvlText w:val="•"/>
      <w:lvlJc w:val="left"/>
      <w:pPr>
        <w:tabs>
          <w:tab w:val="num" w:pos="4320"/>
        </w:tabs>
        <w:ind w:left="4320" w:hanging="360"/>
      </w:pPr>
      <w:rPr>
        <w:rFonts w:ascii="Arial" w:hAnsi="Arial" w:hint="default"/>
      </w:rPr>
    </w:lvl>
    <w:lvl w:ilvl="6" w:tplc="D0C2185C" w:tentative="1">
      <w:start w:val="1"/>
      <w:numFmt w:val="bullet"/>
      <w:lvlText w:val="•"/>
      <w:lvlJc w:val="left"/>
      <w:pPr>
        <w:tabs>
          <w:tab w:val="num" w:pos="5040"/>
        </w:tabs>
        <w:ind w:left="5040" w:hanging="360"/>
      </w:pPr>
      <w:rPr>
        <w:rFonts w:ascii="Arial" w:hAnsi="Arial" w:hint="default"/>
      </w:rPr>
    </w:lvl>
    <w:lvl w:ilvl="7" w:tplc="C4F453BA" w:tentative="1">
      <w:start w:val="1"/>
      <w:numFmt w:val="bullet"/>
      <w:lvlText w:val="•"/>
      <w:lvlJc w:val="left"/>
      <w:pPr>
        <w:tabs>
          <w:tab w:val="num" w:pos="5760"/>
        </w:tabs>
        <w:ind w:left="5760" w:hanging="360"/>
      </w:pPr>
      <w:rPr>
        <w:rFonts w:ascii="Arial" w:hAnsi="Arial" w:hint="default"/>
      </w:rPr>
    </w:lvl>
    <w:lvl w:ilvl="8" w:tplc="6CA0BE7E" w:tentative="1">
      <w:start w:val="1"/>
      <w:numFmt w:val="bullet"/>
      <w:lvlText w:val="•"/>
      <w:lvlJc w:val="left"/>
      <w:pPr>
        <w:tabs>
          <w:tab w:val="num" w:pos="6480"/>
        </w:tabs>
        <w:ind w:left="6480" w:hanging="360"/>
      </w:pPr>
      <w:rPr>
        <w:rFonts w:ascii="Arial" w:hAnsi="Arial" w:hint="default"/>
      </w:rPr>
    </w:lvl>
  </w:abstractNum>
  <w:abstractNum w:abstractNumId="21">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9B557D"/>
    <w:multiLevelType w:val="hybridMultilevel"/>
    <w:tmpl w:val="E23C9DD4"/>
    <w:lvl w:ilvl="0" w:tplc="47283EAA">
      <w:start w:val="1"/>
      <w:numFmt w:val="bullet"/>
      <w:lvlText w:val="•"/>
      <w:lvlJc w:val="left"/>
      <w:pPr>
        <w:tabs>
          <w:tab w:val="num" w:pos="720"/>
        </w:tabs>
        <w:ind w:left="720" w:hanging="360"/>
      </w:pPr>
      <w:rPr>
        <w:rFonts w:ascii="Arial" w:hAnsi="Arial" w:hint="default"/>
      </w:rPr>
    </w:lvl>
    <w:lvl w:ilvl="1" w:tplc="7D22F526" w:tentative="1">
      <w:start w:val="1"/>
      <w:numFmt w:val="bullet"/>
      <w:lvlText w:val="•"/>
      <w:lvlJc w:val="left"/>
      <w:pPr>
        <w:tabs>
          <w:tab w:val="num" w:pos="1440"/>
        </w:tabs>
        <w:ind w:left="1440" w:hanging="360"/>
      </w:pPr>
      <w:rPr>
        <w:rFonts w:ascii="Arial" w:hAnsi="Arial" w:hint="default"/>
      </w:rPr>
    </w:lvl>
    <w:lvl w:ilvl="2" w:tplc="4678FB9A" w:tentative="1">
      <w:start w:val="1"/>
      <w:numFmt w:val="bullet"/>
      <w:lvlText w:val="•"/>
      <w:lvlJc w:val="left"/>
      <w:pPr>
        <w:tabs>
          <w:tab w:val="num" w:pos="2160"/>
        </w:tabs>
        <w:ind w:left="2160" w:hanging="360"/>
      </w:pPr>
      <w:rPr>
        <w:rFonts w:ascii="Arial" w:hAnsi="Arial" w:hint="default"/>
      </w:rPr>
    </w:lvl>
    <w:lvl w:ilvl="3" w:tplc="C7BAE5B0" w:tentative="1">
      <w:start w:val="1"/>
      <w:numFmt w:val="bullet"/>
      <w:lvlText w:val="•"/>
      <w:lvlJc w:val="left"/>
      <w:pPr>
        <w:tabs>
          <w:tab w:val="num" w:pos="2880"/>
        </w:tabs>
        <w:ind w:left="2880" w:hanging="360"/>
      </w:pPr>
      <w:rPr>
        <w:rFonts w:ascii="Arial" w:hAnsi="Arial" w:hint="default"/>
      </w:rPr>
    </w:lvl>
    <w:lvl w:ilvl="4" w:tplc="26AE5D82" w:tentative="1">
      <w:start w:val="1"/>
      <w:numFmt w:val="bullet"/>
      <w:lvlText w:val="•"/>
      <w:lvlJc w:val="left"/>
      <w:pPr>
        <w:tabs>
          <w:tab w:val="num" w:pos="3600"/>
        </w:tabs>
        <w:ind w:left="3600" w:hanging="360"/>
      </w:pPr>
      <w:rPr>
        <w:rFonts w:ascii="Arial" w:hAnsi="Arial" w:hint="default"/>
      </w:rPr>
    </w:lvl>
    <w:lvl w:ilvl="5" w:tplc="DC10EF30" w:tentative="1">
      <w:start w:val="1"/>
      <w:numFmt w:val="bullet"/>
      <w:lvlText w:val="•"/>
      <w:lvlJc w:val="left"/>
      <w:pPr>
        <w:tabs>
          <w:tab w:val="num" w:pos="4320"/>
        </w:tabs>
        <w:ind w:left="4320" w:hanging="360"/>
      </w:pPr>
      <w:rPr>
        <w:rFonts w:ascii="Arial" w:hAnsi="Arial" w:hint="default"/>
      </w:rPr>
    </w:lvl>
    <w:lvl w:ilvl="6" w:tplc="BDF62D98" w:tentative="1">
      <w:start w:val="1"/>
      <w:numFmt w:val="bullet"/>
      <w:lvlText w:val="•"/>
      <w:lvlJc w:val="left"/>
      <w:pPr>
        <w:tabs>
          <w:tab w:val="num" w:pos="5040"/>
        </w:tabs>
        <w:ind w:left="5040" w:hanging="360"/>
      </w:pPr>
      <w:rPr>
        <w:rFonts w:ascii="Arial" w:hAnsi="Arial" w:hint="default"/>
      </w:rPr>
    </w:lvl>
    <w:lvl w:ilvl="7" w:tplc="8646A46A" w:tentative="1">
      <w:start w:val="1"/>
      <w:numFmt w:val="bullet"/>
      <w:lvlText w:val="•"/>
      <w:lvlJc w:val="left"/>
      <w:pPr>
        <w:tabs>
          <w:tab w:val="num" w:pos="5760"/>
        </w:tabs>
        <w:ind w:left="5760" w:hanging="360"/>
      </w:pPr>
      <w:rPr>
        <w:rFonts w:ascii="Arial" w:hAnsi="Arial" w:hint="default"/>
      </w:rPr>
    </w:lvl>
    <w:lvl w:ilvl="8" w:tplc="122ED176" w:tentative="1">
      <w:start w:val="1"/>
      <w:numFmt w:val="bullet"/>
      <w:lvlText w:val="•"/>
      <w:lvlJc w:val="left"/>
      <w:pPr>
        <w:tabs>
          <w:tab w:val="num" w:pos="6480"/>
        </w:tabs>
        <w:ind w:left="6480" w:hanging="360"/>
      </w:pPr>
      <w:rPr>
        <w:rFonts w:ascii="Arial" w:hAnsi="Arial" w:hint="default"/>
      </w:rPr>
    </w:lvl>
  </w:abstractNum>
  <w:abstractNum w:abstractNumId="23">
    <w:nsid w:val="52C46C63"/>
    <w:multiLevelType w:val="hybridMultilevel"/>
    <w:tmpl w:val="B4965D76"/>
    <w:lvl w:ilvl="0" w:tplc="EE2A823E">
      <w:start w:val="1"/>
      <w:numFmt w:val="decimal"/>
      <w:lvlText w:val="%1."/>
      <w:lvlJc w:val="left"/>
      <w:pPr>
        <w:tabs>
          <w:tab w:val="num" w:pos="720"/>
        </w:tabs>
        <w:ind w:left="720" w:hanging="360"/>
      </w:pPr>
    </w:lvl>
    <w:lvl w:ilvl="1" w:tplc="E96C6D6C" w:tentative="1">
      <w:start w:val="1"/>
      <w:numFmt w:val="decimal"/>
      <w:lvlText w:val="%2."/>
      <w:lvlJc w:val="left"/>
      <w:pPr>
        <w:tabs>
          <w:tab w:val="num" w:pos="1440"/>
        </w:tabs>
        <w:ind w:left="1440" w:hanging="360"/>
      </w:pPr>
    </w:lvl>
    <w:lvl w:ilvl="2" w:tplc="450EB472" w:tentative="1">
      <w:start w:val="1"/>
      <w:numFmt w:val="decimal"/>
      <w:lvlText w:val="%3."/>
      <w:lvlJc w:val="left"/>
      <w:pPr>
        <w:tabs>
          <w:tab w:val="num" w:pos="2160"/>
        </w:tabs>
        <w:ind w:left="2160" w:hanging="360"/>
      </w:pPr>
    </w:lvl>
    <w:lvl w:ilvl="3" w:tplc="FCD2B826" w:tentative="1">
      <w:start w:val="1"/>
      <w:numFmt w:val="decimal"/>
      <w:lvlText w:val="%4."/>
      <w:lvlJc w:val="left"/>
      <w:pPr>
        <w:tabs>
          <w:tab w:val="num" w:pos="2880"/>
        </w:tabs>
        <w:ind w:left="2880" w:hanging="360"/>
      </w:pPr>
    </w:lvl>
    <w:lvl w:ilvl="4" w:tplc="FE0EF48C" w:tentative="1">
      <w:start w:val="1"/>
      <w:numFmt w:val="decimal"/>
      <w:lvlText w:val="%5."/>
      <w:lvlJc w:val="left"/>
      <w:pPr>
        <w:tabs>
          <w:tab w:val="num" w:pos="3600"/>
        </w:tabs>
        <w:ind w:left="3600" w:hanging="360"/>
      </w:pPr>
    </w:lvl>
    <w:lvl w:ilvl="5" w:tplc="557493FA" w:tentative="1">
      <w:start w:val="1"/>
      <w:numFmt w:val="decimal"/>
      <w:lvlText w:val="%6."/>
      <w:lvlJc w:val="left"/>
      <w:pPr>
        <w:tabs>
          <w:tab w:val="num" w:pos="4320"/>
        </w:tabs>
        <w:ind w:left="4320" w:hanging="360"/>
      </w:pPr>
    </w:lvl>
    <w:lvl w:ilvl="6" w:tplc="52945BB2" w:tentative="1">
      <w:start w:val="1"/>
      <w:numFmt w:val="decimal"/>
      <w:lvlText w:val="%7."/>
      <w:lvlJc w:val="left"/>
      <w:pPr>
        <w:tabs>
          <w:tab w:val="num" w:pos="5040"/>
        </w:tabs>
        <w:ind w:left="5040" w:hanging="360"/>
      </w:pPr>
    </w:lvl>
    <w:lvl w:ilvl="7" w:tplc="162AADCE" w:tentative="1">
      <w:start w:val="1"/>
      <w:numFmt w:val="decimal"/>
      <w:lvlText w:val="%8."/>
      <w:lvlJc w:val="left"/>
      <w:pPr>
        <w:tabs>
          <w:tab w:val="num" w:pos="5760"/>
        </w:tabs>
        <w:ind w:left="5760" w:hanging="360"/>
      </w:pPr>
    </w:lvl>
    <w:lvl w:ilvl="8" w:tplc="5032F314" w:tentative="1">
      <w:start w:val="1"/>
      <w:numFmt w:val="decimal"/>
      <w:lvlText w:val="%9."/>
      <w:lvlJc w:val="left"/>
      <w:pPr>
        <w:tabs>
          <w:tab w:val="num" w:pos="6480"/>
        </w:tabs>
        <w:ind w:left="6480" w:hanging="360"/>
      </w:pPr>
    </w:lvl>
  </w:abstractNum>
  <w:abstractNum w:abstractNumId="24">
    <w:nsid w:val="5F661646"/>
    <w:multiLevelType w:val="hybridMultilevel"/>
    <w:tmpl w:val="59CA109E"/>
    <w:lvl w:ilvl="0" w:tplc="BFB293DA">
      <w:start w:val="1"/>
      <w:numFmt w:val="bullet"/>
      <w:lvlText w:val="•"/>
      <w:lvlJc w:val="left"/>
      <w:pPr>
        <w:tabs>
          <w:tab w:val="num" w:pos="720"/>
        </w:tabs>
        <w:ind w:left="720" w:hanging="360"/>
      </w:pPr>
      <w:rPr>
        <w:rFonts w:ascii="Arial" w:hAnsi="Arial" w:hint="default"/>
      </w:rPr>
    </w:lvl>
    <w:lvl w:ilvl="1" w:tplc="9AF4300C" w:tentative="1">
      <w:start w:val="1"/>
      <w:numFmt w:val="bullet"/>
      <w:lvlText w:val="•"/>
      <w:lvlJc w:val="left"/>
      <w:pPr>
        <w:tabs>
          <w:tab w:val="num" w:pos="1440"/>
        </w:tabs>
        <w:ind w:left="1440" w:hanging="360"/>
      </w:pPr>
      <w:rPr>
        <w:rFonts w:ascii="Arial" w:hAnsi="Arial" w:hint="default"/>
      </w:rPr>
    </w:lvl>
    <w:lvl w:ilvl="2" w:tplc="CA92B8E8" w:tentative="1">
      <w:start w:val="1"/>
      <w:numFmt w:val="bullet"/>
      <w:lvlText w:val="•"/>
      <w:lvlJc w:val="left"/>
      <w:pPr>
        <w:tabs>
          <w:tab w:val="num" w:pos="2160"/>
        </w:tabs>
        <w:ind w:left="2160" w:hanging="360"/>
      </w:pPr>
      <w:rPr>
        <w:rFonts w:ascii="Arial" w:hAnsi="Arial" w:hint="default"/>
      </w:rPr>
    </w:lvl>
    <w:lvl w:ilvl="3" w:tplc="3E08019C" w:tentative="1">
      <w:start w:val="1"/>
      <w:numFmt w:val="bullet"/>
      <w:lvlText w:val="•"/>
      <w:lvlJc w:val="left"/>
      <w:pPr>
        <w:tabs>
          <w:tab w:val="num" w:pos="2880"/>
        </w:tabs>
        <w:ind w:left="2880" w:hanging="360"/>
      </w:pPr>
      <w:rPr>
        <w:rFonts w:ascii="Arial" w:hAnsi="Arial" w:hint="default"/>
      </w:rPr>
    </w:lvl>
    <w:lvl w:ilvl="4" w:tplc="16AC2938" w:tentative="1">
      <w:start w:val="1"/>
      <w:numFmt w:val="bullet"/>
      <w:lvlText w:val="•"/>
      <w:lvlJc w:val="left"/>
      <w:pPr>
        <w:tabs>
          <w:tab w:val="num" w:pos="3600"/>
        </w:tabs>
        <w:ind w:left="3600" w:hanging="360"/>
      </w:pPr>
      <w:rPr>
        <w:rFonts w:ascii="Arial" w:hAnsi="Arial" w:hint="default"/>
      </w:rPr>
    </w:lvl>
    <w:lvl w:ilvl="5" w:tplc="CF6E5978" w:tentative="1">
      <w:start w:val="1"/>
      <w:numFmt w:val="bullet"/>
      <w:lvlText w:val="•"/>
      <w:lvlJc w:val="left"/>
      <w:pPr>
        <w:tabs>
          <w:tab w:val="num" w:pos="4320"/>
        </w:tabs>
        <w:ind w:left="4320" w:hanging="360"/>
      </w:pPr>
      <w:rPr>
        <w:rFonts w:ascii="Arial" w:hAnsi="Arial" w:hint="default"/>
      </w:rPr>
    </w:lvl>
    <w:lvl w:ilvl="6" w:tplc="C5583548" w:tentative="1">
      <w:start w:val="1"/>
      <w:numFmt w:val="bullet"/>
      <w:lvlText w:val="•"/>
      <w:lvlJc w:val="left"/>
      <w:pPr>
        <w:tabs>
          <w:tab w:val="num" w:pos="5040"/>
        </w:tabs>
        <w:ind w:left="5040" w:hanging="360"/>
      </w:pPr>
      <w:rPr>
        <w:rFonts w:ascii="Arial" w:hAnsi="Arial" w:hint="default"/>
      </w:rPr>
    </w:lvl>
    <w:lvl w:ilvl="7" w:tplc="777C5FB2" w:tentative="1">
      <w:start w:val="1"/>
      <w:numFmt w:val="bullet"/>
      <w:lvlText w:val="•"/>
      <w:lvlJc w:val="left"/>
      <w:pPr>
        <w:tabs>
          <w:tab w:val="num" w:pos="5760"/>
        </w:tabs>
        <w:ind w:left="5760" w:hanging="360"/>
      </w:pPr>
      <w:rPr>
        <w:rFonts w:ascii="Arial" w:hAnsi="Arial" w:hint="default"/>
      </w:rPr>
    </w:lvl>
    <w:lvl w:ilvl="8" w:tplc="896EC9B2" w:tentative="1">
      <w:start w:val="1"/>
      <w:numFmt w:val="bullet"/>
      <w:lvlText w:val="•"/>
      <w:lvlJc w:val="left"/>
      <w:pPr>
        <w:tabs>
          <w:tab w:val="num" w:pos="6480"/>
        </w:tabs>
        <w:ind w:left="6480" w:hanging="360"/>
      </w:pPr>
      <w:rPr>
        <w:rFonts w:ascii="Arial" w:hAnsi="Arial" w:hint="default"/>
      </w:rPr>
    </w:lvl>
  </w:abstractNum>
  <w:abstractNum w:abstractNumId="25">
    <w:nsid w:val="6BAF5412"/>
    <w:multiLevelType w:val="hybridMultilevel"/>
    <w:tmpl w:val="FFE6B33A"/>
    <w:lvl w:ilvl="0" w:tplc="509864D6">
      <w:start w:val="1"/>
      <w:numFmt w:val="bullet"/>
      <w:lvlText w:val="•"/>
      <w:lvlJc w:val="left"/>
      <w:pPr>
        <w:tabs>
          <w:tab w:val="num" w:pos="720"/>
        </w:tabs>
        <w:ind w:left="720" w:hanging="360"/>
      </w:pPr>
      <w:rPr>
        <w:rFonts w:ascii="Arial" w:hAnsi="Arial" w:hint="default"/>
      </w:rPr>
    </w:lvl>
    <w:lvl w:ilvl="1" w:tplc="FFF60DA0" w:tentative="1">
      <w:start w:val="1"/>
      <w:numFmt w:val="bullet"/>
      <w:lvlText w:val="•"/>
      <w:lvlJc w:val="left"/>
      <w:pPr>
        <w:tabs>
          <w:tab w:val="num" w:pos="1440"/>
        </w:tabs>
        <w:ind w:left="1440" w:hanging="360"/>
      </w:pPr>
      <w:rPr>
        <w:rFonts w:ascii="Arial" w:hAnsi="Arial" w:hint="default"/>
      </w:rPr>
    </w:lvl>
    <w:lvl w:ilvl="2" w:tplc="114AAA88" w:tentative="1">
      <w:start w:val="1"/>
      <w:numFmt w:val="bullet"/>
      <w:lvlText w:val="•"/>
      <w:lvlJc w:val="left"/>
      <w:pPr>
        <w:tabs>
          <w:tab w:val="num" w:pos="2160"/>
        </w:tabs>
        <w:ind w:left="2160" w:hanging="360"/>
      </w:pPr>
      <w:rPr>
        <w:rFonts w:ascii="Arial" w:hAnsi="Arial" w:hint="default"/>
      </w:rPr>
    </w:lvl>
    <w:lvl w:ilvl="3" w:tplc="9C001484" w:tentative="1">
      <w:start w:val="1"/>
      <w:numFmt w:val="bullet"/>
      <w:lvlText w:val="•"/>
      <w:lvlJc w:val="left"/>
      <w:pPr>
        <w:tabs>
          <w:tab w:val="num" w:pos="2880"/>
        </w:tabs>
        <w:ind w:left="2880" w:hanging="360"/>
      </w:pPr>
      <w:rPr>
        <w:rFonts w:ascii="Arial" w:hAnsi="Arial" w:hint="default"/>
      </w:rPr>
    </w:lvl>
    <w:lvl w:ilvl="4" w:tplc="6AEAED3A" w:tentative="1">
      <w:start w:val="1"/>
      <w:numFmt w:val="bullet"/>
      <w:lvlText w:val="•"/>
      <w:lvlJc w:val="left"/>
      <w:pPr>
        <w:tabs>
          <w:tab w:val="num" w:pos="3600"/>
        </w:tabs>
        <w:ind w:left="3600" w:hanging="360"/>
      </w:pPr>
      <w:rPr>
        <w:rFonts w:ascii="Arial" w:hAnsi="Arial" w:hint="default"/>
      </w:rPr>
    </w:lvl>
    <w:lvl w:ilvl="5" w:tplc="7A8499A4" w:tentative="1">
      <w:start w:val="1"/>
      <w:numFmt w:val="bullet"/>
      <w:lvlText w:val="•"/>
      <w:lvlJc w:val="left"/>
      <w:pPr>
        <w:tabs>
          <w:tab w:val="num" w:pos="4320"/>
        </w:tabs>
        <w:ind w:left="4320" w:hanging="360"/>
      </w:pPr>
      <w:rPr>
        <w:rFonts w:ascii="Arial" w:hAnsi="Arial" w:hint="default"/>
      </w:rPr>
    </w:lvl>
    <w:lvl w:ilvl="6" w:tplc="C7DCCD2A" w:tentative="1">
      <w:start w:val="1"/>
      <w:numFmt w:val="bullet"/>
      <w:lvlText w:val="•"/>
      <w:lvlJc w:val="left"/>
      <w:pPr>
        <w:tabs>
          <w:tab w:val="num" w:pos="5040"/>
        </w:tabs>
        <w:ind w:left="5040" w:hanging="360"/>
      </w:pPr>
      <w:rPr>
        <w:rFonts w:ascii="Arial" w:hAnsi="Arial" w:hint="default"/>
      </w:rPr>
    </w:lvl>
    <w:lvl w:ilvl="7" w:tplc="5BCAE6A8" w:tentative="1">
      <w:start w:val="1"/>
      <w:numFmt w:val="bullet"/>
      <w:lvlText w:val="•"/>
      <w:lvlJc w:val="left"/>
      <w:pPr>
        <w:tabs>
          <w:tab w:val="num" w:pos="5760"/>
        </w:tabs>
        <w:ind w:left="5760" w:hanging="360"/>
      </w:pPr>
      <w:rPr>
        <w:rFonts w:ascii="Arial" w:hAnsi="Arial" w:hint="default"/>
      </w:rPr>
    </w:lvl>
    <w:lvl w:ilvl="8" w:tplc="3FE6E110" w:tentative="1">
      <w:start w:val="1"/>
      <w:numFmt w:val="bullet"/>
      <w:lvlText w:val="•"/>
      <w:lvlJc w:val="left"/>
      <w:pPr>
        <w:tabs>
          <w:tab w:val="num" w:pos="6480"/>
        </w:tabs>
        <w:ind w:left="6480" w:hanging="360"/>
      </w:pPr>
      <w:rPr>
        <w:rFonts w:ascii="Arial" w:hAnsi="Arial" w:hint="default"/>
      </w:rPr>
    </w:lvl>
  </w:abstractNum>
  <w:abstractNum w:abstractNumId="26">
    <w:nsid w:val="6CF66737"/>
    <w:multiLevelType w:val="hybridMultilevel"/>
    <w:tmpl w:val="8F7E6530"/>
    <w:lvl w:ilvl="0" w:tplc="4AF649AE">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9046350"/>
    <w:multiLevelType w:val="hybridMultilevel"/>
    <w:tmpl w:val="6B8A22AA"/>
    <w:lvl w:ilvl="0" w:tplc="317A89DA">
      <w:start w:val="1"/>
      <w:numFmt w:val="bullet"/>
      <w:lvlText w:val="•"/>
      <w:lvlJc w:val="left"/>
      <w:pPr>
        <w:tabs>
          <w:tab w:val="num" w:pos="720"/>
        </w:tabs>
        <w:ind w:left="720" w:hanging="360"/>
      </w:pPr>
      <w:rPr>
        <w:rFonts w:ascii="Arial" w:hAnsi="Arial" w:hint="default"/>
      </w:rPr>
    </w:lvl>
    <w:lvl w:ilvl="1" w:tplc="EE1C4D08" w:tentative="1">
      <w:start w:val="1"/>
      <w:numFmt w:val="bullet"/>
      <w:lvlText w:val="•"/>
      <w:lvlJc w:val="left"/>
      <w:pPr>
        <w:tabs>
          <w:tab w:val="num" w:pos="1440"/>
        </w:tabs>
        <w:ind w:left="1440" w:hanging="360"/>
      </w:pPr>
      <w:rPr>
        <w:rFonts w:ascii="Arial" w:hAnsi="Arial" w:hint="default"/>
      </w:rPr>
    </w:lvl>
    <w:lvl w:ilvl="2" w:tplc="9D404716" w:tentative="1">
      <w:start w:val="1"/>
      <w:numFmt w:val="bullet"/>
      <w:lvlText w:val="•"/>
      <w:lvlJc w:val="left"/>
      <w:pPr>
        <w:tabs>
          <w:tab w:val="num" w:pos="2160"/>
        </w:tabs>
        <w:ind w:left="2160" w:hanging="360"/>
      </w:pPr>
      <w:rPr>
        <w:rFonts w:ascii="Arial" w:hAnsi="Arial" w:hint="default"/>
      </w:rPr>
    </w:lvl>
    <w:lvl w:ilvl="3" w:tplc="7B74871C" w:tentative="1">
      <w:start w:val="1"/>
      <w:numFmt w:val="bullet"/>
      <w:lvlText w:val="•"/>
      <w:lvlJc w:val="left"/>
      <w:pPr>
        <w:tabs>
          <w:tab w:val="num" w:pos="2880"/>
        </w:tabs>
        <w:ind w:left="2880" w:hanging="360"/>
      </w:pPr>
      <w:rPr>
        <w:rFonts w:ascii="Arial" w:hAnsi="Arial" w:hint="default"/>
      </w:rPr>
    </w:lvl>
    <w:lvl w:ilvl="4" w:tplc="A2D40778" w:tentative="1">
      <w:start w:val="1"/>
      <w:numFmt w:val="bullet"/>
      <w:lvlText w:val="•"/>
      <w:lvlJc w:val="left"/>
      <w:pPr>
        <w:tabs>
          <w:tab w:val="num" w:pos="3600"/>
        </w:tabs>
        <w:ind w:left="3600" w:hanging="360"/>
      </w:pPr>
      <w:rPr>
        <w:rFonts w:ascii="Arial" w:hAnsi="Arial" w:hint="default"/>
      </w:rPr>
    </w:lvl>
    <w:lvl w:ilvl="5" w:tplc="EA7653C8" w:tentative="1">
      <w:start w:val="1"/>
      <w:numFmt w:val="bullet"/>
      <w:lvlText w:val="•"/>
      <w:lvlJc w:val="left"/>
      <w:pPr>
        <w:tabs>
          <w:tab w:val="num" w:pos="4320"/>
        </w:tabs>
        <w:ind w:left="4320" w:hanging="360"/>
      </w:pPr>
      <w:rPr>
        <w:rFonts w:ascii="Arial" w:hAnsi="Arial" w:hint="default"/>
      </w:rPr>
    </w:lvl>
    <w:lvl w:ilvl="6" w:tplc="B84A8D34" w:tentative="1">
      <w:start w:val="1"/>
      <w:numFmt w:val="bullet"/>
      <w:lvlText w:val="•"/>
      <w:lvlJc w:val="left"/>
      <w:pPr>
        <w:tabs>
          <w:tab w:val="num" w:pos="5040"/>
        </w:tabs>
        <w:ind w:left="5040" w:hanging="360"/>
      </w:pPr>
      <w:rPr>
        <w:rFonts w:ascii="Arial" w:hAnsi="Arial" w:hint="default"/>
      </w:rPr>
    </w:lvl>
    <w:lvl w:ilvl="7" w:tplc="74B6E472" w:tentative="1">
      <w:start w:val="1"/>
      <w:numFmt w:val="bullet"/>
      <w:lvlText w:val="•"/>
      <w:lvlJc w:val="left"/>
      <w:pPr>
        <w:tabs>
          <w:tab w:val="num" w:pos="5760"/>
        </w:tabs>
        <w:ind w:left="5760" w:hanging="360"/>
      </w:pPr>
      <w:rPr>
        <w:rFonts w:ascii="Arial" w:hAnsi="Arial" w:hint="default"/>
      </w:rPr>
    </w:lvl>
    <w:lvl w:ilvl="8" w:tplc="6C045096" w:tentative="1">
      <w:start w:val="1"/>
      <w:numFmt w:val="bullet"/>
      <w:lvlText w:val="•"/>
      <w:lvlJc w:val="left"/>
      <w:pPr>
        <w:tabs>
          <w:tab w:val="num" w:pos="6480"/>
        </w:tabs>
        <w:ind w:left="6480" w:hanging="360"/>
      </w:pPr>
      <w:rPr>
        <w:rFonts w:ascii="Arial" w:hAnsi="Arial" w:hint="default"/>
      </w:rPr>
    </w:lvl>
  </w:abstractNum>
  <w:abstractNum w:abstractNumId="28">
    <w:nsid w:val="7FB21408"/>
    <w:multiLevelType w:val="multilevel"/>
    <w:tmpl w:val="DF7E8F96"/>
    <w:lvl w:ilvl="0">
      <w:start w:val="1"/>
      <w:numFmt w:val="decimal"/>
      <w:pStyle w:val="Antrastes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Antrastes3"/>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8"/>
  </w:num>
  <w:num w:numId="2">
    <w:abstractNumId w:val="28"/>
  </w:num>
  <w:num w:numId="3">
    <w:abstractNumId w:val="28"/>
  </w:num>
  <w:num w:numId="4">
    <w:abstractNumId w:val="28"/>
  </w:num>
  <w:num w:numId="5">
    <w:abstractNumId w:val="26"/>
  </w:num>
  <w:num w:numId="6">
    <w:abstractNumId w:val="21"/>
  </w:num>
  <w:num w:numId="7">
    <w:abstractNumId w:val="28"/>
  </w:num>
  <w:num w:numId="8">
    <w:abstractNumId w:val="28"/>
  </w:num>
  <w:num w:numId="9">
    <w:abstractNumId w:val="8"/>
  </w:num>
  <w:num w:numId="10">
    <w:abstractNumId w:val="17"/>
  </w:num>
  <w:num w:numId="11">
    <w:abstractNumId w:val="12"/>
  </w:num>
  <w:num w:numId="12">
    <w:abstractNumId w:val="3"/>
  </w:num>
  <w:num w:numId="13">
    <w:abstractNumId w:val="1"/>
  </w:num>
  <w:num w:numId="14">
    <w:abstractNumId w:val="19"/>
  </w:num>
  <w:num w:numId="15">
    <w:abstractNumId w:val="22"/>
  </w:num>
  <w:num w:numId="16">
    <w:abstractNumId w:val="5"/>
  </w:num>
  <w:num w:numId="17">
    <w:abstractNumId w:val="6"/>
  </w:num>
  <w:num w:numId="18">
    <w:abstractNumId w:val="15"/>
  </w:num>
  <w:num w:numId="19">
    <w:abstractNumId w:val="24"/>
  </w:num>
  <w:num w:numId="20">
    <w:abstractNumId w:val="2"/>
  </w:num>
  <w:num w:numId="21">
    <w:abstractNumId w:val="18"/>
  </w:num>
  <w:num w:numId="22">
    <w:abstractNumId w:val="7"/>
  </w:num>
  <w:num w:numId="23">
    <w:abstractNumId w:val="10"/>
  </w:num>
  <w:num w:numId="24">
    <w:abstractNumId w:val="23"/>
  </w:num>
  <w:num w:numId="25">
    <w:abstractNumId w:val="4"/>
  </w:num>
  <w:num w:numId="26">
    <w:abstractNumId w:val="14"/>
  </w:num>
  <w:num w:numId="27">
    <w:abstractNumId w:val="27"/>
  </w:num>
  <w:num w:numId="28">
    <w:abstractNumId w:val="16"/>
  </w:num>
  <w:num w:numId="29">
    <w:abstractNumId w:val="25"/>
  </w:num>
  <w:num w:numId="30">
    <w:abstractNumId w:val="9"/>
  </w:num>
  <w:num w:numId="31">
    <w:abstractNumId w:val="13"/>
  </w:num>
  <w:num w:numId="32">
    <w:abstractNumId w:val="0"/>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296"/>
  <w:hyphenationZone w:val="396"/>
  <w:characterSpacingControl w:val="doNotCompress"/>
  <w:compat>
    <w:compatSetting w:name="compatibilityMode" w:uri="http://schemas.microsoft.com/office/word" w:val="12"/>
  </w:compat>
  <w:rsids>
    <w:rsidRoot w:val="00857C57"/>
    <w:rsid w:val="000011DC"/>
    <w:rsid w:val="00001A62"/>
    <w:rsid w:val="000023DF"/>
    <w:rsid w:val="00003877"/>
    <w:rsid w:val="000071C6"/>
    <w:rsid w:val="00010DB6"/>
    <w:rsid w:val="00011BBB"/>
    <w:rsid w:val="00012A1C"/>
    <w:rsid w:val="00012D1B"/>
    <w:rsid w:val="00015529"/>
    <w:rsid w:val="00017165"/>
    <w:rsid w:val="00017F8D"/>
    <w:rsid w:val="0002041D"/>
    <w:rsid w:val="00021D50"/>
    <w:rsid w:val="00022BA7"/>
    <w:rsid w:val="00025A55"/>
    <w:rsid w:val="0002687B"/>
    <w:rsid w:val="00026DCF"/>
    <w:rsid w:val="00030216"/>
    <w:rsid w:val="00033C09"/>
    <w:rsid w:val="0003421B"/>
    <w:rsid w:val="000354A4"/>
    <w:rsid w:val="000362F1"/>
    <w:rsid w:val="00043FC4"/>
    <w:rsid w:val="00044302"/>
    <w:rsid w:val="00045618"/>
    <w:rsid w:val="000458DD"/>
    <w:rsid w:val="00046090"/>
    <w:rsid w:val="00046FFB"/>
    <w:rsid w:val="00047971"/>
    <w:rsid w:val="00050517"/>
    <w:rsid w:val="0005090F"/>
    <w:rsid w:val="00054771"/>
    <w:rsid w:val="00054B28"/>
    <w:rsid w:val="00056B06"/>
    <w:rsid w:val="00056EE3"/>
    <w:rsid w:val="00057C7B"/>
    <w:rsid w:val="00060925"/>
    <w:rsid w:val="00063D7E"/>
    <w:rsid w:val="000642E6"/>
    <w:rsid w:val="00065BA5"/>
    <w:rsid w:val="00065C83"/>
    <w:rsid w:val="0007393D"/>
    <w:rsid w:val="000742EB"/>
    <w:rsid w:val="00076F9F"/>
    <w:rsid w:val="00081DEC"/>
    <w:rsid w:val="00083DA5"/>
    <w:rsid w:val="00085AA9"/>
    <w:rsid w:val="00085C36"/>
    <w:rsid w:val="0008708B"/>
    <w:rsid w:val="00087568"/>
    <w:rsid w:val="00092327"/>
    <w:rsid w:val="00095452"/>
    <w:rsid w:val="0009586C"/>
    <w:rsid w:val="0009775E"/>
    <w:rsid w:val="00097D7F"/>
    <w:rsid w:val="000A0A11"/>
    <w:rsid w:val="000A0ED5"/>
    <w:rsid w:val="000A28D9"/>
    <w:rsid w:val="000A74AE"/>
    <w:rsid w:val="000B004A"/>
    <w:rsid w:val="000B198B"/>
    <w:rsid w:val="000D4514"/>
    <w:rsid w:val="000D4A02"/>
    <w:rsid w:val="000D6AEE"/>
    <w:rsid w:val="000E041E"/>
    <w:rsid w:val="000E250B"/>
    <w:rsid w:val="000E26E4"/>
    <w:rsid w:val="000E31B6"/>
    <w:rsid w:val="000E4133"/>
    <w:rsid w:val="000E5605"/>
    <w:rsid w:val="000E706E"/>
    <w:rsid w:val="000E7EEA"/>
    <w:rsid w:val="000F0DCE"/>
    <w:rsid w:val="000F123F"/>
    <w:rsid w:val="000F2942"/>
    <w:rsid w:val="000F2A5B"/>
    <w:rsid w:val="00100281"/>
    <w:rsid w:val="00100E28"/>
    <w:rsid w:val="0010170F"/>
    <w:rsid w:val="001079E9"/>
    <w:rsid w:val="00112982"/>
    <w:rsid w:val="001138DD"/>
    <w:rsid w:val="00114030"/>
    <w:rsid w:val="001144C5"/>
    <w:rsid w:val="001216E3"/>
    <w:rsid w:val="00122567"/>
    <w:rsid w:val="001232D9"/>
    <w:rsid w:val="00126582"/>
    <w:rsid w:val="00127A65"/>
    <w:rsid w:val="00130116"/>
    <w:rsid w:val="0013309C"/>
    <w:rsid w:val="00134408"/>
    <w:rsid w:val="00134591"/>
    <w:rsid w:val="0013523B"/>
    <w:rsid w:val="00135A28"/>
    <w:rsid w:val="001408FC"/>
    <w:rsid w:val="00141CD8"/>
    <w:rsid w:val="00142205"/>
    <w:rsid w:val="001473E1"/>
    <w:rsid w:val="00147D5A"/>
    <w:rsid w:val="001500CA"/>
    <w:rsid w:val="0015031B"/>
    <w:rsid w:val="00153A1E"/>
    <w:rsid w:val="0015501D"/>
    <w:rsid w:val="001560A7"/>
    <w:rsid w:val="00160A71"/>
    <w:rsid w:val="00163921"/>
    <w:rsid w:val="00167611"/>
    <w:rsid w:val="00167DB7"/>
    <w:rsid w:val="00171125"/>
    <w:rsid w:val="00172779"/>
    <w:rsid w:val="00174E89"/>
    <w:rsid w:val="00175E93"/>
    <w:rsid w:val="00180529"/>
    <w:rsid w:val="001844A6"/>
    <w:rsid w:val="00191F1A"/>
    <w:rsid w:val="00191F51"/>
    <w:rsid w:val="00193038"/>
    <w:rsid w:val="00194AED"/>
    <w:rsid w:val="0019767F"/>
    <w:rsid w:val="001A6999"/>
    <w:rsid w:val="001B0BF4"/>
    <w:rsid w:val="001B0F55"/>
    <w:rsid w:val="001B203A"/>
    <w:rsid w:val="001B481C"/>
    <w:rsid w:val="001B5CA5"/>
    <w:rsid w:val="001B70FC"/>
    <w:rsid w:val="001C04DC"/>
    <w:rsid w:val="001C18EC"/>
    <w:rsid w:val="001C31C1"/>
    <w:rsid w:val="001E0B4D"/>
    <w:rsid w:val="001E207E"/>
    <w:rsid w:val="001E3183"/>
    <w:rsid w:val="001E38E1"/>
    <w:rsid w:val="001E66AD"/>
    <w:rsid w:val="001F0333"/>
    <w:rsid w:val="001F073F"/>
    <w:rsid w:val="001F0ACF"/>
    <w:rsid w:val="001F228D"/>
    <w:rsid w:val="001F33A1"/>
    <w:rsid w:val="001F3D51"/>
    <w:rsid w:val="001F41E4"/>
    <w:rsid w:val="001F62ED"/>
    <w:rsid w:val="001F6EBF"/>
    <w:rsid w:val="001F76EB"/>
    <w:rsid w:val="001F7D1D"/>
    <w:rsid w:val="002001BB"/>
    <w:rsid w:val="002105C1"/>
    <w:rsid w:val="0021135B"/>
    <w:rsid w:val="00211428"/>
    <w:rsid w:val="00212D77"/>
    <w:rsid w:val="00212E78"/>
    <w:rsid w:val="00212F63"/>
    <w:rsid w:val="00216BA2"/>
    <w:rsid w:val="00216ED8"/>
    <w:rsid w:val="0021713B"/>
    <w:rsid w:val="002176B7"/>
    <w:rsid w:val="00217F59"/>
    <w:rsid w:val="0022008B"/>
    <w:rsid w:val="00221281"/>
    <w:rsid w:val="002220BA"/>
    <w:rsid w:val="00222303"/>
    <w:rsid w:val="00226D64"/>
    <w:rsid w:val="00227269"/>
    <w:rsid w:val="002272D0"/>
    <w:rsid w:val="00231C9D"/>
    <w:rsid w:val="00235E89"/>
    <w:rsid w:val="00236486"/>
    <w:rsid w:val="00241114"/>
    <w:rsid w:val="002418F9"/>
    <w:rsid w:val="0024191E"/>
    <w:rsid w:val="00241E9A"/>
    <w:rsid w:val="0024242A"/>
    <w:rsid w:val="002430A0"/>
    <w:rsid w:val="00244076"/>
    <w:rsid w:val="00245D0B"/>
    <w:rsid w:val="00247FC1"/>
    <w:rsid w:val="00251D0C"/>
    <w:rsid w:val="00264F1A"/>
    <w:rsid w:val="00265ACF"/>
    <w:rsid w:val="00266475"/>
    <w:rsid w:val="0027018E"/>
    <w:rsid w:val="0027042A"/>
    <w:rsid w:val="00270E04"/>
    <w:rsid w:val="00271A42"/>
    <w:rsid w:val="002721CA"/>
    <w:rsid w:val="0027251E"/>
    <w:rsid w:val="002747E5"/>
    <w:rsid w:val="002749E8"/>
    <w:rsid w:val="00275B05"/>
    <w:rsid w:val="0028082E"/>
    <w:rsid w:val="00280EFA"/>
    <w:rsid w:val="00283559"/>
    <w:rsid w:val="00287D0C"/>
    <w:rsid w:val="00297E41"/>
    <w:rsid w:val="002A1F38"/>
    <w:rsid w:val="002A212C"/>
    <w:rsid w:val="002A2E19"/>
    <w:rsid w:val="002A2FE1"/>
    <w:rsid w:val="002A3F97"/>
    <w:rsid w:val="002A74ED"/>
    <w:rsid w:val="002B0124"/>
    <w:rsid w:val="002B03F6"/>
    <w:rsid w:val="002B2495"/>
    <w:rsid w:val="002B3676"/>
    <w:rsid w:val="002B502B"/>
    <w:rsid w:val="002B6628"/>
    <w:rsid w:val="002C102D"/>
    <w:rsid w:val="002C161E"/>
    <w:rsid w:val="002C30BC"/>
    <w:rsid w:val="002D1796"/>
    <w:rsid w:val="002D1E62"/>
    <w:rsid w:val="002D3947"/>
    <w:rsid w:val="002D54C5"/>
    <w:rsid w:val="002D7D84"/>
    <w:rsid w:val="002E02C2"/>
    <w:rsid w:val="002E5A36"/>
    <w:rsid w:val="002E5F3D"/>
    <w:rsid w:val="002F1DA0"/>
    <w:rsid w:val="002F3ECB"/>
    <w:rsid w:val="002F4503"/>
    <w:rsid w:val="002F699A"/>
    <w:rsid w:val="0030183E"/>
    <w:rsid w:val="0030790B"/>
    <w:rsid w:val="00311E58"/>
    <w:rsid w:val="00316A42"/>
    <w:rsid w:val="0031742F"/>
    <w:rsid w:val="00325A1C"/>
    <w:rsid w:val="00326665"/>
    <w:rsid w:val="0032679D"/>
    <w:rsid w:val="00326951"/>
    <w:rsid w:val="00326FF4"/>
    <w:rsid w:val="00330A9F"/>
    <w:rsid w:val="00333F71"/>
    <w:rsid w:val="003349C2"/>
    <w:rsid w:val="00335028"/>
    <w:rsid w:val="0033666F"/>
    <w:rsid w:val="00337C13"/>
    <w:rsid w:val="00337E36"/>
    <w:rsid w:val="003409E6"/>
    <w:rsid w:val="0034198D"/>
    <w:rsid w:val="003421FA"/>
    <w:rsid w:val="0034303B"/>
    <w:rsid w:val="00344BAB"/>
    <w:rsid w:val="003469C4"/>
    <w:rsid w:val="00346C5D"/>
    <w:rsid w:val="0035304E"/>
    <w:rsid w:val="00360151"/>
    <w:rsid w:val="00361149"/>
    <w:rsid w:val="003648F9"/>
    <w:rsid w:val="00366542"/>
    <w:rsid w:val="00367FE7"/>
    <w:rsid w:val="00377A50"/>
    <w:rsid w:val="003841D0"/>
    <w:rsid w:val="0038579B"/>
    <w:rsid w:val="003872C0"/>
    <w:rsid w:val="003917CC"/>
    <w:rsid w:val="00393F2F"/>
    <w:rsid w:val="00394552"/>
    <w:rsid w:val="0039515F"/>
    <w:rsid w:val="00397936"/>
    <w:rsid w:val="003A078A"/>
    <w:rsid w:val="003A2408"/>
    <w:rsid w:val="003A3727"/>
    <w:rsid w:val="003A637F"/>
    <w:rsid w:val="003A7148"/>
    <w:rsid w:val="003A7519"/>
    <w:rsid w:val="003B0334"/>
    <w:rsid w:val="003B0398"/>
    <w:rsid w:val="003B0BD3"/>
    <w:rsid w:val="003B0D1B"/>
    <w:rsid w:val="003B3A06"/>
    <w:rsid w:val="003B41A9"/>
    <w:rsid w:val="003C1341"/>
    <w:rsid w:val="003C1B08"/>
    <w:rsid w:val="003C1D17"/>
    <w:rsid w:val="003C3E8C"/>
    <w:rsid w:val="003C5100"/>
    <w:rsid w:val="003C5B39"/>
    <w:rsid w:val="003C7533"/>
    <w:rsid w:val="003D0DF2"/>
    <w:rsid w:val="003D4892"/>
    <w:rsid w:val="003D63E5"/>
    <w:rsid w:val="003E2658"/>
    <w:rsid w:val="003E6814"/>
    <w:rsid w:val="003E743E"/>
    <w:rsid w:val="003F1CF2"/>
    <w:rsid w:val="003F1DB0"/>
    <w:rsid w:val="003F252F"/>
    <w:rsid w:val="003F2830"/>
    <w:rsid w:val="003F2B2C"/>
    <w:rsid w:val="003F3162"/>
    <w:rsid w:val="003F3E0F"/>
    <w:rsid w:val="003F586B"/>
    <w:rsid w:val="003F72F6"/>
    <w:rsid w:val="00400AD7"/>
    <w:rsid w:val="00402689"/>
    <w:rsid w:val="0040306E"/>
    <w:rsid w:val="00407EA4"/>
    <w:rsid w:val="0041257C"/>
    <w:rsid w:val="00412AB7"/>
    <w:rsid w:val="0041352D"/>
    <w:rsid w:val="004148D6"/>
    <w:rsid w:val="00421A35"/>
    <w:rsid w:val="00423048"/>
    <w:rsid w:val="00424462"/>
    <w:rsid w:val="00432541"/>
    <w:rsid w:val="0043279D"/>
    <w:rsid w:val="00432EF6"/>
    <w:rsid w:val="004415BD"/>
    <w:rsid w:val="00444289"/>
    <w:rsid w:val="00445371"/>
    <w:rsid w:val="004468A7"/>
    <w:rsid w:val="004501CC"/>
    <w:rsid w:val="00450D10"/>
    <w:rsid w:val="00451D08"/>
    <w:rsid w:val="0045447A"/>
    <w:rsid w:val="0045598E"/>
    <w:rsid w:val="00460B26"/>
    <w:rsid w:val="0046477A"/>
    <w:rsid w:val="0047022F"/>
    <w:rsid w:val="0047175B"/>
    <w:rsid w:val="004722A7"/>
    <w:rsid w:val="00472A40"/>
    <w:rsid w:val="00474932"/>
    <w:rsid w:val="00481088"/>
    <w:rsid w:val="00481C8C"/>
    <w:rsid w:val="00483ECF"/>
    <w:rsid w:val="004842F0"/>
    <w:rsid w:val="00486511"/>
    <w:rsid w:val="00486D60"/>
    <w:rsid w:val="004912D8"/>
    <w:rsid w:val="004914EE"/>
    <w:rsid w:val="0049171B"/>
    <w:rsid w:val="00492562"/>
    <w:rsid w:val="00492FBB"/>
    <w:rsid w:val="004937AC"/>
    <w:rsid w:val="00495AE1"/>
    <w:rsid w:val="004978B0"/>
    <w:rsid w:val="004A5F6F"/>
    <w:rsid w:val="004A7FB2"/>
    <w:rsid w:val="004B10BD"/>
    <w:rsid w:val="004B3BFC"/>
    <w:rsid w:val="004B543F"/>
    <w:rsid w:val="004B54B9"/>
    <w:rsid w:val="004B6508"/>
    <w:rsid w:val="004B65C3"/>
    <w:rsid w:val="004C328F"/>
    <w:rsid w:val="004D13E6"/>
    <w:rsid w:val="004D3692"/>
    <w:rsid w:val="004D55EE"/>
    <w:rsid w:val="004E029A"/>
    <w:rsid w:val="004E2A1C"/>
    <w:rsid w:val="004E3BC6"/>
    <w:rsid w:val="004E4C23"/>
    <w:rsid w:val="004E514F"/>
    <w:rsid w:val="004E5349"/>
    <w:rsid w:val="004E5463"/>
    <w:rsid w:val="004E65DE"/>
    <w:rsid w:val="004F0549"/>
    <w:rsid w:val="004F1833"/>
    <w:rsid w:val="004F2010"/>
    <w:rsid w:val="004F2069"/>
    <w:rsid w:val="004F58A0"/>
    <w:rsid w:val="005032BD"/>
    <w:rsid w:val="005114BA"/>
    <w:rsid w:val="005146FC"/>
    <w:rsid w:val="00515754"/>
    <w:rsid w:val="00516E4E"/>
    <w:rsid w:val="00516FE3"/>
    <w:rsid w:val="00520FDB"/>
    <w:rsid w:val="005222CC"/>
    <w:rsid w:val="00523650"/>
    <w:rsid w:val="00524A0A"/>
    <w:rsid w:val="005265A4"/>
    <w:rsid w:val="00531055"/>
    <w:rsid w:val="00532DD0"/>
    <w:rsid w:val="005335D0"/>
    <w:rsid w:val="00535B94"/>
    <w:rsid w:val="00536051"/>
    <w:rsid w:val="0053694C"/>
    <w:rsid w:val="00537072"/>
    <w:rsid w:val="00541AC7"/>
    <w:rsid w:val="00542712"/>
    <w:rsid w:val="00542EAC"/>
    <w:rsid w:val="00543E83"/>
    <w:rsid w:val="00545BC8"/>
    <w:rsid w:val="00553FFC"/>
    <w:rsid w:val="005546CA"/>
    <w:rsid w:val="005548B9"/>
    <w:rsid w:val="00554AE6"/>
    <w:rsid w:val="00556788"/>
    <w:rsid w:val="00560534"/>
    <w:rsid w:val="00560D03"/>
    <w:rsid w:val="005629E1"/>
    <w:rsid w:val="005673EA"/>
    <w:rsid w:val="00570A32"/>
    <w:rsid w:val="005804AA"/>
    <w:rsid w:val="005808F2"/>
    <w:rsid w:val="00581BE9"/>
    <w:rsid w:val="00583548"/>
    <w:rsid w:val="00583BA5"/>
    <w:rsid w:val="00584914"/>
    <w:rsid w:val="00591A21"/>
    <w:rsid w:val="0059464F"/>
    <w:rsid w:val="00596481"/>
    <w:rsid w:val="0059793D"/>
    <w:rsid w:val="005A1614"/>
    <w:rsid w:val="005A6B69"/>
    <w:rsid w:val="005A7788"/>
    <w:rsid w:val="005B35B2"/>
    <w:rsid w:val="005B3CAB"/>
    <w:rsid w:val="005B40BB"/>
    <w:rsid w:val="005B592A"/>
    <w:rsid w:val="005B5F96"/>
    <w:rsid w:val="005C059F"/>
    <w:rsid w:val="005C060D"/>
    <w:rsid w:val="005C48D1"/>
    <w:rsid w:val="005C4F43"/>
    <w:rsid w:val="005C5E5F"/>
    <w:rsid w:val="005C7D99"/>
    <w:rsid w:val="005D08D4"/>
    <w:rsid w:val="005D094B"/>
    <w:rsid w:val="005D354A"/>
    <w:rsid w:val="005D43A3"/>
    <w:rsid w:val="005D7F53"/>
    <w:rsid w:val="005E1538"/>
    <w:rsid w:val="005E455D"/>
    <w:rsid w:val="005F0D1B"/>
    <w:rsid w:val="005F0D23"/>
    <w:rsid w:val="005F380E"/>
    <w:rsid w:val="00600606"/>
    <w:rsid w:val="006015A0"/>
    <w:rsid w:val="00606100"/>
    <w:rsid w:val="006106F9"/>
    <w:rsid w:val="00612D59"/>
    <w:rsid w:val="00613713"/>
    <w:rsid w:val="00613B76"/>
    <w:rsid w:val="006177BA"/>
    <w:rsid w:val="0062125F"/>
    <w:rsid w:val="006224A0"/>
    <w:rsid w:val="0062476B"/>
    <w:rsid w:val="00624C15"/>
    <w:rsid w:val="00625148"/>
    <w:rsid w:val="00625411"/>
    <w:rsid w:val="006302C4"/>
    <w:rsid w:val="00632C87"/>
    <w:rsid w:val="00632C8F"/>
    <w:rsid w:val="006333C8"/>
    <w:rsid w:val="00640570"/>
    <w:rsid w:val="00641886"/>
    <w:rsid w:val="00641C31"/>
    <w:rsid w:val="00643392"/>
    <w:rsid w:val="00644D71"/>
    <w:rsid w:val="006450CE"/>
    <w:rsid w:val="006453DA"/>
    <w:rsid w:val="0064727D"/>
    <w:rsid w:val="00647B53"/>
    <w:rsid w:val="00652C0C"/>
    <w:rsid w:val="006555C9"/>
    <w:rsid w:val="006557DC"/>
    <w:rsid w:val="0065585A"/>
    <w:rsid w:val="00656F1A"/>
    <w:rsid w:val="00661E3D"/>
    <w:rsid w:val="00662231"/>
    <w:rsid w:val="006633B2"/>
    <w:rsid w:val="00666279"/>
    <w:rsid w:val="006676C6"/>
    <w:rsid w:val="00671631"/>
    <w:rsid w:val="00671F2B"/>
    <w:rsid w:val="00673DE7"/>
    <w:rsid w:val="0067616E"/>
    <w:rsid w:val="00677A1F"/>
    <w:rsid w:val="00683D68"/>
    <w:rsid w:val="00685D21"/>
    <w:rsid w:val="0068663F"/>
    <w:rsid w:val="00687A36"/>
    <w:rsid w:val="00691D63"/>
    <w:rsid w:val="00692558"/>
    <w:rsid w:val="00693A22"/>
    <w:rsid w:val="00695247"/>
    <w:rsid w:val="00696E6B"/>
    <w:rsid w:val="006A34B9"/>
    <w:rsid w:val="006A501D"/>
    <w:rsid w:val="006A74D3"/>
    <w:rsid w:val="006B1A55"/>
    <w:rsid w:val="006B1E15"/>
    <w:rsid w:val="006B4A46"/>
    <w:rsid w:val="006B7F3D"/>
    <w:rsid w:val="006C1610"/>
    <w:rsid w:val="006C2705"/>
    <w:rsid w:val="006D0082"/>
    <w:rsid w:val="006D1069"/>
    <w:rsid w:val="006D1B80"/>
    <w:rsid w:val="006D4150"/>
    <w:rsid w:val="006D4E25"/>
    <w:rsid w:val="006D5CCB"/>
    <w:rsid w:val="006D70A0"/>
    <w:rsid w:val="006E2109"/>
    <w:rsid w:val="006E31C9"/>
    <w:rsid w:val="006E5CB8"/>
    <w:rsid w:val="006F07C2"/>
    <w:rsid w:val="006F0868"/>
    <w:rsid w:val="006F0BBC"/>
    <w:rsid w:val="006F21EA"/>
    <w:rsid w:val="006F2BED"/>
    <w:rsid w:val="006F3A6A"/>
    <w:rsid w:val="006F648D"/>
    <w:rsid w:val="006F7BE8"/>
    <w:rsid w:val="00700470"/>
    <w:rsid w:val="007064B9"/>
    <w:rsid w:val="00707BF7"/>
    <w:rsid w:val="007100FD"/>
    <w:rsid w:val="0071043F"/>
    <w:rsid w:val="0071140C"/>
    <w:rsid w:val="00714527"/>
    <w:rsid w:val="007156C4"/>
    <w:rsid w:val="00716EBB"/>
    <w:rsid w:val="007200B5"/>
    <w:rsid w:val="00724DC6"/>
    <w:rsid w:val="00726FC1"/>
    <w:rsid w:val="00731361"/>
    <w:rsid w:val="007316D8"/>
    <w:rsid w:val="00734241"/>
    <w:rsid w:val="007371BA"/>
    <w:rsid w:val="00740219"/>
    <w:rsid w:val="007405AE"/>
    <w:rsid w:val="00741104"/>
    <w:rsid w:val="007426E7"/>
    <w:rsid w:val="0074325B"/>
    <w:rsid w:val="00743BF9"/>
    <w:rsid w:val="0074589C"/>
    <w:rsid w:val="00746102"/>
    <w:rsid w:val="0075040E"/>
    <w:rsid w:val="0075231A"/>
    <w:rsid w:val="00754014"/>
    <w:rsid w:val="0075735E"/>
    <w:rsid w:val="00760EAE"/>
    <w:rsid w:val="00763027"/>
    <w:rsid w:val="00763BE6"/>
    <w:rsid w:val="00763E50"/>
    <w:rsid w:val="00764F27"/>
    <w:rsid w:val="00765ED3"/>
    <w:rsid w:val="00766DAD"/>
    <w:rsid w:val="00767F5F"/>
    <w:rsid w:val="0077184E"/>
    <w:rsid w:val="00771F47"/>
    <w:rsid w:val="00772684"/>
    <w:rsid w:val="00775134"/>
    <w:rsid w:val="007771BA"/>
    <w:rsid w:val="00777E76"/>
    <w:rsid w:val="00780814"/>
    <w:rsid w:val="00780D87"/>
    <w:rsid w:val="007836A7"/>
    <w:rsid w:val="00784415"/>
    <w:rsid w:val="007911B9"/>
    <w:rsid w:val="007928CD"/>
    <w:rsid w:val="007935CB"/>
    <w:rsid w:val="007949C8"/>
    <w:rsid w:val="007957D9"/>
    <w:rsid w:val="00797411"/>
    <w:rsid w:val="007A050C"/>
    <w:rsid w:val="007A06C3"/>
    <w:rsid w:val="007A7C37"/>
    <w:rsid w:val="007A7C7F"/>
    <w:rsid w:val="007B1146"/>
    <w:rsid w:val="007B40A1"/>
    <w:rsid w:val="007B5B40"/>
    <w:rsid w:val="007B5D62"/>
    <w:rsid w:val="007C1EED"/>
    <w:rsid w:val="007C272B"/>
    <w:rsid w:val="007C3F20"/>
    <w:rsid w:val="007C4DAC"/>
    <w:rsid w:val="007C4DFA"/>
    <w:rsid w:val="007C5FAE"/>
    <w:rsid w:val="007D0688"/>
    <w:rsid w:val="007D1B0C"/>
    <w:rsid w:val="007D1E9C"/>
    <w:rsid w:val="007D2C34"/>
    <w:rsid w:val="007D45D7"/>
    <w:rsid w:val="007D4C9A"/>
    <w:rsid w:val="007D5CDF"/>
    <w:rsid w:val="007D6272"/>
    <w:rsid w:val="007D7EF3"/>
    <w:rsid w:val="007E082F"/>
    <w:rsid w:val="007E1C72"/>
    <w:rsid w:val="007E2641"/>
    <w:rsid w:val="007E30F9"/>
    <w:rsid w:val="007E734F"/>
    <w:rsid w:val="007E7976"/>
    <w:rsid w:val="007E7EF8"/>
    <w:rsid w:val="007F4193"/>
    <w:rsid w:val="007F68E5"/>
    <w:rsid w:val="007F7984"/>
    <w:rsid w:val="00804AF4"/>
    <w:rsid w:val="00806054"/>
    <w:rsid w:val="0080729B"/>
    <w:rsid w:val="00810CAA"/>
    <w:rsid w:val="00812A23"/>
    <w:rsid w:val="008168A2"/>
    <w:rsid w:val="00816E1D"/>
    <w:rsid w:val="00817521"/>
    <w:rsid w:val="00820C25"/>
    <w:rsid w:val="00820DCE"/>
    <w:rsid w:val="0082125E"/>
    <w:rsid w:val="00821B93"/>
    <w:rsid w:val="008231FC"/>
    <w:rsid w:val="00823D6E"/>
    <w:rsid w:val="00824E20"/>
    <w:rsid w:val="00826985"/>
    <w:rsid w:val="00830B97"/>
    <w:rsid w:val="008328E1"/>
    <w:rsid w:val="0083322F"/>
    <w:rsid w:val="00834C04"/>
    <w:rsid w:val="0083567C"/>
    <w:rsid w:val="008373AA"/>
    <w:rsid w:val="00841C6E"/>
    <w:rsid w:val="008420EC"/>
    <w:rsid w:val="008426B8"/>
    <w:rsid w:val="00846E56"/>
    <w:rsid w:val="0084748A"/>
    <w:rsid w:val="0085152C"/>
    <w:rsid w:val="008539D1"/>
    <w:rsid w:val="00854E05"/>
    <w:rsid w:val="00857430"/>
    <w:rsid w:val="00857C57"/>
    <w:rsid w:val="00857C6C"/>
    <w:rsid w:val="0086074F"/>
    <w:rsid w:val="00862725"/>
    <w:rsid w:val="008636D0"/>
    <w:rsid w:val="0086601E"/>
    <w:rsid w:val="0086626D"/>
    <w:rsid w:val="00866466"/>
    <w:rsid w:val="00870D68"/>
    <w:rsid w:val="00870DE7"/>
    <w:rsid w:val="008729FA"/>
    <w:rsid w:val="0087422E"/>
    <w:rsid w:val="00875438"/>
    <w:rsid w:val="008757D8"/>
    <w:rsid w:val="00876482"/>
    <w:rsid w:val="008769CC"/>
    <w:rsid w:val="0088039F"/>
    <w:rsid w:val="00880DAE"/>
    <w:rsid w:val="00882412"/>
    <w:rsid w:val="00884617"/>
    <w:rsid w:val="00885035"/>
    <w:rsid w:val="008855DC"/>
    <w:rsid w:val="00886EFD"/>
    <w:rsid w:val="00887064"/>
    <w:rsid w:val="00892476"/>
    <w:rsid w:val="0089316C"/>
    <w:rsid w:val="0089385F"/>
    <w:rsid w:val="00894F69"/>
    <w:rsid w:val="00895718"/>
    <w:rsid w:val="00897BA0"/>
    <w:rsid w:val="008A0824"/>
    <w:rsid w:val="008A0F8D"/>
    <w:rsid w:val="008A1574"/>
    <w:rsid w:val="008A4F7A"/>
    <w:rsid w:val="008A6059"/>
    <w:rsid w:val="008A6644"/>
    <w:rsid w:val="008B06B9"/>
    <w:rsid w:val="008B1C36"/>
    <w:rsid w:val="008B7146"/>
    <w:rsid w:val="008C0D73"/>
    <w:rsid w:val="008C1FF1"/>
    <w:rsid w:val="008C3295"/>
    <w:rsid w:val="008C34F7"/>
    <w:rsid w:val="008C4392"/>
    <w:rsid w:val="008C5DA2"/>
    <w:rsid w:val="008D2CA9"/>
    <w:rsid w:val="008D43DA"/>
    <w:rsid w:val="008D4AA3"/>
    <w:rsid w:val="008D5BC9"/>
    <w:rsid w:val="008D6317"/>
    <w:rsid w:val="008D70BB"/>
    <w:rsid w:val="008E0280"/>
    <w:rsid w:val="008E0836"/>
    <w:rsid w:val="008E0CF5"/>
    <w:rsid w:val="008E2980"/>
    <w:rsid w:val="008E2E4A"/>
    <w:rsid w:val="008F0E73"/>
    <w:rsid w:val="008F3D46"/>
    <w:rsid w:val="008F48E3"/>
    <w:rsid w:val="00901D79"/>
    <w:rsid w:val="0090208A"/>
    <w:rsid w:val="00902AA2"/>
    <w:rsid w:val="00904585"/>
    <w:rsid w:val="0090793A"/>
    <w:rsid w:val="0091117F"/>
    <w:rsid w:val="009119C4"/>
    <w:rsid w:val="009122BC"/>
    <w:rsid w:val="00915BCF"/>
    <w:rsid w:val="00915DF8"/>
    <w:rsid w:val="00920F37"/>
    <w:rsid w:val="00921AC3"/>
    <w:rsid w:val="00924C46"/>
    <w:rsid w:val="00927E1B"/>
    <w:rsid w:val="00940958"/>
    <w:rsid w:val="00942736"/>
    <w:rsid w:val="00945442"/>
    <w:rsid w:val="0094597A"/>
    <w:rsid w:val="00946C82"/>
    <w:rsid w:val="0095189B"/>
    <w:rsid w:val="0095358A"/>
    <w:rsid w:val="00953CE9"/>
    <w:rsid w:val="00961840"/>
    <w:rsid w:val="009640E2"/>
    <w:rsid w:val="009666E8"/>
    <w:rsid w:val="0097192C"/>
    <w:rsid w:val="00974F9A"/>
    <w:rsid w:val="009758E9"/>
    <w:rsid w:val="00977DAC"/>
    <w:rsid w:val="009815B0"/>
    <w:rsid w:val="0098711E"/>
    <w:rsid w:val="00991AFF"/>
    <w:rsid w:val="009926A4"/>
    <w:rsid w:val="00992DC1"/>
    <w:rsid w:val="009954F8"/>
    <w:rsid w:val="00995D40"/>
    <w:rsid w:val="00997766"/>
    <w:rsid w:val="0099784C"/>
    <w:rsid w:val="009A0524"/>
    <w:rsid w:val="009A49D0"/>
    <w:rsid w:val="009A7B11"/>
    <w:rsid w:val="009B112C"/>
    <w:rsid w:val="009B63EA"/>
    <w:rsid w:val="009B78FC"/>
    <w:rsid w:val="009C2349"/>
    <w:rsid w:val="009D0E10"/>
    <w:rsid w:val="009D1C94"/>
    <w:rsid w:val="009D3A59"/>
    <w:rsid w:val="009D3B83"/>
    <w:rsid w:val="009D5D0E"/>
    <w:rsid w:val="009D743A"/>
    <w:rsid w:val="009E1978"/>
    <w:rsid w:val="009E28EE"/>
    <w:rsid w:val="009E38CF"/>
    <w:rsid w:val="009E5499"/>
    <w:rsid w:val="009F2B31"/>
    <w:rsid w:val="009F2BB9"/>
    <w:rsid w:val="009F413C"/>
    <w:rsid w:val="009F72CD"/>
    <w:rsid w:val="00A010F4"/>
    <w:rsid w:val="00A054FA"/>
    <w:rsid w:val="00A12DA9"/>
    <w:rsid w:val="00A14B9C"/>
    <w:rsid w:val="00A17296"/>
    <w:rsid w:val="00A234CC"/>
    <w:rsid w:val="00A24943"/>
    <w:rsid w:val="00A25668"/>
    <w:rsid w:val="00A26FDA"/>
    <w:rsid w:val="00A27D03"/>
    <w:rsid w:val="00A3148E"/>
    <w:rsid w:val="00A32709"/>
    <w:rsid w:val="00A327E3"/>
    <w:rsid w:val="00A33DFD"/>
    <w:rsid w:val="00A37A15"/>
    <w:rsid w:val="00A425F1"/>
    <w:rsid w:val="00A4266C"/>
    <w:rsid w:val="00A42B79"/>
    <w:rsid w:val="00A44E2F"/>
    <w:rsid w:val="00A50278"/>
    <w:rsid w:val="00A531E4"/>
    <w:rsid w:val="00A557D9"/>
    <w:rsid w:val="00A57FC3"/>
    <w:rsid w:val="00A61FBC"/>
    <w:rsid w:val="00A636A8"/>
    <w:rsid w:val="00A64835"/>
    <w:rsid w:val="00A7429D"/>
    <w:rsid w:val="00A76340"/>
    <w:rsid w:val="00A803C1"/>
    <w:rsid w:val="00A8265F"/>
    <w:rsid w:val="00A84DFF"/>
    <w:rsid w:val="00A92C1F"/>
    <w:rsid w:val="00A9473C"/>
    <w:rsid w:val="00A95ACE"/>
    <w:rsid w:val="00AA00CC"/>
    <w:rsid w:val="00AA4533"/>
    <w:rsid w:val="00AA56EE"/>
    <w:rsid w:val="00AA5B1F"/>
    <w:rsid w:val="00AA7272"/>
    <w:rsid w:val="00AB1023"/>
    <w:rsid w:val="00AB318E"/>
    <w:rsid w:val="00AB33F6"/>
    <w:rsid w:val="00AB6C02"/>
    <w:rsid w:val="00AB6C36"/>
    <w:rsid w:val="00AB7653"/>
    <w:rsid w:val="00AB7C95"/>
    <w:rsid w:val="00AC14DE"/>
    <w:rsid w:val="00AC4853"/>
    <w:rsid w:val="00AC65D4"/>
    <w:rsid w:val="00AC6BD2"/>
    <w:rsid w:val="00AC7ECB"/>
    <w:rsid w:val="00AD0262"/>
    <w:rsid w:val="00AD29C7"/>
    <w:rsid w:val="00AD5EE8"/>
    <w:rsid w:val="00AE0DB1"/>
    <w:rsid w:val="00AE19FD"/>
    <w:rsid w:val="00AE22B2"/>
    <w:rsid w:val="00AE38E8"/>
    <w:rsid w:val="00AE3F25"/>
    <w:rsid w:val="00AE596B"/>
    <w:rsid w:val="00AE6FE1"/>
    <w:rsid w:val="00AE7BEF"/>
    <w:rsid w:val="00AF1B62"/>
    <w:rsid w:val="00AF2058"/>
    <w:rsid w:val="00AF22E4"/>
    <w:rsid w:val="00AF2E90"/>
    <w:rsid w:val="00AF2E9A"/>
    <w:rsid w:val="00AF4475"/>
    <w:rsid w:val="00AF4B80"/>
    <w:rsid w:val="00AF4E48"/>
    <w:rsid w:val="00AF62EB"/>
    <w:rsid w:val="00AF767B"/>
    <w:rsid w:val="00B03E45"/>
    <w:rsid w:val="00B0423F"/>
    <w:rsid w:val="00B05C13"/>
    <w:rsid w:val="00B13832"/>
    <w:rsid w:val="00B15019"/>
    <w:rsid w:val="00B15CC3"/>
    <w:rsid w:val="00B17D42"/>
    <w:rsid w:val="00B21F0B"/>
    <w:rsid w:val="00B22420"/>
    <w:rsid w:val="00B228F9"/>
    <w:rsid w:val="00B255BE"/>
    <w:rsid w:val="00B25C91"/>
    <w:rsid w:val="00B26485"/>
    <w:rsid w:val="00B27BA1"/>
    <w:rsid w:val="00B34CEF"/>
    <w:rsid w:val="00B36E2D"/>
    <w:rsid w:val="00B41B7C"/>
    <w:rsid w:val="00B44862"/>
    <w:rsid w:val="00B45BF5"/>
    <w:rsid w:val="00B46034"/>
    <w:rsid w:val="00B46A4C"/>
    <w:rsid w:val="00B47AAD"/>
    <w:rsid w:val="00B54F61"/>
    <w:rsid w:val="00B557A4"/>
    <w:rsid w:val="00B611FD"/>
    <w:rsid w:val="00B673EA"/>
    <w:rsid w:val="00B72BC6"/>
    <w:rsid w:val="00B737F7"/>
    <w:rsid w:val="00B75496"/>
    <w:rsid w:val="00B81E5E"/>
    <w:rsid w:val="00B821CF"/>
    <w:rsid w:val="00B83C63"/>
    <w:rsid w:val="00B85FA6"/>
    <w:rsid w:val="00B86176"/>
    <w:rsid w:val="00B86AD0"/>
    <w:rsid w:val="00B92415"/>
    <w:rsid w:val="00B93747"/>
    <w:rsid w:val="00B9384C"/>
    <w:rsid w:val="00B94E82"/>
    <w:rsid w:val="00B94F58"/>
    <w:rsid w:val="00BA00EB"/>
    <w:rsid w:val="00BA053D"/>
    <w:rsid w:val="00BA0A7E"/>
    <w:rsid w:val="00BA118B"/>
    <w:rsid w:val="00BA147E"/>
    <w:rsid w:val="00BA2771"/>
    <w:rsid w:val="00BA3E13"/>
    <w:rsid w:val="00BA5CD1"/>
    <w:rsid w:val="00BB131B"/>
    <w:rsid w:val="00BB59B0"/>
    <w:rsid w:val="00BC04D9"/>
    <w:rsid w:val="00BC3B66"/>
    <w:rsid w:val="00BC7482"/>
    <w:rsid w:val="00BD05F5"/>
    <w:rsid w:val="00BD121C"/>
    <w:rsid w:val="00BD1FD0"/>
    <w:rsid w:val="00BD660F"/>
    <w:rsid w:val="00BD6D2E"/>
    <w:rsid w:val="00BD796F"/>
    <w:rsid w:val="00BE0FF1"/>
    <w:rsid w:val="00BE2D8C"/>
    <w:rsid w:val="00BE3EA4"/>
    <w:rsid w:val="00BF1247"/>
    <w:rsid w:val="00BF1434"/>
    <w:rsid w:val="00BF1B4D"/>
    <w:rsid w:val="00BF289D"/>
    <w:rsid w:val="00BF524F"/>
    <w:rsid w:val="00BF7E53"/>
    <w:rsid w:val="00C01D0B"/>
    <w:rsid w:val="00C033B1"/>
    <w:rsid w:val="00C03DA9"/>
    <w:rsid w:val="00C04BD7"/>
    <w:rsid w:val="00C0704E"/>
    <w:rsid w:val="00C070B9"/>
    <w:rsid w:val="00C1022E"/>
    <w:rsid w:val="00C1279E"/>
    <w:rsid w:val="00C1422E"/>
    <w:rsid w:val="00C16811"/>
    <w:rsid w:val="00C17D30"/>
    <w:rsid w:val="00C20227"/>
    <w:rsid w:val="00C20906"/>
    <w:rsid w:val="00C21F4D"/>
    <w:rsid w:val="00C22731"/>
    <w:rsid w:val="00C22941"/>
    <w:rsid w:val="00C22F73"/>
    <w:rsid w:val="00C24A76"/>
    <w:rsid w:val="00C251E6"/>
    <w:rsid w:val="00C25D51"/>
    <w:rsid w:val="00C36966"/>
    <w:rsid w:val="00C40919"/>
    <w:rsid w:val="00C4372A"/>
    <w:rsid w:val="00C520D6"/>
    <w:rsid w:val="00C52200"/>
    <w:rsid w:val="00C529CE"/>
    <w:rsid w:val="00C546D8"/>
    <w:rsid w:val="00C57781"/>
    <w:rsid w:val="00C602B7"/>
    <w:rsid w:val="00C6278C"/>
    <w:rsid w:val="00C62837"/>
    <w:rsid w:val="00C64C19"/>
    <w:rsid w:val="00C711BD"/>
    <w:rsid w:val="00C763ED"/>
    <w:rsid w:val="00C80870"/>
    <w:rsid w:val="00C81817"/>
    <w:rsid w:val="00C82426"/>
    <w:rsid w:val="00C852AE"/>
    <w:rsid w:val="00C85509"/>
    <w:rsid w:val="00C86DA0"/>
    <w:rsid w:val="00C87F91"/>
    <w:rsid w:val="00C9222F"/>
    <w:rsid w:val="00C9355B"/>
    <w:rsid w:val="00C93769"/>
    <w:rsid w:val="00C93782"/>
    <w:rsid w:val="00C958D6"/>
    <w:rsid w:val="00CA3845"/>
    <w:rsid w:val="00CA5F57"/>
    <w:rsid w:val="00CA6461"/>
    <w:rsid w:val="00CB247E"/>
    <w:rsid w:val="00CB3106"/>
    <w:rsid w:val="00CB32C3"/>
    <w:rsid w:val="00CB3E6E"/>
    <w:rsid w:val="00CB54EC"/>
    <w:rsid w:val="00CB5D61"/>
    <w:rsid w:val="00CB6C1C"/>
    <w:rsid w:val="00CB6D9E"/>
    <w:rsid w:val="00CC3B12"/>
    <w:rsid w:val="00CC5096"/>
    <w:rsid w:val="00CC5941"/>
    <w:rsid w:val="00CD035C"/>
    <w:rsid w:val="00CD3750"/>
    <w:rsid w:val="00CD37DB"/>
    <w:rsid w:val="00CD6BB5"/>
    <w:rsid w:val="00CD6BBB"/>
    <w:rsid w:val="00CE114B"/>
    <w:rsid w:val="00CE39F8"/>
    <w:rsid w:val="00CE4845"/>
    <w:rsid w:val="00CE4878"/>
    <w:rsid w:val="00CE72E9"/>
    <w:rsid w:val="00CE7347"/>
    <w:rsid w:val="00CE7DE5"/>
    <w:rsid w:val="00CF0735"/>
    <w:rsid w:val="00CF4339"/>
    <w:rsid w:val="00CF510E"/>
    <w:rsid w:val="00CF5693"/>
    <w:rsid w:val="00CF7A37"/>
    <w:rsid w:val="00D015E0"/>
    <w:rsid w:val="00D03F33"/>
    <w:rsid w:val="00D044B4"/>
    <w:rsid w:val="00D126FE"/>
    <w:rsid w:val="00D1349E"/>
    <w:rsid w:val="00D14EB9"/>
    <w:rsid w:val="00D17B9D"/>
    <w:rsid w:val="00D21FAF"/>
    <w:rsid w:val="00D22FC7"/>
    <w:rsid w:val="00D232A8"/>
    <w:rsid w:val="00D24046"/>
    <w:rsid w:val="00D2407E"/>
    <w:rsid w:val="00D24A26"/>
    <w:rsid w:val="00D25592"/>
    <w:rsid w:val="00D26A5A"/>
    <w:rsid w:val="00D26D09"/>
    <w:rsid w:val="00D314CA"/>
    <w:rsid w:val="00D3154F"/>
    <w:rsid w:val="00D32090"/>
    <w:rsid w:val="00D37464"/>
    <w:rsid w:val="00D378F4"/>
    <w:rsid w:val="00D37B12"/>
    <w:rsid w:val="00D4529A"/>
    <w:rsid w:val="00D459CE"/>
    <w:rsid w:val="00D524B7"/>
    <w:rsid w:val="00D527E7"/>
    <w:rsid w:val="00D52F3B"/>
    <w:rsid w:val="00D530DC"/>
    <w:rsid w:val="00D53103"/>
    <w:rsid w:val="00D53AAA"/>
    <w:rsid w:val="00D540B4"/>
    <w:rsid w:val="00D55A42"/>
    <w:rsid w:val="00D573EE"/>
    <w:rsid w:val="00D577CF"/>
    <w:rsid w:val="00D607BA"/>
    <w:rsid w:val="00D60B88"/>
    <w:rsid w:val="00D60FB4"/>
    <w:rsid w:val="00D6159A"/>
    <w:rsid w:val="00D61CD9"/>
    <w:rsid w:val="00D7096D"/>
    <w:rsid w:val="00D716E2"/>
    <w:rsid w:val="00D728BC"/>
    <w:rsid w:val="00D82AB6"/>
    <w:rsid w:val="00D82ACA"/>
    <w:rsid w:val="00D83A4F"/>
    <w:rsid w:val="00D87C8D"/>
    <w:rsid w:val="00D90A49"/>
    <w:rsid w:val="00D919B8"/>
    <w:rsid w:val="00D938E6"/>
    <w:rsid w:val="00D945D7"/>
    <w:rsid w:val="00D959C7"/>
    <w:rsid w:val="00D95D7C"/>
    <w:rsid w:val="00D963DB"/>
    <w:rsid w:val="00DA04D0"/>
    <w:rsid w:val="00DA1DF9"/>
    <w:rsid w:val="00DA59AB"/>
    <w:rsid w:val="00DA5B97"/>
    <w:rsid w:val="00DA7006"/>
    <w:rsid w:val="00DC2420"/>
    <w:rsid w:val="00DC2D58"/>
    <w:rsid w:val="00DC416E"/>
    <w:rsid w:val="00DC50AB"/>
    <w:rsid w:val="00DC64AD"/>
    <w:rsid w:val="00DC6EA8"/>
    <w:rsid w:val="00DD2C14"/>
    <w:rsid w:val="00DD4433"/>
    <w:rsid w:val="00DD75CC"/>
    <w:rsid w:val="00DE06B8"/>
    <w:rsid w:val="00DE348D"/>
    <w:rsid w:val="00DE60B9"/>
    <w:rsid w:val="00DE6A9C"/>
    <w:rsid w:val="00DF3103"/>
    <w:rsid w:val="00DF32FB"/>
    <w:rsid w:val="00DF490B"/>
    <w:rsid w:val="00DF5275"/>
    <w:rsid w:val="00E00F44"/>
    <w:rsid w:val="00E01F01"/>
    <w:rsid w:val="00E0405A"/>
    <w:rsid w:val="00E0498E"/>
    <w:rsid w:val="00E0592F"/>
    <w:rsid w:val="00E0629E"/>
    <w:rsid w:val="00E10AA6"/>
    <w:rsid w:val="00E114A1"/>
    <w:rsid w:val="00E12077"/>
    <w:rsid w:val="00E126BA"/>
    <w:rsid w:val="00E12970"/>
    <w:rsid w:val="00E134B7"/>
    <w:rsid w:val="00E14CEC"/>
    <w:rsid w:val="00E151A7"/>
    <w:rsid w:val="00E15A27"/>
    <w:rsid w:val="00E15AF4"/>
    <w:rsid w:val="00E1730C"/>
    <w:rsid w:val="00E17806"/>
    <w:rsid w:val="00E20542"/>
    <w:rsid w:val="00E20875"/>
    <w:rsid w:val="00E216ED"/>
    <w:rsid w:val="00E22C25"/>
    <w:rsid w:val="00E23F7F"/>
    <w:rsid w:val="00E2417A"/>
    <w:rsid w:val="00E271E1"/>
    <w:rsid w:val="00E27224"/>
    <w:rsid w:val="00E306A2"/>
    <w:rsid w:val="00E30964"/>
    <w:rsid w:val="00E31933"/>
    <w:rsid w:val="00E31EC2"/>
    <w:rsid w:val="00E33BF7"/>
    <w:rsid w:val="00E34A2E"/>
    <w:rsid w:val="00E37253"/>
    <w:rsid w:val="00E407D5"/>
    <w:rsid w:val="00E4328E"/>
    <w:rsid w:val="00E47582"/>
    <w:rsid w:val="00E47B4D"/>
    <w:rsid w:val="00E5005B"/>
    <w:rsid w:val="00E5040B"/>
    <w:rsid w:val="00E520F7"/>
    <w:rsid w:val="00E52738"/>
    <w:rsid w:val="00E5372B"/>
    <w:rsid w:val="00E56968"/>
    <w:rsid w:val="00E60671"/>
    <w:rsid w:val="00E60A1E"/>
    <w:rsid w:val="00E60AF8"/>
    <w:rsid w:val="00E611BE"/>
    <w:rsid w:val="00E61DCB"/>
    <w:rsid w:val="00E73C2F"/>
    <w:rsid w:val="00E7589D"/>
    <w:rsid w:val="00E75AE1"/>
    <w:rsid w:val="00E80CAD"/>
    <w:rsid w:val="00E81CA4"/>
    <w:rsid w:val="00E827CB"/>
    <w:rsid w:val="00E832EF"/>
    <w:rsid w:val="00E83B68"/>
    <w:rsid w:val="00E84B24"/>
    <w:rsid w:val="00E852BB"/>
    <w:rsid w:val="00E8551A"/>
    <w:rsid w:val="00E85577"/>
    <w:rsid w:val="00E90B38"/>
    <w:rsid w:val="00E93194"/>
    <w:rsid w:val="00E95EEF"/>
    <w:rsid w:val="00E96616"/>
    <w:rsid w:val="00E973FD"/>
    <w:rsid w:val="00EA095F"/>
    <w:rsid w:val="00EA09A6"/>
    <w:rsid w:val="00EA100D"/>
    <w:rsid w:val="00EA2656"/>
    <w:rsid w:val="00EA292D"/>
    <w:rsid w:val="00EA3123"/>
    <w:rsid w:val="00EA3FE0"/>
    <w:rsid w:val="00EA578D"/>
    <w:rsid w:val="00EA7DB6"/>
    <w:rsid w:val="00EB2A70"/>
    <w:rsid w:val="00EB5003"/>
    <w:rsid w:val="00EB5DA4"/>
    <w:rsid w:val="00EB7743"/>
    <w:rsid w:val="00EB780C"/>
    <w:rsid w:val="00EC015B"/>
    <w:rsid w:val="00EC2632"/>
    <w:rsid w:val="00EC2802"/>
    <w:rsid w:val="00EC368A"/>
    <w:rsid w:val="00EC3772"/>
    <w:rsid w:val="00EC3837"/>
    <w:rsid w:val="00EC4535"/>
    <w:rsid w:val="00EC50E4"/>
    <w:rsid w:val="00EC614B"/>
    <w:rsid w:val="00ED0A7A"/>
    <w:rsid w:val="00ED0BBC"/>
    <w:rsid w:val="00ED1F0F"/>
    <w:rsid w:val="00ED2118"/>
    <w:rsid w:val="00ED251E"/>
    <w:rsid w:val="00ED5629"/>
    <w:rsid w:val="00ED62E7"/>
    <w:rsid w:val="00ED7D7E"/>
    <w:rsid w:val="00EE0657"/>
    <w:rsid w:val="00EE0FDF"/>
    <w:rsid w:val="00EE1950"/>
    <w:rsid w:val="00EE3E93"/>
    <w:rsid w:val="00EE3F9C"/>
    <w:rsid w:val="00EE76A6"/>
    <w:rsid w:val="00EE7E22"/>
    <w:rsid w:val="00EF123E"/>
    <w:rsid w:val="00EF183E"/>
    <w:rsid w:val="00EF586B"/>
    <w:rsid w:val="00EF5C27"/>
    <w:rsid w:val="00EF6A56"/>
    <w:rsid w:val="00EF7FCF"/>
    <w:rsid w:val="00F00753"/>
    <w:rsid w:val="00F02161"/>
    <w:rsid w:val="00F0717D"/>
    <w:rsid w:val="00F1049A"/>
    <w:rsid w:val="00F133B6"/>
    <w:rsid w:val="00F1346E"/>
    <w:rsid w:val="00F1351F"/>
    <w:rsid w:val="00F13D62"/>
    <w:rsid w:val="00F150DF"/>
    <w:rsid w:val="00F1540E"/>
    <w:rsid w:val="00F15AAF"/>
    <w:rsid w:val="00F1676D"/>
    <w:rsid w:val="00F173FD"/>
    <w:rsid w:val="00F1766A"/>
    <w:rsid w:val="00F20F71"/>
    <w:rsid w:val="00F23F3F"/>
    <w:rsid w:val="00F26FF0"/>
    <w:rsid w:val="00F2763F"/>
    <w:rsid w:val="00F30704"/>
    <w:rsid w:val="00F3197C"/>
    <w:rsid w:val="00F33A0A"/>
    <w:rsid w:val="00F349CD"/>
    <w:rsid w:val="00F35EBB"/>
    <w:rsid w:val="00F41D30"/>
    <w:rsid w:val="00F43C0A"/>
    <w:rsid w:val="00F44339"/>
    <w:rsid w:val="00F50697"/>
    <w:rsid w:val="00F521D7"/>
    <w:rsid w:val="00F55AFE"/>
    <w:rsid w:val="00F61888"/>
    <w:rsid w:val="00F62FF2"/>
    <w:rsid w:val="00F638BA"/>
    <w:rsid w:val="00F63B60"/>
    <w:rsid w:val="00F646DC"/>
    <w:rsid w:val="00F65E75"/>
    <w:rsid w:val="00F711F0"/>
    <w:rsid w:val="00F71B1B"/>
    <w:rsid w:val="00F72EA3"/>
    <w:rsid w:val="00F75C05"/>
    <w:rsid w:val="00F80219"/>
    <w:rsid w:val="00F80443"/>
    <w:rsid w:val="00F829CD"/>
    <w:rsid w:val="00F87964"/>
    <w:rsid w:val="00F90EA9"/>
    <w:rsid w:val="00F914FC"/>
    <w:rsid w:val="00F92652"/>
    <w:rsid w:val="00F93A86"/>
    <w:rsid w:val="00FA0A4B"/>
    <w:rsid w:val="00FA411C"/>
    <w:rsid w:val="00FA471C"/>
    <w:rsid w:val="00FA61BD"/>
    <w:rsid w:val="00FA672A"/>
    <w:rsid w:val="00FA67F1"/>
    <w:rsid w:val="00FB561D"/>
    <w:rsid w:val="00FB7625"/>
    <w:rsid w:val="00FC07EF"/>
    <w:rsid w:val="00FC1F61"/>
    <w:rsid w:val="00FC4C86"/>
    <w:rsid w:val="00FC55E3"/>
    <w:rsid w:val="00FC59DB"/>
    <w:rsid w:val="00FC680B"/>
    <w:rsid w:val="00FC72C3"/>
    <w:rsid w:val="00FD269C"/>
    <w:rsid w:val="00FD27ED"/>
    <w:rsid w:val="00FD34A2"/>
    <w:rsid w:val="00FD4EAE"/>
    <w:rsid w:val="00FE003F"/>
    <w:rsid w:val="00FE19F9"/>
    <w:rsid w:val="00FE282C"/>
    <w:rsid w:val="00FE32F6"/>
    <w:rsid w:val="00FE5802"/>
    <w:rsid w:val="00FE59A7"/>
    <w:rsid w:val="00FE79C7"/>
    <w:rsid w:val="00FF2824"/>
    <w:rsid w:val="00FF4ABA"/>
    <w:rsid w:val="00FF5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numeruojamosantrastes">
    <w:name w:val="• Nenumeruojamos antrastes"/>
    <w:next w:val="Normal"/>
    <w:link w:val="NenumeruojamosantrastesChar"/>
    <w:qFormat/>
    <w:rsid w:val="00BC3B66"/>
    <w:pPr>
      <w:pageBreakBefore/>
      <w:widowControl w:val="0"/>
      <w:pBdr>
        <w:bottom w:val="single" w:sz="8" w:space="1" w:color="4181B6"/>
      </w:pBdr>
      <w:spacing w:before="120" w:after="240" w:line="240" w:lineRule="auto"/>
    </w:pPr>
    <w:rPr>
      <w:rFonts w:asciiTheme="majorHAnsi" w:eastAsia="Times New Roman" w:hAnsiTheme="majorHAnsi" w:cs="Times New Roman"/>
      <w:b/>
      <w:bCs/>
      <w:caps/>
      <w:color w:val="4181B6"/>
      <w:kern w:val="32"/>
      <w:sz w:val="28"/>
      <w:szCs w:val="32"/>
      <w:lang w:eastAsia="lt-LT"/>
    </w:rPr>
  </w:style>
  <w:style w:type="character" w:customStyle="1" w:styleId="NenumeruojamosantrastesChar">
    <w:name w:val="• Nenumeruojamos antrastes Char"/>
    <w:basedOn w:val="DefaultParagraphFont"/>
    <w:link w:val="Nenumeruojamosantrastes"/>
    <w:rsid w:val="00BC3B66"/>
    <w:rPr>
      <w:rFonts w:asciiTheme="majorHAnsi" w:eastAsia="Times New Roman" w:hAnsiTheme="majorHAnsi" w:cs="Times New Roman"/>
      <w:b/>
      <w:bCs/>
      <w:caps/>
      <w:color w:val="4181B6"/>
      <w:kern w:val="32"/>
      <w:sz w:val="28"/>
      <w:szCs w:val="32"/>
      <w:lang w:eastAsia="lt-LT"/>
    </w:rPr>
  </w:style>
  <w:style w:type="paragraph" w:customStyle="1" w:styleId="Antrastes1">
    <w:name w:val="• Antrastes_1"/>
    <w:basedOn w:val="Nenumeruojamosantrastes"/>
    <w:next w:val="Normal"/>
    <w:qFormat/>
    <w:rsid w:val="00D60FB4"/>
    <w:pPr>
      <w:numPr>
        <w:numId w:val="8"/>
      </w:numPr>
      <w:outlineLvl w:val="0"/>
    </w:pPr>
    <w:rPr>
      <w:rFonts w:ascii="Cambria" w:hAnsi="Cambria"/>
      <w:sz w:val="32"/>
    </w:rPr>
  </w:style>
  <w:style w:type="paragraph" w:customStyle="1" w:styleId="Antrastes2">
    <w:name w:val="• Antrastes_2"/>
    <w:basedOn w:val="Antrastes1"/>
    <w:next w:val="Normal"/>
    <w:link w:val="Antrastes2Char"/>
    <w:qFormat/>
    <w:rsid w:val="00D60FB4"/>
    <w:pPr>
      <w:pageBreakBefore w:val="0"/>
      <w:numPr>
        <w:numId w:val="0"/>
      </w:numPr>
      <w:spacing w:before="360"/>
      <w:ind w:left="720" w:hanging="360"/>
      <w:outlineLvl w:val="1"/>
    </w:pPr>
    <w:rPr>
      <w:rFonts w:asciiTheme="majorHAnsi" w:hAnsiTheme="majorHAnsi"/>
      <w:sz w:val="28"/>
    </w:rPr>
  </w:style>
  <w:style w:type="character" w:customStyle="1" w:styleId="Antrastes2Char">
    <w:name w:val="• Antrastes_2 Char"/>
    <w:basedOn w:val="DefaultParagraphFont"/>
    <w:link w:val="Antrastes2"/>
    <w:rsid w:val="00D60FB4"/>
    <w:rPr>
      <w:rFonts w:asciiTheme="majorHAnsi" w:eastAsia="Times New Roman" w:hAnsiTheme="majorHAnsi" w:cs="Times New Roman"/>
      <w:b/>
      <w:bCs/>
      <w:caps/>
      <w:color w:val="4181B6"/>
      <w:kern w:val="32"/>
      <w:sz w:val="28"/>
      <w:szCs w:val="32"/>
      <w:lang w:eastAsia="lt-LT"/>
    </w:rPr>
  </w:style>
  <w:style w:type="paragraph" w:customStyle="1" w:styleId="Antrastes3">
    <w:name w:val="• Antrastes_3"/>
    <w:basedOn w:val="Antrastes2"/>
    <w:next w:val="Normal"/>
    <w:link w:val="Antrastes3Char"/>
    <w:qFormat/>
    <w:rsid w:val="00D60FB4"/>
    <w:pPr>
      <w:numPr>
        <w:ilvl w:val="2"/>
        <w:numId w:val="8"/>
      </w:numPr>
      <w:pBdr>
        <w:bottom w:val="none" w:sz="0" w:space="0" w:color="auto"/>
      </w:pBdr>
      <w:jc w:val="both"/>
      <w:outlineLvl w:val="2"/>
    </w:pPr>
    <w:rPr>
      <w:caps w:val="0"/>
    </w:rPr>
  </w:style>
  <w:style w:type="character" w:customStyle="1" w:styleId="Antrastes3Char">
    <w:name w:val="• Antrastes_3 Char"/>
    <w:basedOn w:val="DefaultParagraphFont"/>
    <w:link w:val="Antrastes3"/>
    <w:rsid w:val="00BC3B66"/>
    <w:rPr>
      <w:rFonts w:asciiTheme="majorHAnsi" w:eastAsia="Times New Roman" w:hAnsiTheme="majorHAnsi" w:cs="Times New Roman"/>
      <w:b/>
      <w:bCs/>
      <w:color w:val="4181B6"/>
      <w:kern w:val="32"/>
      <w:sz w:val="28"/>
      <w:szCs w:val="32"/>
      <w:lang w:eastAsia="lt-LT"/>
    </w:rPr>
  </w:style>
  <w:style w:type="paragraph" w:customStyle="1" w:styleId="Antrastes4">
    <w:name w:val="• Antrastes_4"/>
    <w:basedOn w:val="Antrastes3"/>
    <w:next w:val="Normal"/>
    <w:qFormat/>
    <w:rsid w:val="00D60FB4"/>
    <w:pPr>
      <w:numPr>
        <w:ilvl w:val="3"/>
      </w:numPr>
      <w:outlineLvl w:val="3"/>
    </w:pPr>
    <w:rPr>
      <w:i/>
      <w:sz w:val="24"/>
    </w:rPr>
  </w:style>
  <w:style w:type="paragraph" w:customStyle="1" w:styleId="Pagrindinispaprastastekstas">
    <w:name w:val="• Pagrindinis paprastas tekstas"/>
    <w:basedOn w:val="Normal"/>
    <w:qFormat/>
    <w:rsid w:val="00BC3B66"/>
    <w:pPr>
      <w:spacing w:after="0" w:line="240" w:lineRule="auto"/>
      <w:jc w:val="both"/>
    </w:pPr>
    <w:rPr>
      <w:rFonts w:asciiTheme="majorHAnsi" w:eastAsia="Times New Roman" w:hAnsiTheme="majorHAnsi" w:cs="Times New Roman"/>
      <w:szCs w:val="24"/>
    </w:rPr>
  </w:style>
  <w:style w:type="paragraph" w:customStyle="1" w:styleId="Headeriams">
    <w:name w:val="• Headeriams"/>
    <w:basedOn w:val="Pagrindinispaprastastekstas"/>
    <w:qFormat/>
    <w:rsid w:val="00BC3B66"/>
    <w:pPr>
      <w:jc w:val="right"/>
    </w:pPr>
    <w:rPr>
      <w:color w:val="4181B6"/>
      <w:sz w:val="20"/>
    </w:rPr>
  </w:style>
  <w:style w:type="paragraph" w:customStyle="1" w:styleId="Lentelemsantraste">
    <w:name w:val="• Lentelems antraste"/>
    <w:basedOn w:val="Pagrindinispaprastastekstas"/>
    <w:qFormat/>
    <w:rsid w:val="00BC3B66"/>
    <w:pPr>
      <w:jc w:val="left"/>
    </w:pPr>
    <w:rPr>
      <w:b/>
      <w:bCs/>
      <w:color w:val="FFFFFF" w:themeColor="background1"/>
      <w:sz w:val="20"/>
    </w:rPr>
  </w:style>
  <w:style w:type="paragraph" w:customStyle="1" w:styleId="Lentelemstekstas">
    <w:name w:val="• Lentelems tekstas"/>
    <w:basedOn w:val="Lentelemsantraste"/>
    <w:qFormat/>
    <w:rsid w:val="00BC3B66"/>
    <w:rPr>
      <w:b w:val="0"/>
      <w:bCs w:val="0"/>
      <w:iCs/>
      <w:color w:val="4181B6"/>
    </w:rPr>
  </w:style>
  <w:style w:type="paragraph" w:customStyle="1" w:styleId="Titulinispavadinimas">
    <w:name w:val="• Titulinis pavadinimas"/>
    <w:next w:val="Normal"/>
    <w:link w:val="TitulinispavadinimasChar"/>
    <w:qFormat/>
    <w:rsid w:val="00BC3B66"/>
    <w:pPr>
      <w:spacing w:before="3120" w:after="0" w:line="240" w:lineRule="auto"/>
      <w:ind w:left="2693"/>
    </w:pPr>
    <w:rPr>
      <w:rFonts w:asciiTheme="majorHAnsi" w:eastAsia="Times New Roman" w:hAnsiTheme="majorHAnsi" w:cs="Times New Roman"/>
      <w:bCs/>
      <w:color w:val="00478A"/>
      <w:sz w:val="60"/>
      <w:szCs w:val="60"/>
      <w:lang w:eastAsia="lt-LT"/>
    </w:rPr>
  </w:style>
  <w:style w:type="character" w:customStyle="1" w:styleId="TitulinispavadinimasChar">
    <w:name w:val="• Titulinis pavadinimas Char"/>
    <w:basedOn w:val="DefaultParagraphFont"/>
    <w:link w:val="Titulinispavadinimas"/>
    <w:rsid w:val="00BC3B66"/>
    <w:rPr>
      <w:rFonts w:asciiTheme="majorHAnsi" w:eastAsia="Times New Roman" w:hAnsiTheme="majorHAnsi" w:cs="Times New Roman"/>
      <w:bCs/>
      <w:color w:val="00478A"/>
      <w:sz w:val="60"/>
      <w:szCs w:val="60"/>
      <w:lang w:eastAsia="lt-LT"/>
    </w:rPr>
  </w:style>
  <w:style w:type="paragraph" w:customStyle="1" w:styleId="Tituliniosubpavadinimas">
    <w:name w:val="• Titulinio subpavadinimas"/>
    <w:basedOn w:val="Titulinispavadinimas"/>
    <w:link w:val="TituliniosubpavadinimasChar"/>
    <w:qFormat/>
    <w:rsid w:val="00BC3B66"/>
    <w:pPr>
      <w:spacing w:before="240" w:after="240"/>
    </w:pPr>
    <w:rPr>
      <w:color w:val="4181B6"/>
      <w:sz w:val="40"/>
      <w:szCs w:val="40"/>
    </w:rPr>
  </w:style>
  <w:style w:type="character" w:customStyle="1" w:styleId="TituliniosubpavadinimasChar">
    <w:name w:val="• Titulinio subpavadinimas Char"/>
    <w:basedOn w:val="TitulinispavadinimasChar"/>
    <w:link w:val="Tituliniosubpavadinimas"/>
    <w:rsid w:val="00BC3B66"/>
    <w:rPr>
      <w:rFonts w:asciiTheme="majorHAnsi" w:eastAsia="Times New Roman" w:hAnsiTheme="majorHAnsi" w:cs="Times New Roman"/>
      <w:bCs/>
      <w:color w:val="4181B6"/>
      <w:sz w:val="40"/>
      <w:szCs w:val="40"/>
      <w:lang w:eastAsia="lt-LT"/>
    </w:rPr>
  </w:style>
  <w:style w:type="paragraph" w:customStyle="1" w:styleId="Neturinioantrastes">
    <w:name w:val="• Ne turinio antrastes"/>
    <w:basedOn w:val="Tituliniosubpavadinimas"/>
    <w:next w:val="Pagrindinispaprastastekstas"/>
    <w:link w:val="NeturinioantrastesChar"/>
    <w:qFormat/>
    <w:rsid w:val="00BC3B66"/>
    <w:pPr>
      <w:pageBreakBefore/>
      <w:ind w:left="0"/>
    </w:pPr>
    <w:rPr>
      <w:b/>
      <w:caps/>
      <w:sz w:val="28"/>
    </w:rPr>
  </w:style>
  <w:style w:type="character" w:customStyle="1" w:styleId="NeturinioantrastesChar">
    <w:name w:val="• Ne turinio antrastes Char"/>
    <w:basedOn w:val="TituliniosubpavadinimasChar"/>
    <w:link w:val="Neturinioantrastes"/>
    <w:rsid w:val="00BC3B66"/>
    <w:rPr>
      <w:rFonts w:asciiTheme="majorHAnsi" w:eastAsia="Times New Roman" w:hAnsiTheme="majorHAnsi" w:cs="Times New Roman"/>
      <w:b/>
      <w:bCs/>
      <w:caps/>
      <w:color w:val="4181B6"/>
      <w:sz w:val="28"/>
      <w:szCs w:val="40"/>
      <w:lang w:eastAsia="lt-LT"/>
    </w:rPr>
  </w:style>
  <w:style w:type="paragraph" w:customStyle="1" w:styleId="Priedupavadinimai">
    <w:name w:val="• Priedu pavadinimai"/>
    <w:basedOn w:val="Nenumeruojamosantrastes"/>
    <w:next w:val="Pagrindinispaprastastekstas"/>
    <w:qFormat/>
    <w:rsid w:val="00BC3B66"/>
    <w:pPr>
      <w:numPr>
        <w:numId w:val="5"/>
      </w:numPr>
      <w:tabs>
        <w:tab w:val="center" w:pos="1701"/>
        <w:tab w:val="left" w:pos="1843"/>
        <w:tab w:val="left" w:pos="2127"/>
      </w:tabs>
    </w:pPr>
  </w:style>
  <w:style w:type="paragraph" w:customStyle="1" w:styleId="Saltinis">
    <w:name w:val="• Saltinis"/>
    <w:next w:val="Pagrindinispaprastastekstas"/>
    <w:qFormat/>
    <w:rsid w:val="00BC3B66"/>
    <w:pPr>
      <w:spacing w:before="60" w:after="0" w:line="240" w:lineRule="auto"/>
    </w:pPr>
    <w:rPr>
      <w:rFonts w:asciiTheme="majorHAnsi" w:eastAsia="Times New Roman" w:hAnsiTheme="majorHAnsi" w:cs="Times New Roman"/>
      <w:color w:val="00478A"/>
      <w:sz w:val="20"/>
    </w:rPr>
  </w:style>
  <w:style w:type="paragraph" w:customStyle="1" w:styleId="Textboxantrastes">
    <w:name w:val="• Text box antrastes"/>
    <w:basedOn w:val="ListParagraph"/>
    <w:next w:val="Normal"/>
    <w:qFormat/>
    <w:rsid w:val="00BC3B66"/>
    <w:pPr>
      <w:spacing w:before="120" w:after="120" w:line="240" w:lineRule="auto"/>
      <w:ind w:left="0"/>
      <w:contextualSpacing w:val="0"/>
    </w:pPr>
    <w:rPr>
      <w:rFonts w:asciiTheme="majorHAnsi" w:eastAsia="Calibri" w:hAnsiTheme="majorHAnsi" w:cs="Times New Roman"/>
      <w:b/>
      <w:color w:val="00478A"/>
      <w:sz w:val="20"/>
      <w:szCs w:val="32"/>
    </w:rPr>
  </w:style>
  <w:style w:type="paragraph" w:styleId="ListParagraph">
    <w:name w:val="List Paragraph"/>
    <w:basedOn w:val="Normal"/>
    <w:uiPriority w:val="34"/>
    <w:qFormat/>
    <w:rsid w:val="00BC3B66"/>
    <w:pPr>
      <w:ind w:left="720"/>
      <w:contextualSpacing/>
    </w:pPr>
  </w:style>
  <w:style w:type="paragraph" w:customStyle="1" w:styleId="Textboxtekstas">
    <w:name w:val="• Text box tekstas"/>
    <w:basedOn w:val="Normal"/>
    <w:qFormat/>
    <w:rsid w:val="00BC3B66"/>
    <w:pPr>
      <w:spacing w:after="0" w:line="240" w:lineRule="auto"/>
      <w:jc w:val="both"/>
    </w:pPr>
    <w:rPr>
      <w:rFonts w:asciiTheme="majorHAnsi" w:eastAsia="Times New Roman" w:hAnsiTheme="majorHAnsi" w:cs="Times New Roman"/>
      <w:bCs/>
      <w:color w:val="4181B6"/>
      <w:kern w:val="32"/>
      <w:sz w:val="20"/>
      <w:szCs w:val="20"/>
      <w:lang w:eastAsia="lt-LT"/>
    </w:rPr>
  </w:style>
  <w:style w:type="paragraph" w:customStyle="1" w:styleId="Textboxtekstassubullets">
    <w:name w:val="• Text box tekstas su bullets"/>
    <w:basedOn w:val="Textboxtekstas"/>
    <w:qFormat/>
    <w:rsid w:val="00BC3B66"/>
    <w:pPr>
      <w:numPr>
        <w:numId w:val="6"/>
      </w:numPr>
      <w:spacing w:before="120" w:after="120"/>
      <w:contextualSpacing/>
    </w:pPr>
  </w:style>
  <w:style w:type="paragraph" w:customStyle="1" w:styleId="Tituliniodata">
    <w:name w:val="• Titulinio data"/>
    <w:qFormat/>
    <w:rsid w:val="00BC3B66"/>
    <w:pPr>
      <w:spacing w:after="0" w:line="240" w:lineRule="auto"/>
      <w:ind w:left="2694"/>
    </w:pPr>
    <w:rPr>
      <w:rFonts w:asciiTheme="majorHAnsi" w:eastAsia="Times New Roman" w:hAnsiTheme="majorHAnsi" w:cs="Times New Roman"/>
      <w:sz w:val="24"/>
      <w:szCs w:val="24"/>
    </w:rPr>
  </w:style>
  <w:style w:type="paragraph" w:customStyle="1" w:styleId="Titulinionuoroda">
    <w:name w:val="• Titulinio nuoroda"/>
    <w:basedOn w:val="Normal"/>
    <w:qFormat/>
    <w:rsid w:val="00BC3B66"/>
    <w:pPr>
      <w:spacing w:after="0" w:line="240" w:lineRule="auto"/>
      <w:ind w:left="2694"/>
      <w:jc w:val="both"/>
    </w:pPr>
    <w:rPr>
      <w:rFonts w:asciiTheme="majorHAnsi" w:eastAsia="Times New Roman" w:hAnsiTheme="majorHAnsi" w:cs="Times New Roman"/>
      <w:bCs/>
      <w:sz w:val="20"/>
      <w:szCs w:val="20"/>
    </w:rPr>
  </w:style>
  <w:style w:type="paragraph" w:styleId="Caption">
    <w:name w:val="caption"/>
    <w:aliases w:val="• Caption"/>
    <w:basedOn w:val="Normal"/>
    <w:next w:val="Pagrindinispaprastastekstas"/>
    <w:qFormat/>
    <w:rsid w:val="00BC3B66"/>
    <w:pPr>
      <w:spacing w:after="60" w:line="240" w:lineRule="auto"/>
    </w:pPr>
    <w:rPr>
      <w:rFonts w:asciiTheme="majorHAnsi" w:eastAsia="Times New Roman" w:hAnsiTheme="majorHAnsi" w:cs="Times New Roman"/>
      <w:b/>
      <w:bCs/>
      <w:color w:val="00478A"/>
    </w:rPr>
  </w:style>
  <w:style w:type="character" w:styleId="FootnoteReference">
    <w:name w:val="footnote reference"/>
    <w:aliases w:val="• Isnasos nuoroda"/>
    <w:basedOn w:val="DefaultParagraphFont"/>
    <w:qFormat/>
    <w:rsid w:val="00BC3B66"/>
    <w:rPr>
      <w:rFonts w:asciiTheme="majorHAnsi" w:hAnsiTheme="majorHAnsi"/>
      <w:dstrike w:val="0"/>
      <w:sz w:val="22"/>
      <w:vertAlign w:val="superscript"/>
      <w:lang w:val="lt-LT"/>
    </w:rPr>
  </w:style>
  <w:style w:type="paragraph" w:styleId="FootnoteText">
    <w:name w:val="footnote text"/>
    <w:aliases w:val="• Isnasos"/>
    <w:link w:val="FootnoteTextChar"/>
    <w:qFormat/>
    <w:rsid w:val="00BC3B66"/>
    <w:pPr>
      <w:spacing w:after="0" w:line="240" w:lineRule="auto"/>
    </w:pPr>
    <w:rPr>
      <w:rFonts w:asciiTheme="majorHAnsi" w:eastAsia="Times New Roman" w:hAnsiTheme="majorHAnsi" w:cs="Times New Roman"/>
      <w:sz w:val="18"/>
    </w:rPr>
  </w:style>
  <w:style w:type="character" w:customStyle="1" w:styleId="FootnoteTextChar">
    <w:name w:val="Footnote Text Char"/>
    <w:aliases w:val="• Isnasos Char"/>
    <w:basedOn w:val="DefaultParagraphFont"/>
    <w:link w:val="FootnoteText"/>
    <w:rsid w:val="00BC3B66"/>
    <w:rPr>
      <w:rFonts w:asciiTheme="majorHAnsi" w:eastAsia="Times New Roman" w:hAnsiTheme="majorHAnsi" w:cs="Times New Roman"/>
      <w:sz w:val="18"/>
    </w:rPr>
  </w:style>
  <w:style w:type="paragraph" w:styleId="BalloonText">
    <w:name w:val="Balloon Text"/>
    <w:basedOn w:val="Normal"/>
    <w:link w:val="BalloonTextChar"/>
    <w:uiPriority w:val="99"/>
    <w:semiHidden/>
    <w:unhideWhenUsed/>
    <w:rsid w:val="004B5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4B9"/>
    <w:rPr>
      <w:rFonts w:ascii="Tahoma" w:hAnsi="Tahoma" w:cs="Tahoma"/>
      <w:sz w:val="16"/>
      <w:szCs w:val="16"/>
    </w:rPr>
  </w:style>
  <w:style w:type="table" w:styleId="TableGrid">
    <w:name w:val="Table Grid"/>
    <w:basedOn w:val="TableNormal"/>
    <w:uiPriority w:val="39"/>
    <w:rsid w:val="0068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89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A234CC"/>
    <w:rPr>
      <w:sz w:val="16"/>
      <w:szCs w:val="16"/>
    </w:rPr>
  </w:style>
  <w:style w:type="paragraph" w:styleId="CommentText">
    <w:name w:val="annotation text"/>
    <w:basedOn w:val="Normal"/>
    <w:link w:val="CommentTextChar"/>
    <w:uiPriority w:val="99"/>
    <w:semiHidden/>
    <w:unhideWhenUsed/>
    <w:rsid w:val="00A234CC"/>
    <w:pPr>
      <w:spacing w:line="240" w:lineRule="auto"/>
    </w:pPr>
    <w:rPr>
      <w:sz w:val="20"/>
      <w:szCs w:val="20"/>
    </w:rPr>
  </w:style>
  <w:style w:type="character" w:customStyle="1" w:styleId="CommentTextChar">
    <w:name w:val="Comment Text Char"/>
    <w:basedOn w:val="DefaultParagraphFont"/>
    <w:link w:val="CommentText"/>
    <w:uiPriority w:val="99"/>
    <w:semiHidden/>
    <w:rsid w:val="00A234CC"/>
    <w:rPr>
      <w:sz w:val="20"/>
      <w:szCs w:val="20"/>
    </w:rPr>
  </w:style>
  <w:style w:type="paragraph" w:styleId="CommentSubject">
    <w:name w:val="annotation subject"/>
    <w:basedOn w:val="CommentText"/>
    <w:next w:val="CommentText"/>
    <w:link w:val="CommentSubjectChar"/>
    <w:uiPriority w:val="99"/>
    <w:semiHidden/>
    <w:unhideWhenUsed/>
    <w:rsid w:val="00A234CC"/>
    <w:rPr>
      <w:b/>
      <w:bCs/>
    </w:rPr>
  </w:style>
  <w:style w:type="character" w:customStyle="1" w:styleId="CommentSubjectChar">
    <w:name w:val="Comment Subject Char"/>
    <w:basedOn w:val="CommentTextChar"/>
    <w:link w:val="CommentSubject"/>
    <w:uiPriority w:val="99"/>
    <w:semiHidden/>
    <w:rsid w:val="00A234CC"/>
    <w:rPr>
      <w:b/>
      <w:bCs/>
      <w:sz w:val="20"/>
      <w:szCs w:val="20"/>
    </w:rPr>
  </w:style>
  <w:style w:type="paragraph" w:styleId="Revision">
    <w:name w:val="Revision"/>
    <w:hidden/>
    <w:uiPriority w:val="99"/>
    <w:semiHidden/>
    <w:rsid w:val="00A234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7615">
      <w:bodyDiv w:val="1"/>
      <w:marLeft w:val="0"/>
      <w:marRight w:val="0"/>
      <w:marTop w:val="0"/>
      <w:marBottom w:val="0"/>
      <w:divBdr>
        <w:top w:val="none" w:sz="0" w:space="0" w:color="auto"/>
        <w:left w:val="none" w:sz="0" w:space="0" w:color="auto"/>
        <w:bottom w:val="none" w:sz="0" w:space="0" w:color="auto"/>
        <w:right w:val="none" w:sz="0" w:space="0" w:color="auto"/>
      </w:divBdr>
      <w:divsChild>
        <w:div w:id="1626502864">
          <w:marLeft w:val="274"/>
          <w:marRight w:val="0"/>
          <w:marTop w:val="0"/>
          <w:marBottom w:val="0"/>
          <w:divBdr>
            <w:top w:val="none" w:sz="0" w:space="0" w:color="auto"/>
            <w:left w:val="none" w:sz="0" w:space="0" w:color="auto"/>
            <w:bottom w:val="none" w:sz="0" w:space="0" w:color="auto"/>
            <w:right w:val="none" w:sz="0" w:space="0" w:color="auto"/>
          </w:divBdr>
        </w:div>
        <w:div w:id="1781756280">
          <w:marLeft w:val="274"/>
          <w:marRight w:val="0"/>
          <w:marTop w:val="0"/>
          <w:marBottom w:val="0"/>
          <w:divBdr>
            <w:top w:val="none" w:sz="0" w:space="0" w:color="auto"/>
            <w:left w:val="none" w:sz="0" w:space="0" w:color="auto"/>
            <w:bottom w:val="none" w:sz="0" w:space="0" w:color="auto"/>
            <w:right w:val="none" w:sz="0" w:space="0" w:color="auto"/>
          </w:divBdr>
        </w:div>
        <w:div w:id="784810489">
          <w:marLeft w:val="274"/>
          <w:marRight w:val="0"/>
          <w:marTop w:val="0"/>
          <w:marBottom w:val="0"/>
          <w:divBdr>
            <w:top w:val="none" w:sz="0" w:space="0" w:color="auto"/>
            <w:left w:val="none" w:sz="0" w:space="0" w:color="auto"/>
            <w:bottom w:val="none" w:sz="0" w:space="0" w:color="auto"/>
            <w:right w:val="none" w:sz="0" w:space="0" w:color="auto"/>
          </w:divBdr>
        </w:div>
      </w:divsChild>
    </w:div>
    <w:div w:id="407076001">
      <w:bodyDiv w:val="1"/>
      <w:marLeft w:val="0"/>
      <w:marRight w:val="0"/>
      <w:marTop w:val="0"/>
      <w:marBottom w:val="0"/>
      <w:divBdr>
        <w:top w:val="none" w:sz="0" w:space="0" w:color="auto"/>
        <w:left w:val="none" w:sz="0" w:space="0" w:color="auto"/>
        <w:bottom w:val="none" w:sz="0" w:space="0" w:color="auto"/>
        <w:right w:val="none" w:sz="0" w:space="0" w:color="auto"/>
      </w:divBdr>
      <w:divsChild>
        <w:div w:id="383530740">
          <w:marLeft w:val="446"/>
          <w:marRight w:val="0"/>
          <w:marTop w:val="0"/>
          <w:marBottom w:val="0"/>
          <w:divBdr>
            <w:top w:val="none" w:sz="0" w:space="0" w:color="auto"/>
            <w:left w:val="none" w:sz="0" w:space="0" w:color="auto"/>
            <w:bottom w:val="none" w:sz="0" w:space="0" w:color="auto"/>
            <w:right w:val="none" w:sz="0" w:space="0" w:color="auto"/>
          </w:divBdr>
        </w:div>
        <w:div w:id="316543106">
          <w:marLeft w:val="446"/>
          <w:marRight w:val="0"/>
          <w:marTop w:val="0"/>
          <w:marBottom w:val="0"/>
          <w:divBdr>
            <w:top w:val="none" w:sz="0" w:space="0" w:color="auto"/>
            <w:left w:val="none" w:sz="0" w:space="0" w:color="auto"/>
            <w:bottom w:val="none" w:sz="0" w:space="0" w:color="auto"/>
            <w:right w:val="none" w:sz="0" w:space="0" w:color="auto"/>
          </w:divBdr>
        </w:div>
        <w:div w:id="1845240614">
          <w:marLeft w:val="446"/>
          <w:marRight w:val="0"/>
          <w:marTop w:val="0"/>
          <w:marBottom w:val="0"/>
          <w:divBdr>
            <w:top w:val="none" w:sz="0" w:space="0" w:color="auto"/>
            <w:left w:val="none" w:sz="0" w:space="0" w:color="auto"/>
            <w:bottom w:val="none" w:sz="0" w:space="0" w:color="auto"/>
            <w:right w:val="none" w:sz="0" w:space="0" w:color="auto"/>
          </w:divBdr>
        </w:div>
        <w:div w:id="861358372">
          <w:marLeft w:val="446"/>
          <w:marRight w:val="0"/>
          <w:marTop w:val="0"/>
          <w:marBottom w:val="0"/>
          <w:divBdr>
            <w:top w:val="none" w:sz="0" w:space="0" w:color="auto"/>
            <w:left w:val="none" w:sz="0" w:space="0" w:color="auto"/>
            <w:bottom w:val="none" w:sz="0" w:space="0" w:color="auto"/>
            <w:right w:val="none" w:sz="0" w:space="0" w:color="auto"/>
          </w:divBdr>
        </w:div>
      </w:divsChild>
    </w:div>
    <w:div w:id="423111362">
      <w:bodyDiv w:val="1"/>
      <w:marLeft w:val="0"/>
      <w:marRight w:val="0"/>
      <w:marTop w:val="0"/>
      <w:marBottom w:val="0"/>
      <w:divBdr>
        <w:top w:val="none" w:sz="0" w:space="0" w:color="auto"/>
        <w:left w:val="none" w:sz="0" w:space="0" w:color="auto"/>
        <w:bottom w:val="none" w:sz="0" w:space="0" w:color="auto"/>
        <w:right w:val="none" w:sz="0" w:space="0" w:color="auto"/>
      </w:divBdr>
      <w:divsChild>
        <w:div w:id="1837110476">
          <w:marLeft w:val="446"/>
          <w:marRight w:val="0"/>
          <w:marTop w:val="0"/>
          <w:marBottom w:val="0"/>
          <w:divBdr>
            <w:top w:val="none" w:sz="0" w:space="0" w:color="auto"/>
            <w:left w:val="none" w:sz="0" w:space="0" w:color="auto"/>
            <w:bottom w:val="none" w:sz="0" w:space="0" w:color="auto"/>
            <w:right w:val="none" w:sz="0" w:space="0" w:color="auto"/>
          </w:divBdr>
        </w:div>
        <w:div w:id="1375226626">
          <w:marLeft w:val="446"/>
          <w:marRight w:val="0"/>
          <w:marTop w:val="0"/>
          <w:marBottom w:val="0"/>
          <w:divBdr>
            <w:top w:val="none" w:sz="0" w:space="0" w:color="auto"/>
            <w:left w:val="none" w:sz="0" w:space="0" w:color="auto"/>
            <w:bottom w:val="none" w:sz="0" w:space="0" w:color="auto"/>
            <w:right w:val="none" w:sz="0" w:space="0" w:color="auto"/>
          </w:divBdr>
        </w:div>
        <w:div w:id="501433705">
          <w:marLeft w:val="446"/>
          <w:marRight w:val="0"/>
          <w:marTop w:val="0"/>
          <w:marBottom w:val="0"/>
          <w:divBdr>
            <w:top w:val="none" w:sz="0" w:space="0" w:color="auto"/>
            <w:left w:val="none" w:sz="0" w:space="0" w:color="auto"/>
            <w:bottom w:val="none" w:sz="0" w:space="0" w:color="auto"/>
            <w:right w:val="none" w:sz="0" w:space="0" w:color="auto"/>
          </w:divBdr>
        </w:div>
        <w:div w:id="1456870549">
          <w:marLeft w:val="446"/>
          <w:marRight w:val="0"/>
          <w:marTop w:val="0"/>
          <w:marBottom w:val="0"/>
          <w:divBdr>
            <w:top w:val="none" w:sz="0" w:space="0" w:color="auto"/>
            <w:left w:val="none" w:sz="0" w:space="0" w:color="auto"/>
            <w:bottom w:val="none" w:sz="0" w:space="0" w:color="auto"/>
            <w:right w:val="none" w:sz="0" w:space="0" w:color="auto"/>
          </w:divBdr>
        </w:div>
      </w:divsChild>
    </w:div>
    <w:div w:id="423965798">
      <w:bodyDiv w:val="1"/>
      <w:marLeft w:val="0"/>
      <w:marRight w:val="0"/>
      <w:marTop w:val="0"/>
      <w:marBottom w:val="0"/>
      <w:divBdr>
        <w:top w:val="none" w:sz="0" w:space="0" w:color="auto"/>
        <w:left w:val="none" w:sz="0" w:space="0" w:color="auto"/>
        <w:bottom w:val="none" w:sz="0" w:space="0" w:color="auto"/>
        <w:right w:val="none" w:sz="0" w:space="0" w:color="auto"/>
      </w:divBdr>
      <w:divsChild>
        <w:div w:id="87502557">
          <w:marLeft w:val="0"/>
          <w:marRight w:val="0"/>
          <w:marTop w:val="86"/>
          <w:marBottom w:val="0"/>
          <w:divBdr>
            <w:top w:val="none" w:sz="0" w:space="0" w:color="auto"/>
            <w:left w:val="none" w:sz="0" w:space="0" w:color="auto"/>
            <w:bottom w:val="none" w:sz="0" w:space="0" w:color="auto"/>
            <w:right w:val="none" w:sz="0" w:space="0" w:color="auto"/>
          </w:divBdr>
        </w:div>
        <w:div w:id="1588726915">
          <w:marLeft w:val="0"/>
          <w:marRight w:val="0"/>
          <w:marTop w:val="86"/>
          <w:marBottom w:val="0"/>
          <w:divBdr>
            <w:top w:val="none" w:sz="0" w:space="0" w:color="auto"/>
            <w:left w:val="none" w:sz="0" w:space="0" w:color="auto"/>
            <w:bottom w:val="none" w:sz="0" w:space="0" w:color="auto"/>
            <w:right w:val="none" w:sz="0" w:space="0" w:color="auto"/>
          </w:divBdr>
        </w:div>
        <w:div w:id="1157721207">
          <w:marLeft w:val="0"/>
          <w:marRight w:val="0"/>
          <w:marTop w:val="86"/>
          <w:marBottom w:val="0"/>
          <w:divBdr>
            <w:top w:val="none" w:sz="0" w:space="0" w:color="auto"/>
            <w:left w:val="none" w:sz="0" w:space="0" w:color="auto"/>
            <w:bottom w:val="none" w:sz="0" w:space="0" w:color="auto"/>
            <w:right w:val="none" w:sz="0" w:space="0" w:color="auto"/>
          </w:divBdr>
        </w:div>
        <w:div w:id="973876441">
          <w:marLeft w:val="0"/>
          <w:marRight w:val="0"/>
          <w:marTop w:val="86"/>
          <w:marBottom w:val="0"/>
          <w:divBdr>
            <w:top w:val="none" w:sz="0" w:space="0" w:color="auto"/>
            <w:left w:val="none" w:sz="0" w:space="0" w:color="auto"/>
            <w:bottom w:val="none" w:sz="0" w:space="0" w:color="auto"/>
            <w:right w:val="none" w:sz="0" w:space="0" w:color="auto"/>
          </w:divBdr>
        </w:div>
        <w:div w:id="771318334">
          <w:marLeft w:val="0"/>
          <w:marRight w:val="0"/>
          <w:marTop w:val="86"/>
          <w:marBottom w:val="0"/>
          <w:divBdr>
            <w:top w:val="none" w:sz="0" w:space="0" w:color="auto"/>
            <w:left w:val="none" w:sz="0" w:space="0" w:color="auto"/>
            <w:bottom w:val="none" w:sz="0" w:space="0" w:color="auto"/>
            <w:right w:val="none" w:sz="0" w:space="0" w:color="auto"/>
          </w:divBdr>
        </w:div>
      </w:divsChild>
    </w:div>
    <w:div w:id="498422598">
      <w:bodyDiv w:val="1"/>
      <w:marLeft w:val="0"/>
      <w:marRight w:val="0"/>
      <w:marTop w:val="0"/>
      <w:marBottom w:val="0"/>
      <w:divBdr>
        <w:top w:val="none" w:sz="0" w:space="0" w:color="auto"/>
        <w:left w:val="none" w:sz="0" w:space="0" w:color="auto"/>
        <w:bottom w:val="none" w:sz="0" w:space="0" w:color="auto"/>
        <w:right w:val="none" w:sz="0" w:space="0" w:color="auto"/>
      </w:divBdr>
      <w:divsChild>
        <w:div w:id="24671406">
          <w:marLeft w:val="446"/>
          <w:marRight w:val="0"/>
          <w:marTop w:val="86"/>
          <w:marBottom w:val="0"/>
          <w:divBdr>
            <w:top w:val="none" w:sz="0" w:space="0" w:color="auto"/>
            <w:left w:val="none" w:sz="0" w:space="0" w:color="auto"/>
            <w:bottom w:val="none" w:sz="0" w:space="0" w:color="auto"/>
            <w:right w:val="none" w:sz="0" w:space="0" w:color="auto"/>
          </w:divBdr>
        </w:div>
        <w:div w:id="984315303">
          <w:marLeft w:val="446"/>
          <w:marRight w:val="0"/>
          <w:marTop w:val="86"/>
          <w:marBottom w:val="0"/>
          <w:divBdr>
            <w:top w:val="none" w:sz="0" w:space="0" w:color="auto"/>
            <w:left w:val="none" w:sz="0" w:space="0" w:color="auto"/>
            <w:bottom w:val="none" w:sz="0" w:space="0" w:color="auto"/>
            <w:right w:val="none" w:sz="0" w:space="0" w:color="auto"/>
          </w:divBdr>
        </w:div>
        <w:div w:id="1938174823">
          <w:marLeft w:val="446"/>
          <w:marRight w:val="0"/>
          <w:marTop w:val="86"/>
          <w:marBottom w:val="0"/>
          <w:divBdr>
            <w:top w:val="none" w:sz="0" w:space="0" w:color="auto"/>
            <w:left w:val="none" w:sz="0" w:space="0" w:color="auto"/>
            <w:bottom w:val="none" w:sz="0" w:space="0" w:color="auto"/>
            <w:right w:val="none" w:sz="0" w:space="0" w:color="auto"/>
          </w:divBdr>
        </w:div>
      </w:divsChild>
    </w:div>
    <w:div w:id="751195045">
      <w:bodyDiv w:val="1"/>
      <w:marLeft w:val="0"/>
      <w:marRight w:val="0"/>
      <w:marTop w:val="0"/>
      <w:marBottom w:val="0"/>
      <w:divBdr>
        <w:top w:val="none" w:sz="0" w:space="0" w:color="auto"/>
        <w:left w:val="none" w:sz="0" w:space="0" w:color="auto"/>
        <w:bottom w:val="none" w:sz="0" w:space="0" w:color="auto"/>
        <w:right w:val="none" w:sz="0" w:space="0" w:color="auto"/>
      </w:divBdr>
      <w:divsChild>
        <w:div w:id="20860705">
          <w:marLeft w:val="446"/>
          <w:marRight w:val="0"/>
          <w:marTop w:val="0"/>
          <w:marBottom w:val="0"/>
          <w:divBdr>
            <w:top w:val="none" w:sz="0" w:space="0" w:color="auto"/>
            <w:left w:val="none" w:sz="0" w:space="0" w:color="auto"/>
            <w:bottom w:val="none" w:sz="0" w:space="0" w:color="auto"/>
            <w:right w:val="none" w:sz="0" w:space="0" w:color="auto"/>
          </w:divBdr>
        </w:div>
        <w:div w:id="1626426294">
          <w:marLeft w:val="360"/>
          <w:marRight w:val="0"/>
          <w:marTop w:val="0"/>
          <w:marBottom w:val="0"/>
          <w:divBdr>
            <w:top w:val="none" w:sz="0" w:space="0" w:color="auto"/>
            <w:left w:val="none" w:sz="0" w:space="0" w:color="auto"/>
            <w:bottom w:val="none" w:sz="0" w:space="0" w:color="auto"/>
            <w:right w:val="none" w:sz="0" w:space="0" w:color="auto"/>
          </w:divBdr>
        </w:div>
        <w:div w:id="6752924">
          <w:marLeft w:val="360"/>
          <w:marRight w:val="0"/>
          <w:marTop w:val="0"/>
          <w:marBottom w:val="0"/>
          <w:divBdr>
            <w:top w:val="none" w:sz="0" w:space="0" w:color="auto"/>
            <w:left w:val="none" w:sz="0" w:space="0" w:color="auto"/>
            <w:bottom w:val="none" w:sz="0" w:space="0" w:color="auto"/>
            <w:right w:val="none" w:sz="0" w:space="0" w:color="auto"/>
          </w:divBdr>
        </w:div>
        <w:div w:id="1856377888">
          <w:marLeft w:val="446"/>
          <w:marRight w:val="0"/>
          <w:marTop w:val="0"/>
          <w:marBottom w:val="0"/>
          <w:divBdr>
            <w:top w:val="none" w:sz="0" w:space="0" w:color="auto"/>
            <w:left w:val="none" w:sz="0" w:space="0" w:color="auto"/>
            <w:bottom w:val="none" w:sz="0" w:space="0" w:color="auto"/>
            <w:right w:val="none" w:sz="0" w:space="0" w:color="auto"/>
          </w:divBdr>
        </w:div>
      </w:divsChild>
    </w:div>
    <w:div w:id="888735039">
      <w:bodyDiv w:val="1"/>
      <w:marLeft w:val="0"/>
      <w:marRight w:val="0"/>
      <w:marTop w:val="0"/>
      <w:marBottom w:val="0"/>
      <w:divBdr>
        <w:top w:val="none" w:sz="0" w:space="0" w:color="auto"/>
        <w:left w:val="none" w:sz="0" w:space="0" w:color="auto"/>
        <w:bottom w:val="none" w:sz="0" w:space="0" w:color="auto"/>
        <w:right w:val="none" w:sz="0" w:space="0" w:color="auto"/>
      </w:divBdr>
      <w:divsChild>
        <w:div w:id="1566407213">
          <w:marLeft w:val="446"/>
          <w:marRight w:val="0"/>
          <w:marTop w:val="0"/>
          <w:marBottom w:val="0"/>
          <w:divBdr>
            <w:top w:val="none" w:sz="0" w:space="0" w:color="auto"/>
            <w:left w:val="none" w:sz="0" w:space="0" w:color="auto"/>
            <w:bottom w:val="none" w:sz="0" w:space="0" w:color="auto"/>
            <w:right w:val="none" w:sz="0" w:space="0" w:color="auto"/>
          </w:divBdr>
        </w:div>
        <w:div w:id="1455322583">
          <w:marLeft w:val="446"/>
          <w:marRight w:val="0"/>
          <w:marTop w:val="0"/>
          <w:marBottom w:val="0"/>
          <w:divBdr>
            <w:top w:val="none" w:sz="0" w:space="0" w:color="auto"/>
            <w:left w:val="none" w:sz="0" w:space="0" w:color="auto"/>
            <w:bottom w:val="none" w:sz="0" w:space="0" w:color="auto"/>
            <w:right w:val="none" w:sz="0" w:space="0" w:color="auto"/>
          </w:divBdr>
        </w:div>
        <w:div w:id="2042395489">
          <w:marLeft w:val="446"/>
          <w:marRight w:val="0"/>
          <w:marTop w:val="0"/>
          <w:marBottom w:val="0"/>
          <w:divBdr>
            <w:top w:val="none" w:sz="0" w:space="0" w:color="auto"/>
            <w:left w:val="none" w:sz="0" w:space="0" w:color="auto"/>
            <w:bottom w:val="none" w:sz="0" w:space="0" w:color="auto"/>
            <w:right w:val="none" w:sz="0" w:space="0" w:color="auto"/>
          </w:divBdr>
        </w:div>
        <w:div w:id="925116519">
          <w:marLeft w:val="446"/>
          <w:marRight w:val="0"/>
          <w:marTop w:val="0"/>
          <w:marBottom w:val="0"/>
          <w:divBdr>
            <w:top w:val="none" w:sz="0" w:space="0" w:color="auto"/>
            <w:left w:val="none" w:sz="0" w:space="0" w:color="auto"/>
            <w:bottom w:val="none" w:sz="0" w:space="0" w:color="auto"/>
            <w:right w:val="none" w:sz="0" w:space="0" w:color="auto"/>
          </w:divBdr>
        </w:div>
        <w:div w:id="1793471853">
          <w:marLeft w:val="446"/>
          <w:marRight w:val="0"/>
          <w:marTop w:val="86"/>
          <w:marBottom w:val="0"/>
          <w:divBdr>
            <w:top w:val="none" w:sz="0" w:space="0" w:color="auto"/>
            <w:left w:val="none" w:sz="0" w:space="0" w:color="auto"/>
            <w:bottom w:val="none" w:sz="0" w:space="0" w:color="auto"/>
            <w:right w:val="none" w:sz="0" w:space="0" w:color="auto"/>
          </w:divBdr>
        </w:div>
      </w:divsChild>
    </w:div>
    <w:div w:id="976646965">
      <w:bodyDiv w:val="1"/>
      <w:marLeft w:val="0"/>
      <w:marRight w:val="0"/>
      <w:marTop w:val="0"/>
      <w:marBottom w:val="0"/>
      <w:divBdr>
        <w:top w:val="none" w:sz="0" w:space="0" w:color="auto"/>
        <w:left w:val="none" w:sz="0" w:space="0" w:color="auto"/>
        <w:bottom w:val="none" w:sz="0" w:space="0" w:color="auto"/>
        <w:right w:val="none" w:sz="0" w:space="0" w:color="auto"/>
      </w:divBdr>
      <w:divsChild>
        <w:div w:id="266543253">
          <w:marLeft w:val="274"/>
          <w:marRight w:val="0"/>
          <w:marTop w:val="86"/>
          <w:marBottom w:val="0"/>
          <w:divBdr>
            <w:top w:val="none" w:sz="0" w:space="0" w:color="auto"/>
            <w:left w:val="none" w:sz="0" w:space="0" w:color="auto"/>
            <w:bottom w:val="none" w:sz="0" w:space="0" w:color="auto"/>
            <w:right w:val="none" w:sz="0" w:space="0" w:color="auto"/>
          </w:divBdr>
        </w:div>
        <w:div w:id="1222133292">
          <w:marLeft w:val="446"/>
          <w:marRight w:val="0"/>
          <w:marTop w:val="0"/>
          <w:marBottom w:val="0"/>
          <w:divBdr>
            <w:top w:val="none" w:sz="0" w:space="0" w:color="auto"/>
            <w:left w:val="none" w:sz="0" w:space="0" w:color="auto"/>
            <w:bottom w:val="none" w:sz="0" w:space="0" w:color="auto"/>
            <w:right w:val="none" w:sz="0" w:space="0" w:color="auto"/>
          </w:divBdr>
        </w:div>
        <w:div w:id="369771860">
          <w:marLeft w:val="446"/>
          <w:marRight w:val="0"/>
          <w:marTop w:val="0"/>
          <w:marBottom w:val="0"/>
          <w:divBdr>
            <w:top w:val="none" w:sz="0" w:space="0" w:color="auto"/>
            <w:left w:val="none" w:sz="0" w:space="0" w:color="auto"/>
            <w:bottom w:val="none" w:sz="0" w:space="0" w:color="auto"/>
            <w:right w:val="none" w:sz="0" w:space="0" w:color="auto"/>
          </w:divBdr>
        </w:div>
      </w:divsChild>
    </w:div>
    <w:div w:id="1052271779">
      <w:bodyDiv w:val="1"/>
      <w:marLeft w:val="0"/>
      <w:marRight w:val="0"/>
      <w:marTop w:val="0"/>
      <w:marBottom w:val="0"/>
      <w:divBdr>
        <w:top w:val="none" w:sz="0" w:space="0" w:color="auto"/>
        <w:left w:val="none" w:sz="0" w:space="0" w:color="auto"/>
        <w:bottom w:val="none" w:sz="0" w:space="0" w:color="auto"/>
        <w:right w:val="none" w:sz="0" w:space="0" w:color="auto"/>
      </w:divBdr>
      <w:divsChild>
        <w:div w:id="123817612">
          <w:marLeft w:val="446"/>
          <w:marRight w:val="0"/>
          <w:marTop w:val="0"/>
          <w:marBottom w:val="0"/>
          <w:divBdr>
            <w:top w:val="none" w:sz="0" w:space="0" w:color="auto"/>
            <w:left w:val="none" w:sz="0" w:space="0" w:color="auto"/>
            <w:bottom w:val="none" w:sz="0" w:space="0" w:color="auto"/>
            <w:right w:val="none" w:sz="0" w:space="0" w:color="auto"/>
          </w:divBdr>
        </w:div>
        <w:div w:id="1362319673">
          <w:marLeft w:val="446"/>
          <w:marRight w:val="0"/>
          <w:marTop w:val="0"/>
          <w:marBottom w:val="0"/>
          <w:divBdr>
            <w:top w:val="none" w:sz="0" w:space="0" w:color="auto"/>
            <w:left w:val="none" w:sz="0" w:space="0" w:color="auto"/>
            <w:bottom w:val="none" w:sz="0" w:space="0" w:color="auto"/>
            <w:right w:val="none" w:sz="0" w:space="0" w:color="auto"/>
          </w:divBdr>
        </w:div>
        <w:div w:id="855969716">
          <w:marLeft w:val="446"/>
          <w:marRight w:val="0"/>
          <w:marTop w:val="0"/>
          <w:marBottom w:val="0"/>
          <w:divBdr>
            <w:top w:val="none" w:sz="0" w:space="0" w:color="auto"/>
            <w:left w:val="none" w:sz="0" w:space="0" w:color="auto"/>
            <w:bottom w:val="none" w:sz="0" w:space="0" w:color="auto"/>
            <w:right w:val="none" w:sz="0" w:space="0" w:color="auto"/>
          </w:divBdr>
        </w:div>
        <w:div w:id="1930771459">
          <w:marLeft w:val="446"/>
          <w:marRight w:val="0"/>
          <w:marTop w:val="0"/>
          <w:marBottom w:val="0"/>
          <w:divBdr>
            <w:top w:val="none" w:sz="0" w:space="0" w:color="auto"/>
            <w:left w:val="none" w:sz="0" w:space="0" w:color="auto"/>
            <w:bottom w:val="none" w:sz="0" w:space="0" w:color="auto"/>
            <w:right w:val="none" w:sz="0" w:space="0" w:color="auto"/>
          </w:divBdr>
        </w:div>
        <w:div w:id="2001695253">
          <w:marLeft w:val="446"/>
          <w:marRight w:val="0"/>
          <w:marTop w:val="0"/>
          <w:marBottom w:val="0"/>
          <w:divBdr>
            <w:top w:val="none" w:sz="0" w:space="0" w:color="auto"/>
            <w:left w:val="none" w:sz="0" w:space="0" w:color="auto"/>
            <w:bottom w:val="none" w:sz="0" w:space="0" w:color="auto"/>
            <w:right w:val="none" w:sz="0" w:space="0" w:color="auto"/>
          </w:divBdr>
        </w:div>
      </w:divsChild>
    </w:div>
    <w:div w:id="1180315310">
      <w:bodyDiv w:val="1"/>
      <w:marLeft w:val="0"/>
      <w:marRight w:val="0"/>
      <w:marTop w:val="0"/>
      <w:marBottom w:val="0"/>
      <w:divBdr>
        <w:top w:val="none" w:sz="0" w:space="0" w:color="auto"/>
        <w:left w:val="none" w:sz="0" w:space="0" w:color="auto"/>
        <w:bottom w:val="none" w:sz="0" w:space="0" w:color="auto"/>
        <w:right w:val="none" w:sz="0" w:space="0" w:color="auto"/>
      </w:divBdr>
      <w:divsChild>
        <w:div w:id="355156392">
          <w:marLeft w:val="274"/>
          <w:marRight w:val="0"/>
          <w:marTop w:val="0"/>
          <w:marBottom w:val="0"/>
          <w:divBdr>
            <w:top w:val="none" w:sz="0" w:space="0" w:color="auto"/>
            <w:left w:val="none" w:sz="0" w:space="0" w:color="auto"/>
            <w:bottom w:val="none" w:sz="0" w:space="0" w:color="auto"/>
            <w:right w:val="none" w:sz="0" w:space="0" w:color="auto"/>
          </w:divBdr>
        </w:div>
      </w:divsChild>
    </w:div>
    <w:div w:id="1216624694">
      <w:bodyDiv w:val="1"/>
      <w:marLeft w:val="0"/>
      <w:marRight w:val="0"/>
      <w:marTop w:val="0"/>
      <w:marBottom w:val="0"/>
      <w:divBdr>
        <w:top w:val="none" w:sz="0" w:space="0" w:color="auto"/>
        <w:left w:val="none" w:sz="0" w:space="0" w:color="auto"/>
        <w:bottom w:val="none" w:sz="0" w:space="0" w:color="auto"/>
        <w:right w:val="none" w:sz="0" w:space="0" w:color="auto"/>
      </w:divBdr>
      <w:divsChild>
        <w:div w:id="211425375">
          <w:marLeft w:val="446"/>
          <w:marRight w:val="0"/>
          <w:marTop w:val="0"/>
          <w:marBottom w:val="0"/>
          <w:divBdr>
            <w:top w:val="none" w:sz="0" w:space="0" w:color="auto"/>
            <w:left w:val="none" w:sz="0" w:space="0" w:color="auto"/>
            <w:bottom w:val="none" w:sz="0" w:space="0" w:color="auto"/>
            <w:right w:val="none" w:sz="0" w:space="0" w:color="auto"/>
          </w:divBdr>
        </w:div>
        <w:div w:id="2118209651">
          <w:marLeft w:val="446"/>
          <w:marRight w:val="0"/>
          <w:marTop w:val="0"/>
          <w:marBottom w:val="0"/>
          <w:divBdr>
            <w:top w:val="none" w:sz="0" w:space="0" w:color="auto"/>
            <w:left w:val="none" w:sz="0" w:space="0" w:color="auto"/>
            <w:bottom w:val="none" w:sz="0" w:space="0" w:color="auto"/>
            <w:right w:val="none" w:sz="0" w:space="0" w:color="auto"/>
          </w:divBdr>
        </w:div>
        <w:div w:id="282612160">
          <w:marLeft w:val="446"/>
          <w:marRight w:val="0"/>
          <w:marTop w:val="0"/>
          <w:marBottom w:val="0"/>
          <w:divBdr>
            <w:top w:val="none" w:sz="0" w:space="0" w:color="auto"/>
            <w:left w:val="none" w:sz="0" w:space="0" w:color="auto"/>
            <w:bottom w:val="none" w:sz="0" w:space="0" w:color="auto"/>
            <w:right w:val="none" w:sz="0" w:space="0" w:color="auto"/>
          </w:divBdr>
        </w:div>
      </w:divsChild>
    </w:div>
    <w:div w:id="1344166673">
      <w:bodyDiv w:val="1"/>
      <w:marLeft w:val="0"/>
      <w:marRight w:val="0"/>
      <w:marTop w:val="0"/>
      <w:marBottom w:val="0"/>
      <w:divBdr>
        <w:top w:val="none" w:sz="0" w:space="0" w:color="auto"/>
        <w:left w:val="none" w:sz="0" w:space="0" w:color="auto"/>
        <w:bottom w:val="none" w:sz="0" w:space="0" w:color="auto"/>
        <w:right w:val="none" w:sz="0" w:space="0" w:color="auto"/>
      </w:divBdr>
      <w:divsChild>
        <w:div w:id="82188637">
          <w:marLeft w:val="0"/>
          <w:marRight w:val="0"/>
          <w:marTop w:val="86"/>
          <w:marBottom w:val="0"/>
          <w:divBdr>
            <w:top w:val="none" w:sz="0" w:space="0" w:color="auto"/>
            <w:left w:val="none" w:sz="0" w:space="0" w:color="auto"/>
            <w:bottom w:val="none" w:sz="0" w:space="0" w:color="auto"/>
            <w:right w:val="none" w:sz="0" w:space="0" w:color="auto"/>
          </w:divBdr>
        </w:div>
        <w:div w:id="1261140403">
          <w:marLeft w:val="0"/>
          <w:marRight w:val="0"/>
          <w:marTop w:val="86"/>
          <w:marBottom w:val="0"/>
          <w:divBdr>
            <w:top w:val="none" w:sz="0" w:space="0" w:color="auto"/>
            <w:left w:val="none" w:sz="0" w:space="0" w:color="auto"/>
            <w:bottom w:val="none" w:sz="0" w:space="0" w:color="auto"/>
            <w:right w:val="none" w:sz="0" w:space="0" w:color="auto"/>
          </w:divBdr>
        </w:div>
        <w:div w:id="1931623158">
          <w:marLeft w:val="0"/>
          <w:marRight w:val="0"/>
          <w:marTop w:val="86"/>
          <w:marBottom w:val="0"/>
          <w:divBdr>
            <w:top w:val="none" w:sz="0" w:space="0" w:color="auto"/>
            <w:left w:val="none" w:sz="0" w:space="0" w:color="auto"/>
            <w:bottom w:val="none" w:sz="0" w:space="0" w:color="auto"/>
            <w:right w:val="none" w:sz="0" w:space="0" w:color="auto"/>
          </w:divBdr>
        </w:div>
        <w:div w:id="335348838">
          <w:marLeft w:val="0"/>
          <w:marRight w:val="0"/>
          <w:marTop w:val="86"/>
          <w:marBottom w:val="0"/>
          <w:divBdr>
            <w:top w:val="none" w:sz="0" w:space="0" w:color="auto"/>
            <w:left w:val="none" w:sz="0" w:space="0" w:color="auto"/>
            <w:bottom w:val="none" w:sz="0" w:space="0" w:color="auto"/>
            <w:right w:val="none" w:sz="0" w:space="0" w:color="auto"/>
          </w:divBdr>
        </w:div>
        <w:div w:id="1823964176">
          <w:marLeft w:val="0"/>
          <w:marRight w:val="0"/>
          <w:marTop w:val="86"/>
          <w:marBottom w:val="0"/>
          <w:divBdr>
            <w:top w:val="none" w:sz="0" w:space="0" w:color="auto"/>
            <w:left w:val="none" w:sz="0" w:space="0" w:color="auto"/>
            <w:bottom w:val="none" w:sz="0" w:space="0" w:color="auto"/>
            <w:right w:val="none" w:sz="0" w:space="0" w:color="auto"/>
          </w:divBdr>
        </w:div>
        <w:div w:id="1407141475">
          <w:marLeft w:val="0"/>
          <w:marRight w:val="0"/>
          <w:marTop w:val="86"/>
          <w:marBottom w:val="0"/>
          <w:divBdr>
            <w:top w:val="none" w:sz="0" w:space="0" w:color="auto"/>
            <w:left w:val="none" w:sz="0" w:space="0" w:color="auto"/>
            <w:bottom w:val="none" w:sz="0" w:space="0" w:color="auto"/>
            <w:right w:val="none" w:sz="0" w:space="0" w:color="auto"/>
          </w:divBdr>
        </w:div>
      </w:divsChild>
    </w:div>
    <w:div w:id="1363677054">
      <w:bodyDiv w:val="1"/>
      <w:marLeft w:val="0"/>
      <w:marRight w:val="0"/>
      <w:marTop w:val="0"/>
      <w:marBottom w:val="0"/>
      <w:divBdr>
        <w:top w:val="none" w:sz="0" w:space="0" w:color="auto"/>
        <w:left w:val="none" w:sz="0" w:space="0" w:color="auto"/>
        <w:bottom w:val="none" w:sz="0" w:space="0" w:color="auto"/>
        <w:right w:val="none" w:sz="0" w:space="0" w:color="auto"/>
      </w:divBdr>
      <w:divsChild>
        <w:div w:id="1007437705">
          <w:marLeft w:val="446"/>
          <w:marRight w:val="0"/>
          <w:marTop w:val="0"/>
          <w:marBottom w:val="0"/>
          <w:divBdr>
            <w:top w:val="none" w:sz="0" w:space="0" w:color="auto"/>
            <w:left w:val="none" w:sz="0" w:space="0" w:color="auto"/>
            <w:bottom w:val="none" w:sz="0" w:space="0" w:color="auto"/>
            <w:right w:val="none" w:sz="0" w:space="0" w:color="auto"/>
          </w:divBdr>
        </w:div>
        <w:div w:id="1327636920">
          <w:marLeft w:val="446"/>
          <w:marRight w:val="0"/>
          <w:marTop w:val="0"/>
          <w:marBottom w:val="0"/>
          <w:divBdr>
            <w:top w:val="none" w:sz="0" w:space="0" w:color="auto"/>
            <w:left w:val="none" w:sz="0" w:space="0" w:color="auto"/>
            <w:bottom w:val="none" w:sz="0" w:space="0" w:color="auto"/>
            <w:right w:val="none" w:sz="0" w:space="0" w:color="auto"/>
          </w:divBdr>
        </w:div>
        <w:div w:id="397947559">
          <w:marLeft w:val="446"/>
          <w:marRight w:val="0"/>
          <w:marTop w:val="0"/>
          <w:marBottom w:val="0"/>
          <w:divBdr>
            <w:top w:val="none" w:sz="0" w:space="0" w:color="auto"/>
            <w:left w:val="none" w:sz="0" w:space="0" w:color="auto"/>
            <w:bottom w:val="none" w:sz="0" w:space="0" w:color="auto"/>
            <w:right w:val="none" w:sz="0" w:space="0" w:color="auto"/>
          </w:divBdr>
        </w:div>
      </w:divsChild>
    </w:div>
    <w:div w:id="1463495160">
      <w:bodyDiv w:val="1"/>
      <w:marLeft w:val="0"/>
      <w:marRight w:val="0"/>
      <w:marTop w:val="0"/>
      <w:marBottom w:val="0"/>
      <w:divBdr>
        <w:top w:val="none" w:sz="0" w:space="0" w:color="auto"/>
        <w:left w:val="none" w:sz="0" w:space="0" w:color="auto"/>
        <w:bottom w:val="none" w:sz="0" w:space="0" w:color="auto"/>
        <w:right w:val="none" w:sz="0" w:space="0" w:color="auto"/>
      </w:divBdr>
    </w:div>
    <w:div w:id="1498183395">
      <w:bodyDiv w:val="1"/>
      <w:marLeft w:val="0"/>
      <w:marRight w:val="0"/>
      <w:marTop w:val="0"/>
      <w:marBottom w:val="0"/>
      <w:divBdr>
        <w:top w:val="none" w:sz="0" w:space="0" w:color="auto"/>
        <w:left w:val="none" w:sz="0" w:space="0" w:color="auto"/>
        <w:bottom w:val="none" w:sz="0" w:space="0" w:color="auto"/>
        <w:right w:val="none" w:sz="0" w:space="0" w:color="auto"/>
      </w:divBdr>
      <w:divsChild>
        <w:div w:id="452407929">
          <w:marLeft w:val="446"/>
          <w:marRight w:val="0"/>
          <w:marTop w:val="0"/>
          <w:marBottom w:val="0"/>
          <w:divBdr>
            <w:top w:val="none" w:sz="0" w:space="0" w:color="auto"/>
            <w:left w:val="none" w:sz="0" w:space="0" w:color="auto"/>
            <w:bottom w:val="none" w:sz="0" w:space="0" w:color="auto"/>
            <w:right w:val="none" w:sz="0" w:space="0" w:color="auto"/>
          </w:divBdr>
        </w:div>
        <w:div w:id="211623652">
          <w:marLeft w:val="446"/>
          <w:marRight w:val="0"/>
          <w:marTop w:val="0"/>
          <w:marBottom w:val="0"/>
          <w:divBdr>
            <w:top w:val="none" w:sz="0" w:space="0" w:color="auto"/>
            <w:left w:val="none" w:sz="0" w:space="0" w:color="auto"/>
            <w:bottom w:val="none" w:sz="0" w:space="0" w:color="auto"/>
            <w:right w:val="none" w:sz="0" w:space="0" w:color="auto"/>
          </w:divBdr>
        </w:div>
        <w:div w:id="1002389389">
          <w:marLeft w:val="446"/>
          <w:marRight w:val="0"/>
          <w:marTop w:val="0"/>
          <w:marBottom w:val="0"/>
          <w:divBdr>
            <w:top w:val="none" w:sz="0" w:space="0" w:color="auto"/>
            <w:left w:val="none" w:sz="0" w:space="0" w:color="auto"/>
            <w:bottom w:val="none" w:sz="0" w:space="0" w:color="auto"/>
            <w:right w:val="none" w:sz="0" w:space="0" w:color="auto"/>
          </w:divBdr>
        </w:div>
        <w:div w:id="109906250">
          <w:marLeft w:val="446"/>
          <w:marRight w:val="0"/>
          <w:marTop w:val="0"/>
          <w:marBottom w:val="0"/>
          <w:divBdr>
            <w:top w:val="none" w:sz="0" w:space="0" w:color="auto"/>
            <w:left w:val="none" w:sz="0" w:space="0" w:color="auto"/>
            <w:bottom w:val="none" w:sz="0" w:space="0" w:color="auto"/>
            <w:right w:val="none" w:sz="0" w:space="0" w:color="auto"/>
          </w:divBdr>
        </w:div>
      </w:divsChild>
    </w:div>
    <w:div w:id="1560241731">
      <w:bodyDiv w:val="1"/>
      <w:marLeft w:val="0"/>
      <w:marRight w:val="0"/>
      <w:marTop w:val="0"/>
      <w:marBottom w:val="0"/>
      <w:divBdr>
        <w:top w:val="none" w:sz="0" w:space="0" w:color="auto"/>
        <w:left w:val="none" w:sz="0" w:space="0" w:color="auto"/>
        <w:bottom w:val="none" w:sz="0" w:space="0" w:color="auto"/>
        <w:right w:val="none" w:sz="0" w:space="0" w:color="auto"/>
      </w:divBdr>
      <w:divsChild>
        <w:div w:id="1038893852">
          <w:marLeft w:val="274"/>
          <w:marRight w:val="0"/>
          <w:marTop w:val="86"/>
          <w:marBottom w:val="0"/>
          <w:divBdr>
            <w:top w:val="none" w:sz="0" w:space="0" w:color="auto"/>
            <w:left w:val="none" w:sz="0" w:space="0" w:color="auto"/>
            <w:bottom w:val="none" w:sz="0" w:space="0" w:color="auto"/>
            <w:right w:val="none" w:sz="0" w:space="0" w:color="auto"/>
          </w:divBdr>
        </w:div>
        <w:div w:id="314991896">
          <w:marLeft w:val="274"/>
          <w:marRight w:val="0"/>
          <w:marTop w:val="86"/>
          <w:marBottom w:val="0"/>
          <w:divBdr>
            <w:top w:val="none" w:sz="0" w:space="0" w:color="auto"/>
            <w:left w:val="none" w:sz="0" w:space="0" w:color="auto"/>
            <w:bottom w:val="none" w:sz="0" w:space="0" w:color="auto"/>
            <w:right w:val="none" w:sz="0" w:space="0" w:color="auto"/>
          </w:divBdr>
        </w:div>
        <w:div w:id="302393012">
          <w:marLeft w:val="274"/>
          <w:marRight w:val="0"/>
          <w:marTop w:val="86"/>
          <w:marBottom w:val="0"/>
          <w:divBdr>
            <w:top w:val="none" w:sz="0" w:space="0" w:color="auto"/>
            <w:left w:val="none" w:sz="0" w:space="0" w:color="auto"/>
            <w:bottom w:val="none" w:sz="0" w:space="0" w:color="auto"/>
            <w:right w:val="none" w:sz="0" w:space="0" w:color="auto"/>
          </w:divBdr>
        </w:div>
      </w:divsChild>
    </w:div>
    <w:div w:id="1599023369">
      <w:bodyDiv w:val="1"/>
      <w:marLeft w:val="0"/>
      <w:marRight w:val="0"/>
      <w:marTop w:val="0"/>
      <w:marBottom w:val="0"/>
      <w:divBdr>
        <w:top w:val="none" w:sz="0" w:space="0" w:color="auto"/>
        <w:left w:val="none" w:sz="0" w:space="0" w:color="auto"/>
        <w:bottom w:val="none" w:sz="0" w:space="0" w:color="auto"/>
        <w:right w:val="none" w:sz="0" w:space="0" w:color="auto"/>
      </w:divBdr>
      <w:divsChild>
        <w:div w:id="463161538">
          <w:marLeft w:val="274"/>
          <w:marRight w:val="0"/>
          <w:marTop w:val="86"/>
          <w:marBottom w:val="0"/>
          <w:divBdr>
            <w:top w:val="none" w:sz="0" w:space="0" w:color="auto"/>
            <w:left w:val="none" w:sz="0" w:space="0" w:color="auto"/>
            <w:bottom w:val="none" w:sz="0" w:space="0" w:color="auto"/>
            <w:right w:val="none" w:sz="0" w:space="0" w:color="auto"/>
          </w:divBdr>
        </w:div>
        <w:div w:id="438372193">
          <w:marLeft w:val="446"/>
          <w:marRight w:val="0"/>
          <w:marTop w:val="0"/>
          <w:marBottom w:val="0"/>
          <w:divBdr>
            <w:top w:val="none" w:sz="0" w:space="0" w:color="auto"/>
            <w:left w:val="none" w:sz="0" w:space="0" w:color="auto"/>
            <w:bottom w:val="none" w:sz="0" w:space="0" w:color="auto"/>
            <w:right w:val="none" w:sz="0" w:space="0" w:color="auto"/>
          </w:divBdr>
        </w:div>
        <w:div w:id="2118018215">
          <w:marLeft w:val="446"/>
          <w:marRight w:val="0"/>
          <w:marTop w:val="0"/>
          <w:marBottom w:val="0"/>
          <w:divBdr>
            <w:top w:val="none" w:sz="0" w:space="0" w:color="auto"/>
            <w:left w:val="none" w:sz="0" w:space="0" w:color="auto"/>
            <w:bottom w:val="none" w:sz="0" w:space="0" w:color="auto"/>
            <w:right w:val="none" w:sz="0" w:space="0" w:color="auto"/>
          </w:divBdr>
        </w:div>
        <w:div w:id="1533570502">
          <w:marLeft w:val="446"/>
          <w:marRight w:val="0"/>
          <w:marTop w:val="0"/>
          <w:marBottom w:val="0"/>
          <w:divBdr>
            <w:top w:val="none" w:sz="0" w:space="0" w:color="auto"/>
            <w:left w:val="none" w:sz="0" w:space="0" w:color="auto"/>
            <w:bottom w:val="none" w:sz="0" w:space="0" w:color="auto"/>
            <w:right w:val="none" w:sz="0" w:space="0" w:color="auto"/>
          </w:divBdr>
        </w:div>
        <w:div w:id="213204221">
          <w:marLeft w:val="446"/>
          <w:marRight w:val="0"/>
          <w:marTop w:val="0"/>
          <w:marBottom w:val="0"/>
          <w:divBdr>
            <w:top w:val="none" w:sz="0" w:space="0" w:color="auto"/>
            <w:left w:val="none" w:sz="0" w:space="0" w:color="auto"/>
            <w:bottom w:val="none" w:sz="0" w:space="0" w:color="auto"/>
            <w:right w:val="none" w:sz="0" w:space="0" w:color="auto"/>
          </w:divBdr>
        </w:div>
      </w:divsChild>
    </w:div>
    <w:div w:id="1612126267">
      <w:bodyDiv w:val="1"/>
      <w:marLeft w:val="0"/>
      <w:marRight w:val="0"/>
      <w:marTop w:val="0"/>
      <w:marBottom w:val="0"/>
      <w:divBdr>
        <w:top w:val="none" w:sz="0" w:space="0" w:color="auto"/>
        <w:left w:val="none" w:sz="0" w:space="0" w:color="auto"/>
        <w:bottom w:val="none" w:sz="0" w:space="0" w:color="auto"/>
        <w:right w:val="none" w:sz="0" w:space="0" w:color="auto"/>
      </w:divBdr>
    </w:div>
    <w:div w:id="1627927472">
      <w:bodyDiv w:val="1"/>
      <w:marLeft w:val="0"/>
      <w:marRight w:val="0"/>
      <w:marTop w:val="0"/>
      <w:marBottom w:val="0"/>
      <w:divBdr>
        <w:top w:val="none" w:sz="0" w:space="0" w:color="auto"/>
        <w:left w:val="none" w:sz="0" w:space="0" w:color="auto"/>
        <w:bottom w:val="none" w:sz="0" w:space="0" w:color="auto"/>
        <w:right w:val="none" w:sz="0" w:space="0" w:color="auto"/>
      </w:divBdr>
      <w:divsChild>
        <w:div w:id="97913281">
          <w:marLeft w:val="446"/>
          <w:marRight w:val="0"/>
          <w:marTop w:val="86"/>
          <w:marBottom w:val="0"/>
          <w:divBdr>
            <w:top w:val="none" w:sz="0" w:space="0" w:color="auto"/>
            <w:left w:val="none" w:sz="0" w:space="0" w:color="auto"/>
            <w:bottom w:val="none" w:sz="0" w:space="0" w:color="auto"/>
            <w:right w:val="none" w:sz="0" w:space="0" w:color="auto"/>
          </w:divBdr>
        </w:div>
        <w:div w:id="479424907">
          <w:marLeft w:val="446"/>
          <w:marRight w:val="0"/>
          <w:marTop w:val="86"/>
          <w:marBottom w:val="0"/>
          <w:divBdr>
            <w:top w:val="none" w:sz="0" w:space="0" w:color="auto"/>
            <w:left w:val="none" w:sz="0" w:space="0" w:color="auto"/>
            <w:bottom w:val="none" w:sz="0" w:space="0" w:color="auto"/>
            <w:right w:val="none" w:sz="0" w:space="0" w:color="auto"/>
          </w:divBdr>
        </w:div>
        <w:div w:id="116030425">
          <w:marLeft w:val="446"/>
          <w:marRight w:val="0"/>
          <w:marTop w:val="86"/>
          <w:marBottom w:val="0"/>
          <w:divBdr>
            <w:top w:val="none" w:sz="0" w:space="0" w:color="auto"/>
            <w:left w:val="none" w:sz="0" w:space="0" w:color="auto"/>
            <w:bottom w:val="none" w:sz="0" w:space="0" w:color="auto"/>
            <w:right w:val="none" w:sz="0" w:space="0" w:color="auto"/>
          </w:divBdr>
        </w:div>
      </w:divsChild>
    </w:div>
    <w:div w:id="1649938056">
      <w:bodyDiv w:val="1"/>
      <w:marLeft w:val="0"/>
      <w:marRight w:val="0"/>
      <w:marTop w:val="0"/>
      <w:marBottom w:val="0"/>
      <w:divBdr>
        <w:top w:val="none" w:sz="0" w:space="0" w:color="auto"/>
        <w:left w:val="none" w:sz="0" w:space="0" w:color="auto"/>
        <w:bottom w:val="none" w:sz="0" w:space="0" w:color="auto"/>
        <w:right w:val="none" w:sz="0" w:space="0" w:color="auto"/>
      </w:divBdr>
      <w:divsChild>
        <w:div w:id="477262796">
          <w:marLeft w:val="274"/>
          <w:marRight w:val="0"/>
          <w:marTop w:val="86"/>
          <w:marBottom w:val="0"/>
          <w:divBdr>
            <w:top w:val="none" w:sz="0" w:space="0" w:color="auto"/>
            <w:left w:val="none" w:sz="0" w:space="0" w:color="auto"/>
            <w:bottom w:val="none" w:sz="0" w:space="0" w:color="auto"/>
            <w:right w:val="none" w:sz="0" w:space="0" w:color="auto"/>
          </w:divBdr>
        </w:div>
        <w:div w:id="1445999518">
          <w:marLeft w:val="274"/>
          <w:marRight w:val="0"/>
          <w:marTop w:val="86"/>
          <w:marBottom w:val="0"/>
          <w:divBdr>
            <w:top w:val="none" w:sz="0" w:space="0" w:color="auto"/>
            <w:left w:val="none" w:sz="0" w:space="0" w:color="auto"/>
            <w:bottom w:val="none" w:sz="0" w:space="0" w:color="auto"/>
            <w:right w:val="none" w:sz="0" w:space="0" w:color="auto"/>
          </w:divBdr>
        </w:div>
        <w:div w:id="354814651">
          <w:marLeft w:val="274"/>
          <w:marRight w:val="0"/>
          <w:marTop w:val="86"/>
          <w:marBottom w:val="0"/>
          <w:divBdr>
            <w:top w:val="none" w:sz="0" w:space="0" w:color="auto"/>
            <w:left w:val="none" w:sz="0" w:space="0" w:color="auto"/>
            <w:bottom w:val="none" w:sz="0" w:space="0" w:color="auto"/>
            <w:right w:val="none" w:sz="0" w:space="0" w:color="auto"/>
          </w:divBdr>
        </w:div>
        <w:div w:id="542979499">
          <w:marLeft w:val="274"/>
          <w:marRight w:val="0"/>
          <w:marTop w:val="86"/>
          <w:marBottom w:val="0"/>
          <w:divBdr>
            <w:top w:val="none" w:sz="0" w:space="0" w:color="auto"/>
            <w:left w:val="none" w:sz="0" w:space="0" w:color="auto"/>
            <w:bottom w:val="none" w:sz="0" w:space="0" w:color="auto"/>
            <w:right w:val="none" w:sz="0" w:space="0" w:color="auto"/>
          </w:divBdr>
        </w:div>
        <w:div w:id="887227381">
          <w:marLeft w:val="274"/>
          <w:marRight w:val="0"/>
          <w:marTop w:val="86"/>
          <w:marBottom w:val="0"/>
          <w:divBdr>
            <w:top w:val="none" w:sz="0" w:space="0" w:color="auto"/>
            <w:left w:val="none" w:sz="0" w:space="0" w:color="auto"/>
            <w:bottom w:val="none" w:sz="0" w:space="0" w:color="auto"/>
            <w:right w:val="none" w:sz="0" w:space="0" w:color="auto"/>
          </w:divBdr>
        </w:div>
        <w:div w:id="126171342">
          <w:marLeft w:val="274"/>
          <w:marRight w:val="0"/>
          <w:marTop w:val="86"/>
          <w:marBottom w:val="0"/>
          <w:divBdr>
            <w:top w:val="none" w:sz="0" w:space="0" w:color="auto"/>
            <w:left w:val="none" w:sz="0" w:space="0" w:color="auto"/>
            <w:bottom w:val="none" w:sz="0" w:space="0" w:color="auto"/>
            <w:right w:val="none" w:sz="0" w:space="0" w:color="auto"/>
          </w:divBdr>
        </w:div>
        <w:div w:id="1198734459">
          <w:marLeft w:val="274"/>
          <w:marRight w:val="0"/>
          <w:marTop w:val="86"/>
          <w:marBottom w:val="0"/>
          <w:divBdr>
            <w:top w:val="none" w:sz="0" w:space="0" w:color="auto"/>
            <w:left w:val="none" w:sz="0" w:space="0" w:color="auto"/>
            <w:bottom w:val="none" w:sz="0" w:space="0" w:color="auto"/>
            <w:right w:val="none" w:sz="0" w:space="0" w:color="auto"/>
          </w:divBdr>
        </w:div>
        <w:div w:id="1199321874">
          <w:marLeft w:val="274"/>
          <w:marRight w:val="0"/>
          <w:marTop w:val="86"/>
          <w:marBottom w:val="0"/>
          <w:divBdr>
            <w:top w:val="none" w:sz="0" w:space="0" w:color="auto"/>
            <w:left w:val="none" w:sz="0" w:space="0" w:color="auto"/>
            <w:bottom w:val="none" w:sz="0" w:space="0" w:color="auto"/>
            <w:right w:val="none" w:sz="0" w:space="0" w:color="auto"/>
          </w:divBdr>
        </w:div>
      </w:divsChild>
    </w:div>
    <w:div w:id="1704210866">
      <w:bodyDiv w:val="1"/>
      <w:marLeft w:val="0"/>
      <w:marRight w:val="0"/>
      <w:marTop w:val="0"/>
      <w:marBottom w:val="0"/>
      <w:divBdr>
        <w:top w:val="none" w:sz="0" w:space="0" w:color="auto"/>
        <w:left w:val="none" w:sz="0" w:space="0" w:color="auto"/>
        <w:bottom w:val="none" w:sz="0" w:space="0" w:color="auto"/>
        <w:right w:val="none" w:sz="0" w:space="0" w:color="auto"/>
      </w:divBdr>
      <w:divsChild>
        <w:div w:id="1277441326">
          <w:marLeft w:val="446"/>
          <w:marRight w:val="0"/>
          <w:marTop w:val="0"/>
          <w:marBottom w:val="0"/>
          <w:divBdr>
            <w:top w:val="none" w:sz="0" w:space="0" w:color="auto"/>
            <w:left w:val="none" w:sz="0" w:space="0" w:color="auto"/>
            <w:bottom w:val="none" w:sz="0" w:space="0" w:color="auto"/>
            <w:right w:val="none" w:sz="0" w:space="0" w:color="auto"/>
          </w:divBdr>
        </w:div>
        <w:div w:id="1769499817">
          <w:marLeft w:val="446"/>
          <w:marRight w:val="0"/>
          <w:marTop w:val="0"/>
          <w:marBottom w:val="0"/>
          <w:divBdr>
            <w:top w:val="none" w:sz="0" w:space="0" w:color="auto"/>
            <w:left w:val="none" w:sz="0" w:space="0" w:color="auto"/>
            <w:bottom w:val="none" w:sz="0" w:space="0" w:color="auto"/>
            <w:right w:val="none" w:sz="0" w:space="0" w:color="auto"/>
          </w:divBdr>
        </w:div>
        <w:div w:id="283853961">
          <w:marLeft w:val="446"/>
          <w:marRight w:val="0"/>
          <w:marTop w:val="0"/>
          <w:marBottom w:val="0"/>
          <w:divBdr>
            <w:top w:val="none" w:sz="0" w:space="0" w:color="auto"/>
            <w:left w:val="none" w:sz="0" w:space="0" w:color="auto"/>
            <w:bottom w:val="none" w:sz="0" w:space="0" w:color="auto"/>
            <w:right w:val="none" w:sz="0" w:space="0" w:color="auto"/>
          </w:divBdr>
        </w:div>
      </w:divsChild>
    </w:div>
    <w:div w:id="1874726878">
      <w:bodyDiv w:val="1"/>
      <w:marLeft w:val="0"/>
      <w:marRight w:val="0"/>
      <w:marTop w:val="0"/>
      <w:marBottom w:val="0"/>
      <w:divBdr>
        <w:top w:val="none" w:sz="0" w:space="0" w:color="auto"/>
        <w:left w:val="none" w:sz="0" w:space="0" w:color="auto"/>
        <w:bottom w:val="none" w:sz="0" w:space="0" w:color="auto"/>
        <w:right w:val="none" w:sz="0" w:space="0" w:color="auto"/>
      </w:divBdr>
      <w:divsChild>
        <w:div w:id="855579736">
          <w:marLeft w:val="274"/>
          <w:marRight w:val="0"/>
          <w:marTop w:val="0"/>
          <w:marBottom w:val="0"/>
          <w:divBdr>
            <w:top w:val="none" w:sz="0" w:space="0" w:color="auto"/>
            <w:left w:val="none" w:sz="0" w:space="0" w:color="auto"/>
            <w:bottom w:val="none" w:sz="0" w:space="0" w:color="auto"/>
            <w:right w:val="none" w:sz="0" w:space="0" w:color="auto"/>
          </w:divBdr>
        </w:div>
        <w:div w:id="1312713751">
          <w:marLeft w:val="274"/>
          <w:marRight w:val="0"/>
          <w:marTop w:val="0"/>
          <w:marBottom w:val="0"/>
          <w:divBdr>
            <w:top w:val="none" w:sz="0" w:space="0" w:color="auto"/>
            <w:left w:val="none" w:sz="0" w:space="0" w:color="auto"/>
            <w:bottom w:val="none" w:sz="0" w:space="0" w:color="auto"/>
            <w:right w:val="none" w:sz="0" w:space="0" w:color="auto"/>
          </w:divBdr>
        </w:div>
        <w:div w:id="1434931994">
          <w:marLeft w:val="274"/>
          <w:marRight w:val="0"/>
          <w:marTop w:val="0"/>
          <w:marBottom w:val="0"/>
          <w:divBdr>
            <w:top w:val="none" w:sz="0" w:space="0" w:color="auto"/>
            <w:left w:val="none" w:sz="0" w:space="0" w:color="auto"/>
            <w:bottom w:val="none" w:sz="0" w:space="0" w:color="auto"/>
            <w:right w:val="none" w:sz="0" w:space="0" w:color="auto"/>
          </w:divBdr>
        </w:div>
        <w:div w:id="2049797288">
          <w:marLeft w:val="274"/>
          <w:marRight w:val="0"/>
          <w:marTop w:val="0"/>
          <w:marBottom w:val="0"/>
          <w:divBdr>
            <w:top w:val="none" w:sz="0" w:space="0" w:color="auto"/>
            <w:left w:val="none" w:sz="0" w:space="0" w:color="auto"/>
            <w:bottom w:val="none" w:sz="0" w:space="0" w:color="auto"/>
            <w:right w:val="none" w:sz="0" w:space="0" w:color="auto"/>
          </w:divBdr>
        </w:div>
        <w:div w:id="452409748">
          <w:marLeft w:val="274"/>
          <w:marRight w:val="0"/>
          <w:marTop w:val="0"/>
          <w:marBottom w:val="0"/>
          <w:divBdr>
            <w:top w:val="none" w:sz="0" w:space="0" w:color="auto"/>
            <w:left w:val="none" w:sz="0" w:space="0" w:color="auto"/>
            <w:bottom w:val="none" w:sz="0" w:space="0" w:color="auto"/>
            <w:right w:val="none" w:sz="0" w:space="0" w:color="auto"/>
          </w:divBdr>
        </w:div>
        <w:div w:id="2125071459">
          <w:marLeft w:val="274"/>
          <w:marRight w:val="0"/>
          <w:marTop w:val="0"/>
          <w:marBottom w:val="0"/>
          <w:divBdr>
            <w:top w:val="none" w:sz="0" w:space="0" w:color="auto"/>
            <w:left w:val="none" w:sz="0" w:space="0" w:color="auto"/>
            <w:bottom w:val="none" w:sz="0" w:space="0" w:color="auto"/>
            <w:right w:val="none" w:sz="0" w:space="0" w:color="auto"/>
          </w:divBdr>
        </w:div>
        <w:div w:id="503206087">
          <w:marLeft w:val="274"/>
          <w:marRight w:val="0"/>
          <w:marTop w:val="0"/>
          <w:marBottom w:val="0"/>
          <w:divBdr>
            <w:top w:val="none" w:sz="0" w:space="0" w:color="auto"/>
            <w:left w:val="none" w:sz="0" w:space="0" w:color="auto"/>
            <w:bottom w:val="none" w:sz="0" w:space="0" w:color="auto"/>
            <w:right w:val="none" w:sz="0" w:space="0" w:color="auto"/>
          </w:divBdr>
        </w:div>
        <w:div w:id="211307869">
          <w:marLeft w:val="274"/>
          <w:marRight w:val="0"/>
          <w:marTop w:val="0"/>
          <w:marBottom w:val="0"/>
          <w:divBdr>
            <w:top w:val="none" w:sz="0" w:space="0" w:color="auto"/>
            <w:left w:val="none" w:sz="0" w:space="0" w:color="auto"/>
            <w:bottom w:val="none" w:sz="0" w:space="0" w:color="auto"/>
            <w:right w:val="none" w:sz="0" w:space="0" w:color="auto"/>
          </w:divBdr>
        </w:div>
        <w:div w:id="1936670536">
          <w:marLeft w:val="274"/>
          <w:marRight w:val="0"/>
          <w:marTop w:val="0"/>
          <w:marBottom w:val="0"/>
          <w:divBdr>
            <w:top w:val="none" w:sz="0" w:space="0" w:color="auto"/>
            <w:left w:val="none" w:sz="0" w:space="0" w:color="auto"/>
            <w:bottom w:val="none" w:sz="0" w:space="0" w:color="auto"/>
            <w:right w:val="none" w:sz="0" w:space="0" w:color="auto"/>
          </w:divBdr>
        </w:div>
        <w:div w:id="959533864">
          <w:marLeft w:val="274"/>
          <w:marRight w:val="0"/>
          <w:marTop w:val="0"/>
          <w:marBottom w:val="0"/>
          <w:divBdr>
            <w:top w:val="none" w:sz="0" w:space="0" w:color="auto"/>
            <w:left w:val="none" w:sz="0" w:space="0" w:color="auto"/>
            <w:bottom w:val="none" w:sz="0" w:space="0" w:color="auto"/>
            <w:right w:val="none" w:sz="0" w:space="0" w:color="auto"/>
          </w:divBdr>
        </w:div>
        <w:div w:id="467599815">
          <w:marLeft w:val="274"/>
          <w:marRight w:val="0"/>
          <w:marTop w:val="0"/>
          <w:marBottom w:val="0"/>
          <w:divBdr>
            <w:top w:val="none" w:sz="0" w:space="0" w:color="auto"/>
            <w:left w:val="none" w:sz="0" w:space="0" w:color="auto"/>
            <w:bottom w:val="none" w:sz="0" w:space="0" w:color="auto"/>
            <w:right w:val="none" w:sz="0" w:space="0" w:color="auto"/>
          </w:divBdr>
        </w:div>
        <w:div w:id="2139833195">
          <w:marLeft w:val="274"/>
          <w:marRight w:val="0"/>
          <w:marTop w:val="0"/>
          <w:marBottom w:val="0"/>
          <w:divBdr>
            <w:top w:val="none" w:sz="0" w:space="0" w:color="auto"/>
            <w:left w:val="none" w:sz="0" w:space="0" w:color="auto"/>
            <w:bottom w:val="none" w:sz="0" w:space="0" w:color="auto"/>
            <w:right w:val="none" w:sz="0" w:space="0" w:color="auto"/>
          </w:divBdr>
        </w:div>
      </w:divsChild>
    </w:div>
    <w:div w:id="1896698496">
      <w:bodyDiv w:val="1"/>
      <w:marLeft w:val="0"/>
      <w:marRight w:val="0"/>
      <w:marTop w:val="0"/>
      <w:marBottom w:val="0"/>
      <w:divBdr>
        <w:top w:val="none" w:sz="0" w:space="0" w:color="auto"/>
        <w:left w:val="none" w:sz="0" w:space="0" w:color="auto"/>
        <w:bottom w:val="none" w:sz="0" w:space="0" w:color="auto"/>
        <w:right w:val="none" w:sz="0" w:space="0" w:color="auto"/>
      </w:divBdr>
      <w:divsChild>
        <w:div w:id="2049913452">
          <w:marLeft w:val="446"/>
          <w:marRight w:val="0"/>
          <w:marTop w:val="0"/>
          <w:marBottom w:val="0"/>
          <w:divBdr>
            <w:top w:val="none" w:sz="0" w:space="0" w:color="auto"/>
            <w:left w:val="none" w:sz="0" w:space="0" w:color="auto"/>
            <w:bottom w:val="none" w:sz="0" w:space="0" w:color="auto"/>
            <w:right w:val="none" w:sz="0" w:space="0" w:color="auto"/>
          </w:divBdr>
        </w:div>
        <w:div w:id="709186429">
          <w:marLeft w:val="446"/>
          <w:marRight w:val="0"/>
          <w:marTop w:val="0"/>
          <w:marBottom w:val="0"/>
          <w:divBdr>
            <w:top w:val="none" w:sz="0" w:space="0" w:color="auto"/>
            <w:left w:val="none" w:sz="0" w:space="0" w:color="auto"/>
            <w:bottom w:val="none" w:sz="0" w:space="0" w:color="auto"/>
            <w:right w:val="none" w:sz="0" w:space="0" w:color="auto"/>
          </w:divBdr>
        </w:div>
      </w:divsChild>
    </w:div>
    <w:div w:id="1945767858">
      <w:bodyDiv w:val="1"/>
      <w:marLeft w:val="0"/>
      <w:marRight w:val="0"/>
      <w:marTop w:val="0"/>
      <w:marBottom w:val="0"/>
      <w:divBdr>
        <w:top w:val="none" w:sz="0" w:space="0" w:color="auto"/>
        <w:left w:val="none" w:sz="0" w:space="0" w:color="auto"/>
        <w:bottom w:val="none" w:sz="0" w:space="0" w:color="auto"/>
        <w:right w:val="none" w:sz="0" w:space="0" w:color="auto"/>
      </w:divBdr>
    </w:div>
    <w:div w:id="20300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6.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Mano%20dokumentai\FM_kiekybinis%20ir%20kokybinis%20vertinimas\6_Santrauka\Diagrama_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5.092592592592593E-2"/>
          <c:w val="1"/>
          <c:h val="0.49423046077573635"/>
        </c:manualLayout>
      </c:layout>
      <c:pie3DChart>
        <c:varyColors val="1"/>
        <c:ser>
          <c:idx val="0"/>
          <c:order val="0"/>
          <c:dLbls>
            <c:dLbl>
              <c:idx val="4"/>
              <c:layout>
                <c:manualLayout>
                  <c:x val="1.500904447754841E-2"/>
                  <c:y val="4.6296296296296337E-3"/>
                </c:manualLayout>
              </c:layout>
              <c:showLegendKey val="0"/>
              <c:showVal val="1"/>
              <c:showCatName val="0"/>
              <c:showSerName val="0"/>
              <c:showPercent val="0"/>
              <c:showBubbleSize val="0"/>
            </c:dLbl>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1"/>
          </c:dLbls>
          <c:cat>
            <c:strRef>
              <c:f>Sheet1!$C$3:$C$7</c:f>
              <c:strCache>
                <c:ptCount val="5"/>
                <c:pt idx="0">
                  <c:v>Qualitative employment and social inclusion, EUR million</c:v>
                </c:pt>
                <c:pt idx="1">
                  <c:v>Lifelong learning, EUR million</c:v>
                </c:pt>
                <c:pt idx="2">
                  <c:v>Researchers' capacity building, EUR million</c:v>
                </c:pt>
                <c:pt idx="3">
                  <c:v>Administrative capacity building and increase in the efficiency of public administration, EUR million</c:v>
                </c:pt>
                <c:pt idx="4">
                  <c:v>Technical assistance, EUR million</c:v>
                </c:pt>
              </c:strCache>
            </c:strRef>
          </c:cat>
          <c:val>
            <c:numRef>
              <c:f>Sheet1!$D$3:$D$7</c:f>
              <c:numCache>
                <c:formatCode>General</c:formatCode>
                <c:ptCount val="5"/>
                <c:pt idx="0">
                  <c:v>535</c:v>
                </c:pt>
                <c:pt idx="1">
                  <c:v>262</c:v>
                </c:pt>
                <c:pt idx="2">
                  <c:v>136</c:v>
                </c:pt>
                <c:pt idx="3">
                  <c:v>175</c:v>
                </c:pt>
                <c:pt idx="4">
                  <c:v>30</c:v>
                </c:pt>
              </c:numCache>
            </c:numRef>
          </c:val>
        </c:ser>
        <c:dLbls>
          <c:showLegendKey val="0"/>
          <c:showVal val="0"/>
          <c:showCatName val="0"/>
          <c:showSerName val="0"/>
          <c:showPercent val="0"/>
          <c:showBubbleSize val="0"/>
          <c:showLeaderLines val="1"/>
        </c:dLbls>
      </c:pie3DChart>
    </c:plotArea>
    <c:legend>
      <c:legendPos val="b"/>
      <c:layout>
        <c:manualLayout>
          <c:xMode val="edge"/>
          <c:yMode val="edge"/>
          <c:x val="0"/>
          <c:y val="0.6284897200349957"/>
          <c:w val="0.98301857306004659"/>
          <c:h val="0.34373250218722662"/>
        </c:manualLayout>
      </c:layout>
      <c:overlay val="0"/>
      <c:txPr>
        <a:bodyPr/>
        <a:lstStyle/>
        <a:p>
          <a:pPr>
            <a:defRPr sz="900">
              <a:latin typeface="Arial Narrow" panose="020B0606020202030204" pitchFamily="34" charset="0"/>
              <a:cs typeface="Times New Roman" panose="02020603050405020304" pitchFamily="18" charset="0"/>
            </a:defRPr>
          </a:pPr>
          <a:endParaRPr lang="lt-LT"/>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Sheet1!$D$153</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Sheet1!$C$154:$C$157</c:f>
              <c:strCache>
                <c:ptCount val="4"/>
                <c:pt idx="0">
                  <c:v>Share of state and municipal spending which encompasses quality management systems (%)</c:v>
                </c:pt>
                <c:pt idx="1">
                  <c:v>Share of state spending which encompasses operational management systems in all 14 ministries (%)</c:v>
                </c:pt>
                <c:pt idx="2">
                  <c:v>Prepared common territorial plans of municipalities</c:v>
                </c:pt>
                <c:pt idx="3">
                  <c:v>Number of training participants (civil service, statutory officials, employees of other state and municipal institutions) (thousand)</c:v>
                </c:pt>
              </c:strCache>
            </c:strRef>
          </c:cat>
          <c:val>
            <c:numRef>
              <c:f>Sheet1!$D$154:$D$157</c:f>
              <c:numCache>
                <c:formatCode>General</c:formatCode>
                <c:ptCount val="4"/>
                <c:pt idx="0">
                  <c:v>46</c:v>
                </c:pt>
                <c:pt idx="1">
                  <c:v>78.599999999999994</c:v>
                </c:pt>
                <c:pt idx="2">
                  <c:v>132</c:v>
                </c:pt>
                <c:pt idx="3">
                  <c:v>47.6</c:v>
                </c:pt>
              </c:numCache>
            </c:numRef>
          </c:val>
        </c:ser>
        <c:ser>
          <c:idx val="1"/>
          <c:order val="1"/>
          <c:tx>
            <c:strRef>
              <c:f>Sheet1!$E$153</c:f>
              <c:strCache>
                <c:ptCount val="1"/>
                <c:pt idx="0">
                  <c:v>Planned in the OP</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Sheet1!$C$154:$C$157</c:f>
              <c:strCache>
                <c:ptCount val="4"/>
                <c:pt idx="0">
                  <c:v>Share of state and municipal spending which encompasses quality management systems (%)</c:v>
                </c:pt>
                <c:pt idx="1">
                  <c:v>Share of state spending which encompasses operational management systems in all 14 ministries (%)</c:v>
                </c:pt>
                <c:pt idx="2">
                  <c:v>Prepared common territorial plans of municipalities</c:v>
                </c:pt>
                <c:pt idx="3">
                  <c:v>Number of training participants (civil service, statutory officials, employees of other state and municipal institutions) (thousand)</c:v>
                </c:pt>
              </c:strCache>
            </c:strRef>
          </c:cat>
          <c:val>
            <c:numRef>
              <c:f>Sheet1!$E$154:$E$157</c:f>
              <c:numCache>
                <c:formatCode>General</c:formatCode>
                <c:ptCount val="4"/>
                <c:pt idx="0">
                  <c:v>25</c:v>
                </c:pt>
                <c:pt idx="1">
                  <c:v>48</c:v>
                </c:pt>
                <c:pt idx="2">
                  <c:v>21</c:v>
                </c:pt>
                <c:pt idx="3">
                  <c:v>29</c:v>
                </c:pt>
              </c:numCache>
            </c:numRef>
          </c:val>
        </c:ser>
        <c:dLbls>
          <c:showLegendKey val="0"/>
          <c:showVal val="0"/>
          <c:showCatName val="0"/>
          <c:showSerName val="0"/>
          <c:showPercent val="0"/>
          <c:showBubbleSize val="0"/>
        </c:dLbls>
        <c:gapWidth val="150"/>
        <c:shape val="box"/>
        <c:axId val="169956480"/>
        <c:axId val="169958016"/>
        <c:axId val="0"/>
      </c:bar3DChart>
      <c:catAx>
        <c:axId val="169956480"/>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69958016"/>
        <c:crosses val="autoZero"/>
        <c:auto val="1"/>
        <c:lblAlgn val="ctr"/>
        <c:lblOffset val="100"/>
        <c:noMultiLvlLbl val="0"/>
      </c:catAx>
      <c:valAx>
        <c:axId val="169958016"/>
        <c:scaling>
          <c:orientation val="minMax"/>
        </c:scaling>
        <c:delete val="0"/>
        <c:axPos val="b"/>
        <c:majorGridlines/>
        <c:numFmt formatCode="General" sourceLinked="1"/>
        <c:majorTickMark val="out"/>
        <c:minorTickMark val="none"/>
        <c:tickLblPos val="nextTo"/>
        <c:txPr>
          <a:bodyPr/>
          <a:lstStyle/>
          <a:p>
            <a:pPr>
              <a:defRPr sz="900">
                <a:latin typeface="Arial Narrow" panose="020B0606020202030204" pitchFamily="34" charset="0"/>
              </a:defRPr>
            </a:pPr>
            <a:endParaRPr lang="lt-LT"/>
          </a:p>
        </c:txPr>
        <c:crossAx val="169956480"/>
        <c:crosses val="autoZero"/>
        <c:crossBetween val="between"/>
      </c:valAx>
    </c:plotArea>
    <c:legend>
      <c:legendPos val="b"/>
      <c:overlay val="0"/>
      <c:txPr>
        <a:bodyPr/>
        <a:lstStyle/>
        <a:p>
          <a:pPr>
            <a:defRPr sz="900">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Sheet1!$D$166</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Sheet1!$C$167:$C$169</c:f>
              <c:strCache>
                <c:ptCount val="3"/>
                <c:pt idx="0">
                  <c:v>Share of Lithuanian population who has confidence in state and municipal institutions (%) from overall population with an opinion on the subject</c:v>
                </c:pt>
                <c:pt idx="1">
                  <c:v>Management effectiveness (value)</c:v>
                </c:pt>
                <c:pt idx="2">
                  <c:v>Regulation quality (value)</c:v>
                </c:pt>
              </c:strCache>
            </c:strRef>
          </c:cat>
          <c:val>
            <c:numRef>
              <c:f>Sheet1!$D$167:$D$169</c:f>
              <c:numCache>
                <c:formatCode>General</c:formatCode>
                <c:ptCount val="3"/>
                <c:pt idx="0">
                  <c:v>64</c:v>
                </c:pt>
                <c:pt idx="1">
                  <c:v>0.99</c:v>
                </c:pt>
                <c:pt idx="2">
                  <c:v>1.2</c:v>
                </c:pt>
              </c:numCache>
            </c:numRef>
          </c:val>
        </c:ser>
        <c:ser>
          <c:idx val="1"/>
          <c:order val="1"/>
          <c:tx>
            <c:strRef>
              <c:f>Sheet1!$E$166</c:f>
              <c:strCache>
                <c:ptCount val="1"/>
                <c:pt idx="0">
                  <c:v>Planned in the OP</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Sheet1!$C$167:$C$169</c:f>
              <c:strCache>
                <c:ptCount val="3"/>
                <c:pt idx="0">
                  <c:v>Share of Lithuanian population who has confidence in state and municipal institutions (%) from overall population with an opinion on the subject</c:v>
                </c:pt>
                <c:pt idx="1">
                  <c:v>Management effectiveness (value)</c:v>
                </c:pt>
                <c:pt idx="2">
                  <c:v>Regulation quality (value)</c:v>
                </c:pt>
              </c:strCache>
            </c:strRef>
          </c:cat>
          <c:val>
            <c:numRef>
              <c:f>Sheet1!$E$167:$E$169</c:f>
              <c:numCache>
                <c:formatCode>General</c:formatCode>
                <c:ptCount val="3"/>
                <c:pt idx="0">
                  <c:v>40</c:v>
                </c:pt>
                <c:pt idx="1">
                  <c:v>1.25</c:v>
                </c:pt>
                <c:pt idx="2">
                  <c:v>1.3</c:v>
                </c:pt>
              </c:numCache>
            </c:numRef>
          </c:val>
        </c:ser>
        <c:dLbls>
          <c:showLegendKey val="0"/>
          <c:showVal val="0"/>
          <c:showCatName val="0"/>
          <c:showSerName val="0"/>
          <c:showPercent val="0"/>
          <c:showBubbleSize val="0"/>
        </c:dLbls>
        <c:gapWidth val="150"/>
        <c:shape val="box"/>
        <c:axId val="170005248"/>
        <c:axId val="170006784"/>
        <c:axId val="0"/>
      </c:bar3DChart>
      <c:catAx>
        <c:axId val="170005248"/>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70006784"/>
        <c:crosses val="autoZero"/>
        <c:auto val="1"/>
        <c:lblAlgn val="ctr"/>
        <c:lblOffset val="100"/>
        <c:noMultiLvlLbl val="0"/>
      </c:catAx>
      <c:valAx>
        <c:axId val="170006784"/>
        <c:scaling>
          <c:orientation val="minMax"/>
        </c:scaling>
        <c:delete val="0"/>
        <c:axPos val="b"/>
        <c:majorGridlines/>
        <c:numFmt formatCode="General" sourceLinked="1"/>
        <c:majorTickMark val="out"/>
        <c:minorTickMark val="none"/>
        <c:tickLblPos val="nextTo"/>
        <c:txPr>
          <a:bodyPr/>
          <a:lstStyle/>
          <a:p>
            <a:pPr>
              <a:defRPr sz="900">
                <a:latin typeface="Arial Narrow" panose="020B0606020202030204" pitchFamily="34" charset="0"/>
              </a:defRPr>
            </a:pPr>
            <a:endParaRPr lang="lt-LT"/>
          </a:p>
        </c:txPr>
        <c:crossAx val="170005248"/>
        <c:crosses val="autoZero"/>
        <c:crossBetween val="between"/>
      </c:valAx>
    </c:plotArea>
    <c:legend>
      <c:legendPos val="b"/>
      <c:overlay val="0"/>
      <c:txPr>
        <a:bodyPr/>
        <a:lstStyle/>
        <a:p>
          <a:pPr>
            <a:defRPr sz="900">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Sheet1!$D$23</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Sheet1!$C$24:$C$26</c:f>
              <c:strCache>
                <c:ptCount val="3"/>
                <c:pt idx="0">
                  <c:v>Employment rate of disabled people in 6 months after accomplishing vocational rehabiliation programmes (%)</c:v>
                </c:pt>
                <c:pt idx="1">
                  <c:v>Number of persons included into active labour market measures (thousands)</c:v>
                </c:pt>
                <c:pt idx="2">
                  <c:v>Number of participants in trainings (thousands)</c:v>
                </c:pt>
              </c:strCache>
            </c:strRef>
          </c:cat>
          <c:val>
            <c:numRef>
              <c:f>Sheet1!$D$24:$D$26</c:f>
              <c:numCache>
                <c:formatCode>General</c:formatCode>
                <c:ptCount val="3"/>
                <c:pt idx="0">
                  <c:v>48.9</c:v>
                </c:pt>
                <c:pt idx="1">
                  <c:v>245.2</c:v>
                </c:pt>
                <c:pt idx="2">
                  <c:v>235.7</c:v>
                </c:pt>
              </c:numCache>
            </c:numRef>
          </c:val>
        </c:ser>
        <c:ser>
          <c:idx val="1"/>
          <c:order val="1"/>
          <c:tx>
            <c:strRef>
              <c:f>Sheet1!$E$23</c:f>
              <c:strCache>
                <c:ptCount val="1"/>
                <c:pt idx="0">
                  <c:v>Planned in the OP</c:v>
                </c:pt>
              </c:strCache>
            </c:strRef>
          </c:tx>
          <c:invertIfNegative val="0"/>
          <c:dLbls>
            <c:dLbl>
              <c:idx val="0"/>
              <c:layout>
                <c:manualLayout>
                  <c:x val="0"/>
                  <c:y val="-1.909307397488736E-2"/>
                </c:manualLayout>
              </c:layout>
              <c:showLegendKey val="0"/>
              <c:showVal val="1"/>
              <c:showCatName val="0"/>
              <c:showSerName val="0"/>
              <c:showPercent val="0"/>
              <c:showBubbleSize val="0"/>
            </c:dLbl>
            <c:dLbl>
              <c:idx val="1"/>
              <c:layout>
                <c:manualLayout>
                  <c:x val="0"/>
                  <c:y val="-2.545743196651647E-2"/>
                </c:manualLayout>
              </c:layout>
              <c:showLegendKey val="0"/>
              <c:showVal val="1"/>
              <c:showCatName val="0"/>
              <c:showSerName val="0"/>
              <c:showPercent val="0"/>
              <c:showBubbleSize val="0"/>
            </c:dLbl>
            <c:dLbl>
              <c:idx val="2"/>
              <c:layout>
                <c:manualLayout>
                  <c:x val="-3.3670038133306593E-3"/>
                  <c:y val="-1.909307397488736E-2"/>
                </c:manualLayout>
              </c:layout>
              <c:showLegendKey val="0"/>
              <c:showVal val="1"/>
              <c:showCatName val="0"/>
              <c:showSerName val="0"/>
              <c:showPercent val="0"/>
              <c:showBubbleSize val="0"/>
            </c:dLbl>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Sheet1!$C$24:$C$26</c:f>
              <c:strCache>
                <c:ptCount val="3"/>
                <c:pt idx="0">
                  <c:v>Employment rate of disabled people in 6 months after accomplishing vocational rehabiliation programmes (%)</c:v>
                </c:pt>
                <c:pt idx="1">
                  <c:v>Number of persons included into active labour market measures (thousands)</c:v>
                </c:pt>
                <c:pt idx="2">
                  <c:v>Number of participants in trainings (thousands)</c:v>
                </c:pt>
              </c:strCache>
            </c:strRef>
          </c:cat>
          <c:val>
            <c:numRef>
              <c:f>Sheet1!$E$24:$E$26</c:f>
              <c:numCache>
                <c:formatCode>General</c:formatCode>
                <c:ptCount val="3"/>
                <c:pt idx="0">
                  <c:v>40</c:v>
                </c:pt>
                <c:pt idx="1">
                  <c:v>211.4</c:v>
                </c:pt>
                <c:pt idx="2">
                  <c:v>200</c:v>
                </c:pt>
              </c:numCache>
            </c:numRef>
          </c:val>
        </c:ser>
        <c:dLbls>
          <c:showLegendKey val="0"/>
          <c:showVal val="0"/>
          <c:showCatName val="0"/>
          <c:showSerName val="0"/>
          <c:showPercent val="0"/>
          <c:showBubbleSize val="0"/>
        </c:dLbls>
        <c:gapWidth val="150"/>
        <c:shape val="box"/>
        <c:axId val="156797568"/>
        <c:axId val="156807552"/>
        <c:axId val="0"/>
      </c:bar3DChart>
      <c:catAx>
        <c:axId val="156797568"/>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56807552"/>
        <c:crosses val="autoZero"/>
        <c:auto val="1"/>
        <c:lblAlgn val="ctr"/>
        <c:lblOffset val="100"/>
        <c:noMultiLvlLbl val="0"/>
      </c:catAx>
      <c:valAx>
        <c:axId val="156807552"/>
        <c:scaling>
          <c:orientation val="minMax"/>
        </c:scaling>
        <c:delete val="0"/>
        <c:axPos val="b"/>
        <c:majorGridlines/>
        <c:numFmt formatCode="General" sourceLinked="1"/>
        <c:majorTickMark val="out"/>
        <c:minorTickMark val="none"/>
        <c:tickLblPos val="nextTo"/>
        <c:txPr>
          <a:bodyPr/>
          <a:lstStyle/>
          <a:p>
            <a:pPr>
              <a:defRPr>
                <a:latin typeface="Arial Narrow" panose="020B0606020202030204" pitchFamily="34" charset="0"/>
              </a:defRPr>
            </a:pPr>
            <a:endParaRPr lang="lt-LT"/>
          </a:p>
        </c:txPr>
        <c:crossAx val="156797568"/>
        <c:crosses val="autoZero"/>
        <c:crossBetween val="between"/>
      </c:valAx>
    </c:plotArea>
    <c:legend>
      <c:legendPos val="b"/>
      <c:overlay val="0"/>
      <c:txPr>
        <a:bodyPr/>
        <a:lstStyle/>
        <a:p>
          <a:pPr>
            <a:defRPr>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Sheet1!$D$40</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Sheet1!$C$41:$C$44</c:f>
              <c:strCache>
                <c:ptCount val="4"/>
                <c:pt idx="0">
                  <c:v>Persons who found a job after participating in the activities (% from all participants)</c:v>
                </c:pt>
                <c:pt idx="1">
                  <c:v>persons who are suffering from addiction to psychoactive substances diseases</c:v>
                </c:pt>
                <c:pt idx="2">
                  <c:v>convicted persons and persons released from custodial institutions</c:v>
                </c:pt>
                <c:pt idx="3">
                  <c:v>Number of persons living in social exclusion or social risk persons who have participated in financed activities (thousands), of whom:</c:v>
                </c:pt>
              </c:strCache>
            </c:strRef>
          </c:cat>
          <c:val>
            <c:numRef>
              <c:f>Sheet1!$D$41:$D$44</c:f>
              <c:numCache>
                <c:formatCode>General</c:formatCode>
                <c:ptCount val="4"/>
                <c:pt idx="0">
                  <c:v>28.1</c:v>
                </c:pt>
                <c:pt idx="1">
                  <c:v>2.5</c:v>
                </c:pt>
                <c:pt idx="2">
                  <c:v>8</c:v>
                </c:pt>
                <c:pt idx="3">
                  <c:v>26.7</c:v>
                </c:pt>
              </c:numCache>
            </c:numRef>
          </c:val>
        </c:ser>
        <c:ser>
          <c:idx val="1"/>
          <c:order val="1"/>
          <c:tx>
            <c:strRef>
              <c:f>Sheet1!$E$40</c:f>
              <c:strCache>
                <c:ptCount val="1"/>
                <c:pt idx="0">
                  <c:v>Planned in the OP</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Sheet1!$C$41:$C$44</c:f>
              <c:strCache>
                <c:ptCount val="4"/>
                <c:pt idx="0">
                  <c:v>Persons who found a job after participating in the activities (% from all participants)</c:v>
                </c:pt>
                <c:pt idx="1">
                  <c:v>persons who are suffering from addiction to psychoactive substances diseases</c:v>
                </c:pt>
                <c:pt idx="2">
                  <c:v>convicted persons and persons released from custodial institutions</c:v>
                </c:pt>
                <c:pt idx="3">
                  <c:v>Number of persons living in social exclusion or social risk persons who have participated in financed activities (thousands), of whom:</c:v>
                </c:pt>
              </c:strCache>
            </c:strRef>
          </c:cat>
          <c:val>
            <c:numRef>
              <c:f>Sheet1!$E$41:$E$44</c:f>
              <c:numCache>
                <c:formatCode>General</c:formatCode>
                <c:ptCount val="4"/>
                <c:pt idx="0">
                  <c:v>25</c:v>
                </c:pt>
                <c:pt idx="1">
                  <c:v>2</c:v>
                </c:pt>
                <c:pt idx="2">
                  <c:v>6</c:v>
                </c:pt>
                <c:pt idx="3">
                  <c:v>25.5</c:v>
                </c:pt>
              </c:numCache>
            </c:numRef>
          </c:val>
        </c:ser>
        <c:dLbls>
          <c:showLegendKey val="0"/>
          <c:showVal val="0"/>
          <c:showCatName val="0"/>
          <c:showSerName val="0"/>
          <c:showPercent val="0"/>
          <c:showBubbleSize val="0"/>
        </c:dLbls>
        <c:gapWidth val="150"/>
        <c:shape val="box"/>
        <c:axId val="169351040"/>
        <c:axId val="169352576"/>
        <c:axId val="0"/>
      </c:bar3DChart>
      <c:catAx>
        <c:axId val="169351040"/>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69352576"/>
        <c:crosses val="autoZero"/>
        <c:auto val="1"/>
        <c:lblAlgn val="ctr"/>
        <c:lblOffset val="100"/>
        <c:noMultiLvlLbl val="0"/>
      </c:catAx>
      <c:valAx>
        <c:axId val="169352576"/>
        <c:scaling>
          <c:orientation val="minMax"/>
        </c:scaling>
        <c:delete val="0"/>
        <c:axPos val="b"/>
        <c:majorGridlines/>
        <c:numFmt formatCode="General" sourceLinked="1"/>
        <c:majorTickMark val="out"/>
        <c:minorTickMark val="none"/>
        <c:tickLblPos val="nextTo"/>
        <c:txPr>
          <a:bodyPr/>
          <a:lstStyle/>
          <a:p>
            <a:pPr>
              <a:defRPr>
                <a:latin typeface="Arial Narrow" panose="020B0606020202030204" pitchFamily="34" charset="0"/>
              </a:defRPr>
            </a:pPr>
            <a:endParaRPr lang="lt-LT"/>
          </a:p>
        </c:txPr>
        <c:crossAx val="169351040"/>
        <c:crosses val="autoZero"/>
        <c:crossBetween val="between"/>
      </c:valAx>
    </c:plotArea>
    <c:legend>
      <c:legendPos val="b"/>
      <c:overlay val="0"/>
      <c:txPr>
        <a:bodyPr/>
        <a:lstStyle/>
        <a:p>
          <a:pPr>
            <a:defRPr>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Sheet1!$D$52</c:f>
              <c:strCache>
                <c:ptCount val="1"/>
                <c:pt idx="0">
                  <c:v>Achieved</c:v>
                </c:pt>
              </c:strCache>
            </c:strRef>
          </c:tx>
          <c:invertIfNegative val="0"/>
          <c:dLbls>
            <c:dLbl>
              <c:idx val="1"/>
              <c:layout>
                <c:manualLayout>
                  <c:x val="0"/>
                  <c:y val="1.3888888888888904E-2"/>
                </c:manualLayout>
              </c:layout>
              <c:showLegendKey val="0"/>
              <c:showVal val="1"/>
              <c:showCatName val="0"/>
              <c:showSerName val="0"/>
              <c:showPercent val="0"/>
              <c:showBubbleSize val="0"/>
            </c:dLbl>
            <c:dLbl>
              <c:idx val="3"/>
              <c:layout>
                <c:manualLayout>
                  <c:x val="3.4677069787602995E-3"/>
                  <c:y val="9.259259259259316E-3"/>
                </c:manualLayout>
              </c:layout>
              <c:showLegendKey val="0"/>
              <c:showVal val="1"/>
              <c:showCatName val="0"/>
              <c:showSerName val="0"/>
              <c:showPercent val="0"/>
              <c:showBubbleSize val="0"/>
            </c:dLbl>
            <c:dLbl>
              <c:idx val="4"/>
              <c:layout>
                <c:manualLayout>
                  <c:x val="0"/>
                  <c:y val="1.8518518518518531E-2"/>
                </c:manualLayout>
              </c:layout>
              <c:showLegendKey val="0"/>
              <c:showVal val="1"/>
              <c:showCatName val="0"/>
              <c:showSerName val="0"/>
              <c:showPercent val="0"/>
              <c:showBubbleSize val="0"/>
            </c:dLbl>
            <c:dLbl>
              <c:idx val="5"/>
              <c:layout>
                <c:manualLayout>
                  <c:x val="-1.2714778706579179E-16"/>
                  <c:y val="1.3888888888888904E-2"/>
                </c:manualLayout>
              </c:layout>
              <c:showLegendKey val="0"/>
              <c:showVal val="1"/>
              <c:showCatName val="0"/>
              <c:showSerName val="0"/>
              <c:showPercent val="0"/>
              <c:showBubbleSize val="0"/>
            </c:dLbl>
            <c:txPr>
              <a:bodyPr/>
              <a:lstStyle/>
              <a:p>
                <a:pPr>
                  <a:defRPr>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Sheet1!$C$53:$C$58</c:f>
              <c:strCache>
                <c:ptCount val="6"/>
                <c:pt idx="0">
                  <c:v>Share of population (25-44) who took part in education and training activities during last 4 weeks (%)</c:v>
                </c:pt>
                <c:pt idx="1">
                  <c:v>Share of working disabled people (%)</c:v>
                </c:pt>
                <c:pt idx="2">
                  <c:v>Employment rate of elderly people (55-64) (%)</c:v>
                </c:pt>
                <c:pt idx="3">
                  <c:v>Employment rate of women (%)</c:v>
                </c:pt>
                <c:pt idx="4">
                  <c:v>Overall employment rate of the population (15-64) (%)</c:v>
                </c:pt>
                <c:pt idx="5">
                  <c:v>Labour force (15-64) participation rate (%)</c:v>
                </c:pt>
              </c:strCache>
            </c:strRef>
          </c:cat>
          <c:val>
            <c:numRef>
              <c:f>Sheet1!$D$53:$D$58</c:f>
              <c:numCache>
                <c:formatCode>General</c:formatCode>
                <c:ptCount val="6"/>
                <c:pt idx="0">
                  <c:v>6</c:v>
                </c:pt>
                <c:pt idx="1">
                  <c:v>28.8</c:v>
                </c:pt>
                <c:pt idx="2">
                  <c:v>60.4</c:v>
                </c:pt>
                <c:pt idx="3">
                  <c:v>66.5</c:v>
                </c:pt>
                <c:pt idx="4">
                  <c:v>67.2</c:v>
                </c:pt>
                <c:pt idx="5">
                  <c:v>74.099999999999994</c:v>
                </c:pt>
              </c:numCache>
            </c:numRef>
          </c:val>
        </c:ser>
        <c:ser>
          <c:idx val="1"/>
          <c:order val="1"/>
          <c:tx>
            <c:strRef>
              <c:f>Sheet1!$E$52</c:f>
              <c:strCache>
                <c:ptCount val="1"/>
                <c:pt idx="0">
                  <c:v>Planned in the OP</c:v>
                </c:pt>
              </c:strCache>
            </c:strRef>
          </c:tx>
          <c:invertIfNegative val="0"/>
          <c:dLbls>
            <c:dLbl>
              <c:idx val="2"/>
              <c:layout>
                <c:manualLayout>
                  <c:x val="5.2015604681404422E-3"/>
                  <c:y val="-9.2592592592592744E-3"/>
                </c:manualLayout>
              </c:layout>
              <c:showLegendKey val="0"/>
              <c:showVal val="1"/>
              <c:showCatName val="0"/>
              <c:showSerName val="0"/>
              <c:showPercent val="0"/>
              <c:showBubbleSize val="0"/>
            </c:dLbl>
            <c:dLbl>
              <c:idx val="3"/>
              <c:layout>
                <c:manualLayout>
                  <c:x val="0"/>
                  <c:y val="-1.3888888888888947E-2"/>
                </c:manualLayout>
              </c:layout>
              <c:showLegendKey val="0"/>
              <c:showVal val="1"/>
              <c:showCatName val="0"/>
              <c:showSerName val="0"/>
              <c:showPercent val="0"/>
              <c:showBubbleSize val="0"/>
            </c:dLbl>
            <c:txPr>
              <a:bodyPr/>
              <a:lstStyle/>
              <a:p>
                <a:pPr>
                  <a:defRPr>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Sheet1!$C$53:$C$58</c:f>
              <c:strCache>
                <c:ptCount val="6"/>
                <c:pt idx="0">
                  <c:v>Share of population (25-44) who took part in education and training activities during last 4 weeks (%)</c:v>
                </c:pt>
                <c:pt idx="1">
                  <c:v>Share of working disabled people (%)</c:v>
                </c:pt>
                <c:pt idx="2">
                  <c:v>Employment rate of elderly people (55-64) (%)</c:v>
                </c:pt>
                <c:pt idx="3">
                  <c:v>Employment rate of women (%)</c:v>
                </c:pt>
                <c:pt idx="4">
                  <c:v>Overall employment rate of the population (15-64) (%)</c:v>
                </c:pt>
                <c:pt idx="5">
                  <c:v>Labour force (15-64) participation rate (%)</c:v>
                </c:pt>
              </c:strCache>
            </c:strRef>
          </c:cat>
          <c:val>
            <c:numRef>
              <c:f>Sheet1!$E$53:$E$58</c:f>
              <c:numCache>
                <c:formatCode>General</c:formatCode>
                <c:ptCount val="6"/>
                <c:pt idx="0">
                  <c:v>11</c:v>
                </c:pt>
                <c:pt idx="1">
                  <c:v>30</c:v>
                </c:pt>
                <c:pt idx="2">
                  <c:v>52</c:v>
                </c:pt>
                <c:pt idx="3">
                  <c:v>61.5</c:v>
                </c:pt>
                <c:pt idx="4">
                  <c:v>70</c:v>
                </c:pt>
                <c:pt idx="5">
                  <c:v>73.5</c:v>
                </c:pt>
              </c:numCache>
            </c:numRef>
          </c:val>
        </c:ser>
        <c:dLbls>
          <c:showLegendKey val="0"/>
          <c:showVal val="0"/>
          <c:showCatName val="0"/>
          <c:showSerName val="0"/>
          <c:showPercent val="0"/>
          <c:showBubbleSize val="0"/>
        </c:dLbls>
        <c:gapWidth val="150"/>
        <c:shape val="box"/>
        <c:axId val="169403520"/>
        <c:axId val="169405056"/>
        <c:axId val="0"/>
      </c:bar3DChart>
      <c:catAx>
        <c:axId val="169403520"/>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69405056"/>
        <c:crosses val="autoZero"/>
        <c:auto val="1"/>
        <c:lblAlgn val="ctr"/>
        <c:lblOffset val="100"/>
        <c:noMultiLvlLbl val="0"/>
      </c:catAx>
      <c:valAx>
        <c:axId val="169405056"/>
        <c:scaling>
          <c:orientation val="minMax"/>
        </c:scaling>
        <c:delete val="0"/>
        <c:axPos val="b"/>
        <c:majorGridlines/>
        <c:numFmt formatCode="General" sourceLinked="1"/>
        <c:majorTickMark val="out"/>
        <c:minorTickMark val="none"/>
        <c:tickLblPos val="nextTo"/>
        <c:txPr>
          <a:bodyPr/>
          <a:lstStyle/>
          <a:p>
            <a:pPr>
              <a:defRPr>
                <a:latin typeface="Arial Narrow" panose="020B0606020202030204" pitchFamily="34" charset="0"/>
              </a:defRPr>
            </a:pPr>
            <a:endParaRPr lang="lt-LT"/>
          </a:p>
        </c:txPr>
        <c:crossAx val="169403520"/>
        <c:crosses val="autoZero"/>
        <c:crossBetween val="between"/>
      </c:valAx>
    </c:plotArea>
    <c:legend>
      <c:legendPos val="b"/>
      <c:overlay val="0"/>
      <c:txPr>
        <a:bodyPr/>
        <a:lstStyle/>
        <a:p>
          <a:pPr>
            <a:defRPr>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Sheet1!$D$72</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Sheet1!$C$73:$C$75</c:f>
              <c:strCache>
                <c:ptCount val="3"/>
                <c:pt idx="0">
                  <c:v>Number of educational institutions which introduced quality management systems</c:v>
                </c:pt>
                <c:pt idx="1">
                  <c:v>Share of pupils who have been studying in line with vocational training programmes evaluated be external evaluators (%)</c:v>
                </c:pt>
                <c:pt idx="2">
                  <c:v>Number of employees in the administration of lifelong learning system who have been involved in formal education programmes</c:v>
                </c:pt>
              </c:strCache>
            </c:strRef>
          </c:cat>
          <c:val>
            <c:numRef>
              <c:f>Sheet1!$D$73:$D$75</c:f>
              <c:numCache>
                <c:formatCode>General</c:formatCode>
                <c:ptCount val="3"/>
                <c:pt idx="0">
                  <c:v>117</c:v>
                </c:pt>
                <c:pt idx="1">
                  <c:v>59.7</c:v>
                </c:pt>
                <c:pt idx="2">
                  <c:v>144</c:v>
                </c:pt>
              </c:numCache>
            </c:numRef>
          </c:val>
        </c:ser>
        <c:ser>
          <c:idx val="1"/>
          <c:order val="1"/>
          <c:tx>
            <c:strRef>
              <c:f>Sheet1!$E$72</c:f>
              <c:strCache>
                <c:ptCount val="1"/>
                <c:pt idx="0">
                  <c:v>Planned in the OP</c:v>
                </c:pt>
              </c:strCache>
            </c:strRef>
          </c:tx>
          <c:invertIfNegative val="0"/>
          <c:dLbls>
            <c:dLbl>
              <c:idx val="0"/>
              <c:layout>
                <c:manualLayout>
                  <c:x val="0"/>
                  <c:y val="-2.7777777777777821E-2"/>
                </c:manualLayout>
              </c:layout>
              <c:showLegendKey val="0"/>
              <c:showVal val="1"/>
              <c:showCatName val="0"/>
              <c:showSerName val="0"/>
              <c:showPercent val="0"/>
              <c:showBubbleSize val="0"/>
            </c:dLbl>
            <c:dLbl>
              <c:idx val="1"/>
              <c:layout>
                <c:manualLayout>
                  <c:x val="3.4453062382152583E-3"/>
                  <c:y val="-2.3148148148148147E-2"/>
                </c:manualLayout>
              </c:layout>
              <c:showLegendKey val="0"/>
              <c:showVal val="1"/>
              <c:showCatName val="0"/>
              <c:showSerName val="0"/>
              <c:showPercent val="0"/>
              <c:showBubbleSize val="0"/>
            </c:dLbl>
            <c:dLbl>
              <c:idx val="2"/>
              <c:layout>
                <c:manualLayout>
                  <c:x val="3.4453062382152583E-3"/>
                  <c:y val="-2.7777777777777821E-2"/>
                </c:manualLayout>
              </c:layout>
              <c:showLegendKey val="0"/>
              <c:showVal val="1"/>
              <c:showCatName val="0"/>
              <c:showSerName val="0"/>
              <c:showPercent val="0"/>
              <c:showBubbleSize val="0"/>
            </c:dLbl>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Sheet1!$C$73:$C$75</c:f>
              <c:strCache>
                <c:ptCount val="3"/>
                <c:pt idx="0">
                  <c:v>Number of educational institutions which introduced quality management systems</c:v>
                </c:pt>
                <c:pt idx="1">
                  <c:v>Share of pupils who have been studying in line with vocational training programmes evaluated be external evaluators (%)</c:v>
                </c:pt>
                <c:pt idx="2">
                  <c:v>Number of employees in the administration of lifelong learning system who have been involved in formal education programmes</c:v>
                </c:pt>
              </c:strCache>
            </c:strRef>
          </c:cat>
          <c:val>
            <c:numRef>
              <c:f>Sheet1!$E$73:$E$75</c:f>
              <c:numCache>
                <c:formatCode>General</c:formatCode>
                <c:ptCount val="3"/>
                <c:pt idx="0">
                  <c:v>100</c:v>
                </c:pt>
                <c:pt idx="1">
                  <c:v>30</c:v>
                </c:pt>
                <c:pt idx="2">
                  <c:v>50</c:v>
                </c:pt>
              </c:numCache>
            </c:numRef>
          </c:val>
        </c:ser>
        <c:dLbls>
          <c:showLegendKey val="0"/>
          <c:showVal val="0"/>
          <c:showCatName val="0"/>
          <c:showSerName val="0"/>
          <c:showPercent val="0"/>
          <c:showBubbleSize val="0"/>
        </c:dLbls>
        <c:gapWidth val="150"/>
        <c:shape val="box"/>
        <c:axId val="169628032"/>
        <c:axId val="169629568"/>
        <c:axId val="0"/>
      </c:bar3DChart>
      <c:catAx>
        <c:axId val="169628032"/>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69629568"/>
        <c:crosses val="autoZero"/>
        <c:auto val="1"/>
        <c:lblAlgn val="ctr"/>
        <c:lblOffset val="100"/>
        <c:noMultiLvlLbl val="0"/>
      </c:catAx>
      <c:valAx>
        <c:axId val="169629568"/>
        <c:scaling>
          <c:orientation val="minMax"/>
        </c:scaling>
        <c:delete val="0"/>
        <c:axPos val="b"/>
        <c:majorGridlines/>
        <c:numFmt formatCode="General" sourceLinked="1"/>
        <c:majorTickMark val="out"/>
        <c:minorTickMark val="none"/>
        <c:tickLblPos val="nextTo"/>
        <c:txPr>
          <a:bodyPr/>
          <a:lstStyle/>
          <a:p>
            <a:pPr>
              <a:defRPr>
                <a:latin typeface="Arial Narrow" panose="020B0606020202030204" pitchFamily="34" charset="0"/>
              </a:defRPr>
            </a:pPr>
            <a:endParaRPr lang="lt-LT"/>
          </a:p>
        </c:txPr>
        <c:crossAx val="169628032"/>
        <c:crosses val="autoZero"/>
        <c:crossBetween val="between"/>
      </c:valAx>
    </c:plotArea>
    <c:legend>
      <c:legendPos val="b"/>
      <c:overlay val="0"/>
      <c:txPr>
        <a:bodyPr/>
        <a:lstStyle/>
        <a:p>
          <a:pPr>
            <a:defRPr sz="900">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Sheet1!$C$88</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Sheet1!$D$87:$E$87</c:f>
              <c:strCache>
                <c:ptCount val="2"/>
                <c:pt idx="0">
                  <c:v>Number of social risk, socially excluded persons and persons with special needs who participated in formal training (thousand)</c:v>
                </c:pt>
                <c:pt idx="1">
                  <c:v>Number of pupils, students and teacher who participated in formal training (thousand)</c:v>
                </c:pt>
              </c:strCache>
            </c:strRef>
          </c:cat>
          <c:val>
            <c:numRef>
              <c:f>Sheet1!$D$88:$E$88</c:f>
              <c:numCache>
                <c:formatCode>General</c:formatCode>
                <c:ptCount val="2"/>
                <c:pt idx="0">
                  <c:v>6</c:v>
                </c:pt>
                <c:pt idx="1">
                  <c:v>73.400000000000006</c:v>
                </c:pt>
              </c:numCache>
            </c:numRef>
          </c:val>
        </c:ser>
        <c:ser>
          <c:idx val="1"/>
          <c:order val="1"/>
          <c:tx>
            <c:strRef>
              <c:f>Sheet1!$C$89</c:f>
              <c:strCache>
                <c:ptCount val="1"/>
                <c:pt idx="0">
                  <c:v>Planned in the OP</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Sheet1!$D$87:$E$87</c:f>
              <c:strCache>
                <c:ptCount val="2"/>
                <c:pt idx="0">
                  <c:v>Number of social risk, socially excluded persons and persons with special needs who participated in formal training (thousand)</c:v>
                </c:pt>
                <c:pt idx="1">
                  <c:v>Number of pupils, students and teacher who participated in formal training (thousand)</c:v>
                </c:pt>
              </c:strCache>
            </c:strRef>
          </c:cat>
          <c:val>
            <c:numRef>
              <c:f>Sheet1!$D$89:$E$89</c:f>
              <c:numCache>
                <c:formatCode>General</c:formatCode>
                <c:ptCount val="2"/>
                <c:pt idx="0">
                  <c:v>4.5999999999999996</c:v>
                </c:pt>
                <c:pt idx="1">
                  <c:v>40.800000000000004</c:v>
                </c:pt>
              </c:numCache>
            </c:numRef>
          </c:val>
        </c:ser>
        <c:dLbls>
          <c:showLegendKey val="0"/>
          <c:showVal val="0"/>
          <c:showCatName val="0"/>
          <c:showSerName val="0"/>
          <c:showPercent val="0"/>
          <c:showBubbleSize val="0"/>
        </c:dLbls>
        <c:gapWidth val="150"/>
        <c:shape val="box"/>
        <c:axId val="169667968"/>
        <c:axId val="169813120"/>
        <c:axId val="0"/>
      </c:bar3DChart>
      <c:catAx>
        <c:axId val="169667968"/>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69813120"/>
        <c:crosses val="autoZero"/>
        <c:auto val="1"/>
        <c:lblAlgn val="ctr"/>
        <c:lblOffset val="100"/>
        <c:noMultiLvlLbl val="0"/>
      </c:catAx>
      <c:valAx>
        <c:axId val="169813120"/>
        <c:scaling>
          <c:orientation val="minMax"/>
        </c:scaling>
        <c:delete val="0"/>
        <c:axPos val="b"/>
        <c:majorGridlines/>
        <c:numFmt formatCode="General" sourceLinked="1"/>
        <c:majorTickMark val="out"/>
        <c:minorTickMark val="none"/>
        <c:tickLblPos val="nextTo"/>
        <c:txPr>
          <a:bodyPr/>
          <a:lstStyle/>
          <a:p>
            <a:pPr>
              <a:defRPr>
                <a:latin typeface="Arial Narrow" panose="020B0606020202030204" pitchFamily="34" charset="0"/>
              </a:defRPr>
            </a:pPr>
            <a:endParaRPr lang="lt-LT"/>
          </a:p>
        </c:txPr>
        <c:crossAx val="169667968"/>
        <c:crosses val="autoZero"/>
        <c:crossBetween val="between"/>
      </c:valAx>
    </c:plotArea>
    <c:legend>
      <c:legendPos val="b"/>
      <c:overlay val="0"/>
      <c:txPr>
        <a:bodyPr/>
        <a:lstStyle/>
        <a:p>
          <a:pPr>
            <a:defRPr sz="1000">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Sheet1!$D$102</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Sheet1!$C$103:$C$105</c:f>
              <c:strCache>
                <c:ptCount val="3"/>
                <c:pt idx="0">
                  <c:v>Share of people in the age of 25-64 who participated in educational or vocational training activities during last 4 weeks (%)</c:v>
                </c:pt>
                <c:pt idx="1">
                  <c:v>Level of youth educational achievements: share of people in the age of 20-24 who have secondary education (or secondary education and vocational qualification in great request in labour market) (%)</c:v>
                </c:pt>
                <c:pt idx="2">
                  <c:v>Level of early leaving the educational system: share of people in the age of 18-24 who have basic education and do not continue their studies (%)</c:v>
                </c:pt>
              </c:strCache>
            </c:strRef>
          </c:cat>
          <c:val>
            <c:numRef>
              <c:f>Sheet1!$D$103:$D$105</c:f>
              <c:numCache>
                <c:formatCode>General</c:formatCode>
                <c:ptCount val="3"/>
                <c:pt idx="0">
                  <c:v>5.8</c:v>
                </c:pt>
                <c:pt idx="1">
                  <c:v>90.9</c:v>
                </c:pt>
                <c:pt idx="2">
                  <c:v>5.5</c:v>
                </c:pt>
              </c:numCache>
            </c:numRef>
          </c:val>
        </c:ser>
        <c:ser>
          <c:idx val="1"/>
          <c:order val="1"/>
          <c:tx>
            <c:strRef>
              <c:f>Sheet1!$E$102</c:f>
              <c:strCache>
                <c:ptCount val="1"/>
                <c:pt idx="0">
                  <c:v>Planned in the OP</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Sheet1!$C$103:$C$105</c:f>
              <c:strCache>
                <c:ptCount val="3"/>
                <c:pt idx="0">
                  <c:v>Share of people in the age of 25-64 who participated in educational or vocational training activities during last 4 weeks (%)</c:v>
                </c:pt>
                <c:pt idx="1">
                  <c:v>Level of youth educational achievements: share of people in the age of 20-24 who have secondary education (or secondary education and vocational qualification in great request in labour market) (%)</c:v>
                </c:pt>
                <c:pt idx="2">
                  <c:v>Level of early leaving the educational system: share of people in the age of 18-24 who have basic education and do not continue their studies (%)</c:v>
                </c:pt>
              </c:strCache>
            </c:strRef>
          </c:cat>
          <c:val>
            <c:numRef>
              <c:f>Sheet1!$E$103:$E$105</c:f>
              <c:numCache>
                <c:formatCode>General</c:formatCode>
                <c:ptCount val="3"/>
                <c:pt idx="0">
                  <c:v>11</c:v>
                </c:pt>
                <c:pt idx="1">
                  <c:v>90</c:v>
                </c:pt>
                <c:pt idx="2">
                  <c:v>9</c:v>
                </c:pt>
              </c:numCache>
            </c:numRef>
          </c:val>
        </c:ser>
        <c:dLbls>
          <c:showLegendKey val="0"/>
          <c:showVal val="0"/>
          <c:showCatName val="0"/>
          <c:showSerName val="0"/>
          <c:showPercent val="0"/>
          <c:showBubbleSize val="0"/>
        </c:dLbls>
        <c:gapWidth val="150"/>
        <c:shape val="box"/>
        <c:axId val="169831040"/>
        <c:axId val="169836928"/>
        <c:axId val="0"/>
      </c:bar3DChart>
      <c:catAx>
        <c:axId val="169831040"/>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69836928"/>
        <c:crosses val="autoZero"/>
        <c:auto val="1"/>
        <c:lblAlgn val="ctr"/>
        <c:lblOffset val="100"/>
        <c:noMultiLvlLbl val="0"/>
      </c:catAx>
      <c:valAx>
        <c:axId val="169836928"/>
        <c:scaling>
          <c:orientation val="minMax"/>
        </c:scaling>
        <c:delete val="0"/>
        <c:axPos val="b"/>
        <c:majorGridlines/>
        <c:numFmt formatCode="General" sourceLinked="1"/>
        <c:majorTickMark val="out"/>
        <c:minorTickMark val="none"/>
        <c:tickLblPos val="nextTo"/>
        <c:txPr>
          <a:bodyPr/>
          <a:lstStyle/>
          <a:p>
            <a:pPr>
              <a:defRPr sz="900">
                <a:latin typeface="Arial Narrow" panose="020B0606020202030204" pitchFamily="34" charset="0"/>
              </a:defRPr>
            </a:pPr>
            <a:endParaRPr lang="lt-LT"/>
          </a:p>
        </c:txPr>
        <c:crossAx val="169831040"/>
        <c:crosses val="autoZero"/>
        <c:crossBetween val="between"/>
      </c:valAx>
    </c:plotArea>
    <c:legend>
      <c:legendPos val="b"/>
      <c:overlay val="0"/>
      <c:txPr>
        <a:bodyPr/>
        <a:lstStyle/>
        <a:p>
          <a:pPr>
            <a:defRPr>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49350668008604226"/>
          <c:y val="4.7774158523344185E-2"/>
          <c:w val="0.47388676415448133"/>
          <c:h val="0.75979105217711085"/>
        </c:manualLayout>
      </c:layout>
      <c:bar3DChart>
        <c:barDir val="bar"/>
        <c:grouping val="clustered"/>
        <c:varyColors val="0"/>
        <c:ser>
          <c:idx val="0"/>
          <c:order val="0"/>
          <c:tx>
            <c:strRef>
              <c:f>Sheet1!$D$117</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Sheet1!$C$118:$C$122</c:f>
              <c:strCache>
                <c:ptCount val="5"/>
                <c:pt idx="0">
                  <c:v>Share of scientists and other researchers employed under employment contract (except studenst) who are working there after 6 months after implementation of projects (%)</c:v>
                </c:pt>
                <c:pt idx="1">
                  <c:v>Number of scientists and other researchers employed under employment contracts</c:v>
                </c:pt>
                <c:pt idx="2">
                  <c:v>Number of financed grants for research activities of students, scientists and other researchers</c:v>
                </c:pt>
                <c:pt idx="3">
                  <c:v>Number of scientists and other researchers (except students) who have been studying in line with non-formal education programmes</c:v>
                </c:pt>
                <c:pt idx="4">
                  <c:v>Number of students who have been studying in line with formal education programmes</c:v>
                </c:pt>
              </c:strCache>
            </c:strRef>
          </c:cat>
          <c:val>
            <c:numRef>
              <c:f>Sheet1!$D$118:$D$122</c:f>
              <c:numCache>
                <c:formatCode>General</c:formatCode>
                <c:ptCount val="5"/>
                <c:pt idx="0">
                  <c:v>29.9</c:v>
                </c:pt>
                <c:pt idx="1">
                  <c:v>2178</c:v>
                </c:pt>
                <c:pt idx="2">
                  <c:v>4499</c:v>
                </c:pt>
                <c:pt idx="3">
                  <c:v>8671</c:v>
                </c:pt>
                <c:pt idx="4">
                  <c:v>962</c:v>
                </c:pt>
              </c:numCache>
            </c:numRef>
          </c:val>
        </c:ser>
        <c:ser>
          <c:idx val="1"/>
          <c:order val="1"/>
          <c:tx>
            <c:strRef>
              <c:f>Sheet1!$E$117</c:f>
              <c:strCache>
                <c:ptCount val="1"/>
                <c:pt idx="0">
                  <c:v>Planned in the OP</c:v>
                </c:pt>
              </c:strCache>
            </c:strRef>
          </c:tx>
          <c:invertIfNegative val="0"/>
          <c:dLbls>
            <c:dLbl>
              <c:idx val="1"/>
              <c:layout>
                <c:manualLayout>
                  <c:x val="1.7474882264700722E-3"/>
                  <c:y val="-1.2326650412311901E-2"/>
                </c:manualLayout>
              </c:layout>
              <c:showLegendKey val="0"/>
              <c:showVal val="1"/>
              <c:showCatName val="0"/>
              <c:showSerName val="0"/>
              <c:showPercent val="0"/>
              <c:showBubbleSize val="0"/>
            </c:dLbl>
            <c:dLbl>
              <c:idx val="2"/>
              <c:layout>
                <c:manualLayout>
                  <c:x val="0"/>
                  <c:y val="-1.2326650412311901E-2"/>
                </c:manualLayout>
              </c:layout>
              <c:showLegendKey val="0"/>
              <c:showVal val="1"/>
              <c:showCatName val="0"/>
              <c:showSerName val="0"/>
              <c:showPercent val="0"/>
              <c:showBubbleSize val="0"/>
            </c:dLbl>
            <c:dLbl>
              <c:idx val="3"/>
              <c:layout>
                <c:manualLayout>
                  <c:x val="3.4949764529401441E-3"/>
                  <c:y val="-1.2326650412311901E-2"/>
                </c:manualLayout>
              </c:layout>
              <c:showLegendKey val="0"/>
              <c:showVal val="1"/>
              <c:showCatName val="0"/>
              <c:showSerName val="0"/>
              <c:showPercent val="0"/>
              <c:showBubbleSize val="0"/>
            </c:dLbl>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Sheet1!$C$118:$C$122</c:f>
              <c:strCache>
                <c:ptCount val="5"/>
                <c:pt idx="0">
                  <c:v>Share of scientists and other researchers employed under employment contract (except studenst) who are working there after 6 months after implementation of projects (%)</c:v>
                </c:pt>
                <c:pt idx="1">
                  <c:v>Number of scientists and other researchers employed under employment contracts</c:v>
                </c:pt>
                <c:pt idx="2">
                  <c:v>Number of financed grants for research activities of students, scientists and other researchers</c:v>
                </c:pt>
                <c:pt idx="3">
                  <c:v>Number of scientists and other researchers (except students) who have been studying in line with non-formal education programmes</c:v>
                </c:pt>
                <c:pt idx="4">
                  <c:v>Number of students who have been studying in line with formal education programmes</c:v>
                </c:pt>
              </c:strCache>
            </c:strRef>
          </c:cat>
          <c:val>
            <c:numRef>
              <c:f>Sheet1!$E$118:$E$122</c:f>
              <c:numCache>
                <c:formatCode>General</c:formatCode>
                <c:ptCount val="5"/>
                <c:pt idx="0">
                  <c:v>35</c:v>
                </c:pt>
                <c:pt idx="1">
                  <c:v>464</c:v>
                </c:pt>
                <c:pt idx="2">
                  <c:v>2200</c:v>
                </c:pt>
                <c:pt idx="3">
                  <c:v>6000</c:v>
                </c:pt>
                <c:pt idx="4">
                  <c:v>1000</c:v>
                </c:pt>
              </c:numCache>
            </c:numRef>
          </c:val>
        </c:ser>
        <c:dLbls>
          <c:showLegendKey val="0"/>
          <c:showVal val="0"/>
          <c:showCatName val="0"/>
          <c:showSerName val="0"/>
          <c:showPercent val="0"/>
          <c:showBubbleSize val="0"/>
        </c:dLbls>
        <c:gapWidth val="150"/>
        <c:shape val="box"/>
        <c:axId val="169884288"/>
        <c:axId val="169898368"/>
        <c:axId val="0"/>
      </c:bar3DChart>
      <c:catAx>
        <c:axId val="169884288"/>
        <c:scaling>
          <c:orientation val="minMax"/>
        </c:scaling>
        <c:delete val="0"/>
        <c:axPos val="l"/>
        <c:majorTickMark val="out"/>
        <c:minorTickMark val="none"/>
        <c:tickLblPos val="nextTo"/>
        <c:txPr>
          <a:bodyPr/>
          <a:lstStyle/>
          <a:p>
            <a:pPr>
              <a:defRPr sz="800">
                <a:latin typeface="Arial Narrow" panose="020B0606020202030204" pitchFamily="34" charset="0"/>
              </a:defRPr>
            </a:pPr>
            <a:endParaRPr lang="lt-LT"/>
          </a:p>
        </c:txPr>
        <c:crossAx val="169898368"/>
        <c:crosses val="autoZero"/>
        <c:auto val="1"/>
        <c:lblAlgn val="ctr"/>
        <c:lblOffset val="100"/>
        <c:noMultiLvlLbl val="0"/>
      </c:catAx>
      <c:valAx>
        <c:axId val="169898368"/>
        <c:scaling>
          <c:orientation val="minMax"/>
        </c:scaling>
        <c:delete val="0"/>
        <c:axPos val="b"/>
        <c:majorGridlines/>
        <c:numFmt formatCode="General" sourceLinked="1"/>
        <c:majorTickMark val="out"/>
        <c:minorTickMark val="none"/>
        <c:tickLblPos val="nextTo"/>
        <c:txPr>
          <a:bodyPr/>
          <a:lstStyle/>
          <a:p>
            <a:pPr>
              <a:defRPr sz="900">
                <a:latin typeface="Arial Narrow" panose="020B0606020202030204" pitchFamily="34" charset="0"/>
              </a:defRPr>
            </a:pPr>
            <a:endParaRPr lang="lt-LT"/>
          </a:p>
        </c:txPr>
        <c:crossAx val="169884288"/>
        <c:crosses val="autoZero"/>
        <c:crossBetween val="between"/>
      </c:valAx>
    </c:plotArea>
    <c:legend>
      <c:legendPos val="b"/>
      <c:overlay val="0"/>
      <c:txPr>
        <a:bodyPr/>
        <a:lstStyle/>
        <a:p>
          <a:pPr>
            <a:defRPr sz="900">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Sheet1!$D$136</c:f>
              <c:strCache>
                <c:ptCount val="1"/>
                <c:pt idx="0">
                  <c:v>Achieved</c:v>
                </c:pt>
              </c:strCache>
            </c:strRef>
          </c:tx>
          <c:invertIfNegative val="0"/>
          <c:dLbls>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Sheet1!$C$137:$C$140</c:f>
              <c:strCache>
                <c:ptCount val="4"/>
                <c:pt idx="0">
                  <c:v>Share of researchers in business (%)</c:v>
                </c:pt>
                <c:pt idx="1">
                  <c:v>Share of researchers per thousand employed (%) </c:v>
                </c:pt>
                <c:pt idx="2">
                  <c:v>Scientific publications per 1 million inhabitants (data of 2014)</c:v>
                </c:pt>
                <c:pt idx="3">
                  <c:v>Younger age of researchers (researchers having doctorate and in the age younger than 45, except business sector) (%)</c:v>
                </c:pt>
              </c:strCache>
            </c:strRef>
          </c:cat>
          <c:val>
            <c:numRef>
              <c:f>Sheet1!$D$137:$D$140</c:f>
              <c:numCache>
                <c:formatCode>General</c:formatCode>
                <c:ptCount val="4"/>
                <c:pt idx="0">
                  <c:v>15.8</c:v>
                </c:pt>
                <c:pt idx="1">
                  <c:v>12.9</c:v>
                </c:pt>
                <c:pt idx="2">
                  <c:v>1011</c:v>
                </c:pt>
                <c:pt idx="3">
                  <c:v>45.7</c:v>
                </c:pt>
              </c:numCache>
            </c:numRef>
          </c:val>
        </c:ser>
        <c:ser>
          <c:idx val="1"/>
          <c:order val="1"/>
          <c:tx>
            <c:strRef>
              <c:f>Sheet1!$E$136</c:f>
              <c:strCache>
                <c:ptCount val="1"/>
                <c:pt idx="0">
                  <c:v>Planned in the OP</c:v>
                </c:pt>
              </c:strCache>
            </c:strRef>
          </c:tx>
          <c:invertIfNegative val="0"/>
          <c:dLbls>
            <c:dLbl>
              <c:idx val="2"/>
              <c:layout>
                <c:manualLayout>
                  <c:x val="-2.0050125313283212E-3"/>
                  <c:y val="-1.8779342723004668E-2"/>
                </c:manualLayout>
              </c:layout>
              <c:showLegendKey val="0"/>
              <c:showVal val="1"/>
              <c:showCatName val="0"/>
              <c:showSerName val="0"/>
              <c:showPercent val="0"/>
              <c:showBubbleSize val="0"/>
            </c:dLbl>
            <c:txPr>
              <a:bodyPr/>
              <a:lstStyle/>
              <a:p>
                <a:pPr>
                  <a:defRPr sz="900">
                    <a:latin typeface="Arial Narrow" panose="020B0606020202030204" pitchFamily="34" charset="0"/>
                  </a:defRPr>
                </a:pPr>
                <a:endParaRPr lang="lt-LT"/>
              </a:p>
            </c:txPr>
            <c:showLegendKey val="0"/>
            <c:showVal val="1"/>
            <c:showCatName val="0"/>
            <c:showSerName val="0"/>
            <c:showPercent val="0"/>
            <c:showBubbleSize val="0"/>
            <c:showLeaderLines val="0"/>
          </c:dLbls>
          <c:cat>
            <c:strRef>
              <c:f>Sheet1!$C$137:$C$140</c:f>
              <c:strCache>
                <c:ptCount val="4"/>
                <c:pt idx="0">
                  <c:v>Share of researchers in business (%)</c:v>
                </c:pt>
                <c:pt idx="1">
                  <c:v>Share of researchers per thousand employed (%) </c:v>
                </c:pt>
                <c:pt idx="2">
                  <c:v>Scientific publications per 1 million inhabitants (data of 2014)</c:v>
                </c:pt>
                <c:pt idx="3">
                  <c:v>Younger age of researchers (researchers having doctorate and in the age younger than 45, except business sector) (%)</c:v>
                </c:pt>
              </c:strCache>
            </c:strRef>
          </c:cat>
          <c:val>
            <c:numRef>
              <c:f>Sheet1!$E$137:$E$140</c:f>
              <c:numCache>
                <c:formatCode>General</c:formatCode>
                <c:ptCount val="4"/>
                <c:pt idx="0">
                  <c:v>15</c:v>
                </c:pt>
                <c:pt idx="1">
                  <c:v>6.1</c:v>
                </c:pt>
                <c:pt idx="2">
                  <c:v>400</c:v>
                </c:pt>
                <c:pt idx="3">
                  <c:v>50</c:v>
                </c:pt>
              </c:numCache>
            </c:numRef>
          </c:val>
        </c:ser>
        <c:dLbls>
          <c:showLegendKey val="0"/>
          <c:showVal val="0"/>
          <c:showCatName val="0"/>
          <c:showSerName val="0"/>
          <c:showPercent val="0"/>
          <c:showBubbleSize val="0"/>
        </c:dLbls>
        <c:gapWidth val="150"/>
        <c:shape val="box"/>
        <c:axId val="169912192"/>
        <c:axId val="169913728"/>
        <c:axId val="0"/>
      </c:bar3DChart>
      <c:catAx>
        <c:axId val="169912192"/>
        <c:scaling>
          <c:orientation val="minMax"/>
        </c:scaling>
        <c:delete val="0"/>
        <c:axPos val="l"/>
        <c:majorTickMark val="out"/>
        <c:minorTickMark val="none"/>
        <c:tickLblPos val="nextTo"/>
        <c:txPr>
          <a:bodyPr/>
          <a:lstStyle/>
          <a:p>
            <a:pPr>
              <a:defRPr sz="900">
                <a:latin typeface="Arial Narrow" panose="020B0606020202030204" pitchFamily="34" charset="0"/>
              </a:defRPr>
            </a:pPr>
            <a:endParaRPr lang="lt-LT"/>
          </a:p>
        </c:txPr>
        <c:crossAx val="169913728"/>
        <c:crosses val="autoZero"/>
        <c:auto val="1"/>
        <c:lblAlgn val="ctr"/>
        <c:lblOffset val="100"/>
        <c:noMultiLvlLbl val="0"/>
      </c:catAx>
      <c:valAx>
        <c:axId val="169913728"/>
        <c:scaling>
          <c:orientation val="minMax"/>
        </c:scaling>
        <c:delete val="0"/>
        <c:axPos val="b"/>
        <c:majorGridlines/>
        <c:numFmt formatCode="General" sourceLinked="1"/>
        <c:majorTickMark val="out"/>
        <c:minorTickMark val="none"/>
        <c:tickLblPos val="nextTo"/>
        <c:txPr>
          <a:bodyPr/>
          <a:lstStyle/>
          <a:p>
            <a:pPr>
              <a:defRPr sz="900">
                <a:latin typeface="Arial Narrow" panose="020B0606020202030204" pitchFamily="34" charset="0"/>
              </a:defRPr>
            </a:pPr>
            <a:endParaRPr lang="lt-LT"/>
          </a:p>
        </c:txPr>
        <c:crossAx val="169912192"/>
        <c:crosses val="autoZero"/>
        <c:crossBetween val="between"/>
      </c:valAx>
    </c:plotArea>
    <c:legend>
      <c:legendPos val="b"/>
      <c:overlay val="0"/>
      <c:txPr>
        <a:bodyPr/>
        <a:lstStyle/>
        <a:p>
          <a:pPr>
            <a:defRPr sz="900">
              <a:latin typeface="Arial Narrow" panose="020B0606020202030204" pitchFamily="34" charset="0"/>
            </a:defRPr>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C1BDC-B04C-4D31-A214-FD1C507F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10</Pages>
  <Words>16253</Words>
  <Characters>9265</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indre</cp:lastModifiedBy>
  <cp:revision>103</cp:revision>
  <cp:lastPrinted>2017-02-01T23:00:00Z</cp:lastPrinted>
  <dcterms:created xsi:type="dcterms:W3CDTF">2016-12-01T12:58:00Z</dcterms:created>
  <dcterms:modified xsi:type="dcterms:W3CDTF">2017-02-02T09:16:00Z</dcterms:modified>
</cp:coreProperties>
</file>