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D0" w:rsidRPr="00461EC7" w:rsidRDefault="008A50D0" w:rsidP="00145012">
      <w:pPr>
        <w:pStyle w:val="Nenumeruojamosantrastes"/>
        <w:spacing w:before="0" w:after="0"/>
        <w:rPr>
          <w:lang w:val="en-GB"/>
        </w:rPr>
      </w:pPr>
      <w:bookmarkStart w:id="0" w:name="_Toc468106949"/>
      <w:bookmarkStart w:id="1" w:name="_Toc468114518"/>
      <w:r w:rsidRPr="00461EC7">
        <w:rPr>
          <w:lang w:val="en-GB"/>
        </w:rPr>
        <w:t xml:space="preserve">Summary of the evaluation of the </w:t>
      </w:r>
      <w:r w:rsidR="00AD7E4A" w:rsidRPr="00461EC7">
        <w:rPr>
          <w:lang w:val="en-GB"/>
        </w:rPr>
        <w:t xml:space="preserve">Achieved goals and objectives of the </w:t>
      </w:r>
      <w:r w:rsidRPr="00461EC7">
        <w:rPr>
          <w:lang w:val="en-GB"/>
        </w:rPr>
        <w:t>Operational programme for Promotion of cohesion for 2007</w:t>
      </w:r>
      <w:r w:rsidR="00AD7E4A" w:rsidRPr="00461EC7">
        <w:rPr>
          <w:lang w:val="en-GB"/>
        </w:rPr>
        <w:t>–</w:t>
      </w:r>
      <w:r w:rsidRPr="00461EC7">
        <w:rPr>
          <w:lang w:val="en-GB"/>
        </w:rPr>
        <w:t>2013</w:t>
      </w:r>
    </w:p>
    <w:p w:rsidR="00145012" w:rsidRPr="00461EC7" w:rsidRDefault="00145012" w:rsidP="00145012">
      <w:pPr>
        <w:pStyle w:val="Pagrindinispaprastastekstas"/>
        <w:rPr>
          <w:sz w:val="16"/>
          <w:szCs w:val="16"/>
          <w:lang w:val="en-GB" w:eastAsia="lt-LT"/>
        </w:rPr>
      </w:pPr>
    </w:p>
    <w:p w:rsidR="00F26A56" w:rsidRPr="00461EC7" w:rsidRDefault="008A50D0" w:rsidP="00787600">
      <w:pPr>
        <w:pStyle w:val="Nenumeruojamosantrastes"/>
        <w:rPr>
          <w:lang w:val="en-GB"/>
        </w:rPr>
      </w:pPr>
      <w:r w:rsidRPr="00461EC7">
        <w:rPr>
          <w:lang w:val="en-GB"/>
        </w:rPr>
        <w:t xml:space="preserve">Aims of </w:t>
      </w:r>
      <w:r w:rsidR="00FF142B" w:rsidRPr="00461EC7">
        <w:rPr>
          <w:lang w:val="en-GB"/>
        </w:rPr>
        <w:t xml:space="preserve">THE </w:t>
      </w:r>
      <w:r w:rsidRPr="00461EC7">
        <w:rPr>
          <w:lang w:val="en-GB"/>
        </w:rPr>
        <w:t xml:space="preserve">OPPC and funds </w:t>
      </w:r>
      <w:r w:rsidR="00B10F98" w:rsidRPr="00461EC7">
        <w:rPr>
          <w:lang w:val="en-GB"/>
        </w:rPr>
        <w:t xml:space="preserve">allocated </w:t>
      </w:r>
      <w:r w:rsidRPr="00461EC7">
        <w:rPr>
          <w:lang w:val="en-GB"/>
        </w:rPr>
        <w:t>to achieve them</w:t>
      </w:r>
      <w:bookmarkEnd w:id="0"/>
      <w:bookmarkEnd w:id="1"/>
    </w:p>
    <w:p w:rsidR="008A50D0" w:rsidRPr="00461EC7" w:rsidRDefault="00B643E0" w:rsidP="00690AC7">
      <w:pPr>
        <w:pStyle w:val="Pagrindinispaprastastekstas"/>
        <w:rPr>
          <w:lang w:val="en-GB"/>
        </w:rPr>
      </w:pPr>
      <w:r w:rsidRPr="00461EC7">
        <w:rPr>
          <w:lang w:val="en-GB"/>
        </w:rPr>
        <w:t xml:space="preserve">The </w:t>
      </w:r>
      <w:r w:rsidR="008A50D0" w:rsidRPr="00461EC7">
        <w:rPr>
          <w:lang w:val="en-GB"/>
        </w:rPr>
        <w:t>Operational Programme for Promotion of Cohesion for 2007</w:t>
      </w:r>
      <w:r w:rsidR="00AD7E4A" w:rsidRPr="00461EC7">
        <w:rPr>
          <w:lang w:val="en-GB"/>
        </w:rPr>
        <w:t>–</w:t>
      </w:r>
      <w:r w:rsidR="008A50D0" w:rsidRPr="00461EC7">
        <w:rPr>
          <w:lang w:val="en-GB"/>
        </w:rPr>
        <w:t>2013 (</w:t>
      </w:r>
      <w:r w:rsidR="00AD7E4A" w:rsidRPr="00461EC7">
        <w:rPr>
          <w:lang w:val="en-GB"/>
        </w:rPr>
        <w:t>hereinafter </w:t>
      </w:r>
      <w:r w:rsidR="008A50D0" w:rsidRPr="00461EC7">
        <w:rPr>
          <w:lang w:val="en-GB"/>
        </w:rPr>
        <w:t xml:space="preserve">– </w:t>
      </w:r>
      <w:r w:rsidR="00FF142B" w:rsidRPr="00461EC7">
        <w:rPr>
          <w:lang w:val="en-GB"/>
        </w:rPr>
        <w:t>the “</w:t>
      </w:r>
      <w:r w:rsidR="008A50D0" w:rsidRPr="00461EC7">
        <w:rPr>
          <w:lang w:val="en-GB"/>
        </w:rPr>
        <w:t>OPPC</w:t>
      </w:r>
      <w:r w:rsidR="00FF142B" w:rsidRPr="00461EC7">
        <w:rPr>
          <w:lang w:val="en-GB"/>
        </w:rPr>
        <w:t>”</w:t>
      </w:r>
      <w:r w:rsidR="008A50D0" w:rsidRPr="00461EC7">
        <w:rPr>
          <w:lang w:val="en-GB"/>
        </w:rPr>
        <w:t>)</w:t>
      </w:r>
      <w:r w:rsidR="000D7A70" w:rsidRPr="00461EC7">
        <w:rPr>
          <w:lang w:val="en-GB"/>
        </w:rPr>
        <w:t xml:space="preserve"> implemented priority </w:t>
      </w:r>
      <w:r w:rsidR="00FF142B" w:rsidRPr="00461EC7">
        <w:rPr>
          <w:lang w:val="en-GB"/>
        </w:rPr>
        <w:t>area</w:t>
      </w:r>
      <w:r w:rsidR="00AD7E4A" w:rsidRPr="00461EC7">
        <w:rPr>
          <w:lang w:val="en-GB"/>
        </w:rPr>
        <w:t> 3 “</w:t>
      </w:r>
      <w:r w:rsidR="00FF142B" w:rsidRPr="00461EC7">
        <w:rPr>
          <w:lang w:val="en-GB"/>
        </w:rPr>
        <w:t xml:space="preserve">Quality of </w:t>
      </w:r>
      <w:r w:rsidR="00AD7E4A" w:rsidRPr="00461EC7">
        <w:rPr>
          <w:lang w:val="en-GB"/>
        </w:rPr>
        <w:t xml:space="preserve">Life and Cohesion” </w:t>
      </w:r>
      <w:r w:rsidR="000D7A70" w:rsidRPr="00461EC7">
        <w:rPr>
          <w:lang w:val="en-GB"/>
        </w:rPr>
        <w:t>of the Lithuanian Strategy for the Use of the European Union Structural Assistance 2007–2013</w:t>
      </w:r>
      <w:r w:rsidR="00AD7E4A" w:rsidRPr="00461EC7">
        <w:rPr>
          <w:lang w:val="en-GB"/>
        </w:rPr>
        <w:t xml:space="preserve">. It had </w:t>
      </w:r>
      <w:r w:rsidRPr="00461EC7">
        <w:rPr>
          <w:lang w:val="en-GB"/>
        </w:rPr>
        <w:t>three objectives</w:t>
      </w:r>
      <w:r w:rsidR="00AD7E4A" w:rsidRPr="00461EC7">
        <w:rPr>
          <w:lang w:val="en-GB"/>
        </w:rPr>
        <w:t xml:space="preserve"> which were in line with thematic objectives</w:t>
      </w:r>
      <w:r w:rsidR="00FF142B" w:rsidRPr="00461EC7">
        <w:rPr>
          <w:lang w:val="en-GB"/>
        </w:rPr>
        <w:t xml:space="preserve"> of the OPPC</w:t>
      </w:r>
      <w:r w:rsidRPr="00461EC7">
        <w:rPr>
          <w:lang w:val="en-GB"/>
        </w:rPr>
        <w:t>:</w:t>
      </w:r>
    </w:p>
    <w:p w:rsidR="00B643E0" w:rsidRPr="00461EC7" w:rsidRDefault="00B643E0" w:rsidP="00690AC7">
      <w:pPr>
        <w:pStyle w:val="Pagrindinispaprastastekstas"/>
        <w:rPr>
          <w:lang w:val="en-GB"/>
        </w:rPr>
      </w:pPr>
    </w:p>
    <w:p w:rsidR="00B643E0" w:rsidRPr="00461EC7" w:rsidRDefault="00B643E0" w:rsidP="00B643E0">
      <w:pPr>
        <w:pStyle w:val="Pagrindinispaprastastekstas"/>
        <w:numPr>
          <w:ilvl w:val="0"/>
          <w:numId w:val="48"/>
        </w:numPr>
        <w:rPr>
          <w:lang w:val="en-GB"/>
        </w:rPr>
      </w:pPr>
      <w:r w:rsidRPr="00461EC7">
        <w:rPr>
          <w:lang w:val="en-GB"/>
        </w:rPr>
        <w:t xml:space="preserve">to make </w:t>
      </w:r>
      <w:r w:rsidR="00AD7E4A" w:rsidRPr="00461EC7">
        <w:rPr>
          <w:lang w:val="en-GB"/>
        </w:rPr>
        <w:t xml:space="preserve">a </w:t>
      </w:r>
      <w:r w:rsidRPr="00461EC7">
        <w:rPr>
          <w:lang w:val="en-GB"/>
        </w:rPr>
        <w:t>better use of the local potential;</w:t>
      </w:r>
    </w:p>
    <w:p w:rsidR="00B643E0" w:rsidRPr="00461EC7" w:rsidRDefault="00B643E0" w:rsidP="00B643E0">
      <w:pPr>
        <w:pStyle w:val="Pagrindinispaprastastekstas"/>
        <w:numPr>
          <w:ilvl w:val="0"/>
          <w:numId w:val="48"/>
        </w:numPr>
        <w:rPr>
          <w:lang w:val="en-GB"/>
        </w:rPr>
      </w:pPr>
      <w:r w:rsidRPr="00461EC7">
        <w:rPr>
          <w:lang w:val="en-GB"/>
        </w:rPr>
        <w:t xml:space="preserve">to provide </w:t>
      </w:r>
      <w:r w:rsidR="00AD7E4A" w:rsidRPr="00461EC7">
        <w:rPr>
          <w:lang w:val="en-GB"/>
        </w:rPr>
        <w:t xml:space="preserve">high quality </w:t>
      </w:r>
      <w:r w:rsidRPr="00461EC7">
        <w:rPr>
          <w:lang w:val="en-GB"/>
        </w:rPr>
        <w:t>and accessible public services;</w:t>
      </w:r>
    </w:p>
    <w:p w:rsidR="00B643E0" w:rsidRPr="00461EC7" w:rsidRDefault="00B643E0" w:rsidP="00B643E0">
      <w:pPr>
        <w:pStyle w:val="Pagrindinispaprastastekstas"/>
        <w:numPr>
          <w:ilvl w:val="0"/>
          <w:numId w:val="48"/>
        </w:numPr>
        <w:rPr>
          <w:lang w:val="en-GB"/>
        </w:rPr>
      </w:pPr>
      <w:proofErr w:type="gramStart"/>
      <w:r w:rsidRPr="00461EC7">
        <w:rPr>
          <w:lang w:val="en-GB"/>
        </w:rPr>
        <w:t>to</w:t>
      </w:r>
      <w:proofErr w:type="gramEnd"/>
      <w:r w:rsidRPr="00461EC7">
        <w:rPr>
          <w:lang w:val="en-GB"/>
        </w:rPr>
        <w:t xml:space="preserve"> seek for a better quality of the environment.</w:t>
      </w:r>
    </w:p>
    <w:p w:rsidR="008A50D0" w:rsidRPr="00461EC7" w:rsidRDefault="008A50D0" w:rsidP="00690AC7">
      <w:pPr>
        <w:pStyle w:val="Pagrindinispaprastastekstas"/>
        <w:rPr>
          <w:lang w:val="en-GB"/>
        </w:rPr>
      </w:pPr>
    </w:p>
    <w:p w:rsidR="00B643E0" w:rsidRPr="00461EC7" w:rsidRDefault="00B774D9" w:rsidP="00690AC7">
      <w:pPr>
        <w:pStyle w:val="Pagrindinispaprastastekstas"/>
        <w:rPr>
          <w:lang w:val="en-GB"/>
        </w:rPr>
      </w:pPr>
      <w:r w:rsidRPr="00461EC7">
        <w:rPr>
          <w:noProof/>
          <w:lang w:eastAsia="lt-LT"/>
        </w:rPr>
        <w:drawing>
          <wp:anchor distT="0" distB="0" distL="114300" distR="114300" simplePos="0" relativeHeight="251714560" behindDoc="1" locked="0" layoutInCell="1" allowOverlap="1" wp14:anchorId="769ABFD2" wp14:editId="29BDE562">
            <wp:simplePos x="0" y="0"/>
            <wp:positionH relativeFrom="column">
              <wp:posOffset>1613535</wp:posOffset>
            </wp:positionH>
            <wp:positionV relativeFrom="paragraph">
              <wp:posOffset>748665</wp:posOffset>
            </wp:positionV>
            <wp:extent cx="4505325" cy="2152650"/>
            <wp:effectExtent l="19050" t="0" r="9525" b="0"/>
            <wp:wrapTight wrapText="bothSides">
              <wp:wrapPolygon edited="0">
                <wp:start x="-91" y="0"/>
                <wp:lineTo x="-91" y="21600"/>
                <wp:lineTo x="21646" y="21600"/>
                <wp:lineTo x="21646" y="0"/>
                <wp:lineTo x="-91" y="0"/>
              </wp:wrapPolygon>
            </wp:wrapTight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AD64FC" w:rsidRPr="00461EC7">
        <w:rPr>
          <w:lang w:val="en-GB"/>
        </w:rPr>
        <w:t>EUR </w:t>
      </w:r>
      <w:r w:rsidR="0012584D" w:rsidRPr="00461EC7">
        <w:rPr>
          <w:lang w:val="en-GB"/>
        </w:rPr>
        <w:t>3</w:t>
      </w:r>
      <w:r w:rsidR="00AD7E4A" w:rsidRPr="00461EC7">
        <w:rPr>
          <w:lang w:val="en-GB"/>
        </w:rPr>
        <w:t>.</w:t>
      </w:r>
      <w:r w:rsidR="0012584D" w:rsidRPr="00461EC7">
        <w:rPr>
          <w:lang w:val="en-GB"/>
        </w:rPr>
        <w:t>372</w:t>
      </w:r>
      <w:r w:rsidR="00AD7E4A" w:rsidRPr="00461EC7">
        <w:rPr>
          <w:lang w:val="en-GB"/>
        </w:rPr>
        <w:t> b</w:t>
      </w:r>
      <w:r w:rsidR="0012584D" w:rsidRPr="00461EC7">
        <w:rPr>
          <w:lang w:val="en-GB"/>
        </w:rPr>
        <w:t xml:space="preserve">illion </w:t>
      </w:r>
      <w:proofErr w:type="gramStart"/>
      <w:r w:rsidR="0012584D" w:rsidRPr="00461EC7">
        <w:rPr>
          <w:lang w:val="en-GB"/>
        </w:rPr>
        <w:t>were</w:t>
      </w:r>
      <w:proofErr w:type="gramEnd"/>
      <w:r w:rsidR="0012584D" w:rsidRPr="00461EC7">
        <w:rPr>
          <w:lang w:val="en-GB"/>
        </w:rPr>
        <w:t xml:space="preserve"> invested</w:t>
      </w:r>
      <w:r w:rsidR="00AD7E4A" w:rsidRPr="00461EC7">
        <w:rPr>
          <w:lang w:val="en-GB"/>
        </w:rPr>
        <w:t xml:space="preserve"> into the implementation of </w:t>
      </w:r>
      <w:r w:rsidR="00FF142B" w:rsidRPr="00461EC7">
        <w:rPr>
          <w:lang w:val="en-GB"/>
        </w:rPr>
        <w:t>the OP</w:t>
      </w:r>
      <w:r w:rsidR="00AD7E4A" w:rsidRPr="00461EC7">
        <w:rPr>
          <w:lang w:val="en-GB"/>
        </w:rPr>
        <w:t>PC</w:t>
      </w:r>
      <w:r w:rsidR="0012584D" w:rsidRPr="00461EC7">
        <w:rPr>
          <w:lang w:val="en-GB"/>
        </w:rPr>
        <w:t xml:space="preserve">, of which </w:t>
      </w:r>
      <w:r w:rsidR="00AD64FC" w:rsidRPr="00461EC7">
        <w:rPr>
          <w:lang w:val="en-GB"/>
        </w:rPr>
        <w:t>EUR </w:t>
      </w:r>
      <w:r w:rsidR="0012584D" w:rsidRPr="00461EC7">
        <w:rPr>
          <w:lang w:val="en-GB"/>
        </w:rPr>
        <w:t>3</w:t>
      </w:r>
      <w:r w:rsidR="00415AB7" w:rsidRPr="00461EC7">
        <w:rPr>
          <w:lang w:val="en-GB"/>
        </w:rPr>
        <w:t>.</w:t>
      </w:r>
      <w:r w:rsidR="0012584D" w:rsidRPr="00461EC7">
        <w:rPr>
          <w:lang w:val="en-GB"/>
        </w:rPr>
        <w:t>1057</w:t>
      </w:r>
      <w:r w:rsidR="00AD64FC" w:rsidRPr="00461EC7">
        <w:rPr>
          <w:lang w:val="en-GB"/>
        </w:rPr>
        <w:t> </w:t>
      </w:r>
      <w:r w:rsidR="00415AB7" w:rsidRPr="00461EC7">
        <w:rPr>
          <w:lang w:val="en-GB"/>
        </w:rPr>
        <w:t>b</w:t>
      </w:r>
      <w:r w:rsidR="0012584D" w:rsidRPr="00461EC7">
        <w:rPr>
          <w:lang w:val="en-GB"/>
        </w:rPr>
        <w:t xml:space="preserve">illion </w:t>
      </w:r>
      <w:r w:rsidRPr="00461EC7">
        <w:rPr>
          <w:lang w:val="en-GB"/>
        </w:rPr>
        <w:t>(</w:t>
      </w:r>
      <w:r w:rsidR="0012584D" w:rsidRPr="00461EC7">
        <w:rPr>
          <w:lang w:val="en-GB"/>
        </w:rPr>
        <w:t>or 92%</w:t>
      </w:r>
      <w:r w:rsidRPr="00461EC7">
        <w:rPr>
          <w:lang w:val="en-GB"/>
        </w:rPr>
        <w:t>)</w:t>
      </w:r>
      <w:r w:rsidR="0012584D" w:rsidRPr="00461EC7">
        <w:rPr>
          <w:lang w:val="en-GB"/>
        </w:rPr>
        <w:t xml:space="preserve"> were public fun</w:t>
      </w:r>
      <w:r w:rsidR="00421B32" w:rsidRPr="00461EC7">
        <w:rPr>
          <w:lang w:val="en-GB"/>
        </w:rPr>
        <w:t xml:space="preserve">ds. </w:t>
      </w:r>
      <w:r w:rsidR="00AD64FC" w:rsidRPr="00461EC7">
        <w:rPr>
          <w:lang w:val="en-GB"/>
        </w:rPr>
        <w:t>EUR </w:t>
      </w:r>
      <w:r w:rsidR="0012584D" w:rsidRPr="00461EC7">
        <w:rPr>
          <w:lang w:val="en-GB"/>
        </w:rPr>
        <w:t>3</w:t>
      </w:r>
      <w:r w:rsidR="00415AB7" w:rsidRPr="00461EC7">
        <w:rPr>
          <w:lang w:val="en-GB"/>
        </w:rPr>
        <w:t>.</w:t>
      </w:r>
      <w:r w:rsidR="0012584D" w:rsidRPr="00461EC7">
        <w:rPr>
          <w:lang w:val="en-GB"/>
        </w:rPr>
        <w:t>3368</w:t>
      </w:r>
      <w:r w:rsidR="00415AB7" w:rsidRPr="00461EC7">
        <w:rPr>
          <w:lang w:val="en-GB"/>
        </w:rPr>
        <w:t> b</w:t>
      </w:r>
      <w:r w:rsidR="0012584D" w:rsidRPr="00461EC7">
        <w:rPr>
          <w:lang w:val="en-GB"/>
        </w:rPr>
        <w:t xml:space="preserve">illion were </w:t>
      </w:r>
      <w:r w:rsidR="00421B32" w:rsidRPr="00461EC7">
        <w:rPr>
          <w:lang w:val="en-GB"/>
        </w:rPr>
        <w:t xml:space="preserve">allocated to thematic priorities </w:t>
      </w:r>
      <w:r w:rsidR="00FF142B" w:rsidRPr="00461EC7">
        <w:rPr>
          <w:lang w:val="en-GB"/>
        </w:rPr>
        <w:t xml:space="preserve">of the OPPC </w:t>
      </w:r>
      <w:r w:rsidR="00AD7E4A" w:rsidRPr="00461EC7">
        <w:rPr>
          <w:lang w:val="en-GB"/>
        </w:rPr>
        <w:t>and</w:t>
      </w:r>
      <w:r w:rsidR="00421B32" w:rsidRPr="00461EC7">
        <w:rPr>
          <w:lang w:val="en-GB"/>
        </w:rPr>
        <w:t xml:space="preserve"> </w:t>
      </w:r>
      <w:r w:rsidR="00AD64FC" w:rsidRPr="00461EC7">
        <w:rPr>
          <w:lang w:val="en-GB"/>
        </w:rPr>
        <w:t>EUR </w:t>
      </w:r>
      <w:r w:rsidR="00421B32" w:rsidRPr="00461EC7">
        <w:rPr>
          <w:lang w:val="en-GB"/>
        </w:rPr>
        <w:t>35</w:t>
      </w:r>
      <w:r w:rsidR="00AD7E4A" w:rsidRPr="00461EC7">
        <w:rPr>
          <w:lang w:val="en-GB"/>
        </w:rPr>
        <w:t>.</w:t>
      </w:r>
      <w:r w:rsidR="00421B32" w:rsidRPr="00461EC7">
        <w:rPr>
          <w:lang w:val="en-GB"/>
        </w:rPr>
        <w:t>2</w:t>
      </w:r>
      <w:r w:rsidR="00AD64FC" w:rsidRPr="00461EC7">
        <w:rPr>
          <w:lang w:val="en-GB"/>
        </w:rPr>
        <w:t> </w:t>
      </w:r>
      <w:r w:rsidR="00421B32" w:rsidRPr="00461EC7">
        <w:rPr>
          <w:lang w:val="en-GB"/>
        </w:rPr>
        <w:t xml:space="preserve">million </w:t>
      </w:r>
      <w:r w:rsidR="00AD7E4A" w:rsidRPr="00461EC7">
        <w:rPr>
          <w:lang w:val="en-GB"/>
        </w:rPr>
        <w:t>to</w:t>
      </w:r>
      <w:r w:rsidR="00421B32" w:rsidRPr="00461EC7">
        <w:rPr>
          <w:lang w:val="en-GB"/>
        </w:rPr>
        <w:t xml:space="preserve"> technical assistance </w:t>
      </w:r>
      <w:r w:rsidR="0012584D" w:rsidRPr="00461EC7">
        <w:rPr>
          <w:lang w:val="en-GB"/>
        </w:rPr>
        <w:t>(</w:t>
      </w:r>
      <w:r w:rsidR="00AD7E4A" w:rsidRPr="00461EC7">
        <w:rPr>
          <w:lang w:val="en-GB"/>
        </w:rPr>
        <w:t>OPPC management</w:t>
      </w:r>
      <w:r w:rsidR="0012584D" w:rsidRPr="00461EC7">
        <w:rPr>
          <w:lang w:val="en-GB"/>
        </w:rPr>
        <w:t>,</w:t>
      </w:r>
      <w:r w:rsidR="00AD7E4A" w:rsidRPr="00461EC7">
        <w:rPr>
          <w:lang w:val="en-GB"/>
        </w:rPr>
        <w:t xml:space="preserve"> evaluation,</w:t>
      </w:r>
      <w:r w:rsidR="0012584D" w:rsidRPr="00461EC7">
        <w:rPr>
          <w:lang w:val="en-GB"/>
        </w:rPr>
        <w:t xml:space="preserve"> publicity and information). In total 2</w:t>
      </w:r>
      <w:r w:rsidR="00AD64FC" w:rsidRPr="00461EC7">
        <w:rPr>
          <w:lang w:val="en-GB"/>
        </w:rPr>
        <w:t>,</w:t>
      </w:r>
      <w:r w:rsidR="0012584D" w:rsidRPr="00461EC7">
        <w:rPr>
          <w:lang w:val="en-GB"/>
        </w:rPr>
        <w:t xml:space="preserve">700 projects </w:t>
      </w:r>
      <w:r w:rsidR="00AD7E4A" w:rsidRPr="00461EC7">
        <w:rPr>
          <w:lang w:val="en-GB"/>
        </w:rPr>
        <w:t xml:space="preserve">were implemented </w:t>
      </w:r>
      <w:r w:rsidR="0012584D" w:rsidRPr="00461EC7">
        <w:rPr>
          <w:lang w:val="en-GB"/>
        </w:rPr>
        <w:t xml:space="preserve">under </w:t>
      </w:r>
      <w:r w:rsidRPr="00461EC7">
        <w:rPr>
          <w:lang w:val="en-GB"/>
        </w:rPr>
        <w:t xml:space="preserve">the </w:t>
      </w:r>
      <w:r w:rsidR="0012584D" w:rsidRPr="00461EC7">
        <w:rPr>
          <w:lang w:val="en-GB"/>
        </w:rPr>
        <w:t>OPPC.</w:t>
      </w:r>
    </w:p>
    <w:p w:rsidR="0012584D" w:rsidRPr="00461EC7" w:rsidRDefault="0012584D" w:rsidP="00690AC7">
      <w:pPr>
        <w:pStyle w:val="Pagrindinispaprastastekstas"/>
        <w:rPr>
          <w:lang w:val="en-GB"/>
        </w:rPr>
      </w:pPr>
    </w:p>
    <w:p w:rsidR="001637CA" w:rsidRPr="00461EC7" w:rsidRDefault="009B6E55" w:rsidP="00690AC7">
      <w:pPr>
        <w:pStyle w:val="Pagrindinispaprastastekstas"/>
        <w:rPr>
          <w:lang w:val="en-GB" w:eastAsia="lt-LT"/>
        </w:rPr>
      </w:pPr>
      <w:r w:rsidRPr="00461EC7">
        <w:rPr>
          <w:lang w:val="en-GB" w:eastAsia="lt-LT"/>
        </w:rPr>
        <w:t xml:space="preserve">The </w:t>
      </w:r>
      <w:r w:rsidR="00FF142B" w:rsidRPr="00461EC7">
        <w:rPr>
          <w:lang w:val="en-GB" w:eastAsia="lt-LT"/>
        </w:rPr>
        <w:t xml:space="preserve">largest </w:t>
      </w:r>
      <w:r w:rsidRPr="00461EC7">
        <w:rPr>
          <w:lang w:val="en-GB" w:eastAsia="lt-LT"/>
        </w:rPr>
        <w:t xml:space="preserve">share of </w:t>
      </w:r>
      <w:r w:rsidR="00FF142B" w:rsidRPr="00461EC7">
        <w:rPr>
          <w:lang w:val="en-GB" w:eastAsia="lt-LT"/>
        </w:rPr>
        <w:t xml:space="preserve">the </w:t>
      </w:r>
      <w:r w:rsidRPr="00461EC7">
        <w:rPr>
          <w:lang w:val="en-GB" w:eastAsia="lt-LT"/>
        </w:rPr>
        <w:t xml:space="preserve">OPPC investments (44%) </w:t>
      </w:r>
      <w:r w:rsidR="00AD64FC" w:rsidRPr="00461EC7">
        <w:rPr>
          <w:lang w:val="en-GB" w:eastAsia="lt-LT"/>
        </w:rPr>
        <w:t xml:space="preserve">was </w:t>
      </w:r>
      <w:r w:rsidRPr="00461EC7">
        <w:rPr>
          <w:lang w:val="en-GB" w:eastAsia="lt-LT"/>
        </w:rPr>
        <w:t xml:space="preserve">allocated to </w:t>
      </w:r>
      <w:r w:rsidR="00415AB7" w:rsidRPr="00461EC7">
        <w:rPr>
          <w:lang w:val="en-GB" w:eastAsia="lt-LT"/>
        </w:rPr>
        <w:t xml:space="preserve">the </w:t>
      </w:r>
      <w:r w:rsidRPr="00461EC7">
        <w:rPr>
          <w:lang w:val="en-GB" w:eastAsia="lt-LT"/>
        </w:rPr>
        <w:t xml:space="preserve">improvement of the quality of the environment (creation of </w:t>
      </w:r>
      <w:r w:rsidR="00FF142B" w:rsidRPr="00461EC7">
        <w:rPr>
          <w:lang w:val="en-GB" w:eastAsia="lt-LT"/>
        </w:rPr>
        <w:t xml:space="preserve">a </w:t>
      </w:r>
      <w:r w:rsidRPr="00461EC7">
        <w:rPr>
          <w:lang w:val="en-GB" w:eastAsia="lt-LT"/>
        </w:rPr>
        <w:t xml:space="preserve">waste management system, </w:t>
      </w:r>
      <w:r w:rsidRPr="00461EC7">
        <w:rPr>
          <w:color w:val="000000"/>
          <w:lang w:val="en-GB"/>
        </w:rPr>
        <w:t>development of water supply and waste management infrastructure, reduction of air pollution by investing in</w:t>
      </w:r>
      <w:r w:rsidR="00FF142B" w:rsidRPr="00461EC7">
        <w:rPr>
          <w:color w:val="000000"/>
          <w:lang w:val="en-GB"/>
        </w:rPr>
        <w:t>to</w:t>
      </w:r>
      <w:r w:rsidRPr="00461EC7">
        <w:rPr>
          <w:color w:val="000000"/>
          <w:lang w:val="en-GB"/>
        </w:rPr>
        <w:t xml:space="preserve"> </w:t>
      </w:r>
      <w:r w:rsidR="00421B32" w:rsidRPr="00461EC7">
        <w:rPr>
          <w:color w:val="000000"/>
          <w:lang w:val="en-GB"/>
        </w:rPr>
        <w:t xml:space="preserve">transport systems of the </w:t>
      </w:r>
      <w:r w:rsidR="00415AB7" w:rsidRPr="00461EC7">
        <w:rPr>
          <w:color w:val="000000"/>
          <w:lang w:val="en-GB"/>
        </w:rPr>
        <w:t xml:space="preserve">largest </w:t>
      </w:r>
      <w:r w:rsidRPr="00461EC7">
        <w:rPr>
          <w:color w:val="000000"/>
          <w:lang w:val="en-GB"/>
        </w:rPr>
        <w:t xml:space="preserve">cities, increasing the energy efficiency of public buildings and </w:t>
      </w:r>
      <w:r w:rsidR="00415AB7" w:rsidRPr="00461EC7">
        <w:rPr>
          <w:color w:val="000000"/>
          <w:lang w:val="en-GB"/>
        </w:rPr>
        <w:t xml:space="preserve">a </w:t>
      </w:r>
      <w:bookmarkStart w:id="2" w:name="OLE_LINK3"/>
      <w:bookmarkStart w:id="3" w:name="OLE_LINK4"/>
      <w:r w:rsidRPr="00461EC7">
        <w:rPr>
          <w:color w:val="000000"/>
          <w:lang w:val="en-GB"/>
        </w:rPr>
        <w:t>wider use of renewable energy</w:t>
      </w:r>
      <w:bookmarkEnd w:id="2"/>
      <w:bookmarkEnd w:id="3"/>
      <w:r w:rsidRPr="00461EC7">
        <w:rPr>
          <w:color w:val="000000"/>
          <w:lang w:val="en-GB"/>
        </w:rPr>
        <w:t>)</w:t>
      </w:r>
      <w:r w:rsidR="00BE66D0" w:rsidRPr="00461EC7">
        <w:rPr>
          <w:color w:val="000000"/>
          <w:lang w:val="en-GB"/>
        </w:rPr>
        <w:t xml:space="preserve">. </w:t>
      </w:r>
      <w:r w:rsidR="00421B32" w:rsidRPr="00461EC7">
        <w:rPr>
          <w:color w:val="000000"/>
          <w:lang w:val="en-GB"/>
        </w:rPr>
        <w:t xml:space="preserve">33% of </w:t>
      </w:r>
      <w:r w:rsidR="00415AB7" w:rsidRPr="00461EC7">
        <w:rPr>
          <w:color w:val="000000"/>
          <w:lang w:val="en-GB"/>
        </w:rPr>
        <w:t xml:space="preserve">the </w:t>
      </w:r>
      <w:r w:rsidR="00421B32" w:rsidRPr="00461EC7">
        <w:rPr>
          <w:color w:val="000000"/>
          <w:lang w:val="en-GB"/>
        </w:rPr>
        <w:t>OPPC investments w</w:t>
      </w:r>
      <w:r w:rsidR="00415AB7" w:rsidRPr="00461EC7">
        <w:rPr>
          <w:color w:val="000000"/>
          <w:lang w:val="en-GB"/>
        </w:rPr>
        <w:t>as</w:t>
      </w:r>
      <w:r w:rsidR="00421B32" w:rsidRPr="00461EC7">
        <w:rPr>
          <w:color w:val="000000"/>
          <w:lang w:val="en-GB"/>
        </w:rPr>
        <w:t xml:space="preserve"> </w:t>
      </w:r>
      <w:r w:rsidR="00FF142B" w:rsidRPr="00461EC7">
        <w:rPr>
          <w:color w:val="000000"/>
          <w:lang w:val="en-GB"/>
        </w:rPr>
        <w:t xml:space="preserve">channelled </w:t>
      </w:r>
      <w:r w:rsidR="00415AB7" w:rsidRPr="00461EC7">
        <w:rPr>
          <w:color w:val="000000"/>
          <w:lang w:val="en-GB"/>
        </w:rPr>
        <w:t>to</w:t>
      </w:r>
      <w:r w:rsidR="00BE66D0" w:rsidRPr="00461EC7">
        <w:rPr>
          <w:color w:val="000000"/>
          <w:lang w:val="en-GB"/>
        </w:rPr>
        <w:t xml:space="preserve"> local and urban development, </w:t>
      </w:r>
      <w:r w:rsidR="00415AB7" w:rsidRPr="00461EC7">
        <w:rPr>
          <w:color w:val="000000"/>
          <w:lang w:val="en-GB"/>
        </w:rPr>
        <w:t xml:space="preserve">the </w:t>
      </w:r>
      <w:r w:rsidR="00FF142B" w:rsidRPr="00461EC7">
        <w:rPr>
          <w:color w:val="000000"/>
          <w:lang w:val="en-GB"/>
        </w:rPr>
        <w:t xml:space="preserve">conservation </w:t>
      </w:r>
      <w:r w:rsidR="004551F5" w:rsidRPr="00461EC7">
        <w:rPr>
          <w:color w:val="000000"/>
          <w:lang w:val="en-GB"/>
        </w:rPr>
        <w:t xml:space="preserve">and </w:t>
      </w:r>
      <w:r w:rsidR="00BE66D0" w:rsidRPr="00461EC7">
        <w:rPr>
          <w:color w:val="000000"/>
          <w:lang w:val="en-GB"/>
        </w:rPr>
        <w:t>adaptation of cultural heritage and natural resources to tourism and public needs</w:t>
      </w:r>
      <w:r w:rsidR="004551F5" w:rsidRPr="00461EC7">
        <w:rPr>
          <w:color w:val="000000"/>
          <w:lang w:val="en-GB"/>
        </w:rPr>
        <w:t xml:space="preserve"> and to the</w:t>
      </w:r>
      <w:r w:rsidR="00BE66D0" w:rsidRPr="00461EC7">
        <w:rPr>
          <w:color w:val="000000"/>
          <w:lang w:val="en-GB"/>
        </w:rPr>
        <w:t xml:space="preserve"> improvement of</w:t>
      </w:r>
      <w:r w:rsidR="00415AB7" w:rsidRPr="00461EC7">
        <w:rPr>
          <w:color w:val="000000"/>
          <w:lang w:val="en-GB"/>
        </w:rPr>
        <w:t xml:space="preserve"> the</w:t>
      </w:r>
      <w:r w:rsidR="00BE66D0" w:rsidRPr="00461EC7">
        <w:rPr>
          <w:color w:val="000000"/>
          <w:lang w:val="en-GB"/>
        </w:rPr>
        <w:t xml:space="preserve"> quality of the environment. </w:t>
      </w:r>
      <w:r w:rsidR="00421B32" w:rsidRPr="00461EC7">
        <w:rPr>
          <w:color w:val="000000"/>
          <w:lang w:val="en-GB"/>
        </w:rPr>
        <w:t xml:space="preserve">22% of </w:t>
      </w:r>
      <w:r w:rsidR="00415AB7" w:rsidRPr="00461EC7">
        <w:rPr>
          <w:color w:val="000000"/>
          <w:lang w:val="en-GB"/>
        </w:rPr>
        <w:t xml:space="preserve">the </w:t>
      </w:r>
      <w:r w:rsidR="00421B32" w:rsidRPr="00461EC7">
        <w:rPr>
          <w:color w:val="000000"/>
          <w:lang w:val="en-GB"/>
        </w:rPr>
        <w:t>OPPC investments w</w:t>
      </w:r>
      <w:r w:rsidR="00415AB7" w:rsidRPr="00461EC7">
        <w:rPr>
          <w:color w:val="000000"/>
          <w:lang w:val="en-GB"/>
        </w:rPr>
        <w:t>as</w:t>
      </w:r>
      <w:r w:rsidR="00421B32" w:rsidRPr="00461EC7">
        <w:rPr>
          <w:color w:val="000000"/>
          <w:lang w:val="en-GB"/>
        </w:rPr>
        <w:t xml:space="preserve"> allocated </w:t>
      </w:r>
      <w:r w:rsidR="00415AB7" w:rsidRPr="00461EC7">
        <w:rPr>
          <w:color w:val="000000"/>
          <w:lang w:val="en-GB"/>
        </w:rPr>
        <w:t>to high quality</w:t>
      </w:r>
      <w:r w:rsidR="00BE66D0" w:rsidRPr="00461EC7">
        <w:rPr>
          <w:color w:val="000000"/>
          <w:lang w:val="en-GB"/>
        </w:rPr>
        <w:t xml:space="preserve"> and accessible public services (heal</w:t>
      </w:r>
      <w:r w:rsidR="00421B32" w:rsidRPr="00461EC7">
        <w:rPr>
          <w:color w:val="000000"/>
          <w:lang w:val="en-GB"/>
        </w:rPr>
        <w:t>th, education, social services).</w:t>
      </w:r>
    </w:p>
    <w:p w:rsidR="0046175C" w:rsidRPr="00461EC7" w:rsidRDefault="00BE66D0" w:rsidP="00FB7F18">
      <w:pPr>
        <w:pStyle w:val="Nenumeruojamosantrastes"/>
        <w:rPr>
          <w:lang w:val="en-GB"/>
        </w:rPr>
      </w:pPr>
      <w:bookmarkStart w:id="4" w:name="_Toc468106950"/>
      <w:bookmarkStart w:id="5" w:name="_Toc468114519"/>
      <w:r w:rsidRPr="00461EC7">
        <w:rPr>
          <w:lang w:val="en-GB"/>
        </w:rPr>
        <w:t xml:space="preserve">results of the </w:t>
      </w:r>
      <w:r w:rsidR="00415AB7" w:rsidRPr="00461EC7">
        <w:rPr>
          <w:lang w:val="en-GB"/>
        </w:rPr>
        <w:t xml:space="preserve">OPPC </w:t>
      </w:r>
      <w:r w:rsidRPr="00461EC7">
        <w:rPr>
          <w:lang w:val="en-GB"/>
        </w:rPr>
        <w:t xml:space="preserve">implementation: </w:t>
      </w:r>
      <w:r w:rsidR="00415AB7" w:rsidRPr="00461EC7">
        <w:rPr>
          <w:lang w:val="en-GB"/>
        </w:rPr>
        <w:t xml:space="preserve">regional </w:t>
      </w:r>
      <w:r w:rsidRPr="00461EC7">
        <w:rPr>
          <w:lang w:val="en-GB"/>
        </w:rPr>
        <w:t>Development</w:t>
      </w:r>
      <w:bookmarkEnd w:id="4"/>
      <w:bookmarkEnd w:id="5"/>
    </w:p>
    <w:p w:rsidR="002339A0" w:rsidRPr="00461EC7" w:rsidRDefault="004C0F6A" w:rsidP="002339A0">
      <w:pPr>
        <w:pStyle w:val="Pagrindinispaprastastekstas"/>
        <w:rPr>
          <w:b/>
          <w:color w:val="1F497D" w:themeColor="text2"/>
          <w:lang w:val="en-GB" w:eastAsia="lt-LT"/>
        </w:rPr>
      </w:pPr>
      <w:r w:rsidRPr="00461EC7">
        <w:rPr>
          <w:b/>
          <w:color w:val="1F497D" w:themeColor="text2"/>
          <w:lang w:val="en-GB" w:eastAsia="lt-LT"/>
        </w:rPr>
        <w:t xml:space="preserve">The main outputs </w:t>
      </w:r>
      <w:r w:rsidR="002339A0" w:rsidRPr="00461EC7">
        <w:rPr>
          <w:b/>
          <w:color w:val="1F497D" w:themeColor="text2"/>
          <w:lang w:val="en-GB" w:eastAsia="lt-LT"/>
        </w:rPr>
        <w:t>and results</w:t>
      </w:r>
    </w:p>
    <w:p w:rsidR="001412B6" w:rsidRPr="00461EC7" w:rsidRDefault="004C5695" w:rsidP="001412B6">
      <w:pPr>
        <w:pStyle w:val="Pagrindinispaprastastekstas"/>
        <w:rPr>
          <w:lang w:val="en-GB" w:eastAsia="lt-LT"/>
        </w:rPr>
      </w:pPr>
      <w:r w:rsidRPr="00461EC7">
        <w:rPr>
          <w:noProof/>
          <w:lang w:eastAsia="lt-LT"/>
        </w:rPr>
        <w:drawing>
          <wp:inline distT="0" distB="0" distL="0" distR="0" wp14:anchorId="49055B78" wp14:editId="6D92F331">
            <wp:extent cx="6111114" cy="1525905"/>
            <wp:effectExtent l="0" t="0" r="23495" b="17145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C5695" w:rsidRPr="00461EC7" w:rsidRDefault="004C5695" w:rsidP="001412B6">
      <w:pPr>
        <w:pStyle w:val="Pagrindinispaprastastekstas"/>
        <w:rPr>
          <w:lang w:val="en-GB" w:eastAsia="lt-LT"/>
        </w:rPr>
      </w:pPr>
    </w:p>
    <w:p w:rsidR="001412B6" w:rsidRPr="00461EC7" w:rsidRDefault="0038304C" w:rsidP="00974C60">
      <w:pPr>
        <w:pStyle w:val="Pagrindinispaprastastekstas"/>
        <w:numPr>
          <w:ilvl w:val="0"/>
          <w:numId w:val="26"/>
        </w:numPr>
        <w:rPr>
          <w:lang w:val="en-GB" w:eastAsia="lt-LT"/>
        </w:rPr>
      </w:pPr>
      <w:r w:rsidRPr="00461EC7">
        <w:rPr>
          <w:lang w:val="en-GB" w:eastAsia="lt-LT"/>
        </w:rPr>
        <w:t>368</w:t>
      </w:r>
      <w:r w:rsidR="00415AB7" w:rsidRPr="00461EC7">
        <w:rPr>
          <w:lang w:val="en-GB" w:eastAsia="lt-LT"/>
        </w:rPr>
        <w:t xml:space="preserve"> multi-apartment buildings </w:t>
      </w:r>
      <w:r w:rsidR="004551F5" w:rsidRPr="00461EC7">
        <w:rPr>
          <w:szCs w:val="22"/>
          <w:lang w:val="en-GB"/>
        </w:rPr>
        <w:t>were moderni</w:t>
      </w:r>
      <w:r w:rsidR="00415AB7" w:rsidRPr="00461EC7">
        <w:rPr>
          <w:szCs w:val="22"/>
          <w:lang w:val="en-GB"/>
        </w:rPr>
        <w:t>s</w:t>
      </w:r>
      <w:r w:rsidR="004551F5" w:rsidRPr="00461EC7">
        <w:rPr>
          <w:szCs w:val="22"/>
          <w:lang w:val="en-GB"/>
        </w:rPr>
        <w:t xml:space="preserve">ed </w:t>
      </w:r>
      <w:r w:rsidR="00415AB7" w:rsidRPr="00461EC7">
        <w:rPr>
          <w:lang w:val="en-GB" w:eastAsia="lt-LT"/>
        </w:rPr>
        <w:t xml:space="preserve">in </w:t>
      </w:r>
      <w:r w:rsidR="008B59A0" w:rsidRPr="00461EC7">
        <w:rPr>
          <w:lang w:val="en-GB" w:eastAsia="lt-LT"/>
        </w:rPr>
        <w:t>problematic territories, improving</w:t>
      </w:r>
      <w:r w:rsidR="00415AB7" w:rsidRPr="00461EC7">
        <w:rPr>
          <w:lang w:val="en-GB" w:eastAsia="lt-LT"/>
        </w:rPr>
        <w:t xml:space="preserve"> </w:t>
      </w:r>
      <w:r w:rsidRPr="00461EC7">
        <w:rPr>
          <w:szCs w:val="22"/>
          <w:lang w:val="en-GB"/>
        </w:rPr>
        <w:t xml:space="preserve">living conditions </w:t>
      </w:r>
      <w:r w:rsidR="002328B3" w:rsidRPr="00461EC7">
        <w:rPr>
          <w:szCs w:val="22"/>
          <w:lang w:val="en-GB"/>
        </w:rPr>
        <w:t xml:space="preserve">for </w:t>
      </w:r>
      <w:r w:rsidR="008B59A0" w:rsidRPr="00461EC7">
        <w:rPr>
          <w:szCs w:val="22"/>
          <w:lang w:val="en-GB"/>
        </w:rPr>
        <w:t>over</w:t>
      </w:r>
      <w:r w:rsidR="002328B3" w:rsidRPr="00461EC7">
        <w:rPr>
          <w:szCs w:val="22"/>
          <w:lang w:val="en-GB"/>
        </w:rPr>
        <w:t xml:space="preserve"> 11</w:t>
      </w:r>
      <w:r w:rsidR="00415AB7" w:rsidRPr="00461EC7">
        <w:rPr>
          <w:szCs w:val="22"/>
          <w:lang w:val="en-GB"/>
        </w:rPr>
        <w:t>,800 </w:t>
      </w:r>
      <w:r w:rsidRPr="00461EC7">
        <w:rPr>
          <w:szCs w:val="22"/>
          <w:lang w:val="en-GB"/>
        </w:rPr>
        <w:t>people.</w:t>
      </w:r>
    </w:p>
    <w:p w:rsidR="00EE10D7" w:rsidRPr="00461EC7" w:rsidRDefault="00EE10D7" w:rsidP="00974C60">
      <w:pPr>
        <w:pStyle w:val="Pagrindinispaprastastekstas"/>
        <w:numPr>
          <w:ilvl w:val="0"/>
          <w:numId w:val="26"/>
        </w:numPr>
        <w:rPr>
          <w:lang w:val="en-GB" w:eastAsia="lt-LT"/>
        </w:rPr>
      </w:pPr>
      <w:r w:rsidRPr="00461EC7">
        <w:rPr>
          <w:lang w:val="en-GB" w:eastAsia="lt-LT"/>
        </w:rPr>
        <w:lastRenderedPageBreak/>
        <w:t>OPPC funds</w:t>
      </w:r>
      <w:r w:rsidR="008B59A0" w:rsidRPr="00461EC7">
        <w:rPr>
          <w:lang w:val="en-GB" w:eastAsia="lt-LT"/>
        </w:rPr>
        <w:t xml:space="preserve"> were used to build</w:t>
      </w:r>
      <w:r w:rsidRPr="00461EC7">
        <w:rPr>
          <w:lang w:val="en-GB" w:eastAsia="lt-LT"/>
        </w:rPr>
        <w:t xml:space="preserve"> 271</w:t>
      </w:r>
      <w:r w:rsidR="00081880" w:rsidRPr="00461EC7">
        <w:rPr>
          <w:lang w:val="en-GB" w:eastAsia="lt-LT"/>
        </w:rPr>
        <w:t> </w:t>
      </w:r>
      <w:r w:rsidRPr="00461EC7">
        <w:rPr>
          <w:lang w:val="en-GB" w:eastAsia="lt-LT"/>
        </w:rPr>
        <w:t>social housings, which accounts for 5</w:t>
      </w:r>
      <w:r w:rsidR="00081880" w:rsidRPr="00461EC7">
        <w:rPr>
          <w:lang w:val="en-GB" w:eastAsia="lt-LT"/>
        </w:rPr>
        <w:t>.</w:t>
      </w:r>
      <w:r w:rsidRPr="00461EC7">
        <w:rPr>
          <w:lang w:val="en-GB" w:eastAsia="lt-LT"/>
        </w:rPr>
        <w:t xml:space="preserve">3% of all </w:t>
      </w:r>
      <w:r w:rsidR="00081880" w:rsidRPr="00461EC7">
        <w:rPr>
          <w:lang w:val="en-GB" w:eastAsia="lt-LT"/>
        </w:rPr>
        <w:t xml:space="preserve">the </w:t>
      </w:r>
      <w:r w:rsidRPr="00461EC7">
        <w:rPr>
          <w:lang w:val="en-GB" w:eastAsia="lt-LT"/>
        </w:rPr>
        <w:t xml:space="preserve">rented social housing in Lithuania </w:t>
      </w:r>
      <w:r w:rsidR="00081880" w:rsidRPr="00461EC7">
        <w:rPr>
          <w:lang w:val="en-GB" w:eastAsia="lt-LT"/>
        </w:rPr>
        <w:t>between</w:t>
      </w:r>
      <w:r w:rsidRPr="00461EC7">
        <w:rPr>
          <w:lang w:val="en-GB" w:eastAsia="lt-LT"/>
        </w:rPr>
        <w:t xml:space="preserve"> 201</w:t>
      </w:r>
      <w:r w:rsidR="00913B7C" w:rsidRPr="00461EC7">
        <w:rPr>
          <w:lang w:val="en-GB" w:eastAsia="lt-LT"/>
        </w:rPr>
        <w:t>0</w:t>
      </w:r>
      <w:r w:rsidR="00081880" w:rsidRPr="00461EC7">
        <w:rPr>
          <w:lang w:val="en-GB" w:eastAsia="lt-LT"/>
        </w:rPr>
        <w:t xml:space="preserve"> and </w:t>
      </w:r>
      <w:r w:rsidRPr="00461EC7">
        <w:rPr>
          <w:lang w:val="en-GB" w:eastAsia="lt-LT"/>
        </w:rPr>
        <w:t>20</w:t>
      </w:r>
      <w:r w:rsidR="00913B7C" w:rsidRPr="00461EC7">
        <w:rPr>
          <w:lang w:val="en-GB" w:eastAsia="lt-LT"/>
        </w:rPr>
        <w:t>14</w:t>
      </w:r>
      <w:r w:rsidRPr="00461EC7">
        <w:rPr>
          <w:lang w:val="en-GB" w:eastAsia="lt-LT"/>
        </w:rPr>
        <w:t>. Without</w:t>
      </w:r>
      <w:r w:rsidR="00913B7C" w:rsidRPr="00461EC7">
        <w:rPr>
          <w:lang w:val="en-GB" w:eastAsia="lt-LT"/>
        </w:rPr>
        <w:t xml:space="preserve"> the investment</w:t>
      </w:r>
      <w:r w:rsidRPr="00461EC7">
        <w:rPr>
          <w:lang w:val="en-GB" w:eastAsia="lt-LT"/>
        </w:rPr>
        <w:t xml:space="preserve">, the waiting list for </w:t>
      </w:r>
      <w:r w:rsidR="00913B7C" w:rsidRPr="00461EC7">
        <w:rPr>
          <w:lang w:val="en-GB" w:eastAsia="lt-LT"/>
        </w:rPr>
        <w:t>social housing would be 0</w:t>
      </w:r>
      <w:r w:rsidR="00081880" w:rsidRPr="00461EC7">
        <w:rPr>
          <w:lang w:val="en-GB" w:eastAsia="lt-LT"/>
        </w:rPr>
        <w:t>.</w:t>
      </w:r>
      <w:r w:rsidR="00913B7C" w:rsidRPr="00461EC7">
        <w:rPr>
          <w:lang w:val="en-GB" w:eastAsia="lt-LT"/>
        </w:rPr>
        <w:t>8% longer</w:t>
      </w:r>
      <w:r w:rsidRPr="00461EC7">
        <w:rPr>
          <w:lang w:val="en-GB" w:eastAsia="lt-LT"/>
        </w:rPr>
        <w:t>.</w:t>
      </w:r>
      <w:r w:rsidR="00913B7C" w:rsidRPr="00461EC7">
        <w:rPr>
          <w:lang w:val="en-GB" w:eastAsia="lt-LT"/>
        </w:rPr>
        <w:t xml:space="preserve"> In addition, </w:t>
      </w:r>
      <w:r w:rsidRPr="00461EC7">
        <w:rPr>
          <w:lang w:val="en-GB" w:eastAsia="lt-LT"/>
        </w:rPr>
        <w:t>291</w:t>
      </w:r>
      <w:r w:rsidR="00081880" w:rsidRPr="00461EC7">
        <w:rPr>
          <w:lang w:val="en-GB" w:eastAsia="lt-LT"/>
        </w:rPr>
        <w:t> </w:t>
      </w:r>
      <w:r w:rsidRPr="00461EC7">
        <w:rPr>
          <w:lang w:val="en-GB" w:eastAsia="lt-LT"/>
        </w:rPr>
        <w:t>social housings were</w:t>
      </w:r>
      <w:r w:rsidR="00913B7C" w:rsidRPr="00461EC7">
        <w:rPr>
          <w:lang w:val="en-GB" w:eastAsia="lt-LT"/>
        </w:rPr>
        <w:t xml:space="preserve"> </w:t>
      </w:r>
      <w:r w:rsidRPr="00461EC7">
        <w:rPr>
          <w:lang w:val="en-GB" w:eastAsia="lt-LT"/>
        </w:rPr>
        <w:t>moderni</w:t>
      </w:r>
      <w:r w:rsidR="00081880" w:rsidRPr="00461EC7">
        <w:rPr>
          <w:lang w:val="en-GB" w:eastAsia="lt-LT"/>
        </w:rPr>
        <w:t>s</w:t>
      </w:r>
      <w:r w:rsidRPr="00461EC7">
        <w:rPr>
          <w:lang w:val="en-GB" w:eastAsia="lt-LT"/>
        </w:rPr>
        <w:t>ed.</w:t>
      </w:r>
    </w:p>
    <w:p w:rsidR="00EE10D7" w:rsidRPr="00461EC7" w:rsidRDefault="00081880" w:rsidP="00974C60">
      <w:pPr>
        <w:pStyle w:val="Pagrindinispaprastastekstas"/>
        <w:numPr>
          <w:ilvl w:val="0"/>
          <w:numId w:val="26"/>
        </w:numPr>
        <w:rPr>
          <w:lang w:val="en-GB" w:eastAsia="lt-LT"/>
        </w:rPr>
      </w:pPr>
      <w:r w:rsidRPr="00461EC7">
        <w:rPr>
          <w:lang w:val="en-GB" w:eastAsia="lt-LT"/>
        </w:rPr>
        <w:t xml:space="preserve">Public infrastructure was </w:t>
      </w:r>
      <w:r w:rsidR="008B59A0" w:rsidRPr="00461EC7">
        <w:rPr>
          <w:lang w:val="en-GB" w:eastAsia="lt-LT"/>
        </w:rPr>
        <w:t>upgraded</w:t>
      </w:r>
      <w:r w:rsidRPr="00461EC7">
        <w:rPr>
          <w:lang w:val="en-GB" w:eastAsia="lt-LT"/>
        </w:rPr>
        <w:t xml:space="preserve"> i</w:t>
      </w:r>
      <w:r w:rsidR="00EE10D7" w:rsidRPr="00461EC7">
        <w:rPr>
          <w:lang w:val="en-GB" w:eastAsia="lt-LT"/>
        </w:rPr>
        <w:t>n 241</w:t>
      </w:r>
      <w:r w:rsidRPr="00461EC7">
        <w:rPr>
          <w:lang w:val="en-GB" w:eastAsia="lt-LT"/>
        </w:rPr>
        <w:t> </w:t>
      </w:r>
      <w:r w:rsidR="00EE10D7" w:rsidRPr="00461EC7">
        <w:rPr>
          <w:lang w:val="en-GB" w:eastAsia="lt-LT"/>
        </w:rPr>
        <w:t>residential areas in 52 of 60</w:t>
      </w:r>
      <w:r w:rsidR="007B3A22">
        <w:rPr>
          <w:lang w:val="en-GB" w:eastAsia="lt-LT"/>
        </w:rPr>
        <w:t> </w:t>
      </w:r>
      <w:r w:rsidR="00EE10D7" w:rsidRPr="00461EC7">
        <w:rPr>
          <w:lang w:val="en-GB" w:eastAsia="lt-LT"/>
        </w:rPr>
        <w:t xml:space="preserve">Lithuanian municipalities (mostly in </w:t>
      </w:r>
      <w:proofErr w:type="spellStart"/>
      <w:r w:rsidR="00EE10D7" w:rsidRPr="00461EC7">
        <w:rPr>
          <w:lang w:val="en-GB" w:eastAsia="lt-LT"/>
        </w:rPr>
        <w:t>Utena</w:t>
      </w:r>
      <w:proofErr w:type="spellEnd"/>
      <w:r w:rsidR="00EE10D7" w:rsidRPr="00461EC7">
        <w:rPr>
          <w:lang w:val="en-GB" w:eastAsia="lt-LT"/>
        </w:rPr>
        <w:t xml:space="preserve"> and </w:t>
      </w:r>
      <w:proofErr w:type="spellStart"/>
      <w:r w:rsidR="00EE10D7" w:rsidRPr="00461EC7">
        <w:rPr>
          <w:lang w:val="en-GB" w:eastAsia="lt-LT"/>
        </w:rPr>
        <w:t>Tauragė</w:t>
      </w:r>
      <w:proofErr w:type="spellEnd"/>
      <w:r w:rsidR="00EE10D7" w:rsidRPr="00461EC7">
        <w:rPr>
          <w:lang w:val="en-GB" w:eastAsia="lt-LT"/>
        </w:rPr>
        <w:t xml:space="preserve"> regions).</w:t>
      </w:r>
    </w:p>
    <w:p w:rsidR="00EE10D7" w:rsidRPr="00461EC7" w:rsidRDefault="00081880" w:rsidP="00974C60">
      <w:pPr>
        <w:pStyle w:val="Pagrindinispaprastastekstas"/>
        <w:numPr>
          <w:ilvl w:val="0"/>
          <w:numId w:val="26"/>
        </w:numPr>
        <w:rPr>
          <w:lang w:val="en-GB" w:eastAsia="lt-LT"/>
        </w:rPr>
      </w:pPr>
      <w:r w:rsidRPr="00461EC7">
        <w:rPr>
          <w:lang w:val="en-GB" w:eastAsia="lt-LT"/>
        </w:rPr>
        <w:t>EUR </w:t>
      </w:r>
      <w:r w:rsidR="00EE10D7" w:rsidRPr="00461EC7">
        <w:rPr>
          <w:lang w:val="en-GB" w:eastAsia="lt-LT"/>
        </w:rPr>
        <w:t>137</w:t>
      </w:r>
      <w:r w:rsidRPr="00461EC7">
        <w:rPr>
          <w:lang w:val="en-GB" w:eastAsia="lt-LT"/>
        </w:rPr>
        <w:t>.</w:t>
      </w:r>
      <w:r w:rsidR="00EE10D7" w:rsidRPr="00461EC7">
        <w:rPr>
          <w:lang w:val="en-GB" w:eastAsia="lt-LT"/>
        </w:rPr>
        <w:t xml:space="preserve">6 million of private investment </w:t>
      </w:r>
      <w:r w:rsidRPr="00461EC7">
        <w:rPr>
          <w:lang w:val="en-GB" w:eastAsia="lt-LT"/>
        </w:rPr>
        <w:t xml:space="preserve">was attracted </w:t>
      </w:r>
      <w:r w:rsidR="00913B7C" w:rsidRPr="00461EC7">
        <w:rPr>
          <w:lang w:val="en-GB" w:eastAsia="lt-LT"/>
        </w:rPr>
        <w:t xml:space="preserve">to rural areas </w:t>
      </w:r>
      <w:r w:rsidRPr="00461EC7">
        <w:rPr>
          <w:lang w:val="en-GB" w:eastAsia="lt-LT"/>
        </w:rPr>
        <w:t>by</w:t>
      </w:r>
      <w:r w:rsidR="00913B7C" w:rsidRPr="00461EC7">
        <w:rPr>
          <w:lang w:val="en-GB" w:eastAsia="lt-LT"/>
        </w:rPr>
        <w:t xml:space="preserve"> the end of 2013</w:t>
      </w:r>
      <w:r w:rsidR="00EE10D7" w:rsidRPr="00461EC7">
        <w:rPr>
          <w:lang w:val="en-GB" w:eastAsia="lt-LT"/>
        </w:rPr>
        <w:t>.</w:t>
      </w:r>
    </w:p>
    <w:p w:rsidR="001412B6" w:rsidRPr="00461EC7" w:rsidRDefault="001412B6" w:rsidP="00EE10D7">
      <w:pPr>
        <w:pStyle w:val="Pagrindinispaprastastekstas"/>
        <w:ind w:left="360"/>
        <w:rPr>
          <w:lang w:val="en-GB" w:eastAsia="lt-LT"/>
        </w:rPr>
      </w:pP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B42E2" w:rsidRPr="00461EC7" w:rsidTr="006C7204">
        <w:tc>
          <w:tcPr>
            <w:tcW w:w="9628" w:type="dxa"/>
            <w:shd w:val="clear" w:color="auto" w:fill="DBE5F1" w:themeFill="accent1" w:themeFillTint="33"/>
          </w:tcPr>
          <w:p w:rsidR="00BB42E2" w:rsidRPr="00461EC7" w:rsidRDefault="00BF5D2B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sz w:val="18"/>
                <w:szCs w:val="18"/>
                <w:lang w:val="en-GB"/>
              </w:rPr>
            </w:pP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“</w:t>
            </w:r>
            <w:r w:rsidR="00A01E2A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Moderni</w:t>
            </w: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s</w:t>
            </w:r>
            <w:r w:rsidR="00A01E2A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ation of </w:t>
            </w: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the </w:t>
            </w:r>
            <w:proofErr w:type="spellStart"/>
            <w:r w:rsidR="00A01E2A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Dauniškis</w:t>
            </w:r>
            <w:proofErr w:type="spellEnd"/>
            <w:r w:rsidR="00A01E2A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P</w:t>
            </w:r>
            <w:r w:rsidR="00A01E2A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ark</w:t>
            </w:r>
            <w:r w:rsidR="008B59A0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”</w:t>
            </w:r>
          </w:p>
          <w:p w:rsidR="00BB42E2" w:rsidRPr="00461EC7" w:rsidRDefault="00BB42E2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>Pro</w:t>
            </w:r>
            <w:r w:rsidR="00A01E2A" w:rsidRPr="00461EC7">
              <w:rPr>
                <w:i/>
                <w:sz w:val="18"/>
                <w:szCs w:val="18"/>
                <w:lang w:val="en-GB"/>
              </w:rPr>
              <w:t>ject implementer</w:t>
            </w:r>
            <w:r w:rsidR="00BF5D2B" w:rsidRPr="00461EC7">
              <w:rPr>
                <w:i/>
                <w:sz w:val="18"/>
                <w:szCs w:val="18"/>
                <w:lang w:val="en-GB"/>
              </w:rPr>
              <w:t>:</w:t>
            </w:r>
            <w:r w:rsidR="00A01E2A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="00BF5D2B" w:rsidRPr="00461EC7">
              <w:rPr>
                <w:i/>
                <w:sz w:val="18"/>
                <w:szCs w:val="18"/>
                <w:lang w:val="en-GB"/>
              </w:rPr>
              <w:t xml:space="preserve">Administration </w:t>
            </w:r>
            <w:r w:rsidR="00F06476" w:rsidRPr="00461EC7">
              <w:rPr>
                <w:i/>
                <w:sz w:val="18"/>
                <w:szCs w:val="18"/>
                <w:lang w:val="en-GB"/>
              </w:rPr>
              <w:t xml:space="preserve">of </w:t>
            </w:r>
            <w:proofErr w:type="spellStart"/>
            <w:r w:rsidR="00A01E2A" w:rsidRPr="00461EC7">
              <w:rPr>
                <w:i/>
                <w:sz w:val="18"/>
                <w:szCs w:val="18"/>
                <w:lang w:val="en-GB"/>
              </w:rPr>
              <w:t>Utena</w:t>
            </w:r>
            <w:proofErr w:type="spellEnd"/>
            <w:r w:rsidR="00F06476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="00BF5D2B" w:rsidRPr="00461EC7">
              <w:rPr>
                <w:i/>
                <w:sz w:val="18"/>
                <w:szCs w:val="18"/>
                <w:lang w:val="en-GB"/>
              </w:rPr>
              <w:t>D</w:t>
            </w:r>
            <w:r w:rsidR="00F06476" w:rsidRPr="00461EC7">
              <w:rPr>
                <w:i/>
                <w:sz w:val="18"/>
                <w:szCs w:val="18"/>
                <w:lang w:val="en-GB"/>
              </w:rPr>
              <w:t>istrict</w:t>
            </w:r>
            <w:r w:rsidR="00A01E2A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="00BF5D2B" w:rsidRPr="00461EC7">
              <w:rPr>
                <w:i/>
                <w:sz w:val="18"/>
                <w:szCs w:val="18"/>
                <w:lang w:val="en-GB"/>
              </w:rPr>
              <w:t>M</w:t>
            </w:r>
            <w:r w:rsidR="00A01E2A" w:rsidRPr="00461EC7">
              <w:rPr>
                <w:i/>
                <w:sz w:val="18"/>
                <w:szCs w:val="18"/>
                <w:lang w:val="en-GB"/>
              </w:rPr>
              <w:t>unicipality</w:t>
            </w:r>
          </w:p>
          <w:p w:rsidR="00BB42E2" w:rsidRPr="00461EC7" w:rsidRDefault="00AD64FC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>EU contribution:</w:t>
            </w:r>
            <w:r w:rsidR="00BB42E2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i/>
                <w:sz w:val="18"/>
                <w:szCs w:val="18"/>
                <w:lang w:val="en-GB"/>
              </w:rPr>
              <w:t>EUR </w:t>
            </w:r>
            <w:r w:rsidR="00AA0492" w:rsidRPr="00461EC7">
              <w:rPr>
                <w:i/>
                <w:sz w:val="18"/>
                <w:szCs w:val="18"/>
                <w:lang w:val="en-GB"/>
              </w:rPr>
              <w:t>1</w:t>
            </w:r>
            <w:r w:rsidR="00BF5D2B" w:rsidRPr="00461EC7">
              <w:rPr>
                <w:i/>
                <w:sz w:val="18"/>
                <w:szCs w:val="18"/>
                <w:lang w:val="en-GB"/>
              </w:rPr>
              <w:t>.</w:t>
            </w:r>
            <w:r w:rsidR="00AA0492" w:rsidRPr="00461EC7">
              <w:rPr>
                <w:i/>
                <w:sz w:val="18"/>
                <w:szCs w:val="18"/>
                <w:lang w:val="en-GB"/>
              </w:rPr>
              <w:t>146</w:t>
            </w:r>
            <w:r w:rsidR="003F386D" w:rsidRPr="00461EC7">
              <w:rPr>
                <w:i/>
                <w:sz w:val="18"/>
                <w:szCs w:val="18"/>
                <w:lang w:val="en-GB"/>
              </w:rPr>
              <w:t>1</w:t>
            </w:r>
            <w:r w:rsidR="00BF5D2B" w:rsidRPr="00461EC7">
              <w:rPr>
                <w:i/>
                <w:sz w:val="18"/>
                <w:szCs w:val="18"/>
                <w:lang w:val="en-GB"/>
              </w:rPr>
              <w:t> million</w:t>
            </w:r>
          </w:p>
          <w:p w:rsidR="00BB42E2" w:rsidRPr="00461EC7" w:rsidRDefault="00C64503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sz w:val="18"/>
                <w:szCs w:val="18"/>
                <w:lang w:val="en-GB"/>
              </w:rPr>
            </w:pPr>
            <w:r w:rsidRPr="00461EC7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6672" behindDoc="0" locked="0" layoutInCell="1" allowOverlap="1" wp14:anchorId="022FA3FB" wp14:editId="78B27898">
                  <wp:simplePos x="0" y="0"/>
                  <wp:positionH relativeFrom="column">
                    <wp:posOffset>-36173</wp:posOffset>
                  </wp:positionH>
                  <wp:positionV relativeFrom="paragraph">
                    <wp:posOffset>24415</wp:posOffset>
                  </wp:positionV>
                  <wp:extent cx="2462400" cy="1641600"/>
                  <wp:effectExtent l="0" t="0" r="33655" b="34925"/>
                  <wp:wrapSquare wrapText="bothSides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400" cy="164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chemeClr val="bg2"/>
                            </a:outerShdw>
                            <a:softEdge rad="127000"/>
                          </a:effectLst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BF16C7" w:rsidRPr="00461EC7" w:rsidRDefault="00BF16C7" w:rsidP="00C64503">
            <w:pPr>
              <w:pStyle w:val="Pagrindinispaprastastekstas"/>
              <w:shd w:val="clear" w:color="auto" w:fill="DBE5F1" w:themeFill="accent1" w:themeFillTint="33"/>
              <w:rPr>
                <w:sz w:val="18"/>
                <w:szCs w:val="18"/>
                <w:lang w:val="en-GB"/>
              </w:rPr>
            </w:pPr>
          </w:p>
          <w:p w:rsidR="00BB42E2" w:rsidRPr="00461EC7" w:rsidRDefault="00BF5D2B" w:rsidP="00C64503">
            <w:pPr>
              <w:pStyle w:val="Pagrindinispaprastastekstas"/>
              <w:shd w:val="clear" w:color="auto" w:fill="DBE5F1" w:themeFill="accent1" w:themeFillTint="33"/>
              <w:rPr>
                <w:sz w:val="18"/>
                <w:szCs w:val="18"/>
                <w:lang w:val="en-GB"/>
              </w:rPr>
            </w:pPr>
            <w:r w:rsidRPr="00461EC7">
              <w:rPr>
                <w:sz w:val="18"/>
                <w:szCs w:val="18"/>
                <w:lang w:val="en-GB"/>
              </w:rPr>
              <w:t>T</w:t>
            </w:r>
            <w:r w:rsidR="00913B7C" w:rsidRPr="00461EC7">
              <w:rPr>
                <w:sz w:val="18"/>
                <w:szCs w:val="18"/>
                <w:lang w:val="en-GB"/>
              </w:rPr>
              <w:t>he</w:t>
            </w:r>
            <w:r w:rsidR="00A01E2A" w:rsidRPr="00461EC7">
              <w:rPr>
                <w:sz w:val="18"/>
                <w:szCs w:val="18"/>
                <w:lang w:val="en-GB"/>
              </w:rPr>
              <w:t xml:space="preserve"> project </w:t>
            </w:r>
            <w:r w:rsidRPr="00461EC7">
              <w:rPr>
                <w:sz w:val="18"/>
                <w:szCs w:val="18"/>
                <w:lang w:val="en-GB"/>
              </w:rPr>
              <w:t xml:space="preserve">built </w:t>
            </w:r>
            <w:r w:rsidR="008543F5" w:rsidRPr="00461EC7">
              <w:rPr>
                <w:sz w:val="18"/>
                <w:szCs w:val="18"/>
                <w:lang w:val="en-GB"/>
              </w:rPr>
              <w:t xml:space="preserve">pathways around the lake, </w:t>
            </w:r>
            <w:r w:rsidRPr="00461EC7">
              <w:rPr>
                <w:sz w:val="18"/>
                <w:szCs w:val="18"/>
                <w:lang w:val="en-GB"/>
              </w:rPr>
              <w:t xml:space="preserve">with </w:t>
            </w:r>
            <w:r w:rsidR="008543F5" w:rsidRPr="00461EC7">
              <w:rPr>
                <w:sz w:val="18"/>
                <w:szCs w:val="18"/>
                <w:lang w:val="en-GB"/>
              </w:rPr>
              <w:t>benches, a playground</w:t>
            </w:r>
            <w:r w:rsidRPr="00461EC7">
              <w:rPr>
                <w:sz w:val="18"/>
                <w:szCs w:val="18"/>
                <w:lang w:val="en-GB"/>
              </w:rPr>
              <w:t>,</w:t>
            </w:r>
            <w:r w:rsidR="008543F5" w:rsidRPr="00461EC7">
              <w:rPr>
                <w:sz w:val="18"/>
                <w:szCs w:val="18"/>
                <w:lang w:val="en-GB"/>
              </w:rPr>
              <w:t xml:space="preserve"> toilets</w:t>
            </w:r>
            <w:r w:rsidRPr="00461EC7">
              <w:rPr>
                <w:sz w:val="18"/>
                <w:szCs w:val="18"/>
                <w:lang w:val="en-GB"/>
              </w:rPr>
              <w:t xml:space="preserve"> and designed p</w:t>
            </w:r>
            <w:r w:rsidR="00913B7C" w:rsidRPr="00461EC7">
              <w:rPr>
                <w:sz w:val="18"/>
                <w:szCs w:val="18"/>
                <w:lang w:val="en-GB"/>
              </w:rPr>
              <w:t>ark area</w:t>
            </w:r>
            <w:r w:rsidRPr="00461EC7">
              <w:rPr>
                <w:sz w:val="18"/>
                <w:szCs w:val="18"/>
                <w:lang w:val="en-GB"/>
              </w:rPr>
              <w:t>s</w:t>
            </w:r>
            <w:r w:rsidR="008543F5" w:rsidRPr="00461EC7">
              <w:rPr>
                <w:sz w:val="18"/>
                <w:szCs w:val="18"/>
                <w:lang w:val="en-GB"/>
              </w:rPr>
              <w:t xml:space="preserve">. </w:t>
            </w:r>
            <w:r w:rsidR="00913B7C" w:rsidRPr="00461EC7">
              <w:rPr>
                <w:sz w:val="18"/>
                <w:szCs w:val="18"/>
                <w:lang w:val="en-GB"/>
              </w:rPr>
              <w:t>A</w:t>
            </w:r>
            <w:r w:rsidR="008543F5" w:rsidRPr="00461EC7">
              <w:rPr>
                <w:sz w:val="18"/>
                <w:szCs w:val="18"/>
                <w:lang w:val="en-GB"/>
              </w:rPr>
              <w:t xml:space="preserve"> </w:t>
            </w:r>
            <w:r w:rsidR="00595A26" w:rsidRPr="00461EC7">
              <w:rPr>
                <w:sz w:val="18"/>
                <w:szCs w:val="18"/>
                <w:lang w:val="en-GB"/>
              </w:rPr>
              <w:t xml:space="preserve">wooden </w:t>
            </w:r>
            <w:r w:rsidR="008543F5" w:rsidRPr="00461EC7">
              <w:rPr>
                <w:sz w:val="18"/>
                <w:szCs w:val="18"/>
                <w:lang w:val="en-GB"/>
              </w:rPr>
              <w:t>promena</w:t>
            </w:r>
            <w:r w:rsidR="00913B7C" w:rsidRPr="00461EC7">
              <w:rPr>
                <w:sz w:val="18"/>
                <w:szCs w:val="18"/>
                <w:lang w:val="en-GB"/>
              </w:rPr>
              <w:t>de and</w:t>
            </w:r>
            <w:r w:rsidR="001F2243" w:rsidRPr="00461EC7">
              <w:rPr>
                <w:sz w:val="18"/>
                <w:szCs w:val="18"/>
                <w:lang w:val="en-GB"/>
              </w:rPr>
              <w:t xml:space="preserve"> a</w:t>
            </w:r>
            <w:r w:rsidR="008543F5" w:rsidRPr="00461EC7">
              <w:rPr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sz w:val="18"/>
                <w:szCs w:val="18"/>
                <w:lang w:val="en-GB"/>
              </w:rPr>
              <w:t>surface water drain</w:t>
            </w:r>
            <w:r w:rsidR="008543F5" w:rsidRPr="00461EC7">
              <w:rPr>
                <w:sz w:val="18"/>
                <w:szCs w:val="18"/>
                <w:lang w:val="en-GB"/>
              </w:rPr>
              <w:t xml:space="preserve"> </w:t>
            </w:r>
            <w:r w:rsidR="00C90DF1" w:rsidRPr="00461EC7">
              <w:rPr>
                <w:sz w:val="18"/>
                <w:szCs w:val="18"/>
                <w:lang w:val="en-GB"/>
              </w:rPr>
              <w:t>were</w:t>
            </w:r>
            <w:r w:rsidR="008543F5" w:rsidRPr="00461EC7">
              <w:rPr>
                <w:sz w:val="18"/>
                <w:szCs w:val="18"/>
                <w:lang w:val="en-GB"/>
              </w:rPr>
              <w:t xml:space="preserve"> </w:t>
            </w:r>
            <w:r w:rsidR="00913B7C" w:rsidRPr="00461EC7">
              <w:rPr>
                <w:sz w:val="18"/>
                <w:szCs w:val="18"/>
                <w:lang w:val="en-GB"/>
              </w:rPr>
              <w:t>constructed</w:t>
            </w:r>
            <w:r w:rsidRPr="00461EC7">
              <w:rPr>
                <w:sz w:val="18"/>
                <w:szCs w:val="18"/>
                <w:lang w:val="en-GB"/>
              </w:rPr>
              <w:t xml:space="preserve"> on the wet peaty area</w:t>
            </w:r>
            <w:r w:rsidR="0079330D" w:rsidRPr="00461EC7">
              <w:rPr>
                <w:sz w:val="18"/>
                <w:szCs w:val="18"/>
                <w:lang w:val="en-GB"/>
              </w:rPr>
              <w:t xml:space="preserve"> to</w:t>
            </w:r>
            <w:r w:rsidR="008543F5" w:rsidRPr="00461EC7">
              <w:rPr>
                <w:sz w:val="18"/>
                <w:szCs w:val="18"/>
                <w:lang w:val="en-GB"/>
              </w:rPr>
              <w:t xml:space="preserve"> </w:t>
            </w:r>
            <w:r w:rsidR="0079330D" w:rsidRPr="00461EC7">
              <w:rPr>
                <w:sz w:val="18"/>
                <w:szCs w:val="18"/>
                <w:lang w:val="en-GB"/>
              </w:rPr>
              <w:t>channel</w:t>
            </w:r>
            <w:r w:rsidR="008543F5" w:rsidRPr="00461EC7">
              <w:rPr>
                <w:sz w:val="18"/>
                <w:szCs w:val="18"/>
                <w:lang w:val="en-GB"/>
              </w:rPr>
              <w:t xml:space="preserve"> water down to the lake</w:t>
            </w:r>
            <w:r w:rsidR="00C90DF1" w:rsidRPr="00461EC7">
              <w:rPr>
                <w:sz w:val="18"/>
                <w:szCs w:val="18"/>
                <w:lang w:val="en-GB"/>
              </w:rPr>
              <w:t>. The lake naturally</w:t>
            </w:r>
            <w:r w:rsidR="008543F5" w:rsidRPr="00461EC7">
              <w:rPr>
                <w:sz w:val="18"/>
                <w:szCs w:val="18"/>
                <w:lang w:val="en-GB"/>
              </w:rPr>
              <w:t xml:space="preserve"> </w:t>
            </w:r>
            <w:r w:rsidR="00BF16C7" w:rsidRPr="00461EC7">
              <w:rPr>
                <w:sz w:val="18"/>
                <w:szCs w:val="18"/>
                <w:lang w:val="en-GB"/>
              </w:rPr>
              <w:t>perform</w:t>
            </w:r>
            <w:r w:rsidR="00C90DF1" w:rsidRPr="00461EC7">
              <w:rPr>
                <w:sz w:val="18"/>
                <w:szCs w:val="18"/>
                <w:lang w:val="en-GB"/>
              </w:rPr>
              <w:t>s</w:t>
            </w:r>
            <w:r w:rsidR="00BF16C7" w:rsidRPr="00461EC7">
              <w:rPr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sz w:val="18"/>
                <w:szCs w:val="18"/>
                <w:lang w:val="en-GB"/>
              </w:rPr>
              <w:t xml:space="preserve">a </w:t>
            </w:r>
            <w:r w:rsidR="008543F5" w:rsidRPr="00461EC7">
              <w:rPr>
                <w:sz w:val="18"/>
                <w:szCs w:val="18"/>
                <w:lang w:val="en-GB"/>
              </w:rPr>
              <w:t xml:space="preserve">water cleaning function. </w:t>
            </w:r>
            <w:r w:rsidRPr="00461EC7">
              <w:rPr>
                <w:sz w:val="18"/>
                <w:szCs w:val="18"/>
                <w:lang w:val="en-GB"/>
              </w:rPr>
              <w:t>T</w:t>
            </w:r>
            <w:r w:rsidR="001F2243" w:rsidRPr="00461EC7">
              <w:rPr>
                <w:sz w:val="18"/>
                <w:szCs w:val="18"/>
                <w:lang w:val="en-GB"/>
              </w:rPr>
              <w:t xml:space="preserve">he whole park </w:t>
            </w:r>
            <w:r w:rsidRPr="00461EC7">
              <w:rPr>
                <w:sz w:val="18"/>
                <w:szCs w:val="18"/>
                <w:lang w:val="en-GB"/>
              </w:rPr>
              <w:t>was</w:t>
            </w:r>
            <w:r w:rsidR="001F2243" w:rsidRPr="00461EC7">
              <w:rPr>
                <w:sz w:val="18"/>
                <w:szCs w:val="18"/>
                <w:lang w:val="en-GB"/>
              </w:rPr>
              <w:t xml:space="preserve"> fence</w:t>
            </w:r>
            <w:r w:rsidRPr="00461EC7">
              <w:rPr>
                <w:sz w:val="18"/>
                <w:szCs w:val="18"/>
                <w:lang w:val="en-GB"/>
              </w:rPr>
              <w:t>d</w:t>
            </w:r>
            <w:r w:rsidR="001F2243" w:rsidRPr="00461EC7">
              <w:rPr>
                <w:sz w:val="18"/>
                <w:szCs w:val="18"/>
                <w:lang w:val="en-GB"/>
              </w:rPr>
              <w:t xml:space="preserve"> </w:t>
            </w:r>
            <w:r w:rsidR="00C90DF1" w:rsidRPr="00461EC7">
              <w:rPr>
                <w:sz w:val="18"/>
                <w:szCs w:val="18"/>
                <w:lang w:val="en-GB"/>
              </w:rPr>
              <w:t>and</w:t>
            </w:r>
            <w:r w:rsidR="001F2243" w:rsidRPr="00461EC7">
              <w:rPr>
                <w:sz w:val="18"/>
                <w:szCs w:val="18"/>
                <w:lang w:val="en-GB"/>
              </w:rPr>
              <w:t xml:space="preserve"> various plants were planted. </w:t>
            </w:r>
            <w:r w:rsidRPr="00461EC7">
              <w:rPr>
                <w:sz w:val="18"/>
                <w:szCs w:val="18"/>
                <w:lang w:val="en-GB"/>
              </w:rPr>
              <w:t xml:space="preserve">The </w:t>
            </w:r>
            <w:proofErr w:type="spellStart"/>
            <w:r w:rsidR="001F2243" w:rsidRPr="00461EC7">
              <w:rPr>
                <w:sz w:val="18"/>
                <w:szCs w:val="18"/>
                <w:lang w:val="en-GB"/>
              </w:rPr>
              <w:t>Dauniškis</w:t>
            </w:r>
            <w:proofErr w:type="spellEnd"/>
            <w:r w:rsidR="001F2243" w:rsidRPr="00461EC7">
              <w:rPr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sz w:val="18"/>
                <w:szCs w:val="18"/>
                <w:lang w:val="en-GB"/>
              </w:rPr>
              <w:t>P</w:t>
            </w:r>
            <w:r w:rsidR="001F2243" w:rsidRPr="00461EC7">
              <w:rPr>
                <w:sz w:val="18"/>
                <w:szCs w:val="18"/>
                <w:lang w:val="en-GB"/>
              </w:rPr>
              <w:t>ark is a recreation a</w:t>
            </w:r>
            <w:r w:rsidR="00C90DF1" w:rsidRPr="00461EC7">
              <w:rPr>
                <w:sz w:val="18"/>
                <w:szCs w:val="18"/>
                <w:lang w:val="en-GB"/>
              </w:rPr>
              <w:t xml:space="preserve">rea for </w:t>
            </w:r>
            <w:proofErr w:type="spellStart"/>
            <w:r w:rsidR="00C90DF1" w:rsidRPr="00461EC7">
              <w:rPr>
                <w:sz w:val="18"/>
                <w:szCs w:val="18"/>
                <w:lang w:val="en-GB"/>
              </w:rPr>
              <w:t>Utena</w:t>
            </w:r>
            <w:proofErr w:type="spellEnd"/>
            <w:r w:rsidRPr="00461EC7">
              <w:rPr>
                <w:sz w:val="18"/>
                <w:szCs w:val="18"/>
                <w:lang w:val="en-GB"/>
              </w:rPr>
              <w:t xml:space="preserve"> residents</w:t>
            </w:r>
            <w:r w:rsidR="00C90DF1" w:rsidRPr="00461EC7">
              <w:rPr>
                <w:sz w:val="18"/>
                <w:szCs w:val="18"/>
                <w:lang w:val="en-GB"/>
              </w:rPr>
              <w:t xml:space="preserve"> and</w:t>
            </w:r>
            <w:r w:rsidR="001F2243" w:rsidRPr="00461EC7">
              <w:rPr>
                <w:sz w:val="18"/>
                <w:szCs w:val="18"/>
                <w:lang w:val="en-GB"/>
              </w:rPr>
              <w:t xml:space="preserve"> </w:t>
            </w:r>
            <w:r w:rsidR="00C90DF1" w:rsidRPr="00461EC7">
              <w:rPr>
                <w:sz w:val="18"/>
                <w:szCs w:val="18"/>
                <w:lang w:val="en-GB"/>
              </w:rPr>
              <w:t>guests</w:t>
            </w:r>
            <w:r w:rsidRPr="00461EC7">
              <w:rPr>
                <w:sz w:val="18"/>
                <w:szCs w:val="18"/>
                <w:lang w:val="en-GB"/>
              </w:rPr>
              <w:t>. It hosts different</w:t>
            </w:r>
            <w:r w:rsidR="00C90DF1" w:rsidRPr="00461EC7">
              <w:rPr>
                <w:sz w:val="18"/>
                <w:szCs w:val="18"/>
                <w:lang w:val="en-GB"/>
              </w:rPr>
              <w:t xml:space="preserve"> cultural</w:t>
            </w:r>
            <w:r w:rsidR="001F2243" w:rsidRPr="00461EC7">
              <w:rPr>
                <w:sz w:val="18"/>
                <w:szCs w:val="18"/>
                <w:lang w:val="en-GB"/>
              </w:rPr>
              <w:t xml:space="preserve"> events.</w:t>
            </w:r>
          </w:p>
        </w:tc>
      </w:tr>
    </w:tbl>
    <w:p w:rsidR="00BB42E2" w:rsidRPr="00461EC7" w:rsidRDefault="00BB42E2" w:rsidP="00BB42E2">
      <w:pPr>
        <w:pStyle w:val="Pagrindinispaprastastekstas"/>
        <w:rPr>
          <w:lang w:val="en-GB" w:eastAsia="lt-LT"/>
        </w:rPr>
      </w:pPr>
    </w:p>
    <w:p w:rsidR="001412B6" w:rsidRPr="00461EC7" w:rsidRDefault="004A55B0" w:rsidP="001F23A4">
      <w:pPr>
        <w:pStyle w:val="Pagrindinispaprastastekstas"/>
        <w:rPr>
          <w:b/>
          <w:color w:val="1F497D" w:themeColor="text2"/>
          <w:lang w:val="en-GB" w:eastAsia="lt-LT"/>
        </w:rPr>
      </w:pPr>
      <w:r>
        <w:rPr>
          <w:b/>
          <w:color w:val="1F497D" w:themeColor="text2"/>
          <w:lang w:val="en-GB" w:eastAsia="lt-LT"/>
        </w:rPr>
        <w:t>I</w:t>
      </w:r>
      <w:r w:rsidR="00EE10D7" w:rsidRPr="00461EC7">
        <w:rPr>
          <w:b/>
          <w:color w:val="1F497D" w:themeColor="text2"/>
          <w:lang w:val="en-GB" w:eastAsia="lt-LT"/>
        </w:rPr>
        <w:t>mpact of the investments:</w:t>
      </w:r>
    </w:p>
    <w:p w:rsidR="00BF16C7" w:rsidRPr="00461EC7" w:rsidRDefault="0079330D" w:rsidP="00BF16C7">
      <w:pPr>
        <w:pStyle w:val="Pagrindinispaprastastekstas"/>
        <w:numPr>
          <w:ilvl w:val="0"/>
          <w:numId w:val="25"/>
        </w:numPr>
        <w:rPr>
          <w:lang w:val="en-GB" w:eastAsia="lt-LT"/>
        </w:rPr>
      </w:pPr>
      <w:proofErr w:type="gramStart"/>
      <w:r w:rsidRPr="00461EC7">
        <w:rPr>
          <w:lang w:val="en-GB" w:eastAsia="lt-LT"/>
        </w:rPr>
        <w:t>investments</w:t>
      </w:r>
      <w:proofErr w:type="gramEnd"/>
      <w:r w:rsidR="00BF16C7" w:rsidRPr="00461EC7">
        <w:rPr>
          <w:lang w:val="en-GB" w:eastAsia="lt-LT"/>
        </w:rPr>
        <w:t xml:space="preserve"> reduced </w:t>
      </w:r>
      <w:r w:rsidRPr="00461EC7">
        <w:rPr>
          <w:lang w:val="en-GB" w:eastAsia="lt-LT"/>
        </w:rPr>
        <w:t>the</w:t>
      </w:r>
      <w:r w:rsidR="00BF16C7" w:rsidRPr="00461EC7">
        <w:rPr>
          <w:lang w:val="en-GB" w:eastAsia="lt-LT"/>
        </w:rPr>
        <w:t xml:space="preserve"> number of people (families) who are on the waiting list for social housing, especially in the municipalities of </w:t>
      </w:r>
      <w:proofErr w:type="spellStart"/>
      <w:r w:rsidR="00BF16C7" w:rsidRPr="00461EC7">
        <w:rPr>
          <w:lang w:val="en-GB" w:eastAsia="lt-LT"/>
        </w:rPr>
        <w:t>Jurbarkas</w:t>
      </w:r>
      <w:proofErr w:type="spellEnd"/>
      <w:r w:rsidR="00BF16C7" w:rsidRPr="00461EC7">
        <w:rPr>
          <w:lang w:val="en-GB" w:eastAsia="lt-LT"/>
        </w:rPr>
        <w:t xml:space="preserve">, </w:t>
      </w:r>
      <w:proofErr w:type="spellStart"/>
      <w:r w:rsidR="00BF16C7" w:rsidRPr="00461EC7">
        <w:rPr>
          <w:lang w:val="en-GB" w:eastAsia="lt-LT"/>
        </w:rPr>
        <w:t>Kelmė</w:t>
      </w:r>
      <w:proofErr w:type="spellEnd"/>
      <w:r w:rsidR="00BF16C7" w:rsidRPr="00461EC7">
        <w:rPr>
          <w:lang w:val="en-GB" w:eastAsia="lt-LT"/>
        </w:rPr>
        <w:t xml:space="preserve"> and </w:t>
      </w:r>
      <w:proofErr w:type="spellStart"/>
      <w:r w:rsidR="00BF16C7" w:rsidRPr="00461EC7">
        <w:rPr>
          <w:lang w:val="en-GB" w:eastAsia="lt-LT"/>
        </w:rPr>
        <w:t>Joniškis</w:t>
      </w:r>
      <w:proofErr w:type="spellEnd"/>
      <w:r w:rsidR="00BF16C7" w:rsidRPr="00461EC7">
        <w:rPr>
          <w:lang w:val="en-GB" w:eastAsia="lt-LT"/>
        </w:rPr>
        <w:t xml:space="preserve">. </w:t>
      </w:r>
      <w:r w:rsidR="00595A26" w:rsidRPr="00461EC7">
        <w:rPr>
          <w:lang w:val="en-GB" w:eastAsia="lt-LT"/>
        </w:rPr>
        <w:t>Without the</w:t>
      </w:r>
      <w:r w:rsidR="00BF16C7" w:rsidRPr="00461EC7">
        <w:rPr>
          <w:lang w:val="en-GB" w:eastAsia="lt-LT"/>
        </w:rPr>
        <w:t xml:space="preserve"> investment, the waiting list for social housing in these municipalities would </w:t>
      </w:r>
      <w:r w:rsidRPr="00461EC7">
        <w:rPr>
          <w:lang w:val="en-GB" w:eastAsia="lt-LT"/>
        </w:rPr>
        <w:t xml:space="preserve">have </w:t>
      </w:r>
      <w:r w:rsidR="00BF16C7" w:rsidRPr="00461EC7">
        <w:rPr>
          <w:lang w:val="en-GB" w:eastAsia="lt-LT"/>
        </w:rPr>
        <w:t>be</w:t>
      </w:r>
      <w:r w:rsidRPr="00461EC7">
        <w:rPr>
          <w:lang w:val="en-GB" w:eastAsia="lt-LT"/>
        </w:rPr>
        <w:t>en</w:t>
      </w:r>
      <w:r w:rsidR="00BF16C7" w:rsidRPr="00461EC7">
        <w:rPr>
          <w:lang w:val="en-GB" w:eastAsia="lt-LT"/>
        </w:rPr>
        <w:t xml:space="preserve"> 10% </w:t>
      </w:r>
      <w:r w:rsidRPr="00461EC7">
        <w:rPr>
          <w:lang w:val="en-GB" w:eastAsia="lt-LT"/>
        </w:rPr>
        <w:t>longer</w:t>
      </w:r>
      <w:r w:rsidR="004A55B0">
        <w:rPr>
          <w:lang w:val="en-GB" w:eastAsia="lt-LT"/>
        </w:rPr>
        <w:t>;</w:t>
      </w:r>
      <w:r w:rsidR="00BF16C7" w:rsidRPr="00461EC7">
        <w:rPr>
          <w:rStyle w:val="EndnoteReference"/>
          <w:lang w:val="en-GB" w:eastAsia="lt-LT"/>
        </w:rPr>
        <w:endnoteReference w:id="1"/>
      </w:r>
    </w:p>
    <w:p w:rsidR="00183699" w:rsidRPr="00461EC7" w:rsidRDefault="00183699" w:rsidP="006C7204">
      <w:pPr>
        <w:pStyle w:val="Pagrindinispaprastastekstas"/>
        <w:numPr>
          <w:ilvl w:val="0"/>
          <w:numId w:val="25"/>
        </w:numPr>
        <w:rPr>
          <w:lang w:val="en-GB" w:eastAsia="lt-LT"/>
        </w:rPr>
      </w:pPr>
      <w:r w:rsidRPr="00461EC7">
        <w:rPr>
          <w:lang w:val="en-GB" w:eastAsia="lt-LT"/>
        </w:rPr>
        <w:t xml:space="preserve">EU investments and national contributions to </w:t>
      </w:r>
      <w:r w:rsidR="0079330D" w:rsidRPr="00461EC7">
        <w:rPr>
          <w:lang w:val="en-GB" w:eastAsia="lt-LT"/>
        </w:rPr>
        <w:t xml:space="preserve">the </w:t>
      </w:r>
      <w:r w:rsidRPr="00461EC7">
        <w:rPr>
          <w:lang w:val="en-GB" w:eastAsia="lt-LT"/>
        </w:rPr>
        <w:t>moderni</w:t>
      </w:r>
      <w:r w:rsidR="0079330D" w:rsidRPr="00461EC7">
        <w:rPr>
          <w:lang w:val="en-GB" w:eastAsia="lt-LT"/>
        </w:rPr>
        <w:t>s</w:t>
      </w:r>
      <w:r w:rsidRPr="00461EC7">
        <w:rPr>
          <w:lang w:val="en-GB" w:eastAsia="lt-LT"/>
        </w:rPr>
        <w:t xml:space="preserve">ation of public spaces and infrastructure </w:t>
      </w:r>
      <w:r w:rsidR="00595A26" w:rsidRPr="00461EC7">
        <w:rPr>
          <w:lang w:val="en-GB" w:eastAsia="lt-LT"/>
        </w:rPr>
        <w:t xml:space="preserve">in cities, towns and rural areas </w:t>
      </w:r>
      <w:r w:rsidRPr="00461EC7">
        <w:rPr>
          <w:lang w:val="en-GB" w:eastAsia="lt-LT"/>
        </w:rPr>
        <w:t xml:space="preserve">accounted for 20% of </w:t>
      </w:r>
      <w:r w:rsidR="0079330D" w:rsidRPr="00461EC7">
        <w:rPr>
          <w:lang w:val="en-GB" w:eastAsia="lt-LT"/>
        </w:rPr>
        <w:t xml:space="preserve">the </w:t>
      </w:r>
      <w:r w:rsidR="00196FEC" w:rsidRPr="00461EC7">
        <w:rPr>
          <w:lang w:val="en-GB" w:eastAsia="lt-LT"/>
        </w:rPr>
        <w:t xml:space="preserve">annual appropriation to </w:t>
      </w:r>
      <w:r w:rsidR="0079330D" w:rsidRPr="00461EC7">
        <w:rPr>
          <w:lang w:val="en-GB" w:eastAsia="lt-LT"/>
        </w:rPr>
        <w:t xml:space="preserve">the </w:t>
      </w:r>
      <w:r w:rsidR="00196FEC" w:rsidRPr="00461EC7">
        <w:rPr>
          <w:lang w:val="en-GB" w:eastAsia="lt-LT"/>
        </w:rPr>
        <w:t>budget of municipalities</w:t>
      </w:r>
      <w:r w:rsidRPr="00461EC7">
        <w:rPr>
          <w:lang w:val="en-GB" w:eastAsia="lt-LT"/>
        </w:rPr>
        <w:t xml:space="preserve">. </w:t>
      </w:r>
      <w:r w:rsidR="006C7204" w:rsidRPr="00461EC7">
        <w:rPr>
          <w:lang w:val="en-GB" w:eastAsia="lt-LT"/>
        </w:rPr>
        <w:t xml:space="preserve">Without the OPPC, investments of the same scale to </w:t>
      </w:r>
      <w:r w:rsidR="0079330D" w:rsidRPr="00461EC7">
        <w:rPr>
          <w:lang w:val="en-GB" w:eastAsia="lt-LT"/>
        </w:rPr>
        <w:t xml:space="preserve">the </w:t>
      </w:r>
      <w:r w:rsidR="006C7204" w:rsidRPr="00461EC7">
        <w:rPr>
          <w:lang w:val="en-GB" w:eastAsia="lt-LT"/>
        </w:rPr>
        <w:t>moderni</w:t>
      </w:r>
      <w:r w:rsidR="0079330D" w:rsidRPr="00461EC7">
        <w:rPr>
          <w:lang w:val="en-GB" w:eastAsia="lt-LT"/>
        </w:rPr>
        <w:t>s</w:t>
      </w:r>
      <w:r w:rsidR="006C7204" w:rsidRPr="00461EC7">
        <w:rPr>
          <w:lang w:val="en-GB" w:eastAsia="lt-LT"/>
        </w:rPr>
        <w:t>ation of public infrastructure would not be possible</w:t>
      </w:r>
      <w:r w:rsidR="004A55B0">
        <w:rPr>
          <w:lang w:val="en-GB" w:eastAsia="lt-LT"/>
        </w:rPr>
        <w:t>;</w:t>
      </w:r>
      <w:r w:rsidR="006C7204" w:rsidRPr="00461EC7">
        <w:rPr>
          <w:rStyle w:val="EndnoteReference"/>
          <w:lang w:val="en-GB" w:eastAsia="lt-LT"/>
        </w:rPr>
        <w:endnoteReference w:id="2"/>
      </w:r>
    </w:p>
    <w:p w:rsidR="00183699" w:rsidRPr="00461EC7" w:rsidRDefault="004A55B0" w:rsidP="00800A75">
      <w:pPr>
        <w:pStyle w:val="Pagrindinispaprastastekstas"/>
        <w:numPr>
          <w:ilvl w:val="0"/>
          <w:numId w:val="25"/>
        </w:numPr>
        <w:rPr>
          <w:lang w:val="en-GB" w:eastAsia="lt-LT"/>
        </w:rPr>
      </w:pPr>
      <w:proofErr w:type="gramStart"/>
      <w:r>
        <w:rPr>
          <w:lang w:val="en-GB" w:eastAsia="lt-LT"/>
        </w:rPr>
        <w:t>p</w:t>
      </w:r>
      <w:r w:rsidR="00800A75" w:rsidRPr="00461EC7">
        <w:rPr>
          <w:lang w:val="en-GB" w:eastAsia="lt-LT"/>
        </w:rPr>
        <w:t>rojects</w:t>
      </w:r>
      <w:proofErr w:type="gramEnd"/>
      <w:r w:rsidR="00800A75" w:rsidRPr="00461EC7">
        <w:rPr>
          <w:lang w:val="en-GB" w:eastAsia="lt-LT"/>
        </w:rPr>
        <w:t xml:space="preserve"> increased </w:t>
      </w:r>
      <w:r w:rsidR="0079330D" w:rsidRPr="00461EC7">
        <w:rPr>
          <w:lang w:val="en-GB" w:eastAsia="lt-LT"/>
        </w:rPr>
        <w:t xml:space="preserve">material </w:t>
      </w:r>
      <w:r w:rsidR="00800A75" w:rsidRPr="00461EC7">
        <w:rPr>
          <w:lang w:val="en-GB" w:eastAsia="lt-LT"/>
        </w:rPr>
        <w:t>investment</w:t>
      </w:r>
      <w:r w:rsidR="00EA7F40" w:rsidRPr="00461EC7">
        <w:rPr>
          <w:lang w:val="en-GB" w:eastAsia="lt-LT"/>
        </w:rPr>
        <w:t>s</w:t>
      </w:r>
      <w:r w:rsidR="00800A75" w:rsidRPr="00461EC7">
        <w:rPr>
          <w:lang w:val="en-GB" w:eastAsia="lt-LT"/>
        </w:rPr>
        <w:t xml:space="preserve">, which is one of the most important factors in facilitating the GDP growth. The EU </w:t>
      </w:r>
      <w:r w:rsidR="0079330D" w:rsidRPr="00461EC7">
        <w:rPr>
          <w:lang w:val="en-GB" w:eastAsia="lt-LT"/>
        </w:rPr>
        <w:t>S</w:t>
      </w:r>
      <w:r w:rsidR="00800A75" w:rsidRPr="00461EC7">
        <w:rPr>
          <w:lang w:val="en-GB" w:eastAsia="lt-LT"/>
        </w:rPr>
        <w:t xml:space="preserve">tructural </w:t>
      </w:r>
      <w:r w:rsidR="0079330D" w:rsidRPr="00461EC7">
        <w:rPr>
          <w:lang w:val="en-GB" w:eastAsia="lt-LT"/>
        </w:rPr>
        <w:t>F</w:t>
      </w:r>
      <w:r w:rsidR="00800A75" w:rsidRPr="00461EC7">
        <w:rPr>
          <w:lang w:val="en-GB" w:eastAsia="lt-LT"/>
        </w:rPr>
        <w:t xml:space="preserve">unds accounted for 25% of all </w:t>
      </w:r>
      <w:r w:rsidR="0079330D" w:rsidRPr="00461EC7">
        <w:rPr>
          <w:lang w:val="en-GB" w:eastAsia="lt-LT"/>
        </w:rPr>
        <w:t xml:space="preserve">the material </w:t>
      </w:r>
      <w:r w:rsidR="00800A75" w:rsidRPr="00461EC7">
        <w:rPr>
          <w:lang w:val="en-GB" w:eastAsia="lt-LT"/>
        </w:rPr>
        <w:t xml:space="preserve">investments in Lithuania </w:t>
      </w:r>
      <w:r w:rsidR="0079330D" w:rsidRPr="00461EC7">
        <w:rPr>
          <w:lang w:val="en-GB" w:eastAsia="lt-LT"/>
        </w:rPr>
        <w:t xml:space="preserve">between </w:t>
      </w:r>
      <w:r w:rsidR="00800A75" w:rsidRPr="00461EC7">
        <w:rPr>
          <w:lang w:val="en-GB" w:eastAsia="lt-LT"/>
        </w:rPr>
        <w:t>2009</w:t>
      </w:r>
      <w:r w:rsidR="0079330D" w:rsidRPr="00461EC7">
        <w:rPr>
          <w:lang w:val="en-GB" w:eastAsia="lt-LT"/>
        </w:rPr>
        <w:t xml:space="preserve"> and </w:t>
      </w:r>
      <w:r w:rsidR="00800A75" w:rsidRPr="00461EC7">
        <w:rPr>
          <w:lang w:val="en-GB" w:eastAsia="lt-LT"/>
        </w:rPr>
        <w:t>2013</w:t>
      </w:r>
      <w:r>
        <w:rPr>
          <w:lang w:val="en-GB" w:eastAsia="lt-LT"/>
        </w:rPr>
        <w:t>;</w:t>
      </w:r>
      <w:r w:rsidR="00800A75" w:rsidRPr="00461EC7">
        <w:rPr>
          <w:rStyle w:val="EndnoteReference"/>
          <w:lang w:val="en-GB" w:eastAsia="lt-LT"/>
        </w:rPr>
        <w:endnoteReference w:id="3"/>
      </w:r>
    </w:p>
    <w:p w:rsidR="00183699" w:rsidRPr="00461EC7" w:rsidRDefault="004A55B0" w:rsidP="00BF16C7">
      <w:pPr>
        <w:pStyle w:val="Pagrindinispaprastastekstas"/>
        <w:numPr>
          <w:ilvl w:val="0"/>
          <w:numId w:val="25"/>
        </w:numPr>
        <w:rPr>
          <w:lang w:val="en-GB" w:eastAsia="lt-LT"/>
        </w:rPr>
      </w:pPr>
      <w:proofErr w:type="gramStart"/>
      <w:r>
        <w:rPr>
          <w:lang w:val="en-GB" w:eastAsia="lt-LT"/>
        </w:rPr>
        <w:t>t</w:t>
      </w:r>
      <w:r w:rsidR="00262D57" w:rsidRPr="00461EC7">
        <w:rPr>
          <w:lang w:val="en-GB" w:eastAsia="lt-LT"/>
        </w:rPr>
        <w:t>he</w:t>
      </w:r>
      <w:proofErr w:type="gramEnd"/>
      <w:r w:rsidR="00262D57" w:rsidRPr="00461EC7">
        <w:rPr>
          <w:lang w:val="en-GB" w:eastAsia="lt-LT"/>
        </w:rPr>
        <w:t xml:space="preserve"> </w:t>
      </w:r>
      <w:r w:rsidR="00595A26" w:rsidRPr="00461EC7">
        <w:rPr>
          <w:lang w:val="en-GB" w:eastAsia="lt-LT"/>
        </w:rPr>
        <w:t>q</w:t>
      </w:r>
      <w:r w:rsidR="00E241AB" w:rsidRPr="00461EC7">
        <w:rPr>
          <w:lang w:val="en-GB" w:eastAsia="lt-LT"/>
        </w:rPr>
        <w:t xml:space="preserve">uality of </w:t>
      </w:r>
      <w:r w:rsidR="0079330D" w:rsidRPr="00461EC7">
        <w:rPr>
          <w:lang w:val="en-GB" w:eastAsia="lt-LT"/>
        </w:rPr>
        <w:t>l</w:t>
      </w:r>
      <w:r w:rsidR="00E241AB" w:rsidRPr="00461EC7">
        <w:rPr>
          <w:lang w:val="en-GB" w:eastAsia="lt-LT"/>
        </w:rPr>
        <w:t>ife</w:t>
      </w:r>
      <w:r w:rsidR="0006320C" w:rsidRPr="00461EC7">
        <w:rPr>
          <w:lang w:val="en-GB" w:eastAsia="lt-LT"/>
        </w:rPr>
        <w:t xml:space="preserve"> </w:t>
      </w:r>
      <w:r w:rsidR="00262D57" w:rsidRPr="00461EC7">
        <w:rPr>
          <w:lang w:val="en-GB" w:eastAsia="lt-LT"/>
        </w:rPr>
        <w:t>improved in 42 of 60</w:t>
      </w:r>
      <w:r w:rsidR="0079330D" w:rsidRPr="00461EC7">
        <w:rPr>
          <w:lang w:val="en-GB" w:eastAsia="lt-LT"/>
        </w:rPr>
        <w:t> </w:t>
      </w:r>
      <w:r w:rsidR="00262D57" w:rsidRPr="00461EC7">
        <w:rPr>
          <w:lang w:val="en-GB" w:eastAsia="lt-LT"/>
        </w:rPr>
        <w:t xml:space="preserve">municipalities in the </w:t>
      </w:r>
      <w:r w:rsidR="0079330D" w:rsidRPr="00461EC7">
        <w:rPr>
          <w:lang w:val="en-GB" w:eastAsia="lt-LT"/>
        </w:rPr>
        <w:t>2007–2014</w:t>
      </w:r>
      <w:r w:rsidR="00595A26" w:rsidRPr="00461EC7">
        <w:rPr>
          <w:lang w:val="en-GB" w:eastAsia="lt-LT"/>
        </w:rPr>
        <w:t xml:space="preserve"> </w:t>
      </w:r>
      <w:r w:rsidR="00262D57" w:rsidRPr="00461EC7">
        <w:rPr>
          <w:lang w:val="en-GB" w:eastAsia="lt-LT"/>
        </w:rPr>
        <w:t xml:space="preserve">period. Moreover, the </w:t>
      </w:r>
      <w:r w:rsidR="00595A26" w:rsidRPr="00461EC7">
        <w:rPr>
          <w:lang w:val="en-GB" w:eastAsia="lt-LT"/>
        </w:rPr>
        <w:t>q</w:t>
      </w:r>
      <w:r w:rsidR="00974300" w:rsidRPr="00461EC7">
        <w:rPr>
          <w:lang w:val="en-GB" w:eastAsia="lt-LT"/>
        </w:rPr>
        <w:t xml:space="preserve">uality of </w:t>
      </w:r>
      <w:r w:rsidR="0079330D" w:rsidRPr="00461EC7">
        <w:rPr>
          <w:lang w:val="en-GB" w:eastAsia="lt-LT"/>
        </w:rPr>
        <w:t>l</w:t>
      </w:r>
      <w:r w:rsidR="00974300" w:rsidRPr="00461EC7">
        <w:rPr>
          <w:lang w:val="en-GB" w:eastAsia="lt-LT"/>
        </w:rPr>
        <w:t xml:space="preserve">ife index’s dimension </w:t>
      </w:r>
      <w:r w:rsidR="00EA7F40" w:rsidRPr="00461EC7">
        <w:rPr>
          <w:lang w:val="en-GB" w:eastAsia="lt-LT"/>
        </w:rPr>
        <w:t>of</w:t>
      </w:r>
      <w:r w:rsidR="00974300" w:rsidRPr="00461EC7">
        <w:rPr>
          <w:lang w:val="en-GB" w:eastAsia="lt-LT"/>
        </w:rPr>
        <w:t xml:space="preserve"> public infrastructure and living environment increased in 59 o</w:t>
      </w:r>
      <w:r w:rsidR="0079330D" w:rsidRPr="00461EC7">
        <w:rPr>
          <w:lang w:val="en-GB" w:eastAsia="lt-LT"/>
        </w:rPr>
        <w:t>f</w:t>
      </w:r>
      <w:r w:rsidR="00974300" w:rsidRPr="00461EC7">
        <w:rPr>
          <w:lang w:val="en-GB" w:eastAsia="lt-LT"/>
        </w:rPr>
        <w:t xml:space="preserve"> 60 municipalities in the same period</w:t>
      </w:r>
      <w:r>
        <w:rPr>
          <w:lang w:val="en-GB" w:eastAsia="lt-LT"/>
        </w:rPr>
        <w:t>;</w:t>
      </w:r>
      <w:r w:rsidR="00974300" w:rsidRPr="00461EC7">
        <w:rPr>
          <w:rStyle w:val="EndnoteReference"/>
          <w:lang w:val="en-GB" w:eastAsia="lt-LT"/>
        </w:rPr>
        <w:endnoteReference w:id="4"/>
      </w:r>
    </w:p>
    <w:p w:rsidR="00797FF9" w:rsidRPr="00461EC7" w:rsidRDefault="004A55B0" w:rsidP="00BF16C7">
      <w:pPr>
        <w:pStyle w:val="Pagrindinispaprastastekstas"/>
        <w:numPr>
          <w:ilvl w:val="0"/>
          <w:numId w:val="25"/>
        </w:numPr>
        <w:rPr>
          <w:lang w:val="en-GB" w:eastAsia="lt-LT"/>
        </w:rPr>
      </w:pPr>
      <w:r>
        <w:rPr>
          <w:lang w:val="en-GB" w:eastAsia="lt-LT"/>
        </w:rPr>
        <w:t>R</w:t>
      </w:r>
      <w:r w:rsidR="00974300" w:rsidRPr="00461EC7">
        <w:rPr>
          <w:lang w:val="en-GB" w:eastAsia="lt-LT"/>
        </w:rPr>
        <w:t>egion</w:t>
      </w:r>
      <w:r w:rsidR="00797FF9" w:rsidRPr="00461EC7">
        <w:rPr>
          <w:lang w:val="en-GB" w:eastAsia="lt-LT"/>
        </w:rPr>
        <w:t>al</w:t>
      </w:r>
      <w:r w:rsidR="00974300" w:rsidRPr="00461EC7">
        <w:rPr>
          <w:lang w:val="en-GB" w:eastAsia="lt-LT"/>
        </w:rPr>
        <w:t xml:space="preserve"> GDP per capita increased in all</w:t>
      </w:r>
      <w:r w:rsidR="00797FF9" w:rsidRPr="00461EC7">
        <w:rPr>
          <w:lang w:val="en-GB" w:eastAsia="lt-LT"/>
        </w:rPr>
        <w:t xml:space="preserve"> Lithuanian</w:t>
      </w:r>
      <w:r w:rsidR="00974300" w:rsidRPr="00461EC7">
        <w:rPr>
          <w:lang w:val="en-GB" w:eastAsia="lt-LT"/>
        </w:rPr>
        <w:t xml:space="preserve"> regions </w:t>
      </w:r>
      <w:r w:rsidR="0079330D" w:rsidRPr="00461EC7">
        <w:rPr>
          <w:lang w:val="en-GB" w:eastAsia="lt-LT"/>
        </w:rPr>
        <w:t>between</w:t>
      </w:r>
      <w:r w:rsidR="00974300" w:rsidRPr="00461EC7">
        <w:rPr>
          <w:lang w:val="en-GB" w:eastAsia="lt-LT"/>
        </w:rPr>
        <w:t xml:space="preserve"> 2007</w:t>
      </w:r>
      <w:r w:rsidR="0079330D" w:rsidRPr="00461EC7">
        <w:rPr>
          <w:lang w:val="en-GB" w:eastAsia="lt-LT"/>
        </w:rPr>
        <w:t xml:space="preserve"> and </w:t>
      </w:r>
      <w:r w:rsidR="00974300" w:rsidRPr="00461EC7">
        <w:rPr>
          <w:lang w:val="en-GB" w:eastAsia="lt-LT"/>
        </w:rPr>
        <w:t xml:space="preserve">2014 (the least in </w:t>
      </w:r>
      <w:proofErr w:type="spellStart"/>
      <w:r w:rsidR="00974300" w:rsidRPr="00461EC7">
        <w:rPr>
          <w:lang w:val="en-GB" w:eastAsia="lt-LT"/>
        </w:rPr>
        <w:t>Utena</w:t>
      </w:r>
      <w:proofErr w:type="spellEnd"/>
      <w:r w:rsidR="00974300" w:rsidRPr="00461EC7">
        <w:rPr>
          <w:lang w:val="en-GB" w:eastAsia="lt-LT"/>
        </w:rPr>
        <w:t xml:space="preserve"> region</w:t>
      </w:r>
      <w:r w:rsidR="0079330D" w:rsidRPr="00461EC7">
        <w:rPr>
          <w:lang w:val="en-GB" w:eastAsia="lt-LT"/>
        </w:rPr>
        <w:t> </w:t>
      </w:r>
      <w:r w:rsidR="00797FF9" w:rsidRPr="00461EC7">
        <w:rPr>
          <w:lang w:val="en-GB" w:eastAsia="lt-LT"/>
        </w:rPr>
        <w:t>–</w:t>
      </w:r>
      <w:r w:rsidR="0079330D" w:rsidRPr="00461EC7">
        <w:rPr>
          <w:lang w:val="en-GB" w:eastAsia="lt-LT"/>
        </w:rPr>
        <w:t xml:space="preserve"> by </w:t>
      </w:r>
      <w:r w:rsidR="00797FF9" w:rsidRPr="00461EC7">
        <w:rPr>
          <w:lang w:val="en-GB" w:eastAsia="lt-LT"/>
        </w:rPr>
        <w:t xml:space="preserve">16%, the most in </w:t>
      </w:r>
      <w:proofErr w:type="spellStart"/>
      <w:r w:rsidR="00797FF9" w:rsidRPr="00461EC7">
        <w:rPr>
          <w:lang w:val="en-GB" w:eastAsia="lt-LT"/>
        </w:rPr>
        <w:t>Tauragė</w:t>
      </w:r>
      <w:proofErr w:type="spellEnd"/>
      <w:r w:rsidR="00797FF9" w:rsidRPr="00461EC7">
        <w:rPr>
          <w:lang w:val="en-GB" w:eastAsia="lt-LT"/>
        </w:rPr>
        <w:t xml:space="preserve"> region</w:t>
      </w:r>
      <w:r w:rsidR="0079330D" w:rsidRPr="00461EC7">
        <w:rPr>
          <w:lang w:val="en-GB" w:eastAsia="lt-LT"/>
        </w:rPr>
        <w:t> </w:t>
      </w:r>
      <w:r w:rsidR="00797FF9" w:rsidRPr="00461EC7">
        <w:rPr>
          <w:lang w:val="en-GB" w:eastAsia="lt-LT"/>
        </w:rPr>
        <w:t xml:space="preserve">– </w:t>
      </w:r>
      <w:r w:rsidR="0079330D" w:rsidRPr="00461EC7">
        <w:rPr>
          <w:lang w:val="en-GB" w:eastAsia="lt-LT"/>
        </w:rPr>
        <w:t xml:space="preserve">by </w:t>
      </w:r>
      <w:r w:rsidR="00797FF9" w:rsidRPr="00461EC7">
        <w:rPr>
          <w:lang w:val="en-GB" w:eastAsia="lt-LT"/>
        </w:rPr>
        <w:t xml:space="preserve">71%, while the average was 38%). </w:t>
      </w:r>
      <w:r w:rsidR="0079330D" w:rsidRPr="00461EC7">
        <w:rPr>
          <w:lang w:val="en-GB" w:eastAsia="lt-LT"/>
        </w:rPr>
        <w:t>M</w:t>
      </w:r>
      <w:r w:rsidR="00797FF9" w:rsidRPr="00461EC7">
        <w:rPr>
          <w:lang w:val="en-GB" w:eastAsia="lt-LT"/>
        </w:rPr>
        <w:t xml:space="preserve">ost regions (7 of 10) </w:t>
      </w:r>
      <w:r w:rsidR="0079330D" w:rsidRPr="00461EC7">
        <w:rPr>
          <w:lang w:val="en-GB" w:eastAsia="lt-LT"/>
        </w:rPr>
        <w:t xml:space="preserve">were getting closer </w:t>
      </w:r>
      <w:r w:rsidR="00797FF9" w:rsidRPr="00461EC7">
        <w:rPr>
          <w:lang w:val="en-GB" w:eastAsia="lt-LT"/>
        </w:rPr>
        <w:t>to the country’s average in terms of GDP per capita</w:t>
      </w:r>
      <w:r w:rsidR="0079330D" w:rsidRPr="00461EC7">
        <w:rPr>
          <w:lang w:val="en-GB" w:eastAsia="lt-LT"/>
        </w:rPr>
        <w:t>.</w:t>
      </w:r>
      <w:r w:rsidR="00797FF9" w:rsidRPr="00461EC7">
        <w:rPr>
          <w:lang w:val="en-GB" w:eastAsia="lt-LT"/>
        </w:rPr>
        <w:t xml:space="preserve"> </w:t>
      </w:r>
      <w:r w:rsidR="0079330D" w:rsidRPr="00461EC7">
        <w:rPr>
          <w:lang w:val="en-GB" w:eastAsia="lt-LT"/>
        </w:rPr>
        <w:t>GDP per capita</w:t>
      </w:r>
      <w:r w:rsidR="00797FF9" w:rsidRPr="00461EC7">
        <w:rPr>
          <w:lang w:val="en-GB" w:eastAsia="lt-LT"/>
        </w:rPr>
        <w:t xml:space="preserve"> was lower </w:t>
      </w:r>
      <w:r w:rsidR="0079330D" w:rsidRPr="00461EC7">
        <w:rPr>
          <w:lang w:val="en-GB" w:eastAsia="lt-LT"/>
        </w:rPr>
        <w:t>in most regions (except</w:t>
      </w:r>
      <w:r w:rsidR="00595A26" w:rsidRPr="00461EC7">
        <w:rPr>
          <w:lang w:val="en-GB" w:eastAsia="lt-LT"/>
        </w:rPr>
        <w:t xml:space="preserve"> for</w:t>
      </w:r>
      <w:r w:rsidR="0079330D" w:rsidRPr="00461EC7">
        <w:rPr>
          <w:lang w:val="en-GB" w:eastAsia="lt-LT"/>
        </w:rPr>
        <w:t xml:space="preserve"> Vilnius and </w:t>
      </w:r>
      <w:proofErr w:type="spellStart"/>
      <w:r w:rsidR="0079330D" w:rsidRPr="00461EC7">
        <w:rPr>
          <w:lang w:val="en-GB" w:eastAsia="lt-LT"/>
        </w:rPr>
        <w:t>Klaipėda</w:t>
      </w:r>
      <w:proofErr w:type="spellEnd"/>
      <w:r w:rsidR="0079330D" w:rsidRPr="00461EC7">
        <w:rPr>
          <w:lang w:val="en-GB" w:eastAsia="lt-LT"/>
        </w:rPr>
        <w:t xml:space="preserve">) </w:t>
      </w:r>
      <w:r w:rsidR="00797FF9" w:rsidRPr="00461EC7">
        <w:rPr>
          <w:lang w:val="en-GB" w:eastAsia="lt-LT"/>
        </w:rPr>
        <w:t>compared to the country</w:t>
      </w:r>
      <w:r w:rsidR="00AD64FC" w:rsidRPr="00461EC7">
        <w:rPr>
          <w:lang w:val="en-GB" w:eastAsia="lt-LT"/>
        </w:rPr>
        <w:t>’</w:t>
      </w:r>
      <w:r w:rsidR="00797FF9" w:rsidRPr="00461EC7">
        <w:rPr>
          <w:lang w:val="en-GB" w:eastAsia="lt-LT"/>
        </w:rPr>
        <w:t xml:space="preserve">s average, </w:t>
      </w:r>
      <w:r w:rsidR="0079330D" w:rsidRPr="00461EC7">
        <w:rPr>
          <w:lang w:val="en-GB" w:eastAsia="lt-LT"/>
        </w:rPr>
        <w:t>therefore</w:t>
      </w:r>
      <w:r w:rsidR="00797FF9" w:rsidRPr="00461EC7">
        <w:rPr>
          <w:lang w:val="en-GB" w:eastAsia="lt-LT"/>
        </w:rPr>
        <w:t xml:space="preserve"> higher than average growth</w:t>
      </w:r>
      <w:r w:rsidR="00EA7F40" w:rsidRPr="00461EC7">
        <w:rPr>
          <w:lang w:val="en-GB" w:eastAsia="lt-LT"/>
        </w:rPr>
        <w:t xml:space="preserve"> </w:t>
      </w:r>
      <w:r w:rsidR="00595A26" w:rsidRPr="00461EC7">
        <w:rPr>
          <w:lang w:val="en-GB" w:eastAsia="lt-LT"/>
        </w:rPr>
        <w:t>in</w:t>
      </w:r>
      <w:r w:rsidR="00EA7F40" w:rsidRPr="00461EC7">
        <w:rPr>
          <w:lang w:val="en-GB" w:eastAsia="lt-LT"/>
        </w:rPr>
        <w:t xml:space="preserve"> other regions</w:t>
      </w:r>
      <w:r w:rsidR="00797FF9" w:rsidRPr="00461EC7">
        <w:rPr>
          <w:lang w:val="en-GB" w:eastAsia="lt-LT"/>
        </w:rPr>
        <w:t xml:space="preserve"> was a positive trend</w:t>
      </w:r>
      <w:r w:rsidR="0079330D" w:rsidRPr="00461EC7">
        <w:rPr>
          <w:lang w:val="en-GB" w:eastAsia="lt-LT"/>
        </w:rPr>
        <w:t xml:space="preserve"> and reduced regional disparities</w:t>
      </w:r>
      <w:r w:rsidR="00797FF9" w:rsidRPr="00461EC7">
        <w:rPr>
          <w:lang w:val="en-GB" w:eastAsia="lt-LT"/>
        </w:rPr>
        <w:t>.</w:t>
      </w:r>
    </w:p>
    <w:p w:rsidR="0046175C" w:rsidRPr="00461EC7" w:rsidRDefault="00797FF9" w:rsidP="00BB42E2">
      <w:pPr>
        <w:pStyle w:val="Nenumeruojamosantrastes"/>
        <w:rPr>
          <w:lang w:val="en-GB"/>
        </w:rPr>
      </w:pPr>
      <w:bookmarkStart w:id="6" w:name="_Toc468106952"/>
      <w:bookmarkStart w:id="7" w:name="_Toc468114520"/>
      <w:r w:rsidRPr="00461EC7">
        <w:rPr>
          <w:lang w:val="en-GB"/>
        </w:rPr>
        <w:t xml:space="preserve">results of the </w:t>
      </w:r>
      <w:r w:rsidR="0079330D" w:rsidRPr="00461EC7">
        <w:rPr>
          <w:lang w:val="en-GB"/>
        </w:rPr>
        <w:t xml:space="preserve">OPPC </w:t>
      </w:r>
      <w:r w:rsidRPr="00461EC7">
        <w:rPr>
          <w:lang w:val="en-GB"/>
        </w:rPr>
        <w:t xml:space="preserve">implementation: Cultural heritage, </w:t>
      </w:r>
      <w:r w:rsidR="0001316A" w:rsidRPr="00461EC7">
        <w:rPr>
          <w:lang w:val="en-GB"/>
        </w:rPr>
        <w:t>tourism infrastructure and services</w:t>
      </w:r>
      <w:bookmarkEnd w:id="6"/>
      <w:bookmarkEnd w:id="7"/>
    </w:p>
    <w:p w:rsidR="002339A0" w:rsidRPr="00461EC7" w:rsidRDefault="004C0F6A" w:rsidP="002339A0">
      <w:pPr>
        <w:pStyle w:val="Pagrindinispaprastastekstas"/>
        <w:rPr>
          <w:b/>
          <w:color w:val="1F497D" w:themeColor="text2"/>
          <w:lang w:val="en-GB" w:eastAsia="lt-LT"/>
        </w:rPr>
      </w:pPr>
      <w:r w:rsidRPr="00461EC7">
        <w:rPr>
          <w:b/>
          <w:color w:val="1F497D" w:themeColor="text2"/>
          <w:lang w:val="en-GB" w:eastAsia="lt-LT"/>
        </w:rPr>
        <w:t xml:space="preserve">The main outputs </w:t>
      </w:r>
      <w:r w:rsidR="002339A0" w:rsidRPr="00461EC7">
        <w:rPr>
          <w:b/>
          <w:color w:val="1F497D" w:themeColor="text2"/>
          <w:lang w:val="en-GB" w:eastAsia="lt-LT"/>
        </w:rPr>
        <w:t xml:space="preserve">and results </w:t>
      </w:r>
    </w:p>
    <w:p w:rsidR="00E66F06" w:rsidRPr="00461EC7" w:rsidRDefault="00E66F06" w:rsidP="0046175C">
      <w:pPr>
        <w:pStyle w:val="Pagrindinispaprastastekstas"/>
        <w:rPr>
          <w:lang w:val="en-GB" w:eastAsia="lt-LT"/>
        </w:rPr>
      </w:pPr>
      <w:r w:rsidRPr="00461EC7">
        <w:rPr>
          <w:noProof/>
          <w:lang w:eastAsia="lt-LT"/>
        </w:rPr>
        <w:drawing>
          <wp:inline distT="0" distB="0" distL="0" distR="0" wp14:anchorId="63B261E4" wp14:editId="4D624F14">
            <wp:extent cx="6085840" cy="1239352"/>
            <wp:effectExtent l="0" t="0" r="10160" b="1841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66F06" w:rsidRPr="00461EC7" w:rsidRDefault="00E66F06" w:rsidP="0046175C">
      <w:pPr>
        <w:pStyle w:val="Pagrindinispaprastastekstas"/>
        <w:rPr>
          <w:lang w:val="en-GB" w:eastAsia="lt-LT"/>
        </w:rPr>
      </w:pPr>
    </w:p>
    <w:p w:rsidR="0001316A" w:rsidRPr="00461EC7" w:rsidRDefault="0001316A" w:rsidP="00AD73DD">
      <w:pPr>
        <w:pStyle w:val="Pagrindinispaprastastekstas"/>
        <w:numPr>
          <w:ilvl w:val="0"/>
          <w:numId w:val="27"/>
        </w:numPr>
        <w:rPr>
          <w:lang w:val="en-GB" w:eastAsia="lt-LT"/>
        </w:rPr>
      </w:pPr>
      <w:r w:rsidRPr="00461EC7">
        <w:rPr>
          <w:lang w:val="en-GB" w:eastAsia="lt-LT"/>
        </w:rPr>
        <w:t>288</w:t>
      </w:r>
      <w:r w:rsidR="00595A26" w:rsidRPr="00461EC7">
        <w:rPr>
          <w:lang w:val="en-GB" w:eastAsia="lt-LT"/>
        </w:rPr>
        <w:t> </w:t>
      </w:r>
      <w:r w:rsidRPr="00461EC7">
        <w:rPr>
          <w:lang w:val="en-GB" w:eastAsia="lt-LT"/>
        </w:rPr>
        <w:t>tourism infrastructure and service</w:t>
      </w:r>
      <w:r w:rsidR="00CC5FC5" w:rsidRPr="00461EC7">
        <w:rPr>
          <w:lang w:val="en-GB" w:eastAsia="lt-LT"/>
        </w:rPr>
        <w:t xml:space="preserve"> development</w:t>
      </w:r>
      <w:r w:rsidRPr="00461EC7">
        <w:rPr>
          <w:lang w:val="en-GB" w:eastAsia="lt-LT"/>
        </w:rPr>
        <w:t xml:space="preserve"> </w:t>
      </w:r>
      <w:r w:rsidR="00176B3A" w:rsidRPr="00461EC7">
        <w:rPr>
          <w:lang w:val="en-GB" w:eastAsia="lt-LT"/>
        </w:rPr>
        <w:t xml:space="preserve">projects </w:t>
      </w:r>
      <w:r w:rsidRPr="00461EC7">
        <w:rPr>
          <w:lang w:val="en-GB" w:eastAsia="lt-LT"/>
        </w:rPr>
        <w:t>were implemented,</w:t>
      </w:r>
      <w:r w:rsidR="00595A26" w:rsidRPr="00461EC7">
        <w:rPr>
          <w:lang w:val="en-GB" w:eastAsia="lt-LT"/>
        </w:rPr>
        <w:t xml:space="preserve"> creating or upgrading</w:t>
      </w:r>
      <w:r w:rsidRPr="00461EC7">
        <w:rPr>
          <w:lang w:val="en-GB" w:eastAsia="lt-LT"/>
        </w:rPr>
        <w:t xml:space="preserve"> 330</w:t>
      </w:r>
      <w:r w:rsidR="00595A26" w:rsidRPr="00461EC7">
        <w:rPr>
          <w:lang w:val="en-GB" w:eastAsia="lt-LT"/>
        </w:rPr>
        <w:t> </w:t>
      </w:r>
      <w:r w:rsidR="00176B3A" w:rsidRPr="00461EC7">
        <w:rPr>
          <w:lang w:val="en-GB" w:eastAsia="lt-LT"/>
        </w:rPr>
        <w:t>tourism objects</w:t>
      </w:r>
      <w:r w:rsidRPr="00461EC7">
        <w:rPr>
          <w:lang w:val="en-GB" w:eastAsia="lt-LT"/>
        </w:rPr>
        <w:t>.</w:t>
      </w:r>
    </w:p>
    <w:p w:rsidR="0001316A" w:rsidRPr="00461EC7" w:rsidRDefault="00176B3A" w:rsidP="00AD73DD">
      <w:pPr>
        <w:pStyle w:val="Pagrindinispaprastastekstas"/>
        <w:numPr>
          <w:ilvl w:val="0"/>
          <w:numId w:val="27"/>
        </w:numPr>
        <w:rPr>
          <w:lang w:val="en-GB" w:eastAsia="lt-LT"/>
        </w:rPr>
      </w:pPr>
      <w:r w:rsidRPr="00461EC7">
        <w:rPr>
          <w:lang w:val="en-GB" w:eastAsia="lt-LT"/>
        </w:rPr>
        <w:lastRenderedPageBreak/>
        <w:t>Six</w:t>
      </w:r>
      <w:r w:rsidR="009D4B32" w:rsidRPr="00461EC7">
        <w:rPr>
          <w:lang w:val="en-GB" w:eastAsia="lt-LT"/>
        </w:rPr>
        <w:t xml:space="preserve"> new objects were created or moderni</w:t>
      </w:r>
      <w:r w:rsidRPr="00461EC7">
        <w:rPr>
          <w:lang w:val="en-GB" w:eastAsia="lt-LT"/>
        </w:rPr>
        <w:t>s</w:t>
      </w:r>
      <w:r w:rsidR="009D4B32" w:rsidRPr="00461EC7">
        <w:rPr>
          <w:lang w:val="en-GB" w:eastAsia="lt-LT"/>
        </w:rPr>
        <w:t>ed</w:t>
      </w:r>
      <w:r w:rsidR="00D710EB" w:rsidRPr="00461EC7">
        <w:rPr>
          <w:lang w:val="en-GB" w:eastAsia="lt-LT"/>
        </w:rPr>
        <w:t xml:space="preserve"> (Kauna</w:t>
      </w:r>
      <w:r w:rsidR="009D4B32" w:rsidRPr="00461EC7">
        <w:rPr>
          <w:lang w:val="en-GB" w:eastAsia="lt-LT"/>
        </w:rPr>
        <w:t>s</w:t>
      </w:r>
      <w:r w:rsidR="00D710EB" w:rsidRPr="00461EC7">
        <w:rPr>
          <w:lang w:val="en-GB" w:eastAsia="lt-LT"/>
        </w:rPr>
        <w:t xml:space="preserve"> </w:t>
      </w:r>
      <w:r w:rsidRPr="00461EC7">
        <w:rPr>
          <w:lang w:val="en-GB" w:eastAsia="lt-LT"/>
        </w:rPr>
        <w:t>E</w:t>
      </w:r>
      <w:r w:rsidR="009D4B32" w:rsidRPr="00461EC7">
        <w:rPr>
          <w:lang w:val="en-GB" w:eastAsia="lt-LT"/>
        </w:rPr>
        <w:t xml:space="preserve">ntertainment and </w:t>
      </w:r>
      <w:r w:rsidRPr="00461EC7">
        <w:rPr>
          <w:lang w:val="en-GB" w:eastAsia="lt-LT"/>
        </w:rPr>
        <w:t>S</w:t>
      </w:r>
      <w:r w:rsidR="009D4B32" w:rsidRPr="00461EC7">
        <w:rPr>
          <w:lang w:val="en-GB" w:eastAsia="lt-LT"/>
        </w:rPr>
        <w:t>port</w:t>
      </w:r>
      <w:r w:rsidR="004C1043" w:rsidRPr="00461EC7">
        <w:rPr>
          <w:lang w:val="en-GB" w:eastAsia="lt-LT"/>
        </w:rPr>
        <w:t>s</w:t>
      </w:r>
      <w:r w:rsidR="009D4B32" w:rsidRPr="00461EC7">
        <w:rPr>
          <w:lang w:val="en-GB" w:eastAsia="lt-LT"/>
        </w:rPr>
        <w:t xml:space="preserve"> </w:t>
      </w:r>
      <w:r w:rsidRPr="00461EC7">
        <w:rPr>
          <w:lang w:val="en-GB" w:eastAsia="lt-LT"/>
        </w:rPr>
        <w:t>Centre</w:t>
      </w:r>
      <w:r w:rsidR="009D4B32" w:rsidRPr="00461EC7">
        <w:rPr>
          <w:lang w:val="en-GB" w:eastAsia="lt-LT"/>
        </w:rPr>
        <w:t xml:space="preserve"> </w:t>
      </w:r>
      <w:r w:rsidRPr="00461EC7">
        <w:rPr>
          <w:lang w:val="en-GB" w:eastAsia="lt-LT"/>
        </w:rPr>
        <w:t>o</w:t>
      </w:r>
      <w:r w:rsidR="009D4B32" w:rsidRPr="00461EC7">
        <w:rPr>
          <w:lang w:val="en-GB" w:eastAsia="lt-LT"/>
        </w:rPr>
        <w:t xml:space="preserve">n </w:t>
      </w:r>
      <w:r w:rsidRPr="00461EC7">
        <w:rPr>
          <w:lang w:val="en-GB" w:eastAsia="lt-LT"/>
        </w:rPr>
        <w:t xml:space="preserve">the </w:t>
      </w:r>
      <w:proofErr w:type="spellStart"/>
      <w:r w:rsidR="009D4B32" w:rsidRPr="00461EC7">
        <w:rPr>
          <w:lang w:val="en-GB" w:eastAsia="lt-LT"/>
        </w:rPr>
        <w:t>Nemunas</w:t>
      </w:r>
      <w:proofErr w:type="spellEnd"/>
      <w:r w:rsidR="009D4B32" w:rsidRPr="00461EC7">
        <w:rPr>
          <w:lang w:val="en-GB" w:eastAsia="lt-LT"/>
        </w:rPr>
        <w:t xml:space="preserve"> island, </w:t>
      </w:r>
      <w:r w:rsidRPr="00461EC7">
        <w:rPr>
          <w:lang w:val="en-GB" w:eastAsia="lt-LT"/>
        </w:rPr>
        <w:t>a m</w:t>
      </w:r>
      <w:r w:rsidR="009D4B32" w:rsidRPr="00461EC7">
        <w:rPr>
          <w:lang w:val="en-GB" w:eastAsia="lt-LT"/>
        </w:rPr>
        <w:t>ultifunctional entertainment and sport</w:t>
      </w:r>
      <w:r w:rsidR="004C1043" w:rsidRPr="00461EC7">
        <w:rPr>
          <w:lang w:val="en-GB" w:eastAsia="lt-LT"/>
        </w:rPr>
        <w:t>s</w:t>
      </w:r>
      <w:r w:rsidR="009D4B32" w:rsidRPr="00461EC7">
        <w:rPr>
          <w:lang w:val="en-GB" w:eastAsia="lt-LT"/>
        </w:rPr>
        <w:t xml:space="preserve"> complex in Alytus, </w:t>
      </w:r>
      <w:r w:rsidRPr="00461EC7">
        <w:rPr>
          <w:lang w:val="en-GB" w:eastAsia="lt-LT"/>
        </w:rPr>
        <w:t xml:space="preserve">an ice arena </w:t>
      </w:r>
      <w:r w:rsidR="009D4B32" w:rsidRPr="00461EC7">
        <w:rPr>
          <w:lang w:val="en-GB" w:eastAsia="lt-LT"/>
        </w:rPr>
        <w:t xml:space="preserve">in </w:t>
      </w:r>
      <w:proofErr w:type="spellStart"/>
      <w:r w:rsidR="009D4B32" w:rsidRPr="00461EC7">
        <w:rPr>
          <w:lang w:val="en-GB" w:eastAsia="lt-LT"/>
        </w:rPr>
        <w:t>Elektrėnai</w:t>
      </w:r>
      <w:proofErr w:type="spellEnd"/>
      <w:r w:rsidR="009D4B32" w:rsidRPr="00461EC7">
        <w:rPr>
          <w:lang w:val="en-GB" w:eastAsia="lt-LT"/>
        </w:rPr>
        <w:t xml:space="preserve">, </w:t>
      </w:r>
      <w:r w:rsidRPr="00461EC7">
        <w:rPr>
          <w:lang w:val="en-GB" w:eastAsia="lt-LT"/>
        </w:rPr>
        <w:t>a m</w:t>
      </w:r>
      <w:r w:rsidR="009D4B32" w:rsidRPr="00461EC7">
        <w:rPr>
          <w:lang w:val="en-GB" w:eastAsia="lt-LT"/>
        </w:rPr>
        <w:t xml:space="preserve">ultifunctional sport and entertainment complex in </w:t>
      </w:r>
      <w:proofErr w:type="spellStart"/>
      <w:r w:rsidR="009D4B32" w:rsidRPr="00461EC7">
        <w:rPr>
          <w:lang w:val="en-GB" w:eastAsia="lt-LT"/>
        </w:rPr>
        <w:t>Klaipėda</w:t>
      </w:r>
      <w:proofErr w:type="spellEnd"/>
      <w:r w:rsidR="009D4B32" w:rsidRPr="00461EC7">
        <w:rPr>
          <w:lang w:val="en-GB" w:eastAsia="lt-LT"/>
        </w:rPr>
        <w:t xml:space="preserve">, </w:t>
      </w:r>
      <w:proofErr w:type="spellStart"/>
      <w:r w:rsidR="009D4B32" w:rsidRPr="00461EC7">
        <w:rPr>
          <w:lang w:val="en-GB" w:eastAsia="lt-LT"/>
        </w:rPr>
        <w:t>Girstutis</w:t>
      </w:r>
      <w:proofErr w:type="spellEnd"/>
      <w:r w:rsidR="009D4B32" w:rsidRPr="00461EC7">
        <w:rPr>
          <w:lang w:val="en-GB" w:eastAsia="lt-LT"/>
        </w:rPr>
        <w:t xml:space="preserve"> </w:t>
      </w:r>
      <w:r w:rsidRPr="00461EC7">
        <w:rPr>
          <w:lang w:val="en-GB" w:eastAsia="lt-LT"/>
        </w:rPr>
        <w:t>C</w:t>
      </w:r>
      <w:r w:rsidR="009D4B32" w:rsidRPr="00461EC7">
        <w:rPr>
          <w:lang w:val="en-GB" w:eastAsia="lt-LT"/>
        </w:rPr>
        <w:t xml:space="preserve">ulture and </w:t>
      </w:r>
      <w:r w:rsidRPr="00461EC7">
        <w:rPr>
          <w:lang w:val="en-GB" w:eastAsia="lt-LT"/>
        </w:rPr>
        <w:t>S</w:t>
      </w:r>
      <w:r w:rsidR="009D4B32" w:rsidRPr="00461EC7">
        <w:rPr>
          <w:lang w:val="en-GB" w:eastAsia="lt-LT"/>
        </w:rPr>
        <w:t xml:space="preserve">ports </w:t>
      </w:r>
      <w:r w:rsidR="004C1043" w:rsidRPr="00461EC7">
        <w:rPr>
          <w:lang w:val="en-GB" w:eastAsia="lt-LT"/>
        </w:rPr>
        <w:t>Centre</w:t>
      </w:r>
      <w:r w:rsidRPr="00461EC7">
        <w:rPr>
          <w:lang w:val="en-GB" w:eastAsia="lt-LT"/>
        </w:rPr>
        <w:t xml:space="preserve"> and a </w:t>
      </w:r>
      <w:r w:rsidR="009D4B32" w:rsidRPr="00461EC7">
        <w:rPr>
          <w:lang w:val="en-GB" w:eastAsia="lt-LT"/>
        </w:rPr>
        <w:t xml:space="preserve">Lithuanian </w:t>
      </w:r>
      <w:r w:rsidRPr="00461EC7">
        <w:rPr>
          <w:lang w:val="en-GB" w:eastAsia="lt-LT"/>
        </w:rPr>
        <w:t>W</w:t>
      </w:r>
      <w:r w:rsidR="009D4B32" w:rsidRPr="00461EC7">
        <w:rPr>
          <w:lang w:val="en-GB" w:eastAsia="lt-LT"/>
        </w:rPr>
        <w:t xml:space="preserve">inter </w:t>
      </w:r>
      <w:r w:rsidRPr="00461EC7">
        <w:rPr>
          <w:lang w:val="en-GB" w:eastAsia="lt-LT"/>
        </w:rPr>
        <w:t>S</w:t>
      </w:r>
      <w:r w:rsidR="009D4B32" w:rsidRPr="00461EC7">
        <w:rPr>
          <w:lang w:val="en-GB" w:eastAsia="lt-LT"/>
        </w:rPr>
        <w:t>port</w:t>
      </w:r>
      <w:r w:rsidR="004C1043" w:rsidRPr="00461EC7">
        <w:rPr>
          <w:lang w:val="en-GB" w:eastAsia="lt-LT"/>
        </w:rPr>
        <w:t>s</w:t>
      </w:r>
      <w:r w:rsidR="009D4B32" w:rsidRPr="00461EC7">
        <w:rPr>
          <w:lang w:val="en-GB" w:eastAsia="lt-LT"/>
        </w:rPr>
        <w:t xml:space="preserve"> </w:t>
      </w:r>
      <w:r w:rsidRPr="00461EC7">
        <w:rPr>
          <w:lang w:val="en-GB" w:eastAsia="lt-LT"/>
        </w:rPr>
        <w:t>C</w:t>
      </w:r>
      <w:r w:rsidR="009D4B32" w:rsidRPr="00461EC7">
        <w:rPr>
          <w:lang w:val="en-GB" w:eastAsia="lt-LT"/>
        </w:rPr>
        <w:t xml:space="preserve">entre in </w:t>
      </w:r>
      <w:proofErr w:type="spellStart"/>
      <w:r w:rsidR="009D4B32" w:rsidRPr="00461EC7">
        <w:rPr>
          <w:lang w:val="en-GB" w:eastAsia="lt-LT"/>
        </w:rPr>
        <w:t>Ignalina</w:t>
      </w:r>
      <w:proofErr w:type="spellEnd"/>
      <w:r w:rsidR="00EA7F40" w:rsidRPr="00461EC7">
        <w:rPr>
          <w:lang w:val="en-GB" w:eastAsia="lt-LT"/>
        </w:rPr>
        <w:t>)</w:t>
      </w:r>
      <w:r w:rsidR="009D4B32" w:rsidRPr="00461EC7">
        <w:rPr>
          <w:lang w:val="en-GB" w:eastAsia="lt-LT"/>
        </w:rPr>
        <w:t xml:space="preserve">. </w:t>
      </w:r>
      <w:r w:rsidR="001B38FF" w:rsidRPr="00461EC7">
        <w:rPr>
          <w:lang w:val="en-GB" w:eastAsia="lt-LT"/>
        </w:rPr>
        <w:t>Each of t</w:t>
      </w:r>
      <w:r w:rsidR="0088774C" w:rsidRPr="00461EC7">
        <w:rPr>
          <w:lang w:val="en-GB" w:eastAsia="lt-LT"/>
        </w:rPr>
        <w:t>he</w:t>
      </w:r>
      <w:r w:rsidRPr="00461EC7">
        <w:rPr>
          <w:lang w:val="en-GB" w:eastAsia="lt-LT"/>
        </w:rPr>
        <w:t>se</w:t>
      </w:r>
      <w:r w:rsidR="0088774C" w:rsidRPr="00461EC7">
        <w:rPr>
          <w:lang w:val="en-GB" w:eastAsia="lt-LT"/>
        </w:rPr>
        <w:t xml:space="preserve"> objects </w:t>
      </w:r>
      <w:r w:rsidRPr="00461EC7">
        <w:rPr>
          <w:lang w:val="en-GB" w:eastAsia="lt-LT"/>
        </w:rPr>
        <w:t>attracted over 100,000</w:t>
      </w:r>
      <w:r w:rsidR="007B3A22">
        <w:rPr>
          <w:lang w:val="en-GB" w:eastAsia="lt-LT"/>
        </w:rPr>
        <w:t> </w:t>
      </w:r>
      <w:r w:rsidRPr="00461EC7">
        <w:rPr>
          <w:lang w:val="en-GB" w:eastAsia="lt-LT"/>
        </w:rPr>
        <w:t xml:space="preserve">visitors and </w:t>
      </w:r>
      <w:r w:rsidR="004C1043" w:rsidRPr="00461EC7">
        <w:rPr>
          <w:lang w:val="en-GB" w:eastAsia="lt-LT"/>
        </w:rPr>
        <w:t xml:space="preserve">together they </w:t>
      </w:r>
      <w:r w:rsidRPr="00461EC7">
        <w:rPr>
          <w:lang w:val="en-GB" w:eastAsia="lt-LT"/>
        </w:rPr>
        <w:t>held 168 international events with</w:t>
      </w:r>
      <w:r w:rsidR="0088774C" w:rsidRPr="00461EC7">
        <w:rPr>
          <w:lang w:val="en-GB" w:eastAsia="lt-LT"/>
        </w:rPr>
        <w:t xml:space="preserve">in </w:t>
      </w:r>
      <w:r w:rsidR="00AD64FC" w:rsidRPr="00461EC7">
        <w:rPr>
          <w:lang w:val="en-GB" w:eastAsia="lt-LT"/>
        </w:rPr>
        <w:t>three</w:t>
      </w:r>
      <w:r w:rsidR="0088774C" w:rsidRPr="00461EC7">
        <w:rPr>
          <w:lang w:val="en-GB" w:eastAsia="lt-LT"/>
        </w:rPr>
        <w:t xml:space="preserve"> years after the completion of the projects.</w:t>
      </w:r>
    </w:p>
    <w:p w:rsidR="0001316A" w:rsidRPr="00461EC7" w:rsidRDefault="0088774C" w:rsidP="00AD73DD">
      <w:pPr>
        <w:pStyle w:val="Pagrindinispaprastastekstas"/>
        <w:numPr>
          <w:ilvl w:val="0"/>
          <w:numId w:val="27"/>
        </w:numPr>
        <w:rPr>
          <w:lang w:val="en-GB" w:eastAsia="lt-LT"/>
        </w:rPr>
      </w:pPr>
      <w:r w:rsidRPr="00461EC7">
        <w:rPr>
          <w:lang w:val="en-GB" w:eastAsia="lt-LT"/>
        </w:rPr>
        <w:t>626</w:t>
      </w:r>
      <w:r w:rsidR="004C1043" w:rsidRPr="00461EC7">
        <w:rPr>
          <w:lang w:val="en-GB" w:eastAsia="lt-LT"/>
        </w:rPr>
        <w:t> </w:t>
      </w:r>
      <w:r w:rsidRPr="00461EC7">
        <w:rPr>
          <w:lang w:val="en-GB" w:eastAsia="lt-LT"/>
        </w:rPr>
        <w:t>tourism marketing measures were implemented.</w:t>
      </w:r>
    </w:p>
    <w:p w:rsidR="0046175C" w:rsidRPr="00461EC7" w:rsidRDefault="0046175C" w:rsidP="0046175C">
      <w:pPr>
        <w:pStyle w:val="Pagrindinispaprastastekstas"/>
        <w:rPr>
          <w:lang w:val="en-GB" w:eastAsia="lt-LT"/>
        </w:rPr>
      </w:pPr>
    </w:p>
    <w:p w:rsidR="00AD73DD" w:rsidRPr="00461EC7" w:rsidRDefault="00B83656" w:rsidP="0046175C">
      <w:pPr>
        <w:pStyle w:val="Pagrindinispaprastastekstas"/>
        <w:rPr>
          <w:b/>
          <w:color w:val="1F497D" w:themeColor="text2"/>
          <w:lang w:val="en-GB" w:eastAsia="lt-LT"/>
        </w:rPr>
      </w:pPr>
      <w:r>
        <w:rPr>
          <w:lang w:val="en-GB"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left:0;text-align:left;margin-left:870.2pt;margin-top:.4pt;width:186.9pt;height:88pt;z-index:-251656192;visibility:visible;mso-wrap-distance-left:8.5pt;mso-wrap-distance-top:8.5pt;mso-wrap-distance-right:8.5pt;mso-wrap-distance-bottom:8.5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" fillcolor="#dbe5f1 [660]" stroked="f" strokeweight=".5pt">
            <v:textbox inset="3mm,3mm,3mm,3mm">
              <w:txbxContent>
                <w:p w:rsidR="009B428C" w:rsidRPr="00327E5E" w:rsidRDefault="009B428C" w:rsidP="00D47D25">
                  <w:pPr>
                    <w:jc w:val="center"/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</w:pPr>
                  <w:r w:rsidRPr="00327E5E"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>The continu</w:t>
                  </w:r>
                  <w:r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>ing</w:t>
                  </w:r>
                  <w:r w:rsidRPr="00327E5E"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 xml:space="preserve"> increase </w:t>
                  </w:r>
                  <w:r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>in the</w:t>
                  </w:r>
                  <w:r w:rsidRPr="00327E5E"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 xml:space="preserve"> number of tourists, especially of foreign tourists, in accommodation establishments indicates </w:t>
                  </w:r>
                  <w:r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 xml:space="preserve">the increasing </w:t>
                  </w:r>
                  <w:r w:rsidRPr="00327E5E"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>attractiveness</w:t>
                  </w:r>
                  <w:r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 xml:space="preserve"> of</w:t>
                  </w:r>
                  <w:r w:rsidRPr="00327E5E"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 xml:space="preserve"> Lithuania</w:t>
                  </w:r>
                  <w:r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 xml:space="preserve"> among</w:t>
                  </w:r>
                  <w:r w:rsidRPr="00327E5E"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 xml:space="preserve"> tourists</w:t>
                  </w:r>
                  <w:r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>.</w:t>
                  </w:r>
                </w:p>
                <w:p w:rsidR="009B428C" w:rsidRDefault="009B428C" w:rsidP="00D47D25">
                  <w:pPr>
                    <w:jc w:val="center"/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4A55B0">
        <w:rPr>
          <w:b/>
          <w:color w:val="1F497D" w:themeColor="text2"/>
          <w:lang w:val="en-GB" w:eastAsia="lt-LT"/>
        </w:rPr>
        <w:t>I</w:t>
      </w:r>
      <w:r w:rsidR="0088774C" w:rsidRPr="00461EC7">
        <w:rPr>
          <w:b/>
          <w:color w:val="1F497D" w:themeColor="text2"/>
          <w:lang w:val="en-GB" w:eastAsia="lt-LT"/>
        </w:rPr>
        <w:t>mpact of the investments:</w:t>
      </w:r>
    </w:p>
    <w:p w:rsidR="00665F02" w:rsidRPr="00461EC7" w:rsidRDefault="004A55B0" w:rsidP="00665F02">
      <w:pPr>
        <w:pStyle w:val="Pagrindinispaprastastekstas"/>
        <w:numPr>
          <w:ilvl w:val="0"/>
          <w:numId w:val="27"/>
        </w:numPr>
        <w:rPr>
          <w:lang w:val="en-GB" w:eastAsia="lt-LT"/>
        </w:rPr>
      </w:pPr>
      <w:proofErr w:type="gramStart"/>
      <w:r>
        <w:rPr>
          <w:lang w:val="en-GB" w:eastAsia="lt-LT"/>
        </w:rPr>
        <w:t>t</w:t>
      </w:r>
      <w:r w:rsidR="0088774C" w:rsidRPr="00461EC7">
        <w:rPr>
          <w:lang w:val="en-GB" w:eastAsia="lt-LT"/>
        </w:rPr>
        <w:t>he</w:t>
      </w:r>
      <w:proofErr w:type="gramEnd"/>
      <w:r w:rsidR="0088774C" w:rsidRPr="00461EC7">
        <w:rPr>
          <w:lang w:val="en-GB" w:eastAsia="lt-LT"/>
        </w:rPr>
        <w:t xml:space="preserve"> number of tourists </w:t>
      </w:r>
      <w:r w:rsidR="00B6392E" w:rsidRPr="00461EC7">
        <w:rPr>
          <w:lang w:val="en-GB" w:eastAsia="lt-LT"/>
        </w:rPr>
        <w:t>visiting</w:t>
      </w:r>
      <w:r w:rsidR="0088774C" w:rsidRPr="00461EC7">
        <w:rPr>
          <w:lang w:val="en-GB" w:eastAsia="lt-LT"/>
        </w:rPr>
        <w:t xml:space="preserve"> Lithuania grew by almost 30%, from 872</w:t>
      </w:r>
      <w:r w:rsidR="00176B3A" w:rsidRPr="00461EC7">
        <w:rPr>
          <w:lang w:val="en-GB" w:eastAsia="lt-LT"/>
        </w:rPr>
        <w:t>,</w:t>
      </w:r>
      <w:r w:rsidR="0088774C" w:rsidRPr="00461EC7">
        <w:rPr>
          <w:lang w:val="en-GB" w:eastAsia="lt-LT"/>
        </w:rPr>
        <w:t>4</w:t>
      </w:r>
      <w:r w:rsidR="00176B3A" w:rsidRPr="00461EC7">
        <w:rPr>
          <w:lang w:val="en-GB" w:eastAsia="lt-LT"/>
        </w:rPr>
        <w:t>00</w:t>
      </w:r>
      <w:r w:rsidR="00B6392E" w:rsidRPr="00461EC7">
        <w:rPr>
          <w:lang w:val="en-GB" w:eastAsia="lt-LT"/>
        </w:rPr>
        <w:t xml:space="preserve"> in 2007</w:t>
      </w:r>
      <w:r w:rsidR="008B20D5" w:rsidRPr="00461EC7">
        <w:rPr>
          <w:lang w:val="en-GB" w:eastAsia="lt-LT"/>
        </w:rPr>
        <w:t xml:space="preserve"> to </w:t>
      </w:r>
      <w:r w:rsidR="0088774C" w:rsidRPr="00461EC7">
        <w:rPr>
          <w:lang w:val="en-GB" w:eastAsia="lt-LT"/>
        </w:rPr>
        <w:t>1</w:t>
      </w:r>
      <w:r w:rsidR="008B20D5" w:rsidRPr="00461EC7">
        <w:rPr>
          <w:lang w:val="en-GB" w:eastAsia="lt-LT"/>
        </w:rPr>
        <w:t>.</w:t>
      </w:r>
      <w:r w:rsidR="0088774C" w:rsidRPr="00461EC7">
        <w:rPr>
          <w:lang w:val="en-GB" w:eastAsia="lt-LT"/>
        </w:rPr>
        <w:t>1333</w:t>
      </w:r>
      <w:r w:rsidR="008B20D5" w:rsidRPr="00461EC7">
        <w:rPr>
          <w:lang w:val="en-GB" w:eastAsia="lt-LT"/>
        </w:rPr>
        <w:t> million</w:t>
      </w:r>
      <w:r w:rsidR="00B6392E" w:rsidRPr="00461EC7">
        <w:rPr>
          <w:lang w:val="en-GB" w:eastAsia="lt-LT"/>
        </w:rPr>
        <w:t xml:space="preserve"> in 2015</w:t>
      </w:r>
      <w:r w:rsidR="0088774C" w:rsidRPr="00461EC7">
        <w:rPr>
          <w:lang w:val="en-GB" w:eastAsia="lt-LT"/>
        </w:rPr>
        <w:t>.</w:t>
      </w:r>
    </w:p>
    <w:p w:rsidR="00D47D25" w:rsidRPr="00461EC7" w:rsidRDefault="00A46B72" w:rsidP="00665F02">
      <w:pPr>
        <w:pStyle w:val="Pagrindinispaprastastekstas"/>
        <w:numPr>
          <w:ilvl w:val="0"/>
          <w:numId w:val="27"/>
        </w:numPr>
        <w:rPr>
          <w:lang w:val="en-GB" w:eastAsia="lt-LT"/>
        </w:rPr>
      </w:pPr>
      <w:r w:rsidRPr="00461EC7">
        <w:rPr>
          <w:lang w:val="en-GB" w:eastAsia="lt-LT"/>
        </w:rPr>
        <w:t>Tourist</w:t>
      </w:r>
      <w:r w:rsidR="0088774C" w:rsidRPr="00461EC7">
        <w:rPr>
          <w:lang w:val="en-GB" w:eastAsia="lt-LT"/>
        </w:rPr>
        <w:t xml:space="preserve"> expenditure</w:t>
      </w:r>
      <w:r w:rsidR="008B20D5" w:rsidRPr="00461EC7">
        <w:rPr>
          <w:lang w:val="en-GB" w:eastAsia="lt-LT"/>
        </w:rPr>
        <w:t xml:space="preserve"> </w:t>
      </w:r>
      <w:r w:rsidR="0088774C" w:rsidRPr="00461EC7">
        <w:rPr>
          <w:lang w:val="en-GB" w:eastAsia="lt-LT"/>
        </w:rPr>
        <w:t>grew by 50%</w:t>
      </w:r>
      <w:r w:rsidR="008B20D5" w:rsidRPr="00461EC7">
        <w:rPr>
          <w:lang w:val="en-GB" w:eastAsia="lt-LT"/>
        </w:rPr>
        <w:t>, from</w:t>
      </w:r>
      <w:r w:rsidR="0088774C" w:rsidRPr="00461EC7">
        <w:rPr>
          <w:lang w:val="en-GB" w:eastAsia="lt-LT"/>
        </w:rPr>
        <w:t xml:space="preserve"> </w:t>
      </w:r>
      <w:r w:rsidR="008B20D5" w:rsidRPr="00461EC7">
        <w:rPr>
          <w:lang w:val="en-GB" w:eastAsia="lt-LT"/>
        </w:rPr>
        <w:t>EUR </w:t>
      </w:r>
      <w:r w:rsidR="0088774C" w:rsidRPr="00461EC7">
        <w:rPr>
          <w:lang w:val="en-GB" w:eastAsia="lt-LT"/>
        </w:rPr>
        <w:t>507</w:t>
      </w:r>
      <w:r w:rsidR="008B20D5" w:rsidRPr="00461EC7">
        <w:rPr>
          <w:lang w:val="en-GB" w:eastAsia="lt-LT"/>
        </w:rPr>
        <w:t>.</w:t>
      </w:r>
      <w:r w:rsidR="0088774C" w:rsidRPr="00461EC7">
        <w:rPr>
          <w:lang w:val="en-GB" w:eastAsia="lt-LT"/>
        </w:rPr>
        <w:t>7</w:t>
      </w:r>
      <w:r w:rsidR="008B20D5" w:rsidRPr="00461EC7">
        <w:rPr>
          <w:lang w:val="en-GB" w:eastAsia="lt-LT"/>
        </w:rPr>
        <w:t> </w:t>
      </w:r>
      <w:r w:rsidR="0088774C" w:rsidRPr="00461EC7">
        <w:rPr>
          <w:lang w:val="en-GB" w:eastAsia="lt-LT"/>
        </w:rPr>
        <w:t>million</w:t>
      </w:r>
      <w:r w:rsidR="008B20D5" w:rsidRPr="00461EC7">
        <w:rPr>
          <w:lang w:val="en-GB" w:eastAsia="lt-LT"/>
        </w:rPr>
        <w:t xml:space="preserve"> in 2007 to EUR </w:t>
      </w:r>
      <w:r w:rsidR="0088774C" w:rsidRPr="00461EC7">
        <w:rPr>
          <w:lang w:val="en-GB" w:eastAsia="lt-LT"/>
        </w:rPr>
        <w:t>767</w:t>
      </w:r>
      <w:r w:rsidR="008B20D5" w:rsidRPr="00461EC7">
        <w:rPr>
          <w:lang w:val="en-GB" w:eastAsia="lt-LT"/>
        </w:rPr>
        <w:t>.</w:t>
      </w:r>
      <w:r w:rsidR="0088774C" w:rsidRPr="00461EC7">
        <w:rPr>
          <w:lang w:val="en-GB" w:eastAsia="lt-LT"/>
        </w:rPr>
        <w:t>8</w:t>
      </w:r>
      <w:r w:rsidR="008B20D5" w:rsidRPr="00461EC7">
        <w:rPr>
          <w:lang w:val="en-GB" w:eastAsia="lt-LT"/>
        </w:rPr>
        <w:t> </w:t>
      </w:r>
      <w:r w:rsidR="0088774C" w:rsidRPr="00461EC7">
        <w:rPr>
          <w:lang w:val="en-GB" w:eastAsia="lt-LT"/>
        </w:rPr>
        <w:t>million</w:t>
      </w:r>
      <w:r w:rsidR="008B20D5" w:rsidRPr="00461EC7">
        <w:rPr>
          <w:lang w:val="en-GB" w:eastAsia="lt-LT"/>
        </w:rPr>
        <w:t xml:space="preserve"> in 2015</w:t>
      </w:r>
      <w:r w:rsidR="004A55B0">
        <w:rPr>
          <w:lang w:val="en-GB" w:eastAsia="lt-LT"/>
        </w:rPr>
        <w:t>;</w:t>
      </w:r>
    </w:p>
    <w:p w:rsidR="0006562E" w:rsidRPr="00461EC7" w:rsidRDefault="004A55B0" w:rsidP="0006562E">
      <w:pPr>
        <w:pStyle w:val="Pagrindinispaprastastekstas"/>
        <w:numPr>
          <w:ilvl w:val="0"/>
          <w:numId w:val="27"/>
        </w:numPr>
        <w:rPr>
          <w:lang w:val="en-GB" w:eastAsia="lt-LT"/>
        </w:rPr>
      </w:pPr>
      <w:r>
        <w:rPr>
          <w:lang w:val="en-GB" w:eastAsia="lt-LT"/>
        </w:rPr>
        <w:t>t</w:t>
      </w:r>
      <w:r w:rsidR="0006562E" w:rsidRPr="00461EC7">
        <w:rPr>
          <w:lang w:val="en-GB" w:eastAsia="lt-LT"/>
        </w:rPr>
        <w:t>he share of foreign tourists in accommodation establishments grew by 10</w:t>
      </w:r>
      <w:r w:rsidR="008B20D5" w:rsidRPr="00461EC7">
        <w:rPr>
          <w:lang w:val="en-GB"/>
        </w:rPr>
        <w:t>pp</w:t>
      </w:r>
      <w:r w:rsidR="008B20D5" w:rsidRPr="00461EC7">
        <w:rPr>
          <w:lang w:val="en-GB" w:eastAsia="lt-LT"/>
        </w:rPr>
        <w:t xml:space="preserve">, </w:t>
      </w:r>
      <w:r w:rsidR="0006562E" w:rsidRPr="00461EC7">
        <w:rPr>
          <w:lang w:val="en-GB" w:eastAsia="lt-LT"/>
        </w:rPr>
        <w:t xml:space="preserve">from 39% </w:t>
      </w:r>
      <w:r w:rsidR="008B20D5" w:rsidRPr="00461EC7">
        <w:rPr>
          <w:lang w:val="en-GB" w:eastAsia="lt-LT"/>
        </w:rPr>
        <w:t xml:space="preserve">in 2007 </w:t>
      </w:r>
      <w:r w:rsidR="0006562E" w:rsidRPr="00461EC7">
        <w:rPr>
          <w:lang w:val="en-GB" w:eastAsia="lt-LT"/>
        </w:rPr>
        <w:t>to 49%</w:t>
      </w:r>
      <w:r w:rsidR="008B20D5" w:rsidRPr="00461EC7">
        <w:rPr>
          <w:lang w:val="en-GB" w:eastAsia="lt-LT"/>
        </w:rPr>
        <w:t xml:space="preserve"> in 2015</w:t>
      </w:r>
      <w:r>
        <w:rPr>
          <w:lang w:val="en-GB" w:eastAsia="lt-LT"/>
        </w:rPr>
        <w:t>;</w:t>
      </w:r>
    </w:p>
    <w:p w:rsidR="0006562E" w:rsidRPr="00461EC7" w:rsidRDefault="004A55B0" w:rsidP="0006562E">
      <w:pPr>
        <w:pStyle w:val="Pagrindinispaprastastekstas"/>
        <w:numPr>
          <w:ilvl w:val="0"/>
          <w:numId w:val="27"/>
        </w:numPr>
        <w:rPr>
          <w:lang w:val="en-GB" w:eastAsia="lt-LT"/>
        </w:rPr>
      </w:pPr>
      <w:r>
        <w:rPr>
          <w:lang w:val="en-GB" w:eastAsia="lt-LT"/>
        </w:rPr>
        <w:t>a</w:t>
      </w:r>
      <w:r w:rsidR="0006562E" w:rsidRPr="00461EC7">
        <w:rPr>
          <w:lang w:val="en-GB" w:eastAsia="lt-LT"/>
        </w:rPr>
        <w:t>nnual income from inbound tourism grew by 60</w:t>
      </w:r>
      <w:r w:rsidR="00A46B72" w:rsidRPr="00461EC7">
        <w:rPr>
          <w:lang w:val="en-GB" w:eastAsia="lt-LT"/>
        </w:rPr>
        <w:t>%</w:t>
      </w:r>
      <w:r w:rsidR="0006562E" w:rsidRPr="00461EC7">
        <w:rPr>
          <w:lang w:val="en-GB" w:eastAsia="lt-LT"/>
        </w:rPr>
        <w:t>,</w:t>
      </w:r>
      <w:r w:rsidR="008B20D5" w:rsidRPr="00461EC7">
        <w:rPr>
          <w:lang w:val="en-GB" w:eastAsia="lt-LT"/>
        </w:rPr>
        <w:t xml:space="preserve"> </w:t>
      </w:r>
      <w:r w:rsidR="0006562E" w:rsidRPr="00461EC7">
        <w:rPr>
          <w:lang w:val="en-GB" w:eastAsia="lt-LT"/>
        </w:rPr>
        <w:t xml:space="preserve">from </w:t>
      </w:r>
      <w:r w:rsidR="00AD64FC" w:rsidRPr="00461EC7">
        <w:rPr>
          <w:lang w:val="en-GB" w:eastAsia="lt-LT"/>
        </w:rPr>
        <w:t>EUR </w:t>
      </w:r>
      <w:r w:rsidR="0006562E" w:rsidRPr="00461EC7">
        <w:rPr>
          <w:lang w:val="en-GB" w:eastAsia="lt-LT"/>
        </w:rPr>
        <w:t>742</w:t>
      </w:r>
      <w:r w:rsidR="00AD64FC" w:rsidRPr="00461EC7">
        <w:rPr>
          <w:lang w:val="en-GB" w:eastAsia="lt-LT"/>
        </w:rPr>
        <w:t>.</w:t>
      </w:r>
      <w:r w:rsidR="0006562E" w:rsidRPr="00461EC7">
        <w:rPr>
          <w:lang w:val="en-GB" w:eastAsia="lt-LT"/>
        </w:rPr>
        <w:t>1</w:t>
      </w:r>
      <w:r w:rsidR="00AD64FC" w:rsidRPr="00461EC7">
        <w:rPr>
          <w:lang w:val="en-GB" w:eastAsia="lt-LT"/>
        </w:rPr>
        <w:t> </w:t>
      </w:r>
      <w:r w:rsidR="0006562E" w:rsidRPr="00461EC7">
        <w:rPr>
          <w:lang w:val="en-GB" w:eastAsia="lt-LT"/>
        </w:rPr>
        <w:t>million</w:t>
      </w:r>
      <w:r w:rsidR="008B20D5" w:rsidRPr="00461EC7">
        <w:rPr>
          <w:lang w:val="en-GB" w:eastAsia="lt-LT"/>
        </w:rPr>
        <w:t xml:space="preserve"> in 2005</w:t>
      </w:r>
      <w:r w:rsidR="0006562E" w:rsidRPr="00461EC7">
        <w:rPr>
          <w:lang w:val="en-GB" w:eastAsia="lt-LT"/>
        </w:rPr>
        <w:t xml:space="preserve"> to </w:t>
      </w:r>
      <w:r w:rsidR="00AD64FC" w:rsidRPr="00461EC7">
        <w:rPr>
          <w:lang w:val="en-GB" w:eastAsia="lt-LT"/>
        </w:rPr>
        <w:t>EUR </w:t>
      </w:r>
      <w:r w:rsidR="0006562E" w:rsidRPr="00461EC7">
        <w:rPr>
          <w:lang w:val="en-GB" w:eastAsia="lt-LT"/>
        </w:rPr>
        <w:t>1</w:t>
      </w:r>
      <w:r w:rsidR="008B20D5" w:rsidRPr="00461EC7">
        <w:rPr>
          <w:lang w:val="en-GB" w:eastAsia="lt-LT"/>
        </w:rPr>
        <w:t>.</w:t>
      </w:r>
      <w:r w:rsidR="0006562E" w:rsidRPr="00461EC7">
        <w:rPr>
          <w:lang w:val="en-GB" w:eastAsia="lt-LT"/>
        </w:rPr>
        <w:t>190</w:t>
      </w:r>
      <w:r w:rsidR="00AD64FC" w:rsidRPr="00461EC7">
        <w:rPr>
          <w:lang w:val="en-GB" w:eastAsia="lt-LT"/>
        </w:rPr>
        <w:t> </w:t>
      </w:r>
      <w:r w:rsidR="008B20D5" w:rsidRPr="00461EC7">
        <w:rPr>
          <w:lang w:val="en-GB" w:eastAsia="lt-LT"/>
        </w:rPr>
        <w:t>billion in 2014</w:t>
      </w:r>
      <w:r>
        <w:rPr>
          <w:lang w:val="en-GB" w:eastAsia="lt-LT"/>
        </w:rPr>
        <w:t>;</w:t>
      </w:r>
    </w:p>
    <w:p w:rsidR="00205CA7" w:rsidRPr="00461EC7" w:rsidRDefault="004A55B0" w:rsidP="0006562E">
      <w:pPr>
        <w:pStyle w:val="Pagrindinispaprastastekstas"/>
        <w:numPr>
          <w:ilvl w:val="0"/>
          <w:numId w:val="27"/>
        </w:numPr>
        <w:rPr>
          <w:lang w:val="en-GB" w:eastAsia="lt-LT"/>
        </w:rPr>
      </w:pPr>
      <w:proofErr w:type="gramStart"/>
      <w:r>
        <w:rPr>
          <w:lang w:val="en-GB" w:eastAsia="lt-LT"/>
        </w:rPr>
        <w:t>t</w:t>
      </w:r>
      <w:r w:rsidR="00205CA7" w:rsidRPr="00461EC7">
        <w:rPr>
          <w:lang w:val="en-GB" w:eastAsia="lt-LT"/>
        </w:rPr>
        <w:t>he</w:t>
      </w:r>
      <w:proofErr w:type="gramEnd"/>
      <w:r w:rsidR="00205CA7" w:rsidRPr="00461EC7">
        <w:rPr>
          <w:lang w:val="en-GB" w:eastAsia="lt-LT"/>
        </w:rPr>
        <w:t xml:space="preserve"> implementation </w:t>
      </w:r>
      <w:r w:rsidR="00A46B72" w:rsidRPr="00461EC7">
        <w:rPr>
          <w:lang w:val="en-GB" w:eastAsia="lt-LT"/>
        </w:rPr>
        <w:t xml:space="preserve">of the OPPC </w:t>
      </w:r>
      <w:r w:rsidR="00205CA7" w:rsidRPr="00461EC7">
        <w:rPr>
          <w:lang w:val="en-GB" w:eastAsia="lt-LT"/>
        </w:rPr>
        <w:t>contributed to</w:t>
      </w:r>
      <w:r w:rsidR="008B20D5" w:rsidRPr="00461EC7">
        <w:rPr>
          <w:lang w:val="en-GB" w:eastAsia="lt-LT"/>
        </w:rPr>
        <w:t xml:space="preserve"> the</w:t>
      </w:r>
      <w:r w:rsidR="007219B0" w:rsidRPr="00461EC7">
        <w:rPr>
          <w:lang w:val="en-GB" w:eastAsia="lt-LT"/>
        </w:rPr>
        <w:t xml:space="preserve"> development of tourism infrastructure and services related to sports, cultural leisure activities, health and business. </w:t>
      </w:r>
      <w:r w:rsidR="00A46B72" w:rsidRPr="00461EC7">
        <w:rPr>
          <w:lang w:val="en-GB" w:eastAsia="lt-LT"/>
        </w:rPr>
        <w:t>M</w:t>
      </w:r>
      <w:r w:rsidR="007219B0" w:rsidRPr="00461EC7">
        <w:rPr>
          <w:lang w:val="en-GB" w:eastAsia="lt-LT"/>
        </w:rPr>
        <w:t xml:space="preserve">ost projects related to </w:t>
      </w:r>
      <w:r w:rsidR="008B20D5" w:rsidRPr="00461EC7">
        <w:rPr>
          <w:lang w:val="en-GB" w:eastAsia="lt-LT"/>
        </w:rPr>
        <w:t xml:space="preserve">the </w:t>
      </w:r>
      <w:r w:rsidR="007219B0" w:rsidRPr="00461EC7">
        <w:rPr>
          <w:lang w:val="en-GB" w:eastAsia="lt-LT"/>
        </w:rPr>
        <w:t xml:space="preserve">development of cultural tourism were implemented by public </w:t>
      </w:r>
      <w:r w:rsidR="008B20D5" w:rsidRPr="00461EC7">
        <w:rPr>
          <w:lang w:val="en-GB" w:eastAsia="lt-LT"/>
        </w:rPr>
        <w:t>entities</w:t>
      </w:r>
      <w:r w:rsidR="007219B0" w:rsidRPr="00461EC7">
        <w:rPr>
          <w:lang w:val="en-GB" w:eastAsia="lt-LT"/>
        </w:rPr>
        <w:t xml:space="preserve"> (municipalities), while health tourism projects </w:t>
      </w:r>
      <w:r w:rsidR="008B20D5" w:rsidRPr="00461EC7">
        <w:rPr>
          <w:lang w:val="en-GB" w:eastAsia="lt-LT"/>
        </w:rPr>
        <w:t>were mostly implemented</w:t>
      </w:r>
      <w:r w:rsidR="007219B0" w:rsidRPr="00461EC7">
        <w:rPr>
          <w:lang w:val="en-GB" w:eastAsia="lt-LT"/>
        </w:rPr>
        <w:t xml:space="preserve"> by private </w:t>
      </w:r>
      <w:r w:rsidR="008B20D5" w:rsidRPr="00461EC7">
        <w:rPr>
          <w:lang w:val="en-GB" w:eastAsia="lt-LT"/>
        </w:rPr>
        <w:t>entities</w:t>
      </w:r>
      <w:r w:rsidR="007219B0" w:rsidRPr="00461EC7">
        <w:rPr>
          <w:lang w:val="en-GB" w:eastAsia="lt-LT"/>
        </w:rPr>
        <w:t>.</w:t>
      </w:r>
      <w:r w:rsidR="001B38FF" w:rsidRPr="00461EC7">
        <w:rPr>
          <w:lang w:val="en-GB" w:eastAsia="lt-LT"/>
        </w:rPr>
        <w:t xml:space="preserve"> Particular types of projects were</w:t>
      </w:r>
      <w:r w:rsidR="00671C9B" w:rsidRPr="00461EC7">
        <w:rPr>
          <w:lang w:val="en-GB" w:eastAsia="lt-LT"/>
        </w:rPr>
        <w:t xml:space="preserve"> implemented in areas</w:t>
      </w:r>
      <w:r w:rsidR="008B20D5" w:rsidRPr="00461EC7">
        <w:rPr>
          <w:lang w:val="en-GB" w:eastAsia="lt-LT"/>
        </w:rPr>
        <w:t xml:space="preserve"> with </w:t>
      </w:r>
      <w:r w:rsidR="00671C9B" w:rsidRPr="00461EC7">
        <w:rPr>
          <w:lang w:val="en-GB" w:eastAsia="lt-LT"/>
        </w:rPr>
        <w:t>the most potential for</w:t>
      </w:r>
      <w:r w:rsidR="001B38FF" w:rsidRPr="00461EC7">
        <w:rPr>
          <w:lang w:val="en-GB" w:eastAsia="lt-LT"/>
        </w:rPr>
        <w:t xml:space="preserve"> that</w:t>
      </w:r>
      <w:r w:rsidR="00671C9B" w:rsidRPr="00461EC7">
        <w:rPr>
          <w:lang w:val="en-GB" w:eastAsia="lt-LT"/>
        </w:rPr>
        <w:t xml:space="preserve"> type of tourism</w:t>
      </w:r>
      <w:r>
        <w:rPr>
          <w:lang w:val="en-GB" w:eastAsia="lt-LT"/>
        </w:rPr>
        <w:t>;</w:t>
      </w:r>
    </w:p>
    <w:p w:rsidR="00671C9B" w:rsidRPr="00461EC7" w:rsidRDefault="004A55B0" w:rsidP="00671C9B">
      <w:pPr>
        <w:pStyle w:val="Pagrindinispaprastastekstas"/>
        <w:numPr>
          <w:ilvl w:val="0"/>
          <w:numId w:val="27"/>
        </w:numPr>
        <w:rPr>
          <w:rStyle w:val="EndnoteReference"/>
          <w:vertAlign w:val="baseline"/>
          <w:lang w:val="en-GB" w:eastAsia="lt-LT"/>
        </w:rPr>
      </w:pPr>
      <w:proofErr w:type="gramStart"/>
      <w:r>
        <w:rPr>
          <w:lang w:val="en-GB" w:eastAsia="lt-LT"/>
        </w:rPr>
        <w:t>t</w:t>
      </w:r>
      <w:r w:rsidR="00671C9B" w:rsidRPr="00461EC7">
        <w:rPr>
          <w:lang w:val="en-GB" w:eastAsia="lt-LT"/>
        </w:rPr>
        <w:t>he</w:t>
      </w:r>
      <w:proofErr w:type="gramEnd"/>
      <w:r w:rsidR="00671C9B" w:rsidRPr="00461EC7">
        <w:rPr>
          <w:lang w:val="en-GB" w:eastAsia="lt-LT"/>
        </w:rPr>
        <w:t xml:space="preserve"> implementation </w:t>
      </w:r>
      <w:r w:rsidR="00A46B72" w:rsidRPr="00461EC7">
        <w:rPr>
          <w:lang w:val="en-GB" w:eastAsia="lt-LT"/>
        </w:rPr>
        <w:t xml:space="preserve">of the OPPC </w:t>
      </w:r>
      <w:r w:rsidR="00671C9B" w:rsidRPr="00461EC7">
        <w:rPr>
          <w:lang w:val="en-GB" w:eastAsia="lt-LT"/>
        </w:rPr>
        <w:t xml:space="preserve">significantly contributed to </w:t>
      </w:r>
      <w:r w:rsidR="008B20D5" w:rsidRPr="00461EC7">
        <w:rPr>
          <w:lang w:val="en-GB" w:eastAsia="lt-LT"/>
        </w:rPr>
        <w:t xml:space="preserve">the </w:t>
      </w:r>
      <w:r w:rsidR="00A46B72" w:rsidRPr="00461EC7">
        <w:rPr>
          <w:lang w:val="en-GB" w:eastAsia="lt-LT"/>
        </w:rPr>
        <w:t xml:space="preserve">conservation </w:t>
      </w:r>
      <w:r w:rsidR="00671C9B" w:rsidRPr="00461EC7">
        <w:rPr>
          <w:lang w:val="en-GB" w:eastAsia="lt-LT"/>
        </w:rPr>
        <w:t>of immovable cultural heritage</w:t>
      </w:r>
      <w:r w:rsidR="007B3A22">
        <w:rPr>
          <w:lang w:val="en-GB" w:eastAsia="lt-LT"/>
        </w:rPr>
        <w:t> </w:t>
      </w:r>
      <w:r w:rsidR="00671C9B" w:rsidRPr="00461EC7">
        <w:rPr>
          <w:lang w:val="en-GB" w:eastAsia="lt-LT"/>
        </w:rPr>
        <w:t xml:space="preserve">– </w:t>
      </w:r>
      <w:r w:rsidR="00D86DA8" w:rsidRPr="00461EC7">
        <w:rPr>
          <w:lang w:val="en-GB" w:eastAsia="lt-LT"/>
        </w:rPr>
        <w:t xml:space="preserve">39% of all </w:t>
      </w:r>
      <w:r w:rsidR="00A46B72" w:rsidRPr="00461EC7">
        <w:rPr>
          <w:lang w:val="en-GB" w:eastAsia="lt-LT"/>
        </w:rPr>
        <w:t xml:space="preserve">the </w:t>
      </w:r>
      <w:r w:rsidR="00D86DA8" w:rsidRPr="00461EC7">
        <w:rPr>
          <w:lang w:val="en-GB" w:eastAsia="lt-LT"/>
        </w:rPr>
        <w:t xml:space="preserve">public investments </w:t>
      </w:r>
      <w:r w:rsidR="008B20D5" w:rsidRPr="00461EC7">
        <w:rPr>
          <w:lang w:val="en-GB" w:eastAsia="lt-LT"/>
        </w:rPr>
        <w:t>in</w:t>
      </w:r>
      <w:r w:rsidR="00D86DA8" w:rsidRPr="00461EC7">
        <w:rPr>
          <w:lang w:val="en-GB" w:eastAsia="lt-LT"/>
        </w:rPr>
        <w:t xml:space="preserve">to </w:t>
      </w:r>
      <w:r w:rsidR="008B20D5" w:rsidRPr="00461EC7">
        <w:rPr>
          <w:lang w:val="en-GB" w:eastAsia="lt-LT"/>
        </w:rPr>
        <w:t xml:space="preserve">the </w:t>
      </w:r>
      <w:r w:rsidR="00A46B72" w:rsidRPr="00461EC7">
        <w:rPr>
          <w:lang w:val="en-GB" w:eastAsia="lt-LT"/>
        </w:rPr>
        <w:t xml:space="preserve">conservation </w:t>
      </w:r>
      <w:r w:rsidR="00D86DA8" w:rsidRPr="00461EC7">
        <w:rPr>
          <w:lang w:val="en-GB" w:eastAsia="lt-LT"/>
        </w:rPr>
        <w:t>of immovable cultur</w:t>
      </w:r>
      <w:r w:rsidR="00A46B72" w:rsidRPr="00461EC7">
        <w:rPr>
          <w:lang w:val="en-GB" w:eastAsia="lt-LT"/>
        </w:rPr>
        <w:t>al</w:t>
      </w:r>
      <w:r w:rsidR="00D86DA8" w:rsidRPr="00461EC7">
        <w:rPr>
          <w:lang w:val="en-GB" w:eastAsia="lt-LT"/>
        </w:rPr>
        <w:t xml:space="preserve"> heritage came from </w:t>
      </w:r>
      <w:r w:rsidR="008B20D5" w:rsidRPr="00461EC7">
        <w:rPr>
          <w:lang w:val="en-GB" w:eastAsia="lt-LT"/>
        </w:rPr>
        <w:t xml:space="preserve">measures of </w:t>
      </w:r>
      <w:r w:rsidR="00FB0CBE" w:rsidRPr="00461EC7">
        <w:rPr>
          <w:lang w:val="en-GB" w:eastAsia="lt-LT"/>
        </w:rPr>
        <w:t>OPPC</w:t>
      </w:r>
      <w:r w:rsidR="00D86DA8" w:rsidRPr="00461EC7">
        <w:rPr>
          <w:lang w:val="en-GB" w:eastAsia="lt-LT"/>
        </w:rPr>
        <w:t xml:space="preserve"> priority</w:t>
      </w:r>
      <w:r w:rsidR="008B20D5" w:rsidRPr="00461EC7">
        <w:rPr>
          <w:lang w:val="en-GB" w:eastAsia="lt-LT"/>
        </w:rPr>
        <w:t> 1,</w:t>
      </w:r>
      <w:r w:rsidR="00D86DA8" w:rsidRPr="00461EC7">
        <w:rPr>
          <w:lang w:val="en-GB" w:eastAsia="lt-LT"/>
        </w:rPr>
        <w:t xml:space="preserve"> </w:t>
      </w:r>
      <w:r w:rsidR="00FB0CBE" w:rsidRPr="00461EC7">
        <w:rPr>
          <w:lang w:val="en-GB" w:eastAsia="lt-LT"/>
        </w:rPr>
        <w:t>objective</w:t>
      </w:r>
      <w:r w:rsidR="008B20D5" w:rsidRPr="00461EC7">
        <w:rPr>
          <w:lang w:val="en-GB" w:eastAsia="lt-LT"/>
        </w:rPr>
        <w:t> 3</w:t>
      </w:r>
      <w:r w:rsidR="00FB0CBE" w:rsidRPr="00461EC7">
        <w:rPr>
          <w:lang w:val="en-GB" w:eastAsia="lt-LT"/>
        </w:rPr>
        <w:t xml:space="preserve">. </w:t>
      </w:r>
      <w:r w:rsidR="008B20D5" w:rsidRPr="00461EC7">
        <w:rPr>
          <w:lang w:val="en-GB" w:eastAsia="lt-LT"/>
        </w:rPr>
        <w:t>Many preserved objects</w:t>
      </w:r>
      <w:r w:rsidR="00FB0CBE" w:rsidRPr="00461EC7">
        <w:rPr>
          <w:lang w:val="en-GB" w:eastAsia="lt-LT"/>
        </w:rPr>
        <w:t xml:space="preserve"> had the highest (monument) or the second highest (state-protected) protection status.</w:t>
      </w:r>
      <w:r w:rsidR="00FB0CBE" w:rsidRPr="00461EC7">
        <w:rPr>
          <w:rStyle w:val="EndnoteReference"/>
          <w:bCs/>
          <w:lang w:val="en-GB" w:eastAsia="lt-LT"/>
        </w:rPr>
        <w:endnoteReference w:id="5"/>
      </w:r>
    </w:p>
    <w:p w:rsidR="00FB0CBE" w:rsidRPr="00461EC7" w:rsidRDefault="00FB0CBE" w:rsidP="00FB0CBE">
      <w:pPr>
        <w:pStyle w:val="Pagrindinispaprastastekstas"/>
        <w:rPr>
          <w:lang w:val="en-GB" w:eastAsia="lt-LT"/>
        </w:rPr>
      </w:pPr>
    </w:p>
    <w:p w:rsidR="00700849" w:rsidRPr="00461EC7" w:rsidRDefault="00700849" w:rsidP="0046175C">
      <w:pPr>
        <w:pStyle w:val="Pagrindinispaprastastekstas"/>
        <w:rPr>
          <w:lang w:val="en-GB" w:eastAsia="lt-LT"/>
        </w:rPr>
      </w:pP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21E5D" w:rsidRPr="00461EC7" w:rsidTr="006C7204">
        <w:tc>
          <w:tcPr>
            <w:tcW w:w="9628" w:type="dxa"/>
            <w:shd w:val="clear" w:color="auto" w:fill="DBE5F1" w:themeFill="accent1" w:themeFillTint="33"/>
          </w:tcPr>
          <w:p w:rsidR="00021E5D" w:rsidRPr="00461EC7" w:rsidRDefault="00AD64FC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</w:pP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“</w:t>
            </w:r>
            <w:r w:rsidR="00FB0CB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The </w:t>
            </w:r>
            <w:r w:rsidR="008B20D5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P</w:t>
            </w:r>
            <w:r w:rsidR="00FB0CB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ark of </w:t>
            </w:r>
            <w:r w:rsidR="009B428C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s</w:t>
            </w:r>
            <w:r w:rsidR="00FB0CB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ea</w:t>
            </w:r>
            <w:r w:rsidR="008B20D5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r w:rsidR="009B428C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e</w:t>
            </w:r>
            <w:r w:rsidR="00FB0CB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ntertainment, </w:t>
            </w:r>
            <w:r w:rsidR="009B428C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r</w:t>
            </w:r>
            <w:r w:rsidR="002328B3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elaxation and</w:t>
            </w:r>
            <w:r w:rsidR="00FB0CB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r w:rsidR="009B428C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h</w:t>
            </w:r>
            <w:r w:rsidR="00FB0CB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ealth </w:t>
            </w:r>
            <w:r w:rsidR="009B428C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s</w:t>
            </w:r>
            <w:r w:rsidR="00FB0CB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ervices in </w:t>
            </w:r>
            <w:proofErr w:type="spellStart"/>
            <w:r w:rsidR="00FB0CB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Kopgalis</w:t>
            </w:r>
            <w:proofErr w:type="spellEnd"/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”</w:t>
            </w:r>
            <w:r w:rsidR="003F386D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br/>
              <w:t>(</w:t>
            </w:r>
            <w:r w:rsidR="008B20D5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Stages I, II and III of the</w:t>
            </w: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 development</w:t>
            </w:r>
            <w:r w:rsidR="00FB0CB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 of </w:t>
            </w:r>
            <w:r w:rsidR="00EF5002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a </w:t>
            </w:r>
            <w:r w:rsidR="00FB0CB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Dolphin </w:t>
            </w:r>
            <w:r w:rsidR="008B20D5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T</w:t>
            </w:r>
            <w:r w:rsidR="00FB0CB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herapy </w:t>
            </w:r>
            <w:r w:rsidR="008B20D5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C</w:t>
            </w:r>
            <w:r w:rsidR="00FB0CB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entre</w:t>
            </w:r>
            <w:r w:rsidR="003F386D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)</w:t>
            </w:r>
          </w:p>
          <w:p w:rsidR="00021E5D" w:rsidRPr="00461EC7" w:rsidRDefault="00FB0CBE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>Project implementer</w:t>
            </w:r>
            <w:r w:rsidR="008B20D5" w:rsidRPr="00461EC7">
              <w:rPr>
                <w:i/>
                <w:sz w:val="18"/>
                <w:szCs w:val="18"/>
                <w:lang w:val="en-GB"/>
              </w:rPr>
              <w:t>:</w:t>
            </w:r>
            <w:r w:rsidR="00021E5D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i/>
                <w:sz w:val="18"/>
                <w:szCs w:val="18"/>
                <w:lang w:val="en-GB"/>
              </w:rPr>
              <w:t xml:space="preserve">Lithuanian </w:t>
            </w:r>
            <w:r w:rsidR="00AD64FC" w:rsidRPr="00461EC7">
              <w:rPr>
                <w:i/>
                <w:sz w:val="18"/>
                <w:szCs w:val="18"/>
                <w:lang w:val="en-GB"/>
              </w:rPr>
              <w:t>S</w:t>
            </w:r>
            <w:r w:rsidRPr="00461EC7">
              <w:rPr>
                <w:i/>
                <w:sz w:val="18"/>
                <w:szCs w:val="18"/>
                <w:lang w:val="en-GB"/>
              </w:rPr>
              <w:t xml:space="preserve">ea </w:t>
            </w:r>
            <w:r w:rsidR="00AD64FC" w:rsidRPr="00461EC7">
              <w:rPr>
                <w:i/>
                <w:sz w:val="18"/>
                <w:szCs w:val="18"/>
                <w:lang w:val="en-GB"/>
              </w:rPr>
              <w:t>M</w:t>
            </w:r>
            <w:r w:rsidRPr="00461EC7">
              <w:rPr>
                <w:i/>
                <w:sz w:val="18"/>
                <w:szCs w:val="18"/>
                <w:lang w:val="en-GB"/>
              </w:rPr>
              <w:t>useum</w:t>
            </w:r>
          </w:p>
          <w:p w:rsidR="00021E5D" w:rsidRPr="00461EC7" w:rsidRDefault="002328B3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 xml:space="preserve">EU </w:t>
            </w:r>
            <w:r w:rsidR="00AD64FC" w:rsidRPr="00461EC7">
              <w:rPr>
                <w:i/>
                <w:sz w:val="18"/>
                <w:szCs w:val="18"/>
                <w:lang w:val="en-GB"/>
              </w:rPr>
              <w:t>contribution:</w:t>
            </w:r>
            <w:r w:rsidR="00021E5D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="00AD64FC" w:rsidRPr="00461EC7">
              <w:rPr>
                <w:i/>
                <w:sz w:val="18"/>
                <w:szCs w:val="18"/>
                <w:lang w:val="en-GB"/>
              </w:rPr>
              <w:t>EUR </w:t>
            </w:r>
            <w:r w:rsidR="003F386D" w:rsidRPr="00461EC7">
              <w:rPr>
                <w:i/>
                <w:sz w:val="18"/>
                <w:szCs w:val="18"/>
                <w:lang w:val="en-GB"/>
              </w:rPr>
              <w:t>6</w:t>
            </w:r>
            <w:r w:rsidR="008B20D5" w:rsidRPr="00461EC7">
              <w:rPr>
                <w:i/>
                <w:sz w:val="18"/>
                <w:szCs w:val="18"/>
                <w:lang w:val="en-GB"/>
              </w:rPr>
              <w:t>.</w:t>
            </w:r>
            <w:r w:rsidR="003F386D" w:rsidRPr="00461EC7">
              <w:rPr>
                <w:i/>
                <w:sz w:val="18"/>
                <w:szCs w:val="18"/>
                <w:lang w:val="en-GB"/>
              </w:rPr>
              <w:t>1776</w:t>
            </w:r>
            <w:r w:rsidR="008B20D5" w:rsidRPr="00461EC7">
              <w:rPr>
                <w:i/>
                <w:sz w:val="18"/>
                <w:szCs w:val="18"/>
                <w:lang w:val="en-GB"/>
              </w:rPr>
              <w:t> million</w:t>
            </w:r>
            <w:r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="003F386D" w:rsidRPr="00461EC7">
              <w:rPr>
                <w:i/>
                <w:sz w:val="18"/>
                <w:szCs w:val="18"/>
                <w:lang w:val="en-GB"/>
              </w:rPr>
              <w:t>(</w:t>
            </w:r>
            <w:r w:rsidR="008B20D5" w:rsidRPr="00461EC7">
              <w:rPr>
                <w:i/>
                <w:sz w:val="18"/>
                <w:szCs w:val="18"/>
                <w:lang w:val="en-GB"/>
              </w:rPr>
              <w:t>three</w:t>
            </w:r>
            <w:r w:rsidR="003F386D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i/>
                <w:sz w:val="18"/>
                <w:szCs w:val="18"/>
                <w:lang w:val="en-GB"/>
              </w:rPr>
              <w:t>projects</w:t>
            </w:r>
            <w:r w:rsidR="003F386D" w:rsidRPr="00461EC7">
              <w:rPr>
                <w:i/>
                <w:sz w:val="18"/>
                <w:szCs w:val="18"/>
                <w:lang w:val="en-GB"/>
              </w:rPr>
              <w:t>)</w:t>
            </w:r>
          </w:p>
          <w:p w:rsidR="00021E5D" w:rsidRPr="00461EC7" w:rsidRDefault="00FC1D92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sz w:val="18"/>
                <w:szCs w:val="18"/>
                <w:highlight w:val="yellow"/>
                <w:lang w:val="en-GB"/>
              </w:rPr>
            </w:pPr>
            <w:r w:rsidRPr="00461EC7"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60671C9C" wp14:editId="6EC170A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142240</wp:posOffset>
                  </wp:positionV>
                  <wp:extent cx="1954530" cy="1303020"/>
                  <wp:effectExtent l="0" t="0" r="762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elfinariumas_originalus_dydis_40_larg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530" cy="1303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021E5D" w:rsidRPr="00461EC7" w:rsidRDefault="008B20D5">
            <w:pPr>
              <w:pStyle w:val="Pagrindinispaprastastekstas"/>
              <w:shd w:val="clear" w:color="auto" w:fill="DBE5F1" w:themeFill="accent1" w:themeFillTint="33"/>
              <w:rPr>
                <w:sz w:val="18"/>
                <w:szCs w:val="18"/>
                <w:lang w:val="en-GB"/>
              </w:rPr>
            </w:pPr>
            <w:r w:rsidRPr="00461EC7">
              <w:rPr>
                <w:sz w:val="18"/>
                <w:szCs w:val="18"/>
                <w:lang w:val="en-GB"/>
              </w:rPr>
              <w:t>Three projects were implemented t</w:t>
            </w:r>
            <w:r w:rsidR="002328B3" w:rsidRPr="00461EC7">
              <w:rPr>
                <w:sz w:val="18"/>
                <w:szCs w:val="18"/>
                <w:lang w:val="en-GB"/>
              </w:rPr>
              <w:t xml:space="preserve">o </w:t>
            </w:r>
            <w:r w:rsidR="009B428C" w:rsidRPr="00461EC7">
              <w:rPr>
                <w:sz w:val="18"/>
                <w:szCs w:val="18"/>
                <w:lang w:val="en-GB"/>
              </w:rPr>
              <w:t xml:space="preserve">establish </w:t>
            </w:r>
            <w:r w:rsidRPr="00461EC7">
              <w:rPr>
                <w:sz w:val="18"/>
                <w:szCs w:val="18"/>
                <w:lang w:val="en-GB"/>
              </w:rPr>
              <w:t>a D</w:t>
            </w:r>
            <w:r w:rsidR="002328B3" w:rsidRPr="00461EC7">
              <w:rPr>
                <w:sz w:val="18"/>
                <w:szCs w:val="18"/>
                <w:lang w:val="en-GB"/>
              </w:rPr>
              <w:t xml:space="preserve">olphin </w:t>
            </w:r>
            <w:r w:rsidRPr="00461EC7">
              <w:rPr>
                <w:sz w:val="18"/>
                <w:szCs w:val="18"/>
                <w:lang w:val="en-GB"/>
              </w:rPr>
              <w:t>T</w:t>
            </w:r>
            <w:r w:rsidR="002328B3" w:rsidRPr="00461EC7">
              <w:rPr>
                <w:sz w:val="18"/>
                <w:szCs w:val="18"/>
                <w:lang w:val="en-GB"/>
              </w:rPr>
              <w:t xml:space="preserve">herapy </w:t>
            </w:r>
            <w:r w:rsidRPr="00461EC7">
              <w:rPr>
                <w:sz w:val="18"/>
                <w:szCs w:val="18"/>
                <w:lang w:val="en-GB"/>
              </w:rPr>
              <w:t>C</w:t>
            </w:r>
            <w:r w:rsidR="002328B3" w:rsidRPr="00461EC7">
              <w:rPr>
                <w:sz w:val="18"/>
                <w:szCs w:val="18"/>
                <w:lang w:val="en-GB"/>
              </w:rPr>
              <w:t xml:space="preserve">entre </w:t>
            </w:r>
            <w:r w:rsidRPr="00461EC7">
              <w:rPr>
                <w:sz w:val="18"/>
                <w:szCs w:val="18"/>
                <w:lang w:val="en-GB"/>
              </w:rPr>
              <w:t>at the Lithuanian Sea Museum</w:t>
            </w:r>
            <w:r w:rsidR="002328B3" w:rsidRPr="00461EC7">
              <w:rPr>
                <w:sz w:val="18"/>
                <w:szCs w:val="18"/>
                <w:lang w:val="en-GB"/>
              </w:rPr>
              <w:t xml:space="preserve">. The main </w:t>
            </w:r>
            <w:r w:rsidR="008C5267" w:rsidRPr="00461EC7">
              <w:rPr>
                <w:sz w:val="18"/>
                <w:szCs w:val="18"/>
                <w:lang w:val="en-GB"/>
              </w:rPr>
              <w:t xml:space="preserve">aim </w:t>
            </w:r>
            <w:r w:rsidR="002328B3" w:rsidRPr="00461EC7">
              <w:rPr>
                <w:sz w:val="18"/>
                <w:szCs w:val="18"/>
                <w:lang w:val="en-GB"/>
              </w:rPr>
              <w:t xml:space="preserve">of the projects was to contribute to </w:t>
            </w:r>
            <w:r w:rsidR="008C5267" w:rsidRPr="00461EC7">
              <w:rPr>
                <w:sz w:val="18"/>
                <w:szCs w:val="18"/>
                <w:lang w:val="en-GB"/>
              </w:rPr>
              <w:t xml:space="preserve">the </w:t>
            </w:r>
            <w:r w:rsidR="002328B3" w:rsidRPr="00461EC7">
              <w:rPr>
                <w:sz w:val="18"/>
                <w:szCs w:val="18"/>
                <w:lang w:val="en-GB"/>
              </w:rPr>
              <w:t>development of</w:t>
            </w:r>
            <w:r w:rsidR="008C5267" w:rsidRPr="00461EC7">
              <w:rPr>
                <w:sz w:val="18"/>
                <w:szCs w:val="18"/>
                <w:lang w:val="en-GB"/>
              </w:rPr>
              <w:t xml:space="preserve"> </w:t>
            </w:r>
            <w:r w:rsidR="002328B3" w:rsidRPr="00461EC7">
              <w:rPr>
                <w:sz w:val="18"/>
                <w:szCs w:val="18"/>
                <w:lang w:val="en-GB"/>
              </w:rPr>
              <w:t xml:space="preserve">active </w:t>
            </w:r>
            <w:r w:rsidR="008C5267" w:rsidRPr="00461EC7">
              <w:rPr>
                <w:sz w:val="18"/>
                <w:szCs w:val="18"/>
                <w:lang w:val="en-GB"/>
              </w:rPr>
              <w:t>recreational tourism</w:t>
            </w:r>
            <w:r w:rsidR="009B428C" w:rsidRPr="00461EC7">
              <w:rPr>
                <w:sz w:val="18"/>
                <w:szCs w:val="18"/>
                <w:lang w:val="en-GB"/>
              </w:rPr>
              <w:t xml:space="preserve"> infrastructure</w:t>
            </w:r>
            <w:r w:rsidR="008C5267" w:rsidRPr="00461EC7">
              <w:rPr>
                <w:sz w:val="18"/>
                <w:szCs w:val="18"/>
                <w:lang w:val="en-GB"/>
              </w:rPr>
              <w:t xml:space="preserve"> by </w:t>
            </w:r>
            <w:r w:rsidR="009B428C" w:rsidRPr="00461EC7">
              <w:rPr>
                <w:sz w:val="18"/>
                <w:szCs w:val="18"/>
                <w:lang w:val="en-GB"/>
              </w:rPr>
              <w:t xml:space="preserve">establishing </w:t>
            </w:r>
            <w:r w:rsidRPr="00461EC7">
              <w:rPr>
                <w:sz w:val="18"/>
                <w:szCs w:val="18"/>
                <w:lang w:val="en-GB"/>
              </w:rPr>
              <w:t xml:space="preserve">a </w:t>
            </w:r>
            <w:r w:rsidR="008C5267" w:rsidRPr="00461EC7">
              <w:rPr>
                <w:sz w:val="18"/>
                <w:szCs w:val="18"/>
                <w:lang w:val="en-GB"/>
              </w:rPr>
              <w:t xml:space="preserve">Dolphin </w:t>
            </w:r>
            <w:r w:rsidRPr="00461EC7">
              <w:rPr>
                <w:sz w:val="18"/>
                <w:szCs w:val="18"/>
                <w:lang w:val="en-GB"/>
              </w:rPr>
              <w:t>T</w:t>
            </w:r>
            <w:r w:rsidR="008C5267" w:rsidRPr="00461EC7">
              <w:rPr>
                <w:sz w:val="18"/>
                <w:szCs w:val="18"/>
                <w:lang w:val="en-GB"/>
              </w:rPr>
              <w:t xml:space="preserve">herapy </w:t>
            </w:r>
            <w:r w:rsidRPr="00461EC7">
              <w:rPr>
                <w:sz w:val="18"/>
                <w:szCs w:val="18"/>
                <w:lang w:val="en-GB"/>
              </w:rPr>
              <w:t>C</w:t>
            </w:r>
            <w:r w:rsidR="008C5267" w:rsidRPr="00461EC7">
              <w:rPr>
                <w:sz w:val="18"/>
                <w:szCs w:val="18"/>
                <w:lang w:val="en-GB"/>
              </w:rPr>
              <w:t xml:space="preserve">entre </w:t>
            </w:r>
            <w:r w:rsidRPr="00461EC7">
              <w:rPr>
                <w:sz w:val="18"/>
                <w:szCs w:val="18"/>
                <w:lang w:val="en-GB"/>
              </w:rPr>
              <w:t>at the</w:t>
            </w:r>
            <w:r w:rsidR="008C5267" w:rsidRPr="00461EC7">
              <w:rPr>
                <w:sz w:val="18"/>
                <w:szCs w:val="18"/>
                <w:lang w:val="en-GB"/>
              </w:rPr>
              <w:t xml:space="preserve"> Lithuanian </w:t>
            </w:r>
            <w:r w:rsidRPr="00461EC7">
              <w:rPr>
                <w:sz w:val="18"/>
                <w:szCs w:val="18"/>
                <w:lang w:val="en-GB"/>
              </w:rPr>
              <w:t>S</w:t>
            </w:r>
            <w:r w:rsidR="008C5267" w:rsidRPr="00461EC7">
              <w:rPr>
                <w:sz w:val="18"/>
                <w:szCs w:val="18"/>
                <w:lang w:val="en-GB"/>
              </w:rPr>
              <w:t xml:space="preserve">ea </w:t>
            </w:r>
            <w:r w:rsidRPr="00461EC7">
              <w:rPr>
                <w:sz w:val="18"/>
                <w:szCs w:val="18"/>
                <w:lang w:val="en-GB"/>
              </w:rPr>
              <w:t>M</w:t>
            </w:r>
            <w:r w:rsidR="008C5267" w:rsidRPr="00461EC7">
              <w:rPr>
                <w:sz w:val="18"/>
                <w:szCs w:val="18"/>
                <w:lang w:val="en-GB"/>
              </w:rPr>
              <w:t xml:space="preserve">useum. The </w:t>
            </w:r>
            <w:proofErr w:type="spellStart"/>
            <w:r w:rsidR="008C5267" w:rsidRPr="00461EC7">
              <w:rPr>
                <w:sz w:val="18"/>
                <w:szCs w:val="18"/>
                <w:lang w:val="en-GB"/>
              </w:rPr>
              <w:t>dolphinarium</w:t>
            </w:r>
            <w:proofErr w:type="spellEnd"/>
            <w:r w:rsidR="008C5267" w:rsidRPr="00461EC7">
              <w:rPr>
                <w:sz w:val="18"/>
                <w:szCs w:val="18"/>
                <w:lang w:val="en-GB"/>
              </w:rPr>
              <w:t xml:space="preserve"> is a part of </w:t>
            </w:r>
            <w:r w:rsidRPr="00461EC7">
              <w:rPr>
                <w:sz w:val="18"/>
                <w:szCs w:val="18"/>
                <w:lang w:val="en-GB"/>
              </w:rPr>
              <w:t xml:space="preserve">the </w:t>
            </w:r>
            <w:r w:rsidR="008C5267" w:rsidRPr="00461EC7">
              <w:rPr>
                <w:sz w:val="18"/>
                <w:szCs w:val="18"/>
                <w:lang w:val="en-GB"/>
              </w:rPr>
              <w:t xml:space="preserve">Lithuanian </w:t>
            </w:r>
            <w:r w:rsidRPr="00461EC7">
              <w:rPr>
                <w:sz w:val="18"/>
                <w:szCs w:val="18"/>
                <w:lang w:val="en-GB"/>
              </w:rPr>
              <w:t>S</w:t>
            </w:r>
            <w:r w:rsidR="008C5267" w:rsidRPr="00461EC7">
              <w:rPr>
                <w:sz w:val="18"/>
                <w:szCs w:val="18"/>
                <w:lang w:val="en-GB"/>
              </w:rPr>
              <w:t xml:space="preserve">ea </w:t>
            </w:r>
            <w:r w:rsidRPr="00461EC7">
              <w:rPr>
                <w:sz w:val="18"/>
                <w:szCs w:val="18"/>
                <w:lang w:val="en-GB"/>
              </w:rPr>
              <w:t>M</w:t>
            </w:r>
            <w:r w:rsidR="008C5267" w:rsidRPr="00461EC7">
              <w:rPr>
                <w:sz w:val="18"/>
                <w:szCs w:val="18"/>
                <w:lang w:val="en-GB"/>
              </w:rPr>
              <w:t>useum and one</w:t>
            </w:r>
            <w:r w:rsidRPr="00461EC7">
              <w:rPr>
                <w:sz w:val="18"/>
                <w:szCs w:val="18"/>
                <w:lang w:val="en-GB"/>
              </w:rPr>
              <w:t>-</w:t>
            </w:r>
            <w:r w:rsidR="008C5267" w:rsidRPr="00461EC7">
              <w:rPr>
                <w:sz w:val="18"/>
                <w:szCs w:val="18"/>
                <w:lang w:val="en-GB"/>
              </w:rPr>
              <w:t>of</w:t>
            </w:r>
            <w:r w:rsidRPr="00461EC7">
              <w:rPr>
                <w:sz w:val="18"/>
                <w:szCs w:val="18"/>
                <w:lang w:val="en-GB"/>
              </w:rPr>
              <w:t>-a-</w:t>
            </w:r>
            <w:r w:rsidR="008C5267" w:rsidRPr="00461EC7">
              <w:rPr>
                <w:sz w:val="18"/>
                <w:szCs w:val="18"/>
                <w:lang w:val="en-GB"/>
              </w:rPr>
              <w:t xml:space="preserve">kind in the Baltic states. </w:t>
            </w:r>
            <w:r w:rsidR="006D4015" w:rsidRPr="00461EC7">
              <w:rPr>
                <w:sz w:val="18"/>
                <w:szCs w:val="18"/>
                <w:lang w:val="en-GB"/>
              </w:rPr>
              <w:t xml:space="preserve">The project’s idea is related to the further development of </w:t>
            </w:r>
            <w:r w:rsidR="000E44C8" w:rsidRPr="00461EC7">
              <w:rPr>
                <w:sz w:val="18"/>
                <w:szCs w:val="18"/>
                <w:lang w:val="en-GB"/>
              </w:rPr>
              <w:t xml:space="preserve">the </w:t>
            </w:r>
            <w:r w:rsidR="006D4015" w:rsidRPr="00461EC7">
              <w:rPr>
                <w:sz w:val="18"/>
                <w:szCs w:val="18"/>
                <w:lang w:val="en-GB"/>
              </w:rPr>
              <w:t xml:space="preserve">Lithuanian </w:t>
            </w:r>
            <w:r w:rsidR="000E44C8" w:rsidRPr="00461EC7">
              <w:rPr>
                <w:sz w:val="18"/>
                <w:szCs w:val="18"/>
                <w:lang w:val="en-GB"/>
              </w:rPr>
              <w:t>S</w:t>
            </w:r>
            <w:r w:rsidR="006D4015" w:rsidRPr="00461EC7">
              <w:rPr>
                <w:sz w:val="18"/>
                <w:szCs w:val="18"/>
                <w:lang w:val="en-GB"/>
              </w:rPr>
              <w:t xml:space="preserve">ea </w:t>
            </w:r>
            <w:r w:rsidR="000E44C8" w:rsidRPr="00461EC7">
              <w:rPr>
                <w:sz w:val="18"/>
                <w:szCs w:val="18"/>
                <w:lang w:val="en-GB"/>
              </w:rPr>
              <w:t>M</w:t>
            </w:r>
            <w:r w:rsidR="006D4015" w:rsidRPr="00461EC7">
              <w:rPr>
                <w:sz w:val="18"/>
                <w:szCs w:val="18"/>
                <w:lang w:val="en-GB"/>
              </w:rPr>
              <w:t>useum, i.e. investments contribute</w:t>
            </w:r>
            <w:r w:rsidR="004A55B0">
              <w:rPr>
                <w:sz w:val="18"/>
                <w:szCs w:val="18"/>
                <w:lang w:val="en-GB"/>
              </w:rPr>
              <w:t>d</w:t>
            </w:r>
            <w:r w:rsidR="006D4015" w:rsidRPr="00461EC7">
              <w:rPr>
                <w:sz w:val="18"/>
                <w:szCs w:val="18"/>
                <w:lang w:val="en-GB"/>
              </w:rPr>
              <w:t xml:space="preserve"> to the development of entertainment, relaxation and health services in </w:t>
            </w:r>
            <w:proofErr w:type="spellStart"/>
            <w:r w:rsidR="006D4015" w:rsidRPr="00461EC7">
              <w:rPr>
                <w:sz w:val="18"/>
                <w:szCs w:val="18"/>
                <w:lang w:val="en-GB"/>
              </w:rPr>
              <w:t>Kopgalis</w:t>
            </w:r>
            <w:proofErr w:type="spellEnd"/>
            <w:r w:rsidR="006D4015" w:rsidRPr="00461EC7">
              <w:rPr>
                <w:sz w:val="18"/>
                <w:szCs w:val="18"/>
                <w:lang w:val="en-GB"/>
              </w:rPr>
              <w:t xml:space="preserve">. </w:t>
            </w:r>
            <w:r w:rsidR="000E44C8" w:rsidRPr="00461EC7">
              <w:rPr>
                <w:sz w:val="18"/>
                <w:szCs w:val="18"/>
                <w:lang w:val="en-GB"/>
              </w:rPr>
              <w:t>T</w:t>
            </w:r>
            <w:r w:rsidR="006D4015" w:rsidRPr="00461EC7">
              <w:rPr>
                <w:sz w:val="18"/>
                <w:szCs w:val="18"/>
                <w:lang w:val="en-GB"/>
              </w:rPr>
              <w:t>he project created 17</w:t>
            </w:r>
            <w:r w:rsidR="000E44C8" w:rsidRPr="00461EC7">
              <w:rPr>
                <w:sz w:val="18"/>
                <w:szCs w:val="18"/>
                <w:lang w:val="en-GB"/>
              </w:rPr>
              <w:t> </w:t>
            </w:r>
            <w:r w:rsidR="006D4015" w:rsidRPr="00461EC7">
              <w:rPr>
                <w:sz w:val="18"/>
                <w:szCs w:val="18"/>
                <w:lang w:val="en-GB"/>
              </w:rPr>
              <w:t xml:space="preserve">new jobs and the </w:t>
            </w:r>
            <w:proofErr w:type="spellStart"/>
            <w:r w:rsidR="006D4015" w:rsidRPr="00461EC7">
              <w:rPr>
                <w:sz w:val="18"/>
                <w:szCs w:val="18"/>
                <w:lang w:val="en-GB"/>
              </w:rPr>
              <w:t>dolphinarium</w:t>
            </w:r>
            <w:proofErr w:type="spellEnd"/>
            <w:r w:rsidR="006D4015" w:rsidRPr="00461EC7">
              <w:rPr>
                <w:sz w:val="18"/>
                <w:szCs w:val="18"/>
                <w:lang w:val="en-GB"/>
              </w:rPr>
              <w:t xml:space="preserve"> attracted 613</w:t>
            </w:r>
            <w:r w:rsidR="000E44C8" w:rsidRPr="00461EC7">
              <w:rPr>
                <w:sz w:val="18"/>
                <w:szCs w:val="18"/>
                <w:lang w:val="en-GB"/>
              </w:rPr>
              <w:t>,000</w:t>
            </w:r>
            <w:r w:rsidR="007B3A22">
              <w:rPr>
                <w:sz w:val="18"/>
                <w:szCs w:val="18"/>
                <w:lang w:val="en-GB"/>
              </w:rPr>
              <w:t> </w:t>
            </w:r>
            <w:r w:rsidR="006D4015" w:rsidRPr="00461EC7">
              <w:rPr>
                <w:sz w:val="18"/>
                <w:szCs w:val="18"/>
                <w:lang w:val="en-GB"/>
              </w:rPr>
              <w:t>visitors in less than three years. The project also contributed to the quality of tourism services</w:t>
            </w:r>
            <w:r w:rsidR="000E44C8" w:rsidRPr="00461EC7">
              <w:rPr>
                <w:sz w:val="18"/>
                <w:szCs w:val="18"/>
                <w:lang w:val="en-GB"/>
              </w:rPr>
              <w:t xml:space="preserve"> and</w:t>
            </w:r>
            <w:r w:rsidR="006D4015" w:rsidRPr="00461EC7">
              <w:rPr>
                <w:sz w:val="18"/>
                <w:szCs w:val="18"/>
                <w:lang w:val="en-GB"/>
              </w:rPr>
              <w:t xml:space="preserve"> the</w:t>
            </w:r>
            <w:r w:rsidR="000E44C8" w:rsidRPr="00461EC7">
              <w:rPr>
                <w:sz w:val="18"/>
                <w:szCs w:val="18"/>
                <w:lang w:val="en-GB"/>
              </w:rPr>
              <w:t xml:space="preserve"> museum’s</w:t>
            </w:r>
            <w:r w:rsidR="006D4015" w:rsidRPr="00461EC7">
              <w:rPr>
                <w:sz w:val="18"/>
                <w:szCs w:val="18"/>
                <w:lang w:val="en-GB"/>
              </w:rPr>
              <w:t xml:space="preserve"> image in Lithuania and abroad,</w:t>
            </w:r>
            <w:r w:rsidR="000E44C8" w:rsidRPr="00461EC7">
              <w:rPr>
                <w:sz w:val="18"/>
                <w:szCs w:val="18"/>
                <w:lang w:val="en-GB"/>
              </w:rPr>
              <w:t xml:space="preserve"> thus increasing</w:t>
            </w:r>
            <w:r w:rsidR="006D4015" w:rsidRPr="00461EC7">
              <w:rPr>
                <w:sz w:val="18"/>
                <w:szCs w:val="18"/>
                <w:lang w:val="en-GB"/>
              </w:rPr>
              <w:t xml:space="preserve"> </w:t>
            </w:r>
            <w:r w:rsidR="000E44C8" w:rsidRPr="00461EC7">
              <w:rPr>
                <w:sz w:val="18"/>
                <w:szCs w:val="18"/>
                <w:lang w:val="en-GB"/>
              </w:rPr>
              <w:t xml:space="preserve">the </w:t>
            </w:r>
            <w:r w:rsidR="006D4015" w:rsidRPr="00461EC7">
              <w:rPr>
                <w:sz w:val="18"/>
                <w:szCs w:val="18"/>
                <w:lang w:val="en-GB"/>
              </w:rPr>
              <w:t>number of tourists</w:t>
            </w:r>
            <w:r w:rsidR="00AD64FC" w:rsidRPr="00461EC7">
              <w:rPr>
                <w:sz w:val="18"/>
                <w:szCs w:val="18"/>
                <w:lang w:val="en-GB"/>
              </w:rPr>
              <w:t xml:space="preserve"> visiting </w:t>
            </w:r>
            <w:r w:rsidR="006D4015" w:rsidRPr="00461EC7">
              <w:rPr>
                <w:sz w:val="18"/>
                <w:szCs w:val="18"/>
                <w:lang w:val="en-GB"/>
              </w:rPr>
              <w:t>the museum.</w:t>
            </w:r>
          </w:p>
        </w:tc>
      </w:tr>
    </w:tbl>
    <w:p w:rsidR="00021E5D" w:rsidRPr="00461EC7" w:rsidRDefault="00021E5D" w:rsidP="0046175C">
      <w:pPr>
        <w:pStyle w:val="Pagrindinispaprastastekstas"/>
        <w:rPr>
          <w:lang w:val="en-GB" w:eastAsia="lt-LT"/>
        </w:rPr>
      </w:pPr>
    </w:p>
    <w:p w:rsidR="00C82149" w:rsidRPr="00461EC7" w:rsidRDefault="00C82149">
      <w:pPr>
        <w:rPr>
          <w:rFonts w:asciiTheme="majorHAnsi" w:eastAsia="Times New Roman" w:hAnsiTheme="majorHAnsi"/>
          <w:b/>
          <w:bCs/>
          <w:caps/>
          <w:color w:val="4181B6"/>
          <w:kern w:val="32"/>
          <w:sz w:val="28"/>
          <w:szCs w:val="32"/>
          <w:lang w:val="en-GB" w:eastAsia="lt-LT"/>
        </w:rPr>
      </w:pPr>
      <w:bookmarkStart w:id="8" w:name="_Toc468106954"/>
      <w:bookmarkStart w:id="9" w:name="_Toc468114522"/>
      <w:r w:rsidRPr="00461EC7">
        <w:rPr>
          <w:lang w:val="en-GB"/>
        </w:rPr>
        <w:br w:type="page"/>
      </w:r>
    </w:p>
    <w:p w:rsidR="0046175C" w:rsidRPr="00461EC7" w:rsidRDefault="006D4015" w:rsidP="004C5695">
      <w:pPr>
        <w:pStyle w:val="Nenumeruojamosantrastes"/>
        <w:rPr>
          <w:lang w:val="en-GB"/>
        </w:rPr>
      </w:pPr>
      <w:r w:rsidRPr="00461EC7">
        <w:rPr>
          <w:lang w:val="en-GB"/>
        </w:rPr>
        <w:lastRenderedPageBreak/>
        <w:t xml:space="preserve">results of the </w:t>
      </w:r>
      <w:r w:rsidR="00064997" w:rsidRPr="00461EC7">
        <w:rPr>
          <w:lang w:val="en-GB"/>
        </w:rPr>
        <w:t xml:space="preserve">OPPC </w:t>
      </w:r>
      <w:r w:rsidRPr="00461EC7">
        <w:rPr>
          <w:lang w:val="en-GB"/>
        </w:rPr>
        <w:t xml:space="preserve">implementation: </w:t>
      </w:r>
      <w:bookmarkEnd w:id="8"/>
      <w:bookmarkEnd w:id="9"/>
      <w:r w:rsidR="00191EB5" w:rsidRPr="00461EC7">
        <w:rPr>
          <w:lang w:val="en-GB"/>
        </w:rPr>
        <w:t>biodiversity and landscape</w:t>
      </w:r>
    </w:p>
    <w:p w:rsidR="002339A0" w:rsidRPr="00461EC7" w:rsidRDefault="004C0F6A" w:rsidP="002339A0">
      <w:pPr>
        <w:pStyle w:val="Pagrindinispaprastastekstas"/>
        <w:rPr>
          <w:b/>
          <w:color w:val="1F497D" w:themeColor="text2"/>
          <w:lang w:val="en-GB" w:eastAsia="lt-LT"/>
        </w:rPr>
      </w:pPr>
      <w:r w:rsidRPr="00461EC7">
        <w:rPr>
          <w:b/>
          <w:color w:val="1F497D" w:themeColor="text2"/>
          <w:lang w:val="en-GB" w:eastAsia="lt-LT"/>
        </w:rPr>
        <w:t xml:space="preserve">The main outputs </w:t>
      </w:r>
      <w:r w:rsidR="002339A0" w:rsidRPr="00461EC7">
        <w:rPr>
          <w:b/>
          <w:color w:val="1F497D" w:themeColor="text2"/>
          <w:lang w:val="en-GB" w:eastAsia="lt-LT"/>
        </w:rPr>
        <w:t xml:space="preserve">and results </w:t>
      </w:r>
    </w:p>
    <w:p w:rsidR="00974C60" w:rsidRPr="00461EC7" w:rsidRDefault="00700849" w:rsidP="0046175C">
      <w:pPr>
        <w:pStyle w:val="Pagrindinispaprastastekstas"/>
        <w:rPr>
          <w:lang w:val="en-GB" w:eastAsia="lt-LT"/>
        </w:rPr>
      </w:pPr>
      <w:r w:rsidRPr="00461EC7">
        <w:rPr>
          <w:noProof/>
          <w:lang w:eastAsia="lt-LT"/>
        </w:rPr>
        <w:drawing>
          <wp:inline distT="0" distB="0" distL="0" distR="0" wp14:anchorId="0D0E67CE" wp14:editId="7CB0FF42">
            <wp:extent cx="6131266" cy="1302327"/>
            <wp:effectExtent l="0" t="0" r="3175" b="12700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00849" w:rsidRPr="00461EC7" w:rsidRDefault="00700849" w:rsidP="0046175C">
      <w:pPr>
        <w:pStyle w:val="Pagrindinispaprastastekstas"/>
        <w:rPr>
          <w:lang w:val="en-GB" w:eastAsia="lt-LT"/>
        </w:rPr>
      </w:pPr>
    </w:p>
    <w:p w:rsidR="00D2399B" w:rsidRPr="00461EC7" w:rsidRDefault="0041730B" w:rsidP="00D2399B">
      <w:pPr>
        <w:pStyle w:val="Pagrindinispaprastastekstas"/>
        <w:rPr>
          <w:b/>
          <w:lang w:val="en-GB"/>
        </w:rPr>
      </w:pPr>
      <w:r w:rsidRPr="00461EC7">
        <w:rPr>
          <w:b/>
          <w:lang w:val="en-GB"/>
        </w:rPr>
        <w:t>Protected territories</w:t>
      </w:r>
      <w:r w:rsidR="00D2399B" w:rsidRPr="00461EC7">
        <w:rPr>
          <w:b/>
          <w:lang w:val="en-GB"/>
        </w:rPr>
        <w:t xml:space="preserve"> (</w:t>
      </w:r>
      <w:r w:rsidR="008679F4" w:rsidRPr="00461EC7">
        <w:rPr>
          <w:b/>
          <w:lang w:val="en-GB"/>
        </w:rPr>
        <w:t>in national parks and nature reserves):</w:t>
      </w:r>
    </w:p>
    <w:p w:rsidR="008679F4" w:rsidRPr="00461EC7" w:rsidRDefault="008679F4" w:rsidP="00D2399B">
      <w:pPr>
        <w:pStyle w:val="Pagrindinispaprastastekstas"/>
        <w:rPr>
          <w:b/>
          <w:lang w:val="en-GB" w:eastAsia="lt-LT"/>
        </w:rPr>
      </w:pPr>
    </w:p>
    <w:p w:rsidR="008679F4" w:rsidRPr="00461EC7" w:rsidRDefault="00B62FB5" w:rsidP="00865AC8">
      <w:pPr>
        <w:pStyle w:val="Pagrindinispaprastastekstas"/>
        <w:numPr>
          <w:ilvl w:val="0"/>
          <w:numId w:val="32"/>
        </w:numPr>
        <w:rPr>
          <w:lang w:val="en-GB" w:eastAsia="lt-LT"/>
        </w:rPr>
      </w:pPr>
      <w:r w:rsidRPr="00461EC7">
        <w:rPr>
          <w:lang w:val="en-GB"/>
        </w:rPr>
        <w:t>22</w:t>
      </w:r>
      <w:r w:rsidR="00C32508" w:rsidRPr="00461EC7">
        <w:rPr>
          <w:lang w:val="en-GB"/>
        </w:rPr>
        <w:t> </w:t>
      </w:r>
      <w:r w:rsidRPr="00461EC7">
        <w:rPr>
          <w:lang w:val="en-GB"/>
        </w:rPr>
        <w:t xml:space="preserve">visitor centres </w:t>
      </w:r>
      <w:r w:rsidR="00141E35" w:rsidRPr="00461EC7">
        <w:rPr>
          <w:lang w:val="en-GB"/>
        </w:rPr>
        <w:t>were built:</w:t>
      </w:r>
      <w:r w:rsidRPr="00461EC7">
        <w:rPr>
          <w:lang w:val="en-GB"/>
        </w:rPr>
        <w:t xml:space="preserve"> </w:t>
      </w:r>
      <w:r w:rsidR="00C32508" w:rsidRPr="00461EC7">
        <w:rPr>
          <w:lang w:val="en-GB"/>
        </w:rPr>
        <w:t>t</w:t>
      </w:r>
      <w:r w:rsidR="0041730B" w:rsidRPr="00461EC7">
        <w:rPr>
          <w:lang w:val="en-GB"/>
        </w:rPr>
        <w:t xml:space="preserve">he </w:t>
      </w:r>
      <w:r w:rsidR="00C32508" w:rsidRPr="00461EC7">
        <w:rPr>
          <w:lang w:val="en-GB"/>
        </w:rPr>
        <w:t>National Visitor Centre of P</w:t>
      </w:r>
      <w:r w:rsidR="00865AC8" w:rsidRPr="00461EC7">
        <w:rPr>
          <w:lang w:val="en-GB"/>
        </w:rPr>
        <w:t xml:space="preserve">rotected </w:t>
      </w:r>
      <w:r w:rsidR="00C32508" w:rsidRPr="00461EC7">
        <w:rPr>
          <w:lang w:val="en-GB"/>
        </w:rPr>
        <w:t>T</w:t>
      </w:r>
      <w:r w:rsidR="0041730B" w:rsidRPr="00461EC7">
        <w:rPr>
          <w:lang w:val="en-GB"/>
        </w:rPr>
        <w:t>erritories</w:t>
      </w:r>
      <w:r w:rsidR="00865AC8" w:rsidRPr="00461EC7">
        <w:rPr>
          <w:lang w:val="en-GB"/>
        </w:rPr>
        <w:t xml:space="preserve">, </w:t>
      </w:r>
      <w:r w:rsidR="00C32508" w:rsidRPr="00461EC7">
        <w:rPr>
          <w:lang w:val="en-GB"/>
        </w:rPr>
        <w:t xml:space="preserve">visitor centres for </w:t>
      </w:r>
      <w:proofErr w:type="spellStart"/>
      <w:r w:rsidR="00865AC8" w:rsidRPr="00461EC7">
        <w:rPr>
          <w:lang w:val="en-GB"/>
        </w:rPr>
        <w:t>Ventė</w:t>
      </w:r>
      <w:proofErr w:type="spellEnd"/>
      <w:r w:rsidR="00865AC8" w:rsidRPr="00461EC7">
        <w:rPr>
          <w:lang w:val="en-GB"/>
        </w:rPr>
        <w:t xml:space="preserve"> Cape (Horn), </w:t>
      </w:r>
      <w:proofErr w:type="spellStart"/>
      <w:r w:rsidR="00865AC8" w:rsidRPr="00461EC7">
        <w:rPr>
          <w:lang w:val="en-GB"/>
        </w:rPr>
        <w:t>Viešvilė</w:t>
      </w:r>
      <w:proofErr w:type="spellEnd"/>
      <w:r w:rsidR="00865AC8" w:rsidRPr="00461EC7">
        <w:rPr>
          <w:lang w:val="en-GB"/>
        </w:rPr>
        <w:t xml:space="preserve"> </w:t>
      </w:r>
      <w:r w:rsidR="00C32508" w:rsidRPr="00461EC7">
        <w:rPr>
          <w:lang w:val="en-GB"/>
        </w:rPr>
        <w:t>State R</w:t>
      </w:r>
      <w:r w:rsidR="00865AC8" w:rsidRPr="00461EC7">
        <w:rPr>
          <w:lang w:val="en-GB"/>
        </w:rPr>
        <w:t xml:space="preserve">eserve, </w:t>
      </w:r>
      <w:proofErr w:type="spellStart"/>
      <w:r w:rsidR="00865AC8" w:rsidRPr="00461EC7">
        <w:rPr>
          <w:lang w:val="en-GB"/>
        </w:rPr>
        <w:t>Dzūkija</w:t>
      </w:r>
      <w:proofErr w:type="spellEnd"/>
      <w:r w:rsidR="00865AC8" w:rsidRPr="00461EC7">
        <w:rPr>
          <w:lang w:val="en-GB"/>
        </w:rPr>
        <w:t xml:space="preserve"> </w:t>
      </w:r>
      <w:r w:rsidR="00C32508" w:rsidRPr="00461EC7">
        <w:rPr>
          <w:lang w:val="en-GB"/>
        </w:rPr>
        <w:t>N</w:t>
      </w:r>
      <w:r w:rsidR="00865AC8" w:rsidRPr="00461EC7">
        <w:rPr>
          <w:lang w:val="en-GB"/>
        </w:rPr>
        <w:t xml:space="preserve">ational </w:t>
      </w:r>
      <w:r w:rsidR="00C32508" w:rsidRPr="00461EC7">
        <w:rPr>
          <w:lang w:val="en-GB"/>
        </w:rPr>
        <w:t>P</w:t>
      </w:r>
      <w:r w:rsidR="00865AC8" w:rsidRPr="00461EC7">
        <w:rPr>
          <w:lang w:val="en-GB"/>
        </w:rPr>
        <w:t xml:space="preserve">ark, </w:t>
      </w:r>
      <w:proofErr w:type="spellStart"/>
      <w:r w:rsidR="00865AC8" w:rsidRPr="00461EC7">
        <w:rPr>
          <w:lang w:val="en-GB"/>
        </w:rPr>
        <w:t>Anykščiai</w:t>
      </w:r>
      <w:proofErr w:type="spellEnd"/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865AC8" w:rsidRPr="00461EC7">
        <w:rPr>
          <w:lang w:val="en-GB"/>
        </w:rPr>
        <w:t xml:space="preserve">, </w:t>
      </w:r>
      <w:proofErr w:type="spellStart"/>
      <w:r w:rsidR="00865AC8" w:rsidRPr="00461EC7">
        <w:rPr>
          <w:lang w:val="en-GB"/>
        </w:rPr>
        <w:t>Nem</w:t>
      </w:r>
      <w:r w:rsidR="002B53CE" w:rsidRPr="00461EC7">
        <w:rPr>
          <w:lang w:val="en-GB"/>
        </w:rPr>
        <w:t>un</w:t>
      </w:r>
      <w:r w:rsidR="0038282F" w:rsidRPr="00461EC7">
        <w:rPr>
          <w:lang w:val="en-GB"/>
        </w:rPr>
        <w:t>as</w:t>
      </w:r>
      <w:proofErr w:type="spellEnd"/>
      <w:r w:rsidR="00865AC8" w:rsidRPr="00461EC7">
        <w:rPr>
          <w:lang w:val="en-GB"/>
        </w:rPr>
        <w:t xml:space="preserve"> </w:t>
      </w:r>
      <w:r w:rsidR="0038282F" w:rsidRPr="00461EC7">
        <w:rPr>
          <w:lang w:val="en-GB"/>
        </w:rPr>
        <w:t>D</w:t>
      </w:r>
      <w:r w:rsidR="00865AC8" w:rsidRPr="00461EC7">
        <w:rPr>
          <w:lang w:val="en-GB"/>
        </w:rPr>
        <w:t>elta</w:t>
      </w:r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865AC8" w:rsidRPr="00461EC7">
        <w:rPr>
          <w:lang w:val="en-GB"/>
        </w:rPr>
        <w:t xml:space="preserve">, </w:t>
      </w:r>
      <w:proofErr w:type="spellStart"/>
      <w:r w:rsidR="00865AC8" w:rsidRPr="00461EC7">
        <w:rPr>
          <w:lang w:val="en-GB"/>
        </w:rPr>
        <w:t>Dieveniškės</w:t>
      </w:r>
      <w:proofErr w:type="spellEnd"/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865AC8" w:rsidRPr="00461EC7">
        <w:rPr>
          <w:lang w:val="en-GB"/>
        </w:rPr>
        <w:t>, Kaunas</w:t>
      </w:r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Lagoon 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865AC8" w:rsidRPr="00461EC7">
        <w:rPr>
          <w:lang w:val="en-GB"/>
        </w:rPr>
        <w:t xml:space="preserve">, </w:t>
      </w:r>
      <w:proofErr w:type="spellStart"/>
      <w:r w:rsidR="00865AC8" w:rsidRPr="00461EC7">
        <w:rPr>
          <w:lang w:val="en-GB"/>
        </w:rPr>
        <w:t>Krekenava</w:t>
      </w:r>
      <w:proofErr w:type="spellEnd"/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865AC8" w:rsidRPr="00461EC7">
        <w:rPr>
          <w:lang w:val="en-GB"/>
        </w:rPr>
        <w:t xml:space="preserve">, </w:t>
      </w:r>
      <w:proofErr w:type="spellStart"/>
      <w:r w:rsidR="00865AC8" w:rsidRPr="00461EC7">
        <w:rPr>
          <w:lang w:val="en-GB"/>
        </w:rPr>
        <w:t>Kurtuvėnai</w:t>
      </w:r>
      <w:proofErr w:type="spellEnd"/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865AC8" w:rsidRPr="00461EC7">
        <w:rPr>
          <w:lang w:val="en-GB"/>
        </w:rPr>
        <w:t xml:space="preserve">, </w:t>
      </w:r>
      <w:proofErr w:type="spellStart"/>
      <w:r w:rsidR="00865AC8" w:rsidRPr="00461EC7">
        <w:rPr>
          <w:lang w:val="en-GB"/>
        </w:rPr>
        <w:t>Pagramantis</w:t>
      </w:r>
      <w:proofErr w:type="spellEnd"/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865AC8" w:rsidRPr="00461EC7">
        <w:rPr>
          <w:lang w:val="en-GB"/>
        </w:rPr>
        <w:t xml:space="preserve">, </w:t>
      </w:r>
      <w:r w:rsidR="00C32508" w:rsidRPr="00461EC7">
        <w:rPr>
          <w:lang w:val="en-GB"/>
        </w:rPr>
        <w:t>Seaside 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2B53CE" w:rsidRPr="00461EC7">
        <w:rPr>
          <w:lang w:val="en-GB"/>
        </w:rPr>
        <w:t xml:space="preserve">, </w:t>
      </w:r>
      <w:proofErr w:type="spellStart"/>
      <w:r w:rsidR="002B53CE" w:rsidRPr="00461EC7">
        <w:rPr>
          <w:lang w:val="en-GB"/>
        </w:rPr>
        <w:t>Rambynas</w:t>
      </w:r>
      <w:proofErr w:type="spellEnd"/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2B53CE" w:rsidRPr="00461EC7">
        <w:rPr>
          <w:lang w:val="en-GB"/>
        </w:rPr>
        <w:t xml:space="preserve">, </w:t>
      </w:r>
      <w:proofErr w:type="spellStart"/>
      <w:r w:rsidR="002B53CE" w:rsidRPr="00461EC7">
        <w:rPr>
          <w:lang w:val="en-GB"/>
        </w:rPr>
        <w:t>Salantai</w:t>
      </w:r>
      <w:proofErr w:type="spellEnd"/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2B53CE" w:rsidRPr="00461EC7">
        <w:rPr>
          <w:lang w:val="en-GB"/>
        </w:rPr>
        <w:t xml:space="preserve">, </w:t>
      </w:r>
      <w:proofErr w:type="spellStart"/>
      <w:r w:rsidR="002B53CE" w:rsidRPr="00461EC7">
        <w:rPr>
          <w:lang w:val="en-GB"/>
        </w:rPr>
        <w:t>Sartai</w:t>
      </w:r>
      <w:proofErr w:type="spellEnd"/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2B53CE" w:rsidRPr="00461EC7">
        <w:rPr>
          <w:lang w:val="en-GB"/>
        </w:rPr>
        <w:t xml:space="preserve">, </w:t>
      </w:r>
      <w:proofErr w:type="spellStart"/>
      <w:r w:rsidR="002B53CE" w:rsidRPr="00461EC7">
        <w:rPr>
          <w:lang w:val="en-GB"/>
        </w:rPr>
        <w:t>Sirvėta</w:t>
      </w:r>
      <w:proofErr w:type="spellEnd"/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2B53CE" w:rsidRPr="00461EC7">
        <w:rPr>
          <w:lang w:val="en-GB"/>
        </w:rPr>
        <w:t xml:space="preserve">, </w:t>
      </w:r>
      <w:proofErr w:type="spellStart"/>
      <w:r w:rsidR="002B53CE" w:rsidRPr="00461EC7">
        <w:rPr>
          <w:lang w:val="en-GB"/>
        </w:rPr>
        <w:t>Tytuvėnai</w:t>
      </w:r>
      <w:proofErr w:type="spellEnd"/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2B53CE" w:rsidRPr="00461EC7">
        <w:rPr>
          <w:lang w:val="en-GB"/>
        </w:rPr>
        <w:t xml:space="preserve">, </w:t>
      </w:r>
      <w:proofErr w:type="spellStart"/>
      <w:r w:rsidR="002B53CE" w:rsidRPr="00461EC7">
        <w:rPr>
          <w:lang w:val="en-GB"/>
        </w:rPr>
        <w:t>Varniai</w:t>
      </w:r>
      <w:proofErr w:type="spellEnd"/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2B53CE" w:rsidRPr="00461EC7">
        <w:rPr>
          <w:lang w:val="en-GB"/>
        </w:rPr>
        <w:t xml:space="preserve">, </w:t>
      </w:r>
      <w:proofErr w:type="spellStart"/>
      <w:r w:rsidR="002B53CE" w:rsidRPr="00461EC7">
        <w:rPr>
          <w:lang w:val="en-GB"/>
        </w:rPr>
        <w:t>Veisiejai</w:t>
      </w:r>
      <w:proofErr w:type="spellEnd"/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2B53CE" w:rsidRPr="00461EC7">
        <w:rPr>
          <w:lang w:val="en-GB"/>
        </w:rPr>
        <w:t xml:space="preserve">, </w:t>
      </w:r>
      <w:proofErr w:type="spellStart"/>
      <w:r w:rsidR="002B53CE" w:rsidRPr="00461EC7">
        <w:rPr>
          <w:lang w:val="en-GB"/>
        </w:rPr>
        <w:t>Venta</w:t>
      </w:r>
      <w:proofErr w:type="spellEnd"/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2B53CE" w:rsidRPr="00461EC7">
        <w:rPr>
          <w:lang w:val="en-GB"/>
        </w:rPr>
        <w:t xml:space="preserve">, </w:t>
      </w:r>
      <w:proofErr w:type="spellStart"/>
      <w:r w:rsidR="002B53CE" w:rsidRPr="00461EC7">
        <w:rPr>
          <w:lang w:val="en-GB"/>
        </w:rPr>
        <w:t>Vištytis</w:t>
      </w:r>
      <w:proofErr w:type="spellEnd"/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2B53CE" w:rsidRPr="00461EC7">
        <w:rPr>
          <w:lang w:val="en-GB"/>
        </w:rPr>
        <w:t xml:space="preserve"> and </w:t>
      </w:r>
      <w:proofErr w:type="spellStart"/>
      <w:r w:rsidR="002B53CE" w:rsidRPr="00461EC7">
        <w:rPr>
          <w:lang w:val="en-GB"/>
        </w:rPr>
        <w:t>Žagarė</w:t>
      </w:r>
      <w:proofErr w:type="spellEnd"/>
      <w:r w:rsidR="0038282F" w:rsidRPr="00461EC7">
        <w:rPr>
          <w:lang w:val="en-GB"/>
        </w:rPr>
        <w:t xml:space="preserve"> </w:t>
      </w:r>
      <w:r w:rsidR="00C32508" w:rsidRPr="00461EC7">
        <w:rPr>
          <w:lang w:val="en-GB"/>
        </w:rPr>
        <w:t>R</w:t>
      </w:r>
      <w:r w:rsidR="0038282F" w:rsidRPr="00461EC7">
        <w:rPr>
          <w:lang w:val="en-GB"/>
        </w:rPr>
        <w:t xml:space="preserve">egional </w:t>
      </w:r>
      <w:r w:rsidR="00C32508" w:rsidRPr="00461EC7">
        <w:rPr>
          <w:lang w:val="en-GB"/>
        </w:rPr>
        <w:t>P</w:t>
      </w:r>
      <w:r w:rsidR="0038282F" w:rsidRPr="00461EC7">
        <w:rPr>
          <w:lang w:val="en-GB"/>
        </w:rPr>
        <w:t>ark</w:t>
      </w:r>
      <w:r w:rsidR="00141E35" w:rsidRPr="00461EC7">
        <w:rPr>
          <w:lang w:val="en-GB"/>
        </w:rPr>
        <w:t>.</w:t>
      </w:r>
    </w:p>
    <w:p w:rsidR="008679F4" w:rsidRPr="00461EC7" w:rsidRDefault="0038282F" w:rsidP="00700849">
      <w:pPr>
        <w:pStyle w:val="Pagrindinispaprastastekstas"/>
        <w:numPr>
          <w:ilvl w:val="0"/>
          <w:numId w:val="32"/>
        </w:numPr>
        <w:rPr>
          <w:lang w:val="en-GB" w:eastAsia="lt-LT"/>
        </w:rPr>
      </w:pPr>
      <w:r w:rsidRPr="00461EC7">
        <w:rPr>
          <w:lang w:val="en-GB"/>
        </w:rPr>
        <w:t>16</w:t>
      </w:r>
      <w:r w:rsidR="00C32508" w:rsidRPr="00461EC7">
        <w:rPr>
          <w:lang w:val="en-GB"/>
        </w:rPr>
        <w:t> </w:t>
      </w:r>
      <w:r w:rsidRPr="00461EC7">
        <w:rPr>
          <w:lang w:val="en-GB"/>
        </w:rPr>
        <w:t xml:space="preserve">information systems were designed </w:t>
      </w:r>
      <w:r w:rsidR="00014D13" w:rsidRPr="00461EC7">
        <w:rPr>
          <w:lang w:val="en-GB"/>
        </w:rPr>
        <w:t>for</w:t>
      </w:r>
      <w:r w:rsidR="00141E35" w:rsidRPr="00461EC7">
        <w:rPr>
          <w:lang w:val="en-GB"/>
        </w:rPr>
        <w:t xml:space="preserve"> the following </w:t>
      </w:r>
      <w:r w:rsidR="0041730B" w:rsidRPr="00461EC7">
        <w:rPr>
          <w:lang w:val="en-GB"/>
        </w:rPr>
        <w:t>protected territories</w:t>
      </w:r>
      <w:r w:rsidRPr="00461EC7">
        <w:rPr>
          <w:lang w:val="en-GB"/>
        </w:rPr>
        <w:t xml:space="preserve">: </w:t>
      </w:r>
      <w:proofErr w:type="spellStart"/>
      <w:r w:rsidRPr="00461EC7">
        <w:rPr>
          <w:lang w:val="en-GB"/>
        </w:rPr>
        <w:t>Žemaitija</w:t>
      </w:r>
      <w:proofErr w:type="spellEnd"/>
      <w:r w:rsidRPr="00461EC7">
        <w:rPr>
          <w:lang w:val="en-GB"/>
        </w:rPr>
        <w:t xml:space="preserve"> </w:t>
      </w:r>
      <w:r w:rsidR="00014D13" w:rsidRPr="00461EC7">
        <w:rPr>
          <w:lang w:val="en-GB"/>
        </w:rPr>
        <w:t>N</w:t>
      </w:r>
      <w:r w:rsidRPr="00461EC7">
        <w:rPr>
          <w:lang w:val="en-GB"/>
        </w:rPr>
        <w:t xml:space="preserve">ational </w:t>
      </w:r>
      <w:r w:rsidR="00014D13" w:rsidRPr="00461EC7">
        <w:rPr>
          <w:lang w:val="en-GB"/>
        </w:rPr>
        <w:t>P</w:t>
      </w:r>
      <w:r w:rsidRPr="00461EC7">
        <w:rPr>
          <w:lang w:val="en-GB"/>
        </w:rPr>
        <w:t xml:space="preserve">ark, </w:t>
      </w:r>
      <w:proofErr w:type="spellStart"/>
      <w:r w:rsidRPr="00461EC7">
        <w:rPr>
          <w:lang w:val="en-GB"/>
        </w:rPr>
        <w:t>Dievaniškės</w:t>
      </w:r>
      <w:proofErr w:type="spellEnd"/>
      <w:r w:rsidRPr="00461EC7">
        <w:rPr>
          <w:lang w:val="en-GB"/>
        </w:rPr>
        <w:t xml:space="preserve"> </w:t>
      </w:r>
      <w:r w:rsidR="00014D13" w:rsidRPr="00461EC7">
        <w:rPr>
          <w:lang w:val="en-GB"/>
        </w:rPr>
        <w:t>R</w:t>
      </w:r>
      <w:r w:rsidRPr="00461EC7">
        <w:rPr>
          <w:lang w:val="en-GB"/>
        </w:rPr>
        <w:t xml:space="preserve">egional </w:t>
      </w:r>
      <w:r w:rsidR="00014D13" w:rsidRPr="00461EC7">
        <w:rPr>
          <w:lang w:val="en-GB"/>
        </w:rPr>
        <w:t>P</w:t>
      </w:r>
      <w:r w:rsidRPr="00461EC7">
        <w:rPr>
          <w:lang w:val="en-GB"/>
        </w:rPr>
        <w:t xml:space="preserve">ark, </w:t>
      </w:r>
      <w:proofErr w:type="spellStart"/>
      <w:r w:rsidRPr="00461EC7">
        <w:rPr>
          <w:lang w:val="en-GB"/>
        </w:rPr>
        <w:t>Dubys</w:t>
      </w:r>
      <w:r w:rsidR="00014D13" w:rsidRPr="00461EC7">
        <w:rPr>
          <w:lang w:val="en-GB"/>
        </w:rPr>
        <w:t>a</w:t>
      </w:r>
      <w:proofErr w:type="spellEnd"/>
      <w:r w:rsidRPr="00461EC7">
        <w:rPr>
          <w:lang w:val="en-GB"/>
        </w:rPr>
        <w:t xml:space="preserve"> </w:t>
      </w:r>
      <w:r w:rsidR="00014D13" w:rsidRPr="00461EC7">
        <w:rPr>
          <w:lang w:val="en-GB"/>
        </w:rPr>
        <w:t>R</w:t>
      </w:r>
      <w:r w:rsidRPr="00461EC7">
        <w:rPr>
          <w:lang w:val="en-GB"/>
        </w:rPr>
        <w:t xml:space="preserve">egional </w:t>
      </w:r>
      <w:r w:rsidR="00014D13" w:rsidRPr="00461EC7">
        <w:rPr>
          <w:lang w:val="en-GB"/>
        </w:rPr>
        <w:t>P</w:t>
      </w:r>
      <w:r w:rsidRPr="00461EC7">
        <w:rPr>
          <w:lang w:val="en-GB"/>
        </w:rPr>
        <w:t xml:space="preserve">ark, </w:t>
      </w:r>
      <w:proofErr w:type="spellStart"/>
      <w:r w:rsidRPr="00461EC7">
        <w:rPr>
          <w:lang w:val="en-GB"/>
        </w:rPr>
        <w:t>Kurtuvėnai</w:t>
      </w:r>
      <w:proofErr w:type="spellEnd"/>
      <w:r w:rsidRPr="00461EC7">
        <w:rPr>
          <w:lang w:val="en-GB"/>
        </w:rPr>
        <w:t xml:space="preserve"> </w:t>
      </w:r>
      <w:r w:rsidR="00014D13" w:rsidRPr="00461EC7">
        <w:rPr>
          <w:lang w:val="en-GB"/>
        </w:rPr>
        <w:t>R</w:t>
      </w:r>
      <w:r w:rsidRPr="00461EC7">
        <w:rPr>
          <w:lang w:val="en-GB"/>
        </w:rPr>
        <w:t xml:space="preserve">egional </w:t>
      </w:r>
      <w:r w:rsidR="00014D13" w:rsidRPr="00461EC7">
        <w:rPr>
          <w:lang w:val="en-GB"/>
        </w:rPr>
        <w:t>P</w:t>
      </w:r>
      <w:r w:rsidRPr="00461EC7">
        <w:rPr>
          <w:lang w:val="en-GB"/>
        </w:rPr>
        <w:t xml:space="preserve">ark, </w:t>
      </w:r>
      <w:proofErr w:type="spellStart"/>
      <w:r w:rsidRPr="00461EC7">
        <w:rPr>
          <w:lang w:val="en-GB"/>
        </w:rPr>
        <w:t>Nemunas</w:t>
      </w:r>
      <w:proofErr w:type="spellEnd"/>
      <w:r w:rsidRPr="00461EC7">
        <w:rPr>
          <w:lang w:val="en-GB"/>
        </w:rPr>
        <w:t xml:space="preserve"> Delta </w:t>
      </w:r>
      <w:r w:rsidR="00014D13" w:rsidRPr="00461EC7">
        <w:rPr>
          <w:lang w:val="en-GB"/>
        </w:rPr>
        <w:t>R</w:t>
      </w:r>
      <w:r w:rsidRPr="00461EC7">
        <w:rPr>
          <w:lang w:val="en-GB"/>
        </w:rPr>
        <w:t xml:space="preserve">egional </w:t>
      </w:r>
      <w:r w:rsidR="00014D13" w:rsidRPr="00461EC7">
        <w:rPr>
          <w:lang w:val="en-GB"/>
        </w:rPr>
        <w:t>P</w:t>
      </w:r>
      <w:r w:rsidRPr="00461EC7">
        <w:rPr>
          <w:lang w:val="en-GB"/>
        </w:rPr>
        <w:t xml:space="preserve">ark, </w:t>
      </w:r>
      <w:proofErr w:type="spellStart"/>
      <w:r w:rsidRPr="00461EC7">
        <w:rPr>
          <w:lang w:val="en-GB"/>
        </w:rPr>
        <w:t>Nemunas</w:t>
      </w:r>
      <w:proofErr w:type="spellEnd"/>
      <w:r w:rsidRPr="00461EC7">
        <w:rPr>
          <w:lang w:val="en-GB"/>
        </w:rPr>
        <w:t xml:space="preserve"> Loops </w:t>
      </w:r>
      <w:r w:rsidR="00014D13" w:rsidRPr="00461EC7">
        <w:rPr>
          <w:lang w:val="en-GB"/>
        </w:rPr>
        <w:t>R</w:t>
      </w:r>
      <w:r w:rsidRPr="00461EC7">
        <w:rPr>
          <w:lang w:val="en-GB"/>
        </w:rPr>
        <w:t xml:space="preserve">egional </w:t>
      </w:r>
      <w:r w:rsidR="00014D13" w:rsidRPr="00461EC7">
        <w:rPr>
          <w:lang w:val="en-GB"/>
        </w:rPr>
        <w:t>P</w:t>
      </w:r>
      <w:r w:rsidRPr="00461EC7">
        <w:rPr>
          <w:lang w:val="en-GB"/>
        </w:rPr>
        <w:t xml:space="preserve">ark, </w:t>
      </w:r>
      <w:proofErr w:type="spellStart"/>
      <w:r w:rsidRPr="00461EC7">
        <w:rPr>
          <w:lang w:val="en-GB"/>
        </w:rPr>
        <w:t>Pagramantis</w:t>
      </w:r>
      <w:proofErr w:type="spellEnd"/>
      <w:r w:rsidRPr="00461EC7">
        <w:rPr>
          <w:lang w:val="en-GB"/>
        </w:rPr>
        <w:t xml:space="preserve"> </w:t>
      </w:r>
      <w:r w:rsidR="00014D13" w:rsidRPr="00461EC7">
        <w:rPr>
          <w:lang w:val="en-GB"/>
        </w:rPr>
        <w:t>R</w:t>
      </w:r>
      <w:r w:rsidRPr="00461EC7">
        <w:rPr>
          <w:lang w:val="en-GB"/>
        </w:rPr>
        <w:t xml:space="preserve">egional </w:t>
      </w:r>
      <w:r w:rsidR="00014D13" w:rsidRPr="00461EC7">
        <w:rPr>
          <w:lang w:val="en-GB"/>
        </w:rPr>
        <w:t>P</w:t>
      </w:r>
      <w:r w:rsidRPr="00461EC7">
        <w:rPr>
          <w:lang w:val="en-GB"/>
        </w:rPr>
        <w:t xml:space="preserve">ark, </w:t>
      </w:r>
      <w:r w:rsidR="00014D13" w:rsidRPr="00461EC7">
        <w:rPr>
          <w:lang w:val="en-GB"/>
        </w:rPr>
        <w:t>Seaside R</w:t>
      </w:r>
      <w:r w:rsidRPr="00461EC7">
        <w:rPr>
          <w:lang w:val="en-GB"/>
        </w:rPr>
        <w:t xml:space="preserve">egional </w:t>
      </w:r>
      <w:r w:rsidR="00014D13" w:rsidRPr="00461EC7">
        <w:rPr>
          <w:lang w:val="en-GB"/>
        </w:rPr>
        <w:t>P</w:t>
      </w:r>
      <w:r w:rsidRPr="00461EC7">
        <w:rPr>
          <w:lang w:val="en-GB"/>
        </w:rPr>
        <w:t xml:space="preserve">ark, </w:t>
      </w:r>
      <w:proofErr w:type="spellStart"/>
      <w:r w:rsidRPr="00461EC7">
        <w:rPr>
          <w:lang w:val="en-GB"/>
        </w:rPr>
        <w:t>Panemunė</w:t>
      </w:r>
      <w:proofErr w:type="spellEnd"/>
      <w:r w:rsidRPr="00461EC7">
        <w:rPr>
          <w:lang w:val="en-GB"/>
        </w:rPr>
        <w:t xml:space="preserve"> </w:t>
      </w:r>
      <w:r w:rsidR="00014D13" w:rsidRPr="00461EC7">
        <w:rPr>
          <w:lang w:val="en-GB"/>
        </w:rPr>
        <w:t>R</w:t>
      </w:r>
      <w:r w:rsidRPr="00461EC7">
        <w:rPr>
          <w:lang w:val="en-GB"/>
        </w:rPr>
        <w:t xml:space="preserve">egional </w:t>
      </w:r>
      <w:r w:rsidR="00014D13" w:rsidRPr="00461EC7">
        <w:rPr>
          <w:lang w:val="en-GB"/>
        </w:rPr>
        <w:t>P</w:t>
      </w:r>
      <w:r w:rsidRPr="00461EC7">
        <w:rPr>
          <w:lang w:val="en-GB"/>
        </w:rPr>
        <w:t xml:space="preserve">ark, </w:t>
      </w:r>
      <w:proofErr w:type="spellStart"/>
      <w:r w:rsidRPr="00461EC7">
        <w:rPr>
          <w:lang w:val="en-GB"/>
        </w:rPr>
        <w:t>Rambynas</w:t>
      </w:r>
      <w:proofErr w:type="spellEnd"/>
      <w:r w:rsidRPr="00461EC7">
        <w:rPr>
          <w:lang w:val="en-GB"/>
        </w:rPr>
        <w:t xml:space="preserve"> </w:t>
      </w:r>
      <w:r w:rsidR="00014D13" w:rsidRPr="00461EC7">
        <w:rPr>
          <w:lang w:val="en-GB"/>
        </w:rPr>
        <w:t>R</w:t>
      </w:r>
      <w:r w:rsidRPr="00461EC7">
        <w:rPr>
          <w:lang w:val="en-GB"/>
        </w:rPr>
        <w:t xml:space="preserve">egional </w:t>
      </w:r>
      <w:r w:rsidR="00014D13" w:rsidRPr="00461EC7">
        <w:rPr>
          <w:lang w:val="en-GB"/>
        </w:rPr>
        <w:t>P</w:t>
      </w:r>
      <w:r w:rsidRPr="00461EC7">
        <w:rPr>
          <w:lang w:val="en-GB"/>
        </w:rPr>
        <w:t xml:space="preserve">ark, </w:t>
      </w:r>
      <w:proofErr w:type="spellStart"/>
      <w:r w:rsidRPr="00461EC7">
        <w:rPr>
          <w:lang w:val="en-GB"/>
        </w:rPr>
        <w:t>Sartai</w:t>
      </w:r>
      <w:proofErr w:type="spellEnd"/>
      <w:r w:rsidRPr="00461EC7">
        <w:rPr>
          <w:lang w:val="en-GB"/>
        </w:rPr>
        <w:t xml:space="preserve"> </w:t>
      </w:r>
      <w:r w:rsidR="00014D13" w:rsidRPr="00461EC7">
        <w:rPr>
          <w:lang w:val="en-GB"/>
        </w:rPr>
        <w:t>R</w:t>
      </w:r>
      <w:r w:rsidRPr="00461EC7">
        <w:rPr>
          <w:lang w:val="en-GB"/>
        </w:rPr>
        <w:t xml:space="preserve">egional </w:t>
      </w:r>
      <w:r w:rsidR="00014D13" w:rsidRPr="00461EC7">
        <w:rPr>
          <w:lang w:val="en-GB"/>
        </w:rPr>
        <w:t>P</w:t>
      </w:r>
      <w:r w:rsidRPr="00461EC7">
        <w:rPr>
          <w:lang w:val="en-GB"/>
        </w:rPr>
        <w:t xml:space="preserve">ark, </w:t>
      </w:r>
      <w:proofErr w:type="spellStart"/>
      <w:r w:rsidRPr="00461EC7">
        <w:rPr>
          <w:lang w:val="en-GB"/>
        </w:rPr>
        <w:t>Sirvėt</w:t>
      </w:r>
      <w:r w:rsidR="00141E35" w:rsidRPr="00461EC7">
        <w:rPr>
          <w:lang w:val="en-GB"/>
        </w:rPr>
        <w:t>a</w:t>
      </w:r>
      <w:proofErr w:type="spellEnd"/>
      <w:r w:rsidRPr="00461EC7">
        <w:rPr>
          <w:lang w:val="en-GB"/>
        </w:rPr>
        <w:t xml:space="preserve"> </w:t>
      </w:r>
      <w:r w:rsidR="00014D13" w:rsidRPr="00461EC7">
        <w:rPr>
          <w:lang w:val="en-GB"/>
        </w:rPr>
        <w:t>R</w:t>
      </w:r>
      <w:r w:rsidRPr="00461EC7">
        <w:rPr>
          <w:lang w:val="en-GB"/>
        </w:rPr>
        <w:t xml:space="preserve">egional </w:t>
      </w:r>
      <w:r w:rsidR="00014D13" w:rsidRPr="00461EC7">
        <w:rPr>
          <w:lang w:val="en-GB"/>
        </w:rPr>
        <w:t>P</w:t>
      </w:r>
      <w:r w:rsidRPr="00461EC7">
        <w:rPr>
          <w:lang w:val="en-GB"/>
        </w:rPr>
        <w:t xml:space="preserve">ark, </w:t>
      </w:r>
      <w:proofErr w:type="spellStart"/>
      <w:r w:rsidRPr="00461EC7">
        <w:rPr>
          <w:lang w:val="en-GB"/>
        </w:rPr>
        <w:t>Varniai</w:t>
      </w:r>
      <w:proofErr w:type="spellEnd"/>
      <w:r w:rsidRPr="00461EC7">
        <w:rPr>
          <w:lang w:val="en-GB"/>
        </w:rPr>
        <w:t xml:space="preserve"> </w:t>
      </w:r>
      <w:r w:rsidR="00014D13" w:rsidRPr="00461EC7">
        <w:rPr>
          <w:lang w:val="en-GB"/>
        </w:rPr>
        <w:t>R</w:t>
      </w:r>
      <w:r w:rsidRPr="00461EC7">
        <w:rPr>
          <w:lang w:val="en-GB"/>
        </w:rPr>
        <w:t xml:space="preserve">egional </w:t>
      </w:r>
      <w:r w:rsidR="00014D13" w:rsidRPr="00461EC7">
        <w:rPr>
          <w:lang w:val="en-GB"/>
        </w:rPr>
        <w:t>P</w:t>
      </w:r>
      <w:r w:rsidRPr="00461EC7">
        <w:rPr>
          <w:lang w:val="en-GB"/>
        </w:rPr>
        <w:t xml:space="preserve">ark, </w:t>
      </w:r>
      <w:proofErr w:type="spellStart"/>
      <w:r w:rsidRPr="00461EC7">
        <w:rPr>
          <w:lang w:val="en-GB"/>
        </w:rPr>
        <w:t>Veisiejai</w:t>
      </w:r>
      <w:proofErr w:type="spellEnd"/>
      <w:r w:rsidRPr="00461EC7">
        <w:rPr>
          <w:lang w:val="en-GB"/>
        </w:rPr>
        <w:t xml:space="preserve"> </w:t>
      </w:r>
      <w:r w:rsidR="00014D13" w:rsidRPr="00461EC7">
        <w:rPr>
          <w:lang w:val="en-GB"/>
        </w:rPr>
        <w:t>R</w:t>
      </w:r>
      <w:r w:rsidRPr="00461EC7">
        <w:rPr>
          <w:lang w:val="en-GB"/>
        </w:rPr>
        <w:t xml:space="preserve">egional </w:t>
      </w:r>
      <w:r w:rsidR="00014D13" w:rsidRPr="00461EC7">
        <w:rPr>
          <w:lang w:val="en-GB"/>
        </w:rPr>
        <w:t>P</w:t>
      </w:r>
      <w:r w:rsidRPr="00461EC7">
        <w:rPr>
          <w:lang w:val="en-GB"/>
        </w:rPr>
        <w:t xml:space="preserve">ark, </w:t>
      </w:r>
      <w:proofErr w:type="spellStart"/>
      <w:r w:rsidRPr="00461EC7">
        <w:rPr>
          <w:lang w:val="en-GB"/>
        </w:rPr>
        <w:t>Venta</w:t>
      </w:r>
      <w:proofErr w:type="spellEnd"/>
      <w:r w:rsidRPr="00461EC7">
        <w:rPr>
          <w:lang w:val="en-GB"/>
        </w:rPr>
        <w:t xml:space="preserve"> </w:t>
      </w:r>
      <w:r w:rsidR="00014D13" w:rsidRPr="00461EC7">
        <w:rPr>
          <w:lang w:val="en-GB"/>
        </w:rPr>
        <w:t>R</w:t>
      </w:r>
      <w:r w:rsidRPr="00461EC7">
        <w:rPr>
          <w:lang w:val="en-GB"/>
        </w:rPr>
        <w:t xml:space="preserve">egional </w:t>
      </w:r>
      <w:r w:rsidR="00014D13" w:rsidRPr="00461EC7">
        <w:rPr>
          <w:lang w:val="en-GB"/>
        </w:rPr>
        <w:t>P</w:t>
      </w:r>
      <w:r w:rsidRPr="00461EC7">
        <w:rPr>
          <w:lang w:val="en-GB"/>
        </w:rPr>
        <w:t xml:space="preserve">ark and </w:t>
      </w:r>
      <w:proofErr w:type="spellStart"/>
      <w:r w:rsidRPr="00461EC7">
        <w:rPr>
          <w:lang w:val="en-GB"/>
        </w:rPr>
        <w:t>Žagarė</w:t>
      </w:r>
      <w:proofErr w:type="spellEnd"/>
      <w:r w:rsidRPr="00461EC7">
        <w:rPr>
          <w:lang w:val="en-GB"/>
        </w:rPr>
        <w:t xml:space="preserve"> </w:t>
      </w:r>
      <w:r w:rsidR="00014D13" w:rsidRPr="00461EC7">
        <w:rPr>
          <w:lang w:val="en-GB"/>
        </w:rPr>
        <w:t>R</w:t>
      </w:r>
      <w:r w:rsidRPr="00461EC7">
        <w:rPr>
          <w:lang w:val="en-GB"/>
        </w:rPr>
        <w:t xml:space="preserve">egional </w:t>
      </w:r>
      <w:r w:rsidR="00014D13" w:rsidRPr="00461EC7">
        <w:rPr>
          <w:lang w:val="en-GB"/>
        </w:rPr>
        <w:t>P</w:t>
      </w:r>
      <w:r w:rsidRPr="00461EC7">
        <w:rPr>
          <w:lang w:val="en-GB"/>
        </w:rPr>
        <w:t>ark</w:t>
      </w:r>
      <w:r w:rsidR="00141E35" w:rsidRPr="00461EC7">
        <w:rPr>
          <w:lang w:val="en-GB"/>
        </w:rPr>
        <w:t>.</w:t>
      </w:r>
    </w:p>
    <w:p w:rsidR="00141E35" w:rsidRPr="00461EC7" w:rsidRDefault="005F55B6" w:rsidP="0041730B">
      <w:pPr>
        <w:pStyle w:val="Pagrindinispaprastastekstas"/>
        <w:numPr>
          <w:ilvl w:val="0"/>
          <w:numId w:val="32"/>
        </w:numPr>
        <w:rPr>
          <w:lang w:val="en-GB" w:eastAsia="lt-LT"/>
        </w:rPr>
      </w:pPr>
      <w:r w:rsidRPr="00461EC7">
        <w:rPr>
          <w:lang w:val="en-GB" w:eastAsia="lt-LT"/>
        </w:rPr>
        <w:t xml:space="preserve">Five </w:t>
      </w:r>
      <w:r w:rsidR="00141E35" w:rsidRPr="00461EC7">
        <w:rPr>
          <w:lang w:val="en-GB" w:eastAsia="lt-LT"/>
        </w:rPr>
        <w:t xml:space="preserve">nature schools were </w:t>
      </w:r>
      <w:r w:rsidRPr="00461EC7">
        <w:rPr>
          <w:lang w:val="en-GB" w:eastAsia="lt-LT"/>
        </w:rPr>
        <w:t xml:space="preserve">opened </w:t>
      </w:r>
      <w:r w:rsidR="0041730B" w:rsidRPr="00461EC7">
        <w:rPr>
          <w:lang w:val="en-GB"/>
        </w:rPr>
        <w:t>in the following p</w:t>
      </w:r>
      <w:r w:rsidR="00141E35" w:rsidRPr="00461EC7">
        <w:rPr>
          <w:lang w:val="en-GB"/>
        </w:rPr>
        <w:t xml:space="preserve">rotected </w:t>
      </w:r>
      <w:r w:rsidR="0041730B" w:rsidRPr="00461EC7">
        <w:rPr>
          <w:lang w:val="en-GB"/>
        </w:rPr>
        <w:t>territo</w:t>
      </w:r>
      <w:r w:rsidRPr="00461EC7">
        <w:rPr>
          <w:lang w:val="en-GB"/>
        </w:rPr>
        <w:t>r</w:t>
      </w:r>
      <w:r w:rsidR="0041730B" w:rsidRPr="00461EC7">
        <w:rPr>
          <w:lang w:val="en-GB"/>
        </w:rPr>
        <w:t>ies</w:t>
      </w:r>
      <w:r w:rsidR="00141E35" w:rsidRPr="00461EC7">
        <w:rPr>
          <w:lang w:val="en-GB" w:eastAsia="lt-LT"/>
        </w:rPr>
        <w:t xml:space="preserve">: </w:t>
      </w:r>
      <w:proofErr w:type="spellStart"/>
      <w:r w:rsidR="00141E35" w:rsidRPr="00461EC7">
        <w:rPr>
          <w:lang w:val="en-GB" w:eastAsia="lt-LT"/>
        </w:rPr>
        <w:t>Dzūkija</w:t>
      </w:r>
      <w:proofErr w:type="spellEnd"/>
      <w:r w:rsidR="00141E35" w:rsidRPr="00461EC7">
        <w:rPr>
          <w:lang w:val="en-GB" w:eastAsia="lt-LT"/>
        </w:rPr>
        <w:t xml:space="preserve"> </w:t>
      </w:r>
      <w:r w:rsidRPr="00461EC7">
        <w:rPr>
          <w:lang w:val="en-GB" w:eastAsia="lt-LT"/>
        </w:rPr>
        <w:t>N</w:t>
      </w:r>
      <w:r w:rsidR="00141E35" w:rsidRPr="00461EC7">
        <w:rPr>
          <w:lang w:val="en-GB" w:eastAsia="lt-LT"/>
        </w:rPr>
        <w:t xml:space="preserve">ational </w:t>
      </w:r>
      <w:r w:rsidRPr="00461EC7">
        <w:rPr>
          <w:lang w:val="en-GB" w:eastAsia="lt-LT"/>
        </w:rPr>
        <w:t>P</w:t>
      </w:r>
      <w:r w:rsidR="00141E35" w:rsidRPr="00461EC7">
        <w:rPr>
          <w:lang w:val="en-GB" w:eastAsia="lt-LT"/>
        </w:rPr>
        <w:t xml:space="preserve">ark, Kaunas Lagoon </w:t>
      </w:r>
      <w:r w:rsidR="00AD64FC" w:rsidRPr="00461EC7">
        <w:rPr>
          <w:lang w:val="en-GB" w:eastAsia="lt-LT"/>
        </w:rPr>
        <w:t>R</w:t>
      </w:r>
      <w:r w:rsidR="00141E35" w:rsidRPr="00461EC7">
        <w:rPr>
          <w:lang w:val="en-GB" w:eastAsia="lt-LT"/>
        </w:rPr>
        <w:t xml:space="preserve">egional </w:t>
      </w:r>
      <w:r w:rsidR="00AD64FC" w:rsidRPr="00461EC7">
        <w:rPr>
          <w:lang w:val="en-GB" w:eastAsia="lt-LT"/>
        </w:rPr>
        <w:t>P</w:t>
      </w:r>
      <w:r w:rsidR="00141E35" w:rsidRPr="00461EC7">
        <w:rPr>
          <w:lang w:val="en-GB" w:eastAsia="lt-LT"/>
        </w:rPr>
        <w:t xml:space="preserve">ark, </w:t>
      </w:r>
      <w:proofErr w:type="spellStart"/>
      <w:r w:rsidR="00141E35" w:rsidRPr="00461EC7">
        <w:rPr>
          <w:lang w:val="en-GB" w:eastAsia="lt-LT"/>
        </w:rPr>
        <w:t>Sirvėta</w:t>
      </w:r>
      <w:proofErr w:type="spellEnd"/>
      <w:r w:rsidR="00141E35" w:rsidRPr="00461EC7">
        <w:rPr>
          <w:lang w:val="en-GB" w:eastAsia="lt-LT"/>
        </w:rPr>
        <w:t xml:space="preserve"> </w:t>
      </w:r>
      <w:r w:rsidRPr="00461EC7">
        <w:rPr>
          <w:lang w:val="en-GB" w:eastAsia="lt-LT"/>
        </w:rPr>
        <w:t>R</w:t>
      </w:r>
      <w:r w:rsidR="00141E35" w:rsidRPr="00461EC7">
        <w:rPr>
          <w:lang w:val="en-GB" w:eastAsia="lt-LT"/>
        </w:rPr>
        <w:t xml:space="preserve">egional </w:t>
      </w:r>
      <w:r w:rsidRPr="00461EC7">
        <w:rPr>
          <w:lang w:val="en-GB" w:eastAsia="lt-LT"/>
        </w:rPr>
        <w:t>P</w:t>
      </w:r>
      <w:r w:rsidR="00141E35" w:rsidRPr="00461EC7">
        <w:rPr>
          <w:lang w:val="en-GB" w:eastAsia="lt-LT"/>
        </w:rPr>
        <w:t xml:space="preserve">ark, </w:t>
      </w:r>
      <w:proofErr w:type="spellStart"/>
      <w:r w:rsidR="00141E35" w:rsidRPr="00461EC7">
        <w:rPr>
          <w:lang w:val="en-GB" w:eastAsia="lt-LT"/>
        </w:rPr>
        <w:t>Varniai</w:t>
      </w:r>
      <w:proofErr w:type="spellEnd"/>
      <w:r w:rsidR="00141E35" w:rsidRPr="00461EC7">
        <w:rPr>
          <w:lang w:val="en-GB" w:eastAsia="lt-LT"/>
        </w:rPr>
        <w:t xml:space="preserve"> </w:t>
      </w:r>
      <w:r w:rsidRPr="00461EC7">
        <w:rPr>
          <w:lang w:val="en-GB" w:eastAsia="lt-LT"/>
        </w:rPr>
        <w:t>R</w:t>
      </w:r>
      <w:r w:rsidR="00141E35" w:rsidRPr="00461EC7">
        <w:rPr>
          <w:lang w:val="en-GB" w:eastAsia="lt-LT"/>
        </w:rPr>
        <w:t xml:space="preserve">egional </w:t>
      </w:r>
      <w:r w:rsidRPr="00461EC7">
        <w:rPr>
          <w:lang w:val="en-GB" w:eastAsia="lt-LT"/>
        </w:rPr>
        <w:t>P</w:t>
      </w:r>
      <w:r w:rsidR="00141E35" w:rsidRPr="00461EC7">
        <w:rPr>
          <w:lang w:val="en-GB" w:eastAsia="lt-LT"/>
        </w:rPr>
        <w:t xml:space="preserve">ark and </w:t>
      </w:r>
      <w:proofErr w:type="spellStart"/>
      <w:r w:rsidR="00141E35" w:rsidRPr="00461EC7">
        <w:rPr>
          <w:lang w:val="en-GB" w:eastAsia="lt-LT"/>
        </w:rPr>
        <w:t>Žagarė</w:t>
      </w:r>
      <w:proofErr w:type="spellEnd"/>
      <w:r w:rsidR="00141E35" w:rsidRPr="00461EC7">
        <w:rPr>
          <w:lang w:val="en-GB" w:eastAsia="lt-LT"/>
        </w:rPr>
        <w:t xml:space="preserve"> </w:t>
      </w:r>
      <w:r w:rsidR="009B428C" w:rsidRPr="00461EC7">
        <w:rPr>
          <w:lang w:val="en-GB" w:eastAsia="lt-LT"/>
        </w:rPr>
        <w:t>R</w:t>
      </w:r>
      <w:r w:rsidR="00141E35" w:rsidRPr="00461EC7">
        <w:rPr>
          <w:lang w:val="en-GB" w:eastAsia="lt-LT"/>
        </w:rPr>
        <w:t xml:space="preserve">egional </w:t>
      </w:r>
      <w:r w:rsidRPr="00461EC7">
        <w:rPr>
          <w:lang w:val="en-GB" w:eastAsia="lt-LT"/>
        </w:rPr>
        <w:t>P</w:t>
      </w:r>
      <w:r w:rsidR="00141E35" w:rsidRPr="00461EC7">
        <w:rPr>
          <w:lang w:val="en-GB" w:eastAsia="lt-LT"/>
        </w:rPr>
        <w:t>ark.</w:t>
      </w:r>
    </w:p>
    <w:p w:rsidR="00141E35" w:rsidRPr="00461EC7" w:rsidRDefault="005F55B6" w:rsidP="00141E35">
      <w:pPr>
        <w:pStyle w:val="Pagrindinispaprastastekstas"/>
        <w:numPr>
          <w:ilvl w:val="0"/>
          <w:numId w:val="32"/>
        </w:numPr>
        <w:rPr>
          <w:lang w:val="en-GB" w:eastAsia="lt-LT"/>
        </w:rPr>
      </w:pPr>
      <w:r w:rsidRPr="00461EC7">
        <w:rPr>
          <w:lang w:val="en-GB"/>
        </w:rPr>
        <w:t>Eight</w:t>
      </w:r>
      <w:r w:rsidR="00141E35" w:rsidRPr="00461EC7">
        <w:rPr>
          <w:lang w:val="en-GB"/>
        </w:rPr>
        <w:t xml:space="preserve"> lookout towers were built in the following </w:t>
      </w:r>
      <w:r w:rsidR="0041730B" w:rsidRPr="00461EC7">
        <w:rPr>
          <w:lang w:val="en-GB"/>
        </w:rPr>
        <w:t>protected territories</w:t>
      </w:r>
      <w:r w:rsidR="00141E35" w:rsidRPr="00461EC7">
        <w:rPr>
          <w:lang w:val="en-GB"/>
        </w:rPr>
        <w:t xml:space="preserve">: </w:t>
      </w:r>
      <w:proofErr w:type="spellStart"/>
      <w:r w:rsidR="00141E35" w:rsidRPr="00461EC7">
        <w:rPr>
          <w:lang w:val="en-GB"/>
        </w:rPr>
        <w:t>Meteliai</w:t>
      </w:r>
      <w:proofErr w:type="spellEnd"/>
      <w:r w:rsidR="00141E35" w:rsidRPr="00461EC7">
        <w:rPr>
          <w:lang w:val="en-GB"/>
        </w:rPr>
        <w:t xml:space="preserve"> </w:t>
      </w:r>
      <w:r w:rsidRPr="00461EC7">
        <w:rPr>
          <w:lang w:val="en-GB"/>
        </w:rPr>
        <w:t>R</w:t>
      </w:r>
      <w:r w:rsidR="00141E35" w:rsidRPr="00461EC7">
        <w:rPr>
          <w:lang w:val="en-GB"/>
        </w:rPr>
        <w:t xml:space="preserve">egional </w:t>
      </w:r>
      <w:r w:rsidRPr="00461EC7">
        <w:rPr>
          <w:lang w:val="en-GB"/>
        </w:rPr>
        <w:t>P</w:t>
      </w:r>
      <w:r w:rsidR="00141E35" w:rsidRPr="00461EC7">
        <w:rPr>
          <w:lang w:val="en-GB"/>
        </w:rPr>
        <w:t xml:space="preserve">ark, </w:t>
      </w:r>
      <w:proofErr w:type="spellStart"/>
      <w:r w:rsidR="00141E35" w:rsidRPr="00461EC7">
        <w:rPr>
          <w:lang w:val="en-GB"/>
        </w:rPr>
        <w:t>Venta</w:t>
      </w:r>
      <w:proofErr w:type="spellEnd"/>
      <w:r w:rsidR="00141E35" w:rsidRPr="00461EC7">
        <w:rPr>
          <w:lang w:val="en-GB"/>
        </w:rPr>
        <w:t xml:space="preserve"> </w:t>
      </w:r>
      <w:r w:rsidRPr="00461EC7">
        <w:rPr>
          <w:lang w:val="en-GB"/>
        </w:rPr>
        <w:t>R</w:t>
      </w:r>
      <w:r w:rsidR="00141E35" w:rsidRPr="00461EC7">
        <w:rPr>
          <w:lang w:val="en-GB"/>
        </w:rPr>
        <w:t xml:space="preserve">egional </w:t>
      </w:r>
      <w:r w:rsidRPr="00461EC7">
        <w:rPr>
          <w:lang w:val="en-GB"/>
        </w:rPr>
        <w:t>P</w:t>
      </w:r>
      <w:r w:rsidR="00141E35" w:rsidRPr="00461EC7">
        <w:rPr>
          <w:lang w:val="en-GB"/>
        </w:rPr>
        <w:t xml:space="preserve">ark, </w:t>
      </w:r>
      <w:proofErr w:type="spellStart"/>
      <w:r w:rsidR="00141E35" w:rsidRPr="00461EC7">
        <w:rPr>
          <w:lang w:val="en-GB"/>
        </w:rPr>
        <w:t>Veisiejai</w:t>
      </w:r>
      <w:proofErr w:type="spellEnd"/>
      <w:r w:rsidR="00141E35" w:rsidRPr="00461EC7">
        <w:rPr>
          <w:lang w:val="en-GB"/>
        </w:rPr>
        <w:t xml:space="preserve"> </w:t>
      </w:r>
      <w:r w:rsidRPr="00461EC7">
        <w:rPr>
          <w:lang w:val="en-GB"/>
        </w:rPr>
        <w:t>R</w:t>
      </w:r>
      <w:r w:rsidR="00141E35" w:rsidRPr="00461EC7">
        <w:rPr>
          <w:lang w:val="en-GB"/>
        </w:rPr>
        <w:t xml:space="preserve">egional </w:t>
      </w:r>
      <w:r w:rsidRPr="00461EC7">
        <w:rPr>
          <w:lang w:val="en-GB"/>
        </w:rPr>
        <w:t>P</w:t>
      </w:r>
      <w:r w:rsidR="00141E35" w:rsidRPr="00461EC7">
        <w:rPr>
          <w:lang w:val="en-GB"/>
        </w:rPr>
        <w:t xml:space="preserve">ark, </w:t>
      </w:r>
      <w:proofErr w:type="spellStart"/>
      <w:r w:rsidR="00141E35" w:rsidRPr="00461EC7">
        <w:rPr>
          <w:lang w:val="en-GB"/>
        </w:rPr>
        <w:t>Krekenav</w:t>
      </w:r>
      <w:r w:rsidRPr="00461EC7">
        <w:rPr>
          <w:lang w:val="en-GB"/>
        </w:rPr>
        <w:t>a</w:t>
      </w:r>
      <w:proofErr w:type="spellEnd"/>
      <w:r w:rsidR="00141E35" w:rsidRPr="00461EC7">
        <w:rPr>
          <w:lang w:val="en-GB"/>
        </w:rPr>
        <w:t xml:space="preserve"> </w:t>
      </w:r>
      <w:r w:rsidRPr="00461EC7">
        <w:rPr>
          <w:lang w:val="en-GB"/>
        </w:rPr>
        <w:t>R</w:t>
      </w:r>
      <w:r w:rsidR="00141E35" w:rsidRPr="00461EC7">
        <w:rPr>
          <w:lang w:val="en-GB"/>
        </w:rPr>
        <w:t xml:space="preserve">egional </w:t>
      </w:r>
      <w:r w:rsidRPr="00461EC7">
        <w:rPr>
          <w:lang w:val="en-GB"/>
        </w:rPr>
        <w:t>P</w:t>
      </w:r>
      <w:r w:rsidR="00141E35" w:rsidRPr="00461EC7">
        <w:rPr>
          <w:lang w:val="en-GB"/>
        </w:rPr>
        <w:t xml:space="preserve">ark, </w:t>
      </w:r>
      <w:proofErr w:type="spellStart"/>
      <w:r w:rsidR="00141E35" w:rsidRPr="00461EC7">
        <w:rPr>
          <w:lang w:val="en-GB"/>
        </w:rPr>
        <w:t>Kamanai</w:t>
      </w:r>
      <w:proofErr w:type="spellEnd"/>
      <w:r w:rsidR="00141E35" w:rsidRPr="00461EC7">
        <w:rPr>
          <w:lang w:val="en-GB"/>
        </w:rPr>
        <w:t xml:space="preserve"> </w:t>
      </w:r>
      <w:r w:rsidRPr="00461EC7">
        <w:rPr>
          <w:lang w:val="en-GB"/>
        </w:rPr>
        <w:t>R</w:t>
      </w:r>
      <w:r w:rsidR="00141E35" w:rsidRPr="00461EC7">
        <w:rPr>
          <w:lang w:val="en-GB"/>
        </w:rPr>
        <w:t xml:space="preserve">egional </w:t>
      </w:r>
      <w:r w:rsidRPr="00461EC7">
        <w:rPr>
          <w:lang w:val="en-GB"/>
        </w:rPr>
        <w:t>P</w:t>
      </w:r>
      <w:r w:rsidR="00141E35" w:rsidRPr="00461EC7">
        <w:rPr>
          <w:lang w:val="en-GB"/>
        </w:rPr>
        <w:t xml:space="preserve">ark, </w:t>
      </w:r>
      <w:proofErr w:type="spellStart"/>
      <w:r w:rsidR="00141E35" w:rsidRPr="00461EC7">
        <w:rPr>
          <w:lang w:val="en-GB"/>
        </w:rPr>
        <w:t>Tytuvėnai</w:t>
      </w:r>
      <w:proofErr w:type="spellEnd"/>
      <w:r w:rsidR="00141E35" w:rsidRPr="00461EC7">
        <w:rPr>
          <w:lang w:val="en-GB"/>
        </w:rPr>
        <w:t xml:space="preserve"> </w:t>
      </w:r>
      <w:r w:rsidRPr="00461EC7">
        <w:rPr>
          <w:lang w:val="en-GB"/>
        </w:rPr>
        <w:t>R</w:t>
      </w:r>
      <w:r w:rsidR="00141E35" w:rsidRPr="00461EC7">
        <w:rPr>
          <w:lang w:val="en-GB"/>
        </w:rPr>
        <w:t xml:space="preserve">egional </w:t>
      </w:r>
      <w:r w:rsidRPr="00461EC7">
        <w:rPr>
          <w:lang w:val="en-GB"/>
        </w:rPr>
        <w:t>P</w:t>
      </w:r>
      <w:r w:rsidR="00141E35" w:rsidRPr="00461EC7">
        <w:rPr>
          <w:lang w:val="en-GB"/>
        </w:rPr>
        <w:t xml:space="preserve">ark, </w:t>
      </w:r>
      <w:proofErr w:type="spellStart"/>
      <w:r w:rsidR="00141E35" w:rsidRPr="00461EC7">
        <w:rPr>
          <w:lang w:val="en-GB"/>
        </w:rPr>
        <w:t>Biržai</w:t>
      </w:r>
      <w:proofErr w:type="spellEnd"/>
      <w:r w:rsidR="00141E35" w:rsidRPr="00461EC7">
        <w:rPr>
          <w:lang w:val="en-GB"/>
        </w:rPr>
        <w:t xml:space="preserve"> </w:t>
      </w:r>
      <w:r w:rsidRPr="00461EC7">
        <w:rPr>
          <w:lang w:val="en-GB"/>
        </w:rPr>
        <w:t>R</w:t>
      </w:r>
      <w:r w:rsidR="00141E35" w:rsidRPr="00461EC7">
        <w:rPr>
          <w:lang w:val="en-GB"/>
        </w:rPr>
        <w:t xml:space="preserve">egional </w:t>
      </w:r>
      <w:r w:rsidRPr="00461EC7">
        <w:rPr>
          <w:lang w:val="en-GB"/>
        </w:rPr>
        <w:t>P</w:t>
      </w:r>
      <w:r w:rsidR="00141E35" w:rsidRPr="00461EC7">
        <w:rPr>
          <w:lang w:val="en-GB"/>
        </w:rPr>
        <w:t xml:space="preserve">ark, </w:t>
      </w:r>
      <w:proofErr w:type="spellStart"/>
      <w:r w:rsidR="00141E35" w:rsidRPr="00461EC7">
        <w:rPr>
          <w:lang w:val="en-GB"/>
        </w:rPr>
        <w:t>Dzūkija</w:t>
      </w:r>
      <w:proofErr w:type="spellEnd"/>
      <w:r w:rsidR="00141E35" w:rsidRPr="00461EC7">
        <w:rPr>
          <w:lang w:val="en-GB"/>
        </w:rPr>
        <w:t xml:space="preserve"> </w:t>
      </w:r>
      <w:r w:rsidRPr="00461EC7">
        <w:rPr>
          <w:lang w:val="en-GB"/>
        </w:rPr>
        <w:t>N</w:t>
      </w:r>
      <w:r w:rsidR="00141E35" w:rsidRPr="00461EC7">
        <w:rPr>
          <w:lang w:val="en-GB"/>
        </w:rPr>
        <w:t xml:space="preserve">ational </w:t>
      </w:r>
      <w:r w:rsidRPr="00461EC7">
        <w:rPr>
          <w:lang w:val="en-GB"/>
        </w:rPr>
        <w:t>P</w:t>
      </w:r>
      <w:r w:rsidR="00141E35" w:rsidRPr="00461EC7">
        <w:rPr>
          <w:lang w:val="en-GB"/>
        </w:rPr>
        <w:t xml:space="preserve">ark and </w:t>
      </w:r>
      <w:proofErr w:type="spellStart"/>
      <w:r w:rsidR="00141E35" w:rsidRPr="00461EC7">
        <w:rPr>
          <w:lang w:val="en-GB"/>
        </w:rPr>
        <w:t>Žemaitija</w:t>
      </w:r>
      <w:proofErr w:type="spellEnd"/>
      <w:r w:rsidR="00141E35" w:rsidRPr="00461EC7">
        <w:rPr>
          <w:lang w:val="en-GB"/>
        </w:rPr>
        <w:t xml:space="preserve"> </w:t>
      </w:r>
      <w:r w:rsidRPr="00461EC7">
        <w:rPr>
          <w:lang w:val="en-GB"/>
        </w:rPr>
        <w:t>N</w:t>
      </w:r>
      <w:r w:rsidR="00141E35" w:rsidRPr="00461EC7">
        <w:rPr>
          <w:lang w:val="en-GB"/>
        </w:rPr>
        <w:t xml:space="preserve">ational </w:t>
      </w:r>
      <w:r w:rsidRPr="00461EC7">
        <w:rPr>
          <w:lang w:val="en-GB"/>
        </w:rPr>
        <w:t>P</w:t>
      </w:r>
      <w:r w:rsidR="00141E35" w:rsidRPr="00461EC7">
        <w:rPr>
          <w:lang w:val="en-GB"/>
        </w:rPr>
        <w:t>ark.</w:t>
      </w:r>
    </w:p>
    <w:p w:rsidR="00141E35" w:rsidRPr="00461EC7" w:rsidRDefault="0045270F" w:rsidP="00141E35">
      <w:pPr>
        <w:pStyle w:val="Pagrindinispaprastastekstas"/>
        <w:numPr>
          <w:ilvl w:val="0"/>
          <w:numId w:val="32"/>
        </w:numPr>
        <w:rPr>
          <w:lang w:val="en-GB" w:eastAsia="lt-LT"/>
        </w:rPr>
      </w:pPr>
      <w:r w:rsidRPr="00461EC7">
        <w:rPr>
          <w:lang w:val="en-GB" w:eastAsia="lt-LT"/>
        </w:rPr>
        <w:t>252</w:t>
      </w:r>
      <w:r w:rsidR="005F55B6" w:rsidRPr="00461EC7">
        <w:rPr>
          <w:lang w:val="en-GB" w:eastAsia="lt-LT"/>
        </w:rPr>
        <w:t> </w:t>
      </w:r>
      <w:r w:rsidRPr="00461EC7">
        <w:rPr>
          <w:lang w:val="en-GB" w:eastAsia="lt-LT"/>
        </w:rPr>
        <w:t>abandoned objects and other objects which cause damage to</w:t>
      </w:r>
      <w:r w:rsidR="005F55B6" w:rsidRPr="00461EC7">
        <w:rPr>
          <w:lang w:val="en-GB" w:eastAsia="lt-LT"/>
        </w:rPr>
        <w:t xml:space="preserve"> the</w:t>
      </w:r>
      <w:r w:rsidRPr="00461EC7">
        <w:rPr>
          <w:lang w:val="en-GB" w:eastAsia="lt-LT"/>
        </w:rPr>
        <w:t xml:space="preserve"> environment and landscape were demolished.</w:t>
      </w:r>
    </w:p>
    <w:p w:rsidR="008679F4" w:rsidRPr="00461EC7" w:rsidRDefault="0045270F" w:rsidP="00700849">
      <w:pPr>
        <w:pStyle w:val="Pagrindinispaprastastekstas"/>
        <w:numPr>
          <w:ilvl w:val="0"/>
          <w:numId w:val="32"/>
        </w:numPr>
        <w:rPr>
          <w:lang w:val="en-GB" w:eastAsia="lt-LT"/>
        </w:rPr>
      </w:pPr>
      <w:r w:rsidRPr="00461EC7">
        <w:rPr>
          <w:lang w:val="en-GB"/>
        </w:rPr>
        <w:t>107</w:t>
      </w:r>
      <w:r w:rsidR="007B3A22">
        <w:rPr>
          <w:lang w:val="en-GB"/>
        </w:rPr>
        <w:t> </w:t>
      </w:r>
      <w:r w:rsidRPr="00461EC7">
        <w:rPr>
          <w:lang w:val="en-GB"/>
        </w:rPr>
        <w:t>bodies of water (around 460</w:t>
      </w:r>
      <w:r w:rsidR="005F55B6" w:rsidRPr="00461EC7">
        <w:rPr>
          <w:lang w:val="en-GB"/>
        </w:rPr>
        <w:t> </w:t>
      </w:r>
      <w:r w:rsidRPr="00461EC7">
        <w:rPr>
          <w:lang w:val="en-GB"/>
        </w:rPr>
        <w:t>hectares) were cleaned (only 40 bodies of water (around 200 hectares)</w:t>
      </w:r>
      <w:r w:rsidR="005F55B6" w:rsidRPr="00461EC7">
        <w:rPr>
          <w:lang w:val="en-GB"/>
        </w:rPr>
        <w:t xml:space="preserve"> were planned to be cleaned</w:t>
      </w:r>
      <w:r w:rsidRPr="00461EC7">
        <w:rPr>
          <w:lang w:val="en-GB"/>
        </w:rPr>
        <w:t>).</w:t>
      </w:r>
    </w:p>
    <w:p w:rsidR="00807100" w:rsidRPr="00461EC7" w:rsidRDefault="00807100" w:rsidP="00807100">
      <w:pPr>
        <w:pStyle w:val="Pagrindinispaprastastekstas"/>
        <w:rPr>
          <w:lang w:val="en-GB" w:eastAsia="lt-LT"/>
        </w:rPr>
      </w:pP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337A9" w:rsidRPr="00461EC7" w:rsidTr="006C7204">
        <w:tc>
          <w:tcPr>
            <w:tcW w:w="9628" w:type="dxa"/>
            <w:shd w:val="clear" w:color="auto" w:fill="DBE5F1" w:themeFill="accent1" w:themeFillTint="33"/>
          </w:tcPr>
          <w:p w:rsidR="000337A9" w:rsidRPr="00461EC7" w:rsidRDefault="005F55B6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</w:pPr>
            <w:r w:rsidRPr="00461EC7">
              <w:rPr>
                <w:sz w:val="18"/>
                <w:szCs w:val="18"/>
                <w:lang w:val="en-GB"/>
              </w:rPr>
              <w:t>“</w:t>
            </w:r>
            <w:r w:rsidR="00B310C6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Improv</w:t>
            </w:r>
            <w:r w:rsidR="009B428C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ing the</w:t>
            </w:r>
            <w:r w:rsidR="00B310C6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r w:rsidR="009B428C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e</w:t>
            </w:r>
            <w:r w:rsidR="00B310C6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cological </w:t>
            </w:r>
            <w:r w:rsidR="009B428C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s</w:t>
            </w: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tatus</w:t>
            </w:r>
            <w:r w:rsidR="00B310C6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of</w:t>
            </w:r>
            <w:r w:rsidR="00B310C6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the </w:t>
            </w:r>
            <w:proofErr w:type="spellStart"/>
            <w:r w:rsidR="00B310C6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Draudenis</w:t>
            </w:r>
            <w:proofErr w:type="spellEnd"/>
            <w:r w:rsidR="00B310C6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L</w:t>
            </w:r>
            <w:r w:rsidR="00B310C6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ake</w:t>
            </w:r>
            <w:r w:rsidRPr="00461EC7">
              <w:rPr>
                <w:sz w:val="18"/>
                <w:szCs w:val="18"/>
                <w:lang w:val="en-GB"/>
              </w:rPr>
              <w:t>”</w:t>
            </w:r>
          </w:p>
          <w:p w:rsidR="00B310C6" w:rsidRPr="00461EC7" w:rsidRDefault="00B310C6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sz w:val="18"/>
                <w:szCs w:val="18"/>
                <w:lang w:val="en-GB"/>
              </w:rPr>
            </w:pPr>
          </w:p>
          <w:p w:rsidR="000337A9" w:rsidRPr="00461EC7" w:rsidRDefault="00B310C6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>Project implementer</w:t>
            </w:r>
            <w:r w:rsidR="005F55B6" w:rsidRPr="00461EC7">
              <w:rPr>
                <w:i/>
                <w:sz w:val="18"/>
                <w:szCs w:val="18"/>
                <w:lang w:val="en-GB"/>
              </w:rPr>
              <w:t>:</w:t>
            </w:r>
            <w:r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="005F55B6" w:rsidRPr="00461EC7">
              <w:rPr>
                <w:i/>
                <w:sz w:val="18"/>
                <w:szCs w:val="18"/>
                <w:lang w:val="en-GB"/>
              </w:rPr>
              <w:t>A</w:t>
            </w:r>
            <w:r w:rsidRPr="00461EC7">
              <w:rPr>
                <w:i/>
                <w:sz w:val="18"/>
                <w:szCs w:val="18"/>
                <w:lang w:val="en-GB"/>
              </w:rPr>
              <w:t xml:space="preserve">dministration of </w:t>
            </w:r>
            <w:proofErr w:type="spellStart"/>
            <w:r w:rsidRPr="00461EC7">
              <w:rPr>
                <w:i/>
                <w:sz w:val="18"/>
                <w:szCs w:val="18"/>
                <w:lang w:val="en-GB"/>
              </w:rPr>
              <w:t>Tauragė</w:t>
            </w:r>
            <w:proofErr w:type="spellEnd"/>
            <w:r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="005F55B6" w:rsidRPr="00461EC7">
              <w:rPr>
                <w:i/>
                <w:sz w:val="18"/>
                <w:szCs w:val="18"/>
                <w:lang w:val="en-GB"/>
              </w:rPr>
              <w:t>D</w:t>
            </w:r>
            <w:r w:rsidRPr="00461EC7">
              <w:rPr>
                <w:i/>
                <w:sz w:val="18"/>
                <w:szCs w:val="18"/>
                <w:lang w:val="en-GB"/>
              </w:rPr>
              <w:t xml:space="preserve">istrict </w:t>
            </w:r>
            <w:r w:rsidR="005F55B6" w:rsidRPr="00461EC7">
              <w:rPr>
                <w:i/>
                <w:sz w:val="18"/>
                <w:szCs w:val="18"/>
                <w:lang w:val="en-GB"/>
              </w:rPr>
              <w:t>M</w:t>
            </w:r>
            <w:r w:rsidRPr="00461EC7">
              <w:rPr>
                <w:i/>
                <w:sz w:val="18"/>
                <w:szCs w:val="18"/>
                <w:lang w:val="en-GB"/>
              </w:rPr>
              <w:t>unicipality</w:t>
            </w:r>
          </w:p>
          <w:p w:rsidR="000337A9" w:rsidRPr="00461EC7" w:rsidRDefault="00AD64FC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>EU contribution: EUR </w:t>
            </w:r>
            <w:r w:rsidR="00D2399B" w:rsidRPr="00461EC7">
              <w:rPr>
                <w:i/>
                <w:sz w:val="18"/>
                <w:szCs w:val="18"/>
                <w:lang w:val="en-GB"/>
              </w:rPr>
              <w:t>2</w:t>
            </w:r>
            <w:r w:rsidR="005F55B6" w:rsidRPr="00461EC7">
              <w:rPr>
                <w:i/>
                <w:sz w:val="18"/>
                <w:szCs w:val="18"/>
                <w:lang w:val="en-GB"/>
              </w:rPr>
              <w:t>.</w:t>
            </w:r>
            <w:r w:rsidR="00D2399B" w:rsidRPr="00461EC7">
              <w:rPr>
                <w:i/>
                <w:sz w:val="18"/>
                <w:szCs w:val="18"/>
                <w:lang w:val="en-GB"/>
              </w:rPr>
              <w:t>0382</w:t>
            </w:r>
            <w:r w:rsidR="005F55B6" w:rsidRPr="00461EC7">
              <w:rPr>
                <w:i/>
                <w:sz w:val="18"/>
                <w:szCs w:val="18"/>
                <w:lang w:val="en-GB"/>
              </w:rPr>
              <w:t> million</w:t>
            </w:r>
          </w:p>
          <w:p w:rsidR="000337A9" w:rsidRPr="00461EC7" w:rsidRDefault="000337A9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sz w:val="18"/>
                <w:szCs w:val="18"/>
                <w:lang w:val="en-GB"/>
              </w:rPr>
            </w:pPr>
          </w:p>
          <w:p w:rsidR="000337A9" w:rsidRPr="00461EC7" w:rsidRDefault="005F55B6" w:rsidP="009B428C">
            <w:pPr>
              <w:pStyle w:val="Pagrindinispaprastastekstas"/>
              <w:shd w:val="clear" w:color="auto" w:fill="DBE5F1" w:themeFill="accent1" w:themeFillTint="33"/>
              <w:rPr>
                <w:sz w:val="18"/>
                <w:szCs w:val="18"/>
                <w:lang w:val="en-GB"/>
              </w:rPr>
            </w:pPr>
            <w:r w:rsidRPr="00461EC7">
              <w:rPr>
                <w:sz w:val="18"/>
                <w:szCs w:val="18"/>
                <w:lang w:val="en-GB"/>
              </w:rPr>
              <w:t>T</w:t>
            </w:r>
            <w:r w:rsidR="00B310C6" w:rsidRPr="00461EC7">
              <w:rPr>
                <w:sz w:val="18"/>
                <w:szCs w:val="18"/>
                <w:lang w:val="en-GB"/>
              </w:rPr>
              <w:t xml:space="preserve">he project </w:t>
            </w:r>
            <w:r w:rsidRPr="00461EC7">
              <w:rPr>
                <w:sz w:val="18"/>
                <w:szCs w:val="18"/>
                <w:lang w:val="en-GB"/>
              </w:rPr>
              <w:t xml:space="preserve">cleaned </w:t>
            </w:r>
            <w:r w:rsidR="00B310C6" w:rsidRPr="00461EC7">
              <w:rPr>
                <w:sz w:val="18"/>
                <w:szCs w:val="18"/>
                <w:lang w:val="en-GB"/>
              </w:rPr>
              <w:t>22</w:t>
            </w:r>
            <w:r w:rsidRPr="00461EC7">
              <w:rPr>
                <w:sz w:val="18"/>
                <w:szCs w:val="18"/>
                <w:lang w:val="en-GB"/>
              </w:rPr>
              <w:t> </w:t>
            </w:r>
            <w:r w:rsidR="00B310C6" w:rsidRPr="00461EC7">
              <w:rPr>
                <w:sz w:val="18"/>
                <w:szCs w:val="18"/>
                <w:lang w:val="en-GB"/>
              </w:rPr>
              <w:t>hectares of the lake</w:t>
            </w:r>
            <w:r w:rsidRPr="00461EC7">
              <w:rPr>
                <w:sz w:val="18"/>
                <w:szCs w:val="18"/>
                <w:lang w:val="en-GB"/>
              </w:rPr>
              <w:t xml:space="preserve"> using a </w:t>
            </w:r>
            <w:r w:rsidR="00B310C6" w:rsidRPr="00461EC7">
              <w:rPr>
                <w:sz w:val="18"/>
                <w:szCs w:val="18"/>
                <w:lang w:val="en-GB"/>
              </w:rPr>
              <w:t xml:space="preserve">new dredged sludge technology, which allows </w:t>
            </w:r>
            <w:r w:rsidR="0041730B" w:rsidRPr="00461EC7">
              <w:rPr>
                <w:sz w:val="18"/>
                <w:szCs w:val="18"/>
                <w:lang w:val="en-GB"/>
              </w:rPr>
              <w:t>us</w:t>
            </w:r>
            <w:r w:rsidRPr="00461EC7">
              <w:rPr>
                <w:sz w:val="18"/>
                <w:szCs w:val="18"/>
                <w:lang w:val="en-GB"/>
              </w:rPr>
              <w:t>ing</w:t>
            </w:r>
            <w:r w:rsidR="00B310C6" w:rsidRPr="00461EC7">
              <w:rPr>
                <w:sz w:val="18"/>
                <w:szCs w:val="18"/>
                <w:lang w:val="en-GB"/>
              </w:rPr>
              <w:t xml:space="preserve"> sludge directly on a </w:t>
            </w:r>
            <w:r w:rsidR="009B428C" w:rsidRPr="00461EC7">
              <w:rPr>
                <w:sz w:val="18"/>
                <w:szCs w:val="18"/>
                <w:lang w:val="en-GB"/>
              </w:rPr>
              <w:t>pre-</w:t>
            </w:r>
            <w:r w:rsidR="0041730B" w:rsidRPr="00461EC7">
              <w:rPr>
                <w:sz w:val="18"/>
                <w:szCs w:val="18"/>
                <w:lang w:val="en-GB"/>
              </w:rPr>
              <w:t>prepared arable field</w:t>
            </w:r>
            <w:r w:rsidR="00B310C6" w:rsidRPr="00461EC7">
              <w:rPr>
                <w:sz w:val="18"/>
                <w:szCs w:val="18"/>
                <w:lang w:val="en-GB"/>
              </w:rPr>
              <w:t xml:space="preserve">. </w:t>
            </w:r>
            <w:r w:rsidRPr="00461EC7">
              <w:rPr>
                <w:sz w:val="18"/>
                <w:szCs w:val="18"/>
                <w:lang w:val="en-GB"/>
              </w:rPr>
              <w:t>T</w:t>
            </w:r>
            <w:r w:rsidR="005636B8" w:rsidRPr="00461EC7">
              <w:rPr>
                <w:sz w:val="18"/>
                <w:szCs w:val="18"/>
                <w:lang w:val="en-GB"/>
              </w:rPr>
              <w:t>his t</w:t>
            </w:r>
            <w:r w:rsidR="00B310C6" w:rsidRPr="00461EC7">
              <w:rPr>
                <w:sz w:val="18"/>
                <w:szCs w:val="18"/>
                <w:lang w:val="en-GB"/>
              </w:rPr>
              <w:t xml:space="preserve">echnology allowed </w:t>
            </w:r>
            <w:r w:rsidR="005636B8" w:rsidRPr="00461EC7">
              <w:rPr>
                <w:sz w:val="18"/>
                <w:szCs w:val="18"/>
                <w:lang w:val="en-GB"/>
              </w:rPr>
              <w:t xml:space="preserve">for </w:t>
            </w:r>
            <w:r w:rsidR="00B310C6" w:rsidRPr="00461EC7">
              <w:rPr>
                <w:sz w:val="18"/>
                <w:szCs w:val="18"/>
                <w:lang w:val="en-GB"/>
              </w:rPr>
              <w:t>a quicker implementation of the project</w:t>
            </w:r>
            <w:r w:rsidR="005636B8" w:rsidRPr="00461EC7">
              <w:rPr>
                <w:sz w:val="18"/>
                <w:szCs w:val="18"/>
                <w:lang w:val="en-GB"/>
              </w:rPr>
              <w:t xml:space="preserve"> (</w:t>
            </w:r>
            <w:r w:rsidR="00B310C6" w:rsidRPr="00461EC7">
              <w:rPr>
                <w:sz w:val="18"/>
                <w:szCs w:val="18"/>
                <w:lang w:val="en-GB"/>
              </w:rPr>
              <w:t>because sludge in</w:t>
            </w:r>
            <w:r w:rsidR="005636B8" w:rsidRPr="00461EC7">
              <w:rPr>
                <w:sz w:val="18"/>
                <w:szCs w:val="18"/>
                <w:lang w:val="en-GB"/>
              </w:rPr>
              <w:t xml:space="preserve"> the fields dri</w:t>
            </w:r>
            <w:r w:rsidR="00BD43D2" w:rsidRPr="00461EC7">
              <w:rPr>
                <w:sz w:val="18"/>
                <w:szCs w:val="18"/>
                <w:lang w:val="en-GB"/>
              </w:rPr>
              <w:t xml:space="preserve">es up more quickly compared to the </w:t>
            </w:r>
            <w:r w:rsidR="005636B8" w:rsidRPr="00461EC7">
              <w:rPr>
                <w:sz w:val="18"/>
                <w:szCs w:val="18"/>
                <w:lang w:val="en-GB"/>
              </w:rPr>
              <w:t xml:space="preserve">time in sedimentation tanks) as well as </w:t>
            </w:r>
            <w:r w:rsidR="009B428C" w:rsidRPr="00461EC7">
              <w:rPr>
                <w:sz w:val="18"/>
                <w:szCs w:val="18"/>
                <w:lang w:val="en-GB"/>
              </w:rPr>
              <w:t>for a</w:t>
            </w:r>
            <w:r w:rsidRPr="00461EC7">
              <w:rPr>
                <w:sz w:val="18"/>
                <w:szCs w:val="18"/>
                <w:lang w:val="en-GB"/>
              </w:rPr>
              <w:t xml:space="preserve"> lower</w:t>
            </w:r>
            <w:r w:rsidR="005636B8" w:rsidRPr="00461EC7">
              <w:rPr>
                <w:sz w:val="18"/>
                <w:szCs w:val="18"/>
                <w:lang w:val="en-GB"/>
              </w:rPr>
              <w:t xml:space="preserve"> cost of transportation of sludge to dumping grounds</w:t>
            </w:r>
            <w:r w:rsidR="00BD43D2" w:rsidRPr="00461EC7">
              <w:rPr>
                <w:sz w:val="18"/>
                <w:szCs w:val="18"/>
                <w:lang w:val="en-GB"/>
              </w:rPr>
              <w:t xml:space="preserve"> afterwards (however, it create</w:t>
            </w:r>
            <w:r w:rsidRPr="00461EC7">
              <w:rPr>
                <w:sz w:val="18"/>
                <w:szCs w:val="18"/>
                <w:lang w:val="en-GB"/>
              </w:rPr>
              <w:t>d</w:t>
            </w:r>
            <w:r w:rsidR="005636B8" w:rsidRPr="00461EC7">
              <w:rPr>
                <w:sz w:val="18"/>
                <w:szCs w:val="18"/>
                <w:lang w:val="en-GB"/>
              </w:rPr>
              <w:t xml:space="preserve"> additional costs). The total cost of the project with the application of this new technology was similar to the projected one without it</w:t>
            </w:r>
            <w:r w:rsidRPr="00461EC7">
              <w:rPr>
                <w:sz w:val="18"/>
                <w:szCs w:val="18"/>
                <w:lang w:val="en-GB"/>
              </w:rPr>
              <w:t>.</w:t>
            </w:r>
            <w:r w:rsidR="005636B8" w:rsidRPr="00461EC7">
              <w:rPr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sz w:val="18"/>
                <w:szCs w:val="18"/>
                <w:lang w:val="en-GB"/>
              </w:rPr>
              <w:t>H</w:t>
            </w:r>
            <w:r w:rsidR="005636B8" w:rsidRPr="00461EC7">
              <w:rPr>
                <w:sz w:val="18"/>
                <w:szCs w:val="18"/>
                <w:lang w:val="en-GB"/>
              </w:rPr>
              <w:t>owever</w:t>
            </w:r>
            <w:r w:rsidRPr="00461EC7">
              <w:rPr>
                <w:sz w:val="18"/>
                <w:szCs w:val="18"/>
                <w:lang w:val="en-GB"/>
              </w:rPr>
              <w:t>,</w:t>
            </w:r>
            <w:r w:rsidR="005636B8" w:rsidRPr="00461EC7">
              <w:rPr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sz w:val="18"/>
                <w:szCs w:val="18"/>
                <w:lang w:val="en-GB"/>
              </w:rPr>
              <w:t>this</w:t>
            </w:r>
            <w:r w:rsidR="005636B8" w:rsidRPr="00461EC7">
              <w:rPr>
                <w:sz w:val="18"/>
                <w:szCs w:val="18"/>
                <w:lang w:val="en-GB"/>
              </w:rPr>
              <w:t xml:space="preserve"> technology </w:t>
            </w:r>
            <w:r w:rsidRPr="00461EC7">
              <w:rPr>
                <w:sz w:val="18"/>
                <w:szCs w:val="18"/>
                <w:lang w:val="en-GB"/>
              </w:rPr>
              <w:t>helped</w:t>
            </w:r>
            <w:r w:rsidR="00BD43D2" w:rsidRPr="00461EC7">
              <w:rPr>
                <w:sz w:val="18"/>
                <w:szCs w:val="18"/>
                <w:lang w:val="en-GB"/>
              </w:rPr>
              <w:t xml:space="preserve"> to fertili</w:t>
            </w:r>
            <w:r w:rsidRPr="00461EC7">
              <w:rPr>
                <w:sz w:val="18"/>
                <w:szCs w:val="18"/>
                <w:lang w:val="en-GB"/>
              </w:rPr>
              <w:t>s</w:t>
            </w:r>
            <w:r w:rsidR="00BD43D2" w:rsidRPr="00461EC7">
              <w:rPr>
                <w:sz w:val="18"/>
                <w:szCs w:val="18"/>
                <w:lang w:val="en-GB"/>
              </w:rPr>
              <w:t>e the surrounding fields, which benefited farmers.</w:t>
            </w:r>
            <w:r w:rsidR="00B310C6" w:rsidRPr="00461EC7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56B0F3D" wp14:editId="67346323">
                  <wp:simplePos x="0" y="0"/>
                  <wp:positionH relativeFrom="column">
                    <wp:posOffset>3705860</wp:posOffset>
                  </wp:positionH>
                  <wp:positionV relativeFrom="paragraph">
                    <wp:posOffset>-1202055</wp:posOffset>
                  </wp:positionV>
                  <wp:extent cx="2329815" cy="182880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udeniai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815" cy="18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D5AA2" w:rsidRPr="00461EC7" w:rsidRDefault="001D5AA2" w:rsidP="001D5AA2">
      <w:pPr>
        <w:pStyle w:val="Pagrindinispaprastastekstas"/>
        <w:rPr>
          <w:lang w:val="en-GB" w:eastAsia="lt-LT"/>
        </w:rPr>
      </w:pPr>
      <w:bookmarkStart w:id="10" w:name="_Toc468106955"/>
      <w:bookmarkStart w:id="11" w:name="_Toc468114523"/>
    </w:p>
    <w:p w:rsidR="00C82149" w:rsidRPr="00461EC7" w:rsidRDefault="004A55B0" w:rsidP="00C82149">
      <w:pPr>
        <w:pStyle w:val="Pagrindinispaprastastekstas"/>
        <w:rPr>
          <w:b/>
          <w:color w:val="1F497D" w:themeColor="text2"/>
          <w:lang w:val="en-GB" w:eastAsia="lt-LT"/>
        </w:rPr>
      </w:pPr>
      <w:r>
        <w:rPr>
          <w:b/>
          <w:color w:val="1F497D" w:themeColor="text2"/>
          <w:lang w:val="en-GB" w:eastAsia="lt-LT"/>
        </w:rPr>
        <w:t>I</w:t>
      </w:r>
      <w:r w:rsidR="005636B8" w:rsidRPr="00461EC7">
        <w:rPr>
          <w:b/>
          <w:color w:val="1F497D" w:themeColor="text2"/>
          <w:lang w:val="en-GB" w:eastAsia="lt-LT"/>
        </w:rPr>
        <w:t>mpact of the investments:</w:t>
      </w:r>
    </w:p>
    <w:p w:rsidR="00EA6A16" w:rsidRPr="00461EC7" w:rsidRDefault="004A55B0" w:rsidP="00EA6A16">
      <w:pPr>
        <w:pStyle w:val="Pagrindinispaprastastekstas"/>
        <w:numPr>
          <w:ilvl w:val="0"/>
          <w:numId w:val="32"/>
        </w:numPr>
        <w:rPr>
          <w:lang w:val="en-GB" w:eastAsia="lt-LT"/>
        </w:rPr>
      </w:pPr>
      <w:proofErr w:type="gramStart"/>
      <w:r>
        <w:rPr>
          <w:szCs w:val="20"/>
          <w:lang w:val="en-GB"/>
        </w:rPr>
        <w:t>t</w:t>
      </w:r>
      <w:r w:rsidR="005636B8" w:rsidRPr="00461EC7">
        <w:rPr>
          <w:szCs w:val="20"/>
          <w:lang w:val="en-GB"/>
        </w:rPr>
        <w:t>he</w:t>
      </w:r>
      <w:proofErr w:type="gramEnd"/>
      <w:r w:rsidR="005636B8" w:rsidRPr="00461EC7">
        <w:rPr>
          <w:szCs w:val="20"/>
          <w:lang w:val="en-GB"/>
        </w:rPr>
        <w:t xml:space="preserve"> </w:t>
      </w:r>
      <w:r w:rsidR="00B81FFA" w:rsidRPr="00461EC7">
        <w:rPr>
          <w:szCs w:val="20"/>
          <w:lang w:val="en-GB"/>
        </w:rPr>
        <w:t xml:space="preserve">area </w:t>
      </w:r>
      <w:r w:rsidR="005636B8" w:rsidRPr="00461EC7">
        <w:rPr>
          <w:szCs w:val="20"/>
          <w:lang w:val="en-GB"/>
        </w:rPr>
        <w:t xml:space="preserve">of </w:t>
      </w:r>
      <w:r w:rsidR="0041730B" w:rsidRPr="00461EC7">
        <w:rPr>
          <w:szCs w:val="20"/>
          <w:lang w:val="en-GB"/>
        </w:rPr>
        <w:t>protected territories</w:t>
      </w:r>
      <w:r w:rsidR="005636B8" w:rsidRPr="00461EC7">
        <w:rPr>
          <w:szCs w:val="20"/>
          <w:lang w:val="en-GB"/>
        </w:rPr>
        <w:t xml:space="preserve"> grew by 95,7</w:t>
      </w:r>
      <w:r w:rsidR="00B81FFA" w:rsidRPr="00461EC7">
        <w:rPr>
          <w:szCs w:val="20"/>
          <w:lang w:val="en-GB"/>
        </w:rPr>
        <w:t>00 </w:t>
      </w:r>
      <w:r w:rsidR="005636B8" w:rsidRPr="00461EC7">
        <w:rPr>
          <w:szCs w:val="20"/>
          <w:lang w:val="en-GB"/>
        </w:rPr>
        <w:t xml:space="preserve">hectares </w:t>
      </w:r>
      <w:r w:rsidR="00B81FFA" w:rsidRPr="00461EC7">
        <w:rPr>
          <w:szCs w:val="20"/>
          <w:lang w:val="en-GB"/>
        </w:rPr>
        <w:t>between</w:t>
      </w:r>
      <w:r w:rsidR="005636B8" w:rsidRPr="00461EC7">
        <w:rPr>
          <w:szCs w:val="20"/>
          <w:lang w:val="en-GB"/>
        </w:rPr>
        <w:t xml:space="preserve"> 2005</w:t>
      </w:r>
      <w:r w:rsidR="00B81FFA" w:rsidRPr="00461EC7">
        <w:rPr>
          <w:szCs w:val="20"/>
          <w:lang w:val="en-GB"/>
        </w:rPr>
        <w:t xml:space="preserve"> and </w:t>
      </w:r>
      <w:r w:rsidR="005636B8" w:rsidRPr="00461EC7">
        <w:rPr>
          <w:szCs w:val="20"/>
          <w:lang w:val="en-GB"/>
        </w:rPr>
        <w:t xml:space="preserve">2015, while </w:t>
      </w:r>
      <w:r w:rsidR="00B81FFA" w:rsidRPr="00461EC7">
        <w:rPr>
          <w:szCs w:val="20"/>
          <w:lang w:val="en-GB"/>
        </w:rPr>
        <w:t xml:space="preserve">the area of </w:t>
      </w:r>
      <w:r w:rsidR="005636B8" w:rsidRPr="00461EC7">
        <w:rPr>
          <w:szCs w:val="20"/>
          <w:lang w:val="en-GB"/>
        </w:rPr>
        <w:t>Natura</w:t>
      </w:r>
      <w:r w:rsidR="00B81FFA" w:rsidRPr="00461EC7">
        <w:rPr>
          <w:szCs w:val="20"/>
          <w:lang w:val="en-GB"/>
        </w:rPr>
        <w:t> </w:t>
      </w:r>
      <w:r w:rsidR="005636B8" w:rsidRPr="00461EC7">
        <w:rPr>
          <w:szCs w:val="20"/>
          <w:lang w:val="en-GB"/>
        </w:rPr>
        <w:t xml:space="preserve">2000 </w:t>
      </w:r>
      <w:r w:rsidR="00B81FFA" w:rsidRPr="00461EC7">
        <w:rPr>
          <w:szCs w:val="20"/>
          <w:lang w:val="en-GB"/>
        </w:rPr>
        <w:t>territories</w:t>
      </w:r>
      <w:r w:rsidR="005636B8" w:rsidRPr="00461EC7">
        <w:rPr>
          <w:szCs w:val="20"/>
          <w:lang w:val="en-GB"/>
        </w:rPr>
        <w:t xml:space="preserve">, which is not </w:t>
      </w:r>
      <w:r w:rsidR="009B428C" w:rsidRPr="00461EC7">
        <w:rPr>
          <w:szCs w:val="20"/>
          <w:lang w:val="en-GB"/>
        </w:rPr>
        <w:t xml:space="preserve">included in </w:t>
      </w:r>
      <w:r w:rsidR="0041730B" w:rsidRPr="00461EC7">
        <w:rPr>
          <w:szCs w:val="20"/>
          <w:lang w:val="en-GB"/>
        </w:rPr>
        <w:t>protected territories</w:t>
      </w:r>
      <w:r w:rsidR="005636B8" w:rsidRPr="00461EC7">
        <w:rPr>
          <w:szCs w:val="20"/>
          <w:lang w:val="en-GB"/>
        </w:rPr>
        <w:t>, grew by 105,1</w:t>
      </w:r>
      <w:r w:rsidR="00B81FFA" w:rsidRPr="00461EC7">
        <w:rPr>
          <w:szCs w:val="20"/>
          <w:lang w:val="en-GB"/>
        </w:rPr>
        <w:t>00 </w:t>
      </w:r>
      <w:r w:rsidR="005636B8" w:rsidRPr="00461EC7">
        <w:rPr>
          <w:szCs w:val="20"/>
          <w:lang w:val="en-GB"/>
        </w:rPr>
        <w:t xml:space="preserve">hectares </w:t>
      </w:r>
      <w:r w:rsidR="00B81FFA" w:rsidRPr="00461EC7">
        <w:rPr>
          <w:szCs w:val="20"/>
          <w:lang w:val="en-GB"/>
        </w:rPr>
        <w:t xml:space="preserve">to </w:t>
      </w:r>
      <w:r w:rsidR="007B3A22">
        <w:rPr>
          <w:szCs w:val="20"/>
          <w:lang w:val="en-GB"/>
        </w:rPr>
        <w:t>1</w:t>
      </w:r>
      <w:r w:rsidR="00A21851">
        <w:rPr>
          <w:szCs w:val="20"/>
          <w:lang w:val="en-GB"/>
        </w:rPr>
        <w:t>23,</w:t>
      </w:r>
      <w:r w:rsidR="007B3A22">
        <w:rPr>
          <w:szCs w:val="20"/>
          <w:lang w:val="en-GB"/>
        </w:rPr>
        <w:t>1</w:t>
      </w:r>
      <w:r w:rsidR="00A21851">
        <w:rPr>
          <w:szCs w:val="20"/>
          <w:lang w:val="en-GB"/>
        </w:rPr>
        <w:t>00</w:t>
      </w:r>
      <w:r w:rsidR="007B3A22">
        <w:rPr>
          <w:szCs w:val="20"/>
          <w:lang w:val="en-GB"/>
        </w:rPr>
        <w:t> </w:t>
      </w:r>
      <w:r w:rsidR="00E217E7" w:rsidRPr="00A21851">
        <w:rPr>
          <w:szCs w:val="20"/>
          <w:lang w:val="en-GB"/>
        </w:rPr>
        <w:t>hectares</w:t>
      </w:r>
      <w:r w:rsidR="00B81FFA" w:rsidRPr="00461EC7">
        <w:rPr>
          <w:szCs w:val="20"/>
          <w:lang w:val="en-GB"/>
        </w:rPr>
        <w:t xml:space="preserve"> </w:t>
      </w:r>
      <w:r w:rsidR="005636B8" w:rsidRPr="00461EC7">
        <w:rPr>
          <w:szCs w:val="20"/>
          <w:lang w:val="en-GB"/>
        </w:rPr>
        <w:t>in 2015.</w:t>
      </w:r>
      <w:r w:rsidR="00EA6A16" w:rsidRPr="00461EC7">
        <w:rPr>
          <w:szCs w:val="20"/>
          <w:lang w:val="en-GB"/>
        </w:rPr>
        <w:t xml:space="preserve"> The total area of both </w:t>
      </w:r>
      <w:r w:rsidR="0041730B" w:rsidRPr="00461EC7">
        <w:rPr>
          <w:szCs w:val="20"/>
          <w:lang w:val="en-GB"/>
        </w:rPr>
        <w:t>protected territories</w:t>
      </w:r>
      <w:r w:rsidR="00EA6A16" w:rsidRPr="00461EC7">
        <w:rPr>
          <w:szCs w:val="20"/>
          <w:lang w:val="en-GB"/>
        </w:rPr>
        <w:t xml:space="preserve"> and Natura</w:t>
      </w:r>
      <w:r w:rsidR="00B81FFA" w:rsidRPr="00461EC7">
        <w:rPr>
          <w:szCs w:val="20"/>
          <w:lang w:val="en-GB"/>
        </w:rPr>
        <w:t> </w:t>
      </w:r>
      <w:r w:rsidR="00EA6A16" w:rsidRPr="00461EC7">
        <w:rPr>
          <w:szCs w:val="20"/>
          <w:lang w:val="en-GB"/>
        </w:rPr>
        <w:t>2000</w:t>
      </w:r>
      <w:r w:rsidR="00B81FFA" w:rsidRPr="00461EC7">
        <w:rPr>
          <w:szCs w:val="20"/>
          <w:lang w:val="en-GB"/>
        </w:rPr>
        <w:t xml:space="preserve"> territories</w:t>
      </w:r>
      <w:r w:rsidR="00EA6A16" w:rsidRPr="00461EC7">
        <w:rPr>
          <w:szCs w:val="20"/>
          <w:lang w:val="en-GB"/>
        </w:rPr>
        <w:t xml:space="preserve"> covered 17</w:t>
      </w:r>
      <w:r w:rsidR="00B81FFA" w:rsidRPr="00461EC7">
        <w:rPr>
          <w:szCs w:val="20"/>
          <w:lang w:val="en-GB"/>
        </w:rPr>
        <w:t>.</w:t>
      </w:r>
      <w:r w:rsidR="00EA6A16" w:rsidRPr="00461EC7">
        <w:rPr>
          <w:szCs w:val="20"/>
          <w:lang w:val="en-GB"/>
        </w:rPr>
        <w:t xml:space="preserve">63% of the </w:t>
      </w:r>
      <w:r w:rsidR="00B81FFA" w:rsidRPr="00461EC7">
        <w:rPr>
          <w:szCs w:val="20"/>
          <w:lang w:val="en-GB"/>
        </w:rPr>
        <w:t xml:space="preserve">country’s </w:t>
      </w:r>
      <w:r w:rsidR="00EA6A16" w:rsidRPr="00461EC7">
        <w:rPr>
          <w:szCs w:val="20"/>
          <w:lang w:val="en-GB"/>
        </w:rPr>
        <w:t>territory</w:t>
      </w:r>
      <w:r w:rsidR="00B81FFA" w:rsidRPr="00461EC7">
        <w:rPr>
          <w:szCs w:val="20"/>
          <w:lang w:val="en-GB"/>
        </w:rPr>
        <w:t xml:space="preserve"> in 2015</w:t>
      </w:r>
      <w:r>
        <w:rPr>
          <w:szCs w:val="20"/>
          <w:lang w:val="en-GB"/>
        </w:rPr>
        <w:t>;</w:t>
      </w:r>
    </w:p>
    <w:p w:rsidR="005636B8" w:rsidRPr="00461EC7" w:rsidRDefault="004A55B0" w:rsidP="00C82149">
      <w:pPr>
        <w:pStyle w:val="Pagrindinispaprastastekstas"/>
        <w:numPr>
          <w:ilvl w:val="0"/>
          <w:numId w:val="32"/>
        </w:numPr>
        <w:rPr>
          <w:lang w:val="en-GB" w:eastAsia="lt-LT"/>
        </w:rPr>
      </w:pPr>
      <w:r>
        <w:rPr>
          <w:szCs w:val="20"/>
          <w:lang w:val="en-GB"/>
        </w:rPr>
        <w:lastRenderedPageBreak/>
        <w:t>a</w:t>
      </w:r>
      <w:r w:rsidR="00E11729" w:rsidRPr="00461EC7">
        <w:rPr>
          <w:szCs w:val="20"/>
          <w:lang w:val="en-GB"/>
        </w:rPr>
        <w:t xml:space="preserve">nnual monitoring of </w:t>
      </w:r>
      <w:r w:rsidR="00B81FFA" w:rsidRPr="00461EC7">
        <w:rPr>
          <w:szCs w:val="20"/>
          <w:lang w:val="en-GB"/>
        </w:rPr>
        <w:t xml:space="preserve">the </w:t>
      </w:r>
      <w:r w:rsidR="00E11729" w:rsidRPr="00461EC7">
        <w:rPr>
          <w:szCs w:val="20"/>
          <w:lang w:val="en-GB"/>
        </w:rPr>
        <w:t xml:space="preserve">state of </w:t>
      </w:r>
      <w:r w:rsidR="00B81FFA" w:rsidRPr="00461EC7">
        <w:rPr>
          <w:szCs w:val="20"/>
          <w:lang w:val="en-GB"/>
        </w:rPr>
        <w:t xml:space="preserve">Lithuanian </w:t>
      </w:r>
      <w:r w:rsidR="00E11729" w:rsidRPr="00461EC7">
        <w:rPr>
          <w:szCs w:val="20"/>
          <w:lang w:val="en-GB"/>
        </w:rPr>
        <w:t>surface water</w:t>
      </w:r>
      <w:r w:rsidR="00B81FFA" w:rsidRPr="00461EC7">
        <w:rPr>
          <w:szCs w:val="20"/>
          <w:lang w:val="en-GB"/>
        </w:rPr>
        <w:t>s</w:t>
      </w:r>
      <w:r w:rsidR="00E11729" w:rsidRPr="00461EC7">
        <w:rPr>
          <w:szCs w:val="20"/>
          <w:lang w:val="en-GB"/>
        </w:rPr>
        <w:t xml:space="preserve"> reveals that</w:t>
      </w:r>
      <w:r w:rsidR="00BD43D2" w:rsidRPr="00461EC7">
        <w:rPr>
          <w:szCs w:val="20"/>
          <w:lang w:val="en-GB"/>
        </w:rPr>
        <w:t xml:space="preserve"> the</w:t>
      </w:r>
      <w:r w:rsidR="00E11729" w:rsidRPr="00461EC7">
        <w:rPr>
          <w:szCs w:val="20"/>
          <w:lang w:val="en-GB"/>
        </w:rPr>
        <w:t xml:space="preserve"> ecological </w:t>
      </w:r>
      <w:r w:rsidR="00B81FFA" w:rsidRPr="00461EC7">
        <w:rPr>
          <w:szCs w:val="20"/>
          <w:lang w:val="en-GB"/>
        </w:rPr>
        <w:t xml:space="preserve">status </w:t>
      </w:r>
      <w:r w:rsidR="00E11729" w:rsidRPr="00461EC7">
        <w:rPr>
          <w:szCs w:val="20"/>
          <w:lang w:val="en-GB"/>
        </w:rPr>
        <w:t>is improving</w:t>
      </w:r>
      <w:r>
        <w:rPr>
          <w:szCs w:val="20"/>
          <w:lang w:val="en-GB"/>
        </w:rPr>
        <w:t>;</w:t>
      </w:r>
    </w:p>
    <w:p w:rsidR="00E11729" w:rsidRPr="00461EC7" w:rsidRDefault="004A55B0" w:rsidP="00C82149">
      <w:pPr>
        <w:pStyle w:val="Pagrindinispaprastastekstas"/>
        <w:numPr>
          <w:ilvl w:val="0"/>
          <w:numId w:val="32"/>
        </w:numPr>
        <w:rPr>
          <w:lang w:val="en-GB" w:eastAsia="lt-LT"/>
        </w:rPr>
      </w:pPr>
      <w:proofErr w:type="gramStart"/>
      <w:r>
        <w:rPr>
          <w:szCs w:val="20"/>
          <w:lang w:val="en-GB"/>
        </w:rPr>
        <w:t>t</w:t>
      </w:r>
      <w:r w:rsidR="00E11729" w:rsidRPr="00461EC7">
        <w:rPr>
          <w:szCs w:val="20"/>
          <w:lang w:val="en-GB"/>
        </w:rPr>
        <w:t>he</w:t>
      </w:r>
      <w:proofErr w:type="gramEnd"/>
      <w:r w:rsidR="00E11729" w:rsidRPr="00461EC7">
        <w:rPr>
          <w:szCs w:val="20"/>
          <w:lang w:val="en-GB"/>
        </w:rPr>
        <w:t xml:space="preserve"> high </w:t>
      </w:r>
      <w:r w:rsidR="00B81FFA" w:rsidRPr="00461EC7">
        <w:rPr>
          <w:szCs w:val="20"/>
          <w:lang w:val="en-GB"/>
        </w:rPr>
        <w:t xml:space="preserve">level of </w:t>
      </w:r>
      <w:r w:rsidR="00E11729" w:rsidRPr="00461EC7">
        <w:rPr>
          <w:szCs w:val="20"/>
          <w:lang w:val="en-GB"/>
        </w:rPr>
        <w:t xml:space="preserve">environmental </w:t>
      </w:r>
      <w:r w:rsidR="00B81FFA" w:rsidRPr="00461EC7">
        <w:rPr>
          <w:szCs w:val="20"/>
          <w:lang w:val="en-GB"/>
        </w:rPr>
        <w:t>safety</w:t>
      </w:r>
      <w:r w:rsidR="00E11729" w:rsidRPr="00461EC7">
        <w:rPr>
          <w:szCs w:val="20"/>
          <w:lang w:val="en-GB"/>
        </w:rPr>
        <w:t xml:space="preserve"> is </w:t>
      </w:r>
      <w:r w:rsidR="00B81FFA" w:rsidRPr="00461EC7">
        <w:rPr>
          <w:szCs w:val="20"/>
          <w:lang w:val="en-GB"/>
        </w:rPr>
        <w:t xml:space="preserve">proved </w:t>
      </w:r>
      <w:r w:rsidR="00E11729" w:rsidRPr="00461EC7">
        <w:rPr>
          <w:szCs w:val="20"/>
          <w:lang w:val="en-GB"/>
        </w:rPr>
        <w:t xml:space="preserve">by a stable decrease </w:t>
      </w:r>
      <w:r w:rsidR="00B81FFA" w:rsidRPr="00461EC7">
        <w:rPr>
          <w:szCs w:val="20"/>
          <w:lang w:val="en-GB"/>
        </w:rPr>
        <w:t>in</w:t>
      </w:r>
      <w:r w:rsidR="00E11729" w:rsidRPr="00461EC7">
        <w:rPr>
          <w:szCs w:val="20"/>
          <w:lang w:val="en-GB"/>
        </w:rPr>
        <w:t xml:space="preserve"> </w:t>
      </w:r>
      <w:r w:rsidR="00B81FFA" w:rsidRPr="00461EC7">
        <w:rPr>
          <w:szCs w:val="20"/>
          <w:lang w:val="en-GB"/>
        </w:rPr>
        <w:t>the</w:t>
      </w:r>
      <w:r w:rsidR="00E11729" w:rsidRPr="00461EC7">
        <w:rPr>
          <w:szCs w:val="20"/>
          <w:lang w:val="en-GB"/>
        </w:rPr>
        <w:t xml:space="preserve"> number of accidents</w:t>
      </w:r>
      <w:r w:rsidR="00A836B0" w:rsidRPr="00461EC7">
        <w:rPr>
          <w:szCs w:val="20"/>
          <w:lang w:val="en-GB"/>
        </w:rPr>
        <w:t xml:space="preserve"> </w:t>
      </w:r>
      <w:r w:rsidR="00B81FFA" w:rsidRPr="00461EC7">
        <w:rPr>
          <w:szCs w:val="20"/>
          <w:lang w:val="en-GB"/>
        </w:rPr>
        <w:t>leading to</w:t>
      </w:r>
      <w:r w:rsidR="00A836B0" w:rsidRPr="00461EC7">
        <w:rPr>
          <w:szCs w:val="20"/>
          <w:lang w:val="en-GB"/>
        </w:rPr>
        <w:t xml:space="preserve"> extreme ecological situations</w:t>
      </w:r>
      <w:r w:rsidR="00B81FFA" w:rsidRPr="00461EC7">
        <w:rPr>
          <w:szCs w:val="20"/>
          <w:lang w:val="en-GB"/>
        </w:rPr>
        <w:t xml:space="preserve"> and environmental pollution or damage</w:t>
      </w:r>
      <w:r w:rsidR="00A836B0" w:rsidRPr="00461EC7">
        <w:rPr>
          <w:szCs w:val="20"/>
          <w:lang w:val="en-GB"/>
        </w:rPr>
        <w:t>. The number of accidents decreased from 133 (in 2002) to 106 (in 2014),</w:t>
      </w:r>
      <w:r w:rsidR="00B81FFA" w:rsidRPr="00461EC7">
        <w:rPr>
          <w:szCs w:val="20"/>
          <w:lang w:val="en-GB"/>
        </w:rPr>
        <w:t xml:space="preserve"> and the number of</w:t>
      </w:r>
      <w:r w:rsidR="00A836B0" w:rsidRPr="00461EC7">
        <w:rPr>
          <w:szCs w:val="20"/>
          <w:lang w:val="en-GB"/>
        </w:rPr>
        <w:t xml:space="preserve"> </w:t>
      </w:r>
      <w:r w:rsidR="009B428C" w:rsidRPr="00461EC7">
        <w:rPr>
          <w:szCs w:val="20"/>
          <w:lang w:val="en-GB"/>
        </w:rPr>
        <w:t>emergencies</w:t>
      </w:r>
      <w:r w:rsidR="00B81FFA" w:rsidRPr="00461EC7">
        <w:rPr>
          <w:szCs w:val="20"/>
          <w:lang w:val="en-GB"/>
        </w:rPr>
        <w:t> </w:t>
      </w:r>
      <w:r w:rsidR="00A836B0" w:rsidRPr="00461EC7">
        <w:rPr>
          <w:szCs w:val="20"/>
          <w:lang w:val="en-GB"/>
        </w:rPr>
        <w:t>– from 35</w:t>
      </w:r>
      <w:r w:rsidR="00B81FFA" w:rsidRPr="00461EC7">
        <w:rPr>
          <w:szCs w:val="20"/>
          <w:lang w:val="en-GB"/>
        </w:rPr>
        <w:t> </w:t>
      </w:r>
      <w:r w:rsidR="009B428C" w:rsidRPr="00461EC7">
        <w:rPr>
          <w:szCs w:val="20"/>
          <w:lang w:val="en-GB"/>
        </w:rPr>
        <w:t>emergencies</w:t>
      </w:r>
      <w:r w:rsidR="00A836B0" w:rsidRPr="00461EC7">
        <w:rPr>
          <w:szCs w:val="20"/>
          <w:lang w:val="en-GB"/>
        </w:rPr>
        <w:t xml:space="preserve"> (in 2002) to </w:t>
      </w:r>
      <w:r w:rsidR="00B81FFA" w:rsidRPr="00461EC7">
        <w:rPr>
          <w:szCs w:val="20"/>
          <w:lang w:val="en-GB"/>
        </w:rPr>
        <w:t>one</w:t>
      </w:r>
      <w:r w:rsidR="00A836B0" w:rsidRPr="00461EC7">
        <w:rPr>
          <w:szCs w:val="20"/>
          <w:lang w:val="en-GB"/>
        </w:rPr>
        <w:t xml:space="preserve"> </w:t>
      </w:r>
      <w:r w:rsidR="009B428C" w:rsidRPr="00461EC7">
        <w:rPr>
          <w:szCs w:val="20"/>
          <w:lang w:val="en-GB"/>
        </w:rPr>
        <w:t>emergency</w:t>
      </w:r>
      <w:r w:rsidR="00A836B0" w:rsidRPr="00461EC7">
        <w:rPr>
          <w:szCs w:val="20"/>
          <w:lang w:val="en-GB"/>
        </w:rPr>
        <w:t xml:space="preserve"> (in 2014)</w:t>
      </w:r>
      <w:r w:rsidR="00B81FFA" w:rsidRPr="00461EC7">
        <w:rPr>
          <w:szCs w:val="20"/>
          <w:lang w:val="en-GB"/>
        </w:rPr>
        <w:t>.</w:t>
      </w:r>
    </w:p>
    <w:p w:rsidR="00A836B0" w:rsidRPr="00461EC7" w:rsidRDefault="00A836B0" w:rsidP="004C5695">
      <w:pPr>
        <w:pStyle w:val="Nenumeruojamosantrastes"/>
        <w:rPr>
          <w:lang w:val="en-GB"/>
        </w:rPr>
      </w:pPr>
      <w:r w:rsidRPr="00461EC7">
        <w:rPr>
          <w:lang w:val="en-GB"/>
        </w:rPr>
        <w:t xml:space="preserve">results of the </w:t>
      </w:r>
      <w:r w:rsidR="00B81FFA" w:rsidRPr="00461EC7">
        <w:rPr>
          <w:lang w:val="en-GB"/>
        </w:rPr>
        <w:t xml:space="preserve">OPPC </w:t>
      </w:r>
      <w:r w:rsidRPr="00461EC7">
        <w:rPr>
          <w:lang w:val="en-GB"/>
        </w:rPr>
        <w:t>implementation: Wa</w:t>
      </w:r>
      <w:r w:rsidR="006F70E9" w:rsidRPr="00461EC7">
        <w:rPr>
          <w:lang w:val="en-GB"/>
        </w:rPr>
        <w:t>ste</w:t>
      </w:r>
      <w:r w:rsidRPr="00461EC7">
        <w:rPr>
          <w:lang w:val="en-GB"/>
        </w:rPr>
        <w:t>water treatment, water supply and waste management</w:t>
      </w:r>
    </w:p>
    <w:bookmarkEnd w:id="10"/>
    <w:bookmarkEnd w:id="11"/>
    <w:p w:rsidR="00A836B0" w:rsidRPr="00461EC7" w:rsidRDefault="004C0F6A" w:rsidP="00A836B0">
      <w:pPr>
        <w:pStyle w:val="Pagrindinispaprastastekstas"/>
        <w:rPr>
          <w:b/>
          <w:color w:val="1F497D" w:themeColor="text2"/>
          <w:lang w:val="en-GB" w:eastAsia="lt-LT"/>
        </w:rPr>
      </w:pPr>
      <w:r w:rsidRPr="00461EC7">
        <w:rPr>
          <w:b/>
          <w:color w:val="1F497D" w:themeColor="text2"/>
          <w:lang w:val="en-GB" w:eastAsia="lt-LT"/>
        </w:rPr>
        <w:t xml:space="preserve">The main outputs </w:t>
      </w:r>
      <w:r w:rsidR="00A836B0" w:rsidRPr="00461EC7">
        <w:rPr>
          <w:b/>
          <w:color w:val="1F497D" w:themeColor="text2"/>
          <w:lang w:val="en-GB" w:eastAsia="lt-LT"/>
        </w:rPr>
        <w:t xml:space="preserve">and </w:t>
      </w:r>
      <w:r w:rsidR="002339A0" w:rsidRPr="00461EC7">
        <w:rPr>
          <w:b/>
          <w:color w:val="1F497D" w:themeColor="text2"/>
          <w:lang w:val="en-GB" w:eastAsia="lt-LT"/>
        </w:rPr>
        <w:t>results</w:t>
      </w:r>
    </w:p>
    <w:p w:rsidR="001F23A4" w:rsidRPr="00461EC7" w:rsidRDefault="00700849" w:rsidP="0046175C">
      <w:pPr>
        <w:pStyle w:val="Pagrindinispaprastastekstas"/>
        <w:rPr>
          <w:lang w:val="en-GB" w:eastAsia="lt-LT"/>
        </w:rPr>
      </w:pPr>
      <w:r w:rsidRPr="00461EC7">
        <w:rPr>
          <w:noProof/>
          <w:lang w:eastAsia="lt-LT"/>
        </w:rPr>
        <w:drawing>
          <wp:inline distT="0" distB="0" distL="0" distR="0" wp14:anchorId="41C87BA2" wp14:editId="433BC4D3">
            <wp:extent cx="6131266" cy="1148668"/>
            <wp:effectExtent l="0" t="0" r="3175" b="13970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F23A4" w:rsidRPr="00461EC7" w:rsidRDefault="001F23A4" w:rsidP="0046175C">
      <w:pPr>
        <w:pStyle w:val="Pagrindinispaprastastekstas"/>
        <w:rPr>
          <w:lang w:val="en-GB" w:eastAsia="lt-LT"/>
        </w:rPr>
      </w:pPr>
    </w:p>
    <w:p w:rsidR="00E03B37" w:rsidRPr="00461EC7" w:rsidRDefault="00E03B37" w:rsidP="00700849">
      <w:pPr>
        <w:pStyle w:val="Pagrindinispaprastastekstas"/>
        <w:numPr>
          <w:ilvl w:val="0"/>
          <w:numId w:val="34"/>
        </w:numPr>
        <w:rPr>
          <w:lang w:val="en-GB" w:eastAsia="lt-LT"/>
        </w:rPr>
      </w:pPr>
      <w:r w:rsidRPr="00461EC7">
        <w:rPr>
          <w:lang w:val="en-GB" w:eastAsia="lt-LT"/>
        </w:rPr>
        <w:t>All old landfills were closed as a result of the implementation</w:t>
      </w:r>
      <w:r w:rsidR="00461EC7" w:rsidRPr="00461EC7">
        <w:rPr>
          <w:lang w:val="en-GB" w:eastAsia="lt-LT"/>
        </w:rPr>
        <w:t xml:space="preserve"> of the OPPC</w:t>
      </w:r>
      <w:r w:rsidRPr="00461EC7">
        <w:rPr>
          <w:lang w:val="en-GB" w:eastAsia="lt-LT"/>
        </w:rPr>
        <w:t xml:space="preserve">. </w:t>
      </w:r>
      <w:r w:rsidR="00E67A00" w:rsidRPr="00461EC7">
        <w:rPr>
          <w:lang w:val="en-GB" w:eastAsia="lt-LT"/>
        </w:rPr>
        <w:t>Now</w:t>
      </w:r>
      <w:r w:rsidRPr="00461EC7">
        <w:rPr>
          <w:lang w:val="en-GB" w:eastAsia="lt-LT"/>
        </w:rPr>
        <w:t xml:space="preserve"> waste is disposed in eleven</w:t>
      </w:r>
      <w:r w:rsidR="004C4E47" w:rsidRPr="00461EC7">
        <w:rPr>
          <w:rStyle w:val="FootnoteReference"/>
          <w:lang w:val="en-GB" w:eastAsia="lt-LT"/>
        </w:rPr>
        <w:footnoteReference w:id="1"/>
      </w:r>
      <w:r w:rsidRPr="00461EC7">
        <w:rPr>
          <w:lang w:val="en-GB" w:eastAsia="lt-LT"/>
        </w:rPr>
        <w:t xml:space="preserve"> regional non-</w:t>
      </w:r>
      <w:r w:rsidR="00461EC7" w:rsidRPr="00461EC7">
        <w:rPr>
          <w:lang w:val="en-GB" w:eastAsia="lt-LT"/>
        </w:rPr>
        <w:t xml:space="preserve">hazardous </w:t>
      </w:r>
      <w:r w:rsidRPr="00461EC7">
        <w:rPr>
          <w:lang w:val="en-GB" w:eastAsia="lt-LT"/>
        </w:rPr>
        <w:t>waste landfills which compl</w:t>
      </w:r>
      <w:r w:rsidR="00E67A00" w:rsidRPr="00461EC7">
        <w:rPr>
          <w:lang w:val="en-GB" w:eastAsia="lt-LT"/>
        </w:rPr>
        <w:t>y</w:t>
      </w:r>
      <w:r w:rsidRPr="00461EC7">
        <w:rPr>
          <w:lang w:val="en-GB" w:eastAsia="lt-LT"/>
        </w:rPr>
        <w:t xml:space="preserve"> with E</w:t>
      </w:r>
      <w:r w:rsidR="00E67A00" w:rsidRPr="00461EC7">
        <w:rPr>
          <w:lang w:val="en-GB" w:eastAsia="lt-LT"/>
        </w:rPr>
        <w:t>U</w:t>
      </w:r>
      <w:r w:rsidRPr="00461EC7">
        <w:rPr>
          <w:lang w:val="en-GB" w:eastAsia="lt-LT"/>
        </w:rPr>
        <w:t xml:space="preserve"> </w:t>
      </w:r>
      <w:r w:rsidR="004C4E47" w:rsidRPr="00461EC7">
        <w:rPr>
          <w:lang w:val="en-GB" w:eastAsia="lt-LT"/>
        </w:rPr>
        <w:t>environmental</w:t>
      </w:r>
      <w:r w:rsidRPr="00461EC7">
        <w:rPr>
          <w:lang w:val="en-GB" w:eastAsia="lt-LT"/>
        </w:rPr>
        <w:t xml:space="preserve"> requirements.</w:t>
      </w:r>
    </w:p>
    <w:p w:rsidR="00E03B37" w:rsidRPr="00461EC7" w:rsidRDefault="00E67A00" w:rsidP="00700849">
      <w:pPr>
        <w:pStyle w:val="Pagrindinispaprastastekstas"/>
        <w:numPr>
          <w:ilvl w:val="0"/>
          <w:numId w:val="34"/>
        </w:numPr>
        <w:rPr>
          <w:lang w:val="en-GB" w:eastAsia="lt-LT"/>
        </w:rPr>
      </w:pPr>
      <w:r w:rsidRPr="00461EC7">
        <w:rPr>
          <w:lang w:val="en-GB" w:eastAsia="lt-LT"/>
        </w:rPr>
        <w:t>Access to the wastewater system</w:t>
      </w:r>
      <w:r w:rsidRPr="00461EC7" w:rsidDel="00E67A00">
        <w:rPr>
          <w:lang w:val="en-GB" w:eastAsia="lt-LT"/>
        </w:rPr>
        <w:t xml:space="preserve"> </w:t>
      </w:r>
      <w:r w:rsidRPr="00461EC7">
        <w:rPr>
          <w:lang w:val="en-GB" w:eastAsia="lt-LT"/>
        </w:rPr>
        <w:t xml:space="preserve">was provided to around </w:t>
      </w:r>
      <w:r w:rsidR="00DA224F" w:rsidRPr="00461EC7">
        <w:rPr>
          <w:lang w:val="en-GB" w:eastAsia="lt-LT"/>
        </w:rPr>
        <w:t>153</w:t>
      </w:r>
      <w:r w:rsidRPr="00461EC7">
        <w:rPr>
          <w:lang w:val="en-GB" w:eastAsia="lt-LT"/>
        </w:rPr>
        <w:t>,000 </w:t>
      </w:r>
      <w:r w:rsidR="004C4E47" w:rsidRPr="00461EC7">
        <w:rPr>
          <w:lang w:val="en-GB" w:eastAsia="lt-LT"/>
        </w:rPr>
        <w:t xml:space="preserve">residents. </w:t>
      </w:r>
      <w:r w:rsidRPr="00461EC7">
        <w:rPr>
          <w:lang w:val="en-GB" w:eastAsia="lt-LT"/>
        </w:rPr>
        <w:t xml:space="preserve">The share </w:t>
      </w:r>
      <w:r w:rsidR="004C4E47" w:rsidRPr="00461EC7">
        <w:rPr>
          <w:lang w:val="en-GB" w:eastAsia="lt-LT"/>
        </w:rPr>
        <w:t xml:space="preserve">of </w:t>
      </w:r>
      <w:r w:rsidR="00B85B1E" w:rsidRPr="00461EC7">
        <w:rPr>
          <w:lang w:val="en-GB" w:eastAsia="lt-LT"/>
        </w:rPr>
        <w:t>population</w:t>
      </w:r>
      <w:r w:rsidR="004C4E47" w:rsidRPr="00461EC7">
        <w:rPr>
          <w:lang w:val="en-GB" w:eastAsia="lt-LT"/>
        </w:rPr>
        <w:t xml:space="preserve"> who uses centrali</w:t>
      </w:r>
      <w:r w:rsidRPr="00461EC7">
        <w:rPr>
          <w:lang w:val="en-GB" w:eastAsia="lt-LT"/>
        </w:rPr>
        <w:t>s</w:t>
      </w:r>
      <w:r w:rsidR="004C4E47" w:rsidRPr="00461EC7">
        <w:rPr>
          <w:lang w:val="en-GB" w:eastAsia="lt-LT"/>
        </w:rPr>
        <w:t>ed wastewater collection and treatment services increased by 4</w:t>
      </w:r>
      <w:r w:rsidRPr="00461EC7">
        <w:rPr>
          <w:lang w:val="en-GB" w:eastAsia="lt-LT"/>
        </w:rPr>
        <w:t>.</w:t>
      </w:r>
      <w:r w:rsidR="004C4E47" w:rsidRPr="00461EC7">
        <w:rPr>
          <w:lang w:val="en-GB" w:eastAsia="lt-LT"/>
        </w:rPr>
        <w:t>5</w:t>
      </w:r>
      <w:r w:rsidRPr="00461EC7">
        <w:rPr>
          <w:lang w:val="en-GB" w:eastAsia="lt-LT"/>
        </w:rPr>
        <w:t>%</w:t>
      </w:r>
      <w:r w:rsidR="004C4E47" w:rsidRPr="00461EC7">
        <w:rPr>
          <w:lang w:val="en-GB" w:eastAsia="lt-LT"/>
        </w:rPr>
        <w:t xml:space="preserve"> (using 2007 population numbers).</w:t>
      </w:r>
    </w:p>
    <w:p w:rsidR="00700849" w:rsidRPr="00461EC7" w:rsidRDefault="00700849" w:rsidP="0046175C">
      <w:pPr>
        <w:pStyle w:val="Pagrindinispaprastastekstas"/>
        <w:rPr>
          <w:lang w:val="en-GB" w:eastAsia="lt-LT"/>
        </w:rPr>
      </w:pPr>
    </w:p>
    <w:p w:rsidR="004C4E47" w:rsidRPr="00461EC7" w:rsidRDefault="004A55B0" w:rsidP="004C4E47">
      <w:pPr>
        <w:pStyle w:val="Pagrindinispaprastastekstas"/>
        <w:rPr>
          <w:lang w:val="en-GB" w:eastAsia="lt-LT"/>
        </w:rPr>
      </w:pPr>
      <w:r>
        <w:rPr>
          <w:b/>
          <w:color w:val="1F497D" w:themeColor="text2"/>
          <w:lang w:val="en-GB" w:eastAsia="lt-LT"/>
        </w:rPr>
        <w:t>I</w:t>
      </w:r>
      <w:r w:rsidR="004C4E47" w:rsidRPr="00461EC7">
        <w:rPr>
          <w:b/>
          <w:color w:val="1F497D" w:themeColor="text2"/>
          <w:lang w:val="en-GB" w:eastAsia="lt-LT"/>
        </w:rPr>
        <w:t>mpact of the investments:</w:t>
      </w:r>
    </w:p>
    <w:p w:rsidR="004C4E47" w:rsidRPr="00461EC7" w:rsidRDefault="004A55B0" w:rsidP="004C4E47">
      <w:pPr>
        <w:pStyle w:val="Pagrindinispaprastastekstas"/>
        <w:numPr>
          <w:ilvl w:val="0"/>
          <w:numId w:val="34"/>
        </w:numPr>
        <w:rPr>
          <w:lang w:val="en-GB" w:eastAsia="lt-LT"/>
        </w:rPr>
      </w:pPr>
      <w:r>
        <w:rPr>
          <w:lang w:val="en-GB" w:eastAsia="lt-LT"/>
        </w:rPr>
        <w:t>t</w:t>
      </w:r>
      <w:r w:rsidR="00B85B1E" w:rsidRPr="00461EC7">
        <w:rPr>
          <w:lang w:val="en-GB" w:eastAsia="lt-LT"/>
        </w:rPr>
        <w:t>he implementation of measure “</w:t>
      </w:r>
      <w:r w:rsidR="00E67A00" w:rsidRPr="00461EC7">
        <w:rPr>
          <w:lang w:val="en-GB" w:eastAsia="lt-LT"/>
        </w:rPr>
        <w:t>Modernisation and development of w</w:t>
      </w:r>
      <w:r w:rsidR="00B85B1E" w:rsidRPr="00461EC7">
        <w:rPr>
          <w:lang w:val="en-GB" w:eastAsia="lt-LT"/>
        </w:rPr>
        <w:t>ater supply and waste</w:t>
      </w:r>
      <w:r w:rsidR="00940B64" w:rsidRPr="00461EC7">
        <w:rPr>
          <w:lang w:val="en-GB" w:eastAsia="lt-LT"/>
        </w:rPr>
        <w:t>water treatment systems</w:t>
      </w:r>
      <w:r w:rsidR="00E67A00" w:rsidRPr="00461EC7">
        <w:rPr>
          <w:lang w:val="en-GB" w:eastAsia="lt-LT"/>
        </w:rPr>
        <w:t>”</w:t>
      </w:r>
      <w:r w:rsidR="00B85B1E" w:rsidRPr="00461EC7">
        <w:rPr>
          <w:lang w:val="en-GB" w:eastAsia="lt-LT"/>
        </w:rPr>
        <w:t xml:space="preserve"> decreased </w:t>
      </w:r>
      <w:r w:rsidR="00DA224F" w:rsidRPr="00461EC7">
        <w:rPr>
          <w:lang w:val="en-GB" w:eastAsia="lt-LT"/>
        </w:rPr>
        <w:t xml:space="preserve">the </w:t>
      </w:r>
      <w:r w:rsidR="00E67A00" w:rsidRPr="00461EC7">
        <w:rPr>
          <w:lang w:val="en-GB" w:eastAsia="lt-LT"/>
        </w:rPr>
        <w:t xml:space="preserve">share </w:t>
      </w:r>
      <w:r w:rsidR="00B85B1E" w:rsidRPr="00461EC7">
        <w:rPr>
          <w:lang w:val="en-GB" w:eastAsia="lt-LT"/>
        </w:rPr>
        <w:t>of population</w:t>
      </w:r>
      <w:r w:rsidR="003B6C3B" w:rsidRPr="00461EC7">
        <w:rPr>
          <w:lang w:val="en-GB" w:eastAsia="lt-LT"/>
        </w:rPr>
        <w:t xml:space="preserve"> </w:t>
      </w:r>
      <w:r w:rsidR="00E67A00" w:rsidRPr="00461EC7">
        <w:rPr>
          <w:lang w:val="en-GB" w:eastAsia="lt-LT"/>
        </w:rPr>
        <w:t>with no access to a</w:t>
      </w:r>
      <w:r w:rsidR="003B6C3B" w:rsidRPr="00461EC7">
        <w:rPr>
          <w:lang w:val="en-GB" w:eastAsia="lt-LT"/>
        </w:rPr>
        <w:t xml:space="preserve"> wastewater system by 24% and to water supply</w:t>
      </w:r>
      <w:r w:rsidR="00E67A00" w:rsidRPr="00461EC7">
        <w:rPr>
          <w:lang w:val="en-GB" w:eastAsia="lt-LT"/>
        </w:rPr>
        <w:t> </w:t>
      </w:r>
      <w:r w:rsidR="003B6C3B" w:rsidRPr="00461EC7">
        <w:rPr>
          <w:lang w:val="en-GB" w:eastAsia="lt-LT"/>
        </w:rPr>
        <w:t xml:space="preserve">– </w:t>
      </w:r>
      <w:r w:rsidR="00E67A00" w:rsidRPr="00461EC7">
        <w:rPr>
          <w:lang w:val="en-GB" w:eastAsia="lt-LT"/>
        </w:rPr>
        <w:t xml:space="preserve">by </w:t>
      </w:r>
      <w:r w:rsidR="003B6C3B" w:rsidRPr="00461EC7">
        <w:rPr>
          <w:lang w:val="en-GB" w:eastAsia="lt-LT"/>
        </w:rPr>
        <w:t>15%</w:t>
      </w:r>
      <w:r>
        <w:rPr>
          <w:lang w:val="en-GB" w:eastAsia="lt-LT"/>
        </w:rPr>
        <w:t>;</w:t>
      </w:r>
      <w:r w:rsidR="003B6C3B" w:rsidRPr="00461EC7">
        <w:rPr>
          <w:rStyle w:val="EndnoteReference"/>
          <w:lang w:val="en-GB" w:eastAsia="lt-LT"/>
        </w:rPr>
        <w:endnoteReference w:id="6"/>
      </w:r>
    </w:p>
    <w:p w:rsidR="003B6C3B" w:rsidRPr="00461EC7" w:rsidRDefault="004A55B0" w:rsidP="004C4E47">
      <w:pPr>
        <w:pStyle w:val="Pagrindinispaprastastekstas"/>
        <w:numPr>
          <w:ilvl w:val="0"/>
          <w:numId w:val="34"/>
        </w:numPr>
        <w:rPr>
          <w:lang w:val="en-GB" w:eastAsia="lt-LT"/>
        </w:rPr>
      </w:pPr>
      <w:proofErr w:type="gramStart"/>
      <w:r>
        <w:rPr>
          <w:lang w:val="en-GB" w:eastAsia="lt-LT"/>
        </w:rPr>
        <w:t>i</w:t>
      </w:r>
      <w:r w:rsidR="003B6C3B" w:rsidRPr="00461EC7">
        <w:rPr>
          <w:lang w:val="en-GB" w:eastAsia="lt-LT"/>
        </w:rPr>
        <w:t>n</w:t>
      </w:r>
      <w:proofErr w:type="gramEnd"/>
      <w:r w:rsidR="003B6C3B" w:rsidRPr="00461EC7">
        <w:rPr>
          <w:lang w:val="en-GB" w:eastAsia="lt-LT"/>
        </w:rPr>
        <w:t xml:space="preserve"> 2013</w:t>
      </w:r>
      <w:r w:rsidR="00E67A00" w:rsidRPr="00461EC7">
        <w:rPr>
          <w:lang w:val="en-GB" w:eastAsia="lt-LT"/>
        </w:rPr>
        <w:t>,</w:t>
      </w:r>
      <w:r w:rsidR="003B6C3B" w:rsidRPr="00461EC7">
        <w:rPr>
          <w:lang w:val="en-GB" w:eastAsia="lt-LT"/>
        </w:rPr>
        <w:t xml:space="preserve"> wastewater which </w:t>
      </w:r>
      <w:r w:rsidR="00461EC7">
        <w:rPr>
          <w:lang w:val="en-GB" w:eastAsia="lt-LT"/>
        </w:rPr>
        <w:t xml:space="preserve">is in </w:t>
      </w:r>
      <w:r w:rsidR="003B6C3B" w:rsidRPr="00461EC7">
        <w:rPr>
          <w:lang w:val="en-GB" w:eastAsia="lt-LT"/>
        </w:rPr>
        <w:t>compli</w:t>
      </w:r>
      <w:r w:rsidR="00461EC7">
        <w:rPr>
          <w:lang w:val="en-GB" w:eastAsia="lt-LT"/>
        </w:rPr>
        <w:t>ance</w:t>
      </w:r>
      <w:r w:rsidR="003B6C3B" w:rsidRPr="00461EC7">
        <w:rPr>
          <w:lang w:val="en-GB" w:eastAsia="lt-LT"/>
        </w:rPr>
        <w:t xml:space="preserve"> with regulations</w:t>
      </w:r>
      <w:r w:rsidR="00E67A00" w:rsidRPr="00461EC7">
        <w:rPr>
          <w:lang w:val="en-GB" w:eastAsia="lt-LT"/>
        </w:rPr>
        <w:t xml:space="preserve"> accounted for 99.7% of</w:t>
      </w:r>
      <w:r w:rsidR="003B6C3B" w:rsidRPr="00461EC7">
        <w:rPr>
          <w:lang w:val="en-GB" w:eastAsia="lt-LT"/>
        </w:rPr>
        <w:t xml:space="preserve"> </w:t>
      </w:r>
      <w:r w:rsidR="00E67A00" w:rsidRPr="00461EC7">
        <w:rPr>
          <w:lang w:val="en-GB" w:eastAsia="lt-LT"/>
        </w:rPr>
        <w:t xml:space="preserve">the </w:t>
      </w:r>
      <w:r w:rsidR="003B6C3B" w:rsidRPr="00461EC7">
        <w:rPr>
          <w:lang w:val="en-GB" w:eastAsia="lt-LT"/>
        </w:rPr>
        <w:t>total wastewater flow</w:t>
      </w:r>
      <w:r w:rsidR="00E67A00" w:rsidRPr="00461EC7">
        <w:rPr>
          <w:lang w:val="en-GB" w:eastAsia="lt-LT"/>
        </w:rPr>
        <w:t xml:space="preserve">. </w:t>
      </w:r>
      <w:r w:rsidR="003B6C3B" w:rsidRPr="00461EC7">
        <w:rPr>
          <w:lang w:val="en-GB" w:eastAsia="lt-LT"/>
        </w:rPr>
        <w:t>T</w:t>
      </w:r>
      <w:r w:rsidR="00461EC7">
        <w:rPr>
          <w:lang w:val="en-GB" w:eastAsia="lt-LT"/>
        </w:rPr>
        <w:t>hus, t</w:t>
      </w:r>
      <w:r w:rsidR="003B6C3B" w:rsidRPr="00461EC7">
        <w:rPr>
          <w:lang w:val="en-GB" w:eastAsia="lt-LT"/>
        </w:rPr>
        <w:t xml:space="preserve">he aim of </w:t>
      </w:r>
      <w:r w:rsidR="00E67A00" w:rsidRPr="00461EC7">
        <w:rPr>
          <w:lang w:val="en-GB" w:eastAsia="lt-LT"/>
        </w:rPr>
        <w:t xml:space="preserve">the </w:t>
      </w:r>
      <w:r w:rsidR="003B6C3B" w:rsidRPr="00461EC7">
        <w:rPr>
          <w:lang w:val="en-GB" w:eastAsia="lt-LT"/>
        </w:rPr>
        <w:t>OPPC (97%) was achieved</w:t>
      </w:r>
      <w:r>
        <w:rPr>
          <w:lang w:val="en-GB" w:eastAsia="lt-LT"/>
        </w:rPr>
        <w:t>;</w:t>
      </w:r>
    </w:p>
    <w:p w:rsidR="004C4E47" w:rsidRPr="00461EC7" w:rsidRDefault="004A55B0" w:rsidP="004C4E47">
      <w:pPr>
        <w:pStyle w:val="Pagrindinispaprastastekstas"/>
        <w:numPr>
          <w:ilvl w:val="0"/>
          <w:numId w:val="34"/>
        </w:numPr>
        <w:rPr>
          <w:lang w:val="en-GB" w:eastAsia="lt-LT"/>
        </w:rPr>
      </w:pPr>
      <w:r>
        <w:rPr>
          <w:lang w:val="en-GB" w:eastAsia="lt-LT"/>
        </w:rPr>
        <w:t>t</w:t>
      </w:r>
      <w:r w:rsidR="00567015" w:rsidRPr="00461EC7">
        <w:rPr>
          <w:lang w:val="en-GB" w:eastAsia="lt-LT"/>
        </w:rPr>
        <w:t>he implementation of measure “Creation of the waste management system” contributed to</w:t>
      </w:r>
      <w:r w:rsidR="00943677" w:rsidRPr="00461EC7">
        <w:rPr>
          <w:lang w:val="en-GB" w:eastAsia="lt-LT"/>
        </w:rPr>
        <w:t xml:space="preserve"> the</w:t>
      </w:r>
      <w:r w:rsidR="00567015" w:rsidRPr="00461EC7">
        <w:rPr>
          <w:lang w:val="en-GB" w:eastAsia="lt-LT"/>
        </w:rPr>
        <w:t xml:space="preserve"> creation of </w:t>
      </w:r>
      <w:r w:rsidR="00E67A00" w:rsidRPr="00461EC7">
        <w:rPr>
          <w:lang w:val="en-GB" w:eastAsia="lt-LT"/>
        </w:rPr>
        <w:t xml:space="preserve">a </w:t>
      </w:r>
      <w:r w:rsidR="00567015" w:rsidRPr="00461EC7">
        <w:rPr>
          <w:lang w:val="en-GB" w:eastAsia="lt-LT"/>
        </w:rPr>
        <w:t xml:space="preserve">modern waste management system and ensured conditions </w:t>
      </w:r>
      <w:r w:rsidR="00CD2044" w:rsidRPr="00461EC7">
        <w:rPr>
          <w:lang w:val="en-GB" w:eastAsia="lt-LT"/>
        </w:rPr>
        <w:t xml:space="preserve">necessary </w:t>
      </w:r>
      <w:r w:rsidR="00567015" w:rsidRPr="00461EC7">
        <w:rPr>
          <w:lang w:val="en-GB" w:eastAsia="lt-LT"/>
        </w:rPr>
        <w:t xml:space="preserve">to better implement waste management priorities in Lithuania, i.e. to increase </w:t>
      </w:r>
      <w:r w:rsidR="00E67A00" w:rsidRPr="00461EC7">
        <w:rPr>
          <w:lang w:val="en-GB" w:eastAsia="lt-LT"/>
        </w:rPr>
        <w:t xml:space="preserve">the amount </w:t>
      </w:r>
      <w:r w:rsidR="00567015" w:rsidRPr="00461EC7">
        <w:rPr>
          <w:lang w:val="en-GB" w:eastAsia="lt-LT"/>
        </w:rPr>
        <w:t>of recycled or reused</w:t>
      </w:r>
      <w:r w:rsidR="00943677" w:rsidRPr="00461EC7">
        <w:rPr>
          <w:lang w:val="en-GB" w:eastAsia="lt-LT"/>
        </w:rPr>
        <w:t xml:space="preserve"> waste (for example, compostable waste) and in general to decrease</w:t>
      </w:r>
      <w:r w:rsidR="00E67A00" w:rsidRPr="00461EC7">
        <w:rPr>
          <w:lang w:val="en-GB" w:eastAsia="lt-LT"/>
        </w:rPr>
        <w:t xml:space="preserve"> the</w:t>
      </w:r>
      <w:r w:rsidR="00943677" w:rsidRPr="00461EC7">
        <w:rPr>
          <w:lang w:val="en-GB" w:eastAsia="lt-LT"/>
        </w:rPr>
        <w:t xml:space="preserve"> </w:t>
      </w:r>
      <w:r w:rsidR="00CD2044">
        <w:rPr>
          <w:lang w:val="en-GB" w:eastAsia="lt-LT"/>
        </w:rPr>
        <w:t>amount</w:t>
      </w:r>
      <w:r w:rsidR="00CD2044" w:rsidRPr="00461EC7">
        <w:rPr>
          <w:lang w:val="en-GB" w:eastAsia="lt-LT"/>
        </w:rPr>
        <w:t xml:space="preserve"> </w:t>
      </w:r>
      <w:r w:rsidR="00943677" w:rsidRPr="00461EC7">
        <w:rPr>
          <w:lang w:val="en-GB" w:eastAsia="lt-LT"/>
        </w:rPr>
        <w:t>of waste in landfills</w:t>
      </w:r>
      <w:r>
        <w:rPr>
          <w:lang w:val="en-GB" w:eastAsia="lt-LT"/>
        </w:rPr>
        <w:t>;</w:t>
      </w:r>
      <w:r w:rsidR="00943677" w:rsidRPr="00461EC7">
        <w:rPr>
          <w:rStyle w:val="EndnoteReference"/>
          <w:lang w:val="en-GB" w:eastAsia="lt-LT"/>
        </w:rPr>
        <w:endnoteReference w:id="7"/>
      </w:r>
    </w:p>
    <w:p w:rsidR="007D4AAD" w:rsidRPr="00461EC7" w:rsidRDefault="004A55B0" w:rsidP="006063C3">
      <w:pPr>
        <w:pStyle w:val="Pagrindinispaprastastekstas"/>
        <w:numPr>
          <w:ilvl w:val="0"/>
          <w:numId w:val="34"/>
        </w:numPr>
        <w:rPr>
          <w:lang w:val="en-GB" w:eastAsia="lt-LT"/>
        </w:rPr>
      </w:pPr>
      <w:proofErr w:type="gramStart"/>
      <w:r>
        <w:rPr>
          <w:lang w:val="en-GB" w:eastAsia="lt-LT"/>
        </w:rPr>
        <w:t>t</w:t>
      </w:r>
      <w:r w:rsidR="00E67A00" w:rsidRPr="00461EC7">
        <w:rPr>
          <w:lang w:val="en-GB" w:eastAsia="lt-LT"/>
        </w:rPr>
        <w:t>he</w:t>
      </w:r>
      <w:proofErr w:type="gramEnd"/>
      <w:r w:rsidR="00E67A00" w:rsidRPr="00461EC7">
        <w:rPr>
          <w:lang w:val="en-GB" w:eastAsia="lt-LT"/>
        </w:rPr>
        <w:t xml:space="preserve"> </w:t>
      </w:r>
      <w:r w:rsidR="00177445">
        <w:rPr>
          <w:lang w:val="en-GB" w:eastAsia="lt-LT"/>
        </w:rPr>
        <w:t>amount</w:t>
      </w:r>
      <w:r w:rsidR="006063C3" w:rsidRPr="00461EC7">
        <w:rPr>
          <w:lang w:val="en-GB" w:eastAsia="lt-LT"/>
        </w:rPr>
        <w:t xml:space="preserve"> of </w:t>
      </w:r>
      <w:r w:rsidR="00177445">
        <w:rPr>
          <w:lang w:val="en-GB" w:eastAsia="lt-LT"/>
        </w:rPr>
        <w:t>municipal</w:t>
      </w:r>
      <w:r w:rsidR="00177445" w:rsidRPr="00461EC7">
        <w:rPr>
          <w:lang w:val="en-GB" w:eastAsia="lt-LT"/>
        </w:rPr>
        <w:t xml:space="preserve"> </w:t>
      </w:r>
      <w:r w:rsidR="006063C3" w:rsidRPr="00461EC7">
        <w:rPr>
          <w:lang w:val="en-GB" w:eastAsia="lt-LT"/>
        </w:rPr>
        <w:t>biodegradable waste in landfills dropped t</w:t>
      </w:r>
      <w:r w:rsidR="00E67A00" w:rsidRPr="00461EC7">
        <w:rPr>
          <w:lang w:val="en-GB" w:eastAsia="lt-LT"/>
        </w:rPr>
        <w:t>o</w:t>
      </w:r>
      <w:r w:rsidR="006063C3" w:rsidRPr="00461EC7">
        <w:rPr>
          <w:lang w:val="en-GB" w:eastAsia="lt-LT"/>
        </w:rPr>
        <w:t xml:space="preserve"> 209</w:t>
      </w:r>
      <w:r w:rsidR="00E67A00" w:rsidRPr="00461EC7">
        <w:rPr>
          <w:lang w:val="en-GB" w:eastAsia="lt-LT"/>
        </w:rPr>
        <w:t>,000</w:t>
      </w:r>
      <w:r w:rsidR="007B3A22">
        <w:rPr>
          <w:lang w:val="en-GB" w:eastAsia="lt-LT"/>
        </w:rPr>
        <w:t> </w:t>
      </w:r>
      <w:r w:rsidR="006063C3" w:rsidRPr="00461EC7">
        <w:rPr>
          <w:lang w:val="en-GB" w:eastAsia="lt-LT"/>
        </w:rPr>
        <w:t xml:space="preserve">tonnes </w:t>
      </w:r>
      <w:r w:rsidR="00E67A00" w:rsidRPr="00461EC7">
        <w:rPr>
          <w:lang w:val="en-GB" w:eastAsia="lt-LT"/>
        </w:rPr>
        <w:t xml:space="preserve">in 2015 </w:t>
      </w:r>
      <w:r w:rsidR="006063C3" w:rsidRPr="00461EC7">
        <w:rPr>
          <w:lang w:val="en-GB" w:eastAsia="lt-LT"/>
        </w:rPr>
        <w:t>(</w:t>
      </w:r>
      <w:r w:rsidR="00177445">
        <w:rPr>
          <w:lang w:val="en-GB" w:eastAsia="lt-LT"/>
        </w:rPr>
        <w:t>compared to</w:t>
      </w:r>
      <w:r w:rsidR="006063C3" w:rsidRPr="00461EC7">
        <w:rPr>
          <w:lang w:val="en-GB" w:eastAsia="lt-LT"/>
        </w:rPr>
        <w:t xml:space="preserve"> 621</w:t>
      </w:r>
      <w:r w:rsidR="00E67A00" w:rsidRPr="00461EC7">
        <w:rPr>
          <w:lang w:val="en-GB" w:eastAsia="lt-LT"/>
        </w:rPr>
        <w:t>,000</w:t>
      </w:r>
      <w:r w:rsidR="007B3A22">
        <w:rPr>
          <w:lang w:val="en-GB" w:eastAsia="lt-LT"/>
        </w:rPr>
        <w:t> </w:t>
      </w:r>
      <w:r w:rsidR="006063C3" w:rsidRPr="00461EC7">
        <w:rPr>
          <w:lang w:val="en-GB" w:eastAsia="lt-LT"/>
        </w:rPr>
        <w:t xml:space="preserve">tonnes </w:t>
      </w:r>
      <w:r w:rsidR="00177445" w:rsidRPr="00461EC7">
        <w:rPr>
          <w:lang w:val="en-GB" w:eastAsia="lt-LT"/>
        </w:rPr>
        <w:t>in 2010</w:t>
      </w:r>
      <w:r w:rsidR="006063C3" w:rsidRPr="00461EC7">
        <w:rPr>
          <w:lang w:val="en-GB" w:eastAsia="lt-LT"/>
        </w:rPr>
        <w:t xml:space="preserve">). The aim of </w:t>
      </w:r>
      <w:r w:rsidR="00E67A00" w:rsidRPr="00461EC7">
        <w:rPr>
          <w:lang w:val="en-GB" w:eastAsia="lt-LT"/>
        </w:rPr>
        <w:t xml:space="preserve">the </w:t>
      </w:r>
      <w:r w:rsidR="006063C3" w:rsidRPr="00461EC7">
        <w:rPr>
          <w:lang w:val="en-GB" w:eastAsia="lt-LT"/>
        </w:rPr>
        <w:t>OPPC (287</w:t>
      </w:r>
      <w:r w:rsidR="00E67A00" w:rsidRPr="00461EC7">
        <w:rPr>
          <w:lang w:val="en-GB" w:eastAsia="lt-LT"/>
        </w:rPr>
        <w:t>,000</w:t>
      </w:r>
      <w:r w:rsidR="007B3A22">
        <w:rPr>
          <w:lang w:val="en-GB" w:eastAsia="lt-LT"/>
        </w:rPr>
        <w:t> </w:t>
      </w:r>
      <w:r w:rsidR="006063C3" w:rsidRPr="00461EC7">
        <w:rPr>
          <w:lang w:val="en-GB" w:eastAsia="lt-LT"/>
        </w:rPr>
        <w:t>tonnes) was already achieved in 2014.</w:t>
      </w:r>
    </w:p>
    <w:p w:rsidR="007D4AAD" w:rsidRPr="00461EC7" w:rsidRDefault="007D4AAD">
      <w:pPr>
        <w:rPr>
          <w:rFonts w:asciiTheme="majorHAnsi" w:eastAsia="Times New Roman" w:hAnsiTheme="majorHAnsi"/>
          <w:sz w:val="22"/>
          <w:lang w:val="en-GB" w:eastAsia="lt-LT"/>
        </w:rPr>
      </w:pPr>
      <w:r w:rsidRPr="00461EC7">
        <w:rPr>
          <w:lang w:val="en-GB" w:eastAsia="lt-LT"/>
        </w:rPr>
        <w:br w:type="page"/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21E5D" w:rsidRPr="00461EC7" w:rsidTr="006C7204">
        <w:tc>
          <w:tcPr>
            <w:tcW w:w="9628" w:type="dxa"/>
            <w:shd w:val="clear" w:color="auto" w:fill="DBE5F1" w:themeFill="accent1" w:themeFillTint="33"/>
          </w:tcPr>
          <w:p w:rsidR="00021E5D" w:rsidRPr="00461EC7" w:rsidRDefault="001D5AA2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sz w:val="18"/>
                <w:szCs w:val="18"/>
                <w:lang w:val="en-GB"/>
              </w:rPr>
            </w:pPr>
            <w:r w:rsidRPr="00461EC7">
              <w:rPr>
                <w:b/>
                <w:i/>
                <w:noProof/>
                <w:color w:val="1F497D" w:themeColor="text2"/>
                <w:sz w:val="18"/>
                <w:szCs w:val="18"/>
              </w:rPr>
              <w:lastRenderedPageBreak/>
              <w:drawing>
                <wp:anchor distT="0" distB="0" distL="114300" distR="114300" simplePos="0" relativeHeight="251696128" behindDoc="0" locked="0" layoutInCell="1" allowOverlap="1" wp14:anchorId="2DD3985A" wp14:editId="29888A44">
                  <wp:simplePos x="0" y="0"/>
                  <wp:positionH relativeFrom="column">
                    <wp:posOffset>4423302</wp:posOffset>
                  </wp:positionH>
                  <wp:positionV relativeFrom="paragraph">
                    <wp:posOffset>97817</wp:posOffset>
                  </wp:positionV>
                  <wp:extent cx="1579880" cy="1184275"/>
                  <wp:effectExtent l="0" t="0" r="39370" b="34925"/>
                  <wp:wrapSquare wrapText="bothSides"/>
                  <wp:docPr id="512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chemeClr val="bg2"/>
                            </a:outerShdw>
                            <a:softEdge rad="127000"/>
                          </a:effectLst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E67A00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“</w:t>
            </w:r>
            <w:r w:rsidR="00B23724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Building sludge treatment facilities in </w:t>
            </w:r>
            <w:proofErr w:type="spellStart"/>
            <w:r w:rsidR="00B23724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Šiauliai</w:t>
            </w:r>
            <w:proofErr w:type="spellEnd"/>
            <w:r w:rsidR="00E67A00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”</w:t>
            </w:r>
          </w:p>
          <w:p w:rsidR="00021E5D" w:rsidRPr="00461EC7" w:rsidRDefault="00B23724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>Project implementer</w:t>
            </w:r>
            <w:r w:rsidR="00E67A00" w:rsidRPr="00461EC7">
              <w:rPr>
                <w:i/>
                <w:sz w:val="18"/>
                <w:szCs w:val="18"/>
                <w:lang w:val="en-GB"/>
              </w:rPr>
              <w:t>:</w:t>
            </w:r>
            <w:r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="001D5AA2" w:rsidRPr="00461EC7">
              <w:rPr>
                <w:i/>
                <w:sz w:val="18"/>
                <w:szCs w:val="18"/>
                <w:lang w:val="en-GB"/>
              </w:rPr>
              <w:t>Šiaulių</w:t>
            </w:r>
            <w:proofErr w:type="spellEnd"/>
            <w:r w:rsidR="001D5AA2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="001D5AA2" w:rsidRPr="00461EC7">
              <w:rPr>
                <w:i/>
                <w:sz w:val="18"/>
                <w:szCs w:val="18"/>
                <w:lang w:val="en-GB"/>
              </w:rPr>
              <w:t>vandenys</w:t>
            </w:r>
            <w:proofErr w:type="spellEnd"/>
          </w:p>
          <w:p w:rsidR="00021E5D" w:rsidRPr="00461EC7" w:rsidRDefault="00B23724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 xml:space="preserve">EU </w:t>
            </w:r>
            <w:r w:rsidR="00AD64FC" w:rsidRPr="00461EC7">
              <w:rPr>
                <w:i/>
                <w:sz w:val="18"/>
                <w:szCs w:val="18"/>
                <w:lang w:val="en-GB"/>
              </w:rPr>
              <w:t>contribution:</w:t>
            </w:r>
            <w:r w:rsidR="00021E5D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="00AD64FC" w:rsidRPr="00461EC7">
              <w:rPr>
                <w:i/>
                <w:sz w:val="18"/>
                <w:szCs w:val="18"/>
                <w:lang w:val="en-GB"/>
              </w:rPr>
              <w:t>EUR </w:t>
            </w:r>
            <w:r w:rsidR="001D5AA2" w:rsidRPr="00461EC7">
              <w:rPr>
                <w:i/>
                <w:sz w:val="18"/>
                <w:szCs w:val="18"/>
                <w:lang w:val="en-GB"/>
              </w:rPr>
              <w:t>16</w:t>
            </w:r>
            <w:r w:rsidR="00E67A00" w:rsidRPr="00461EC7">
              <w:rPr>
                <w:i/>
                <w:sz w:val="18"/>
                <w:szCs w:val="18"/>
                <w:lang w:val="en-GB"/>
              </w:rPr>
              <w:t>.</w:t>
            </w:r>
            <w:r w:rsidR="001D5AA2" w:rsidRPr="00461EC7">
              <w:rPr>
                <w:i/>
                <w:sz w:val="18"/>
                <w:szCs w:val="18"/>
                <w:lang w:val="en-GB"/>
              </w:rPr>
              <w:t>055</w:t>
            </w:r>
            <w:r w:rsidR="00E67A00" w:rsidRPr="00461EC7">
              <w:rPr>
                <w:i/>
                <w:sz w:val="18"/>
                <w:szCs w:val="18"/>
                <w:lang w:val="en-GB"/>
              </w:rPr>
              <w:t> million</w:t>
            </w:r>
          </w:p>
          <w:p w:rsidR="00021E5D" w:rsidRPr="00461EC7" w:rsidRDefault="001E2680" w:rsidP="00177445">
            <w:pPr>
              <w:pStyle w:val="Pagrindinispaprastastekstas"/>
              <w:shd w:val="clear" w:color="auto" w:fill="DBE5F1" w:themeFill="accent1" w:themeFillTint="33"/>
              <w:rPr>
                <w:sz w:val="18"/>
                <w:szCs w:val="18"/>
                <w:lang w:val="en-GB"/>
              </w:rPr>
            </w:pPr>
            <w:r w:rsidRPr="00461EC7">
              <w:rPr>
                <w:sz w:val="18"/>
                <w:szCs w:val="18"/>
                <w:lang w:val="en-GB"/>
              </w:rPr>
              <w:t xml:space="preserve">Sludge </w:t>
            </w:r>
            <w:r w:rsidR="00565AAB" w:rsidRPr="00461EC7">
              <w:rPr>
                <w:sz w:val="18"/>
                <w:szCs w:val="18"/>
                <w:lang w:val="en-GB"/>
              </w:rPr>
              <w:t xml:space="preserve">treatment </w:t>
            </w:r>
            <w:r w:rsidRPr="00461EC7">
              <w:rPr>
                <w:sz w:val="18"/>
                <w:szCs w:val="18"/>
                <w:lang w:val="en-GB"/>
              </w:rPr>
              <w:t xml:space="preserve">equipment was installed in wastewater treatment facilities in </w:t>
            </w:r>
            <w:proofErr w:type="spellStart"/>
            <w:r w:rsidRPr="00461EC7">
              <w:rPr>
                <w:sz w:val="18"/>
                <w:szCs w:val="18"/>
                <w:lang w:val="en-GB"/>
              </w:rPr>
              <w:t>Šiauliai</w:t>
            </w:r>
            <w:proofErr w:type="spellEnd"/>
            <w:r w:rsidRPr="00461EC7">
              <w:rPr>
                <w:sz w:val="18"/>
                <w:szCs w:val="18"/>
                <w:lang w:val="en-GB"/>
              </w:rPr>
              <w:t xml:space="preserve">. </w:t>
            </w:r>
            <w:r w:rsidR="00177445">
              <w:rPr>
                <w:sz w:val="18"/>
                <w:szCs w:val="18"/>
                <w:lang w:val="en-GB"/>
              </w:rPr>
              <w:t xml:space="preserve">It created </w:t>
            </w:r>
            <w:r w:rsidRPr="00461EC7">
              <w:rPr>
                <w:sz w:val="18"/>
                <w:szCs w:val="18"/>
                <w:lang w:val="en-GB"/>
              </w:rPr>
              <w:t xml:space="preserve">additional </w:t>
            </w:r>
            <w:r w:rsidR="00565AAB" w:rsidRPr="00461EC7">
              <w:rPr>
                <w:sz w:val="18"/>
                <w:szCs w:val="18"/>
                <w:lang w:val="en-GB"/>
              </w:rPr>
              <w:t xml:space="preserve">sludge treatment </w:t>
            </w:r>
            <w:r w:rsidRPr="00461EC7">
              <w:rPr>
                <w:sz w:val="18"/>
                <w:szCs w:val="18"/>
                <w:lang w:val="en-GB"/>
              </w:rPr>
              <w:t xml:space="preserve">capacity in wastewater treatment </w:t>
            </w:r>
            <w:r w:rsidR="00DA224F" w:rsidRPr="00461EC7">
              <w:rPr>
                <w:sz w:val="18"/>
                <w:szCs w:val="18"/>
                <w:lang w:val="en-GB"/>
              </w:rPr>
              <w:t>facilities</w:t>
            </w:r>
            <w:r w:rsidRPr="00461EC7">
              <w:rPr>
                <w:sz w:val="18"/>
                <w:szCs w:val="18"/>
                <w:lang w:val="en-GB"/>
              </w:rPr>
              <w:t xml:space="preserve"> in </w:t>
            </w:r>
            <w:proofErr w:type="spellStart"/>
            <w:r w:rsidRPr="00461EC7">
              <w:rPr>
                <w:sz w:val="18"/>
                <w:szCs w:val="18"/>
                <w:lang w:val="en-GB"/>
              </w:rPr>
              <w:t>Šiauliai</w:t>
            </w:r>
            <w:proofErr w:type="spellEnd"/>
            <w:r w:rsidRPr="00461EC7">
              <w:rPr>
                <w:sz w:val="18"/>
                <w:szCs w:val="18"/>
                <w:lang w:val="en-GB"/>
              </w:rPr>
              <w:t xml:space="preserve"> </w:t>
            </w:r>
            <w:r w:rsidR="00063C5D" w:rsidRPr="00461EC7">
              <w:rPr>
                <w:sz w:val="18"/>
                <w:szCs w:val="18"/>
                <w:lang w:val="en-GB"/>
              </w:rPr>
              <w:t>and</w:t>
            </w:r>
            <w:r w:rsidRPr="00461EC7">
              <w:rPr>
                <w:sz w:val="18"/>
                <w:szCs w:val="18"/>
                <w:lang w:val="en-GB"/>
              </w:rPr>
              <w:t xml:space="preserve"> other nearby facilities (in </w:t>
            </w:r>
            <w:proofErr w:type="spellStart"/>
            <w:r w:rsidRPr="00461EC7">
              <w:rPr>
                <w:sz w:val="18"/>
                <w:szCs w:val="18"/>
                <w:lang w:val="en-GB"/>
              </w:rPr>
              <w:t>Joniškis</w:t>
            </w:r>
            <w:proofErr w:type="spellEnd"/>
            <w:r w:rsidRPr="00461EC7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461EC7">
              <w:rPr>
                <w:sz w:val="18"/>
                <w:szCs w:val="18"/>
                <w:lang w:val="en-GB"/>
              </w:rPr>
              <w:t>Baisogala</w:t>
            </w:r>
            <w:proofErr w:type="spellEnd"/>
            <w:r w:rsidRPr="00461EC7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461EC7">
              <w:rPr>
                <w:sz w:val="18"/>
                <w:szCs w:val="18"/>
                <w:lang w:val="en-GB"/>
              </w:rPr>
              <w:t>Šeduva</w:t>
            </w:r>
            <w:proofErr w:type="spellEnd"/>
            <w:r w:rsidRPr="00461EC7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461EC7">
              <w:rPr>
                <w:sz w:val="18"/>
                <w:szCs w:val="18"/>
                <w:lang w:val="en-GB"/>
              </w:rPr>
              <w:t>Kuršėnai</w:t>
            </w:r>
            <w:proofErr w:type="spellEnd"/>
            <w:r w:rsidRPr="00461EC7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461EC7">
              <w:rPr>
                <w:sz w:val="18"/>
                <w:szCs w:val="18"/>
                <w:lang w:val="en-GB"/>
              </w:rPr>
              <w:t>Linkuva</w:t>
            </w:r>
            <w:proofErr w:type="spellEnd"/>
            <w:r w:rsidRPr="00461EC7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461EC7">
              <w:rPr>
                <w:sz w:val="18"/>
                <w:szCs w:val="18"/>
                <w:lang w:val="en-GB"/>
              </w:rPr>
              <w:t>Pakruojis</w:t>
            </w:r>
            <w:proofErr w:type="spellEnd"/>
            <w:r w:rsidRPr="00461EC7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proofErr w:type="gramStart"/>
            <w:r w:rsidRPr="00461EC7">
              <w:rPr>
                <w:sz w:val="18"/>
                <w:szCs w:val="18"/>
                <w:lang w:val="en-GB"/>
              </w:rPr>
              <w:t>Radviliškis</w:t>
            </w:r>
            <w:proofErr w:type="spellEnd"/>
            <w:proofErr w:type="gramEnd"/>
            <w:r w:rsidRPr="00461EC7">
              <w:rPr>
                <w:sz w:val="18"/>
                <w:szCs w:val="18"/>
                <w:lang w:val="en-GB"/>
              </w:rPr>
              <w:t xml:space="preserve">). </w:t>
            </w:r>
            <w:r w:rsidR="00565AAB" w:rsidRPr="00461EC7">
              <w:rPr>
                <w:sz w:val="18"/>
                <w:szCs w:val="18"/>
                <w:lang w:val="en-GB"/>
              </w:rPr>
              <w:t xml:space="preserve">Every year the new equipment will be used to treat </w:t>
            </w:r>
            <w:r w:rsidR="00063C5D" w:rsidRPr="00461EC7">
              <w:rPr>
                <w:sz w:val="18"/>
                <w:szCs w:val="18"/>
                <w:lang w:val="en-GB"/>
              </w:rPr>
              <w:t>5</w:t>
            </w:r>
            <w:r w:rsidR="00565AAB" w:rsidRPr="00461EC7">
              <w:rPr>
                <w:sz w:val="18"/>
                <w:szCs w:val="18"/>
                <w:lang w:val="en-GB"/>
              </w:rPr>
              <w:t>,</w:t>
            </w:r>
            <w:r w:rsidR="00063C5D" w:rsidRPr="00461EC7">
              <w:rPr>
                <w:sz w:val="18"/>
                <w:szCs w:val="18"/>
                <w:lang w:val="en-GB"/>
              </w:rPr>
              <w:t>900</w:t>
            </w:r>
            <w:r w:rsidR="00565AAB" w:rsidRPr="00461EC7">
              <w:rPr>
                <w:sz w:val="18"/>
                <w:szCs w:val="18"/>
                <w:lang w:val="en-GB"/>
              </w:rPr>
              <w:t> </w:t>
            </w:r>
            <w:r w:rsidR="00063C5D" w:rsidRPr="00461EC7">
              <w:rPr>
                <w:sz w:val="18"/>
                <w:szCs w:val="18"/>
                <w:lang w:val="en-GB"/>
              </w:rPr>
              <w:t xml:space="preserve">tonnes of sludge (measuring the weight of dried substances). The sludge </w:t>
            </w:r>
            <w:r w:rsidR="00565AAB" w:rsidRPr="00461EC7">
              <w:rPr>
                <w:sz w:val="18"/>
                <w:szCs w:val="18"/>
                <w:lang w:val="en-GB"/>
              </w:rPr>
              <w:t xml:space="preserve">treatment </w:t>
            </w:r>
            <w:r w:rsidR="00177445">
              <w:rPr>
                <w:sz w:val="18"/>
                <w:szCs w:val="18"/>
                <w:lang w:val="en-GB"/>
              </w:rPr>
              <w:t>technology</w:t>
            </w:r>
            <w:r w:rsidR="00177445" w:rsidRPr="00461EC7">
              <w:rPr>
                <w:sz w:val="18"/>
                <w:szCs w:val="18"/>
                <w:lang w:val="en-GB"/>
              </w:rPr>
              <w:t xml:space="preserve"> </w:t>
            </w:r>
            <w:r w:rsidR="003F37D5" w:rsidRPr="00461EC7">
              <w:rPr>
                <w:sz w:val="18"/>
                <w:szCs w:val="18"/>
                <w:lang w:val="en-GB"/>
              </w:rPr>
              <w:t>consists</w:t>
            </w:r>
            <w:r w:rsidR="00063C5D" w:rsidRPr="00461EC7">
              <w:rPr>
                <w:sz w:val="18"/>
                <w:szCs w:val="18"/>
                <w:lang w:val="en-GB"/>
              </w:rPr>
              <w:t xml:space="preserve"> of: </w:t>
            </w:r>
            <w:r w:rsidR="00565AAB" w:rsidRPr="00461EC7">
              <w:rPr>
                <w:sz w:val="18"/>
                <w:szCs w:val="18"/>
                <w:lang w:val="en-GB"/>
              </w:rPr>
              <w:t>(</w:t>
            </w:r>
            <w:r w:rsidR="00063C5D" w:rsidRPr="00461EC7">
              <w:rPr>
                <w:sz w:val="18"/>
                <w:szCs w:val="18"/>
                <w:lang w:val="en-GB"/>
              </w:rPr>
              <w:t xml:space="preserve">1) </w:t>
            </w:r>
            <w:r w:rsidR="00565AAB" w:rsidRPr="00461EC7">
              <w:rPr>
                <w:sz w:val="18"/>
                <w:szCs w:val="18"/>
                <w:lang w:val="en-GB"/>
              </w:rPr>
              <w:t>s</w:t>
            </w:r>
            <w:r w:rsidR="00063C5D" w:rsidRPr="00461EC7">
              <w:rPr>
                <w:sz w:val="18"/>
                <w:szCs w:val="18"/>
                <w:lang w:val="en-GB"/>
              </w:rPr>
              <w:t xml:space="preserve">ludge digestion </w:t>
            </w:r>
            <w:r w:rsidR="00177445">
              <w:rPr>
                <w:sz w:val="18"/>
                <w:szCs w:val="18"/>
                <w:lang w:val="en-GB"/>
              </w:rPr>
              <w:t xml:space="preserve">which </w:t>
            </w:r>
            <w:r w:rsidR="00565AAB" w:rsidRPr="00461EC7">
              <w:rPr>
                <w:sz w:val="18"/>
                <w:szCs w:val="18"/>
                <w:lang w:val="en-GB"/>
              </w:rPr>
              <w:t>requires</w:t>
            </w:r>
            <w:r w:rsidR="00063C5D" w:rsidRPr="00461EC7">
              <w:rPr>
                <w:sz w:val="18"/>
                <w:szCs w:val="18"/>
                <w:lang w:val="en-GB"/>
              </w:rPr>
              <w:t xml:space="preserve"> two </w:t>
            </w:r>
            <w:r w:rsidR="001A4CF6" w:rsidRPr="00461EC7">
              <w:rPr>
                <w:sz w:val="18"/>
                <w:szCs w:val="18"/>
                <w:lang w:val="en-GB"/>
              </w:rPr>
              <w:t>digesters</w:t>
            </w:r>
            <w:r w:rsidR="00063C5D" w:rsidRPr="00461EC7">
              <w:rPr>
                <w:sz w:val="18"/>
                <w:szCs w:val="18"/>
                <w:lang w:val="en-GB"/>
              </w:rPr>
              <w:t xml:space="preserve"> (each with </w:t>
            </w:r>
            <w:r w:rsidR="00565AAB" w:rsidRPr="00461EC7">
              <w:rPr>
                <w:sz w:val="18"/>
                <w:szCs w:val="18"/>
                <w:lang w:val="en-GB"/>
              </w:rPr>
              <w:t xml:space="preserve">a </w:t>
            </w:r>
            <w:r w:rsidR="00063C5D" w:rsidRPr="00461EC7">
              <w:rPr>
                <w:sz w:val="18"/>
                <w:szCs w:val="18"/>
                <w:lang w:val="en-GB"/>
              </w:rPr>
              <w:t>3</w:t>
            </w:r>
            <w:r w:rsidR="00565AAB" w:rsidRPr="00461EC7">
              <w:rPr>
                <w:sz w:val="18"/>
                <w:szCs w:val="18"/>
                <w:lang w:val="en-GB"/>
              </w:rPr>
              <w:t>,</w:t>
            </w:r>
            <w:r w:rsidR="00063C5D" w:rsidRPr="00461EC7">
              <w:rPr>
                <w:sz w:val="18"/>
                <w:szCs w:val="18"/>
                <w:lang w:val="en-GB"/>
              </w:rPr>
              <w:t>650</w:t>
            </w:r>
            <w:r w:rsidR="00565AAB" w:rsidRPr="00461EC7">
              <w:rPr>
                <w:sz w:val="18"/>
                <w:szCs w:val="18"/>
                <w:lang w:val="en-GB"/>
              </w:rPr>
              <w:t> </w:t>
            </w:r>
            <w:r w:rsidR="00063C5D" w:rsidRPr="00461EC7">
              <w:rPr>
                <w:sz w:val="18"/>
                <w:szCs w:val="18"/>
                <w:lang w:val="en-GB"/>
              </w:rPr>
              <w:t>m</w:t>
            </w:r>
            <w:r w:rsidR="00063C5D" w:rsidRPr="00461EC7">
              <w:rPr>
                <w:sz w:val="18"/>
                <w:szCs w:val="18"/>
                <w:vertAlign w:val="superscript"/>
                <w:lang w:val="en-GB"/>
              </w:rPr>
              <w:t xml:space="preserve">3 </w:t>
            </w:r>
            <w:r w:rsidR="00063C5D" w:rsidRPr="00461EC7">
              <w:rPr>
                <w:sz w:val="18"/>
                <w:szCs w:val="18"/>
                <w:lang w:val="en-GB"/>
              </w:rPr>
              <w:t>tank)</w:t>
            </w:r>
            <w:r w:rsidR="001A4CF6" w:rsidRPr="00461EC7">
              <w:rPr>
                <w:sz w:val="18"/>
                <w:szCs w:val="18"/>
                <w:lang w:val="en-GB"/>
              </w:rPr>
              <w:t xml:space="preserve">, </w:t>
            </w:r>
            <w:r w:rsidR="00565AAB" w:rsidRPr="00461EC7">
              <w:rPr>
                <w:sz w:val="18"/>
                <w:szCs w:val="18"/>
                <w:lang w:val="en-GB"/>
              </w:rPr>
              <w:t>where</w:t>
            </w:r>
            <w:r w:rsidR="003F37D5" w:rsidRPr="00461EC7">
              <w:rPr>
                <w:sz w:val="18"/>
                <w:szCs w:val="18"/>
                <w:lang w:val="en-GB"/>
              </w:rPr>
              <w:t xml:space="preserve"> organic</w:t>
            </w:r>
            <w:r w:rsidR="001A4CF6" w:rsidRPr="00461EC7">
              <w:rPr>
                <w:sz w:val="18"/>
                <w:szCs w:val="18"/>
                <w:lang w:val="en-GB"/>
              </w:rPr>
              <w:t xml:space="preserve"> </w:t>
            </w:r>
            <w:r w:rsidR="003F37D5" w:rsidRPr="00461EC7">
              <w:rPr>
                <w:sz w:val="18"/>
                <w:szCs w:val="18"/>
                <w:lang w:val="en-GB"/>
              </w:rPr>
              <w:t>substances</w:t>
            </w:r>
            <w:r w:rsidR="00DA224F" w:rsidRPr="00461EC7">
              <w:rPr>
                <w:sz w:val="18"/>
                <w:szCs w:val="18"/>
                <w:lang w:val="en-GB"/>
              </w:rPr>
              <w:t xml:space="preserve"> of</w:t>
            </w:r>
            <w:r w:rsidR="003F37D5" w:rsidRPr="00461EC7">
              <w:rPr>
                <w:sz w:val="18"/>
                <w:szCs w:val="18"/>
                <w:lang w:val="en-GB"/>
              </w:rPr>
              <w:t xml:space="preserve"> sludge are decomposed in anaerobic conditions and biogas is produced (around 4</w:t>
            </w:r>
            <w:r w:rsidR="00565AAB" w:rsidRPr="00461EC7">
              <w:rPr>
                <w:sz w:val="18"/>
                <w:szCs w:val="18"/>
                <w:lang w:val="en-GB"/>
              </w:rPr>
              <w:t>,</w:t>
            </w:r>
            <w:r w:rsidR="003F37D5" w:rsidRPr="00461EC7">
              <w:rPr>
                <w:sz w:val="18"/>
                <w:szCs w:val="18"/>
                <w:lang w:val="en-GB"/>
              </w:rPr>
              <w:t>929</w:t>
            </w:r>
            <w:r w:rsidR="00565AAB" w:rsidRPr="00461EC7">
              <w:rPr>
                <w:sz w:val="18"/>
                <w:szCs w:val="18"/>
                <w:lang w:val="en-GB"/>
              </w:rPr>
              <w:t> </w:t>
            </w:r>
            <w:r w:rsidR="003F37D5" w:rsidRPr="00461EC7">
              <w:rPr>
                <w:sz w:val="18"/>
                <w:szCs w:val="18"/>
                <w:lang w:val="en-GB"/>
              </w:rPr>
              <w:t>m</w:t>
            </w:r>
            <w:r w:rsidR="003F37D5" w:rsidRPr="00461EC7">
              <w:rPr>
                <w:sz w:val="18"/>
                <w:szCs w:val="18"/>
                <w:vertAlign w:val="superscript"/>
                <w:lang w:val="en-GB"/>
              </w:rPr>
              <w:t>3</w:t>
            </w:r>
            <w:r w:rsidR="003F37D5" w:rsidRPr="00461EC7">
              <w:rPr>
                <w:sz w:val="18"/>
                <w:szCs w:val="18"/>
                <w:lang w:val="en-GB"/>
              </w:rPr>
              <w:t xml:space="preserve"> </w:t>
            </w:r>
            <w:r w:rsidR="00565AAB" w:rsidRPr="00461EC7">
              <w:rPr>
                <w:sz w:val="18"/>
                <w:szCs w:val="18"/>
                <w:lang w:val="en-GB"/>
              </w:rPr>
              <w:t xml:space="preserve">of </w:t>
            </w:r>
            <w:r w:rsidR="003F37D5" w:rsidRPr="00461EC7">
              <w:rPr>
                <w:sz w:val="18"/>
                <w:szCs w:val="18"/>
                <w:lang w:val="en-GB"/>
              </w:rPr>
              <w:t xml:space="preserve">biogas per day, which </w:t>
            </w:r>
            <w:r w:rsidR="00565AAB" w:rsidRPr="00461EC7">
              <w:rPr>
                <w:sz w:val="18"/>
                <w:szCs w:val="18"/>
                <w:lang w:val="en-GB"/>
              </w:rPr>
              <w:t>is</w:t>
            </w:r>
            <w:r w:rsidR="003F37D5" w:rsidRPr="00461EC7">
              <w:rPr>
                <w:sz w:val="18"/>
                <w:szCs w:val="18"/>
                <w:lang w:val="en-GB"/>
              </w:rPr>
              <w:t xml:space="preserve"> collected in the biogas tank); </w:t>
            </w:r>
            <w:r w:rsidR="00565AAB" w:rsidRPr="00461EC7">
              <w:rPr>
                <w:sz w:val="18"/>
                <w:szCs w:val="18"/>
                <w:lang w:val="en-GB"/>
              </w:rPr>
              <w:t>(</w:t>
            </w:r>
            <w:r w:rsidR="003F37D5" w:rsidRPr="00461EC7">
              <w:rPr>
                <w:sz w:val="18"/>
                <w:szCs w:val="18"/>
                <w:lang w:val="en-GB"/>
              </w:rPr>
              <w:t xml:space="preserve">2) </w:t>
            </w:r>
            <w:r w:rsidR="00565AAB" w:rsidRPr="00461EC7">
              <w:rPr>
                <w:sz w:val="18"/>
                <w:szCs w:val="18"/>
                <w:lang w:val="en-GB"/>
              </w:rPr>
              <w:t>t</w:t>
            </w:r>
            <w:r w:rsidR="003F37D5" w:rsidRPr="00461EC7">
              <w:rPr>
                <w:sz w:val="18"/>
                <w:szCs w:val="18"/>
                <w:lang w:val="en-GB"/>
              </w:rPr>
              <w:t>he dehumidification of digested sludge</w:t>
            </w:r>
            <w:r w:rsidR="00177445">
              <w:rPr>
                <w:sz w:val="18"/>
                <w:szCs w:val="18"/>
                <w:lang w:val="en-GB"/>
              </w:rPr>
              <w:t>.</w:t>
            </w:r>
            <w:r w:rsidR="003F37D5" w:rsidRPr="00461EC7">
              <w:rPr>
                <w:sz w:val="18"/>
                <w:szCs w:val="18"/>
                <w:lang w:val="en-GB"/>
              </w:rPr>
              <w:t xml:space="preserve"> </w:t>
            </w:r>
            <w:r w:rsidR="00177445">
              <w:rPr>
                <w:sz w:val="18"/>
                <w:szCs w:val="18"/>
                <w:lang w:val="en-GB"/>
              </w:rPr>
              <w:t>T</w:t>
            </w:r>
            <w:r w:rsidR="00A72F5E" w:rsidRPr="00461EC7">
              <w:rPr>
                <w:sz w:val="18"/>
                <w:szCs w:val="18"/>
                <w:lang w:val="en-GB"/>
              </w:rPr>
              <w:t>wo centrifuges were installed</w:t>
            </w:r>
            <w:r w:rsidR="00177445">
              <w:rPr>
                <w:sz w:val="18"/>
                <w:szCs w:val="18"/>
                <w:lang w:val="en-GB"/>
              </w:rPr>
              <w:t xml:space="preserve"> t</w:t>
            </w:r>
            <w:r w:rsidR="00177445" w:rsidRPr="00461EC7">
              <w:rPr>
                <w:sz w:val="18"/>
                <w:szCs w:val="18"/>
                <w:lang w:val="en-GB"/>
              </w:rPr>
              <w:t>o dehumidify sludge</w:t>
            </w:r>
            <w:r w:rsidR="00565AAB" w:rsidRPr="00461EC7">
              <w:rPr>
                <w:sz w:val="18"/>
                <w:szCs w:val="18"/>
                <w:lang w:val="en-GB"/>
              </w:rPr>
              <w:t>. They</w:t>
            </w:r>
            <w:r w:rsidR="00A72F5E" w:rsidRPr="00461EC7">
              <w:rPr>
                <w:sz w:val="18"/>
                <w:szCs w:val="18"/>
                <w:lang w:val="en-GB"/>
              </w:rPr>
              <w:t xml:space="preserve"> </w:t>
            </w:r>
            <w:r w:rsidR="00565AAB" w:rsidRPr="00461EC7">
              <w:rPr>
                <w:sz w:val="18"/>
                <w:szCs w:val="18"/>
                <w:lang w:val="en-GB"/>
              </w:rPr>
              <w:t>dehumidify</w:t>
            </w:r>
            <w:r w:rsidR="00A72F5E" w:rsidRPr="00461EC7">
              <w:rPr>
                <w:sz w:val="18"/>
                <w:szCs w:val="18"/>
                <w:lang w:val="en-GB"/>
              </w:rPr>
              <w:t xml:space="preserve"> digested sludge </w:t>
            </w:r>
            <w:r w:rsidR="00565AAB" w:rsidRPr="00461EC7">
              <w:rPr>
                <w:sz w:val="18"/>
                <w:szCs w:val="18"/>
                <w:lang w:val="en-GB"/>
              </w:rPr>
              <w:t xml:space="preserve">up </w:t>
            </w:r>
            <w:r w:rsidR="00A72F5E" w:rsidRPr="00461EC7">
              <w:rPr>
                <w:sz w:val="18"/>
                <w:szCs w:val="18"/>
                <w:lang w:val="en-GB"/>
              </w:rPr>
              <w:t>to 30%</w:t>
            </w:r>
            <w:r w:rsidR="004D1E35" w:rsidRPr="00461EC7">
              <w:rPr>
                <w:sz w:val="18"/>
                <w:szCs w:val="18"/>
                <w:lang w:val="en-GB"/>
              </w:rPr>
              <w:t xml:space="preserve">; </w:t>
            </w:r>
            <w:r w:rsidR="00565AAB" w:rsidRPr="00461EC7">
              <w:rPr>
                <w:sz w:val="18"/>
                <w:szCs w:val="18"/>
                <w:lang w:val="en-GB"/>
              </w:rPr>
              <w:t>(</w:t>
            </w:r>
            <w:r w:rsidR="00C70E12" w:rsidRPr="00461EC7">
              <w:rPr>
                <w:sz w:val="18"/>
                <w:szCs w:val="18"/>
                <w:lang w:val="en-GB"/>
              </w:rPr>
              <w:t xml:space="preserve">3) </w:t>
            </w:r>
            <w:r w:rsidR="00565AAB" w:rsidRPr="00461EC7">
              <w:rPr>
                <w:sz w:val="18"/>
                <w:szCs w:val="18"/>
                <w:lang w:val="en-GB"/>
              </w:rPr>
              <w:t>s</w:t>
            </w:r>
            <w:r w:rsidR="00C70E12" w:rsidRPr="00461EC7">
              <w:rPr>
                <w:sz w:val="18"/>
                <w:szCs w:val="18"/>
                <w:lang w:val="en-GB"/>
              </w:rPr>
              <w:t>ludge drying</w:t>
            </w:r>
            <w:r w:rsidR="00177445">
              <w:rPr>
                <w:sz w:val="18"/>
                <w:szCs w:val="18"/>
                <w:lang w:val="en-GB"/>
              </w:rPr>
              <w:t>.</w:t>
            </w:r>
            <w:r w:rsidR="00C70E12" w:rsidRPr="00461EC7">
              <w:rPr>
                <w:sz w:val="18"/>
                <w:szCs w:val="18"/>
                <w:lang w:val="en-GB"/>
              </w:rPr>
              <w:t xml:space="preserve"> </w:t>
            </w:r>
            <w:r w:rsidR="00177445">
              <w:rPr>
                <w:sz w:val="18"/>
                <w:szCs w:val="18"/>
                <w:lang w:val="en-GB"/>
              </w:rPr>
              <w:t>A</w:t>
            </w:r>
            <w:r w:rsidR="00C70E12" w:rsidRPr="00461EC7">
              <w:rPr>
                <w:sz w:val="18"/>
                <w:szCs w:val="18"/>
                <w:lang w:val="en-GB"/>
              </w:rPr>
              <w:t xml:space="preserve"> conveyor belt type dryer w</w:t>
            </w:r>
            <w:r w:rsidR="00565AAB" w:rsidRPr="00461EC7">
              <w:rPr>
                <w:sz w:val="18"/>
                <w:szCs w:val="18"/>
                <w:lang w:val="en-GB"/>
              </w:rPr>
              <w:t>as</w:t>
            </w:r>
            <w:r w:rsidR="00C70E12" w:rsidRPr="00461EC7">
              <w:rPr>
                <w:sz w:val="18"/>
                <w:szCs w:val="18"/>
                <w:lang w:val="en-GB"/>
              </w:rPr>
              <w:t xml:space="preserve"> installed</w:t>
            </w:r>
            <w:r w:rsidR="00177445">
              <w:rPr>
                <w:sz w:val="18"/>
                <w:szCs w:val="18"/>
                <w:lang w:val="en-GB"/>
              </w:rPr>
              <w:t xml:space="preserve"> t</w:t>
            </w:r>
            <w:r w:rsidR="00177445" w:rsidRPr="00461EC7">
              <w:rPr>
                <w:sz w:val="18"/>
                <w:szCs w:val="18"/>
                <w:lang w:val="en-GB"/>
              </w:rPr>
              <w:t>o dry sludge</w:t>
            </w:r>
            <w:r w:rsidR="00565AAB" w:rsidRPr="00461EC7">
              <w:rPr>
                <w:sz w:val="18"/>
                <w:szCs w:val="18"/>
                <w:lang w:val="en-GB"/>
              </w:rPr>
              <w:t>. It</w:t>
            </w:r>
            <w:r w:rsidR="00C70E12" w:rsidRPr="00461EC7">
              <w:rPr>
                <w:sz w:val="18"/>
                <w:szCs w:val="18"/>
                <w:lang w:val="en-GB"/>
              </w:rPr>
              <w:t xml:space="preserve"> dries up to 2</w:t>
            </w:r>
            <w:r w:rsidR="00565AAB" w:rsidRPr="00461EC7">
              <w:rPr>
                <w:sz w:val="18"/>
                <w:szCs w:val="18"/>
                <w:lang w:val="en-GB"/>
              </w:rPr>
              <w:t>,</w:t>
            </w:r>
            <w:r w:rsidR="00C70E12" w:rsidRPr="00461EC7">
              <w:rPr>
                <w:sz w:val="18"/>
                <w:szCs w:val="18"/>
                <w:lang w:val="en-GB"/>
              </w:rPr>
              <w:t>000</w:t>
            </w:r>
            <w:r w:rsidR="00565AAB" w:rsidRPr="00461EC7">
              <w:rPr>
                <w:sz w:val="18"/>
                <w:szCs w:val="18"/>
                <w:lang w:val="en-GB"/>
              </w:rPr>
              <w:t> kg</w:t>
            </w:r>
            <w:r w:rsidR="00C70E12" w:rsidRPr="00461EC7">
              <w:rPr>
                <w:sz w:val="18"/>
                <w:szCs w:val="18"/>
                <w:lang w:val="en-GB"/>
              </w:rPr>
              <w:t xml:space="preserve"> of water per hour</w:t>
            </w:r>
            <w:r w:rsidR="00966FE5" w:rsidRPr="00461EC7">
              <w:rPr>
                <w:sz w:val="18"/>
                <w:szCs w:val="18"/>
                <w:lang w:val="en-GB"/>
              </w:rPr>
              <w:t>.</w:t>
            </w:r>
            <w:r w:rsidR="00C70E12" w:rsidRPr="00461EC7">
              <w:rPr>
                <w:sz w:val="18"/>
                <w:szCs w:val="18"/>
                <w:lang w:val="en-GB"/>
              </w:rPr>
              <w:t xml:space="preserve"> </w:t>
            </w:r>
            <w:r w:rsidR="00966FE5" w:rsidRPr="00461EC7">
              <w:rPr>
                <w:sz w:val="18"/>
                <w:szCs w:val="18"/>
                <w:lang w:val="en-GB"/>
              </w:rPr>
              <w:t>S</w:t>
            </w:r>
            <w:r w:rsidR="00C70E12" w:rsidRPr="00461EC7">
              <w:rPr>
                <w:sz w:val="18"/>
                <w:szCs w:val="18"/>
                <w:lang w:val="en-GB"/>
              </w:rPr>
              <w:t xml:space="preserve">ludge pellets, which are dried up to 90%, are stored in the storage area; </w:t>
            </w:r>
            <w:r w:rsidR="00966FE5" w:rsidRPr="00461EC7">
              <w:rPr>
                <w:sz w:val="18"/>
                <w:szCs w:val="18"/>
                <w:lang w:val="en-GB"/>
              </w:rPr>
              <w:t>(</w:t>
            </w:r>
            <w:r w:rsidR="00C70E12" w:rsidRPr="00461EC7">
              <w:rPr>
                <w:sz w:val="18"/>
                <w:szCs w:val="18"/>
                <w:lang w:val="en-GB"/>
              </w:rPr>
              <w:t>4)</w:t>
            </w:r>
            <w:r w:rsidR="00066386" w:rsidRPr="00461EC7">
              <w:rPr>
                <w:sz w:val="18"/>
                <w:szCs w:val="18"/>
                <w:lang w:val="en-GB"/>
              </w:rPr>
              <w:t xml:space="preserve"> </w:t>
            </w:r>
            <w:r w:rsidR="00177445">
              <w:rPr>
                <w:sz w:val="18"/>
                <w:szCs w:val="18"/>
                <w:lang w:val="en-GB"/>
              </w:rPr>
              <w:t xml:space="preserve">a </w:t>
            </w:r>
            <w:r w:rsidR="00966FE5" w:rsidRPr="00461EC7">
              <w:rPr>
                <w:sz w:val="18"/>
                <w:szCs w:val="18"/>
                <w:lang w:val="en-GB"/>
              </w:rPr>
              <w:t>c</w:t>
            </w:r>
            <w:r w:rsidR="00066386" w:rsidRPr="00461EC7">
              <w:rPr>
                <w:sz w:val="18"/>
                <w:szCs w:val="18"/>
                <w:lang w:val="en-GB"/>
              </w:rPr>
              <w:t>ombined heat and power plant</w:t>
            </w:r>
            <w:r w:rsidR="00177445">
              <w:rPr>
                <w:sz w:val="18"/>
                <w:szCs w:val="18"/>
                <w:lang w:val="en-GB"/>
              </w:rPr>
              <w:t>.</w:t>
            </w:r>
            <w:r w:rsidR="00066386" w:rsidRPr="00461EC7">
              <w:rPr>
                <w:sz w:val="18"/>
                <w:szCs w:val="18"/>
                <w:lang w:val="en-GB"/>
              </w:rPr>
              <w:t xml:space="preserve"> </w:t>
            </w:r>
            <w:r w:rsidR="00177445">
              <w:rPr>
                <w:sz w:val="18"/>
                <w:szCs w:val="18"/>
                <w:lang w:val="en-GB"/>
              </w:rPr>
              <w:t>B</w:t>
            </w:r>
            <w:r w:rsidR="00066386" w:rsidRPr="00461EC7">
              <w:rPr>
                <w:sz w:val="18"/>
                <w:szCs w:val="18"/>
                <w:lang w:val="en-GB"/>
              </w:rPr>
              <w:t xml:space="preserve">iogas produced by the digesters </w:t>
            </w:r>
            <w:r w:rsidR="00966FE5" w:rsidRPr="00461EC7">
              <w:rPr>
                <w:sz w:val="18"/>
                <w:szCs w:val="18"/>
                <w:lang w:val="en-GB"/>
              </w:rPr>
              <w:t>is</w:t>
            </w:r>
            <w:r w:rsidR="00066386" w:rsidRPr="00461EC7">
              <w:rPr>
                <w:sz w:val="18"/>
                <w:szCs w:val="18"/>
                <w:lang w:val="en-GB"/>
              </w:rPr>
              <w:t xml:space="preserve"> used </w:t>
            </w:r>
            <w:r w:rsidR="00966FE5" w:rsidRPr="00461EC7">
              <w:rPr>
                <w:sz w:val="18"/>
                <w:szCs w:val="18"/>
                <w:lang w:val="en-GB"/>
              </w:rPr>
              <w:t>by</w:t>
            </w:r>
            <w:r w:rsidR="00066386" w:rsidRPr="00461EC7">
              <w:rPr>
                <w:sz w:val="18"/>
                <w:szCs w:val="18"/>
                <w:lang w:val="en-GB"/>
              </w:rPr>
              <w:t xml:space="preserve"> </w:t>
            </w:r>
            <w:r w:rsidR="00177445">
              <w:rPr>
                <w:sz w:val="18"/>
                <w:szCs w:val="18"/>
                <w:lang w:val="en-GB"/>
              </w:rPr>
              <w:t>a</w:t>
            </w:r>
            <w:r w:rsidR="00177445" w:rsidRPr="00461EC7">
              <w:rPr>
                <w:sz w:val="18"/>
                <w:szCs w:val="18"/>
                <w:lang w:val="en-GB"/>
              </w:rPr>
              <w:t xml:space="preserve"> </w:t>
            </w:r>
            <w:r w:rsidR="00DA224F" w:rsidRPr="00461EC7">
              <w:rPr>
                <w:sz w:val="18"/>
                <w:szCs w:val="18"/>
                <w:lang w:val="en-GB"/>
              </w:rPr>
              <w:t>combined</w:t>
            </w:r>
            <w:r w:rsidR="00066386" w:rsidRPr="00461EC7">
              <w:rPr>
                <w:sz w:val="18"/>
                <w:szCs w:val="18"/>
                <w:lang w:val="en-GB"/>
              </w:rPr>
              <w:t xml:space="preserve"> heat and power plant, which consist of two generators. It is expected to produce around 4</w:t>
            </w:r>
            <w:r w:rsidR="00AD64FC" w:rsidRPr="00461EC7">
              <w:rPr>
                <w:sz w:val="18"/>
                <w:szCs w:val="18"/>
                <w:lang w:val="en-GB"/>
              </w:rPr>
              <w:t>.</w:t>
            </w:r>
            <w:r w:rsidR="00066386" w:rsidRPr="00461EC7">
              <w:rPr>
                <w:sz w:val="18"/>
                <w:szCs w:val="18"/>
                <w:lang w:val="en-GB"/>
              </w:rPr>
              <w:t>5</w:t>
            </w:r>
            <w:r w:rsidR="00966FE5" w:rsidRPr="00461EC7">
              <w:rPr>
                <w:sz w:val="18"/>
                <w:szCs w:val="18"/>
                <w:lang w:val="en-GB"/>
              </w:rPr>
              <w:t> </w:t>
            </w:r>
            <w:r w:rsidR="00066386" w:rsidRPr="00461EC7">
              <w:rPr>
                <w:sz w:val="18"/>
                <w:szCs w:val="18"/>
                <w:lang w:val="en-GB"/>
              </w:rPr>
              <w:t>million kilowatt-hours of electricity and the same amount of heat</w:t>
            </w:r>
            <w:r w:rsidR="00DA224F" w:rsidRPr="00461EC7">
              <w:rPr>
                <w:sz w:val="18"/>
                <w:szCs w:val="18"/>
                <w:lang w:val="en-GB"/>
              </w:rPr>
              <w:t>.</w:t>
            </w:r>
            <w:r w:rsidR="00066386" w:rsidRPr="00461EC7">
              <w:rPr>
                <w:sz w:val="18"/>
                <w:szCs w:val="18"/>
                <w:lang w:val="en-GB"/>
              </w:rPr>
              <w:t xml:space="preserve"> Part of </w:t>
            </w:r>
            <w:r w:rsidR="00966FE5" w:rsidRPr="00461EC7">
              <w:rPr>
                <w:sz w:val="18"/>
                <w:szCs w:val="18"/>
                <w:lang w:val="en-GB"/>
              </w:rPr>
              <w:t xml:space="preserve">the </w:t>
            </w:r>
            <w:r w:rsidR="00DA224F" w:rsidRPr="00461EC7">
              <w:rPr>
                <w:sz w:val="18"/>
                <w:szCs w:val="18"/>
                <w:lang w:val="en-GB"/>
              </w:rPr>
              <w:t xml:space="preserve">generated </w:t>
            </w:r>
            <w:r w:rsidR="00066386" w:rsidRPr="00461EC7">
              <w:rPr>
                <w:sz w:val="18"/>
                <w:szCs w:val="18"/>
                <w:lang w:val="en-GB"/>
              </w:rPr>
              <w:t xml:space="preserve">electricity </w:t>
            </w:r>
            <w:r w:rsidR="00DA224F" w:rsidRPr="00461EC7">
              <w:rPr>
                <w:sz w:val="18"/>
                <w:szCs w:val="18"/>
                <w:lang w:val="en-GB"/>
              </w:rPr>
              <w:t>is</w:t>
            </w:r>
            <w:r w:rsidR="00066386" w:rsidRPr="00461EC7">
              <w:rPr>
                <w:sz w:val="18"/>
                <w:szCs w:val="18"/>
                <w:lang w:val="en-GB"/>
              </w:rPr>
              <w:t xml:space="preserve"> used </w:t>
            </w:r>
            <w:r w:rsidR="00177445">
              <w:rPr>
                <w:sz w:val="18"/>
                <w:szCs w:val="18"/>
                <w:lang w:val="en-GB"/>
              </w:rPr>
              <w:t>for</w:t>
            </w:r>
            <w:r w:rsidR="00066386" w:rsidRPr="00461EC7">
              <w:rPr>
                <w:sz w:val="18"/>
                <w:szCs w:val="18"/>
                <w:lang w:val="en-GB"/>
              </w:rPr>
              <w:t xml:space="preserve"> the production process, while the rest </w:t>
            </w:r>
            <w:r w:rsidR="00386941" w:rsidRPr="00461EC7">
              <w:rPr>
                <w:sz w:val="18"/>
                <w:szCs w:val="18"/>
                <w:lang w:val="en-GB"/>
              </w:rPr>
              <w:t>is</w:t>
            </w:r>
            <w:r w:rsidR="00066386" w:rsidRPr="00461EC7">
              <w:rPr>
                <w:sz w:val="18"/>
                <w:szCs w:val="18"/>
                <w:lang w:val="en-GB"/>
              </w:rPr>
              <w:t xml:space="preserve"> transferred to distribution network</w:t>
            </w:r>
            <w:r w:rsidR="00386941" w:rsidRPr="00461EC7">
              <w:rPr>
                <w:sz w:val="18"/>
                <w:szCs w:val="18"/>
                <w:lang w:val="en-GB"/>
              </w:rPr>
              <w:t>s</w:t>
            </w:r>
            <w:r w:rsidR="00966FE5" w:rsidRPr="00461EC7">
              <w:rPr>
                <w:sz w:val="18"/>
                <w:szCs w:val="18"/>
                <w:lang w:val="en-GB"/>
              </w:rPr>
              <w:t>.</w:t>
            </w:r>
            <w:r w:rsidR="00386941" w:rsidRPr="00461EC7">
              <w:rPr>
                <w:sz w:val="18"/>
                <w:szCs w:val="18"/>
                <w:lang w:val="en-GB"/>
              </w:rPr>
              <w:t xml:space="preserve"> </w:t>
            </w:r>
            <w:r w:rsidR="00966FE5" w:rsidRPr="00461EC7">
              <w:rPr>
                <w:sz w:val="18"/>
                <w:szCs w:val="18"/>
                <w:lang w:val="en-GB"/>
              </w:rPr>
              <w:t>T</w:t>
            </w:r>
            <w:r w:rsidR="00066386" w:rsidRPr="00461EC7">
              <w:rPr>
                <w:sz w:val="18"/>
                <w:szCs w:val="18"/>
                <w:lang w:val="en-GB"/>
              </w:rPr>
              <w:t>he</w:t>
            </w:r>
            <w:r w:rsidR="00386941" w:rsidRPr="00461EC7">
              <w:rPr>
                <w:sz w:val="18"/>
                <w:szCs w:val="18"/>
                <w:lang w:val="en-GB"/>
              </w:rPr>
              <w:t xml:space="preserve"> generated</w:t>
            </w:r>
            <w:r w:rsidR="00066386" w:rsidRPr="00461EC7">
              <w:rPr>
                <w:sz w:val="18"/>
                <w:szCs w:val="18"/>
                <w:lang w:val="en-GB"/>
              </w:rPr>
              <w:t xml:space="preserve"> heat </w:t>
            </w:r>
            <w:r w:rsidR="00386941" w:rsidRPr="00461EC7">
              <w:rPr>
                <w:sz w:val="18"/>
                <w:szCs w:val="18"/>
                <w:lang w:val="en-GB"/>
              </w:rPr>
              <w:t>is</w:t>
            </w:r>
            <w:r w:rsidR="00066386" w:rsidRPr="00461EC7">
              <w:rPr>
                <w:sz w:val="18"/>
                <w:szCs w:val="18"/>
                <w:lang w:val="en-GB"/>
              </w:rPr>
              <w:t xml:space="preserve"> used to preheat sludge for digestion and dehumidification </w:t>
            </w:r>
            <w:r w:rsidR="007D4AAD" w:rsidRPr="00461EC7">
              <w:rPr>
                <w:sz w:val="18"/>
                <w:szCs w:val="18"/>
                <w:lang w:val="en-GB"/>
              </w:rPr>
              <w:t>processes. In co</w:t>
            </w:r>
            <w:r w:rsidR="00177445">
              <w:rPr>
                <w:sz w:val="18"/>
                <w:szCs w:val="18"/>
                <w:lang w:val="en-GB"/>
              </w:rPr>
              <w:t>mpetition</w:t>
            </w:r>
            <w:r w:rsidR="007D4AAD" w:rsidRPr="00461EC7">
              <w:rPr>
                <w:sz w:val="18"/>
                <w:szCs w:val="18"/>
                <w:lang w:val="en-GB"/>
              </w:rPr>
              <w:t xml:space="preserve"> “</w:t>
            </w:r>
            <w:r w:rsidR="00177445">
              <w:rPr>
                <w:sz w:val="18"/>
                <w:szCs w:val="18"/>
                <w:lang w:val="en-GB"/>
              </w:rPr>
              <w:t xml:space="preserve">Environmental </w:t>
            </w:r>
            <w:r w:rsidR="007D4AAD" w:rsidRPr="00461EC7">
              <w:rPr>
                <w:sz w:val="18"/>
                <w:szCs w:val="18"/>
                <w:lang w:val="en-GB"/>
              </w:rPr>
              <w:t>Achievements 2012” the project implementer won an award for “</w:t>
            </w:r>
            <w:r w:rsidR="00177445">
              <w:rPr>
                <w:sz w:val="18"/>
                <w:szCs w:val="18"/>
                <w:lang w:val="en-GB"/>
              </w:rPr>
              <w:t>t</w:t>
            </w:r>
            <w:r w:rsidR="007D4AAD" w:rsidRPr="00461EC7">
              <w:rPr>
                <w:sz w:val="18"/>
                <w:szCs w:val="18"/>
                <w:lang w:val="en-GB"/>
              </w:rPr>
              <w:t xml:space="preserve">he most </w:t>
            </w:r>
            <w:r w:rsidR="00966FE5" w:rsidRPr="00461EC7">
              <w:rPr>
                <w:sz w:val="18"/>
                <w:szCs w:val="18"/>
                <w:lang w:val="en-GB"/>
              </w:rPr>
              <w:t>E</w:t>
            </w:r>
            <w:r w:rsidR="007D4AAD" w:rsidRPr="00461EC7">
              <w:rPr>
                <w:sz w:val="18"/>
                <w:szCs w:val="18"/>
                <w:lang w:val="en-GB"/>
              </w:rPr>
              <w:t xml:space="preserve">nvironmentally </w:t>
            </w:r>
            <w:r w:rsidR="00966FE5" w:rsidRPr="00461EC7">
              <w:rPr>
                <w:sz w:val="18"/>
                <w:szCs w:val="18"/>
                <w:lang w:val="en-GB"/>
              </w:rPr>
              <w:t>F</w:t>
            </w:r>
            <w:r w:rsidR="007D4AAD" w:rsidRPr="00461EC7">
              <w:rPr>
                <w:sz w:val="18"/>
                <w:szCs w:val="18"/>
                <w:lang w:val="en-GB"/>
              </w:rPr>
              <w:t xml:space="preserve">riendly </w:t>
            </w:r>
            <w:r w:rsidR="00966FE5" w:rsidRPr="00461EC7">
              <w:rPr>
                <w:sz w:val="18"/>
                <w:szCs w:val="18"/>
                <w:lang w:val="en-GB"/>
              </w:rPr>
              <w:t>P</w:t>
            </w:r>
            <w:r w:rsidR="007D4AAD" w:rsidRPr="00461EC7">
              <w:rPr>
                <w:sz w:val="18"/>
                <w:szCs w:val="18"/>
                <w:lang w:val="en-GB"/>
              </w:rPr>
              <w:t>rocess”</w:t>
            </w:r>
            <w:r w:rsidR="001D5AA2" w:rsidRPr="00461EC7"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2C261F03" wp14:editId="4D807E6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1427480</wp:posOffset>
                  </wp:positionV>
                  <wp:extent cx="1579880" cy="1184275"/>
                  <wp:effectExtent l="0" t="0" r="39370" b="34925"/>
                  <wp:wrapSquare wrapText="bothSides"/>
                  <wp:docPr id="51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chemeClr val="bg2"/>
                            </a:outerShdw>
                            <a:softEdge rad="127000"/>
                          </a:effectLst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E13970" w:rsidRPr="00461EC7">
              <w:rPr>
                <w:sz w:val="18"/>
                <w:szCs w:val="18"/>
                <w:lang w:val="en-GB"/>
              </w:rPr>
              <w:t>.</w:t>
            </w:r>
          </w:p>
        </w:tc>
      </w:tr>
    </w:tbl>
    <w:p w:rsidR="001D5AA2" w:rsidRPr="00461EC7" w:rsidRDefault="001D5AA2" w:rsidP="0046175C">
      <w:pPr>
        <w:pStyle w:val="Pagrindinispaprastastekstas"/>
        <w:rPr>
          <w:lang w:val="en-GB" w:eastAsia="lt-LT"/>
        </w:rPr>
      </w:pPr>
    </w:p>
    <w:p w:rsidR="001F23A4" w:rsidRPr="00461EC7" w:rsidRDefault="007D4AAD" w:rsidP="007D4AAD">
      <w:pPr>
        <w:pStyle w:val="Nenumeruojamosantrastes"/>
        <w:rPr>
          <w:lang w:val="en-GB"/>
        </w:rPr>
      </w:pPr>
      <w:bookmarkStart w:id="12" w:name="_Toc468106956"/>
      <w:bookmarkStart w:id="13" w:name="_Toc468114524"/>
      <w:r w:rsidRPr="00461EC7">
        <w:rPr>
          <w:lang w:val="en-GB"/>
        </w:rPr>
        <w:t xml:space="preserve">results of the </w:t>
      </w:r>
      <w:r w:rsidR="00E13970" w:rsidRPr="00461EC7">
        <w:rPr>
          <w:lang w:val="en-GB"/>
        </w:rPr>
        <w:t xml:space="preserve">OPPC </w:t>
      </w:r>
      <w:r w:rsidRPr="00461EC7">
        <w:rPr>
          <w:lang w:val="en-GB"/>
        </w:rPr>
        <w:t>implementation: Improvement of air quality</w:t>
      </w:r>
      <w:bookmarkEnd w:id="12"/>
      <w:bookmarkEnd w:id="13"/>
    </w:p>
    <w:p w:rsidR="002339A0" w:rsidRPr="00461EC7" w:rsidRDefault="004C0F6A" w:rsidP="002339A0">
      <w:pPr>
        <w:pStyle w:val="Pagrindinispaprastastekstas"/>
        <w:rPr>
          <w:b/>
          <w:color w:val="1F497D" w:themeColor="text2"/>
          <w:lang w:val="en-GB" w:eastAsia="lt-LT"/>
        </w:rPr>
      </w:pPr>
      <w:r w:rsidRPr="00461EC7">
        <w:rPr>
          <w:b/>
          <w:color w:val="1F497D" w:themeColor="text2"/>
          <w:lang w:val="en-GB" w:eastAsia="lt-LT"/>
        </w:rPr>
        <w:t xml:space="preserve">The main outputs </w:t>
      </w:r>
      <w:r w:rsidR="002339A0" w:rsidRPr="00461EC7">
        <w:rPr>
          <w:b/>
          <w:color w:val="1F497D" w:themeColor="text2"/>
          <w:lang w:val="en-GB" w:eastAsia="lt-LT"/>
        </w:rPr>
        <w:t>and results</w:t>
      </w:r>
    </w:p>
    <w:p w:rsidR="001F23A4" w:rsidRPr="00461EC7" w:rsidRDefault="00700849" w:rsidP="0046175C">
      <w:pPr>
        <w:pStyle w:val="Pagrindinispaprastastekstas"/>
        <w:rPr>
          <w:lang w:val="en-GB" w:eastAsia="lt-LT"/>
        </w:rPr>
      </w:pPr>
      <w:r w:rsidRPr="00461EC7">
        <w:rPr>
          <w:noProof/>
          <w:lang w:eastAsia="lt-LT"/>
        </w:rPr>
        <w:drawing>
          <wp:inline distT="0" distB="0" distL="0" distR="0" wp14:anchorId="39B49682" wp14:editId="5FFED802">
            <wp:extent cx="6080886" cy="1599570"/>
            <wp:effectExtent l="0" t="0" r="15240" b="635"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F23A4" w:rsidRPr="00461EC7" w:rsidRDefault="001F23A4" w:rsidP="0046175C">
      <w:pPr>
        <w:pStyle w:val="Pagrindinispaprastastekstas"/>
        <w:rPr>
          <w:lang w:val="en-GB" w:eastAsia="lt-LT"/>
        </w:rPr>
      </w:pPr>
    </w:p>
    <w:p w:rsidR="005E5501" w:rsidRPr="00461EC7" w:rsidRDefault="00145978" w:rsidP="00700849">
      <w:pPr>
        <w:pStyle w:val="Pagrindinispaprastastekstas"/>
        <w:numPr>
          <w:ilvl w:val="0"/>
          <w:numId w:val="37"/>
        </w:numPr>
        <w:rPr>
          <w:lang w:val="en-GB" w:eastAsia="lt-LT"/>
        </w:rPr>
      </w:pPr>
      <w:r w:rsidRPr="00461EC7">
        <w:rPr>
          <w:lang w:val="en-GB" w:eastAsia="lt-LT"/>
        </w:rPr>
        <w:t>A</w:t>
      </w:r>
      <w:r w:rsidR="00006A1D" w:rsidRPr="00461EC7">
        <w:rPr>
          <w:lang w:val="en-GB" w:eastAsia="lt-LT"/>
        </w:rPr>
        <w:t>ir quality improvement projects were implemented in</w:t>
      </w:r>
      <w:r w:rsidR="005E5501" w:rsidRPr="00461EC7">
        <w:rPr>
          <w:lang w:val="en-GB" w:eastAsia="lt-LT"/>
        </w:rPr>
        <w:t xml:space="preserve"> </w:t>
      </w:r>
      <w:r w:rsidRPr="00461EC7">
        <w:rPr>
          <w:lang w:val="en-GB" w:eastAsia="lt-LT"/>
        </w:rPr>
        <w:t xml:space="preserve">five </w:t>
      </w:r>
      <w:r w:rsidR="00006A1D" w:rsidRPr="00461EC7">
        <w:rPr>
          <w:lang w:val="en-GB" w:eastAsia="lt-LT"/>
        </w:rPr>
        <w:t>major cities</w:t>
      </w:r>
      <w:r w:rsidR="007B0C2C" w:rsidRPr="00461EC7">
        <w:rPr>
          <w:lang w:val="en-GB" w:eastAsia="lt-LT"/>
        </w:rPr>
        <w:t xml:space="preserve">. </w:t>
      </w:r>
      <w:r w:rsidR="00782EB2">
        <w:rPr>
          <w:lang w:val="en-GB" w:eastAsia="lt-LT"/>
        </w:rPr>
        <w:t>Companies</w:t>
      </w:r>
      <w:r w:rsidR="005E5501" w:rsidRPr="00461EC7">
        <w:rPr>
          <w:lang w:val="en-GB" w:eastAsia="lt-LT"/>
        </w:rPr>
        <w:t xml:space="preserve"> responsible for public transport in t</w:t>
      </w:r>
      <w:r w:rsidRPr="00461EC7">
        <w:rPr>
          <w:lang w:val="en-GB" w:eastAsia="lt-LT"/>
        </w:rPr>
        <w:t>hese five</w:t>
      </w:r>
      <w:r w:rsidR="005E5501" w:rsidRPr="00461EC7">
        <w:rPr>
          <w:lang w:val="en-GB" w:eastAsia="lt-LT"/>
        </w:rPr>
        <w:t xml:space="preserve"> cities bought eco-friendly public transport vehicles</w:t>
      </w:r>
      <w:r w:rsidRPr="00461EC7">
        <w:rPr>
          <w:lang w:val="en-GB" w:eastAsia="lt-LT"/>
        </w:rPr>
        <w:t> –</w:t>
      </w:r>
      <w:r w:rsidR="00386941" w:rsidRPr="00461EC7">
        <w:rPr>
          <w:lang w:val="en-GB" w:eastAsia="lt-LT"/>
        </w:rPr>
        <w:t xml:space="preserve"> </w:t>
      </w:r>
      <w:r w:rsidR="005E5501" w:rsidRPr="00461EC7">
        <w:rPr>
          <w:lang w:val="en-GB" w:eastAsia="lt-LT"/>
        </w:rPr>
        <w:t xml:space="preserve">buses </w:t>
      </w:r>
      <w:r w:rsidR="00386941" w:rsidRPr="00461EC7">
        <w:rPr>
          <w:lang w:val="en-GB" w:eastAsia="lt-LT"/>
        </w:rPr>
        <w:t>run</w:t>
      </w:r>
      <w:r w:rsidRPr="00461EC7">
        <w:rPr>
          <w:lang w:val="en-GB" w:eastAsia="lt-LT"/>
        </w:rPr>
        <w:t>ning</w:t>
      </w:r>
      <w:r w:rsidR="00386941" w:rsidRPr="00461EC7">
        <w:rPr>
          <w:lang w:val="en-GB" w:eastAsia="lt-LT"/>
        </w:rPr>
        <w:t xml:space="preserve"> on </w:t>
      </w:r>
      <w:r w:rsidR="005E5501" w:rsidRPr="00461EC7">
        <w:rPr>
          <w:lang w:val="en-GB" w:eastAsia="lt-LT"/>
        </w:rPr>
        <w:t>natural gas or</w:t>
      </w:r>
      <w:r w:rsidR="00386941" w:rsidRPr="00461EC7">
        <w:rPr>
          <w:lang w:val="en-GB" w:eastAsia="lt-LT"/>
        </w:rPr>
        <w:t xml:space="preserve"> </w:t>
      </w:r>
      <w:r w:rsidR="005E5501" w:rsidRPr="00461EC7">
        <w:rPr>
          <w:lang w:val="en-GB" w:eastAsia="lt-LT"/>
        </w:rPr>
        <w:t>hybrid (electric and diesel) buses.</w:t>
      </w:r>
    </w:p>
    <w:p w:rsidR="00EA0726" w:rsidRPr="00461EC7" w:rsidRDefault="005E5501" w:rsidP="00700849">
      <w:pPr>
        <w:pStyle w:val="Pagrindinispaprastastekstas"/>
        <w:numPr>
          <w:ilvl w:val="0"/>
          <w:numId w:val="37"/>
        </w:numPr>
        <w:rPr>
          <w:lang w:val="en-GB" w:eastAsia="lt-LT"/>
        </w:rPr>
      </w:pPr>
      <w:r w:rsidRPr="00461EC7">
        <w:rPr>
          <w:lang w:val="en-GB" w:eastAsia="lt-LT"/>
        </w:rPr>
        <w:t>The following share of public transport vehicles</w:t>
      </w:r>
      <w:r w:rsidR="00386941" w:rsidRPr="00461EC7">
        <w:rPr>
          <w:lang w:val="en-GB" w:eastAsia="lt-LT"/>
        </w:rPr>
        <w:t xml:space="preserve"> in the cities</w:t>
      </w:r>
      <w:r w:rsidRPr="00461EC7">
        <w:rPr>
          <w:lang w:val="en-GB" w:eastAsia="lt-LT"/>
        </w:rPr>
        <w:t xml:space="preserve"> </w:t>
      </w:r>
      <w:r w:rsidR="00782EB2">
        <w:rPr>
          <w:lang w:val="en-GB" w:eastAsia="lt-LT"/>
        </w:rPr>
        <w:t>was</w:t>
      </w:r>
      <w:r w:rsidR="00782EB2" w:rsidRPr="00461EC7">
        <w:rPr>
          <w:lang w:val="en-GB" w:eastAsia="lt-LT"/>
        </w:rPr>
        <w:t xml:space="preserve"> </w:t>
      </w:r>
      <w:r w:rsidR="00782EB2">
        <w:rPr>
          <w:lang w:val="en-GB" w:eastAsia="lt-LT"/>
        </w:rPr>
        <w:t>upgraded</w:t>
      </w:r>
      <w:r w:rsidRPr="00461EC7">
        <w:rPr>
          <w:lang w:val="en-GB" w:eastAsia="lt-LT"/>
        </w:rPr>
        <w:t xml:space="preserve">: </w:t>
      </w:r>
      <w:r w:rsidR="00386941" w:rsidRPr="00461EC7">
        <w:rPr>
          <w:lang w:val="en-GB" w:eastAsia="lt-LT"/>
        </w:rPr>
        <w:t xml:space="preserve">9% </w:t>
      </w:r>
      <w:r w:rsidRPr="00461EC7">
        <w:rPr>
          <w:lang w:val="en-GB" w:eastAsia="lt-LT"/>
        </w:rPr>
        <w:t>in Vilnius (“</w:t>
      </w:r>
      <w:proofErr w:type="spellStart"/>
      <w:r w:rsidRPr="00461EC7">
        <w:rPr>
          <w:lang w:val="en-GB" w:eastAsia="lt-LT"/>
        </w:rPr>
        <w:t>Vilniaus</w:t>
      </w:r>
      <w:proofErr w:type="spellEnd"/>
      <w:r w:rsidRPr="00461EC7">
        <w:rPr>
          <w:lang w:val="en-GB" w:eastAsia="lt-LT"/>
        </w:rPr>
        <w:t xml:space="preserve"> </w:t>
      </w:r>
      <w:proofErr w:type="spellStart"/>
      <w:r w:rsidRPr="00461EC7">
        <w:rPr>
          <w:lang w:val="en-GB" w:eastAsia="lt-LT"/>
        </w:rPr>
        <w:t>viešasis</w:t>
      </w:r>
      <w:proofErr w:type="spellEnd"/>
      <w:r w:rsidRPr="00461EC7">
        <w:rPr>
          <w:lang w:val="en-GB" w:eastAsia="lt-LT"/>
        </w:rPr>
        <w:t xml:space="preserve"> </w:t>
      </w:r>
      <w:proofErr w:type="spellStart"/>
      <w:r w:rsidRPr="00461EC7">
        <w:rPr>
          <w:lang w:val="en-GB" w:eastAsia="lt-LT"/>
        </w:rPr>
        <w:t>transportas</w:t>
      </w:r>
      <w:proofErr w:type="spellEnd"/>
      <w:r w:rsidR="00386941" w:rsidRPr="00461EC7">
        <w:rPr>
          <w:lang w:val="en-GB" w:eastAsia="lt-LT"/>
        </w:rPr>
        <w:t xml:space="preserve">”), 11% </w:t>
      </w:r>
      <w:r w:rsidRPr="00461EC7">
        <w:rPr>
          <w:lang w:val="en-GB" w:eastAsia="lt-LT"/>
        </w:rPr>
        <w:t xml:space="preserve">in Kaunas (“Kauno </w:t>
      </w:r>
      <w:proofErr w:type="spellStart"/>
      <w:r w:rsidRPr="00461EC7">
        <w:rPr>
          <w:lang w:val="en-GB" w:eastAsia="lt-LT"/>
        </w:rPr>
        <w:t>autobusai</w:t>
      </w:r>
      <w:proofErr w:type="spellEnd"/>
      <w:r w:rsidRPr="00461EC7">
        <w:rPr>
          <w:lang w:val="en-GB" w:eastAsia="lt-LT"/>
        </w:rPr>
        <w:t>”)</w:t>
      </w:r>
      <w:r w:rsidR="00386941" w:rsidRPr="00461EC7">
        <w:rPr>
          <w:lang w:val="en-GB" w:eastAsia="lt-LT"/>
        </w:rPr>
        <w:t xml:space="preserve">, 15% </w:t>
      </w:r>
      <w:r w:rsidRPr="00461EC7">
        <w:rPr>
          <w:lang w:val="en-GB" w:eastAsia="lt-LT"/>
        </w:rPr>
        <w:t xml:space="preserve">in </w:t>
      </w:r>
      <w:proofErr w:type="spellStart"/>
      <w:r w:rsidRPr="00461EC7">
        <w:rPr>
          <w:lang w:val="en-GB" w:eastAsia="lt-LT"/>
        </w:rPr>
        <w:t>Klaipėda</w:t>
      </w:r>
      <w:proofErr w:type="spellEnd"/>
      <w:r w:rsidRPr="00461EC7">
        <w:rPr>
          <w:lang w:val="en-GB" w:eastAsia="lt-LT"/>
        </w:rPr>
        <w:t xml:space="preserve"> (“</w:t>
      </w:r>
      <w:proofErr w:type="spellStart"/>
      <w:r w:rsidRPr="00461EC7">
        <w:rPr>
          <w:lang w:val="en-GB" w:eastAsia="lt-LT"/>
        </w:rPr>
        <w:t>Klaipėdos</w:t>
      </w:r>
      <w:proofErr w:type="spellEnd"/>
      <w:r w:rsidRPr="00461EC7">
        <w:rPr>
          <w:lang w:val="en-GB" w:eastAsia="lt-LT"/>
        </w:rPr>
        <w:t xml:space="preserve"> </w:t>
      </w:r>
      <w:proofErr w:type="spellStart"/>
      <w:r w:rsidRPr="00461EC7">
        <w:rPr>
          <w:lang w:val="en-GB" w:eastAsia="lt-LT"/>
        </w:rPr>
        <w:t>autobusų</w:t>
      </w:r>
      <w:proofErr w:type="spellEnd"/>
      <w:r w:rsidRPr="00461EC7">
        <w:rPr>
          <w:lang w:val="en-GB" w:eastAsia="lt-LT"/>
        </w:rPr>
        <w:t xml:space="preserve"> </w:t>
      </w:r>
      <w:r w:rsidR="00386941" w:rsidRPr="00461EC7">
        <w:rPr>
          <w:lang w:val="en-GB" w:eastAsia="lt-LT"/>
        </w:rPr>
        <w:t>parkas</w:t>
      </w:r>
      <w:r w:rsidR="00145978" w:rsidRPr="00461EC7">
        <w:rPr>
          <w:lang w:val="en-GB" w:eastAsia="lt-LT"/>
        </w:rPr>
        <w:t>”</w:t>
      </w:r>
      <w:r w:rsidR="00386941" w:rsidRPr="00461EC7">
        <w:rPr>
          <w:lang w:val="en-GB" w:eastAsia="lt-LT"/>
        </w:rPr>
        <w:t xml:space="preserve">), 11% in </w:t>
      </w:r>
      <w:proofErr w:type="spellStart"/>
      <w:r w:rsidR="00386941" w:rsidRPr="00461EC7">
        <w:rPr>
          <w:lang w:val="en-GB" w:eastAsia="lt-LT"/>
        </w:rPr>
        <w:t>Šiauliai</w:t>
      </w:r>
      <w:proofErr w:type="spellEnd"/>
      <w:r w:rsidR="00386941" w:rsidRPr="00461EC7">
        <w:rPr>
          <w:lang w:val="en-GB" w:eastAsia="lt-LT"/>
        </w:rPr>
        <w:t xml:space="preserve"> (“</w:t>
      </w:r>
      <w:proofErr w:type="spellStart"/>
      <w:r w:rsidR="00386941" w:rsidRPr="00461EC7">
        <w:rPr>
          <w:lang w:val="en-GB" w:eastAsia="lt-LT"/>
        </w:rPr>
        <w:t>Busturas</w:t>
      </w:r>
      <w:proofErr w:type="spellEnd"/>
      <w:r w:rsidR="00145978" w:rsidRPr="00461EC7">
        <w:rPr>
          <w:lang w:val="en-GB" w:eastAsia="lt-LT"/>
        </w:rPr>
        <w:t>”</w:t>
      </w:r>
      <w:r w:rsidR="00386941" w:rsidRPr="00461EC7">
        <w:rPr>
          <w:lang w:val="en-GB" w:eastAsia="lt-LT"/>
        </w:rPr>
        <w:t>) and 9%</w:t>
      </w:r>
      <w:r w:rsidRPr="00461EC7">
        <w:rPr>
          <w:lang w:val="en-GB" w:eastAsia="lt-LT"/>
        </w:rPr>
        <w:t xml:space="preserve"> in </w:t>
      </w:r>
      <w:proofErr w:type="spellStart"/>
      <w:r w:rsidRPr="00461EC7">
        <w:rPr>
          <w:lang w:val="en-GB" w:eastAsia="lt-LT"/>
        </w:rPr>
        <w:t>Panevėžys</w:t>
      </w:r>
      <w:proofErr w:type="spellEnd"/>
      <w:r w:rsidRPr="00461EC7">
        <w:rPr>
          <w:lang w:val="en-GB" w:eastAsia="lt-LT"/>
        </w:rPr>
        <w:t xml:space="preserve"> (“</w:t>
      </w:r>
      <w:proofErr w:type="spellStart"/>
      <w:r w:rsidRPr="00461EC7">
        <w:rPr>
          <w:lang w:val="en-GB" w:eastAsia="lt-LT"/>
        </w:rPr>
        <w:t>Panevėžio</w:t>
      </w:r>
      <w:proofErr w:type="spellEnd"/>
      <w:r w:rsidRPr="00461EC7">
        <w:rPr>
          <w:lang w:val="en-GB" w:eastAsia="lt-LT"/>
        </w:rPr>
        <w:t xml:space="preserve"> </w:t>
      </w:r>
      <w:proofErr w:type="spellStart"/>
      <w:r w:rsidRPr="00461EC7">
        <w:rPr>
          <w:lang w:val="en-GB" w:eastAsia="lt-LT"/>
        </w:rPr>
        <w:t>autobusų</w:t>
      </w:r>
      <w:proofErr w:type="spellEnd"/>
      <w:r w:rsidRPr="00461EC7">
        <w:rPr>
          <w:lang w:val="en-GB" w:eastAsia="lt-LT"/>
        </w:rPr>
        <w:t xml:space="preserve"> parkas</w:t>
      </w:r>
      <w:r w:rsidR="00145978" w:rsidRPr="00461EC7">
        <w:rPr>
          <w:lang w:val="en-GB" w:eastAsia="lt-LT"/>
        </w:rPr>
        <w:t>”</w:t>
      </w:r>
      <w:r w:rsidRPr="00461EC7">
        <w:rPr>
          <w:lang w:val="en-GB" w:eastAsia="lt-LT"/>
        </w:rPr>
        <w:t>).</w:t>
      </w:r>
    </w:p>
    <w:p w:rsidR="0098645C" w:rsidRPr="00461EC7" w:rsidRDefault="0098645C" w:rsidP="002F30B8">
      <w:pPr>
        <w:pStyle w:val="Pagrindinispaprastastekstas"/>
        <w:numPr>
          <w:ilvl w:val="0"/>
          <w:numId w:val="37"/>
        </w:numPr>
        <w:rPr>
          <w:lang w:val="en-GB" w:eastAsia="lt-LT"/>
        </w:rPr>
      </w:pPr>
      <w:r w:rsidRPr="00461EC7">
        <w:rPr>
          <w:lang w:val="en-GB" w:eastAsia="lt-LT"/>
        </w:rPr>
        <w:t xml:space="preserve">New </w:t>
      </w:r>
      <w:r w:rsidR="00145978" w:rsidRPr="00461EC7">
        <w:rPr>
          <w:lang w:val="en-GB" w:eastAsia="lt-LT"/>
        </w:rPr>
        <w:t xml:space="preserve">bike </w:t>
      </w:r>
      <w:r w:rsidRPr="00461EC7">
        <w:rPr>
          <w:lang w:val="en-GB" w:eastAsia="lt-LT"/>
        </w:rPr>
        <w:t xml:space="preserve">trails </w:t>
      </w:r>
      <w:r w:rsidR="002F30B8" w:rsidRPr="00461EC7">
        <w:rPr>
          <w:lang w:val="en-GB" w:eastAsia="lt-LT"/>
        </w:rPr>
        <w:t>(23</w:t>
      </w:r>
      <w:r w:rsidR="00145978" w:rsidRPr="00461EC7">
        <w:rPr>
          <w:lang w:val="en-GB" w:eastAsia="lt-LT"/>
        </w:rPr>
        <w:t> </w:t>
      </w:r>
      <w:r w:rsidR="002F30B8" w:rsidRPr="00461EC7">
        <w:rPr>
          <w:lang w:val="en-GB" w:eastAsia="lt-LT"/>
        </w:rPr>
        <w:t>km);</w:t>
      </w:r>
      <w:r w:rsidRPr="00461EC7">
        <w:rPr>
          <w:lang w:val="en-GB" w:eastAsia="lt-LT"/>
        </w:rPr>
        <w:t xml:space="preserve"> 42</w:t>
      </w:r>
      <w:r w:rsidR="00145978" w:rsidRPr="00461EC7">
        <w:rPr>
          <w:lang w:val="en-GB" w:eastAsia="lt-LT"/>
        </w:rPr>
        <w:t> </w:t>
      </w:r>
      <w:r w:rsidRPr="00461EC7">
        <w:rPr>
          <w:lang w:val="en-GB" w:eastAsia="lt-LT"/>
        </w:rPr>
        <w:t>moderni</w:t>
      </w:r>
      <w:r w:rsidR="00145978" w:rsidRPr="00461EC7">
        <w:rPr>
          <w:lang w:val="en-GB" w:eastAsia="lt-LT"/>
        </w:rPr>
        <w:t>s</w:t>
      </w:r>
      <w:r w:rsidRPr="00461EC7">
        <w:rPr>
          <w:lang w:val="en-GB" w:eastAsia="lt-LT"/>
        </w:rPr>
        <w:t xml:space="preserve">ed bus stops, extension of </w:t>
      </w:r>
      <w:r w:rsidR="00B147C6" w:rsidRPr="00461EC7">
        <w:rPr>
          <w:lang w:val="en-GB" w:eastAsia="lt-LT"/>
        </w:rPr>
        <w:t xml:space="preserve">the </w:t>
      </w:r>
      <w:r w:rsidRPr="00461EC7">
        <w:rPr>
          <w:lang w:val="en-GB" w:eastAsia="lt-LT"/>
        </w:rPr>
        <w:t xml:space="preserve">trolleybus network in </w:t>
      </w:r>
      <w:proofErr w:type="spellStart"/>
      <w:r w:rsidRPr="00461EC7">
        <w:rPr>
          <w:lang w:val="en-GB" w:eastAsia="lt-LT"/>
        </w:rPr>
        <w:t>Parodos</w:t>
      </w:r>
      <w:proofErr w:type="spellEnd"/>
      <w:r w:rsidRPr="00461EC7">
        <w:rPr>
          <w:lang w:val="en-GB" w:eastAsia="lt-LT"/>
        </w:rPr>
        <w:t xml:space="preserve"> </w:t>
      </w:r>
      <w:r w:rsidR="00145978" w:rsidRPr="00461EC7">
        <w:rPr>
          <w:lang w:val="en-GB" w:eastAsia="lt-LT"/>
        </w:rPr>
        <w:t>and</w:t>
      </w:r>
      <w:r w:rsidRPr="00461EC7">
        <w:rPr>
          <w:lang w:val="en-GB" w:eastAsia="lt-LT"/>
        </w:rPr>
        <w:t xml:space="preserve"> K.</w:t>
      </w:r>
      <w:r w:rsidR="00145978" w:rsidRPr="00461EC7">
        <w:rPr>
          <w:lang w:val="en-GB" w:eastAsia="lt-LT"/>
        </w:rPr>
        <w:t> </w:t>
      </w:r>
      <w:proofErr w:type="spellStart"/>
      <w:r w:rsidRPr="00461EC7">
        <w:rPr>
          <w:lang w:val="en-GB" w:eastAsia="lt-LT"/>
        </w:rPr>
        <w:t>Petrausko</w:t>
      </w:r>
      <w:proofErr w:type="spellEnd"/>
      <w:r w:rsidRPr="00461EC7">
        <w:rPr>
          <w:lang w:val="en-GB" w:eastAsia="lt-LT"/>
        </w:rPr>
        <w:t xml:space="preserve"> streets in Kaunas (2</w:t>
      </w:r>
      <w:r w:rsidR="008D7123">
        <w:rPr>
          <w:lang w:val="en-GB" w:eastAsia="lt-LT"/>
        </w:rPr>
        <w:t>.</w:t>
      </w:r>
      <w:r w:rsidRPr="00461EC7">
        <w:rPr>
          <w:lang w:val="en-GB" w:eastAsia="lt-LT"/>
        </w:rPr>
        <w:t>1</w:t>
      </w:r>
      <w:r w:rsidR="00145978" w:rsidRPr="00461EC7">
        <w:rPr>
          <w:lang w:val="en-GB" w:eastAsia="lt-LT"/>
        </w:rPr>
        <w:t> </w:t>
      </w:r>
      <w:r w:rsidRPr="00461EC7">
        <w:rPr>
          <w:lang w:val="en-GB" w:eastAsia="lt-LT"/>
        </w:rPr>
        <w:t>km)</w:t>
      </w:r>
      <w:r w:rsidR="00145978" w:rsidRPr="00461EC7">
        <w:rPr>
          <w:lang w:val="en-GB" w:eastAsia="lt-LT"/>
        </w:rPr>
        <w:t>.</w:t>
      </w:r>
    </w:p>
    <w:p w:rsidR="00700849" w:rsidRDefault="00700849" w:rsidP="0046175C">
      <w:pPr>
        <w:pStyle w:val="Pagrindinispaprastastekstas"/>
        <w:rPr>
          <w:lang w:val="en-GB" w:eastAsia="lt-LT"/>
        </w:rPr>
      </w:pPr>
    </w:p>
    <w:p w:rsidR="0062342B" w:rsidRDefault="0062342B">
      <w:pPr>
        <w:rPr>
          <w:rFonts w:asciiTheme="majorHAnsi" w:eastAsia="Times New Roman" w:hAnsiTheme="majorHAnsi"/>
          <w:sz w:val="22"/>
          <w:lang w:val="en-GB" w:eastAsia="lt-LT"/>
        </w:rPr>
      </w:pPr>
      <w:r>
        <w:rPr>
          <w:lang w:val="en-GB" w:eastAsia="lt-LT"/>
        </w:rPr>
        <w:br w:type="page"/>
      </w: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21E5D" w:rsidRPr="00461EC7" w:rsidTr="006C7204">
        <w:tc>
          <w:tcPr>
            <w:tcW w:w="9628" w:type="dxa"/>
            <w:shd w:val="clear" w:color="auto" w:fill="DBE5F1" w:themeFill="accent1" w:themeFillTint="33"/>
          </w:tcPr>
          <w:p w:rsidR="00ED716E" w:rsidRPr="00461EC7" w:rsidRDefault="00145978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sz w:val="18"/>
                <w:szCs w:val="18"/>
                <w:lang w:val="en-GB"/>
              </w:rPr>
            </w:pP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lastRenderedPageBreak/>
              <w:t>“</w:t>
            </w:r>
            <w:r w:rsidR="008D7123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P</w:t>
            </w:r>
            <w:r w:rsidR="00ED716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urchas</w:t>
            </w:r>
            <w:r w:rsidR="008D7123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ing</w:t>
            </w:r>
            <w:r w:rsidR="00ED716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 eco-friendly public transport vehicles in Kaunas city (I</w:t>
            </w: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 </w:t>
            </w:r>
            <w:r w:rsidR="00ED716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phase)</w:t>
            </w: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”</w:t>
            </w:r>
          </w:p>
          <w:p w:rsidR="00021E5D" w:rsidRPr="00461EC7" w:rsidRDefault="00ED716E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>Project implementer</w:t>
            </w:r>
            <w:r w:rsidR="00145978" w:rsidRPr="00461EC7">
              <w:rPr>
                <w:i/>
                <w:sz w:val="18"/>
                <w:szCs w:val="18"/>
                <w:lang w:val="en-GB"/>
              </w:rPr>
              <w:t>:</w:t>
            </w:r>
            <w:r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="00145978" w:rsidRPr="00461EC7">
              <w:rPr>
                <w:i/>
                <w:sz w:val="18"/>
                <w:szCs w:val="18"/>
                <w:lang w:val="en-GB"/>
              </w:rPr>
              <w:t>A</w:t>
            </w:r>
            <w:r w:rsidRPr="00461EC7">
              <w:rPr>
                <w:i/>
                <w:sz w:val="18"/>
                <w:szCs w:val="18"/>
                <w:lang w:val="en-GB"/>
              </w:rPr>
              <w:t xml:space="preserve">dministration of Kaunas </w:t>
            </w:r>
            <w:r w:rsidR="00145978" w:rsidRPr="00461EC7">
              <w:rPr>
                <w:i/>
                <w:sz w:val="18"/>
                <w:szCs w:val="18"/>
                <w:lang w:val="en-GB"/>
              </w:rPr>
              <w:t>C</w:t>
            </w:r>
            <w:r w:rsidRPr="00461EC7">
              <w:rPr>
                <w:i/>
                <w:sz w:val="18"/>
                <w:szCs w:val="18"/>
                <w:lang w:val="en-GB"/>
              </w:rPr>
              <w:t xml:space="preserve">ity </w:t>
            </w:r>
            <w:r w:rsidR="00145978" w:rsidRPr="00461EC7">
              <w:rPr>
                <w:i/>
                <w:sz w:val="18"/>
                <w:szCs w:val="18"/>
                <w:lang w:val="en-GB"/>
              </w:rPr>
              <w:t>M</w:t>
            </w:r>
            <w:r w:rsidRPr="00461EC7">
              <w:rPr>
                <w:i/>
                <w:sz w:val="18"/>
                <w:szCs w:val="18"/>
                <w:lang w:val="en-GB"/>
              </w:rPr>
              <w:t>unicipality</w:t>
            </w:r>
          </w:p>
          <w:p w:rsidR="00021E5D" w:rsidRPr="00461EC7" w:rsidRDefault="00145978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>EU contri</w:t>
            </w:r>
            <w:r w:rsidR="00AD64FC" w:rsidRPr="00461EC7">
              <w:rPr>
                <w:i/>
                <w:sz w:val="18"/>
                <w:szCs w:val="18"/>
                <w:lang w:val="en-GB"/>
              </w:rPr>
              <w:t>bution:</w:t>
            </w:r>
            <w:r w:rsidR="00ED716E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="00AD64FC" w:rsidRPr="00461EC7">
              <w:rPr>
                <w:i/>
                <w:sz w:val="18"/>
                <w:szCs w:val="18"/>
                <w:lang w:val="en-GB"/>
              </w:rPr>
              <w:t>EUR </w:t>
            </w:r>
            <w:r w:rsidR="007D7AF9" w:rsidRPr="00461EC7">
              <w:rPr>
                <w:i/>
                <w:sz w:val="18"/>
                <w:szCs w:val="18"/>
                <w:lang w:val="en-GB"/>
              </w:rPr>
              <w:t>4</w:t>
            </w:r>
            <w:r w:rsidRPr="00461EC7">
              <w:rPr>
                <w:i/>
                <w:sz w:val="18"/>
                <w:szCs w:val="18"/>
                <w:lang w:val="en-GB"/>
              </w:rPr>
              <w:t>.</w:t>
            </w:r>
            <w:r w:rsidR="007D7AF9" w:rsidRPr="00461EC7">
              <w:rPr>
                <w:i/>
                <w:sz w:val="18"/>
                <w:szCs w:val="18"/>
                <w:lang w:val="en-GB"/>
              </w:rPr>
              <w:t>3301</w:t>
            </w:r>
            <w:r w:rsidRPr="00461EC7">
              <w:rPr>
                <w:i/>
                <w:sz w:val="18"/>
                <w:szCs w:val="18"/>
                <w:lang w:val="en-GB"/>
              </w:rPr>
              <w:t> million</w:t>
            </w:r>
          </w:p>
          <w:p w:rsidR="00021E5D" w:rsidRPr="00461EC7" w:rsidRDefault="00021E5D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sz w:val="18"/>
                <w:szCs w:val="18"/>
                <w:lang w:val="en-GB"/>
              </w:rPr>
            </w:pPr>
          </w:p>
          <w:p w:rsidR="00021E5D" w:rsidRPr="00461EC7" w:rsidRDefault="008D7123" w:rsidP="008D7123">
            <w:pPr>
              <w:pStyle w:val="Pagrindinispaprastastekstas"/>
              <w:shd w:val="clear" w:color="auto" w:fill="DBE5F1" w:themeFill="accent1" w:themeFillTint="33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</w:t>
            </w:r>
            <w:r w:rsidR="004E61B4" w:rsidRPr="00461EC7">
              <w:rPr>
                <w:sz w:val="18"/>
                <w:szCs w:val="18"/>
                <w:lang w:val="en-GB"/>
              </w:rPr>
              <w:t>he project</w:t>
            </w:r>
            <w:r>
              <w:rPr>
                <w:sz w:val="18"/>
                <w:szCs w:val="18"/>
                <w:lang w:val="en-GB"/>
              </w:rPr>
              <w:t xml:space="preserve"> included purchasing</w:t>
            </w:r>
            <w:r w:rsidR="004E61B4" w:rsidRPr="00461EC7">
              <w:rPr>
                <w:sz w:val="18"/>
                <w:szCs w:val="18"/>
                <w:lang w:val="en-GB"/>
              </w:rPr>
              <w:t xml:space="preserve"> 24</w:t>
            </w:r>
            <w:r w:rsidR="00145978" w:rsidRPr="00461EC7">
              <w:rPr>
                <w:sz w:val="18"/>
                <w:szCs w:val="18"/>
                <w:lang w:val="en-GB"/>
              </w:rPr>
              <w:t> </w:t>
            </w:r>
            <w:r w:rsidR="00386941" w:rsidRPr="00461EC7">
              <w:rPr>
                <w:sz w:val="18"/>
                <w:szCs w:val="18"/>
                <w:lang w:val="en-GB"/>
              </w:rPr>
              <w:t>buses</w:t>
            </w:r>
            <w:r w:rsidR="004E61B4" w:rsidRPr="00461EC7">
              <w:rPr>
                <w:sz w:val="18"/>
                <w:szCs w:val="18"/>
                <w:lang w:val="en-GB"/>
              </w:rPr>
              <w:t xml:space="preserve"> which</w:t>
            </w:r>
            <w:r w:rsidR="00386941" w:rsidRPr="00461EC7">
              <w:rPr>
                <w:sz w:val="18"/>
                <w:szCs w:val="18"/>
                <w:lang w:val="en-GB"/>
              </w:rPr>
              <w:t xml:space="preserve"> run on c</w:t>
            </w:r>
            <w:r w:rsidR="004C0548" w:rsidRPr="00461EC7">
              <w:rPr>
                <w:sz w:val="18"/>
                <w:szCs w:val="18"/>
                <w:lang w:val="en-GB"/>
              </w:rPr>
              <w:t>ompressed</w:t>
            </w:r>
            <w:r w:rsidR="004E61B4" w:rsidRPr="00461EC7">
              <w:rPr>
                <w:sz w:val="18"/>
                <w:szCs w:val="18"/>
                <w:lang w:val="en-GB"/>
              </w:rPr>
              <w:t xml:space="preserve"> natural gas, are low-floor, </w:t>
            </w:r>
            <w:r w:rsidR="004C0548" w:rsidRPr="00461EC7">
              <w:rPr>
                <w:sz w:val="18"/>
                <w:szCs w:val="18"/>
                <w:lang w:val="en-GB"/>
              </w:rPr>
              <w:t>disabled access friendly and 12</w:t>
            </w:r>
            <w:r w:rsidR="00145978" w:rsidRPr="00461EC7">
              <w:rPr>
                <w:sz w:val="18"/>
                <w:szCs w:val="18"/>
                <w:lang w:val="en-GB"/>
              </w:rPr>
              <w:t> </w:t>
            </w:r>
            <w:r w:rsidR="004C0548" w:rsidRPr="00461EC7">
              <w:rPr>
                <w:sz w:val="18"/>
                <w:szCs w:val="18"/>
                <w:lang w:val="en-GB"/>
              </w:rPr>
              <w:t xml:space="preserve">meters long. </w:t>
            </w:r>
            <w:r>
              <w:rPr>
                <w:sz w:val="18"/>
                <w:szCs w:val="18"/>
                <w:lang w:val="en-GB"/>
              </w:rPr>
              <w:t>It</w:t>
            </w:r>
            <w:r w:rsidR="004C0548" w:rsidRPr="00461EC7">
              <w:rPr>
                <w:sz w:val="18"/>
                <w:szCs w:val="18"/>
                <w:lang w:val="en-GB"/>
              </w:rPr>
              <w:t xml:space="preserve"> contributed to </w:t>
            </w:r>
            <w:r w:rsidR="00145978" w:rsidRPr="00461EC7">
              <w:rPr>
                <w:sz w:val="18"/>
                <w:szCs w:val="18"/>
                <w:lang w:val="en-GB"/>
              </w:rPr>
              <w:t xml:space="preserve">the </w:t>
            </w:r>
            <w:r w:rsidR="004C0548" w:rsidRPr="00461EC7">
              <w:rPr>
                <w:sz w:val="18"/>
                <w:szCs w:val="18"/>
                <w:lang w:val="en-GB"/>
              </w:rPr>
              <w:t>economic and ecological effectiveness</w:t>
            </w:r>
            <w:r w:rsidR="00145978" w:rsidRPr="00461EC7">
              <w:rPr>
                <w:sz w:val="18"/>
                <w:szCs w:val="18"/>
                <w:lang w:val="en-GB"/>
              </w:rPr>
              <w:t xml:space="preserve"> of the transport sector and</w:t>
            </w:r>
            <w:r w:rsidR="00D5361D" w:rsidRPr="00461EC7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reduced</w:t>
            </w:r>
            <w:r w:rsidRPr="00461EC7">
              <w:rPr>
                <w:sz w:val="18"/>
                <w:szCs w:val="18"/>
                <w:lang w:val="en-GB"/>
              </w:rPr>
              <w:t xml:space="preserve"> </w:t>
            </w:r>
            <w:r w:rsidR="00D5361D" w:rsidRPr="00461EC7">
              <w:rPr>
                <w:sz w:val="18"/>
                <w:szCs w:val="18"/>
                <w:lang w:val="en-GB"/>
              </w:rPr>
              <w:t xml:space="preserve">fuel </w:t>
            </w:r>
            <w:r>
              <w:rPr>
                <w:sz w:val="18"/>
                <w:szCs w:val="18"/>
                <w:lang w:val="en-GB"/>
              </w:rPr>
              <w:t>costs</w:t>
            </w:r>
            <w:r w:rsidRPr="00461EC7">
              <w:rPr>
                <w:sz w:val="18"/>
                <w:szCs w:val="18"/>
                <w:lang w:val="en-GB"/>
              </w:rPr>
              <w:t xml:space="preserve"> </w:t>
            </w:r>
            <w:r w:rsidR="00D5361D" w:rsidRPr="00461EC7">
              <w:rPr>
                <w:sz w:val="18"/>
                <w:szCs w:val="18"/>
                <w:lang w:val="en-GB"/>
              </w:rPr>
              <w:t xml:space="preserve">and </w:t>
            </w:r>
            <w:r w:rsidR="00145978" w:rsidRPr="00461EC7">
              <w:rPr>
                <w:sz w:val="18"/>
                <w:szCs w:val="18"/>
                <w:lang w:val="en-GB"/>
              </w:rPr>
              <w:t xml:space="preserve">gas </w:t>
            </w:r>
            <w:r w:rsidR="00D5361D" w:rsidRPr="00461EC7">
              <w:rPr>
                <w:sz w:val="18"/>
                <w:szCs w:val="18"/>
                <w:lang w:val="en-GB"/>
              </w:rPr>
              <w:t>emissions pollut</w:t>
            </w:r>
            <w:r w:rsidR="00145978" w:rsidRPr="00461EC7">
              <w:rPr>
                <w:sz w:val="18"/>
                <w:szCs w:val="18"/>
                <w:lang w:val="en-GB"/>
              </w:rPr>
              <w:t>ing</w:t>
            </w:r>
            <w:r w:rsidR="00D5361D" w:rsidRPr="00461EC7">
              <w:rPr>
                <w:sz w:val="18"/>
                <w:szCs w:val="18"/>
                <w:lang w:val="en-GB"/>
              </w:rPr>
              <w:t xml:space="preserve"> </w:t>
            </w:r>
            <w:r w:rsidR="00386941" w:rsidRPr="00461EC7">
              <w:rPr>
                <w:sz w:val="18"/>
                <w:szCs w:val="18"/>
                <w:lang w:val="en-GB"/>
              </w:rPr>
              <w:t xml:space="preserve">air </w:t>
            </w:r>
            <w:r w:rsidR="00D5361D" w:rsidRPr="00461EC7">
              <w:rPr>
                <w:sz w:val="18"/>
                <w:szCs w:val="18"/>
                <w:lang w:val="en-GB"/>
              </w:rPr>
              <w:t>and caus</w:t>
            </w:r>
            <w:r w:rsidR="00145978" w:rsidRPr="00461EC7">
              <w:rPr>
                <w:sz w:val="18"/>
                <w:szCs w:val="18"/>
                <w:lang w:val="en-GB"/>
              </w:rPr>
              <w:t>ing the</w:t>
            </w:r>
            <w:r w:rsidR="00D5361D" w:rsidRPr="00461EC7">
              <w:rPr>
                <w:sz w:val="18"/>
                <w:szCs w:val="18"/>
                <w:lang w:val="en-GB"/>
              </w:rPr>
              <w:t xml:space="preserve"> greenhouse effect. It </w:t>
            </w:r>
            <w:r>
              <w:rPr>
                <w:sz w:val="18"/>
                <w:szCs w:val="18"/>
                <w:lang w:val="en-GB"/>
              </w:rPr>
              <w:t xml:space="preserve">had </w:t>
            </w:r>
            <w:r w:rsidR="00D5361D" w:rsidRPr="00461EC7">
              <w:rPr>
                <w:sz w:val="18"/>
                <w:szCs w:val="18"/>
                <w:lang w:val="en-GB"/>
              </w:rPr>
              <w:t xml:space="preserve">also </w:t>
            </w:r>
            <w:r>
              <w:rPr>
                <w:sz w:val="18"/>
                <w:szCs w:val="18"/>
                <w:lang w:val="en-GB"/>
              </w:rPr>
              <w:t xml:space="preserve">a </w:t>
            </w:r>
            <w:r w:rsidR="00D5361D" w:rsidRPr="00461EC7">
              <w:rPr>
                <w:sz w:val="18"/>
                <w:szCs w:val="18"/>
                <w:lang w:val="en-GB"/>
              </w:rPr>
              <w:t xml:space="preserve">positive </w:t>
            </w:r>
            <w:r>
              <w:rPr>
                <w:sz w:val="18"/>
                <w:szCs w:val="18"/>
                <w:lang w:val="en-GB"/>
              </w:rPr>
              <w:t>e</w:t>
            </w:r>
            <w:r w:rsidR="00D5361D" w:rsidRPr="00461EC7">
              <w:rPr>
                <w:sz w:val="18"/>
                <w:szCs w:val="18"/>
                <w:lang w:val="en-GB"/>
              </w:rPr>
              <w:t>ffect</w:t>
            </w:r>
            <w:r>
              <w:rPr>
                <w:sz w:val="18"/>
                <w:szCs w:val="18"/>
                <w:lang w:val="en-GB"/>
              </w:rPr>
              <w:t xml:space="preserve"> on</w:t>
            </w:r>
            <w:r w:rsidR="00D5361D" w:rsidRPr="00461EC7">
              <w:rPr>
                <w:sz w:val="18"/>
                <w:szCs w:val="18"/>
                <w:lang w:val="en-GB"/>
              </w:rPr>
              <w:t xml:space="preserve"> the quality and appeal of public transport. Moreover,</w:t>
            </w:r>
            <w:r w:rsidR="00BD18DC" w:rsidRPr="00461EC7">
              <w:rPr>
                <w:sz w:val="18"/>
                <w:szCs w:val="18"/>
                <w:lang w:val="en-GB"/>
              </w:rPr>
              <w:t xml:space="preserve"> the project increased</w:t>
            </w:r>
            <w:r w:rsidR="00386941" w:rsidRPr="00461EC7">
              <w:rPr>
                <w:sz w:val="18"/>
                <w:szCs w:val="18"/>
                <w:lang w:val="en-GB"/>
              </w:rPr>
              <w:t xml:space="preserve"> comfort </w:t>
            </w:r>
            <w:r>
              <w:rPr>
                <w:sz w:val="18"/>
                <w:szCs w:val="18"/>
                <w:lang w:val="en-GB"/>
              </w:rPr>
              <w:t>for</w:t>
            </w:r>
            <w:r w:rsidR="00D5361D" w:rsidRPr="00461EC7">
              <w:rPr>
                <w:sz w:val="18"/>
                <w:szCs w:val="18"/>
                <w:lang w:val="en-GB"/>
              </w:rPr>
              <w:t xml:space="preserve"> </w:t>
            </w:r>
            <w:r w:rsidR="00386941" w:rsidRPr="00461EC7">
              <w:rPr>
                <w:sz w:val="18"/>
                <w:szCs w:val="18"/>
                <w:lang w:val="en-GB"/>
              </w:rPr>
              <w:t>passengers and drivers</w:t>
            </w:r>
            <w:r w:rsidR="00D5361D" w:rsidRPr="00461EC7">
              <w:rPr>
                <w:sz w:val="18"/>
                <w:szCs w:val="18"/>
                <w:lang w:val="en-GB"/>
              </w:rPr>
              <w:t>, while</w:t>
            </w:r>
            <w:r w:rsidR="00BD18DC" w:rsidRPr="00461EC7">
              <w:rPr>
                <w:sz w:val="18"/>
                <w:szCs w:val="18"/>
                <w:lang w:val="en-GB"/>
              </w:rPr>
              <w:t xml:space="preserve"> </w:t>
            </w:r>
            <w:r w:rsidR="00DD7CBB" w:rsidRPr="00461EC7">
              <w:rPr>
                <w:sz w:val="18"/>
                <w:szCs w:val="18"/>
                <w:lang w:val="en-GB"/>
              </w:rPr>
              <w:t>reducing</w:t>
            </w:r>
            <w:r w:rsidR="00D5361D" w:rsidRPr="00461EC7">
              <w:rPr>
                <w:sz w:val="18"/>
                <w:szCs w:val="18"/>
                <w:lang w:val="en-GB"/>
              </w:rPr>
              <w:t xml:space="preserve"> noise, vibration and the possibility of death from polluted air. </w:t>
            </w:r>
            <w:r w:rsidR="00BD18DC" w:rsidRPr="00461EC7">
              <w:rPr>
                <w:sz w:val="18"/>
                <w:szCs w:val="18"/>
                <w:lang w:val="en-GB"/>
              </w:rPr>
              <w:t xml:space="preserve">The </w:t>
            </w:r>
            <w:r w:rsidR="00D11DD5" w:rsidRPr="00461EC7">
              <w:rPr>
                <w:sz w:val="18"/>
                <w:szCs w:val="18"/>
                <w:lang w:val="en-GB"/>
              </w:rPr>
              <w:t xml:space="preserve">share of more environmentally friendly fuel and electricity in the total fuel consumption of “Kauno </w:t>
            </w:r>
            <w:proofErr w:type="spellStart"/>
            <w:r w:rsidR="00D11DD5" w:rsidRPr="00461EC7">
              <w:rPr>
                <w:sz w:val="18"/>
                <w:szCs w:val="18"/>
                <w:lang w:val="en-GB"/>
              </w:rPr>
              <w:t>autobusai</w:t>
            </w:r>
            <w:proofErr w:type="spellEnd"/>
            <w:r w:rsidR="00D11DD5" w:rsidRPr="00461EC7">
              <w:rPr>
                <w:sz w:val="18"/>
                <w:szCs w:val="18"/>
                <w:lang w:val="en-GB"/>
              </w:rPr>
              <w:t>” has increased from 0% to 25%.</w:t>
            </w:r>
            <w:r w:rsidR="007D7AF9" w:rsidRPr="00461EC7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1248" behindDoc="0" locked="0" layoutInCell="1" allowOverlap="1" wp14:anchorId="7E6BB832" wp14:editId="0586437D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549275</wp:posOffset>
                  </wp:positionV>
                  <wp:extent cx="4031615" cy="1115695"/>
                  <wp:effectExtent l="0" t="0" r="6985" b="825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55_e2c66aa13b959104e3ea6c7520bc9cf8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54" t="22113" r="12691" b="41303"/>
                          <a:stretch/>
                        </pic:blipFill>
                        <pic:spPr bwMode="auto">
                          <a:xfrm>
                            <a:off x="0" y="0"/>
                            <a:ext cx="4031615" cy="1115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00849" w:rsidRPr="00461EC7" w:rsidRDefault="00700849" w:rsidP="0046175C">
      <w:pPr>
        <w:pStyle w:val="Pagrindinispaprastastekstas"/>
        <w:rPr>
          <w:lang w:val="en-GB" w:eastAsia="lt-LT"/>
        </w:rPr>
      </w:pPr>
    </w:p>
    <w:p w:rsidR="00D11DD5" w:rsidRPr="00461EC7" w:rsidRDefault="004A55B0" w:rsidP="00A21851">
      <w:pPr>
        <w:pStyle w:val="Pagrindinispaprastastekstas"/>
        <w:rPr>
          <w:lang w:val="en-GB" w:eastAsia="lt-LT"/>
        </w:rPr>
      </w:pPr>
      <w:r>
        <w:rPr>
          <w:b/>
          <w:color w:val="1F497D" w:themeColor="text2"/>
          <w:lang w:val="en-GB" w:eastAsia="lt-LT"/>
        </w:rPr>
        <w:t>I</w:t>
      </w:r>
      <w:r w:rsidR="00D11DD5" w:rsidRPr="00461EC7">
        <w:rPr>
          <w:b/>
          <w:color w:val="1F497D" w:themeColor="text2"/>
          <w:lang w:val="en-GB" w:eastAsia="lt-LT"/>
        </w:rPr>
        <w:t>mpact of the investments:</w:t>
      </w:r>
    </w:p>
    <w:p w:rsidR="00D11DD5" w:rsidRPr="00461EC7" w:rsidRDefault="004A55B0" w:rsidP="00D11DD5">
      <w:pPr>
        <w:pStyle w:val="Pagrindinispaprastastekstas"/>
        <w:numPr>
          <w:ilvl w:val="0"/>
          <w:numId w:val="37"/>
        </w:numPr>
        <w:rPr>
          <w:lang w:val="en-GB" w:eastAsia="lt-LT"/>
        </w:rPr>
      </w:pPr>
      <w:proofErr w:type="gramStart"/>
      <w:r>
        <w:rPr>
          <w:lang w:val="en-GB" w:eastAsia="lt-LT"/>
        </w:rPr>
        <w:t>t</w:t>
      </w:r>
      <w:r w:rsidR="00D11DD5" w:rsidRPr="00461EC7">
        <w:rPr>
          <w:lang w:val="en-GB" w:eastAsia="lt-LT"/>
        </w:rPr>
        <w:t>he</w:t>
      </w:r>
      <w:proofErr w:type="gramEnd"/>
      <w:r w:rsidR="00D11DD5" w:rsidRPr="00461EC7">
        <w:rPr>
          <w:lang w:val="en-GB" w:eastAsia="lt-LT"/>
        </w:rPr>
        <w:t xml:space="preserve"> share of more environmentally friendly fuel and electricity in the total fuel consumption of the cities increased by 11</w:t>
      </w:r>
      <w:r w:rsidR="00DD7CBB" w:rsidRPr="00461EC7">
        <w:rPr>
          <w:lang w:val="en-GB" w:eastAsia="lt-LT"/>
        </w:rPr>
        <w:t xml:space="preserve">pp </w:t>
      </w:r>
      <w:r w:rsidR="00D11DD5" w:rsidRPr="00461EC7">
        <w:rPr>
          <w:lang w:val="en-GB" w:eastAsia="lt-LT"/>
        </w:rPr>
        <w:t>(from 17% to 28%)</w:t>
      </w:r>
      <w:r>
        <w:rPr>
          <w:lang w:val="en-GB" w:eastAsia="lt-LT"/>
        </w:rPr>
        <w:t>;</w:t>
      </w:r>
    </w:p>
    <w:p w:rsidR="00D11DD5" w:rsidRPr="00461EC7" w:rsidRDefault="004A55B0" w:rsidP="00D11DD5">
      <w:pPr>
        <w:pStyle w:val="Pagrindinispaprastastekstas"/>
        <w:numPr>
          <w:ilvl w:val="0"/>
          <w:numId w:val="37"/>
        </w:numPr>
        <w:rPr>
          <w:lang w:val="en-GB" w:eastAsia="lt-LT"/>
        </w:rPr>
      </w:pPr>
      <w:r>
        <w:rPr>
          <w:lang w:val="en-GB" w:eastAsia="lt-LT"/>
        </w:rPr>
        <w:t>t</w:t>
      </w:r>
      <w:r w:rsidR="00D11DD5" w:rsidRPr="00461EC7">
        <w:rPr>
          <w:lang w:val="en-GB" w:eastAsia="lt-LT"/>
        </w:rPr>
        <w:t>he use of diesel in public transport decreased (</w:t>
      </w:r>
      <w:r w:rsidR="008D7123" w:rsidRPr="00461EC7">
        <w:rPr>
          <w:lang w:val="en-GB" w:eastAsia="lt-LT"/>
        </w:rPr>
        <w:t>by 47%</w:t>
      </w:r>
      <w:r w:rsidR="008D7123">
        <w:rPr>
          <w:lang w:val="en-GB" w:eastAsia="lt-LT"/>
        </w:rPr>
        <w:t xml:space="preserve"> </w:t>
      </w:r>
      <w:r w:rsidR="00D11DD5" w:rsidRPr="00461EC7">
        <w:rPr>
          <w:lang w:val="en-GB" w:eastAsia="lt-LT"/>
        </w:rPr>
        <w:t xml:space="preserve">in </w:t>
      </w:r>
      <w:proofErr w:type="spellStart"/>
      <w:r w:rsidR="00D11DD5" w:rsidRPr="00461EC7">
        <w:rPr>
          <w:lang w:val="en-GB" w:eastAsia="lt-LT"/>
        </w:rPr>
        <w:t>Klaipėda</w:t>
      </w:r>
      <w:proofErr w:type="spellEnd"/>
      <w:r w:rsidR="00D11DD5" w:rsidRPr="00461EC7">
        <w:rPr>
          <w:lang w:val="en-GB" w:eastAsia="lt-LT"/>
        </w:rPr>
        <w:t xml:space="preserve">, </w:t>
      </w:r>
      <w:r w:rsidR="008D7123" w:rsidRPr="00461EC7">
        <w:rPr>
          <w:lang w:val="en-GB" w:eastAsia="lt-LT"/>
        </w:rPr>
        <w:t>by 31%</w:t>
      </w:r>
      <w:r w:rsidR="008D7123">
        <w:rPr>
          <w:lang w:val="en-GB" w:eastAsia="lt-LT"/>
        </w:rPr>
        <w:t xml:space="preserve"> </w:t>
      </w:r>
      <w:r w:rsidR="00D11DD5" w:rsidRPr="00461EC7">
        <w:rPr>
          <w:lang w:val="en-GB" w:eastAsia="lt-LT"/>
        </w:rPr>
        <w:t xml:space="preserve">in </w:t>
      </w:r>
      <w:proofErr w:type="spellStart"/>
      <w:r w:rsidR="00D11DD5" w:rsidRPr="00461EC7">
        <w:rPr>
          <w:lang w:val="en-GB" w:eastAsia="lt-LT"/>
        </w:rPr>
        <w:t>Šiauliai</w:t>
      </w:r>
      <w:proofErr w:type="spellEnd"/>
      <w:r w:rsidR="00D11DD5" w:rsidRPr="00461EC7">
        <w:rPr>
          <w:lang w:val="en-GB" w:eastAsia="lt-LT"/>
        </w:rPr>
        <w:t>)</w:t>
      </w:r>
      <w:r>
        <w:rPr>
          <w:lang w:val="en-GB" w:eastAsia="lt-LT"/>
        </w:rPr>
        <w:t>;</w:t>
      </w:r>
    </w:p>
    <w:p w:rsidR="00D11DD5" w:rsidRPr="00461EC7" w:rsidRDefault="004A55B0" w:rsidP="00D11DD5">
      <w:pPr>
        <w:pStyle w:val="Pagrindinispaprastastekstas"/>
        <w:numPr>
          <w:ilvl w:val="0"/>
          <w:numId w:val="37"/>
        </w:numPr>
        <w:rPr>
          <w:lang w:val="en-GB" w:eastAsia="lt-LT"/>
        </w:rPr>
      </w:pPr>
      <w:proofErr w:type="gramStart"/>
      <w:r>
        <w:rPr>
          <w:lang w:val="en-GB" w:eastAsia="lt-LT"/>
        </w:rPr>
        <w:t>t</w:t>
      </w:r>
      <w:r w:rsidR="00D11DD5" w:rsidRPr="00461EC7">
        <w:rPr>
          <w:lang w:val="en-GB" w:eastAsia="lt-LT"/>
        </w:rPr>
        <w:t>he</w:t>
      </w:r>
      <w:proofErr w:type="gramEnd"/>
      <w:r w:rsidR="00D11DD5" w:rsidRPr="00461EC7">
        <w:rPr>
          <w:lang w:val="en-GB" w:eastAsia="lt-LT"/>
        </w:rPr>
        <w:t xml:space="preserve"> number of </w:t>
      </w:r>
      <w:r w:rsidR="00DD7CBB" w:rsidRPr="00461EC7">
        <w:rPr>
          <w:lang w:val="en-GB" w:eastAsia="lt-LT"/>
        </w:rPr>
        <w:t xml:space="preserve">public transport </w:t>
      </w:r>
      <w:r w:rsidR="00D11DD5" w:rsidRPr="00461EC7">
        <w:rPr>
          <w:lang w:val="en-GB" w:eastAsia="lt-LT"/>
        </w:rPr>
        <w:t>passengers increased by 32% (</w:t>
      </w:r>
      <w:r w:rsidR="00DD7CBB" w:rsidRPr="00461EC7">
        <w:rPr>
          <w:lang w:val="en-GB" w:eastAsia="lt-LT"/>
        </w:rPr>
        <w:t>a 5% increase was planned</w:t>
      </w:r>
      <w:r w:rsidR="00D11DD5" w:rsidRPr="00461EC7">
        <w:rPr>
          <w:lang w:val="en-GB" w:eastAsia="lt-LT"/>
        </w:rPr>
        <w:t>).</w:t>
      </w:r>
    </w:p>
    <w:p w:rsidR="00EF165B" w:rsidRPr="00461EC7" w:rsidRDefault="00EF165B">
      <w:pPr>
        <w:rPr>
          <w:rFonts w:asciiTheme="majorHAnsi" w:eastAsia="Times New Roman" w:hAnsiTheme="majorHAnsi"/>
          <w:sz w:val="22"/>
          <w:lang w:val="en-GB" w:eastAsia="lt-LT"/>
        </w:rPr>
      </w:pPr>
    </w:p>
    <w:p w:rsidR="003B4DAF" w:rsidRPr="00461EC7" w:rsidRDefault="00AE4C99" w:rsidP="003B4DAF">
      <w:pPr>
        <w:pStyle w:val="Nenumeruojamosantrastes"/>
        <w:rPr>
          <w:lang w:val="en-GB"/>
        </w:rPr>
      </w:pPr>
      <w:r w:rsidRPr="00461EC7">
        <w:rPr>
          <w:lang w:val="en-GB"/>
        </w:rPr>
        <w:t xml:space="preserve">results of the </w:t>
      </w:r>
      <w:r w:rsidR="00DD7CBB" w:rsidRPr="00461EC7">
        <w:rPr>
          <w:lang w:val="en-GB"/>
        </w:rPr>
        <w:t xml:space="preserve">OPPC </w:t>
      </w:r>
      <w:r w:rsidRPr="00461EC7">
        <w:rPr>
          <w:lang w:val="en-GB"/>
        </w:rPr>
        <w:t xml:space="preserve">implementation: </w:t>
      </w:r>
      <w:r w:rsidRPr="00461EC7">
        <w:rPr>
          <w:lang w:val="en-GB" w:eastAsia="ar-SA"/>
        </w:rPr>
        <w:t xml:space="preserve">increasing </w:t>
      </w:r>
      <w:r w:rsidR="00DD7CBB" w:rsidRPr="00461EC7">
        <w:rPr>
          <w:lang w:val="en-GB" w:eastAsia="ar-SA"/>
        </w:rPr>
        <w:t xml:space="preserve">energy </w:t>
      </w:r>
      <w:r w:rsidRPr="00461EC7">
        <w:rPr>
          <w:lang w:val="en-GB" w:eastAsia="ar-SA"/>
        </w:rPr>
        <w:t>efficiency</w:t>
      </w:r>
    </w:p>
    <w:p w:rsidR="00AE4C99" w:rsidRPr="00461EC7" w:rsidRDefault="004C0F6A" w:rsidP="00AE4C99">
      <w:pPr>
        <w:pStyle w:val="Pagrindinispaprastastekstas"/>
        <w:rPr>
          <w:b/>
          <w:color w:val="1F497D" w:themeColor="text2"/>
          <w:lang w:val="en-GB" w:eastAsia="lt-LT"/>
        </w:rPr>
      </w:pPr>
      <w:r w:rsidRPr="00461EC7">
        <w:rPr>
          <w:b/>
          <w:color w:val="1F497D" w:themeColor="text2"/>
          <w:lang w:val="en-GB" w:eastAsia="lt-LT"/>
        </w:rPr>
        <w:t xml:space="preserve">The main outputs </w:t>
      </w:r>
      <w:r w:rsidR="002339A0" w:rsidRPr="00461EC7">
        <w:rPr>
          <w:b/>
          <w:color w:val="1F497D" w:themeColor="text2"/>
          <w:lang w:val="en-GB" w:eastAsia="lt-LT"/>
        </w:rPr>
        <w:t>and results</w:t>
      </w:r>
    </w:p>
    <w:p w:rsidR="003B4DAF" w:rsidRPr="00461EC7" w:rsidRDefault="003B4DAF" w:rsidP="003B4DAF">
      <w:pPr>
        <w:pStyle w:val="Pagrindinispaprastastekstas"/>
        <w:rPr>
          <w:lang w:val="en-GB" w:eastAsia="lt-LT"/>
        </w:rPr>
      </w:pPr>
      <w:r w:rsidRPr="00461EC7">
        <w:rPr>
          <w:noProof/>
          <w:lang w:eastAsia="lt-LT"/>
        </w:rPr>
        <w:drawing>
          <wp:inline distT="0" distB="0" distL="0" distR="0" wp14:anchorId="2DCEDA11" wp14:editId="73909936">
            <wp:extent cx="6050658" cy="1838876"/>
            <wp:effectExtent l="0" t="0" r="7620" b="9525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B4DAF" w:rsidRPr="00461EC7" w:rsidRDefault="003B4DAF" w:rsidP="003B4DAF">
      <w:pPr>
        <w:pStyle w:val="Pagrindinispaprastastekstas"/>
        <w:rPr>
          <w:lang w:val="en-GB" w:eastAsia="lt-LT"/>
        </w:rPr>
      </w:pPr>
    </w:p>
    <w:p w:rsidR="003B4DAF" w:rsidRPr="00461EC7" w:rsidRDefault="0099635D" w:rsidP="003B4DAF">
      <w:pPr>
        <w:pStyle w:val="Pagrindinispaprastastekstas"/>
        <w:numPr>
          <w:ilvl w:val="0"/>
          <w:numId w:val="28"/>
        </w:numPr>
        <w:rPr>
          <w:lang w:val="en-GB" w:eastAsia="lt-LT"/>
        </w:rPr>
      </w:pPr>
      <w:r w:rsidRPr="00461EC7">
        <w:rPr>
          <w:lang w:val="en-GB" w:eastAsia="lt-LT"/>
        </w:rPr>
        <w:t>1</w:t>
      </w:r>
      <w:r w:rsidR="00145978" w:rsidRPr="00461EC7">
        <w:rPr>
          <w:lang w:val="en-GB" w:eastAsia="lt-LT"/>
        </w:rPr>
        <w:t>,</w:t>
      </w:r>
      <w:r w:rsidRPr="00461EC7">
        <w:rPr>
          <w:lang w:val="en-GB" w:eastAsia="lt-LT"/>
        </w:rPr>
        <w:t xml:space="preserve">537 </w:t>
      </w:r>
      <w:r w:rsidR="00DD7CBB" w:rsidRPr="00461EC7">
        <w:rPr>
          <w:lang w:val="en-GB" w:eastAsia="lt-LT"/>
        </w:rPr>
        <w:t>multi-apartment buildings</w:t>
      </w:r>
      <w:r w:rsidRPr="00461EC7">
        <w:rPr>
          <w:lang w:val="en-GB" w:eastAsia="lt-LT"/>
        </w:rPr>
        <w:t xml:space="preserve"> were moderni</w:t>
      </w:r>
      <w:r w:rsidR="00DD7CBB" w:rsidRPr="00461EC7">
        <w:rPr>
          <w:lang w:val="en-GB" w:eastAsia="lt-LT"/>
        </w:rPr>
        <w:t>s</w:t>
      </w:r>
      <w:r w:rsidRPr="00461EC7">
        <w:rPr>
          <w:lang w:val="en-GB" w:eastAsia="lt-LT"/>
        </w:rPr>
        <w:t>ed</w:t>
      </w:r>
      <w:r w:rsidR="00DD7CBB" w:rsidRPr="00461EC7">
        <w:rPr>
          <w:lang w:val="en-GB" w:eastAsia="lt-LT"/>
        </w:rPr>
        <w:t xml:space="preserve"> by the end of 2016</w:t>
      </w:r>
      <w:r w:rsidRPr="00461EC7">
        <w:rPr>
          <w:lang w:val="en-GB" w:eastAsia="lt-LT"/>
        </w:rPr>
        <w:t>, of which 1</w:t>
      </w:r>
      <w:r w:rsidR="00145978" w:rsidRPr="00461EC7">
        <w:rPr>
          <w:lang w:val="en-GB" w:eastAsia="lt-LT"/>
        </w:rPr>
        <w:t>,</w:t>
      </w:r>
      <w:r w:rsidRPr="00461EC7">
        <w:rPr>
          <w:lang w:val="en-GB" w:eastAsia="lt-LT"/>
        </w:rPr>
        <w:t xml:space="preserve">068 (69%) </w:t>
      </w:r>
      <w:r w:rsidR="00DD7CBB" w:rsidRPr="00461EC7">
        <w:rPr>
          <w:lang w:val="en-GB" w:eastAsia="lt-LT"/>
        </w:rPr>
        <w:t xml:space="preserve">using </w:t>
      </w:r>
      <w:r w:rsidRPr="00461EC7">
        <w:rPr>
          <w:lang w:val="en-GB" w:eastAsia="lt-LT"/>
        </w:rPr>
        <w:t>the OPPC funds.</w:t>
      </w:r>
    </w:p>
    <w:p w:rsidR="00913D38" w:rsidRPr="00461EC7" w:rsidRDefault="00913D38" w:rsidP="003B4DAF">
      <w:pPr>
        <w:pStyle w:val="Pagrindinispaprastastekstas"/>
        <w:numPr>
          <w:ilvl w:val="0"/>
          <w:numId w:val="28"/>
        </w:numPr>
        <w:rPr>
          <w:lang w:val="en-GB" w:eastAsia="lt-LT"/>
        </w:rPr>
      </w:pPr>
      <w:r w:rsidRPr="00461EC7">
        <w:rPr>
          <w:lang w:val="en-GB" w:eastAsia="lt-LT"/>
        </w:rPr>
        <w:t xml:space="preserve">Energy efficiency </w:t>
      </w:r>
      <w:r w:rsidR="00DD7CBB" w:rsidRPr="00461EC7">
        <w:rPr>
          <w:lang w:val="en-GB" w:eastAsia="lt-LT"/>
        </w:rPr>
        <w:t>in the multi-apartment buildings</w:t>
      </w:r>
      <w:r w:rsidRPr="00461EC7">
        <w:rPr>
          <w:lang w:val="en-GB" w:eastAsia="lt-LT"/>
        </w:rPr>
        <w:t xml:space="preserve"> moderni</w:t>
      </w:r>
      <w:r w:rsidR="00DD7CBB" w:rsidRPr="00461EC7">
        <w:rPr>
          <w:lang w:val="en-GB" w:eastAsia="lt-LT"/>
        </w:rPr>
        <w:t>s</w:t>
      </w:r>
      <w:r w:rsidRPr="00461EC7">
        <w:rPr>
          <w:lang w:val="en-GB" w:eastAsia="lt-LT"/>
        </w:rPr>
        <w:t>ed under JESSICA increased by 67</w:t>
      </w:r>
      <w:r w:rsidR="00145978" w:rsidRPr="00461EC7">
        <w:rPr>
          <w:lang w:val="en-GB" w:eastAsia="lt-LT"/>
        </w:rPr>
        <w:t>.</w:t>
      </w:r>
      <w:r w:rsidRPr="00461EC7">
        <w:rPr>
          <w:lang w:val="en-GB" w:eastAsia="lt-LT"/>
        </w:rPr>
        <w:t>32%</w:t>
      </w:r>
      <w:r w:rsidR="00A14CB3" w:rsidRPr="00461EC7">
        <w:rPr>
          <w:lang w:val="en-GB" w:eastAsia="lt-LT"/>
        </w:rPr>
        <w:t>.</w:t>
      </w:r>
    </w:p>
    <w:p w:rsidR="003B4DAF" w:rsidRPr="00461EC7" w:rsidRDefault="00913D38" w:rsidP="003B4DAF">
      <w:pPr>
        <w:pStyle w:val="Pagrindinispaprastastekstas"/>
        <w:numPr>
          <w:ilvl w:val="0"/>
          <w:numId w:val="28"/>
        </w:numPr>
        <w:rPr>
          <w:lang w:val="en-GB" w:eastAsia="lt-LT"/>
        </w:rPr>
      </w:pPr>
      <w:r w:rsidRPr="00461EC7">
        <w:rPr>
          <w:lang w:val="en-GB" w:eastAsia="lt-LT"/>
        </w:rPr>
        <w:t>262</w:t>
      </w:r>
      <w:r w:rsidR="00DD7CBB" w:rsidRPr="00461EC7">
        <w:rPr>
          <w:lang w:val="en-GB" w:eastAsia="lt-LT"/>
        </w:rPr>
        <w:t> </w:t>
      </w:r>
      <w:proofErr w:type="spellStart"/>
      <w:r w:rsidRPr="00461EC7">
        <w:rPr>
          <w:lang w:val="en-GB" w:eastAsia="lt-LT"/>
        </w:rPr>
        <w:t>GWh</w:t>
      </w:r>
      <w:proofErr w:type="spellEnd"/>
      <w:r w:rsidRPr="00461EC7">
        <w:rPr>
          <w:lang w:val="en-GB" w:eastAsia="lt-LT"/>
        </w:rPr>
        <w:t xml:space="preserve"> of energy was saved </w:t>
      </w:r>
      <w:r w:rsidR="008D7123">
        <w:rPr>
          <w:lang w:val="en-GB" w:eastAsia="lt-LT"/>
        </w:rPr>
        <w:t>by</w:t>
      </w:r>
      <w:r w:rsidRPr="00461EC7">
        <w:rPr>
          <w:lang w:val="en-GB" w:eastAsia="lt-LT"/>
        </w:rPr>
        <w:t xml:space="preserve"> moderni</w:t>
      </w:r>
      <w:r w:rsidR="00DD7CBB" w:rsidRPr="00461EC7">
        <w:rPr>
          <w:lang w:val="en-GB" w:eastAsia="lt-LT"/>
        </w:rPr>
        <w:t>s</w:t>
      </w:r>
      <w:r w:rsidRPr="00461EC7">
        <w:rPr>
          <w:lang w:val="en-GB" w:eastAsia="lt-LT"/>
        </w:rPr>
        <w:t>ed public buildings</w:t>
      </w:r>
      <w:r w:rsidR="003B4DAF" w:rsidRPr="00461EC7">
        <w:rPr>
          <w:lang w:val="en-GB" w:eastAsia="lt-LT"/>
        </w:rPr>
        <w:t>.</w:t>
      </w:r>
    </w:p>
    <w:p w:rsidR="003B4DAF" w:rsidRPr="00461EC7" w:rsidRDefault="00913D38" w:rsidP="008C5552">
      <w:pPr>
        <w:pStyle w:val="Pagrindinispaprastastekstas"/>
        <w:numPr>
          <w:ilvl w:val="0"/>
          <w:numId w:val="28"/>
        </w:numPr>
        <w:rPr>
          <w:lang w:val="en-GB" w:eastAsia="lt-LT"/>
        </w:rPr>
      </w:pPr>
      <w:r w:rsidRPr="00461EC7">
        <w:rPr>
          <w:lang w:val="en-GB" w:eastAsia="lt-LT"/>
        </w:rPr>
        <w:t>55</w:t>
      </w:r>
      <w:r w:rsidR="00DD7CBB" w:rsidRPr="00461EC7">
        <w:rPr>
          <w:lang w:val="en-GB" w:eastAsia="lt-LT"/>
        </w:rPr>
        <w:t> </w:t>
      </w:r>
      <w:r w:rsidRPr="00461EC7">
        <w:rPr>
          <w:lang w:val="en-GB" w:eastAsia="lt-LT"/>
        </w:rPr>
        <w:t>new energy production facilities (</w:t>
      </w:r>
      <w:r w:rsidR="008C5552" w:rsidRPr="00461EC7">
        <w:rPr>
          <w:lang w:val="en-GB" w:eastAsia="lt-LT"/>
        </w:rPr>
        <w:t>boiler plants, combined heat and power plants</w:t>
      </w:r>
      <w:r w:rsidRPr="00461EC7">
        <w:rPr>
          <w:lang w:val="en-GB" w:eastAsia="lt-LT"/>
        </w:rPr>
        <w:t xml:space="preserve">), which use biomass and produce heating </w:t>
      </w:r>
      <w:r w:rsidR="00DD7CBB" w:rsidRPr="00461EC7">
        <w:rPr>
          <w:lang w:val="en-GB" w:eastAsia="lt-LT"/>
        </w:rPr>
        <w:t>for</w:t>
      </w:r>
      <w:r w:rsidRPr="00461EC7">
        <w:rPr>
          <w:lang w:val="en-GB" w:eastAsia="lt-LT"/>
        </w:rPr>
        <w:t xml:space="preserve"> </w:t>
      </w:r>
      <w:r w:rsidR="00A14CB3" w:rsidRPr="00461EC7">
        <w:rPr>
          <w:lang w:val="en-GB" w:eastAsia="lt-LT"/>
        </w:rPr>
        <w:t>heat supply systems</w:t>
      </w:r>
      <w:r w:rsidR="008D7123">
        <w:rPr>
          <w:lang w:val="en-GB" w:eastAsia="lt-LT"/>
        </w:rPr>
        <w:t>,</w:t>
      </w:r>
      <w:r w:rsidR="00A14CB3" w:rsidRPr="00461EC7">
        <w:rPr>
          <w:lang w:val="en-GB" w:eastAsia="lt-LT"/>
        </w:rPr>
        <w:t xml:space="preserve"> were installed</w:t>
      </w:r>
      <w:r w:rsidR="00DD7CBB" w:rsidRPr="00461EC7">
        <w:rPr>
          <w:lang w:val="en-GB" w:eastAsia="lt-LT"/>
        </w:rPr>
        <w:t>.</w:t>
      </w:r>
      <w:r w:rsidR="00A14CB3" w:rsidRPr="00461EC7">
        <w:rPr>
          <w:lang w:val="en-GB" w:eastAsia="lt-LT"/>
        </w:rPr>
        <w:t xml:space="preserve"> </w:t>
      </w:r>
      <w:r w:rsidR="00DD7CBB" w:rsidRPr="00461EC7">
        <w:rPr>
          <w:lang w:val="en-GB" w:eastAsia="lt-LT"/>
        </w:rPr>
        <w:t>T</w:t>
      </w:r>
      <w:r w:rsidR="00A14CB3" w:rsidRPr="00461EC7">
        <w:rPr>
          <w:lang w:val="en-GB" w:eastAsia="lt-LT"/>
        </w:rPr>
        <w:t xml:space="preserve">heir </w:t>
      </w:r>
      <w:r w:rsidR="008C5552" w:rsidRPr="00461EC7">
        <w:rPr>
          <w:lang w:val="en-GB" w:eastAsia="lt-LT"/>
        </w:rPr>
        <w:t xml:space="preserve">combined </w:t>
      </w:r>
      <w:r w:rsidR="00A14CB3" w:rsidRPr="00461EC7">
        <w:rPr>
          <w:lang w:val="en-GB" w:eastAsia="lt-LT"/>
        </w:rPr>
        <w:t>capacity is 629</w:t>
      </w:r>
      <w:r w:rsidR="008D7123">
        <w:rPr>
          <w:lang w:val="en-GB" w:eastAsia="lt-LT"/>
        </w:rPr>
        <w:t>.</w:t>
      </w:r>
      <w:r w:rsidR="00A14CB3" w:rsidRPr="00461EC7">
        <w:rPr>
          <w:lang w:val="en-GB" w:eastAsia="lt-LT"/>
        </w:rPr>
        <w:t>16</w:t>
      </w:r>
      <w:r w:rsidR="00DD7CBB" w:rsidRPr="00461EC7">
        <w:rPr>
          <w:lang w:val="en-GB" w:eastAsia="lt-LT"/>
        </w:rPr>
        <w:t> </w:t>
      </w:r>
      <w:r w:rsidR="00A14CB3" w:rsidRPr="00461EC7">
        <w:rPr>
          <w:lang w:val="en-GB" w:eastAsia="lt-LT"/>
        </w:rPr>
        <w:t>MW</w:t>
      </w:r>
      <w:r w:rsidR="003B4DAF" w:rsidRPr="00461EC7">
        <w:rPr>
          <w:lang w:val="en-GB" w:eastAsia="lt-LT"/>
        </w:rPr>
        <w:t>.</w:t>
      </w:r>
    </w:p>
    <w:p w:rsidR="003B4DAF" w:rsidRPr="00461EC7" w:rsidRDefault="00B83656" w:rsidP="003B4DAF">
      <w:pPr>
        <w:pStyle w:val="Pagrindinispaprastastekstas"/>
        <w:rPr>
          <w:lang w:val="en-GB" w:eastAsia="lt-LT"/>
        </w:rPr>
      </w:pPr>
      <w:r>
        <w:rPr>
          <w:lang w:val="en-GB" w:eastAsia="lt-LT"/>
        </w:rPr>
        <w:pict>
          <v:shape id="Text Box 44" o:spid="_x0000_s1027" type="#_x0000_t202" style="position:absolute;left:0;text-align:left;margin-left:814.1pt;margin-top:.25pt;width:159.5pt;height:77.7pt;z-index:-251611136;visibility:visible;mso-wrap-distance-left:8.5pt;mso-wrap-distance-top:8.5pt;mso-wrap-distance-right:8.5pt;mso-wrap-distance-bottom:8.5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" fillcolor="#dbe5f1 [660]" stroked="f" strokeweight=".5pt">
            <v:textbox inset="3mm,3mm,3mm,3mm">
              <w:txbxContent>
                <w:p w:rsidR="009B428C" w:rsidRPr="00DA5DE0" w:rsidRDefault="009B428C" w:rsidP="003B4DAF">
                  <w:pPr>
                    <w:jc w:val="center"/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>By</w:t>
                  </w:r>
                  <w:r w:rsidRPr="00DA5DE0"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 xml:space="preserve"> the end </w:t>
                  </w:r>
                  <w:r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 xml:space="preserve">of 2016, </w:t>
                  </w:r>
                  <w:r w:rsidRPr="00DA5DE0"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>4</w:t>
                  </w:r>
                  <w:proofErr w:type="gramStart"/>
                  <w:r w:rsidRPr="00DA5DE0"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>,4</w:t>
                  </w:r>
                  <w:proofErr w:type="gramEnd"/>
                  <w:r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>%</w:t>
                  </w:r>
                  <w:r w:rsidRPr="00DA5DE0"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 xml:space="preserve"> of all </w:t>
                  </w:r>
                  <w:r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 xml:space="preserve">multi-apartment buildings </w:t>
                  </w:r>
                  <w:r w:rsidRPr="00DA5DE0"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 xml:space="preserve">built </w:t>
                  </w:r>
                  <w:r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>before</w:t>
                  </w:r>
                  <w:r w:rsidRPr="00DA5DE0"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 xml:space="preserve"> 1993 were modernised</w:t>
                  </w:r>
                  <w:r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 xml:space="preserve"> in Lithuania</w:t>
                  </w:r>
                  <w:r w:rsidRPr="00DA5DE0">
                    <w:rPr>
                      <w:rFonts w:asciiTheme="majorHAnsi" w:hAnsiTheme="majorHAnsi"/>
                      <w:color w:val="17365D" w:themeColor="text2" w:themeShade="BF"/>
                      <w:sz w:val="20"/>
                      <w:szCs w:val="20"/>
                      <w:lang w:val="en-GB"/>
                    </w:rPr>
                    <w:t>.</w:t>
                  </w:r>
                </w:p>
              </w:txbxContent>
            </v:textbox>
            <w10:wrap type="square" anchorx="margin"/>
          </v:shape>
        </w:pict>
      </w:r>
    </w:p>
    <w:p w:rsidR="00A14CB3" w:rsidRPr="00461EC7" w:rsidRDefault="004A55B0" w:rsidP="00A14CB3">
      <w:pPr>
        <w:pStyle w:val="Pagrindinispaprastastekstas"/>
        <w:rPr>
          <w:lang w:val="en-GB" w:eastAsia="lt-LT"/>
        </w:rPr>
      </w:pPr>
      <w:r>
        <w:rPr>
          <w:b/>
          <w:color w:val="1F497D" w:themeColor="text2"/>
          <w:lang w:val="en-GB" w:eastAsia="lt-LT"/>
        </w:rPr>
        <w:t>I</w:t>
      </w:r>
      <w:r w:rsidR="00A14CB3" w:rsidRPr="00461EC7">
        <w:rPr>
          <w:b/>
          <w:color w:val="1F497D" w:themeColor="text2"/>
          <w:lang w:val="en-GB" w:eastAsia="lt-LT"/>
        </w:rPr>
        <w:t>mpact of the investments:</w:t>
      </w:r>
    </w:p>
    <w:p w:rsidR="003B4DAF" w:rsidRPr="00461EC7" w:rsidRDefault="004A55B0" w:rsidP="008C5552">
      <w:pPr>
        <w:pStyle w:val="Pagrindinispaprastastekstas"/>
        <w:numPr>
          <w:ilvl w:val="0"/>
          <w:numId w:val="28"/>
        </w:numPr>
        <w:rPr>
          <w:lang w:val="en-GB" w:eastAsia="lt-LT"/>
        </w:rPr>
      </w:pPr>
      <w:proofErr w:type="gramStart"/>
      <w:r>
        <w:rPr>
          <w:lang w:val="en-GB" w:eastAsia="lt-LT"/>
        </w:rPr>
        <w:t>m</w:t>
      </w:r>
      <w:r w:rsidR="00DD7CBB" w:rsidRPr="00461EC7">
        <w:rPr>
          <w:lang w:val="en-GB" w:eastAsia="lt-LT"/>
        </w:rPr>
        <w:t>ulti-apartment</w:t>
      </w:r>
      <w:proofErr w:type="gramEnd"/>
      <w:r w:rsidR="00DD7CBB" w:rsidRPr="00461EC7">
        <w:rPr>
          <w:lang w:val="en-GB" w:eastAsia="lt-LT"/>
        </w:rPr>
        <w:t xml:space="preserve"> buildings were modernised</w:t>
      </w:r>
      <w:r w:rsidR="00A14CB3" w:rsidRPr="00461EC7">
        <w:rPr>
          <w:lang w:val="en-GB" w:eastAsia="lt-LT"/>
        </w:rPr>
        <w:t xml:space="preserve"> in </w:t>
      </w:r>
      <w:r w:rsidR="003B4DAF" w:rsidRPr="00461EC7">
        <w:rPr>
          <w:lang w:val="en-GB" w:eastAsia="lt-LT"/>
        </w:rPr>
        <w:t>56</w:t>
      </w:r>
      <w:r w:rsidR="00DD7CBB" w:rsidRPr="00461EC7">
        <w:rPr>
          <w:lang w:val="en-GB" w:eastAsia="lt-LT"/>
        </w:rPr>
        <w:t> </w:t>
      </w:r>
      <w:r w:rsidR="00A14CB3" w:rsidRPr="00461EC7">
        <w:rPr>
          <w:lang w:val="en-GB" w:eastAsia="lt-LT"/>
        </w:rPr>
        <w:t>municipalities</w:t>
      </w:r>
      <w:r w:rsidR="00DD7CBB" w:rsidRPr="00461EC7">
        <w:rPr>
          <w:lang w:val="en-GB" w:eastAsia="lt-LT"/>
        </w:rPr>
        <w:t>.</w:t>
      </w:r>
      <w:r w:rsidR="00A14CB3" w:rsidRPr="00461EC7">
        <w:rPr>
          <w:lang w:val="en-GB" w:eastAsia="lt-LT"/>
        </w:rPr>
        <w:t xml:space="preserve"> </w:t>
      </w:r>
      <w:r w:rsidR="00DD7CBB" w:rsidRPr="00461EC7">
        <w:rPr>
          <w:lang w:val="en-GB" w:eastAsia="lt-LT"/>
        </w:rPr>
        <w:t xml:space="preserve">The </w:t>
      </w:r>
      <w:r w:rsidR="00A14CB3" w:rsidRPr="00461EC7">
        <w:rPr>
          <w:lang w:val="en-GB" w:eastAsia="lt-LT"/>
        </w:rPr>
        <w:t>number of moderni</w:t>
      </w:r>
      <w:r w:rsidR="00DD7CBB" w:rsidRPr="00461EC7">
        <w:rPr>
          <w:lang w:val="en-GB" w:eastAsia="lt-LT"/>
        </w:rPr>
        <w:t>s</w:t>
      </w:r>
      <w:r w:rsidR="00A14CB3" w:rsidRPr="00461EC7">
        <w:rPr>
          <w:lang w:val="en-GB" w:eastAsia="lt-LT"/>
        </w:rPr>
        <w:t xml:space="preserve">ed </w:t>
      </w:r>
      <w:r w:rsidR="00DD7CBB" w:rsidRPr="00461EC7">
        <w:rPr>
          <w:lang w:val="en-GB" w:eastAsia="lt-LT"/>
        </w:rPr>
        <w:t>multi-apartment buildings</w:t>
      </w:r>
      <w:r w:rsidR="00A14CB3" w:rsidRPr="00461EC7">
        <w:rPr>
          <w:lang w:val="en-GB" w:eastAsia="lt-LT"/>
        </w:rPr>
        <w:t xml:space="preserve"> </w:t>
      </w:r>
      <w:r w:rsidR="00DD7CBB" w:rsidRPr="00461EC7">
        <w:rPr>
          <w:lang w:val="en-GB" w:eastAsia="lt-LT"/>
        </w:rPr>
        <w:t xml:space="preserve">per municipality </w:t>
      </w:r>
      <w:r w:rsidR="008C5552" w:rsidRPr="00461EC7">
        <w:rPr>
          <w:lang w:val="en-GB" w:eastAsia="lt-LT"/>
        </w:rPr>
        <w:t>varies from 1 to 133</w:t>
      </w:r>
      <w:r w:rsidR="00DD7CBB" w:rsidRPr="00461EC7">
        <w:rPr>
          <w:lang w:val="en-GB" w:eastAsia="lt-LT"/>
        </w:rPr>
        <w:t>,</w:t>
      </w:r>
      <w:r w:rsidR="008C5552" w:rsidRPr="00461EC7">
        <w:rPr>
          <w:lang w:val="en-GB" w:eastAsia="lt-LT"/>
        </w:rPr>
        <w:t xml:space="preserve"> which </w:t>
      </w:r>
      <w:r w:rsidR="00E318F8" w:rsidRPr="00461EC7">
        <w:rPr>
          <w:lang w:val="en-GB" w:eastAsia="lt-LT"/>
        </w:rPr>
        <w:t>accounts for</w:t>
      </w:r>
      <w:r w:rsidR="008C5552" w:rsidRPr="00461EC7">
        <w:rPr>
          <w:lang w:val="en-GB" w:eastAsia="lt-LT"/>
        </w:rPr>
        <w:t xml:space="preserve"> 0</w:t>
      </w:r>
      <w:r w:rsidR="00DD7CBB" w:rsidRPr="00461EC7">
        <w:rPr>
          <w:lang w:val="en-GB" w:eastAsia="lt-LT"/>
        </w:rPr>
        <w:t>.</w:t>
      </w:r>
      <w:r w:rsidR="008C5552" w:rsidRPr="00461EC7">
        <w:rPr>
          <w:lang w:val="en-GB" w:eastAsia="lt-LT"/>
        </w:rPr>
        <w:t>2% to 40</w:t>
      </w:r>
      <w:r w:rsidR="00DD7CBB" w:rsidRPr="00461EC7">
        <w:rPr>
          <w:lang w:val="en-GB" w:eastAsia="lt-LT"/>
        </w:rPr>
        <w:t>.</w:t>
      </w:r>
      <w:r w:rsidR="008C5552" w:rsidRPr="00461EC7">
        <w:rPr>
          <w:lang w:val="en-GB" w:eastAsia="lt-LT"/>
        </w:rPr>
        <w:t xml:space="preserve">4% of all </w:t>
      </w:r>
      <w:r w:rsidR="00DD7CBB" w:rsidRPr="00461EC7">
        <w:rPr>
          <w:lang w:val="en-GB" w:eastAsia="lt-LT"/>
        </w:rPr>
        <w:t xml:space="preserve">multi-apartment buildings in </w:t>
      </w:r>
      <w:r w:rsidR="008D7123">
        <w:rPr>
          <w:lang w:val="en-GB" w:eastAsia="lt-LT"/>
        </w:rPr>
        <w:t xml:space="preserve">related </w:t>
      </w:r>
      <w:r w:rsidR="008C5552" w:rsidRPr="00461EC7">
        <w:rPr>
          <w:lang w:val="en-GB" w:eastAsia="lt-LT"/>
        </w:rPr>
        <w:t>municipality</w:t>
      </w:r>
      <w:r>
        <w:rPr>
          <w:lang w:val="en-GB" w:eastAsia="lt-LT"/>
        </w:rPr>
        <w:t>;</w:t>
      </w:r>
      <w:r w:rsidR="003B4DAF" w:rsidRPr="00461EC7">
        <w:rPr>
          <w:rStyle w:val="EndnoteReference"/>
          <w:lang w:val="en-GB" w:eastAsia="lt-LT"/>
        </w:rPr>
        <w:endnoteReference w:id="8"/>
      </w:r>
    </w:p>
    <w:p w:rsidR="00346837" w:rsidRPr="00461EC7" w:rsidRDefault="004A55B0" w:rsidP="003B4DAF">
      <w:pPr>
        <w:pStyle w:val="Pagrindinispaprastastekstas"/>
        <w:numPr>
          <w:ilvl w:val="0"/>
          <w:numId w:val="28"/>
        </w:numPr>
        <w:rPr>
          <w:lang w:val="en-GB" w:eastAsia="lt-LT"/>
        </w:rPr>
      </w:pPr>
      <w:proofErr w:type="gramStart"/>
      <w:r>
        <w:rPr>
          <w:lang w:val="en-GB" w:eastAsia="lt-LT"/>
        </w:rPr>
        <w:t>m</w:t>
      </w:r>
      <w:r w:rsidR="00DD7CBB" w:rsidRPr="00461EC7">
        <w:rPr>
          <w:lang w:val="en-GB" w:eastAsia="lt-LT"/>
        </w:rPr>
        <w:t>ulti-apartment</w:t>
      </w:r>
      <w:proofErr w:type="gramEnd"/>
      <w:r w:rsidR="00DD7CBB" w:rsidRPr="00461EC7">
        <w:rPr>
          <w:lang w:val="en-GB" w:eastAsia="lt-LT"/>
        </w:rPr>
        <w:t xml:space="preserve"> buildings</w:t>
      </w:r>
      <w:r w:rsidR="00346837" w:rsidRPr="00461EC7">
        <w:rPr>
          <w:lang w:val="en-GB" w:eastAsia="lt-LT"/>
        </w:rPr>
        <w:t xml:space="preserve"> were moderni</w:t>
      </w:r>
      <w:r w:rsidR="00DD7CBB" w:rsidRPr="00461EC7">
        <w:rPr>
          <w:lang w:val="en-GB" w:eastAsia="lt-LT"/>
        </w:rPr>
        <w:t>s</w:t>
      </w:r>
      <w:r w:rsidR="00346837" w:rsidRPr="00461EC7">
        <w:rPr>
          <w:lang w:val="en-GB" w:eastAsia="lt-LT"/>
        </w:rPr>
        <w:t>ed in 69</w:t>
      </w:r>
      <w:r w:rsidR="00DD7CBB" w:rsidRPr="00461EC7">
        <w:rPr>
          <w:lang w:val="en-GB" w:eastAsia="lt-LT"/>
        </w:rPr>
        <w:t> </w:t>
      </w:r>
      <w:r w:rsidR="00346837" w:rsidRPr="00461EC7">
        <w:rPr>
          <w:lang w:val="en-GB" w:eastAsia="lt-LT"/>
        </w:rPr>
        <w:t>cities. More than 25% of</w:t>
      </w:r>
      <w:r w:rsidR="00E318F8" w:rsidRPr="00461EC7">
        <w:rPr>
          <w:lang w:val="en-GB" w:eastAsia="lt-LT"/>
        </w:rPr>
        <w:t xml:space="preserve"> </w:t>
      </w:r>
      <w:r w:rsidR="00DD7CBB" w:rsidRPr="00461EC7">
        <w:rPr>
          <w:lang w:val="en-GB" w:eastAsia="lt-LT"/>
        </w:rPr>
        <w:t>multi-apartment buildings</w:t>
      </w:r>
      <w:r w:rsidR="00346837" w:rsidRPr="00461EC7">
        <w:rPr>
          <w:lang w:val="en-GB" w:eastAsia="lt-LT"/>
        </w:rPr>
        <w:t xml:space="preserve"> were moderni</w:t>
      </w:r>
      <w:r w:rsidR="008D7123">
        <w:rPr>
          <w:lang w:val="en-GB" w:eastAsia="lt-LT"/>
        </w:rPr>
        <w:t>s</w:t>
      </w:r>
      <w:r w:rsidR="00346837" w:rsidRPr="00461EC7">
        <w:rPr>
          <w:lang w:val="en-GB" w:eastAsia="lt-LT"/>
        </w:rPr>
        <w:t xml:space="preserve">ed in </w:t>
      </w:r>
      <w:r w:rsidR="00DD7CBB" w:rsidRPr="00461EC7">
        <w:rPr>
          <w:lang w:val="en-GB" w:eastAsia="lt-LT"/>
        </w:rPr>
        <w:t>six</w:t>
      </w:r>
      <w:r w:rsidR="00346837" w:rsidRPr="00461EC7">
        <w:rPr>
          <w:lang w:val="en-GB" w:eastAsia="lt-LT"/>
        </w:rPr>
        <w:t xml:space="preserve"> cities,</w:t>
      </w:r>
      <w:r w:rsidR="00DD7CBB" w:rsidRPr="00461EC7">
        <w:rPr>
          <w:lang w:val="en-GB" w:eastAsia="lt-LT"/>
        </w:rPr>
        <w:t xml:space="preserve"> </w:t>
      </w:r>
      <w:r w:rsidR="00346837" w:rsidRPr="00461EC7">
        <w:rPr>
          <w:lang w:val="en-GB" w:eastAsia="lt-LT"/>
        </w:rPr>
        <w:t>around 10% to 25%</w:t>
      </w:r>
      <w:r w:rsidR="00DD7CBB" w:rsidRPr="00461EC7">
        <w:rPr>
          <w:lang w:val="en-GB" w:eastAsia="lt-LT"/>
        </w:rPr>
        <w:t xml:space="preserve"> </w:t>
      </w:r>
      <w:r w:rsidR="008D7123">
        <w:rPr>
          <w:lang w:val="en-GB" w:eastAsia="lt-LT"/>
        </w:rPr>
        <w:t>in 17 </w:t>
      </w:r>
      <w:r w:rsidR="00DD7CBB" w:rsidRPr="00461EC7">
        <w:rPr>
          <w:lang w:val="en-GB" w:eastAsia="lt-LT"/>
        </w:rPr>
        <w:t>cities and</w:t>
      </w:r>
      <w:r w:rsidR="00346837" w:rsidRPr="00461EC7">
        <w:rPr>
          <w:lang w:val="en-GB" w:eastAsia="lt-LT"/>
        </w:rPr>
        <w:t xml:space="preserve"> less than 10%</w:t>
      </w:r>
      <w:r w:rsidR="00DD7CBB" w:rsidRPr="00461EC7">
        <w:rPr>
          <w:lang w:val="en-GB" w:eastAsia="lt-LT"/>
        </w:rPr>
        <w:t xml:space="preserve"> in </w:t>
      </w:r>
      <w:r w:rsidR="008D7123">
        <w:rPr>
          <w:lang w:val="en-GB" w:eastAsia="lt-LT"/>
        </w:rPr>
        <w:t>46 </w:t>
      </w:r>
      <w:r w:rsidR="00DD7CBB" w:rsidRPr="00461EC7">
        <w:rPr>
          <w:lang w:val="en-GB" w:eastAsia="lt-LT"/>
        </w:rPr>
        <w:t>cities</w:t>
      </w:r>
      <w:r>
        <w:rPr>
          <w:lang w:val="en-GB" w:eastAsia="lt-LT"/>
        </w:rPr>
        <w:t>;</w:t>
      </w:r>
      <w:r w:rsidR="00901DC3" w:rsidRPr="00461EC7">
        <w:rPr>
          <w:rStyle w:val="EndnoteReference"/>
          <w:lang w:val="en-GB" w:eastAsia="lt-LT"/>
        </w:rPr>
        <w:endnoteReference w:id="9"/>
      </w:r>
    </w:p>
    <w:p w:rsidR="003B4DAF" w:rsidRPr="00461EC7" w:rsidRDefault="004A55B0" w:rsidP="007C3D5D">
      <w:pPr>
        <w:pStyle w:val="Pagrindinispaprastastekstas"/>
        <w:numPr>
          <w:ilvl w:val="0"/>
          <w:numId w:val="28"/>
        </w:numPr>
        <w:rPr>
          <w:lang w:val="en-GB" w:eastAsia="lt-LT"/>
        </w:rPr>
      </w:pPr>
      <w:proofErr w:type="gramStart"/>
      <w:r>
        <w:rPr>
          <w:lang w:val="en-GB" w:eastAsia="lt-LT"/>
        </w:rPr>
        <w:lastRenderedPageBreak/>
        <w:t>p</w:t>
      </w:r>
      <w:r w:rsidR="00901DC3" w:rsidRPr="00461EC7">
        <w:rPr>
          <w:lang w:val="en-GB" w:eastAsia="lt-LT"/>
        </w:rPr>
        <w:t>ublic</w:t>
      </w:r>
      <w:proofErr w:type="gramEnd"/>
      <w:r w:rsidR="00901DC3" w:rsidRPr="00461EC7">
        <w:rPr>
          <w:lang w:val="en-GB" w:eastAsia="lt-LT"/>
        </w:rPr>
        <w:t xml:space="preserve"> bu</w:t>
      </w:r>
      <w:r w:rsidR="007C3D5D" w:rsidRPr="00461EC7">
        <w:rPr>
          <w:lang w:val="en-GB" w:eastAsia="lt-LT"/>
        </w:rPr>
        <w:t>ilding</w:t>
      </w:r>
      <w:r w:rsidR="00DF421E" w:rsidRPr="00461EC7">
        <w:rPr>
          <w:lang w:val="en-GB" w:eastAsia="lt-LT"/>
        </w:rPr>
        <w:t>s were</w:t>
      </w:r>
      <w:r w:rsidR="007C3D5D" w:rsidRPr="00461EC7">
        <w:rPr>
          <w:lang w:val="en-GB" w:eastAsia="lt-LT"/>
        </w:rPr>
        <w:t xml:space="preserve"> moderni</w:t>
      </w:r>
      <w:r w:rsidR="00DF421E" w:rsidRPr="00461EC7">
        <w:rPr>
          <w:lang w:val="en-GB" w:eastAsia="lt-LT"/>
        </w:rPr>
        <w:t>sed</w:t>
      </w:r>
      <w:r w:rsidR="007C3D5D" w:rsidRPr="00461EC7">
        <w:rPr>
          <w:lang w:val="en-GB" w:eastAsia="lt-LT"/>
        </w:rPr>
        <w:t xml:space="preserve"> in 103 (of 137) Lithuanian cities and towns. The </w:t>
      </w:r>
      <w:r w:rsidR="008D7123">
        <w:rPr>
          <w:lang w:val="en-GB" w:eastAsia="lt-LT"/>
        </w:rPr>
        <w:t xml:space="preserve">largest number of </w:t>
      </w:r>
      <w:r w:rsidR="007C3D5D" w:rsidRPr="00461EC7">
        <w:rPr>
          <w:lang w:val="en-GB" w:eastAsia="lt-LT"/>
        </w:rPr>
        <w:t>public buildings were moderni</w:t>
      </w:r>
      <w:r w:rsidR="00DF421E" w:rsidRPr="00461EC7">
        <w:rPr>
          <w:lang w:val="en-GB" w:eastAsia="lt-LT"/>
        </w:rPr>
        <w:t>s</w:t>
      </w:r>
      <w:r w:rsidR="007C3D5D" w:rsidRPr="00461EC7">
        <w:rPr>
          <w:lang w:val="en-GB" w:eastAsia="lt-LT"/>
        </w:rPr>
        <w:t>ed in Vilnius (140</w:t>
      </w:r>
      <w:r w:rsidR="00DF421E" w:rsidRPr="00461EC7">
        <w:rPr>
          <w:lang w:val="en-GB" w:eastAsia="lt-LT"/>
        </w:rPr>
        <w:t> </w:t>
      </w:r>
      <w:r w:rsidR="007C3D5D" w:rsidRPr="00461EC7">
        <w:rPr>
          <w:lang w:val="en-GB" w:eastAsia="lt-LT"/>
        </w:rPr>
        <w:t>buildings) and Kaunas (96</w:t>
      </w:r>
      <w:r w:rsidR="00DF421E" w:rsidRPr="00461EC7">
        <w:rPr>
          <w:lang w:val="en-GB" w:eastAsia="lt-LT"/>
        </w:rPr>
        <w:t> </w:t>
      </w:r>
      <w:r w:rsidR="007C3D5D" w:rsidRPr="00461EC7">
        <w:rPr>
          <w:lang w:val="en-GB" w:eastAsia="lt-LT"/>
        </w:rPr>
        <w:t>buildings). More than half of</w:t>
      </w:r>
      <w:r w:rsidR="00DF421E" w:rsidRPr="00461EC7">
        <w:rPr>
          <w:lang w:val="en-GB" w:eastAsia="lt-LT"/>
        </w:rPr>
        <w:t xml:space="preserve"> the </w:t>
      </w:r>
      <w:r w:rsidR="007C3D5D" w:rsidRPr="00461EC7">
        <w:rPr>
          <w:lang w:val="en-GB" w:eastAsia="lt-LT"/>
        </w:rPr>
        <w:t>moderni</w:t>
      </w:r>
      <w:r w:rsidR="00DF421E" w:rsidRPr="00461EC7">
        <w:rPr>
          <w:lang w:val="en-GB" w:eastAsia="lt-LT"/>
        </w:rPr>
        <w:t>s</w:t>
      </w:r>
      <w:r w:rsidR="007C3D5D" w:rsidRPr="00461EC7">
        <w:rPr>
          <w:lang w:val="en-GB" w:eastAsia="lt-LT"/>
        </w:rPr>
        <w:t>ed public buildings were schools</w:t>
      </w:r>
      <w:r>
        <w:rPr>
          <w:lang w:val="en-GB" w:eastAsia="lt-LT"/>
        </w:rPr>
        <w:t>;</w:t>
      </w:r>
      <w:r w:rsidR="007C3D5D" w:rsidRPr="00461EC7">
        <w:rPr>
          <w:rStyle w:val="EndnoteReference"/>
          <w:lang w:val="en-GB" w:eastAsia="lt-LT"/>
        </w:rPr>
        <w:endnoteReference w:id="10"/>
      </w:r>
    </w:p>
    <w:p w:rsidR="003B4DAF" w:rsidRPr="00461EC7" w:rsidRDefault="004A55B0" w:rsidP="007C3D5D">
      <w:pPr>
        <w:pStyle w:val="Pagrindinispaprastastekstas"/>
        <w:numPr>
          <w:ilvl w:val="0"/>
          <w:numId w:val="28"/>
        </w:numPr>
        <w:rPr>
          <w:lang w:val="en-GB" w:eastAsia="lt-LT"/>
        </w:rPr>
      </w:pPr>
      <w:proofErr w:type="gramStart"/>
      <w:r>
        <w:rPr>
          <w:lang w:val="en-GB" w:eastAsia="lt-LT"/>
        </w:rPr>
        <w:t>e</w:t>
      </w:r>
      <w:r w:rsidR="007C3D5D" w:rsidRPr="00461EC7">
        <w:rPr>
          <w:lang w:val="en-GB" w:eastAsia="lt-LT"/>
        </w:rPr>
        <w:t>nergy</w:t>
      </w:r>
      <w:proofErr w:type="gramEnd"/>
      <w:r w:rsidR="007C3D5D" w:rsidRPr="00461EC7">
        <w:rPr>
          <w:lang w:val="en-GB" w:eastAsia="lt-LT"/>
        </w:rPr>
        <w:t xml:space="preserve"> intensity in 2007–2014 decreased almost by 46%, from 374</w:t>
      </w:r>
      <w:r w:rsidR="00DF421E" w:rsidRPr="00461EC7">
        <w:rPr>
          <w:lang w:val="en-GB" w:eastAsia="lt-LT"/>
        </w:rPr>
        <w:t>.</w:t>
      </w:r>
      <w:r w:rsidR="007C3D5D" w:rsidRPr="00461EC7">
        <w:rPr>
          <w:lang w:val="en-GB" w:eastAsia="lt-LT"/>
        </w:rPr>
        <w:t>8</w:t>
      </w:r>
      <w:r w:rsidR="00DF421E" w:rsidRPr="00461EC7">
        <w:rPr>
          <w:lang w:val="en-GB" w:eastAsia="lt-LT"/>
        </w:rPr>
        <w:t> </w:t>
      </w:r>
      <w:r w:rsidR="007C3D5D" w:rsidRPr="00461EC7">
        <w:rPr>
          <w:lang w:val="en-GB" w:eastAsia="lt-LT"/>
        </w:rPr>
        <w:t xml:space="preserve">kg </w:t>
      </w:r>
      <w:proofErr w:type="spellStart"/>
      <w:r w:rsidR="007C3D5D" w:rsidRPr="00461EC7">
        <w:rPr>
          <w:lang w:val="en-GB" w:eastAsia="lt-LT"/>
        </w:rPr>
        <w:t>n.e.</w:t>
      </w:r>
      <w:proofErr w:type="spellEnd"/>
      <w:r w:rsidR="007C3D5D" w:rsidRPr="00461EC7">
        <w:rPr>
          <w:lang w:val="en-GB" w:eastAsia="lt-LT"/>
        </w:rPr>
        <w:t>/</w:t>
      </w:r>
      <w:r w:rsidR="00DF421E" w:rsidRPr="00461EC7">
        <w:rPr>
          <w:lang w:val="en-GB" w:eastAsia="lt-LT"/>
        </w:rPr>
        <w:t>EUR </w:t>
      </w:r>
      <w:r w:rsidR="007C3D5D" w:rsidRPr="00461EC7">
        <w:rPr>
          <w:lang w:val="en-GB" w:eastAsia="lt-LT"/>
        </w:rPr>
        <w:t>1</w:t>
      </w:r>
      <w:r w:rsidR="00DF421E" w:rsidRPr="00461EC7">
        <w:rPr>
          <w:lang w:val="en-GB" w:eastAsia="lt-LT"/>
        </w:rPr>
        <w:t>,</w:t>
      </w:r>
      <w:r w:rsidR="007C3D5D" w:rsidRPr="00461EC7">
        <w:rPr>
          <w:lang w:val="en-GB" w:eastAsia="lt-LT"/>
        </w:rPr>
        <w:t>000 to 203</w:t>
      </w:r>
      <w:r w:rsidR="00DF421E" w:rsidRPr="00461EC7">
        <w:rPr>
          <w:lang w:val="en-GB" w:eastAsia="lt-LT"/>
        </w:rPr>
        <w:t>.</w:t>
      </w:r>
      <w:r w:rsidR="007C3D5D" w:rsidRPr="00461EC7">
        <w:rPr>
          <w:lang w:val="en-GB" w:eastAsia="lt-LT"/>
        </w:rPr>
        <w:t>3</w:t>
      </w:r>
      <w:r w:rsidR="00DF421E" w:rsidRPr="00461EC7">
        <w:rPr>
          <w:lang w:val="en-GB" w:eastAsia="lt-LT"/>
        </w:rPr>
        <w:t> </w:t>
      </w:r>
      <w:r w:rsidR="007C3D5D" w:rsidRPr="00461EC7">
        <w:rPr>
          <w:lang w:val="en-GB" w:eastAsia="lt-LT"/>
        </w:rPr>
        <w:t xml:space="preserve">kg </w:t>
      </w:r>
      <w:proofErr w:type="spellStart"/>
      <w:r w:rsidR="007C3D5D" w:rsidRPr="00461EC7">
        <w:rPr>
          <w:lang w:val="en-GB" w:eastAsia="lt-LT"/>
        </w:rPr>
        <w:t>n.e.</w:t>
      </w:r>
      <w:proofErr w:type="spellEnd"/>
      <w:r w:rsidR="007C3D5D" w:rsidRPr="00461EC7">
        <w:rPr>
          <w:lang w:val="en-GB" w:eastAsia="lt-LT"/>
        </w:rPr>
        <w:t>/</w:t>
      </w:r>
      <w:r w:rsidR="00DF421E" w:rsidRPr="00461EC7">
        <w:rPr>
          <w:lang w:val="en-GB" w:eastAsia="lt-LT"/>
        </w:rPr>
        <w:t>EUR </w:t>
      </w:r>
      <w:r w:rsidR="007C3D5D" w:rsidRPr="00461EC7">
        <w:rPr>
          <w:lang w:val="en-GB" w:eastAsia="lt-LT"/>
        </w:rPr>
        <w:t>1</w:t>
      </w:r>
      <w:r w:rsidR="00DF421E" w:rsidRPr="00461EC7">
        <w:rPr>
          <w:lang w:val="en-GB" w:eastAsia="lt-LT"/>
        </w:rPr>
        <w:t>,</w:t>
      </w:r>
      <w:r w:rsidR="007C3D5D" w:rsidRPr="00461EC7">
        <w:rPr>
          <w:lang w:val="en-GB" w:eastAsia="lt-LT"/>
        </w:rPr>
        <w:t>000</w:t>
      </w:r>
      <w:r w:rsidR="003B4DAF" w:rsidRPr="00461EC7">
        <w:rPr>
          <w:lang w:val="en-GB" w:eastAsia="lt-LT"/>
        </w:rPr>
        <w:t>.</w:t>
      </w:r>
    </w:p>
    <w:p w:rsidR="003B4DAF" w:rsidRPr="00461EC7" w:rsidRDefault="003B4DAF" w:rsidP="003B4DAF">
      <w:pPr>
        <w:pStyle w:val="Pagrindinispaprastastekstas"/>
        <w:rPr>
          <w:lang w:val="en-GB" w:eastAsia="lt-LT"/>
        </w:rPr>
      </w:pP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4DAF" w:rsidRPr="00461EC7" w:rsidTr="006C7204">
        <w:tc>
          <w:tcPr>
            <w:tcW w:w="9628" w:type="dxa"/>
            <w:shd w:val="clear" w:color="auto" w:fill="DBE5F1" w:themeFill="accent1" w:themeFillTint="33"/>
          </w:tcPr>
          <w:p w:rsidR="003B4DAF" w:rsidRPr="00461EC7" w:rsidRDefault="003B4DAF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</w:pPr>
            <w:r w:rsidRPr="00461EC7">
              <w:rPr>
                <w:b/>
                <w:i/>
                <w:noProof/>
                <w:color w:val="1F497D" w:themeColor="text2"/>
                <w:sz w:val="18"/>
                <w:szCs w:val="18"/>
              </w:rPr>
              <w:drawing>
                <wp:anchor distT="0" distB="0" distL="114300" distR="114300" simplePos="0" relativeHeight="251707392" behindDoc="0" locked="0" layoutInCell="1" allowOverlap="1" wp14:anchorId="756973D8" wp14:editId="698E1DA7">
                  <wp:simplePos x="0" y="0"/>
                  <wp:positionH relativeFrom="column">
                    <wp:posOffset>4384675</wp:posOffset>
                  </wp:positionH>
                  <wp:positionV relativeFrom="paragraph">
                    <wp:posOffset>9525</wp:posOffset>
                  </wp:positionV>
                  <wp:extent cx="1623060" cy="1216660"/>
                  <wp:effectExtent l="0" t="0" r="34290" b="40640"/>
                  <wp:wrapSquare wrapText="bothSides"/>
                  <wp:docPr id="30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chemeClr val="bg2"/>
                            </a:outerShdw>
                            <a:softEdge rad="127000"/>
                          </a:effectLst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DF421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“</w:t>
            </w:r>
            <w:r w:rsidR="006416F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D</w:t>
            </w:r>
            <w:r w:rsidR="007C3D5D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esign and </w:t>
            </w:r>
            <w:r w:rsidR="006416F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construction </w:t>
            </w:r>
            <w:r w:rsidR="007C3D5D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of </w:t>
            </w:r>
            <w:r w:rsidR="006416F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a </w:t>
            </w:r>
            <w:r w:rsidR="007C3D5D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combined heat and power plant in </w:t>
            </w:r>
            <w:proofErr w:type="spellStart"/>
            <w:r w:rsidR="007C3D5D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Šiauliai</w:t>
            </w:r>
            <w:proofErr w:type="spellEnd"/>
            <w:r w:rsidR="00DF421E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”</w:t>
            </w:r>
          </w:p>
          <w:p w:rsidR="003B4DAF" w:rsidRPr="00461EC7" w:rsidRDefault="007C3D5D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>Project implementer</w:t>
            </w:r>
            <w:r w:rsidR="00DF421E" w:rsidRPr="00461EC7">
              <w:rPr>
                <w:i/>
                <w:sz w:val="18"/>
                <w:szCs w:val="18"/>
                <w:lang w:val="en-GB"/>
              </w:rPr>
              <w:t xml:space="preserve">: </w:t>
            </w:r>
            <w:proofErr w:type="spellStart"/>
            <w:r w:rsidR="003B4DAF" w:rsidRPr="00461EC7">
              <w:rPr>
                <w:i/>
                <w:sz w:val="18"/>
                <w:szCs w:val="18"/>
                <w:lang w:val="en-GB"/>
              </w:rPr>
              <w:t>Šiaulių</w:t>
            </w:r>
            <w:proofErr w:type="spellEnd"/>
            <w:r w:rsidR="003B4DAF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="003B4DAF" w:rsidRPr="00461EC7">
              <w:rPr>
                <w:i/>
                <w:sz w:val="18"/>
                <w:szCs w:val="18"/>
                <w:lang w:val="en-GB"/>
              </w:rPr>
              <w:t>energija</w:t>
            </w:r>
            <w:proofErr w:type="spellEnd"/>
          </w:p>
          <w:p w:rsidR="003B4DAF" w:rsidRPr="00461EC7" w:rsidRDefault="00AD64FC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>EU contribution:</w:t>
            </w:r>
            <w:r w:rsidR="003B4DAF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i/>
                <w:sz w:val="18"/>
                <w:szCs w:val="18"/>
                <w:lang w:val="en-GB"/>
              </w:rPr>
              <w:t>EUR </w:t>
            </w:r>
            <w:r w:rsidR="003B4DAF" w:rsidRPr="00461EC7">
              <w:rPr>
                <w:i/>
                <w:sz w:val="18"/>
                <w:szCs w:val="18"/>
                <w:lang w:val="en-GB"/>
              </w:rPr>
              <w:t>5</w:t>
            </w:r>
            <w:r w:rsidR="00DF421E" w:rsidRPr="00461EC7">
              <w:rPr>
                <w:i/>
                <w:sz w:val="18"/>
                <w:szCs w:val="18"/>
                <w:lang w:val="en-GB"/>
              </w:rPr>
              <w:t>.</w:t>
            </w:r>
            <w:r w:rsidR="003B4DAF" w:rsidRPr="00461EC7">
              <w:rPr>
                <w:i/>
                <w:sz w:val="18"/>
                <w:szCs w:val="18"/>
                <w:lang w:val="en-GB"/>
              </w:rPr>
              <w:t>2132</w:t>
            </w:r>
            <w:r w:rsidR="00DF421E" w:rsidRPr="00461EC7">
              <w:rPr>
                <w:i/>
                <w:sz w:val="18"/>
                <w:szCs w:val="18"/>
                <w:lang w:val="en-GB"/>
              </w:rPr>
              <w:t> million</w:t>
            </w:r>
          </w:p>
          <w:p w:rsidR="003B4DAF" w:rsidRPr="00461EC7" w:rsidRDefault="003B4DAF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sz w:val="18"/>
                <w:szCs w:val="18"/>
                <w:lang w:val="en-GB"/>
              </w:rPr>
            </w:pPr>
          </w:p>
          <w:p w:rsidR="003B4DAF" w:rsidRPr="00461EC7" w:rsidRDefault="003B4DAF" w:rsidP="00B72D50">
            <w:pPr>
              <w:pStyle w:val="Pagrindinispaprastastekstas"/>
              <w:shd w:val="clear" w:color="auto" w:fill="DBE5F1" w:themeFill="accent1" w:themeFillTint="33"/>
              <w:rPr>
                <w:sz w:val="18"/>
                <w:szCs w:val="18"/>
                <w:lang w:val="en-GB"/>
              </w:rPr>
            </w:pPr>
            <w:r w:rsidRPr="00461EC7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6368" behindDoc="0" locked="0" layoutInCell="1" allowOverlap="1" wp14:anchorId="339729AE" wp14:editId="4926CD0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603885</wp:posOffset>
                  </wp:positionV>
                  <wp:extent cx="1839595" cy="1227455"/>
                  <wp:effectExtent l="0" t="0" r="46355" b="29845"/>
                  <wp:wrapSquare wrapText="bothSides"/>
                  <wp:docPr id="307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59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chemeClr val="bg2"/>
                            </a:outerShdw>
                            <a:softEdge rad="127000"/>
                          </a:effectLst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8D7123">
              <w:rPr>
                <w:sz w:val="18"/>
                <w:szCs w:val="18"/>
                <w:lang w:val="en-GB"/>
              </w:rPr>
              <w:t>T</w:t>
            </w:r>
            <w:r w:rsidR="00557AF1" w:rsidRPr="00461EC7">
              <w:rPr>
                <w:sz w:val="18"/>
                <w:szCs w:val="18"/>
                <w:lang w:val="en-GB"/>
              </w:rPr>
              <w:t>he implementation of the project</w:t>
            </w:r>
            <w:r w:rsidR="008D7123">
              <w:rPr>
                <w:sz w:val="18"/>
                <w:szCs w:val="18"/>
                <w:lang w:val="en-GB"/>
              </w:rPr>
              <w:t xml:space="preserve"> included building</w:t>
            </w:r>
            <w:r w:rsidR="00557AF1" w:rsidRPr="00461EC7">
              <w:rPr>
                <w:sz w:val="18"/>
                <w:szCs w:val="18"/>
                <w:lang w:val="en-GB"/>
              </w:rPr>
              <w:t xml:space="preserve"> </w:t>
            </w:r>
            <w:r w:rsidR="006D1B5F" w:rsidRPr="00461EC7">
              <w:rPr>
                <w:sz w:val="18"/>
                <w:szCs w:val="18"/>
                <w:lang w:val="en-GB"/>
              </w:rPr>
              <w:t>a</w:t>
            </w:r>
            <w:r w:rsidR="00557AF1" w:rsidRPr="00461EC7">
              <w:rPr>
                <w:sz w:val="18"/>
                <w:szCs w:val="18"/>
                <w:lang w:val="en-GB"/>
              </w:rPr>
              <w:t xml:space="preserve"> new </w:t>
            </w:r>
            <w:r w:rsidR="006D1B5F" w:rsidRPr="00461EC7">
              <w:rPr>
                <w:sz w:val="18"/>
                <w:szCs w:val="18"/>
                <w:lang w:val="en-GB"/>
              </w:rPr>
              <w:t xml:space="preserve">biomass-fuelled </w:t>
            </w:r>
            <w:r w:rsidR="00557AF1" w:rsidRPr="00461EC7">
              <w:rPr>
                <w:sz w:val="18"/>
                <w:szCs w:val="18"/>
                <w:lang w:val="en-GB"/>
              </w:rPr>
              <w:t>co</w:t>
            </w:r>
            <w:r w:rsidR="00E318F8" w:rsidRPr="00461EC7">
              <w:rPr>
                <w:sz w:val="18"/>
                <w:szCs w:val="18"/>
                <w:lang w:val="en-GB"/>
              </w:rPr>
              <w:t xml:space="preserve">mbined heat and power plant </w:t>
            </w:r>
            <w:r w:rsidR="006D1B5F" w:rsidRPr="00461EC7">
              <w:rPr>
                <w:sz w:val="18"/>
                <w:szCs w:val="18"/>
                <w:lang w:val="en-GB"/>
              </w:rPr>
              <w:t xml:space="preserve">in the territory of </w:t>
            </w:r>
            <w:proofErr w:type="spellStart"/>
            <w:r w:rsidR="006D1B5F" w:rsidRPr="00461EC7">
              <w:rPr>
                <w:sz w:val="18"/>
                <w:szCs w:val="18"/>
                <w:lang w:val="en-GB"/>
              </w:rPr>
              <w:t>Šiauliai</w:t>
            </w:r>
            <w:proofErr w:type="spellEnd"/>
            <w:r w:rsidR="006D1B5F" w:rsidRPr="00461EC7">
              <w:rPr>
                <w:sz w:val="18"/>
                <w:szCs w:val="18"/>
                <w:lang w:val="en-GB"/>
              </w:rPr>
              <w:t xml:space="preserve"> south boiler plant</w:t>
            </w:r>
            <w:r w:rsidR="00557AF1" w:rsidRPr="00461EC7">
              <w:rPr>
                <w:sz w:val="18"/>
                <w:szCs w:val="18"/>
                <w:lang w:val="en-GB"/>
              </w:rPr>
              <w:t>. The power plant</w:t>
            </w:r>
            <w:r w:rsidR="00E318F8" w:rsidRPr="00461EC7">
              <w:rPr>
                <w:sz w:val="18"/>
                <w:szCs w:val="18"/>
                <w:lang w:val="en-GB"/>
              </w:rPr>
              <w:t>’s</w:t>
            </w:r>
            <w:r w:rsidR="00557AF1" w:rsidRPr="00461EC7">
              <w:rPr>
                <w:sz w:val="18"/>
                <w:szCs w:val="18"/>
                <w:lang w:val="en-GB"/>
              </w:rPr>
              <w:t xml:space="preserve"> net capacity is around 25</w:t>
            </w:r>
            <w:r w:rsidR="006D1B5F" w:rsidRPr="00461EC7">
              <w:rPr>
                <w:sz w:val="18"/>
                <w:szCs w:val="18"/>
                <w:lang w:val="en-GB"/>
              </w:rPr>
              <w:t> </w:t>
            </w:r>
            <w:r w:rsidR="00557AF1" w:rsidRPr="00461EC7">
              <w:rPr>
                <w:sz w:val="18"/>
                <w:szCs w:val="18"/>
                <w:lang w:val="en-GB"/>
              </w:rPr>
              <w:t>MW of heat and 11</w:t>
            </w:r>
            <w:r w:rsidR="006D1B5F" w:rsidRPr="00461EC7">
              <w:rPr>
                <w:sz w:val="18"/>
                <w:szCs w:val="18"/>
                <w:lang w:val="en-GB"/>
              </w:rPr>
              <w:t> </w:t>
            </w:r>
            <w:r w:rsidR="00557AF1" w:rsidRPr="00461EC7">
              <w:rPr>
                <w:sz w:val="18"/>
                <w:szCs w:val="18"/>
                <w:lang w:val="en-GB"/>
              </w:rPr>
              <w:t xml:space="preserve">MW of electricity. </w:t>
            </w:r>
            <w:r w:rsidR="006D1B5F" w:rsidRPr="00461EC7">
              <w:rPr>
                <w:sz w:val="18"/>
                <w:szCs w:val="18"/>
                <w:lang w:val="en-GB"/>
              </w:rPr>
              <w:t>A special 8 MW heat exchanger was built to</w:t>
            </w:r>
            <w:r w:rsidR="00557AF1" w:rsidRPr="00461EC7">
              <w:rPr>
                <w:sz w:val="18"/>
                <w:szCs w:val="18"/>
                <w:lang w:val="en-GB"/>
              </w:rPr>
              <w:t xml:space="preserve"> </w:t>
            </w:r>
            <w:r w:rsidR="006D1B5F" w:rsidRPr="00461EC7">
              <w:rPr>
                <w:sz w:val="18"/>
                <w:szCs w:val="18"/>
                <w:lang w:val="en-GB"/>
              </w:rPr>
              <w:t>recover waste</w:t>
            </w:r>
            <w:r w:rsidR="00B72D50">
              <w:rPr>
                <w:sz w:val="18"/>
                <w:szCs w:val="18"/>
                <w:lang w:val="en-GB"/>
              </w:rPr>
              <w:t xml:space="preserve"> heat</w:t>
            </w:r>
            <w:r w:rsidR="00385B02" w:rsidRPr="00461EC7">
              <w:rPr>
                <w:sz w:val="18"/>
                <w:szCs w:val="18"/>
                <w:lang w:val="en-GB"/>
              </w:rPr>
              <w:t>. The new combined heat and power plant produces 215</w:t>
            </w:r>
            <w:r w:rsidR="006D1B5F" w:rsidRPr="00461EC7">
              <w:rPr>
                <w:sz w:val="18"/>
                <w:szCs w:val="18"/>
                <w:lang w:val="en-GB"/>
              </w:rPr>
              <w:t>.</w:t>
            </w:r>
            <w:r w:rsidR="00385B02" w:rsidRPr="00461EC7">
              <w:rPr>
                <w:sz w:val="18"/>
                <w:szCs w:val="18"/>
                <w:lang w:val="en-GB"/>
              </w:rPr>
              <w:t>4</w:t>
            </w:r>
            <w:r w:rsidR="006D1B5F" w:rsidRPr="00461EC7">
              <w:rPr>
                <w:sz w:val="18"/>
                <w:szCs w:val="18"/>
                <w:lang w:val="en-GB"/>
              </w:rPr>
              <w:t> </w:t>
            </w:r>
            <w:proofErr w:type="spellStart"/>
            <w:r w:rsidR="00385B02" w:rsidRPr="00461EC7">
              <w:rPr>
                <w:sz w:val="18"/>
                <w:szCs w:val="18"/>
                <w:lang w:val="en-GB"/>
              </w:rPr>
              <w:t>GWh</w:t>
            </w:r>
            <w:proofErr w:type="spellEnd"/>
            <w:r w:rsidR="00385B02" w:rsidRPr="00461EC7">
              <w:rPr>
                <w:sz w:val="18"/>
                <w:szCs w:val="18"/>
                <w:lang w:val="en-GB"/>
              </w:rPr>
              <w:t xml:space="preserve"> of heat and 64</w:t>
            </w:r>
            <w:r w:rsidR="006D1B5F" w:rsidRPr="00461EC7">
              <w:rPr>
                <w:sz w:val="18"/>
                <w:szCs w:val="18"/>
                <w:lang w:val="en-GB"/>
              </w:rPr>
              <w:t>.</w:t>
            </w:r>
            <w:r w:rsidR="00385B02" w:rsidRPr="00461EC7">
              <w:rPr>
                <w:sz w:val="18"/>
                <w:szCs w:val="18"/>
                <w:lang w:val="en-GB"/>
              </w:rPr>
              <w:t>5</w:t>
            </w:r>
            <w:r w:rsidR="006D1B5F" w:rsidRPr="00461EC7">
              <w:rPr>
                <w:sz w:val="18"/>
                <w:szCs w:val="18"/>
                <w:lang w:val="en-GB"/>
              </w:rPr>
              <w:t> </w:t>
            </w:r>
            <w:proofErr w:type="spellStart"/>
            <w:r w:rsidR="00385B02" w:rsidRPr="00461EC7">
              <w:rPr>
                <w:sz w:val="18"/>
                <w:szCs w:val="18"/>
                <w:lang w:val="en-GB"/>
              </w:rPr>
              <w:t>GWh</w:t>
            </w:r>
            <w:proofErr w:type="spellEnd"/>
            <w:r w:rsidR="00385B02" w:rsidRPr="00461EC7">
              <w:rPr>
                <w:sz w:val="18"/>
                <w:szCs w:val="18"/>
                <w:lang w:val="en-GB"/>
              </w:rPr>
              <w:t xml:space="preserve"> of electricity</w:t>
            </w:r>
            <w:r w:rsidR="006D1B5F" w:rsidRPr="00461EC7">
              <w:rPr>
                <w:sz w:val="18"/>
                <w:szCs w:val="18"/>
                <w:lang w:val="en-GB"/>
              </w:rPr>
              <w:t xml:space="preserve"> per year</w:t>
            </w:r>
            <w:r w:rsidR="00385B02" w:rsidRPr="00461EC7">
              <w:rPr>
                <w:sz w:val="18"/>
                <w:szCs w:val="18"/>
                <w:lang w:val="en-GB"/>
              </w:rPr>
              <w:t>.</w:t>
            </w:r>
            <w:r w:rsidR="0051183F" w:rsidRPr="00461EC7">
              <w:rPr>
                <w:sz w:val="18"/>
                <w:szCs w:val="18"/>
                <w:lang w:val="en-GB"/>
              </w:rPr>
              <w:t xml:space="preserve"> </w:t>
            </w:r>
            <w:r w:rsidR="006D1B5F" w:rsidRPr="00461EC7">
              <w:rPr>
                <w:sz w:val="18"/>
                <w:szCs w:val="18"/>
                <w:lang w:val="en-GB"/>
              </w:rPr>
              <w:t xml:space="preserve">Heat </w:t>
            </w:r>
            <w:r w:rsidR="0051183F" w:rsidRPr="00461EC7">
              <w:rPr>
                <w:sz w:val="18"/>
                <w:szCs w:val="18"/>
                <w:lang w:val="en-GB"/>
              </w:rPr>
              <w:t xml:space="preserve">production </w:t>
            </w:r>
            <w:r w:rsidR="006D1B5F" w:rsidRPr="00461EC7">
              <w:rPr>
                <w:sz w:val="18"/>
                <w:szCs w:val="18"/>
                <w:lang w:val="en-GB"/>
              </w:rPr>
              <w:t>by</w:t>
            </w:r>
            <w:r w:rsidR="0051183F" w:rsidRPr="00461EC7">
              <w:rPr>
                <w:sz w:val="18"/>
                <w:szCs w:val="18"/>
                <w:lang w:val="en-GB"/>
              </w:rPr>
              <w:t xml:space="preserve"> the plant partially replaced heat production </w:t>
            </w:r>
            <w:r w:rsidR="006D1B5F" w:rsidRPr="00461EC7">
              <w:rPr>
                <w:sz w:val="18"/>
                <w:szCs w:val="18"/>
                <w:lang w:val="en-GB"/>
              </w:rPr>
              <w:t>by</w:t>
            </w:r>
            <w:r w:rsidR="0051183F" w:rsidRPr="00461EC7">
              <w:rPr>
                <w:sz w:val="18"/>
                <w:szCs w:val="18"/>
                <w:lang w:val="en-GB"/>
              </w:rPr>
              <w:t xml:space="preserve"> boilers, while electricity is sold to </w:t>
            </w:r>
            <w:r w:rsidR="006D1B5F" w:rsidRPr="00461EC7">
              <w:rPr>
                <w:sz w:val="18"/>
                <w:szCs w:val="18"/>
                <w:lang w:val="en-GB"/>
              </w:rPr>
              <w:t xml:space="preserve">the </w:t>
            </w:r>
            <w:r w:rsidR="0051183F" w:rsidRPr="00461EC7">
              <w:rPr>
                <w:sz w:val="18"/>
                <w:szCs w:val="18"/>
                <w:lang w:val="en-GB"/>
              </w:rPr>
              <w:t xml:space="preserve">national network and other </w:t>
            </w:r>
            <w:r w:rsidR="006D1B5F" w:rsidRPr="00461EC7">
              <w:rPr>
                <w:sz w:val="18"/>
                <w:szCs w:val="18"/>
                <w:lang w:val="en-GB"/>
              </w:rPr>
              <w:t xml:space="preserve">electricity </w:t>
            </w:r>
            <w:r w:rsidR="0051183F" w:rsidRPr="00461EC7">
              <w:rPr>
                <w:sz w:val="18"/>
                <w:szCs w:val="18"/>
                <w:lang w:val="en-GB"/>
              </w:rPr>
              <w:t>users. The project contributed to lessening the expenditure for fuel to produce heat</w:t>
            </w:r>
            <w:r w:rsidR="006D1B5F" w:rsidRPr="00461EC7">
              <w:rPr>
                <w:sz w:val="18"/>
                <w:szCs w:val="18"/>
                <w:lang w:val="en-GB"/>
              </w:rPr>
              <w:t xml:space="preserve"> – </w:t>
            </w:r>
            <w:r w:rsidR="0051183F" w:rsidRPr="00461EC7">
              <w:rPr>
                <w:sz w:val="18"/>
                <w:szCs w:val="18"/>
                <w:lang w:val="en-GB"/>
              </w:rPr>
              <w:t xml:space="preserve">now </w:t>
            </w:r>
            <w:r w:rsidR="00E17957" w:rsidRPr="00461EC7">
              <w:rPr>
                <w:sz w:val="18"/>
                <w:szCs w:val="18"/>
                <w:lang w:val="en-GB"/>
              </w:rPr>
              <w:t xml:space="preserve">local and renewable energy (biofuel) </w:t>
            </w:r>
            <w:r w:rsidR="00B72D50">
              <w:rPr>
                <w:sz w:val="18"/>
                <w:szCs w:val="18"/>
                <w:lang w:val="en-GB"/>
              </w:rPr>
              <w:t>is</w:t>
            </w:r>
            <w:r w:rsidR="00B72D50" w:rsidRPr="00461EC7">
              <w:rPr>
                <w:sz w:val="18"/>
                <w:szCs w:val="18"/>
                <w:lang w:val="en-GB"/>
              </w:rPr>
              <w:t xml:space="preserve"> </w:t>
            </w:r>
            <w:r w:rsidR="0051183F" w:rsidRPr="00461EC7">
              <w:rPr>
                <w:sz w:val="18"/>
                <w:szCs w:val="18"/>
                <w:lang w:val="en-GB"/>
              </w:rPr>
              <w:t>used</w:t>
            </w:r>
            <w:r w:rsidR="006D1B5F" w:rsidRPr="00461EC7">
              <w:rPr>
                <w:sz w:val="18"/>
                <w:szCs w:val="18"/>
                <w:lang w:val="en-GB"/>
              </w:rPr>
              <w:t>, thus</w:t>
            </w:r>
            <w:r w:rsidR="00E17957" w:rsidRPr="00461EC7">
              <w:rPr>
                <w:sz w:val="18"/>
                <w:szCs w:val="18"/>
                <w:lang w:val="en-GB"/>
              </w:rPr>
              <w:t xml:space="preserve"> increas</w:t>
            </w:r>
            <w:r w:rsidR="006D1B5F" w:rsidRPr="00461EC7">
              <w:rPr>
                <w:sz w:val="18"/>
                <w:szCs w:val="18"/>
                <w:lang w:val="en-GB"/>
              </w:rPr>
              <w:t>ing</w:t>
            </w:r>
            <w:r w:rsidR="00E17957" w:rsidRPr="00461EC7">
              <w:rPr>
                <w:sz w:val="18"/>
                <w:szCs w:val="18"/>
                <w:lang w:val="en-GB"/>
              </w:rPr>
              <w:t xml:space="preserve"> the efficiency of energy production. Moreover, the plant generates additional income from electricity sales. </w:t>
            </w:r>
            <w:r w:rsidR="0091322F" w:rsidRPr="00461EC7">
              <w:rPr>
                <w:sz w:val="18"/>
                <w:szCs w:val="18"/>
                <w:lang w:val="en-GB"/>
              </w:rPr>
              <w:t>After the implementation of the project</w:t>
            </w:r>
            <w:r w:rsidR="006D1B5F" w:rsidRPr="00461EC7">
              <w:rPr>
                <w:sz w:val="18"/>
                <w:szCs w:val="18"/>
                <w:lang w:val="en-GB"/>
              </w:rPr>
              <w:t>,</w:t>
            </w:r>
            <w:r w:rsidR="0091322F" w:rsidRPr="00461EC7">
              <w:rPr>
                <w:sz w:val="18"/>
                <w:szCs w:val="18"/>
                <w:lang w:val="en-GB"/>
              </w:rPr>
              <w:t xml:space="preserve"> CO</w:t>
            </w:r>
            <w:r w:rsidR="0091322F" w:rsidRPr="00461EC7">
              <w:rPr>
                <w:sz w:val="18"/>
                <w:szCs w:val="18"/>
                <w:vertAlign w:val="subscript"/>
                <w:lang w:val="en-GB"/>
              </w:rPr>
              <w:t xml:space="preserve">2 </w:t>
            </w:r>
            <w:r w:rsidR="0091322F" w:rsidRPr="00461EC7">
              <w:rPr>
                <w:sz w:val="18"/>
                <w:szCs w:val="18"/>
                <w:lang w:val="en-GB"/>
              </w:rPr>
              <w:t xml:space="preserve">emissions and the use of gas have decreased. The heating </w:t>
            </w:r>
            <w:r w:rsidR="00B72D50" w:rsidRPr="00461EC7">
              <w:rPr>
                <w:sz w:val="18"/>
                <w:szCs w:val="18"/>
                <w:lang w:val="en-GB"/>
              </w:rPr>
              <w:t xml:space="preserve">price </w:t>
            </w:r>
            <w:r w:rsidR="0091322F" w:rsidRPr="00461EC7">
              <w:rPr>
                <w:sz w:val="18"/>
                <w:szCs w:val="18"/>
                <w:lang w:val="en-GB"/>
              </w:rPr>
              <w:t>for customers ha</w:t>
            </w:r>
            <w:r w:rsidR="006D1B5F" w:rsidRPr="00461EC7">
              <w:rPr>
                <w:sz w:val="18"/>
                <w:szCs w:val="18"/>
                <w:lang w:val="en-GB"/>
              </w:rPr>
              <w:t>s</w:t>
            </w:r>
            <w:r w:rsidR="0091322F" w:rsidRPr="00461EC7">
              <w:rPr>
                <w:sz w:val="18"/>
                <w:szCs w:val="18"/>
                <w:lang w:val="en-GB"/>
              </w:rPr>
              <w:t xml:space="preserve"> decreased by 16</w:t>
            </w:r>
            <w:r w:rsidR="006D1B5F" w:rsidRPr="00461EC7">
              <w:rPr>
                <w:sz w:val="18"/>
                <w:szCs w:val="18"/>
                <w:lang w:val="en-GB"/>
              </w:rPr>
              <w:t>.</w:t>
            </w:r>
            <w:r w:rsidR="0091322F" w:rsidRPr="00461EC7">
              <w:rPr>
                <w:sz w:val="18"/>
                <w:szCs w:val="18"/>
                <w:lang w:val="en-GB"/>
              </w:rPr>
              <w:t xml:space="preserve">6%, </w:t>
            </w:r>
            <w:r w:rsidR="006D1B5F" w:rsidRPr="00461EC7">
              <w:rPr>
                <w:sz w:val="18"/>
                <w:szCs w:val="18"/>
                <w:lang w:val="en-GB"/>
              </w:rPr>
              <w:t xml:space="preserve">allowing them to </w:t>
            </w:r>
            <w:r w:rsidR="00E17957" w:rsidRPr="00461EC7">
              <w:rPr>
                <w:sz w:val="18"/>
                <w:szCs w:val="18"/>
                <w:lang w:val="en-GB"/>
              </w:rPr>
              <w:t xml:space="preserve">save around </w:t>
            </w:r>
            <w:r w:rsidR="00AD64FC" w:rsidRPr="00461EC7">
              <w:rPr>
                <w:sz w:val="18"/>
                <w:szCs w:val="18"/>
                <w:lang w:val="en-GB"/>
              </w:rPr>
              <w:t>EUR </w:t>
            </w:r>
            <w:r w:rsidR="00E17957" w:rsidRPr="00461EC7">
              <w:rPr>
                <w:sz w:val="18"/>
                <w:szCs w:val="18"/>
                <w:lang w:val="en-GB"/>
              </w:rPr>
              <w:t>6</w:t>
            </w:r>
            <w:r w:rsidR="00AD64FC" w:rsidRPr="00461EC7">
              <w:rPr>
                <w:sz w:val="18"/>
                <w:szCs w:val="18"/>
                <w:lang w:val="en-GB"/>
              </w:rPr>
              <w:t> </w:t>
            </w:r>
            <w:r w:rsidR="00E17957" w:rsidRPr="00461EC7">
              <w:rPr>
                <w:sz w:val="18"/>
                <w:szCs w:val="18"/>
                <w:lang w:val="en-GB"/>
              </w:rPr>
              <w:t>million</w:t>
            </w:r>
            <w:r w:rsidR="006D1B5F" w:rsidRPr="00461EC7">
              <w:rPr>
                <w:sz w:val="18"/>
                <w:szCs w:val="18"/>
                <w:lang w:val="en-GB"/>
              </w:rPr>
              <w:t xml:space="preserve"> per year</w:t>
            </w:r>
            <w:r w:rsidR="0091322F" w:rsidRPr="00461EC7">
              <w:rPr>
                <w:sz w:val="18"/>
                <w:szCs w:val="18"/>
                <w:lang w:val="en-GB"/>
              </w:rPr>
              <w:t>.</w:t>
            </w:r>
          </w:p>
        </w:tc>
      </w:tr>
    </w:tbl>
    <w:p w:rsidR="00EF165B" w:rsidRPr="00461EC7" w:rsidRDefault="00EF165B">
      <w:pPr>
        <w:rPr>
          <w:rFonts w:asciiTheme="majorHAnsi" w:eastAsia="Times New Roman" w:hAnsiTheme="majorHAnsi"/>
          <w:sz w:val="22"/>
          <w:lang w:val="en-GB" w:eastAsia="lt-LT"/>
        </w:rPr>
      </w:pPr>
    </w:p>
    <w:p w:rsidR="001F23A4" w:rsidRPr="00461EC7" w:rsidRDefault="0091322F" w:rsidP="004C5695">
      <w:pPr>
        <w:pStyle w:val="Nenumeruojamosantrastes"/>
        <w:rPr>
          <w:lang w:val="en-GB"/>
        </w:rPr>
      </w:pPr>
      <w:bookmarkStart w:id="15" w:name="_Toc468106957"/>
      <w:bookmarkStart w:id="16" w:name="_Toc468114525"/>
      <w:r w:rsidRPr="00461EC7">
        <w:rPr>
          <w:lang w:val="en-GB"/>
        </w:rPr>
        <w:t xml:space="preserve">results of the </w:t>
      </w:r>
      <w:r w:rsidR="006D1B5F" w:rsidRPr="00461EC7">
        <w:rPr>
          <w:lang w:val="en-GB"/>
        </w:rPr>
        <w:t xml:space="preserve">OPPC </w:t>
      </w:r>
      <w:r w:rsidRPr="00461EC7">
        <w:rPr>
          <w:lang w:val="en-GB"/>
        </w:rPr>
        <w:t>implementation: Health infrastructure</w:t>
      </w:r>
      <w:bookmarkEnd w:id="15"/>
      <w:bookmarkEnd w:id="16"/>
    </w:p>
    <w:p w:rsidR="00974C60" w:rsidRPr="00461EC7" w:rsidRDefault="004C0F6A" w:rsidP="00974C60">
      <w:pPr>
        <w:pStyle w:val="Pagrindinispaprastastekstas"/>
        <w:rPr>
          <w:b/>
          <w:color w:val="1F497D" w:themeColor="text2"/>
          <w:lang w:val="en-GB" w:eastAsia="lt-LT"/>
        </w:rPr>
      </w:pPr>
      <w:r w:rsidRPr="00461EC7">
        <w:rPr>
          <w:b/>
          <w:color w:val="1F497D" w:themeColor="text2"/>
          <w:lang w:val="en-GB" w:eastAsia="lt-LT"/>
        </w:rPr>
        <w:t xml:space="preserve">The main outputs </w:t>
      </w:r>
      <w:r w:rsidR="00DE3640" w:rsidRPr="00461EC7">
        <w:rPr>
          <w:b/>
          <w:color w:val="1F497D" w:themeColor="text2"/>
          <w:lang w:val="en-GB" w:eastAsia="lt-LT"/>
        </w:rPr>
        <w:t xml:space="preserve">and results </w:t>
      </w:r>
      <w:r w:rsidR="007B0C2C" w:rsidRPr="00461EC7">
        <w:rPr>
          <w:b/>
          <w:color w:val="1F497D" w:themeColor="text2"/>
          <w:lang w:val="en-GB" w:eastAsia="lt-LT"/>
        </w:rPr>
        <w:t>(</w:t>
      </w:r>
      <w:r w:rsidR="00DE3640" w:rsidRPr="00461EC7">
        <w:rPr>
          <w:b/>
          <w:color w:val="1F497D" w:themeColor="text2"/>
          <w:lang w:val="en-GB" w:eastAsia="lt-LT"/>
        </w:rPr>
        <w:t>health infrastructure</w:t>
      </w:r>
      <w:r w:rsidR="007B0C2C" w:rsidRPr="00461EC7">
        <w:rPr>
          <w:b/>
          <w:color w:val="1F497D" w:themeColor="text2"/>
          <w:lang w:val="en-GB" w:eastAsia="lt-LT"/>
        </w:rPr>
        <w:t>)</w:t>
      </w:r>
    </w:p>
    <w:p w:rsidR="00700849" w:rsidRPr="00461EC7" w:rsidRDefault="00700849" w:rsidP="0046175C">
      <w:pPr>
        <w:pStyle w:val="Pagrindinispaprastastekstas"/>
        <w:rPr>
          <w:lang w:val="en-GB" w:eastAsia="lt-LT"/>
        </w:rPr>
      </w:pPr>
      <w:r w:rsidRPr="00461EC7">
        <w:rPr>
          <w:noProof/>
          <w:lang w:eastAsia="lt-LT"/>
        </w:rPr>
        <w:drawing>
          <wp:inline distT="0" distB="0" distL="0" distR="0" wp14:anchorId="65192CDD" wp14:editId="11DAF913">
            <wp:extent cx="6106076" cy="1246909"/>
            <wp:effectExtent l="0" t="0" r="9525" b="10795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00849" w:rsidRPr="00461EC7" w:rsidRDefault="00700849" w:rsidP="0046175C">
      <w:pPr>
        <w:pStyle w:val="Pagrindinispaprastastekstas"/>
        <w:rPr>
          <w:lang w:val="en-GB" w:eastAsia="lt-LT"/>
        </w:rPr>
      </w:pPr>
    </w:p>
    <w:p w:rsidR="002F30B8" w:rsidRPr="00461EC7" w:rsidRDefault="005C44B0" w:rsidP="007B0C2C">
      <w:pPr>
        <w:pStyle w:val="Pagrindinispaprastastekstas"/>
        <w:numPr>
          <w:ilvl w:val="0"/>
          <w:numId w:val="39"/>
        </w:numPr>
        <w:rPr>
          <w:lang w:val="en-GB" w:eastAsia="lt-LT"/>
        </w:rPr>
      </w:pPr>
      <w:r w:rsidRPr="00461EC7">
        <w:rPr>
          <w:lang w:val="en-GB" w:eastAsia="lt-LT"/>
        </w:rPr>
        <w:t>The quality and accessibility of health services have improved for 1</w:t>
      </w:r>
      <w:r w:rsidR="000335DD" w:rsidRPr="00461EC7">
        <w:rPr>
          <w:lang w:val="en-GB" w:eastAsia="lt-LT"/>
        </w:rPr>
        <w:t>.</w:t>
      </w:r>
      <w:r w:rsidRPr="00461EC7">
        <w:rPr>
          <w:lang w:val="en-GB" w:eastAsia="lt-LT"/>
        </w:rPr>
        <w:t>3406</w:t>
      </w:r>
      <w:r w:rsidR="000335DD" w:rsidRPr="00461EC7">
        <w:rPr>
          <w:lang w:val="en-GB" w:eastAsia="lt-LT"/>
        </w:rPr>
        <w:t> </w:t>
      </w:r>
      <w:r w:rsidRPr="00461EC7">
        <w:rPr>
          <w:lang w:val="en-GB" w:eastAsia="lt-LT"/>
        </w:rPr>
        <w:t>million patients</w:t>
      </w:r>
      <w:r w:rsidR="000335DD" w:rsidRPr="00461EC7">
        <w:rPr>
          <w:lang w:val="en-GB" w:eastAsia="lt-LT"/>
        </w:rPr>
        <w:t> </w:t>
      </w:r>
      <w:r w:rsidRPr="00461EC7">
        <w:rPr>
          <w:lang w:val="en-GB" w:eastAsia="lt-LT"/>
        </w:rPr>
        <w:t>–</w:t>
      </w:r>
      <w:r w:rsidR="000335DD" w:rsidRPr="00461EC7">
        <w:rPr>
          <w:lang w:val="en-GB" w:eastAsia="lt-LT"/>
        </w:rPr>
        <w:t xml:space="preserve"> this is</w:t>
      </w:r>
      <w:r w:rsidRPr="00461EC7">
        <w:rPr>
          <w:lang w:val="en-GB" w:eastAsia="lt-LT"/>
        </w:rPr>
        <w:t xml:space="preserve"> the number of people who have used services of health care institutions (hospitals, clinics, primary health care centres)</w:t>
      </w:r>
      <w:r w:rsidR="00EB049D" w:rsidRPr="00461EC7">
        <w:rPr>
          <w:lang w:val="en-GB" w:eastAsia="lt-LT"/>
        </w:rPr>
        <w:t xml:space="preserve"> </w:t>
      </w:r>
      <w:r w:rsidR="000335DD" w:rsidRPr="00461EC7">
        <w:rPr>
          <w:lang w:val="en-GB" w:eastAsia="lt-LT"/>
        </w:rPr>
        <w:t>upgraded using</w:t>
      </w:r>
      <w:r w:rsidR="00EB049D" w:rsidRPr="00461EC7">
        <w:rPr>
          <w:lang w:val="en-GB" w:eastAsia="lt-LT"/>
        </w:rPr>
        <w:t xml:space="preserve"> the OPPC funds</w:t>
      </w:r>
      <w:r w:rsidRPr="00461EC7">
        <w:rPr>
          <w:lang w:val="en-GB" w:eastAsia="lt-LT"/>
        </w:rPr>
        <w:t>.</w:t>
      </w:r>
    </w:p>
    <w:p w:rsidR="002F30B8" w:rsidRPr="00461EC7" w:rsidRDefault="005C44B0" w:rsidP="007B0C2C">
      <w:pPr>
        <w:pStyle w:val="Pagrindinispaprastastekstas"/>
        <w:numPr>
          <w:ilvl w:val="0"/>
          <w:numId w:val="39"/>
        </w:numPr>
        <w:rPr>
          <w:lang w:val="en-GB" w:eastAsia="lt-LT"/>
        </w:rPr>
      </w:pPr>
      <w:r w:rsidRPr="00461EC7">
        <w:rPr>
          <w:lang w:val="en-GB" w:eastAsia="lt-LT"/>
        </w:rPr>
        <w:t xml:space="preserve">OPPC investments were allocated to </w:t>
      </w:r>
      <w:r w:rsidR="000335DD" w:rsidRPr="00461EC7">
        <w:rPr>
          <w:lang w:val="en-GB" w:eastAsia="lt-LT"/>
        </w:rPr>
        <w:t>over</w:t>
      </w:r>
      <w:r w:rsidRPr="00461EC7">
        <w:rPr>
          <w:lang w:val="en-GB" w:eastAsia="lt-LT"/>
        </w:rPr>
        <w:t xml:space="preserve"> 200</w:t>
      </w:r>
      <w:r w:rsidR="007B3A22">
        <w:rPr>
          <w:lang w:val="en-GB" w:eastAsia="lt-LT"/>
        </w:rPr>
        <w:t> </w:t>
      </w:r>
      <w:r w:rsidRPr="00461EC7">
        <w:rPr>
          <w:lang w:val="en-GB" w:eastAsia="lt-LT"/>
        </w:rPr>
        <w:t>health care institutions.</w:t>
      </w:r>
    </w:p>
    <w:p w:rsidR="007B0C2C" w:rsidRPr="00461EC7" w:rsidRDefault="007B0C2C" w:rsidP="0046175C">
      <w:pPr>
        <w:pStyle w:val="Pagrindinispaprastastekstas"/>
        <w:rPr>
          <w:lang w:val="en-GB" w:eastAsia="lt-LT"/>
        </w:rPr>
      </w:pP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82149" w:rsidRPr="00461EC7" w:rsidTr="006C7204">
        <w:tc>
          <w:tcPr>
            <w:tcW w:w="9628" w:type="dxa"/>
            <w:shd w:val="clear" w:color="auto" w:fill="DBE5F1" w:themeFill="accent1" w:themeFillTint="33"/>
          </w:tcPr>
          <w:p w:rsidR="00C82149" w:rsidRPr="00461EC7" w:rsidRDefault="00C82149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sz w:val="18"/>
                <w:szCs w:val="18"/>
                <w:lang w:val="en-GB"/>
              </w:rPr>
            </w:pPr>
            <w:r w:rsidRPr="00461EC7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3296" behindDoc="0" locked="0" layoutInCell="1" allowOverlap="1" wp14:anchorId="77A31077" wp14:editId="45BBA07D">
                  <wp:simplePos x="0" y="0"/>
                  <wp:positionH relativeFrom="column">
                    <wp:posOffset>3603836</wp:posOffset>
                  </wp:positionH>
                  <wp:positionV relativeFrom="paragraph">
                    <wp:posOffset>211</wp:posOffset>
                  </wp:positionV>
                  <wp:extent cx="2437200" cy="1368000"/>
                  <wp:effectExtent l="0" t="0" r="1270" b="3810"/>
                  <wp:wrapSquare wrapText="bothSides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Marijampolė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200" cy="136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0335DD" w:rsidRPr="00461EC7">
              <w:rPr>
                <w:sz w:val="18"/>
                <w:szCs w:val="18"/>
                <w:lang w:val="en-GB"/>
              </w:rPr>
              <w:t>“</w:t>
            </w:r>
            <w:r w:rsidR="00B72D50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Establishing </w:t>
            </w:r>
            <w:r w:rsidR="00EF1810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a </w:t>
            </w:r>
            <w:r w:rsidR="00B72D50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P</w:t>
            </w:r>
            <w:r w:rsidR="008F2544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sychiatric </w:t>
            </w:r>
            <w:r w:rsidR="00B72D50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D</w:t>
            </w:r>
            <w:r w:rsidR="008F2544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ay </w:t>
            </w:r>
            <w:r w:rsidR="00B72D50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I</w:t>
            </w:r>
            <w:r w:rsidR="008F2544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n-</w:t>
            </w:r>
            <w:r w:rsidR="00B72D50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P</w:t>
            </w:r>
            <w:r w:rsidR="008F2544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atient </w:t>
            </w:r>
            <w:r w:rsidR="00B72D50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D</w:t>
            </w:r>
            <w:r w:rsidR="008F2544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epartment in </w:t>
            </w:r>
            <w:proofErr w:type="spellStart"/>
            <w:r w:rsidR="008F2544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Marijampolė</w:t>
            </w:r>
            <w:proofErr w:type="spellEnd"/>
            <w:r w:rsidR="000335DD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”</w:t>
            </w:r>
          </w:p>
          <w:p w:rsidR="00C82149" w:rsidRPr="00461EC7" w:rsidRDefault="008F2544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>Project implementer</w:t>
            </w:r>
            <w:r w:rsidR="000335DD" w:rsidRPr="00461EC7">
              <w:rPr>
                <w:i/>
                <w:sz w:val="18"/>
                <w:szCs w:val="18"/>
                <w:lang w:val="en-GB"/>
              </w:rPr>
              <w:t xml:space="preserve">: </w:t>
            </w:r>
            <w:proofErr w:type="spellStart"/>
            <w:r w:rsidR="00C82149" w:rsidRPr="00461EC7">
              <w:rPr>
                <w:i/>
                <w:sz w:val="18"/>
                <w:szCs w:val="18"/>
                <w:lang w:val="en-GB"/>
              </w:rPr>
              <w:t>Marijampolė</w:t>
            </w:r>
            <w:proofErr w:type="spellEnd"/>
            <w:r w:rsidR="00F06476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="000335DD" w:rsidRPr="00461EC7">
              <w:rPr>
                <w:i/>
                <w:sz w:val="18"/>
                <w:szCs w:val="18"/>
                <w:lang w:val="en-GB"/>
              </w:rPr>
              <w:t>G</w:t>
            </w:r>
            <w:r w:rsidR="00F06476" w:rsidRPr="00461EC7">
              <w:rPr>
                <w:i/>
                <w:sz w:val="18"/>
                <w:szCs w:val="18"/>
                <w:lang w:val="en-GB"/>
              </w:rPr>
              <w:t xml:space="preserve">eneral </w:t>
            </w:r>
            <w:r w:rsidR="000335DD" w:rsidRPr="00461EC7">
              <w:rPr>
                <w:i/>
                <w:sz w:val="18"/>
                <w:szCs w:val="18"/>
                <w:lang w:val="en-GB"/>
              </w:rPr>
              <w:t>A</w:t>
            </w:r>
            <w:r w:rsidR="00F06476" w:rsidRPr="00461EC7">
              <w:rPr>
                <w:i/>
                <w:sz w:val="18"/>
                <w:szCs w:val="18"/>
                <w:lang w:val="en-GB"/>
              </w:rPr>
              <w:t xml:space="preserve">mbulatory </w:t>
            </w:r>
            <w:r w:rsidR="000335DD" w:rsidRPr="00461EC7">
              <w:rPr>
                <w:i/>
                <w:sz w:val="18"/>
                <w:szCs w:val="18"/>
                <w:lang w:val="en-GB"/>
              </w:rPr>
              <w:t>H</w:t>
            </w:r>
            <w:r w:rsidR="00F06476" w:rsidRPr="00461EC7">
              <w:rPr>
                <w:i/>
                <w:sz w:val="18"/>
                <w:szCs w:val="18"/>
                <w:lang w:val="en-GB"/>
              </w:rPr>
              <w:t xml:space="preserve">ealth </w:t>
            </w:r>
            <w:r w:rsidR="000335DD" w:rsidRPr="00461EC7">
              <w:rPr>
                <w:i/>
                <w:sz w:val="18"/>
                <w:szCs w:val="18"/>
                <w:lang w:val="en-GB"/>
              </w:rPr>
              <w:t>C</w:t>
            </w:r>
            <w:r w:rsidR="00F06476" w:rsidRPr="00461EC7">
              <w:rPr>
                <w:i/>
                <w:sz w:val="18"/>
                <w:szCs w:val="18"/>
                <w:lang w:val="en-GB"/>
              </w:rPr>
              <w:t xml:space="preserve">are </w:t>
            </w:r>
            <w:r w:rsidR="000335DD" w:rsidRPr="00461EC7">
              <w:rPr>
                <w:i/>
                <w:sz w:val="18"/>
                <w:szCs w:val="18"/>
                <w:lang w:val="en-GB"/>
              </w:rPr>
              <w:t>C</w:t>
            </w:r>
            <w:r w:rsidR="00F06476" w:rsidRPr="00461EC7">
              <w:rPr>
                <w:i/>
                <w:sz w:val="18"/>
                <w:szCs w:val="18"/>
                <w:lang w:val="en-GB"/>
              </w:rPr>
              <w:t>entre</w:t>
            </w:r>
          </w:p>
          <w:p w:rsidR="00C82149" w:rsidRPr="00461EC7" w:rsidRDefault="00AD64FC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>EU contribution:</w:t>
            </w:r>
            <w:r w:rsidR="008F2544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i/>
                <w:sz w:val="18"/>
                <w:szCs w:val="18"/>
                <w:lang w:val="en-GB"/>
              </w:rPr>
              <w:t>EUR </w:t>
            </w:r>
            <w:r w:rsidR="000335DD" w:rsidRPr="00461EC7">
              <w:rPr>
                <w:i/>
                <w:sz w:val="18"/>
                <w:szCs w:val="18"/>
                <w:lang w:val="en-GB"/>
              </w:rPr>
              <w:t>0.</w:t>
            </w:r>
            <w:r w:rsidR="00C82149" w:rsidRPr="00461EC7">
              <w:rPr>
                <w:i/>
                <w:sz w:val="18"/>
                <w:szCs w:val="18"/>
                <w:lang w:val="en-GB"/>
              </w:rPr>
              <w:t>2664</w:t>
            </w:r>
            <w:r w:rsidR="000335DD" w:rsidRPr="00461EC7">
              <w:rPr>
                <w:i/>
                <w:sz w:val="18"/>
                <w:szCs w:val="18"/>
                <w:lang w:val="en-GB"/>
              </w:rPr>
              <w:t> million</w:t>
            </w:r>
          </w:p>
          <w:p w:rsidR="00C82149" w:rsidRPr="00461EC7" w:rsidRDefault="00C82149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</w:p>
          <w:p w:rsidR="00C82149" w:rsidRPr="00461EC7" w:rsidRDefault="00B72D50" w:rsidP="00B72D50">
            <w:pPr>
              <w:pStyle w:val="Pagrindinispaprastastekstas"/>
              <w:shd w:val="clear" w:color="auto" w:fill="DBE5F1" w:themeFill="accent1" w:themeFillTint="33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</w:t>
            </w:r>
            <w:r w:rsidR="00C82D58" w:rsidRPr="00461EC7">
              <w:rPr>
                <w:sz w:val="18"/>
                <w:szCs w:val="18"/>
                <w:lang w:val="en-GB"/>
              </w:rPr>
              <w:t>he project</w:t>
            </w:r>
            <w:r>
              <w:rPr>
                <w:sz w:val="18"/>
                <w:szCs w:val="18"/>
                <w:lang w:val="en-GB"/>
              </w:rPr>
              <w:t xml:space="preserve"> included the establishment of </w:t>
            </w:r>
            <w:r w:rsidR="005E734F" w:rsidRPr="00461EC7">
              <w:rPr>
                <w:sz w:val="18"/>
                <w:szCs w:val="18"/>
                <w:lang w:val="en-GB"/>
              </w:rPr>
              <w:t xml:space="preserve">a </w:t>
            </w:r>
            <w:r w:rsidR="00C82D58" w:rsidRPr="00461EC7">
              <w:rPr>
                <w:sz w:val="18"/>
                <w:szCs w:val="18"/>
                <w:lang w:val="en-GB"/>
              </w:rPr>
              <w:t xml:space="preserve">Psychiatric </w:t>
            </w:r>
            <w:r w:rsidR="005E734F" w:rsidRPr="00461EC7">
              <w:rPr>
                <w:sz w:val="18"/>
                <w:szCs w:val="18"/>
                <w:lang w:val="en-GB"/>
              </w:rPr>
              <w:t>D</w:t>
            </w:r>
            <w:r w:rsidR="00C82D58" w:rsidRPr="00461EC7">
              <w:rPr>
                <w:sz w:val="18"/>
                <w:szCs w:val="18"/>
                <w:lang w:val="en-GB"/>
              </w:rPr>
              <w:t xml:space="preserve">ay </w:t>
            </w:r>
            <w:r w:rsidR="005E734F" w:rsidRPr="00461EC7">
              <w:rPr>
                <w:sz w:val="18"/>
                <w:szCs w:val="18"/>
                <w:lang w:val="en-GB"/>
              </w:rPr>
              <w:t>I</w:t>
            </w:r>
            <w:r w:rsidR="00C82D58" w:rsidRPr="00461EC7">
              <w:rPr>
                <w:sz w:val="18"/>
                <w:szCs w:val="18"/>
                <w:lang w:val="en-GB"/>
              </w:rPr>
              <w:t>n-</w:t>
            </w:r>
            <w:r w:rsidR="005E734F" w:rsidRPr="00461EC7">
              <w:rPr>
                <w:sz w:val="18"/>
                <w:szCs w:val="18"/>
                <w:lang w:val="en-GB"/>
              </w:rPr>
              <w:t>P</w:t>
            </w:r>
            <w:r w:rsidR="00C82D58" w:rsidRPr="00461EC7">
              <w:rPr>
                <w:sz w:val="18"/>
                <w:szCs w:val="18"/>
                <w:lang w:val="en-GB"/>
              </w:rPr>
              <w:t xml:space="preserve">atient </w:t>
            </w:r>
            <w:r w:rsidR="005E734F" w:rsidRPr="00461EC7">
              <w:rPr>
                <w:sz w:val="18"/>
                <w:szCs w:val="18"/>
                <w:lang w:val="en-GB"/>
              </w:rPr>
              <w:t>D</w:t>
            </w:r>
            <w:r w:rsidR="00C82D58" w:rsidRPr="00461EC7">
              <w:rPr>
                <w:sz w:val="18"/>
                <w:szCs w:val="18"/>
                <w:lang w:val="en-GB"/>
              </w:rPr>
              <w:t xml:space="preserve">epartment </w:t>
            </w:r>
            <w:r>
              <w:rPr>
                <w:sz w:val="18"/>
                <w:szCs w:val="18"/>
                <w:lang w:val="en-GB"/>
              </w:rPr>
              <w:t>with</w:t>
            </w:r>
            <w:r w:rsidRPr="00461EC7">
              <w:rPr>
                <w:sz w:val="18"/>
                <w:szCs w:val="18"/>
                <w:lang w:val="en-GB"/>
              </w:rPr>
              <w:t xml:space="preserve"> </w:t>
            </w:r>
            <w:r w:rsidR="00C82D58" w:rsidRPr="00461EC7">
              <w:rPr>
                <w:sz w:val="18"/>
                <w:szCs w:val="18"/>
                <w:lang w:val="en-GB"/>
              </w:rPr>
              <w:t>12</w:t>
            </w:r>
            <w:r w:rsidR="005E734F" w:rsidRPr="00461EC7">
              <w:rPr>
                <w:sz w:val="18"/>
                <w:szCs w:val="18"/>
                <w:lang w:val="en-GB"/>
              </w:rPr>
              <w:t> </w:t>
            </w:r>
            <w:r>
              <w:rPr>
                <w:sz w:val="18"/>
                <w:szCs w:val="18"/>
                <w:lang w:val="en-GB"/>
              </w:rPr>
              <w:t>beds</w:t>
            </w:r>
            <w:r w:rsidR="00C82D58" w:rsidRPr="00461EC7">
              <w:rPr>
                <w:sz w:val="18"/>
                <w:szCs w:val="18"/>
                <w:lang w:val="en-GB"/>
              </w:rPr>
              <w:t xml:space="preserve">. </w:t>
            </w:r>
            <w:r>
              <w:rPr>
                <w:sz w:val="18"/>
                <w:szCs w:val="18"/>
                <w:lang w:val="en-GB"/>
              </w:rPr>
              <w:t>It</w:t>
            </w:r>
            <w:r w:rsidR="005E734F" w:rsidRPr="00461EC7">
              <w:rPr>
                <w:sz w:val="18"/>
                <w:szCs w:val="18"/>
                <w:lang w:val="en-GB"/>
              </w:rPr>
              <w:t xml:space="preserve"> included repairs of </w:t>
            </w:r>
            <w:r w:rsidR="00C82D58" w:rsidRPr="00461EC7">
              <w:rPr>
                <w:sz w:val="18"/>
                <w:szCs w:val="18"/>
                <w:lang w:val="en-GB"/>
              </w:rPr>
              <w:t>435</w:t>
            </w:r>
            <w:r w:rsidR="005E734F" w:rsidRPr="00461EC7">
              <w:rPr>
                <w:sz w:val="18"/>
                <w:szCs w:val="18"/>
                <w:lang w:val="en-GB"/>
              </w:rPr>
              <w:t> </w:t>
            </w:r>
            <w:r w:rsidR="00C82D58" w:rsidRPr="00461EC7">
              <w:rPr>
                <w:sz w:val="18"/>
                <w:szCs w:val="18"/>
                <w:lang w:val="en-GB"/>
              </w:rPr>
              <w:t>m</w:t>
            </w:r>
            <w:r w:rsidR="00C82D58" w:rsidRPr="00461EC7">
              <w:rPr>
                <w:sz w:val="18"/>
                <w:szCs w:val="18"/>
                <w:vertAlign w:val="superscript"/>
                <w:lang w:val="en-GB"/>
              </w:rPr>
              <w:t xml:space="preserve">2 </w:t>
            </w:r>
            <w:r w:rsidR="005E734F" w:rsidRPr="00461EC7">
              <w:rPr>
                <w:sz w:val="18"/>
                <w:szCs w:val="18"/>
                <w:lang w:val="en-GB"/>
              </w:rPr>
              <w:t xml:space="preserve">of premises and installation of a </w:t>
            </w:r>
            <w:r w:rsidR="00EB049D" w:rsidRPr="00461EC7">
              <w:rPr>
                <w:sz w:val="18"/>
                <w:szCs w:val="18"/>
                <w:lang w:val="en-GB"/>
              </w:rPr>
              <w:t xml:space="preserve">registration office, doctors’ </w:t>
            </w:r>
            <w:r w:rsidR="00C82D58" w:rsidRPr="00461EC7">
              <w:rPr>
                <w:sz w:val="18"/>
                <w:szCs w:val="18"/>
                <w:lang w:val="en-GB"/>
              </w:rPr>
              <w:t>offices</w:t>
            </w:r>
            <w:r w:rsidR="005E734F" w:rsidRPr="00461EC7">
              <w:rPr>
                <w:sz w:val="18"/>
                <w:szCs w:val="18"/>
                <w:lang w:val="en-GB"/>
              </w:rPr>
              <w:t xml:space="preserve">, </w:t>
            </w:r>
            <w:r>
              <w:rPr>
                <w:sz w:val="18"/>
                <w:szCs w:val="18"/>
                <w:lang w:val="en-GB"/>
              </w:rPr>
              <w:t xml:space="preserve">a </w:t>
            </w:r>
            <w:r w:rsidR="00C82D58" w:rsidRPr="00461EC7">
              <w:rPr>
                <w:sz w:val="18"/>
                <w:szCs w:val="18"/>
                <w:lang w:val="en-GB"/>
              </w:rPr>
              <w:t>psychologist</w:t>
            </w:r>
            <w:r w:rsidR="00EB049D" w:rsidRPr="00461EC7">
              <w:rPr>
                <w:sz w:val="18"/>
                <w:szCs w:val="18"/>
                <w:lang w:val="en-GB"/>
              </w:rPr>
              <w:t>s’</w:t>
            </w:r>
            <w:r w:rsidR="00C82D58" w:rsidRPr="00461EC7">
              <w:rPr>
                <w:sz w:val="18"/>
                <w:szCs w:val="18"/>
                <w:lang w:val="en-GB"/>
              </w:rPr>
              <w:t xml:space="preserve"> office,</w:t>
            </w:r>
            <w:r w:rsidR="00EB049D" w:rsidRPr="00461EC7">
              <w:rPr>
                <w:sz w:val="18"/>
                <w:szCs w:val="18"/>
                <w:lang w:val="en-GB"/>
              </w:rPr>
              <w:t xml:space="preserve"> a kitchen,</w:t>
            </w:r>
            <w:r w:rsidR="00C82D58" w:rsidRPr="00461EC7">
              <w:rPr>
                <w:sz w:val="18"/>
                <w:szCs w:val="18"/>
                <w:lang w:val="en-GB"/>
              </w:rPr>
              <w:t xml:space="preserve"> rooms for procedures, wards, </w:t>
            </w:r>
            <w:r w:rsidR="005E734F" w:rsidRPr="00461EC7">
              <w:rPr>
                <w:sz w:val="18"/>
                <w:szCs w:val="18"/>
                <w:lang w:val="en-GB"/>
              </w:rPr>
              <w:t xml:space="preserve">a </w:t>
            </w:r>
            <w:r w:rsidR="00C82D58" w:rsidRPr="00461EC7">
              <w:rPr>
                <w:sz w:val="18"/>
                <w:szCs w:val="18"/>
                <w:lang w:val="en-GB"/>
              </w:rPr>
              <w:t>psychotherapy office, music and lights therapy rooms</w:t>
            </w:r>
            <w:r w:rsidR="005E734F" w:rsidRPr="00461EC7">
              <w:rPr>
                <w:sz w:val="18"/>
                <w:szCs w:val="18"/>
                <w:lang w:val="en-GB"/>
              </w:rPr>
              <w:t xml:space="preserve"> and an</w:t>
            </w:r>
            <w:r w:rsidR="00EB049D" w:rsidRPr="00461EC7">
              <w:rPr>
                <w:sz w:val="18"/>
                <w:szCs w:val="18"/>
                <w:lang w:val="en-GB"/>
              </w:rPr>
              <w:t xml:space="preserve"> </w:t>
            </w:r>
            <w:r w:rsidR="00C82D58" w:rsidRPr="00461EC7">
              <w:rPr>
                <w:sz w:val="18"/>
                <w:szCs w:val="18"/>
                <w:lang w:val="en-GB"/>
              </w:rPr>
              <w:t>art therapy</w:t>
            </w:r>
            <w:r w:rsidR="009B506F" w:rsidRPr="00461EC7">
              <w:rPr>
                <w:sz w:val="18"/>
                <w:szCs w:val="18"/>
                <w:lang w:val="en-GB"/>
              </w:rPr>
              <w:t xml:space="preserve"> room. Various relaxation chairs, computer</w:t>
            </w:r>
            <w:r w:rsidR="00EB049D" w:rsidRPr="00461EC7">
              <w:rPr>
                <w:sz w:val="18"/>
                <w:szCs w:val="18"/>
                <w:lang w:val="en-GB"/>
              </w:rPr>
              <w:t>s</w:t>
            </w:r>
            <w:r w:rsidR="009B506F" w:rsidRPr="00461EC7">
              <w:rPr>
                <w:sz w:val="18"/>
                <w:szCs w:val="18"/>
                <w:lang w:val="en-GB"/>
              </w:rPr>
              <w:t xml:space="preserve"> and other equipment were </w:t>
            </w:r>
            <w:r w:rsidR="00EB049D" w:rsidRPr="00461EC7">
              <w:rPr>
                <w:sz w:val="18"/>
                <w:szCs w:val="18"/>
                <w:lang w:val="en-GB"/>
              </w:rPr>
              <w:t>bought</w:t>
            </w:r>
            <w:r w:rsidR="009B506F" w:rsidRPr="00461EC7">
              <w:rPr>
                <w:sz w:val="18"/>
                <w:szCs w:val="18"/>
                <w:lang w:val="en-GB"/>
              </w:rPr>
              <w:t xml:space="preserve">. </w:t>
            </w:r>
            <w:r w:rsidR="005E734F" w:rsidRPr="00461EC7">
              <w:rPr>
                <w:sz w:val="18"/>
                <w:szCs w:val="18"/>
                <w:lang w:val="en-GB"/>
              </w:rPr>
              <w:t>The new</w:t>
            </w:r>
            <w:r w:rsidR="00313800" w:rsidRPr="00461EC7">
              <w:rPr>
                <w:sz w:val="18"/>
                <w:szCs w:val="18"/>
                <w:lang w:val="en-GB"/>
              </w:rPr>
              <w:t xml:space="preserve"> </w:t>
            </w:r>
            <w:r w:rsidR="009B506F" w:rsidRPr="00461EC7">
              <w:rPr>
                <w:sz w:val="18"/>
                <w:szCs w:val="18"/>
                <w:lang w:val="en-GB"/>
              </w:rPr>
              <w:t>centre</w:t>
            </w:r>
            <w:r w:rsidR="00313800" w:rsidRPr="00461EC7">
              <w:rPr>
                <w:sz w:val="18"/>
                <w:szCs w:val="18"/>
                <w:lang w:val="en-GB"/>
              </w:rPr>
              <w:t xml:space="preserve"> </w:t>
            </w:r>
            <w:r w:rsidR="005E734F" w:rsidRPr="00461EC7">
              <w:rPr>
                <w:sz w:val="18"/>
                <w:szCs w:val="18"/>
                <w:lang w:val="en-GB"/>
              </w:rPr>
              <w:t xml:space="preserve">applies active </w:t>
            </w:r>
            <w:r w:rsidR="00313800" w:rsidRPr="00461EC7">
              <w:rPr>
                <w:sz w:val="18"/>
                <w:szCs w:val="18"/>
                <w:lang w:val="en-GB"/>
              </w:rPr>
              <w:t>treatment</w:t>
            </w:r>
            <w:r w:rsidR="005E734F" w:rsidRPr="00461EC7">
              <w:rPr>
                <w:sz w:val="18"/>
                <w:szCs w:val="18"/>
                <w:lang w:val="en-GB"/>
              </w:rPr>
              <w:t>:</w:t>
            </w:r>
            <w:r w:rsidR="00313800" w:rsidRPr="00461EC7">
              <w:rPr>
                <w:sz w:val="18"/>
                <w:szCs w:val="18"/>
                <w:lang w:val="en-GB"/>
              </w:rPr>
              <w:t xml:space="preserve"> </w:t>
            </w:r>
            <w:r w:rsidR="005E734F" w:rsidRPr="00461EC7">
              <w:rPr>
                <w:sz w:val="18"/>
                <w:szCs w:val="18"/>
                <w:lang w:val="en-GB"/>
              </w:rPr>
              <w:t>the</w:t>
            </w:r>
            <w:r w:rsidR="00313800" w:rsidRPr="00461EC7">
              <w:rPr>
                <w:sz w:val="18"/>
                <w:szCs w:val="18"/>
                <w:lang w:val="en-GB"/>
              </w:rPr>
              <w:t xml:space="preserve"> diagnosis </w:t>
            </w:r>
            <w:r w:rsidR="00EB049D" w:rsidRPr="00461EC7">
              <w:rPr>
                <w:sz w:val="18"/>
                <w:szCs w:val="18"/>
                <w:lang w:val="en-GB"/>
              </w:rPr>
              <w:t xml:space="preserve">and </w:t>
            </w:r>
            <w:r w:rsidR="00313800" w:rsidRPr="00461EC7">
              <w:rPr>
                <w:sz w:val="18"/>
                <w:szCs w:val="18"/>
                <w:lang w:val="en-GB"/>
              </w:rPr>
              <w:t>prescribed pharmaceuticals are adjusted</w:t>
            </w:r>
            <w:r w:rsidR="005E734F" w:rsidRPr="00461EC7">
              <w:rPr>
                <w:sz w:val="18"/>
                <w:szCs w:val="18"/>
                <w:lang w:val="en-GB"/>
              </w:rPr>
              <w:t xml:space="preserve"> and </w:t>
            </w:r>
            <w:r w:rsidR="00EB049D" w:rsidRPr="00461EC7">
              <w:rPr>
                <w:sz w:val="18"/>
                <w:szCs w:val="18"/>
                <w:lang w:val="en-GB"/>
              </w:rPr>
              <w:t>various rehabilitation procedures (</w:t>
            </w:r>
            <w:r w:rsidR="005E734F" w:rsidRPr="00461EC7">
              <w:rPr>
                <w:sz w:val="18"/>
                <w:szCs w:val="18"/>
                <w:lang w:val="en-GB"/>
              </w:rPr>
              <w:t xml:space="preserve">such as </w:t>
            </w:r>
            <w:r w:rsidR="00EB049D" w:rsidRPr="00461EC7">
              <w:rPr>
                <w:sz w:val="18"/>
                <w:szCs w:val="18"/>
                <w:lang w:val="en-GB"/>
              </w:rPr>
              <w:t>psychotherapy</w:t>
            </w:r>
            <w:r w:rsidR="00BC428A" w:rsidRPr="00461EC7">
              <w:rPr>
                <w:sz w:val="18"/>
                <w:szCs w:val="18"/>
                <w:lang w:val="en-GB"/>
              </w:rPr>
              <w:t>) are</w:t>
            </w:r>
            <w:r w:rsidR="00313800" w:rsidRPr="00461EC7">
              <w:rPr>
                <w:sz w:val="18"/>
                <w:szCs w:val="18"/>
                <w:lang w:val="en-GB"/>
              </w:rPr>
              <w:t xml:space="preserve"> </w:t>
            </w:r>
            <w:r w:rsidR="00DC576B" w:rsidRPr="00461EC7">
              <w:rPr>
                <w:sz w:val="18"/>
                <w:szCs w:val="18"/>
                <w:lang w:val="en-GB"/>
              </w:rPr>
              <w:t>used</w:t>
            </w:r>
            <w:r w:rsidR="00313800" w:rsidRPr="00461EC7">
              <w:rPr>
                <w:sz w:val="18"/>
                <w:szCs w:val="18"/>
                <w:lang w:val="en-GB"/>
              </w:rPr>
              <w:t xml:space="preserve">. </w:t>
            </w:r>
            <w:r w:rsidR="00DC576B" w:rsidRPr="00461EC7">
              <w:rPr>
                <w:sz w:val="18"/>
                <w:szCs w:val="18"/>
                <w:lang w:val="en-GB"/>
              </w:rPr>
              <w:t>P</w:t>
            </w:r>
            <w:r w:rsidR="00321FCB" w:rsidRPr="00461EC7">
              <w:rPr>
                <w:sz w:val="18"/>
                <w:szCs w:val="18"/>
                <w:lang w:val="en-GB"/>
              </w:rPr>
              <w:t xml:space="preserve">atients </w:t>
            </w:r>
            <w:r w:rsidR="00DC576B" w:rsidRPr="00461EC7">
              <w:rPr>
                <w:sz w:val="18"/>
                <w:szCs w:val="18"/>
                <w:lang w:val="en-GB"/>
              </w:rPr>
              <w:t xml:space="preserve">also </w:t>
            </w:r>
            <w:r>
              <w:rPr>
                <w:sz w:val="18"/>
                <w:szCs w:val="18"/>
                <w:lang w:val="en-GB"/>
              </w:rPr>
              <w:t>have access to</w:t>
            </w:r>
            <w:r w:rsidR="00BC428A" w:rsidRPr="00461EC7">
              <w:rPr>
                <w:sz w:val="18"/>
                <w:szCs w:val="18"/>
                <w:lang w:val="en-GB"/>
              </w:rPr>
              <w:t xml:space="preserve"> </w:t>
            </w:r>
            <w:r w:rsidR="00DC576B" w:rsidRPr="00461EC7">
              <w:rPr>
                <w:sz w:val="18"/>
                <w:szCs w:val="18"/>
                <w:lang w:val="en-GB"/>
              </w:rPr>
              <w:t xml:space="preserve">individual and group </w:t>
            </w:r>
            <w:r w:rsidR="00BC428A" w:rsidRPr="00461EC7">
              <w:rPr>
                <w:sz w:val="18"/>
                <w:szCs w:val="18"/>
                <w:lang w:val="en-GB"/>
              </w:rPr>
              <w:t xml:space="preserve">consultations by </w:t>
            </w:r>
            <w:r w:rsidR="00321FCB" w:rsidRPr="00461EC7">
              <w:rPr>
                <w:sz w:val="18"/>
                <w:szCs w:val="18"/>
                <w:lang w:val="en-GB"/>
              </w:rPr>
              <w:t>psychiatrist</w:t>
            </w:r>
            <w:r w:rsidR="00BC428A" w:rsidRPr="00461EC7">
              <w:rPr>
                <w:sz w:val="18"/>
                <w:szCs w:val="18"/>
                <w:lang w:val="en-GB"/>
              </w:rPr>
              <w:t xml:space="preserve">s, </w:t>
            </w:r>
            <w:r w:rsidR="00321FCB" w:rsidRPr="00461EC7">
              <w:rPr>
                <w:sz w:val="18"/>
                <w:szCs w:val="18"/>
                <w:lang w:val="en-GB"/>
              </w:rPr>
              <w:t>psychologists and social workers</w:t>
            </w:r>
            <w:r w:rsidR="00BC428A" w:rsidRPr="00461EC7">
              <w:rPr>
                <w:sz w:val="18"/>
                <w:szCs w:val="18"/>
                <w:lang w:val="en-GB"/>
              </w:rPr>
              <w:t>, medical</w:t>
            </w:r>
            <w:r w:rsidR="00321FCB" w:rsidRPr="00461EC7">
              <w:rPr>
                <w:sz w:val="18"/>
                <w:szCs w:val="18"/>
                <w:lang w:val="en-GB"/>
              </w:rPr>
              <w:t xml:space="preserve"> treatment </w:t>
            </w:r>
            <w:r w:rsidR="00DC576B" w:rsidRPr="00461EC7">
              <w:rPr>
                <w:sz w:val="18"/>
                <w:szCs w:val="18"/>
                <w:lang w:val="en-GB"/>
              </w:rPr>
              <w:t xml:space="preserve">and different </w:t>
            </w:r>
            <w:r w:rsidR="00321FCB" w:rsidRPr="00461EC7">
              <w:rPr>
                <w:sz w:val="18"/>
                <w:szCs w:val="18"/>
                <w:lang w:val="en-GB"/>
              </w:rPr>
              <w:t xml:space="preserve">forms of therapy and </w:t>
            </w:r>
            <w:r w:rsidR="00BC428A" w:rsidRPr="00461EC7">
              <w:rPr>
                <w:sz w:val="18"/>
                <w:szCs w:val="18"/>
                <w:lang w:val="en-GB"/>
              </w:rPr>
              <w:t xml:space="preserve">activities </w:t>
            </w:r>
            <w:r w:rsidR="00321FCB" w:rsidRPr="00461EC7">
              <w:rPr>
                <w:sz w:val="18"/>
                <w:szCs w:val="18"/>
                <w:lang w:val="en-GB"/>
              </w:rPr>
              <w:t>(music and motion therapy, the recovery of hygiene and communication skills, the development of integrated community living, social and leisure skills</w:t>
            </w:r>
            <w:r w:rsidR="00BC428A" w:rsidRPr="00461EC7">
              <w:rPr>
                <w:sz w:val="18"/>
                <w:szCs w:val="18"/>
                <w:lang w:val="en-GB"/>
              </w:rPr>
              <w:t>)</w:t>
            </w:r>
            <w:r w:rsidR="00321FCB" w:rsidRPr="00461EC7">
              <w:rPr>
                <w:sz w:val="18"/>
                <w:szCs w:val="18"/>
                <w:lang w:val="en-GB"/>
              </w:rPr>
              <w:t>.</w:t>
            </w:r>
          </w:p>
        </w:tc>
      </w:tr>
    </w:tbl>
    <w:p w:rsidR="00C82149" w:rsidRPr="00461EC7" w:rsidRDefault="00C82149" w:rsidP="00C82149">
      <w:pPr>
        <w:pStyle w:val="Pagrindinispaprastastekstas"/>
        <w:rPr>
          <w:lang w:val="en-GB" w:eastAsia="lt-LT"/>
        </w:rPr>
      </w:pPr>
    </w:p>
    <w:p w:rsidR="00DA5DE0" w:rsidRPr="00461EC7" w:rsidRDefault="004A55B0" w:rsidP="00DA5DE0">
      <w:pPr>
        <w:pStyle w:val="Pagrindinispaprastastekstas"/>
        <w:rPr>
          <w:lang w:val="en-GB" w:eastAsia="lt-LT"/>
        </w:rPr>
      </w:pPr>
      <w:r>
        <w:rPr>
          <w:b/>
          <w:color w:val="1F497D" w:themeColor="text2"/>
          <w:lang w:val="en-GB" w:eastAsia="lt-LT"/>
        </w:rPr>
        <w:t>I</w:t>
      </w:r>
      <w:r w:rsidR="00DA5DE0" w:rsidRPr="00461EC7">
        <w:rPr>
          <w:b/>
          <w:color w:val="1F497D" w:themeColor="text2"/>
          <w:lang w:val="en-GB" w:eastAsia="lt-LT"/>
        </w:rPr>
        <w:t>mpact of the investments:</w:t>
      </w:r>
    </w:p>
    <w:p w:rsidR="003B4DAF" w:rsidRPr="00461EC7" w:rsidRDefault="00DA5DE0" w:rsidP="003B4DAF">
      <w:pPr>
        <w:pStyle w:val="Pagrindinispaprastastekstas"/>
        <w:rPr>
          <w:lang w:val="en-GB" w:eastAsia="lt-LT"/>
        </w:rPr>
      </w:pPr>
      <w:r w:rsidRPr="00461EC7">
        <w:rPr>
          <w:bCs/>
          <w:lang w:val="en-GB" w:eastAsia="lt-LT"/>
        </w:rPr>
        <w:t>In 2007–2015 all planned strategic context indicators were overachieved:</w:t>
      </w:r>
    </w:p>
    <w:p w:rsidR="003B4DAF" w:rsidRPr="00461EC7" w:rsidRDefault="00A8041D" w:rsidP="003B4DAF">
      <w:pPr>
        <w:pStyle w:val="Pagrindinispaprastastekstas"/>
        <w:numPr>
          <w:ilvl w:val="0"/>
          <w:numId w:val="39"/>
        </w:numPr>
        <w:jc w:val="left"/>
        <w:rPr>
          <w:lang w:val="en-GB" w:eastAsia="lt-LT"/>
        </w:rPr>
      </w:pPr>
      <w:r w:rsidRPr="00461EC7">
        <w:rPr>
          <w:lang w:val="en-GB" w:eastAsia="lt-LT"/>
        </w:rPr>
        <w:t>the n</w:t>
      </w:r>
      <w:r w:rsidR="00013498" w:rsidRPr="00461EC7">
        <w:rPr>
          <w:lang w:val="en-GB" w:eastAsia="lt-LT"/>
        </w:rPr>
        <w:t>umber of suicides decreased by 13%</w:t>
      </w:r>
      <w:r w:rsidR="003B4DAF" w:rsidRPr="00461EC7">
        <w:rPr>
          <w:lang w:val="en-GB" w:eastAsia="lt-LT"/>
        </w:rPr>
        <w:t>;</w:t>
      </w:r>
    </w:p>
    <w:p w:rsidR="003B4DAF" w:rsidRPr="00461EC7" w:rsidRDefault="00A8041D" w:rsidP="00013498">
      <w:pPr>
        <w:pStyle w:val="Pagrindinispaprastastekstas"/>
        <w:numPr>
          <w:ilvl w:val="0"/>
          <w:numId w:val="39"/>
        </w:numPr>
        <w:jc w:val="left"/>
        <w:rPr>
          <w:lang w:val="en-GB" w:eastAsia="lt-LT"/>
        </w:rPr>
      </w:pPr>
      <w:r w:rsidRPr="00461EC7">
        <w:rPr>
          <w:lang w:val="en-GB" w:eastAsia="lt-LT"/>
        </w:rPr>
        <w:lastRenderedPageBreak/>
        <w:t>the number of d</w:t>
      </w:r>
      <w:r w:rsidR="00013498" w:rsidRPr="00461EC7">
        <w:rPr>
          <w:lang w:val="en-GB" w:eastAsia="lt-LT"/>
        </w:rPr>
        <w:t xml:space="preserve">eaths by </w:t>
      </w:r>
      <w:r w:rsidRPr="00461EC7">
        <w:rPr>
          <w:lang w:val="en-GB" w:eastAsia="lt-LT"/>
        </w:rPr>
        <w:t xml:space="preserve">circulatory system </w:t>
      </w:r>
      <w:r w:rsidR="001E15F0" w:rsidRPr="00461EC7">
        <w:rPr>
          <w:lang w:val="en-GB" w:eastAsia="lt-LT"/>
        </w:rPr>
        <w:t xml:space="preserve">diseases </w:t>
      </w:r>
      <w:r w:rsidR="00013498" w:rsidRPr="00461EC7">
        <w:rPr>
          <w:lang w:val="en-GB" w:eastAsia="lt-LT"/>
        </w:rPr>
        <w:t>decreased by 32%</w:t>
      </w:r>
      <w:r w:rsidRPr="00461EC7">
        <w:rPr>
          <w:lang w:val="en-GB" w:eastAsia="lt-LT"/>
        </w:rPr>
        <w:t>;</w:t>
      </w:r>
    </w:p>
    <w:p w:rsidR="001E15F0" w:rsidRPr="00461EC7" w:rsidRDefault="00A8041D" w:rsidP="00013498">
      <w:pPr>
        <w:pStyle w:val="Pagrindinispaprastastekstas"/>
        <w:numPr>
          <w:ilvl w:val="0"/>
          <w:numId w:val="39"/>
        </w:numPr>
        <w:jc w:val="left"/>
        <w:rPr>
          <w:lang w:val="en-GB" w:eastAsia="lt-LT"/>
        </w:rPr>
      </w:pPr>
      <w:r w:rsidRPr="00461EC7">
        <w:rPr>
          <w:lang w:val="en-GB" w:eastAsia="lt-LT"/>
        </w:rPr>
        <w:t>the number of d</w:t>
      </w:r>
      <w:r w:rsidR="001E15F0" w:rsidRPr="00461EC7">
        <w:rPr>
          <w:lang w:val="en-GB" w:eastAsia="lt-LT"/>
        </w:rPr>
        <w:t>eaths by malignant tumours decreased by 8%</w:t>
      </w:r>
      <w:r w:rsidRPr="00461EC7">
        <w:rPr>
          <w:lang w:val="en-GB" w:eastAsia="lt-LT"/>
        </w:rPr>
        <w:t>;</w:t>
      </w:r>
    </w:p>
    <w:p w:rsidR="00013498" w:rsidRPr="00461EC7" w:rsidRDefault="00A8041D" w:rsidP="001E15F0">
      <w:pPr>
        <w:pStyle w:val="Pagrindinispaprastastekstas"/>
        <w:numPr>
          <w:ilvl w:val="0"/>
          <w:numId w:val="39"/>
        </w:numPr>
        <w:jc w:val="left"/>
        <w:rPr>
          <w:lang w:val="en-GB" w:eastAsia="lt-LT"/>
        </w:rPr>
      </w:pPr>
      <w:r w:rsidRPr="00461EC7">
        <w:rPr>
          <w:lang w:val="en-GB" w:eastAsia="lt-LT"/>
        </w:rPr>
        <w:t>h</w:t>
      </w:r>
      <w:r w:rsidR="001E15F0" w:rsidRPr="00461EC7">
        <w:rPr>
          <w:lang w:val="en-GB" w:eastAsia="lt-LT"/>
        </w:rPr>
        <w:t>ospital mortality due to traumas, poisonings and other external causes decreased by 22%</w:t>
      </w:r>
      <w:r w:rsidRPr="00461EC7">
        <w:rPr>
          <w:lang w:val="en-GB" w:eastAsia="lt-LT"/>
        </w:rPr>
        <w:t>;</w:t>
      </w:r>
    </w:p>
    <w:p w:rsidR="001E15F0" w:rsidRPr="00461EC7" w:rsidRDefault="00A8041D" w:rsidP="001E15F0">
      <w:pPr>
        <w:pStyle w:val="Pagrindinispaprastastekstas"/>
        <w:numPr>
          <w:ilvl w:val="0"/>
          <w:numId w:val="39"/>
        </w:numPr>
        <w:jc w:val="left"/>
        <w:rPr>
          <w:lang w:val="en-GB" w:eastAsia="lt-LT"/>
        </w:rPr>
      </w:pPr>
      <w:proofErr w:type="gramStart"/>
      <w:r w:rsidRPr="00461EC7">
        <w:rPr>
          <w:lang w:val="en-GB" w:eastAsia="lt-LT"/>
        </w:rPr>
        <w:t>t</w:t>
      </w:r>
      <w:r w:rsidR="001E15F0" w:rsidRPr="00461EC7">
        <w:rPr>
          <w:lang w:val="en-GB" w:eastAsia="lt-LT"/>
        </w:rPr>
        <w:t>he</w:t>
      </w:r>
      <w:proofErr w:type="gramEnd"/>
      <w:r w:rsidR="001E15F0" w:rsidRPr="00461EC7">
        <w:rPr>
          <w:lang w:val="en-GB" w:eastAsia="lt-LT"/>
        </w:rPr>
        <w:t xml:space="preserve"> average life expectancy increased by 4</w:t>
      </w:r>
      <w:r w:rsidRPr="00461EC7">
        <w:rPr>
          <w:lang w:val="en-GB" w:eastAsia="lt-LT"/>
        </w:rPr>
        <w:t> </w:t>
      </w:r>
      <w:r w:rsidR="001E15F0" w:rsidRPr="00461EC7">
        <w:rPr>
          <w:lang w:val="en-GB" w:eastAsia="lt-LT"/>
        </w:rPr>
        <w:t>years (from 70</w:t>
      </w:r>
      <w:r w:rsidRPr="00461EC7">
        <w:rPr>
          <w:lang w:val="en-GB" w:eastAsia="lt-LT"/>
        </w:rPr>
        <w:t>.</w:t>
      </w:r>
      <w:r w:rsidR="001E15F0" w:rsidRPr="00461EC7">
        <w:rPr>
          <w:lang w:val="en-GB" w:eastAsia="lt-LT"/>
        </w:rPr>
        <w:t>7 to 74</w:t>
      </w:r>
      <w:r w:rsidRPr="00461EC7">
        <w:rPr>
          <w:lang w:val="en-GB" w:eastAsia="lt-LT"/>
        </w:rPr>
        <w:t>.</w:t>
      </w:r>
      <w:r w:rsidR="001E15F0" w:rsidRPr="00461EC7">
        <w:rPr>
          <w:lang w:val="en-GB" w:eastAsia="lt-LT"/>
        </w:rPr>
        <w:t>5)</w:t>
      </w:r>
      <w:r w:rsidRPr="00461EC7">
        <w:rPr>
          <w:lang w:val="en-GB" w:eastAsia="lt-LT"/>
        </w:rPr>
        <w:t>.</w:t>
      </w:r>
    </w:p>
    <w:p w:rsidR="001E15F0" w:rsidRPr="00461EC7" w:rsidRDefault="001E15F0" w:rsidP="00174350">
      <w:pPr>
        <w:pStyle w:val="Pagrindinispaprastastekstas"/>
        <w:jc w:val="center"/>
        <w:rPr>
          <w:lang w:val="en-GB" w:eastAsia="lt-LT"/>
        </w:rPr>
      </w:pPr>
    </w:p>
    <w:p w:rsidR="003B4DAF" w:rsidRPr="00461EC7" w:rsidRDefault="00174350" w:rsidP="00C82149">
      <w:pPr>
        <w:pStyle w:val="Pagrindinispaprastastekstas"/>
        <w:rPr>
          <w:lang w:val="en-GB" w:eastAsia="lt-LT"/>
        </w:rPr>
      </w:pPr>
      <w:r w:rsidRPr="00461EC7">
        <w:rPr>
          <w:noProof/>
          <w:lang w:eastAsia="lt-LT"/>
        </w:rPr>
        <w:drawing>
          <wp:inline distT="0" distB="0" distL="0" distR="0" wp14:anchorId="0EB43D4F" wp14:editId="33A0B9B2">
            <wp:extent cx="6117579" cy="2524715"/>
            <wp:effectExtent l="0" t="0" r="1714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F165B" w:rsidRPr="00461EC7" w:rsidRDefault="00EF165B">
      <w:pPr>
        <w:rPr>
          <w:rFonts w:asciiTheme="majorHAnsi" w:eastAsia="Times New Roman" w:hAnsiTheme="majorHAnsi"/>
          <w:sz w:val="22"/>
          <w:lang w:val="en-GB" w:eastAsia="lt-LT"/>
        </w:rPr>
      </w:pPr>
    </w:p>
    <w:p w:rsidR="00021E5D" w:rsidRPr="00461EC7" w:rsidRDefault="005743CD" w:rsidP="00021E5D">
      <w:pPr>
        <w:pStyle w:val="Nenumeruojamosantrastes"/>
        <w:rPr>
          <w:lang w:val="en-GB"/>
        </w:rPr>
      </w:pPr>
      <w:r w:rsidRPr="00461EC7">
        <w:rPr>
          <w:lang w:val="en-GB"/>
        </w:rPr>
        <w:t xml:space="preserve">results of the </w:t>
      </w:r>
      <w:r w:rsidR="00A8041D" w:rsidRPr="00461EC7">
        <w:rPr>
          <w:lang w:val="en-GB"/>
        </w:rPr>
        <w:t xml:space="preserve">OPPC </w:t>
      </w:r>
      <w:r w:rsidRPr="00461EC7">
        <w:rPr>
          <w:lang w:val="en-GB"/>
        </w:rPr>
        <w:t>implementation: Education infrastructure</w:t>
      </w:r>
    </w:p>
    <w:p w:rsidR="005743CD" w:rsidRPr="00461EC7" w:rsidRDefault="004C0F6A" w:rsidP="005743CD">
      <w:pPr>
        <w:pStyle w:val="Pagrindinispaprastastekstas"/>
        <w:rPr>
          <w:b/>
          <w:color w:val="1F497D" w:themeColor="text2"/>
          <w:lang w:val="en-GB" w:eastAsia="lt-LT"/>
        </w:rPr>
      </w:pPr>
      <w:r w:rsidRPr="00461EC7">
        <w:rPr>
          <w:b/>
          <w:color w:val="1F497D" w:themeColor="text2"/>
          <w:lang w:val="en-GB" w:eastAsia="lt-LT"/>
        </w:rPr>
        <w:t xml:space="preserve">The main outputs </w:t>
      </w:r>
      <w:r w:rsidR="005743CD" w:rsidRPr="00461EC7">
        <w:rPr>
          <w:b/>
          <w:color w:val="1F497D" w:themeColor="text2"/>
          <w:lang w:val="en-GB" w:eastAsia="lt-LT"/>
        </w:rPr>
        <w:t>and results</w:t>
      </w:r>
    </w:p>
    <w:p w:rsidR="00700849" w:rsidRPr="00461EC7" w:rsidRDefault="00B54FEC" w:rsidP="0046175C">
      <w:pPr>
        <w:pStyle w:val="Pagrindinispaprastastekstas"/>
        <w:rPr>
          <w:lang w:val="en-GB" w:eastAsia="lt-LT"/>
        </w:rPr>
      </w:pPr>
      <w:r w:rsidRPr="00461EC7">
        <w:rPr>
          <w:noProof/>
          <w:lang w:eastAsia="lt-LT"/>
        </w:rPr>
        <w:drawing>
          <wp:inline distT="0" distB="0" distL="0" distR="0" wp14:anchorId="02808424" wp14:editId="175A0703">
            <wp:extent cx="6025468" cy="1440873"/>
            <wp:effectExtent l="0" t="0" r="13970" b="6985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7B0C2C" w:rsidRPr="00461EC7" w:rsidRDefault="007B0C2C" w:rsidP="0046175C">
      <w:pPr>
        <w:pStyle w:val="Pagrindinispaprastastekstas"/>
        <w:rPr>
          <w:lang w:val="en-GB" w:eastAsia="lt-LT"/>
        </w:rPr>
      </w:pPr>
    </w:p>
    <w:p w:rsidR="00C82D58" w:rsidRPr="00461EC7" w:rsidRDefault="00A8041D" w:rsidP="00124AAB">
      <w:pPr>
        <w:pStyle w:val="Pagrindinispaprastastekstas"/>
        <w:numPr>
          <w:ilvl w:val="0"/>
          <w:numId w:val="41"/>
        </w:numPr>
        <w:rPr>
          <w:lang w:val="en-GB" w:eastAsia="lt-LT"/>
        </w:rPr>
      </w:pPr>
      <w:r w:rsidRPr="00461EC7">
        <w:rPr>
          <w:lang w:val="en-GB" w:eastAsia="lt-LT"/>
        </w:rPr>
        <w:t xml:space="preserve">Over </w:t>
      </w:r>
      <w:r w:rsidR="00077323" w:rsidRPr="00461EC7">
        <w:rPr>
          <w:lang w:val="en-GB" w:eastAsia="lt-LT"/>
        </w:rPr>
        <w:t>1</w:t>
      </w:r>
      <w:r w:rsidRPr="00461EC7">
        <w:rPr>
          <w:lang w:val="en-GB" w:eastAsia="lt-LT"/>
        </w:rPr>
        <w:t>,</w:t>
      </w:r>
      <w:r w:rsidR="00077323" w:rsidRPr="00461EC7">
        <w:rPr>
          <w:lang w:val="en-GB" w:eastAsia="lt-LT"/>
        </w:rPr>
        <w:t>430</w:t>
      </w:r>
      <w:r w:rsidRPr="00461EC7">
        <w:rPr>
          <w:lang w:val="en-GB" w:eastAsia="lt-LT"/>
        </w:rPr>
        <w:t> </w:t>
      </w:r>
      <w:r w:rsidR="00077323" w:rsidRPr="00461EC7">
        <w:rPr>
          <w:lang w:val="en-GB" w:eastAsia="lt-LT"/>
        </w:rPr>
        <w:t>education and science institutions participated i</w:t>
      </w:r>
      <w:r w:rsidR="008F2544" w:rsidRPr="00461EC7">
        <w:rPr>
          <w:lang w:val="en-GB" w:eastAsia="lt-LT"/>
        </w:rPr>
        <w:t>n project</w:t>
      </w:r>
      <w:r w:rsidR="00C82D58" w:rsidRPr="00461EC7">
        <w:rPr>
          <w:lang w:val="en-GB" w:eastAsia="lt-LT"/>
        </w:rPr>
        <w:t>s</w:t>
      </w:r>
      <w:r w:rsidR="008F2544" w:rsidRPr="00461EC7">
        <w:rPr>
          <w:lang w:val="en-GB" w:eastAsia="lt-LT"/>
        </w:rPr>
        <w:t xml:space="preserve"> </w:t>
      </w:r>
      <w:r w:rsidR="00C82D58" w:rsidRPr="00461EC7">
        <w:rPr>
          <w:lang w:val="en-GB" w:eastAsia="lt-LT"/>
        </w:rPr>
        <w:t>as</w:t>
      </w:r>
      <w:r w:rsidR="008F2544" w:rsidRPr="00461EC7">
        <w:rPr>
          <w:lang w:val="en-GB" w:eastAsia="lt-LT"/>
        </w:rPr>
        <w:t xml:space="preserve"> project implementers, partners or final </w:t>
      </w:r>
      <w:r w:rsidR="00C82D58" w:rsidRPr="00461EC7">
        <w:rPr>
          <w:lang w:val="en-GB" w:eastAsia="lt-LT"/>
        </w:rPr>
        <w:t>beneficiaries</w:t>
      </w:r>
      <w:r w:rsidR="008F2544" w:rsidRPr="00461EC7">
        <w:rPr>
          <w:lang w:val="en-GB" w:eastAsia="lt-LT"/>
        </w:rPr>
        <w:t xml:space="preserve">. </w:t>
      </w:r>
      <w:r w:rsidRPr="00461EC7">
        <w:rPr>
          <w:lang w:val="en-GB" w:eastAsia="lt-LT"/>
        </w:rPr>
        <w:t>P</w:t>
      </w:r>
      <w:r w:rsidR="00124AAB" w:rsidRPr="00461EC7">
        <w:rPr>
          <w:lang w:val="en-GB" w:eastAsia="lt-LT"/>
        </w:rPr>
        <w:t xml:space="preserve">rojects </w:t>
      </w:r>
      <w:r w:rsidRPr="00461EC7">
        <w:rPr>
          <w:lang w:val="en-GB" w:eastAsia="lt-LT"/>
        </w:rPr>
        <w:t xml:space="preserve">involved at least </w:t>
      </w:r>
      <w:r w:rsidR="00124AAB" w:rsidRPr="00461EC7">
        <w:rPr>
          <w:lang w:val="en-GB" w:eastAsia="lt-LT"/>
        </w:rPr>
        <w:t>146</w:t>
      </w:r>
      <w:r w:rsidRPr="00461EC7">
        <w:rPr>
          <w:lang w:val="en-GB" w:eastAsia="lt-LT"/>
        </w:rPr>
        <w:t> </w:t>
      </w:r>
      <w:r w:rsidR="007B3A22">
        <w:rPr>
          <w:lang w:val="en-GB" w:eastAsia="lt-LT"/>
        </w:rPr>
        <w:t>preschool</w:t>
      </w:r>
      <w:r w:rsidR="00381EDF" w:rsidRPr="00461EC7">
        <w:rPr>
          <w:lang w:val="en-GB" w:eastAsia="lt-LT"/>
        </w:rPr>
        <w:t xml:space="preserve"> education institutions </w:t>
      </w:r>
      <w:r w:rsidR="00124AAB" w:rsidRPr="00461EC7">
        <w:rPr>
          <w:lang w:val="en-GB" w:eastAsia="lt-LT"/>
        </w:rPr>
        <w:t>(about 19% of all institutions</w:t>
      </w:r>
      <w:r w:rsidRPr="00461EC7">
        <w:rPr>
          <w:lang w:val="en-GB" w:eastAsia="lt-LT"/>
        </w:rPr>
        <w:t xml:space="preserve"> of this kind</w:t>
      </w:r>
      <w:r w:rsidR="00124AAB" w:rsidRPr="00461EC7">
        <w:rPr>
          <w:lang w:val="en-GB" w:eastAsia="lt-LT"/>
        </w:rPr>
        <w:t>), 989</w:t>
      </w:r>
      <w:r w:rsidR="004965BB">
        <w:rPr>
          <w:lang w:val="en-GB" w:eastAsia="lt-LT"/>
        </w:rPr>
        <w:t> </w:t>
      </w:r>
      <w:r w:rsidR="0056459A" w:rsidRPr="00461EC7">
        <w:rPr>
          <w:lang w:val="en-GB" w:eastAsia="lt-LT"/>
        </w:rPr>
        <w:t xml:space="preserve">basic </w:t>
      </w:r>
      <w:r w:rsidR="00124AAB" w:rsidRPr="00461EC7">
        <w:rPr>
          <w:lang w:val="en-GB" w:eastAsia="lt-LT"/>
        </w:rPr>
        <w:t>education schools or their departments (about 67% of all institutions</w:t>
      </w:r>
      <w:r w:rsidRPr="00461EC7">
        <w:rPr>
          <w:lang w:val="en-GB" w:eastAsia="lt-LT"/>
        </w:rPr>
        <w:t xml:space="preserve"> of this kind</w:t>
      </w:r>
      <w:r w:rsidR="00124AAB" w:rsidRPr="00461EC7">
        <w:rPr>
          <w:lang w:val="en-GB" w:eastAsia="lt-LT"/>
        </w:rPr>
        <w:t>), 73</w:t>
      </w:r>
      <w:r w:rsidR="004965BB">
        <w:rPr>
          <w:lang w:val="en-GB" w:eastAsia="lt-LT"/>
        </w:rPr>
        <w:t> </w:t>
      </w:r>
      <w:r w:rsidR="00124AAB" w:rsidRPr="00461EC7">
        <w:rPr>
          <w:lang w:val="en-GB" w:eastAsia="lt-LT"/>
        </w:rPr>
        <w:t>vocational training institutions (54%), 33</w:t>
      </w:r>
      <w:r w:rsidR="004965BB">
        <w:rPr>
          <w:lang w:val="en-GB" w:eastAsia="lt-LT"/>
        </w:rPr>
        <w:t> </w:t>
      </w:r>
      <w:r w:rsidR="00124AAB" w:rsidRPr="00461EC7">
        <w:rPr>
          <w:lang w:val="en-GB" w:eastAsia="lt-LT"/>
        </w:rPr>
        <w:t>higher education institutions (51%)</w:t>
      </w:r>
      <w:r w:rsidR="004965BB">
        <w:rPr>
          <w:lang w:val="en-GB" w:eastAsia="lt-LT"/>
        </w:rPr>
        <w:t xml:space="preserve"> and</w:t>
      </w:r>
      <w:r w:rsidR="00124AAB" w:rsidRPr="00461EC7">
        <w:rPr>
          <w:lang w:val="en-GB" w:eastAsia="lt-LT"/>
        </w:rPr>
        <w:t xml:space="preserve"> 66 education support institutions (80% of all registered in 2016).</w:t>
      </w:r>
    </w:p>
    <w:p w:rsidR="00124AAB" w:rsidRPr="00461EC7" w:rsidRDefault="00124AAB" w:rsidP="00124AAB">
      <w:pPr>
        <w:pStyle w:val="Pagrindinispaprastastekstas"/>
        <w:numPr>
          <w:ilvl w:val="0"/>
          <w:numId w:val="41"/>
        </w:numPr>
        <w:rPr>
          <w:lang w:val="en-GB" w:eastAsia="lt-LT"/>
        </w:rPr>
      </w:pPr>
      <w:r w:rsidRPr="00461EC7">
        <w:rPr>
          <w:lang w:val="en-GB" w:eastAsia="lt-LT"/>
        </w:rPr>
        <w:t>650,2</w:t>
      </w:r>
      <w:r w:rsidR="00A8041D" w:rsidRPr="00461EC7">
        <w:rPr>
          <w:lang w:val="en-GB" w:eastAsia="lt-LT"/>
        </w:rPr>
        <w:t>00</w:t>
      </w:r>
      <w:r w:rsidR="004965BB">
        <w:rPr>
          <w:lang w:val="en-GB" w:eastAsia="lt-LT"/>
        </w:rPr>
        <w:t> </w:t>
      </w:r>
      <w:r w:rsidRPr="00461EC7">
        <w:rPr>
          <w:lang w:val="en-GB" w:eastAsia="lt-LT"/>
        </w:rPr>
        <w:t>people benefited from investments in</w:t>
      </w:r>
      <w:r w:rsidR="00A8041D" w:rsidRPr="00461EC7">
        <w:rPr>
          <w:lang w:val="en-GB" w:eastAsia="lt-LT"/>
        </w:rPr>
        <w:t>to</w:t>
      </w:r>
      <w:r w:rsidRPr="00461EC7">
        <w:rPr>
          <w:lang w:val="en-GB" w:eastAsia="lt-LT"/>
        </w:rPr>
        <w:t xml:space="preserve"> education infrastructure (about 23% of </w:t>
      </w:r>
      <w:r w:rsidR="00A8041D" w:rsidRPr="00461EC7">
        <w:rPr>
          <w:lang w:val="en-GB" w:eastAsia="lt-LT"/>
        </w:rPr>
        <w:t xml:space="preserve">the </w:t>
      </w:r>
      <w:r w:rsidRPr="00461EC7">
        <w:rPr>
          <w:lang w:val="en-GB" w:eastAsia="lt-LT"/>
        </w:rPr>
        <w:t>Lithuania</w:t>
      </w:r>
      <w:r w:rsidR="00A8041D" w:rsidRPr="00461EC7">
        <w:rPr>
          <w:lang w:val="en-GB" w:eastAsia="lt-LT"/>
        </w:rPr>
        <w:t>n</w:t>
      </w:r>
      <w:r w:rsidRPr="00461EC7">
        <w:rPr>
          <w:lang w:val="en-GB" w:eastAsia="lt-LT"/>
        </w:rPr>
        <w:t xml:space="preserve"> population).</w:t>
      </w:r>
    </w:p>
    <w:p w:rsidR="003B4DAF" w:rsidRPr="00461EC7" w:rsidRDefault="003B4DAF" w:rsidP="00124AAB">
      <w:pPr>
        <w:pStyle w:val="Pagrindinispaprastastekstas"/>
        <w:ind w:left="360"/>
        <w:rPr>
          <w:lang w:val="en-GB" w:eastAsia="lt-LT"/>
        </w:rPr>
      </w:pP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4DAF" w:rsidRPr="00461EC7" w:rsidTr="006C7204">
        <w:tc>
          <w:tcPr>
            <w:tcW w:w="9628" w:type="dxa"/>
            <w:shd w:val="clear" w:color="auto" w:fill="DBE5F1" w:themeFill="accent1" w:themeFillTint="33"/>
          </w:tcPr>
          <w:p w:rsidR="003B4DAF" w:rsidRPr="00461EC7" w:rsidRDefault="0073247D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sz w:val="18"/>
                <w:szCs w:val="18"/>
                <w:lang w:val="en-GB"/>
              </w:rPr>
            </w:pP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“</w:t>
            </w:r>
            <w:r w:rsidR="004965BB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Establishing</w:t>
            </w:r>
            <w:r w:rsidR="00D47559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a F</w:t>
            </w:r>
            <w:r w:rsidR="00D47559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isheries </w:t>
            </w: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P</w:t>
            </w:r>
            <w:r w:rsidR="00D47559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ractical </w:t>
            </w: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T</w:t>
            </w:r>
            <w:r w:rsidR="00D47559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raining </w:t>
            </w: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C</w:t>
            </w:r>
            <w:r w:rsidR="00D47559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entre in </w:t>
            </w:r>
            <w:proofErr w:type="spellStart"/>
            <w:r w:rsidR="00D47559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Šilutė</w:t>
            </w:r>
            <w:proofErr w:type="spellEnd"/>
            <w:r w:rsidR="00D47559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A</w:t>
            </w:r>
            <w:r w:rsidR="00D47559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gricultur</w:t>
            </w:r>
            <w:r w:rsidR="004965BB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al</w:t>
            </w:r>
            <w:r w:rsidR="00D47559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S</w:t>
            </w:r>
            <w:r w:rsidR="00D47559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chool</w:t>
            </w:r>
            <w:r w:rsidRPr="00461EC7">
              <w:rPr>
                <w:sz w:val="18"/>
                <w:szCs w:val="18"/>
                <w:lang w:val="en-GB"/>
              </w:rPr>
              <w:t>”</w:t>
            </w:r>
          </w:p>
          <w:p w:rsidR="003B4DAF" w:rsidRPr="00461EC7" w:rsidRDefault="00D47559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>Project implementer</w:t>
            </w:r>
            <w:r w:rsidR="0073247D" w:rsidRPr="00461EC7">
              <w:rPr>
                <w:i/>
                <w:sz w:val="18"/>
                <w:szCs w:val="18"/>
                <w:lang w:val="en-GB"/>
              </w:rPr>
              <w:t>:</w:t>
            </w:r>
            <w:r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="003B4DAF" w:rsidRPr="00461EC7">
              <w:rPr>
                <w:i/>
                <w:sz w:val="18"/>
                <w:szCs w:val="18"/>
                <w:lang w:val="en-GB"/>
              </w:rPr>
              <w:t>Šilutė</w:t>
            </w:r>
            <w:proofErr w:type="spellEnd"/>
            <w:r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="0073247D" w:rsidRPr="00461EC7">
              <w:rPr>
                <w:i/>
                <w:sz w:val="18"/>
                <w:szCs w:val="18"/>
                <w:lang w:val="en-GB"/>
              </w:rPr>
              <w:t>A</w:t>
            </w:r>
            <w:r w:rsidRPr="00461EC7">
              <w:rPr>
                <w:i/>
                <w:sz w:val="18"/>
                <w:szCs w:val="18"/>
                <w:lang w:val="en-GB"/>
              </w:rPr>
              <w:t>gricultur</w:t>
            </w:r>
            <w:r w:rsidR="004965BB">
              <w:rPr>
                <w:i/>
                <w:sz w:val="18"/>
                <w:szCs w:val="18"/>
                <w:lang w:val="en-GB"/>
              </w:rPr>
              <w:t>al</w:t>
            </w:r>
            <w:r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="0073247D" w:rsidRPr="00461EC7">
              <w:rPr>
                <w:i/>
                <w:sz w:val="18"/>
                <w:szCs w:val="18"/>
                <w:lang w:val="en-GB"/>
              </w:rPr>
              <w:t>S</w:t>
            </w:r>
            <w:r w:rsidRPr="00461EC7">
              <w:rPr>
                <w:i/>
                <w:sz w:val="18"/>
                <w:szCs w:val="18"/>
                <w:lang w:val="en-GB"/>
              </w:rPr>
              <w:t>chool</w:t>
            </w:r>
          </w:p>
          <w:p w:rsidR="003B4DAF" w:rsidRPr="00461EC7" w:rsidRDefault="00AD64FC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>EU contribution:</w:t>
            </w:r>
            <w:r w:rsidR="003B4DAF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i/>
                <w:sz w:val="18"/>
                <w:szCs w:val="18"/>
                <w:lang w:val="en-GB"/>
              </w:rPr>
              <w:t>EUR </w:t>
            </w:r>
            <w:r w:rsidR="003B4DAF" w:rsidRPr="00461EC7">
              <w:rPr>
                <w:i/>
                <w:sz w:val="18"/>
                <w:szCs w:val="18"/>
                <w:lang w:val="en-GB"/>
              </w:rPr>
              <w:t>2</w:t>
            </w:r>
            <w:r w:rsidR="0073247D" w:rsidRPr="00461EC7">
              <w:rPr>
                <w:i/>
                <w:sz w:val="18"/>
                <w:szCs w:val="18"/>
                <w:lang w:val="en-GB"/>
              </w:rPr>
              <w:t>.</w:t>
            </w:r>
            <w:r w:rsidR="003B4DAF" w:rsidRPr="00461EC7">
              <w:rPr>
                <w:i/>
                <w:sz w:val="18"/>
                <w:szCs w:val="18"/>
                <w:lang w:val="en-GB"/>
              </w:rPr>
              <w:t>3812</w:t>
            </w:r>
            <w:r w:rsidR="0073247D" w:rsidRPr="00461EC7">
              <w:rPr>
                <w:i/>
                <w:sz w:val="18"/>
                <w:szCs w:val="18"/>
                <w:lang w:val="en-GB"/>
              </w:rPr>
              <w:t> million</w:t>
            </w:r>
          </w:p>
          <w:p w:rsidR="003B4DAF" w:rsidRPr="00461EC7" w:rsidRDefault="003B4DAF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sz w:val="18"/>
                <w:szCs w:val="18"/>
                <w:lang w:val="en-GB"/>
              </w:rPr>
            </w:pPr>
            <w:r w:rsidRPr="00461EC7">
              <w:rPr>
                <w:rFonts w:ascii="Times New Roman" w:eastAsiaTheme="minorHAnsi" w:hAnsi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710464" behindDoc="0" locked="0" layoutInCell="1" allowOverlap="1" wp14:anchorId="35E2D678" wp14:editId="5A4A9215">
                  <wp:simplePos x="0" y="0"/>
                  <wp:positionH relativeFrom="column">
                    <wp:posOffset>3737398</wp:posOffset>
                  </wp:positionH>
                  <wp:positionV relativeFrom="paragraph">
                    <wp:posOffset>11452</wp:posOffset>
                  </wp:positionV>
                  <wp:extent cx="2275200" cy="1263600"/>
                  <wp:effectExtent l="0" t="0" r="30480" b="32385"/>
                  <wp:wrapSquare wrapText="bothSides"/>
                  <wp:docPr id="10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5200" cy="12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chemeClr val="bg2"/>
                            </a:outerShdw>
                            <a:softEdge rad="127000"/>
                          </a:effectLst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3B4DAF" w:rsidRPr="00461EC7" w:rsidRDefault="003B4DAF" w:rsidP="00DD0F39">
            <w:pPr>
              <w:pStyle w:val="Pagrindinispaprastastekstas"/>
              <w:shd w:val="clear" w:color="auto" w:fill="DBE5F1" w:themeFill="accent1" w:themeFillTint="33"/>
              <w:rPr>
                <w:sz w:val="18"/>
                <w:szCs w:val="18"/>
                <w:lang w:val="en-GB"/>
              </w:rPr>
            </w:pPr>
            <w:r w:rsidRPr="00461EC7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9440" behindDoc="0" locked="0" layoutInCell="1" allowOverlap="1" wp14:anchorId="79D31D52" wp14:editId="3318CFFF">
                  <wp:simplePos x="0" y="0"/>
                  <wp:positionH relativeFrom="column">
                    <wp:posOffset>4670754</wp:posOffset>
                  </wp:positionH>
                  <wp:positionV relativeFrom="paragraph">
                    <wp:posOffset>1295356</wp:posOffset>
                  </wp:positionV>
                  <wp:extent cx="1338580" cy="1003935"/>
                  <wp:effectExtent l="0" t="0" r="33020" b="43815"/>
                  <wp:wrapSquare wrapText="bothSides"/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580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chemeClr val="bg2"/>
                            </a:outerShdw>
                            <a:softEdge rad="127000"/>
                          </a:effectLst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417C1C" w:rsidRPr="00461EC7">
              <w:rPr>
                <w:sz w:val="18"/>
                <w:szCs w:val="18"/>
                <w:lang w:val="en-GB"/>
              </w:rPr>
              <w:t>T</w:t>
            </w:r>
            <w:r w:rsidR="005412F4" w:rsidRPr="00461EC7">
              <w:rPr>
                <w:sz w:val="18"/>
                <w:szCs w:val="18"/>
                <w:lang w:val="en-GB"/>
              </w:rPr>
              <w:t xml:space="preserve">he project </w:t>
            </w:r>
            <w:r w:rsidR="00DD0F39">
              <w:rPr>
                <w:sz w:val="18"/>
                <w:szCs w:val="18"/>
                <w:lang w:val="en-GB"/>
              </w:rPr>
              <w:t>included opening</w:t>
            </w:r>
            <w:r w:rsidR="00417C1C" w:rsidRPr="00461EC7">
              <w:rPr>
                <w:sz w:val="18"/>
                <w:szCs w:val="18"/>
                <w:lang w:val="en-GB"/>
              </w:rPr>
              <w:t xml:space="preserve"> a fisheries practical training centre – </w:t>
            </w:r>
            <w:r w:rsidR="005412F4" w:rsidRPr="00461EC7">
              <w:rPr>
                <w:sz w:val="18"/>
                <w:szCs w:val="18"/>
                <w:lang w:val="en-GB"/>
              </w:rPr>
              <w:t>the</w:t>
            </w:r>
            <w:r w:rsidR="00BC428A" w:rsidRPr="00461EC7">
              <w:rPr>
                <w:sz w:val="18"/>
                <w:szCs w:val="18"/>
                <w:lang w:val="en-GB"/>
              </w:rPr>
              <w:t xml:space="preserve"> first in the</w:t>
            </w:r>
            <w:r w:rsidR="005412F4" w:rsidRPr="00461EC7">
              <w:rPr>
                <w:sz w:val="18"/>
                <w:szCs w:val="18"/>
                <w:lang w:val="en-GB"/>
              </w:rPr>
              <w:t xml:space="preserve"> Baltic </w:t>
            </w:r>
            <w:r w:rsidR="00417C1C" w:rsidRPr="00461EC7">
              <w:rPr>
                <w:sz w:val="18"/>
                <w:szCs w:val="18"/>
                <w:lang w:val="en-GB"/>
              </w:rPr>
              <w:t>states</w:t>
            </w:r>
            <w:r w:rsidR="003F256C" w:rsidRPr="00461EC7">
              <w:rPr>
                <w:sz w:val="18"/>
                <w:szCs w:val="18"/>
                <w:lang w:val="en-GB"/>
              </w:rPr>
              <w:t xml:space="preserve">. The centre </w:t>
            </w:r>
            <w:r w:rsidR="00417C1C" w:rsidRPr="00461EC7">
              <w:rPr>
                <w:sz w:val="18"/>
                <w:szCs w:val="18"/>
                <w:lang w:val="en-GB"/>
              </w:rPr>
              <w:t>has an</w:t>
            </w:r>
            <w:r w:rsidR="00E03262" w:rsidRPr="00461EC7">
              <w:rPr>
                <w:sz w:val="18"/>
                <w:szCs w:val="18"/>
                <w:lang w:val="en-GB"/>
              </w:rPr>
              <w:t xml:space="preserve"> </w:t>
            </w:r>
            <w:r w:rsidR="00E14D89" w:rsidRPr="00461EC7">
              <w:rPr>
                <w:sz w:val="18"/>
                <w:szCs w:val="18"/>
                <w:lang w:val="en-GB"/>
              </w:rPr>
              <w:t>educational</w:t>
            </w:r>
            <w:r w:rsidR="00E03262" w:rsidRPr="00461EC7">
              <w:rPr>
                <w:sz w:val="18"/>
                <w:szCs w:val="18"/>
                <w:lang w:val="en-GB"/>
              </w:rPr>
              <w:t xml:space="preserve"> </w:t>
            </w:r>
            <w:r w:rsidR="00E14D89" w:rsidRPr="00461EC7">
              <w:rPr>
                <w:sz w:val="18"/>
                <w:szCs w:val="18"/>
                <w:lang w:val="en-GB"/>
              </w:rPr>
              <w:t xml:space="preserve">fish breeding and rearing </w:t>
            </w:r>
            <w:r w:rsidR="00E03262" w:rsidRPr="00461EC7">
              <w:rPr>
                <w:sz w:val="18"/>
                <w:szCs w:val="18"/>
                <w:lang w:val="en-GB"/>
              </w:rPr>
              <w:t xml:space="preserve">farm, </w:t>
            </w:r>
            <w:r w:rsidR="00417C1C" w:rsidRPr="00461EC7">
              <w:rPr>
                <w:sz w:val="18"/>
                <w:szCs w:val="18"/>
                <w:lang w:val="en-GB"/>
              </w:rPr>
              <w:t>an</w:t>
            </w:r>
            <w:r w:rsidR="003F256C" w:rsidRPr="00461EC7">
              <w:rPr>
                <w:sz w:val="18"/>
                <w:szCs w:val="18"/>
                <w:lang w:val="en-GB"/>
              </w:rPr>
              <w:t xml:space="preserve"> </w:t>
            </w:r>
            <w:r w:rsidR="00E03262" w:rsidRPr="00461EC7">
              <w:rPr>
                <w:sz w:val="18"/>
                <w:szCs w:val="18"/>
                <w:lang w:val="en-GB"/>
              </w:rPr>
              <w:t xml:space="preserve">educational </w:t>
            </w:r>
            <w:r w:rsidR="00E14D89" w:rsidRPr="00461EC7">
              <w:rPr>
                <w:sz w:val="18"/>
                <w:szCs w:val="18"/>
                <w:lang w:val="en-GB"/>
              </w:rPr>
              <w:t xml:space="preserve">fish processing </w:t>
            </w:r>
            <w:r w:rsidR="00E03262" w:rsidRPr="00461EC7">
              <w:rPr>
                <w:sz w:val="18"/>
                <w:szCs w:val="18"/>
                <w:lang w:val="en-GB"/>
              </w:rPr>
              <w:t>worksho</w:t>
            </w:r>
            <w:r w:rsidR="00E14D89" w:rsidRPr="00461EC7">
              <w:rPr>
                <w:sz w:val="18"/>
                <w:szCs w:val="18"/>
                <w:lang w:val="en-GB"/>
              </w:rPr>
              <w:t>p</w:t>
            </w:r>
            <w:r w:rsidR="00E03262" w:rsidRPr="00461EC7">
              <w:rPr>
                <w:sz w:val="18"/>
                <w:szCs w:val="18"/>
                <w:lang w:val="en-GB"/>
              </w:rPr>
              <w:t xml:space="preserve"> and </w:t>
            </w:r>
            <w:r w:rsidR="00417C1C" w:rsidRPr="00461EC7">
              <w:rPr>
                <w:sz w:val="18"/>
                <w:szCs w:val="18"/>
                <w:lang w:val="en-GB"/>
              </w:rPr>
              <w:t>an</w:t>
            </w:r>
            <w:r w:rsidR="003F256C" w:rsidRPr="00461EC7">
              <w:rPr>
                <w:sz w:val="18"/>
                <w:szCs w:val="18"/>
                <w:lang w:val="en-GB"/>
              </w:rPr>
              <w:t xml:space="preserve"> educational </w:t>
            </w:r>
            <w:r w:rsidR="00E14D89" w:rsidRPr="00461EC7">
              <w:rPr>
                <w:sz w:val="18"/>
                <w:szCs w:val="18"/>
                <w:lang w:val="en-GB"/>
              </w:rPr>
              <w:t>fisher</w:t>
            </w:r>
            <w:r w:rsidR="00A27C8F" w:rsidRPr="00461EC7">
              <w:rPr>
                <w:sz w:val="18"/>
                <w:szCs w:val="18"/>
                <w:lang w:val="en-GB"/>
              </w:rPr>
              <w:t>y</w:t>
            </w:r>
            <w:r w:rsidR="00E14D89" w:rsidRPr="00461EC7">
              <w:rPr>
                <w:sz w:val="18"/>
                <w:szCs w:val="18"/>
                <w:lang w:val="en-GB"/>
              </w:rPr>
              <w:t xml:space="preserve"> service centre</w:t>
            </w:r>
            <w:r w:rsidR="005412F4" w:rsidRPr="00461EC7">
              <w:rPr>
                <w:sz w:val="18"/>
                <w:szCs w:val="18"/>
                <w:lang w:val="en-GB"/>
              </w:rPr>
              <w:t xml:space="preserve">. </w:t>
            </w:r>
            <w:r w:rsidR="00417C1C" w:rsidRPr="00461EC7">
              <w:rPr>
                <w:sz w:val="18"/>
                <w:szCs w:val="18"/>
                <w:lang w:val="en-GB"/>
              </w:rPr>
              <w:t>The project also involved purchasing the</w:t>
            </w:r>
            <w:r w:rsidR="003F256C" w:rsidRPr="00461EC7">
              <w:rPr>
                <w:sz w:val="18"/>
                <w:szCs w:val="18"/>
                <w:lang w:val="en-GB"/>
              </w:rPr>
              <w:t xml:space="preserve"> most advanced equipment for fish breeding and rearing. </w:t>
            </w:r>
            <w:r w:rsidR="00417C1C" w:rsidRPr="00461EC7">
              <w:rPr>
                <w:sz w:val="18"/>
                <w:szCs w:val="18"/>
                <w:lang w:val="en-GB"/>
              </w:rPr>
              <w:t>T</w:t>
            </w:r>
            <w:r w:rsidR="00547205" w:rsidRPr="00461EC7">
              <w:rPr>
                <w:sz w:val="18"/>
                <w:szCs w:val="18"/>
                <w:lang w:val="en-GB"/>
              </w:rPr>
              <w:t xml:space="preserve">he centre </w:t>
            </w:r>
            <w:r w:rsidR="00417C1C" w:rsidRPr="00461EC7">
              <w:rPr>
                <w:sz w:val="18"/>
                <w:szCs w:val="18"/>
                <w:lang w:val="en-GB"/>
              </w:rPr>
              <w:t xml:space="preserve">breeds and rears different </w:t>
            </w:r>
            <w:r w:rsidR="00547205" w:rsidRPr="00461EC7">
              <w:rPr>
                <w:sz w:val="18"/>
                <w:szCs w:val="18"/>
                <w:lang w:val="en-GB"/>
              </w:rPr>
              <w:t>cold</w:t>
            </w:r>
            <w:r w:rsidR="00E14D89" w:rsidRPr="00461EC7">
              <w:rPr>
                <w:sz w:val="18"/>
                <w:szCs w:val="18"/>
                <w:lang w:val="en-GB"/>
              </w:rPr>
              <w:t>-</w:t>
            </w:r>
            <w:r w:rsidR="00547205" w:rsidRPr="00461EC7">
              <w:rPr>
                <w:sz w:val="18"/>
                <w:szCs w:val="18"/>
                <w:lang w:val="en-GB"/>
              </w:rPr>
              <w:t>water and tropical fish</w:t>
            </w:r>
            <w:r w:rsidR="00417C1C" w:rsidRPr="00461EC7">
              <w:rPr>
                <w:sz w:val="18"/>
                <w:szCs w:val="18"/>
                <w:lang w:val="en-GB"/>
              </w:rPr>
              <w:t>.</w:t>
            </w:r>
            <w:r w:rsidR="00E14D89" w:rsidRPr="00461EC7">
              <w:rPr>
                <w:sz w:val="18"/>
                <w:szCs w:val="18"/>
                <w:lang w:val="en-GB"/>
              </w:rPr>
              <w:t xml:space="preserve"> </w:t>
            </w:r>
            <w:r w:rsidR="00417C1C" w:rsidRPr="00461EC7">
              <w:rPr>
                <w:sz w:val="18"/>
                <w:szCs w:val="18"/>
                <w:lang w:val="en-GB"/>
              </w:rPr>
              <w:t>S</w:t>
            </w:r>
            <w:r w:rsidR="00E14D89" w:rsidRPr="00461EC7">
              <w:rPr>
                <w:sz w:val="18"/>
                <w:szCs w:val="18"/>
                <w:lang w:val="en-GB"/>
              </w:rPr>
              <w:t xml:space="preserve">tudents can practice in the educational farm and the educational fish processing workshop. </w:t>
            </w:r>
            <w:r w:rsidR="00417C1C" w:rsidRPr="00461EC7">
              <w:rPr>
                <w:sz w:val="18"/>
                <w:szCs w:val="18"/>
                <w:lang w:val="en-GB"/>
              </w:rPr>
              <w:t xml:space="preserve">The centre can train </w:t>
            </w:r>
            <w:r w:rsidR="00E14D89" w:rsidRPr="00461EC7">
              <w:rPr>
                <w:sz w:val="18"/>
                <w:szCs w:val="18"/>
                <w:lang w:val="en-GB"/>
              </w:rPr>
              <w:t>up to 70</w:t>
            </w:r>
            <w:r w:rsidR="00DD0F39">
              <w:rPr>
                <w:sz w:val="18"/>
                <w:szCs w:val="18"/>
                <w:lang w:val="en-GB"/>
              </w:rPr>
              <w:t> </w:t>
            </w:r>
            <w:r w:rsidR="00E14D89" w:rsidRPr="00461EC7">
              <w:rPr>
                <w:sz w:val="18"/>
                <w:szCs w:val="18"/>
                <w:lang w:val="en-GB"/>
              </w:rPr>
              <w:t xml:space="preserve">people. </w:t>
            </w:r>
            <w:r w:rsidR="00332440" w:rsidRPr="00461EC7">
              <w:rPr>
                <w:sz w:val="18"/>
                <w:szCs w:val="18"/>
                <w:lang w:val="en-GB"/>
              </w:rPr>
              <w:t xml:space="preserve">The school also bought equipment for training in </w:t>
            </w:r>
            <w:r w:rsidR="00417C1C" w:rsidRPr="00461EC7">
              <w:rPr>
                <w:sz w:val="18"/>
                <w:szCs w:val="18"/>
                <w:lang w:val="en-GB"/>
              </w:rPr>
              <w:t xml:space="preserve">the navigation of </w:t>
            </w:r>
            <w:r w:rsidR="00332440" w:rsidRPr="00461EC7">
              <w:rPr>
                <w:sz w:val="18"/>
                <w:szCs w:val="18"/>
                <w:lang w:val="en-GB"/>
              </w:rPr>
              <w:t xml:space="preserve">small </w:t>
            </w:r>
            <w:r w:rsidR="00DD0F39">
              <w:rPr>
                <w:sz w:val="18"/>
                <w:szCs w:val="18"/>
                <w:lang w:val="en-GB"/>
              </w:rPr>
              <w:t>vessels</w:t>
            </w:r>
            <w:r w:rsidR="00DD0F39" w:rsidRPr="00461EC7">
              <w:rPr>
                <w:sz w:val="18"/>
                <w:szCs w:val="18"/>
                <w:lang w:val="en-GB"/>
              </w:rPr>
              <w:t xml:space="preserve"> </w:t>
            </w:r>
            <w:r w:rsidR="00332440" w:rsidRPr="00461EC7">
              <w:rPr>
                <w:sz w:val="18"/>
                <w:szCs w:val="18"/>
                <w:lang w:val="en-GB"/>
              </w:rPr>
              <w:t xml:space="preserve">and </w:t>
            </w:r>
            <w:r w:rsidR="00DD0F39">
              <w:rPr>
                <w:sz w:val="18"/>
                <w:szCs w:val="18"/>
                <w:lang w:val="en-GB"/>
              </w:rPr>
              <w:t>their</w:t>
            </w:r>
            <w:r w:rsidR="00DD0F39" w:rsidRPr="00461EC7">
              <w:rPr>
                <w:sz w:val="18"/>
                <w:szCs w:val="18"/>
                <w:lang w:val="en-GB"/>
              </w:rPr>
              <w:t xml:space="preserve"> </w:t>
            </w:r>
            <w:r w:rsidR="00332440" w:rsidRPr="00461EC7">
              <w:rPr>
                <w:sz w:val="18"/>
                <w:szCs w:val="18"/>
                <w:lang w:val="en-GB"/>
              </w:rPr>
              <w:t>service</w:t>
            </w:r>
            <w:r w:rsidR="00417C1C" w:rsidRPr="00461EC7">
              <w:rPr>
                <w:sz w:val="18"/>
                <w:szCs w:val="18"/>
                <w:lang w:val="en-GB"/>
              </w:rPr>
              <w:t>:</w:t>
            </w:r>
            <w:r w:rsidR="00332440" w:rsidRPr="00461EC7">
              <w:rPr>
                <w:sz w:val="18"/>
                <w:szCs w:val="18"/>
                <w:lang w:val="en-GB"/>
              </w:rPr>
              <w:t xml:space="preserve"> an educational </w:t>
            </w:r>
            <w:r w:rsidR="00417C1C" w:rsidRPr="00461EC7">
              <w:rPr>
                <w:sz w:val="18"/>
                <w:szCs w:val="18"/>
                <w:lang w:val="en-GB"/>
              </w:rPr>
              <w:t>vessel</w:t>
            </w:r>
            <w:r w:rsidR="00332440" w:rsidRPr="00461EC7">
              <w:rPr>
                <w:sz w:val="18"/>
                <w:szCs w:val="18"/>
                <w:lang w:val="en-GB"/>
              </w:rPr>
              <w:t xml:space="preserve">, a modern </w:t>
            </w:r>
            <w:r w:rsidR="00417C1C" w:rsidRPr="00461EC7">
              <w:rPr>
                <w:sz w:val="18"/>
                <w:szCs w:val="18"/>
                <w:lang w:val="en-GB"/>
              </w:rPr>
              <w:t xml:space="preserve">navigation </w:t>
            </w:r>
            <w:r w:rsidR="00332440" w:rsidRPr="00461EC7">
              <w:rPr>
                <w:sz w:val="18"/>
                <w:szCs w:val="18"/>
                <w:lang w:val="en-GB"/>
              </w:rPr>
              <w:t>simulator</w:t>
            </w:r>
            <w:r w:rsidR="00BC428A" w:rsidRPr="00461EC7">
              <w:rPr>
                <w:sz w:val="18"/>
                <w:szCs w:val="18"/>
                <w:lang w:val="en-GB"/>
              </w:rPr>
              <w:t xml:space="preserve"> and</w:t>
            </w:r>
            <w:r w:rsidR="00332440" w:rsidRPr="00461EC7">
              <w:rPr>
                <w:sz w:val="18"/>
                <w:szCs w:val="18"/>
                <w:lang w:val="en-GB"/>
              </w:rPr>
              <w:t xml:space="preserve"> recreational fishing tools.</w:t>
            </w:r>
            <w:r w:rsidR="00C104DC" w:rsidRPr="00461EC7">
              <w:rPr>
                <w:sz w:val="18"/>
                <w:szCs w:val="18"/>
                <w:lang w:val="en-GB"/>
              </w:rPr>
              <w:t xml:space="preserve"> One of the main </w:t>
            </w:r>
            <w:r w:rsidR="00A2648C" w:rsidRPr="00461EC7">
              <w:rPr>
                <w:sz w:val="18"/>
                <w:szCs w:val="18"/>
                <w:lang w:val="en-GB"/>
              </w:rPr>
              <w:t>purposes</w:t>
            </w:r>
            <w:r w:rsidR="00C104DC" w:rsidRPr="00461EC7">
              <w:rPr>
                <w:sz w:val="18"/>
                <w:szCs w:val="18"/>
                <w:lang w:val="en-GB"/>
              </w:rPr>
              <w:t xml:space="preserve"> of the centre is to</w:t>
            </w:r>
            <w:r w:rsidR="00A2648C" w:rsidRPr="00461EC7">
              <w:rPr>
                <w:sz w:val="18"/>
                <w:szCs w:val="18"/>
                <w:lang w:val="en-GB"/>
              </w:rPr>
              <w:t xml:space="preserve"> train</w:t>
            </w:r>
            <w:r w:rsidR="00C104DC" w:rsidRPr="00461EC7">
              <w:rPr>
                <w:sz w:val="18"/>
                <w:szCs w:val="18"/>
                <w:lang w:val="en-GB"/>
              </w:rPr>
              <w:t xml:space="preserve"> </w:t>
            </w:r>
            <w:r w:rsidR="00332440" w:rsidRPr="00461EC7">
              <w:rPr>
                <w:sz w:val="18"/>
                <w:szCs w:val="18"/>
                <w:lang w:val="en-GB"/>
              </w:rPr>
              <w:t>fishery workers</w:t>
            </w:r>
            <w:r w:rsidR="00C86014" w:rsidRPr="00461EC7">
              <w:rPr>
                <w:sz w:val="18"/>
                <w:szCs w:val="18"/>
                <w:lang w:val="en-GB"/>
              </w:rPr>
              <w:t xml:space="preserve">. </w:t>
            </w:r>
            <w:r w:rsidR="00C104DC" w:rsidRPr="00461EC7">
              <w:rPr>
                <w:sz w:val="18"/>
                <w:szCs w:val="18"/>
                <w:lang w:val="en-GB"/>
              </w:rPr>
              <w:t xml:space="preserve">The centre is also open to </w:t>
            </w:r>
            <w:r w:rsidR="00DD0F39">
              <w:rPr>
                <w:sz w:val="18"/>
                <w:szCs w:val="18"/>
                <w:lang w:val="en-GB"/>
              </w:rPr>
              <w:t>adults</w:t>
            </w:r>
            <w:r w:rsidR="00C104DC" w:rsidRPr="00461EC7">
              <w:rPr>
                <w:sz w:val="18"/>
                <w:szCs w:val="18"/>
                <w:lang w:val="en-GB"/>
              </w:rPr>
              <w:t xml:space="preserve"> who want to</w:t>
            </w:r>
            <w:r w:rsidR="00332440" w:rsidRPr="00461EC7">
              <w:rPr>
                <w:sz w:val="18"/>
                <w:szCs w:val="18"/>
                <w:lang w:val="en-GB"/>
              </w:rPr>
              <w:t xml:space="preserve"> improve their qualification</w:t>
            </w:r>
            <w:r w:rsidR="00C86014" w:rsidRPr="00461EC7">
              <w:rPr>
                <w:sz w:val="18"/>
                <w:szCs w:val="18"/>
                <w:lang w:val="en-GB"/>
              </w:rPr>
              <w:t>s</w:t>
            </w:r>
            <w:r w:rsidR="00332440" w:rsidRPr="00461EC7">
              <w:rPr>
                <w:sz w:val="18"/>
                <w:szCs w:val="18"/>
                <w:lang w:val="en-GB"/>
              </w:rPr>
              <w:t xml:space="preserve">, </w:t>
            </w:r>
            <w:r w:rsidR="00417C1C" w:rsidRPr="00461EC7">
              <w:rPr>
                <w:sz w:val="18"/>
                <w:szCs w:val="18"/>
                <w:lang w:val="en-GB"/>
              </w:rPr>
              <w:t>in particular</w:t>
            </w:r>
            <w:r w:rsidR="00332440" w:rsidRPr="00461EC7">
              <w:rPr>
                <w:sz w:val="18"/>
                <w:szCs w:val="18"/>
                <w:lang w:val="en-GB"/>
              </w:rPr>
              <w:t xml:space="preserve"> </w:t>
            </w:r>
            <w:r w:rsidR="00C104DC" w:rsidRPr="00461EC7">
              <w:rPr>
                <w:sz w:val="18"/>
                <w:szCs w:val="18"/>
                <w:lang w:val="en-GB"/>
              </w:rPr>
              <w:t>fishermen</w:t>
            </w:r>
            <w:r w:rsidR="00332440" w:rsidRPr="00461EC7">
              <w:rPr>
                <w:sz w:val="18"/>
                <w:szCs w:val="18"/>
                <w:lang w:val="en-GB"/>
              </w:rPr>
              <w:t xml:space="preserve"> and entrepreneurs, but also </w:t>
            </w:r>
            <w:r w:rsidR="00417C1C" w:rsidRPr="00461EC7">
              <w:rPr>
                <w:sz w:val="18"/>
                <w:szCs w:val="18"/>
                <w:lang w:val="en-GB"/>
              </w:rPr>
              <w:t xml:space="preserve">to </w:t>
            </w:r>
            <w:r w:rsidR="00332440" w:rsidRPr="00461EC7">
              <w:rPr>
                <w:sz w:val="18"/>
                <w:szCs w:val="18"/>
                <w:lang w:val="en-GB"/>
              </w:rPr>
              <w:lastRenderedPageBreak/>
              <w:t xml:space="preserve">farmers who want to </w:t>
            </w:r>
            <w:r w:rsidR="00DD0F39">
              <w:rPr>
                <w:sz w:val="18"/>
                <w:szCs w:val="18"/>
                <w:lang w:val="en-GB"/>
              </w:rPr>
              <w:t>acquire</w:t>
            </w:r>
            <w:r w:rsidR="00DD0F39" w:rsidRPr="00461EC7">
              <w:rPr>
                <w:sz w:val="18"/>
                <w:szCs w:val="18"/>
                <w:lang w:val="en-GB"/>
              </w:rPr>
              <w:t xml:space="preserve"> </w:t>
            </w:r>
            <w:r w:rsidR="00C86014" w:rsidRPr="00461EC7">
              <w:rPr>
                <w:sz w:val="18"/>
                <w:szCs w:val="18"/>
                <w:lang w:val="en-GB"/>
              </w:rPr>
              <w:t xml:space="preserve">the qualification in this field </w:t>
            </w:r>
            <w:r w:rsidR="00332440" w:rsidRPr="00461EC7">
              <w:rPr>
                <w:sz w:val="18"/>
                <w:szCs w:val="18"/>
                <w:lang w:val="en-GB"/>
              </w:rPr>
              <w:t xml:space="preserve">or </w:t>
            </w:r>
            <w:r w:rsidR="00C86014" w:rsidRPr="00461EC7">
              <w:rPr>
                <w:sz w:val="18"/>
                <w:szCs w:val="18"/>
                <w:lang w:val="en-GB"/>
              </w:rPr>
              <w:t xml:space="preserve">take upon an </w:t>
            </w:r>
            <w:r w:rsidR="00332440" w:rsidRPr="00461EC7">
              <w:rPr>
                <w:sz w:val="18"/>
                <w:szCs w:val="18"/>
                <w:lang w:val="en-GB"/>
              </w:rPr>
              <w:t xml:space="preserve">additional </w:t>
            </w:r>
            <w:r w:rsidR="00C86014" w:rsidRPr="00461EC7">
              <w:rPr>
                <w:sz w:val="18"/>
                <w:szCs w:val="18"/>
                <w:lang w:val="en-GB"/>
              </w:rPr>
              <w:t>activity</w:t>
            </w:r>
            <w:r w:rsidR="00C104DC" w:rsidRPr="00461EC7">
              <w:rPr>
                <w:sz w:val="18"/>
                <w:szCs w:val="18"/>
                <w:lang w:val="en-GB"/>
              </w:rPr>
              <w:t xml:space="preserve"> in the farm</w:t>
            </w:r>
            <w:r w:rsidR="00C05BE8" w:rsidRPr="00461EC7">
              <w:rPr>
                <w:sz w:val="18"/>
                <w:szCs w:val="18"/>
                <w:lang w:val="en-GB"/>
              </w:rPr>
              <w:t xml:space="preserve">, i.e. to </w:t>
            </w:r>
            <w:r w:rsidR="00A2648C" w:rsidRPr="00461EC7">
              <w:rPr>
                <w:sz w:val="18"/>
                <w:szCs w:val="18"/>
                <w:lang w:val="en-GB"/>
              </w:rPr>
              <w:t>establish aquaculture</w:t>
            </w:r>
            <w:r w:rsidR="00C86014" w:rsidRPr="00461EC7">
              <w:rPr>
                <w:sz w:val="18"/>
                <w:szCs w:val="18"/>
                <w:lang w:val="en-GB"/>
              </w:rPr>
              <w:t xml:space="preserve"> ponds</w:t>
            </w:r>
            <w:r w:rsidR="00417C1C" w:rsidRPr="00461EC7">
              <w:rPr>
                <w:sz w:val="18"/>
                <w:szCs w:val="18"/>
                <w:lang w:val="en-GB"/>
              </w:rPr>
              <w:t>,</w:t>
            </w:r>
            <w:r w:rsidR="00C05BE8" w:rsidRPr="00461EC7">
              <w:rPr>
                <w:sz w:val="18"/>
                <w:szCs w:val="18"/>
                <w:lang w:val="en-GB"/>
              </w:rPr>
              <w:t xml:space="preserve"> to</w:t>
            </w:r>
            <w:r w:rsidR="00C86014" w:rsidRPr="00461EC7">
              <w:rPr>
                <w:sz w:val="18"/>
                <w:szCs w:val="18"/>
                <w:lang w:val="en-GB"/>
              </w:rPr>
              <w:t xml:space="preserve"> </w:t>
            </w:r>
            <w:r w:rsidR="00C05BE8" w:rsidRPr="00461EC7">
              <w:rPr>
                <w:sz w:val="18"/>
                <w:szCs w:val="18"/>
                <w:lang w:val="en-GB"/>
              </w:rPr>
              <w:t xml:space="preserve">farm </w:t>
            </w:r>
            <w:r w:rsidR="00C86014" w:rsidRPr="00461EC7">
              <w:rPr>
                <w:sz w:val="18"/>
                <w:szCs w:val="18"/>
                <w:lang w:val="en-GB"/>
              </w:rPr>
              <w:t>fish</w:t>
            </w:r>
            <w:r w:rsidR="00C05BE8" w:rsidRPr="00461EC7">
              <w:rPr>
                <w:sz w:val="18"/>
                <w:szCs w:val="18"/>
                <w:lang w:val="en-GB"/>
              </w:rPr>
              <w:t xml:space="preserve"> in closed-circuit recirculation system</w:t>
            </w:r>
            <w:r w:rsidR="00DD0F39">
              <w:rPr>
                <w:sz w:val="18"/>
                <w:szCs w:val="18"/>
                <w:lang w:val="en-GB"/>
              </w:rPr>
              <w:t>s</w:t>
            </w:r>
            <w:r w:rsidR="00417C1C" w:rsidRPr="00461EC7">
              <w:rPr>
                <w:sz w:val="18"/>
                <w:szCs w:val="18"/>
                <w:lang w:val="en-GB"/>
              </w:rPr>
              <w:t>,</w:t>
            </w:r>
            <w:r w:rsidR="00C05BE8" w:rsidRPr="00461EC7">
              <w:rPr>
                <w:sz w:val="18"/>
                <w:szCs w:val="18"/>
                <w:lang w:val="en-GB"/>
              </w:rPr>
              <w:t xml:space="preserve"> to</w:t>
            </w:r>
            <w:r w:rsidR="00C104DC" w:rsidRPr="00461EC7">
              <w:rPr>
                <w:sz w:val="18"/>
                <w:szCs w:val="18"/>
                <w:lang w:val="en-GB"/>
              </w:rPr>
              <w:t xml:space="preserve"> </w:t>
            </w:r>
            <w:r w:rsidR="00DD0F39">
              <w:rPr>
                <w:sz w:val="18"/>
                <w:szCs w:val="18"/>
                <w:lang w:val="en-GB"/>
              </w:rPr>
              <w:t>engage in fish</w:t>
            </w:r>
            <w:r w:rsidR="00DD0F39" w:rsidRPr="00461EC7">
              <w:rPr>
                <w:sz w:val="18"/>
                <w:szCs w:val="18"/>
                <w:lang w:val="en-GB"/>
              </w:rPr>
              <w:t xml:space="preserve"> </w:t>
            </w:r>
            <w:r w:rsidR="00C104DC" w:rsidRPr="00461EC7">
              <w:rPr>
                <w:sz w:val="18"/>
                <w:szCs w:val="18"/>
                <w:lang w:val="en-GB"/>
              </w:rPr>
              <w:t xml:space="preserve">processing </w:t>
            </w:r>
            <w:r w:rsidR="00DD0F39">
              <w:rPr>
                <w:sz w:val="18"/>
                <w:szCs w:val="18"/>
                <w:lang w:val="en-GB"/>
              </w:rPr>
              <w:t xml:space="preserve">or </w:t>
            </w:r>
            <w:r w:rsidR="00C05BE8" w:rsidRPr="00461EC7">
              <w:rPr>
                <w:sz w:val="18"/>
                <w:szCs w:val="18"/>
                <w:lang w:val="en-GB"/>
              </w:rPr>
              <w:t>recreational fishing activit</w:t>
            </w:r>
            <w:r w:rsidR="00DD0F39">
              <w:rPr>
                <w:sz w:val="18"/>
                <w:szCs w:val="18"/>
                <w:lang w:val="en-GB"/>
              </w:rPr>
              <w:t>ies</w:t>
            </w:r>
            <w:r w:rsidR="00C05BE8" w:rsidRPr="00461EC7">
              <w:rPr>
                <w:sz w:val="18"/>
                <w:szCs w:val="18"/>
                <w:lang w:val="en-GB"/>
              </w:rPr>
              <w:t>. The project contributes to the employability of the region</w:t>
            </w:r>
            <w:r w:rsidR="00A27C8F" w:rsidRPr="00461EC7">
              <w:rPr>
                <w:sz w:val="18"/>
                <w:szCs w:val="18"/>
                <w:lang w:val="en-GB"/>
              </w:rPr>
              <w:t>’s</w:t>
            </w:r>
            <w:r w:rsidR="00C05BE8" w:rsidRPr="00461EC7">
              <w:rPr>
                <w:sz w:val="18"/>
                <w:szCs w:val="18"/>
                <w:lang w:val="en-GB"/>
              </w:rPr>
              <w:t xml:space="preserve"> population (especially</w:t>
            </w:r>
            <w:r w:rsidR="00A27C8F" w:rsidRPr="00461EC7">
              <w:rPr>
                <w:sz w:val="18"/>
                <w:szCs w:val="18"/>
                <w:lang w:val="en-GB"/>
              </w:rPr>
              <w:t xml:space="preserve"> </w:t>
            </w:r>
            <w:r w:rsidR="00C05BE8" w:rsidRPr="00461EC7">
              <w:rPr>
                <w:sz w:val="18"/>
                <w:szCs w:val="18"/>
                <w:lang w:val="en-GB"/>
              </w:rPr>
              <w:t>youth</w:t>
            </w:r>
            <w:r w:rsidR="00DD0F39" w:rsidRPr="00461EC7">
              <w:rPr>
                <w:sz w:val="18"/>
                <w:szCs w:val="18"/>
                <w:lang w:val="en-GB"/>
              </w:rPr>
              <w:t>’</w:t>
            </w:r>
            <w:r w:rsidR="00417C1C" w:rsidRPr="00461EC7">
              <w:rPr>
                <w:sz w:val="18"/>
                <w:szCs w:val="18"/>
                <w:lang w:val="en-GB"/>
              </w:rPr>
              <w:t>s</w:t>
            </w:r>
            <w:r w:rsidR="0006320C" w:rsidRPr="00461EC7">
              <w:rPr>
                <w:sz w:val="18"/>
                <w:szCs w:val="18"/>
                <w:lang w:val="en-GB"/>
              </w:rPr>
              <w:t>)</w:t>
            </w:r>
            <w:r w:rsidR="00417C1C" w:rsidRPr="00461EC7">
              <w:rPr>
                <w:sz w:val="18"/>
                <w:szCs w:val="18"/>
                <w:lang w:val="en-GB"/>
              </w:rPr>
              <w:t>.</w:t>
            </w:r>
            <w:r w:rsidR="0006320C" w:rsidRPr="00461EC7">
              <w:rPr>
                <w:sz w:val="18"/>
                <w:szCs w:val="18"/>
                <w:lang w:val="en-GB"/>
              </w:rPr>
              <w:t xml:space="preserve"> </w:t>
            </w:r>
            <w:r w:rsidR="00417C1C" w:rsidRPr="00461EC7">
              <w:rPr>
                <w:sz w:val="18"/>
                <w:szCs w:val="18"/>
                <w:lang w:val="en-GB"/>
              </w:rPr>
              <w:t>Students</w:t>
            </w:r>
            <w:r w:rsidR="00C05BE8" w:rsidRPr="00461EC7">
              <w:rPr>
                <w:sz w:val="18"/>
                <w:szCs w:val="18"/>
                <w:lang w:val="en-GB"/>
              </w:rPr>
              <w:t xml:space="preserve"> can </w:t>
            </w:r>
            <w:r w:rsidR="00417C1C" w:rsidRPr="00461EC7">
              <w:rPr>
                <w:sz w:val="18"/>
                <w:szCs w:val="18"/>
                <w:lang w:val="en-GB"/>
              </w:rPr>
              <w:t xml:space="preserve">acquire </w:t>
            </w:r>
            <w:r w:rsidR="00A27C8F" w:rsidRPr="00461EC7">
              <w:rPr>
                <w:sz w:val="18"/>
                <w:szCs w:val="18"/>
                <w:lang w:val="en-GB"/>
              </w:rPr>
              <w:t>a useful</w:t>
            </w:r>
            <w:r w:rsidR="00C104DC" w:rsidRPr="00461EC7">
              <w:rPr>
                <w:sz w:val="18"/>
                <w:szCs w:val="18"/>
                <w:lang w:val="en-GB"/>
              </w:rPr>
              <w:t xml:space="preserve"> (at least in the region)</w:t>
            </w:r>
            <w:r w:rsidR="00A27C8F" w:rsidRPr="00461EC7">
              <w:rPr>
                <w:sz w:val="18"/>
                <w:szCs w:val="18"/>
                <w:lang w:val="en-GB"/>
              </w:rPr>
              <w:t xml:space="preserve"> profession, while </w:t>
            </w:r>
            <w:r w:rsidR="00DD0F39">
              <w:rPr>
                <w:sz w:val="18"/>
                <w:szCs w:val="18"/>
                <w:lang w:val="en-GB"/>
              </w:rPr>
              <w:t>adults</w:t>
            </w:r>
            <w:r w:rsidR="00A27C8F" w:rsidRPr="00461EC7">
              <w:rPr>
                <w:sz w:val="18"/>
                <w:szCs w:val="18"/>
                <w:lang w:val="en-GB"/>
              </w:rPr>
              <w:t xml:space="preserve"> can change</w:t>
            </w:r>
            <w:r w:rsidR="00C104DC" w:rsidRPr="00461EC7">
              <w:rPr>
                <w:sz w:val="18"/>
                <w:szCs w:val="18"/>
                <w:lang w:val="en-GB"/>
              </w:rPr>
              <w:t xml:space="preserve"> or improve</w:t>
            </w:r>
            <w:r w:rsidR="00A27C8F" w:rsidRPr="00461EC7">
              <w:rPr>
                <w:sz w:val="18"/>
                <w:szCs w:val="18"/>
                <w:lang w:val="en-GB"/>
              </w:rPr>
              <w:t xml:space="preserve"> their qualification.</w:t>
            </w:r>
          </w:p>
        </w:tc>
      </w:tr>
    </w:tbl>
    <w:p w:rsidR="003B4DAF" w:rsidRPr="00461EC7" w:rsidRDefault="003B4DAF" w:rsidP="003B4DAF">
      <w:pPr>
        <w:pStyle w:val="Pagrindinispaprastastekstas"/>
        <w:rPr>
          <w:lang w:val="en-GB" w:eastAsia="lt-LT"/>
        </w:rPr>
      </w:pPr>
    </w:p>
    <w:p w:rsidR="00D94F8E" w:rsidRPr="00461EC7" w:rsidRDefault="004A55B0" w:rsidP="00D94F8E">
      <w:pPr>
        <w:pStyle w:val="Pagrindinispaprastastekstas"/>
        <w:rPr>
          <w:lang w:val="en-GB" w:eastAsia="lt-LT"/>
        </w:rPr>
      </w:pPr>
      <w:r>
        <w:rPr>
          <w:b/>
          <w:color w:val="1F497D" w:themeColor="text2"/>
          <w:lang w:val="en-GB" w:eastAsia="lt-LT"/>
        </w:rPr>
        <w:t>I</w:t>
      </w:r>
      <w:r w:rsidR="00D94F8E" w:rsidRPr="00461EC7">
        <w:rPr>
          <w:b/>
          <w:color w:val="1F497D" w:themeColor="text2"/>
          <w:lang w:val="en-GB" w:eastAsia="lt-LT"/>
        </w:rPr>
        <w:t>mpact of the investments:</w:t>
      </w:r>
    </w:p>
    <w:p w:rsidR="00D94F8E" w:rsidRPr="00461EC7" w:rsidRDefault="004A55B0" w:rsidP="00807100">
      <w:pPr>
        <w:pStyle w:val="Pagrindinispaprastastekstas"/>
        <w:numPr>
          <w:ilvl w:val="0"/>
          <w:numId w:val="41"/>
        </w:numPr>
        <w:rPr>
          <w:lang w:val="en-GB" w:eastAsia="lt-LT"/>
        </w:rPr>
      </w:pPr>
      <w:r>
        <w:rPr>
          <w:lang w:val="en-GB" w:eastAsia="lt-LT"/>
        </w:rPr>
        <w:t>p</w:t>
      </w:r>
      <w:r w:rsidR="00381EDF" w:rsidRPr="00461EC7">
        <w:rPr>
          <w:lang w:val="en-GB" w:eastAsia="lt-LT"/>
        </w:rPr>
        <w:t xml:space="preserve">articipation in </w:t>
      </w:r>
      <w:r w:rsidR="0076020E">
        <w:rPr>
          <w:lang w:val="en-GB" w:eastAsia="lt-LT"/>
        </w:rPr>
        <w:t>preschool</w:t>
      </w:r>
      <w:r w:rsidR="00381EDF" w:rsidRPr="00461EC7">
        <w:rPr>
          <w:lang w:val="en-GB" w:eastAsia="lt-LT"/>
        </w:rPr>
        <w:t xml:space="preserve"> education </w:t>
      </w:r>
      <w:r w:rsidR="00D94F8E" w:rsidRPr="00461EC7">
        <w:rPr>
          <w:lang w:val="en-GB" w:eastAsia="lt-LT"/>
        </w:rPr>
        <w:t xml:space="preserve">increased significantly: </w:t>
      </w:r>
      <w:r w:rsidR="00C104DC" w:rsidRPr="00461EC7">
        <w:rPr>
          <w:lang w:val="en-GB" w:eastAsia="lt-LT"/>
        </w:rPr>
        <w:t xml:space="preserve">of </w:t>
      </w:r>
      <w:r w:rsidR="00D94F8E" w:rsidRPr="00461EC7">
        <w:rPr>
          <w:lang w:val="en-GB" w:eastAsia="lt-LT"/>
        </w:rPr>
        <w:t>children up to 3</w:t>
      </w:r>
      <w:r w:rsidR="00253EC6" w:rsidRPr="00461EC7">
        <w:rPr>
          <w:lang w:val="en-GB" w:eastAsia="lt-LT"/>
        </w:rPr>
        <w:t> </w:t>
      </w:r>
      <w:r w:rsidR="00D94F8E" w:rsidRPr="00461EC7">
        <w:rPr>
          <w:lang w:val="en-GB" w:eastAsia="lt-LT"/>
        </w:rPr>
        <w:t xml:space="preserve">years </w:t>
      </w:r>
      <w:r w:rsidR="00C104DC" w:rsidRPr="00461EC7">
        <w:rPr>
          <w:lang w:val="en-GB" w:eastAsia="lt-LT"/>
        </w:rPr>
        <w:t xml:space="preserve">old </w:t>
      </w:r>
      <w:r w:rsidR="00D94F8E" w:rsidRPr="00461EC7">
        <w:rPr>
          <w:lang w:val="en-GB" w:eastAsia="lt-LT"/>
        </w:rPr>
        <w:t>from 28</w:t>
      </w:r>
      <w:r w:rsidR="00253EC6" w:rsidRPr="00461EC7">
        <w:rPr>
          <w:lang w:val="en-GB" w:eastAsia="lt-LT"/>
        </w:rPr>
        <w:t>.</w:t>
      </w:r>
      <w:r w:rsidR="00D94F8E" w:rsidRPr="00461EC7">
        <w:rPr>
          <w:lang w:val="en-GB" w:eastAsia="lt-LT"/>
        </w:rPr>
        <w:t xml:space="preserve">1% in 2007 to 35% </w:t>
      </w:r>
      <w:r w:rsidR="0076020E">
        <w:rPr>
          <w:lang w:val="en-GB" w:eastAsia="lt-LT"/>
        </w:rPr>
        <w:t>in</w:t>
      </w:r>
      <w:r w:rsidR="00D94F8E" w:rsidRPr="00461EC7">
        <w:rPr>
          <w:lang w:val="en-GB" w:eastAsia="lt-LT"/>
        </w:rPr>
        <w:t xml:space="preserve"> 2015 (</w:t>
      </w:r>
      <w:r w:rsidR="00253EC6" w:rsidRPr="00461EC7">
        <w:rPr>
          <w:lang w:val="en-GB" w:eastAsia="lt-LT"/>
        </w:rPr>
        <w:t>t</w:t>
      </w:r>
      <w:r w:rsidR="00D94F8E" w:rsidRPr="00461EC7">
        <w:rPr>
          <w:lang w:val="en-GB" w:eastAsia="lt-LT"/>
        </w:rPr>
        <w:t xml:space="preserve">he target </w:t>
      </w:r>
      <w:r w:rsidR="00253EC6" w:rsidRPr="00461EC7">
        <w:rPr>
          <w:lang w:val="en-GB" w:eastAsia="lt-LT"/>
        </w:rPr>
        <w:t xml:space="preserve">established by </w:t>
      </w:r>
      <w:r w:rsidR="00D94F8E" w:rsidRPr="00461EC7">
        <w:rPr>
          <w:lang w:val="en-GB" w:eastAsia="lt-LT"/>
        </w:rPr>
        <w:t xml:space="preserve">the OP </w:t>
      </w:r>
      <w:r w:rsidR="00253EC6" w:rsidRPr="00461EC7">
        <w:rPr>
          <w:lang w:val="en-GB" w:eastAsia="lt-LT"/>
        </w:rPr>
        <w:t>was</w:t>
      </w:r>
      <w:r w:rsidR="00D94F8E" w:rsidRPr="00461EC7">
        <w:rPr>
          <w:lang w:val="en-GB" w:eastAsia="lt-LT"/>
        </w:rPr>
        <w:t xml:space="preserve"> 30%)</w:t>
      </w:r>
      <w:r w:rsidR="0076020E">
        <w:rPr>
          <w:lang w:val="en-GB" w:eastAsia="lt-LT"/>
        </w:rPr>
        <w:t xml:space="preserve"> and</w:t>
      </w:r>
      <w:r w:rsidR="00D94F8E" w:rsidRPr="00461EC7">
        <w:rPr>
          <w:lang w:val="en-GB" w:eastAsia="lt-LT"/>
        </w:rPr>
        <w:t xml:space="preserve"> </w:t>
      </w:r>
      <w:r w:rsidR="00C104DC" w:rsidRPr="00461EC7">
        <w:rPr>
          <w:lang w:val="en-GB" w:eastAsia="lt-LT"/>
        </w:rPr>
        <w:t xml:space="preserve">of </w:t>
      </w:r>
      <w:r w:rsidR="00D94F8E" w:rsidRPr="00461EC7">
        <w:rPr>
          <w:lang w:val="en-GB" w:eastAsia="lt-LT"/>
        </w:rPr>
        <w:t xml:space="preserve">children </w:t>
      </w:r>
      <w:r w:rsidR="00253EC6" w:rsidRPr="00461EC7">
        <w:rPr>
          <w:lang w:val="en-GB" w:eastAsia="lt-LT"/>
        </w:rPr>
        <w:t>over</w:t>
      </w:r>
      <w:r w:rsidR="00D94F8E" w:rsidRPr="00461EC7">
        <w:rPr>
          <w:lang w:val="en-GB" w:eastAsia="lt-LT"/>
        </w:rPr>
        <w:t xml:space="preserve"> 3</w:t>
      </w:r>
      <w:r w:rsidR="00253EC6" w:rsidRPr="00461EC7">
        <w:rPr>
          <w:lang w:val="en-GB" w:eastAsia="lt-LT"/>
        </w:rPr>
        <w:t> </w:t>
      </w:r>
      <w:r w:rsidR="00D94F8E" w:rsidRPr="00461EC7">
        <w:rPr>
          <w:lang w:val="en-GB" w:eastAsia="lt-LT"/>
        </w:rPr>
        <w:t>years</w:t>
      </w:r>
      <w:r w:rsidR="00253EC6" w:rsidRPr="00461EC7">
        <w:rPr>
          <w:lang w:val="en-GB" w:eastAsia="lt-LT"/>
        </w:rPr>
        <w:t xml:space="preserve"> old</w:t>
      </w:r>
      <w:r w:rsidR="00D94F8E" w:rsidRPr="00461EC7">
        <w:rPr>
          <w:lang w:val="en-GB" w:eastAsia="lt-LT"/>
        </w:rPr>
        <w:t xml:space="preserve"> from 76</w:t>
      </w:r>
      <w:r w:rsidR="00253EC6" w:rsidRPr="00461EC7">
        <w:rPr>
          <w:lang w:val="en-GB" w:eastAsia="lt-LT"/>
        </w:rPr>
        <w:t>.</w:t>
      </w:r>
      <w:r w:rsidR="00D94F8E" w:rsidRPr="00461EC7">
        <w:rPr>
          <w:lang w:val="en-GB" w:eastAsia="lt-LT"/>
        </w:rPr>
        <w:t>1% in 2007 to 87% in 2015 (</w:t>
      </w:r>
      <w:r w:rsidR="00253EC6" w:rsidRPr="00461EC7">
        <w:rPr>
          <w:lang w:val="en-GB" w:eastAsia="lt-LT"/>
        </w:rPr>
        <w:t>t</w:t>
      </w:r>
      <w:r w:rsidR="00D94F8E" w:rsidRPr="00461EC7">
        <w:rPr>
          <w:lang w:val="en-GB" w:eastAsia="lt-LT"/>
        </w:rPr>
        <w:t xml:space="preserve">he target </w:t>
      </w:r>
      <w:r w:rsidR="00253EC6" w:rsidRPr="00461EC7">
        <w:rPr>
          <w:lang w:val="en-GB" w:eastAsia="lt-LT"/>
        </w:rPr>
        <w:t xml:space="preserve">established by </w:t>
      </w:r>
      <w:r w:rsidR="00D94F8E" w:rsidRPr="00461EC7">
        <w:rPr>
          <w:lang w:val="en-GB" w:eastAsia="lt-LT"/>
        </w:rPr>
        <w:t xml:space="preserve">the OP </w:t>
      </w:r>
      <w:r w:rsidR="00253EC6" w:rsidRPr="00461EC7">
        <w:rPr>
          <w:lang w:val="en-GB" w:eastAsia="lt-LT"/>
        </w:rPr>
        <w:t>was</w:t>
      </w:r>
      <w:r w:rsidR="00D94F8E" w:rsidRPr="00461EC7">
        <w:rPr>
          <w:lang w:val="en-GB" w:eastAsia="lt-LT"/>
        </w:rPr>
        <w:t xml:space="preserve"> 90%)</w:t>
      </w:r>
      <w:r>
        <w:rPr>
          <w:lang w:val="en-GB" w:eastAsia="lt-LT"/>
        </w:rPr>
        <w:t>;</w:t>
      </w:r>
    </w:p>
    <w:p w:rsidR="00D94F8E" w:rsidRPr="00461EC7" w:rsidRDefault="00D94F8E" w:rsidP="00807100">
      <w:pPr>
        <w:pStyle w:val="Pagrindinispaprastastekstas"/>
        <w:numPr>
          <w:ilvl w:val="0"/>
          <w:numId w:val="41"/>
        </w:numPr>
        <w:rPr>
          <w:lang w:val="en-GB" w:eastAsia="lt-LT"/>
        </w:rPr>
      </w:pPr>
      <w:r w:rsidRPr="00461EC7">
        <w:rPr>
          <w:lang w:val="en-GB" w:eastAsia="lt-LT"/>
        </w:rPr>
        <w:t xml:space="preserve">investments </w:t>
      </w:r>
      <w:r w:rsidR="00253EC6" w:rsidRPr="00461EC7">
        <w:rPr>
          <w:lang w:val="en-GB" w:eastAsia="lt-LT"/>
        </w:rPr>
        <w:t>in</w:t>
      </w:r>
      <w:r w:rsidRPr="00461EC7">
        <w:rPr>
          <w:lang w:val="en-GB" w:eastAsia="lt-LT"/>
        </w:rPr>
        <w:t xml:space="preserve">to </w:t>
      </w:r>
      <w:r w:rsidR="00253EC6" w:rsidRPr="00461EC7">
        <w:rPr>
          <w:lang w:val="en-GB" w:eastAsia="lt-LT"/>
        </w:rPr>
        <w:t xml:space="preserve">the </w:t>
      </w:r>
      <w:r w:rsidR="00C104DC" w:rsidRPr="00461EC7">
        <w:rPr>
          <w:lang w:val="en-GB" w:eastAsia="lt-LT"/>
        </w:rPr>
        <w:t xml:space="preserve">infrastructure of </w:t>
      </w:r>
      <w:r w:rsidR="0076020E">
        <w:rPr>
          <w:lang w:val="en-GB" w:eastAsia="lt-LT"/>
        </w:rPr>
        <w:t>preschool</w:t>
      </w:r>
      <w:r w:rsidRPr="00461EC7">
        <w:rPr>
          <w:lang w:val="en-GB" w:eastAsia="lt-LT"/>
        </w:rPr>
        <w:t xml:space="preserve"> education contributed to the improve</w:t>
      </w:r>
      <w:r w:rsidR="0076020E">
        <w:rPr>
          <w:lang w:val="en-GB" w:eastAsia="lt-LT"/>
        </w:rPr>
        <w:t>d</w:t>
      </w:r>
      <w:r w:rsidR="00253EC6" w:rsidRPr="00461EC7">
        <w:rPr>
          <w:lang w:val="en-GB" w:eastAsia="lt-LT"/>
        </w:rPr>
        <w:t xml:space="preserve"> </w:t>
      </w:r>
      <w:r w:rsidRPr="00461EC7">
        <w:rPr>
          <w:lang w:val="en-GB" w:eastAsia="lt-LT"/>
        </w:rPr>
        <w:t xml:space="preserve">quality and availability of </w:t>
      </w:r>
      <w:r w:rsidR="0076020E">
        <w:rPr>
          <w:lang w:val="en-GB" w:eastAsia="lt-LT"/>
        </w:rPr>
        <w:t>services</w:t>
      </w:r>
      <w:r w:rsidRPr="00461EC7">
        <w:rPr>
          <w:lang w:val="en-GB" w:eastAsia="lt-LT"/>
        </w:rPr>
        <w:t xml:space="preserve"> (especially in rural areas</w:t>
      </w:r>
      <w:r w:rsidR="00253EC6" w:rsidRPr="00461EC7">
        <w:rPr>
          <w:lang w:val="en-GB" w:eastAsia="lt-LT"/>
        </w:rPr>
        <w:t xml:space="preserve"> where </w:t>
      </w:r>
      <w:r w:rsidRPr="00461EC7">
        <w:rPr>
          <w:lang w:val="en-GB" w:eastAsia="lt-LT"/>
        </w:rPr>
        <w:t>77</w:t>
      </w:r>
      <w:r w:rsidR="00253EC6" w:rsidRPr="00461EC7">
        <w:rPr>
          <w:lang w:val="en-GB" w:eastAsia="lt-LT"/>
        </w:rPr>
        <w:t> </w:t>
      </w:r>
      <w:r w:rsidRPr="00461EC7">
        <w:rPr>
          <w:lang w:val="en-GB" w:eastAsia="lt-LT"/>
        </w:rPr>
        <w:t xml:space="preserve">multifunctional centres were </w:t>
      </w:r>
      <w:r w:rsidR="00253EC6" w:rsidRPr="00461EC7">
        <w:rPr>
          <w:lang w:val="en-GB" w:eastAsia="lt-LT"/>
        </w:rPr>
        <w:t>opened</w:t>
      </w:r>
      <w:r w:rsidRPr="00461EC7">
        <w:rPr>
          <w:lang w:val="en-GB" w:eastAsia="lt-LT"/>
        </w:rPr>
        <w:t>)</w:t>
      </w:r>
      <w:r w:rsidR="004A55B0">
        <w:rPr>
          <w:lang w:val="en-GB" w:eastAsia="lt-LT"/>
        </w:rPr>
        <w:t>;</w:t>
      </w:r>
    </w:p>
    <w:p w:rsidR="00D94F8E" w:rsidRPr="00461EC7" w:rsidRDefault="00D94F8E" w:rsidP="00807100">
      <w:pPr>
        <w:pStyle w:val="Pagrindinispaprastastekstas"/>
        <w:numPr>
          <w:ilvl w:val="0"/>
          <w:numId w:val="41"/>
        </w:numPr>
        <w:rPr>
          <w:lang w:val="en-GB" w:eastAsia="lt-LT"/>
        </w:rPr>
      </w:pPr>
      <w:proofErr w:type="gramStart"/>
      <w:r w:rsidRPr="00461EC7">
        <w:rPr>
          <w:lang w:val="en-GB" w:eastAsia="lt-LT"/>
        </w:rPr>
        <w:t>investments</w:t>
      </w:r>
      <w:proofErr w:type="gramEnd"/>
      <w:r w:rsidRPr="00461EC7">
        <w:rPr>
          <w:lang w:val="en-GB" w:eastAsia="lt-LT"/>
        </w:rPr>
        <w:t xml:space="preserve"> </w:t>
      </w:r>
      <w:r w:rsidR="00253EC6" w:rsidRPr="00461EC7">
        <w:rPr>
          <w:lang w:val="en-GB" w:eastAsia="lt-LT"/>
        </w:rPr>
        <w:t>in</w:t>
      </w:r>
      <w:r w:rsidRPr="00461EC7">
        <w:rPr>
          <w:lang w:val="en-GB" w:eastAsia="lt-LT"/>
        </w:rPr>
        <w:t xml:space="preserve">to </w:t>
      </w:r>
      <w:r w:rsidR="00253EC6" w:rsidRPr="00461EC7">
        <w:rPr>
          <w:lang w:val="en-GB" w:eastAsia="lt-LT"/>
        </w:rPr>
        <w:t xml:space="preserve">the </w:t>
      </w:r>
      <w:r w:rsidR="00C104DC" w:rsidRPr="00461EC7">
        <w:rPr>
          <w:lang w:val="en-GB" w:eastAsia="lt-LT"/>
        </w:rPr>
        <w:t xml:space="preserve">infrastructure of </w:t>
      </w:r>
      <w:r w:rsidR="0056459A" w:rsidRPr="00461EC7">
        <w:rPr>
          <w:lang w:val="en-GB" w:eastAsia="lt-LT"/>
        </w:rPr>
        <w:t>basic</w:t>
      </w:r>
      <w:r w:rsidRPr="00461EC7">
        <w:rPr>
          <w:lang w:val="en-GB" w:eastAsia="lt-LT"/>
        </w:rPr>
        <w:t xml:space="preserve"> education</w:t>
      </w:r>
      <w:r w:rsidR="00C104DC" w:rsidRPr="00461EC7">
        <w:rPr>
          <w:lang w:val="en-GB" w:eastAsia="lt-LT"/>
        </w:rPr>
        <w:t xml:space="preserve"> (primary and secondary education)</w:t>
      </w:r>
      <w:r w:rsidRPr="00461EC7">
        <w:rPr>
          <w:lang w:val="en-GB" w:eastAsia="lt-LT"/>
        </w:rPr>
        <w:t xml:space="preserve"> contributed the most to the improve</w:t>
      </w:r>
      <w:r w:rsidR="0076020E">
        <w:rPr>
          <w:lang w:val="en-GB" w:eastAsia="lt-LT"/>
        </w:rPr>
        <w:t>d</w:t>
      </w:r>
      <w:r w:rsidRPr="00461EC7">
        <w:rPr>
          <w:lang w:val="en-GB" w:eastAsia="lt-LT"/>
        </w:rPr>
        <w:t xml:space="preserve"> quality and availability of </w:t>
      </w:r>
      <w:r w:rsidR="004A55B0">
        <w:rPr>
          <w:lang w:val="en-GB" w:eastAsia="lt-LT"/>
        </w:rPr>
        <w:t>servic</w:t>
      </w:r>
      <w:r w:rsidR="0076020E">
        <w:rPr>
          <w:lang w:val="en-GB" w:eastAsia="lt-LT"/>
        </w:rPr>
        <w:t>es</w:t>
      </w:r>
      <w:r w:rsidRPr="00461EC7">
        <w:rPr>
          <w:lang w:val="en-GB" w:eastAsia="lt-LT"/>
        </w:rPr>
        <w:t>.</w:t>
      </w:r>
      <w:r w:rsidR="00C33863" w:rsidRPr="00461EC7">
        <w:rPr>
          <w:lang w:val="en-GB" w:eastAsia="lt-LT"/>
        </w:rPr>
        <w:t xml:space="preserve"> The priority was given to</w:t>
      </w:r>
      <w:r w:rsidR="00253EC6" w:rsidRPr="00461EC7">
        <w:rPr>
          <w:lang w:val="en-GB" w:eastAsia="lt-LT"/>
        </w:rPr>
        <w:t xml:space="preserve"> the</w:t>
      </w:r>
      <w:r w:rsidR="00C33863" w:rsidRPr="00461EC7">
        <w:rPr>
          <w:lang w:val="en-GB" w:eastAsia="lt-LT"/>
        </w:rPr>
        <w:t xml:space="preserve"> improvement of technology, arts and natural sciences infrastructure</w:t>
      </w:r>
      <w:r w:rsidR="004A55B0">
        <w:rPr>
          <w:lang w:val="en-GB" w:eastAsia="lt-LT"/>
        </w:rPr>
        <w:t>;</w:t>
      </w:r>
    </w:p>
    <w:p w:rsidR="00381EDF" w:rsidRPr="00461EC7" w:rsidRDefault="004A55B0" w:rsidP="00C104DC">
      <w:pPr>
        <w:pStyle w:val="Pagrindinispaprastastekstas"/>
        <w:numPr>
          <w:ilvl w:val="0"/>
          <w:numId w:val="41"/>
        </w:numPr>
        <w:rPr>
          <w:lang w:val="en-GB" w:eastAsia="lt-LT"/>
        </w:rPr>
      </w:pPr>
      <w:proofErr w:type="gramStart"/>
      <w:r>
        <w:rPr>
          <w:lang w:val="en-GB" w:eastAsia="lt-LT"/>
        </w:rPr>
        <w:t>v</w:t>
      </w:r>
      <w:r w:rsidR="00C33863" w:rsidRPr="00461EC7">
        <w:rPr>
          <w:lang w:val="en-GB" w:eastAsia="lt-LT"/>
        </w:rPr>
        <w:t>ocational</w:t>
      </w:r>
      <w:proofErr w:type="gramEnd"/>
      <w:r w:rsidR="00C33863" w:rsidRPr="00461EC7">
        <w:rPr>
          <w:lang w:val="en-GB" w:eastAsia="lt-LT"/>
        </w:rPr>
        <w:t xml:space="preserve"> training infrastructure was</w:t>
      </w:r>
      <w:r w:rsidR="00270C92" w:rsidRPr="00461EC7">
        <w:rPr>
          <w:lang w:val="en-GB" w:eastAsia="lt-LT"/>
        </w:rPr>
        <w:t xml:space="preserve"> </w:t>
      </w:r>
      <w:r w:rsidR="0076020E">
        <w:rPr>
          <w:lang w:val="en-GB" w:eastAsia="lt-LT"/>
        </w:rPr>
        <w:t>modernised</w:t>
      </w:r>
      <w:r w:rsidR="00C33863" w:rsidRPr="00461EC7">
        <w:rPr>
          <w:lang w:val="en-GB" w:eastAsia="lt-LT"/>
        </w:rPr>
        <w:t>: 42</w:t>
      </w:r>
      <w:r w:rsidR="00253EC6" w:rsidRPr="00461EC7">
        <w:rPr>
          <w:lang w:val="en-GB" w:eastAsia="lt-LT"/>
        </w:rPr>
        <w:t> </w:t>
      </w:r>
      <w:r w:rsidR="00C33863" w:rsidRPr="00461EC7">
        <w:rPr>
          <w:lang w:val="en-GB" w:eastAsia="lt-LT"/>
        </w:rPr>
        <w:t xml:space="preserve">sectoral practical training centres were </w:t>
      </w:r>
      <w:r w:rsidR="00253EC6" w:rsidRPr="00461EC7">
        <w:rPr>
          <w:lang w:val="en-GB" w:eastAsia="lt-LT"/>
        </w:rPr>
        <w:t>opened</w:t>
      </w:r>
      <w:r w:rsidR="0076020E">
        <w:rPr>
          <w:lang w:val="en-GB" w:eastAsia="lt-LT"/>
        </w:rPr>
        <w:t xml:space="preserve"> and </w:t>
      </w:r>
      <w:r w:rsidR="0076020E" w:rsidRPr="00461EC7">
        <w:rPr>
          <w:lang w:val="en-GB" w:eastAsia="lt-LT"/>
        </w:rPr>
        <w:t>other vocational training institutions</w:t>
      </w:r>
      <w:r w:rsidR="0076020E">
        <w:rPr>
          <w:lang w:val="en-GB" w:eastAsia="lt-LT"/>
        </w:rPr>
        <w:t xml:space="preserve"> had </w:t>
      </w:r>
      <w:r w:rsidR="00C104DC" w:rsidRPr="00461EC7">
        <w:rPr>
          <w:lang w:val="en-GB" w:eastAsia="lt-LT"/>
        </w:rPr>
        <w:t>the</w:t>
      </w:r>
      <w:r w:rsidR="0076020E">
        <w:rPr>
          <w:lang w:val="en-GB" w:eastAsia="lt-LT"/>
        </w:rPr>
        <w:t>ir</w:t>
      </w:r>
      <w:r w:rsidR="00C104DC" w:rsidRPr="00461EC7">
        <w:rPr>
          <w:lang w:val="en-GB" w:eastAsia="lt-LT"/>
        </w:rPr>
        <w:t xml:space="preserve"> </w:t>
      </w:r>
      <w:r w:rsidR="00C33863" w:rsidRPr="00461EC7">
        <w:rPr>
          <w:lang w:val="en-GB" w:eastAsia="lt-LT"/>
        </w:rPr>
        <w:t xml:space="preserve">technological teaching </w:t>
      </w:r>
      <w:r w:rsidR="00C104DC" w:rsidRPr="00461EC7">
        <w:rPr>
          <w:lang w:val="en-GB" w:eastAsia="lt-LT"/>
        </w:rPr>
        <w:t xml:space="preserve">basis </w:t>
      </w:r>
      <w:r w:rsidR="0076020E">
        <w:rPr>
          <w:lang w:val="en-GB" w:eastAsia="lt-LT"/>
        </w:rPr>
        <w:t>upgraded</w:t>
      </w:r>
      <w:r w:rsidR="00C33863" w:rsidRPr="00461EC7">
        <w:rPr>
          <w:lang w:val="en-GB" w:eastAsia="lt-LT"/>
        </w:rPr>
        <w:t>.</w:t>
      </w:r>
    </w:p>
    <w:p w:rsidR="00C104DC" w:rsidRPr="00461EC7" w:rsidRDefault="00C104DC" w:rsidP="00C104DC">
      <w:pPr>
        <w:pStyle w:val="Pagrindinispaprastastekstas"/>
        <w:ind w:left="360"/>
        <w:rPr>
          <w:lang w:val="en-GB" w:eastAsia="lt-LT"/>
        </w:rPr>
      </w:pP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531"/>
        <w:gridCol w:w="5097"/>
      </w:tblGrid>
      <w:tr w:rsidR="00381EDF" w:rsidRPr="00461EC7" w:rsidTr="00F660D0">
        <w:tc>
          <w:tcPr>
            <w:tcW w:w="4531" w:type="dxa"/>
            <w:shd w:val="clear" w:color="auto" w:fill="auto"/>
          </w:tcPr>
          <w:p w:rsidR="00381EDF" w:rsidRPr="00461EC7" w:rsidRDefault="00415A7D" w:rsidP="00F660D0">
            <w:pPr>
              <w:pStyle w:val="Caption"/>
              <w:rPr>
                <w:sz w:val="20"/>
                <w:szCs w:val="20"/>
                <w:lang w:val="en-GB"/>
              </w:rPr>
            </w:pPr>
            <w:r w:rsidRPr="00461EC7">
              <w:rPr>
                <w:sz w:val="20"/>
                <w:szCs w:val="20"/>
                <w:lang w:val="en-GB"/>
              </w:rPr>
              <w:t>F</w:t>
            </w:r>
            <w:r w:rsidR="0056459A" w:rsidRPr="00461EC7">
              <w:rPr>
                <w:sz w:val="20"/>
                <w:szCs w:val="20"/>
                <w:lang w:val="en-GB"/>
              </w:rPr>
              <w:t>igure</w:t>
            </w:r>
            <w:r w:rsidRPr="00461EC7">
              <w:rPr>
                <w:sz w:val="20"/>
                <w:szCs w:val="20"/>
                <w:lang w:val="en-GB"/>
              </w:rPr>
              <w:t> </w:t>
            </w:r>
            <w:r w:rsidR="00E217E7" w:rsidRPr="00461EC7">
              <w:rPr>
                <w:sz w:val="20"/>
                <w:szCs w:val="20"/>
                <w:lang w:val="en-GB"/>
              </w:rPr>
              <w:fldChar w:fldCharType="begin"/>
            </w:r>
            <w:r w:rsidRPr="00461EC7">
              <w:rPr>
                <w:sz w:val="20"/>
                <w:szCs w:val="20"/>
                <w:lang w:val="en-GB"/>
              </w:rPr>
              <w:instrText xml:space="preserve"> SEQ pav. \* ARABIC </w:instrText>
            </w:r>
            <w:r w:rsidR="00E217E7" w:rsidRPr="00461EC7">
              <w:rPr>
                <w:sz w:val="20"/>
                <w:szCs w:val="20"/>
                <w:lang w:val="en-GB"/>
              </w:rPr>
              <w:fldChar w:fldCharType="separate"/>
            </w:r>
            <w:r w:rsidRPr="00461EC7">
              <w:rPr>
                <w:sz w:val="20"/>
                <w:szCs w:val="20"/>
                <w:lang w:val="en-GB"/>
              </w:rPr>
              <w:t>1</w:t>
            </w:r>
            <w:r w:rsidR="00E217E7" w:rsidRPr="00461EC7">
              <w:rPr>
                <w:sz w:val="20"/>
                <w:szCs w:val="20"/>
                <w:lang w:val="en-GB"/>
              </w:rPr>
              <w:fldChar w:fldCharType="end"/>
            </w:r>
            <w:r w:rsidR="0056459A" w:rsidRPr="00461EC7">
              <w:rPr>
                <w:sz w:val="20"/>
                <w:szCs w:val="20"/>
                <w:lang w:val="en-GB"/>
              </w:rPr>
              <w:t>.</w:t>
            </w:r>
            <w:r w:rsidR="00381EDF" w:rsidRPr="00461EC7">
              <w:rPr>
                <w:sz w:val="20"/>
                <w:szCs w:val="20"/>
                <w:lang w:val="en-GB"/>
              </w:rPr>
              <w:t xml:space="preserve"> </w:t>
            </w:r>
            <w:r w:rsidR="00253EC6" w:rsidRPr="00461EC7">
              <w:rPr>
                <w:sz w:val="20"/>
                <w:szCs w:val="20"/>
                <w:lang w:val="en-GB"/>
              </w:rPr>
              <w:t>D</w:t>
            </w:r>
            <w:r w:rsidR="00381EDF" w:rsidRPr="00461EC7">
              <w:rPr>
                <w:sz w:val="20"/>
                <w:szCs w:val="20"/>
                <w:lang w:val="en-GB"/>
              </w:rPr>
              <w:t xml:space="preserve">istribution of investments </w:t>
            </w:r>
            <w:r w:rsidR="00253EC6" w:rsidRPr="00461EC7">
              <w:rPr>
                <w:sz w:val="20"/>
                <w:szCs w:val="20"/>
                <w:lang w:val="en-GB"/>
              </w:rPr>
              <w:t>in</w:t>
            </w:r>
            <w:r w:rsidR="00381EDF" w:rsidRPr="00461EC7">
              <w:rPr>
                <w:sz w:val="20"/>
                <w:szCs w:val="20"/>
                <w:lang w:val="en-GB"/>
              </w:rPr>
              <w:t xml:space="preserve">to education infrastructure </w:t>
            </w:r>
            <w:r w:rsidR="00253EC6" w:rsidRPr="00461EC7">
              <w:rPr>
                <w:sz w:val="20"/>
                <w:szCs w:val="20"/>
                <w:lang w:val="en-GB"/>
              </w:rPr>
              <w:t>by level of education</w:t>
            </w:r>
            <w:r w:rsidR="00381EDF" w:rsidRPr="00461EC7">
              <w:rPr>
                <w:sz w:val="20"/>
                <w:szCs w:val="20"/>
                <w:lang w:val="en-GB"/>
              </w:rPr>
              <w:t xml:space="preserve">, million </w:t>
            </w:r>
            <w:r w:rsidR="00AD64FC" w:rsidRPr="00461EC7">
              <w:rPr>
                <w:sz w:val="20"/>
                <w:szCs w:val="20"/>
                <w:lang w:val="en-GB"/>
              </w:rPr>
              <w:t>EUR</w:t>
            </w:r>
            <w:r w:rsidR="00381EDF" w:rsidRPr="00461EC7">
              <w:rPr>
                <w:sz w:val="20"/>
                <w:szCs w:val="20"/>
                <w:lang w:val="en-GB"/>
              </w:rPr>
              <w:t>.</w:t>
            </w:r>
          </w:p>
          <w:p w:rsidR="00381EDF" w:rsidRPr="00461EC7" w:rsidRDefault="00381EDF" w:rsidP="00F660D0">
            <w:pPr>
              <w:pStyle w:val="Pagrindinispaprastastekstas"/>
              <w:jc w:val="center"/>
              <w:rPr>
                <w:sz w:val="20"/>
                <w:szCs w:val="20"/>
                <w:lang w:val="en-GB"/>
              </w:rPr>
            </w:pPr>
            <w:r w:rsidRPr="00461EC7">
              <w:rPr>
                <w:noProof/>
                <w:sz w:val="20"/>
                <w:szCs w:val="20"/>
              </w:rPr>
              <w:drawing>
                <wp:inline distT="0" distB="0" distL="0" distR="0" wp14:anchorId="3DFB6EEF" wp14:editId="71DB9340">
                  <wp:extent cx="2670372" cy="1950181"/>
                  <wp:effectExtent l="0" t="0" r="15875" b="12065"/>
                  <wp:docPr id="8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  <w:p w:rsidR="00E217E7" w:rsidRDefault="00253EC6">
            <w:pPr>
              <w:pStyle w:val="Pagrindinispaprastastekstas"/>
              <w:rPr>
                <w:i/>
                <w:sz w:val="20"/>
                <w:szCs w:val="20"/>
                <w:lang w:val="en-GB" w:eastAsia="en-US"/>
              </w:rPr>
            </w:pPr>
            <w:r w:rsidRPr="00461EC7">
              <w:rPr>
                <w:i/>
                <w:sz w:val="20"/>
                <w:szCs w:val="20"/>
                <w:lang w:val="en-GB"/>
              </w:rPr>
              <w:t>M</w:t>
            </w:r>
            <w:r w:rsidR="0056459A" w:rsidRPr="00461EC7">
              <w:rPr>
                <w:i/>
                <w:sz w:val="20"/>
                <w:szCs w:val="20"/>
                <w:lang w:val="en-GB"/>
              </w:rPr>
              <w:t>ost investments</w:t>
            </w:r>
            <w:r w:rsidR="00C104DC" w:rsidRPr="00461EC7">
              <w:rPr>
                <w:i/>
                <w:sz w:val="20"/>
                <w:szCs w:val="20"/>
                <w:lang w:val="en-GB"/>
              </w:rPr>
              <w:t xml:space="preserve"> were</w:t>
            </w:r>
            <w:r w:rsidR="0056459A" w:rsidRPr="00461EC7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461EC7">
              <w:rPr>
                <w:i/>
                <w:sz w:val="20"/>
                <w:szCs w:val="20"/>
                <w:lang w:val="en-GB"/>
              </w:rPr>
              <w:t>made into</w:t>
            </w:r>
            <w:r w:rsidR="0056459A" w:rsidRPr="00461EC7">
              <w:rPr>
                <w:i/>
                <w:sz w:val="20"/>
                <w:szCs w:val="20"/>
                <w:lang w:val="en-GB"/>
              </w:rPr>
              <w:t xml:space="preserve"> vocational training</w:t>
            </w:r>
            <w:r w:rsidR="0076020E">
              <w:rPr>
                <w:i/>
                <w:sz w:val="20"/>
                <w:szCs w:val="20"/>
                <w:lang w:val="en-GB"/>
              </w:rPr>
              <w:t xml:space="preserve"> and </w:t>
            </w:r>
            <w:r w:rsidR="0056459A" w:rsidRPr="00461EC7">
              <w:rPr>
                <w:i/>
                <w:sz w:val="20"/>
                <w:szCs w:val="20"/>
                <w:lang w:val="en-GB"/>
              </w:rPr>
              <w:t>institutions of higher and basic education,</w:t>
            </w:r>
            <w:r w:rsidR="00C104DC" w:rsidRPr="00461EC7">
              <w:rPr>
                <w:i/>
                <w:sz w:val="20"/>
                <w:szCs w:val="20"/>
                <w:lang w:val="en-GB"/>
              </w:rPr>
              <w:t xml:space="preserve"> while </w:t>
            </w:r>
            <w:r w:rsidR="0056459A" w:rsidRPr="00461EC7">
              <w:rPr>
                <w:i/>
                <w:sz w:val="20"/>
                <w:szCs w:val="20"/>
                <w:lang w:val="en-GB"/>
              </w:rPr>
              <w:t xml:space="preserve">less </w:t>
            </w:r>
            <w:r w:rsidR="00C104DC" w:rsidRPr="00461EC7">
              <w:rPr>
                <w:i/>
                <w:sz w:val="20"/>
                <w:szCs w:val="20"/>
                <w:lang w:val="en-GB"/>
              </w:rPr>
              <w:t>investments</w:t>
            </w:r>
            <w:r w:rsidR="0056459A" w:rsidRPr="00461EC7">
              <w:rPr>
                <w:i/>
                <w:sz w:val="20"/>
                <w:szCs w:val="20"/>
                <w:lang w:val="en-GB"/>
              </w:rPr>
              <w:t xml:space="preserve"> to lifelong learning and </w:t>
            </w:r>
            <w:r w:rsidR="0076020E">
              <w:rPr>
                <w:i/>
                <w:sz w:val="20"/>
                <w:szCs w:val="20"/>
                <w:lang w:val="en-GB"/>
              </w:rPr>
              <w:t>preschool</w:t>
            </w:r>
            <w:r w:rsidR="0056459A" w:rsidRPr="00461EC7">
              <w:rPr>
                <w:i/>
                <w:sz w:val="20"/>
                <w:szCs w:val="20"/>
                <w:lang w:val="en-GB"/>
              </w:rPr>
              <w:t xml:space="preserve"> education.</w:t>
            </w:r>
          </w:p>
        </w:tc>
        <w:tc>
          <w:tcPr>
            <w:tcW w:w="5097" w:type="dxa"/>
            <w:shd w:val="clear" w:color="auto" w:fill="auto"/>
          </w:tcPr>
          <w:p w:rsidR="00056E5D" w:rsidRPr="00461EC7" w:rsidRDefault="00415A7D" w:rsidP="00F660D0">
            <w:pPr>
              <w:pStyle w:val="Caption"/>
              <w:rPr>
                <w:sz w:val="20"/>
                <w:szCs w:val="20"/>
                <w:lang w:val="en-GB"/>
              </w:rPr>
            </w:pPr>
            <w:r w:rsidRPr="00461EC7">
              <w:rPr>
                <w:sz w:val="20"/>
                <w:szCs w:val="20"/>
                <w:lang w:val="en-GB"/>
              </w:rPr>
              <w:t>F</w:t>
            </w:r>
            <w:r w:rsidR="0056459A" w:rsidRPr="00461EC7">
              <w:rPr>
                <w:sz w:val="20"/>
                <w:szCs w:val="20"/>
                <w:lang w:val="en-GB"/>
              </w:rPr>
              <w:t>igure</w:t>
            </w:r>
            <w:r w:rsidRPr="00461EC7">
              <w:rPr>
                <w:sz w:val="20"/>
                <w:szCs w:val="20"/>
                <w:lang w:val="en-GB"/>
              </w:rPr>
              <w:t> </w:t>
            </w:r>
            <w:r w:rsidR="00E217E7" w:rsidRPr="00461EC7">
              <w:rPr>
                <w:sz w:val="20"/>
                <w:szCs w:val="20"/>
                <w:lang w:val="en-GB"/>
              </w:rPr>
              <w:fldChar w:fldCharType="begin"/>
            </w:r>
            <w:r w:rsidRPr="00461EC7">
              <w:rPr>
                <w:sz w:val="20"/>
                <w:szCs w:val="20"/>
                <w:lang w:val="en-GB"/>
              </w:rPr>
              <w:instrText xml:space="preserve"> SEQ pav. \* ARABIC </w:instrText>
            </w:r>
            <w:r w:rsidR="00E217E7" w:rsidRPr="00461EC7">
              <w:rPr>
                <w:sz w:val="20"/>
                <w:szCs w:val="20"/>
                <w:lang w:val="en-GB"/>
              </w:rPr>
              <w:fldChar w:fldCharType="separate"/>
            </w:r>
            <w:r w:rsidRPr="00461EC7">
              <w:rPr>
                <w:sz w:val="20"/>
                <w:szCs w:val="20"/>
                <w:lang w:val="en-GB"/>
              </w:rPr>
              <w:t>2</w:t>
            </w:r>
            <w:r w:rsidR="00E217E7" w:rsidRPr="00461EC7">
              <w:rPr>
                <w:sz w:val="20"/>
                <w:szCs w:val="20"/>
                <w:lang w:val="en-GB"/>
              </w:rPr>
              <w:fldChar w:fldCharType="end"/>
            </w:r>
            <w:r w:rsidR="00381EDF" w:rsidRPr="00461EC7">
              <w:rPr>
                <w:sz w:val="20"/>
                <w:szCs w:val="20"/>
                <w:lang w:val="en-GB"/>
              </w:rPr>
              <w:t xml:space="preserve">. </w:t>
            </w:r>
            <w:r w:rsidR="00C104DC" w:rsidRPr="00461EC7">
              <w:rPr>
                <w:sz w:val="20"/>
                <w:szCs w:val="20"/>
                <w:lang w:val="en-GB"/>
              </w:rPr>
              <w:t xml:space="preserve">Comparison of </w:t>
            </w:r>
            <w:r w:rsidR="00253EC6" w:rsidRPr="00461EC7">
              <w:rPr>
                <w:sz w:val="20"/>
                <w:szCs w:val="20"/>
                <w:lang w:val="en-GB"/>
              </w:rPr>
              <w:t xml:space="preserve">the </w:t>
            </w:r>
            <w:r w:rsidR="00C104DC" w:rsidRPr="00461EC7">
              <w:rPr>
                <w:sz w:val="20"/>
                <w:szCs w:val="20"/>
                <w:lang w:val="en-GB"/>
              </w:rPr>
              <w:t>s</w:t>
            </w:r>
            <w:r w:rsidR="00056E5D" w:rsidRPr="00461EC7">
              <w:rPr>
                <w:sz w:val="20"/>
                <w:szCs w:val="20"/>
                <w:lang w:val="en-GB"/>
              </w:rPr>
              <w:t xml:space="preserve">hare of </w:t>
            </w:r>
            <w:r w:rsidR="00253EC6" w:rsidRPr="00461EC7">
              <w:rPr>
                <w:sz w:val="20"/>
                <w:szCs w:val="20"/>
                <w:lang w:val="en-GB"/>
              </w:rPr>
              <w:t xml:space="preserve">vocational training </w:t>
            </w:r>
            <w:r w:rsidR="00056E5D" w:rsidRPr="00461EC7">
              <w:rPr>
                <w:sz w:val="20"/>
                <w:szCs w:val="20"/>
                <w:lang w:val="en-GB"/>
              </w:rPr>
              <w:t xml:space="preserve">students and </w:t>
            </w:r>
            <w:r w:rsidR="00253EC6" w:rsidRPr="00461EC7">
              <w:rPr>
                <w:sz w:val="20"/>
                <w:szCs w:val="20"/>
                <w:lang w:val="en-GB"/>
              </w:rPr>
              <w:t xml:space="preserve">students at </w:t>
            </w:r>
            <w:r w:rsidR="00056E5D" w:rsidRPr="00461EC7">
              <w:rPr>
                <w:sz w:val="20"/>
                <w:szCs w:val="20"/>
                <w:lang w:val="en-GB"/>
              </w:rPr>
              <w:t>the first</w:t>
            </w:r>
            <w:r w:rsidR="00C104DC" w:rsidRPr="00461EC7">
              <w:rPr>
                <w:sz w:val="20"/>
                <w:szCs w:val="20"/>
                <w:lang w:val="en-GB"/>
              </w:rPr>
              <w:t xml:space="preserve"> </w:t>
            </w:r>
            <w:r w:rsidR="00253EC6" w:rsidRPr="00461EC7">
              <w:rPr>
                <w:sz w:val="20"/>
                <w:szCs w:val="20"/>
                <w:lang w:val="en-GB"/>
              </w:rPr>
              <w:t xml:space="preserve">cycle </w:t>
            </w:r>
            <w:r w:rsidR="00C104DC" w:rsidRPr="00461EC7">
              <w:rPr>
                <w:sz w:val="20"/>
                <w:szCs w:val="20"/>
                <w:lang w:val="en-GB"/>
              </w:rPr>
              <w:t>of higher education</w:t>
            </w:r>
          </w:p>
          <w:p w:rsidR="00381EDF" w:rsidRPr="00461EC7" w:rsidRDefault="00D24332" w:rsidP="00F660D0">
            <w:pPr>
              <w:pStyle w:val="Pagrindinispaprastastekstas"/>
              <w:jc w:val="center"/>
              <w:rPr>
                <w:sz w:val="20"/>
                <w:szCs w:val="20"/>
                <w:lang w:val="en-GB"/>
              </w:rPr>
            </w:pPr>
            <w:r w:rsidRPr="00461EC7">
              <w:rPr>
                <w:noProof/>
                <w:sz w:val="20"/>
                <w:szCs w:val="20"/>
                <w:shd w:val="clear" w:color="auto" w:fill="DBE5F1" w:themeFill="accent1" w:themeFillTint="33"/>
              </w:rPr>
              <w:drawing>
                <wp:inline distT="0" distB="0" distL="0" distR="0" wp14:anchorId="48A95FAC" wp14:editId="24C83828">
                  <wp:extent cx="2751292" cy="1909721"/>
                  <wp:effectExtent l="0" t="0" r="11430" b="14605"/>
                  <wp:docPr id="9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  <w:p w:rsidR="008C73F7" w:rsidRPr="00461EC7" w:rsidRDefault="008C73F7" w:rsidP="00CF5896">
            <w:pPr>
              <w:pStyle w:val="Pagrindinispaprastastekstas"/>
              <w:rPr>
                <w:i/>
                <w:sz w:val="20"/>
                <w:szCs w:val="20"/>
                <w:lang w:val="en-GB"/>
              </w:rPr>
            </w:pPr>
          </w:p>
          <w:p w:rsidR="00381EDF" w:rsidRPr="00461EC7" w:rsidRDefault="00253EC6" w:rsidP="00253EC6">
            <w:pPr>
              <w:pStyle w:val="Pagrindinispaprastastekstas"/>
              <w:rPr>
                <w:i/>
                <w:sz w:val="20"/>
                <w:szCs w:val="20"/>
                <w:lang w:val="en-GB"/>
              </w:rPr>
            </w:pPr>
            <w:r w:rsidRPr="00461EC7">
              <w:rPr>
                <w:i/>
                <w:sz w:val="20"/>
                <w:szCs w:val="20"/>
                <w:lang w:val="en-GB"/>
              </w:rPr>
              <w:t>Over the</w:t>
            </w:r>
            <w:r w:rsidR="00D24332" w:rsidRPr="00461EC7">
              <w:rPr>
                <w:i/>
                <w:sz w:val="20"/>
                <w:szCs w:val="20"/>
                <w:lang w:val="en-GB"/>
              </w:rPr>
              <w:t xml:space="preserve"> recent years there </w:t>
            </w:r>
            <w:r w:rsidRPr="00461EC7">
              <w:rPr>
                <w:i/>
                <w:sz w:val="20"/>
                <w:szCs w:val="20"/>
                <w:lang w:val="en-GB"/>
              </w:rPr>
              <w:t>has been</w:t>
            </w:r>
            <w:r w:rsidR="00D24332" w:rsidRPr="00461EC7">
              <w:rPr>
                <w:i/>
                <w:sz w:val="20"/>
                <w:szCs w:val="20"/>
                <w:lang w:val="en-GB"/>
              </w:rPr>
              <w:t xml:space="preserve"> a significant</w:t>
            </w:r>
            <w:r w:rsidR="00056E5D" w:rsidRPr="00461EC7">
              <w:rPr>
                <w:i/>
                <w:sz w:val="20"/>
                <w:szCs w:val="20"/>
                <w:lang w:val="en-GB"/>
              </w:rPr>
              <w:t xml:space="preserve"> increase</w:t>
            </w:r>
            <w:r w:rsidR="00D24332" w:rsidRPr="00461EC7">
              <w:rPr>
                <w:i/>
                <w:sz w:val="20"/>
                <w:szCs w:val="20"/>
                <w:lang w:val="en-GB"/>
              </w:rPr>
              <w:t xml:space="preserve"> in </w:t>
            </w:r>
            <w:r w:rsidRPr="00461EC7">
              <w:rPr>
                <w:i/>
                <w:sz w:val="20"/>
                <w:szCs w:val="20"/>
                <w:lang w:val="en-GB"/>
              </w:rPr>
              <w:t xml:space="preserve">the </w:t>
            </w:r>
            <w:r w:rsidR="00D24332" w:rsidRPr="00461EC7">
              <w:rPr>
                <w:i/>
                <w:sz w:val="20"/>
                <w:szCs w:val="20"/>
                <w:lang w:val="en-GB"/>
              </w:rPr>
              <w:t>number of students who cho</w:t>
            </w:r>
            <w:r w:rsidRPr="00461EC7">
              <w:rPr>
                <w:i/>
                <w:sz w:val="20"/>
                <w:szCs w:val="20"/>
                <w:lang w:val="en-GB"/>
              </w:rPr>
              <w:t>o</w:t>
            </w:r>
            <w:r w:rsidR="00D24332" w:rsidRPr="00461EC7">
              <w:rPr>
                <w:i/>
                <w:sz w:val="20"/>
                <w:szCs w:val="20"/>
                <w:lang w:val="en-GB"/>
              </w:rPr>
              <w:t xml:space="preserve">se vocational training over the first </w:t>
            </w:r>
            <w:r w:rsidRPr="00461EC7">
              <w:rPr>
                <w:i/>
                <w:sz w:val="20"/>
                <w:szCs w:val="20"/>
                <w:lang w:val="en-GB"/>
              </w:rPr>
              <w:t xml:space="preserve">cycle </w:t>
            </w:r>
            <w:r w:rsidR="00D24332" w:rsidRPr="00461EC7">
              <w:rPr>
                <w:i/>
                <w:sz w:val="20"/>
                <w:szCs w:val="20"/>
                <w:lang w:val="en-GB"/>
              </w:rPr>
              <w:t>of higher educatio</w:t>
            </w:r>
            <w:r w:rsidR="00CF5896" w:rsidRPr="00461EC7">
              <w:rPr>
                <w:i/>
                <w:sz w:val="20"/>
                <w:szCs w:val="20"/>
                <w:lang w:val="en-GB"/>
              </w:rPr>
              <w:t>n</w:t>
            </w:r>
          </w:p>
        </w:tc>
      </w:tr>
    </w:tbl>
    <w:p w:rsidR="00381EDF" w:rsidRPr="00461EC7" w:rsidRDefault="00381EDF" w:rsidP="00CF5896">
      <w:pPr>
        <w:pStyle w:val="Pagrindinispaprastastekstas"/>
        <w:rPr>
          <w:lang w:val="en-GB" w:eastAsia="lt-LT"/>
        </w:rPr>
      </w:pPr>
    </w:p>
    <w:p w:rsidR="00021E5D" w:rsidRPr="00461EC7" w:rsidRDefault="00CF5896" w:rsidP="00021E5D">
      <w:pPr>
        <w:pStyle w:val="Nenumeruojamosantrastes"/>
        <w:rPr>
          <w:lang w:val="en-GB"/>
        </w:rPr>
      </w:pPr>
      <w:r w:rsidRPr="00461EC7">
        <w:rPr>
          <w:lang w:val="en-GB"/>
        </w:rPr>
        <w:t xml:space="preserve">results of the </w:t>
      </w:r>
      <w:r w:rsidR="00253EC6" w:rsidRPr="00461EC7">
        <w:rPr>
          <w:lang w:val="en-GB"/>
        </w:rPr>
        <w:t xml:space="preserve">OPPC </w:t>
      </w:r>
      <w:r w:rsidRPr="00461EC7">
        <w:rPr>
          <w:lang w:val="en-GB"/>
        </w:rPr>
        <w:t>implementation: social infrastructure</w:t>
      </w:r>
    </w:p>
    <w:p w:rsidR="00CF5896" w:rsidRPr="00461EC7" w:rsidRDefault="004C0F6A" w:rsidP="00CF5896">
      <w:pPr>
        <w:pStyle w:val="Pagrindinispaprastastekstas"/>
        <w:rPr>
          <w:b/>
          <w:color w:val="1F497D" w:themeColor="text2"/>
          <w:lang w:val="en-GB" w:eastAsia="lt-LT"/>
        </w:rPr>
      </w:pPr>
      <w:r w:rsidRPr="00461EC7">
        <w:rPr>
          <w:b/>
          <w:color w:val="1F497D" w:themeColor="text2"/>
          <w:lang w:val="en-GB" w:eastAsia="lt-LT"/>
        </w:rPr>
        <w:t xml:space="preserve">The main outputs </w:t>
      </w:r>
      <w:r w:rsidR="00CF5896" w:rsidRPr="00461EC7">
        <w:rPr>
          <w:b/>
          <w:color w:val="1F497D" w:themeColor="text2"/>
          <w:lang w:val="en-GB" w:eastAsia="lt-LT"/>
        </w:rPr>
        <w:t>and results</w:t>
      </w:r>
    </w:p>
    <w:p w:rsidR="00787600" w:rsidRPr="00461EC7" w:rsidRDefault="00787600" w:rsidP="00787600">
      <w:pPr>
        <w:pStyle w:val="Pagrindinispaprastastekstas"/>
        <w:rPr>
          <w:lang w:val="en-GB" w:eastAsia="lt-LT"/>
        </w:rPr>
      </w:pPr>
      <w:r w:rsidRPr="00461EC7">
        <w:rPr>
          <w:noProof/>
          <w:sz w:val="16"/>
          <w:lang w:eastAsia="lt-LT"/>
        </w:rPr>
        <w:drawing>
          <wp:inline distT="0" distB="0" distL="0" distR="0" wp14:anchorId="4BF12E23" wp14:editId="7E83DBAA">
            <wp:extent cx="6121190" cy="1979941"/>
            <wp:effectExtent l="0" t="0" r="13335" b="20320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87600" w:rsidRPr="00461EC7" w:rsidRDefault="00787600" w:rsidP="00787600">
      <w:pPr>
        <w:pStyle w:val="Pagrindinispaprastastekstas"/>
        <w:rPr>
          <w:lang w:val="en-GB" w:eastAsia="lt-LT"/>
        </w:rPr>
      </w:pPr>
    </w:p>
    <w:p w:rsidR="00220789" w:rsidRPr="00461EC7" w:rsidRDefault="00220789" w:rsidP="00787600">
      <w:pPr>
        <w:pStyle w:val="Pagrindinispaprastastekstas"/>
        <w:numPr>
          <w:ilvl w:val="0"/>
          <w:numId w:val="44"/>
        </w:numPr>
        <w:rPr>
          <w:lang w:val="en-GB" w:eastAsia="lt-LT"/>
        </w:rPr>
      </w:pPr>
      <w:r w:rsidRPr="00461EC7">
        <w:rPr>
          <w:lang w:val="en-GB" w:eastAsia="lt-LT"/>
        </w:rPr>
        <w:t xml:space="preserve">OPPC investments were made </w:t>
      </w:r>
      <w:r w:rsidR="00253EC6" w:rsidRPr="00461EC7">
        <w:rPr>
          <w:lang w:val="en-GB" w:eastAsia="lt-LT"/>
        </w:rPr>
        <w:t>in</w:t>
      </w:r>
      <w:r w:rsidRPr="00461EC7">
        <w:rPr>
          <w:lang w:val="en-GB" w:eastAsia="lt-LT"/>
        </w:rPr>
        <w:t>to the infrastructure of 12 of 15 Lithuanian Labour Exchange offices and their units in the country.</w:t>
      </w:r>
    </w:p>
    <w:p w:rsidR="00220789" w:rsidRPr="00461EC7" w:rsidRDefault="00220789" w:rsidP="00787600">
      <w:pPr>
        <w:pStyle w:val="Pagrindinispaprastastekstas"/>
        <w:numPr>
          <w:ilvl w:val="0"/>
          <w:numId w:val="44"/>
        </w:numPr>
        <w:rPr>
          <w:lang w:val="en-GB" w:eastAsia="lt-LT"/>
        </w:rPr>
      </w:pPr>
      <w:r w:rsidRPr="00461EC7">
        <w:rPr>
          <w:lang w:val="en-GB" w:eastAsia="lt-LT"/>
        </w:rPr>
        <w:t xml:space="preserve">8 of 13 (61%) disabled vocational rehabilitation centres were </w:t>
      </w:r>
      <w:r w:rsidR="00253EC6" w:rsidRPr="00461EC7">
        <w:rPr>
          <w:lang w:val="en-GB" w:eastAsia="lt-LT"/>
        </w:rPr>
        <w:t>opened</w:t>
      </w:r>
      <w:r w:rsidRPr="00461EC7">
        <w:rPr>
          <w:lang w:val="en-GB" w:eastAsia="lt-LT"/>
        </w:rPr>
        <w:t>.</w:t>
      </w:r>
    </w:p>
    <w:p w:rsidR="00220789" w:rsidRPr="00461EC7" w:rsidRDefault="00220789" w:rsidP="00787600">
      <w:pPr>
        <w:pStyle w:val="Pagrindinispaprastastekstas"/>
        <w:numPr>
          <w:ilvl w:val="0"/>
          <w:numId w:val="44"/>
        </w:numPr>
        <w:rPr>
          <w:lang w:val="en-GB" w:eastAsia="lt-LT"/>
        </w:rPr>
      </w:pPr>
      <w:r w:rsidRPr="00461EC7">
        <w:rPr>
          <w:lang w:val="en-GB" w:eastAsia="lt-LT"/>
        </w:rPr>
        <w:lastRenderedPageBreak/>
        <w:t>Investments were allocated to 40% of institutions which provide social services.</w:t>
      </w:r>
    </w:p>
    <w:p w:rsidR="00C04092" w:rsidRPr="00461EC7" w:rsidRDefault="00C04092" w:rsidP="00C04092">
      <w:pPr>
        <w:pStyle w:val="Pagrindinispaprastastekstas"/>
        <w:numPr>
          <w:ilvl w:val="0"/>
          <w:numId w:val="44"/>
        </w:numPr>
        <w:rPr>
          <w:lang w:val="en-GB" w:eastAsia="lt-LT"/>
        </w:rPr>
      </w:pPr>
      <w:r w:rsidRPr="00461EC7">
        <w:rPr>
          <w:lang w:val="en-GB" w:eastAsia="lt-LT"/>
        </w:rPr>
        <w:t xml:space="preserve">730 new jobs were created (in institutions which provide </w:t>
      </w:r>
      <w:r w:rsidR="0076020E">
        <w:rPr>
          <w:lang w:val="en-GB" w:eastAsia="lt-LT"/>
        </w:rPr>
        <w:t>out-patient</w:t>
      </w:r>
      <w:r w:rsidRPr="00461EC7">
        <w:rPr>
          <w:lang w:val="en-GB" w:eastAsia="lt-LT"/>
        </w:rPr>
        <w:t xml:space="preserve"> social services).</w:t>
      </w:r>
    </w:p>
    <w:p w:rsidR="007B0C2C" w:rsidRPr="00461EC7" w:rsidRDefault="007B0C2C" w:rsidP="0046175C">
      <w:pPr>
        <w:pStyle w:val="Pagrindinispaprastastekstas"/>
        <w:rPr>
          <w:lang w:val="en-GB" w:eastAsia="lt-LT"/>
        </w:rPr>
      </w:pPr>
    </w:p>
    <w:p w:rsidR="00C04092" w:rsidRPr="00461EC7" w:rsidRDefault="004A55B0" w:rsidP="00C04092">
      <w:pPr>
        <w:pStyle w:val="Pagrindinispaprastastekstas"/>
        <w:rPr>
          <w:b/>
          <w:color w:val="1F497D" w:themeColor="text2"/>
          <w:lang w:val="en-GB" w:eastAsia="lt-LT"/>
        </w:rPr>
      </w:pPr>
      <w:r>
        <w:rPr>
          <w:b/>
          <w:color w:val="1F497D" w:themeColor="text2"/>
          <w:lang w:val="en-GB" w:eastAsia="lt-LT"/>
        </w:rPr>
        <w:t>I</w:t>
      </w:r>
      <w:r w:rsidR="00C04092" w:rsidRPr="00461EC7">
        <w:rPr>
          <w:b/>
          <w:color w:val="1F497D" w:themeColor="text2"/>
          <w:lang w:val="en-GB" w:eastAsia="lt-LT"/>
        </w:rPr>
        <w:t>mpact of the investments:</w:t>
      </w:r>
    </w:p>
    <w:p w:rsidR="00C04092" w:rsidRPr="00461EC7" w:rsidRDefault="00253EC6" w:rsidP="00C04092">
      <w:pPr>
        <w:pStyle w:val="Pagrindinispaprastastekstas"/>
        <w:rPr>
          <w:lang w:val="en-GB" w:eastAsia="lt-LT"/>
        </w:rPr>
      </w:pPr>
      <w:r w:rsidRPr="00461EC7">
        <w:rPr>
          <w:lang w:val="en-GB" w:eastAsia="lt-LT"/>
        </w:rPr>
        <w:t>M</w:t>
      </w:r>
      <w:r w:rsidR="00C04092" w:rsidRPr="00461EC7">
        <w:rPr>
          <w:lang w:val="en-GB" w:eastAsia="lt-LT"/>
        </w:rPr>
        <w:t xml:space="preserve">ost labour force and employability indicators improved </w:t>
      </w:r>
      <w:r w:rsidRPr="00461EC7">
        <w:rPr>
          <w:lang w:val="en-GB" w:eastAsia="lt-LT"/>
        </w:rPr>
        <w:t>between</w:t>
      </w:r>
      <w:r w:rsidR="00C04092" w:rsidRPr="00461EC7">
        <w:rPr>
          <w:lang w:val="en-GB" w:eastAsia="lt-LT"/>
        </w:rPr>
        <w:t xml:space="preserve"> 2007</w:t>
      </w:r>
      <w:r w:rsidRPr="00461EC7">
        <w:rPr>
          <w:lang w:val="en-GB" w:eastAsia="lt-LT"/>
        </w:rPr>
        <w:t xml:space="preserve"> and </w:t>
      </w:r>
      <w:r w:rsidR="00C04092" w:rsidRPr="00461EC7">
        <w:rPr>
          <w:lang w:val="en-GB" w:eastAsia="lt-LT"/>
        </w:rPr>
        <w:t>2015</w:t>
      </w:r>
      <w:r w:rsidRPr="00461EC7">
        <w:rPr>
          <w:lang w:val="en-GB" w:eastAsia="lt-LT"/>
        </w:rPr>
        <w:t>:</w:t>
      </w:r>
    </w:p>
    <w:p w:rsidR="00C04092" w:rsidRPr="00461EC7" w:rsidRDefault="00253EC6" w:rsidP="00F15FC5">
      <w:pPr>
        <w:pStyle w:val="Pagrindinispaprastastekstas"/>
        <w:numPr>
          <w:ilvl w:val="0"/>
          <w:numId w:val="44"/>
        </w:numPr>
        <w:rPr>
          <w:lang w:val="en-GB" w:eastAsia="lt-LT"/>
        </w:rPr>
      </w:pPr>
      <w:r w:rsidRPr="00461EC7">
        <w:rPr>
          <w:lang w:val="en-GB" w:eastAsia="lt-LT"/>
        </w:rPr>
        <w:t xml:space="preserve">the employment </w:t>
      </w:r>
      <w:r w:rsidR="00C04092" w:rsidRPr="00461EC7">
        <w:rPr>
          <w:lang w:val="en-GB" w:eastAsia="lt-LT"/>
        </w:rPr>
        <w:t>rate of the age group 15</w:t>
      </w:r>
      <w:r w:rsidRPr="00461EC7">
        <w:rPr>
          <w:lang w:val="en-GB" w:eastAsia="lt-LT"/>
        </w:rPr>
        <w:t>–</w:t>
      </w:r>
      <w:r w:rsidR="00C04092" w:rsidRPr="00461EC7">
        <w:rPr>
          <w:lang w:val="en-GB" w:eastAsia="lt-LT"/>
        </w:rPr>
        <w:t>64 improved from 65% to 67</w:t>
      </w:r>
      <w:r w:rsidRPr="00461EC7">
        <w:rPr>
          <w:lang w:val="en-GB" w:eastAsia="lt-LT"/>
        </w:rPr>
        <w:t>.</w:t>
      </w:r>
      <w:r w:rsidR="00C04092" w:rsidRPr="00461EC7">
        <w:rPr>
          <w:lang w:val="en-GB" w:eastAsia="lt-LT"/>
        </w:rPr>
        <w:t>2%</w:t>
      </w:r>
      <w:r w:rsidRPr="00461EC7">
        <w:rPr>
          <w:lang w:val="en-GB" w:eastAsia="lt-LT"/>
        </w:rPr>
        <w:t>;</w:t>
      </w:r>
    </w:p>
    <w:p w:rsidR="00C04092" w:rsidRPr="00461EC7" w:rsidRDefault="00253EC6" w:rsidP="00F15FC5">
      <w:pPr>
        <w:pStyle w:val="Pagrindinispaprastastekstas"/>
        <w:numPr>
          <w:ilvl w:val="0"/>
          <w:numId w:val="44"/>
        </w:numPr>
        <w:rPr>
          <w:lang w:val="en-GB" w:eastAsia="lt-LT"/>
        </w:rPr>
      </w:pPr>
      <w:r w:rsidRPr="00461EC7">
        <w:rPr>
          <w:lang w:val="en-GB" w:eastAsia="lt-LT"/>
        </w:rPr>
        <w:t>the p</w:t>
      </w:r>
      <w:r w:rsidR="00313B56" w:rsidRPr="00461EC7">
        <w:rPr>
          <w:lang w:val="en-GB" w:eastAsia="lt-LT"/>
        </w:rPr>
        <w:t>opulation activity rate improved from 67</w:t>
      </w:r>
      <w:r w:rsidRPr="00461EC7">
        <w:rPr>
          <w:lang w:val="en-GB" w:eastAsia="lt-LT"/>
        </w:rPr>
        <w:t>.</w:t>
      </w:r>
      <w:r w:rsidR="00313B56" w:rsidRPr="00461EC7">
        <w:rPr>
          <w:lang w:val="en-GB" w:eastAsia="lt-LT"/>
        </w:rPr>
        <w:t>9% to 74</w:t>
      </w:r>
      <w:r w:rsidRPr="00461EC7">
        <w:rPr>
          <w:lang w:val="en-GB" w:eastAsia="lt-LT"/>
        </w:rPr>
        <w:t>.</w:t>
      </w:r>
      <w:r w:rsidR="00313B56" w:rsidRPr="00461EC7">
        <w:rPr>
          <w:lang w:val="en-GB" w:eastAsia="lt-LT"/>
        </w:rPr>
        <w:t>1%</w:t>
      </w:r>
      <w:r w:rsidRPr="00461EC7">
        <w:rPr>
          <w:lang w:val="en-GB" w:eastAsia="lt-LT"/>
        </w:rPr>
        <w:t>;</w:t>
      </w:r>
    </w:p>
    <w:p w:rsidR="00313B56" w:rsidRPr="00461EC7" w:rsidRDefault="00253EC6" w:rsidP="00F15FC5">
      <w:pPr>
        <w:pStyle w:val="Pagrindinispaprastastekstas"/>
        <w:numPr>
          <w:ilvl w:val="0"/>
          <w:numId w:val="44"/>
        </w:numPr>
        <w:rPr>
          <w:lang w:val="en-GB" w:eastAsia="lt-LT"/>
        </w:rPr>
      </w:pPr>
      <w:r w:rsidRPr="00461EC7">
        <w:rPr>
          <w:lang w:val="en-GB" w:eastAsia="lt-LT"/>
        </w:rPr>
        <w:t>the e</w:t>
      </w:r>
      <w:r w:rsidR="00313B56" w:rsidRPr="00461EC7">
        <w:rPr>
          <w:lang w:val="en-GB" w:eastAsia="lt-LT"/>
        </w:rPr>
        <w:t>mployability of women and older persons improved</w:t>
      </w:r>
      <w:r w:rsidR="0076020E">
        <w:rPr>
          <w:lang w:val="en-GB" w:eastAsia="lt-LT"/>
        </w:rPr>
        <w:t xml:space="preserve"> </w:t>
      </w:r>
      <w:r w:rsidR="0076020E" w:rsidRPr="00461EC7">
        <w:rPr>
          <w:lang w:val="en-GB" w:eastAsia="lt-LT"/>
        </w:rPr>
        <w:t>significantly</w:t>
      </w:r>
      <w:r w:rsidRPr="00461EC7">
        <w:rPr>
          <w:lang w:val="en-GB" w:eastAsia="lt-LT"/>
        </w:rPr>
        <w:t xml:space="preserve">: the </w:t>
      </w:r>
      <w:r w:rsidR="00313B56" w:rsidRPr="00461EC7">
        <w:rPr>
          <w:lang w:val="en-GB" w:eastAsia="lt-LT"/>
        </w:rPr>
        <w:t xml:space="preserve">employability of women </w:t>
      </w:r>
      <w:r w:rsidR="0076020E">
        <w:rPr>
          <w:lang w:val="en-GB" w:eastAsia="lt-LT"/>
        </w:rPr>
        <w:t>increased</w:t>
      </w:r>
      <w:r w:rsidR="00313B56" w:rsidRPr="00461EC7">
        <w:rPr>
          <w:lang w:val="en-GB" w:eastAsia="lt-LT"/>
        </w:rPr>
        <w:t xml:space="preserve"> by 4</w:t>
      </w:r>
      <w:r w:rsidRPr="00461EC7">
        <w:rPr>
          <w:lang w:val="en-GB" w:eastAsia="lt-LT"/>
        </w:rPr>
        <w:t>.</w:t>
      </w:r>
      <w:r w:rsidR="00313B56" w:rsidRPr="00461EC7">
        <w:rPr>
          <w:lang w:val="en-GB" w:eastAsia="lt-LT"/>
        </w:rPr>
        <w:t>5</w:t>
      </w:r>
      <w:r w:rsidRPr="00461EC7">
        <w:rPr>
          <w:lang w:val="en-GB" w:eastAsia="lt-LT"/>
        </w:rPr>
        <w:t>pp</w:t>
      </w:r>
      <w:r w:rsidR="00313B56" w:rsidRPr="00461EC7">
        <w:rPr>
          <w:lang w:val="en-GB" w:eastAsia="lt-LT"/>
        </w:rPr>
        <w:t xml:space="preserve"> and in 2015 was 66</w:t>
      </w:r>
      <w:r w:rsidR="00D51984" w:rsidRPr="00461EC7">
        <w:rPr>
          <w:lang w:val="en-GB" w:eastAsia="lt-LT"/>
        </w:rPr>
        <w:t>.</w:t>
      </w:r>
      <w:r w:rsidR="00313B56" w:rsidRPr="00461EC7">
        <w:rPr>
          <w:lang w:val="en-GB" w:eastAsia="lt-LT"/>
        </w:rPr>
        <w:t xml:space="preserve">5%, </w:t>
      </w:r>
      <w:r w:rsidR="00D51984" w:rsidRPr="00461EC7">
        <w:rPr>
          <w:lang w:val="en-GB" w:eastAsia="lt-LT"/>
        </w:rPr>
        <w:t xml:space="preserve">and of </w:t>
      </w:r>
      <w:r w:rsidR="00313B56" w:rsidRPr="00461EC7">
        <w:rPr>
          <w:lang w:val="en-GB" w:eastAsia="lt-LT"/>
        </w:rPr>
        <w:t>older persons by 3</w:t>
      </w:r>
      <w:r w:rsidR="00D51984" w:rsidRPr="00461EC7">
        <w:rPr>
          <w:lang w:val="en-GB" w:eastAsia="lt-LT"/>
        </w:rPr>
        <w:t xml:space="preserve">pp </w:t>
      </w:r>
      <w:r w:rsidR="00313B56" w:rsidRPr="00461EC7">
        <w:rPr>
          <w:lang w:val="en-GB" w:eastAsia="lt-LT"/>
        </w:rPr>
        <w:t>and in 2015 was 56</w:t>
      </w:r>
      <w:r w:rsidR="00D51984" w:rsidRPr="00461EC7">
        <w:rPr>
          <w:lang w:val="en-GB" w:eastAsia="lt-LT"/>
        </w:rPr>
        <w:t>.</w:t>
      </w:r>
      <w:r w:rsidR="00313B56" w:rsidRPr="00461EC7">
        <w:rPr>
          <w:lang w:val="en-GB" w:eastAsia="lt-LT"/>
        </w:rPr>
        <w:t>2%</w:t>
      </w:r>
      <w:r w:rsidR="00D51984" w:rsidRPr="00461EC7">
        <w:rPr>
          <w:lang w:val="en-GB" w:eastAsia="lt-LT"/>
        </w:rPr>
        <w:t>;</w:t>
      </w:r>
    </w:p>
    <w:p w:rsidR="00313B56" w:rsidRPr="00461EC7" w:rsidRDefault="00D51984" w:rsidP="00F15FC5">
      <w:pPr>
        <w:pStyle w:val="Pagrindinispaprastastekstas"/>
        <w:numPr>
          <w:ilvl w:val="0"/>
          <w:numId w:val="44"/>
        </w:numPr>
        <w:rPr>
          <w:lang w:val="en-GB" w:eastAsia="lt-LT"/>
        </w:rPr>
      </w:pPr>
      <w:proofErr w:type="gramStart"/>
      <w:r w:rsidRPr="00461EC7">
        <w:rPr>
          <w:lang w:val="en-GB" w:eastAsia="lt-LT"/>
        </w:rPr>
        <w:t>the</w:t>
      </w:r>
      <w:proofErr w:type="gramEnd"/>
      <w:r w:rsidRPr="00461EC7">
        <w:rPr>
          <w:lang w:val="en-GB" w:eastAsia="lt-LT"/>
        </w:rPr>
        <w:t xml:space="preserve"> s</w:t>
      </w:r>
      <w:r w:rsidR="00313B56" w:rsidRPr="00461EC7">
        <w:rPr>
          <w:lang w:val="en-GB" w:eastAsia="lt-LT"/>
        </w:rPr>
        <w:t xml:space="preserve">hare of </w:t>
      </w:r>
      <w:r w:rsidR="00A2648C" w:rsidRPr="00461EC7">
        <w:rPr>
          <w:lang w:val="en-GB" w:eastAsia="lt-LT"/>
        </w:rPr>
        <w:t xml:space="preserve">working </w:t>
      </w:r>
      <w:r w:rsidR="00313B56" w:rsidRPr="00461EC7">
        <w:rPr>
          <w:lang w:val="en-GB" w:eastAsia="lt-LT"/>
        </w:rPr>
        <w:t>disabled people</w:t>
      </w:r>
      <w:r w:rsidR="00A2648C" w:rsidRPr="00461EC7">
        <w:rPr>
          <w:lang w:val="en-GB" w:eastAsia="lt-LT"/>
        </w:rPr>
        <w:t xml:space="preserve"> </w:t>
      </w:r>
      <w:r w:rsidR="00313B56" w:rsidRPr="00461EC7">
        <w:rPr>
          <w:lang w:val="en-GB" w:eastAsia="lt-LT"/>
        </w:rPr>
        <w:t>increased from 27</w:t>
      </w:r>
      <w:r w:rsidRPr="00461EC7">
        <w:rPr>
          <w:lang w:val="en-GB" w:eastAsia="lt-LT"/>
        </w:rPr>
        <w:t>.</w:t>
      </w:r>
      <w:r w:rsidR="00313B56" w:rsidRPr="00461EC7">
        <w:rPr>
          <w:lang w:val="en-GB" w:eastAsia="lt-LT"/>
        </w:rPr>
        <w:t>2% to 28</w:t>
      </w:r>
      <w:r w:rsidRPr="00461EC7">
        <w:rPr>
          <w:lang w:val="en-GB" w:eastAsia="lt-LT"/>
        </w:rPr>
        <w:t>.</w:t>
      </w:r>
      <w:r w:rsidR="00313B56" w:rsidRPr="00461EC7">
        <w:rPr>
          <w:lang w:val="en-GB" w:eastAsia="lt-LT"/>
        </w:rPr>
        <w:t>8%</w:t>
      </w:r>
      <w:r w:rsidR="0076020E">
        <w:rPr>
          <w:lang w:val="en-GB" w:eastAsia="lt-LT"/>
        </w:rPr>
        <w:t>.</w:t>
      </w:r>
    </w:p>
    <w:p w:rsidR="00F15FC5" w:rsidRPr="00461EC7" w:rsidRDefault="00F15FC5" w:rsidP="0046175C">
      <w:pPr>
        <w:pStyle w:val="Pagrindinispaprastastekstas"/>
        <w:rPr>
          <w:lang w:val="en-GB" w:eastAsia="lt-LT"/>
        </w:rPr>
      </w:pP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4DAF" w:rsidRPr="00461EC7" w:rsidTr="006C7204">
        <w:tc>
          <w:tcPr>
            <w:tcW w:w="9628" w:type="dxa"/>
            <w:shd w:val="clear" w:color="auto" w:fill="DBE5F1" w:themeFill="accent1" w:themeFillTint="33"/>
          </w:tcPr>
          <w:p w:rsidR="003B4DAF" w:rsidRPr="00461EC7" w:rsidRDefault="003B4DAF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</w:pPr>
            <w:r w:rsidRPr="00461EC7">
              <w:rPr>
                <w:b/>
                <w:i/>
                <w:noProof/>
                <w:color w:val="1F497D" w:themeColor="text2"/>
                <w:sz w:val="18"/>
                <w:szCs w:val="18"/>
              </w:rPr>
              <w:drawing>
                <wp:anchor distT="0" distB="0" distL="114300" distR="114300" simplePos="0" relativeHeight="251712512" behindDoc="0" locked="0" layoutInCell="1" allowOverlap="1" wp14:anchorId="24DF8436" wp14:editId="2DDFDECA">
                  <wp:simplePos x="0" y="0"/>
                  <wp:positionH relativeFrom="margin">
                    <wp:posOffset>4194218</wp:posOffset>
                  </wp:positionH>
                  <wp:positionV relativeFrom="paragraph">
                    <wp:posOffset>15868</wp:posOffset>
                  </wp:positionV>
                  <wp:extent cx="1817370" cy="1071880"/>
                  <wp:effectExtent l="0" t="0" r="30480" b="33020"/>
                  <wp:wrapSquare wrapText="bothSides"/>
                  <wp:docPr id="819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5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163"/>
                          <a:stretch/>
                        </pic:blipFill>
                        <pic:spPr bwMode="auto">
                          <a:xfrm>
                            <a:off x="0" y="0"/>
                            <a:ext cx="1817370" cy="1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rgbClr val="EEECE1"/>
                            </a:outerShdw>
                            <a:softEdge rad="1270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D51984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“</w:t>
            </w:r>
            <w:r w:rsidR="0076020E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Establishing a </w:t>
            </w:r>
            <w:r w:rsidR="00F660D0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group living home for people</w:t>
            </w:r>
            <w:r w:rsidR="00D51984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 with</w:t>
            </w:r>
            <w:r w:rsidR="00F660D0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 xml:space="preserve"> dementia and Alzheimer's disease</w:t>
            </w:r>
            <w:r w:rsidR="00D51984" w:rsidRPr="00461EC7">
              <w:rPr>
                <w:b/>
                <w:i/>
                <w:color w:val="1F497D" w:themeColor="text2"/>
                <w:sz w:val="18"/>
                <w:szCs w:val="18"/>
                <w:lang w:val="en-GB"/>
              </w:rPr>
              <w:t>”</w:t>
            </w:r>
          </w:p>
          <w:p w:rsidR="003B4DAF" w:rsidRPr="00461EC7" w:rsidRDefault="00F660D0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>Project implementer</w:t>
            </w:r>
            <w:r w:rsidR="00D51984" w:rsidRPr="00461EC7">
              <w:rPr>
                <w:i/>
                <w:sz w:val="18"/>
                <w:szCs w:val="18"/>
                <w:lang w:val="en-GB"/>
              </w:rPr>
              <w:t>:</w:t>
            </w:r>
            <w:r w:rsidR="003B4DAF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i/>
                <w:sz w:val="18"/>
                <w:szCs w:val="18"/>
                <w:lang w:val="en-GB"/>
              </w:rPr>
              <w:t>Centre of Integrated Health Services</w:t>
            </w:r>
          </w:p>
          <w:p w:rsidR="003B4DAF" w:rsidRPr="00461EC7" w:rsidRDefault="00AD64FC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i/>
                <w:sz w:val="18"/>
                <w:szCs w:val="18"/>
                <w:lang w:val="en-GB"/>
              </w:rPr>
            </w:pPr>
            <w:r w:rsidRPr="00461EC7">
              <w:rPr>
                <w:i/>
                <w:sz w:val="18"/>
                <w:szCs w:val="18"/>
                <w:lang w:val="en-GB"/>
              </w:rPr>
              <w:t>EU contribution:</w:t>
            </w:r>
            <w:r w:rsidR="00F06476" w:rsidRPr="00461EC7">
              <w:rPr>
                <w:i/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i/>
                <w:sz w:val="18"/>
                <w:szCs w:val="18"/>
                <w:lang w:val="en-GB"/>
              </w:rPr>
              <w:t>EUR </w:t>
            </w:r>
            <w:r w:rsidR="00D51984" w:rsidRPr="00461EC7">
              <w:rPr>
                <w:i/>
                <w:sz w:val="18"/>
                <w:szCs w:val="18"/>
                <w:lang w:val="en-GB"/>
              </w:rPr>
              <w:t>0.</w:t>
            </w:r>
            <w:r w:rsidR="00F06476" w:rsidRPr="00461EC7">
              <w:rPr>
                <w:i/>
                <w:sz w:val="18"/>
                <w:szCs w:val="18"/>
                <w:lang w:val="en-GB"/>
              </w:rPr>
              <w:t>2815</w:t>
            </w:r>
            <w:r w:rsidR="00D51984" w:rsidRPr="00461EC7">
              <w:rPr>
                <w:i/>
                <w:sz w:val="18"/>
                <w:szCs w:val="18"/>
                <w:lang w:val="en-GB"/>
              </w:rPr>
              <w:t> million</w:t>
            </w:r>
          </w:p>
          <w:p w:rsidR="003B4DAF" w:rsidRPr="00461EC7" w:rsidRDefault="003B4DAF" w:rsidP="006C7204">
            <w:pPr>
              <w:pStyle w:val="Pagrindinispaprastastekstas"/>
              <w:shd w:val="clear" w:color="auto" w:fill="DBE5F1" w:themeFill="accent1" w:themeFillTint="33"/>
              <w:jc w:val="center"/>
              <w:rPr>
                <w:sz w:val="18"/>
                <w:szCs w:val="18"/>
                <w:lang w:val="en-GB"/>
              </w:rPr>
            </w:pPr>
            <w:r w:rsidRPr="00461EC7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13536" behindDoc="0" locked="0" layoutInCell="1" allowOverlap="1" wp14:anchorId="6F132C38" wp14:editId="4D94475F">
                  <wp:simplePos x="0" y="0"/>
                  <wp:positionH relativeFrom="margin">
                    <wp:posOffset>-45720</wp:posOffset>
                  </wp:positionH>
                  <wp:positionV relativeFrom="paragraph">
                    <wp:posOffset>105410</wp:posOffset>
                  </wp:positionV>
                  <wp:extent cx="1572895" cy="1176655"/>
                  <wp:effectExtent l="0" t="0" r="46355" b="42545"/>
                  <wp:wrapSquare wrapText="bothSides"/>
                  <wp:docPr id="819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chemeClr val="bg2"/>
                            </a:outerShdw>
                            <a:softEdge rad="127000"/>
                          </a:effectLst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3B4DAF" w:rsidRPr="00461EC7" w:rsidRDefault="00D51984" w:rsidP="00D51984">
            <w:pPr>
              <w:pStyle w:val="Pagrindinispaprastastekstas"/>
              <w:shd w:val="clear" w:color="auto" w:fill="DBE5F1" w:themeFill="accent1" w:themeFillTint="33"/>
              <w:rPr>
                <w:sz w:val="18"/>
                <w:szCs w:val="18"/>
                <w:lang w:val="en-GB"/>
              </w:rPr>
            </w:pPr>
            <w:r w:rsidRPr="00461EC7">
              <w:rPr>
                <w:sz w:val="18"/>
                <w:szCs w:val="18"/>
                <w:lang w:val="en-GB"/>
              </w:rPr>
              <w:t>T</w:t>
            </w:r>
            <w:r w:rsidR="00F06476" w:rsidRPr="00461EC7">
              <w:rPr>
                <w:sz w:val="18"/>
                <w:szCs w:val="18"/>
                <w:lang w:val="en-GB"/>
              </w:rPr>
              <w:t>he first speciali</w:t>
            </w:r>
            <w:r w:rsidRPr="00461EC7">
              <w:rPr>
                <w:sz w:val="18"/>
                <w:szCs w:val="18"/>
                <w:lang w:val="en-GB"/>
              </w:rPr>
              <w:t>s</w:t>
            </w:r>
            <w:r w:rsidR="00F06476" w:rsidRPr="00461EC7">
              <w:rPr>
                <w:sz w:val="18"/>
                <w:szCs w:val="18"/>
                <w:lang w:val="en-GB"/>
              </w:rPr>
              <w:t>ed institution in Lithuania for people</w:t>
            </w:r>
            <w:r w:rsidRPr="00461EC7">
              <w:rPr>
                <w:sz w:val="18"/>
                <w:szCs w:val="18"/>
                <w:lang w:val="en-GB"/>
              </w:rPr>
              <w:t xml:space="preserve"> with</w:t>
            </w:r>
            <w:r w:rsidR="00F06476" w:rsidRPr="00461EC7">
              <w:rPr>
                <w:sz w:val="18"/>
                <w:szCs w:val="18"/>
                <w:lang w:val="en-GB"/>
              </w:rPr>
              <w:t xml:space="preserve"> dementia and Alzheimer’s disease</w:t>
            </w:r>
            <w:r w:rsidRPr="00461EC7">
              <w:rPr>
                <w:sz w:val="18"/>
                <w:szCs w:val="18"/>
                <w:lang w:val="en-GB"/>
              </w:rPr>
              <w:t xml:space="preserve"> was opened in </w:t>
            </w:r>
            <w:proofErr w:type="spellStart"/>
            <w:r w:rsidRPr="00461EC7">
              <w:rPr>
                <w:sz w:val="18"/>
                <w:szCs w:val="18"/>
                <w:lang w:val="en-GB"/>
              </w:rPr>
              <w:t>Naujikai</w:t>
            </w:r>
            <w:proofErr w:type="spellEnd"/>
            <w:r w:rsidRPr="00461EC7">
              <w:rPr>
                <w:sz w:val="18"/>
                <w:szCs w:val="18"/>
                <w:lang w:val="en-GB"/>
              </w:rPr>
              <w:t xml:space="preserve"> village, </w:t>
            </w:r>
            <w:proofErr w:type="spellStart"/>
            <w:r w:rsidRPr="00461EC7">
              <w:rPr>
                <w:sz w:val="18"/>
                <w:szCs w:val="18"/>
                <w:lang w:val="en-GB"/>
              </w:rPr>
              <w:t>Panevėžys</w:t>
            </w:r>
            <w:proofErr w:type="spellEnd"/>
            <w:r w:rsidRPr="00461EC7">
              <w:rPr>
                <w:sz w:val="18"/>
                <w:szCs w:val="18"/>
                <w:lang w:val="en-GB"/>
              </w:rPr>
              <w:t xml:space="preserve"> district, under a private initiative</w:t>
            </w:r>
            <w:r w:rsidR="00F06476" w:rsidRPr="00461EC7">
              <w:rPr>
                <w:sz w:val="18"/>
                <w:szCs w:val="18"/>
                <w:lang w:val="en-GB"/>
              </w:rPr>
              <w:t xml:space="preserve">. The group living home is equipped with special furniture and equipment </w:t>
            </w:r>
            <w:r w:rsidR="002A05D1" w:rsidRPr="00461EC7">
              <w:rPr>
                <w:sz w:val="18"/>
                <w:szCs w:val="18"/>
                <w:lang w:val="en-GB"/>
              </w:rPr>
              <w:t xml:space="preserve">needed </w:t>
            </w:r>
            <w:r w:rsidR="0076345D" w:rsidRPr="00461EC7">
              <w:rPr>
                <w:sz w:val="18"/>
                <w:szCs w:val="18"/>
                <w:lang w:val="en-GB"/>
              </w:rPr>
              <w:t>to provide</w:t>
            </w:r>
            <w:r w:rsidR="00EF4C6F" w:rsidRPr="00461EC7">
              <w:rPr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sz w:val="18"/>
                <w:szCs w:val="18"/>
                <w:lang w:val="en-GB"/>
              </w:rPr>
              <w:t xml:space="preserve">in-patient </w:t>
            </w:r>
            <w:r w:rsidR="00EF4C6F" w:rsidRPr="00461EC7">
              <w:rPr>
                <w:sz w:val="18"/>
                <w:szCs w:val="18"/>
                <w:lang w:val="en-GB"/>
              </w:rPr>
              <w:t>social services</w:t>
            </w:r>
            <w:r w:rsidRPr="00461EC7">
              <w:rPr>
                <w:sz w:val="18"/>
                <w:szCs w:val="18"/>
                <w:lang w:val="en-GB"/>
              </w:rPr>
              <w:t>.</w:t>
            </w:r>
            <w:r w:rsidR="005E1993" w:rsidRPr="00461EC7">
              <w:rPr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sz w:val="18"/>
                <w:szCs w:val="18"/>
                <w:lang w:val="en-GB"/>
              </w:rPr>
              <w:t xml:space="preserve">A </w:t>
            </w:r>
            <w:r w:rsidR="005E1993" w:rsidRPr="00461EC7">
              <w:rPr>
                <w:sz w:val="18"/>
                <w:szCs w:val="18"/>
                <w:lang w:val="en-GB"/>
              </w:rPr>
              <w:t>220</w:t>
            </w:r>
            <w:r w:rsidRPr="00461EC7">
              <w:rPr>
                <w:sz w:val="18"/>
                <w:szCs w:val="18"/>
                <w:lang w:val="en-GB"/>
              </w:rPr>
              <w:t> </w:t>
            </w:r>
            <w:r w:rsidR="005E1993" w:rsidRPr="00461EC7">
              <w:rPr>
                <w:sz w:val="18"/>
                <w:szCs w:val="18"/>
                <w:lang w:val="en-GB"/>
              </w:rPr>
              <w:t>m</w:t>
            </w:r>
            <w:r w:rsidR="005E1993" w:rsidRPr="00461EC7">
              <w:rPr>
                <w:sz w:val="18"/>
                <w:szCs w:val="18"/>
                <w:vertAlign w:val="superscript"/>
                <w:lang w:val="en-GB"/>
              </w:rPr>
              <w:t xml:space="preserve">2 </w:t>
            </w:r>
            <w:r w:rsidR="00A2648C" w:rsidRPr="00461EC7">
              <w:rPr>
                <w:sz w:val="18"/>
                <w:szCs w:val="18"/>
                <w:lang w:val="en-GB"/>
              </w:rPr>
              <w:t xml:space="preserve">building </w:t>
            </w:r>
            <w:r w:rsidRPr="00461EC7">
              <w:rPr>
                <w:sz w:val="18"/>
                <w:szCs w:val="18"/>
                <w:lang w:val="en-GB"/>
              </w:rPr>
              <w:t xml:space="preserve">has </w:t>
            </w:r>
            <w:r w:rsidR="00A2648C" w:rsidRPr="00461EC7">
              <w:rPr>
                <w:sz w:val="18"/>
                <w:szCs w:val="18"/>
                <w:lang w:val="en-GB"/>
              </w:rPr>
              <w:t>cosy rooms with a</w:t>
            </w:r>
            <w:r w:rsidR="005E1993" w:rsidRPr="00461EC7">
              <w:rPr>
                <w:sz w:val="18"/>
                <w:szCs w:val="18"/>
                <w:lang w:val="en-GB"/>
              </w:rPr>
              <w:t xml:space="preserve"> comfortable kitchen</w:t>
            </w:r>
            <w:r w:rsidRPr="00461EC7">
              <w:rPr>
                <w:sz w:val="18"/>
                <w:szCs w:val="18"/>
                <w:lang w:val="en-GB"/>
              </w:rPr>
              <w:t xml:space="preserve"> and </w:t>
            </w:r>
            <w:r w:rsidR="005E1993" w:rsidRPr="00461EC7">
              <w:rPr>
                <w:sz w:val="18"/>
                <w:szCs w:val="18"/>
                <w:lang w:val="en-GB"/>
              </w:rPr>
              <w:t>the surrounding</w:t>
            </w:r>
            <w:r w:rsidRPr="00461EC7">
              <w:rPr>
                <w:sz w:val="18"/>
                <w:szCs w:val="18"/>
                <w:lang w:val="en-GB"/>
              </w:rPr>
              <w:t xml:space="preserve"> areas</w:t>
            </w:r>
            <w:r w:rsidR="005E1993" w:rsidRPr="00461EC7">
              <w:rPr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sz w:val="18"/>
                <w:szCs w:val="18"/>
                <w:lang w:val="en-GB"/>
              </w:rPr>
              <w:t xml:space="preserve">adapted to </w:t>
            </w:r>
            <w:r w:rsidR="002A05D1" w:rsidRPr="00461EC7">
              <w:rPr>
                <w:sz w:val="18"/>
                <w:szCs w:val="18"/>
                <w:lang w:val="en-GB"/>
              </w:rPr>
              <w:t>the needs of people</w:t>
            </w:r>
            <w:r w:rsidRPr="00461EC7">
              <w:rPr>
                <w:sz w:val="18"/>
                <w:szCs w:val="18"/>
                <w:lang w:val="en-GB"/>
              </w:rPr>
              <w:t xml:space="preserve"> with</w:t>
            </w:r>
            <w:r w:rsidR="002A05D1" w:rsidRPr="00461EC7">
              <w:rPr>
                <w:sz w:val="18"/>
                <w:szCs w:val="18"/>
                <w:lang w:val="en-GB"/>
              </w:rPr>
              <w:t xml:space="preserve"> dementia and Alzheimer’s disease. For the convenience of residents</w:t>
            </w:r>
            <w:r w:rsidRPr="00461EC7">
              <w:rPr>
                <w:sz w:val="18"/>
                <w:szCs w:val="18"/>
                <w:lang w:val="en-GB"/>
              </w:rPr>
              <w:t>,</w:t>
            </w:r>
            <w:r w:rsidR="002A05D1" w:rsidRPr="00461EC7">
              <w:rPr>
                <w:sz w:val="18"/>
                <w:szCs w:val="18"/>
                <w:lang w:val="en-GB"/>
              </w:rPr>
              <w:t xml:space="preserve"> </w:t>
            </w:r>
            <w:r w:rsidRPr="00461EC7">
              <w:rPr>
                <w:sz w:val="18"/>
                <w:szCs w:val="18"/>
                <w:lang w:val="en-GB"/>
              </w:rPr>
              <w:t xml:space="preserve">next to </w:t>
            </w:r>
            <w:r w:rsidR="002A05D1" w:rsidRPr="00461EC7">
              <w:rPr>
                <w:sz w:val="18"/>
                <w:szCs w:val="18"/>
                <w:lang w:val="en-GB"/>
              </w:rPr>
              <w:t xml:space="preserve">every room there is a shower, </w:t>
            </w:r>
            <w:r w:rsidR="005A7409">
              <w:rPr>
                <w:sz w:val="18"/>
                <w:szCs w:val="18"/>
                <w:lang w:val="en-GB"/>
              </w:rPr>
              <w:t xml:space="preserve">a </w:t>
            </w:r>
            <w:r w:rsidR="002A05D1" w:rsidRPr="00461EC7">
              <w:rPr>
                <w:sz w:val="18"/>
                <w:szCs w:val="18"/>
                <w:lang w:val="en-GB"/>
              </w:rPr>
              <w:t xml:space="preserve">toilet and </w:t>
            </w:r>
            <w:r w:rsidR="005A7409">
              <w:rPr>
                <w:sz w:val="18"/>
                <w:szCs w:val="18"/>
                <w:lang w:val="en-GB"/>
              </w:rPr>
              <w:t xml:space="preserve">a </w:t>
            </w:r>
            <w:r w:rsidR="002A05D1" w:rsidRPr="00461EC7">
              <w:rPr>
                <w:sz w:val="18"/>
                <w:szCs w:val="18"/>
                <w:lang w:val="en-GB"/>
              </w:rPr>
              <w:t>path to</w:t>
            </w:r>
            <w:r w:rsidR="00A2648C" w:rsidRPr="00461EC7">
              <w:rPr>
                <w:sz w:val="18"/>
                <w:szCs w:val="18"/>
                <w:lang w:val="en-GB"/>
              </w:rPr>
              <w:t xml:space="preserve"> </w:t>
            </w:r>
            <w:r w:rsidR="005A7409">
              <w:rPr>
                <w:sz w:val="18"/>
                <w:szCs w:val="18"/>
                <w:lang w:val="en-GB"/>
              </w:rPr>
              <w:t>the</w:t>
            </w:r>
            <w:r w:rsidR="002A05D1" w:rsidRPr="00461EC7">
              <w:rPr>
                <w:sz w:val="18"/>
                <w:szCs w:val="18"/>
                <w:lang w:val="en-GB"/>
              </w:rPr>
              <w:t xml:space="preserve"> terrace and</w:t>
            </w:r>
            <w:r w:rsidR="00A2648C" w:rsidRPr="00461EC7">
              <w:rPr>
                <w:sz w:val="18"/>
                <w:szCs w:val="18"/>
                <w:lang w:val="en-GB"/>
              </w:rPr>
              <w:t xml:space="preserve"> </w:t>
            </w:r>
            <w:r w:rsidR="005A7409">
              <w:rPr>
                <w:sz w:val="18"/>
                <w:szCs w:val="18"/>
                <w:lang w:val="en-GB"/>
              </w:rPr>
              <w:t>the</w:t>
            </w:r>
            <w:r w:rsidR="002A05D1" w:rsidRPr="00461EC7">
              <w:rPr>
                <w:sz w:val="18"/>
                <w:szCs w:val="18"/>
                <w:lang w:val="en-GB"/>
              </w:rPr>
              <w:t xml:space="preserve"> courtyard. </w:t>
            </w:r>
            <w:r w:rsidRPr="00461EC7">
              <w:rPr>
                <w:sz w:val="18"/>
                <w:szCs w:val="18"/>
                <w:lang w:val="en-GB"/>
              </w:rPr>
              <w:t>T</w:t>
            </w:r>
            <w:r w:rsidR="002A05D1" w:rsidRPr="00461EC7">
              <w:rPr>
                <w:sz w:val="18"/>
                <w:szCs w:val="18"/>
                <w:lang w:val="en-GB"/>
              </w:rPr>
              <w:t>he home</w:t>
            </w:r>
            <w:r w:rsidRPr="00461EC7">
              <w:rPr>
                <w:sz w:val="18"/>
                <w:szCs w:val="18"/>
                <w:lang w:val="en-GB"/>
              </w:rPr>
              <w:t xml:space="preserve"> can </w:t>
            </w:r>
            <w:r w:rsidR="00825C0D" w:rsidRPr="00461EC7">
              <w:rPr>
                <w:sz w:val="18"/>
                <w:szCs w:val="18"/>
                <w:lang w:val="en-GB"/>
              </w:rPr>
              <w:t>accommodate</w:t>
            </w:r>
            <w:r w:rsidR="002A05D1" w:rsidRPr="00461EC7">
              <w:rPr>
                <w:sz w:val="18"/>
                <w:szCs w:val="18"/>
                <w:lang w:val="en-GB"/>
              </w:rPr>
              <w:t xml:space="preserve"> up to 10</w:t>
            </w:r>
            <w:r w:rsidRPr="00461EC7">
              <w:rPr>
                <w:sz w:val="18"/>
                <w:szCs w:val="18"/>
                <w:lang w:val="en-GB"/>
              </w:rPr>
              <w:t> </w:t>
            </w:r>
            <w:r w:rsidR="002A05D1" w:rsidRPr="00461EC7">
              <w:rPr>
                <w:sz w:val="18"/>
                <w:szCs w:val="18"/>
                <w:lang w:val="en-GB"/>
              </w:rPr>
              <w:t>people.</w:t>
            </w:r>
          </w:p>
        </w:tc>
      </w:tr>
    </w:tbl>
    <w:p w:rsidR="003B4DAF" w:rsidRPr="00461EC7" w:rsidRDefault="003B4DAF" w:rsidP="003B4DAF">
      <w:pPr>
        <w:pStyle w:val="Pagrindinispaprastastekstas"/>
        <w:rPr>
          <w:lang w:val="en-GB" w:eastAsia="lt-LT"/>
        </w:rPr>
      </w:pPr>
    </w:p>
    <w:p w:rsidR="003B4DAF" w:rsidRPr="00461EC7" w:rsidRDefault="003B4DAF" w:rsidP="0046175C">
      <w:pPr>
        <w:pStyle w:val="Pagrindinispaprastastekstas"/>
        <w:rPr>
          <w:lang w:val="en-GB" w:eastAsia="lt-LT"/>
        </w:rPr>
      </w:pPr>
    </w:p>
    <w:sectPr w:rsidR="003B4DAF" w:rsidRPr="00461EC7" w:rsidSect="00145012">
      <w:headerReference w:type="default" r:id="rId35"/>
      <w:footerReference w:type="default" r:id="rId36"/>
      <w:pgSz w:w="11906" w:h="16838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656" w:rsidRDefault="00B83656" w:rsidP="00BB37BA">
      <w:r>
        <w:separator/>
      </w:r>
    </w:p>
  </w:endnote>
  <w:endnote w:type="continuationSeparator" w:id="0">
    <w:p w:rsidR="00B83656" w:rsidRDefault="00B83656" w:rsidP="00BB37BA">
      <w:r>
        <w:continuationSeparator/>
      </w:r>
    </w:p>
  </w:endnote>
  <w:endnote w:id="1">
    <w:p w:rsidR="009B428C" w:rsidRPr="0062342B" w:rsidRDefault="009B428C" w:rsidP="00BF16C7">
      <w:pPr>
        <w:pStyle w:val="EndnoteText"/>
        <w:rPr>
          <w:rFonts w:asciiTheme="majorHAnsi" w:hAnsiTheme="majorHAnsi"/>
          <w:sz w:val="18"/>
          <w:szCs w:val="18"/>
          <w:lang w:val="lt-LT"/>
        </w:rPr>
      </w:pPr>
      <w:r w:rsidRPr="0062342B">
        <w:rPr>
          <w:rStyle w:val="EndnoteReference"/>
          <w:rFonts w:asciiTheme="majorHAnsi" w:hAnsiTheme="majorHAnsi"/>
          <w:sz w:val="18"/>
          <w:szCs w:val="18"/>
        </w:rPr>
        <w:endnoteRef/>
      </w:r>
      <w:r w:rsidRPr="0062342B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62342B">
        <w:rPr>
          <w:rFonts w:asciiTheme="majorHAnsi" w:hAnsiTheme="majorHAnsi"/>
          <w:sz w:val="18"/>
          <w:szCs w:val="18"/>
        </w:rPr>
        <w:t>ESTEP</w:t>
      </w:r>
      <w:r w:rsidR="005A7409" w:rsidRPr="0062342B">
        <w:rPr>
          <w:rFonts w:asciiTheme="majorHAnsi" w:hAnsiTheme="majorHAnsi"/>
          <w:sz w:val="18"/>
          <w:szCs w:val="18"/>
        </w:rPr>
        <w:t xml:space="preserve">, </w:t>
      </w:r>
      <w:r w:rsidRPr="0062342B">
        <w:rPr>
          <w:rFonts w:asciiTheme="majorHAnsi" w:hAnsiTheme="majorHAnsi"/>
          <w:sz w:val="18"/>
          <w:szCs w:val="18"/>
        </w:rPr>
        <w:t>2016.</w:t>
      </w:r>
      <w:proofErr w:type="gramEnd"/>
      <w:r w:rsidRPr="0062342B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62342B">
        <w:rPr>
          <w:rFonts w:asciiTheme="majorHAnsi" w:hAnsiTheme="majorHAnsi"/>
          <w:sz w:val="18"/>
          <w:szCs w:val="18"/>
        </w:rPr>
        <w:t>Evaluation of the Impact of 2007</w:t>
      </w:r>
      <w:r w:rsidR="005A7409" w:rsidRPr="0062342B">
        <w:rPr>
          <w:rFonts w:asciiTheme="majorHAnsi" w:hAnsiTheme="majorHAnsi"/>
          <w:sz w:val="18"/>
          <w:szCs w:val="18"/>
        </w:rPr>
        <w:t>–</w:t>
      </w:r>
      <w:r w:rsidRPr="0062342B">
        <w:rPr>
          <w:rFonts w:asciiTheme="majorHAnsi" w:hAnsiTheme="majorHAnsi"/>
          <w:sz w:val="18"/>
          <w:szCs w:val="18"/>
        </w:rPr>
        <w:t>2013 EU Structural Assistance on Lithuania’s Cities and Towns.</w:t>
      </w:r>
      <w:proofErr w:type="gramEnd"/>
      <w:r w:rsidRPr="0062342B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62342B">
        <w:rPr>
          <w:rFonts w:asciiTheme="majorHAnsi" w:hAnsiTheme="majorHAnsi"/>
          <w:sz w:val="18"/>
          <w:szCs w:val="18"/>
        </w:rPr>
        <w:t>Commissioned by the Ministry of Finance.</w:t>
      </w:r>
      <w:proofErr w:type="gramEnd"/>
    </w:p>
  </w:endnote>
  <w:endnote w:id="2">
    <w:p w:rsidR="009B428C" w:rsidRPr="0062342B" w:rsidRDefault="009B428C" w:rsidP="006C7204">
      <w:pPr>
        <w:pStyle w:val="EndnoteText"/>
        <w:rPr>
          <w:rFonts w:asciiTheme="majorHAnsi" w:hAnsiTheme="majorHAnsi"/>
          <w:sz w:val="18"/>
          <w:szCs w:val="18"/>
          <w:lang w:val="lt-LT"/>
        </w:rPr>
      </w:pPr>
      <w:r w:rsidRPr="0062342B">
        <w:rPr>
          <w:rStyle w:val="EndnoteReference"/>
          <w:rFonts w:asciiTheme="majorHAnsi" w:hAnsiTheme="majorHAnsi"/>
          <w:sz w:val="18"/>
          <w:szCs w:val="18"/>
        </w:rPr>
        <w:endnoteRef/>
      </w:r>
      <w:r w:rsidRPr="0062342B">
        <w:rPr>
          <w:rFonts w:asciiTheme="majorHAnsi" w:hAnsiTheme="majorHAnsi"/>
          <w:sz w:val="18"/>
          <w:szCs w:val="18"/>
        </w:rPr>
        <w:t xml:space="preserve"> </w:t>
      </w:r>
      <w:r w:rsidRPr="0062342B">
        <w:rPr>
          <w:rFonts w:asciiTheme="majorHAnsi" w:hAnsiTheme="majorHAnsi"/>
          <w:sz w:val="18"/>
          <w:szCs w:val="18"/>
          <w:lang w:val="lt-LT"/>
        </w:rPr>
        <w:t>Idem.</w:t>
      </w:r>
    </w:p>
  </w:endnote>
  <w:endnote w:id="3">
    <w:p w:rsidR="009B428C" w:rsidRPr="0062342B" w:rsidRDefault="009B428C" w:rsidP="00800A75">
      <w:pPr>
        <w:pStyle w:val="EndnoteText"/>
        <w:rPr>
          <w:rFonts w:asciiTheme="majorHAnsi" w:hAnsiTheme="majorHAnsi"/>
          <w:sz w:val="18"/>
          <w:szCs w:val="18"/>
          <w:lang w:val="lt-LT"/>
        </w:rPr>
      </w:pPr>
      <w:r w:rsidRPr="0062342B">
        <w:rPr>
          <w:rStyle w:val="EndnoteReference"/>
          <w:rFonts w:asciiTheme="majorHAnsi" w:hAnsiTheme="majorHAnsi"/>
          <w:sz w:val="18"/>
          <w:szCs w:val="18"/>
        </w:rPr>
        <w:endnoteRef/>
      </w:r>
      <w:r w:rsidRPr="0062342B">
        <w:rPr>
          <w:rFonts w:asciiTheme="majorHAnsi" w:hAnsiTheme="majorHAnsi"/>
          <w:sz w:val="18"/>
          <w:szCs w:val="18"/>
        </w:rPr>
        <w:t xml:space="preserve"> </w:t>
      </w:r>
      <w:r w:rsidRPr="0062342B">
        <w:rPr>
          <w:rFonts w:asciiTheme="majorHAnsi" w:hAnsiTheme="majorHAnsi"/>
          <w:sz w:val="18"/>
          <w:szCs w:val="18"/>
          <w:lang w:val="lt-LT"/>
        </w:rPr>
        <w:t>Idem.</w:t>
      </w:r>
    </w:p>
  </w:endnote>
  <w:endnote w:id="4">
    <w:p w:rsidR="009B428C" w:rsidRPr="0062342B" w:rsidRDefault="009B428C" w:rsidP="00974300">
      <w:pPr>
        <w:pStyle w:val="EndnoteText"/>
        <w:rPr>
          <w:rFonts w:asciiTheme="majorHAnsi" w:hAnsiTheme="majorHAnsi"/>
          <w:sz w:val="18"/>
          <w:szCs w:val="18"/>
          <w:lang w:val="lt-LT"/>
        </w:rPr>
      </w:pPr>
      <w:r w:rsidRPr="0062342B">
        <w:rPr>
          <w:rStyle w:val="EndnoteReference"/>
          <w:rFonts w:asciiTheme="majorHAnsi" w:hAnsiTheme="majorHAnsi"/>
          <w:sz w:val="18"/>
          <w:szCs w:val="18"/>
        </w:rPr>
        <w:endnoteRef/>
      </w:r>
      <w:r w:rsidRPr="0062342B">
        <w:rPr>
          <w:rFonts w:asciiTheme="majorHAnsi" w:hAnsiTheme="majorHAnsi"/>
          <w:sz w:val="18"/>
          <w:szCs w:val="18"/>
        </w:rPr>
        <w:t xml:space="preserve"> </w:t>
      </w:r>
      <w:r w:rsidRPr="0062342B">
        <w:rPr>
          <w:rFonts w:asciiTheme="majorHAnsi" w:hAnsiTheme="majorHAnsi"/>
          <w:sz w:val="18"/>
          <w:szCs w:val="18"/>
          <w:lang w:val="lt-LT"/>
        </w:rPr>
        <w:t>Idem.</w:t>
      </w:r>
    </w:p>
  </w:endnote>
  <w:endnote w:id="5">
    <w:p w:rsidR="009B428C" w:rsidRPr="0062342B" w:rsidRDefault="009B428C" w:rsidP="00FB0CBE">
      <w:pPr>
        <w:pStyle w:val="EndnoteText"/>
        <w:rPr>
          <w:rFonts w:asciiTheme="majorHAnsi" w:hAnsiTheme="majorHAnsi"/>
          <w:sz w:val="18"/>
          <w:szCs w:val="18"/>
          <w:lang w:val="lt-LT"/>
        </w:rPr>
      </w:pPr>
      <w:r w:rsidRPr="0062342B">
        <w:rPr>
          <w:rStyle w:val="EndnoteReference"/>
          <w:rFonts w:asciiTheme="majorHAnsi" w:hAnsiTheme="majorHAnsi"/>
          <w:sz w:val="18"/>
          <w:szCs w:val="18"/>
        </w:rPr>
        <w:endnoteRef/>
      </w:r>
      <w:r w:rsidRPr="0062342B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62342B">
        <w:rPr>
          <w:rFonts w:asciiTheme="majorHAnsi" w:hAnsiTheme="majorHAnsi"/>
          <w:sz w:val="18"/>
          <w:szCs w:val="18"/>
        </w:rPr>
        <w:t>ESTEP</w:t>
      </w:r>
      <w:r w:rsidR="005A7409" w:rsidRPr="0062342B">
        <w:rPr>
          <w:rFonts w:asciiTheme="majorHAnsi" w:hAnsiTheme="majorHAnsi"/>
          <w:sz w:val="18"/>
          <w:szCs w:val="18"/>
        </w:rPr>
        <w:t xml:space="preserve">, </w:t>
      </w:r>
      <w:r w:rsidRPr="0062342B">
        <w:rPr>
          <w:rFonts w:asciiTheme="majorHAnsi" w:hAnsiTheme="majorHAnsi"/>
          <w:sz w:val="18"/>
          <w:szCs w:val="18"/>
        </w:rPr>
        <w:t>2016.</w:t>
      </w:r>
      <w:proofErr w:type="gramEnd"/>
      <w:r w:rsidRPr="0062342B">
        <w:rPr>
          <w:rFonts w:asciiTheme="majorHAnsi" w:hAnsiTheme="majorHAnsi"/>
          <w:sz w:val="18"/>
          <w:szCs w:val="18"/>
        </w:rPr>
        <w:t xml:space="preserve"> Evaluation of </w:t>
      </w:r>
      <w:r w:rsidR="005A7409" w:rsidRPr="0062342B">
        <w:rPr>
          <w:rFonts w:asciiTheme="majorHAnsi" w:hAnsiTheme="majorHAnsi"/>
          <w:sz w:val="18"/>
          <w:szCs w:val="18"/>
        </w:rPr>
        <w:t>the I</w:t>
      </w:r>
      <w:r w:rsidRPr="0062342B">
        <w:rPr>
          <w:rFonts w:asciiTheme="majorHAnsi" w:hAnsiTheme="majorHAnsi"/>
          <w:sz w:val="18"/>
          <w:szCs w:val="18"/>
        </w:rPr>
        <w:t xml:space="preserve">mpact of </w:t>
      </w:r>
      <w:r w:rsidR="005A7409" w:rsidRPr="0062342B">
        <w:rPr>
          <w:rFonts w:asciiTheme="majorHAnsi" w:hAnsiTheme="majorHAnsi"/>
          <w:sz w:val="18"/>
          <w:szCs w:val="18"/>
        </w:rPr>
        <w:t>I</w:t>
      </w:r>
      <w:r w:rsidRPr="0062342B">
        <w:rPr>
          <w:rFonts w:asciiTheme="majorHAnsi" w:hAnsiTheme="majorHAnsi"/>
          <w:sz w:val="18"/>
          <w:szCs w:val="18"/>
        </w:rPr>
        <w:t xml:space="preserve">nvestments from the European Union </w:t>
      </w:r>
      <w:r w:rsidR="005A7409" w:rsidRPr="0062342B">
        <w:rPr>
          <w:rFonts w:asciiTheme="majorHAnsi" w:hAnsiTheme="majorHAnsi"/>
          <w:sz w:val="18"/>
          <w:szCs w:val="18"/>
        </w:rPr>
        <w:t>S</w:t>
      </w:r>
      <w:r w:rsidRPr="0062342B">
        <w:rPr>
          <w:rFonts w:asciiTheme="majorHAnsi" w:hAnsiTheme="majorHAnsi"/>
          <w:sz w:val="18"/>
          <w:szCs w:val="18"/>
        </w:rPr>
        <w:t xml:space="preserve">tructural </w:t>
      </w:r>
      <w:r w:rsidR="005A7409" w:rsidRPr="0062342B">
        <w:rPr>
          <w:rFonts w:asciiTheme="majorHAnsi" w:hAnsiTheme="majorHAnsi"/>
          <w:sz w:val="18"/>
          <w:szCs w:val="18"/>
        </w:rPr>
        <w:t>F</w:t>
      </w:r>
      <w:r w:rsidRPr="0062342B">
        <w:rPr>
          <w:rFonts w:asciiTheme="majorHAnsi" w:hAnsiTheme="majorHAnsi"/>
          <w:sz w:val="18"/>
          <w:szCs w:val="18"/>
        </w:rPr>
        <w:t xml:space="preserve">unds into </w:t>
      </w:r>
      <w:r w:rsidR="005A7409" w:rsidRPr="0062342B">
        <w:rPr>
          <w:rFonts w:asciiTheme="majorHAnsi" w:hAnsiTheme="majorHAnsi"/>
          <w:sz w:val="18"/>
          <w:szCs w:val="18"/>
        </w:rPr>
        <w:t>C</w:t>
      </w:r>
      <w:r w:rsidRPr="0062342B">
        <w:rPr>
          <w:rFonts w:asciiTheme="majorHAnsi" w:hAnsiTheme="majorHAnsi"/>
          <w:sz w:val="18"/>
          <w:szCs w:val="18"/>
        </w:rPr>
        <w:t xml:space="preserve">ulture in Lithuania during 2007–2013. </w:t>
      </w:r>
      <w:proofErr w:type="gramStart"/>
      <w:r w:rsidRPr="0062342B">
        <w:rPr>
          <w:rFonts w:asciiTheme="majorHAnsi" w:hAnsiTheme="majorHAnsi"/>
          <w:sz w:val="18"/>
          <w:szCs w:val="18"/>
        </w:rPr>
        <w:t>Commissioned by the Ministry of Culture.</w:t>
      </w:r>
      <w:proofErr w:type="gramEnd"/>
    </w:p>
  </w:endnote>
  <w:endnote w:id="6">
    <w:p w:rsidR="009B428C" w:rsidRPr="0062342B" w:rsidRDefault="009B428C" w:rsidP="003B6C3B">
      <w:pPr>
        <w:pStyle w:val="EndnoteText"/>
        <w:rPr>
          <w:rFonts w:asciiTheme="majorHAnsi" w:hAnsiTheme="majorHAnsi"/>
          <w:sz w:val="18"/>
          <w:szCs w:val="18"/>
          <w:lang w:val="lt-LT"/>
        </w:rPr>
      </w:pPr>
      <w:r w:rsidRPr="0062342B">
        <w:rPr>
          <w:rStyle w:val="EndnoteReference"/>
          <w:rFonts w:asciiTheme="majorHAnsi" w:hAnsiTheme="majorHAnsi"/>
          <w:sz w:val="18"/>
          <w:szCs w:val="18"/>
        </w:rPr>
        <w:endnoteRef/>
      </w:r>
      <w:r w:rsidRPr="0062342B">
        <w:rPr>
          <w:rFonts w:asciiTheme="majorHAnsi" w:hAnsiTheme="majorHAnsi"/>
          <w:sz w:val="18"/>
          <w:szCs w:val="18"/>
        </w:rPr>
        <w:t xml:space="preserve"> </w:t>
      </w:r>
      <w:r w:rsidRPr="0062342B">
        <w:rPr>
          <w:rFonts w:asciiTheme="majorHAnsi" w:hAnsiTheme="majorHAnsi"/>
          <w:sz w:val="18"/>
          <w:szCs w:val="18"/>
          <w:lang w:val="lt-LT"/>
        </w:rPr>
        <w:t>Idem.</w:t>
      </w:r>
    </w:p>
  </w:endnote>
  <w:endnote w:id="7">
    <w:p w:rsidR="009B428C" w:rsidRPr="0062342B" w:rsidRDefault="009B428C" w:rsidP="00943677">
      <w:pPr>
        <w:pStyle w:val="EndnoteText"/>
        <w:rPr>
          <w:rFonts w:asciiTheme="majorHAnsi" w:hAnsiTheme="majorHAnsi"/>
          <w:sz w:val="18"/>
          <w:szCs w:val="18"/>
          <w:lang w:val="lt-LT"/>
        </w:rPr>
      </w:pPr>
      <w:r w:rsidRPr="0062342B">
        <w:rPr>
          <w:rStyle w:val="EndnoteReference"/>
          <w:rFonts w:asciiTheme="majorHAnsi" w:hAnsiTheme="majorHAnsi"/>
          <w:sz w:val="18"/>
          <w:szCs w:val="18"/>
        </w:rPr>
        <w:endnoteRef/>
      </w:r>
      <w:r w:rsidRPr="0062342B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62342B">
        <w:rPr>
          <w:rFonts w:asciiTheme="majorHAnsi" w:hAnsiTheme="majorHAnsi"/>
          <w:sz w:val="18"/>
          <w:szCs w:val="18"/>
        </w:rPr>
        <w:t>ESTEP</w:t>
      </w:r>
      <w:r w:rsidR="005A7409" w:rsidRPr="0062342B">
        <w:rPr>
          <w:rFonts w:asciiTheme="majorHAnsi" w:hAnsiTheme="majorHAnsi"/>
          <w:sz w:val="18"/>
          <w:szCs w:val="18"/>
        </w:rPr>
        <w:t xml:space="preserve">, </w:t>
      </w:r>
      <w:r w:rsidRPr="0062342B">
        <w:rPr>
          <w:rFonts w:asciiTheme="majorHAnsi" w:hAnsiTheme="majorHAnsi"/>
          <w:sz w:val="18"/>
          <w:szCs w:val="18"/>
        </w:rPr>
        <w:t>2014.</w:t>
      </w:r>
      <w:proofErr w:type="gramEnd"/>
      <w:r w:rsidRPr="0062342B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62342B">
        <w:rPr>
          <w:rFonts w:asciiTheme="majorHAnsi" w:hAnsiTheme="majorHAnsi"/>
          <w:sz w:val="18"/>
          <w:szCs w:val="18"/>
        </w:rPr>
        <w:t>Evaluation of the Efficiency of the EU Support to Waste Management in Lithuania and Identification of Financing Priorities for 2014–2020.</w:t>
      </w:r>
      <w:proofErr w:type="gramEnd"/>
      <w:r w:rsidRPr="0062342B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62342B">
        <w:rPr>
          <w:rFonts w:asciiTheme="majorHAnsi" w:hAnsiTheme="majorHAnsi"/>
          <w:sz w:val="18"/>
          <w:szCs w:val="18"/>
        </w:rPr>
        <w:t xml:space="preserve">Commissioned by the Ministry of </w:t>
      </w:r>
      <w:r w:rsidR="005A7409" w:rsidRPr="0062342B">
        <w:rPr>
          <w:rFonts w:asciiTheme="majorHAnsi" w:hAnsiTheme="majorHAnsi"/>
          <w:sz w:val="18"/>
          <w:szCs w:val="18"/>
        </w:rPr>
        <w:t xml:space="preserve">the </w:t>
      </w:r>
      <w:r w:rsidRPr="0062342B">
        <w:rPr>
          <w:rFonts w:asciiTheme="majorHAnsi" w:hAnsiTheme="majorHAnsi"/>
          <w:sz w:val="18"/>
          <w:szCs w:val="18"/>
        </w:rPr>
        <w:t>Environment.</w:t>
      </w:r>
      <w:proofErr w:type="gramEnd"/>
    </w:p>
  </w:endnote>
  <w:endnote w:id="8">
    <w:p w:rsidR="009B428C" w:rsidRPr="0062342B" w:rsidRDefault="009B428C" w:rsidP="003B4DAF">
      <w:pPr>
        <w:pStyle w:val="EndnoteText"/>
        <w:rPr>
          <w:rFonts w:asciiTheme="majorHAnsi" w:hAnsiTheme="majorHAnsi"/>
          <w:sz w:val="18"/>
          <w:szCs w:val="18"/>
          <w:lang w:val="lt-LT"/>
        </w:rPr>
      </w:pPr>
      <w:r w:rsidRPr="0062342B">
        <w:rPr>
          <w:rStyle w:val="EndnoteReference"/>
          <w:rFonts w:asciiTheme="majorHAnsi" w:hAnsiTheme="majorHAnsi"/>
          <w:sz w:val="18"/>
          <w:szCs w:val="18"/>
        </w:rPr>
        <w:endnoteRef/>
      </w:r>
      <w:r w:rsidRPr="0062342B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62342B">
        <w:rPr>
          <w:rFonts w:asciiTheme="majorHAnsi" w:hAnsiTheme="majorHAnsi"/>
          <w:sz w:val="18"/>
          <w:szCs w:val="18"/>
        </w:rPr>
        <w:t>ESTEP</w:t>
      </w:r>
      <w:r w:rsidR="005A7409" w:rsidRPr="0062342B">
        <w:rPr>
          <w:rFonts w:asciiTheme="majorHAnsi" w:hAnsiTheme="majorHAnsi"/>
          <w:sz w:val="18"/>
          <w:szCs w:val="18"/>
        </w:rPr>
        <w:t xml:space="preserve">, </w:t>
      </w:r>
      <w:r w:rsidRPr="0062342B">
        <w:rPr>
          <w:rFonts w:asciiTheme="majorHAnsi" w:hAnsiTheme="majorHAnsi"/>
          <w:sz w:val="18"/>
          <w:szCs w:val="18"/>
        </w:rPr>
        <w:t>2016.</w:t>
      </w:r>
      <w:proofErr w:type="gramEnd"/>
      <w:r w:rsidRPr="0062342B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62342B">
        <w:rPr>
          <w:rFonts w:asciiTheme="majorHAnsi" w:hAnsiTheme="majorHAnsi"/>
          <w:sz w:val="18"/>
          <w:szCs w:val="18"/>
        </w:rPr>
        <w:t>Evaluation of the Impact of 2007–2013 EU Structural Assistance on Lithuania’s Cities and Towns.</w:t>
      </w:r>
      <w:proofErr w:type="gramEnd"/>
      <w:r w:rsidRPr="0062342B">
        <w:rPr>
          <w:rFonts w:asciiTheme="majorHAnsi" w:hAnsiTheme="majorHAnsi"/>
          <w:sz w:val="18"/>
          <w:szCs w:val="18"/>
        </w:rPr>
        <w:t xml:space="preserve"> </w:t>
      </w:r>
      <w:proofErr w:type="gramStart"/>
      <w:r w:rsidRPr="0062342B">
        <w:rPr>
          <w:rFonts w:asciiTheme="majorHAnsi" w:hAnsiTheme="majorHAnsi"/>
          <w:sz w:val="18"/>
          <w:szCs w:val="18"/>
        </w:rPr>
        <w:t>Commissioned by the Ministry of Finance.</w:t>
      </w:r>
      <w:proofErr w:type="gramEnd"/>
    </w:p>
  </w:endnote>
  <w:endnote w:id="9">
    <w:p w:rsidR="009B428C" w:rsidRPr="0062342B" w:rsidRDefault="009B428C" w:rsidP="00901DC3">
      <w:pPr>
        <w:pStyle w:val="EndnoteText"/>
        <w:rPr>
          <w:rFonts w:asciiTheme="majorHAnsi" w:hAnsiTheme="majorHAnsi"/>
          <w:sz w:val="18"/>
          <w:szCs w:val="18"/>
          <w:lang w:val="lt-LT"/>
        </w:rPr>
      </w:pPr>
      <w:r w:rsidRPr="0062342B">
        <w:rPr>
          <w:rStyle w:val="EndnoteReference"/>
          <w:rFonts w:asciiTheme="majorHAnsi" w:hAnsiTheme="majorHAnsi"/>
          <w:sz w:val="18"/>
          <w:szCs w:val="18"/>
        </w:rPr>
        <w:endnoteRef/>
      </w:r>
      <w:r w:rsidRPr="0062342B">
        <w:rPr>
          <w:rFonts w:asciiTheme="majorHAnsi" w:hAnsiTheme="majorHAnsi"/>
          <w:sz w:val="18"/>
          <w:szCs w:val="18"/>
        </w:rPr>
        <w:t xml:space="preserve"> </w:t>
      </w:r>
      <w:r w:rsidRPr="0062342B">
        <w:rPr>
          <w:rFonts w:asciiTheme="majorHAnsi" w:hAnsiTheme="majorHAnsi"/>
          <w:sz w:val="18"/>
          <w:szCs w:val="18"/>
          <w:lang w:val="lt-LT"/>
        </w:rPr>
        <w:t>Idem.</w:t>
      </w:r>
    </w:p>
  </w:endnote>
  <w:endnote w:id="10">
    <w:p w:rsidR="009B428C" w:rsidRPr="0062342B" w:rsidRDefault="009B428C" w:rsidP="007C3D5D">
      <w:pPr>
        <w:pStyle w:val="EndnoteText"/>
        <w:rPr>
          <w:rFonts w:asciiTheme="majorHAnsi" w:hAnsiTheme="majorHAnsi"/>
          <w:sz w:val="18"/>
          <w:szCs w:val="18"/>
          <w:lang w:val="lt-LT"/>
        </w:rPr>
      </w:pPr>
      <w:r w:rsidRPr="0062342B">
        <w:rPr>
          <w:rStyle w:val="EndnoteReference"/>
          <w:rFonts w:asciiTheme="majorHAnsi" w:hAnsiTheme="majorHAnsi"/>
          <w:sz w:val="18"/>
          <w:szCs w:val="18"/>
        </w:rPr>
        <w:endnoteRef/>
      </w:r>
      <w:r w:rsidRPr="0062342B">
        <w:rPr>
          <w:rFonts w:asciiTheme="majorHAnsi" w:hAnsiTheme="majorHAnsi"/>
          <w:sz w:val="18"/>
          <w:szCs w:val="18"/>
        </w:rPr>
        <w:t xml:space="preserve"> </w:t>
      </w:r>
      <w:r w:rsidRPr="0062342B">
        <w:rPr>
          <w:rFonts w:asciiTheme="majorHAnsi" w:hAnsiTheme="majorHAnsi"/>
          <w:sz w:val="18"/>
          <w:szCs w:val="18"/>
          <w:lang w:val="lt-LT"/>
        </w:rPr>
        <w:t>Idem.</w:t>
      </w:r>
      <w:bookmarkStart w:id="14" w:name="_GoBack"/>
      <w:bookmarkEnd w:id="14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F Square Sans Pro">
    <w:altName w:val="Segoe UI"/>
    <w:charset w:val="BA"/>
    <w:family w:val="auto"/>
    <w:pitch w:val="variable"/>
    <w:sig w:usb0="00000001" w:usb1="5000E0F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FSquareSansPro-Regular">
    <w:altName w:val="Segoe UI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96597864"/>
      <w:docPartObj>
        <w:docPartGallery w:val="Page Numbers (Bottom of Page)"/>
        <w:docPartUnique/>
      </w:docPartObj>
    </w:sdtPr>
    <w:sdtEndPr/>
    <w:sdtContent>
      <w:p w:rsidR="009B428C" w:rsidRDefault="00B83656" w:rsidP="00B80758">
        <w:pPr>
          <w:pStyle w:val="Headeriam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42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656" w:rsidRDefault="00B83656" w:rsidP="00BB37BA">
      <w:r>
        <w:separator/>
      </w:r>
    </w:p>
  </w:footnote>
  <w:footnote w:type="continuationSeparator" w:id="0">
    <w:p w:rsidR="00B83656" w:rsidRDefault="00B83656" w:rsidP="00BB37BA">
      <w:r>
        <w:continuationSeparator/>
      </w:r>
    </w:p>
  </w:footnote>
  <w:footnote w:id="1">
    <w:p w:rsidR="009B428C" w:rsidRPr="006063C3" w:rsidRDefault="009B428C" w:rsidP="004C4E47">
      <w:pPr>
        <w:pStyle w:val="FootnoteText"/>
        <w:rPr>
          <w:lang w:val="en-GB"/>
        </w:rPr>
      </w:pPr>
      <w:r w:rsidRPr="006063C3">
        <w:rPr>
          <w:rStyle w:val="FootnoteReference"/>
          <w:lang w:val="en-GB"/>
        </w:rPr>
        <w:footnoteRef/>
      </w:r>
      <w:r w:rsidRPr="006063C3">
        <w:rPr>
          <w:lang w:val="en-GB"/>
        </w:rPr>
        <w:t xml:space="preserve"> Kaunas region </w:t>
      </w:r>
      <w:r>
        <w:rPr>
          <w:lang w:val="en-GB"/>
        </w:rPr>
        <w:t xml:space="preserve">has </w:t>
      </w:r>
      <w:r w:rsidRPr="006063C3">
        <w:rPr>
          <w:lang w:val="en-GB"/>
        </w:rPr>
        <w:t xml:space="preserve">two waste landfills, while other regions </w:t>
      </w:r>
      <w:r>
        <w:rPr>
          <w:lang w:val="en-GB"/>
        </w:rPr>
        <w:t>one per each</w:t>
      </w:r>
      <w:r w:rsidRPr="006063C3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8C" w:rsidRPr="00A21851" w:rsidRDefault="00E217E7" w:rsidP="007B3A22">
    <w:pPr>
      <w:pStyle w:val="Header"/>
      <w:jc w:val="center"/>
      <w:rPr>
        <w:rFonts w:asciiTheme="majorHAnsi" w:hAnsiTheme="majorHAnsi"/>
        <w:i/>
        <w:sz w:val="20"/>
        <w:szCs w:val="20"/>
        <w:lang w:val="en-GB"/>
      </w:rPr>
    </w:pPr>
    <w:r w:rsidRPr="00A21851">
      <w:rPr>
        <w:rFonts w:asciiTheme="majorHAnsi" w:hAnsiTheme="majorHAnsi"/>
        <w:i/>
        <w:sz w:val="20"/>
        <w:szCs w:val="20"/>
        <w:lang w:val="en-GB"/>
      </w:rPr>
      <w:t>Summary of the final report on the implementation of the Operational Programme for Promotion of Cohesion for 2007–2013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1111"/>
    <w:multiLevelType w:val="hybridMultilevel"/>
    <w:tmpl w:val="FBB058AE"/>
    <w:lvl w:ilvl="0" w:tplc="5B4E482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95F1C"/>
    <w:multiLevelType w:val="hybridMultilevel"/>
    <w:tmpl w:val="1054E56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D7346"/>
    <w:multiLevelType w:val="hybridMultilevel"/>
    <w:tmpl w:val="0A08565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F7050"/>
    <w:multiLevelType w:val="hybridMultilevel"/>
    <w:tmpl w:val="078AAB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F26BB"/>
    <w:multiLevelType w:val="hybridMultilevel"/>
    <w:tmpl w:val="262CE112"/>
    <w:lvl w:ilvl="0" w:tplc="B2D2C488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B60A80"/>
    <w:multiLevelType w:val="hybridMultilevel"/>
    <w:tmpl w:val="21D430C8"/>
    <w:lvl w:ilvl="0" w:tplc="5B4E482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4460D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CAA13DD"/>
    <w:multiLevelType w:val="hybridMultilevel"/>
    <w:tmpl w:val="7EE0C782"/>
    <w:lvl w:ilvl="0" w:tplc="7D689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54F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4C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E7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9A1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5A7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6E8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747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984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E9A5A02"/>
    <w:multiLevelType w:val="hybridMultilevel"/>
    <w:tmpl w:val="A22E3796"/>
    <w:lvl w:ilvl="0" w:tplc="F99C7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88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E65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0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E8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6E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6D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C6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0E3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ECC533A"/>
    <w:multiLevelType w:val="hybridMultilevel"/>
    <w:tmpl w:val="42588822"/>
    <w:lvl w:ilvl="0" w:tplc="5B4E482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A460A93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E92F85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25213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FBA14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7A41C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014FD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F0863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A681F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>
    <w:nsid w:val="12C07635"/>
    <w:multiLevelType w:val="hybridMultilevel"/>
    <w:tmpl w:val="5790B2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4878A1"/>
    <w:multiLevelType w:val="hybridMultilevel"/>
    <w:tmpl w:val="F7564382"/>
    <w:lvl w:ilvl="0" w:tplc="356CE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01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6AD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FE7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0A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8C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CD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981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68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85E077B"/>
    <w:multiLevelType w:val="hybridMultilevel"/>
    <w:tmpl w:val="4952634C"/>
    <w:lvl w:ilvl="0" w:tplc="5B4E482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C7988F6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7E65F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F70909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84E803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BC6EF2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516D3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BAC6A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70E38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>
    <w:nsid w:val="18EA01DD"/>
    <w:multiLevelType w:val="hybridMultilevel"/>
    <w:tmpl w:val="5784C3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B1537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A7074F3"/>
    <w:multiLevelType w:val="multilevel"/>
    <w:tmpl w:val="86B8B1BC"/>
    <w:lvl w:ilvl="0">
      <w:start w:val="1"/>
      <w:numFmt w:val="decimal"/>
      <w:pStyle w:val="IntenseQuote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1B217D84"/>
    <w:multiLevelType w:val="hybridMultilevel"/>
    <w:tmpl w:val="ED766A2E"/>
    <w:lvl w:ilvl="0" w:tplc="05B67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44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D2A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67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36A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04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FC8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C2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C9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05B6AE9"/>
    <w:multiLevelType w:val="hybridMultilevel"/>
    <w:tmpl w:val="9A16B004"/>
    <w:lvl w:ilvl="0" w:tplc="1956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60A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2F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21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A1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41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4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086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81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1D222C0"/>
    <w:multiLevelType w:val="hybridMultilevel"/>
    <w:tmpl w:val="CB7E4EEA"/>
    <w:lvl w:ilvl="0" w:tplc="042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956762"/>
    <w:multiLevelType w:val="hybridMultilevel"/>
    <w:tmpl w:val="E82C82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0B7D72"/>
    <w:multiLevelType w:val="hybridMultilevel"/>
    <w:tmpl w:val="B1CC8974"/>
    <w:lvl w:ilvl="0" w:tplc="5B4E482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E7B007E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7267A3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57C6F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30E7F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F743A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452E0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02DA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58ECA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>
    <w:nsid w:val="2D5A08E5"/>
    <w:multiLevelType w:val="multilevel"/>
    <w:tmpl w:val="4FD06E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FD13031"/>
    <w:multiLevelType w:val="hybridMultilevel"/>
    <w:tmpl w:val="EBA25C66"/>
    <w:lvl w:ilvl="0" w:tplc="5B4E482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74504E2"/>
    <w:multiLevelType w:val="hybridMultilevel"/>
    <w:tmpl w:val="0C22F05E"/>
    <w:lvl w:ilvl="0" w:tplc="D3DAC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00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67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7C6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0E7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743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2E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2D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E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37F50186"/>
    <w:multiLevelType w:val="hybridMultilevel"/>
    <w:tmpl w:val="5050814A"/>
    <w:lvl w:ilvl="0" w:tplc="5A18D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4453F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8E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EA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27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A7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FC8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69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C7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20D2D50"/>
    <w:multiLevelType w:val="hybridMultilevel"/>
    <w:tmpl w:val="1460105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526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719456F"/>
    <w:multiLevelType w:val="hybridMultilevel"/>
    <w:tmpl w:val="FFE69D88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F806D8"/>
    <w:multiLevelType w:val="hybridMultilevel"/>
    <w:tmpl w:val="F8209B26"/>
    <w:lvl w:ilvl="0" w:tplc="80D023CE">
      <w:start w:val="1"/>
      <w:numFmt w:val="bullet"/>
      <w:pStyle w:val="Textboxtekstassubullet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126B79"/>
    <w:multiLevelType w:val="hybridMultilevel"/>
    <w:tmpl w:val="BD24A636"/>
    <w:lvl w:ilvl="0" w:tplc="012A0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DE0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2D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FCF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C7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AD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45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EB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A2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49BC7E6E"/>
    <w:multiLevelType w:val="hybridMultilevel"/>
    <w:tmpl w:val="0EA66D78"/>
    <w:lvl w:ilvl="0" w:tplc="5B4E482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1405116"/>
    <w:multiLevelType w:val="hybridMultilevel"/>
    <w:tmpl w:val="F14472DE"/>
    <w:lvl w:ilvl="0" w:tplc="5B4E482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3AD4853"/>
    <w:multiLevelType w:val="hybridMultilevel"/>
    <w:tmpl w:val="AA4E1834"/>
    <w:lvl w:ilvl="0" w:tplc="DD4C4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8B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6AC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160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09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26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768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24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6B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5393137"/>
    <w:multiLevelType w:val="hybridMultilevel"/>
    <w:tmpl w:val="DB4211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A70A9"/>
    <w:multiLevelType w:val="hybridMultilevel"/>
    <w:tmpl w:val="79EEFE38"/>
    <w:lvl w:ilvl="0" w:tplc="B2D2C488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  <w:color w:val="000000"/>
      </w:rPr>
    </w:lvl>
    <w:lvl w:ilvl="1" w:tplc="1F30FA2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A4529C"/>
    <w:multiLevelType w:val="hybridMultilevel"/>
    <w:tmpl w:val="D8B05E5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020125"/>
    <w:multiLevelType w:val="hybridMultilevel"/>
    <w:tmpl w:val="1E1C5A9C"/>
    <w:lvl w:ilvl="0" w:tplc="8CFC1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961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41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A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E8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EA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464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CE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7AB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57B762F"/>
    <w:multiLevelType w:val="hybridMultilevel"/>
    <w:tmpl w:val="65F4D4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5778AE"/>
    <w:multiLevelType w:val="hybridMultilevel"/>
    <w:tmpl w:val="13086770"/>
    <w:lvl w:ilvl="0" w:tplc="5B4E482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CF66737"/>
    <w:multiLevelType w:val="hybridMultilevel"/>
    <w:tmpl w:val="8F7E6530"/>
    <w:lvl w:ilvl="0" w:tplc="4AF649AE">
      <w:start w:val="1"/>
      <w:numFmt w:val="decimal"/>
      <w:pStyle w:val="Priedupavadinimai"/>
      <w:lvlText w:val="%1 priedas. 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340C69"/>
    <w:multiLevelType w:val="hybridMultilevel"/>
    <w:tmpl w:val="8D3470D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FE4399"/>
    <w:multiLevelType w:val="hybridMultilevel"/>
    <w:tmpl w:val="2E32AB9E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3404FD"/>
    <w:multiLevelType w:val="hybridMultilevel"/>
    <w:tmpl w:val="0D2CBEC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7612F2"/>
    <w:multiLevelType w:val="hybridMultilevel"/>
    <w:tmpl w:val="EDEE8074"/>
    <w:lvl w:ilvl="0" w:tplc="5B4E482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F163766"/>
    <w:multiLevelType w:val="hybridMultilevel"/>
    <w:tmpl w:val="00F8A96A"/>
    <w:lvl w:ilvl="0" w:tplc="5B4E482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FB17C97"/>
    <w:multiLevelType w:val="hybridMultilevel"/>
    <w:tmpl w:val="DF16E8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B21408"/>
    <w:multiLevelType w:val="multilevel"/>
    <w:tmpl w:val="DF7E8F96"/>
    <w:lvl w:ilvl="0">
      <w:start w:val="1"/>
      <w:numFmt w:val="decimal"/>
      <w:pStyle w:val="Antraste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ste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ntraste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ntraste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46"/>
  </w:num>
  <w:num w:numId="4">
    <w:abstractNumId w:val="39"/>
  </w:num>
  <w:num w:numId="5">
    <w:abstractNumId w:val="28"/>
  </w:num>
  <w:num w:numId="6">
    <w:abstractNumId w:val="6"/>
  </w:num>
  <w:num w:numId="7">
    <w:abstractNumId w:val="14"/>
  </w:num>
  <w:num w:numId="8">
    <w:abstractNumId w:val="26"/>
  </w:num>
  <w:num w:numId="9">
    <w:abstractNumId w:val="1"/>
  </w:num>
  <w:num w:numId="10">
    <w:abstractNumId w:val="4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</w:num>
  <w:num w:numId="14">
    <w:abstractNumId w:val="34"/>
  </w:num>
  <w:num w:numId="15">
    <w:abstractNumId w:val="10"/>
  </w:num>
  <w:num w:numId="16">
    <w:abstractNumId w:val="2"/>
  </w:num>
  <w:num w:numId="17">
    <w:abstractNumId w:val="42"/>
  </w:num>
  <w:num w:numId="18">
    <w:abstractNumId w:val="4"/>
  </w:num>
  <w:num w:numId="19">
    <w:abstractNumId w:val="37"/>
  </w:num>
  <w:num w:numId="20">
    <w:abstractNumId w:val="33"/>
  </w:num>
  <w:num w:numId="21">
    <w:abstractNumId w:val="13"/>
  </w:num>
  <w:num w:numId="22">
    <w:abstractNumId w:val="41"/>
  </w:num>
  <w:num w:numId="23">
    <w:abstractNumId w:val="27"/>
  </w:num>
  <w:num w:numId="24">
    <w:abstractNumId w:val="18"/>
  </w:num>
  <w:num w:numId="25">
    <w:abstractNumId w:val="44"/>
  </w:num>
  <w:num w:numId="26">
    <w:abstractNumId w:val="5"/>
  </w:num>
  <w:num w:numId="27">
    <w:abstractNumId w:val="0"/>
  </w:num>
  <w:num w:numId="28">
    <w:abstractNumId w:val="31"/>
  </w:num>
  <w:num w:numId="29">
    <w:abstractNumId w:val="11"/>
  </w:num>
  <w:num w:numId="30">
    <w:abstractNumId w:val="36"/>
  </w:num>
  <w:num w:numId="31">
    <w:abstractNumId w:val="7"/>
  </w:num>
  <w:num w:numId="32">
    <w:abstractNumId w:val="22"/>
  </w:num>
  <w:num w:numId="33">
    <w:abstractNumId w:val="23"/>
  </w:num>
  <w:num w:numId="34">
    <w:abstractNumId w:val="20"/>
  </w:num>
  <w:num w:numId="35">
    <w:abstractNumId w:val="16"/>
  </w:num>
  <w:num w:numId="36">
    <w:abstractNumId w:val="17"/>
  </w:num>
  <w:num w:numId="37">
    <w:abstractNumId w:val="9"/>
  </w:num>
  <w:num w:numId="38">
    <w:abstractNumId w:val="29"/>
  </w:num>
  <w:num w:numId="39">
    <w:abstractNumId w:val="38"/>
  </w:num>
  <w:num w:numId="40">
    <w:abstractNumId w:val="8"/>
  </w:num>
  <w:num w:numId="41">
    <w:abstractNumId w:val="12"/>
  </w:num>
  <w:num w:numId="42">
    <w:abstractNumId w:val="24"/>
  </w:num>
  <w:num w:numId="43">
    <w:abstractNumId w:val="32"/>
  </w:num>
  <w:num w:numId="44">
    <w:abstractNumId w:val="30"/>
  </w:num>
  <w:num w:numId="45">
    <w:abstractNumId w:val="43"/>
  </w:num>
  <w:num w:numId="46">
    <w:abstractNumId w:val="25"/>
  </w:num>
  <w:num w:numId="47">
    <w:abstractNumId w:val="35"/>
  </w:num>
  <w:num w:numId="48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7BA"/>
    <w:rsid w:val="00004900"/>
    <w:rsid w:val="00006A1D"/>
    <w:rsid w:val="00012ECA"/>
    <w:rsid w:val="0001316A"/>
    <w:rsid w:val="00013498"/>
    <w:rsid w:val="00014D13"/>
    <w:rsid w:val="00017BD2"/>
    <w:rsid w:val="00021E5D"/>
    <w:rsid w:val="00027984"/>
    <w:rsid w:val="000335DD"/>
    <w:rsid w:val="000337A9"/>
    <w:rsid w:val="00036147"/>
    <w:rsid w:val="000375EC"/>
    <w:rsid w:val="00042634"/>
    <w:rsid w:val="000450CA"/>
    <w:rsid w:val="00045AF9"/>
    <w:rsid w:val="00051421"/>
    <w:rsid w:val="00056157"/>
    <w:rsid w:val="00056E5D"/>
    <w:rsid w:val="00057DE7"/>
    <w:rsid w:val="0006320C"/>
    <w:rsid w:val="00063C5D"/>
    <w:rsid w:val="00064997"/>
    <w:rsid w:val="0006562E"/>
    <w:rsid w:val="00066386"/>
    <w:rsid w:val="00072498"/>
    <w:rsid w:val="00077323"/>
    <w:rsid w:val="00081880"/>
    <w:rsid w:val="0009006C"/>
    <w:rsid w:val="00091A43"/>
    <w:rsid w:val="0009478F"/>
    <w:rsid w:val="000A6D9B"/>
    <w:rsid w:val="000A6D9F"/>
    <w:rsid w:val="000B0249"/>
    <w:rsid w:val="000C2AED"/>
    <w:rsid w:val="000D7A70"/>
    <w:rsid w:val="000E150C"/>
    <w:rsid w:val="000E44C8"/>
    <w:rsid w:val="000F05A3"/>
    <w:rsid w:val="000F5F6A"/>
    <w:rsid w:val="00114FB6"/>
    <w:rsid w:val="00117821"/>
    <w:rsid w:val="00124AAB"/>
    <w:rsid w:val="0012584D"/>
    <w:rsid w:val="0013655A"/>
    <w:rsid w:val="00136CB7"/>
    <w:rsid w:val="001412B6"/>
    <w:rsid w:val="00141E35"/>
    <w:rsid w:val="00145012"/>
    <w:rsid w:val="001454DA"/>
    <w:rsid w:val="00145978"/>
    <w:rsid w:val="001621DA"/>
    <w:rsid w:val="001637CA"/>
    <w:rsid w:val="00163B43"/>
    <w:rsid w:val="00165A24"/>
    <w:rsid w:val="00171286"/>
    <w:rsid w:val="00174350"/>
    <w:rsid w:val="00176B3A"/>
    <w:rsid w:val="00177445"/>
    <w:rsid w:val="00183699"/>
    <w:rsid w:val="00185693"/>
    <w:rsid w:val="00191EB5"/>
    <w:rsid w:val="00196FEC"/>
    <w:rsid w:val="001A235B"/>
    <w:rsid w:val="001A4CF6"/>
    <w:rsid w:val="001B38FF"/>
    <w:rsid w:val="001B3DD1"/>
    <w:rsid w:val="001D4330"/>
    <w:rsid w:val="001D5AA2"/>
    <w:rsid w:val="001D6DFD"/>
    <w:rsid w:val="001E154B"/>
    <w:rsid w:val="001E15F0"/>
    <w:rsid w:val="001E1943"/>
    <w:rsid w:val="001E2680"/>
    <w:rsid w:val="001E2AD5"/>
    <w:rsid w:val="001F2243"/>
    <w:rsid w:val="001F23A4"/>
    <w:rsid w:val="001F313D"/>
    <w:rsid w:val="001F6BDC"/>
    <w:rsid w:val="00205CA7"/>
    <w:rsid w:val="002144B4"/>
    <w:rsid w:val="00220789"/>
    <w:rsid w:val="0022475E"/>
    <w:rsid w:val="00231CD0"/>
    <w:rsid w:val="002328B3"/>
    <w:rsid w:val="002339A0"/>
    <w:rsid w:val="00252009"/>
    <w:rsid w:val="00253EC6"/>
    <w:rsid w:val="00260C97"/>
    <w:rsid w:val="00262D57"/>
    <w:rsid w:val="00270C92"/>
    <w:rsid w:val="00276E41"/>
    <w:rsid w:val="00277BB3"/>
    <w:rsid w:val="00280E6E"/>
    <w:rsid w:val="0028786C"/>
    <w:rsid w:val="002A05D1"/>
    <w:rsid w:val="002A08FD"/>
    <w:rsid w:val="002A4898"/>
    <w:rsid w:val="002B31C6"/>
    <w:rsid w:val="002B4FEC"/>
    <w:rsid w:val="002B53CE"/>
    <w:rsid w:val="002B70AE"/>
    <w:rsid w:val="002B7937"/>
    <w:rsid w:val="002C547F"/>
    <w:rsid w:val="002C5B7D"/>
    <w:rsid w:val="002C71BE"/>
    <w:rsid w:val="002E2529"/>
    <w:rsid w:val="002F0DD6"/>
    <w:rsid w:val="002F30B8"/>
    <w:rsid w:val="00311B1F"/>
    <w:rsid w:val="00313800"/>
    <w:rsid w:val="00313B56"/>
    <w:rsid w:val="00316857"/>
    <w:rsid w:val="0032102A"/>
    <w:rsid w:val="00321FCB"/>
    <w:rsid w:val="00327E5E"/>
    <w:rsid w:val="00331107"/>
    <w:rsid w:val="00332263"/>
    <w:rsid w:val="00332440"/>
    <w:rsid w:val="00335347"/>
    <w:rsid w:val="00343DA8"/>
    <w:rsid w:val="003458AA"/>
    <w:rsid w:val="00346837"/>
    <w:rsid w:val="0036373E"/>
    <w:rsid w:val="00367EF8"/>
    <w:rsid w:val="00381EDF"/>
    <w:rsid w:val="0038282F"/>
    <w:rsid w:val="0038304C"/>
    <w:rsid w:val="00383C8E"/>
    <w:rsid w:val="00383F6D"/>
    <w:rsid w:val="00385B02"/>
    <w:rsid w:val="00386941"/>
    <w:rsid w:val="003934B3"/>
    <w:rsid w:val="003A0A7A"/>
    <w:rsid w:val="003B4DAF"/>
    <w:rsid w:val="003B6C3B"/>
    <w:rsid w:val="003C14F9"/>
    <w:rsid w:val="003C4F5B"/>
    <w:rsid w:val="003D7429"/>
    <w:rsid w:val="003E01C6"/>
    <w:rsid w:val="003F1F39"/>
    <w:rsid w:val="003F256C"/>
    <w:rsid w:val="003F37D5"/>
    <w:rsid w:val="003F386D"/>
    <w:rsid w:val="003F7F03"/>
    <w:rsid w:val="004136E5"/>
    <w:rsid w:val="00415A7D"/>
    <w:rsid w:val="00415AB7"/>
    <w:rsid w:val="0041730B"/>
    <w:rsid w:val="00417C1C"/>
    <w:rsid w:val="00420DDA"/>
    <w:rsid w:val="00421B32"/>
    <w:rsid w:val="004464C4"/>
    <w:rsid w:val="00446D2B"/>
    <w:rsid w:val="00450C89"/>
    <w:rsid w:val="0045270F"/>
    <w:rsid w:val="004551F5"/>
    <w:rsid w:val="00455978"/>
    <w:rsid w:val="0046175C"/>
    <w:rsid w:val="00461EC7"/>
    <w:rsid w:val="004747D7"/>
    <w:rsid w:val="00487E4F"/>
    <w:rsid w:val="004965BB"/>
    <w:rsid w:val="004A55B0"/>
    <w:rsid w:val="004A575B"/>
    <w:rsid w:val="004A6F72"/>
    <w:rsid w:val="004B56E1"/>
    <w:rsid w:val="004B6849"/>
    <w:rsid w:val="004C0548"/>
    <w:rsid w:val="004C0F6A"/>
    <w:rsid w:val="004C1043"/>
    <w:rsid w:val="004C4E47"/>
    <w:rsid w:val="004C5695"/>
    <w:rsid w:val="004C7A97"/>
    <w:rsid w:val="004D1E35"/>
    <w:rsid w:val="004D63D4"/>
    <w:rsid w:val="004E053B"/>
    <w:rsid w:val="004E61B4"/>
    <w:rsid w:val="004F2A2A"/>
    <w:rsid w:val="00504DD5"/>
    <w:rsid w:val="0051183F"/>
    <w:rsid w:val="00523644"/>
    <w:rsid w:val="0053160E"/>
    <w:rsid w:val="005412F4"/>
    <w:rsid w:val="00547205"/>
    <w:rsid w:val="00555E9E"/>
    <w:rsid w:val="0055702E"/>
    <w:rsid w:val="00557AF1"/>
    <w:rsid w:val="0056044C"/>
    <w:rsid w:val="005636B8"/>
    <w:rsid w:val="0056459A"/>
    <w:rsid w:val="00565AAB"/>
    <w:rsid w:val="00567015"/>
    <w:rsid w:val="005743CD"/>
    <w:rsid w:val="005841D0"/>
    <w:rsid w:val="00586079"/>
    <w:rsid w:val="00595A26"/>
    <w:rsid w:val="00596766"/>
    <w:rsid w:val="005A45F6"/>
    <w:rsid w:val="005A7409"/>
    <w:rsid w:val="005B314E"/>
    <w:rsid w:val="005B69F9"/>
    <w:rsid w:val="005C44B0"/>
    <w:rsid w:val="005C6520"/>
    <w:rsid w:val="005D44D7"/>
    <w:rsid w:val="005D6158"/>
    <w:rsid w:val="005E1993"/>
    <w:rsid w:val="005E5501"/>
    <w:rsid w:val="005E734F"/>
    <w:rsid w:val="005E793E"/>
    <w:rsid w:val="005F55B6"/>
    <w:rsid w:val="006063C3"/>
    <w:rsid w:val="00620212"/>
    <w:rsid w:val="006210B6"/>
    <w:rsid w:val="0062342B"/>
    <w:rsid w:val="00626724"/>
    <w:rsid w:val="006416FE"/>
    <w:rsid w:val="00654DC5"/>
    <w:rsid w:val="00657433"/>
    <w:rsid w:val="00665F02"/>
    <w:rsid w:val="00671886"/>
    <w:rsid w:val="00671C9B"/>
    <w:rsid w:val="00690AC7"/>
    <w:rsid w:val="006B159F"/>
    <w:rsid w:val="006C1D7C"/>
    <w:rsid w:val="006C7204"/>
    <w:rsid w:val="006D1678"/>
    <w:rsid w:val="006D1B5F"/>
    <w:rsid w:val="006D4015"/>
    <w:rsid w:val="006D45FC"/>
    <w:rsid w:val="006D4A87"/>
    <w:rsid w:val="006F6781"/>
    <w:rsid w:val="006F70E9"/>
    <w:rsid w:val="00700849"/>
    <w:rsid w:val="007219B0"/>
    <w:rsid w:val="0073247D"/>
    <w:rsid w:val="007366A7"/>
    <w:rsid w:val="00743CAF"/>
    <w:rsid w:val="0075096B"/>
    <w:rsid w:val="0076020E"/>
    <w:rsid w:val="0076345D"/>
    <w:rsid w:val="00777FA5"/>
    <w:rsid w:val="00782EB2"/>
    <w:rsid w:val="00784CB5"/>
    <w:rsid w:val="00786EA0"/>
    <w:rsid w:val="00787600"/>
    <w:rsid w:val="007878CE"/>
    <w:rsid w:val="00791CC7"/>
    <w:rsid w:val="0079330D"/>
    <w:rsid w:val="00794FF4"/>
    <w:rsid w:val="007958E4"/>
    <w:rsid w:val="00796E68"/>
    <w:rsid w:val="00797FF9"/>
    <w:rsid w:val="007A5924"/>
    <w:rsid w:val="007B0C2C"/>
    <w:rsid w:val="007B3A22"/>
    <w:rsid w:val="007B5634"/>
    <w:rsid w:val="007C055B"/>
    <w:rsid w:val="007C3D5D"/>
    <w:rsid w:val="007C6704"/>
    <w:rsid w:val="007D12C3"/>
    <w:rsid w:val="007D416A"/>
    <w:rsid w:val="007D4AAD"/>
    <w:rsid w:val="007D770C"/>
    <w:rsid w:val="007D7AF9"/>
    <w:rsid w:val="007E1CA7"/>
    <w:rsid w:val="007F3F20"/>
    <w:rsid w:val="007F400C"/>
    <w:rsid w:val="007F4ADB"/>
    <w:rsid w:val="00800A75"/>
    <w:rsid w:val="00807100"/>
    <w:rsid w:val="00811A8A"/>
    <w:rsid w:val="00812610"/>
    <w:rsid w:val="0082055A"/>
    <w:rsid w:val="00822D86"/>
    <w:rsid w:val="00825C0D"/>
    <w:rsid w:val="0083198F"/>
    <w:rsid w:val="0083201D"/>
    <w:rsid w:val="00851921"/>
    <w:rsid w:val="008543F5"/>
    <w:rsid w:val="008627AF"/>
    <w:rsid w:val="00865AC8"/>
    <w:rsid w:val="00866D0E"/>
    <w:rsid w:val="008679F4"/>
    <w:rsid w:val="0087367E"/>
    <w:rsid w:val="00873778"/>
    <w:rsid w:val="00875A7C"/>
    <w:rsid w:val="008870E1"/>
    <w:rsid w:val="0088774C"/>
    <w:rsid w:val="008A50D0"/>
    <w:rsid w:val="008B20D5"/>
    <w:rsid w:val="008B59A0"/>
    <w:rsid w:val="008C08E1"/>
    <w:rsid w:val="008C3472"/>
    <w:rsid w:val="008C4952"/>
    <w:rsid w:val="008C5267"/>
    <w:rsid w:val="008C5552"/>
    <w:rsid w:val="008C73F7"/>
    <w:rsid w:val="008D3688"/>
    <w:rsid w:val="008D7123"/>
    <w:rsid w:val="008E0688"/>
    <w:rsid w:val="008F2544"/>
    <w:rsid w:val="008F799A"/>
    <w:rsid w:val="00901DC3"/>
    <w:rsid w:val="009048C9"/>
    <w:rsid w:val="0091322F"/>
    <w:rsid w:val="00913B7C"/>
    <w:rsid w:val="00913D38"/>
    <w:rsid w:val="0092101B"/>
    <w:rsid w:val="0092148A"/>
    <w:rsid w:val="009262BB"/>
    <w:rsid w:val="0093107F"/>
    <w:rsid w:val="0093200A"/>
    <w:rsid w:val="009360BA"/>
    <w:rsid w:val="00940B64"/>
    <w:rsid w:val="00943677"/>
    <w:rsid w:val="00953A8E"/>
    <w:rsid w:val="0095424A"/>
    <w:rsid w:val="0096314E"/>
    <w:rsid w:val="00966FE5"/>
    <w:rsid w:val="00974300"/>
    <w:rsid w:val="00974C60"/>
    <w:rsid w:val="00980379"/>
    <w:rsid w:val="0098215B"/>
    <w:rsid w:val="0098645C"/>
    <w:rsid w:val="00987D31"/>
    <w:rsid w:val="0099635D"/>
    <w:rsid w:val="009966E2"/>
    <w:rsid w:val="009A2F95"/>
    <w:rsid w:val="009A492A"/>
    <w:rsid w:val="009A5E1B"/>
    <w:rsid w:val="009B428C"/>
    <w:rsid w:val="009B506F"/>
    <w:rsid w:val="009B6E55"/>
    <w:rsid w:val="009C438C"/>
    <w:rsid w:val="009C4D59"/>
    <w:rsid w:val="009D1C4E"/>
    <w:rsid w:val="009D4A4E"/>
    <w:rsid w:val="009D4B32"/>
    <w:rsid w:val="009D5B13"/>
    <w:rsid w:val="009E4DFD"/>
    <w:rsid w:val="009F00EC"/>
    <w:rsid w:val="009F50DD"/>
    <w:rsid w:val="00A01E2A"/>
    <w:rsid w:val="00A14CB3"/>
    <w:rsid w:val="00A14DA3"/>
    <w:rsid w:val="00A17B70"/>
    <w:rsid w:val="00A21851"/>
    <w:rsid w:val="00A24B9A"/>
    <w:rsid w:val="00A2648C"/>
    <w:rsid w:val="00A27C8F"/>
    <w:rsid w:val="00A46B72"/>
    <w:rsid w:val="00A55470"/>
    <w:rsid w:val="00A615ED"/>
    <w:rsid w:val="00A67990"/>
    <w:rsid w:val="00A72F5E"/>
    <w:rsid w:val="00A743BA"/>
    <w:rsid w:val="00A8041D"/>
    <w:rsid w:val="00A836B0"/>
    <w:rsid w:val="00A85C5C"/>
    <w:rsid w:val="00A87586"/>
    <w:rsid w:val="00A94FED"/>
    <w:rsid w:val="00AA0492"/>
    <w:rsid w:val="00AA2947"/>
    <w:rsid w:val="00AA3C1C"/>
    <w:rsid w:val="00AA5FFF"/>
    <w:rsid w:val="00AB4A78"/>
    <w:rsid w:val="00AC0671"/>
    <w:rsid w:val="00AD64FC"/>
    <w:rsid w:val="00AD73DD"/>
    <w:rsid w:val="00AD782A"/>
    <w:rsid w:val="00AD7E4A"/>
    <w:rsid w:val="00AE3198"/>
    <w:rsid w:val="00AE4C99"/>
    <w:rsid w:val="00AF39B4"/>
    <w:rsid w:val="00AF7CBB"/>
    <w:rsid w:val="00B10F98"/>
    <w:rsid w:val="00B147C6"/>
    <w:rsid w:val="00B23724"/>
    <w:rsid w:val="00B26B4F"/>
    <w:rsid w:val="00B310C6"/>
    <w:rsid w:val="00B35F24"/>
    <w:rsid w:val="00B47932"/>
    <w:rsid w:val="00B5309D"/>
    <w:rsid w:val="00B54FEC"/>
    <w:rsid w:val="00B62FB5"/>
    <w:rsid w:val="00B6392E"/>
    <w:rsid w:val="00B643E0"/>
    <w:rsid w:val="00B7155A"/>
    <w:rsid w:val="00B72D50"/>
    <w:rsid w:val="00B72E53"/>
    <w:rsid w:val="00B774D9"/>
    <w:rsid w:val="00B80758"/>
    <w:rsid w:val="00B81FFA"/>
    <w:rsid w:val="00B83656"/>
    <w:rsid w:val="00B85B1E"/>
    <w:rsid w:val="00BB37BA"/>
    <w:rsid w:val="00BB42E2"/>
    <w:rsid w:val="00BB5056"/>
    <w:rsid w:val="00BB641D"/>
    <w:rsid w:val="00BC428A"/>
    <w:rsid w:val="00BD18DC"/>
    <w:rsid w:val="00BD43D2"/>
    <w:rsid w:val="00BE14E2"/>
    <w:rsid w:val="00BE66D0"/>
    <w:rsid w:val="00BF16C7"/>
    <w:rsid w:val="00BF4443"/>
    <w:rsid w:val="00BF5D2B"/>
    <w:rsid w:val="00C02F4B"/>
    <w:rsid w:val="00C04092"/>
    <w:rsid w:val="00C05BE8"/>
    <w:rsid w:val="00C10058"/>
    <w:rsid w:val="00C104DC"/>
    <w:rsid w:val="00C243B8"/>
    <w:rsid w:val="00C32508"/>
    <w:rsid w:val="00C33863"/>
    <w:rsid w:val="00C52B92"/>
    <w:rsid w:val="00C64503"/>
    <w:rsid w:val="00C673A2"/>
    <w:rsid w:val="00C70E12"/>
    <w:rsid w:val="00C8142B"/>
    <w:rsid w:val="00C81EF5"/>
    <w:rsid w:val="00C82149"/>
    <w:rsid w:val="00C82547"/>
    <w:rsid w:val="00C82D58"/>
    <w:rsid w:val="00C842DB"/>
    <w:rsid w:val="00C86014"/>
    <w:rsid w:val="00C86A20"/>
    <w:rsid w:val="00C90DF1"/>
    <w:rsid w:val="00C921E4"/>
    <w:rsid w:val="00C97485"/>
    <w:rsid w:val="00CA6F6A"/>
    <w:rsid w:val="00CB4A97"/>
    <w:rsid w:val="00CC2624"/>
    <w:rsid w:val="00CC5FC5"/>
    <w:rsid w:val="00CD2044"/>
    <w:rsid w:val="00CD2304"/>
    <w:rsid w:val="00CE3CE1"/>
    <w:rsid w:val="00CF38DD"/>
    <w:rsid w:val="00CF5896"/>
    <w:rsid w:val="00D11DD5"/>
    <w:rsid w:val="00D14946"/>
    <w:rsid w:val="00D160C7"/>
    <w:rsid w:val="00D16D8B"/>
    <w:rsid w:val="00D2399B"/>
    <w:rsid w:val="00D24332"/>
    <w:rsid w:val="00D26E00"/>
    <w:rsid w:val="00D47559"/>
    <w:rsid w:val="00D47D25"/>
    <w:rsid w:val="00D47F09"/>
    <w:rsid w:val="00D51984"/>
    <w:rsid w:val="00D52625"/>
    <w:rsid w:val="00D5361D"/>
    <w:rsid w:val="00D64108"/>
    <w:rsid w:val="00D710EB"/>
    <w:rsid w:val="00D714B8"/>
    <w:rsid w:val="00D86DA8"/>
    <w:rsid w:val="00D94D80"/>
    <w:rsid w:val="00D94F8E"/>
    <w:rsid w:val="00DA224F"/>
    <w:rsid w:val="00DA5DE0"/>
    <w:rsid w:val="00DB3A46"/>
    <w:rsid w:val="00DC3B24"/>
    <w:rsid w:val="00DC576B"/>
    <w:rsid w:val="00DD0F39"/>
    <w:rsid w:val="00DD3A7C"/>
    <w:rsid w:val="00DD42B0"/>
    <w:rsid w:val="00DD5669"/>
    <w:rsid w:val="00DD7CBB"/>
    <w:rsid w:val="00DE3640"/>
    <w:rsid w:val="00DE3909"/>
    <w:rsid w:val="00DF421E"/>
    <w:rsid w:val="00E03262"/>
    <w:rsid w:val="00E03B37"/>
    <w:rsid w:val="00E11729"/>
    <w:rsid w:val="00E13970"/>
    <w:rsid w:val="00E14D89"/>
    <w:rsid w:val="00E16D68"/>
    <w:rsid w:val="00E17957"/>
    <w:rsid w:val="00E217E7"/>
    <w:rsid w:val="00E22C07"/>
    <w:rsid w:val="00E241AB"/>
    <w:rsid w:val="00E2507F"/>
    <w:rsid w:val="00E318F8"/>
    <w:rsid w:val="00E33CD6"/>
    <w:rsid w:val="00E367F5"/>
    <w:rsid w:val="00E40355"/>
    <w:rsid w:val="00E40640"/>
    <w:rsid w:val="00E52714"/>
    <w:rsid w:val="00E5359A"/>
    <w:rsid w:val="00E54C7B"/>
    <w:rsid w:val="00E630C6"/>
    <w:rsid w:val="00E63C8C"/>
    <w:rsid w:val="00E653B9"/>
    <w:rsid w:val="00E662F6"/>
    <w:rsid w:val="00E66F06"/>
    <w:rsid w:val="00E67A00"/>
    <w:rsid w:val="00E70229"/>
    <w:rsid w:val="00E92162"/>
    <w:rsid w:val="00E9574A"/>
    <w:rsid w:val="00E95B42"/>
    <w:rsid w:val="00E96888"/>
    <w:rsid w:val="00EA0726"/>
    <w:rsid w:val="00EA2CB1"/>
    <w:rsid w:val="00EA6A16"/>
    <w:rsid w:val="00EA7A84"/>
    <w:rsid w:val="00EA7F40"/>
    <w:rsid w:val="00EB049D"/>
    <w:rsid w:val="00EC27E5"/>
    <w:rsid w:val="00ED716E"/>
    <w:rsid w:val="00EE014E"/>
    <w:rsid w:val="00EE10D7"/>
    <w:rsid w:val="00EE7860"/>
    <w:rsid w:val="00EF165B"/>
    <w:rsid w:val="00EF1810"/>
    <w:rsid w:val="00EF1E1B"/>
    <w:rsid w:val="00EF22D1"/>
    <w:rsid w:val="00EF4C6F"/>
    <w:rsid w:val="00EF5002"/>
    <w:rsid w:val="00EF56AD"/>
    <w:rsid w:val="00F06476"/>
    <w:rsid w:val="00F15FC5"/>
    <w:rsid w:val="00F2164A"/>
    <w:rsid w:val="00F26A56"/>
    <w:rsid w:val="00F33105"/>
    <w:rsid w:val="00F46E5C"/>
    <w:rsid w:val="00F56F97"/>
    <w:rsid w:val="00F602D7"/>
    <w:rsid w:val="00F64BA9"/>
    <w:rsid w:val="00F658A3"/>
    <w:rsid w:val="00F660D0"/>
    <w:rsid w:val="00F74950"/>
    <w:rsid w:val="00F80141"/>
    <w:rsid w:val="00F82276"/>
    <w:rsid w:val="00F87A1A"/>
    <w:rsid w:val="00F93B13"/>
    <w:rsid w:val="00F96587"/>
    <w:rsid w:val="00FB0CBE"/>
    <w:rsid w:val="00FB4C36"/>
    <w:rsid w:val="00FB5A40"/>
    <w:rsid w:val="00FB7F18"/>
    <w:rsid w:val="00FC1D92"/>
    <w:rsid w:val="00FC2C8E"/>
    <w:rsid w:val="00FC7AE0"/>
    <w:rsid w:val="00FE1494"/>
    <w:rsid w:val="00FE52B3"/>
    <w:rsid w:val="00F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F Square Sans Pro" w:eastAsiaTheme="minorHAnsi" w:hAnsi="PF Square Sans Pro" w:cs="Times New Roman"/>
        <w:sz w:val="22"/>
        <w:szCs w:val="22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Closing" w:uiPriority="99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Cite" w:uiPriority="99"/>
    <w:lsdException w:name="Normal Table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58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165A24"/>
    <w:pPr>
      <w:keepNext/>
      <w:spacing w:before="240" w:after="240"/>
      <w:outlineLvl w:val="0"/>
    </w:pPr>
    <w:rPr>
      <w:rFonts w:ascii="PFSquareSansPro-Regular" w:hAnsi="PFSquareSansPro-Regular"/>
      <w:bCs/>
      <w:color w:val="4181B6"/>
      <w:kern w:val="32"/>
      <w:sz w:val="32"/>
      <w:szCs w:val="32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5A2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color w:val="00206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65A24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65A24"/>
    <w:pPr>
      <w:keepNext/>
      <w:spacing w:before="240" w:after="60"/>
      <w:outlineLvl w:val="3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65A2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65A24"/>
    <w:pPr>
      <w:suppressAutoHyphens/>
      <w:spacing w:before="240" w:after="60" w:line="276" w:lineRule="auto"/>
      <w:jc w:val="both"/>
      <w:outlineLvl w:val="5"/>
    </w:pPr>
    <w:rPr>
      <w:rFonts w:eastAsia="Times New Roman"/>
      <w:b/>
      <w:bCs/>
      <w:sz w:val="22"/>
      <w:szCs w:val="22"/>
      <w:lang w:val="en-GB" w:eastAsia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5A24"/>
    <w:pPr>
      <w:suppressAutoHyphens/>
      <w:spacing w:before="240" w:after="60" w:line="276" w:lineRule="auto"/>
      <w:jc w:val="both"/>
      <w:outlineLvl w:val="6"/>
    </w:pPr>
    <w:rPr>
      <w:rFonts w:eastAsia="Times New Roman"/>
      <w:lang w:val="en-GB" w:eastAsia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5A24"/>
    <w:pPr>
      <w:suppressAutoHyphens/>
      <w:spacing w:before="240" w:after="60" w:line="276" w:lineRule="auto"/>
      <w:jc w:val="both"/>
      <w:outlineLvl w:val="7"/>
    </w:pPr>
    <w:rPr>
      <w:rFonts w:eastAsia="Times New Roman"/>
      <w:i/>
      <w:iCs/>
      <w:lang w:val="en-GB" w:eastAsia="ar-SA"/>
    </w:rPr>
  </w:style>
  <w:style w:type="paragraph" w:styleId="Heading9">
    <w:name w:val="heading 9"/>
    <w:basedOn w:val="Normal"/>
    <w:next w:val="Normal"/>
    <w:link w:val="Heading9Char"/>
    <w:qFormat/>
    <w:rsid w:val="00165A24"/>
    <w:pPr>
      <w:suppressAutoHyphens/>
      <w:spacing w:before="240" w:after="60" w:line="276" w:lineRule="auto"/>
      <w:jc w:val="both"/>
      <w:outlineLvl w:val="8"/>
    </w:pPr>
    <w:rPr>
      <w:rFonts w:ascii="Arial" w:eastAsia="Times New Roman" w:hAnsi="Arial" w:cs="Arial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link w:val="TekstasChar"/>
    <w:qFormat/>
    <w:rsid w:val="00D714B8"/>
    <w:rPr>
      <w:rFonts w:eastAsia="Times New Roman"/>
      <w:lang w:eastAsia="lt-LT"/>
    </w:rPr>
  </w:style>
  <w:style w:type="character" w:customStyle="1" w:styleId="TekstasChar">
    <w:name w:val="Tekstas Char"/>
    <w:basedOn w:val="DefaultParagraphFont"/>
    <w:link w:val="Tekstas"/>
    <w:rsid w:val="00D714B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165A24"/>
    <w:rPr>
      <w:rFonts w:ascii="Times New Roman" w:hAnsi="Times New Roman"/>
      <w:b/>
      <w:bCs/>
      <w:iCs/>
      <w:color w:val="00206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65A24"/>
    <w:rPr>
      <w:rFonts w:ascii="Cambria" w:eastAsiaTheme="majorEastAsia" w:hAnsi="Cambria" w:cstheme="majorBidi"/>
      <w:b/>
      <w:bCs/>
      <w:sz w:val="26"/>
      <w:szCs w:val="26"/>
    </w:rPr>
  </w:style>
  <w:style w:type="paragraph" w:customStyle="1" w:styleId="Tekstaspaaiskinimams">
    <w:name w:val="Tekstas paaiskinimams"/>
    <w:basedOn w:val="Tekstas"/>
    <w:link w:val="TekstaspaaiskinimamsChar"/>
    <w:qFormat/>
    <w:rsid w:val="00D714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BE5F1" w:themeFill="accent1" w:themeFillTint="33"/>
      <w:ind w:left="1134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TekstaspaaiskinimamsChar">
    <w:name w:val="Tekstas paaiskinimams Char"/>
    <w:basedOn w:val="TekstasChar"/>
    <w:link w:val="Tekstaspaaiskinimams"/>
    <w:rsid w:val="00D714B8"/>
    <w:rPr>
      <w:rFonts w:ascii="Cambria" w:eastAsia="Times New Roman" w:hAnsi="Cambria" w:cs="Times New Roman"/>
      <w:sz w:val="24"/>
      <w:szCs w:val="24"/>
      <w:shd w:val="clear" w:color="auto" w:fill="DBE5F1" w:themeFill="accent1" w:themeFillTint="33"/>
      <w:lang w:eastAsia="lt-LT"/>
    </w:rPr>
  </w:style>
  <w:style w:type="character" w:customStyle="1" w:styleId="Heading1Char">
    <w:name w:val="Heading 1 Char"/>
    <w:basedOn w:val="DefaultParagraphFont"/>
    <w:link w:val="Heading1"/>
    <w:rsid w:val="00165A24"/>
    <w:rPr>
      <w:rFonts w:ascii="PFSquareSansPro-Regular" w:hAnsi="PFSquareSansPro-Regular"/>
      <w:bCs/>
      <w:color w:val="4181B6"/>
      <w:kern w:val="32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rsid w:val="00165A24"/>
    <w:rPr>
      <w:rFonts w:ascii="Calibri" w:eastAsiaTheme="majorEastAsia" w:hAnsi="Calibri" w:cstheme="majorBid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7BA"/>
    <w:rPr>
      <w:rFonts w:ascii="Tahoma" w:hAnsi="Tahoma" w:cs="Tahoma"/>
      <w:sz w:val="16"/>
      <w:szCs w:val="16"/>
    </w:rPr>
  </w:style>
  <w:style w:type="paragraph" w:customStyle="1" w:styleId="Neturinioantrastes">
    <w:name w:val="• Ne turinio antrastes"/>
    <w:basedOn w:val="Tituliniosubpavadinimas"/>
    <w:next w:val="Pagrindinispaprastastekstas"/>
    <w:link w:val="NeturinioantrastesChar"/>
    <w:qFormat/>
    <w:rsid w:val="00A615ED"/>
    <w:pPr>
      <w:pageBreakBefore/>
      <w:ind w:left="0"/>
    </w:pPr>
    <w:rPr>
      <w:b/>
      <w:caps/>
      <w:sz w:val="28"/>
    </w:rPr>
  </w:style>
  <w:style w:type="character" w:customStyle="1" w:styleId="NeturinioantrastesChar">
    <w:name w:val="• Ne turinio antrastes Char"/>
    <w:basedOn w:val="TituliniosubpavadinimasChar"/>
    <w:link w:val="Neturinioantrastes"/>
    <w:rsid w:val="00F56F97"/>
    <w:rPr>
      <w:rFonts w:asciiTheme="majorHAnsi" w:eastAsia="Times New Roman" w:hAnsiTheme="majorHAnsi"/>
      <w:b/>
      <w:bCs/>
      <w:caps/>
      <w:color w:val="4181B6"/>
      <w:sz w:val="28"/>
      <w:szCs w:val="40"/>
      <w:lang w:eastAsia="lt-LT"/>
    </w:rPr>
  </w:style>
  <w:style w:type="paragraph" w:customStyle="1" w:styleId="Antrastes1">
    <w:name w:val="• Antrastes_1"/>
    <w:basedOn w:val="Nenumeruojamosantrastes"/>
    <w:next w:val="Pagrindinispaprastastekstas"/>
    <w:qFormat/>
    <w:rsid w:val="00A615ED"/>
    <w:pPr>
      <w:numPr>
        <w:numId w:val="3"/>
      </w:numPr>
      <w:outlineLvl w:val="0"/>
    </w:pPr>
  </w:style>
  <w:style w:type="paragraph" w:customStyle="1" w:styleId="Titulinispavadinimas">
    <w:name w:val="• Titulinis pavadinimas"/>
    <w:next w:val="Tituliniosubpavadinimas"/>
    <w:link w:val="TitulinispavadinimasChar"/>
    <w:qFormat/>
    <w:rsid w:val="00A615ED"/>
    <w:pPr>
      <w:spacing w:before="3120"/>
      <w:ind w:left="2693"/>
    </w:pPr>
    <w:rPr>
      <w:rFonts w:asciiTheme="majorHAnsi" w:eastAsia="Times New Roman" w:hAnsiTheme="majorHAnsi"/>
      <w:bCs/>
      <w:color w:val="00478A"/>
      <w:sz w:val="60"/>
      <w:szCs w:val="60"/>
      <w:lang w:eastAsia="lt-LT"/>
    </w:rPr>
  </w:style>
  <w:style w:type="character" w:customStyle="1" w:styleId="TitulinispavadinimasChar">
    <w:name w:val="• Titulinis pavadinimas Char"/>
    <w:basedOn w:val="DefaultParagraphFont"/>
    <w:link w:val="Titulinispavadinimas"/>
    <w:rsid w:val="00F56F97"/>
    <w:rPr>
      <w:rFonts w:asciiTheme="majorHAnsi" w:eastAsia="Times New Roman" w:hAnsiTheme="majorHAnsi"/>
      <w:bCs/>
      <w:color w:val="00478A"/>
      <w:sz w:val="60"/>
      <w:szCs w:val="60"/>
      <w:lang w:eastAsia="lt-LT"/>
    </w:rPr>
  </w:style>
  <w:style w:type="paragraph" w:customStyle="1" w:styleId="Tituliniosubpavadinimas">
    <w:name w:val="• Titulinio subpavadinimas"/>
    <w:basedOn w:val="Titulinispavadinimas"/>
    <w:link w:val="TituliniosubpavadinimasChar"/>
    <w:qFormat/>
    <w:rsid w:val="00A615ED"/>
    <w:pPr>
      <w:spacing w:before="240" w:after="240"/>
    </w:pPr>
    <w:rPr>
      <w:color w:val="4181B6"/>
      <w:sz w:val="40"/>
      <w:szCs w:val="40"/>
    </w:rPr>
  </w:style>
  <w:style w:type="character" w:customStyle="1" w:styleId="TituliniosubpavadinimasChar">
    <w:name w:val="• Titulinio subpavadinimas Char"/>
    <w:basedOn w:val="TitulinispavadinimasChar"/>
    <w:link w:val="Tituliniosubpavadinimas"/>
    <w:rsid w:val="00165A24"/>
    <w:rPr>
      <w:rFonts w:asciiTheme="majorHAnsi" w:eastAsia="Times New Roman" w:hAnsiTheme="majorHAnsi"/>
      <w:bCs/>
      <w:color w:val="4181B6"/>
      <w:sz w:val="40"/>
      <w:szCs w:val="40"/>
      <w:lang w:eastAsia="lt-LT"/>
    </w:rPr>
  </w:style>
  <w:style w:type="paragraph" w:customStyle="1" w:styleId="Tituliniodata">
    <w:name w:val="• Titulinio data"/>
    <w:qFormat/>
    <w:rsid w:val="00A615ED"/>
    <w:pPr>
      <w:ind w:left="2694"/>
    </w:pPr>
    <w:rPr>
      <w:rFonts w:asciiTheme="majorHAnsi" w:eastAsia="Times New Roman" w:hAnsiTheme="majorHAnsi"/>
      <w:sz w:val="24"/>
      <w:szCs w:val="24"/>
    </w:rPr>
  </w:style>
  <w:style w:type="paragraph" w:customStyle="1" w:styleId="Pagrindinispaprastastekstas">
    <w:name w:val="• Pagrindinis paprastas tekstas"/>
    <w:basedOn w:val="Normal"/>
    <w:link w:val="PagrindinispaprastastekstasChar"/>
    <w:qFormat/>
    <w:rsid w:val="00A615ED"/>
    <w:pPr>
      <w:jc w:val="both"/>
    </w:pPr>
    <w:rPr>
      <w:rFonts w:asciiTheme="majorHAnsi" w:eastAsia="Times New Roman" w:hAnsiTheme="majorHAnsi"/>
      <w:sz w:val="22"/>
    </w:rPr>
  </w:style>
  <w:style w:type="paragraph" w:customStyle="1" w:styleId="Headeriams">
    <w:name w:val="• Headeriams"/>
    <w:basedOn w:val="Pagrindinispaprastastekstas"/>
    <w:qFormat/>
    <w:rsid w:val="00A615ED"/>
    <w:pPr>
      <w:jc w:val="right"/>
    </w:pPr>
    <w:rPr>
      <w:color w:val="4181B6"/>
      <w:sz w:val="20"/>
    </w:rPr>
  </w:style>
  <w:style w:type="paragraph" w:customStyle="1" w:styleId="Nenumeruojamosantrastes">
    <w:name w:val="• Nenumeruojamos antrastes"/>
    <w:next w:val="Pagrindinispaprastastekstas"/>
    <w:link w:val="NenumeruojamosantrastesChar"/>
    <w:qFormat/>
    <w:rsid w:val="00807100"/>
    <w:pPr>
      <w:widowControl w:val="0"/>
      <w:shd w:val="clear" w:color="auto" w:fill="DBE5F1" w:themeFill="accent1" w:themeFillTint="33"/>
      <w:spacing w:before="240" w:after="240"/>
      <w:jc w:val="center"/>
    </w:pPr>
    <w:rPr>
      <w:rFonts w:asciiTheme="majorHAnsi" w:eastAsia="Times New Roman" w:hAnsiTheme="majorHAnsi"/>
      <w:b/>
      <w:bCs/>
      <w:caps/>
      <w:color w:val="4181B6"/>
      <w:kern w:val="32"/>
      <w:sz w:val="28"/>
      <w:szCs w:val="32"/>
      <w:lang w:eastAsia="lt-LT"/>
    </w:rPr>
  </w:style>
  <w:style w:type="character" w:customStyle="1" w:styleId="NenumeruojamosantrastesChar">
    <w:name w:val="• Nenumeruojamos antrastes Char"/>
    <w:basedOn w:val="DefaultParagraphFont"/>
    <w:link w:val="Nenumeruojamosantrastes"/>
    <w:rsid w:val="00807100"/>
    <w:rPr>
      <w:rFonts w:asciiTheme="majorHAnsi" w:eastAsia="Times New Roman" w:hAnsiTheme="majorHAnsi"/>
      <w:b/>
      <w:bCs/>
      <w:caps/>
      <w:color w:val="4181B6"/>
      <w:kern w:val="32"/>
      <w:sz w:val="28"/>
      <w:szCs w:val="32"/>
      <w:shd w:val="clear" w:color="auto" w:fill="DBE5F1" w:themeFill="accent1" w:themeFillTint="33"/>
      <w:lang w:eastAsia="lt-LT"/>
    </w:rPr>
  </w:style>
  <w:style w:type="character" w:styleId="FootnoteReference">
    <w:name w:val="footnote reference"/>
    <w:aliases w:val="• Isnasos nuoroda,Footnote Reference Number,Footnote Reference_LVL6,Footnote Reference_LVL61,Footnote Reference_LVL62,Footnote Reference_LVL63,Footnote Reference_LVL64,Footnote symbol,BVI fnr,Voetnootverwijzing,Times 10 Point,fr"/>
    <w:basedOn w:val="DefaultParagraphFont"/>
    <w:link w:val="SUPERSChar"/>
    <w:uiPriority w:val="99"/>
    <w:qFormat/>
    <w:rsid w:val="00A615ED"/>
    <w:rPr>
      <w:rFonts w:asciiTheme="majorHAnsi" w:hAnsiTheme="majorHAnsi"/>
      <w:dstrike w:val="0"/>
      <w:sz w:val="22"/>
      <w:vertAlign w:val="superscript"/>
      <w:lang w:val="lt-LT"/>
    </w:rPr>
  </w:style>
  <w:style w:type="paragraph" w:styleId="FootnoteText">
    <w:name w:val="footnote text"/>
    <w:aliases w:val="• Isnasos,Antraštės 3,Footnote Diagrama Diagrama,Footnote Diagrama Diagrama Diagrama Diagrama,Footnote Diagrama,Footnote Diagrama Diagrama Diagrama Diagrama Diagrama,Footnote Text Char Char,Footnote,fn,o,f,Fußnote,Fußnotentextf"/>
    <w:link w:val="FootnoteTextChar"/>
    <w:uiPriority w:val="99"/>
    <w:qFormat/>
    <w:rsid w:val="00A615ED"/>
    <w:rPr>
      <w:rFonts w:asciiTheme="majorHAnsi" w:eastAsia="Times New Roman" w:hAnsiTheme="majorHAnsi"/>
      <w:sz w:val="18"/>
    </w:rPr>
  </w:style>
  <w:style w:type="character" w:customStyle="1" w:styleId="FootnoteTextChar">
    <w:name w:val="Footnote Text Char"/>
    <w:aliases w:val="• Isnasos Char,Antraštės 3 Char,Footnote Diagrama Diagrama Char,Footnote Diagrama Diagrama Diagrama Diagrama Char,Footnote Diagrama Char,Footnote Diagrama Diagrama Diagrama Diagrama Diagrama Char,Footnote Text Char Char Char,fn Char"/>
    <w:basedOn w:val="DefaultParagraphFont"/>
    <w:link w:val="FootnoteText"/>
    <w:uiPriority w:val="99"/>
    <w:rsid w:val="00332263"/>
    <w:rPr>
      <w:rFonts w:asciiTheme="majorHAnsi" w:eastAsia="Times New Roman" w:hAnsiTheme="majorHAnsi"/>
      <w:sz w:val="18"/>
    </w:rPr>
  </w:style>
  <w:style w:type="paragraph" w:customStyle="1" w:styleId="Antrastes2">
    <w:name w:val="• Antrastes_2"/>
    <w:basedOn w:val="Antrastes1"/>
    <w:next w:val="Pagrindinispaprastastekstas"/>
    <w:link w:val="Antrastes2Char"/>
    <w:uiPriority w:val="99"/>
    <w:qFormat/>
    <w:rsid w:val="00A615ED"/>
    <w:pPr>
      <w:numPr>
        <w:ilvl w:val="1"/>
      </w:numPr>
      <w:spacing w:before="360"/>
      <w:outlineLvl w:val="1"/>
    </w:pPr>
  </w:style>
  <w:style w:type="character" w:customStyle="1" w:styleId="Antrastes2Char">
    <w:name w:val="• Antrastes_2 Char"/>
    <w:basedOn w:val="Heading2Char"/>
    <w:link w:val="Antrastes2"/>
    <w:uiPriority w:val="99"/>
    <w:rsid w:val="0098215B"/>
    <w:rPr>
      <w:rFonts w:asciiTheme="majorHAnsi" w:eastAsia="Times New Roman" w:hAnsiTheme="majorHAnsi"/>
      <w:b/>
      <w:bCs/>
      <w:iCs/>
      <w:caps/>
      <w:color w:val="4181B6"/>
      <w:kern w:val="32"/>
      <w:sz w:val="28"/>
      <w:szCs w:val="32"/>
      <w:lang w:eastAsia="lt-LT"/>
    </w:rPr>
  </w:style>
  <w:style w:type="paragraph" w:customStyle="1" w:styleId="Antrastes3">
    <w:name w:val="• Antrastes_3"/>
    <w:basedOn w:val="Antrastes2"/>
    <w:next w:val="Pagrindinispaprastastekstas"/>
    <w:link w:val="Antrastes3Char"/>
    <w:qFormat/>
    <w:rsid w:val="00A615ED"/>
    <w:pPr>
      <w:numPr>
        <w:ilvl w:val="2"/>
      </w:numPr>
      <w:jc w:val="both"/>
      <w:outlineLvl w:val="2"/>
    </w:pPr>
    <w:rPr>
      <w:caps w:val="0"/>
    </w:rPr>
  </w:style>
  <w:style w:type="character" w:customStyle="1" w:styleId="Antrastes3Char">
    <w:name w:val="• Antrastes_3 Char"/>
    <w:basedOn w:val="Heading3Char"/>
    <w:link w:val="Antrastes3"/>
    <w:rsid w:val="00165A24"/>
    <w:rPr>
      <w:rFonts w:asciiTheme="majorHAnsi" w:eastAsia="Times New Roman" w:hAnsiTheme="majorHAnsi" w:cstheme="majorBidi"/>
      <w:b/>
      <w:bCs/>
      <w:color w:val="4181B6"/>
      <w:kern w:val="32"/>
      <w:sz w:val="28"/>
      <w:szCs w:val="32"/>
      <w:lang w:eastAsia="lt-LT"/>
    </w:rPr>
  </w:style>
  <w:style w:type="paragraph" w:customStyle="1" w:styleId="Antrastes4">
    <w:name w:val="• Antrastes_4"/>
    <w:basedOn w:val="Antrastes3"/>
    <w:next w:val="Pagrindinispaprastastekstas"/>
    <w:qFormat/>
    <w:rsid w:val="00A615ED"/>
    <w:pPr>
      <w:numPr>
        <w:ilvl w:val="3"/>
      </w:numPr>
      <w:outlineLvl w:val="3"/>
    </w:pPr>
    <w:rPr>
      <w:i/>
      <w:sz w:val="24"/>
    </w:rPr>
  </w:style>
  <w:style w:type="paragraph" w:customStyle="1" w:styleId="Lentelemsantraste">
    <w:name w:val="• Lentelems antraste"/>
    <w:basedOn w:val="Pagrindinispaprastastekstas"/>
    <w:qFormat/>
    <w:rsid w:val="00A615ED"/>
    <w:pPr>
      <w:jc w:val="left"/>
    </w:pPr>
    <w:rPr>
      <w:b/>
      <w:bCs/>
      <w:color w:val="FFFFFF" w:themeColor="background1"/>
      <w:sz w:val="20"/>
    </w:rPr>
  </w:style>
  <w:style w:type="paragraph" w:customStyle="1" w:styleId="Saltinis">
    <w:name w:val="• Saltinis"/>
    <w:next w:val="Pagrindinispaprastastekstas"/>
    <w:qFormat/>
    <w:rsid w:val="00A615ED"/>
    <w:pPr>
      <w:spacing w:before="60"/>
    </w:pPr>
    <w:rPr>
      <w:rFonts w:asciiTheme="majorHAnsi" w:eastAsia="Times New Roman" w:hAnsiTheme="majorHAnsi"/>
      <w:color w:val="00478A"/>
      <w:sz w:val="20"/>
    </w:rPr>
  </w:style>
  <w:style w:type="paragraph" w:customStyle="1" w:styleId="Textboxantrastes">
    <w:name w:val="• Text box antrastes"/>
    <w:basedOn w:val="ListParagraph"/>
    <w:next w:val="Textboxtekstassubullets"/>
    <w:qFormat/>
    <w:rsid w:val="00A615ED"/>
    <w:pPr>
      <w:spacing w:before="120" w:after="120"/>
      <w:ind w:left="0"/>
      <w:contextualSpacing w:val="0"/>
      <w:jc w:val="left"/>
    </w:pPr>
    <w:rPr>
      <w:rFonts w:asciiTheme="majorHAnsi" w:hAnsiTheme="majorHAnsi"/>
      <w:b/>
      <w:color w:val="00478A"/>
      <w:sz w:val="20"/>
      <w:szCs w:val="32"/>
    </w:rPr>
  </w:style>
  <w:style w:type="paragraph" w:styleId="ListParagraph">
    <w:name w:val="List Paragraph"/>
    <w:basedOn w:val="Normal"/>
    <w:uiPriority w:val="34"/>
    <w:qFormat/>
    <w:rsid w:val="00165A24"/>
    <w:pPr>
      <w:ind w:left="720"/>
      <w:contextualSpacing/>
      <w:jc w:val="both"/>
    </w:pPr>
    <w:rPr>
      <w:rFonts w:eastAsia="Calibri"/>
    </w:rPr>
  </w:style>
  <w:style w:type="paragraph" w:customStyle="1" w:styleId="Textboxtekstassubullets">
    <w:name w:val="• Text box tekstas su bullets"/>
    <w:basedOn w:val="Textboxtekstas"/>
    <w:qFormat/>
    <w:rsid w:val="00A615ED"/>
    <w:pPr>
      <w:numPr>
        <w:numId w:val="5"/>
      </w:numPr>
      <w:spacing w:before="120" w:after="120"/>
      <w:contextualSpacing/>
    </w:pPr>
  </w:style>
  <w:style w:type="character" w:customStyle="1" w:styleId="Heading5Char">
    <w:name w:val="Heading 5 Char"/>
    <w:basedOn w:val="DefaultParagraphFont"/>
    <w:link w:val="Heading5"/>
    <w:rsid w:val="00165A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65A24"/>
    <w:rPr>
      <w:rFonts w:ascii="Times New Roman" w:eastAsia="Times New Roman" w:hAnsi="Times New Roman" w:cs="Times New Roman"/>
      <w:b/>
      <w:bCs/>
      <w:lang w:val="en-GB" w:eastAsia="ar-SA"/>
    </w:rPr>
  </w:style>
  <w:style w:type="character" w:customStyle="1" w:styleId="Heading7Char">
    <w:name w:val="Heading 7 Char"/>
    <w:basedOn w:val="DefaultParagraphFont"/>
    <w:link w:val="Heading7"/>
    <w:uiPriority w:val="9"/>
    <w:rsid w:val="00165A2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8Char">
    <w:name w:val="Heading 8 Char"/>
    <w:basedOn w:val="DefaultParagraphFont"/>
    <w:link w:val="Heading8"/>
    <w:uiPriority w:val="9"/>
    <w:rsid w:val="00165A24"/>
    <w:rPr>
      <w:rFonts w:ascii="Times New Roman" w:eastAsia="Times New Roman" w:hAnsi="Times New Roman" w:cs="Times New Roman"/>
      <w:i/>
      <w:iCs/>
      <w:sz w:val="24"/>
      <w:szCs w:val="24"/>
      <w:lang w:val="en-GB" w:eastAsia="ar-SA"/>
    </w:rPr>
  </w:style>
  <w:style w:type="character" w:customStyle="1" w:styleId="Heading9Char">
    <w:name w:val="Heading 9 Char"/>
    <w:basedOn w:val="DefaultParagraphFont"/>
    <w:link w:val="Heading9"/>
    <w:rsid w:val="00165A24"/>
    <w:rPr>
      <w:rFonts w:ascii="Arial" w:eastAsia="Times New Roman" w:hAnsi="Arial" w:cs="Arial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165A24"/>
    <w:pPr>
      <w:spacing w:before="120" w:after="120"/>
    </w:pPr>
    <w:rPr>
      <w:rFonts w:asciiTheme="minorHAnsi" w:eastAsia="Times New Roman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165A24"/>
    <w:pPr>
      <w:ind w:left="240"/>
    </w:pPr>
    <w:rPr>
      <w:rFonts w:asciiTheme="minorHAnsi" w:eastAsia="Times New Roman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165A24"/>
    <w:pPr>
      <w:ind w:left="480"/>
    </w:pPr>
    <w:rPr>
      <w:rFonts w:asciiTheme="minorHAnsi" w:eastAsia="Times New Roman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5A24"/>
    <w:pPr>
      <w:ind w:left="720"/>
    </w:pPr>
    <w:rPr>
      <w:rFonts w:asciiTheme="minorHAnsi" w:eastAsia="Times New Roman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5A24"/>
    <w:pPr>
      <w:ind w:left="960"/>
    </w:pPr>
    <w:rPr>
      <w:rFonts w:asciiTheme="minorHAnsi" w:eastAsia="Times New Roman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5A24"/>
    <w:pPr>
      <w:ind w:left="1200"/>
    </w:pPr>
    <w:rPr>
      <w:rFonts w:asciiTheme="minorHAnsi" w:eastAsia="Times New Roman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5A24"/>
    <w:pPr>
      <w:ind w:left="1440"/>
    </w:pPr>
    <w:rPr>
      <w:rFonts w:asciiTheme="minorHAnsi" w:eastAsia="Times New Roman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5A24"/>
    <w:pPr>
      <w:ind w:left="1680"/>
    </w:pPr>
    <w:rPr>
      <w:rFonts w:asciiTheme="minorHAnsi" w:eastAsia="Times New Roman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5A24"/>
    <w:pPr>
      <w:ind w:left="1920"/>
    </w:pPr>
    <w:rPr>
      <w:rFonts w:asciiTheme="minorHAnsi" w:eastAsia="Times New Roman" w:hAnsiTheme="minorHAnsi" w:cstheme="minorHAns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165A24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A2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5A24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65A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A24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65A24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aliases w:val="• Caption"/>
    <w:basedOn w:val="Normal"/>
    <w:next w:val="Pagrindinispaprastastekstas"/>
    <w:qFormat/>
    <w:rsid w:val="00A615ED"/>
    <w:pPr>
      <w:spacing w:after="60"/>
    </w:pPr>
    <w:rPr>
      <w:rFonts w:asciiTheme="majorHAnsi" w:eastAsia="Times New Roman" w:hAnsiTheme="majorHAnsi"/>
      <w:b/>
      <w:bCs/>
      <w:color w:val="00478A"/>
      <w:sz w:val="22"/>
      <w:szCs w:val="22"/>
    </w:rPr>
  </w:style>
  <w:style w:type="character" w:styleId="PageNumber">
    <w:name w:val="page number"/>
    <w:basedOn w:val="DefaultParagraphFont"/>
    <w:rsid w:val="00165A24"/>
  </w:style>
  <w:style w:type="character" w:styleId="EndnoteReference">
    <w:name w:val="endnote reference"/>
    <w:rsid w:val="00165A24"/>
    <w:rPr>
      <w:vertAlign w:val="superscript"/>
    </w:rPr>
  </w:style>
  <w:style w:type="paragraph" w:styleId="EndnoteText">
    <w:name w:val="endnote text"/>
    <w:basedOn w:val="Normal"/>
    <w:link w:val="EndnoteTextChar"/>
    <w:rsid w:val="00165A24"/>
    <w:pPr>
      <w:suppressAutoHyphens/>
      <w:jc w:val="both"/>
    </w:pPr>
    <w:rPr>
      <w:rFonts w:eastAsia="Times New Roman"/>
      <w:sz w:val="20"/>
      <w:szCs w:val="20"/>
      <w:lang w:val="en-GB" w:eastAsia="ar-SA"/>
    </w:rPr>
  </w:style>
  <w:style w:type="character" w:customStyle="1" w:styleId="EndnoteTextChar">
    <w:name w:val="Endnote Text Char"/>
    <w:basedOn w:val="DefaultParagraphFont"/>
    <w:link w:val="EndnoteText"/>
    <w:rsid w:val="00165A2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List">
    <w:name w:val="List"/>
    <w:basedOn w:val="Normal"/>
    <w:rsid w:val="00165A24"/>
    <w:pPr>
      <w:suppressAutoHyphens/>
      <w:spacing w:after="120" w:line="276" w:lineRule="auto"/>
      <w:jc w:val="both"/>
    </w:pPr>
    <w:rPr>
      <w:rFonts w:eastAsia="Times New Roman" w:cs="Tahoma"/>
      <w:sz w:val="22"/>
      <w:szCs w:val="22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65A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5A24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165A24"/>
    <w:pPr>
      <w:tabs>
        <w:tab w:val="left" w:pos="850"/>
        <w:tab w:val="left" w:pos="1191"/>
        <w:tab w:val="left" w:pos="1531"/>
      </w:tabs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szCs w:val="20"/>
      <w:lang w:val="en-GB" w:eastAsia="zh-TW"/>
    </w:rPr>
  </w:style>
  <w:style w:type="character" w:customStyle="1" w:styleId="TitleChar">
    <w:name w:val="Title Char"/>
    <w:basedOn w:val="DefaultParagraphFont"/>
    <w:link w:val="Title"/>
    <w:rsid w:val="00165A24"/>
    <w:rPr>
      <w:rFonts w:ascii="Arial" w:eastAsia="Times New Roman" w:hAnsi="Arial" w:cs="Times New Roman"/>
      <w:b/>
      <w:kern w:val="28"/>
      <w:sz w:val="32"/>
      <w:szCs w:val="20"/>
      <w:lang w:val="en-GB" w:eastAsia="zh-TW"/>
    </w:rPr>
  </w:style>
  <w:style w:type="paragraph" w:styleId="Subtitle">
    <w:name w:val="Subtitle"/>
    <w:basedOn w:val="Normal"/>
    <w:next w:val="BodyText"/>
    <w:link w:val="SubtitleChar"/>
    <w:qFormat/>
    <w:rsid w:val="00165A24"/>
    <w:pPr>
      <w:keepNext/>
      <w:suppressAutoHyphens/>
      <w:spacing w:before="240" w:after="120" w:line="276" w:lineRule="auto"/>
      <w:jc w:val="center"/>
    </w:pPr>
    <w:rPr>
      <w:rFonts w:ascii="Arial" w:eastAsia="Lucida Sans Unicode" w:hAnsi="Arial" w:cs="Tahoma"/>
      <w:i/>
      <w:iCs/>
      <w:sz w:val="28"/>
      <w:szCs w:val="28"/>
      <w:lang w:val="en-GB" w:eastAsia="ar-SA"/>
    </w:rPr>
  </w:style>
  <w:style w:type="character" w:customStyle="1" w:styleId="SubtitleChar">
    <w:name w:val="Subtitle Char"/>
    <w:basedOn w:val="DefaultParagraphFont"/>
    <w:link w:val="Subtitle"/>
    <w:rsid w:val="00165A24"/>
    <w:rPr>
      <w:rFonts w:ascii="Arial" w:eastAsia="Lucida Sans Unicode" w:hAnsi="Arial" w:cs="Tahoma"/>
      <w:i/>
      <w:iCs/>
      <w:sz w:val="28"/>
      <w:szCs w:val="28"/>
      <w:lang w:val="en-GB" w:eastAsia="ar-SA"/>
    </w:rPr>
  </w:style>
  <w:style w:type="character" w:styleId="Hyperlink">
    <w:name w:val="Hyperlink"/>
    <w:basedOn w:val="DefaultParagraphFont"/>
    <w:uiPriority w:val="99"/>
    <w:rsid w:val="00165A24"/>
    <w:rPr>
      <w:color w:val="0000FF"/>
      <w:u w:val="single"/>
    </w:rPr>
  </w:style>
  <w:style w:type="character" w:styleId="FollowedHyperlink">
    <w:name w:val="FollowedHyperlink"/>
    <w:basedOn w:val="DefaultParagraphFont"/>
    <w:rsid w:val="00165A24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165A24"/>
    <w:rPr>
      <w:b/>
      <w:bCs/>
    </w:rPr>
  </w:style>
  <w:style w:type="character" w:styleId="Emphasis">
    <w:name w:val="Emphasis"/>
    <w:basedOn w:val="DefaultParagraphFont"/>
    <w:uiPriority w:val="20"/>
    <w:qFormat/>
    <w:rsid w:val="00165A24"/>
    <w:rPr>
      <w:i/>
      <w:iCs/>
    </w:rPr>
  </w:style>
  <w:style w:type="paragraph" w:styleId="PlainText">
    <w:name w:val="Plain Text"/>
    <w:basedOn w:val="Normal"/>
    <w:link w:val="PlainTextChar"/>
    <w:uiPriority w:val="99"/>
    <w:rsid w:val="00165A24"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65A24"/>
    <w:rPr>
      <w:rFonts w:ascii="Courier New" w:eastAsia="Times New Roman" w:hAnsi="Courier New" w:cs="Courier New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165A24"/>
    <w:pPr>
      <w:spacing w:before="100" w:beforeAutospacing="1" w:after="100" w:afterAutospacing="1"/>
    </w:pPr>
    <w:rPr>
      <w:rFonts w:eastAsia="Times New Roman"/>
      <w:lang w:eastAsia="lt-LT"/>
    </w:rPr>
  </w:style>
  <w:style w:type="character" w:styleId="HTMLCite">
    <w:name w:val="HTML Cite"/>
    <w:basedOn w:val="DefaultParagraphFont"/>
    <w:uiPriority w:val="99"/>
    <w:unhideWhenUsed/>
    <w:rsid w:val="00165A24"/>
    <w:rPr>
      <w:i/>
      <w:iCs/>
    </w:rPr>
  </w:style>
  <w:style w:type="table" w:styleId="TableColumns3">
    <w:name w:val="Table Columns 3"/>
    <w:basedOn w:val="TableNormal"/>
    <w:rsid w:val="00165A24"/>
    <w:rPr>
      <w:rFonts w:ascii="Times New Roman" w:eastAsia="Times New Roman" w:hAnsi="Times New Roman"/>
      <w:b/>
      <w:bCs/>
      <w:sz w:val="20"/>
      <w:szCs w:val="20"/>
      <w:lang w:eastAsia="lt-LT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65A24"/>
    <w:rPr>
      <w:rFonts w:ascii="Times New Roman" w:eastAsia="Times New Roman" w:hAnsi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165A24"/>
    <w:rPr>
      <w:rFonts w:ascii="Calibri" w:eastAsia="Times New Roman" w:hAnsi="Calibri"/>
      <w:lang w:val="en-US"/>
    </w:rPr>
  </w:style>
  <w:style w:type="paragraph" w:styleId="IntenseQuote">
    <w:name w:val="Intense Quote"/>
    <w:basedOn w:val="Normal"/>
    <w:next w:val="Normal"/>
    <w:link w:val="IntenseQuoteChar"/>
    <w:qFormat/>
    <w:rsid w:val="00165A24"/>
    <w:pPr>
      <w:numPr>
        <w:numId w:val="2"/>
      </w:numPr>
      <w:pBdr>
        <w:bottom w:val="single" w:sz="4" w:space="4" w:color="4F81BD"/>
      </w:pBdr>
      <w:spacing w:before="200" w:after="280"/>
      <w:ind w:right="936"/>
      <w:jc w:val="center"/>
    </w:pPr>
    <w:rPr>
      <w:rFonts w:eastAsia="Times New Roman"/>
      <w:b/>
      <w:bCs/>
      <w:i/>
      <w:iCs/>
      <w:color w:val="002060"/>
      <w:sz w:val="28"/>
    </w:rPr>
  </w:style>
  <w:style w:type="character" w:customStyle="1" w:styleId="IntenseQuoteChar">
    <w:name w:val="Intense Quote Char"/>
    <w:basedOn w:val="DefaultParagraphFont"/>
    <w:link w:val="IntenseQuote"/>
    <w:rsid w:val="00165A24"/>
    <w:rPr>
      <w:rFonts w:ascii="Times New Roman" w:eastAsia="Times New Roman" w:hAnsi="Times New Roman"/>
      <w:b/>
      <w:bCs/>
      <w:i/>
      <w:iCs/>
      <w:color w:val="002060"/>
      <w:sz w:val="28"/>
      <w:szCs w:val="24"/>
    </w:rPr>
  </w:style>
  <w:style w:type="paragraph" w:customStyle="1" w:styleId="Style1">
    <w:name w:val="Style1"/>
    <w:basedOn w:val="Normal"/>
    <w:qFormat/>
    <w:rsid w:val="00165A24"/>
    <w:pPr>
      <w:tabs>
        <w:tab w:val="left" w:pos="695"/>
        <w:tab w:val="right" w:pos="9922"/>
      </w:tabs>
      <w:jc w:val="right"/>
    </w:pPr>
    <w:rPr>
      <w:rFonts w:ascii="PF Square Sans Pro" w:eastAsia="Times New Roman" w:hAnsi="PF Square Sans Pro"/>
      <w:color w:val="4181B6"/>
      <w:sz w:val="22"/>
    </w:rPr>
  </w:style>
  <w:style w:type="paragraph" w:customStyle="1" w:styleId="Style3">
    <w:name w:val="Style3"/>
    <w:next w:val="Pagrindinispaprastastekstas"/>
    <w:qFormat/>
    <w:rsid w:val="00165A24"/>
    <w:rPr>
      <w:rFonts w:ascii="Calibri" w:eastAsia="Times New Roman" w:hAnsi="Calibri"/>
      <w:lang w:val="en-US"/>
    </w:rPr>
  </w:style>
  <w:style w:type="paragraph" w:customStyle="1" w:styleId="TableContents">
    <w:name w:val="Table Contents"/>
    <w:basedOn w:val="Normal"/>
    <w:rsid w:val="00165A24"/>
    <w:pPr>
      <w:widowControl w:val="0"/>
      <w:suppressLineNumbers/>
      <w:suppressAutoHyphens/>
    </w:pPr>
    <w:rPr>
      <w:rFonts w:eastAsia="Lucida Sans Unicode"/>
    </w:rPr>
  </w:style>
  <w:style w:type="paragraph" w:customStyle="1" w:styleId="TableHeading">
    <w:name w:val="Table Heading"/>
    <w:basedOn w:val="TableContents"/>
    <w:rsid w:val="00165A24"/>
    <w:pPr>
      <w:jc w:val="center"/>
    </w:pPr>
    <w:rPr>
      <w:b/>
      <w:bCs/>
      <w:i/>
      <w:iCs/>
    </w:rPr>
  </w:style>
  <w:style w:type="paragraph" w:customStyle="1" w:styleId="Default">
    <w:name w:val="Default"/>
    <w:rsid w:val="00165A2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lt-LT"/>
    </w:rPr>
  </w:style>
  <w:style w:type="paragraph" w:customStyle="1" w:styleId="Style2">
    <w:name w:val="Style2"/>
    <w:basedOn w:val="Antrastes3"/>
    <w:qFormat/>
    <w:rsid w:val="00165A24"/>
    <w:pPr>
      <w:numPr>
        <w:ilvl w:val="0"/>
        <w:numId w:val="0"/>
      </w:numPr>
      <w:ind w:left="864" w:hanging="864"/>
    </w:pPr>
  </w:style>
  <w:style w:type="paragraph" w:customStyle="1" w:styleId="Lentelemstekstas">
    <w:name w:val="• Lentelems tekstas"/>
    <w:basedOn w:val="Lentelemsantraste"/>
    <w:qFormat/>
    <w:rsid w:val="00A615ED"/>
    <w:rPr>
      <w:b w:val="0"/>
      <w:bCs w:val="0"/>
      <w:iCs/>
      <w:color w:val="4181B6"/>
    </w:rPr>
  </w:style>
  <w:style w:type="paragraph" w:customStyle="1" w:styleId="Textboxtekstas">
    <w:name w:val="• Text box tekstas"/>
    <w:basedOn w:val="Normal"/>
    <w:qFormat/>
    <w:rsid w:val="00A615ED"/>
    <w:pPr>
      <w:jc w:val="both"/>
    </w:pPr>
    <w:rPr>
      <w:rFonts w:asciiTheme="majorHAnsi" w:eastAsia="Times New Roman" w:hAnsiTheme="majorHAnsi"/>
      <w:bCs/>
      <w:color w:val="4181B6"/>
      <w:kern w:val="32"/>
      <w:sz w:val="20"/>
      <w:szCs w:val="20"/>
      <w:lang w:eastAsia="lt-LT"/>
    </w:rPr>
  </w:style>
  <w:style w:type="paragraph" w:customStyle="1" w:styleId="Titulinionuoroda">
    <w:name w:val="• Titulinio nuoroda"/>
    <w:basedOn w:val="Normal"/>
    <w:qFormat/>
    <w:rsid w:val="00A615ED"/>
    <w:pPr>
      <w:ind w:left="2694"/>
      <w:jc w:val="both"/>
    </w:pPr>
    <w:rPr>
      <w:rFonts w:asciiTheme="majorHAnsi" w:eastAsia="Times New Roman" w:hAnsiTheme="majorHAnsi"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7BA"/>
    <w:rPr>
      <w:rFonts w:ascii="Tahoma" w:hAnsi="Tahoma" w:cs="Tahoma"/>
      <w:sz w:val="16"/>
      <w:szCs w:val="16"/>
    </w:rPr>
  </w:style>
  <w:style w:type="paragraph" w:customStyle="1" w:styleId="Priedupavadinimai">
    <w:name w:val="• Priedu pavadinimai"/>
    <w:basedOn w:val="Nenumeruojamosantrastes"/>
    <w:next w:val="Pagrindinispaprastastekstas"/>
    <w:qFormat/>
    <w:rsid w:val="007D416A"/>
    <w:pPr>
      <w:numPr>
        <w:numId w:val="4"/>
      </w:numPr>
      <w:tabs>
        <w:tab w:val="center" w:pos="1701"/>
        <w:tab w:val="left" w:pos="1843"/>
        <w:tab w:val="left" w:pos="2127"/>
      </w:tabs>
      <w:ind w:left="0" w:firstLine="0"/>
    </w:pPr>
  </w:style>
  <w:style w:type="paragraph" w:customStyle="1" w:styleId="StyleTextboxtekstassubulletsBold">
    <w:name w:val="Style • Text box tekstas su bullets + Bold"/>
    <w:basedOn w:val="Textboxtekstassubullets"/>
    <w:rsid w:val="00332263"/>
    <w:rPr>
      <w:b/>
    </w:rPr>
  </w:style>
  <w:style w:type="paragraph" w:styleId="TableofFigures">
    <w:name w:val="table of figures"/>
    <w:basedOn w:val="Normal"/>
    <w:next w:val="Normal"/>
    <w:uiPriority w:val="99"/>
    <w:rsid w:val="007D416A"/>
    <w:rPr>
      <w:rFonts w:asciiTheme="majorHAnsi" w:hAnsiTheme="majorHAnsi"/>
      <w:sz w:val="22"/>
    </w:rPr>
  </w:style>
  <w:style w:type="table" w:customStyle="1" w:styleId="ListTable3-Accent11">
    <w:name w:val="List Table 3 - Accent 11"/>
    <w:basedOn w:val="TableNormal"/>
    <w:uiPriority w:val="48"/>
    <w:rsid w:val="00794FF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15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50C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50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DiagramaCharChar">
    <w:name w:val="Char Char Diagrama Char Char"/>
    <w:basedOn w:val="Normal"/>
    <w:rsid w:val="003934B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PagrindinispaprastastekstasChar">
    <w:name w:val="• Pagrindinis paprastas tekstas Char"/>
    <w:link w:val="Pagrindinispaprastastekstas"/>
    <w:rsid w:val="003934B3"/>
    <w:rPr>
      <w:rFonts w:asciiTheme="majorHAnsi" w:eastAsia="Times New Roman" w:hAnsiTheme="majorHAnsi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A5924"/>
    <w:rPr>
      <w:rFonts w:ascii="Calibri" w:eastAsia="Times New Roman" w:hAnsi="Calibri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A59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lang w:val="en-US" w:eastAsia="en-US"/>
    </w:rPr>
  </w:style>
  <w:style w:type="paragraph" w:customStyle="1" w:styleId="SUPERSChar">
    <w:name w:val="SUPERS Char"/>
    <w:aliases w:val="EN Footnote Reference Char"/>
    <w:basedOn w:val="Normal"/>
    <w:link w:val="FootnoteReference"/>
    <w:uiPriority w:val="99"/>
    <w:rsid w:val="00CD2304"/>
    <w:pPr>
      <w:spacing w:after="160" w:line="240" w:lineRule="exact"/>
    </w:pPr>
    <w:rPr>
      <w:rFonts w:asciiTheme="majorHAnsi" w:hAnsiTheme="majorHAnsi"/>
      <w:sz w:val="22"/>
      <w:szCs w:val="22"/>
      <w:vertAlign w:val="superscript"/>
    </w:rPr>
  </w:style>
  <w:style w:type="paragraph" w:customStyle="1" w:styleId="ListParagraph1">
    <w:name w:val="List Paragraph1"/>
    <w:basedOn w:val="Normal"/>
    <w:qFormat/>
    <w:rsid w:val="001A235B"/>
    <w:pPr>
      <w:contextualSpacing/>
    </w:pPr>
    <w:rPr>
      <w:rFonts w:eastAsia="Calibri"/>
      <w:sz w:val="20"/>
      <w:szCs w:val="22"/>
    </w:rPr>
  </w:style>
  <w:style w:type="table" w:customStyle="1" w:styleId="GridTable4-Accent11">
    <w:name w:val="Grid Table 4 - Accent 11"/>
    <w:basedOn w:val="TableNormal"/>
    <w:uiPriority w:val="49"/>
    <w:rsid w:val="00E9216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2B31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DiagramaDiagramaCharCharDiagramaCharCharDiagrama1CharCharDiagramaDiagramaDiagrama">
    <w:name w:val="Diagrama Diagrama Char Char Diagrama Char Char Diagrama1 Char Char Diagrama Diagrama Diagrama"/>
    <w:basedOn w:val="Normal"/>
    <w:rsid w:val="009B6E5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DiagramaDiagramaCharCharDiagramaDiagramaCharCharDiagramaCharChar4DiagramaDiagramaDiagrama">
    <w:name w:val="Char Char1 Diagrama Diagrama Char Char Diagrama Diagrama Char Char Diagrama Char Char4 Diagrama Diagrama Diagrama"/>
    <w:basedOn w:val="Normal"/>
    <w:rsid w:val="0038304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B3A2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F Square Sans Pro" w:eastAsiaTheme="minorHAnsi" w:hAnsi="PF Square Sans Pro" w:cs="Times New Roman"/>
        <w:sz w:val="22"/>
        <w:szCs w:val="22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Closing" w:uiPriority="99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Cite" w:uiPriority="99"/>
    <w:lsdException w:name="Normal Table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58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165A24"/>
    <w:pPr>
      <w:keepNext/>
      <w:spacing w:before="240" w:after="240"/>
      <w:outlineLvl w:val="0"/>
    </w:pPr>
    <w:rPr>
      <w:rFonts w:ascii="PFSquareSansPro-Regular" w:hAnsi="PFSquareSansPro-Regular"/>
      <w:bCs/>
      <w:color w:val="4181B6"/>
      <w:kern w:val="32"/>
      <w:sz w:val="32"/>
      <w:szCs w:val="32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5A2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color w:val="00206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65A24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65A24"/>
    <w:pPr>
      <w:keepNext/>
      <w:spacing w:before="240" w:after="60"/>
      <w:outlineLvl w:val="3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65A2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65A24"/>
    <w:pPr>
      <w:suppressAutoHyphens/>
      <w:spacing w:before="240" w:after="60" w:line="276" w:lineRule="auto"/>
      <w:jc w:val="both"/>
      <w:outlineLvl w:val="5"/>
    </w:pPr>
    <w:rPr>
      <w:rFonts w:eastAsia="Times New Roman"/>
      <w:b/>
      <w:bCs/>
      <w:sz w:val="22"/>
      <w:szCs w:val="22"/>
      <w:lang w:val="en-GB" w:eastAsia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5A24"/>
    <w:pPr>
      <w:suppressAutoHyphens/>
      <w:spacing w:before="240" w:after="60" w:line="276" w:lineRule="auto"/>
      <w:jc w:val="both"/>
      <w:outlineLvl w:val="6"/>
    </w:pPr>
    <w:rPr>
      <w:rFonts w:eastAsia="Times New Roman"/>
      <w:lang w:val="en-GB" w:eastAsia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5A24"/>
    <w:pPr>
      <w:suppressAutoHyphens/>
      <w:spacing w:before="240" w:after="60" w:line="276" w:lineRule="auto"/>
      <w:jc w:val="both"/>
      <w:outlineLvl w:val="7"/>
    </w:pPr>
    <w:rPr>
      <w:rFonts w:eastAsia="Times New Roman"/>
      <w:i/>
      <w:iCs/>
      <w:lang w:val="en-GB" w:eastAsia="ar-SA"/>
    </w:rPr>
  </w:style>
  <w:style w:type="paragraph" w:styleId="Heading9">
    <w:name w:val="heading 9"/>
    <w:basedOn w:val="Normal"/>
    <w:next w:val="Normal"/>
    <w:link w:val="Heading9Char"/>
    <w:qFormat/>
    <w:rsid w:val="00165A24"/>
    <w:pPr>
      <w:suppressAutoHyphens/>
      <w:spacing w:before="240" w:after="60" w:line="276" w:lineRule="auto"/>
      <w:jc w:val="both"/>
      <w:outlineLvl w:val="8"/>
    </w:pPr>
    <w:rPr>
      <w:rFonts w:ascii="Arial" w:eastAsia="Times New Roman" w:hAnsi="Arial" w:cs="Arial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link w:val="TekstasChar"/>
    <w:qFormat/>
    <w:rsid w:val="00D714B8"/>
    <w:rPr>
      <w:rFonts w:eastAsia="Times New Roman"/>
      <w:lang w:eastAsia="lt-LT"/>
    </w:rPr>
  </w:style>
  <w:style w:type="character" w:customStyle="1" w:styleId="TekstasChar">
    <w:name w:val="Tekstas Char"/>
    <w:basedOn w:val="DefaultParagraphFont"/>
    <w:link w:val="Tekstas"/>
    <w:rsid w:val="00D714B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165A24"/>
    <w:rPr>
      <w:rFonts w:ascii="Times New Roman" w:hAnsi="Times New Roman"/>
      <w:b/>
      <w:bCs/>
      <w:iCs/>
      <w:color w:val="00206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65A24"/>
    <w:rPr>
      <w:rFonts w:ascii="Cambria" w:eastAsiaTheme="majorEastAsia" w:hAnsi="Cambria" w:cstheme="majorBidi"/>
      <w:b/>
      <w:bCs/>
      <w:sz w:val="26"/>
      <w:szCs w:val="26"/>
    </w:rPr>
  </w:style>
  <w:style w:type="paragraph" w:customStyle="1" w:styleId="Tekstaspaaiskinimams">
    <w:name w:val="Tekstas paaiskinimams"/>
    <w:basedOn w:val="Tekstas"/>
    <w:link w:val="TekstaspaaiskinimamsChar"/>
    <w:qFormat/>
    <w:rsid w:val="00D714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BE5F1" w:themeFill="accent1" w:themeFillTint="33"/>
      <w:ind w:left="1134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TekstaspaaiskinimamsChar">
    <w:name w:val="Tekstas paaiskinimams Char"/>
    <w:basedOn w:val="TekstasChar"/>
    <w:link w:val="Tekstaspaaiskinimams"/>
    <w:rsid w:val="00D714B8"/>
    <w:rPr>
      <w:rFonts w:ascii="Cambria" w:eastAsia="Times New Roman" w:hAnsi="Cambria" w:cs="Times New Roman"/>
      <w:sz w:val="24"/>
      <w:szCs w:val="24"/>
      <w:shd w:val="clear" w:color="auto" w:fill="DBE5F1" w:themeFill="accent1" w:themeFillTint="33"/>
      <w:lang w:eastAsia="lt-LT"/>
    </w:rPr>
  </w:style>
  <w:style w:type="character" w:customStyle="1" w:styleId="Heading1Char">
    <w:name w:val="Heading 1 Char"/>
    <w:basedOn w:val="DefaultParagraphFont"/>
    <w:link w:val="Heading1"/>
    <w:rsid w:val="00165A24"/>
    <w:rPr>
      <w:rFonts w:ascii="PFSquareSansPro-Regular" w:hAnsi="PFSquareSansPro-Regular"/>
      <w:bCs/>
      <w:color w:val="4181B6"/>
      <w:kern w:val="32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rsid w:val="00165A24"/>
    <w:rPr>
      <w:rFonts w:ascii="Calibri" w:eastAsiaTheme="majorEastAsia" w:hAnsi="Calibri" w:cstheme="majorBid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7BA"/>
    <w:rPr>
      <w:rFonts w:ascii="Tahoma" w:hAnsi="Tahoma" w:cs="Tahoma"/>
      <w:sz w:val="16"/>
      <w:szCs w:val="16"/>
    </w:rPr>
  </w:style>
  <w:style w:type="paragraph" w:customStyle="1" w:styleId="Neturinioantrastes">
    <w:name w:val="• Ne turinio antrastes"/>
    <w:basedOn w:val="Tituliniosubpavadinimas"/>
    <w:next w:val="Pagrindinispaprastastekstas"/>
    <w:link w:val="NeturinioantrastesChar"/>
    <w:qFormat/>
    <w:rsid w:val="00A615ED"/>
    <w:pPr>
      <w:pageBreakBefore/>
      <w:ind w:left="0"/>
    </w:pPr>
    <w:rPr>
      <w:b/>
      <w:caps/>
      <w:sz w:val="28"/>
    </w:rPr>
  </w:style>
  <w:style w:type="character" w:customStyle="1" w:styleId="NeturinioantrastesChar">
    <w:name w:val="• Ne turinio antrastes Char"/>
    <w:basedOn w:val="TituliniosubpavadinimasChar"/>
    <w:link w:val="Neturinioantrastes"/>
    <w:rsid w:val="00F56F97"/>
    <w:rPr>
      <w:rFonts w:asciiTheme="majorHAnsi" w:eastAsia="Times New Roman" w:hAnsiTheme="majorHAnsi"/>
      <w:b/>
      <w:bCs/>
      <w:caps/>
      <w:color w:val="4181B6"/>
      <w:sz w:val="28"/>
      <w:szCs w:val="40"/>
      <w:lang w:eastAsia="lt-LT"/>
    </w:rPr>
  </w:style>
  <w:style w:type="paragraph" w:customStyle="1" w:styleId="Antrastes1">
    <w:name w:val="• Antrastes_1"/>
    <w:basedOn w:val="Nenumeruojamosantrastes"/>
    <w:next w:val="Pagrindinispaprastastekstas"/>
    <w:qFormat/>
    <w:rsid w:val="00A615ED"/>
    <w:pPr>
      <w:numPr>
        <w:numId w:val="3"/>
      </w:numPr>
      <w:outlineLvl w:val="0"/>
    </w:pPr>
  </w:style>
  <w:style w:type="paragraph" w:customStyle="1" w:styleId="Titulinispavadinimas">
    <w:name w:val="• Titulinis pavadinimas"/>
    <w:next w:val="Tituliniosubpavadinimas"/>
    <w:link w:val="TitulinispavadinimasChar"/>
    <w:qFormat/>
    <w:rsid w:val="00A615ED"/>
    <w:pPr>
      <w:spacing w:before="3120"/>
      <w:ind w:left="2693"/>
    </w:pPr>
    <w:rPr>
      <w:rFonts w:asciiTheme="majorHAnsi" w:eastAsia="Times New Roman" w:hAnsiTheme="majorHAnsi"/>
      <w:bCs/>
      <w:color w:val="00478A"/>
      <w:sz w:val="60"/>
      <w:szCs w:val="60"/>
      <w:lang w:eastAsia="lt-LT"/>
    </w:rPr>
  </w:style>
  <w:style w:type="character" w:customStyle="1" w:styleId="TitulinispavadinimasChar">
    <w:name w:val="• Titulinis pavadinimas Char"/>
    <w:basedOn w:val="DefaultParagraphFont"/>
    <w:link w:val="Titulinispavadinimas"/>
    <w:rsid w:val="00F56F97"/>
    <w:rPr>
      <w:rFonts w:asciiTheme="majorHAnsi" w:eastAsia="Times New Roman" w:hAnsiTheme="majorHAnsi"/>
      <w:bCs/>
      <w:color w:val="00478A"/>
      <w:sz w:val="60"/>
      <w:szCs w:val="60"/>
      <w:lang w:eastAsia="lt-LT"/>
    </w:rPr>
  </w:style>
  <w:style w:type="paragraph" w:customStyle="1" w:styleId="Tituliniosubpavadinimas">
    <w:name w:val="• Titulinio subpavadinimas"/>
    <w:basedOn w:val="Titulinispavadinimas"/>
    <w:link w:val="TituliniosubpavadinimasChar"/>
    <w:qFormat/>
    <w:rsid w:val="00A615ED"/>
    <w:pPr>
      <w:spacing w:before="240" w:after="240"/>
    </w:pPr>
    <w:rPr>
      <w:color w:val="4181B6"/>
      <w:sz w:val="40"/>
      <w:szCs w:val="40"/>
    </w:rPr>
  </w:style>
  <w:style w:type="character" w:customStyle="1" w:styleId="TituliniosubpavadinimasChar">
    <w:name w:val="• Titulinio subpavadinimas Char"/>
    <w:basedOn w:val="TitulinispavadinimasChar"/>
    <w:link w:val="Tituliniosubpavadinimas"/>
    <w:rsid w:val="00165A24"/>
    <w:rPr>
      <w:rFonts w:asciiTheme="majorHAnsi" w:eastAsia="Times New Roman" w:hAnsiTheme="majorHAnsi"/>
      <w:bCs/>
      <w:color w:val="4181B6"/>
      <w:sz w:val="40"/>
      <w:szCs w:val="40"/>
      <w:lang w:eastAsia="lt-LT"/>
    </w:rPr>
  </w:style>
  <w:style w:type="paragraph" w:customStyle="1" w:styleId="Tituliniodata">
    <w:name w:val="• Titulinio data"/>
    <w:qFormat/>
    <w:rsid w:val="00A615ED"/>
    <w:pPr>
      <w:ind w:left="2694"/>
    </w:pPr>
    <w:rPr>
      <w:rFonts w:asciiTheme="majorHAnsi" w:eastAsia="Times New Roman" w:hAnsiTheme="majorHAnsi"/>
      <w:sz w:val="24"/>
      <w:szCs w:val="24"/>
    </w:rPr>
  </w:style>
  <w:style w:type="paragraph" w:customStyle="1" w:styleId="Pagrindinispaprastastekstas">
    <w:name w:val="• Pagrindinis paprastas tekstas"/>
    <w:basedOn w:val="Normal"/>
    <w:link w:val="PagrindinispaprastastekstasChar"/>
    <w:qFormat/>
    <w:rsid w:val="00A615ED"/>
    <w:pPr>
      <w:jc w:val="both"/>
    </w:pPr>
    <w:rPr>
      <w:rFonts w:asciiTheme="majorHAnsi" w:eastAsia="Times New Roman" w:hAnsiTheme="majorHAnsi"/>
      <w:sz w:val="22"/>
    </w:rPr>
  </w:style>
  <w:style w:type="paragraph" w:customStyle="1" w:styleId="Headeriams">
    <w:name w:val="• Headeriams"/>
    <w:basedOn w:val="Pagrindinispaprastastekstas"/>
    <w:qFormat/>
    <w:rsid w:val="00A615ED"/>
    <w:pPr>
      <w:jc w:val="right"/>
    </w:pPr>
    <w:rPr>
      <w:color w:val="4181B6"/>
      <w:sz w:val="20"/>
    </w:rPr>
  </w:style>
  <w:style w:type="paragraph" w:customStyle="1" w:styleId="Nenumeruojamosantrastes">
    <w:name w:val="• Nenumeruojamos antrastes"/>
    <w:next w:val="Pagrindinispaprastastekstas"/>
    <w:link w:val="NenumeruojamosantrastesChar"/>
    <w:qFormat/>
    <w:rsid w:val="00807100"/>
    <w:pPr>
      <w:widowControl w:val="0"/>
      <w:shd w:val="clear" w:color="auto" w:fill="DBE5F1" w:themeFill="accent1" w:themeFillTint="33"/>
      <w:spacing w:before="240" w:after="240"/>
      <w:jc w:val="center"/>
    </w:pPr>
    <w:rPr>
      <w:rFonts w:asciiTheme="majorHAnsi" w:eastAsia="Times New Roman" w:hAnsiTheme="majorHAnsi"/>
      <w:b/>
      <w:bCs/>
      <w:caps/>
      <w:color w:val="4181B6"/>
      <w:kern w:val="32"/>
      <w:sz w:val="28"/>
      <w:szCs w:val="32"/>
      <w:lang w:eastAsia="lt-LT"/>
    </w:rPr>
  </w:style>
  <w:style w:type="character" w:customStyle="1" w:styleId="NenumeruojamosantrastesChar">
    <w:name w:val="• Nenumeruojamos antrastes Char"/>
    <w:basedOn w:val="DefaultParagraphFont"/>
    <w:link w:val="Nenumeruojamosantrastes"/>
    <w:rsid w:val="00807100"/>
    <w:rPr>
      <w:rFonts w:asciiTheme="majorHAnsi" w:eastAsia="Times New Roman" w:hAnsiTheme="majorHAnsi"/>
      <w:b/>
      <w:bCs/>
      <w:caps/>
      <w:color w:val="4181B6"/>
      <w:kern w:val="32"/>
      <w:sz w:val="28"/>
      <w:szCs w:val="32"/>
      <w:shd w:val="clear" w:color="auto" w:fill="DBE5F1" w:themeFill="accent1" w:themeFillTint="33"/>
      <w:lang w:eastAsia="lt-LT"/>
    </w:rPr>
  </w:style>
  <w:style w:type="character" w:styleId="FootnoteReference">
    <w:name w:val="footnote reference"/>
    <w:aliases w:val="• Isnasos nuoroda,Footnote Reference Number,Footnote Reference_LVL6,Footnote Reference_LVL61,Footnote Reference_LVL62,Footnote Reference_LVL63,Footnote Reference_LVL64,Footnote symbol,BVI fnr,Voetnootverwijzing,Times 10 Point,fr"/>
    <w:basedOn w:val="DefaultParagraphFont"/>
    <w:link w:val="SUPERSChar"/>
    <w:uiPriority w:val="99"/>
    <w:qFormat/>
    <w:rsid w:val="00A615ED"/>
    <w:rPr>
      <w:rFonts w:asciiTheme="majorHAnsi" w:hAnsiTheme="majorHAnsi"/>
      <w:dstrike w:val="0"/>
      <w:sz w:val="22"/>
      <w:vertAlign w:val="superscript"/>
      <w:lang w:val="lt-LT"/>
    </w:rPr>
  </w:style>
  <w:style w:type="paragraph" w:styleId="FootnoteText">
    <w:name w:val="footnote text"/>
    <w:aliases w:val="• Isnasos,Antraštės 3,Footnote Diagrama Diagrama,Footnote Diagrama Diagrama Diagrama Diagrama,Footnote Diagrama,Footnote Diagrama Diagrama Diagrama Diagrama Diagrama,Footnote Text Char Char,Footnote,fn,o,f,Fußnote,Fußnotentextf"/>
    <w:link w:val="FootnoteTextChar"/>
    <w:uiPriority w:val="99"/>
    <w:qFormat/>
    <w:rsid w:val="00A615ED"/>
    <w:rPr>
      <w:rFonts w:asciiTheme="majorHAnsi" w:eastAsia="Times New Roman" w:hAnsiTheme="majorHAnsi"/>
      <w:sz w:val="18"/>
    </w:rPr>
  </w:style>
  <w:style w:type="character" w:customStyle="1" w:styleId="FootnoteTextChar">
    <w:name w:val="Footnote Text Char"/>
    <w:aliases w:val="• Isnasos Char,Antraštės 3 Char,Footnote Diagrama Diagrama Char,Footnote Diagrama Diagrama Diagrama Diagrama Char,Footnote Diagrama Char,Footnote Diagrama Diagrama Diagrama Diagrama Diagrama Char,Footnote Text Char Char Char,fn Char"/>
    <w:basedOn w:val="DefaultParagraphFont"/>
    <w:link w:val="FootnoteText"/>
    <w:uiPriority w:val="99"/>
    <w:rsid w:val="00332263"/>
    <w:rPr>
      <w:rFonts w:asciiTheme="majorHAnsi" w:eastAsia="Times New Roman" w:hAnsiTheme="majorHAnsi"/>
      <w:sz w:val="18"/>
    </w:rPr>
  </w:style>
  <w:style w:type="paragraph" w:customStyle="1" w:styleId="Antrastes2">
    <w:name w:val="• Antrastes_2"/>
    <w:basedOn w:val="Antrastes1"/>
    <w:next w:val="Pagrindinispaprastastekstas"/>
    <w:link w:val="Antrastes2Char"/>
    <w:uiPriority w:val="99"/>
    <w:qFormat/>
    <w:rsid w:val="00A615ED"/>
    <w:pPr>
      <w:numPr>
        <w:ilvl w:val="1"/>
      </w:numPr>
      <w:spacing w:before="360"/>
      <w:outlineLvl w:val="1"/>
    </w:pPr>
  </w:style>
  <w:style w:type="character" w:customStyle="1" w:styleId="Antrastes2Char">
    <w:name w:val="• Antrastes_2 Char"/>
    <w:basedOn w:val="Heading2Char"/>
    <w:link w:val="Antrastes2"/>
    <w:uiPriority w:val="99"/>
    <w:rsid w:val="0098215B"/>
    <w:rPr>
      <w:rFonts w:asciiTheme="majorHAnsi" w:eastAsia="Times New Roman" w:hAnsiTheme="majorHAnsi"/>
      <w:b/>
      <w:bCs/>
      <w:iCs/>
      <w:caps/>
      <w:color w:val="4181B6"/>
      <w:kern w:val="32"/>
      <w:sz w:val="28"/>
      <w:szCs w:val="32"/>
      <w:lang w:eastAsia="lt-LT"/>
    </w:rPr>
  </w:style>
  <w:style w:type="paragraph" w:customStyle="1" w:styleId="Antrastes3">
    <w:name w:val="• Antrastes_3"/>
    <w:basedOn w:val="Antrastes2"/>
    <w:next w:val="Pagrindinispaprastastekstas"/>
    <w:link w:val="Antrastes3Char"/>
    <w:qFormat/>
    <w:rsid w:val="00A615ED"/>
    <w:pPr>
      <w:numPr>
        <w:ilvl w:val="2"/>
      </w:numPr>
      <w:jc w:val="both"/>
      <w:outlineLvl w:val="2"/>
    </w:pPr>
    <w:rPr>
      <w:caps w:val="0"/>
    </w:rPr>
  </w:style>
  <w:style w:type="character" w:customStyle="1" w:styleId="Antrastes3Char">
    <w:name w:val="• Antrastes_3 Char"/>
    <w:basedOn w:val="Heading3Char"/>
    <w:link w:val="Antrastes3"/>
    <w:rsid w:val="00165A24"/>
    <w:rPr>
      <w:rFonts w:asciiTheme="majorHAnsi" w:eastAsia="Times New Roman" w:hAnsiTheme="majorHAnsi" w:cstheme="majorBidi"/>
      <w:b/>
      <w:bCs/>
      <w:color w:val="4181B6"/>
      <w:kern w:val="32"/>
      <w:sz w:val="28"/>
      <w:szCs w:val="32"/>
      <w:lang w:eastAsia="lt-LT"/>
    </w:rPr>
  </w:style>
  <w:style w:type="paragraph" w:customStyle="1" w:styleId="Antrastes4">
    <w:name w:val="• Antrastes_4"/>
    <w:basedOn w:val="Antrastes3"/>
    <w:next w:val="Pagrindinispaprastastekstas"/>
    <w:qFormat/>
    <w:rsid w:val="00A615ED"/>
    <w:pPr>
      <w:numPr>
        <w:ilvl w:val="3"/>
      </w:numPr>
      <w:outlineLvl w:val="3"/>
    </w:pPr>
    <w:rPr>
      <w:i/>
      <w:sz w:val="24"/>
    </w:rPr>
  </w:style>
  <w:style w:type="paragraph" w:customStyle="1" w:styleId="Lentelemsantraste">
    <w:name w:val="• Lentelems antraste"/>
    <w:basedOn w:val="Pagrindinispaprastastekstas"/>
    <w:qFormat/>
    <w:rsid w:val="00A615ED"/>
    <w:pPr>
      <w:jc w:val="left"/>
    </w:pPr>
    <w:rPr>
      <w:b/>
      <w:bCs/>
      <w:color w:val="FFFFFF" w:themeColor="background1"/>
      <w:sz w:val="20"/>
    </w:rPr>
  </w:style>
  <w:style w:type="paragraph" w:customStyle="1" w:styleId="Saltinis">
    <w:name w:val="• Saltinis"/>
    <w:next w:val="Pagrindinispaprastastekstas"/>
    <w:qFormat/>
    <w:rsid w:val="00A615ED"/>
    <w:pPr>
      <w:spacing w:before="60"/>
    </w:pPr>
    <w:rPr>
      <w:rFonts w:asciiTheme="majorHAnsi" w:eastAsia="Times New Roman" w:hAnsiTheme="majorHAnsi"/>
      <w:color w:val="00478A"/>
      <w:sz w:val="20"/>
    </w:rPr>
  </w:style>
  <w:style w:type="paragraph" w:customStyle="1" w:styleId="Textboxantrastes">
    <w:name w:val="• Text box antrastes"/>
    <w:basedOn w:val="ListParagraph"/>
    <w:next w:val="Textboxtekstassubullets"/>
    <w:qFormat/>
    <w:rsid w:val="00A615ED"/>
    <w:pPr>
      <w:spacing w:before="120" w:after="120"/>
      <w:ind w:left="0"/>
      <w:contextualSpacing w:val="0"/>
      <w:jc w:val="left"/>
    </w:pPr>
    <w:rPr>
      <w:rFonts w:asciiTheme="majorHAnsi" w:hAnsiTheme="majorHAnsi"/>
      <w:b/>
      <w:color w:val="00478A"/>
      <w:sz w:val="20"/>
      <w:szCs w:val="32"/>
    </w:rPr>
  </w:style>
  <w:style w:type="paragraph" w:styleId="ListParagraph">
    <w:name w:val="List Paragraph"/>
    <w:basedOn w:val="Normal"/>
    <w:uiPriority w:val="34"/>
    <w:qFormat/>
    <w:rsid w:val="00165A24"/>
    <w:pPr>
      <w:ind w:left="720"/>
      <w:contextualSpacing/>
      <w:jc w:val="both"/>
    </w:pPr>
    <w:rPr>
      <w:rFonts w:eastAsia="Calibri"/>
    </w:rPr>
  </w:style>
  <w:style w:type="paragraph" w:customStyle="1" w:styleId="Textboxtekstassubullets">
    <w:name w:val="• Text box tekstas su bullets"/>
    <w:basedOn w:val="Textboxtekstas"/>
    <w:qFormat/>
    <w:rsid w:val="00A615ED"/>
    <w:pPr>
      <w:numPr>
        <w:numId w:val="5"/>
      </w:numPr>
      <w:spacing w:before="120" w:after="120"/>
      <w:contextualSpacing/>
    </w:pPr>
  </w:style>
  <w:style w:type="character" w:customStyle="1" w:styleId="Heading5Char">
    <w:name w:val="Heading 5 Char"/>
    <w:basedOn w:val="DefaultParagraphFont"/>
    <w:link w:val="Heading5"/>
    <w:rsid w:val="00165A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65A24"/>
    <w:rPr>
      <w:rFonts w:ascii="Times New Roman" w:eastAsia="Times New Roman" w:hAnsi="Times New Roman" w:cs="Times New Roman"/>
      <w:b/>
      <w:bCs/>
      <w:lang w:val="en-GB" w:eastAsia="ar-SA"/>
    </w:rPr>
  </w:style>
  <w:style w:type="character" w:customStyle="1" w:styleId="Heading7Char">
    <w:name w:val="Heading 7 Char"/>
    <w:basedOn w:val="DefaultParagraphFont"/>
    <w:link w:val="Heading7"/>
    <w:uiPriority w:val="9"/>
    <w:rsid w:val="00165A2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8Char">
    <w:name w:val="Heading 8 Char"/>
    <w:basedOn w:val="DefaultParagraphFont"/>
    <w:link w:val="Heading8"/>
    <w:uiPriority w:val="9"/>
    <w:rsid w:val="00165A24"/>
    <w:rPr>
      <w:rFonts w:ascii="Times New Roman" w:eastAsia="Times New Roman" w:hAnsi="Times New Roman" w:cs="Times New Roman"/>
      <w:i/>
      <w:iCs/>
      <w:sz w:val="24"/>
      <w:szCs w:val="24"/>
      <w:lang w:val="en-GB" w:eastAsia="ar-SA"/>
    </w:rPr>
  </w:style>
  <w:style w:type="character" w:customStyle="1" w:styleId="Heading9Char">
    <w:name w:val="Heading 9 Char"/>
    <w:basedOn w:val="DefaultParagraphFont"/>
    <w:link w:val="Heading9"/>
    <w:rsid w:val="00165A24"/>
    <w:rPr>
      <w:rFonts w:ascii="Arial" w:eastAsia="Times New Roman" w:hAnsi="Arial" w:cs="Arial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165A24"/>
    <w:pPr>
      <w:spacing w:before="120" w:after="120"/>
    </w:pPr>
    <w:rPr>
      <w:rFonts w:asciiTheme="minorHAnsi" w:eastAsia="Times New Roman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165A24"/>
    <w:pPr>
      <w:ind w:left="240"/>
    </w:pPr>
    <w:rPr>
      <w:rFonts w:asciiTheme="minorHAnsi" w:eastAsia="Times New Roman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165A24"/>
    <w:pPr>
      <w:ind w:left="480"/>
    </w:pPr>
    <w:rPr>
      <w:rFonts w:asciiTheme="minorHAnsi" w:eastAsia="Times New Roman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5A24"/>
    <w:pPr>
      <w:ind w:left="720"/>
    </w:pPr>
    <w:rPr>
      <w:rFonts w:asciiTheme="minorHAnsi" w:eastAsia="Times New Roman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5A24"/>
    <w:pPr>
      <w:ind w:left="960"/>
    </w:pPr>
    <w:rPr>
      <w:rFonts w:asciiTheme="minorHAnsi" w:eastAsia="Times New Roman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5A24"/>
    <w:pPr>
      <w:ind w:left="1200"/>
    </w:pPr>
    <w:rPr>
      <w:rFonts w:asciiTheme="minorHAnsi" w:eastAsia="Times New Roman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5A24"/>
    <w:pPr>
      <w:ind w:left="1440"/>
    </w:pPr>
    <w:rPr>
      <w:rFonts w:asciiTheme="minorHAnsi" w:eastAsia="Times New Roman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5A24"/>
    <w:pPr>
      <w:ind w:left="1680"/>
    </w:pPr>
    <w:rPr>
      <w:rFonts w:asciiTheme="minorHAnsi" w:eastAsia="Times New Roman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5A24"/>
    <w:pPr>
      <w:ind w:left="1920"/>
    </w:pPr>
    <w:rPr>
      <w:rFonts w:asciiTheme="minorHAnsi" w:eastAsia="Times New Roman" w:hAnsiTheme="minorHAnsi" w:cstheme="minorHAns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165A24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A2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5A24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65A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A24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65A24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aliases w:val="• Caption"/>
    <w:basedOn w:val="Normal"/>
    <w:next w:val="Pagrindinispaprastastekstas"/>
    <w:qFormat/>
    <w:rsid w:val="00A615ED"/>
    <w:pPr>
      <w:spacing w:after="60"/>
    </w:pPr>
    <w:rPr>
      <w:rFonts w:asciiTheme="majorHAnsi" w:eastAsia="Times New Roman" w:hAnsiTheme="majorHAnsi"/>
      <w:b/>
      <w:bCs/>
      <w:color w:val="00478A"/>
      <w:sz w:val="22"/>
      <w:szCs w:val="22"/>
    </w:rPr>
  </w:style>
  <w:style w:type="character" w:styleId="PageNumber">
    <w:name w:val="page number"/>
    <w:basedOn w:val="DefaultParagraphFont"/>
    <w:rsid w:val="00165A24"/>
  </w:style>
  <w:style w:type="character" w:styleId="EndnoteReference">
    <w:name w:val="endnote reference"/>
    <w:rsid w:val="00165A24"/>
    <w:rPr>
      <w:vertAlign w:val="superscript"/>
    </w:rPr>
  </w:style>
  <w:style w:type="paragraph" w:styleId="EndnoteText">
    <w:name w:val="endnote text"/>
    <w:basedOn w:val="Normal"/>
    <w:link w:val="EndnoteTextChar"/>
    <w:rsid w:val="00165A24"/>
    <w:pPr>
      <w:suppressAutoHyphens/>
      <w:jc w:val="both"/>
    </w:pPr>
    <w:rPr>
      <w:rFonts w:eastAsia="Times New Roman"/>
      <w:sz w:val="20"/>
      <w:szCs w:val="20"/>
      <w:lang w:val="en-GB" w:eastAsia="ar-SA"/>
    </w:rPr>
  </w:style>
  <w:style w:type="character" w:customStyle="1" w:styleId="EndnoteTextChar">
    <w:name w:val="Endnote Text Char"/>
    <w:basedOn w:val="DefaultParagraphFont"/>
    <w:link w:val="EndnoteText"/>
    <w:rsid w:val="00165A2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List">
    <w:name w:val="List"/>
    <w:basedOn w:val="Normal"/>
    <w:rsid w:val="00165A24"/>
    <w:pPr>
      <w:suppressAutoHyphens/>
      <w:spacing w:after="120" w:line="276" w:lineRule="auto"/>
      <w:jc w:val="both"/>
    </w:pPr>
    <w:rPr>
      <w:rFonts w:eastAsia="Times New Roman" w:cs="Tahoma"/>
      <w:sz w:val="22"/>
      <w:szCs w:val="22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65A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5A24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165A24"/>
    <w:pPr>
      <w:tabs>
        <w:tab w:val="left" w:pos="850"/>
        <w:tab w:val="left" w:pos="1191"/>
        <w:tab w:val="left" w:pos="1531"/>
      </w:tabs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szCs w:val="20"/>
      <w:lang w:val="en-GB" w:eastAsia="zh-TW"/>
    </w:rPr>
  </w:style>
  <w:style w:type="character" w:customStyle="1" w:styleId="TitleChar">
    <w:name w:val="Title Char"/>
    <w:basedOn w:val="DefaultParagraphFont"/>
    <w:link w:val="Title"/>
    <w:rsid w:val="00165A24"/>
    <w:rPr>
      <w:rFonts w:ascii="Arial" w:eastAsia="Times New Roman" w:hAnsi="Arial" w:cs="Times New Roman"/>
      <w:b/>
      <w:kern w:val="28"/>
      <w:sz w:val="32"/>
      <w:szCs w:val="20"/>
      <w:lang w:val="en-GB" w:eastAsia="zh-TW"/>
    </w:rPr>
  </w:style>
  <w:style w:type="paragraph" w:styleId="Subtitle">
    <w:name w:val="Subtitle"/>
    <w:basedOn w:val="Normal"/>
    <w:next w:val="BodyText"/>
    <w:link w:val="SubtitleChar"/>
    <w:qFormat/>
    <w:rsid w:val="00165A24"/>
    <w:pPr>
      <w:keepNext/>
      <w:suppressAutoHyphens/>
      <w:spacing w:before="240" w:after="120" w:line="276" w:lineRule="auto"/>
      <w:jc w:val="center"/>
    </w:pPr>
    <w:rPr>
      <w:rFonts w:ascii="Arial" w:eastAsia="Lucida Sans Unicode" w:hAnsi="Arial" w:cs="Tahoma"/>
      <w:i/>
      <w:iCs/>
      <w:sz w:val="28"/>
      <w:szCs w:val="28"/>
      <w:lang w:val="en-GB" w:eastAsia="ar-SA"/>
    </w:rPr>
  </w:style>
  <w:style w:type="character" w:customStyle="1" w:styleId="SubtitleChar">
    <w:name w:val="Subtitle Char"/>
    <w:basedOn w:val="DefaultParagraphFont"/>
    <w:link w:val="Subtitle"/>
    <w:rsid w:val="00165A24"/>
    <w:rPr>
      <w:rFonts w:ascii="Arial" w:eastAsia="Lucida Sans Unicode" w:hAnsi="Arial" w:cs="Tahoma"/>
      <w:i/>
      <w:iCs/>
      <w:sz w:val="28"/>
      <w:szCs w:val="28"/>
      <w:lang w:val="en-GB" w:eastAsia="ar-SA"/>
    </w:rPr>
  </w:style>
  <w:style w:type="character" w:styleId="Hyperlink">
    <w:name w:val="Hyperlink"/>
    <w:basedOn w:val="DefaultParagraphFont"/>
    <w:uiPriority w:val="99"/>
    <w:rsid w:val="00165A24"/>
    <w:rPr>
      <w:color w:val="0000FF"/>
      <w:u w:val="single"/>
    </w:rPr>
  </w:style>
  <w:style w:type="character" w:styleId="FollowedHyperlink">
    <w:name w:val="FollowedHyperlink"/>
    <w:basedOn w:val="DefaultParagraphFont"/>
    <w:rsid w:val="00165A24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165A24"/>
    <w:rPr>
      <w:b/>
      <w:bCs/>
    </w:rPr>
  </w:style>
  <w:style w:type="character" w:styleId="Emphasis">
    <w:name w:val="Emphasis"/>
    <w:basedOn w:val="DefaultParagraphFont"/>
    <w:uiPriority w:val="20"/>
    <w:qFormat/>
    <w:rsid w:val="00165A24"/>
    <w:rPr>
      <w:i/>
      <w:iCs/>
    </w:rPr>
  </w:style>
  <w:style w:type="paragraph" w:styleId="PlainText">
    <w:name w:val="Plain Text"/>
    <w:basedOn w:val="Normal"/>
    <w:link w:val="PlainTextChar"/>
    <w:uiPriority w:val="99"/>
    <w:rsid w:val="00165A24"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65A24"/>
    <w:rPr>
      <w:rFonts w:ascii="Courier New" w:eastAsia="Times New Roman" w:hAnsi="Courier New" w:cs="Courier New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165A24"/>
    <w:pPr>
      <w:spacing w:before="100" w:beforeAutospacing="1" w:after="100" w:afterAutospacing="1"/>
    </w:pPr>
    <w:rPr>
      <w:rFonts w:eastAsia="Times New Roman"/>
      <w:lang w:eastAsia="lt-LT"/>
    </w:rPr>
  </w:style>
  <w:style w:type="character" w:styleId="HTMLCite">
    <w:name w:val="HTML Cite"/>
    <w:basedOn w:val="DefaultParagraphFont"/>
    <w:uiPriority w:val="99"/>
    <w:unhideWhenUsed/>
    <w:rsid w:val="00165A24"/>
    <w:rPr>
      <w:i/>
      <w:iCs/>
    </w:rPr>
  </w:style>
  <w:style w:type="table" w:styleId="TableColumns3">
    <w:name w:val="Table Columns 3"/>
    <w:basedOn w:val="TableNormal"/>
    <w:rsid w:val="00165A24"/>
    <w:rPr>
      <w:rFonts w:ascii="Times New Roman" w:eastAsia="Times New Roman" w:hAnsi="Times New Roman"/>
      <w:b/>
      <w:bCs/>
      <w:sz w:val="20"/>
      <w:szCs w:val="20"/>
      <w:lang w:eastAsia="lt-LT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65A24"/>
    <w:rPr>
      <w:rFonts w:ascii="Times New Roman" w:eastAsia="Times New Roman" w:hAnsi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165A24"/>
    <w:rPr>
      <w:rFonts w:ascii="Calibri" w:eastAsia="Times New Roman" w:hAnsi="Calibri"/>
      <w:lang w:val="en-US"/>
    </w:rPr>
  </w:style>
  <w:style w:type="paragraph" w:styleId="IntenseQuote">
    <w:name w:val="Intense Quote"/>
    <w:basedOn w:val="Normal"/>
    <w:next w:val="Normal"/>
    <w:link w:val="IntenseQuoteChar"/>
    <w:qFormat/>
    <w:rsid w:val="00165A24"/>
    <w:pPr>
      <w:numPr>
        <w:numId w:val="2"/>
      </w:numPr>
      <w:pBdr>
        <w:bottom w:val="single" w:sz="4" w:space="4" w:color="4F81BD"/>
      </w:pBdr>
      <w:spacing w:before="200" w:after="280"/>
      <w:ind w:right="936"/>
      <w:jc w:val="center"/>
    </w:pPr>
    <w:rPr>
      <w:rFonts w:eastAsia="Times New Roman"/>
      <w:b/>
      <w:bCs/>
      <w:i/>
      <w:iCs/>
      <w:color w:val="002060"/>
      <w:sz w:val="28"/>
    </w:rPr>
  </w:style>
  <w:style w:type="character" w:customStyle="1" w:styleId="IntenseQuoteChar">
    <w:name w:val="Intense Quote Char"/>
    <w:basedOn w:val="DefaultParagraphFont"/>
    <w:link w:val="IntenseQuote"/>
    <w:rsid w:val="00165A24"/>
    <w:rPr>
      <w:rFonts w:ascii="Times New Roman" w:eastAsia="Times New Roman" w:hAnsi="Times New Roman"/>
      <w:b/>
      <w:bCs/>
      <w:i/>
      <w:iCs/>
      <w:color w:val="002060"/>
      <w:sz w:val="28"/>
      <w:szCs w:val="24"/>
    </w:rPr>
  </w:style>
  <w:style w:type="paragraph" w:customStyle="1" w:styleId="Style1">
    <w:name w:val="Style1"/>
    <w:basedOn w:val="Normal"/>
    <w:qFormat/>
    <w:rsid w:val="00165A24"/>
    <w:pPr>
      <w:tabs>
        <w:tab w:val="left" w:pos="695"/>
        <w:tab w:val="right" w:pos="9922"/>
      </w:tabs>
      <w:jc w:val="right"/>
    </w:pPr>
    <w:rPr>
      <w:rFonts w:ascii="PF Square Sans Pro" w:eastAsia="Times New Roman" w:hAnsi="PF Square Sans Pro"/>
      <w:color w:val="4181B6"/>
      <w:sz w:val="22"/>
    </w:rPr>
  </w:style>
  <w:style w:type="paragraph" w:customStyle="1" w:styleId="Style3">
    <w:name w:val="Style3"/>
    <w:next w:val="Pagrindinispaprastastekstas"/>
    <w:qFormat/>
    <w:rsid w:val="00165A24"/>
    <w:rPr>
      <w:rFonts w:ascii="Calibri" w:eastAsia="Times New Roman" w:hAnsi="Calibri"/>
      <w:lang w:val="en-US"/>
    </w:rPr>
  </w:style>
  <w:style w:type="paragraph" w:customStyle="1" w:styleId="TableContents">
    <w:name w:val="Table Contents"/>
    <w:basedOn w:val="Normal"/>
    <w:rsid w:val="00165A24"/>
    <w:pPr>
      <w:widowControl w:val="0"/>
      <w:suppressLineNumbers/>
      <w:suppressAutoHyphens/>
    </w:pPr>
    <w:rPr>
      <w:rFonts w:eastAsia="Lucida Sans Unicode"/>
    </w:rPr>
  </w:style>
  <w:style w:type="paragraph" w:customStyle="1" w:styleId="TableHeading">
    <w:name w:val="Table Heading"/>
    <w:basedOn w:val="TableContents"/>
    <w:rsid w:val="00165A24"/>
    <w:pPr>
      <w:jc w:val="center"/>
    </w:pPr>
    <w:rPr>
      <w:b/>
      <w:bCs/>
      <w:i/>
      <w:iCs/>
    </w:rPr>
  </w:style>
  <w:style w:type="paragraph" w:customStyle="1" w:styleId="Default">
    <w:name w:val="Default"/>
    <w:rsid w:val="00165A2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lt-LT"/>
    </w:rPr>
  </w:style>
  <w:style w:type="paragraph" w:customStyle="1" w:styleId="Style2">
    <w:name w:val="Style2"/>
    <w:basedOn w:val="Antrastes3"/>
    <w:qFormat/>
    <w:rsid w:val="00165A24"/>
    <w:pPr>
      <w:numPr>
        <w:ilvl w:val="0"/>
        <w:numId w:val="0"/>
      </w:numPr>
      <w:ind w:left="864" w:hanging="864"/>
    </w:pPr>
  </w:style>
  <w:style w:type="paragraph" w:customStyle="1" w:styleId="Lentelemstekstas">
    <w:name w:val="• Lentelems tekstas"/>
    <w:basedOn w:val="Lentelemsantraste"/>
    <w:qFormat/>
    <w:rsid w:val="00A615ED"/>
    <w:rPr>
      <w:b w:val="0"/>
      <w:bCs w:val="0"/>
      <w:iCs/>
      <w:color w:val="4181B6"/>
    </w:rPr>
  </w:style>
  <w:style w:type="paragraph" w:customStyle="1" w:styleId="Textboxtekstas">
    <w:name w:val="• Text box tekstas"/>
    <w:basedOn w:val="Normal"/>
    <w:qFormat/>
    <w:rsid w:val="00A615ED"/>
    <w:pPr>
      <w:jc w:val="both"/>
    </w:pPr>
    <w:rPr>
      <w:rFonts w:asciiTheme="majorHAnsi" w:eastAsia="Times New Roman" w:hAnsiTheme="majorHAnsi"/>
      <w:bCs/>
      <w:color w:val="4181B6"/>
      <w:kern w:val="32"/>
      <w:sz w:val="20"/>
      <w:szCs w:val="20"/>
      <w:lang w:eastAsia="lt-LT"/>
    </w:rPr>
  </w:style>
  <w:style w:type="paragraph" w:customStyle="1" w:styleId="Titulinionuoroda">
    <w:name w:val="• Titulinio nuoroda"/>
    <w:basedOn w:val="Normal"/>
    <w:qFormat/>
    <w:rsid w:val="00A615ED"/>
    <w:pPr>
      <w:ind w:left="2694"/>
      <w:jc w:val="both"/>
    </w:pPr>
    <w:rPr>
      <w:rFonts w:asciiTheme="majorHAnsi" w:eastAsia="Times New Roman" w:hAnsiTheme="majorHAnsi"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7BA"/>
    <w:rPr>
      <w:rFonts w:ascii="Tahoma" w:hAnsi="Tahoma" w:cs="Tahoma"/>
      <w:sz w:val="16"/>
      <w:szCs w:val="16"/>
    </w:rPr>
  </w:style>
  <w:style w:type="paragraph" w:customStyle="1" w:styleId="Priedupavadinimai">
    <w:name w:val="• Priedu pavadinimai"/>
    <w:basedOn w:val="Nenumeruojamosantrastes"/>
    <w:next w:val="Pagrindinispaprastastekstas"/>
    <w:qFormat/>
    <w:rsid w:val="007D416A"/>
    <w:pPr>
      <w:numPr>
        <w:numId w:val="4"/>
      </w:numPr>
      <w:tabs>
        <w:tab w:val="center" w:pos="1701"/>
        <w:tab w:val="left" w:pos="1843"/>
        <w:tab w:val="left" w:pos="2127"/>
      </w:tabs>
      <w:ind w:left="0" w:firstLine="0"/>
    </w:pPr>
  </w:style>
  <w:style w:type="paragraph" w:customStyle="1" w:styleId="StyleTextboxtekstassubulletsBold">
    <w:name w:val="Style • Text box tekstas su bullets + Bold"/>
    <w:basedOn w:val="Textboxtekstassubullets"/>
    <w:rsid w:val="00332263"/>
    <w:rPr>
      <w:b/>
    </w:rPr>
  </w:style>
  <w:style w:type="paragraph" w:styleId="TableofFigures">
    <w:name w:val="table of figures"/>
    <w:basedOn w:val="Normal"/>
    <w:next w:val="Normal"/>
    <w:uiPriority w:val="99"/>
    <w:rsid w:val="007D416A"/>
    <w:rPr>
      <w:rFonts w:asciiTheme="majorHAnsi" w:hAnsiTheme="majorHAnsi"/>
      <w:sz w:val="22"/>
    </w:rPr>
  </w:style>
  <w:style w:type="table" w:customStyle="1" w:styleId="ListTable3-Accent11">
    <w:name w:val="List Table 3 - Accent 11"/>
    <w:basedOn w:val="TableNormal"/>
    <w:uiPriority w:val="48"/>
    <w:rsid w:val="00794FF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15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50C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50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DiagramaCharChar">
    <w:name w:val="Char Char Diagrama Char Char"/>
    <w:basedOn w:val="Normal"/>
    <w:rsid w:val="003934B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PagrindinispaprastastekstasChar">
    <w:name w:val="• Pagrindinis paprastas tekstas Char"/>
    <w:link w:val="Pagrindinispaprastastekstas"/>
    <w:rsid w:val="003934B3"/>
    <w:rPr>
      <w:rFonts w:asciiTheme="majorHAnsi" w:eastAsia="Times New Roman" w:hAnsiTheme="majorHAnsi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A5924"/>
    <w:rPr>
      <w:rFonts w:ascii="Calibri" w:eastAsia="Times New Roman" w:hAnsi="Calibri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A59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lang w:val="en-US" w:eastAsia="en-US"/>
    </w:rPr>
  </w:style>
  <w:style w:type="paragraph" w:customStyle="1" w:styleId="SUPERSChar">
    <w:name w:val="SUPERS Char"/>
    <w:aliases w:val="EN Footnote Reference Char"/>
    <w:basedOn w:val="Normal"/>
    <w:link w:val="FootnoteReference"/>
    <w:uiPriority w:val="99"/>
    <w:rsid w:val="00CD2304"/>
    <w:pPr>
      <w:spacing w:after="160" w:line="240" w:lineRule="exact"/>
    </w:pPr>
    <w:rPr>
      <w:rFonts w:asciiTheme="majorHAnsi" w:hAnsiTheme="majorHAnsi"/>
      <w:sz w:val="22"/>
      <w:szCs w:val="22"/>
      <w:vertAlign w:val="superscript"/>
    </w:rPr>
  </w:style>
  <w:style w:type="paragraph" w:customStyle="1" w:styleId="ListParagraph1">
    <w:name w:val="List Paragraph1"/>
    <w:basedOn w:val="Normal"/>
    <w:qFormat/>
    <w:rsid w:val="001A235B"/>
    <w:pPr>
      <w:contextualSpacing/>
    </w:pPr>
    <w:rPr>
      <w:rFonts w:eastAsia="Calibri"/>
      <w:sz w:val="20"/>
      <w:szCs w:val="22"/>
    </w:rPr>
  </w:style>
  <w:style w:type="table" w:customStyle="1" w:styleId="GridTable4-Accent11">
    <w:name w:val="Grid Table 4 - Accent 11"/>
    <w:basedOn w:val="TableNormal"/>
    <w:uiPriority w:val="49"/>
    <w:rsid w:val="00E9216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2B31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DiagramaDiagramaCharCharDiagramaCharCharDiagrama1CharCharDiagramaDiagramaDiagrama">
    <w:name w:val="Diagrama Diagrama Char Char Diagrama Char Char Diagrama1 Char Char Diagrama Diagrama Diagrama"/>
    <w:basedOn w:val="Normal"/>
    <w:rsid w:val="009B6E5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DiagramaDiagramaCharCharDiagramaDiagramaCharCharDiagramaCharChar4DiagramaDiagramaDiagrama">
    <w:name w:val="Char Char1 Diagrama Diagrama Char Char Diagrama Diagrama Char Char Diagrama Char Char4 Diagrama Diagrama Diagrama"/>
    <w:basedOn w:val="Normal"/>
    <w:rsid w:val="0038304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209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816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366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837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8913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7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959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495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2534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08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334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92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18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3553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731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328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14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880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349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73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73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86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1373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3985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260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4D90FE"/>
                        <w:left w:val="single" w:sz="6" w:space="0" w:color="4D90FE"/>
                        <w:bottom w:val="single" w:sz="6" w:space="0" w:color="4D90FE"/>
                        <w:right w:val="single" w:sz="6" w:space="0" w:color="4D90FE"/>
                      </w:divBdr>
                      <w:divsChild>
                        <w:div w:id="3959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202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8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7361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368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012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0745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79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899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628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972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2386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3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727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734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573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614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5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01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5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7438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93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5703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62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298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521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422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32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170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14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502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037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78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067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82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554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90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28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932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34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532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26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34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image" Target="media/image4.jpeg"/><Relationship Id="rId25" Type="http://schemas.openxmlformats.org/officeDocument/2006/relationships/image" Target="media/image9.jpeg"/><Relationship Id="rId33" Type="http://schemas.openxmlformats.org/officeDocument/2006/relationships/image" Target="media/image12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image" Target="media/image6.jpeg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chart" Target="charts/chart8.xml"/><Relationship Id="rId32" Type="http://schemas.openxmlformats.org/officeDocument/2006/relationships/chart" Target="charts/chart13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media/image8.jpeg"/><Relationship Id="rId28" Type="http://schemas.openxmlformats.org/officeDocument/2006/relationships/image" Target="media/image10.jpeg"/><Relationship Id="rId36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6.xml"/><Relationship Id="rId31" Type="http://schemas.openxmlformats.org/officeDocument/2006/relationships/chart" Target="charts/chart1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image" Target="media/image7.jpeg"/><Relationship Id="rId27" Type="http://schemas.openxmlformats.org/officeDocument/2006/relationships/chart" Target="charts/chart10.xml"/><Relationship Id="rId30" Type="http://schemas.openxmlformats.org/officeDocument/2006/relationships/chart" Target="charts/chart11.xml"/><Relationship Id="rId35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title>
      <c:tx>
        <c:rich>
          <a:bodyPr/>
          <a:lstStyle/>
          <a:p>
            <a:pPr>
              <a:defRPr sz="80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 lang="lt-LT" sz="800" b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Distribution of the OPPC investments by priority, million EUR</a:t>
            </a:r>
            <a:endParaRPr lang="en-US" sz="800" b="0">
              <a:solidFill>
                <a:schemeClr val="tx1">
                  <a:lumMod val="65000"/>
                  <a:lumOff val="35000"/>
                </a:schemeClr>
              </a:solidFill>
            </a:endParaRP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5.586123483787421E-2"/>
          <c:y val="0.16400821031391688"/>
          <c:w val="0.3581106570862318"/>
          <c:h val="0.89332331185874458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 w="19050">
              <a:solidFill>
                <a:schemeClr val="bg1"/>
              </a:solidFill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rPr>
                      <a:t>1108,6</a:t>
                    </a:r>
                    <a:endParaRPr lang="lt-LT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endParaRPr>
                  </a:p>
                  <a:p>
                    <a:r>
                      <a:rPr lang="en-US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rPr>
                      <a:t> 33%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rPr>
                      <a:t>756,5</a:t>
                    </a:r>
                    <a:endParaRPr lang="lt-LT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endParaRPr>
                  </a:p>
                  <a:p>
                    <a:r>
                      <a:rPr lang="en-US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rPr>
                      <a:t> 22%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rPr>
                      <a:t>1471,7</a:t>
                    </a:r>
                    <a:endParaRPr lang="lt-LT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endParaRPr>
                  </a:p>
                  <a:p>
                    <a:r>
                      <a:rPr lang="en-US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rPr>
                      <a:t> 44%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"/>
                  <c:y val="0.1514907886443462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rPr>
                      <a:t>35,3</a:t>
                    </a:r>
                    <a:endParaRPr lang="lt-LT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endParaRPr>
                  </a:p>
                  <a:p>
                    <a:r>
                      <a:rPr lang="en-US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rPr>
                      <a:t>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Sheet1!$A$2:$A$5</c:f>
              <c:strCache>
                <c:ptCount val="4"/>
                <c:pt idx="0">
                  <c:v>Priority 1. Local and urban development, conservation of cultural heritage and nature, and adaptation for tourism development</c:v>
                </c:pt>
                <c:pt idx="1">
                  <c:v>Priority 2. Quality and accessibility of public services: health, education and social infrastructure</c:v>
                </c:pt>
                <c:pt idx="2">
                  <c:v>Priority 3. Environment and sustanable development</c:v>
                </c:pt>
                <c:pt idx="3">
                  <c:v>Priority 4. Technical assitance for implementing Operational Programme for Promotion of Cohesion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1108.5999999999999</c:v>
                </c:pt>
                <c:pt idx="1">
                  <c:v>756.5</c:v>
                </c:pt>
                <c:pt idx="2">
                  <c:v>1471.7</c:v>
                </c:pt>
                <c:pt idx="3">
                  <c:v>35.300000000000004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</c:plotArea>
    <c:legend>
      <c:legendPos val="r"/>
      <c:layout>
        <c:manualLayout>
          <c:xMode val="edge"/>
          <c:yMode val="edge"/>
          <c:x val="0.44729888435317144"/>
          <c:y val="0.17770376048126763"/>
          <c:w val="0.52668682357717622"/>
          <c:h val="0.79455972870647817"/>
        </c:manualLayout>
      </c:layout>
      <c:overlay val="0"/>
      <c:txPr>
        <a:bodyPr/>
        <a:lstStyle/>
        <a:p>
          <a:pPr>
            <a:defRPr sz="750">
              <a:solidFill>
                <a:schemeClr val="tx1">
                  <a:lumMod val="65000"/>
                  <a:lumOff val="35000"/>
                </a:schemeClr>
              </a:solidFill>
            </a:defRPr>
          </a:pPr>
          <a:endParaRPr lang="lt-LT"/>
        </a:p>
      </c:txPr>
    </c:legend>
    <c:plotVisOnly val="1"/>
    <c:dispBlanksAs val="zero"/>
    <c:showDLblsOverMax val="0"/>
  </c:chart>
  <c:spPr>
    <a:solidFill>
      <a:schemeClr val="accent1">
        <a:lumMod val="20000"/>
        <a:lumOff val="80000"/>
      </a:schemeClr>
    </a:solidFill>
  </c:spPr>
  <c:txPr>
    <a:bodyPr/>
    <a:lstStyle/>
    <a:p>
      <a:pPr>
        <a:defRPr sz="800">
          <a:latin typeface="+mj-lt"/>
        </a:defRPr>
      </a:pPr>
      <a:endParaRPr lang="lt-LT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008612204724485"/>
          <c:y val="2.8567795997977308E-2"/>
          <c:w val="0.50624721128608963"/>
          <c:h val="0.829985985696742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Achieved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Education infrastructure modernisation and development projects</c:v>
                </c:pt>
                <c:pt idx="1">
                  <c:v>Supported entities (institutions) which provide education services</c:v>
                </c:pt>
                <c:pt idx="2">
                  <c:v>Direct beneficiaries of investments into education infrastructure (thousands)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 formatCode="#,##0">
                  <c:v>321</c:v>
                </c:pt>
                <c:pt idx="1">
                  <c:v>2818</c:v>
                </c:pt>
                <c:pt idx="2">
                  <c:v>650.20000000000005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Planned by the OP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Education infrastructure modernisation and development projects</c:v>
                </c:pt>
                <c:pt idx="1">
                  <c:v>Supported entities (institutions) which provide education services</c:v>
                </c:pt>
                <c:pt idx="2">
                  <c:v>Direct beneficiaries of investments into education infrastructure (thousands)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 formatCode="#,##0">
                  <c:v>300</c:v>
                </c:pt>
                <c:pt idx="1">
                  <c:v>1600</c:v>
                </c:pt>
                <c:pt idx="2">
                  <c:v>550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183682176"/>
        <c:axId val="183683712"/>
      </c:barChart>
      <c:catAx>
        <c:axId val="183682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836837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3683712"/>
        <c:scaling>
          <c:orientation val="minMax"/>
          <c:max val="3000"/>
          <c:min val="0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83682176"/>
        <c:crosses val="autoZero"/>
        <c:crossBetween val="between"/>
        <c:majorUnit val="500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052034120734916"/>
          <c:y val="0.68114194899949465"/>
          <c:w val="0.27172093054135521"/>
          <c:h val="0.144948518720307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+mj-lt"/>
        </a:defRPr>
      </a:pPr>
      <a:endParaRPr lang="lt-LT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solidFill>
                      <a:schemeClr val="tx1">
                        <a:lumMod val="75000"/>
                        <a:lumOff val="25000"/>
                      </a:schemeClr>
                    </a:solidFill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Sheet1!$A$2:$A$6</c:f>
              <c:strCache>
                <c:ptCount val="5"/>
                <c:pt idx="0">
                  <c:v>Preschool education</c:v>
                </c:pt>
                <c:pt idx="1">
                  <c:v>Basic education</c:v>
                </c:pt>
                <c:pt idx="2">
                  <c:v>Vocational training</c:v>
                </c:pt>
                <c:pt idx="3">
                  <c:v>Higher education</c:v>
                </c:pt>
                <c:pt idx="4">
                  <c:v>Lifelong learning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21.6</c:v>
                </c:pt>
                <c:pt idx="1">
                  <c:v>83</c:v>
                </c:pt>
                <c:pt idx="2">
                  <c:v>125.6</c:v>
                </c:pt>
                <c:pt idx="3">
                  <c:v>82.4</c:v>
                </c:pt>
                <c:pt idx="4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7630172874790342"/>
          <c:y val="0.10009153447157459"/>
          <c:w val="0.42369844673101953"/>
          <c:h val="0.79981641825869165"/>
        </c:manualLayout>
      </c:layout>
      <c:overlay val="0"/>
      <c:txPr>
        <a:bodyPr/>
        <a:lstStyle/>
        <a:p>
          <a:pPr>
            <a:defRPr>
              <a:solidFill>
                <a:schemeClr val="tx1">
                  <a:lumMod val="65000"/>
                  <a:lumOff val="35000"/>
                </a:schemeClr>
              </a:solidFill>
            </a:defRPr>
          </a:pPr>
          <a:endParaRPr lang="lt-LT"/>
        </a:p>
      </c:txPr>
    </c:legend>
    <c:plotVisOnly val="1"/>
    <c:dispBlanksAs val="zero"/>
    <c:showDLblsOverMax val="0"/>
  </c:chart>
  <c:txPr>
    <a:bodyPr/>
    <a:lstStyle/>
    <a:p>
      <a:pPr>
        <a:defRPr sz="800">
          <a:latin typeface="+mj-lt"/>
        </a:defRPr>
      </a:pPr>
      <a:endParaRPr lang="lt-LT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Vocational training</c:v>
                </c:pt>
              </c:strCache>
            </c:strRef>
          </c:tx>
          <c:marker>
            <c:symbol val="circle"/>
            <c:size val="5"/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cat>
          <c:val>
            <c:numRef>
              <c:f>Sheet1!$B$2:$B$10</c:f>
              <c:numCache>
                <c:formatCode>0.0%</c:formatCode>
                <c:ptCount val="9"/>
                <c:pt idx="0">
                  <c:v>0.25600000000000001</c:v>
                </c:pt>
                <c:pt idx="1">
                  <c:v>0.26400000000000001</c:v>
                </c:pt>
                <c:pt idx="2">
                  <c:v>0.32900000000000063</c:v>
                </c:pt>
                <c:pt idx="3">
                  <c:v>0.36700000000000038</c:v>
                </c:pt>
                <c:pt idx="4">
                  <c:v>0.34100000000000008</c:v>
                </c:pt>
                <c:pt idx="5">
                  <c:v>0.35800000000000032</c:v>
                </c:pt>
                <c:pt idx="6">
                  <c:v>0.39000000000000057</c:v>
                </c:pt>
                <c:pt idx="7">
                  <c:v>0.40600000000000008</c:v>
                </c:pt>
                <c:pt idx="8">
                  <c:v>0.42800000000000032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Higher education (first cycle)</c:v>
                </c:pt>
              </c:strCache>
            </c:strRef>
          </c:tx>
          <c:spPr>
            <a:ln>
              <a:solidFill>
                <a:schemeClr val="accent1">
                  <a:lumMod val="40000"/>
                  <a:lumOff val="60000"/>
                </a:schemeClr>
              </a:solidFill>
            </a:ln>
          </c:spPr>
          <c:marker>
            <c:symbol val="circle"/>
            <c:size val="5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accent1">
                    <a:lumMod val="20000"/>
                    <a:lumOff val="80000"/>
                  </a:schemeClr>
                </a:solidFill>
              </a:ln>
            </c:spPr>
          </c:marker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cat>
          <c:val>
            <c:numRef>
              <c:f>Sheet1!$C$2:$C$10</c:f>
              <c:numCache>
                <c:formatCode>0.0%</c:formatCode>
                <c:ptCount val="9"/>
                <c:pt idx="0">
                  <c:v>0.74400000000000099</c:v>
                </c:pt>
                <c:pt idx="1">
                  <c:v>0.73600000000000065</c:v>
                </c:pt>
                <c:pt idx="2">
                  <c:v>0.67100000000000126</c:v>
                </c:pt>
                <c:pt idx="3">
                  <c:v>0.63300000000000112</c:v>
                </c:pt>
                <c:pt idx="4">
                  <c:v>0.65900000000000125</c:v>
                </c:pt>
                <c:pt idx="5">
                  <c:v>0.64200000000000113</c:v>
                </c:pt>
                <c:pt idx="6">
                  <c:v>0.61000000000000065</c:v>
                </c:pt>
                <c:pt idx="7">
                  <c:v>0.59399999999999997</c:v>
                </c:pt>
                <c:pt idx="8">
                  <c:v>0.57199999999999995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060160"/>
        <c:axId val="184086528"/>
      </c:lineChart>
      <c:catAx>
        <c:axId val="184060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4086528"/>
        <c:crosses val="autoZero"/>
        <c:auto val="1"/>
        <c:lblAlgn val="ctr"/>
        <c:lblOffset val="100"/>
        <c:noMultiLvlLbl val="0"/>
      </c:catAx>
      <c:valAx>
        <c:axId val="18408652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84060160"/>
        <c:crosses val="autoZero"/>
        <c:crossBetween val="between"/>
        <c:majorUnit val="0.1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600">
          <a:latin typeface="+mj-lt"/>
        </a:defRPr>
      </a:pPr>
      <a:endParaRPr lang="lt-LT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297063280967413"/>
          <c:y val="6.3542990178757142E-2"/>
          <c:w val="0.47459472217135651"/>
          <c:h val="0.8428528298613717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Achieved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Institutions implementing supported state employment support policies</c:v>
                </c:pt>
                <c:pt idx="1">
                  <c:v>People who are direct beneficiaries of public investments into institutions implementing state employment support policies (thousands)</c:v>
                </c:pt>
                <c:pt idx="2">
                  <c:v>Institutions providing supported social services and services for the disabled</c:v>
                </c:pt>
                <c:pt idx="3">
                  <c:v>People are direct beneficiaries of public investments into institutions which provide social services and services for the disabled (thousands)</c:v>
                </c:pt>
              </c:strCache>
            </c:strRef>
          </c:cat>
          <c:val>
            <c:numRef>
              <c:f>Sheet1!$B$2:$E$2</c:f>
              <c:numCache>
                <c:formatCode>#,##0.0</c:formatCode>
                <c:ptCount val="4"/>
                <c:pt idx="0" formatCode="#,##0">
                  <c:v>12</c:v>
                </c:pt>
                <c:pt idx="1">
                  <c:v>98.9</c:v>
                </c:pt>
                <c:pt idx="2" formatCode="#,##0">
                  <c:v>216</c:v>
                </c:pt>
                <c:pt idx="3" formatCode="0.0">
                  <c:v>31.6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Planned by the OP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Institutions implementing supported state employment support policies</c:v>
                </c:pt>
                <c:pt idx="1">
                  <c:v>People who are direct beneficiaries of public investments into institutions implementing state employment support policies (thousands)</c:v>
                </c:pt>
                <c:pt idx="2">
                  <c:v>Institutions providing supported social services and services for the disabled</c:v>
                </c:pt>
                <c:pt idx="3">
                  <c:v>People are direct beneficiaries of public investments into institutions which provide social services and services for the disabled (thousands)</c:v>
                </c:pt>
              </c:strCache>
            </c:strRef>
          </c:cat>
          <c:val>
            <c:numRef>
              <c:f>Sheet1!$B$3:$E$3</c:f>
              <c:numCache>
                <c:formatCode>#,##0</c:formatCode>
                <c:ptCount val="4"/>
                <c:pt idx="0">
                  <c:v>12</c:v>
                </c:pt>
                <c:pt idx="1">
                  <c:v>65</c:v>
                </c:pt>
                <c:pt idx="2">
                  <c:v>208</c:v>
                </c:pt>
                <c:pt idx="3" formatCode="General">
                  <c:v>132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184120448"/>
        <c:axId val="184121984"/>
      </c:barChart>
      <c:catAx>
        <c:axId val="18412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84121984"/>
        <c:crosses val="autoZero"/>
        <c:auto val="1"/>
        <c:lblAlgn val="l"/>
        <c:lblOffset val="100"/>
        <c:tickLblSkip val="1"/>
        <c:tickMarkSkip val="1"/>
        <c:noMultiLvlLbl val="0"/>
      </c:catAx>
      <c:valAx>
        <c:axId val="184121984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8412044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396626584467634"/>
          <c:y val="0.73600072704732566"/>
          <c:w val="0.26746427938337847"/>
          <c:h val="0.105480496785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+mj-lt"/>
        </a:defRPr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1552795031055898"/>
          <c:y val="5.5206582323277006E-2"/>
          <c:w val="0.46271876577785276"/>
          <c:h val="0.792115498671280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Achieved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1.039132247661052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Integrated development projects of rural communities and public infrastructure</c:v>
                </c:pt>
                <c:pt idx="1">
                  <c:v>Integrated urban development projects of regional economic growth centres</c:v>
                </c:pt>
                <c:pt idx="2">
                  <c:v>Complex development projects in problematic territories</c:v>
                </c:pt>
              </c:strCache>
            </c:strRef>
          </c:cat>
          <c:val>
            <c:numRef>
              <c:f>Sheet1!$B$2:$D$2</c:f>
              <c:numCache>
                <c:formatCode>#,##0</c:formatCode>
                <c:ptCount val="3"/>
                <c:pt idx="0">
                  <c:v>213</c:v>
                </c:pt>
                <c:pt idx="1">
                  <c:v>75</c:v>
                </c:pt>
                <c:pt idx="2">
                  <c:v>234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Planned by the OP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6.234793485966344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Sheet1!$B$1:$D$1</c:f>
              <c:strCache>
                <c:ptCount val="3"/>
                <c:pt idx="0">
                  <c:v>Integrated development projects of rural communities and public infrastructure</c:v>
                </c:pt>
                <c:pt idx="1">
                  <c:v>Integrated urban development projects of regional economic growth centres</c:v>
                </c:pt>
                <c:pt idx="2">
                  <c:v>Complex development projects in problematic territories</c:v>
                </c:pt>
              </c:strCache>
            </c:strRef>
          </c:cat>
          <c:val>
            <c:numRef>
              <c:f>Sheet1!$B$3:$D$3</c:f>
              <c:numCache>
                <c:formatCode>#,##0</c:formatCode>
                <c:ptCount val="3"/>
                <c:pt idx="0">
                  <c:v>200</c:v>
                </c:pt>
                <c:pt idx="1">
                  <c:v>74</c:v>
                </c:pt>
                <c:pt idx="2">
                  <c:v>200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135615232"/>
        <c:axId val="135616768"/>
      </c:barChart>
      <c:catAx>
        <c:axId val="13561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35616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56167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3561523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038877492490514"/>
          <c:y val="0.36924054905121878"/>
          <c:w val="0.24963783449044433"/>
          <c:h val="0.190789370078740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+mj-lt"/>
        </a:defRPr>
      </a:pPr>
      <a:endParaRPr lang="lt-L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707639372707828"/>
          <c:y val="4.2991076653603903E-2"/>
          <c:w val="0.72355960721938295"/>
          <c:h val="0.7114017846692796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Sheet1!$A$2:$B$2</c:f>
              <c:strCache>
                <c:ptCount val="1"/>
                <c:pt idx="0">
                  <c:v>Achieved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Sheet1!$C$1:$D$1</c:f>
              <c:strCache>
                <c:ptCount val="2"/>
                <c:pt idx="0">
                  <c:v>Attracted private investments (million EUR)</c:v>
                </c:pt>
                <c:pt idx="1">
                  <c:v>Number of jobs created</c:v>
                </c:pt>
              </c:strCache>
            </c:strRef>
          </c:cat>
          <c:val>
            <c:numRef>
              <c:f>Sheet1!$C$2:$D$2</c:f>
              <c:numCache>
                <c:formatCode>#,##0</c:formatCode>
                <c:ptCount val="2"/>
                <c:pt idx="0">
                  <c:v>120.27</c:v>
                </c:pt>
                <c:pt idx="1">
                  <c:v>1045.8</c:v>
                </c:pt>
              </c:numCache>
            </c:numRef>
          </c:val>
        </c:ser>
        <c:ser>
          <c:idx val="1"/>
          <c:order val="1"/>
          <c:tx>
            <c:strRef>
              <c:f>Sheet1!$A$3:$B$3</c:f>
              <c:strCache>
                <c:ptCount val="1"/>
                <c:pt idx="0">
                  <c:v>Planned by the OP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Sheet1!$C$1:$D$1</c:f>
              <c:strCache>
                <c:ptCount val="2"/>
                <c:pt idx="0">
                  <c:v>Attracted private investments (million EUR)</c:v>
                </c:pt>
                <c:pt idx="1">
                  <c:v>Number of jobs created</c:v>
                </c:pt>
              </c:strCache>
            </c:strRef>
          </c:cat>
          <c:val>
            <c:numRef>
              <c:f>Sheet1!$C$3:$D$3</c:f>
              <c:numCache>
                <c:formatCode>#,##0</c:formatCode>
                <c:ptCount val="2"/>
                <c:pt idx="0">
                  <c:v>100</c:v>
                </c:pt>
                <c:pt idx="1">
                  <c:v>780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135859584"/>
        <c:axId val="135890048"/>
      </c:barChart>
      <c:catAx>
        <c:axId val="13585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358900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5890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3585958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5974080817110115"/>
          <c:y val="0.51364008765946934"/>
          <c:w val="0.26899918499336167"/>
          <c:h val="0.16857416144355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+mj-lt"/>
        </a:defRPr>
      </a:pPr>
      <a:endParaRPr lang="lt-LT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017467248908386"/>
          <c:y val="6.4540150643253497E-2"/>
          <c:w val="0.47212349247483332"/>
          <c:h val="0.7738197522704770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Achieved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Protected territories (national parks and reserves) where tourist centres and visual information systems are established</c:v>
                </c:pt>
                <c:pt idx="1">
                  <c:v>Percentage of protected territories where conditions to visit without damaging the nature are provided</c:v>
                </c:pt>
              </c:strCache>
            </c:strRef>
          </c:cat>
          <c:val>
            <c:numRef>
              <c:f>Sheet1!$B$2:$C$2</c:f>
              <c:numCache>
                <c:formatCode>#,##0</c:formatCode>
                <c:ptCount val="2"/>
                <c:pt idx="0">
                  <c:v>24</c:v>
                </c:pt>
                <c:pt idx="1">
                  <c:v>97.2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Planned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Protected territories (national parks and reserves) where tourist centres and visual information systems are established</c:v>
                </c:pt>
                <c:pt idx="1">
                  <c:v>Percentage of protected territories where conditions to visit without damaging the nature are provided</c:v>
                </c:pt>
              </c:strCache>
            </c:strRef>
          </c:cat>
          <c:val>
            <c:numRef>
              <c:f>Sheet1!$B$3:$C$3</c:f>
              <c:numCache>
                <c:formatCode>#,##0</c:formatCode>
                <c:ptCount val="2"/>
                <c:pt idx="0">
                  <c:v>25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166324480"/>
        <c:axId val="166330368"/>
      </c:barChart>
      <c:catAx>
        <c:axId val="16632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66330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6330368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66324480"/>
        <c:crosses val="autoZero"/>
        <c:crossBetween val="between"/>
        <c:majorUnit val="25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559579616772846"/>
          <c:y val="0.62821956788708155"/>
          <c:w val="0.2670210449483561"/>
          <c:h val="0.160433262915306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+mj-lt"/>
        </a:defRPr>
      </a:pPr>
      <a:endParaRPr lang="lt-LT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53047445992328"/>
          <c:y val="3.1277203935254252E-2"/>
          <c:w val="0.51618691914345427"/>
          <c:h val="0.79277624818055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Achieved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Residential areas with upgraded water supply and wastewater systems</c:v>
                </c:pt>
                <c:pt idx="1">
                  <c:v>Closed or modernised landfills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 formatCode="#,##0">
                  <c:v>344</c:v>
                </c:pt>
                <c:pt idx="1">
                  <c:v>341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Planned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Residential areas with upgraded water supply and wastewater systems</c:v>
                </c:pt>
                <c:pt idx="1">
                  <c:v>Closed or modernised landfills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 formatCode="#,##0">
                  <c:v>316</c:v>
                </c:pt>
                <c:pt idx="1">
                  <c:v>341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166343808"/>
        <c:axId val="166345344"/>
      </c:barChart>
      <c:catAx>
        <c:axId val="1663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663453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6345344"/>
        <c:scaling>
          <c:orientation val="minMax"/>
          <c:max val="500"/>
          <c:min val="0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66343808"/>
        <c:crosses val="autoZero"/>
        <c:crossBetween val="between"/>
        <c:majorUnit val="100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306392085604714"/>
          <c:y val="0.82974103027037827"/>
          <c:w val="0.2670210449483561"/>
          <c:h val="0.170259041181799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+mj-lt"/>
        </a:defRPr>
      </a:pPr>
      <a:endParaRPr lang="lt-LT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525973113806258"/>
          <c:y val="6.8791106993978723E-2"/>
          <c:w val="0.48396561798929677"/>
          <c:h val="0.766233132623129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Achieved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Number of modernised public trasnport vehicles</c:v>
                </c:pt>
                <c:pt idx="1">
                  <c:v>Extension of the trolleybus network (km)</c:v>
                </c:pt>
                <c:pt idx="2">
                  <c:v>Increased share of environmentally friendly gas and electricity in relative units in the total fuel consumption of public transport  (precentage points).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 formatCode="#,##0">
                  <c:v>87</c:v>
                </c:pt>
                <c:pt idx="1">
                  <c:v>2.1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Planned by the OP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Number of modernised public trasnport vehicles</c:v>
                </c:pt>
                <c:pt idx="1">
                  <c:v>Extension of the trolleybus network (km)</c:v>
                </c:pt>
                <c:pt idx="2">
                  <c:v>Increased share of environmentally friendly gas and electricity in relative units in the total fuel consumption of public transport  (precentage points).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 formatCode="#,##0">
                  <c:v>85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135651328"/>
        <c:axId val="135652864"/>
      </c:barChart>
      <c:catAx>
        <c:axId val="135651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356528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5652864"/>
        <c:scaling>
          <c:orientation val="minMax"/>
          <c:max val="100"/>
          <c:min val="0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35651328"/>
        <c:crosses val="autoZero"/>
        <c:crossBetween val="between"/>
        <c:majorUnit val="25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594073767095061"/>
          <c:y val="0.37320271448800141"/>
          <c:w val="0.26922391280037367"/>
          <c:h val="0.130562996814759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+mj-lt"/>
        </a:defRPr>
      </a:pPr>
      <a:endParaRPr lang="lt-LT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885515987315134"/>
          <c:y val="2.5292691635502598E-2"/>
          <c:w val="0.50591627754300805"/>
          <c:h val="0.837790107680455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Achieved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Energy saved by modernided public buildings (GWh)</c:v>
                </c:pt>
                <c:pt idx="1">
                  <c:v>Public buildings modernised with the view of saving energy</c:v>
                </c:pt>
                <c:pt idx="2">
                  <c:v>Modernisation loans for multi-apartment buildings and dormitories (JESSICA) </c:v>
                </c:pt>
                <c:pt idx="3">
                  <c:v>Modernised multi-apartment buildings in problematic territories (Ministry of the Interior)</c:v>
                </c:pt>
              </c:strCache>
            </c:strRef>
          </c:cat>
          <c:val>
            <c:numRef>
              <c:f>Sheet1!$B$2:$E$2</c:f>
              <c:numCache>
                <c:formatCode>#,##0</c:formatCode>
                <c:ptCount val="4"/>
                <c:pt idx="0" formatCode="General">
                  <c:v>262</c:v>
                </c:pt>
                <c:pt idx="1">
                  <c:v>901</c:v>
                </c:pt>
                <c:pt idx="2" formatCode="General">
                  <c:v>1055</c:v>
                </c:pt>
                <c:pt idx="3" formatCode="General">
                  <c:v>368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Planned by the OP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Energy saved by modernided public buildings (GWh)</c:v>
                </c:pt>
                <c:pt idx="1">
                  <c:v>Public buildings modernised with the view of saving energy</c:v>
                </c:pt>
                <c:pt idx="2">
                  <c:v>Modernisation loans for multi-apartment buildings and dormitories (JESSICA) </c:v>
                </c:pt>
                <c:pt idx="3">
                  <c:v>Modernised multi-apartment buildings in problematic territories (Ministry of the Interior)</c:v>
                </c:pt>
              </c:strCache>
            </c:strRef>
          </c:cat>
          <c:val>
            <c:numRef>
              <c:f>Sheet1!$B$3:$E$3</c:f>
              <c:numCache>
                <c:formatCode>#,##0</c:formatCode>
                <c:ptCount val="4"/>
                <c:pt idx="0" formatCode="General">
                  <c:v>200</c:v>
                </c:pt>
                <c:pt idx="1">
                  <c:v>850</c:v>
                </c:pt>
                <c:pt idx="2" formatCode="General">
                  <c:v>1042</c:v>
                </c:pt>
                <c:pt idx="3" formatCode="General">
                  <c:v>300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182991488"/>
        <c:axId val="182997376"/>
      </c:barChart>
      <c:catAx>
        <c:axId val="182991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82997376"/>
        <c:crosses val="autoZero"/>
        <c:auto val="1"/>
        <c:lblAlgn val="r"/>
        <c:lblOffset val="100"/>
        <c:tickLblSkip val="1"/>
        <c:tickMarkSkip val="1"/>
        <c:noMultiLvlLbl val="0"/>
      </c:catAx>
      <c:valAx>
        <c:axId val="182997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8299148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8041717414566627"/>
          <c:y val="0.72194106703249383"/>
          <c:w val="0.2705802045525168"/>
          <c:h val="0.11360559204710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+mj-lt"/>
        </a:defRPr>
      </a:pPr>
      <a:endParaRPr lang="lt-LT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284699191583661"/>
          <c:y val="4.8728298579141592E-2"/>
          <c:w val="0.50007060250463464"/>
          <c:h val="0.7852286705508881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Achieved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Supported health care institutions</c:v>
                </c:pt>
                <c:pt idx="1">
                  <c:v>Patients with access to better and more accessible health services (thousands)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 formatCode="#,##0">
                  <c:v>218</c:v>
                </c:pt>
                <c:pt idx="1">
                  <c:v>1340.6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Planned by the OP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Supported health care institutions</c:v>
                </c:pt>
                <c:pt idx="1">
                  <c:v>Patients with access to better and more accessible health services (thousands)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 formatCode="#,##0">
                  <c:v>210</c:v>
                </c:pt>
                <c:pt idx="1">
                  <c:v>1050.5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183019008"/>
        <c:axId val="183020544"/>
      </c:barChart>
      <c:catAx>
        <c:axId val="183019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830205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3020544"/>
        <c:scaling>
          <c:orientation val="minMax"/>
          <c:max val="1400"/>
          <c:min val="0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lt-LT"/>
          </a:p>
        </c:txPr>
        <c:crossAx val="183019008"/>
        <c:crosses val="autoZero"/>
        <c:crossBetween val="between"/>
        <c:majorUnit val="200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6568701135736863"/>
          <c:y val="0.61698775368066694"/>
          <c:w val="0.26813189692942052"/>
          <c:h val="0.167543652051135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+mj-lt"/>
        </a:defRPr>
      </a:pPr>
      <a:endParaRPr lang="lt-LT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hart>
    <c:title>
      <c:tx>
        <c:rich>
          <a:bodyPr/>
          <a:lstStyle/>
          <a:p>
            <a:pPr>
              <a:defRPr sz="500"/>
            </a:pPr>
            <a:r>
              <a:rPr lang="lt-LT" sz="900" b="1" i="0" baseline="0">
                <a:effectLst/>
              </a:rPr>
              <a:t>Number of deaths by cause and suicide indicators in 2005 and 2015</a:t>
            </a:r>
            <a:endParaRPr lang="lt-LT" sz="500">
              <a:effectLst/>
            </a:endParaRPr>
          </a:p>
        </c:rich>
      </c:tx>
      <c:layout>
        <c:manualLayout>
          <c:xMode val="edge"/>
          <c:yMode val="edge"/>
          <c:x val="7.4480117052840897E-2"/>
          <c:y val="2.834556420033776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8696616749861443"/>
          <c:y val="0.1164635874185323"/>
          <c:w val="0.46950043473079794"/>
          <c:h val="0.672989979005075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Baseline value in 2005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Deaths by circulatory system diseases among people under 65 (number)</c:v>
                </c:pt>
                <c:pt idx="1">
                  <c:v>Deaths by malignant tumours of people under 65 (number)</c:v>
                </c:pt>
                <c:pt idx="2">
                  <c:v>Hospital mortality due to traumas, poisonings and other external causes (number)</c:v>
                </c:pt>
                <c:pt idx="3">
                  <c:v>Number of suicides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4295</c:v>
                </c:pt>
                <c:pt idx="1">
                  <c:v>2759</c:v>
                </c:pt>
                <c:pt idx="2">
                  <c:v>1337</c:v>
                </c:pt>
                <c:pt idx="3">
                  <c:v>1319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Aim in 2015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Deaths by circulatory system diseases among people under 65 (number)</c:v>
                </c:pt>
                <c:pt idx="1">
                  <c:v>Deaths by malignant tumours of people under 65 (number)</c:v>
                </c:pt>
                <c:pt idx="2">
                  <c:v>Hospital mortality due to traumas, poisonings and other external causes (number)</c:v>
                </c:pt>
                <c:pt idx="3">
                  <c:v>Number of suicides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4200</c:v>
                </c:pt>
                <c:pt idx="1">
                  <c:v>2700</c:v>
                </c:pt>
                <c:pt idx="2">
                  <c:v>1203</c:v>
                </c:pt>
                <c:pt idx="3">
                  <c:v>1200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Actual value in 2015*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Deaths by circulatory system diseases among people under 65 (number)</c:v>
                </c:pt>
                <c:pt idx="1">
                  <c:v>Deaths by malignant tumours of people under 65 (number)</c:v>
                </c:pt>
                <c:pt idx="2">
                  <c:v>Hospital mortality due to traumas, poisonings and other external causes (number)</c:v>
                </c:pt>
                <c:pt idx="3">
                  <c:v>Number of suicides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3070</c:v>
                </c:pt>
                <c:pt idx="1">
                  <c:v>2578</c:v>
                </c:pt>
                <c:pt idx="2">
                  <c:v>1126</c:v>
                </c:pt>
                <c:pt idx="3">
                  <c:v>896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645696"/>
        <c:axId val="183647232"/>
      </c:barChart>
      <c:dateAx>
        <c:axId val="183645696"/>
        <c:scaling>
          <c:orientation val="minMax"/>
        </c:scaling>
        <c:delete val="0"/>
        <c:axPos val="l"/>
        <c:numFmt formatCode="@" sourceLinked="0"/>
        <c:majorTickMark val="in"/>
        <c:minorTickMark val="none"/>
        <c:tickLblPos val="nextTo"/>
        <c:spPr>
          <a:ln>
            <a:solidFill>
              <a:schemeClr val="accent3">
                <a:lumMod val="75000"/>
              </a:schemeClr>
            </a:solidFill>
          </a:ln>
        </c:spPr>
        <c:txPr>
          <a:bodyPr/>
          <a:lstStyle/>
          <a:p>
            <a:pPr>
              <a:defRPr b="0" i="0"/>
            </a:pPr>
            <a:endParaRPr lang="lt-LT"/>
          </a:p>
        </c:txPr>
        <c:crossAx val="183647232"/>
        <c:crosses val="autoZero"/>
        <c:auto val="0"/>
        <c:lblOffset val="100"/>
        <c:baseTimeUnit val="days"/>
      </c:dateAx>
      <c:valAx>
        <c:axId val="183647232"/>
        <c:scaling>
          <c:orientation val="minMax"/>
          <c:max val="5000"/>
        </c:scaling>
        <c:delete val="0"/>
        <c:axPos val="b"/>
        <c:majorGridlines>
          <c:spPr>
            <a:ln>
              <a:solidFill>
                <a:schemeClr val="accent1">
                  <a:alpha val="20000"/>
                </a:schemeClr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crossAx val="183645696"/>
        <c:crosses val="autoZero"/>
        <c:crossBetween val="between"/>
        <c:majorUnit val="1000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900">
          <a:solidFill>
            <a:schemeClr val="tx2"/>
          </a:solidFill>
          <a:latin typeface="+mj-lt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3B37-D87E-46B2-9E0A-870A1215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11</Pages>
  <Words>17132</Words>
  <Characters>9766</Characters>
  <Application>Microsoft Office Word</Application>
  <DocSecurity>0</DocSecurity>
  <Lines>81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</dc:creator>
  <cp:lastModifiedBy>indre</cp:lastModifiedBy>
  <cp:revision>43</cp:revision>
  <cp:lastPrinted>2017-01-05T07:47:00Z</cp:lastPrinted>
  <dcterms:created xsi:type="dcterms:W3CDTF">2017-01-05T12:32:00Z</dcterms:created>
  <dcterms:modified xsi:type="dcterms:W3CDTF">2017-02-02T09:37:00Z</dcterms:modified>
</cp:coreProperties>
</file>