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3020" w:type="dxa"/>
        <w:jc w:val="center"/>
        <w:tblLook w:val="00A0" w:firstRow="1" w:lastRow="0" w:firstColumn="1" w:lastColumn="0" w:noHBand="0" w:noVBand="0"/>
      </w:tblPr>
      <w:tblGrid>
        <w:gridCol w:w="4238"/>
      </w:tblGrid>
      <w:tr w:rsidR="003637DF" w:rsidRPr="001C7708" w:rsidTr="00643CEB">
        <w:trPr>
          <w:trHeight w:val="1138"/>
          <w:jc w:val="center"/>
        </w:trPr>
        <w:tc>
          <w:tcPr>
            <w:tcW w:w="3020" w:type="dxa"/>
          </w:tcPr>
          <w:p w:rsidR="003637DF" w:rsidRPr="001C7708" w:rsidRDefault="003637DF" w:rsidP="00643CEB">
            <w:pPr>
              <w:tabs>
                <w:tab w:val="right" w:pos="4405"/>
              </w:tabs>
              <w:spacing w:after="120"/>
              <w:rPr>
                <w:rFonts w:ascii="Century Gothic" w:hAnsi="Century Gothic" w:cs="Century Gothic"/>
                <w:sz w:val="20"/>
                <w:szCs w:val="20"/>
              </w:rPr>
            </w:pPr>
            <w:bookmarkStart w:id="0" w:name="_Toc471892443"/>
            <w:bookmarkStart w:id="1" w:name="_GoBack"/>
            <w:bookmarkEnd w:id="1"/>
            <w:r w:rsidRPr="001C7708">
              <w:rPr>
                <w:rFonts w:ascii="Century Gothic" w:hAnsi="Century Gothic" w:cs="Century Gothic"/>
                <w:color w:val="365F91"/>
                <w:sz w:val="20"/>
                <w:szCs w:val="20"/>
              </w:rPr>
              <w:br w:type="page"/>
            </w:r>
            <w:r w:rsidRPr="00E0277D">
              <w:rPr>
                <w:rFonts w:eastAsia="Times New Roman"/>
                <w:lang w:eastAsia="lt-LT"/>
              </w:rPr>
              <w:object w:dxaOrig="4320" w:dyaOrig="2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95pt;height:83.4pt" o:ole="">
                  <v:imagedata r:id="rId8" o:title=""/>
                </v:shape>
                <o:OLEObject Type="Embed" ProgID="PBrush" ShapeID="_x0000_i1025" DrawAspect="Content" ObjectID="_1549899312" r:id="rId9"/>
              </w:object>
            </w:r>
            <w:r w:rsidRPr="001C7708">
              <w:rPr>
                <w:rFonts w:ascii="Century Gothic" w:hAnsi="Century Gothic" w:cs="Century Gothic"/>
                <w:sz w:val="20"/>
                <w:szCs w:val="20"/>
              </w:rPr>
              <w:tab/>
            </w:r>
          </w:p>
        </w:tc>
      </w:tr>
    </w:tbl>
    <w:p w:rsidR="003637DF" w:rsidRPr="000B0561" w:rsidRDefault="003637DF" w:rsidP="003637DF">
      <w:pPr>
        <w:rPr>
          <w:rFonts w:ascii="Century Gothic" w:hAnsi="Century Gothic" w:cs="Century Gothic"/>
          <w:sz w:val="20"/>
          <w:szCs w:val="20"/>
        </w:rPr>
      </w:pPr>
    </w:p>
    <w:p w:rsidR="003637DF" w:rsidRPr="000B0561" w:rsidRDefault="003637DF" w:rsidP="003637DF">
      <w:pPr>
        <w:rPr>
          <w:rFonts w:ascii="Century Gothic" w:hAnsi="Century Gothic" w:cs="Century Gothic"/>
          <w:sz w:val="20"/>
          <w:szCs w:val="20"/>
        </w:rPr>
      </w:pPr>
    </w:p>
    <w:p w:rsidR="003637DF" w:rsidRPr="000B0561" w:rsidRDefault="003637DF" w:rsidP="003637DF">
      <w:pPr>
        <w:rPr>
          <w:rFonts w:ascii="Century Gothic" w:hAnsi="Century Gothic" w:cs="Century Gothic"/>
          <w:sz w:val="20"/>
          <w:szCs w:val="20"/>
        </w:rPr>
      </w:pPr>
    </w:p>
    <w:p w:rsidR="003637DF" w:rsidRPr="000B0561" w:rsidRDefault="003637DF" w:rsidP="003637DF">
      <w:pPr>
        <w:rPr>
          <w:rFonts w:ascii="Century Gothic" w:hAnsi="Century Gothic" w:cs="Century Gothic"/>
          <w:sz w:val="20"/>
          <w:szCs w:val="20"/>
        </w:rPr>
      </w:pPr>
    </w:p>
    <w:p w:rsidR="003637DF" w:rsidRPr="000B0561" w:rsidRDefault="003637DF" w:rsidP="003637DF">
      <w:pPr>
        <w:tabs>
          <w:tab w:val="left" w:pos="0"/>
        </w:tabs>
        <w:jc w:val="center"/>
        <w:rPr>
          <w:b/>
          <w:bCs/>
          <w:caps/>
          <w:sz w:val="44"/>
          <w:szCs w:val="44"/>
          <w:lang w:eastAsia="ar-SA"/>
        </w:rPr>
      </w:pPr>
    </w:p>
    <w:p w:rsidR="003637DF" w:rsidRPr="000B0561" w:rsidRDefault="00145EF7" w:rsidP="003637DF">
      <w:pPr>
        <w:tabs>
          <w:tab w:val="left" w:pos="0"/>
        </w:tabs>
        <w:jc w:val="center"/>
        <w:rPr>
          <w:rFonts w:ascii="Century Gothic" w:hAnsi="Century Gothic" w:cs="Century Gothic"/>
          <w:b/>
          <w:bCs/>
          <w:caps/>
          <w:color w:val="054A6F"/>
          <w:sz w:val="36"/>
          <w:szCs w:val="36"/>
          <w:lang w:eastAsia="ar-SA"/>
        </w:rPr>
      </w:pPr>
      <w:r>
        <w:rPr>
          <w:rFonts w:ascii="Century Gothic" w:hAnsi="Century Gothic" w:cs="Century Gothic"/>
          <w:b/>
          <w:bCs/>
          <w:caps/>
          <w:color w:val="054A6F"/>
          <w:sz w:val="36"/>
          <w:szCs w:val="36"/>
          <w:lang w:eastAsia="ar-SA"/>
        </w:rPr>
        <w:t>QUALITATIVE AND QUANTITATIVE EVALUATION OF THE ACHIEVEMENT OF GOALS AND OBJECTIVES SET UP IN THE OPERATIONAL PROGRAMMES FOR 2007–2013</w:t>
      </w:r>
    </w:p>
    <w:p w:rsidR="003637DF" w:rsidRDefault="003637DF" w:rsidP="003637DF">
      <w:pPr>
        <w:tabs>
          <w:tab w:val="left" w:pos="0"/>
        </w:tabs>
        <w:jc w:val="center"/>
        <w:rPr>
          <w:rFonts w:ascii="Century Gothic" w:hAnsi="Century Gothic" w:cs="Century Gothic"/>
          <w:b/>
          <w:bCs/>
          <w:caps/>
          <w:color w:val="054A6F"/>
          <w:sz w:val="48"/>
          <w:szCs w:val="48"/>
          <w:lang w:eastAsia="ar-SA"/>
        </w:rPr>
      </w:pPr>
    </w:p>
    <w:p w:rsidR="008E079C" w:rsidRPr="000B0561" w:rsidRDefault="008E079C" w:rsidP="003637DF">
      <w:pPr>
        <w:tabs>
          <w:tab w:val="left" w:pos="0"/>
        </w:tabs>
        <w:jc w:val="center"/>
        <w:rPr>
          <w:rFonts w:ascii="Century Gothic" w:hAnsi="Century Gothic" w:cs="Century Gothic"/>
          <w:b/>
          <w:bCs/>
          <w:caps/>
          <w:color w:val="054A6F"/>
          <w:sz w:val="48"/>
          <w:szCs w:val="48"/>
          <w:lang w:eastAsia="ar-SA"/>
        </w:rPr>
      </w:pPr>
    </w:p>
    <w:p w:rsidR="003637DF" w:rsidRPr="000B0561" w:rsidRDefault="003637DF" w:rsidP="003637DF">
      <w:pPr>
        <w:tabs>
          <w:tab w:val="left" w:pos="0"/>
        </w:tabs>
        <w:jc w:val="center"/>
        <w:rPr>
          <w:rFonts w:ascii="Century Gothic" w:hAnsi="Century Gothic" w:cs="Century Gothic"/>
          <w:b/>
          <w:bCs/>
          <w:caps/>
          <w:color w:val="054A6F"/>
          <w:sz w:val="48"/>
          <w:szCs w:val="48"/>
          <w:lang w:eastAsia="ar-SA"/>
        </w:rPr>
      </w:pPr>
    </w:p>
    <w:p w:rsidR="003637DF" w:rsidRPr="003637DF" w:rsidRDefault="003637DF" w:rsidP="003637DF">
      <w:pPr>
        <w:tabs>
          <w:tab w:val="left" w:pos="0"/>
        </w:tabs>
        <w:jc w:val="center"/>
        <w:rPr>
          <w:rFonts w:ascii="Century Gothic" w:hAnsi="Century Gothic" w:cs="Century Gothic"/>
          <w:b/>
          <w:bCs/>
          <w:caps/>
          <w:color w:val="054A6F"/>
          <w:sz w:val="44"/>
          <w:szCs w:val="44"/>
          <w:lang w:val="en-US" w:eastAsia="ar-SA"/>
        </w:rPr>
      </w:pPr>
      <w:r w:rsidRPr="003637DF">
        <w:rPr>
          <w:rFonts w:ascii="Century Gothic" w:hAnsi="Century Gothic" w:cs="Century Gothic"/>
          <w:b/>
          <w:bCs/>
          <w:caps/>
          <w:color w:val="054A6F"/>
          <w:sz w:val="44"/>
          <w:szCs w:val="44"/>
          <w:lang w:val="en-US" w:eastAsia="ar-SA"/>
        </w:rPr>
        <w:t>2007–2013</w:t>
      </w:r>
      <w:r>
        <w:rPr>
          <w:rFonts w:ascii="Century Gothic" w:hAnsi="Century Gothic" w:cs="Century Gothic"/>
          <w:b/>
          <w:bCs/>
          <w:caps/>
          <w:color w:val="054A6F"/>
          <w:sz w:val="44"/>
          <w:szCs w:val="44"/>
          <w:lang w:val="en-US" w:eastAsia="ar-SA"/>
        </w:rPr>
        <w:t xml:space="preserve"> eu sTRUCTURAL fUNDS INVESTMENT FOR LITHUANIA</w:t>
      </w:r>
    </w:p>
    <w:p w:rsidR="003637DF" w:rsidRPr="003637DF" w:rsidRDefault="003637DF" w:rsidP="003637DF">
      <w:pPr>
        <w:spacing w:after="160" w:line="259" w:lineRule="auto"/>
        <w:jc w:val="center"/>
        <w:rPr>
          <w:rFonts w:ascii="Century Gothic" w:hAnsi="Century Gothic" w:cs="Century Gothic"/>
          <w:sz w:val="20"/>
          <w:szCs w:val="20"/>
          <w:lang w:val="en-US"/>
        </w:rPr>
      </w:pPr>
    </w:p>
    <w:p w:rsidR="003637DF" w:rsidRPr="003637DF" w:rsidRDefault="003637DF" w:rsidP="003637DF">
      <w:pPr>
        <w:spacing w:after="160" w:line="259" w:lineRule="auto"/>
        <w:jc w:val="center"/>
        <w:rPr>
          <w:rFonts w:ascii="Century Gothic" w:hAnsi="Century Gothic" w:cs="Century Gothic"/>
          <w:sz w:val="20"/>
          <w:szCs w:val="20"/>
          <w:lang w:val="en-US"/>
        </w:rPr>
      </w:pPr>
    </w:p>
    <w:p w:rsidR="003637DF" w:rsidRPr="003637DF" w:rsidRDefault="003637DF" w:rsidP="003637DF">
      <w:pPr>
        <w:spacing w:after="160" w:line="259" w:lineRule="auto"/>
        <w:jc w:val="center"/>
        <w:rPr>
          <w:rFonts w:ascii="Century Gothic" w:hAnsi="Century Gothic" w:cs="Century Gothic"/>
          <w:sz w:val="20"/>
          <w:szCs w:val="20"/>
          <w:lang w:val="en-US"/>
        </w:rPr>
      </w:pPr>
    </w:p>
    <w:p w:rsidR="003637DF" w:rsidRPr="003637DF" w:rsidRDefault="003637DF" w:rsidP="003637DF">
      <w:pPr>
        <w:spacing w:after="160" w:line="259" w:lineRule="auto"/>
        <w:jc w:val="center"/>
        <w:rPr>
          <w:rFonts w:ascii="Century Gothic" w:hAnsi="Century Gothic" w:cs="Century Gothic"/>
          <w:sz w:val="20"/>
          <w:szCs w:val="20"/>
          <w:lang w:val="en-US"/>
        </w:rPr>
      </w:pPr>
    </w:p>
    <w:p w:rsidR="003637DF" w:rsidRPr="003637DF" w:rsidRDefault="003637DF" w:rsidP="003637DF">
      <w:pPr>
        <w:spacing w:after="160" w:line="259" w:lineRule="auto"/>
        <w:jc w:val="center"/>
        <w:rPr>
          <w:rFonts w:ascii="Century Gothic" w:hAnsi="Century Gothic" w:cs="Century Gothic"/>
          <w:sz w:val="20"/>
          <w:szCs w:val="20"/>
          <w:lang w:val="en-US"/>
        </w:rPr>
      </w:pPr>
    </w:p>
    <w:p w:rsidR="003637DF" w:rsidRPr="003637DF" w:rsidRDefault="003637DF" w:rsidP="003637DF">
      <w:pPr>
        <w:spacing w:after="160" w:line="259" w:lineRule="auto"/>
        <w:jc w:val="center"/>
        <w:rPr>
          <w:rFonts w:ascii="Century Gothic" w:hAnsi="Century Gothic" w:cs="Century Gothic"/>
          <w:sz w:val="20"/>
          <w:szCs w:val="20"/>
          <w:lang w:val="en-US"/>
        </w:rPr>
      </w:pPr>
    </w:p>
    <w:p w:rsidR="003637DF" w:rsidRPr="003637DF" w:rsidRDefault="003637DF" w:rsidP="003637DF">
      <w:pPr>
        <w:spacing w:after="160" w:line="259" w:lineRule="auto"/>
        <w:jc w:val="center"/>
        <w:rPr>
          <w:rFonts w:ascii="Century Gothic" w:hAnsi="Century Gothic" w:cs="Century Gothic"/>
          <w:sz w:val="20"/>
          <w:szCs w:val="20"/>
          <w:lang w:val="en-US"/>
        </w:rPr>
      </w:pPr>
    </w:p>
    <w:p w:rsidR="003637DF" w:rsidRPr="003637DF" w:rsidRDefault="003637DF" w:rsidP="003637DF">
      <w:pPr>
        <w:spacing w:after="160" w:line="259" w:lineRule="auto"/>
        <w:jc w:val="center"/>
        <w:rPr>
          <w:rFonts w:ascii="Century Gothic" w:hAnsi="Century Gothic" w:cs="Century Gothic"/>
          <w:sz w:val="20"/>
          <w:szCs w:val="20"/>
          <w:lang w:val="en-US"/>
        </w:rPr>
      </w:pPr>
    </w:p>
    <w:p w:rsidR="003637DF" w:rsidRPr="003637DF" w:rsidRDefault="003637DF" w:rsidP="003637DF">
      <w:pPr>
        <w:spacing w:after="160" w:line="259" w:lineRule="auto"/>
        <w:jc w:val="center"/>
        <w:rPr>
          <w:rFonts w:ascii="Century Gothic" w:hAnsi="Century Gothic" w:cs="Century Gothic"/>
          <w:sz w:val="20"/>
          <w:szCs w:val="20"/>
          <w:lang w:val="en-US"/>
        </w:rPr>
      </w:pPr>
    </w:p>
    <w:p w:rsidR="003637DF" w:rsidRPr="003637DF" w:rsidRDefault="00365A60" w:rsidP="003637DF">
      <w:pPr>
        <w:pStyle w:val="Titulinionuoroda"/>
        <w:rPr>
          <w:lang w:val="en-US"/>
        </w:rPr>
      </w:pPr>
      <w:r>
        <w:rPr>
          <w:rFonts w:ascii="Century Gothic" w:hAnsi="Century Gothic" w:cs="Century Gothic"/>
          <w:sz w:val="18"/>
          <w:szCs w:val="18"/>
          <w:lang w:val="en-US"/>
        </w:rPr>
        <w:t>Prepared</w:t>
      </w:r>
      <w:r w:rsidR="003637DF">
        <w:rPr>
          <w:rFonts w:ascii="Century Gothic" w:hAnsi="Century Gothic" w:cs="Century Gothic"/>
          <w:sz w:val="18"/>
          <w:szCs w:val="18"/>
          <w:lang w:val="en-US"/>
        </w:rPr>
        <w:t xml:space="preserve"> by Visionary Analytics UAB in accordance with the service contract No 14P-40 signed on 16</w:t>
      </w:r>
      <w:r w:rsidR="003637DF" w:rsidRPr="003637DF">
        <w:rPr>
          <w:rFonts w:ascii="Century Gothic" w:hAnsi="Century Gothic" w:cs="Century Gothic"/>
          <w:sz w:val="18"/>
          <w:szCs w:val="18"/>
          <w:vertAlign w:val="superscript"/>
          <w:lang w:val="en-US"/>
        </w:rPr>
        <w:t>th</w:t>
      </w:r>
      <w:r w:rsidR="003637DF">
        <w:rPr>
          <w:rFonts w:ascii="Century Gothic" w:hAnsi="Century Gothic" w:cs="Century Gothic"/>
          <w:sz w:val="18"/>
          <w:szCs w:val="18"/>
          <w:lang w:val="en-US"/>
        </w:rPr>
        <w:t xml:space="preserve"> of May 2016</w:t>
      </w:r>
      <w:r w:rsidR="003637DF" w:rsidRPr="003637DF">
        <w:rPr>
          <w:rFonts w:ascii="Century Gothic" w:hAnsi="Century Gothic" w:cs="Century Gothic"/>
          <w:sz w:val="18"/>
          <w:szCs w:val="18"/>
          <w:lang w:val="en-US"/>
        </w:rPr>
        <w:t xml:space="preserve"> </w:t>
      </w:r>
      <w:r w:rsidR="003637DF">
        <w:rPr>
          <w:rFonts w:ascii="Century Gothic" w:hAnsi="Century Gothic" w:cs="Century Gothic"/>
          <w:sz w:val="18"/>
          <w:szCs w:val="18"/>
          <w:lang w:val="en-US"/>
        </w:rPr>
        <w:t>between the Ministry of Finance of the Republic of Lithuania and group of economic subjects composed from ESTEP Vilnius UAB and Visionary Analytics UAB.</w:t>
      </w:r>
    </w:p>
    <w:p w:rsidR="003637DF" w:rsidRPr="003637DF" w:rsidRDefault="003637DF" w:rsidP="003637DF">
      <w:pPr>
        <w:spacing w:after="160" w:line="259" w:lineRule="auto"/>
        <w:jc w:val="center"/>
        <w:rPr>
          <w:rFonts w:ascii="Century Gothic" w:hAnsi="Century Gothic" w:cs="Century Gothic"/>
          <w:sz w:val="20"/>
          <w:szCs w:val="20"/>
          <w:lang w:val="en-US"/>
        </w:rPr>
      </w:pPr>
    </w:p>
    <w:tbl>
      <w:tblPr>
        <w:tblW w:w="7460" w:type="dxa"/>
        <w:jc w:val="right"/>
        <w:tblLook w:val="00A0" w:firstRow="1" w:lastRow="0" w:firstColumn="1" w:lastColumn="0" w:noHBand="0" w:noVBand="0"/>
      </w:tblPr>
      <w:tblGrid>
        <w:gridCol w:w="2301"/>
        <w:gridCol w:w="3006"/>
        <w:gridCol w:w="2153"/>
      </w:tblGrid>
      <w:tr w:rsidR="003637DF" w:rsidRPr="001C7708" w:rsidTr="00643CEB">
        <w:trPr>
          <w:trHeight w:val="1138"/>
          <w:jc w:val="right"/>
        </w:trPr>
        <w:tc>
          <w:tcPr>
            <w:tcW w:w="2301" w:type="dxa"/>
          </w:tcPr>
          <w:p w:rsidR="003637DF" w:rsidRPr="007879A4" w:rsidRDefault="003637DF" w:rsidP="00643CEB">
            <w:pPr>
              <w:tabs>
                <w:tab w:val="right" w:pos="4405"/>
              </w:tabs>
              <w:spacing w:after="120"/>
              <w:rPr>
                <w:rFonts w:ascii="Century Gothic" w:hAnsi="Century Gothic" w:cs="Century Gothic"/>
                <w:sz w:val="20"/>
                <w:szCs w:val="20"/>
              </w:rPr>
            </w:pPr>
            <w:r>
              <w:rPr>
                <w:noProof/>
                <w:lang w:eastAsia="lt-LT"/>
              </w:rPr>
              <w:drawing>
                <wp:inline distT="0" distB="0" distL="0" distR="0">
                  <wp:extent cx="1238250" cy="523875"/>
                  <wp:effectExtent l="0" t="0" r="0" b="0"/>
                  <wp:docPr id="4" name="Picture 4" descr="http://www.esparama.lt/es_parama_pletra/failai/logo/F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sparama.lt/es_parama_pletra/failai/logo/FM_Logo.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523875"/>
                          </a:xfrm>
                          <a:prstGeom prst="rect">
                            <a:avLst/>
                          </a:prstGeom>
                          <a:noFill/>
                          <a:ln>
                            <a:noFill/>
                          </a:ln>
                        </pic:spPr>
                      </pic:pic>
                    </a:graphicData>
                  </a:graphic>
                </wp:inline>
              </w:drawing>
            </w:r>
          </w:p>
        </w:tc>
        <w:tc>
          <w:tcPr>
            <w:tcW w:w="3006" w:type="dxa"/>
          </w:tcPr>
          <w:p w:rsidR="003637DF" w:rsidRPr="007879A4" w:rsidRDefault="003637DF" w:rsidP="00643CEB">
            <w:pPr>
              <w:tabs>
                <w:tab w:val="right" w:pos="4405"/>
              </w:tabs>
              <w:spacing w:after="120"/>
              <w:jc w:val="center"/>
              <w:rPr>
                <w:rFonts w:ascii="Century Gothic" w:hAnsi="Century Gothic" w:cs="Century Gothic"/>
                <w:sz w:val="20"/>
                <w:szCs w:val="20"/>
              </w:rPr>
            </w:pPr>
            <w:r>
              <w:rPr>
                <w:noProof/>
                <w:lang w:eastAsia="lt-LT"/>
              </w:rPr>
              <w:drawing>
                <wp:inline distT="0" distB="0" distL="0" distR="0">
                  <wp:extent cx="1676400" cy="53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400" cy="533400"/>
                          </a:xfrm>
                          <a:prstGeom prst="rect">
                            <a:avLst/>
                          </a:prstGeom>
                          <a:noFill/>
                          <a:ln>
                            <a:noFill/>
                          </a:ln>
                        </pic:spPr>
                      </pic:pic>
                    </a:graphicData>
                  </a:graphic>
                </wp:inline>
              </w:drawing>
            </w:r>
          </w:p>
        </w:tc>
        <w:tc>
          <w:tcPr>
            <w:tcW w:w="2153" w:type="dxa"/>
          </w:tcPr>
          <w:p w:rsidR="003637DF" w:rsidRPr="007879A4" w:rsidRDefault="003637DF" w:rsidP="00643CEB">
            <w:pPr>
              <w:spacing w:after="120"/>
              <w:jc w:val="right"/>
              <w:rPr>
                <w:rFonts w:ascii="Century Gothic" w:hAnsi="Century Gothic" w:cs="Century Gothic"/>
                <w:sz w:val="20"/>
                <w:szCs w:val="20"/>
              </w:rPr>
            </w:pPr>
            <w:r>
              <w:rPr>
                <w:rFonts w:ascii="Century Gothic" w:hAnsi="Century Gothic" w:cs="Century Gothic"/>
                <w:noProof/>
                <w:sz w:val="20"/>
                <w:szCs w:val="20"/>
                <w:lang w:eastAsia="lt-LT"/>
              </w:rPr>
              <w:drawing>
                <wp:inline distT="0" distB="0" distL="0" distR="0">
                  <wp:extent cx="1057275" cy="533400"/>
                  <wp:effectExtent l="0" t="0" r="0" b="0"/>
                  <wp:docPr id="2" name="Picture 2" descr="Melynas logo 300 spaud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lynas logo 300 spaudai-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7275" cy="533400"/>
                          </a:xfrm>
                          <a:prstGeom prst="rect">
                            <a:avLst/>
                          </a:prstGeom>
                          <a:noFill/>
                          <a:ln>
                            <a:noFill/>
                          </a:ln>
                        </pic:spPr>
                      </pic:pic>
                    </a:graphicData>
                  </a:graphic>
                </wp:inline>
              </w:drawing>
            </w:r>
          </w:p>
        </w:tc>
      </w:tr>
    </w:tbl>
    <w:p w:rsidR="003637DF" w:rsidRDefault="003637DF" w:rsidP="00514F36">
      <w:pPr>
        <w:keepNext/>
        <w:keepLines/>
        <w:spacing w:after="240"/>
        <w:jc w:val="center"/>
        <w:outlineLvl w:val="0"/>
        <w:rPr>
          <w:rFonts w:ascii="Century Gothic" w:hAnsi="Century Gothic"/>
          <w:b/>
          <w:color w:val="2E74B5"/>
          <w:sz w:val="28"/>
        </w:rPr>
      </w:pPr>
      <w:r w:rsidRPr="000B0561">
        <w:rPr>
          <w:rFonts w:ascii="Cambria" w:hAnsi="Cambria" w:cs="Cambria"/>
        </w:rPr>
        <w:br w:type="page"/>
      </w:r>
    </w:p>
    <w:p w:rsidR="00514F36" w:rsidRPr="006B04DC" w:rsidRDefault="00514F36" w:rsidP="00514F36">
      <w:pPr>
        <w:keepNext/>
        <w:keepLines/>
        <w:spacing w:after="240"/>
        <w:jc w:val="center"/>
        <w:outlineLvl w:val="0"/>
        <w:rPr>
          <w:rFonts w:ascii="Century Gothic" w:eastAsia="Times New Roman" w:hAnsi="Century Gothic"/>
          <w:b/>
          <w:bCs/>
          <w:color w:val="2E74B5"/>
          <w:sz w:val="28"/>
          <w:szCs w:val="28"/>
        </w:rPr>
      </w:pPr>
      <w:r w:rsidRPr="006B04DC">
        <w:rPr>
          <w:rFonts w:ascii="Century Gothic" w:hAnsi="Century Gothic"/>
          <w:b/>
          <w:color w:val="2E74B5"/>
          <w:sz w:val="28"/>
        </w:rPr>
        <w:lastRenderedPageBreak/>
        <w:t>INVESTING EU FUNDS IN LITHUANIA IN 2007–2013</w:t>
      </w:r>
      <w:bookmarkEnd w:id="0"/>
    </w:p>
    <w:p w:rsidR="00514F36" w:rsidRPr="006B04DC" w:rsidRDefault="00B40C0A" w:rsidP="00514F36">
      <w:pPr>
        <w:jc w:val="both"/>
        <w:rPr>
          <w:rFonts w:ascii="Century Gothic" w:hAnsi="Century Gothic"/>
          <w:sz w:val="20"/>
          <w:szCs w:val="20"/>
        </w:rPr>
      </w:pPr>
      <w:r>
        <w:rPr>
          <w:rFonts w:ascii="Century Gothic" w:hAnsi="Century Gothic"/>
          <w:sz w:val="20"/>
        </w:rPr>
        <w:t>Lithuania received investments</w:t>
      </w:r>
      <w:r w:rsidR="00514F36" w:rsidRPr="006B04DC">
        <w:rPr>
          <w:rFonts w:ascii="Century Gothic" w:hAnsi="Century Gothic"/>
          <w:sz w:val="20"/>
        </w:rPr>
        <w:t xml:space="preserve"> from the EU Structural Funds in 2007–2013 under the Lithuanian Strategy for the Use of the EU Structural Funds 2007–2013 and four operational programmes that were designed to implement it. The strategy closely followed a vision shaped by the Single Programming Document 2004–2006 – </w:t>
      </w:r>
      <w:r w:rsidR="00514F36" w:rsidRPr="006B04DC">
        <w:rPr>
          <w:rFonts w:ascii="Century Gothic" w:hAnsi="Century Gothic"/>
          <w:b/>
          <w:sz w:val="20"/>
        </w:rPr>
        <w:t>achieving the EU-15 level of socio-economic development</w:t>
      </w:r>
      <w:r w:rsidR="00514F36" w:rsidRPr="006B04DC">
        <w:rPr>
          <w:rFonts w:ascii="Century Gothic" w:hAnsi="Century Gothic"/>
          <w:sz w:val="20"/>
        </w:rPr>
        <w:t xml:space="preserve"> so that all Lithuanian people could enjoy a better quality of life, i.e. increasing employment, good working conditions, growing income and user-friendly public services. A better quality of life also means a more integrated society with a reducing risk of poverty and social exclusion. This vision helped to set the main objective for investments made by the EU Structural Funds – rapidly improve conditions for investment, work and life in Lithuania to ensure that benefits of economic growth reach all Lithuanian people. The following three development objectives were also established:</w:t>
      </w:r>
    </w:p>
    <w:p w:rsidR="00514F36" w:rsidRPr="006B04DC" w:rsidRDefault="00514F36" w:rsidP="00514F36">
      <w:pPr>
        <w:pStyle w:val="ListParagraph"/>
        <w:numPr>
          <w:ilvl w:val="0"/>
          <w:numId w:val="2"/>
        </w:numPr>
        <w:jc w:val="both"/>
        <w:rPr>
          <w:rFonts w:ascii="Century Gothic" w:hAnsi="Century Gothic"/>
          <w:sz w:val="20"/>
          <w:szCs w:val="20"/>
        </w:rPr>
      </w:pPr>
      <w:r w:rsidRPr="006B04DC">
        <w:rPr>
          <w:rFonts w:ascii="Century Gothic" w:hAnsi="Century Gothic"/>
          <w:b/>
          <w:sz w:val="20"/>
        </w:rPr>
        <w:t>creating more and better jobs</w:t>
      </w:r>
      <w:r w:rsidRPr="006B04DC">
        <w:rPr>
          <w:rFonts w:ascii="Century Gothic" w:hAnsi="Century Gothic"/>
          <w:sz w:val="20"/>
        </w:rPr>
        <w:t xml:space="preserve"> to mobilise the Lithuanian working age population and promote their active participation in economic activities and public life. New and better jobs is a precondition for creating a higher added value by the Lithuanian economy, ensuring stable income and a better quality of life for the working population and stopping the migration of skilled labour force from the country. An integral aspect of such job growth is the need to ensure high competence and continuous learning of the labour force;</w:t>
      </w:r>
    </w:p>
    <w:p w:rsidR="00514F36" w:rsidRPr="006B04DC" w:rsidRDefault="00514F36" w:rsidP="00514F36">
      <w:pPr>
        <w:pStyle w:val="ListParagraph"/>
        <w:numPr>
          <w:ilvl w:val="0"/>
          <w:numId w:val="2"/>
        </w:numPr>
        <w:jc w:val="both"/>
        <w:rPr>
          <w:rFonts w:ascii="Century Gothic" w:hAnsi="Century Gothic"/>
          <w:sz w:val="20"/>
          <w:szCs w:val="20"/>
        </w:rPr>
      </w:pPr>
      <w:r w:rsidRPr="006B04DC">
        <w:rPr>
          <w:rFonts w:ascii="Century Gothic" w:hAnsi="Century Gothic"/>
          <w:b/>
          <w:sz w:val="20"/>
        </w:rPr>
        <w:t>promoting economic growth in the long term</w:t>
      </w:r>
      <w:r w:rsidRPr="006B04DC">
        <w:rPr>
          <w:rFonts w:ascii="Century Gothic" w:hAnsi="Century Gothic"/>
          <w:sz w:val="20"/>
        </w:rPr>
        <w:t xml:space="preserve"> to increase the competitiveness of the Lithuanian economy in international markets, develop knowledge-based sectors rather than capital or raw material intensive sectors, ensure macroeconomic stability and become a full member of the Economic and Monetary Union;</w:t>
      </w:r>
    </w:p>
    <w:p w:rsidR="00514F36" w:rsidRPr="006B04DC" w:rsidRDefault="00514F36" w:rsidP="00514F36">
      <w:pPr>
        <w:pStyle w:val="ListParagraph"/>
        <w:numPr>
          <w:ilvl w:val="0"/>
          <w:numId w:val="2"/>
        </w:numPr>
        <w:jc w:val="both"/>
        <w:rPr>
          <w:rFonts w:ascii="Century Gothic" w:hAnsi="Century Gothic"/>
          <w:sz w:val="20"/>
          <w:szCs w:val="20"/>
        </w:rPr>
      </w:pPr>
      <w:r w:rsidRPr="006B04DC">
        <w:rPr>
          <w:rFonts w:ascii="Century Gothic" w:hAnsi="Century Gothic"/>
          <w:b/>
          <w:sz w:val="20"/>
        </w:rPr>
        <w:t>developing social cohesion</w:t>
      </w:r>
      <w:r w:rsidRPr="006B04DC">
        <w:rPr>
          <w:rFonts w:ascii="Century Gothic" w:hAnsi="Century Gothic"/>
          <w:sz w:val="20"/>
        </w:rPr>
        <w:t xml:space="preserve"> to ensure that Lithuanian people feel part of one community and different social groups share be</w:t>
      </w:r>
      <w:r w:rsidR="00067378" w:rsidRPr="006B04DC">
        <w:rPr>
          <w:rFonts w:ascii="Century Gothic" w:hAnsi="Century Gothic"/>
          <w:sz w:val="20"/>
        </w:rPr>
        <w:t>nefits of economic development.</w:t>
      </w:r>
    </w:p>
    <w:p w:rsidR="00514F36" w:rsidRPr="006B04DC" w:rsidRDefault="00514F36" w:rsidP="00514F36">
      <w:pPr>
        <w:jc w:val="both"/>
        <w:rPr>
          <w:rFonts w:ascii="Century Gothic" w:hAnsi="Century Gothic"/>
          <w:sz w:val="20"/>
          <w:szCs w:val="20"/>
        </w:rPr>
      </w:pPr>
    </w:p>
    <w:p w:rsidR="00514F36" w:rsidRPr="006B04DC" w:rsidRDefault="00514F36" w:rsidP="00514F36">
      <w:pPr>
        <w:jc w:val="both"/>
        <w:rPr>
          <w:rFonts w:ascii="Century Gothic" w:hAnsi="Century Gothic"/>
          <w:sz w:val="20"/>
          <w:szCs w:val="20"/>
        </w:rPr>
      </w:pPr>
      <w:r w:rsidRPr="006B04DC">
        <w:rPr>
          <w:rFonts w:ascii="Century Gothic" w:hAnsi="Century Gothic"/>
          <w:sz w:val="20"/>
        </w:rPr>
        <w:t>These objectives served as a basis for three priority areas of the strategy: (1) productive human resources for a knowledge society; (2) competitive economy and (3) quality of life and cohesion. They were translated into three operational programmes contributing to the objectives and tasks established by the strategy (</w:t>
      </w:r>
      <w:r w:rsidRPr="006B04DC">
        <w:rPr>
          <w:rFonts w:ascii="Century Gothic" w:hAnsi="Century Gothic"/>
          <w:b/>
          <w:sz w:val="20"/>
        </w:rPr>
        <w:t>Operational Programme for the Development of Human Resources</w:t>
      </w:r>
      <w:r w:rsidRPr="006B04DC">
        <w:rPr>
          <w:rFonts w:ascii="Century Gothic" w:hAnsi="Century Gothic"/>
          <w:sz w:val="20"/>
        </w:rPr>
        <w:t xml:space="preserve">, </w:t>
      </w:r>
      <w:r w:rsidRPr="006B04DC">
        <w:rPr>
          <w:rFonts w:ascii="Century Gothic" w:hAnsi="Century Gothic"/>
          <w:b/>
          <w:sz w:val="20"/>
        </w:rPr>
        <w:t>Operational Programme for Economic Growth</w:t>
      </w:r>
      <w:r w:rsidRPr="006B04DC">
        <w:rPr>
          <w:rFonts w:ascii="Century Gothic" w:hAnsi="Century Gothic"/>
          <w:sz w:val="20"/>
        </w:rPr>
        <w:t xml:space="preserve"> and </w:t>
      </w:r>
      <w:r w:rsidRPr="006B04DC">
        <w:rPr>
          <w:rFonts w:ascii="Century Gothic" w:hAnsi="Century Gothic"/>
          <w:b/>
          <w:sz w:val="20"/>
        </w:rPr>
        <w:t>Operational Programme for the Promotion of Cohesion</w:t>
      </w:r>
      <w:r w:rsidRPr="006B04DC">
        <w:rPr>
          <w:rFonts w:ascii="Century Gothic" w:hAnsi="Century Gothic"/>
          <w:sz w:val="20"/>
        </w:rPr>
        <w:t>) as well as a fourth operational programme for the management of the first three operational programmes (</w:t>
      </w:r>
      <w:r w:rsidRPr="006B04DC">
        <w:rPr>
          <w:rFonts w:ascii="Century Gothic" w:hAnsi="Century Gothic"/>
          <w:b/>
          <w:sz w:val="20"/>
        </w:rPr>
        <w:t>Technical Assistance Operational Programme</w:t>
      </w:r>
      <w:r w:rsidR="006B04DC" w:rsidRPr="006B04DC">
        <w:rPr>
          <w:rFonts w:ascii="Century Gothic" w:hAnsi="Century Gothic"/>
          <w:sz w:val="20"/>
        </w:rPr>
        <w:t>) (see Figure 1).</w:t>
      </w:r>
    </w:p>
    <w:p w:rsidR="00514F36" w:rsidRPr="006B04DC" w:rsidRDefault="00514F36" w:rsidP="00514F36">
      <w:pPr>
        <w:jc w:val="both"/>
        <w:rPr>
          <w:rFonts w:ascii="Century Gothic" w:hAnsi="Century Gothic"/>
          <w:sz w:val="20"/>
          <w:szCs w:val="20"/>
        </w:rPr>
      </w:pPr>
    </w:p>
    <w:p w:rsidR="00514F36" w:rsidRPr="006B04DC" w:rsidRDefault="00514F36" w:rsidP="00514F36">
      <w:pPr>
        <w:keepNext/>
        <w:jc w:val="both"/>
        <w:rPr>
          <w:rFonts w:ascii="Century Gothic" w:eastAsia="Times New Roman" w:hAnsi="Century Gothic"/>
          <w:b/>
          <w:bCs/>
          <w:color w:val="244061"/>
          <w:sz w:val="20"/>
          <w:szCs w:val="20"/>
        </w:rPr>
      </w:pPr>
      <w:r w:rsidRPr="006B04DC">
        <w:rPr>
          <w:rFonts w:ascii="Century Gothic" w:hAnsi="Century Gothic"/>
          <w:b/>
          <w:color w:val="244061"/>
          <w:sz w:val="20"/>
        </w:rPr>
        <w:t>Figure 1. Support from the EU Structural Funds by operational programme 2007–2013 (percentage)</w:t>
      </w:r>
    </w:p>
    <w:p w:rsidR="00514F36" w:rsidRPr="006B04DC" w:rsidRDefault="002A69BD" w:rsidP="00514F36">
      <w:pPr>
        <w:spacing w:after="120"/>
        <w:rPr>
          <w:rFonts w:ascii="Century Gothic" w:hAnsi="Century Gothic"/>
          <w:sz w:val="20"/>
          <w:szCs w:val="20"/>
        </w:rPr>
      </w:pPr>
      <w:r>
        <w:rPr>
          <w:noProof/>
          <w:lang w:eastAsia="lt-LT"/>
        </w:rPr>
        <w:drawing>
          <wp:inline distT="0" distB="0" distL="0" distR="0" wp14:anchorId="32322A5B" wp14:editId="26E0FA2A">
            <wp:extent cx="4114800" cy="23717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03923" w:rsidRDefault="00E03923" w:rsidP="00514F36">
      <w:pPr>
        <w:jc w:val="both"/>
        <w:rPr>
          <w:rFonts w:ascii="Century Gothic" w:hAnsi="Century Gothic"/>
          <w:sz w:val="20"/>
        </w:rPr>
      </w:pPr>
    </w:p>
    <w:p w:rsidR="00514F36" w:rsidRPr="006B04DC" w:rsidRDefault="00514F36" w:rsidP="00514F36">
      <w:pPr>
        <w:jc w:val="both"/>
        <w:rPr>
          <w:rFonts w:ascii="Century Gothic" w:hAnsi="Century Gothic"/>
          <w:sz w:val="20"/>
          <w:szCs w:val="20"/>
        </w:rPr>
      </w:pPr>
      <w:r w:rsidRPr="006B04DC">
        <w:rPr>
          <w:rFonts w:ascii="Century Gothic" w:hAnsi="Century Gothic"/>
          <w:sz w:val="20"/>
        </w:rPr>
        <w:t xml:space="preserve">Between 2007 and 2015, Lithuania used over </w:t>
      </w:r>
      <w:r w:rsidRPr="006B04DC">
        <w:rPr>
          <w:rFonts w:ascii="Century Gothic" w:hAnsi="Century Gothic"/>
          <w:b/>
          <w:sz w:val="20"/>
        </w:rPr>
        <w:t>EUR 7.9 billion</w:t>
      </w:r>
      <w:r w:rsidRPr="006B04DC">
        <w:rPr>
          <w:rFonts w:ascii="Century Gothic" w:hAnsi="Century Gothic"/>
          <w:sz w:val="20"/>
        </w:rPr>
        <w:t xml:space="preserve"> allocated by the EU Structural Funds in the financial period of 2007–2013 (of which over EUR 7</w:t>
      </w:r>
      <w:r w:rsidR="00365A60">
        <w:rPr>
          <w:rFonts w:ascii="Century Gothic" w:hAnsi="Century Gothic"/>
          <w:sz w:val="20"/>
        </w:rPr>
        <w:t>.4 billion was allocated to EU S</w:t>
      </w:r>
      <w:r w:rsidRPr="006B04DC">
        <w:rPr>
          <w:rFonts w:ascii="Century Gothic" w:hAnsi="Century Gothic"/>
          <w:sz w:val="20"/>
        </w:rPr>
        <w:t xml:space="preserve">tructural </w:t>
      </w:r>
      <w:r w:rsidR="00365A60">
        <w:rPr>
          <w:rFonts w:ascii="Century Gothic" w:hAnsi="Century Gothic"/>
          <w:sz w:val="20"/>
        </w:rPr>
        <w:t xml:space="preserve">Funds </w:t>
      </w:r>
      <w:r w:rsidRPr="006B04DC">
        <w:rPr>
          <w:rFonts w:ascii="Century Gothic" w:hAnsi="Century Gothic"/>
          <w:sz w:val="20"/>
        </w:rPr>
        <w:t xml:space="preserve">operational programmes). These funds were used for over </w:t>
      </w:r>
      <w:r w:rsidRPr="006B04DC">
        <w:rPr>
          <w:rFonts w:ascii="Century Gothic" w:hAnsi="Century Gothic"/>
          <w:b/>
          <w:sz w:val="20"/>
        </w:rPr>
        <w:t>8,300</w:t>
      </w:r>
      <w:r w:rsidRPr="006B04DC">
        <w:rPr>
          <w:rFonts w:ascii="Century Gothic" w:hAnsi="Century Gothic"/>
          <w:sz w:val="20"/>
        </w:rPr>
        <w:t> </w:t>
      </w:r>
      <w:r w:rsidRPr="006B04DC">
        <w:rPr>
          <w:rFonts w:ascii="Century Gothic" w:hAnsi="Century Gothic"/>
          <w:b/>
          <w:sz w:val="20"/>
        </w:rPr>
        <w:t>projects</w:t>
      </w:r>
      <w:r w:rsidRPr="006B04DC">
        <w:rPr>
          <w:rFonts w:ascii="Century Gothic" w:hAnsi="Century Gothic"/>
          <w:sz w:val="20"/>
        </w:rPr>
        <w:t xml:space="preserve"> implemented by the public and private sector. In 2007–2013, the larg</w:t>
      </w:r>
      <w:r w:rsidR="00365A60">
        <w:rPr>
          <w:rFonts w:ascii="Century Gothic" w:hAnsi="Century Gothic"/>
          <w:sz w:val="20"/>
        </w:rPr>
        <w:t>est allocation by the EU S</w:t>
      </w:r>
      <w:r w:rsidRPr="006B04DC">
        <w:rPr>
          <w:rFonts w:ascii="Century Gothic" w:hAnsi="Century Gothic"/>
          <w:sz w:val="20"/>
        </w:rPr>
        <w:t xml:space="preserve">tructural </w:t>
      </w:r>
      <w:r w:rsidR="00365A60">
        <w:rPr>
          <w:rFonts w:ascii="Century Gothic" w:hAnsi="Century Gothic"/>
          <w:sz w:val="20"/>
        </w:rPr>
        <w:t xml:space="preserve">Funds </w:t>
      </w:r>
      <w:r w:rsidRPr="006B04DC">
        <w:rPr>
          <w:rFonts w:ascii="Century Gothic" w:hAnsi="Century Gothic"/>
          <w:sz w:val="20"/>
        </w:rPr>
        <w:t xml:space="preserve">operational programmes was made to environment and sustainable development (16.8%), development of trans-European transport networks (16.4%), local and urban development, conservation of cultural heritage and natural resources, and tourism development (12.7%). Most of the EU funds went to projects </w:t>
      </w:r>
      <w:r w:rsidRPr="006B04DC">
        <w:rPr>
          <w:rFonts w:ascii="Century Gothic" w:hAnsi="Century Gothic"/>
          <w:sz w:val="20"/>
        </w:rPr>
        <w:lastRenderedPageBreak/>
        <w:t>implemented in Vilnius, Kaunas and Klaipėda counties. Vilnius, Klaipėda and Alytus counties were at</w:t>
      </w:r>
      <w:r w:rsidR="00365A60">
        <w:rPr>
          <w:rFonts w:ascii="Century Gothic" w:hAnsi="Century Gothic"/>
          <w:sz w:val="20"/>
        </w:rPr>
        <w:t xml:space="preserve"> the top in terms of the investment</w:t>
      </w:r>
      <w:r w:rsidRPr="006B04DC">
        <w:rPr>
          <w:rFonts w:ascii="Century Gothic" w:hAnsi="Century Gothic"/>
          <w:sz w:val="20"/>
        </w:rPr>
        <w:t xml:space="preserve"> received from the EU Structural Funds per capita</w:t>
      </w:r>
      <w:r w:rsidRPr="006B04DC">
        <w:rPr>
          <w:rStyle w:val="FootnoteReference"/>
          <w:rFonts w:ascii="Century Gothic" w:hAnsi="Century Gothic"/>
          <w:sz w:val="20"/>
        </w:rPr>
        <w:footnoteReference w:id="1"/>
      </w:r>
      <w:r w:rsidRPr="006B04DC">
        <w:rPr>
          <w:rFonts w:ascii="Century Gothic" w:hAnsi="Century Gothic"/>
          <w:sz w:val="20"/>
        </w:rPr>
        <w:t>.</w:t>
      </w:r>
    </w:p>
    <w:p w:rsidR="00514F36" w:rsidRPr="006B04DC" w:rsidRDefault="00514F36" w:rsidP="00514F36">
      <w:pPr>
        <w:jc w:val="both"/>
        <w:rPr>
          <w:rFonts w:ascii="Century Gothic" w:hAnsi="Century Gothic"/>
          <w:sz w:val="20"/>
          <w:szCs w:val="20"/>
        </w:rPr>
      </w:pPr>
    </w:p>
    <w:p w:rsidR="00514F36" w:rsidRPr="006B04DC" w:rsidRDefault="00514F36" w:rsidP="00514F36">
      <w:pPr>
        <w:jc w:val="both"/>
        <w:rPr>
          <w:rFonts w:ascii="Century Gothic" w:hAnsi="Century Gothic"/>
          <w:sz w:val="20"/>
          <w:szCs w:val="20"/>
        </w:rPr>
      </w:pPr>
      <w:r w:rsidRPr="006B04DC">
        <w:rPr>
          <w:rFonts w:ascii="Century Gothic" w:hAnsi="Century Gothic"/>
          <w:sz w:val="20"/>
        </w:rPr>
        <w:t>The publication further describes achievements of the four operational programmes, discusses how investments made by EU funds between 2007 and 2013 affected the national economy and welfare of the population and overviews the achievement of the objectives established by each of the operational programmes.</w:t>
      </w:r>
    </w:p>
    <w:p w:rsidR="00514F36" w:rsidRPr="006B04DC" w:rsidRDefault="00514F36" w:rsidP="00514F36">
      <w:pPr>
        <w:jc w:val="both"/>
        <w:rPr>
          <w:rFonts w:ascii="Century Gothic" w:hAnsi="Century Gothic"/>
          <w:sz w:val="20"/>
          <w:szCs w:val="20"/>
        </w:rPr>
      </w:pPr>
    </w:p>
    <w:p w:rsidR="00514F36" w:rsidRPr="006B04DC" w:rsidRDefault="00514F36" w:rsidP="00514F36">
      <w:pPr>
        <w:keepNext/>
        <w:keepLines/>
        <w:spacing w:after="240"/>
        <w:jc w:val="center"/>
        <w:outlineLvl w:val="0"/>
        <w:rPr>
          <w:rFonts w:ascii="Century Gothic" w:eastAsia="Times New Roman" w:hAnsi="Century Gothic"/>
          <w:b/>
          <w:bCs/>
          <w:color w:val="2E74B5"/>
          <w:sz w:val="28"/>
          <w:szCs w:val="28"/>
        </w:rPr>
      </w:pPr>
      <w:bookmarkStart w:id="2" w:name="_Toc471892444"/>
      <w:r w:rsidRPr="006B04DC">
        <w:rPr>
          <w:rFonts w:ascii="Century Gothic" w:hAnsi="Century Gothic"/>
          <w:b/>
          <w:color w:val="2E74B5"/>
          <w:sz w:val="28"/>
        </w:rPr>
        <w:t>IMPACT OF INVESTMENTS MADE BY EU FUNDS ON THE LITHUANIAN ECONOMY AND THE QUALITY OF LIFE IN 2007–2013</w:t>
      </w:r>
      <w:bookmarkEnd w:id="2"/>
    </w:p>
    <w:tbl>
      <w:tblPr>
        <w:tblW w:w="0" w:type="auto"/>
        <w:shd w:val="clear" w:color="auto" w:fill="A8D08D"/>
        <w:tblLook w:val="04A0" w:firstRow="1" w:lastRow="0" w:firstColumn="1" w:lastColumn="0" w:noHBand="0" w:noVBand="1"/>
      </w:tblPr>
      <w:tblGrid>
        <w:gridCol w:w="10139"/>
      </w:tblGrid>
      <w:tr w:rsidR="00514F36" w:rsidRPr="006B04DC" w:rsidTr="008B60C2">
        <w:tc>
          <w:tcPr>
            <w:tcW w:w="10421" w:type="dxa"/>
            <w:shd w:val="clear" w:color="auto" w:fill="DEEAF6"/>
          </w:tcPr>
          <w:p w:rsidR="00514F36" w:rsidRPr="006B04DC" w:rsidRDefault="003637DF" w:rsidP="008B60C2">
            <w:pPr>
              <w:shd w:val="clear" w:color="auto" w:fill="DEEAF6"/>
              <w:jc w:val="center"/>
              <w:rPr>
                <w:rFonts w:ascii="Century Gothic" w:hAnsi="Century Gothic"/>
                <w:b/>
                <w:color w:val="1F4E79"/>
                <w:sz w:val="20"/>
                <w:szCs w:val="20"/>
              </w:rPr>
            </w:pPr>
            <w:r>
              <w:rPr>
                <w:rFonts w:ascii="Century Gothic" w:hAnsi="Century Gothic"/>
                <w:b/>
                <w:color w:val="1F4E79"/>
                <w:sz w:val="20"/>
              </w:rPr>
              <w:t>IMPACT OF INVESTMENTS</w:t>
            </w:r>
            <w:r w:rsidR="00514F36" w:rsidRPr="006B04DC">
              <w:rPr>
                <w:rFonts w:ascii="Century Gothic" w:hAnsi="Century Gothic"/>
                <w:b/>
                <w:color w:val="1F4E79"/>
                <w:sz w:val="20"/>
              </w:rPr>
              <w:t xml:space="preserve"> </w:t>
            </w:r>
            <w:r w:rsidR="00365A60">
              <w:rPr>
                <w:rFonts w:ascii="Century Gothic" w:hAnsi="Century Gothic"/>
                <w:b/>
                <w:color w:val="1F4E79"/>
                <w:sz w:val="20"/>
              </w:rPr>
              <w:t xml:space="preserve">MADE BY EU FUNDS </w:t>
            </w:r>
            <w:r w:rsidR="00514F36" w:rsidRPr="006B04DC">
              <w:rPr>
                <w:rFonts w:ascii="Century Gothic" w:hAnsi="Century Gothic"/>
                <w:b/>
                <w:color w:val="1F4E79"/>
                <w:sz w:val="20"/>
              </w:rPr>
              <w:t>ON GROWING GDP AND NATIONAL MACROECONOMIC INDICATORS</w:t>
            </w:r>
          </w:p>
          <w:p w:rsidR="00514F36" w:rsidRPr="006B04DC" w:rsidRDefault="00514F36" w:rsidP="008B60C2">
            <w:pPr>
              <w:shd w:val="clear" w:color="auto" w:fill="DEEAF6"/>
              <w:jc w:val="center"/>
              <w:rPr>
                <w:rFonts w:ascii="Cambria" w:hAnsi="Cambria"/>
                <w:b/>
              </w:rPr>
            </w:pPr>
          </w:p>
        </w:tc>
      </w:tr>
    </w:tbl>
    <w:p w:rsidR="00514F36" w:rsidRPr="006B04DC" w:rsidRDefault="00514F36" w:rsidP="00514F36">
      <w:pPr>
        <w:jc w:val="both"/>
        <w:rPr>
          <w:rFonts w:ascii="Century Gothic" w:hAnsi="Century Gothic"/>
          <w:sz w:val="20"/>
          <w:szCs w:val="20"/>
        </w:rPr>
      </w:pPr>
    </w:p>
    <w:p w:rsidR="00514F36" w:rsidRPr="006B04DC" w:rsidRDefault="00232F47" w:rsidP="00514F36">
      <w:pPr>
        <w:jc w:val="both"/>
        <w:rPr>
          <w:rFonts w:ascii="Century Gothic" w:hAnsi="Century Gothic"/>
          <w:sz w:val="20"/>
          <w:szCs w:val="20"/>
        </w:rPr>
      </w:pPr>
      <w:r>
        <w:rPr>
          <w:noProof/>
          <w:lang w:eastAsia="lt-LT"/>
        </w:rPr>
        <mc:AlternateContent>
          <mc:Choice Requires="wps">
            <w:drawing>
              <wp:anchor distT="107950" distB="107950" distL="107950" distR="107950" simplePos="0" relativeHeight="251658240" behindDoc="1" locked="0" layoutInCell="1" allowOverlap="1">
                <wp:simplePos x="0" y="0"/>
                <wp:positionH relativeFrom="margin">
                  <wp:posOffset>3833495</wp:posOffset>
                </wp:positionH>
                <wp:positionV relativeFrom="paragraph">
                  <wp:posOffset>60325</wp:posOffset>
                </wp:positionV>
                <wp:extent cx="2461260" cy="1882140"/>
                <wp:effectExtent l="0" t="0" r="0" b="381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1882140"/>
                        </a:xfrm>
                        <a:prstGeom prst="rect">
                          <a:avLst/>
                        </a:prstGeom>
                        <a:gradFill rotWithShape="1">
                          <a:gsLst>
                            <a:gs pos="0">
                              <a:srgbClr val="FFFFFF"/>
                            </a:gs>
                            <a:gs pos="100000">
                              <a:srgbClr val="EAE7D8"/>
                            </a:gs>
                          </a:gsLst>
                          <a:path path="shape">
                            <a:fillToRect l="50000" t="50000" r="50000" b="5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B60C2" w:rsidRPr="009E6B5B" w:rsidRDefault="008B60C2" w:rsidP="00514F36">
                            <w:pPr>
                              <w:ind w:left="-57" w:right="-57"/>
                              <w:jc w:val="center"/>
                              <w:rPr>
                                <w:rFonts w:ascii="Century Gothic" w:hAnsi="Century Gothic"/>
                                <w:color w:val="17365D"/>
                                <w:sz w:val="18"/>
                                <w:szCs w:val="18"/>
                              </w:rPr>
                            </w:pPr>
                            <w:r>
                              <w:rPr>
                                <w:rFonts w:ascii="Century Gothic" w:hAnsi="Century Gothic"/>
                                <w:color w:val="17365D"/>
                                <w:sz w:val="18"/>
                              </w:rPr>
                              <w:t>In 2007–2013, investments made by the EU Structural Funds</w:t>
                            </w:r>
                            <w:r>
                              <w:rPr>
                                <w:rFonts w:ascii="Century Gothic" w:hAnsi="Century Gothic"/>
                                <w:b/>
                                <w:color w:val="17365D"/>
                                <w:sz w:val="18"/>
                              </w:rPr>
                              <w:t xml:space="preserve"> significantly contributed to the mitigation of negative effects of the global economic crisis that hit in 2008</w:t>
                            </w:r>
                            <w:r>
                              <w:rPr>
                                <w:rFonts w:ascii="Century Gothic" w:hAnsi="Century Gothic"/>
                                <w:color w:val="17365D"/>
                                <w:sz w:val="18"/>
                              </w:rPr>
                              <w:t>. Together with the government's structural reforms (tightened fiscal management, restructuring of state-owned companies), reoriented exports and growing domestic demand, these investments helped to manage the negative effects of the crisis and stabilise the national economy.</w:t>
                            </w:r>
                          </w:p>
                        </w:txbxContent>
                      </wps:txbx>
                      <wps:bodyPr rot="0" vert="horz" wrap="square" lIns="108000" tIns="108000" rIns="108000" bIns="108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left:0;text-align:left;margin-left:301.85pt;margin-top:4.75pt;width:193.8pt;height:148.2pt;z-index:-251658240;visibility:visible;mso-wrap-style:square;mso-width-percent:0;mso-height-percent:0;mso-wrap-distance-left:8.5pt;mso-wrap-distance-top:8.5pt;mso-wrap-distance-right:8.5pt;mso-wrap-distance-bottom: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" stroked="f" strokeweight=".5pt">
                <v:fill color2="#eae7d8" rotate="t" focusposition=".5,.5" focussize="" focus="100%" type="gradientRadial"/>
                <v:textbox inset="3mm,3mm,3mm,3mm">
                  <w:txbxContent>
                    <w:p w:rsidR="008B60C2" w:rsidRPr="009E6B5B" w:rsidRDefault="008B60C2" w:rsidP="00514F36">
                      <w:pPr>
                        <w:ind w:left="-57" w:right="-57"/>
                        <w:jc w:val="center"/>
                        <w:rPr>
                          <w:rFonts w:ascii="Century Gothic" w:hAnsi="Century Gothic"/>
                          <w:color w:val="17365D"/>
                          <w:sz w:val="18"/>
                          <w:szCs w:val="18"/>
                        </w:rPr>
                      </w:pPr>
                      <w:r>
                        <w:rPr>
                          <w:rFonts w:ascii="Century Gothic" w:hAnsi="Century Gothic"/>
                          <w:color w:val="17365D"/>
                          <w:sz w:val="18"/>
                        </w:rPr>
                        <w:t>In 2007–2013, investments made by the EU Structural Funds</w:t>
                      </w:r>
                      <w:r>
                        <w:rPr>
                          <w:rFonts w:ascii="Century Gothic" w:hAnsi="Century Gothic"/>
                          <w:b/>
                          <w:color w:val="17365D"/>
                          <w:sz w:val="18"/>
                        </w:rPr>
                        <w:t xml:space="preserve"> significantly contributed to the mitigation of negative effects of the global economic crisis that hit in 2008</w:t>
                      </w:r>
                      <w:r>
                        <w:rPr>
                          <w:rFonts w:ascii="Century Gothic" w:hAnsi="Century Gothic"/>
                          <w:color w:val="17365D"/>
                          <w:sz w:val="18"/>
                        </w:rPr>
                        <w:t>. Together with the government's structural reforms (tightened fiscal management, restructuring of state-owned companies), reoriented exports and growing domestic demand, these investments helped to manage the negative effects of the crisis and stabilise the national economy.</w:t>
                      </w:r>
                    </w:p>
                  </w:txbxContent>
                </v:textbox>
                <w10:wrap type="square" anchorx="margin"/>
              </v:shape>
            </w:pict>
          </mc:Fallback>
        </mc:AlternateContent>
      </w:r>
      <w:r w:rsidR="00737C73" w:rsidRPr="006B04DC">
        <w:rPr>
          <w:rFonts w:ascii="Century Gothic" w:hAnsi="Century Gothic"/>
          <w:sz w:val="20"/>
        </w:rPr>
        <w:t>Investments by the EU Structural Funds made a positive impact on all key Lithuanian macroeconomic indicators, even a significant one in some cases.</w:t>
      </w:r>
      <w:r w:rsidR="00737C73" w:rsidRPr="006B04DC">
        <w:t xml:space="preserve"> </w:t>
      </w:r>
      <w:r w:rsidR="00737C73" w:rsidRPr="006B04DC">
        <w:rPr>
          <w:rFonts w:ascii="Century Gothic" w:hAnsi="Century Gothic"/>
          <w:sz w:val="20"/>
        </w:rPr>
        <w:t xml:space="preserve">The main indicator showing the effectiveness of the use of the EU Structural Funds is an increase in the national gross domestic product (GDP) additionally created with </w:t>
      </w:r>
      <w:r w:rsidR="00AD713A">
        <w:rPr>
          <w:rFonts w:ascii="Century Gothic" w:hAnsi="Century Gothic"/>
          <w:sz w:val="20"/>
        </w:rPr>
        <w:t xml:space="preserve">investments made by the </w:t>
      </w:r>
      <w:r w:rsidR="00737C73" w:rsidRPr="006B04DC">
        <w:rPr>
          <w:rFonts w:ascii="Century Gothic" w:hAnsi="Century Gothic"/>
          <w:sz w:val="20"/>
        </w:rPr>
        <w:t>EU Structu</w:t>
      </w:r>
      <w:r w:rsidR="00AD713A">
        <w:rPr>
          <w:rFonts w:ascii="Century Gothic" w:hAnsi="Century Gothic"/>
          <w:sz w:val="20"/>
        </w:rPr>
        <w:t>ral Funds. Between 2007 and 2013</w:t>
      </w:r>
      <w:r w:rsidR="00737C73" w:rsidRPr="006B04DC">
        <w:rPr>
          <w:rFonts w:ascii="Century Gothic" w:hAnsi="Century Gothic"/>
          <w:sz w:val="20"/>
        </w:rPr>
        <w:t xml:space="preserve">, </w:t>
      </w:r>
      <w:r w:rsidR="00737C73" w:rsidRPr="006B04DC">
        <w:rPr>
          <w:rFonts w:ascii="Century Gothic" w:hAnsi="Century Gothic"/>
          <w:b/>
          <w:sz w:val="20"/>
        </w:rPr>
        <w:t>investments made by the EU Structural Funds significantly contributed to the national GDP growth, increasing it by 20% on average</w:t>
      </w:r>
      <w:r w:rsidR="00737C73" w:rsidRPr="006B04DC">
        <w:rPr>
          <w:rFonts w:ascii="Century Gothic" w:hAnsi="Century Gothic"/>
          <w:sz w:val="20"/>
        </w:rPr>
        <w:t xml:space="preserve">, and created over </w:t>
      </w:r>
      <w:r w:rsidR="00737C73" w:rsidRPr="006B04DC">
        <w:rPr>
          <w:rFonts w:ascii="Century Gothic" w:hAnsi="Century Gothic"/>
          <w:b/>
          <w:sz w:val="20"/>
        </w:rPr>
        <w:t>EUR 10.3 billion of additional nominal GDP</w:t>
      </w:r>
      <w:r w:rsidR="00737C73" w:rsidRPr="006B04DC">
        <w:rPr>
          <w:rFonts w:ascii="Century Gothic" w:hAnsi="Century Gothic"/>
          <w:sz w:val="20"/>
        </w:rPr>
        <w:t xml:space="preserve"> during the period of 2007–2015</w:t>
      </w:r>
      <w:r w:rsidR="00737C73" w:rsidRPr="006B04DC">
        <w:rPr>
          <w:rStyle w:val="FootnoteReference"/>
          <w:rFonts w:ascii="Century Gothic" w:hAnsi="Century Gothic"/>
          <w:sz w:val="20"/>
        </w:rPr>
        <w:footnoteReference w:id="2"/>
      </w:r>
      <w:r w:rsidR="00737C73" w:rsidRPr="006B04DC">
        <w:rPr>
          <w:rFonts w:ascii="Century Gothic" w:hAnsi="Century Gothic"/>
          <w:sz w:val="20"/>
        </w:rPr>
        <w:t>. It is estimated that each invested Euro brought EUR 1.38 of nominal GDP in returns. This return on investment will continue growing and by 2020 will reach 1.6. The EU Structural Funds provided the greatest impetus to the GDP growth through increasing the share of gross capital investment and promoting domestic consumption.</w:t>
      </w:r>
    </w:p>
    <w:p w:rsidR="00514F36" w:rsidRPr="006B04DC" w:rsidRDefault="00514F36" w:rsidP="00514F36">
      <w:pPr>
        <w:jc w:val="both"/>
        <w:rPr>
          <w:rFonts w:ascii="Century Gothic" w:hAnsi="Century Gothic"/>
          <w:sz w:val="20"/>
          <w:szCs w:val="20"/>
        </w:rPr>
      </w:pPr>
    </w:p>
    <w:p w:rsidR="00514F36" w:rsidRPr="006B04DC" w:rsidRDefault="001E0A5A" w:rsidP="00514F36">
      <w:pPr>
        <w:jc w:val="both"/>
        <w:rPr>
          <w:rFonts w:ascii="Century Gothic" w:hAnsi="Century Gothic"/>
          <w:sz w:val="20"/>
          <w:szCs w:val="20"/>
        </w:rPr>
      </w:pPr>
      <w:r w:rsidRPr="006B04DC">
        <w:rPr>
          <w:rFonts w:ascii="Century Gothic" w:hAnsi="Century Gothic"/>
          <w:sz w:val="20"/>
        </w:rPr>
        <w:t xml:space="preserve">Investments by the EU Structural Funds </w:t>
      </w:r>
      <w:r w:rsidRPr="006B04DC">
        <w:rPr>
          <w:rFonts w:ascii="Century Gothic" w:hAnsi="Century Gothic"/>
          <w:b/>
          <w:sz w:val="20"/>
        </w:rPr>
        <w:t>played a crucial role in increasing gross capital investment</w:t>
      </w:r>
      <w:r w:rsidRPr="006B04DC">
        <w:rPr>
          <w:rFonts w:ascii="Century Gothic" w:hAnsi="Century Gothic"/>
          <w:sz w:val="20"/>
        </w:rPr>
        <w:t>.</w:t>
      </w:r>
      <w:r w:rsidRPr="006B04DC">
        <w:rPr>
          <w:rFonts w:ascii="Century Gothic" w:hAnsi="Century Gothic"/>
          <w:b/>
          <w:sz w:val="20"/>
        </w:rPr>
        <w:t xml:space="preserve"> </w:t>
      </w:r>
      <w:r w:rsidRPr="006B04DC">
        <w:rPr>
          <w:rFonts w:ascii="Century Gothic" w:hAnsi="Century Gothic"/>
          <w:sz w:val="20"/>
        </w:rPr>
        <w:t xml:space="preserve">As a result, during the whole period of 2007–2015 </w:t>
      </w:r>
      <w:r w:rsidRPr="006B04DC">
        <w:rPr>
          <w:rFonts w:ascii="Century Gothic" w:hAnsi="Century Gothic"/>
          <w:b/>
          <w:sz w:val="20"/>
        </w:rPr>
        <w:t>expenditure on gross capital formation (material investment) were 17% (or EUR 10.5 billion)</w:t>
      </w:r>
      <w:r w:rsidRPr="006B04DC">
        <w:rPr>
          <w:rFonts w:ascii="Century Gothic" w:hAnsi="Century Gothic"/>
          <w:sz w:val="20"/>
        </w:rPr>
        <w:t xml:space="preserve"> higher, although still below the pre-crisis level. Drastically shrinking the construction sector and tightening conditions for borrowing from banks, the economic decline was a key factor in the dynamics of the expenditure on gross capital formation.</w:t>
      </w:r>
      <w:r w:rsidRPr="006B04DC">
        <w:rPr>
          <w:rStyle w:val="FootnoteReference"/>
          <w:rFonts w:ascii="Century Gothic" w:hAnsi="Century Gothic"/>
          <w:sz w:val="20"/>
        </w:rPr>
        <w:footnoteReference w:id="3"/>
      </w:r>
    </w:p>
    <w:p w:rsidR="00514F36" w:rsidRPr="006B04DC" w:rsidRDefault="00514F36" w:rsidP="00514F36">
      <w:pPr>
        <w:jc w:val="both"/>
        <w:rPr>
          <w:rFonts w:ascii="Century Gothic" w:hAnsi="Century Gothic"/>
          <w:sz w:val="20"/>
          <w:szCs w:val="20"/>
        </w:rPr>
      </w:pPr>
    </w:p>
    <w:p w:rsidR="00514F36" w:rsidRPr="006B04DC" w:rsidRDefault="00514F36" w:rsidP="00514F36">
      <w:pPr>
        <w:jc w:val="both"/>
        <w:rPr>
          <w:rFonts w:ascii="Century Gothic" w:hAnsi="Century Gothic"/>
          <w:sz w:val="20"/>
          <w:szCs w:val="20"/>
        </w:rPr>
      </w:pPr>
      <w:r w:rsidRPr="006B04DC">
        <w:rPr>
          <w:rFonts w:ascii="Century Gothic" w:hAnsi="Century Gothic"/>
          <w:sz w:val="20"/>
        </w:rPr>
        <w:t xml:space="preserve">The EU Structural Funds </w:t>
      </w:r>
      <w:r w:rsidRPr="006B04DC">
        <w:rPr>
          <w:rFonts w:ascii="Century Gothic" w:hAnsi="Century Gothic"/>
          <w:b/>
          <w:sz w:val="20"/>
        </w:rPr>
        <w:t xml:space="preserve">played an important role in the </w:t>
      </w:r>
      <w:r w:rsidR="00AD713A">
        <w:rPr>
          <w:rFonts w:ascii="Century Gothic" w:hAnsi="Century Gothic"/>
          <w:b/>
          <w:sz w:val="20"/>
        </w:rPr>
        <w:t>foreign direct investments (</w:t>
      </w:r>
      <w:r w:rsidRPr="006B04DC">
        <w:rPr>
          <w:rFonts w:ascii="Century Gothic" w:hAnsi="Century Gothic"/>
          <w:b/>
          <w:sz w:val="20"/>
        </w:rPr>
        <w:t>FDI</w:t>
      </w:r>
      <w:r w:rsidR="00AD713A">
        <w:rPr>
          <w:rFonts w:ascii="Century Gothic" w:hAnsi="Century Gothic"/>
          <w:b/>
          <w:sz w:val="20"/>
        </w:rPr>
        <w:t>)</w:t>
      </w:r>
      <w:r w:rsidRPr="006B04DC">
        <w:rPr>
          <w:rFonts w:ascii="Century Gothic" w:hAnsi="Century Gothic"/>
          <w:b/>
          <w:sz w:val="20"/>
        </w:rPr>
        <w:t xml:space="preserve"> attraction process</w:t>
      </w:r>
      <w:r w:rsidRPr="006B04DC">
        <w:rPr>
          <w:rFonts w:ascii="Century Gothic" w:hAnsi="Century Gothic"/>
          <w:sz w:val="20"/>
        </w:rPr>
        <w:t xml:space="preserve"> and in 2007–2015 contributed to </w:t>
      </w:r>
      <w:r w:rsidRPr="006B04DC">
        <w:rPr>
          <w:rFonts w:ascii="Century Gothic" w:hAnsi="Century Gothic"/>
          <w:b/>
          <w:sz w:val="20"/>
        </w:rPr>
        <w:t>a 16.5pp higher FDI to GDP ratio</w:t>
      </w:r>
      <w:r w:rsidRPr="006B04DC">
        <w:rPr>
          <w:rFonts w:ascii="Century Gothic" w:hAnsi="Century Gothic"/>
          <w:sz w:val="20"/>
        </w:rPr>
        <w:t xml:space="preserve">, compared to a scenario </w:t>
      </w:r>
      <w:r w:rsidR="00551DA6">
        <w:rPr>
          <w:rFonts w:ascii="Century Gothic" w:hAnsi="Century Gothic"/>
          <w:sz w:val="20"/>
        </w:rPr>
        <w:t>without investments</w:t>
      </w:r>
      <w:r w:rsidRPr="006B04DC">
        <w:rPr>
          <w:rFonts w:ascii="Century Gothic" w:hAnsi="Century Gothic"/>
          <w:sz w:val="20"/>
        </w:rPr>
        <w:t xml:space="preserve">. </w:t>
      </w:r>
      <w:r w:rsidR="00551DA6">
        <w:rPr>
          <w:rFonts w:ascii="Century Gothic" w:hAnsi="Century Gothic"/>
          <w:sz w:val="20"/>
        </w:rPr>
        <w:t xml:space="preserve">This was influenced both by EU Structural Funds’ financed </w:t>
      </w:r>
      <w:r w:rsidRPr="006B04DC">
        <w:rPr>
          <w:rFonts w:ascii="Century Gothic" w:hAnsi="Century Gothic"/>
          <w:sz w:val="20"/>
        </w:rPr>
        <w:t>measures which promoted the attraction of foreign investors to Lithuania and by high quality infrastructure created using EU funds, in particular the broadband network and transport and energy infrastructur</w:t>
      </w:r>
      <w:r w:rsidR="00551DA6">
        <w:rPr>
          <w:rFonts w:ascii="Century Gothic" w:hAnsi="Century Gothic"/>
          <w:sz w:val="20"/>
        </w:rPr>
        <w:t>e. The overall impact of investments</w:t>
      </w:r>
      <w:r w:rsidRPr="006B04DC">
        <w:rPr>
          <w:rFonts w:ascii="Century Gothic" w:hAnsi="Century Gothic"/>
          <w:sz w:val="20"/>
        </w:rPr>
        <w:t xml:space="preserve"> on the GDP growth had a significant effect on the FDI growth: an increasing economic level increases FDI. In terms </w:t>
      </w:r>
      <w:r w:rsidR="00551DA6">
        <w:rPr>
          <w:rFonts w:ascii="Century Gothic" w:hAnsi="Century Gothic"/>
          <w:sz w:val="20"/>
        </w:rPr>
        <w:t>of the sustainability of investments made by EU funds</w:t>
      </w:r>
      <w:r w:rsidRPr="006B04DC">
        <w:rPr>
          <w:rFonts w:ascii="Century Gothic" w:hAnsi="Century Gothic"/>
          <w:sz w:val="20"/>
        </w:rPr>
        <w:t>, it is esti</w:t>
      </w:r>
      <w:r w:rsidR="00551DA6">
        <w:rPr>
          <w:rFonts w:ascii="Century Gothic" w:hAnsi="Century Gothic"/>
          <w:sz w:val="20"/>
        </w:rPr>
        <w:t>mated that the impact of EU financing</w:t>
      </w:r>
      <w:r w:rsidRPr="006B04DC">
        <w:rPr>
          <w:rFonts w:ascii="Century Gothic" w:hAnsi="Century Gothic"/>
          <w:sz w:val="20"/>
        </w:rPr>
        <w:t xml:space="preserve"> on FDI is slightly decreasing and by 2020 will comprise 15pp of the GDP.</w:t>
      </w:r>
      <w:r w:rsidRPr="006B04DC">
        <w:rPr>
          <w:rStyle w:val="FootnoteReference"/>
          <w:rFonts w:ascii="Century Gothic" w:hAnsi="Century Gothic"/>
          <w:sz w:val="20"/>
        </w:rPr>
        <w:footnoteReference w:id="4"/>
      </w:r>
    </w:p>
    <w:p w:rsidR="00514F36" w:rsidRPr="006B04DC" w:rsidRDefault="00514F36" w:rsidP="00514F36">
      <w:pPr>
        <w:jc w:val="both"/>
        <w:rPr>
          <w:rFonts w:ascii="Century Gothic" w:hAnsi="Century Gothic"/>
          <w:sz w:val="20"/>
          <w:szCs w:val="20"/>
        </w:rPr>
      </w:pPr>
    </w:p>
    <w:p w:rsidR="00514F36" w:rsidRPr="006B04DC" w:rsidRDefault="00514F36" w:rsidP="00514F36">
      <w:pPr>
        <w:jc w:val="both"/>
        <w:rPr>
          <w:rFonts w:ascii="Century Gothic" w:hAnsi="Century Gothic"/>
          <w:sz w:val="20"/>
          <w:szCs w:val="20"/>
        </w:rPr>
      </w:pPr>
      <w:r w:rsidRPr="006B04DC">
        <w:rPr>
          <w:rFonts w:ascii="Century Gothic" w:hAnsi="Century Gothic"/>
          <w:sz w:val="20"/>
        </w:rPr>
        <w:t>The positive impact the EU Structural Funds had on demand factors such as labour productivity and export competitiveness is indirect and therefore takes long</w:t>
      </w:r>
      <w:r w:rsidR="00551DA6">
        <w:rPr>
          <w:rFonts w:ascii="Century Gothic" w:hAnsi="Century Gothic"/>
          <w:sz w:val="20"/>
        </w:rPr>
        <w:t>er. It is estimated that EU investments</w:t>
      </w:r>
      <w:r w:rsidRPr="006B04DC">
        <w:rPr>
          <w:rFonts w:ascii="Century Gothic" w:hAnsi="Century Gothic"/>
          <w:sz w:val="20"/>
        </w:rPr>
        <w:t xml:space="preserve"> had a positive impact on these indicators, too. As a result, in 2015 </w:t>
      </w:r>
      <w:r w:rsidRPr="006B04DC">
        <w:rPr>
          <w:rFonts w:ascii="Century Gothic" w:hAnsi="Century Gothic"/>
          <w:b/>
          <w:sz w:val="20"/>
        </w:rPr>
        <w:t>labour productivity was higher by 2%, household expenditure on consumption by 3.2%, import by 4% and export by 1%</w:t>
      </w:r>
      <w:r w:rsidRPr="006B04DC">
        <w:rPr>
          <w:rFonts w:ascii="Century Gothic" w:hAnsi="Century Gothic"/>
          <w:sz w:val="20"/>
        </w:rPr>
        <w:t>, compared to a scenario of econ</w:t>
      </w:r>
      <w:r w:rsidR="00551DA6">
        <w:rPr>
          <w:rFonts w:ascii="Century Gothic" w:hAnsi="Century Gothic"/>
          <w:sz w:val="20"/>
        </w:rPr>
        <w:t>omic development without EU investments</w:t>
      </w:r>
      <w:r w:rsidRPr="006B04DC">
        <w:rPr>
          <w:rFonts w:ascii="Century Gothic" w:hAnsi="Century Gothic"/>
          <w:sz w:val="20"/>
        </w:rPr>
        <w:t>.</w:t>
      </w:r>
      <w:r w:rsidRPr="006B04DC">
        <w:rPr>
          <w:rStyle w:val="FootnoteReference"/>
          <w:rFonts w:ascii="Century Gothic" w:hAnsi="Century Gothic"/>
          <w:sz w:val="20"/>
        </w:rPr>
        <w:footnoteReference w:id="5"/>
      </w:r>
    </w:p>
    <w:p w:rsidR="00514F36" w:rsidRPr="006B04DC" w:rsidRDefault="00514F36" w:rsidP="00514F36">
      <w:pPr>
        <w:jc w:val="both"/>
        <w:rPr>
          <w:rFonts w:ascii="Century Gothic" w:hAnsi="Century Gothic"/>
          <w:sz w:val="20"/>
          <w:szCs w:val="20"/>
        </w:rPr>
      </w:pPr>
    </w:p>
    <w:p w:rsidR="00514F36" w:rsidRPr="006B04DC" w:rsidRDefault="00514F36" w:rsidP="00514F36">
      <w:pPr>
        <w:jc w:val="both"/>
        <w:rPr>
          <w:rFonts w:ascii="Century Gothic" w:hAnsi="Century Gothic"/>
          <w:sz w:val="20"/>
          <w:szCs w:val="20"/>
        </w:rPr>
      </w:pPr>
      <w:r w:rsidRPr="006B04DC">
        <w:rPr>
          <w:rFonts w:ascii="Century Gothic" w:hAnsi="Century Gothic"/>
          <w:sz w:val="20"/>
        </w:rPr>
        <w:t>In the peri</w:t>
      </w:r>
      <w:r w:rsidR="00551DA6">
        <w:rPr>
          <w:rFonts w:ascii="Century Gothic" w:hAnsi="Century Gothic"/>
          <w:sz w:val="20"/>
        </w:rPr>
        <w:t>od of 2007–20015, investments</w:t>
      </w:r>
      <w:r w:rsidRPr="006B04DC">
        <w:rPr>
          <w:rFonts w:ascii="Century Gothic" w:hAnsi="Century Gothic"/>
          <w:sz w:val="20"/>
        </w:rPr>
        <w:t xml:space="preserve"> from the EU Structural Funds made </w:t>
      </w:r>
      <w:r w:rsidRPr="006B04DC">
        <w:rPr>
          <w:rFonts w:ascii="Century Gothic" w:hAnsi="Century Gothic"/>
          <w:b/>
          <w:sz w:val="20"/>
        </w:rPr>
        <w:t>a significant impact on the employment situation in the country</w:t>
      </w:r>
      <w:r w:rsidRPr="006B04DC">
        <w:rPr>
          <w:rFonts w:ascii="Century Gothic" w:hAnsi="Century Gothic"/>
          <w:sz w:val="20"/>
        </w:rPr>
        <w:t>.</w:t>
      </w:r>
      <w:r w:rsidRPr="006B04DC">
        <w:t xml:space="preserve"> </w:t>
      </w:r>
      <w:r w:rsidRPr="006B04DC">
        <w:rPr>
          <w:rFonts w:ascii="Century Gothic" w:hAnsi="Century Gothic"/>
          <w:sz w:val="20"/>
        </w:rPr>
        <w:t xml:space="preserve">The net impact of the EU Structural Funds on job creation and preservation in 2015 amounted to </w:t>
      </w:r>
      <w:r w:rsidRPr="006B04DC">
        <w:rPr>
          <w:rFonts w:ascii="Century Gothic" w:hAnsi="Century Gothic"/>
          <w:b/>
          <w:sz w:val="20"/>
        </w:rPr>
        <w:t>33,000 additional jobs</w:t>
      </w:r>
      <w:r w:rsidRPr="006B04DC">
        <w:rPr>
          <w:rStyle w:val="FootnoteReference"/>
          <w:rFonts w:ascii="Century Gothic" w:hAnsi="Century Gothic"/>
          <w:b/>
          <w:sz w:val="20"/>
        </w:rPr>
        <w:footnoteReference w:id="6"/>
      </w:r>
      <w:r w:rsidRPr="006B04DC">
        <w:rPr>
          <w:rFonts w:ascii="Century Gothic" w:hAnsi="Century Gothic"/>
          <w:b/>
          <w:sz w:val="20"/>
        </w:rPr>
        <w:t>. As a result, the employment rate</w:t>
      </w:r>
      <w:r w:rsidRPr="006B04DC">
        <w:rPr>
          <w:rFonts w:ascii="Century Gothic" w:hAnsi="Century Gothic"/>
          <w:sz w:val="20"/>
        </w:rPr>
        <w:t xml:space="preserve"> in the 15–64 age group </w:t>
      </w:r>
      <w:r w:rsidRPr="006B04DC">
        <w:rPr>
          <w:rFonts w:ascii="Century Gothic" w:hAnsi="Century Gothic"/>
          <w:b/>
          <w:sz w:val="20"/>
        </w:rPr>
        <w:t>was higher by around 1.4%</w:t>
      </w:r>
      <w:r w:rsidRPr="006B04DC">
        <w:rPr>
          <w:rFonts w:ascii="Century Gothic" w:hAnsi="Century Gothic"/>
          <w:sz w:val="20"/>
        </w:rPr>
        <w:t>, while the unemployment rate was lower by 2.3% on average. Ac</w:t>
      </w:r>
      <w:r w:rsidR="00551DA6">
        <w:rPr>
          <w:rFonts w:ascii="Century Gothic" w:hAnsi="Century Gothic"/>
          <w:sz w:val="20"/>
        </w:rPr>
        <w:t>cordingly, the impact of investments</w:t>
      </w:r>
      <w:r w:rsidRPr="006B04DC">
        <w:rPr>
          <w:rFonts w:ascii="Century Gothic" w:hAnsi="Century Gothic"/>
          <w:sz w:val="20"/>
        </w:rPr>
        <w:t xml:space="preserve"> on </w:t>
      </w:r>
      <w:r w:rsidRPr="006B04DC">
        <w:rPr>
          <w:rFonts w:ascii="Century Gothic" w:hAnsi="Century Gothic"/>
          <w:b/>
          <w:sz w:val="20"/>
        </w:rPr>
        <w:t>wage growth</w:t>
      </w:r>
      <w:r w:rsidRPr="006B04DC">
        <w:rPr>
          <w:rFonts w:ascii="Century Gothic" w:hAnsi="Century Gothic"/>
          <w:sz w:val="20"/>
        </w:rPr>
        <w:t xml:space="preserve"> strengthened, leading to a </w:t>
      </w:r>
      <w:r w:rsidRPr="006B04DC">
        <w:rPr>
          <w:rFonts w:ascii="Century Gothic" w:hAnsi="Century Gothic"/>
          <w:b/>
          <w:sz w:val="20"/>
        </w:rPr>
        <w:t>4%</w:t>
      </w:r>
      <w:r w:rsidRPr="006B04DC">
        <w:rPr>
          <w:rFonts w:ascii="Century Gothic" w:hAnsi="Century Gothic"/>
          <w:sz w:val="20"/>
        </w:rPr>
        <w:t xml:space="preserve"> (or EUR 34.4) </w:t>
      </w:r>
      <w:r w:rsidRPr="006B04DC">
        <w:rPr>
          <w:rFonts w:ascii="Century Gothic" w:hAnsi="Century Gothic"/>
          <w:b/>
          <w:sz w:val="20"/>
        </w:rPr>
        <w:t>higher indicator</w:t>
      </w:r>
      <w:r w:rsidRPr="006B04DC">
        <w:rPr>
          <w:rFonts w:ascii="Century Gothic" w:hAnsi="Century Gothic"/>
          <w:sz w:val="20"/>
        </w:rPr>
        <w:t xml:space="preserve"> in 2015, compar</w:t>
      </w:r>
      <w:r w:rsidR="00551DA6">
        <w:rPr>
          <w:rFonts w:ascii="Century Gothic" w:hAnsi="Century Gothic"/>
          <w:sz w:val="20"/>
        </w:rPr>
        <w:t>ed to a scenario without EU financing</w:t>
      </w:r>
      <w:r w:rsidRPr="006B04DC">
        <w:rPr>
          <w:rFonts w:ascii="Century Gothic" w:hAnsi="Century Gothic"/>
          <w:sz w:val="20"/>
        </w:rPr>
        <w:t>.</w:t>
      </w:r>
      <w:r w:rsidRPr="006B04DC">
        <w:rPr>
          <w:rStyle w:val="FootnoteReference"/>
          <w:rFonts w:ascii="Century Gothic" w:hAnsi="Century Gothic"/>
          <w:sz w:val="20"/>
        </w:rPr>
        <w:footnoteReference w:id="7"/>
      </w:r>
    </w:p>
    <w:p w:rsidR="00514F36" w:rsidRPr="006B04DC" w:rsidRDefault="00514F36" w:rsidP="00514F36">
      <w:pPr>
        <w:jc w:val="both"/>
        <w:rPr>
          <w:rFonts w:ascii="Century Gothic" w:hAnsi="Century Gothic"/>
          <w:sz w:val="20"/>
          <w:szCs w:val="20"/>
        </w:rPr>
      </w:pPr>
    </w:p>
    <w:p w:rsidR="00514F36" w:rsidRPr="006B04DC" w:rsidRDefault="00514F36" w:rsidP="00514F36">
      <w:pPr>
        <w:jc w:val="both"/>
        <w:rPr>
          <w:rFonts w:ascii="Century Gothic" w:hAnsi="Century Gothic"/>
          <w:sz w:val="20"/>
          <w:szCs w:val="20"/>
        </w:rPr>
      </w:pPr>
      <w:r w:rsidRPr="006B04DC">
        <w:rPr>
          <w:rFonts w:ascii="Century Gothic" w:hAnsi="Century Gothic"/>
          <w:sz w:val="20"/>
        </w:rPr>
        <w:t xml:space="preserve">A positive effect of investments made by the EU Structural Funds on the GDP growth and a neutral impact on inflation led to a more rapid economic convergence with the EU average. According to EUROSTAT data, in 2014 Lithuania’s GDP per capita (based on purchasing power parity) was </w:t>
      </w:r>
      <w:r w:rsidRPr="006B04DC">
        <w:rPr>
          <w:rFonts w:ascii="Century Gothic" w:hAnsi="Century Gothic"/>
          <w:b/>
          <w:sz w:val="20"/>
        </w:rPr>
        <w:t>75% of the EU-28 average</w:t>
      </w:r>
      <w:r w:rsidR="00551DA6">
        <w:rPr>
          <w:rFonts w:ascii="Century Gothic" w:hAnsi="Century Gothic"/>
          <w:sz w:val="20"/>
        </w:rPr>
        <w:t>. Without investments</w:t>
      </w:r>
      <w:r w:rsidRPr="006B04DC">
        <w:rPr>
          <w:rFonts w:ascii="Century Gothic" w:hAnsi="Century Gothic"/>
          <w:sz w:val="20"/>
        </w:rPr>
        <w:t xml:space="preserve"> from the EU Structural Funds the latter figure would have been 3.8pp lower and would have made for 71%.</w:t>
      </w:r>
      <w:r w:rsidRPr="006B04DC">
        <w:rPr>
          <w:rStyle w:val="FootnoteReference"/>
          <w:rFonts w:ascii="Century Gothic" w:hAnsi="Century Gothic"/>
          <w:sz w:val="20"/>
        </w:rPr>
        <w:footnoteReference w:id="8"/>
      </w:r>
    </w:p>
    <w:p w:rsidR="00514F36" w:rsidRPr="006B04DC" w:rsidRDefault="00514F36" w:rsidP="00514F36">
      <w:pPr>
        <w:jc w:val="both"/>
        <w:rPr>
          <w:rFonts w:ascii="Century Gothic" w:hAnsi="Century Gothic"/>
          <w:sz w:val="20"/>
          <w:szCs w:val="20"/>
        </w:rPr>
      </w:pPr>
    </w:p>
    <w:p w:rsidR="00514F36" w:rsidRPr="006B04DC" w:rsidRDefault="00BB4C0C" w:rsidP="00514F36">
      <w:pPr>
        <w:jc w:val="both"/>
        <w:rPr>
          <w:rFonts w:ascii="Century Gothic" w:hAnsi="Century Gothic"/>
          <w:sz w:val="20"/>
          <w:szCs w:val="20"/>
        </w:rPr>
      </w:pPr>
      <w:r>
        <w:rPr>
          <w:rFonts w:ascii="Century Gothic" w:hAnsi="Century Gothic"/>
          <w:sz w:val="20"/>
        </w:rPr>
        <w:t>Furthermore, investments made by EU funds</w:t>
      </w:r>
      <w:r w:rsidR="00514F36" w:rsidRPr="006B04DC">
        <w:rPr>
          <w:rFonts w:ascii="Century Gothic" w:hAnsi="Century Gothic"/>
          <w:sz w:val="20"/>
        </w:rPr>
        <w:t xml:space="preserve"> had a positive impact </w:t>
      </w:r>
      <w:r w:rsidR="00514F36" w:rsidRPr="006B04DC">
        <w:rPr>
          <w:rFonts w:ascii="Century Gothic" w:hAnsi="Century Gothic"/>
          <w:b/>
          <w:sz w:val="20"/>
        </w:rPr>
        <w:t>at the sectoral level</w:t>
      </w:r>
      <w:r w:rsidR="00514F36" w:rsidRPr="006B04DC">
        <w:rPr>
          <w:rFonts w:ascii="Century Gothic" w:hAnsi="Century Gothic"/>
          <w:sz w:val="20"/>
        </w:rPr>
        <w:t xml:space="preserve">. The main long-term beneficiaries (measured according to investment payoffs) were </w:t>
      </w:r>
      <w:r w:rsidR="00514F36" w:rsidRPr="006B04DC">
        <w:rPr>
          <w:rFonts w:ascii="Century Gothic" w:hAnsi="Century Gothic"/>
          <w:b/>
          <w:sz w:val="20"/>
        </w:rPr>
        <w:t>industrial and private services sectors</w:t>
      </w:r>
      <w:r w:rsidR="00514F36" w:rsidRPr="006B04DC">
        <w:rPr>
          <w:rFonts w:ascii="Century Gothic" w:hAnsi="Century Gothic"/>
          <w:sz w:val="20"/>
        </w:rPr>
        <w:t>, where the gains associated with growth in added value, preservation of jobs, attraction of investment and export of goods and services have been most significant. In 2007–2015, the EU Structural Funds investment payoffs in both industrial and private services sectors as measured by the effectiveness coefficient were twice as high as the investments made. On the other h</w:t>
      </w:r>
      <w:r w:rsidR="00B156E7">
        <w:rPr>
          <w:rFonts w:ascii="Century Gothic" w:hAnsi="Century Gothic"/>
          <w:sz w:val="20"/>
        </w:rPr>
        <w:t>and, financing</w:t>
      </w:r>
      <w:r w:rsidR="00514F36" w:rsidRPr="006B04DC">
        <w:rPr>
          <w:rFonts w:ascii="Century Gothic" w:hAnsi="Century Gothic"/>
          <w:sz w:val="20"/>
        </w:rPr>
        <w:t xml:space="preserve"> from the EU Structural Funds had a significant short-term effect on the </w:t>
      </w:r>
      <w:r w:rsidR="00514F36" w:rsidRPr="006B04DC">
        <w:rPr>
          <w:rFonts w:ascii="Century Gothic" w:hAnsi="Century Gothic"/>
          <w:b/>
          <w:sz w:val="20"/>
        </w:rPr>
        <w:t>construction sector</w:t>
      </w:r>
      <w:r w:rsidR="00514F36" w:rsidRPr="006B04DC">
        <w:rPr>
          <w:rFonts w:ascii="Century Gothic" w:hAnsi="Century Gothic"/>
          <w:sz w:val="20"/>
        </w:rPr>
        <w:t>: between 2012 and 2015 around 15–17% of all jobs in the construction sector were created or preserved indirectly by the EU Structural Funds and the average wage rose by 14% (EUR 90.5).</w:t>
      </w:r>
    </w:p>
    <w:p w:rsidR="00514F36" w:rsidRPr="006B04DC" w:rsidRDefault="00514F36" w:rsidP="00514F36">
      <w:pPr>
        <w:jc w:val="both"/>
        <w:rPr>
          <w:rFonts w:ascii="Century Gothic" w:hAnsi="Century Gothic"/>
          <w:sz w:val="20"/>
          <w:szCs w:val="20"/>
        </w:rPr>
      </w:pPr>
    </w:p>
    <w:p w:rsidR="00514F36" w:rsidRPr="006B04DC" w:rsidRDefault="00365A60" w:rsidP="00514F36">
      <w:pPr>
        <w:shd w:val="clear" w:color="auto" w:fill="DEEAF6"/>
        <w:jc w:val="center"/>
        <w:rPr>
          <w:rFonts w:ascii="Century Gothic" w:hAnsi="Century Gothic"/>
          <w:b/>
          <w:color w:val="1F4E79"/>
          <w:sz w:val="20"/>
          <w:szCs w:val="20"/>
        </w:rPr>
      </w:pPr>
      <w:r>
        <w:rPr>
          <w:rFonts w:ascii="Century Gothic" w:hAnsi="Century Gothic"/>
          <w:b/>
          <w:color w:val="1F4E79"/>
          <w:sz w:val="20"/>
        </w:rPr>
        <w:t xml:space="preserve">IMPACT OF INVESTMENTS MADE BY EU FUNDS </w:t>
      </w:r>
      <w:r w:rsidR="00514F36" w:rsidRPr="006B04DC">
        <w:rPr>
          <w:rFonts w:ascii="Century Gothic" w:hAnsi="Century Gothic"/>
          <w:b/>
          <w:color w:val="1F4E79"/>
          <w:sz w:val="20"/>
        </w:rPr>
        <w:t>ON QUALITY EMPLOYMENT</w:t>
      </w:r>
    </w:p>
    <w:p w:rsidR="00514F36" w:rsidRPr="006B04DC" w:rsidRDefault="00514F36" w:rsidP="00514F36">
      <w:pPr>
        <w:shd w:val="clear" w:color="auto" w:fill="DEEAF6"/>
        <w:rPr>
          <w:rFonts w:ascii="Century Gothic" w:hAnsi="Century Gothic"/>
          <w:b/>
          <w:color w:val="1F4E79"/>
          <w:sz w:val="20"/>
          <w:szCs w:val="20"/>
        </w:rPr>
      </w:pPr>
    </w:p>
    <w:p w:rsidR="00514F36" w:rsidRPr="006B04DC" w:rsidRDefault="00514F36" w:rsidP="00514F36">
      <w:pPr>
        <w:jc w:val="both"/>
        <w:rPr>
          <w:rFonts w:ascii="Century Gothic" w:hAnsi="Century Gothic"/>
          <w:sz w:val="20"/>
          <w:szCs w:val="20"/>
        </w:rPr>
      </w:pPr>
    </w:p>
    <w:p w:rsidR="00514F36" w:rsidRPr="006B04DC" w:rsidRDefault="00514F36" w:rsidP="00514F36">
      <w:pPr>
        <w:jc w:val="both"/>
        <w:rPr>
          <w:rFonts w:ascii="Century Gothic" w:hAnsi="Century Gothic"/>
          <w:sz w:val="20"/>
          <w:szCs w:val="20"/>
        </w:rPr>
      </w:pPr>
      <w:r w:rsidRPr="006B04DC">
        <w:rPr>
          <w:rFonts w:ascii="Century Gothic" w:hAnsi="Century Gothic"/>
          <w:sz w:val="20"/>
        </w:rPr>
        <w:t xml:space="preserve">One of the objectives of the use of the EU Structural Funds in 2007–2013 was to create more and better jobs in Lithuania. Based on the logic of programming documents, “a better job” is understood as a job which requires a higher qualification, creates a higher added value and has a higher chance to be preserved in the longer term. </w:t>
      </w:r>
      <w:r w:rsidRPr="006B04DC">
        <w:rPr>
          <w:rFonts w:ascii="Century Gothic" w:hAnsi="Century Gothic"/>
          <w:b/>
          <w:sz w:val="20"/>
        </w:rPr>
        <w:t>Almost 266,000 jobs</w:t>
      </w:r>
      <w:r w:rsidRPr="006B04DC">
        <w:rPr>
          <w:rFonts w:ascii="Century Gothic" w:hAnsi="Century Gothic"/>
          <w:sz w:val="20"/>
        </w:rPr>
        <w:t xml:space="preserve"> were created or preserved by projects financed by the EU Structural Funds in 2007–2015. Slightly more than half (53%) of all the jobs created were temporary (short-term). </w:t>
      </w:r>
      <w:r w:rsidRPr="006B04DC">
        <w:rPr>
          <w:rFonts w:ascii="Century Gothic" w:hAnsi="Century Gothic"/>
          <w:b/>
          <w:sz w:val="20"/>
        </w:rPr>
        <w:t>47% of the jobs</w:t>
      </w:r>
      <w:r w:rsidRPr="006B04DC">
        <w:rPr>
          <w:rFonts w:ascii="Century Gothic" w:hAnsi="Century Gothic"/>
          <w:sz w:val="20"/>
        </w:rPr>
        <w:t xml:space="preserve"> were preserved for over a year after the project implementation and therefore could be considered </w:t>
      </w:r>
      <w:r w:rsidRPr="006B04DC">
        <w:rPr>
          <w:rFonts w:ascii="Century Gothic" w:hAnsi="Century Gothic"/>
          <w:b/>
          <w:sz w:val="20"/>
        </w:rPr>
        <w:t>long-term or permanent jobs</w:t>
      </w:r>
      <w:r w:rsidR="006B04DC" w:rsidRPr="006B04DC">
        <w:rPr>
          <w:rFonts w:ascii="Century Gothic" w:hAnsi="Century Gothic"/>
          <w:sz w:val="20"/>
        </w:rPr>
        <w:t>.</w:t>
      </w:r>
    </w:p>
    <w:p w:rsidR="00514F36" w:rsidRPr="006B04DC" w:rsidRDefault="00514F36" w:rsidP="00514F36">
      <w:pPr>
        <w:jc w:val="both"/>
        <w:rPr>
          <w:rFonts w:ascii="Century Gothic" w:hAnsi="Century Gothic"/>
          <w:sz w:val="20"/>
          <w:szCs w:val="20"/>
        </w:rPr>
      </w:pPr>
    </w:p>
    <w:p w:rsidR="00514F36" w:rsidRPr="006B04DC" w:rsidRDefault="00514F36" w:rsidP="00514F36">
      <w:pPr>
        <w:jc w:val="both"/>
        <w:rPr>
          <w:rFonts w:ascii="Century Gothic" w:hAnsi="Century Gothic"/>
          <w:sz w:val="20"/>
          <w:szCs w:val="20"/>
        </w:rPr>
      </w:pPr>
      <w:r w:rsidRPr="006B04DC">
        <w:rPr>
          <w:rFonts w:ascii="Century Gothic" w:hAnsi="Century Gothic"/>
          <w:sz w:val="20"/>
        </w:rPr>
        <w:t xml:space="preserve">The absolute majority (92%) of all the jobs declared by projects was created by measures financed by the </w:t>
      </w:r>
      <w:r w:rsidRPr="006B04DC">
        <w:rPr>
          <w:rFonts w:ascii="Century Gothic" w:hAnsi="Century Gothic"/>
          <w:b/>
          <w:sz w:val="20"/>
        </w:rPr>
        <w:t>European Social Fund</w:t>
      </w:r>
      <w:r w:rsidRPr="006B04DC">
        <w:rPr>
          <w:rFonts w:ascii="Century Gothic" w:hAnsi="Century Gothic"/>
          <w:sz w:val="20"/>
        </w:rPr>
        <w:t xml:space="preserve">. Good results in the field of employment were also a result of 2.5 times higher financing planned for the implementation of active labour market policy measures to deal with unemployment which increased in 2009–2010. Following the intervention, 45% of all participants remained in the labour market for over a year. A positive effect was made by a rather quick recovery of the Lithuanian economy after the crisis and the respective increase in the demand for labour force. Measures financed by the </w:t>
      </w:r>
      <w:r w:rsidRPr="006B04DC">
        <w:rPr>
          <w:rFonts w:ascii="Century Gothic" w:hAnsi="Century Gothic"/>
          <w:b/>
          <w:sz w:val="20"/>
        </w:rPr>
        <w:t>European Regional Development Fund</w:t>
      </w:r>
      <w:r w:rsidRPr="006B04DC">
        <w:rPr>
          <w:rFonts w:ascii="Century Gothic" w:hAnsi="Century Gothic"/>
          <w:sz w:val="20"/>
        </w:rPr>
        <w:t xml:space="preserve"> created 19,800 jobs, of which 65% in companies carrying out activities assigned to high and medium high technology sectors. Most of the jobs created directly were long-term. </w:t>
      </w:r>
      <w:r w:rsidRPr="006B04DC">
        <w:rPr>
          <w:rFonts w:ascii="Century Gothic" w:hAnsi="Century Gothic"/>
          <w:b/>
          <w:sz w:val="20"/>
        </w:rPr>
        <w:t>Projects financed by the Cohesion Fund</w:t>
      </w:r>
      <w:r w:rsidRPr="006B04DC">
        <w:rPr>
          <w:rFonts w:ascii="Century Gothic" w:hAnsi="Century Gothic"/>
          <w:sz w:val="20"/>
        </w:rPr>
        <w:t xml:space="preserve"> mostly created temporary jobs (i.e. only for the project implementation period) and mostly in the construction sector. Investments by this fund were channelled to the implementation of large-scale transport and environmental infrastructure projects.</w:t>
      </w:r>
      <w:r w:rsidRPr="006B04DC">
        <w:rPr>
          <w:rStyle w:val="FootnoteReference"/>
          <w:rFonts w:ascii="Century Gothic" w:hAnsi="Century Gothic"/>
          <w:sz w:val="20"/>
        </w:rPr>
        <w:footnoteReference w:id="9"/>
      </w:r>
    </w:p>
    <w:p w:rsidR="00514F36" w:rsidRPr="006B04DC" w:rsidRDefault="00514F36" w:rsidP="00514F36">
      <w:pPr>
        <w:jc w:val="both"/>
        <w:rPr>
          <w:rFonts w:ascii="Century Gothic" w:hAnsi="Century Gothic"/>
          <w:sz w:val="20"/>
          <w:szCs w:val="20"/>
        </w:rPr>
      </w:pPr>
    </w:p>
    <w:p w:rsidR="00514F36" w:rsidRPr="006B04DC" w:rsidRDefault="00514F36" w:rsidP="00514F36">
      <w:pPr>
        <w:jc w:val="both"/>
        <w:rPr>
          <w:rFonts w:ascii="Century Gothic" w:hAnsi="Century Gothic"/>
          <w:sz w:val="20"/>
          <w:szCs w:val="20"/>
        </w:rPr>
      </w:pPr>
      <w:r w:rsidRPr="006B04DC">
        <w:rPr>
          <w:rFonts w:ascii="Century Gothic" w:hAnsi="Century Gothic"/>
          <w:sz w:val="20"/>
        </w:rPr>
        <w:t xml:space="preserve">With a lack of skilled labour, new jobs in different companies barely increased the total number of people working in the economy, i.e. the jobs created or preserved using the EU Structural Funds usually replaced or pushed out other jobs in the economy. Thus, the net impact of investment on employment in 2007–2015 was </w:t>
      </w:r>
      <w:r w:rsidRPr="006B04DC">
        <w:rPr>
          <w:rFonts w:ascii="Century Gothic" w:hAnsi="Century Gothic"/>
          <w:b/>
          <w:sz w:val="20"/>
        </w:rPr>
        <w:t>33,000 new jobs</w:t>
      </w:r>
      <w:r w:rsidRPr="006B04DC">
        <w:rPr>
          <w:rFonts w:ascii="Century Gothic" w:hAnsi="Century Gothic"/>
          <w:sz w:val="20"/>
        </w:rPr>
        <w:t>.</w:t>
      </w:r>
      <w:r w:rsidRPr="006B04DC">
        <w:rPr>
          <w:rFonts w:ascii="Century Gothic" w:hAnsi="Century Gothic"/>
          <w:sz w:val="20"/>
          <w:vertAlign w:val="superscript"/>
        </w:rPr>
        <w:footnoteReference w:id="10"/>
      </w:r>
      <w:r w:rsidRPr="006B04DC">
        <w:t xml:space="preserve"> </w:t>
      </w:r>
      <w:r w:rsidRPr="006B04DC">
        <w:rPr>
          <w:rFonts w:ascii="Century Gothic" w:hAnsi="Century Gothic"/>
          <w:sz w:val="20"/>
        </w:rPr>
        <w:t>More than half (61%) of them are of high or very high quality.</w:t>
      </w:r>
    </w:p>
    <w:p w:rsidR="00514F36" w:rsidRPr="006B04DC" w:rsidRDefault="00514F36" w:rsidP="00514F36">
      <w:pPr>
        <w:jc w:val="both"/>
        <w:rPr>
          <w:rFonts w:ascii="Century Gothic" w:hAnsi="Century Gothic"/>
          <w:sz w:val="20"/>
          <w:szCs w:val="20"/>
        </w:rPr>
      </w:pPr>
    </w:p>
    <w:p w:rsidR="00514F36" w:rsidRPr="006B04DC" w:rsidRDefault="00514F36" w:rsidP="00514F36">
      <w:pPr>
        <w:jc w:val="both"/>
        <w:rPr>
          <w:rFonts w:ascii="Century Gothic" w:hAnsi="Century Gothic"/>
          <w:sz w:val="20"/>
          <w:szCs w:val="20"/>
        </w:rPr>
      </w:pPr>
      <w:r w:rsidRPr="006B04DC">
        <w:rPr>
          <w:rFonts w:ascii="Century Gothic" w:hAnsi="Century Gothic"/>
          <w:sz w:val="20"/>
        </w:rPr>
        <w:t xml:space="preserve">EU investments contributed to the improving employment trends in the country. Between 2007 and 2015, the </w:t>
      </w:r>
      <w:r w:rsidRPr="006B04DC">
        <w:rPr>
          <w:rFonts w:ascii="Century Gothic" w:hAnsi="Century Gothic"/>
          <w:b/>
          <w:sz w:val="20"/>
        </w:rPr>
        <w:t>labour force participation rate</w:t>
      </w:r>
      <w:r w:rsidRPr="006B04DC">
        <w:rPr>
          <w:rFonts w:ascii="Century Gothic" w:hAnsi="Century Gothic"/>
          <w:sz w:val="20"/>
        </w:rPr>
        <w:t xml:space="preserve"> increased by 6.2pp (from 67.9% to 74.1%). Investments were used to increase the qualification of workers and improve access to employment. The </w:t>
      </w:r>
      <w:r w:rsidRPr="006B04DC">
        <w:rPr>
          <w:rFonts w:ascii="Century Gothic" w:hAnsi="Century Gothic"/>
          <w:b/>
          <w:sz w:val="20"/>
        </w:rPr>
        <w:t>overall employment rate</w:t>
      </w:r>
      <w:r w:rsidRPr="006B04DC">
        <w:rPr>
          <w:rFonts w:ascii="Century Gothic" w:hAnsi="Century Gothic"/>
          <w:sz w:val="20"/>
        </w:rPr>
        <w:t xml:space="preserve"> in 2007–2015 rose by over 2pp (from 65% to 67.2%). The </w:t>
      </w:r>
      <w:r w:rsidRPr="006B04DC">
        <w:rPr>
          <w:rFonts w:ascii="Century Gothic" w:hAnsi="Century Gothic"/>
          <w:b/>
          <w:sz w:val="20"/>
        </w:rPr>
        <w:t>employment rate of the elderly</w:t>
      </w:r>
      <w:r w:rsidRPr="006B04DC">
        <w:rPr>
          <w:rFonts w:ascii="Century Gothic" w:hAnsi="Century Gothic"/>
          <w:sz w:val="20"/>
        </w:rPr>
        <w:t xml:space="preserve"> went up by more than 7pp (from 53.2% to 60.4%). EU investments helped to reduce the digital divide of the elderly and provide them with a better chance of staying in work or better access to employment. From 2007 to 2015, the </w:t>
      </w:r>
      <w:r w:rsidRPr="006B04DC">
        <w:rPr>
          <w:rFonts w:ascii="Century Gothic" w:hAnsi="Century Gothic"/>
          <w:b/>
          <w:sz w:val="20"/>
        </w:rPr>
        <w:t>share of working disabled persons</w:t>
      </w:r>
      <w:r w:rsidRPr="006B04DC">
        <w:rPr>
          <w:rFonts w:ascii="Century Gothic" w:hAnsi="Century Gothic"/>
          <w:sz w:val="20"/>
        </w:rPr>
        <w:t xml:space="preserve"> increased by 1.6pp (from 27.2% to 28.8%). The interventions had a positive effect on </w:t>
      </w:r>
      <w:r w:rsidRPr="006B04DC">
        <w:rPr>
          <w:rFonts w:ascii="Century Gothic" w:hAnsi="Century Gothic"/>
          <w:b/>
          <w:sz w:val="20"/>
        </w:rPr>
        <w:t>the employment rate of women</w:t>
      </w:r>
      <w:r w:rsidRPr="006B04DC">
        <w:rPr>
          <w:rFonts w:ascii="Century Gothic" w:hAnsi="Century Gothic"/>
          <w:sz w:val="20"/>
        </w:rPr>
        <w:t>, which increased by 4.5pp (from 62% to 66.5%) between 2007 and 2015.</w:t>
      </w:r>
      <w:r w:rsidRPr="006B04DC">
        <w:t xml:space="preserve"> </w:t>
      </w:r>
      <w:r w:rsidRPr="006B04DC">
        <w:rPr>
          <w:rFonts w:ascii="Century Gothic" w:hAnsi="Century Gothic"/>
          <w:sz w:val="20"/>
        </w:rPr>
        <w:t xml:space="preserve">Individual projects helped </w:t>
      </w:r>
      <w:r w:rsidR="00F91D83">
        <w:rPr>
          <w:rFonts w:ascii="Century Gothic" w:hAnsi="Century Gothic"/>
          <w:sz w:val="20"/>
        </w:rPr>
        <w:t xml:space="preserve">for women </w:t>
      </w:r>
      <w:r w:rsidRPr="006B04DC">
        <w:rPr>
          <w:rFonts w:ascii="Century Gothic" w:hAnsi="Century Gothic"/>
          <w:sz w:val="20"/>
        </w:rPr>
        <w:t>to balance family and work commitments and enter the labour market.</w:t>
      </w:r>
    </w:p>
    <w:p w:rsidR="00F154F7" w:rsidRPr="006B04DC" w:rsidRDefault="00F154F7" w:rsidP="00514F36">
      <w:pPr>
        <w:jc w:val="both"/>
        <w:rPr>
          <w:rFonts w:ascii="Century Gothic" w:hAnsi="Century Gothic"/>
          <w:b/>
          <w:color w:val="1F4E79"/>
          <w:sz w:val="20"/>
          <w:szCs w:val="20"/>
        </w:rPr>
      </w:pPr>
    </w:p>
    <w:p w:rsidR="00514F36" w:rsidRPr="006B04DC" w:rsidRDefault="00365A60" w:rsidP="00514F36">
      <w:pPr>
        <w:shd w:val="clear" w:color="auto" w:fill="DEEAF6"/>
        <w:jc w:val="center"/>
        <w:rPr>
          <w:rFonts w:ascii="Century Gothic" w:hAnsi="Century Gothic"/>
          <w:b/>
          <w:color w:val="1F4E79"/>
          <w:sz w:val="20"/>
          <w:szCs w:val="20"/>
        </w:rPr>
      </w:pPr>
      <w:r>
        <w:rPr>
          <w:rFonts w:ascii="Century Gothic" w:hAnsi="Century Gothic"/>
          <w:b/>
          <w:color w:val="1F4E79"/>
          <w:sz w:val="20"/>
        </w:rPr>
        <w:t xml:space="preserve">IMPACT OF INVESTMENTS MADE BY EU FUNDS </w:t>
      </w:r>
      <w:r w:rsidR="00514F36" w:rsidRPr="006B04DC">
        <w:rPr>
          <w:rFonts w:ascii="Century Gothic" w:hAnsi="Century Gothic"/>
          <w:b/>
          <w:color w:val="1F4E79"/>
          <w:sz w:val="20"/>
        </w:rPr>
        <w:t>ON THE QUALITY OF LIFE</w:t>
      </w:r>
    </w:p>
    <w:p w:rsidR="00514F36" w:rsidRPr="006B04DC" w:rsidRDefault="00514F36" w:rsidP="00514F36">
      <w:pPr>
        <w:shd w:val="clear" w:color="auto" w:fill="DEEAF6"/>
        <w:jc w:val="center"/>
        <w:rPr>
          <w:rFonts w:ascii="Century Gothic" w:hAnsi="Century Gothic"/>
          <w:b/>
          <w:color w:val="1F4E79"/>
          <w:sz w:val="20"/>
          <w:szCs w:val="20"/>
        </w:rPr>
      </w:pPr>
    </w:p>
    <w:p w:rsidR="00514F36" w:rsidRPr="006B04DC" w:rsidRDefault="00514F36" w:rsidP="00514F36">
      <w:pPr>
        <w:jc w:val="both"/>
        <w:rPr>
          <w:rFonts w:ascii="Century Gothic" w:hAnsi="Century Gothic"/>
          <w:sz w:val="20"/>
          <w:szCs w:val="20"/>
        </w:rPr>
      </w:pPr>
    </w:p>
    <w:p w:rsidR="00514F36" w:rsidRPr="006B04DC" w:rsidRDefault="00514F36" w:rsidP="00514F36">
      <w:pPr>
        <w:jc w:val="both"/>
        <w:rPr>
          <w:rFonts w:ascii="Century Gothic" w:hAnsi="Century Gothic"/>
          <w:sz w:val="20"/>
          <w:szCs w:val="20"/>
        </w:rPr>
      </w:pPr>
      <w:r w:rsidRPr="006B04DC">
        <w:rPr>
          <w:rFonts w:ascii="Century Gothic" w:hAnsi="Century Gothic"/>
          <w:sz w:val="20"/>
        </w:rPr>
        <w:t>One of the objectives of the use of the EU Structural Funds in 2007–2013 was to develop social cohesion and increase the quality of life. Between 2007 and 2015, the average annual added value created by Lithuanian counties was 0.4–0.83pp higher than it would have been without EU investment. EU investments had the greatest impact on the added value growth in Vilnius, Kaunas and Šiauliai counties. However, if calculating the impact per capita, the biggest benefits were enjoyed by people in Tauragė, Utena, Alytus and Šiauliai counties.</w:t>
      </w:r>
      <w:r w:rsidRPr="006B04DC">
        <w:rPr>
          <w:rStyle w:val="FootnoteReference"/>
          <w:rFonts w:ascii="Century Gothic" w:hAnsi="Century Gothic"/>
          <w:sz w:val="20"/>
        </w:rPr>
        <w:footnoteReference w:id="11"/>
      </w:r>
    </w:p>
    <w:p w:rsidR="00514F36" w:rsidRPr="006B04DC" w:rsidRDefault="00514F36" w:rsidP="00514F36">
      <w:pPr>
        <w:jc w:val="both"/>
        <w:rPr>
          <w:rFonts w:ascii="Century Gothic" w:hAnsi="Century Gothic"/>
          <w:sz w:val="20"/>
          <w:szCs w:val="20"/>
        </w:rPr>
      </w:pPr>
    </w:p>
    <w:p w:rsidR="00514F36" w:rsidRPr="006B04DC" w:rsidRDefault="00232F47" w:rsidP="00514F36">
      <w:pPr>
        <w:jc w:val="both"/>
        <w:rPr>
          <w:rFonts w:ascii="Century Gothic" w:hAnsi="Century Gothic"/>
          <w:sz w:val="20"/>
          <w:szCs w:val="20"/>
        </w:rPr>
      </w:pPr>
      <w:r>
        <w:rPr>
          <w:noProof/>
          <w:lang w:eastAsia="lt-LT"/>
        </w:rPr>
        <mc:AlternateContent>
          <mc:Choice Requires="wps">
            <w:drawing>
              <wp:anchor distT="0" distB="0" distL="114300" distR="114300" simplePos="0" relativeHeight="251659264" behindDoc="0" locked="0" layoutInCell="1" allowOverlap="1">
                <wp:simplePos x="0" y="0"/>
                <wp:positionH relativeFrom="column">
                  <wp:posOffset>3242310</wp:posOffset>
                </wp:positionH>
                <wp:positionV relativeFrom="paragraph">
                  <wp:posOffset>85725</wp:posOffset>
                </wp:positionV>
                <wp:extent cx="3143250" cy="2800350"/>
                <wp:effectExtent l="0" t="3175"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80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9BD" w:rsidRDefault="002A69BD">
                            <w:r>
                              <w:rPr>
                                <w:rFonts w:ascii="Century Gothic" w:hAnsi="Century Gothic" w:cs="Century Gothic"/>
                                <w:b/>
                                <w:bCs/>
                                <w:color w:val="1F4E79"/>
                                <w:sz w:val="20"/>
                                <w:szCs w:val="20"/>
                              </w:rPr>
                              <w:t>Figure 2</w:t>
                            </w:r>
                            <w:r w:rsidRPr="007879A4">
                              <w:rPr>
                                <w:rFonts w:ascii="Century Gothic" w:hAnsi="Century Gothic" w:cs="Century Gothic"/>
                                <w:b/>
                                <w:bCs/>
                                <w:color w:val="1F4E79"/>
                                <w:sz w:val="20"/>
                                <w:szCs w:val="20"/>
                              </w:rPr>
                              <w:t xml:space="preserve">. </w:t>
                            </w:r>
                            <w:r>
                              <w:rPr>
                                <w:rFonts w:ascii="Century Gothic" w:hAnsi="Century Gothic" w:cs="Century Gothic"/>
                                <w:b/>
                                <w:bCs/>
                                <w:color w:val="1F4E79"/>
                                <w:sz w:val="20"/>
                                <w:szCs w:val="20"/>
                              </w:rPr>
                              <w:t>Quality of life index in Lithuania, 2014</w:t>
                            </w:r>
                          </w:p>
                          <w:p w:rsidR="002A69BD" w:rsidRPr="002A69BD" w:rsidRDefault="002A69BD">
                            <w:r w:rsidRPr="0025783C">
                              <w:rPr>
                                <w:rFonts w:asciiTheme="majorHAnsi" w:eastAsia="Times New Roman" w:hAnsiTheme="majorHAnsi"/>
                                <w:noProof/>
                                <w:lang w:eastAsia="lt-LT"/>
                              </w:rPr>
                              <w:drawing>
                                <wp:inline distT="0" distB="0" distL="0" distR="0" wp14:anchorId="2BCFA27F" wp14:editId="5799A918">
                                  <wp:extent cx="3048000" cy="239786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6796" cy="24047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55.3pt;margin-top:6.75pt;width:247.5pt;height: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" stroked="f">
                <v:textbox>
                  <w:txbxContent>
                    <w:p w:rsidR="002A69BD" w:rsidRDefault="002A69BD">
                      <w:r>
                        <w:rPr>
                          <w:rFonts w:ascii="Century Gothic" w:hAnsi="Century Gothic" w:cs="Century Gothic"/>
                          <w:b/>
                          <w:bCs/>
                          <w:color w:val="1F4E79"/>
                          <w:sz w:val="20"/>
                          <w:szCs w:val="20"/>
                        </w:rPr>
                        <w:t>Figure 2</w:t>
                      </w:r>
                      <w:r w:rsidRPr="007879A4">
                        <w:rPr>
                          <w:rFonts w:ascii="Century Gothic" w:hAnsi="Century Gothic" w:cs="Century Gothic"/>
                          <w:b/>
                          <w:bCs/>
                          <w:color w:val="1F4E79"/>
                          <w:sz w:val="20"/>
                          <w:szCs w:val="20"/>
                        </w:rPr>
                        <w:t xml:space="preserve">. </w:t>
                      </w:r>
                      <w:r>
                        <w:rPr>
                          <w:rFonts w:ascii="Century Gothic" w:hAnsi="Century Gothic" w:cs="Century Gothic"/>
                          <w:b/>
                          <w:bCs/>
                          <w:color w:val="1F4E79"/>
                          <w:sz w:val="20"/>
                          <w:szCs w:val="20"/>
                        </w:rPr>
                        <w:t>Quality of life index in Lithuania, 2014</w:t>
                      </w:r>
                    </w:p>
                    <w:p w:rsidR="002A69BD" w:rsidRPr="002A69BD" w:rsidRDefault="002A69BD">
                      <w:r w:rsidRPr="0025783C">
                        <w:rPr>
                          <w:rFonts w:asciiTheme="majorHAnsi" w:eastAsia="Times New Roman" w:hAnsiTheme="majorHAnsi"/>
                          <w:noProof/>
                          <w:lang w:eastAsia="lt-LT"/>
                        </w:rPr>
                        <w:drawing>
                          <wp:inline distT="0" distB="0" distL="0" distR="0" wp14:anchorId="2BCFA27F" wp14:editId="5799A918">
                            <wp:extent cx="3048000" cy="239786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6796" cy="2404788"/>
                                    </a:xfrm>
                                    <a:prstGeom prst="rect">
                                      <a:avLst/>
                                    </a:prstGeom>
                                    <a:noFill/>
                                    <a:ln>
                                      <a:noFill/>
                                    </a:ln>
                                  </pic:spPr>
                                </pic:pic>
                              </a:graphicData>
                            </a:graphic>
                          </wp:inline>
                        </w:drawing>
                      </w:r>
                    </w:p>
                  </w:txbxContent>
                </v:textbox>
                <w10:wrap type="square"/>
              </v:shape>
            </w:pict>
          </mc:Fallback>
        </mc:AlternateContent>
      </w:r>
      <w:r w:rsidR="00514F36" w:rsidRPr="006B04DC">
        <w:rPr>
          <w:rFonts w:ascii="Century Gothic" w:hAnsi="Century Gothic"/>
          <w:sz w:val="20"/>
        </w:rPr>
        <w:t xml:space="preserve">With a help of EU investments, the </w:t>
      </w:r>
      <w:r w:rsidR="00514F36" w:rsidRPr="006B04DC">
        <w:rPr>
          <w:rFonts w:ascii="Century Gothic" w:hAnsi="Century Gothic"/>
          <w:b/>
          <w:sz w:val="20"/>
        </w:rPr>
        <w:t>quality of life</w:t>
      </w:r>
      <w:r w:rsidR="00514F36" w:rsidRPr="006B04DC">
        <w:rPr>
          <w:rFonts w:ascii="Century Gothic" w:hAnsi="Century Gothic"/>
          <w:sz w:val="20"/>
        </w:rPr>
        <w:t xml:space="preserve"> was better in many Lithuanian municipalities in 2014 compared to 2007 (the quality of life index</w:t>
      </w:r>
      <w:r w:rsidR="00514F36" w:rsidRPr="006B04DC">
        <w:rPr>
          <w:rFonts w:ascii="Century Gothic" w:hAnsi="Century Gothic"/>
          <w:sz w:val="20"/>
          <w:vertAlign w:val="superscript"/>
        </w:rPr>
        <w:footnoteReference w:id="12"/>
      </w:r>
      <w:r w:rsidR="00514F36" w:rsidRPr="006B04DC">
        <w:rPr>
          <w:rFonts w:ascii="Century Gothic" w:hAnsi="Century Gothic"/>
          <w:sz w:val="20"/>
        </w:rPr>
        <w:t xml:space="preserve"> improved in 42 municipalities). Major improvements were felt in </w:t>
      </w:r>
      <w:r w:rsidR="00514F36" w:rsidRPr="006B04DC">
        <w:rPr>
          <w:rFonts w:ascii="Century Gothic" w:hAnsi="Century Gothic"/>
          <w:b/>
          <w:sz w:val="20"/>
        </w:rPr>
        <w:t>health and education services, the quality of public infrastructure and living environment and security</w:t>
      </w:r>
      <w:r w:rsidR="00514F36" w:rsidRPr="006B04DC">
        <w:rPr>
          <w:rFonts w:ascii="Century Gothic" w:hAnsi="Century Gothic"/>
          <w:sz w:val="20"/>
        </w:rPr>
        <w:t>, i.e. those aspects of the quality of life which received most of the EU investments in 2007–2013. Direct contribution to the improving quality of life and material living conditions was made by the renovation of multi-apartment buildings, social housing development and investment into the upgrading and development of health, education, social services, transport, tourism, water supply and wastewater management infrastructure.</w:t>
      </w:r>
      <w:r w:rsidR="00514F36" w:rsidRPr="006B04DC">
        <w:rPr>
          <w:rFonts w:ascii="Century Gothic" w:hAnsi="Century Gothic"/>
          <w:sz w:val="20"/>
          <w:vertAlign w:val="superscript"/>
        </w:rPr>
        <w:footnoteReference w:id="13"/>
      </w:r>
      <w:r w:rsidR="00514F36" w:rsidRPr="006B04DC">
        <w:rPr>
          <w:rFonts w:ascii="Century Gothic" w:hAnsi="Century Gothic"/>
          <w:sz w:val="20"/>
        </w:rPr>
        <w:t xml:space="preserve"> EU funds made the greatest impact on the reduction of poverty and social exclusion through investment into material prosperity (promotion of recruitment and employment and provision of basic resources).</w:t>
      </w:r>
    </w:p>
    <w:p w:rsidR="00514F36" w:rsidRPr="006B04DC" w:rsidRDefault="00514F36" w:rsidP="00514F36">
      <w:pPr>
        <w:jc w:val="both"/>
        <w:rPr>
          <w:rFonts w:ascii="Century Gothic" w:hAnsi="Century Gothic"/>
          <w:sz w:val="20"/>
          <w:szCs w:val="20"/>
        </w:rPr>
      </w:pPr>
    </w:p>
    <w:p w:rsidR="00202BB6" w:rsidRPr="006B04DC" w:rsidRDefault="00514F36" w:rsidP="007B618A">
      <w:pPr>
        <w:jc w:val="both"/>
        <w:rPr>
          <w:rFonts w:ascii="Century Gothic" w:hAnsi="Century Gothic"/>
          <w:sz w:val="20"/>
          <w:szCs w:val="20"/>
        </w:rPr>
      </w:pPr>
      <w:r w:rsidRPr="006B04DC">
        <w:rPr>
          <w:rFonts w:ascii="Century Gothic" w:hAnsi="Century Gothic"/>
          <w:sz w:val="20"/>
        </w:rPr>
        <w:t xml:space="preserve">EU investments had a positive impact on cultural services in terms of their </w:t>
      </w:r>
      <w:r w:rsidRPr="006B04DC">
        <w:rPr>
          <w:rFonts w:ascii="Century Gothic" w:hAnsi="Century Gothic"/>
          <w:b/>
          <w:sz w:val="20"/>
        </w:rPr>
        <w:t>volume</w:t>
      </w:r>
      <w:r w:rsidRPr="006B04DC">
        <w:rPr>
          <w:rFonts w:ascii="Century Gothic" w:hAnsi="Century Gothic"/>
          <w:sz w:val="20"/>
        </w:rPr>
        <w:t xml:space="preserve"> (the implemented projects have increased the number of event-goers and events), </w:t>
      </w:r>
      <w:r w:rsidRPr="006B04DC">
        <w:rPr>
          <w:rFonts w:ascii="Century Gothic" w:hAnsi="Century Gothic"/>
          <w:b/>
          <w:sz w:val="20"/>
        </w:rPr>
        <w:t>variety</w:t>
      </w:r>
      <w:r w:rsidRPr="006B04DC">
        <w:rPr>
          <w:rFonts w:ascii="Century Gothic" w:hAnsi="Century Gothic"/>
          <w:sz w:val="20"/>
        </w:rPr>
        <w:t xml:space="preserve"> (developed or significantly improved cultural services provided directly by establishments, educational activities and events, festivals and other activities) and </w:t>
      </w:r>
      <w:r w:rsidRPr="006B04DC">
        <w:rPr>
          <w:rFonts w:ascii="Century Gothic" w:hAnsi="Century Gothic"/>
          <w:b/>
          <w:sz w:val="20"/>
        </w:rPr>
        <w:t>availability</w:t>
      </w:r>
      <w:r w:rsidRPr="006B04DC">
        <w:rPr>
          <w:rFonts w:ascii="Century Gothic" w:hAnsi="Century Gothic"/>
          <w:sz w:val="20"/>
        </w:rPr>
        <w:t>.</w:t>
      </w:r>
      <w:r w:rsidRPr="006B04DC">
        <w:rPr>
          <w:rFonts w:ascii="Century Gothic" w:hAnsi="Century Gothic"/>
          <w:sz w:val="20"/>
          <w:vertAlign w:val="superscript"/>
        </w:rPr>
        <w:footnoteReference w:id="14"/>
      </w:r>
      <w:r w:rsidRPr="006B04DC">
        <w:rPr>
          <w:rFonts w:ascii="Century Gothic" w:hAnsi="Century Gothic"/>
          <w:sz w:val="20"/>
        </w:rPr>
        <w:t xml:space="preserve"> In 2007–2013, investments made by the EU Structural Funds played an essential role in preserving intangible cultural heritage, using its cultural and economic potential and increasing the interest of the Lithuanian population in cultural heritage.</w:t>
      </w:r>
      <w:r w:rsidRPr="006B04DC">
        <w:rPr>
          <w:rStyle w:val="FootnoteReference"/>
          <w:rFonts w:ascii="Century Gothic" w:hAnsi="Century Gothic"/>
          <w:sz w:val="20"/>
        </w:rPr>
        <w:footnoteReference w:id="15"/>
      </w:r>
    </w:p>
    <w:sectPr w:rsidR="00202BB6" w:rsidRPr="006B04DC" w:rsidSect="00651A0B">
      <w:footerReference w:type="default" r:id="rId15"/>
      <w:pgSz w:w="11906" w:h="16838"/>
      <w:pgMar w:top="1135" w:right="849" w:bottom="851" w:left="1134" w:header="567" w:footer="142"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A2D" w:rsidRDefault="00F92A2D" w:rsidP="00965697">
      <w:r>
        <w:separator/>
      </w:r>
    </w:p>
  </w:endnote>
  <w:endnote w:type="continuationSeparator" w:id="0">
    <w:p w:rsidR="00F92A2D" w:rsidRDefault="00F92A2D" w:rsidP="00965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entury Gothic">
    <w:panose1 w:val="020B0502020202020204"/>
    <w:charset w:val="BA"/>
    <w:family w:val="swiss"/>
    <w:pitch w:val="variable"/>
    <w:sig w:usb0="00000287" w:usb1="00000000" w:usb2="00000000" w:usb3="00000000" w:csb0="0000009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2FF" w:usb1="400004FF" w:usb2="00000000"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1648925"/>
      <w:docPartObj>
        <w:docPartGallery w:val="Page Numbers (Bottom of Page)"/>
        <w:docPartUnique/>
      </w:docPartObj>
    </w:sdtPr>
    <w:sdtEndPr>
      <w:rPr>
        <w:rFonts w:ascii="Century Gothic" w:hAnsi="Century Gothic"/>
        <w:noProof/>
        <w:sz w:val="18"/>
        <w:szCs w:val="18"/>
      </w:rPr>
    </w:sdtEndPr>
    <w:sdtContent>
      <w:p w:rsidR="008B60C2" w:rsidRPr="00752BA3" w:rsidRDefault="00410908">
        <w:pPr>
          <w:pStyle w:val="Footer"/>
          <w:jc w:val="right"/>
          <w:rPr>
            <w:rFonts w:ascii="Century Gothic" w:hAnsi="Century Gothic"/>
            <w:sz w:val="18"/>
            <w:szCs w:val="18"/>
          </w:rPr>
        </w:pPr>
        <w:r w:rsidRPr="00752BA3">
          <w:rPr>
            <w:rFonts w:ascii="Century Gothic" w:hAnsi="Century Gothic"/>
            <w:sz w:val="18"/>
            <w:szCs w:val="18"/>
          </w:rPr>
          <w:fldChar w:fldCharType="begin"/>
        </w:r>
        <w:r w:rsidR="008B60C2" w:rsidRPr="00752BA3">
          <w:rPr>
            <w:rFonts w:ascii="Century Gothic" w:hAnsi="Century Gothic"/>
            <w:sz w:val="18"/>
            <w:szCs w:val="18"/>
          </w:rPr>
          <w:instrText xml:space="preserve"> PAGE   \* MERGEFORMAT </w:instrText>
        </w:r>
        <w:r w:rsidRPr="00752BA3">
          <w:rPr>
            <w:rFonts w:ascii="Century Gothic" w:hAnsi="Century Gothic"/>
            <w:sz w:val="18"/>
            <w:szCs w:val="18"/>
          </w:rPr>
          <w:fldChar w:fldCharType="separate"/>
        </w:r>
        <w:r w:rsidR="00232F47">
          <w:rPr>
            <w:rFonts w:ascii="Century Gothic" w:hAnsi="Century Gothic"/>
            <w:noProof/>
            <w:sz w:val="18"/>
            <w:szCs w:val="18"/>
          </w:rPr>
          <w:t>1</w:t>
        </w:r>
        <w:r w:rsidRPr="00752BA3">
          <w:rPr>
            <w:rFonts w:ascii="Century Gothic" w:hAnsi="Century Gothic"/>
            <w:noProof/>
            <w:sz w:val="18"/>
            <w:szCs w:val="18"/>
          </w:rPr>
          <w:fldChar w:fldCharType="end"/>
        </w:r>
      </w:p>
    </w:sdtContent>
  </w:sdt>
  <w:p w:rsidR="008B60C2" w:rsidRDefault="008B60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A2D" w:rsidRDefault="00F92A2D" w:rsidP="00965697">
      <w:r>
        <w:separator/>
      </w:r>
    </w:p>
  </w:footnote>
  <w:footnote w:type="continuationSeparator" w:id="0">
    <w:p w:rsidR="00F92A2D" w:rsidRDefault="00F92A2D" w:rsidP="00965697">
      <w:r>
        <w:continuationSeparator/>
      </w:r>
    </w:p>
  </w:footnote>
  <w:footnote w:id="1">
    <w:p w:rsidR="008B60C2" w:rsidRPr="00023831" w:rsidRDefault="008B60C2" w:rsidP="002A69BD">
      <w:pPr>
        <w:pStyle w:val="FootnoteText"/>
        <w:jc w:val="both"/>
        <w:rPr>
          <w:rFonts w:ascii="Century Gothic" w:hAnsi="Century Gothic"/>
          <w:sz w:val="16"/>
          <w:szCs w:val="16"/>
        </w:rPr>
      </w:pPr>
      <w:r>
        <w:rPr>
          <w:rStyle w:val="FootnoteReference"/>
          <w:rFonts w:ascii="Century Gothic" w:hAnsi="Century Gothic"/>
          <w:sz w:val="16"/>
        </w:rPr>
        <w:footnoteRef/>
      </w:r>
      <w:r>
        <w:rPr>
          <w:rFonts w:ascii="Century Gothic" w:hAnsi="Century Gothic"/>
          <w:sz w:val="16"/>
        </w:rPr>
        <w:t xml:space="preserve"> ESTEP Vilnius UAB, Evaluation of the Impact of EU Structural Assistance 2007–2013 on Employment and other Macroeconomic Indicators of the Lithuanian Economy, 2016.</w:t>
      </w:r>
    </w:p>
  </w:footnote>
  <w:footnote w:id="2">
    <w:p w:rsidR="008B60C2" w:rsidRPr="00023831" w:rsidRDefault="008B60C2" w:rsidP="002A69BD">
      <w:pPr>
        <w:pStyle w:val="FootnoteText"/>
        <w:ind w:right="-2"/>
        <w:jc w:val="both"/>
        <w:rPr>
          <w:rFonts w:ascii="Century Gothic" w:hAnsi="Century Gothic"/>
          <w:sz w:val="16"/>
          <w:szCs w:val="16"/>
        </w:rPr>
      </w:pPr>
      <w:r>
        <w:rPr>
          <w:rStyle w:val="FootnoteReference"/>
          <w:rFonts w:ascii="Century Gothic" w:hAnsi="Century Gothic"/>
          <w:sz w:val="16"/>
        </w:rPr>
        <w:footnoteRef/>
      </w:r>
      <w:r>
        <w:rPr>
          <w:rFonts w:ascii="Century Gothic" w:hAnsi="Century Gothic"/>
          <w:sz w:val="16"/>
        </w:rPr>
        <w:t xml:space="preserve"> ESTEP Vilnius UAB, Evaluation of the Impact of EU Structural Assistance 2007–2013 on Employment and other Macroeconomic Indicators of the Lithuanian Economy, 2016.</w:t>
      </w:r>
    </w:p>
  </w:footnote>
  <w:footnote w:id="3">
    <w:p w:rsidR="008B60C2" w:rsidRPr="00023831" w:rsidRDefault="008B60C2" w:rsidP="002A69BD">
      <w:pPr>
        <w:pStyle w:val="FootnoteText"/>
        <w:jc w:val="both"/>
        <w:rPr>
          <w:rFonts w:ascii="Century Gothic" w:hAnsi="Century Gothic"/>
          <w:sz w:val="16"/>
          <w:szCs w:val="16"/>
        </w:rPr>
      </w:pPr>
      <w:r>
        <w:rPr>
          <w:rStyle w:val="FootnoteReference"/>
          <w:rFonts w:ascii="Century Gothic" w:hAnsi="Century Gothic"/>
          <w:sz w:val="16"/>
        </w:rPr>
        <w:footnoteRef/>
      </w:r>
      <w:r>
        <w:rPr>
          <w:rFonts w:ascii="Century Gothic" w:hAnsi="Century Gothic"/>
          <w:sz w:val="16"/>
        </w:rPr>
        <w:t xml:space="preserve"> Ibid.</w:t>
      </w:r>
    </w:p>
  </w:footnote>
  <w:footnote w:id="4">
    <w:p w:rsidR="008B60C2" w:rsidRPr="00023831" w:rsidRDefault="008B60C2" w:rsidP="002A69BD">
      <w:pPr>
        <w:pStyle w:val="FootnoteText"/>
        <w:jc w:val="both"/>
        <w:rPr>
          <w:rFonts w:ascii="Century Gothic" w:hAnsi="Century Gothic"/>
          <w:sz w:val="16"/>
          <w:szCs w:val="16"/>
        </w:rPr>
      </w:pPr>
      <w:r>
        <w:rPr>
          <w:rStyle w:val="FootnoteReference"/>
          <w:rFonts w:ascii="Century Gothic" w:hAnsi="Century Gothic"/>
          <w:sz w:val="16"/>
        </w:rPr>
        <w:footnoteRef/>
      </w:r>
      <w:r>
        <w:rPr>
          <w:rFonts w:ascii="Century Gothic" w:hAnsi="Century Gothic"/>
          <w:sz w:val="16"/>
        </w:rPr>
        <w:t xml:space="preserve"> Ibid.</w:t>
      </w:r>
    </w:p>
  </w:footnote>
  <w:footnote w:id="5">
    <w:p w:rsidR="008B60C2" w:rsidRPr="00023831" w:rsidRDefault="008B60C2" w:rsidP="002A69BD">
      <w:pPr>
        <w:pStyle w:val="FootnoteText"/>
        <w:ind w:right="-2"/>
        <w:jc w:val="both"/>
        <w:rPr>
          <w:rFonts w:ascii="Century Gothic" w:hAnsi="Century Gothic"/>
          <w:sz w:val="16"/>
          <w:szCs w:val="16"/>
        </w:rPr>
      </w:pPr>
      <w:r>
        <w:rPr>
          <w:rStyle w:val="FootnoteReference"/>
          <w:rFonts w:ascii="Century Gothic" w:hAnsi="Century Gothic"/>
          <w:sz w:val="16"/>
        </w:rPr>
        <w:footnoteRef/>
      </w:r>
      <w:r>
        <w:rPr>
          <w:rFonts w:ascii="Century Gothic" w:hAnsi="Century Gothic"/>
          <w:sz w:val="16"/>
        </w:rPr>
        <w:t xml:space="preserve"> Ibid.</w:t>
      </w:r>
    </w:p>
  </w:footnote>
  <w:footnote w:id="6">
    <w:p w:rsidR="008B60C2" w:rsidRPr="00023831" w:rsidRDefault="008B60C2" w:rsidP="002A69BD">
      <w:pPr>
        <w:pStyle w:val="FootnoteText"/>
        <w:jc w:val="both"/>
        <w:rPr>
          <w:rFonts w:ascii="Century Gothic" w:hAnsi="Century Gothic"/>
          <w:sz w:val="16"/>
          <w:szCs w:val="16"/>
        </w:rPr>
      </w:pPr>
      <w:r>
        <w:rPr>
          <w:rStyle w:val="FootnoteReference"/>
          <w:rFonts w:ascii="Century Gothic" w:hAnsi="Century Gothic"/>
          <w:sz w:val="16"/>
        </w:rPr>
        <w:footnoteRef/>
      </w:r>
      <w:r>
        <w:rPr>
          <w:rFonts w:ascii="Century Gothic" w:hAnsi="Century Gothic"/>
          <w:sz w:val="16"/>
        </w:rPr>
        <w:t xml:space="preserve"> Total number of employees in full time units is a number of employees converted into full-time units.</w:t>
      </w:r>
    </w:p>
  </w:footnote>
  <w:footnote w:id="7">
    <w:p w:rsidR="008B60C2" w:rsidRPr="00023831" w:rsidRDefault="008B60C2" w:rsidP="002A69BD">
      <w:pPr>
        <w:pStyle w:val="FootnoteText"/>
        <w:jc w:val="both"/>
        <w:rPr>
          <w:rFonts w:ascii="Century Gothic" w:hAnsi="Century Gothic"/>
          <w:sz w:val="16"/>
          <w:szCs w:val="16"/>
        </w:rPr>
      </w:pPr>
      <w:r>
        <w:rPr>
          <w:rStyle w:val="FootnoteReference"/>
          <w:rFonts w:ascii="Century Gothic" w:hAnsi="Century Gothic"/>
          <w:sz w:val="16"/>
        </w:rPr>
        <w:footnoteRef/>
      </w:r>
      <w:r>
        <w:rPr>
          <w:rFonts w:ascii="Century Gothic" w:hAnsi="Century Gothic"/>
          <w:sz w:val="16"/>
        </w:rPr>
        <w:t xml:space="preserve"> ESTEP Vilnius UAB, Evaluation of the Impact of EU Structural Assistance 2007–2013 on Employment and other Macroeconomic Indicators of the Lithuanian Economy, 2016.</w:t>
      </w:r>
    </w:p>
  </w:footnote>
  <w:footnote w:id="8">
    <w:p w:rsidR="008B60C2" w:rsidRPr="00023831" w:rsidRDefault="008B60C2" w:rsidP="002A69BD">
      <w:pPr>
        <w:pStyle w:val="FootnoteText"/>
        <w:jc w:val="both"/>
        <w:rPr>
          <w:rFonts w:ascii="Century Gothic" w:hAnsi="Century Gothic"/>
          <w:sz w:val="16"/>
          <w:szCs w:val="16"/>
        </w:rPr>
      </w:pPr>
      <w:r>
        <w:rPr>
          <w:rStyle w:val="FootnoteReference"/>
          <w:rFonts w:ascii="Century Gothic" w:hAnsi="Century Gothic"/>
          <w:sz w:val="16"/>
        </w:rPr>
        <w:footnoteRef/>
      </w:r>
      <w:r>
        <w:rPr>
          <w:rFonts w:ascii="Century Gothic" w:hAnsi="Century Gothic"/>
          <w:sz w:val="16"/>
        </w:rPr>
        <w:t xml:space="preserve"> ESTEP Vilnius UAB, Evaluation of the Impact of EU Structural Assistance 2007–2013 on Employment and other Macroeconomic Indicators of the Lithuanian Economy, 2016.</w:t>
      </w:r>
    </w:p>
  </w:footnote>
  <w:footnote w:id="9">
    <w:p w:rsidR="008B60C2" w:rsidRPr="00023831" w:rsidRDefault="008B60C2" w:rsidP="002A69BD">
      <w:pPr>
        <w:pStyle w:val="FootnoteText"/>
        <w:jc w:val="both"/>
        <w:rPr>
          <w:rFonts w:ascii="Century Gothic" w:hAnsi="Century Gothic"/>
          <w:sz w:val="16"/>
          <w:szCs w:val="16"/>
        </w:rPr>
      </w:pPr>
      <w:r>
        <w:rPr>
          <w:rStyle w:val="FootnoteReference"/>
          <w:rFonts w:ascii="Century Gothic" w:hAnsi="Century Gothic"/>
          <w:sz w:val="16"/>
        </w:rPr>
        <w:footnoteRef/>
      </w:r>
      <w:r>
        <w:rPr>
          <w:rFonts w:ascii="Century Gothic" w:hAnsi="Century Gothic"/>
          <w:sz w:val="16"/>
        </w:rPr>
        <w:t xml:space="preserve"> Ibid.</w:t>
      </w:r>
    </w:p>
  </w:footnote>
  <w:footnote w:id="10">
    <w:p w:rsidR="008B60C2" w:rsidRPr="00023831" w:rsidRDefault="008B60C2" w:rsidP="002A69BD">
      <w:pPr>
        <w:pStyle w:val="FootnoteText"/>
        <w:ind w:right="-2"/>
        <w:jc w:val="both"/>
        <w:rPr>
          <w:rFonts w:ascii="Century Gothic" w:hAnsi="Century Gothic"/>
          <w:b/>
          <w:i/>
          <w:sz w:val="16"/>
          <w:szCs w:val="16"/>
        </w:rPr>
      </w:pPr>
      <w:r>
        <w:rPr>
          <w:rStyle w:val="FootnoteReference"/>
          <w:rFonts w:ascii="Century Gothic" w:hAnsi="Century Gothic"/>
          <w:b/>
          <w:i/>
          <w:sz w:val="16"/>
        </w:rPr>
        <w:footnoteRef/>
      </w:r>
      <w:r>
        <w:rPr>
          <w:rFonts w:ascii="Century Gothic" w:hAnsi="Century Gothic"/>
          <w:b/>
          <w:i/>
          <w:sz w:val="16"/>
        </w:rPr>
        <w:t xml:space="preserve"> </w:t>
      </w:r>
      <w:r>
        <w:rPr>
          <w:rFonts w:ascii="Century Gothic" w:hAnsi="Century Gothic"/>
          <w:sz w:val="16"/>
        </w:rPr>
        <w:t>Ibid.</w:t>
      </w:r>
    </w:p>
  </w:footnote>
  <w:footnote w:id="11">
    <w:p w:rsidR="008B60C2" w:rsidRPr="00023831" w:rsidRDefault="008B60C2" w:rsidP="002A69BD">
      <w:pPr>
        <w:pStyle w:val="FootnoteText"/>
        <w:jc w:val="both"/>
        <w:rPr>
          <w:rFonts w:ascii="Century Gothic" w:hAnsi="Century Gothic"/>
          <w:sz w:val="16"/>
          <w:szCs w:val="16"/>
        </w:rPr>
      </w:pPr>
      <w:r>
        <w:rPr>
          <w:rStyle w:val="FootnoteReference"/>
          <w:rFonts w:ascii="Century Gothic" w:hAnsi="Century Gothic"/>
          <w:sz w:val="16"/>
        </w:rPr>
        <w:footnoteRef/>
      </w:r>
      <w:r>
        <w:rPr>
          <w:rFonts w:ascii="Century Gothic" w:hAnsi="Century Gothic"/>
          <w:sz w:val="16"/>
        </w:rPr>
        <w:t xml:space="preserve"> ESTEP Vilnius UAB, Evaluation of the Impact of EU Structural Assistance 2007–2013 on Lithuanian Cities and Small Towns, 2016.</w:t>
      </w:r>
    </w:p>
  </w:footnote>
  <w:footnote w:id="12">
    <w:p w:rsidR="008B60C2" w:rsidRPr="00023831" w:rsidRDefault="008B60C2" w:rsidP="002A69BD">
      <w:pPr>
        <w:pStyle w:val="FootnoteText"/>
        <w:ind w:right="-2"/>
        <w:jc w:val="both"/>
        <w:rPr>
          <w:rFonts w:ascii="Century Gothic" w:hAnsi="Century Gothic"/>
          <w:sz w:val="16"/>
          <w:szCs w:val="16"/>
        </w:rPr>
      </w:pPr>
      <w:r>
        <w:rPr>
          <w:rStyle w:val="FootnoteReference"/>
          <w:rFonts w:ascii="Century Gothic" w:hAnsi="Century Gothic"/>
          <w:sz w:val="16"/>
        </w:rPr>
        <w:footnoteRef/>
      </w:r>
      <w:r>
        <w:rPr>
          <w:rFonts w:ascii="Century Gothic" w:hAnsi="Century Gothic"/>
          <w:sz w:val="16"/>
        </w:rPr>
        <w:t xml:space="preserve"> The quality of life index consists of six sub-indices and 38 indices, reflecting material living conditions, business competitiveness, the quality of public buildings and living environment, security and demographic situation in a specific area.</w:t>
      </w:r>
    </w:p>
  </w:footnote>
  <w:footnote w:id="13">
    <w:p w:rsidR="008B60C2" w:rsidRPr="00023831" w:rsidRDefault="008B60C2" w:rsidP="002A69BD">
      <w:pPr>
        <w:pStyle w:val="FootnoteText"/>
        <w:ind w:right="-2"/>
        <w:jc w:val="both"/>
        <w:rPr>
          <w:rFonts w:ascii="Century Gothic" w:hAnsi="Century Gothic"/>
          <w:sz w:val="16"/>
          <w:szCs w:val="16"/>
        </w:rPr>
      </w:pPr>
      <w:r>
        <w:rPr>
          <w:rStyle w:val="FootnoteReference"/>
          <w:rFonts w:ascii="Century Gothic" w:hAnsi="Century Gothic"/>
          <w:sz w:val="16"/>
        </w:rPr>
        <w:footnoteRef/>
      </w:r>
      <w:r>
        <w:rPr>
          <w:rFonts w:ascii="Century Gothic" w:hAnsi="Century Gothic"/>
          <w:sz w:val="16"/>
        </w:rPr>
        <w:t xml:space="preserve"> ESTEP Vilnius UAB, Evaluation of the Impact of EU Structural Assistance 2007–2013 on Lithuanian Cities and Small Towns, 2016.</w:t>
      </w:r>
    </w:p>
  </w:footnote>
  <w:footnote w:id="14">
    <w:p w:rsidR="008B60C2" w:rsidRPr="00023831" w:rsidRDefault="008B60C2" w:rsidP="002A69BD">
      <w:pPr>
        <w:pStyle w:val="FootnoteText"/>
        <w:ind w:right="-2"/>
        <w:jc w:val="both"/>
        <w:rPr>
          <w:rFonts w:ascii="Century Gothic" w:hAnsi="Century Gothic"/>
          <w:sz w:val="16"/>
          <w:szCs w:val="16"/>
        </w:rPr>
      </w:pPr>
      <w:r>
        <w:rPr>
          <w:rStyle w:val="FootnoteReference"/>
          <w:rFonts w:ascii="Century Gothic" w:hAnsi="Century Gothic"/>
          <w:sz w:val="16"/>
        </w:rPr>
        <w:footnoteRef/>
      </w:r>
      <w:r>
        <w:rPr>
          <w:rFonts w:ascii="Century Gothic" w:hAnsi="Century Gothic"/>
          <w:sz w:val="16"/>
        </w:rPr>
        <w:t xml:space="preserve"> Ernst &amp; Young Baltic UAB, Evaluation of the Impact of the European Union's Support on the Lithuanian Tourism Sector and Development Opportunities, 2013.</w:t>
      </w:r>
    </w:p>
  </w:footnote>
  <w:footnote w:id="15">
    <w:p w:rsidR="008B60C2" w:rsidRPr="00023831" w:rsidRDefault="008B60C2" w:rsidP="002A69BD">
      <w:pPr>
        <w:pStyle w:val="FootnoteText"/>
        <w:ind w:right="-2"/>
        <w:jc w:val="both"/>
        <w:rPr>
          <w:rFonts w:ascii="Century Gothic" w:hAnsi="Century Gothic"/>
          <w:sz w:val="16"/>
          <w:szCs w:val="16"/>
        </w:rPr>
      </w:pPr>
      <w:r>
        <w:rPr>
          <w:rFonts w:ascii="Century Gothic" w:hAnsi="Century Gothic"/>
          <w:sz w:val="16"/>
        </w:rPr>
        <w:footnoteRef/>
      </w:r>
      <w:r>
        <w:rPr>
          <w:rFonts w:ascii="Century Gothic" w:hAnsi="Century Gothic"/>
          <w:sz w:val="16"/>
        </w:rPr>
        <w:t xml:space="preserve"> ESTEP Vilnius UAB, Evaluation of the Impact of EU Structural Assistance 2007–2013 on Culture, 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71111"/>
    <w:multiLevelType w:val="hybridMultilevel"/>
    <w:tmpl w:val="FBB058AE"/>
    <w:lvl w:ilvl="0" w:tplc="5B4E482A">
      <w:start w:val="1"/>
      <w:numFmt w:val="bullet"/>
      <w:lvlText w:val=""/>
      <w:lvlJc w:val="left"/>
      <w:pPr>
        <w:ind w:left="360" w:hanging="360"/>
      </w:pPr>
      <w:rPr>
        <w:rFonts w:ascii="Wingdings" w:hAnsi="Wingdings" w:hint="default"/>
        <w:color w:val="808080" w:themeColor="background1" w:themeShade="8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
    <w:nsid w:val="0AB60A80"/>
    <w:multiLevelType w:val="hybridMultilevel"/>
    <w:tmpl w:val="21D430C8"/>
    <w:lvl w:ilvl="0" w:tplc="5B4E482A">
      <w:start w:val="1"/>
      <w:numFmt w:val="bullet"/>
      <w:lvlText w:val=""/>
      <w:lvlJc w:val="left"/>
      <w:pPr>
        <w:ind w:left="360" w:hanging="360"/>
      </w:pPr>
      <w:rPr>
        <w:rFonts w:ascii="Wingdings" w:hAnsi="Wingdings" w:hint="default"/>
        <w:color w:val="808080" w:themeColor="background1" w:themeShade="8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
    <w:nsid w:val="0B167078"/>
    <w:multiLevelType w:val="hybridMultilevel"/>
    <w:tmpl w:val="15CA24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0ECC533A"/>
    <w:multiLevelType w:val="hybridMultilevel"/>
    <w:tmpl w:val="42588822"/>
    <w:lvl w:ilvl="0" w:tplc="5B4E482A">
      <w:start w:val="1"/>
      <w:numFmt w:val="bullet"/>
      <w:lvlText w:val=""/>
      <w:lvlJc w:val="left"/>
      <w:pPr>
        <w:tabs>
          <w:tab w:val="num" w:pos="360"/>
        </w:tabs>
        <w:ind w:left="360" w:hanging="360"/>
      </w:pPr>
      <w:rPr>
        <w:rFonts w:ascii="Wingdings" w:hAnsi="Wingdings" w:hint="default"/>
        <w:color w:val="808080" w:themeColor="background1" w:themeShade="80"/>
      </w:rPr>
    </w:lvl>
    <w:lvl w:ilvl="1" w:tplc="A460A938" w:tentative="1">
      <w:start w:val="1"/>
      <w:numFmt w:val="bullet"/>
      <w:lvlText w:val="•"/>
      <w:lvlJc w:val="left"/>
      <w:pPr>
        <w:tabs>
          <w:tab w:val="num" w:pos="1080"/>
        </w:tabs>
        <w:ind w:left="1080" w:hanging="360"/>
      </w:pPr>
      <w:rPr>
        <w:rFonts w:ascii="Arial" w:hAnsi="Arial" w:hint="default"/>
      </w:rPr>
    </w:lvl>
    <w:lvl w:ilvl="2" w:tplc="3E92F85E" w:tentative="1">
      <w:start w:val="1"/>
      <w:numFmt w:val="bullet"/>
      <w:lvlText w:val="•"/>
      <w:lvlJc w:val="left"/>
      <w:pPr>
        <w:tabs>
          <w:tab w:val="num" w:pos="1800"/>
        </w:tabs>
        <w:ind w:left="1800" w:hanging="360"/>
      </w:pPr>
      <w:rPr>
        <w:rFonts w:ascii="Arial" w:hAnsi="Arial" w:hint="default"/>
      </w:rPr>
    </w:lvl>
    <w:lvl w:ilvl="3" w:tplc="E2521310" w:tentative="1">
      <w:start w:val="1"/>
      <w:numFmt w:val="bullet"/>
      <w:lvlText w:val="•"/>
      <w:lvlJc w:val="left"/>
      <w:pPr>
        <w:tabs>
          <w:tab w:val="num" w:pos="2520"/>
        </w:tabs>
        <w:ind w:left="2520" w:hanging="360"/>
      </w:pPr>
      <w:rPr>
        <w:rFonts w:ascii="Arial" w:hAnsi="Arial" w:hint="default"/>
      </w:rPr>
    </w:lvl>
    <w:lvl w:ilvl="4" w:tplc="9FBA1454" w:tentative="1">
      <w:start w:val="1"/>
      <w:numFmt w:val="bullet"/>
      <w:lvlText w:val="•"/>
      <w:lvlJc w:val="left"/>
      <w:pPr>
        <w:tabs>
          <w:tab w:val="num" w:pos="3240"/>
        </w:tabs>
        <w:ind w:left="3240" w:hanging="360"/>
      </w:pPr>
      <w:rPr>
        <w:rFonts w:ascii="Arial" w:hAnsi="Arial" w:hint="default"/>
      </w:rPr>
    </w:lvl>
    <w:lvl w:ilvl="5" w:tplc="27A41C8C" w:tentative="1">
      <w:start w:val="1"/>
      <w:numFmt w:val="bullet"/>
      <w:lvlText w:val="•"/>
      <w:lvlJc w:val="left"/>
      <w:pPr>
        <w:tabs>
          <w:tab w:val="num" w:pos="3960"/>
        </w:tabs>
        <w:ind w:left="3960" w:hanging="360"/>
      </w:pPr>
      <w:rPr>
        <w:rFonts w:ascii="Arial" w:hAnsi="Arial" w:hint="default"/>
      </w:rPr>
    </w:lvl>
    <w:lvl w:ilvl="6" w:tplc="8014FDC2" w:tentative="1">
      <w:start w:val="1"/>
      <w:numFmt w:val="bullet"/>
      <w:lvlText w:val="•"/>
      <w:lvlJc w:val="left"/>
      <w:pPr>
        <w:tabs>
          <w:tab w:val="num" w:pos="4680"/>
        </w:tabs>
        <w:ind w:left="4680" w:hanging="360"/>
      </w:pPr>
      <w:rPr>
        <w:rFonts w:ascii="Arial" w:hAnsi="Arial" w:hint="default"/>
      </w:rPr>
    </w:lvl>
    <w:lvl w:ilvl="7" w:tplc="AF08630A" w:tentative="1">
      <w:start w:val="1"/>
      <w:numFmt w:val="bullet"/>
      <w:lvlText w:val="•"/>
      <w:lvlJc w:val="left"/>
      <w:pPr>
        <w:tabs>
          <w:tab w:val="num" w:pos="5400"/>
        </w:tabs>
        <w:ind w:left="5400" w:hanging="360"/>
      </w:pPr>
      <w:rPr>
        <w:rFonts w:ascii="Arial" w:hAnsi="Arial" w:hint="default"/>
      </w:rPr>
    </w:lvl>
    <w:lvl w:ilvl="8" w:tplc="FA681F7A" w:tentative="1">
      <w:start w:val="1"/>
      <w:numFmt w:val="bullet"/>
      <w:lvlText w:val="•"/>
      <w:lvlJc w:val="left"/>
      <w:pPr>
        <w:tabs>
          <w:tab w:val="num" w:pos="6120"/>
        </w:tabs>
        <w:ind w:left="6120" w:hanging="360"/>
      </w:pPr>
      <w:rPr>
        <w:rFonts w:ascii="Arial" w:hAnsi="Arial" w:hint="default"/>
      </w:rPr>
    </w:lvl>
  </w:abstractNum>
  <w:abstractNum w:abstractNumId="4">
    <w:nsid w:val="185E077B"/>
    <w:multiLevelType w:val="hybridMultilevel"/>
    <w:tmpl w:val="4952634C"/>
    <w:lvl w:ilvl="0" w:tplc="5B4E482A">
      <w:start w:val="1"/>
      <w:numFmt w:val="bullet"/>
      <w:lvlText w:val=""/>
      <w:lvlJc w:val="left"/>
      <w:pPr>
        <w:tabs>
          <w:tab w:val="num" w:pos="360"/>
        </w:tabs>
        <w:ind w:left="360" w:hanging="360"/>
      </w:pPr>
      <w:rPr>
        <w:rFonts w:ascii="Wingdings" w:hAnsi="Wingdings" w:hint="default"/>
        <w:color w:val="808080" w:themeColor="background1" w:themeShade="80"/>
      </w:rPr>
    </w:lvl>
    <w:lvl w:ilvl="1" w:tplc="C7988F6E">
      <w:start w:val="1"/>
      <w:numFmt w:val="bullet"/>
      <w:lvlText w:val="•"/>
      <w:lvlJc w:val="left"/>
      <w:pPr>
        <w:tabs>
          <w:tab w:val="num" w:pos="1080"/>
        </w:tabs>
        <w:ind w:left="1080" w:hanging="360"/>
      </w:pPr>
      <w:rPr>
        <w:rFonts w:ascii="Arial" w:hAnsi="Arial" w:hint="default"/>
      </w:rPr>
    </w:lvl>
    <w:lvl w:ilvl="2" w:tplc="07E65F68" w:tentative="1">
      <w:start w:val="1"/>
      <w:numFmt w:val="bullet"/>
      <w:lvlText w:val="•"/>
      <w:lvlJc w:val="left"/>
      <w:pPr>
        <w:tabs>
          <w:tab w:val="num" w:pos="1800"/>
        </w:tabs>
        <w:ind w:left="1800" w:hanging="360"/>
      </w:pPr>
      <w:rPr>
        <w:rFonts w:ascii="Arial" w:hAnsi="Arial" w:hint="default"/>
      </w:rPr>
    </w:lvl>
    <w:lvl w:ilvl="3" w:tplc="6F709098" w:tentative="1">
      <w:start w:val="1"/>
      <w:numFmt w:val="bullet"/>
      <w:lvlText w:val="•"/>
      <w:lvlJc w:val="left"/>
      <w:pPr>
        <w:tabs>
          <w:tab w:val="num" w:pos="2520"/>
        </w:tabs>
        <w:ind w:left="2520" w:hanging="360"/>
      </w:pPr>
      <w:rPr>
        <w:rFonts w:ascii="Arial" w:hAnsi="Arial" w:hint="default"/>
      </w:rPr>
    </w:lvl>
    <w:lvl w:ilvl="4" w:tplc="984E8038" w:tentative="1">
      <w:start w:val="1"/>
      <w:numFmt w:val="bullet"/>
      <w:lvlText w:val="•"/>
      <w:lvlJc w:val="left"/>
      <w:pPr>
        <w:tabs>
          <w:tab w:val="num" w:pos="3240"/>
        </w:tabs>
        <w:ind w:left="3240" w:hanging="360"/>
      </w:pPr>
      <w:rPr>
        <w:rFonts w:ascii="Arial" w:hAnsi="Arial" w:hint="default"/>
      </w:rPr>
    </w:lvl>
    <w:lvl w:ilvl="5" w:tplc="6BC6EF20" w:tentative="1">
      <w:start w:val="1"/>
      <w:numFmt w:val="bullet"/>
      <w:lvlText w:val="•"/>
      <w:lvlJc w:val="left"/>
      <w:pPr>
        <w:tabs>
          <w:tab w:val="num" w:pos="3960"/>
        </w:tabs>
        <w:ind w:left="3960" w:hanging="360"/>
      </w:pPr>
      <w:rPr>
        <w:rFonts w:ascii="Arial" w:hAnsi="Arial" w:hint="default"/>
      </w:rPr>
    </w:lvl>
    <w:lvl w:ilvl="6" w:tplc="4516D35E" w:tentative="1">
      <w:start w:val="1"/>
      <w:numFmt w:val="bullet"/>
      <w:lvlText w:val="•"/>
      <w:lvlJc w:val="left"/>
      <w:pPr>
        <w:tabs>
          <w:tab w:val="num" w:pos="4680"/>
        </w:tabs>
        <w:ind w:left="4680" w:hanging="360"/>
      </w:pPr>
      <w:rPr>
        <w:rFonts w:ascii="Arial" w:hAnsi="Arial" w:hint="default"/>
      </w:rPr>
    </w:lvl>
    <w:lvl w:ilvl="7" w:tplc="4BAC6A66" w:tentative="1">
      <w:start w:val="1"/>
      <w:numFmt w:val="bullet"/>
      <w:lvlText w:val="•"/>
      <w:lvlJc w:val="left"/>
      <w:pPr>
        <w:tabs>
          <w:tab w:val="num" w:pos="5400"/>
        </w:tabs>
        <w:ind w:left="5400" w:hanging="360"/>
      </w:pPr>
      <w:rPr>
        <w:rFonts w:ascii="Arial" w:hAnsi="Arial" w:hint="default"/>
      </w:rPr>
    </w:lvl>
    <w:lvl w:ilvl="8" w:tplc="570E382C" w:tentative="1">
      <w:start w:val="1"/>
      <w:numFmt w:val="bullet"/>
      <w:lvlText w:val="•"/>
      <w:lvlJc w:val="left"/>
      <w:pPr>
        <w:tabs>
          <w:tab w:val="num" w:pos="6120"/>
        </w:tabs>
        <w:ind w:left="6120" w:hanging="360"/>
      </w:pPr>
      <w:rPr>
        <w:rFonts w:ascii="Arial" w:hAnsi="Arial" w:hint="default"/>
      </w:rPr>
    </w:lvl>
  </w:abstractNum>
  <w:abstractNum w:abstractNumId="5">
    <w:nsid w:val="19A61B5C"/>
    <w:multiLevelType w:val="hybridMultilevel"/>
    <w:tmpl w:val="8E560D28"/>
    <w:lvl w:ilvl="0" w:tplc="5B4E482A">
      <w:start w:val="1"/>
      <w:numFmt w:val="bullet"/>
      <w:lvlText w:val=""/>
      <w:lvlJc w:val="left"/>
      <w:pPr>
        <w:ind w:left="720" w:hanging="360"/>
      </w:pPr>
      <w:rPr>
        <w:rFonts w:ascii="Wingdings" w:hAnsi="Wingdings" w:hint="default"/>
        <w:color w:val="808080" w:themeColor="background1" w:themeShade="8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240B7D72"/>
    <w:multiLevelType w:val="hybridMultilevel"/>
    <w:tmpl w:val="B1CC8974"/>
    <w:lvl w:ilvl="0" w:tplc="5B4E482A">
      <w:start w:val="1"/>
      <w:numFmt w:val="bullet"/>
      <w:lvlText w:val=""/>
      <w:lvlJc w:val="left"/>
      <w:pPr>
        <w:tabs>
          <w:tab w:val="num" w:pos="360"/>
        </w:tabs>
        <w:ind w:left="360" w:hanging="360"/>
      </w:pPr>
      <w:rPr>
        <w:rFonts w:ascii="Wingdings" w:hAnsi="Wingdings" w:hint="default"/>
        <w:color w:val="808080" w:themeColor="background1" w:themeShade="80"/>
      </w:rPr>
    </w:lvl>
    <w:lvl w:ilvl="1" w:tplc="E7B007E4" w:tentative="1">
      <w:start w:val="1"/>
      <w:numFmt w:val="bullet"/>
      <w:lvlText w:val="•"/>
      <w:lvlJc w:val="left"/>
      <w:pPr>
        <w:tabs>
          <w:tab w:val="num" w:pos="1080"/>
        </w:tabs>
        <w:ind w:left="1080" w:hanging="360"/>
      </w:pPr>
      <w:rPr>
        <w:rFonts w:ascii="Arial" w:hAnsi="Arial" w:hint="default"/>
      </w:rPr>
    </w:lvl>
    <w:lvl w:ilvl="2" w:tplc="07267A3E" w:tentative="1">
      <w:start w:val="1"/>
      <w:numFmt w:val="bullet"/>
      <w:lvlText w:val="•"/>
      <w:lvlJc w:val="left"/>
      <w:pPr>
        <w:tabs>
          <w:tab w:val="num" w:pos="1800"/>
        </w:tabs>
        <w:ind w:left="1800" w:hanging="360"/>
      </w:pPr>
      <w:rPr>
        <w:rFonts w:ascii="Arial" w:hAnsi="Arial" w:hint="default"/>
      </w:rPr>
    </w:lvl>
    <w:lvl w:ilvl="3" w:tplc="257C6F1A" w:tentative="1">
      <w:start w:val="1"/>
      <w:numFmt w:val="bullet"/>
      <w:lvlText w:val="•"/>
      <w:lvlJc w:val="left"/>
      <w:pPr>
        <w:tabs>
          <w:tab w:val="num" w:pos="2520"/>
        </w:tabs>
        <w:ind w:left="2520" w:hanging="360"/>
      </w:pPr>
      <w:rPr>
        <w:rFonts w:ascii="Arial" w:hAnsi="Arial" w:hint="default"/>
      </w:rPr>
    </w:lvl>
    <w:lvl w:ilvl="4" w:tplc="D30E7F26" w:tentative="1">
      <w:start w:val="1"/>
      <w:numFmt w:val="bullet"/>
      <w:lvlText w:val="•"/>
      <w:lvlJc w:val="left"/>
      <w:pPr>
        <w:tabs>
          <w:tab w:val="num" w:pos="3240"/>
        </w:tabs>
        <w:ind w:left="3240" w:hanging="360"/>
      </w:pPr>
      <w:rPr>
        <w:rFonts w:ascii="Arial" w:hAnsi="Arial" w:hint="default"/>
      </w:rPr>
    </w:lvl>
    <w:lvl w:ilvl="5" w:tplc="5F743ADA" w:tentative="1">
      <w:start w:val="1"/>
      <w:numFmt w:val="bullet"/>
      <w:lvlText w:val="•"/>
      <w:lvlJc w:val="left"/>
      <w:pPr>
        <w:tabs>
          <w:tab w:val="num" w:pos="3960"/>
        </w:tabs>
        <w:ind w:left="3960" w:hanging="360"/>
      </w:pPr>
      <w:rPr>
        <w:rFonts w:ascii="Arial" w:hAnsi="Arial" w:hint="default"/>
      </w:rPr>
    </w:lvl>
    <w:lvl w:ilvl="6" w:tplc="1452E01C" w:tentative="1">
      <w:start w:val="1"/>
      <w:numFmt w:val="bullet"/>
      <w:lvlText w:val="•"/>
      <w:lvlJc w:val="left"/>
      <w:pPr>
        <w:tabs>
          <w:tab w:val="num" w:pos="4680"/>
        </w:tabs>
        <w:ind w:left="4680" w:hanging="360"/>
      </w:pPr>
      <w:rPr>
        <w:rFonts w:ascii="Arial" w:hAnsi="Arial" w:hint="default"/>
      </w:rPr>
    </w:lvl>
    <w:lvl w:ilvl="7" w:tplc="2402DA44" w:tentative="1">
      <w:start w:val="1"/>
      <w:numFmt w:val="bullet"/>
      <w:lvlText w:val="•"/>
      <w:lvlJc w:val="left"/>
      <w:pPr>
        <w:tabs>
          <w:tab w:val="num" w:pos="5400"/>
        </w:tabs>
        <w:ind w:left="5400" w:hanging="360"/>
      </w:pPr>
      <w:rPr>
        <w:rFonts w:ascii="Arial" w:hAnsi="Arial" w:hint="default"/>
      </w:rPr>
    </w:lvl>
    <w:lvl w:ilvl="8" w:tplc="F58ECA3A" w:tentative="1">
      <w:start w:val="1"/>
      <w:numFmt w:val="bullet"/>
      <w:lvlText w:val="•"/>
      <w:lvlJc w:val="left"/>
      <w:pPr>
        <w:tabs>
          <w:tab w:val="num" w:pos="6120"/>
        </w:tabs>
        <w:ind w:left="6120" w:hanging="360"/>
      </w:pPr>
      <w:rPr>
        <w:rFonts w:ascii="Arial" w:hAnsi="Arial" w:hint="default"/>
      </w:rPr>
    </w:lvl>
  </w:abstractNum>
  <w:abstractNum w:abstractNumId="7">
    <w:nsid w:val="2DE27CC1"/>
    <w:multiLevelType w:val="hybridMultilevel"/>
    <w:tmpl w:val="723010F0"/>
    <w:lvl w:ilvl="0" w:tplc="5B4E482A">
      <w:start w:val="1"/>
      <w:numFmt w:val="bullet"/>
      <w:lvlText w:val=""/>
      <w:lvlJc w:val="left"/>
      <w:pPr>
        <w:ind w:left="1571" w:hanging="360"/>
      </w:pPr>
      <w:rPr>
        <w:rFonts w:ascii="Wingdings" w:hAnsi="Wingdings" w:hint="default"/>
        <w:color w:val="808080" w:themeColor="background1" w:themeShade="8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2FD13031"/>
    <w:multiLevelType w:val="hybridMultilevel"/>
    <w:tmpl w:val="EBA25C66"/>
    <w:lvl w:ilvl="0" w:tplc="5B4E482A">
      <w:start w:val="1"/>
      <w:numFmt w:val="bullet"/>
      <w:lvlText w:val=""/>
      <w:lvlJc w:val="left"/>
      <w:pPr>
        <w:ind w:left="360" w:hanging="360"/>
      </w:pPr>
      <w:rPr>
        <w:rFonts w:ascii="Wingdings" w:hAnsi="Wingdings" w:hint="default"/>
        <w:color w:val="808080" w:themeColor="background1" w:themeShade="8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
    <w:nsid w:val="43FD730E"/>
    <w:multiLevelType w:val="hybridMultilevel"/>
    <w:tmpl w:val="D638A24A"/>
    <w:lvl w:ilvl="0" w:tplc="5B4E482A">
      <w:start w:val="1"/>
      <w:numFmt w:val="bullet"/>
      <w:lvlText w:val=""/>
      <w:lvlJc w:val="left"/>
      <w:pPr>
        <w:ind w:left="1571" w:hanging="360"/>
      </w:pPr>
      <w:rPr>
        <w:rFonts w:ascii="Wingdings" w:hAnsi="Wingdings" w:hint="default"/>
        <w:color w:val="808080" w:themeColor="background1" w:themeShade="80"/>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0">
    <w:nsid w:val="49BC7E6E"/>
    <w:multiLevelType w:val="hybridMultilevel"/>
    <w:tmpl w:val="0EA66D78"/>
    <w:lvl w:ilvl="0" w:tplc="5B4E482A">
      <w:start w:val="1"/>
      <w:numFmt w:val="bullet"/>
      <w:lvlText w:val=""/>
      <w:lvlJc w:val="left"/>
      <w:pPr>
        <w:ind w:left="360" w:hanging="360"/>
      </w:pPr>
      <w:rPr>
        <w:rFonts w:ascii="Wingdings" w:hAnsi="Wingdings" w:hint="default"/>
        <w:color w:val="808080" w:themeColor="background1" w:themeShade="8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1">
    <w:nsid w:val="51405116"/>
    <w:multiLevelType w:val="hybridMultilevel"/>
    <w:tmpl w:val="F14472DE"/>
    <w:lvl w:ilvl="0" w:tplc="5B4E482A">
      <w:start w:val="1"/>
      <w:numFmt w:val="bullet"/>
      <w:lvlText w:val=""/>
      <w:lvlJc w:val="left"/>
      <w:pPr>
        <w:ind w:left="360" w:hanging="360"/>
      </w:pPr>
      <w:rPr>
        <w:rFonts w:ascii="Wingdings" w:hAnsi="Wingdings" w:hint="default"/>
        <w:color w:val="808080" w:themeColor="background1" w:themeShade="8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2">
    <w:nsid w:val="53A65F8F"/>
    <w:multiLevelType w:val="hybridMultilevel"/>
    <w:tmpl w:val="9664F38C"/>
    <w:lvl w:ilvl="0" w:tplc="5B4E482A">
      <w:start w:val="1"/>
      <w:numFmt w:val="bullet"/>
      <w:lvlText w:val=""/>
      <w:lvlJc w:val="left"/>
      <w:pPr>
        <w:ind w:left="1997" w:hanging="360"/>
      </w:pPr>
      <w:rPr>
        <w:rFonts w:ascii="Wingdings" w:hAnsi="Wingdings" w:hint="default"/>
        <w:color w:val="808080" w:themeColor="background1" w:themeShade="80"/>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3">
    <w:nsid w:val="55393137"/>
    <w:multiLevelType w:val="hybridMultilevel"/>
    <w:tmpl w:val="DB4211C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5EA652D2"/>
    <w:multiLevelType w:val="hybridMultilevel"/>
    <w:tmpl w:val="2E9C714E"/>
    <w:lvl w:ilvl="0" w:tplc="5B4E482A">
      <w:start w:val="1"/>
      <w:numFmt w:val="bullet"/>
      <w:lvlText w:val=""/>
      <w:lvlJc w:val="left"/>
      <w:pPr>
        <w:ind w:left="720" w:hanging="360"/>
      </w:pPr>
      <w:rPr>
        <w:rFonts w:ascii="Wingdings" w:hAnsi="Wingdings" w:hint="default"/>
        <w:color w:val="808080" w:themeColor="background1" w:themeShade="8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695778AE"/>
    <w:multiLevelType w:val="hybridMultilevel"/>
    <w:tmpl w:val="13086770"/>
    <w:lvl w:ilvl="0" w:tplc="5B4E482A">
      <w:start w:val="1"/>
      <w:numFmt w:val="bullet"/>
      <w:lvlText w:val=""/>
      <w:lvlJc w:val="left"/>
      <w:pPr>
        <w:ind w:left="360" w:hanging="360"/>
      </w:pPr>
      <w:rPr>
        <w:rFonts w:ascii="Wingdings" w:hAnsi="Wingdings" w:hint="default"/>
        <w:color w:val="808080" w:themeColor="background1" w:themeShade="80"/>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6">
    <w:nsid w:val="763404FD"/>
    <w:multiLevelType w:val="hybridMultilevel"/>
    <w:tmpl w:val="0D2CBEC8"/>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785C2DC0"/>
    <w:multiLevelType w:val="hybridMultilevel"/>
    <w:tmpl w:val="87706CFC"/>
    <w:lvl w:ilvl="0" w:tplc="66682E7A">
      <w:start w:val="16"/>
      <w:numFmt w:val="bullet"/>
      <w:lvlText w:val="-"/>
      <w:lvlJc w:val="left"/>
      <w:pPr>
        <w:ind w:left="720" w:hanging="360"/>
      </w:pPr>
      <w:rPr>
        <w:rFonts w:ascii="Century Gothic" w:eastAsia="Calibri" w:hAnsi="Century Gothic"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7C7612F2"/>
    <w:multiLevelType w:val="hybridMultilevel"/>
    <w:tmpl w:val="EDEE8074"/>
    <w:lvl w:ilvl="0" w:tplc="5B4E482A">
      <w:start w:val="1"/>
      <w:numFmt w:val="bullet"/>
      <w:lvlText w:val=""/>
      <w:lvlJc w:val="left"/>
      <w:pPr>
        <w:ind w:left="360" w:hanging="360"/>
      </w:pPr>
      <w:rPr>
        <w:rFonts w:ascii="Wingdings" w:hAnsi="Wingdings" w:hint="default"/>
        <w:color w:val="808080" w:themeColor="background1" w:themeShade="8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9">
    <w:nsid w:val="7F163766"/>
    <w:multiLevelType w:val="hybridMultilevel"/>
    <w:tmpl w:val="00F8A96A"/>
    <w:lvl w:ilvl="0" w:tplc="5B4E482A">
      <w:start w:val="1"/>
      <w:numFmt w:val="bullet"/>
      <w:lvlText w:val=""/>
      <w:lvlJc w:val="left"/>
      <w:pPr>
        <w:ind w:left="360" w:hanging="360"/>
      </w:pPr>
      <w:rPr>
        <w:rFonts w:ascii="Wingdings" w:hAnsi="Wingdings" w:hint="default"/>
        <w:color w:val="808080" w:themeColor="background1" w:themeShade="8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num w:numId="1">
    <w:abstractNumId w:val="17"/>
  </w:num>
  <w:num w:numId="2">
    <w:abstractNumId w:val="2"/>
  </w:num>
  <w:num w:numId="3">
    <w:abstractNumId w:val="13"/>
  </w:num>
  <w:num w:numId="4">
    <w:abstractNumId w:val="1"/>
  </w:num>
  <w:num w:numId="5">
    <w:abstractNumId w:val="19"/>
  </w:num>
  <w:num w:numId="6">
    <w:abstractNumId w:val="0"/>
  </w:num>
  <w:num w:numId="7">
    <w:abstractNumId w:val="18"/>
  </w:num>
  <w:num w:numId="8">
    <w:abstractNumId w:val="9"/>
  </w:num>
  <w:num w:numId="9">
    <w:abstractNumId w:val="7"/>
  </w:num>
  <w:num w:numId="10">
    <w:abstractNumId w:val="12"/>
  </w:num>
  <w:num w:numId="11">
    <w:abstractNumId w:val="11"/>
  </w:num>
  <w:num w:numId="12">
    <w:abstractNumId w:val="8"/>
  </w:num>
  <w:num w:numId="13">
    <w:abstractNumId w:val="6"/>
  </w:num>
  <w:num w:numId="14">
    <w:abstractNumId w:val="3"/>
  </w:num>
  <w:num w:numId="15">
    <w:abstractNumId w:val="15"/>
  </w:num>
  <w:num w:numId="16">
    <w:abstractNumId w:val="4"/>
  </w:num>
  <w:num w:numId="17">
    <w:abstractNumId w:val="10"/>
  </w:num>
  <w:num w:numId="18">
    <w:abstractNumId w:val="5"/>
  </w:num>
  <w:num w:numId="19">
    <w:abstractNumId w:val="1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activeWritingStyle w:appName="MSWord" w:lang="lt-LT" w:vendorID="71" w:dllVersion="512" w:checkStyle="1"/>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3A6"/>
    <w:rsid w:val="00002ABA"/>
    <w:rsid w:val="00004FAB"/>
    <w:rsid w:val="000079AD"/>
    <w:rsid w:val="000144DD"/>
    <w:rsid w:val="000213AE"/>
    <w:rsid w:val="000220D6"/>
    <w:rsid w:val="00067378"/>
    <w:rsid w:val="00070FDA"/>
    <w:rsid w:val="000846FD"/>
    <w:rsid w:val="00085D1D"/>
    <w:rsid w:val="000B0561"/>
    <w:rsid w:val="001132D6"/>
    <w:rsid w:val="00144B11"/>
    <w:rsid w:val="00145EF7"/>
    <w:rsid w:val="00151223"/>
    <w:rsid w:val="00154230"/>
    <w:rsid w:val="00173240"/>
    <w:rsid w:val="00175A20"/>
    <w:rsid w:val="001B20D8"/>
    <w:rsid w:val="001B2B53"/>
    <w:rsid w:val="001D1353"/>
    <w:rsid w:val="001E0A5A"/>
    <w:rsid w:val="001E2F11"/>
    <w:rsid w:val="001F29CB"/>
    <w:rsid w:val="00202BB6"/>
    <w:rsid w:val="00203D21"/>
    <w:rsid w:val="00225221"/>
    <w:rsid w:val="0023046A"/>
    <w:rsid w:val="00232F47"/>
    <w:rsid w:val="00250053"/>
    <w:rsid w:val="002508BF"/>
    <w:rsid w:val="002657B6"/>
    <w:rsid w:val="00270AF7"/>
    <w:rsid w:val="00290B59"/>
    <w:rsid w:val="002A69BD"/>
    <w:rsid w:val="002D0F3F"/>
    <w:rsid w:val="002E5907"/>
    <w:rsid w:val="002F538B"/>
    <w:rsid w:val="003117F5"/>
    <w:rsid w:val="00326900"/>
    <w:rsid w:val="003316D5"/>
    <w:rsid w:val="00335997"/>
    <w:rsid w:val="00344064"/>
    <w:rsid w:val="003447A9"/>
    <w:rsid w:val="00344B7E"/>
    <w:rsid w:val="00345796"/>
    <w:rsid w:val="003637DF"/>
    <w:rsid w:val="00364A95"/>
    <w:rsid w:val="00365A60"/>
    <w:rsid w:val="003866EC"/>
    <w:rsid w:val="003D1B60"/>
    <w:rsid w:val="003F43A6"/>
    <w:rsid w:val="00404AC9"/>
    <w:rsid w:val="00410908"/>
    <w:rsid w:val="004113BA"/>
    <w:rsid w:val="00431D9F"/>
    <w:rsid w:val="00442ED3"/>
    <w:rsid w:val="004501C6"/>
    <w:rsid w:val="00451413"/>
    <w:rsid w:val="00452A39"/>
    <w:rsid w:val="004723BB"/>
    <w:rsid w:val="00481E72"/>
    <w:rsid w:val="00484470"/>
    <w:rsid w:val="004A64AC"/>
    <w:rsid w:val="004C4CFD"/>
    <w:rsid w:val="004F113A"/>
    <w:rsid w:val="004F498B"/>
    <w:rsid w:val="00514F36"/>
    <w:rsid w:val="00527CB3"/>
    <w:rsid w:val="005347FA"/>
    <w:rsid w:val="00551DA6"/>
    <w:rsid w:val="00566A54"/>
    <w:rsid w:val="005753C3"/>
    <w:rsid w:val="005919F3"/>
    <w:rsid w:val="00592B34"/>
    <w:rsid w:val="005B03E8"/>
    <w:rsid w:val="005E35DE"/>
    <w:rsid w:val="00613A1D"/>
    <w:rsid w:val="0063568A"/>
    <w:rsid w:val="0064604B"/>
    <w:rsid w:val="00651A0B"/>
    <w:rsid w:val="00692FDC"/>
    <w:rsid w:val="00695BE0"/>
    <w:rsid w:val="006B04DC"/>
    <w:rsid w:val="006B59DB"/>
    <w:rsid w:val="006B675F"/>
    <w:rsid w:val="006F0591"/>
    <w:rsid w:val="00733E8C"/>
    <w:rsid w:val="00737C73"/>
    <w:rsid w:val="0074012F"/>
    <w:rsid w:val="00752BA3"/>
    <w:rsid w:val="007659C4"/>
    <w:rsid w:val="0077176D"/>
    <w:rsid w:val="007A3A8E"/>
    <w:rsid w:val="007A419D"/>
    <w:rsid w:val="007B618A"/>
    <w:rsid w:val="007D5299"/>
    <w:rsid w:val="007D5D46"/>
    <w:rsid w:val="0082098C"/>
    <w:rsid w:val="00842D13"/>
    <w:rsid w:val="008568EA"/>
    <w:rsid w:val="00857DE1"/>
    <w:rsid w:val="00865BDC"/>
    <w:rsid w:val="00866C98"/>
    <w:rsid w:val="008771D4"/>
    <w:rsid w:val="00880C6E"/>
    <w:rsid w:val="00890BB7"/>
    <w:rsid w:val="008A1CA2"/>
    <w:rsid w:val="008B60C2"/>
    <w:rsid w:val="008D0EB7"/>
    <w:rsid w:val="008D74D5"/>
    <w:rsid w:val="008E079C"/>
    <w:rsid w:val="00914DD8"/>
    <w:rsid w:val="009256E2"/>
    <w:rsid w:val="00965697"/>
    <w:rsid w:val="00981DE0"/>
    <w:rsid w:val="009859D6"/>
    <w:rsid w:val="009D1F6B"/>
    <w:rsid w:val="009F7847"/>
    <w:rsid w:val="00A07DCD"/>
    <w:rsid w:val="00A13079"/>
    <w:rsid w:val="00A15EAA"/>
    <w:rsid w:val="00A214E2"/>
    <w:rsid w:val="00A444F7"/>
    <w:rsid w:val="00A53399"/>
    <w:rsid w:val="00A56784"/>
    <w:rsid w:val="00AA23C8"/>
    <w:rsid w:val="00AA49EF"/>
    <w:rsid w:val="00AB1465"/>
    <w:rsid w:val="00AC1772"/>
    <w:rsid w:val="00AC5A54"/>
    <w:rsid w:val="00AD713A"/>
    <w:rsid w:val="00B156E7"/>
    <w:rsid w:val="00B31E5A"/>
    <w:rsid w:val="00B40C0A"/>
    <w:rsid w:val="00B43E77"/>
    <w:rsid w:val="00B45B39"/>
    <w:rsid w:val="00B51094"/>
    <w:rsid w:val="00B63A61"/>
    <w:rsid w:val="00B6608C"/>
    <w:rsid w:val="00B76DF4"/>
    <w:rsid w:val="00B84E7F"/>
    <w:rsid w:val="00B95547"/>
    <w:rsid w:val="00BA49A7"/>
    <w:rsid w:val="00BA6BB8"/>
    <w:rsid w:val="00BB1BD1"/>
    <w:rsid w:val="00BB1D2D"/>
    <w:rsid w:val="00BB4C0C"/>
    <w:rsid w:val="00BB7FCD"/>
    <w:rsid w:val="00BD0C7D"/>
    <w:rsid w:val="00BD1FC7"/>
    <w:rsid w:val="00BD3213"/>
    <w:rsid w:val="00BE210D"/>
    <w:rsid w:val="00BE26B5"/>
    <w:rsid w:val="00BE405F"/>
    <w:rsid w:val="00BE74F0"/>
    <w:rsid w:val="00BF156A"/>
    <w:rsid w:val="00C20E23"/>
    <w:rsid w:val="00C403FC"/>
    <w:rsid w:val="00C57A53"/>
    <w:rsid w:val="00C63AFA"/>
    <w:rsid w:val="00C6622D"/>
    <w:rsid w:val="00CA2D92"/>
    <w:rsid w:val="00CA6519"/>
    <w:rsid w:val="00CC5C1F"/>
    <w:rsid w:val="00CE38F7"/>
    <w:rsid w:val="00CE7127"/>
    <w:rsid w:val="00D013E6"/>
    <w:rsid w:val="00D03E7A"/>
    <w:rsid w:val="00D23A3B"/>
    <w:rsid w:val="00D52442"/>
    <w:rsid w:val="00D53288"/>
    <w:rsid w:val="00D6349F"/>
    <w:rsid w:val="00D7158F"/>
    <w:rsid w:val="00D7317A"/>
    <w:rsid w:val="00D74B07"/>
    <w:rsid w:val="00DB3E1E"/>
    <w:rsid w:val="00DB468A"/>
    <w:rsid w:val="00DC03AE"/>
    <w:rsid w:val="00DC7EA9"/>
    <w:rsid w:val="00DD5027"/>
    <w:rsid w:val="00E024E5"/>
    <w:rsid w:val="00E03923"/>
    <w:rsid w:val="00E90BFC"/>
    <w:rsid w:val="00EF1907"/>
    <w:rsid w:val="00F0029D"/>
    <w:rsid w:val="00F154F7"/>
    <w:rsid w:val="00F17CD4"/>
    <w:rsid w:val="00F21F86"/>
    <w:rsid w:val="00F35250"/>
    <w:rsid w:val="00F56101"/>
    <w:rsid w:val="00F664E6"/>
    <w:rsid w:val="00F84298"/>
    <w:rsid w:val="00F91D83"/>
    <w:rsid w:val="00F92A2D"/>
    <w:rsid w:val="00FD41C2"/>
    <w:rsid w:val="00FD76DE"/>
    <w:rsid w:val="00FE4540"/>
    <w:rsid w:val="00FE6D5B"/>
    <w:rsid w:val="00FE7C5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551251CC-D994-4328-9A96-555EA96B6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43A6"/>
    <w:pPr>
      <w:spacing w:after="0" w:line="240" w:lineRule="auto"/>
    </w:pPr>
    <w:rPr>
      <w:rFonts w:ascii="Calibri" w:hAnsi="Calibri" w:cs="Times New Roman"/>
    </w:rPr>
  </w:style>
  <w:style w:type="paragraph" w:styleId="Heading1">
    <w:name w:val="heading 1"/>
    <w:basedOn w:val="Normal"/>
    <w:next w:val="Normal"/>
    <w:link w:val="Heading1Char"/>
    <w:uiPriority w:val="99"/>
    <w:qFormat/>
    <w:rsid w:val="00EF1907"/>
    <w:pPr>
      <w:keepNext/>
      <w:keepLines/>
      <w:spacing w:before="480"/>
      <w:outlineLvl w:val="0"/>
    </w:pPr>
    <w:rPr>
      <w:rFonts w:eastAsia="Times New Roman"/>
      <w:b/>
      <w:bCs/>
      <w:smallCaps/>
      <w:color w:val="365F91"/>
      <w:sz w:val="28"/>
      <w:szCs w:val="28"/>
      <w:lang w:val="en-GB"/>
    </w:rPr>
  </w:style>
  <w:style w:type="paragraph" w:styleId="Heading2">
    <w:name w:val="heading 2"/>
    <w:basedOn w:val="Normal"/>
    <w:next w:val="Normal"/>
    <w:link w:val="Heading2Char"/>
    <w:uiPriority w:val="9"/>
    <w:unhideWhenUsed/>
    <w:qFormat/>
    <w:rsid w:val="006F0591"/>
    <w:pPr>
      <w:keepNext/>
      <w:keepLines/>
      <w:spacing w:before="200" w:after="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ntelspavadinimas">
    <w:name w:val="_Lentelės pavadinimas"/>
    <w:basedOn w:val="Caption"/>
    <w:qFormat/>
    <w:rsid w:val="00BD3213"/>
    <w:pPr>
      <w:keepNext/>
      <w:adjustRightInd w:val="0"/>
      <w:snapToGrid w:val="0"/>
      <w:jc w:val="both"/>
    </w:pPr>
    <w:rPr>
      <w:rFonts w:eastAsia="SimSun" w:cs="Arial"/>
      <w:bCs/>
      <w:i w:val="0"/>
      <w:iCs w:val="0"/>
      <w:color w:val="auto"/>
      <w:kern w:val="12"/>
      <w:szCs w:val="24"/>
      <w:lang w:val="en-US"/>
    </w:rPr>
  </w:style>
  <w:style w:type="paragraph" w:styleId="Caption">
    <w:name w:val="caption"/>
    <w:basedOn w:val="Normal"/>
    <w:next w:val="Normal"/>
    <w:uiPriority w:val="35"/>
    <w:semiHidden/>
    <w:unhideWhenUsed/>
    <w:qFormat/>
    <w:rsid w:val="00BD3213"/>
    <w:rPr>
      <w:i/>
      <w:iCs/>
      <w:color w:val="44546A" w:themeColor="text2"/>
      <w:sz w:val="18"/>
      <w:szCs w:val="18"/>
    </w:rPr>
  </w:style>
  <w:style w:type="character" w:customStyle="1" w:styleId="Heading1Char">
    <w:name w:val="Heading 1 Char"/>
    <w:basedOn w:val="DefaultParagraphFont"/>
    <w:link w:val="Heading1"/>
    <w:uiPriority w:val="99"/>
    <w:rsid w:val="00EF1907"/>
    <w:rPr>
      <w:rFonts w:ascii="Century Gothic" w:eastAsia="Times New Roman" w:hAnsi="Century Gothic" w:cs="Times New Roman"/>
      <w:b/>
      <w:bCs/>
      <w:smallCaps/>
      <w:color w:val="365F91"/>
      <w:sz w:val="28"/>
      <w:szCs w:val="28"/>
      <w:lang w:val="en-GB" w:eastAsia="en-GB"/>
    </w:rPr>
  </w:style>
  <w:style w:type="character" w:customStyle="1" w:styleId="Heading2Char">
    <w:name w:val="Heading 2 Char"/>
    <w:basedOn w:val="DefaultParagraphFont"/>
    <w:link w:val="Heading2"/>
    <w:uiPriority w:val="9"/>
    <w:rsid w:val="006F0591"/>
    <w:rPr>
      <w:rFonts w:asciiTheme="majorHAnsi" w:eastAsiaTheme="majorEastAsia" w:hAnsiTheme="majorHAnsi" w:cstheme="majorBidi"/>
      <w:b/>
      <w:bCs/>
      <w:color w:val="5B9BD5" w:themeColor="accent1"/>
      <w:sz w:val="26"/>
      <w:szCs w:val="26"/>
      <w:lang w:eastAsia="en-GB"/>
    </w:rPr>
  </w:style>
  <w:style w:type="paragraph" w:styleId="ListParagraph">
    <w:name w:val="List Paragraph"/>
    <w:aliases w:val="Bullet EY,ERP-List Paragraph,List Paragraph11,List Paragraph Red,Numbering,List Paragraph21,Lentele,Table of contents numbered"/>
    <w:basedOn w:val="Normal"/>
    <w:link w:val="ListParagraphChar"/>
    <w:uiPriority w:val="34"/>
    <w:qFormat/>
    <w:rsid w:val="003F43A6"/>
    <w:pPr>
      <w:ind w:left="720"/>
    </w:pPr>
  </w:style>
  <w:style w:type="table" w:styleId="TableGrid">
    <w:name w:val="Table Grid"/>
    <w:basedOn w:val="TableNormal"/>
    <w:uiPriority w:val="39"/>
    <w:rsid w:val="009859D6"/>
    <w:pPr>
      <w:spacing w:after="0" w:line="240" w:lineRule="auto"/>
    </w:pPr>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347FA"/>
    <w:rPr>
      <w:sz w:val="16"/>
      <w:szCs w:val="16"/>
    </w:rPr>
  </w:style>
  <w:style w:type="paragraph" w:styleId="CommentText">
    <w:name w:val="annotation text"/>
    <w:basedOn w:val="Normal"/>
    <w:link w:val="CommentTextChar"/>
    <w:uiPriority w:val="99"/>
    <w:semiHidden/>
    <w:unhideWhenUsed/>
    <w:rsid w:val="005347FA"/>
    <w:rPr>
      <w:sz w:val="20"/>
      <w:szCs w:val="20"/>
    </w:rPr>
  </w:style>
  <w:style w:type="character" w:customStyle="1" w:styleId="CommentTextChar">
    <w:name w:val="Comment Text Char"/>
    <w:basedOn w:val="DefaultParagraphFont"/>
    <w:link w:val="CommentText"/>
    <w:uiPriority w:val="99"/>
    <w:semiHidden/>
    <w:rsid w:val="005347FA"/>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347FA"/>
    <w:rPr>
      <w:b/>
      <w:bCs/>
    </w:rPr>
  </w:style>
  <w:style w:type="character" w:customStyle="1" w:styleId="CommentSubjectChar">
    <w:name w:val="Comment Subject Char"/>
    <w:basedOn w:val="CommentTextChar"/>
    <w:link w:val="CommentSubject"/>
    <w:uiPriority w:val="99"/>
    <w:semiHidden/>
    <w:rsid w:val="005347FA"/>
    <w:rPr>
      <w:rFonts w:ascii="Calibri" w:hAnsi="Calibri" w:cs="Times New Roman"/>
      <w:b/>
      <w:bCs/>
      <w:sz w:val="20"/>
      <w:szCs w:val="20"/>
    </w:rPr>
  </w:style>
  <w:style w:type="paragraph" w:styleId="BalloonText">
    <w:name w:val="Balloon Text"/>
    <w:basedOn w:val="Normal"/>
    <w:link w:val="BalloonTextChar"/>
    <w:uiPriority w:val="99"/>
    <w:semiHidden/>
    <w:unhideWhenUsed/>
    <w:rsid w:val="005347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7FA"/>
    <w:rPr>
      <w:rFonts w:ascii="Segoe UI" w:hAnsi="Segoe UI" w:cs="Segoe UI"/>
      <w:sz w:val="18"/>
      <w:szCs w:val="18"/>
    </w:rPr>
  </w:style>
  <w:style w:type="paragraph" w:styleId="FootnoteText">
    <w:name w:val="footnote text"/>
    <w:aliases w:val="Footnote Diagrama Diagrama,Footnote Diagrama Diagrama Diagrama Diagrama,Footnote Diagrama Diagrama Diagrama Diagrama Diagrama,Footnote,Fußnote,Footnote Text Char Char,Footnote Text Char Char Char Char Char Char,fn,o,• Isnasos,f"/>
    <w:basedOn w:val="Normal"/>
    <w:link w:val="FootnoteTextChar"/>
    <w:qFormat/>
    <w:rsid w:val="00965697"/>
    <w:pPr>
      <w:suppressAutoHyphens/>
    </w:pPr>
    <w:rPr>
      <w:rFonts w:asciiTheme="minorHAnsi" w:eastAsia="Times New Roman" w:hAnsiTheme="minorHAnsi"/>
      <w:sz w:val="18"/>
      <w:szCs w:val="24"/>
      <w:lang w:eastAsia="ar-SA"/>
    </w:rPr>
  </w:style>
  <w:style w:type="character" w:customStyle="1" w:styleId="FootnoteTextChar">
    <w:name w:val="Footnote Text Char"/>
    <w:aliases w:val="Footnote Diagrama Diagrama Char,Footnote Diagrama Diagrama Diagrama Diagrama Char,Footnote Diagrama Diagrama Diagrama Diagrama Diagrama Char,Footnote Char,Fußnote Char,Footnote Text Char Char Char,fn Char,o Char,• Isnasos Char,f Char"/>
    <w:basedOn w:val="DefaultParagraphFont"/>
    <w:link w:val="FootnoteText"/>
    <w:rsid w:val="00965697"/>
    <w:rPr>
      <w:rFonts w:eastAsia="Times New Roman" w:cs="Times New Roman"/>
      <w:sz w:val="18"/>
      <w:szCs w:val="24"/>
      <w:lang w:eastAsia="ar-SA"/>
    </w:rPr>
  </w:style>
  <w:style w:type="character" w:styleId="FootnoteReference">
    <w:name w:val="footnote reference"/>
    <w:aliases w:val="Footnote Reference Number,Footnote Reference_LVL6,Footnote Reference_LVL61,Footnote Reference_LVL62,Footnote Reference_LVL63,Footnote Reference_LVL64,• Isnasos nuoroda,Footnote symbol,BVI fnr,Voetnootverwijzing,Times 10 Point,fr"/>
    <w:link w:val="SUPERSChar"/>
    <w:qFormat/>
    <w:rsid w:val="00965697"/>
    <w:rPr>
      <w:vertAlign w:val="superscript"/>
    </w:rPr>
  </w:style>
  <w:style w:type="paragraph" w:customStyle="1" w:styleId="SUPERSChar">
    <w:name w:val="SUPERS Char"/>
    <w:aliases w:val="EN Footnote Reference Char"/>
    <w:basedOn w:val="Normal"/>
    <w:link w:val="FootnoteReference"/>
    <w:rsid w:val="00965697"/>
    <w:pPr>
      <w:spacing w:after="160" w:line="240" w:lineRule="exact"/>
    </w:pPr>
    <w:rPr>
      <w:rFonts w:asciiTheme="minorHAnsi" w:hAnsiTheme="minorHAnsi" w:cstheme="minorBidi"/>
      <w:vertAlign w:val="superscript"/>
    </w:rPr>
  </w:style>
  <w:style w:type="character" w:customStyle="1" w:styleId="ListParagraphChar">
    <w:name w:val="List Paragraph Char"/>
    <w:aliases w:val="Bullet EY Char,ERP-List Paragraph Char,List Paragraph11 Char,List Paragraph Red Char,Numbering Char,List Paragraph21 Char,Lentele Char,Table of contents numbered Char"/>
    <w:link w:val="ListParagraph"/>
    <w:uiPriority w:val="34"/>
    <w:locked/>
    <w:rsid w:val="00965697"/>
    <w:rPr>
      <w:rFonts w:ascii="Calibri" w:hAnsi="Calibri" w:cs="Times New Roman"/>
    </w:rPr>
  </w:style>
  <w:style w:type="paragraph" w:customStyle="1" w:styleId="Pagrindinispaprastastekstas">
    <w:name w:val="• Pagrindinis paprastas tekstas"/>
    <w:basedOn w:val="Normal"/>
    <w:link w:val="PagrindinispaprastastekstasChar"/>
    <w:qFormat/>
    <w:rsid w:val="00592B34"/>
    <w:pPr>
      <w:jc w:val="both"/>
    </w:pPr>
    <w:rPr>
      <w:rFonts w:asciiTheme="majorHAnsi" w:eastAsia="Times New Roman" w:hAnsiTheme="majorHAnsi"/>
      <w:szCs w:val="24"/>
    </w:rPr>
  </w:style>
  <w:style w:type="character" w:customStyle="1" w:styleId="PagrindinispaprastastekstasChar">
    <w:name w:val="• Pagrindinis paprastas tekstas Char"/>
    <w:link w:val="Pagrindinispaprastastekstas"/>
    <w:rsid w:val="00592B34"/>
    <w:rPr>
      <w:rFonts w:asciiTheme="majorHAnsi" w:eastAsia="Times New Roman" w:hAnsiTheme="majorHAnsi" w:cs="Times New Roman"/>
      <w:szCs w:val="24"/>
    </w:rPr>
  </w:style>
  <w:style w:type="paragraph" w:customStyle="1" w:styleId="Nenumeruojamosantrastes">
    <w:name w:val="• Nenumeruojamos antrastes"/>
    <w:next w:val="Pagrindinispaprastastekstas"/>
    <w:link w:val="NenumeruojamosantrastesChar"/>
    <w:qFormat/>
    <w:rsid w:val="00592B34"/>
    <w:pPr>
      <w:widowControl w:val="0"/>
      <w:shd w:val="clear" w:color="auto" w:fill="DEEAF6" w:themeFill="accent1" w:themeFillTint="33"/>
      <w:spacing w:before="240" w:after="240" w:line="240" w:lineRule="auto"/>
      <w:jc w:val="center"/>
    </w:pPr>
    <w:rPr>
      <w:rFonts w:asciiTheme="majorHAnsi" w:eastAsia="Times New Roman" w:hAnsiTheme="majorHAnsi" w:cs="Times New Roman"/>
      <w:b/>
      <w:bCs/>
      <w:caps/>
      <w:color w:val="4181B6"/>
      <w:kern w:val="32"/>
      <w:sz w:val="28"/>
      <w:szCs w:val="32"/>
      <w:lang w:eastAsia="lt-LT"/>
    </w:rPr>
  </w:style>
  <w:style w:type="character" w:customStyle="1" w:styleId="NenumeruojamosantrastesChar">
    <w:name w:val="• Nenumeruojamos antrastes Char"/>
    <w:basedOn w:val="DefaultParagraphFont"/>
    <w:link w:val="Nenumeruojamosantrastes"/>
    <w:rsid w:val="00592B34"/>
    <w:rPr>
      <w:rFonts w:asciiTheme="majorHAnsi" w:eastAsia="Times New Roman" w:hAnsiTheme="majorHAnsi" w:cs="Times New Roman"/>
      <w:b/>
      <w:bCs/>
      <w:caps/>
      <w:color w:val="4181B6"/>
      <w:kern w:val="32"/>
      <w:sz w:val="28"/>
      <w:szCs w:val="32"/>
      <w:shd w:val="clear" w:color="auto" w:fill="DEEAF6" w:themeFill="accent1" w:themeFillTint="33"/>
      <w:lang w:eastAsia="lt-LT"/>
    </w:rPr>
  </w:style>
  <w:style w:type="character" w:styleId="EndnoteReference">
    <w:name w:val="endnote reference"/>
    <w:rsid w:val="00B51094"/>
    <w:rPr>
      <w:vertAlign w:val="superscript"/>
    </w:rPr>
  </w:style>
  <w:style w:type="paragraph" w:styleId="EndnoteText">
    <w:name w:val="endnote text"/>
    <w:basedOn w:val="Normal"/>
    <w:link w:val="EndnoteTextChar"/>
    <w:rsid w:val="00B51094"/>
    <w:pPr>
      <w:suppressAutoHyphens/>
      <w:jc w:val="both"/>
    </w:pPr>
    <w:rPr>
      <w:rFonts w:ascii="Times New Roman" w:eastAsia="Times New Roman" w:hAnsi="Times New Roman"/>
      <w:sz w:val="20"/>
      <w:szCs w:val="20"/>
      <w:lang w:val="en-GB" w:eastAsia="ar-SA"/>
    </w:rPr>
  </w:style>
  <w:style w:type="character" w:customStyle="1" w:styleId="EndnoteTextChar">
    <w:name w:val="Endnote Text Char"/>
    <w:basedOn w:val="DefaultParagraphFont"/>
    <w:link w:val="EndnoteText"/>
    <w:rsid w:val="00B51094"/>
    <w:rPr>
      <w:rFonts w:ascii="Times New Roman" w:eastAsia="Times New Roman" w:hAnsi="Times New Roman" w:cs="Times New Roman"/>
      <w:sz w:val="20"/>
      <w:szCs w:val="20"/>
      <w:lang w:val="en-GB" w:eastAsia="ar-SA"/>
    </w:rPr>
  </w:style>
  <w:style w:type="table" w:customStyle="1" w:styleId="TableGrid1">
    <w:name w:val="Table Grid1"/>
    <w:basedOn w:val="TableNormal"/>
    <w:next w:val="TableGrid"/>
    <w:uiPriority w:val="39"/>
    <w:rsid w:val="002E59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D76DE"/>
    <w:pPr>
      <w:spacing w:after="0" w:line="240" w:lineRule="auto"/>
    </w:pPr>
    <w:rPr>
      <w:rFonts w:ascii="Times New Roman" w:eastAsia="Times New Roman" w:hAnsi="Times New Roman" w:cs="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altinis">
    <w:name w:val="• Saltinis"/>
    <w:next w:val="Pagrindinispaprastastekstas"/>
    <w:qFormat/>
    <w:rsid w:val="00613A1D"/>
    <w:pPr>
      <w:spacing w:before="60" w:after="0" w:line="240" w:lineRule="auto"/>
    </w:pPr>
    <w:rPr>
      <w:rFonts w:asciiTheme="majorHAnsi" w:eastAsia="Times New Roman" w:hAnsiTheme="majorHAnsi" w:cs="Times New Roman"/>
      <w:color w:val="00478A"/>
      <w:sz w:val="20"/>
    </w:rPr>
  </w:style>
  <w:style w:type="character" w:styleId="Hyperlink">
    <w:name w:val="Hyperlink"/>
    <w:uiPriority w:val="99"/>
    <w:rsid w:val="005E35DE"/>
    <w:rPr>
      <w:color w:val="0000FF"/>
      <w:u w:val="single"/>
    </w:rPr>
  </w:style>
  <w:style w:type="table" w:customStyle="1" w:styleId="TableGrid3">
    <w:name w:val="Table Grid3"/>
    <w:basedOn w:val="TableNormal"/>
    <w:next w:val="TableGrid"/>
    <w:uiPriority w:val="39"/>
    <w:rsid w:val="005E35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1"/>
    <w:rsid w:val="00144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4604B"/>
    <w:pPr>
      <w:outlineLvl w:val="9"/>
    </w:pPr>
    <w:rPr>
      <w:rFonts w:asciiTheme="majorHAnsi" w:eastAsiaTheme="majorEastAsia" w:hAnsiTheme="majorHAnsi" w:cstheme="majorBidi"/>
      <w:smallCaps w:val="0"/>
      <w:color w:val="2E74B5" w:themeColor="accent1" w:themeShade="BF"/>
      <w:lang w:val="en-US" w:eastAsia="ja-JP"/>
    </w:rPr>
  </w:style>
  <w:style w:type="paragraph" w:styleId="TOC1">
    <w:name w:val="toc 1"/>
    <w:basedOn w:val="Normal"/>
    <w:next w:val="Normal"/>
    <w:link w:val="TOC1Char"/>
    <w:autoRedefine/>
    <w:uiPriority w:val="39"/>
    <w:unhideWhenUsed/>
    <w:rsid w:val="0064604B"/>
    <w:pPr>
      <w:tabs>
        <w:tab w:val="left" w:pos="426"/>
        <w:tab w:val="left" w:pos="567"/>
        <w:tab w:val="right" w:leader="dot" w:pos="9771"/>
      </w:tabs>
      <w:spacing w:after="100"/>
      <w:ind w:left="426" w:hanging="426"/>
    </w:pPr>
  </w:style>
  <w:style w:type="paragraph" w:styleId="TOC2">
    <w:name w:val="toc 2"/>
    <w:basedOn w:val="Normal"/>
    <w:next w:val="Normal"/>
    <w:autoRedefine/>
    <w:uiPriority w:val="39"/>
    <w:unhideWhenUsed/>
    <w:rsid w:val="0064604B"/>
    <w:pPr>
      <w:spacing w:after="100"/>
      <w:ind w:left="220"/>
    </w:pPr>
  </w:style>
  <w:style w:type="paragraph" w:customStyle="1" w:styleId="Style1">
    <w:name w:val="Style1"/>
    <w:basedOn w:val="TOC1"/>
    <w:link w:val="Style1Char"/>
    <w:autoRedefine/>
    <w:qFormat/>
    <w:rsid w:val="0064604B"/>
    <w:rPr>
      <w:rFonts w:ascii="Century Gothic" w:hAnsi="Century Gothic"/>
      <w:sz w:val="20"/>
      <w:szCs w:val="20"/>
    </w:rPr>
  </w:style>
  <w:style w:type="character" w:customStyle="1" w:styleId="TOC1Char">
    <w:name w:val="TOC 1 Char"/>
    <w:basedOn w:val="DefaultParagraphFont"/>
    <w:link w:val="TOC1"/>
    <w:uiPriority w:val="39"/>
    <w:rsid w:val="0064604B"/>
    <w:rPr>
      <w:rFonts w:ascii="Calibri" w:hAnsi="Calibri" w:cs="Times New Roman"/>
    </w:rPr>
  </w:style>
  <w:style w:type="character" w:customStyle="1" w:styleId="Style1Char">
    <w:name w:val="Style1 Char"/>
    <w:basedOn w:val="TOC1Char"/>
    <w:link w:val="Style1"/>
    <w:rsid w:val="0064604B"/>
    <w:rPr>
      <w:rFonts w:ascii="Century Gothic" w:hAnsi="Century Gothic" w:cs="Times New Roman"/>
      <w:sz w:val="20"/>
      <w:szCs w:val="20"/>
    </w:rPr>
  </w:style>
  <w:style w:type="paragraph" w:customStyle="1" w:styleId="Titulinionuoroda">
    <w:name w:val="• Titulinio nuoroda"/>
    <w:basedOn w:val="Normal"/>
    <w:qFormat/>
    <w:rsid w:val="0064604B"/>
    <w:pPr>
      <w:ind w:left="2694"/>
      <w:jc w:val="both"/>
    </w:pPr>
    <w:rPr>
      <w:rFonts w:asciiTheme="majorHAnsi" w:eastAsia="Times New Roman" w:hAnsiTheme="majorHAnsi"/>
      <w:bCs/>
      <w:sz w:val="20"/>
      <w:szCs w:val="20"/>
    </w:rPr>
  </w:style>
  <w:style w:type="table" w:customStyle="1" w:styleId="TableGrid111">
    <w:name w:val="Table Grid111"/>
    <w:basedOn w:val="TableNormal"/>
    <w:next w:val="TableGrid"/>
    <w:uiPriority w:val="1"/>
    <w:rsid w:val="00646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14F36"/>
    <w:pPr>
      <w:spacing w:after="0" w:line="240" w:lineRule="auto"/>
    </w:pPr>
    <w:rPr>
      <w:rFonts w:ascii="Cambria" w:eastAsia="Calibri" w:hAnsi="Cambria"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514F36"/>
    <w:pPr>
      <w:spacing w:after="0" w:line="240" w:lineRule="auto"/>
    </w:pPr>
    <w:rPr>
      <w:rFonts w:ascii="Times New Roman" w:eastAsia="Times New Roman" w:hAnsi="Times New Roman" w:cs="Times New Roman"/>
      <w:sz w:val="20"/>
      <w:szCs w:val="20"/>
      <w:lang w:val="en-GB"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514F36"/>
    <w:pPr>
      <w:tabs>
        <w:tab w:val="center" w:pos="4819"/>
        <w:tab w:val="right" w:pos="9638"/>
      </w:tabs>
    </w:pPr>
    <w:rPr>
      <w:rFonts w:eastAsia="Calibri"/>
    </w:rPr>
  </w:style>
  <w:style w:type="character" w:customStyle="1" w:styleId="HeaderChar">
    <w:name w:val="Header Char"/>
    <w:basedOn w:val="DefaultParagraphFont"/>
    <w:link w:val="Header"/>
    <w:uiPriority w:val="99"/>
    <w:rsid w:val="00514F36"/>
    <w:rPr>
      <w:rFonts w:ascii="Calibri" w:eastAsia="Calibri" w:hAnsi="Calibri" w:cs="Times New Roman"/>
    </w:rPr>
  </w:style>
  <w:style w:type="paragraph" w:styleId="Footer">
    <w:name w:val="footer"/>
    <w:basedOn w:val="Normal"/>
    <w:link w:val="FooterChar"/>
    <w:uiPriority w:val="99"/>
    <w:unhideWhenUsed/>
    <w:rsid w:val="00514F36"/>
    <w:pPr>
      <w:tabs>
        <w:tab w:val="center" w:pos="4819"/>
        <w:tab w:val="right" w:pos="9638"/>
      </w:tabs>
    </w:pPr>
    <w:rPr>
      <w:rFonts w:eastAsia="Calibri"/>
    </w:rPr>
  </w:style>
  <w:style w:type="character" w:customStyle="1" w:styleId="FooterChar">
    <w:name w:val="Footer Char"/>
    <w:basedOn w:val="DefaultParagraphFont"/>
    <w:link w:val="Footer"/>
    <w:uiPriority w:val="99"/>
    <w:rsid w:val="00514F36"/>
    <w:rPr>
      <w:rFonts w:ascii="Calibri" w:eastAsia="Calibri" w:hAnsi="Calibri" w:cs="Times New Roman"/>
    </w:rPr>
  </w:style>
  <w:style w:type="table" w:customStyle="1" w:styleId="TableGrid22">
    <w:name w:val="Table Grid22"/>
    <w:basedOn w:val="TableNormal"/>
    <w:next w:val="TableGrid"/>
    <w:uiPriority w:val="59"/>
    <w:rsid w:val="00514F36"/>
    <w:pPr>
      <w:spacing w:after="0" w:line="240" w:lineRule="auto"/>
    </w:pPr>
    <w:rPr>
      <w:rFonts w:ascii="Times New Roman" w:eastAsia="Times New Roman" w:hAnsi="Times New Roman" w:cs="Times New Roman"/>
      <w:sz w:val="20"/>
      <w:szCs w:val="20"/>
      <w:lang w:val="en-GB"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514F36"/>
    <w:pPr>
      <w:spacing w:after="0" w:line="240" w:lineRule="auto"/>
    </w:pPr>
    <w:rPr>
      <w:rFonts w:ascii="Times New Roman" w:eastAsia="Times New Roman" w:hAnsi="Times New Roman" w:cs="Times New Roman"/>
      <w:sz w:val="20"/>
      <w:szCs w:val="20"/>
      <w:lang w:val="en-GB"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14F36"/>
    <w:pPr>
      <w:spacing w:after="0" w:line="240" w:lineRule="auto"/>
    </w:pPr>
    <w:rPr>
      <w:rFonts w:ascii="Cambria" w:eastAsia="Calibri" w:hAnsi="Cambria"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514F36"/>
    <w:pPr>
      <w:spacing w:after="0" w:line="240" w:lineRule="auto"/>
    </w:pPr>
    <w:rPr>
      <w:rFonts w:ascii="Cambria" w:eastAsia="Calibri" w:hAnsi="Cambria"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514F36"/>
    <w:pPr>
      <w:spacing w:after="0" w:line="240" w:lineRule="auto"/>
    </w:pPr>
    <w:rPr>
      <w:rFonts w:ascii="Cambria" w:eastAsia="Calibri" w:hAnsi="Cambria"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22462">
      <w:bodyDiv w:val="1"/>
      <w:marLeft w:val="0"/>
      <w:marRight w:val="0"/>
      <w:marTop w:val="0"/>
      <w:marBottom w:val="0"/>
      <w:divBdr>
        <w:top w:val="none" w:sz="0" w:space="0" w:color="auto"/>
        <w:left w:val="none" w:sz="0" w:space="0" w:color="auto"/>
        <w:bottom w:val="none" w:sz="0" w:space="0" w:color="auto"/>
        <w:right w:val="none" w:sz="0" w:space="0" w:color="auto"/>
      </w:divBdr>
    </w:div>
    <w:div w:id="79842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txPr>
              <a:bodyPr/>
              <a:lstStyle/>
              <a:p>
                <a:pPr>
                  <a:defRPr sz="800">
                    <a:latin typeface="Century Gothic" panose="020B0502020202020204" pitchFamily="34" charset="0"/>
                  </a:defRPr>
                </a:pPr>
                <a:endParaRPr lang="lt-LT"/>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Sheet1!$C$5:$C$8</c:f>
              <c:strCache>
                <c:ptCount val="4"/>
                <c:pt idx="0">
                  <c:v>Operational Programme for Economic Growth</c:v>
                </c:pt>
                <c:pt idx="1">
                  <c:v>Operational Programme for the Promotion of Cohesion</c:v>
                </c:pt>
                <c:pt idx="2">
                  <c:v>Operational Programme for the Development of Human Resources</c:v>
                </c:pt>
                <c:pt idx="3">
                  <c:v>Technical Assistance Operational Programme </c:v>
                </c:pt>
              </c:strCache>
            </c:strRef>
          </c:cat>
          <c:val>
            <c:numRef>
              <c:f>Sheet1!$D$5:$D$8</c:f>
              <c:numCache>
                <c:formatCode>0.00%</c:formatCode>
                <c:ptCount val="4"/>
                <c:pt idx="0">
                  <c:v>0.4572</c:v>
                </c:pt>
                <c:pt idx="1">
                  <c:v>0.39079999999999998</c:v>
                </c:pt>
                <c:pt idx="2">
                  <c:v>0.13800000000000001</c:v>
                </c:pt>
                <c:pt idx="3">
                  <c:v>1.4E-2</c:v>
                </c:pt>
              </c:numCache>
            </c:numRef>
          </c:val>
        </c:ser>
        <c:dLbls>
          <c:showLegendKey val="0"/>
          <c:showVal val="0"/>
          <c:showCatName val="0"/>
          <c:showSerName val="0"/>
          <c:showPercent val="0"/>
          <c:showBubbleSize val="0"/>
          <c:showLeaderLines val="1"/>
        </c:dLbls>
      </c:pie3DChart>
    </c:plotArea>
    <c:legend>
      <c:legendPos val="b"/>
      <c:layout/>
      <c:overlay val="0"/>
      <c:txPr>
        <a:bodyPr/>
        <a:lstStyle/>
        <a:p>
          <a:pPr>
            <a:defRPr sz="800">
              <a:latin typeface="Century Gothic" panose="020B0502020202020204" pitchFamily="34" charset="0"/>
            </a:defRPr>
          </a:pPr>
          <a:endParaRPr lang="lt-LT"/>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02A0B3F-D8DD-401F-889A-E8CBD8C10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9262</Words>
  <Characters>5280</Characters>
  <Application>Microsoft Office Word</Application>
  <DocSecurity>0</DocSecurity>
  <Lines>44</Lines>
  <Paragraphs>29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14513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AgneM</cp:lastModifiedBy>
  <cp:revision>2</cp:revision>
  <dcterms:created xsi:type="dcterms:W3CDTF">2017-03-01T16:49:00Z</dcterms:created>
  <dcterms:modified xsi:type="dcterms:W3CDTF">2017-03-01T16:49:00Z</dcterms:modified>
</cp:coreProperties>
</file>