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D3" w:rsidRPr="00704094" w:rsidRDefault="00CA1232" w:rsidP="00EB6F6A">
      <w:pPr>
        <w:pStyle w:val="Pagrindinispaprastastekstas"/>
        <w:jc w:val="right"/>
        <w:rPr>
          <w:rFonts w:cs="Times New Roman"/>
        </w:rPr>
      </w:pPr>
      <w:bookmarkStart w:id="0" w:name="OLE_LINK1"/>
      <w:r>
        <w:rPr>
          <w:rFonts w:cs="Times New Roman"/>
          <w:noProof/>
        </w:rPr>
        <w:drawing>
          <wp:inline distT="0" distB="0" distL="0" distR="0">
            <wp:extent cx="3074670" cy="1437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4670" cy="1437005"/>
                    </a:xfrm>
                    <a:prstGeom prst="rect">
                      <a:avLst/>
                    </a:prstGeom>
                    <a:noFill/>
                    <a:ln>
                      <a:noFill/>
                    </a:ln>
                  </pic:spPr>
                </pic:pic>
              </a:graphicData>
            </a:graphic>
          </wp:inline>
        </w:drawing>
      </w:r>
    </w:p>
    <w:bookmarkEnd w:id="0"/>
    <w:p w:rsidR="00A73AD3" w:rsidRPr="00704094" w:rsidRDefault="00A73AD3" w:rsidP="005D1E29">
      <w:pPr>
        <w:pStyle w:val="Titulinispavadinimas"/>
        <w:spacing w:before="2160"/>
        <w:rPr>
          <w:rFonts w:cs="Times New Roman"/>
        </w:rPr>
      </w:pPr>
      <w:r w:rsidRPr="00704094">
        <w:rPr>
          <w:rFonts w:cs="Times New Roman"/>
        </w:rPr>
        <w:t>2007–2013 m. ES fondų investicijų vertinimų įžvalgos: poveikis šalies ekonomikai ir atskiriems ūkio sektoriams (viešosios politikos sritims)</w:t>
      </w:r>
    </w:p>
    <w:p w:rsidR="00A73AD3" w:rsidRPr="00704094" w:rsidRDefault="00A73AD3" w:rsidP="00BB37BA">
      <w:pPr>
        <w:pStyle w:val="Tituliniodata"/>
        <w:rPr>
          <w:rFonts w:cs="Times New Roman"/>
          <w:highlight w:val="red"/>
        </w:rPr>
      </w:pPr>
    </w:p>
    <w:p w:rsidR="00A73AD3" w:rsidRDefault="00A73AD3" w:rsidP="00BB37BA">
      <w:pPr>
        <w:pStyle w:val="Tituliniodata"/>
        <w:rPr>
          <w:rFonts w:cs="Times New Roman"/>
          <w:highlight w:val="red"/>
        </w:rPr>
      </w:pPr>
    </w:p>
    <w:p w:rsidR="00104CEC" w:rsidRPr="00104CEC" w:rsidRDefault="00104CEC" w:rsidP="00104CEC">
      <w:pPr>
        <w:pStyle w:val="Tituliniosubpavadinimas"/>
        <w:ind w:left="2127"/>
        <w:rPr>
          <w:rFonts w:ascii="PF Square Sans Pro" w:hAnsi="PF Square Sans Pro" w:cs="Times New Roman"/>
          <w:bCs/>
          <w:sz w:val="28"/>
          <w:szCs w:val="28"/>
        </w:rPr>
      </w:pPr>
      <w:r w:rsidRPr="00104CEC">
        <w:rPr>
          <w:rFonts w:ascii="PF Square Sans Pro" w:hAnsi="PF Square Sans Pro" w:cs="Times New Roman"/>
          <w:bCs/>
          <w:sz w:val="28"/>
          <w:szCs w:val="28"/>
        </w:rPr>
        <w:t>Šis dokumentas yra „Kiekybinio ir kokybinio 2007–2013 m. veiksmų programų pasiektų tikslų ir uždavinių“ integruotos vertinimo ataskaitos 15 priedas</w:t>
      </w:r>
      <w:bookmarkStart w:id="1" w:name="_GoBack"/>
      <w:bookmarkEnd w:id="1"/>
    </w:p>
    <w:p w:rsidR="00104CEC" w:rsidRDefault="00104CEC" w:rsidP="00BB37BA">
      <w:pPr>
        <w:pStyle w:val="Tituliniodata"/>
        <w:rPr>
          <w:rFonts w:cs="Times New Roman"/>
          <w:highlight w:val="red"/>
        </w:rPr>
      </w:pPr>
    </w:p>
    <w:p w:rsidR="00104CEC" w:rsidRPr="00704094" w:rsidRDefault="00104CEC" w:rsidP="00BB37BA">
      <w:pPr>
        <w:pStyle w:val="Tituliniodata"/>
        <w:rPr>
          <w:rFonts w:cs="Times New Roman"/>
          <w:highlight w:val="red"/>
        </w:rPr>
      </w:pPr>
    </w:p>
    <w:p w:rsidR="00A73AD3" w:rsidRPr="00704094" w:rsidRDefault="00A73AD3" w:rsidP="00BB37BA">
      <w:pPr>
        <w:pStyle w:val="Tituliniodata"/>
        <w:rPr>
          <w:rFonts w:cs="Times New Roman"/>
        </w:rPr>
      </w:pPr>
      <w:r w:rsidRPr="00704094">
        <w:rPr>
          <w:rFonts w:cs="Times New Roman"/>
        </w:rPr>
        <w:t>2017 m. sausio 17 d.</w:t>
      </w: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data"/>
        <w:rPr>
          <w:rFonts w:cs="Times New Roman"/>
        </w:rPr>
      </w:pPr>
    </w:p>
    <w:p w:rsidR="00A73AD3" w:rsidRPr="00704094" w:rsidRDefault="00A73AD3" w:rsidP="00BB37BA">
      <w:pPr>
        <w:pStyle w:val="Titulinionuoroda"/>
        <w:rPr>
          <w:rFonts w:cs="Times New Roman"/>
        </w:rPr>
      </w:pPr>
      <w:r w:rsidRPr="00704094">
        <w:rPr>
          <w:rFonts w:cs="Times New Roman"/>
        </w:rPr>
        <w:t>Parengė UAB „ESTEP Vilnius“ pagal 2016 m. gegužės 16 d. paslaugų teikimo sutartį Nr. 14P-40 tarp Lietuvos Respublikos finansų ministerijos ir ūkio subjektų grupės UAB „ESTEP Vilnius“ ir UAB „Visionary Analytics“.</w:t>
      </w:r>
    </w:p>
    <w:p w:rsidR="00A73AD3" w:rsidRPr="00704094" w:rsidRDefault="00A73AD3" w:rsidP="00BB37BA">
      <w:pPr>
        <w:pStyle w:val="Titulinionuoroda"/>
        <w:rPr>
          <w:rFonts w:cs="Times New Roman"/>
        </w:rPr>
      </w:pPr>
    </w:p>
    <w:p w:rsidR="00A73AD3" w:rsidRPr="00704094" w:rsidRDefault="00A73AD3" w:rsidP="00BB37BA">
      <w:pPr>
        <w:pStyle w:val="Titulinionuoroda"/>
        <w:rPr>
          <w:rFonts w:cs="Times New Roman"/>
        </w:rPr>
        <w:sectPr w:rsidR="00A73AD3" w:rsidRPr="00704094" w:rsidSect="00E92162">
          <w:headerReference w:type="default" r:id="rId8"/>
          <w:footerReference w:type="default" r:id="rId9"/>
          <w:pgSz w:w="11906" w:h="16838"/>
          <w:pgMar w:top="1134" w:right="1134" w:bottom="851" w:left="1134" w:header="567" w:footer="567" w:gutter="0"/>
          <w:cols w:space="1296"/>
          <w:titlePg/>
          <w:docGrid w:linePitch="360"/>
        </w:sectPr>
      </w:pPr>
    </w:p>
    <w:p w:rsidR="00A73AD3" w:rsidRPr="00704094" w:rsidRDefault="00A73AD3" w:rsidP="00BB37BA">
      <w:pPr>
        <w:pStyle w:val="Neturinioantrastes"/>
        <w:rPr>
          <w:rFonts w:cs="Times New Roman"/>
        </w:rPr>
      </w:pPr>
      <w:r w:rsidRPr="00704094">
        <w:rPr>
          <w:rFonts w:cs="Times New Roman"/>
        </w:rPr>
        <w:lastRenderedPageBreak/>
        <w:t xml:space="preserve">Turinys </w:t>
      </w:r>
    </w:p>
    <w:p w:rsidR="00A73AD3" w:rsidRPr="00704094" w:rsidRDefault="00A73AD3">
      <w:pPr>
        <w:pStyle w:val="TOC1"/>
        <w:tabs>
          <w:tab w:val="right" w:leader="dot" w:pos="9628"/>
        </w:tabs>
        <w:rPr>
          <w:rFonts w:ascii="Cambria" w:hAnsi="Cambria" w:cs="Times New Roman"/>
          <w:b w:val="0"/>
          <w:bCs w:val="0"/>
          <w:caps w:val="0"/>
          <w:noProof/>
          <w:sz w:val="22"/>
          <w:szCs w:val="22"/>
          <w:lang w:eastAsia="lt-LT"/>
        </w:rPr>
      </w:pPr>
      <w:r w:rsidRPr="00704094">
        <w:rPr>
          <w:rFonts w:ascii="Cambria" w:hAnsi="Cambria" w:cs="Times New Roman"/>
          <w:b w:val="0"/>
          <w:bCs w:val="0"/>
          <w:caps w:val="0"/>
        </w:rPr>
        <w:fldChar w:fldCharType="begin"/>
      </w:r>
      <w:r w:rsidRPr="00704094">
        <w:rPr>
          <w:rFonts w:ascii="Cambria" w:hAnsi="Cambria" w:cs="Times New Roman"/>
          <w:b w:val="0"/>
          <w:bCs w:val="0"/>
          <w:caps w:val="0"/>
        </w:rPr>
        <w:instrText xml:space="preserve"> TOC \o "1-2" \h \z \t "• Nenumeruojamos antrastes;1;• Priedu pavadinimai;1" </w:instrText>
      </w:r>
      <w:r w:rsidRPr="00704094">
        <w:rPr>
          <w:rFonts w:ascii="Cambria" w:hAnsi="Cambria" w:cs="Times New Roman"/>
          <w:b w:val="0"/>
          <w:bCs w:val="0"/>
          <w:caps w:val="0"/>
        </w:rPr>
        <w:fldChar w:fldCharType="separate"/>
      </w:r>
      <w:hyperlink w:anchor="_Toc472343141" w:history="1">
        <w:r w:rsidRPr="00704094">
          <w:rPr>
            <w:rStyle w:val="Hyperlink"/>
            <w:rFonts w:ascii="Cambria" w:hAnsi="Cambria" w:cs="Times New Roman"/>
            <w:noProof/>
          </w:rPr>
          <w:t>Įvadas</w:t>
        </w:r>
        <w:r w:rsidRPr="00704094">
          <w:rPr>
            <w:rFonts w:ascii="Cambria" w:hAnsi="Cambria" w:cs="Times New Roman"/>
            <w:noProof/>
            <w:webHidden/>
          </w:rPr>
          <w:tab/>
        </w:r>
        <w:r w:rsidRPr="00704094">
          <w:rPr>
            <w:rFonts w:ascii="Cambria" w:hAnsi="Cambria" w:cs="Times New Roman"/>
            <w:noProof/>
            <w:webHidden/>
          </w:rPr>
          <w:fldChar w:fldCharType="begin"/>
        </w:r>
        <w:r w:rsidRPr="00704094">
          <w:rPr>
            <w:rFonts w:ascii="Cambria" w:hAnsi="Cambria" w:cs="Times New Roman"/>
            <w:noProof/>
            <w:webHidden/>
          </w:rPr>
          <w:instrText xml:space="preserve"> PAGEREF _Toc472343141 \h </w:instrText>
        </w:r>
        <w:r w:rsidRPr="00704094">
          <w:rPr>
            <w:rFonts w:ascii="Cambria" w:hAnsi="Cambria" w:cs="Times New Roman"/>
            <w:noProof/>
            <w:webHidden/>
          </w:rPr>
        </w:r>
        <w:r w:rsidRPr="00704094">
          <w:rPr>
            <w:rFonts w:ascii="Cambria" w:hAnsi="Cambria" w:cs="Times New Roman"/>
            <w:noProof/>
            <w:webHidden/>
          </w:rPr>
          <w:fldChar w:fldCharType="separate"/>
        </w:r>
        <w:r w:rsidRPr="00704094">
          <w:rPr>
            <w:rFonts w:ascii="Cambria" w:hAnsi="Cambria" w:cs="Times New Roman"/>
            <w:noProof/>
            <w:webHidden/>
          </w:rPr>
          <w:t>2</w:t>
        </w:r>
        <w:r w:rsidRPr="00704094">
          <w:rPr>
            <w:rFonts w:ascii="Cambria" w:hAnsi="Cambria" w:cs="Times New Roman"/>
            <w:noProof/>
            <w:webHidden/>
          </w:rPr>
          <w:fldChar w:fldCharType="end"/>
        </w:r>
      </w:hyperlink>
    </w:p>
    <w:p w:rsidR="00A73AD3" w:rsidRPr="00704094" w:rsidRDefault="00CA1232">
      <w:pPr>
        <w:pStyle w:val="TOC1"/>
        <w:tabs>
          <w:tab w:val="left" w:pos="480"/>
          <w:tab w:val="right" w:leader="dot" w:pos="9628"/>
        </w:tabs>
        <w:rPr>
          <w:rFonts w:ascii="Cambria" w:hAnsi="Cambria" w:cs="Times New Roman"/>
          <w:b w:val="0"/>
          <w:bCs w:val="0"/>
          <w:caps w:val="0"/>
          <w:noProof/>
          <w:sz w:val="22"/>
          <w:szCs w:val="22"/>
          <w:lang w:eastAsia="lt-LT"/>
        </w:rPr>
      </w:pPr>
      <w:hyperlink w:anchor="_Toc472343142" w:history="1">
        <w:r w:rsidR="00A73AD3" w:rsidRPr="00704094">
          <w:rPr>
            <w:rStyle w:val="Hyperlink"/>
            <w:rFonts w:ascii="Cambria" w:hAnsi="Cambria" w:cs="Times New Roman"/>
            <w:noProof/>
          </w:rPr>
          <w:t>1</w:t>
        </w:r>
        <w:r w:rsidR="00A73AD3" w:rsidRPr="00704094">
          <w:rPr>
            <w:rFonts w:ascii="Cambria" w:hAnsi="Cambria" w:cs="Times New Roman"/>
            <w:b w:val="0"/>
            <w:bCs w:val="0"/>
            <w:caps w:val="0"/>
            <w:noProof/>
            <w:sz w:val="22"/>
            <w:szCs w:val="22"/>
            <w:lang w:eastAsia="lt-LT"/>
          </w:rPr>
          <w:tab/>
        </w:r>
        <w:r w:rsidR="00A73AD3" w:rsidRPr="00704094">
          <w:rPr>
            <w:rStyle w:val="Hyperlink"/>
            <w:rFonts w:ascii="Cambria" w:hAnsi="Cambria" w:cs="Times New Roman"/>
            <w:noProof/>
          </w:rPr>
          <w:t>ES fondų investicijų vertinimo veikla 2007–2016 m.</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_Toc472343142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3" w:history="1">
        <w:r w:rsidR="00A73AD3" w:rsidRPr="00704094">
          <w:rPr>
            <w:rStyle w:val="Hyperlink"/>
            <w:rFonts w:ascii="Cambria" w:hAnsi="Cambria" w:cs="Times New Roman"/>
            <w:noProof/>
          </w:rPr>
          <w:t>1.1</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Vertinimo sistema, vertinimų planavimas ir koordinavimas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_Toc472343143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4" w:history="1">
        <w:r w:rsidR="00A73AD3" w:rsidRPr="00704094">
          <w:rPr>
            <w:rStyle w:val="Hyperlink"/>
            <w:rFonts w:ascii="Cambria" w:hAnsi="Cambria" w:cs="Times New Roman"/>
            <w:noProof/>
          </w:rPr>
          <w:t>1.2</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Vertinimo veiklos apimtis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_Toc472343144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5" w:history="1">
        <w:r w:rsidR="00A73AD3" w:rsidRPr="00704094">
          <w:rPr>
            <w:rStyle w:val="Hyperlink"/>
            <w:rFonts w:ascii="Cambria" w:hAnsi="Cambria" w:cs="Times New Roman"/>
            <w:noProof/>
          </w:rPr>
          <w:t>1.3</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Vertinimų pobūdis ir turinys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_Toc472343145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6" w:history="1">
        <w:r w:rsidR="00A73AD3" w:rsidRPr="00704094">
          <w:rPr>
            <w:rStyle w:val="Hyperlink"/>
            <w:rFonts w:ascii="Cambria" w:hAnsi="Cambria" w:cs="Times New Roman"/>
            <w:noProof/>
          </w:rPr>
          <w:t>1.4</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Vertinimų kokybė ir rezultatų naudojimas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_Toc472343146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7" w:history="1">
        <w:r w:rsidR="00A73AD3" w:rsidRPr="00704094">
          <w:rPr>
            <w:rStyle w:val="Hyperlink"/>
            <w:rFonts w:ascii="Cambria" w:hAnsi="Cambria" w:cs="Times New Roman"/>
            <w:noProof/>
          </w:rPr>
          <w:t>1.5</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Apibendrinimas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_Toc472343147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1"/>
        <w:tabs>
          <w:tab w:val="left" w:pos="480"/>
          <w:tab w:val="right" w:leader="dot" w:pos="9628"/>
        </w:tabs>
        <w:rPr>
          <w:rFonts w:ascii="Cambria" w:hAnsi="Cambria" w:cs="Times New Roman"/>
          <w:b w:val="0"/>
          <w:bCs w:val="0"/>
          <w:caps w:val="0"/>
          <w:noProof/>
          <w:sz w:val="22"/>
          <w:szCs w:val="22"/>
          <w:lang w:eastAsia="lt-LT"/>
        </w:rPr>
      </w:pPr>
      <w:hyperlink w:anchor="_Toc472343148" w:history="1">
        <w:r w:rsidR="00A73AD3" w:rsidRPr="00704094">
          <w:rPr>
            <w:rStyle w:val="Hyperlink"/>
            <w:rFonts w:ascii="Cambria" w:hAnsi="Cambria" w:cs="Times New Roman"/>
            <w:noProof/>
          </w:rPr>
          <w:t>2</w:t>
        </w:r>
        <w:r w:rsidR="00A73AD3" w:rsidRPr="00704094">
          <w:rPr>
            <w:rFonts w:ascii="Cambria" w:hAnsi="Cambria" w:cs="Times New Roman"/>
            <w:b w:val="0"/>
            <w:bCs w:val="0"/>
            <w:caps w:val="0"/>
            <w:noProof/>
            <w:sz w:val="22"/>
            <w:szCs w:val="22"/>
            <w:lang w:eastAsia="lt-LT"/>
          </w:rPr>
          <w:tab/>
        </w:r>
        <w:r w:rsidR="00A73AD3" w:rsidRPr="00704094">
          <w:rPr>
            <w:rStyle w:val="Hyperlink"/>
            <w:rFonts w:ascii="Cambria" w:hAnsi="Cambria" w:cs="Times New Roman"/>
            <w:noProof/>
          </w:rPr>
          <w:t>2007–2013 m. veiksmų programų vertinimų įžvalgos apie investicijų poveikį ekonomikai ir atskiriems ūkio sektoriams (viešosios politikos sritims)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_Toc472343148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49" w:history="1">
        <w:r w:rsidR="00A73AD3" w:rsidRPr="00704094">
          <w:rPr>
            <w:rStyle w:val="Hyperlink"/>
            <w:rFonts w:ascii="Cambria" w:hAnsi="Cambria" w:cs="Times New Roman"/>
            <w:noProof/>
          </w:rPr>
          <w:t>2.1</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ekonomikai</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_Toc472343149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0" w:history="1">
        <w:r w:rsidR="00A73AD3" w:rsidRPr="00704094">
          <w:rPr>
            <w:rStyle w:val="Hyperlink"/>
            <w:rFonts w:ascii="Cambria" w:hAnsi="Cambria" w:cs="Times New Roman"/>
            <w:noProof/>
          </w:rPr>
          <w:t>2.2</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moksliniai tyrimai, eksperimentinė plėtra ir inovacijos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_Toc472343150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1" w:history="1">
        <w:r w:rsidR="00A73AD3" w:rsidRPr="00704094">
          <w:rPr>
            <w:rStyle w:val="Hyperlink"/>
            <w:rFonts w:ascii="Cambria" w:hAnsi="Cambria" w:cs="Times New Roman"/>
            <w:noProof/>
          </w:rPr>
          <w:t>2.3</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informacinė visuomenė</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_Toc472343151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2" w:history="1">
        <w:r w:rsidR="00A73AD3" w:rsidRPr="00704094">
          <w:rPr>
            <w:rStyle w:val="Hyperlink"/>
            <w:rFonts w:ascii="Cambria" w:hAnsi="Cambria" w:cs="Times New Roman"/>
            <w:noProof/>
          </w:rPr>
          <w:t>2.4</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smulkus ir vidutinis verslas, verslumo skatinimas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_Toc472343152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3" w:history="1">
        <w:r w:rsidR="00A73AD3" w:rsidRPr="00704094">
          <w:rPr>
            <w:rStyle w:val="Hyperlink"/>
            <w:rFonts w:ascii="Cambria" w:hAnsi="Cambria" w:cs="Times New Roman"/>
            <w:noProof/>
          </w:rPr>
          <w:t>2.5</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energijos efektyvumas, atsinaujinančių išteklių energijos gamyba ir naudojimas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_Toc472343153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4" w:history="1">
        <w:r w:rsidR="00A73AD3" w:rsidRPr="00704094">
          <w:rPr>
            <w:rStyle w:val="Hyperlink"/>
            <w:rFonts w:ascii="Cambria" w:hAnsi="Cambria" w:cs="Times New Roman"/>
            <w:noProof/>
          </w:rPr>
          <w:t>2.6</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aplinkosauga, gamtos išteklių darnus naudojimas ir prisitaikymas prie klimato kaitos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_Toc472343154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5" w:history="1">
        <w:r w:rsidR="00A73AD3" w:rsidRPr="00704094">
          <w:rPr>
            <w:rStyle w:val="Hyperlink"/>
            <w:rFonts w:ascii="Cambria" w:hAnsi="Cambria" w:cs="Times New Roman"/>
            <w:noProof/>
          </w:rPr>
          <w:t>2.7</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transportas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_Toc472343155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6" w:history="1">
        <w:r w:rsidR="00A73AD3" w:rsidRPr="00704094">
          <w:rPr>
            <w:rStyle w:val="Hyperlink"/>
            <w:rFonts w:ascii="Cambria" w:hAnsi="Cambria" w:cs="Times New Roman"/>
            <w:noProof/>
          </w:rPr>
          <w:t>2.8</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kokybiškas užimtumas ir dalyvavimas darbo rinkoje</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_Toc472343156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720"/>
          <w:tab w:val="right" w:leader="dot" w:pos="9628"/>
        </w:tabs>
        <w:rPr>
          <w:rFonts w:ascii="Cambria" w:hAnsi="Cambria" w:cs="Times New Roman"/>
          <w:smallCaps w:val="0"/>
          <w:noProof/>
          <w:sz w:val="22"/>
          <w:szCs w:val="22"/>
          <w:lang w:eastAsia="lt-LT"/>
        </w:rPr>
      </w:pPr>
      <w:hyperlink w:anchor="_Toc472343157" w:history="1">
        <w:r w:rsidR="00A73AD3" w:rsidRPr="00704094">
          <w:rPr>
            <w:rStyle w:val="Hyperlink"/>
            <w:rFonts w:ascii="Cambria" w:hAnsi="Cambria" w:cs="Times New Roman"/>
            <w:noProof/>
          </w:rPr>
          <w:t>2.9</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socialinė įtrauktis ir kova su skurdu, gyvenimo kokybės gerinimas, socialinio dialogo skatinimas, sveikatos, socialinių, kultūros ir rekreacinių paslaugų prieinamumo didinimas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_Toc472343157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960"/>
          <w:tab w:val="right" w:leader="dot" w:pos="9628"/>
        </w:tabs>
        <w:rPr>
          <w:rFonts w:ascii="Cambria" w:hAnsi="Cambria" w:cs="Times New Roman"/>
          <w:smallCaps w:val="0"/>
          <w:noProof/>
          <w:sz w:val="22"/>
          <w:szCs w:val="22"/>
          <w:lang w:eastAsia="lt-LT"/>
        </w:rPr>
      </w:pPr>
      <w:hyperlink w:anchor="_Toc472343158" w:history="1">
        <w:r w:rsidR="00A73AD3" w:rsidRPr="00704094">
          <w:rPr>
            <w:rStyle w:val="Hyperlink"/>
            <w:rFonts w:ascii="Cambria" w:hAnsi="Cambria" w:cs="Times New Roman"/>
            <w:noProof/>
          </w:rPr>
          <w:t>2.10</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švietimas ir žmogiškieji ištekliai</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_Toc472343158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2"/>
        <w:tabs>
          <w:tab w:val="left" w:pos="960"/>
          <w:tab w:val="right" w:leader="dot" w:pos="9628"/>
        </w:tabs>
        <w:rPr>
          <w:rFonts w:ascii="Cambria" w:hAnsi="Cambria" w:cs="Times New Roman"/>
          <w:smallCaps w:val="0"/>
          <w:noProof/>
          <w:sz w:val="22"/>
          <w:szCs w:val="22"/>
          <w:lang w:eastAsia="lt-LT"/>
        </w:rPr>
      </w:pPr>
      <w:hyperlink w:anchor="_Toc472343159" w:history="1">
        <w:r w:rsidR="00A73AD3" w:rsidRPr="00704094">
          <w:rPr>
            <w:rStyle w:val="Hyperlink"/>
            <w:rFonts w:ascii="Cambria" w:hAnsi="Cambria" w:cs="Times New Roman"/>
            <w:noProof/>
          </w:rPr>
          <w:t>2.11</w:t>
        </w:r>
        <w:r w:rsidR="00A73AD3" w:rsidRPr="00704094">
          <w:rPr>
            <w:rFonts w:ascii="Cambria" w:hAnsi="Cambria" w:cs="Times New Roman"/>
            <w:smallCaps w:val="0"/>
            <w:noProof/>
            <w:sz w:val="22"/>
            <w:szCs w:val="22"/>
            <w:lang w:eastAsia="lt-LT"/>
          </w:rPr>
          <w:tab/>
        </w:r>
        <w:r w:rsidR="00A73AD3" w:rsidRPr="00704094">
          <w:rPr>
            <w:rStyle w:val="Hyperlink"/>
            <w:rFonts w:ascii="Cambria" w:hAnsi="Cambria" w:cs="Times New Roman"/>
            <w:noProof/>
          </w:rPr>
          <w:t>Investicijų poveikis viešosios politikos sritims: viešasis valdymas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_Toc472343159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1"/>
        <w:tabs>
          <w:tab w:val="right" w:leader="dot" w:pos="9628"/>
        </w:tabs>
        <w:rPr>
          <w:rFonts w:ascii="Cambria" w:hAnsi="Cambria" w:cs="Times New Roman"/>
          <w:b w:val="0"/>
          <w:bCs w:val="0"/>
          <w:caps w:val="0"/>
          <w:noProof/>
          <w:sz w:val="22"/>
          <w:szCs w:val="22"/>
          <w:lang w:eastAsia="lt-LT"/>
        </w:rPr>
      </w:pPr>
      <w:hyperlink w:anchor="_Toc472343160" w:history="1">
        <w:r w:rsidR="00A73AD3" w:rsidRPr="00704094">
          <w:rPr>
            <w:rStyle w:val="Hyperlink"/>
            <w:rFonts w:ascii="Cambria" w:hAnsi="Cambria" w:cs="Times New Roman"/>
            <w:noProof/>
          </w:rPr>
          <w:t>Santrumpų paaiškinimas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_Toc472343160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CA1232">
      <w:pPr>
        <w:pStyle w:val="TOC1"/>
        <w:tabs>
          <w:tab w:val="left" w:pos="1200"/>
          <w:tab w:val="right" w:leader="dot" w:pos="9628"/>
        </w:tabs>
        <w:rPr>
          <w:rFonts w:ascii="Cambria" w:hAnsi="Cambria" w:cs="Times New Roman"/>
          <w:b w:val="0"/>
          <w:bCs w:val="0"/>
          <w:caps w:val="0"/>
          <w:noProof/>
          <w:sz w:val="22"/>
          <w:szCs w:val="22"/>
          <w:lang w:eastAsia="lt-LT"/>
        </w:rPr>
      </w:pPr>
      <w:hyperlink w:anchor="_Toc472343161" w:history="1">
        <w:r w:rsidR="00A73AD3" w:rsidRPr="00704094">
          <w:rPr>
            <w:rStyle w:val="Hyperlink"/>
            <w:rFonts w:ascii="Cambria" w:hAnsi="Cambria" w:cs="Times New Roman"/>
            <w:noProof/>
          </w:rPr>
          <w:t>1 priedas.</w:t>
        </w:r>
        <w:r w:rsidR="00A73AD3" w:rsidRPr="00704094">
          <w:rPr>
            <w:rFonts w:ascii="Cambria" w:hAnsi="Cambria" w:cs="Times New Roman"/>
            <w:b w:val="0"/>
            <w:bCs w:val="0"/>
            <w:caps w:val="0"/>
            <w:noProof/>
            <w:sz w:val="22"/>
            <w:szCs w:val="22"/>
            <w:lang w:eastAsia="lt-LT"/>
          </w:rPr>
          <w:tab/>
        </w:r>
        <w:r w:rsidR="00A73AD3" w:rsidRPr="00704094">
          <w:rPr>
            <w:rStyle w:val="Hyperlink"/>
            <w:rFonts w:ascii="Cambria" w:hAnsi="Cambria" w:cs="Times New Roman"/>
            <w:noProof/>
          </w:rPr>
          <w:t>2009–2016 m. užbaigtų vertinimų sąrašas</w:t>
        </w:r>
        <w:r w:rsidR="00A73AD3" w:rsidRPr="00704094">
          <w:rPr>
            <w:rFonts w:ascii="Cambria" w:hAnsi="Cambria" w:cs="Times New Roman"/>
            <w:noProof/>
            <w:webHidden/>
          </w:rPr>
          <w:tab/>
        </w:r>
        <w:r w:rsidR="00A73AD3" w:rsidRPr="00704094">
          <w:rPr>
            <w:rFonts w:ascii="Cambria" w:hAnsi="Cambria" w:cs="Times New Roman"/>
            <w:noProof/>
            <w:webHidden/>
          </w:rPr>
          <w:fldChar w:fldCharType="begin"/>
        </w:r>
        <w:r w:rsidR="00A73AD3" w:rsidRPr="00704094">
          <w:rPr>
            <w:rFonts w:ascii="Cambria" w:hAnsi="Cambria" w:cs="Times New Roman"/>
            <w:noProof/>
            <w:webHidden/>
          </w:rPr>
          <w:instrText xml:space="preserve"> PAGEREF _Toc472343161 \h </w:instrText>
        </w:r>
        <w:r w:rsidR="00A73AD3" w:rsidRPr="00704094">
          <w:rPr>
            <w:rFonts w:ascii="Cambria" w:hAnsi="Cambria" w:cs="Times New Roman"/>
            <w:noProof/>
            <w:webHidden/>
          </w:rPr>
        </w:r>
        <w:r w:rsidR="00A73AD3" w:rsidRPr="00704094">
          <w:rPr>
            <w:rFonts w:ascii="Cambria" w:hAnsi="Cambria" w:cs="Times New Roman"/>
            <w:noProof/>
            <w:webHidden/>
          </w:rPr>
          <w:fldChar w:fldCharType="separate"/>
        </w:r>
        <w:r w:rsidR="00A73AD3" w:rsidRPr="00704094">
          <w:rPr>
            <w:rFonts w:ascii="Cambria" w:hAnsi="Cambria" w:cs="Times New Roman"/>
            <w:noProof/>
            <w:webHidden/>
          </w:rPr>
          <w:t>2</w:t>
        </w:r>
        <w:r w:rsidR="00A73AD3" w:rsidRPr="00704094">
          <w:rPr>
            <w:rFonts w:ascii="Cambria" w:hAnsi="Cambria" w:cs="Times New Roman"/>
            <w:noProof/>
            <w:webHidden/>
          </w:rPr>
          <w:fldChar w:fldCharType="end"/>
        </w:r>
      </w:hyperlink>
    </w:p>
    <w:p w:rsidR="00A73AD3" w:rsidRPr="00704094" w:rsidRDefault="00A73AD3" w:rsidP="00332263">
      <w:pPr>
        <w:pStyle w:val="Pagrindinispaprastastekstas"/>
        <w:rPr>
          <w:rFonts w:cs="Times New Roman"/>
        </w:rPr>
      </w:pPr>
      <w:r w:rsidRPr="00704094">
        <w:rPr>
          <w:rFonts w:cs="Times New Roman"/>
          <w:b/>
          <w:bCs/>
          <w:caps/>
        </w:rPr>
        <w:fldChar w:fldCharType="end"/>
      </w:r>
    </w:p>
    <w:p w:rsidR="00A73AD3" w:rsidRPr="00704094" w:rsidRDefault="00A73AD3" w:rsidP="00E4785C">
      <w:pPr>
        <w:pStyle w:val="Nenumeruojamosantrastes"/>
        <w:rPr>
          <w:rFonts w:cs="Times New Roman"/>
        </w:rPr>
      </w:pPr>
      <w:bookmarkStart w:id="2" w:name="_Toc472343141"/>
      <w:r w:rsidRPr="00704094">
        <w:rPr>
          <w:rFonts w:cs="Times New Roman"/>
        </w:rPr>
        <w:lastRenderedPageBreak/>
        <w:t>Įvadas</w:t>
      </w:r>
      <w:bookmarkEnd w:id="2"/>
    </w:p>
    <w:p w:rsidR="00A73AD3" w:rsidRPr="00704094" w:rsidRDefault="00A73AD3" w:rsidP="00E4785C">
      <w:pPr>
        <w:pStyle w:val="Pagrindinispaprastastekstas"/>
        <w:rPr>
          <w:rFonts w:cs="Times New Roman"/>
          <w:sz w:val="22"/>
          <w:szCs w:val="22"/>
        </w:rPr>
      </w:pPr>
      <w:r w:rsidRPr="00704094">
        <w:rPr>
          <w:rFonts w:cs="Times New Roman"/>
          <w:sz w:val="22"/>
          <w:szCs w:val="22"/>
        </w:rPr>
        <w:t>Viešosios politikos vertinimas yra neatsiejama įrodymais grįsto valdymo dalis. Jis suteikia politikos formavimui, įgyvendinimui bei atsiskaitymui donorams ir visuomenei reikalingų žinių ir įrodymų. Vertinimo veiklos apimtis ir kokybė, funkcionuojanti vertinimo sistema, vertinimo paslaugų rinka ir vertinimo rezultatų naudojimas priimant sprendimus yra vertinimo brandos ir besiformuojančios įrodymais grįsto valdymo kultūros požymis.</w:t>
      </w:r>
    </w:p>
    <w:p w:rsidR="00A73AD3" w:rsidRPr="00704094" w:rsidRDefault="00A73AD3" w:rsidP="00E4785C">
      <w:pPr>
        <w:pStyle w:val="Pagrindinispaprastastekstas"/>
        <w:rPr>
          <w:rFonts w:cs="Times New Roman"/>
          <w:sz w:val="22"/>
          <w:szCs w:val="22"/>
        </w:rPr>
      </w:pPr>
    </w:p>
    <w:p w:rsidR="00A73AD3" w:rsidRPr="00704094" w:rsidRDefault="00A73AD3" w:rsidP="00E4785C">
      <w:pPr>
        <w:pStyle w:val="Pagrindinispaprastastekstas"/>
        <w:rPr>
          <w:rFonts w:cs="Times New Roman"/>
          <w:sz w:val="22"/>
          <w:szCs w:val="22"/>
        </w:rPr>
      </w:pPr>
      <w:r w:rsidRPr="00704094">
        <w:rPr>
          <w:rFonts w:cs="Times New Roman"/>
          <w:sz w:val="22"/>
          <w:szCs w:val="22"/>
        </w:rPr>
        <w:t xml:space="preserve">Šiame leidinyje glaustai pristatoma 2007–2016 m. vykdyta ES fondų investicijų vertinimo veikla (1 dalis), svarbiausios vertinimų įžvalgos apie 2007–2013 m. ES fondų investicijų poveikį ir pasiūlymai dėl investicijų poveikio optimizavimo 2014–2020 m. (2 dalis). Vertinimų įžvalgos ir pasiūlymai apibendrinti pagal 2014–2020 m. ES fondų investicijų veiksmų programos prioritetus. </w:t>
      </w:r>
    </w:p>
    <w:p w:rsidR="00A73AD3" w:rsidRPr="00704094" w:rsidRDefault="00A73AD3" w:rsidP="00873DC3">
      <w:pPr>
        <w:pStyle w:val="Pagrindinispaprastastekstas"/>
        <w:rPr>
          <w:rFonts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A73AD3" w:rsidRPr="00986CFB">
        <w:tc>
          <w:tcPr>
            <w:tcW w:w="9628" w:type="dxa"/>
            <w:tcBorders>
              <w:top w:val="nil"/>
              <w:left w:val="nil"/>
              <w:bottom w:val="nil"/>
              <w:right w:val="nil"/>
            </w:tcBorders>
            <w:shd w:val="clear" w:color="auto" w:fill="DBE5F1"/>
          </w:tcPr>
          <w:p w:rsidR="00A73AD3" w:rsidRPr="00704094" w:rsidRDefault="00A73AD3" w:rsidP="009C320B">
            <w:pPr>
              <w:pStyle w:val="Pagrindinispaprastastekstas"/>
              <w:rPr>
                <w:rFonts w:cs="Times New Roman"/>
                <w:b/>
                <w:bCs/>
                <w:color w:val="1F497D"/>
              </w:rPr>
            </w:pPr>
            <w:r w:rsidRPr="00704094">
              <w:rPr>
                <w:rFonts w:cs="Times New Roman"/>
                <w:b/>
                <w:bCs/>
                <w:color w:val="1F497D"/>
                <w:sz w:val="22"/>
                <w:szCs w:val="22"/>
              </w:rPr>
              <w:t>Pagrindiniai faktai apie vertinimo veiklą</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2007–2013 m. programavimo laikotarpiu Lietuvoje buvo sukurta ir pradėjo faktiškai funkcionuoti centralizuota ES fondų investicijų vertinimo planavimo ir koordinavimo sistema, kuri užtikrina nuoseklų ir sistemingą ES fondų investicijų panaudojimo vertinimą.</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 xml:space="preserve">Nuo 2009 m. iki 2016 m. spalio atlikti 72 vertinimai, 3 metavertinimai ir įgyvendinti 4 vertinimo gebėjimų stiprinimo projektai. Finansų ministerija atliko 34 vertinimus, 3 metavertinimus ir įgyvendino 4 vertinimo gebėjimų stiprinimo projektus. Kitos institucijos analizuojamu laikotarpiu atliko nuo 1 iki 7 vertinimų. </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Faktinės išlaidos vertinimo ir vertinimo gebėjimų stiprinimo veiklai buvo mažesnės nei planuota – iš viso 3,86 mln. EUR ir sudarė 0,056 proc. visų 2007–2013 m. veiksmų programų išlaidų.</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Intervencijų poveikio vertinimai sudarė 34 proc. visų atliktų vertinimų.</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 xml:space="preserve">Vertinimo paslaugas Lietuvos institucijoms 2009–2016 m. teikė 23 paslaugų teikėjai. Dauguma vertinimo paslaugų teikėjų – privatūs Lietuvoje registruoti juridiniai asmenys. </w:t>
            </w:r>
          </w:p>
          <w:p w:rsidR="00A73AD3" w:rsidRPr="00704094" w:rsidRDefault="00A73AD3" w:rsidP="002C4E45">
            <w:pPr>
              <w:pStyle w:val="Pagrindinispaprastastekstas"/>
              <w:numPr>
                <w:ilvl w:val="0"/>
                <w:numId w:val="23"/>
              </w:numPr>
              <w:shd w:val="clear" w:color="auto" w:fill="DBE5F1"/>
              <w:spacing w:before="240" w:after="240"/>
              <w:rPr>
                <w:rFonts w:cs="Times New Roman"/>
              </w:rPr>
            </w:pPr>
            <w:r w:rsidRPr="00704094">
              <w:rPr>
                <w:rFonts w:cs="Times New Roman"/>
                <w:sz w:val="22"/>
                <w:szCs w:val="22"/>
              </w:rPr>
              <w:t>Lietuvoje atliekamų ES fondų investicijų vertinimų kokybė buvo įvertinta ES: 2015 m. Europos Komisijos organizuotame vertinimų konkurse tarp 10 geriausių vertinimų pateko 2 Lietuvoje atlikti vertinimai (konkursui pateikta 90 paraiškų iš 18 ES šalių).</w:t>
            </w:r>
          </w:p>
        </w:tc>
      </w:tr>
    </w:tbl>
    <w:p w:rsidR="00A73AD3" w:rsidRPr="00704094" w:rsidRDefault="00A73AD3" w:rsidP="00E4785C">
      <w:pPr>
        <w:pStyle w:val="Pagrindinispaprastastekstas"/>
        <w:rPr>
          <w:rFonts w:cs="Times New Roman"/>
        </w:rPr>
      </w:pPr>
    </w:p>
    <w:p w:rsidR="00A73AD3" w:rsidRPr="00704094" w:rsidRDefault="00A73AD3" w:rsidP="001B3DD1">
      <w:pPr>
        <w:pStyle w:val="Antrastes1"/>
        <w:rPr>
          <w:rFonts w:cs="Times New Roman"/>
        </w:rPr>
      </w:pPr>
      <w:bookmarkStart w:id="3" w:name="_Toc472343142"/>
      <w:r w:rsidRPr="00704094">
        <w:rPr>
          <w:rFonts w:cs="Times New Roman"/>
        </w:rPr>
        <w:lastRenderedPageBreak/>
        <w:t>ES fondų investicijų vertinimo veikla 2007–2016 m.</w:t>
      </w:r>
      <w:bookmarkEnd w:id="3"/>
    </w:p>
    <w:p w:rsidR="00A73AD3" w:rsidRPr="00704094" w:rsidRDefault="00A73AD3" w:rsidP="00C85E62">
      <w:pPr>
        <w:pStyle w:val="Pagrindinispaprastastekstas"/>
        <w:rPr>
          <w:rFonts w:cs="Times New Roman"/>
          <w:i/>
          <w:iCs/>
          <w:sz w:val="22"/>
          <w:szCs w:val="22"/>
        </w:rPr>
      </w:pPr>
      <w:r w:rsidRPr="00704094">
        <w:rPr>
          <w:rFonts w:cs="Times New Roman"/>
          <w:i/>
          <w:iCs/>
          <w:sz w:val="22"/>
          <w:szCs w:val="22"/>
        </w:rPr>
        <w:t>Šioje dalyje pateikiama 2007–2016 m. vykdytos vertinimo veiklos apžvalga: pristatoma vertinimo sistema, trumpai apžvelgiami vertinimo veiklos kokybės ir rezultatų naudojimo klausimai, pristatomos 2007</w:t>
      </w:r>
      <w:r w:rsidRPr="00704094">
        <w:rPr>
          <w:rFonts w:cs="Times New Roman"/>
          <w:sz w:val="22"/>
          <w:szCs w:val="22"/>
        </w:rPr>
        <w:t>–</w:t>
      </w:r>
      <w:r w:rsidRPr="00704094">
        <w:rPr>
          <w:rFonts w:cs="Times New Roman"/>
          <w:i/>
          <w:iCs/>
          <w:sz w:val="22"/>
          <w:szCs w:val="22"/>
        </w:rPr>
        <w:t>2013 m. programavimo laikotarpio pamokos ir pagrindiniai iššūkiai vertinimo srityje 2014</w:t>
      </w:r>
      <w:r w:rsidRPr="00704094">
        <w:rPr>
          <w:rFonts w:cs="Times New Roman"/>
          <w:sz w:val="22"/>
          <w:szCs w:val="22"/>
        </w:rPr>
        <w:t>–</w:t>
      </w:r>
      <w:r w:rsidRPr="00704094">
        <w:rPr>
          <w:rFonts w:cs="Times New Roman"/>
          <w:i/>
          <w:iCs/>
          <w:sz w:val="22"/>
          <w:szCs w:val="22"/>
        </w:rPr>
        <w:t>2020 m.</w:t>
      </w:r>
    </w:p>
    <w:p w:rsidR="00A73AD3" w:rsidRPr="00704094" w:rsidRDefault="00A73AD3" w:rsidP="00A372E1">
      <w:pPr>
        <w:pStyle w:val="Antrastes2"/>
        <w:rPr>
          <w:rFonts w:cs="Times New Roman"/>
        </w:rPr>
      </w:pPr>
      <w:bookmarkStart w:id="4" w:name="_Toc472343143"/>
      <w:r w:rsidRPr="00704094">
        <w:rPr>
          <w:rFonts w:cs="Times New Roman"/>
        </w:rPr>
        <w:t>Vertinimo sistema, vertinimų planavimas ir koordinavimas</w:t>
      </w:r>
      <w:bookmarkEnd w:id="4"/>
      <w:r w:rsidRPr="00704094">
        <w:rPr>
          <w:rFonts w:cs="Times New Roman"/>
        </w:rPr>
        <w:t xml:space="preserve"> </w:t>
      </w:r>
    </w:p>
    <w:p w:rsidR="00A73AD3" w:rsidRPr="00704094" w:rsidRDefault="00A73AD3" w:rsidP="00473D28">
      <w:pPr>
        <w:pStyle w:val="Pagrindinispaprastastekstas"/>
        <w:rPr>
          <w:rFonts w:cs="Times New Roman"/>
          <w:sz w:val="22"/>
          <w:szCs w:val="22"/>
        </w:rPr>
      </w:pPr>
      <w:r w:rsidRPr="00704094">
        <w:rPr>
          <w:rFonts w:cs="Times New Roman"/>
          <w:sz w:val="22"/>
          <w:szCs w:val="22"/>
        </w:rPr>
        <w:t xml:space="preserve">Vertinimas yra svarbi sudėtinė sprendimų priėmimo dalis, naudojama viešosios politikos ir programų valdymui tobulinti ir viešųjų investicijų efektyvumui bei rezultatyvumui didinti. Bendrąsias nuostatas dėl 2007–2013 m. ES fondų investicijų vertinimo, valstybių narių ir Europos Komisijos atsakomybės nustatė 2006 m. liepos 11 d. </w:t>
      </w:r>
      <w:hyperlink r:id="rId10" w:history="1">
        <w:r w:rsidRPr="00704094">
          <w:rPr>
            <w:rFonts w:cs="Times New Roman"/>
            <w:sz w:val="22"/>
            <w:szCs w:val="22"/>
          </w:rPr>
          <w:t>Tarybos reglamentas (EB) Nr. 1083/2006</w:t>
        </w:r>
      </w:hyperlink>
      <w:r w:rsidRPr="00704094">
        <w:rPr>
          <w:rFonts w:cs="Times New Roman"/>
          <w:sz w:val="22"/>
          <w:szCs w:val="22"/>
        </w:rPr>
        <w:t>, pagal kurį vertinimu siekiama pagerinti ES fondų skiriamos paramos kokybę, veiksmingumą ir nuoseklumą bei veiksmų programų strategiją ir įgyvendinimą.</w:t>
      </w:r>
    </w:p>
    <w:p w:rsidR="00A73AD3" w:rsidRPr="00704094" w:rsidRDefault="00CA1232" w:rsidP="00473D28">
      <w:pPr>
        <w:pStyle w:val="Pagrindinispaprastastekstas"/>
        <w:rPr>
          <w:rFonts w:cs="Times New Roman"/>
          <w:sz w:val="22"/>
          <w:szCs w:val="22"/>
        </w:rPr>
      </w:pPr>
      <w:r>
        <w:rPr>
          <w:noProof/>
          <w:sz w:val="22"/>
          <w:szCs w:val="22"/>
        </w:rPr>
        <mc:AlternateContent>
          <mc:Choice Requires="wps">
            <w:drawing>
              <wp:anchor distT="107950" distB="107950" distL="107950" distR="107950" simplePos="0" relativeHeight="251646976" behindDoc="1" locked="0" layoutInCell="1" allowOverlap="1">
                <wp:simplePos x="0" y="0"/>
                <wp:positionH relativeFrom="margin">
                  <wp:align>right</wp:align>
                </wp:positionH>
                <wp:positionV relativeFrom="paragraph">
                  <wp:posOffset>45720</wp:posOffset>
                </wp:positionV>
                <wp:extent cx="2555240" cy="966470"/>
                <wp:effectExtent l="0" t="4445" r="0" b="635"/>
                <wp:wrapSquare wrapText="bothSides"/>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96647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BB2F5D">
                            <w:pPr>
                              <w:jc w:val="center"/>
                              <w:rPr>
                                <w:rFonts w:ascii="Cambria" w:hAnsi="Cambria" w:cs="Cambria"/>
                                <w:color w:val="17365D"/>
                                <w:sz w:val="20"/>
                                <w:szCs w:val="20"/>
                              </w:rPr>
                            </w:pPr>
                            <w:r w:rsidRPr="00704094">
                              <w:rPr>
                                <w:rFonts w:ascii="Cambria" w:hAnsi="Cambria"/>
                                <w:color w:val="17365D"/>
                                <w:sz w:val="20"/>
                                <w:szCs w:val="20"/>
                              </w:rPr>
                              <w:t>2007–2013 m. laikotarpiu Lietuvoje buvo sukurta ir pradėjo funkcionuoti centralizuotu planavimu ir koordinavimu pagrįsta ES fondų investicijų panaudojimo vertinimo sistema.</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50pt;margin-top:3.6pt;width:201.2pt;height:76.1pt;z-index:-251669504;visibility:visible;mso-wrap-style:square;mso-width-percent:0;mso-height-percent:0;mso-wrap-distance-left:8.5pt;mso-wrap-distance-top:8.5pt;mso-wrap-distance-right:8.5pt;mso-wrap-distance-bottom: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" fillcolor="#efede3" stroked="f" strokeweight=".5pt">
                <v:fill color2="#eae7d9" rotate="t" focusposition=".5,.5" focussize="" focus="100%" type="gradientRadial"/>
                <v:textbox inset="3mm,3mm,3mm,3mm">
                  <w:txbxContent>
                    <w:p w:rsidR="009F5833" w:rsidRPr="00986CFB" w:rsidRDefault="009F5833" w:rsidP="00BB2F5D">
                      <w:pPr>
                        <w:jc w:val="center"/>
                        <w:rPr>
                          <w:rFonts w:ascii="Cambria" w:hAnsi="Cambria" w:cs="Cambria"/>
                          <w:color w:val="17365D"/>
                          <w:sz w:val="20"/>
                          <w:szCs w:val="20"/>
                        </w:rPr>
                      </w:pPr>
                      <w:r w:rsidRPr="00704094">
                        <w:rPr>
                          <w:rFonts w:ascii="Cambria" w:hAnsi="Cambria"/>
                          <w:color w:val="17365D"/>
                          <w:sz w:val="20"/>
                          <w:szCs w:val="20"/>
                        </w:rPr>
                        <w:t>2007–2013 m. laikotarpiu Lietuvoje buvo sukurta ir pradėjo funkcionuoti centralizuotu planavimu ir koordinavimu pagrįsta ES fondų investicijų panaudojimo vertinimo sistema.</w:t>
                      </w:r>
                    </w:p>
                  </w:txbxContent>
                </v:textbox>
                <w10:wrap type="square" anchorx="margin"/>
              </v:shape>
            </w:pict>
          </mc:Fallback>
        </mc:AlternateContent>
      </w:r>
    </w:p>
    <w:p w:rsidR="00A73AD3" w:rsidRPr="00704094" w:rsidRDefault="00A73AD3" w:rsidP="00AA51B0">
      <w:pPr>
        <w:pStyle w:val="Pagrindinispaprastastekstas"/>
        <w:rPr>
          <w:rFonts w:cs="Times New Roman"/>
          <w:sz w:val="22"/>
          <w:szCs w:val="22"/>
        </w:rPr>
      </w:pPr>
      <w:r w:rsidRPr="00704094">
        <w:rPr>
          <w:rFonts w:cs="Times New Roman"/>
          <w:sz w:val="22"/>
          <w:szCs w:val="22"/>
        </w:rPr>
        <w:t>Lietuvoje 2007–2013 m. laikotarpiu buvo sukurta ir pradėjo faktiškai funkcionuoti centralizuota ES fondų investicijų vertinimo planavimo ir koordinavimo sistema, kuri užtikrina nuoseklų ir sistemingą ES fondų investicijų vertinimą ir sprendimų priėmimui aktualių įrodymų rinkimą. Vertinimo veiklai buvo numatyti finansiniai ir žmogiškieji ištekliai – vertinimo funkcijai įgyvendinti visose už vertinimą atsakingose institucijose paskirti atsakingi darbuotojai. Planuojant ir įgyvendinant vertinimo projektus susiformavo gera praktika: sudaromos vertinimo projektų priežiūros grupės, atliktų vertinimų rezultatai viešinami, organizuojant viešas diskusijas su suinteresuotomis institucijomis ir partneriais, veikia vertinimo rekomendacijų įgyvendinimo planų stebėsena – visa tai prisideda prie vertinimų rezultatų sklaidos ir naudojimo priimant sprendimus.</w:t>
      </w:r>
    </w:p>
    <w:p w:rsidR="00A73AD3" w:rsidRPr="00704094" w:rsidRDefault="00A73AD3" w:rsidP="00AA51B0">
      <w:pPr>
        <w:pStyle w:val="Pagrindinispaprastastekstas"/>
        <w:rPr>
          <w:rFonts w:cs="Times New Roman"/>
          <w:sz w:val="22"/>
          <w:szCs w:val="22"/>
        </w:rPr>
      </w:pPr>
    </w:p>
    <w:p w:rsidR="00A73AD3" w:rsidRPr="00704094" w:rsidRDefault="00A73AD3" w:rsidP="004F4196">
      <w:pPr>
        <w:pStyle w:val="Pagrindinispaprastastekstas"/>
        <w:rPr>
          <w:rFonts w:cs="Times New Roman"/>
          <w:sz w:val="22"/>
          <w:szCs w:val="22"/>
        </w:rPr>
      </w:pPr>
      <w:r w:rsidRPr="00704094">
        <w:rPr>
          <w:rFonts w:cs="Times New Roman"/>
          <w:sz w:val="22"/>
          <w:szCs w:val="22"/>
        </w:rPr>
        <w:t xml:space="preserve">2007–2013 m. vertinimo veiklai planuoti ir vykdyti buvo parengtas ES struktūrinės paramos vertinimo planas. Jame buvo nustatyti ES struktūrinių fondų lėšų panaudojimo vertinimo Lietuvoje tikslai ir uždaviniai 2007–2013 metams, suplanuotos priemonės ir finansiniai ištekliai šiems tikslams ir uždaviniams įgyvendinti. Šiam planui įgyvendinti 2008–2013 m. buvo parengti 6 metiniai vertinimo planai, kuriuose buvo numatyti konkretūs vertinimo ir vertinimo gebėjimų stiprinimo projektai, už jų įgyvendinimą atsakingos institucijos ir vertinimo projektų įgyvendinimo terminai. </w:t>
      </w:r>
    </w:p>
    <w:p w:rsidR="00A73AD3" w:rsidRPr="00704094" w:rsidRDefault="00A73AD3" w:rsidP="00326675">
      <w:pPr>
        <w:pStyle w:val="Pagrindinispaprastastekstas"/>
        <w:rPr>
          <w:rFonts w:cs="Times New Roman"/>
          <w:sz w:val="22"/>
          <w:szCs w:val="22"/>
        </w:rPr>
      </w:pPr>
    </w:p>
    <w:p w:rsidR="00A73AD3" w:rsidRPr="00704094" w:rsidRDefault="00A73AD3" w:rsidP="00326675">
      <w:pPr>
        <w:pStyle w:val="Pagrindinispaprastastekstas"/>
        <w:rPr>
          <w:rFonts w:cs="Times New Roman"/>
          <w:sz w:val="22"/>
          <w:szCs w:val="22"/>
        </w:rPr>
      </w:pPr>
      <w:r w:rsidRPr="00704094">
        <w:rPr>
          <w:rFonts w:cs="Times New Roman"/>
          <w:sz w:val="22"/>
          <w:szCs w:val="22"/>
        </w:rPr>
        <w:t>Vertinimo planavimo ir koordinavimo funkciją vykdė Finansų ministerija, kuri:</w:t>
      </w:r>
    </w:p>
    <w:p w:rsidR="00A73AD3" w:rsidRPr="00704094" w:rsidRDefault="00A73AD3" w:rsidP="00326675">
      <w:pPr>
        <w:pStyle w:val="Pagrindinispaprastastekstas"/>
        <w:rPr>
          <w:rFonts w:cs="Times New Roman"/>
          <w:sz w:val="22"/>
          <w:szCs w:val="22"/>
        </w:rPr>
      </w:pP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Rengė metinius vertinimo planus ir stebėjo jų įgyvendinimą;</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Reguliariai informavo Stebėsenos komitetą ir Europos Komisiją apie ES struktūrinių fondų investicijų vertinimo rezultatus;</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Organizavo tarpinstitucinės Vertinimo koordinavimo grupės veiklą;</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Organizavo ES struktūrinių fondų investicijų vertinimo gebėjimų stiprinimo veiklą;</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Užtikrino metinių vertinimo planų, vertinimo ataskaitų ir kitos su vertinimu susijusios informacijos viešinimą ES struktūrinės paramos svetainėje;</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Kaupė ir analizavo informaciją apie vertinimo rekomendacijų įgyvendinimą;</w:t>
      </w:r>
    </w:p>
    <w:p w:rsidR="00A73AD3" w:rsidRPr="00704094" w:rsidRDefault="00A73AD3" w:rsidP="00473D28">
      <w:pPr>
        <w:pStyle w:val="Pagrindinispaprastastekstas"/>
        <w:numPr>
          <w:ilvl w:val="0"/>
          <w:numId w:val="27"/>
        </w:numPr>
        <w:rPr>
          <w:rFonts w:cs="Times New Roman"/>
          <w:sz w:val="22"/>
          <w:szCs w:val="22"/>
        </w:rPr>
      </w:pPr>
      <w:r w:rsidRPr="00704094">
        <w:rPr>
          <w:rFonts w:cs="Times New Roman"/>
          <w:sz w:val="22"/>
          <w:szCs w:val="22"/>
        </w:rPr>
        <w:t>Atliko parengiamuosius darbus, susijusius su 2014–2020 m. laikotarpio vertinimu.</w:t>
      </w:r>
    </w:p>
    <w:p w:rsidR="00A73AD3" w:rsidRPr="00704094" w:rsidRDefault="00A73AD3" w:rsidP="00AA51B0">
      <w:pPr>
        <w:pStyle w:val="Pagrindinispaprastastekstas"/>
        <w:rPr>
          <w:rFonts w:cs="Times New Roman"/>
          <w:sz w:val="22"/>
          <w:szCs w:val="22"/>
        </w:rPr>
      </w:pPr>
    </w:p>
    <w:p w:rsidR="00A73AD3" w:rsidRPr="00704094" w:rsidRDefault="00A73AD3" w:rsidP="00D8028A">
      <w:pPr>
        <w:pStyle w:val="Pagrindinispaprastastekstas"/>
        <w:rPr>
          <w:rFonts w:cs="Times New Roman"/>
          <w:sz w:val="22"/>
          <w:szCs w:val="22"/>
        </w:rPr>
      </w:pPr>
      <w:r w:rsidRPr="00704094">
        <w:rPr>
          <w:rFonts w:cs="Times New Roman"/>
          <w:sz w:val="22"/>
          <w:szCs w:val="22"/>
        </w:rPr>
        <w:t>Vertinimus inicijavo ir vykdė tiek Finansų ministerija, tiek kitos ES fondų investicijas administruojančios institucijos: Aplinkos, Ūkio, Vidaus reikalų, Sveikatos apsaugos, Švietimo ir mokslo, Socialinės apsaugos ir darbo, Susisiekimo ministerijos bei Informacinės visuomenės p</w:t>
      </w:r>
      <w:r w:rsidR="009F5833">
        <w:rPr>
          <w:rFonts w:cs="Times New Roman"/>
          <w:sz w:val="22"/>
          <w:szCs w:val="22"/>
        </w:rPr>
        <w:t xml:space="preserve">lėtros komitetas. 2014–2020 m. </w:t>
      </w:r>
      <w:r w:rsidRPr="00704094">
        <w:rPr>
          <w:rFonts w:cs="Times New Roman"/>
          <w:sz w:val="22"/>
          <w:szCs w:val="22"/>
        </w:rPr>
        <w:t xml:space="preserve">šią funkciją vykdo ir Kultūros bei Energetikos ministerijos. </w:t>
      </w:r>
    </w:p>
    <w:p w:rsidR="00A73AD3" w:rsidRPr="00704094" w:rsidRDefault="00A73AD3" w:rsidP="00D8028A">
      <w:pPr>
        <w:pStyle w:val="Pagrindinispaprastastekstas"/>
        <w:rPr>
          <w:rFonts w:cs="Times New Roman"/>
          <w:sz w:val="22"/>
          <w:szCs w:val="22"/>
        </w:rPr>
      </w:pPr>
    </w:p>
    <w:p w:rsidR="00A73AD3" w:rsidRPr="00704094" w:rsidRDefault="00A73AD3" w:rsidP="00D8028A">
      <w:pPr>
        <w:pStyle w:val="Pagrindinispaprastastekstas"/>
        <w:rPr>
          <w:rFonts w:cs="Times New Roman"/>
          <w:sz w:val="22"/>
          <w:szCs w:val="22"/>
        </w:rPr>
      </w:pPr>
      <w:r w:rsidRPr="00704094">
        <w:rPr>
          <w:rFonts w:cs="Times New Roman"/>
          <w:sz w:val="22"/>
          <w:szCs w:val="22"/>
        </w:rPr>
        <w:t xml:space="preserve">Svarbų vaidmenį atliko tarpinstitucinė Vertinimo koordinavimo grupė (toliau – VKG). </w:t>
      </w:r>
      <w:r w:rsidRPr="00704094">
        <w:rPr>
          <w:rFonts w:eastAsia="Batang" w:cs="Times New Roman"/>
          <w:sz w:val="22"/>
          <w:szCs w:val="22"/>
        </w:rPr>
        <w:t xml:space="preserve">VKG nauda išryškėjo sudarant ir svarstant metinius vertinimo planus, diskutuojant dėl aktualių vertinimo temų, </w:t>
      </w:r>
      <w:r w:rsidRPr="00704094">
        <w:rPr>
          <w:rFonts w:eastAsia="Batang" w:cs="Times New Roman"/>
          <w:sz w:val="22"/>
          <w:szCs w:val="22"/>
        </w:rPr>
        <w:lastRenderedPageBreak/>
        <w:t>vertinimų apimties, biudžeto ir kitų klausimų. Institucijos turėjo galimybę sužinoti apie kitų institucijų planuojamus vertinimus. Tai leido išvengti vertinimų dubliavimo, nustatyti vertinimų temas, kurios aktualios kelioms ar visoms institucijoms. VKG formatas buvo veiksmingai naudojamas kaip vertinimo priežiūros darbo grupė, vykdant Finansų ministerijos inicijuotus vertinimus, kurie apėmė įvairioms institucijoms aktualius klausimus. Be to, VKG buvo pagrindinė tikslinė grupė, kuriai buvo skirta didžioji dalis vykdytų vertinimo gebėjimų stiprinimo priemonių.</w:t>
      </w:r>
    </w:p>
    <w:p w:rsidR="00A73AD3" w:rsidRPr="00704094" w:rsidRDefault="00A73AD3" w:rsidP="00B42C8B">
      <w:pPr>
        <w:pStyle w:val="Antrastes2"/>
        <w:rPr>
          <w:rFonts w:cs="Times New Roman"/>
        </w:rPr>
      </w:pPr>
      <w:bookmarkStart w:id="5" w:name="_Toc472343144"/>
      <w:r w:rsidRPr="00704094">
        <w:rPr>
          <w:rFonts w:cs="Times New Roman"/>
        </w:rPr>
        <w:t>Vertinimo veiklos apimtis</w:t>
      </w:r>
      <w:bookmarkEnd w:id="5"/>
    </w:p>
    <w:p w:rsidR="00A73AD3" w:rsidRPr="00704094" w:rsidRDefault="00A73AD3" w:rsidP="00AA51B0">
      <w:pPr>
        <w:pStyle w:val="Pagrindinispaprastastekstas"/>
        <w:rPr>
          <w:rFonts w:cs="Times New Roman"/>
          <w:sz w:val="22"/>
          <w:szCs w:val="22"/>
        </w:rPr>
      </w:pPr>
      <w:r w:rsidRPr="00704094">
        <w:rPr>
          <w:rFonts w:cs="Times New Roman"/>
          <w:b/>
          <w:bCs/>
          <w:color w:val="1F497D"/>
          <w:sz w:val="22"/>
          <w:szCs w:val="22"/>
        </w:rPr>
        <w:t>Atliktų vertinimų skaičius.</w:t>
      </w:r>
      <w:r w:rsidRPr="00704094">
        <w:rPr>
          <w:rFonts w:cs="Times New Roman"/>
          <w:color w:val="1F497D"/>
          <w:sz w:val="22"/>
          <w:szCs w:val="22"/>
        </w:rPr>
        <w:t xml:space="preserve"> </w:t>
      </w:r>
      <w:r w:rsidRPr="00704094">
        <w:rPr>
          <w:rFonts w:cs="Times New Roman"/>
          <w:sz w:val="22"/>
          <w:szCs w:val="22"/>
        </w:rPr>
        <w:t xml:space="preserve">Iki 2016 m. pabaigos Lietuvoje buvo atlikti 72 vertinimai: 63 vertinimai buvo suplanuoti 2008–2013 m. vertinimo planuose, 9 vertinimai – 2015–2017 m. vertinimo planuose. Taip pat buvo įgyvendinti 4 vertinimo gebėjimų stiprinimo projektai ir atlikti 3 metavertinimai. 2007–2013 m. veiksmų programų intervencijoms buvo skirti 55 vertinimai (plačiau žr. </w:t>
      </w:r>
      <w:r w:rsidR="00085363" w:rsidRPr="00704094">
        <w:rPr>
          <w:sz w:val="22"/>
          <w:szCs w:val="22"/>
        </w:rPr>
        <w:fldChar w:fldCharType="begin"/>
      </w:r>
      <w:r w:rsidR="00085363" w:rsidRPr="00704094">
        <w:rPr>
          <w:sz w:val="22"/>
          <w:szCs w:val="22"/>
        </w:rPr>
        <w:instrText xml:space="preserve"> REF _Ref468350910 \h  \* MERGEFORMAT </w:instrText>
      </w:r>
      <w:r w:rsidR="00085363" w:rsidRPr="00704094">
        <w:rPr>
          <w:sz w:val="22"/>
          <w:szCs w:val="22"/>
        </w:rPr>
      </w:r>
      <w:r w:rsidR="00085363" w:rsidRPr="00704094">
        <w:rPr>
          <w:sz w:val="22"/>
          <w:szCs w:val="22"/>
        </w:rPr>
        <w:fldChar w:fldCharType="separate"/>
      </w:r>
      <w:r w:rsidRPr="00704094">
        <w:rPr>
          <w:rFonts w:cs="Times New Roman"/>
          <w:sz w:val="22"/>
          <w:szCs w:val="22"/>
        </w:rPr>
        <w:t>1 lentelę</w:t>
      </w:r>
      <w:r w:rsidR="00085363" w:rsidRPr="00704094">
        <w:rPr>
          <w:sz w:val="22"/>
          <w:szCs w:val="22"/>
        </w:rPr>
        <w:fldChar w:fldCharType="end"/>
      </w:r>
      <w:r w:rsidRPr="00704094">
        <w:rPr>
          <w:rFonts w:cs="Times New Roman"/>
          <w:sz w:val="22"/>
          <w:szCs w:val="22"/>
        </w:rPr>
        <w:t>); dalyje šių vertinimų nagrinėti klausimai, susiję su pasirengimu 2014–2020 m. laikotarpiui. Kiti vertinimai apėmė Lietuvos 2004–2006 m. bendrojo programavimo dokumento intervencijas (7 vertinimai) ir 2014–2020 m. laikotarpio intervencijas (2 vertinimai). Vertinimų sąrašas pateiktas 1 priede.</w:t>
      </w:r>
    </w:p>
    <w:p w:rsidR="00A73AD3" w:rsidRPr="00704094" w:rsidRDefault="00A73AD3" w:rsidP="00AA51B0">
      <w:pPr>
        <w:pStyle w:val="Pagrindinispaprastastekstas"/>
        <w:rPr>
          <w:rFonts w:cs="Times New Roman"/>
          <w:sz w:val="22"/>
          <w:szCs w:val="22"/>
        </w:rPr>
      </w:pPr>
    </w:p>
    <w:p w:rsidR="00A73AD3" w:rsidRPr="00704094" w:rsidRDefault="00A73AD3" w:rsidP="00C85E62">
      <w:pPr>
        <w:pStyle w:val="Pagrindinispaprastastekstas"/>
        <w:shd w:val="clear" w:color="auto" w:fill="DBE5F1"/>
        <w:rPr>
          <w:rFonts w:cs="Times New Roman"/>
          <w:i/>
          <w:iCs/>
          <w:sz w:val="22"/>
          <w:szCs w:val="22"/>
        </w:rPr>
      </w:pPr>
      <w:r w:rsidRPr="00704094">
        <w:rPr>
          <w:rFonts w:cs="Times New Roman"/>
          <w:i/>
          <w:iCs/>
          <w:sz w:val="22"/>
          <w:szCs w:val="22"/>
        </w:rPr>
        <w:t>Visų 2007</w:t>
      </w:r>
      <w:r w:rsidRPr="00704094">
        <w:rPr>
          <w:rFonts w:cs="Times New Roman"/>
          <w:sz w:val="22"/>
          <w:szCs w:val="22"/>
        </w:rPr>
        <w:t>–</w:t>
      </w:r>
      <w:r w:rsidRPr="00704094">
        <w:rPr>
          <w:rFonts w:cs="Times New Roman"/>
          <w:i/>
          <w:iCs/>
          <w:sz w:val="22"/>
          <w:szCs w:val="22"/>
        </w:rPr>
        <w:t>2013 m. techninės paramos lėšomis finansuotų vertinimų (56 vertinimai, be 2004</w:t>
      </w:r>
      <w:r w:rsidRPr="00704094">
        <w:rPr>
          <w:rFonts w:cs="Times New Roman"/>
          <w:sz w:val="22"/>
          <w:szCs w:val="22"/>
        </w:rPr>
        <w:t>–</w:t>
      </w:r>
      <w:r w:rsidRPr="00704094">
        <w:rPr>
          <w:rFonts w:cs="Times New Roman"/>
          <w:i/>
          <w:iCs/>
          <w:sz w:val="22"/>
          <w:szCs w:val="22"/>
        </w:rPr>
        <w:t xml:space="preserve">2006 m. intervencijų vertinimų) rezultatų ir rekomendacijų apžvalga pateikta Finansų ministerijos parengtame dokumente „2007–2013 metų Europos Sąjungos struktūrinės paramos vertinimas. Atliktų vertinimų apžvalga“ – žr. </w:t>
      </w:r>
      <w:hyperlink r:id="rId11" w:history="1">
        <w:r w:rsidRPr="00704094">
          <w:rPr>
            <w:rStyle w:val="Hyperlink"/>
            <w:rFonts w:cs="Times New Roman"/>
            <w:i/>
            <w:iCs/>
            <w:sz w:val="22"/>
            <w:szCs w:val="22"/>
          </w:rPr>
          <w:t>www.esinvesticijos.lt</w:t>
        </w:r>
      </w:hyperlink>
      <w:r w:rsidRPr="00704094">
        <w:rPr>
          <w:rFonts w:cs="Times New Roman"/>
          <w:i/>
          <w:iCs/>
          <w:sz w:val="22"/>
          <w:szCs w:val="22"/>
        </w:rPr>
        <w:t xml:space="preserve">  </w:t>
      </w:r>
    </w:p>
    <w:p w:rsidR="00A73AD3" w:rsidRPr="00704094" w:rsidRDefault="00A73AD3" w:rsidP="00C85E62">
      <w:pPr>
        <w:pStyle w:val="Pagrindinispaprastastekstas"/>
        <w:rPr>
          <w:rFonts w:cs="Times New Roman"/>
          <w:sz w:val="22"/>
          <w:szCs w:val="22"/>
        </w:rPr>
      </w:pPr>
    </w:p>
    <w:p w:rsidR="00A73AD3" w:rsidRPr="00704094" w:rsidRDefault="00A73AD3" w:rsidP="00392D4E">
      <w:pPr>
        <w:pStyle w:val="Pagrindinispaprastastekstas"/>
        <w:rPr>
          <w:rFonts w:cs="Times New Roman"/>
          <w:sz w:val="22"/>
          <w:szCs w:val="22"/>
        </w:rPr>
      </w:pPr>
      <w:r w:rsidRPr="00704094">
        <w:rPr>
          <w:rFonts w:cs="Times New Roman"/>
          <w:b/>
          <w:bCs/>
          <w:color w:val="1F497D"/>
          <w:sz w:val="22"/>
          <w:szCs w:val="22"/>
        </w:rPr>
        <w:t>Išlaidos vertinimui.</w:t>
      </w:r>
      <w:r w:rsidRPr="00704094">
        <w:rPr>
          <w:rFonts w:cs="Times New Roman"/>
          <w:color w:val="1F497D"/>
          <w:sz w:val="22"/>
          <w:szCs w:val="22"/>
        </w:rPr>
        <w:t xml:space="preserve"> </w:t>
      </w:r>
      <w:r w:rsidRPr="00704094">
        <w:rPr>
          <w:rFonts w:cs="Times New Roman"/>
          <w:sz w:val="22"/>
          <w:szCs w:val="22"/>
        </w:rPr>
        <w:t>Faktinės išlaidos vertinimo ir vertinimo gebėjimų stiprinimo veiklai iš 2007–2013 m. techninės paramos sudarė 3,86 mln. EUR ir buvo 17 proc. mažesnės už planuotas. Mažesnes nei planuota faktines išlaidas vertinimui lėmė bendra Lietuvos ekonominė situacija ir didelė paslaugų teikėjų konkurencija. Pagal išlaidų vertinimui santykį su 2007–2013 m. veiksmų programų finansavimu matyti, kad vertinimui ir vertinimo gebėjimų stiprinimui tenkanti išlaidų dalis (0,056 proc.) Lietuvoje yra gerokai mažesnė už Europos Komisijos rekomenduojamą 1 proc. intervencijų vertės.</w:t>
      </w:r>
    </w:p>
    <w:p w:rsidR="00A73AD3" w:rsidRPr="00704094" w:rsidRDefault="00A73AD3" w:rsidP="00AA51B0">
      <w:pPr>
        <w:pStyle w:val="Pagrindinispaprastastekstas"/>
        <w:rPr>
          <w:rFonts w:cs="Times New Roman"/>
        </w:rPr>
      </w:pPr>
    </w:p>
    <w:bookmarkStart w:id="6" w:name="_Ref468350910"/>
    <w:p w:rsidR="00A73AD3" w:rsidRPr="00704094" w:rsidRDefault="00A73AD3" w:rsidP="00AA51B0">
      <w:pPr>
        <w:pStyle w:val="Caption"/>
        <w:rPr>
          <w:rFonts w:cs="Times New Roman"/>
        </w:rPr>
      </w:pPr>
      <w:r w:rsidRPr="00704094">
        <w:rPr>
          <w:rFonts w:cs="Times New Roman"/>
        </w:rPr>
        <w:fldChar w:fldCharType="begin"/>
      </w:r>
      <w:r w:rsidRPr="00704094">
        <w:rPr>
          <w:rFonts w:cs="Times New Roman"/>
        </w:rPr>
        <w:instrText xml:space="preserve"> SEQ lentelė \* ARABIC </w:instrText>
      </w:r>
      <w:r w:rsidRPr="00704094">
        <w:rPr>
          <w:rFonts w:cs="Times New Roman"/>
        </w:rPr>
        <w:fldChar w:fldCharType="separate"/>
      </w:r>
      <w:r w:rsidRPr="00704094">
        <w:rPr>
          <w:rFonts w:cs="Times New Roman"/>
        </w:rPr>
        <w:t>1</w:t>
      </w:r>
      <w:r w:rsidRPr="00704094">
        <w:rPr>
          <w:rFonts w:cs="Times New Roman"/>
        </w:rPr>
        <w:fldChar w:fldCharType="end"/>
      </w:r>
      <w:r w:rsidRPr="00704094">
        <w:rPr>
          <w:rFonts w:cs="Times New Roman"/>
        </w:rPr>
        <w:t xml:space="preserve"> lentelė</w:t>
      </w:r>
      <w:bookmarkEnd w:id="6"/>
      <w:r w:rsidRPr="00704094">
        <w:rPr>
          <w:rFonts w:cs="Times New Roman"/>
        </w:rPr>
        <w:t>. Užbaigtų vertinimų skaičius pagal vertinimo finansavimo šaltinį ir intervencijas</w:t>
      </w:r>
    </w:p>
    <w:tbl>
      <w:tblPr>
        <w:tblW w:w="4946" w:type="pct"/>
        <w:tblInd w:w="-106" w:type="dxa"/>
        <w:tblBorders>
          <w:top w:val="single" w:sz="4" w:space="0" w:color="4F81BD"/>
          <w:bottom w:val="single" w:sz="4" w:space="0" w:color="4F81BD"/>
        </w:tblBorders>
        <w:tblLook w:val="00A0" w:firstRow="1" w:lastRow="0" w:firstColumn="1" w:lastColumn="0" w:noHBand="0" w:noVBand="0"/>
      </w:tblPr>
      <w:tblGrid>
        <w:gridCol w:w="3651"/>
        <w:gridCol w:w="1016"/>
        <w:gridCol w:w="2753"/>
        <w:gridCol w:w="2328"/>
      </w:tblGrid>
      <w:tr w:rsidR="00A73AD3" w:rsidRPr="00986CFB">
        <w:trPr>
          <w:tblHeader/>
        </w:trPr>
        <w:tc>
          <w:tcPr>
            <w:tcW w:w="1873" w:type="pct"/>
            <w:vMerge w:val="restart"/>
            <w:tcBorders>
              <w:top w:val="single" w:sz="4" w:space="0" w:color="4F81BD"/>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Vertinamos intervencijos</w:t>
            </w:r>
          </w:p>
        </w:tc>
        <w:tc>
          <w:tcPr>
            <w:tcW w:w="521" w:type="pct"/>
            <w:vMerge w:val="restart"/>
            <w:tcBorders>
              <w:top w:val="single" w:sz="4" w:space="0" w:color="4F81BD"/>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Iš viso</w:t>
            </w:r>
          </w:p>
        </w:tc>
        <w:tc>
          <w:tcPr>
            <w:tcW w:w="2606" w:type="pct"/>
            <w:gridSpan w:val="2"/>
            <w:tcBorders>
              <w:top w:val="single" w:sz="4" w:space="0" w:color="4F81BD"/>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Vertinimo finansavimo šaltinis</w:t>
            </w:r>
          </w:p>
        </w:tc>
      </w:tr>
      <w:tr w:rsidR="00A73AD3" w:rsidRPr="00986CFB">
        <w:trPr>
          <w:tblHeader/>
        </w:trPr>
        <w:tc>
          <w:tcPr>
            <w:tcW w:w="1873" w:type="pct"/>
            <w:vMerge/>
            <w:tcBorders>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p>
        </w:tc>
        <w:tc>
          <w:tcPr>
            <w:tcW w:w="521" w:type="pct"/>
            <w:vMerge/>
            <w:tcBorders>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p>
        </w:tc>
        <w:tc>
          <w:tcPr>
            <w:tcW w:w="1412" w:type="pct"/>
            <w:tcBorders>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 xml:space="preserve">2007–2013 m. TP </w:t>
            </w:r>
          </w:p>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(2008–2013 m. MVP)</w:t>
            </w:r>
          </w:p>
        </w:tc>
        <w:tc>
          <w:tcPr>
            <w:tcW w:w="1194" w:type="pct"/>
            <w:tcBorders>
              <w:bottom w:val="single" w:sz="4" w:space="0" w:color="4F81BD"/>
            </w:tcBorders>
            <w:vAlign w:val="center"/>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 xml:space="preserve">2014–2020 m. TP </w:t>
            </w:r>
          </w:p>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color w:val="365F91"/>
                <w:sz w:val="20"/>
                <w:szCs w:val="20"/>
                <w:lang w:eastAsia="en-US"/>
              </w:rPr>
              <w:t>(2015–2017 m. MVP)</w:t>
            </w:r>
          </w:p>
        </w:tc>
      </w:tr>
      <w:tr w:rsidR="00A73AD3" w:rsidRPr="00986CFB">
        <w:tc>
          <w:tcPr>
            <w:tcW w:w="1873" w:type="pct"/>
            <w:shd w:val="clear" w:color="auto" w:fill="DBE5F1"/>
          </w:tcPr>
          <w:p w:rsidR="00A73AD3" w:rsidRPr="00704094" w:rsidRDefault="00A73AD3" w:rsidP="002C4E45">
            <w:pPr>
              <w:pStyle w:val="Pagrindinispaprastastekstas"/>
              <w:jc w:val="left"/>
              <w:rPr>
                <w:rFonts w:cs="Times New Roman"/>
                <w:b/>
                <w:bCs/>
                <w:color w:val="365F91"/>
                <w:sz w:val="20"/>
                <w:szCs w:val="20"/>
                <w:lang w:eastAsia="en-US"/>
              </w:rPr>
            </w:pPr>
            <w:r w:rsidRPr="00704094">
              <w:rPr>
                <w:rFonts w:cs="Times New Roman"/>
                <w:color w:val="365F91"/>
                <w:sz w:val="20"/>
                <w:szCs w:val="20"/>
                <w:lang w:eastAsia="en-US"/>
              </w:rPr>
              <w:t xml:space="preserve">2004–2006 m. </w:t>
            </w:r>
          </w:p>
        </w:tc>
        <w:tc>
          <w:tcPr>
            <w:tcW w:w="521" w:type="pct"/>
            <w:shd w:val="clear" w:color="auto" w:fill="DBE5F1"/>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7</w:t>
            </w:r>
          </w:p>
        </w:tc>
        <w:tc>
          <w:tcPr>
            <w:tcW w:w="1412" w:type="pct"/>
            <w:shd w:val="clear" w:color="auto" w:fill="DBE5F1"/>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7</w:t>
            </w:r>
          </w:p>
        </w:tc>
        <w:tc>
          <w:tcPr>
            <w:tcW w:w="1194" w:type="pct"/>
            <w:shd w:val="clear" w:color="auto" w:fill="DBE5F1"/>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w:t>
            </w:r>
          </w:p>
        </w:tc>
      </w:tr>
      <w:tr w:rsidR="00A73AD3" w:rsidRPr="00986CFB">
        <w:tc>
          <w:tcPr>
            <w:tcW w:w="1873" w:type="pct"/>
          </w:tcPr>
          <w:p w:rsidR="00A73AD3" w:rsidRPr="00704094" w:rsidRDefault="00A73AD3" w:rsidP="002C4E45">
            <w:pPr>
              <w:pStyle w:val="Pagrindinispaprastastekstas"/>
              <w:jc w:val="left"/>
              <w:rPr>
                <w:rFonts w:cs="Times New Roman"/>
                <w:b/>
                <w:bCs/>
                <w:color w:val="365F91"/>
                <w:sz w:val="20"/>
                <w:szCs w:val="20"/>
                <w:lang w:eastAsia="en-US"/>
              </w:rPr>
            </w:pPr>
            <w:r w:rsidRPr="00704094">
              <w:rPr>
                <w:rFonts w:cs="Times New Roman"/>
                <w:color w:val="365F91"/>
                <w:sz w:val="20"/>
                <w:szCs w:val="20"/>
                <w:lang w:eastAsia="en-US"/>
              </w:rPr>
              <w:t>2007–2013 m.</w:t>
            </w:r>
          </w:p>
        </w:tc>
        <w:tc>
          <w:tcPr>
            <w:tcW w:w="521" w:type="pct"/>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63</w:t>
            </w:r>
          </w:p>
        </w:tc>
        <w:tc>
          <w:tcPr>
            <w:tcW w:w="1412" w:type="pct"/>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55</w:t>
            </w:r>
          </w:p>
        </w:tc>
        <w:tc>
          <w:tcPr>
            <w:tcW w:w="1194" w:type="pct"/>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8</w:t>
            </w:r>
          </w:p>
        </w:tc>
      </w:tr>
      <w:tr w:rsidR="00A73AD3" w:rsidRPr="00986CFB">
        <w:tc>
          <w:tcPr>
            <w:tcW w:w="1873" w:type="pct"/>
            <w:shd w:val="clear" w:color="auto" w:fill="DBE5F1"/>
          </w:tcPr>
          <w:p w:rsidR="00A73AD3" w:rsidRPr="00704094" w:rsidRDefault="00A73AD3" w:rsidP="002C4E45">
            <w:pPr>
              <w:pStyle w:val="Pagrindinispaprastastekstas"/>
              <w:jc w:val="left"/>
              <w:rPr>
                <w:rFonts w:cs="Times New Roman"/>
                <w:b/>
                <w:bCs/>
                <w:color w:val="365F91"/>
                <w:sz w:val="20"/>
                <w:szCs w:val="20"/>
                <w:lang w:eastAsia="en-US"/>
              </w:rPr>
            </w:pPr>
            <w:r w:rsidRPr="00704094">
              <w:rPr>
                <w:rFonts w:cs="Times New Roman"/>
                <w:color w:val="365F91"/>
                <w:sz w:val="20"/>
                <w:szCs w:val="20"/>
                <w:lang w:eastAsia="en-US"/>
              </w:rPr>
              <w:t xml:space="preserve">2014–2020 m. </w:t>
            </w:r>
          </w:p>
        </w:tc>
        <w:tc>
          <w:tcPr>
            <w:tcW w:w="521" w:type="pct"/>
            <w:shd w:val="clear" w:color="auto" w:fill="DBE5F1"/>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2</w:t>
            </w:r>
          </w:p>
        </w:tc>
        <w:tc>
          <w:tcPr>
            <w:tcW w:w="1412" w:type="pct"/>
            <w:shd w:val="clear" w:color="auto" w:fill="DBE5F1"/>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1</w:t>
            </w:r>
          </w:p>
        </w:tc>
        <w:tc>
          <w:tcPr>
            <w:tcW w:w="1194" w:type="pct"/>
            <w:shd w:val="clear" w:color="auto" w:fill="DBE5F1"/>
          </w:tcPr>
          <w:p w:rsidR="00A73AD3" w:rsidRPr="00704094" w:rsidRDefault="00A73AD3" w:rsidP="002C4E45">
            <w:pPr>
              <w:pStyle w:val="Pagrindinispaprastastekstas"/>
              <w:jc w:val="center"/>
              <w:rPr>
                <w:rFonts w:cs="Times New Roman"/>
                <w:color w:val="365F91"/>
                <w:sz w:val="20"/>
                <w:szCs w:val="20"/>
                <w:lang w:eastAsia="en-US"/>
              </w:rPr>
            </w:pPr>
            <w:r w:rsidRPr="00704094">
              <w:rPr>
                <w:rFonts w:cs="Times New Roman"/>
                <w:color w:val="365F91"/>
                <w:sz w:val="20"/>
                <w:szCs w:val="20"/>
                <w:lang w:eastAsia="en-US"/>
              </w:rPr>
              <w:t>1</w:t>
            </w:r>
          </w:p>
        </w:tc>
      </w:tr>
      <w:tr w:rsidR="00A73AD3" w:rsidRPr="00986CFB">
        <w:tc>
          <w:tcPr>
            <w:tcW w:w="1873" w:type="pct"/>
          </w:tcPr>
          <w:p w:rsidR="00A73AD3" w:rsidRPr="00704094" w:rsidRDefault="00A73AD3" w:rsidP="002C4E45">
            <w:pPr>
              <w:pStyle w:val="Pagrindinispaprastastekstas"/>
              <w:jc w:val="left"/>
              <w:rPr>
                <w:rFonts w:cs="Times New Roman"/>
                <w:b/>
                <w:bCs/>
                <w:color w:val="365F91"/>
                <w:sz w:val="20"/>
                <w:szCs w:val="20"/>
                <w:lang w:eastAsia="en-US"/>
              </w:rPr>
            </w:pPr>
            <w:r w:rsidRPr="00704094">
              <w:rPr>
                <w:rFonts w:cs="Times New Roman"/>
                <w:b/>
                <w:bCs/>
                <w:color w:val="365F91"/>
                <w:sz w:val="20"/>
                <w:szCs w:val="20"/>
                <w:lang w:eastAsia="en-US"/>
              </w:rPr>
              <w:t>Iš viso</w:t>
            </w:r>
          </w:p>
        </w:tc>
        <w:tc>
          <w:tcPr>
            <w:tcW w:w="521" w:type="pct"/>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72</w:t>
            </w:r>
          </w:p>
        </w:tc>
        <w:tc>
          <w:tcPr>
            <w:tcW w:w="1412" w:type="pct"/>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63</w:t>
            </w:r>
          </w:p>
        </w:tc>
        <w:tc>
          <w:tcPr>
            <w:tcW w:w="1194" w:type="pct"/>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9</w:t>
            </w:r>
          </w:p>
        </w:tc>
      </w:tr>
      <w:tr w:rsidR="00A73AD3" w:rsidRPr="00986CFB">
        <w:tc>
          <w:tcPr>
            <w:tcW w:w="1873" w:type="pct"/>
            <w:tcBorders>
              <w:bottom w:val="single" w:sz="4" w:space="0" w:color="4F81BD"/>
            </w:tcBorders>
            <w:shd w:val="clear" w:color="auto" w:fill="DBE5F1"/>
          </w:tcPr>
          <w:p w:rsidR="00A73AD3" w:rsidRPr="00704094" w:rsidRDefault="00A73AD3" w:rsidP="002C4E45">
            <w:pPr>
              <w:pStyle w:val="Pagrindinispaprastastekstas"/>
              <w:jc w:val="left"/>
              <w:rPr>
                <w:rFonts w:cs="Times New Roman"/>
                <w:b/>
                <w:bCs/>
                <w:color w:val="365F91"/>
                <w:sz w:val="20"/>
                <w:szCs w:val="20"/>
                <w:lang w:eastAsia="en-US"/>
              </w:rPr>
            </w:pPr>
            <w:r w:rsidRPr="00704094">
              <w:rPr>
                <w:rFonts w:cs="Times New Roman"/>
                <w:b/>
                <w:bCs/>
                <w:color w:val="365F91"/>
                <w:sz w:val="20"/>
                <w:szCs w:val="20"/>
                <w:lang w:eastAsia="en-US"/>
              </w:rPr>
              <w:t>Išlaidos vertinimui, mln. EUR</w:t>
            </w:r>
          </w:p>
        </w:tc>
        <w:tc>
          <w:tcPr>
            <w:tcW w:w="521" w:type="pct"/>
            <w:tcBorders>
              <w:bottom w:val="single" w:sz="4" w:space="0" w:color="4F81BD"/>
            </w:tcBorders>
            <w:shd w:val="clear" w:color="auto" w:fill="DBE5F1"/>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4,22</w:t>
            </w:r>
          </w:p>
        </w:tc>
        <w:tc>
          <w:tcPr>
            <w:tcW w:w="1412" w:type="pct"/>
            <w:tcBorders>
              <w:bottom w:val="single" w:sz="4" w:space="0" w:color="4F81BD"/>
            </w:tcBorders>
            <w:shd w:val="clear" w:color="auto" w:fill="DBE5F1"/>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3,86</w:t>
            </w:r>
          </w:p>
        </w:tc>
        <w:tc>
          <w:tcPr>
            <w:tcW w:w="1194" w:type="pct"/>
            <w:tcBorders>
              <w:bottom w:val="single" w:sz="4" w:space="0" w:color="4F81BD"/>
            </w:tcBorders>
            <w:shd w:val="clear" w:color="auto" w:fill="DBE5F1"/>
          </w:tcPr>
          <w:p w:rsidR="00A73AD3" w:rsidRPr="00704094" w:rsidRDefault="00A73AD3" w:rsidP="002C4E45">
            <w:pPr>
              <w:pStyle w:val="Pagrindinispaprastastekstas"/>
              <w:jc w:val="center"/>
              <w:rPr>
                <w:rFonts w:cs="Times New Roman"/>
                <w:b/>
                <w:bCs/>
                <w:color w:val="365F91"/>
                <w:sz w:val="20"/>
                <w:szCs w:val="20"/>
                <w:lang w:eastAsia="en-US"/>
              </w:rPr>
            </w:pPr>
            <w:r w:rsidRPr="00704094">
              <w:rPr>
                <w:rFonts w:cs="Times New Roman"/>
                <w:b/>
                <w:bCs/>
                <w:color w:val="365F91"/>
                <w:sz w:val="20"/>
                <w:szCs w:val="20"/>
                <w:lang w:eastAsia="en-US"/>
              </w:rPr>
              <w:t>0,36</w:t>
            </w:r>
          </w:p>
        </w:tc>
      </w:tr>
    </w:tbl>
    <w:p w:rsidR="00A73AD3" w:rsidRPr="00704094" w:rsidRDefault="00A73AD3" w:rsidP="009F4179">
      <w:pPr>
        <w:pStyle w:val="Saltinis"/>
        <w:rPr>
          <w:rFonts w:cs="Times New Roman"/>
        </w:rPr>
      </w:pPr>
      <w:r w:rsidRPr="00704094">
        <w:rPr>
          <w:rFonts w:cs="Times New Roman"/>
        </w:rPr>
        <w:t>Šaltinis: apibendrinta ESTEP.</w:t>
      </w:r>
    </w:p>
    <w:p w:rsidR="00A73AD3" w:rsidRPr="00704094" w:rsidRDefault="00A73AD3" w:rsidP="00AA51B0">
      <w:pPr>
        <w:pStyle w:val="Pagrindinispaprastastekstas"/>
        <w:rPr>
          <w:rFonts w:cs="Times New Roman"/>
        </w:rPr>
      </w:pPr>
    </w:p>
    <w:p w:rsidR="00A73AD3" w:rsidRPr="00704094" w:rsidRDefault="00A73AD3" w:rsidP="00D00E73">
      <w:pPr>
        <w:pStyle w:val="Pagrindinispaprastastekstas"/>
        <w:rPr>
          <w:rFonts w:cs="Times New Roman"/>
          <w:sz w:val="22"/>
          <w:szCs w:val="22"/>
        </w:rPr>
      </w:pPr>
      <w:r w:rsidRPr="00704094">
        <w:rPr>
          <w:rFonts w:cs="Times New Roman"/>
          <w:sz w:val="22"/>
          <w:szCs w:val="22"/>
        </w:rPr>
        <w:t>1 paveiksle pavaizduotas užbaigtų vertinimų skaičiaus ir biudžeto 2009–2016 m. svyravimas. 2009 m. vyravo 2004–2006 m. programavimo laikotarpio intervencijų poveikio vertinimai, daugiausia vertinimų atlikta 2010 m. ir 2011 m. (tarpiniai vertinimai, skirti priemonių ir veiksmų programų įgyvendinimui tobulinti), 2013–2015 m. buvo atliekami vertinimai, skirti įvertinti 2007–2013 m. ES fondų investicijų pove</w:t>
      </w:r>
      <w:r w:rsidR="009F5833">
        <w:rPr>
          <w:rFonts w:cs="Times New Roman"/>
          <w:sz w:val="22"/>
          <w:szCs w:val="22"/>
        </w:rPr>
        <w:t xml:space="preserve">ikį ir pasirengti 2014–2020 m. </w:t>
      </w:r>
      <w:r w:rsidRPr="00704094">
        <w:rPr>
          <w:rFonts w:cs="Times New Roman"/>
          <w:sz w:val="22"/>
          <w:szCs w:val="22"/>
        </w:rPr>
        <w:t>ES fondų investicijoms. Didesnes išlaidas 2014 m. baigtiems vertinimams lėmė Lietuvos 2014–2020</w:t>
      </w:r>
      <w:r w:rsidR="00455ABA" w:rsidRPr="00704094">
        <w:rPr>
          <w:rFonts w:cs="Times New Roman"/>
          <w:sz w:val="22"/>
          <w:szCs w:val="22"/>
        </w:rPr>
        <w:t> </w:t>
      </w:r>
      <w:r w:rsidRPr="00704094">
        <w:rPr>
          <w:rFonts w:cs="Times New Roman"/>
          <w:sz w:val="22"/>
          <w:szCs w:val="22"/>
        </w:rPr>
        <w:t>m. ES struktūrinės paramos strateginių programavimo dokumentų išankstinis vertinimas.</w:t>
      </w:r>
    </w:p>
    <w:p w:rsidR="00455ABA" w:rsidRPr="00986CFB" w:rsidRDefault="00455ABA" w:rsidP="00704094"/>
    <w:p w:rsidR="00A73AD3" w:rsidRPr="00704094" w:rsidRDefault="00455ABA" w:rsidP="00704094">
      <w:pPr>
        <w:rPr>
          <w:rFonts w:ascii="Cambria" w:hAnsi="Cambria"/>
        </w:rPr>
      </w:pPr>
      <w:r w:rsidRPr="00986CFB">
        <w:rPr>
          <w:rFonts w:ascii="Cambria" w:hAnsi="Cambria"/>
        </w:rPr>
        <w:br w:type="page"/>
      </w:r>
    </w:p>
    <w:bookmarkStart w:id="7" w:name="_Ref470773130"/>
    <w:p w:rsidR="00A73AD3" w:rsidRPr="00704094" w:rsidRDefault="00A73AD3" w:rsidP="00E544A0">
      <w:pPr>
        <w:pStyle w:val="Caption"/>
        <w:rPr>
          <w:rFonts w:cs="Times New Roman"/>
        </w:rPr>
      </w:pPr>
      <w:r w:rsidRPr="00704094">
        <w:rPr>
          <w:rFonts w:cs="Times New Roman"/>
        </w:rPr>
        <w:fldChar w:fldCharType="begin"/>
      </w:r>
      <w:r w:rsidRPr="00704094">
        <w:rPr>
          <w:rFonts w:cs="Times New Roman"/>
        </w:rPr>
        <w:instrText xml:space="preserve"> SEQ pav. \* ARABIC </w:instrText>
      </w:r>
      <w:r w:rsidRPr="00704094">
        <w:rPr>
          <w:rFonts w:cs="Times New Roman"/>
        </w:rPr>
        <w:fldChar w:fldCharType="separate"/>
      </w:r>
      <w:r w:rsidRPr="00704094">
        <w:rPr>
          <w:rFonts w:cs="Times New Roman"/>
        </w:rPr>
        <w:t>1</w:t>
      </w:r>
      <w:r w:rsidRPr="00704094">
        <w:rPr>
          <w:rFonts w:cs="Times New Roman"/>
        </w:rPr>
        <w:fldChar w:fldCharType="end"/>
      </w:r>
      <w:r w:rsidRPr="00704094">
        <w:rPr>
          <w:rFonts w:cs="Times New Roman"/>
        </w:rPr>
        <w:t xml:space="preserve"> pav.</w:t>
      </w:r>
      <w:bookmarkEnd w:id="7"/>
      <w:r w:rsidRPr="00704094">
        <w:rPr>
          <w:rFonts w:cs="Times New Roman"/>
        </w:rPr>
        <w:t xml:space="preserve"> Užbaigtų vertinimų skaičius ir išlaidos vertinimui 2009–2016 m. (N=72)</w:t>
      </w:r>
    </w:p>
    <w:p w:rsidR="00A73AD3" w:rsidRPr="00704094" w:rsidRDefault="00CA1232" w:rsidP="00E544A0">
      <w:pPr>
        <w:pStyle w:val="Pagrindinispaprastastekstas"/>
        <w:rPr>
          <w:rFonts w:cs="Times New Roman"/>
        </w:rPr>
      </w:pPr>
      <w:r>
        <w:rPr>
          <w:rFonts w:cs="Times New Roman"/>
          <w:noProof/>
        </w:rPr>
        <w:drawing>
          <wp:inline distT="0" distB="0" distL="0" distR="0">
            <wp:extent cx="6046470" cy="2341880"/>
            <wp:effectExtent l="0" t="0" r="0" b="1270"/>
            <wp:docPr id="2" name="Chart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6470" cy="2341880"/>
                    </a:xfrm>
                    <a:prstGeom prst="rect">
                      <a:avLst/>
                    </a:prstGeom>
                    <a:noFill/>
                    <a:ln>
                      <a:noFill/>
                    </a:ln>
                  </pic:spPr>
                </pic:pic>
              </a:graphicData>
            </a:graphic>
          </wp:inline>
        </w:drawing>
      </w:r>
    </w:p>
    <w:p w:rsidR="00A73AD3" w:rsidRPr="00704094" w:rsidRDefault="00A73AD3" w:rsidP="00766AF8">
      <w:pPr>
        <w:pStyle w:val="Saltinis"/>
        <w:rPr>
          <w:rFonts w:cs="Times New Roman"/>
        </w:rPr>
      </w:pPr>
      <w:r w:rsidRPr="00704094">
        <w:rPr>
          <w:rFonts w:cs="Times New Roman"/>
        </w:rPr>
        <w:t>Šaltinis: sudaryta ESTEP.</w:t>
      </w:r>
    </w:p>
    <w:p w:rsidR="00A73AD3" w:rsidRPr="00704094" w:rsidRDefault="00A73AD3" w:rsidP="00E544A0">
      <w:pPr>
        <w:pStyle w:val="Pagrindinispaprastastekstas"/>
        <w:rPr>
          <w:rFonts w:cs="Times New Roman"/>
          <w:sz w:val="22"/>
          <w:szCs w:val="22"/>
        </w:rPr>
      </w:pPr>
    </w:p>
    <w:p w:rsidR="00A73AD3" w:rsidRPr="00704094" w:rsidRDefault="00A73AD3" w:rsidP="002573D0">
      <w:pPr>
        <w:pStyle w:val="Pagrindinispaprastastekstas"/>
        <w:rPr>
          <w:rFonts w:cs="Times New Roman"/>
          <w:sz w:val="22"/>
          <w:szCs w:val="22"/>
        </w:rPr>
      </w:pPr>
      <w:r w:rsidRPr="00704094">
        <w:rPr>
          <w:rFonts w:cs="Times New Roman"/>
          <w:b/>
          <w:bCs/>
          <w:color w:val="1F497D"/>
          <w:sz w:val="22"/>
          <w:szCs w:val="22"/>
        </w:rPr>
        <w:t xml:space="preserve">Vertinimo veikla institucijose. </w:t>
      </w:r>
      <w:r w:rsidRPr="00704094">
        <w:rPr>
          <w:rFonts w:cs="Times New Roman"/>
          <w:sz w:val="22"/>
          <w:szCs w:val="22"/>
        </w:rPr>
        <w:t>Vertinimo veiklos apimtis 2007–2013 m. veiksmų programas administruojančiose institucijose buvo skirtinga. Beveik pusę visų Lietuvoje atliktų vertinimų (34 iš 72) inicijavo ir atliko Finansų ministerija. Metaanalizė parodė, kad Finansų ministerijos užsakyti vertinimai suprantami kaip aukštesnės kokybės nei tie, kurie buvo užsakyti kitų ministerijų (</w:t>
      </w:r>
      <w:r w:rsidRPr="00704094">
        <w:rPr>
          <w:rFonts w:cs="Times New Roman"/>
          <w:i/>
          <w:iCs/>
          <w:sz w:val="22"/>
          <w:szCs w:val="22"/>
        </w:rPr>
        <w:t>VPVI, ESTEP, 2013</w:t>
      </w:r>
      <w:r w:rsidRPr="00704094">
        <w:rPr>
          <w:rFonts w:cs="Times New Roman"/>
          <w:sz w:val="22"/>
          <w:szCs w:val="22"/>
        </w:rPr>
        <w:t xml:space="preserve">). Tokius rezultatus galėjo lemti tai, kad Finansų ministerija sukaupė didelę kompetenciją vertinimų valdymo srityje. Kitos institucijos atliko nuo 1 iki 7 vertinimų. Finansų ministerija ne tik vykdė vertinimus, bet ir organizavo vertinimo gebėjimų stiprinimo veiklas. Atliktų vertinimų pasiskirstymo pagal institucijas ir pobūdį duomenys (žr. </w:t>
      </w:r>
      <w:r w:rsidR="00085363" w:rsidRPr="00704094">
        <w:rPr>
          <w:sz w:val="22"/>
          <w:szCs w:val="22"/>
        </w:rPr>
        <w:fldChar w:fldCharType="begin"/>
      </w:r>
      <w:r w:rsidR="00085363" w:rsidRPr="00704094">
        <w:rPr>
          <w:sz w:val="22"/>
          <w:szCs w:val="22"/>
        </w:rPr>
        <w:instrText xml:space="preserve"> REF _Ref470776292 \h  \* MERGEFORMAT </w:instrText>
      </w:r>
      <w:r w:rsidR="00085363" w:rsidRPr="00704094">
        <w:rPr>
          <w:sz w:val="22"/>
          <w:szCs w:val="22"/>
        </w:rPr>
      </w:r>
      <w:r w:rsidR="00085363" w:rsidRPr="00704094">
        <w:rPr>
          <w:sz w:val="22"/>
          <w:szCs w:val="22"/>
        </w:rPr>
        <w:fldChar w:fldCharType="separate"/>
      </w:r>
      <w:r w:rsidRPr="00704094">
        <w:rPr>
          <w:rFonts w:cs="Times New Roman"/>
          <w:sz w:val="22"/>
          <w:szCs w:val="22"/>
        </w:rPr>
        <w:t>2 lentelę</w:t>
      </w:r>
      <w:r w:rsidR="00085363" w:rsidRPr="00704094">
        <w:rPr>
          <w:sz w:val="22"/>
          <w:szCs w:val="22"/>
        </w:rPr>
        <w:fldChar w:fldCharType="end"/>
      </w:r>
      <w:r w:rsidRPr="00704094">
        <w:rPr>
          <w:rFonts w:cs="Times New Roman"/>
          <w:sz w:val="22"/>
          <w:szCs w:val="22"/>
        </w:rPr>
        <w:t xml:space="preserve">) rodo, kad dauguma institucijų vykdė tiek vertinimus, skirtus geresniam 2007–2013 m. veiksmų programų administravimui (vertinimai, susiję su stebėsenos rodiklių pradinių ar faktinių reikšmių nustatymu, rodiklių skaičiavimo metodikų parengimu), tiek intervencijų įgyvendinimo ir poveikio vertinimus. Finansų ministerijos iniciatyva atlikta daug horizontaliems klausimams skirtų administravimo sistemos ir teminių vertinimų (įskaitant teminius intervencijų poveikio vertinimus). </w:t>
      </w:r>
    </w:p>
    <w:p w:rsidR="00A73AD3" w:rsidRPr="00704094" w:rsidRDefault="00A73AD3" w:rsidP="002573D0">
      <w:pPr>
        <w:pStyle w:val="Pagrindinispaprastastekstas"/>
        <w:rPr>
          <w:rFonts w:cs="Times New Roman"/>
          <w:sz w:val="22"/>
          <w:szCs w:val="22"/>
        </w:rPr>
      </w:pPr>
    </w:p>
    <w:bookmarkStart w:id="8" w:name="_Ref470776292"/>
    <w:p w:rsidR="00A73AD3" w:rsidRPr="00704094" w:rsidRDefault="00A73AD3" w:rsidP="006A358B">
      <w:pPr>
        <w:pStyle w:val="Caption"/>
        <w:rPr>
          <w:rFonts w:cs="Times New Roman"/>
        </w:rPr>
      </w:pPr>
      <w:r w:rsidRPr="00704094">
        <w:rPr>
          <w:rFonts w:cs="Times New Roman"/>
        </w:rPr>
        <w:fldChar w:fldCharType="begin"/>
      </w:r>
      <w:r w:rsidRPr="00704094">
        <w:rPr>
          <w:rFonts w:cs="Times New Roman"/>
        </w:rPr>
        <w:instrText xml:space="preserve"> SEQ lentelė \* ARABIC </w:instrText>
      </w:r>
      <w:r w:rsidRPr="00704094">
        <w:rPr>
          <w:rFonts w:cs="Times New Roman"/>
        </w:rPr>
        <w:fldChar w:fldCharType="separate"/>
      </w:r>
      <w:r w:rsidRPr="00704094">
        <w:rPr>
          <w:rFonts w:cs="Times New Roman"/>
        </w:rPr>
        <w:t>2</w:t>
      </w:r>
      <w:r w:rsidRPr="00704094">
        <w:rPr>
          <w:rFonts w:cs="Times New Roman"/>
        </w:rPr>
        <w:fldChar w:fldCharType="end"/>
      </w:r>
      <w:r w:rsidRPr="00704094">
        <w:rPr>
          <w:rFonts w:cs="Times New Roman"/>
        </w:rPr>
        <w:t xml:space="preserve"> lentelė</w:t>
      </w:r>
      <w:bookmarkEnd w:id="8"/>
      <w:r w:rsidRPr="00704094">
        <w:rPr>
          <w:rFonts w:cs="Times New Roman"/>
        </w:rPr>
        <w:t>. Užbaigtų vertinimų skaičius institucijose pagal pobūdį</w:t>
      </w:r>
    </w:p>
    <w:tbl>
      <w:tblPr>
        <w:tblW w:w="5000" w:type="pct"/>
        <w:tblInd w:w="-10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2463"/>
        <w:gridCol w:w="813"/>
        <w:gridCol w:w="640"/>
        <w:gridCol w:w="723"/>
        <w:gridCol w:w="725"/>
        <w:gridCol w:w="727"/>
        <w:gridCol w:w="579"/>
        <w:gridCol w:w="579"/>
        <w:gridCol w:w="727"/>
        <w:gridCol w:w="579"/>
        <w:gridCol w:w="725"/>
        <w:gridCol w:w="574"/>
      </w:tblGrid>
      <w:tr w:rsidR="00A73AD3" w:rsidRPr="00986CFB">
        <w:trPr>
          <w:trHeight w:val="20"/>
        </w:trPr>
        <w:tc>
          <w:tcPr>
            <w:tcW w:w="1249" w:type="pct"/>
            <w:tcBorders>
              <w:bottom w:val="single" w:sz="12" w:space="0" w:color="95B3D7"/>
            </w:tcBorders>
            <w:noWrap/>
          </w:tcPr>
          <w:p w:rsidR="00A73AD3" w:rsidRPr="00704094" w:rsidRDefault="00A73AD3" w:rsidP="006A358B">
            <w:pPr>
              <w:rPr>
                <w:rFonts w:ascii="Cambria" w:hAnsi="Cambria"/>
                <w:b/>
                <w:bCs/>
                <w:color w:val="1F497D"/>
                <w:sz w:val="18"/>
                <w:szCs w:val="18"/>
                <w:lang w:eastAsia="lt-LT"/>
              </w:rPr>
            </w:pPr>
            <w:r w:rsidRPr="00704094">
              <w:rPr>
                <w:rFonts w:ascii="Cambria" w:hAnsi="Cambria"/>
                <w:b/>
                <w:bCs/>
                <w:color w:val="1F497D"/>
                <w:sz w:val="18"/>
                <w:szCs w:val="18"/>
                <w:lang w:eastAsia="lt-LT"/>
              </w:rPr>
              <w:t>Vertinimo pobūdis</w:t>
            </w:r>
          </w:p>
        </w:tc>
        <w:tc>
          <w:tcPr>
            <w:tcW w:w="412" w:type="pct"/>
            <w:tcBorders>
              <w:bottom w:val="single" w:sz="12" w:space="0" w:color="95B3D7"/>
            </w:tcBorders>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Iš viso</w:t>
            </w:r>
          </w:p>
        </w:tc>
        <w:tc>
          <w:tcPr>
            <w:tcW w:w="324"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FM</w:t>
            </w:r>
          </w:p>
        </w:tc>
        <w:tc>
          <w:tcPr>
            <w:tcW w:w="367"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SADM</w:t>
            </w:r>
          </w:p>
        </w:tc>
        <w:tc>
          <w:tcPr>
            <w:tcW w:w="368"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VRM</w:t>
            </w:r>
          </w:p>
        </w:tc>
        <w:tc>
          <w:tcPr>
            <w:tcW w:w="369"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SAM</w:t>
            </w:r>
          </w:p>
        </w:tc>
        <w:tc>
          <w:tcPr>
            <w:tcW w:w="294"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ŪM</w:t>
            </w:r>
          </w:p>
        </w:tc>
        <w:tc>
          <w:tcPr>
            <w:tcW w:w="294"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AM</w:t>
            </w:r>
          </w:p>
        </w:tc>
        <w:tc>
          <w:tcPr>
            <w:tcW w:w="369"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IVPK</w:t>
            </w:r>
          </w:p>
        </w:tc>
        <w:tc>
          <w:tcPr>
            <w:tcW w:w="294"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SM</w:t>
            </w:r>
          </w:p>
        </w:tc>
        <w:tc>
          <w:tcPr>
            <w:tcW w:w="368"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ŠMM</w:t>
            </w:r>
          </w:p>
        </w:tc>
        <w:tc>
          <w:tcPr>
            <w:tcW w:w="291" w:type="pct"/>
            <w:tcBorders>
              <w:bottom w:val="single" w:sz="12" w:space="0" w:color="95B3D7"/>
            </w:tcBorders>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KM</w:t>
            </w:r>
          </w:p>
        </w:tc>
      </w:tr>
      <w:tr w:rsidR="00A73AD3" w:rsidRPr="00986CFB">
        <w:trPr>
          <w:trHeight w:val="20"/>
        </w:trPr>
        <w:tc>
          <w:tcPr>
            <w:tcW w:w="1249" w:type="pct"/>
            <w:shd w:val="clear" w:color="auto" w:fill="DBE5F1"/>
            <w:noWrap/>
          </w:tcPr>
          <w:p w:rsidR="00A73AD3" w:rsidRPr="00704094" w:rsidRDefault="00A73AD3" w:rsidP="006A358B">
            <w:pPr>
              <w:rPr>
                <w:rFonts w:ascii="Cambria" w:hAnsi="Cambria"/>
                <w:b/>
                <w:bCs/>
                <w:color w:val="1F497D"/>
                <w:sz w:val="18"/>
                <w:szCs w:val="18"/>
                <w:lang w:eastAsia="lt-LT"/>
              </w:rPr>
            </w:pPr>
            <w:r w:rsidRPr="00704094">
              <w:rPr>
                <w:rFonts w:ascii="Cambria" w:hAnsi="Cambria"/>
                <w:color w:val="1F497D"/>
                <w:sz w:val="18"/>
                <w:szCs w:val="18"/>
                <w:lang w:eastAsia="lt-LT"/>
              </w:rPr>
              <w:t>2004–2006 m. intervencijų poveikio vertinimai</w:t>
            </w:r>
          </w:p>
        </w:tc>
        <w:tc>
          <w:tcPr>
            <w:tcW w:w="412" w:type="pct"/>
            <w:shd w:val="clear" w:color="auto" w:fill="DBE5F1"/>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7</w:t>
            </w:r>
          </w:p>
        </w:tc>
        <w:tc>
          <w:tcPr>
            <w:tcW w:w="32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4</w:t>
            </w:r>
          </w:p>
        </w:tc>
        <w:tc>
          <w:tcPr>
            <w:tcW w:w="367"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1"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noWrap/>
          </w:tcPr>
          <w:p w:rsidR="00A73AD3" w:rsidRPr="00704094" w:rsidRDefault="00A73AD3" w:rsidP="006A358B">
            <w:pPr>
              <w:rPr>
                <w:rFonts w:ascii="Cambria" w:hAnsi="Cambria"/>
                <w:b/>
                <w:bCs/>
                <w:color w:val="1F497D"/>
                <w:sz w:val="18"/>
                <w:szCs w:val="18"/>
                <w:lang w:eastAsia="lt-LT"/>
              </w:rPr>
            </w:pPr>
            <w:r w:rsidRPr="00704094">
              <w:rPr>
                <w:rFonts w:ascii="Cambria" w:hAnsi="Cambria"/>
                <w:color w:val="1F497D"/>
                <w:sz w:val="18"/>
                <w:szCs w:val="18"/>
                <w:lang w:eastAsia="lt-LT"/>
              </w:rPr>
              <w:t>Teminiai vertinimai</w:t>
            </w:r>
          </w:p>
        </w:tc>
        <w:tc>
          <w:tcPr>
            <w:tcW w:w="412" w:type="pct"/>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13</w:t>
            </w:r>
          </w:p>
        </w:tc>
        <w:tc>
          <w:tcPr>
            <w:tcW w:w="32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10</w:t>
            </w:r>
          </w:p>
        </w:tc>
        <w:tc>
          <w:tcPr>
            <w:tcW w:w="367"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1"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shd w:val="clear" w:color="auto" w:fill="DBE5F1"/>
            <w:noWrap/>
          </w:tcPr>
          <w:p w:rsidR="00A73AD3" w:rsidRPr="00704094" w:rsidRDefault="00A73AD3" w:rsidP="006A358B">
            <w:pPr>
              <w:rPr>
                <w:rFonts w:ascii="Cambria" w:hAnsi="Cambria"/>
                <w:b/>
                <w:bCs/>
                <w:color w:val="1F497D"/>
                <w:sz w:val="18"/>
                <w:szCs w:val="18"/>
                <w:lang w:eastAsia="lt-LT"/>
              </w:rPr>
            </w:pPr>
            <w:r w:rsidRPr="00704094">
              <w:rPr>
                <w:rFonts w:ascii="Cambria" w:hAnsi="Cambria"/>
                <w:color w:val="1F497D"/>
                <w:sz w:val="18"/>
                <w:szCs w:val="18"/>
                <w:lang w:eastAsia="lt-LT"/>
              </w:rPr>
              <w:t>Administravimo sistemos vertinimai</w:t>
            </w:r>
          </w:p>
        </w:tc>
        <w:tc>
          <w:tcPr>
            <w:tcW w:w="412" w:type="pct"/>
            <w:shd w:val="clear" w:color="auto" w:fill="DBE5F1"/>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16</w:t>
            </w:r>
          </w:p>
        </w:tc>
        <w:tc>
          <w:tcPr>
            <w:tcW w:w="32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9</w:t>
            </w:r>
          </w:p>
        </w:tc>
        <w:tc>
          <w:tcPr>
            <w:tcW w:w="367"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3</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1"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noWrap/>
          </w:tcPr>
          <w:p w:rsidR="00A73AD3" w:rsidRPr="00704094" w:rsidRDefault="00A73AD3" w:rsidP="006A358B">
            <w:pPr>
              <w:rPr>
                <w:rFonts w:ascii="Cambria" w:hAnsi="Cambria"/>
                <w:b/>
                <w:bCs/>
                <w:color w:val="1F497D"/>
                <w:sz w:val="18"/>
                <w:szCs w:val="18"/>
                <w:lang w:eastAsia="lt-LT"/>
              </w:rPr>
            </w:pPr>
            <w:r w:rsidRPr="00704094">
              <w:rPr>
                <w:rFonts w:ascii="Cambria" w:hAnsi="Cambria"/>
                <w:color w:val="1F497D"/>
                <w:sz w:val="18"/>
                <w:szCs w:val="18"/>
                <w:lang w:eastAsia="lt-LT"/>
              </w:rPr>
              <w:t>2007–2013 m. veiksmų programų įgyvendinimo vertinimai</w:t>
            </w:r>
          </w:p>
        </w:tc>
        <w:tc>
          <w:tcPr>
            <w:tcW w:w="412" w:type="pct"/>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10</w:t>
            </w:r>
          </w:p>
        </w:tc>
        <w:tc>
          <w:tcPr>
            <w:tcW w:w="32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3</w:t>
            </w:r>
          </w:p>
        </w:tc>
        <w:tc>
          <w:tcPr>
            <w:tcW w:w="367"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291"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shd w:val="clear" w:color="auto" w:fill="DBE5F1"/>
            <w:noWrap/>
          </w:tcPr>
          <w:p w:rsidR="00A73AD3" w:rsidRPr="00704094" w:rsidRDefault="00A73AD3" w:rsidP="006A358B">
            <w:pPr>
              <w:rPr>
                <w:rFonts w:ascii="Cambria" w:hAnsi="Cambria"/>
                <w:b/>
                <w:bCs/>
                <w:color w:val="1F497D"/>
                <w:sz w:val="18"/>
                <w:szCs w:val="18"/>
                <w:lang w:eastAsia="lt-LT"/>
              </w:rPr>
            </w:pPr>
            <w:r w:rsidRPr="00704094">
              <w:rPr>
                <w:rFonts w:ascii="Cambria" w:hAnsi="Cambria"/>
                <w:color w:val="1F497D"/>
                <w:sz w:val="18"/>
                <w:szCs w:val="18"/>
                <w:lang w:eastAsia="lt-LT"/>
              </w:rPr>
              <w:t>2007–2013 m. veiksmų programų poveikio vertinimai</w:t>
            </w:r>
          </w:p>
        </w:tc>
        <w:tc>
          <w:tcPr>
            <w:tcW w:w="412" w:type="pct"/>
            <w:shd w:val="clear" w:color="auto" w:fill="DBE5F1"/>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18</w:t>
            </w:r>
          </w:p>
        </w:tc>
        <w:tc>
          <w:tcPr>
            <w:tcW w:w="32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6</w:t>
            </w:r>
          </w:p>
        </w:tc>
        <w:tc>
          <w:tcPr>
            <w:tcW w:w="367"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4</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1"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r>
      <w:tr w:rsidR="00A73AD3" w:rsidRPr="00986CFB">
        <w:trPr>
          <w:trHeight w:val="20"/>
        </w:trPr>
        <w:tc>
          <w:tcPr>
            <w:tcW w:w="1249" w:type="pct"/>
            <w:noWrap/>
          </w:tcPr>
          <w:p w:rsidR="00A73AD3" w:rsidRPr="00704094" w:rsidRDefault="00A73AD3" w:rsidP="00FC1B31">
            <w:pPr>
              <w:rPr>
                <w:rFonts w:ascii="Cambria" w:hAnsi="Cambria"/>
                <w:b/>
                <w:bCs/>
                <w:color w:val="1F497D"/>
                <w:sz w:val="18"/>
                <w:szCs w:val="18"/>
                <w:lang w:eastAsia="lt-LT"/>
              </w:rPr>
            </w:pPr>
            <w:r w:rsidRPr="00704094">
              <w:rPr>
                <w:rFonts w:ascii="Cambria" w:hAnsi="Cambria"/>
                <w:color w:val="1F497D"/>
                <w:sz w:val="18"/>
                <w:szCs w:val="18"/>
                <w:lang w:eastAsia="lt-LT"/>
              </w:rPr>
              <w:t>Vertinimai, susiję su 2014–2020 m. ES investicijų programavimu</w:t>
            </w:r>
          </w:p>
        </w:tc>
        <w:tc>
          <w:tcPr>
            <w:tcW w:w="412" w:type="pct"/>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7</w:t>
            </w:r>
          </w:p>
        </w:tc>
        <w:tc>
          <w:tcPr>
            <w:tcW w:w="32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367"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2</w:t>
            </w:r>
          </w:p>
        </w:tc>
        <w:tc>
          <w:tcPr>
            <w:tcW w:w="294"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291" w:type="pct"/>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shd w:val="clear" w:color="auto" w:fill="DBE5F1"/>
            <w:noWrap/>
          </w:tcPr>
          <w:p w:rsidR="00A73AD3" w:rsidRPr="00704094" w:rsidRDefault="00A73AD3" w:rsidP="00CE6C2C">
            <w:pPr>
              <w:rPr>
                <w:rFonts w:ascii="Cambria" w:hAnsi="Cambria"/>
                <w:b/>
                <w:bCs/>
                <w:color w:val="1F497D"/>
                <w:sz w:val="18"/>
                <w:szCs w:val="18"/>
                <w:lang w:eastAsia="lt-LT"/>
              </w:rPr>
            </w:pPr>
            <w:r w:rsidRPr="00704094">
              <w:rPr>
                <w:rFonts w:ascii="Cambria" w:hAnsi="Cambria"/>
                <w:color w:val="1F497D"/>
                <w:sz w:val="18"/>
                <w:szCs w:val="18"/>
                <w:lang w:eastAsia="lt-LT"/>
              </w:rPr>
              <w:t>2014–2020 m. veiksmų programos poveikio vertinimai</w:t>
            </w:r>
          </w:p>
        </w:tc>
        <w:tc>
          <w:tcPr>
            <w:tcW w:w="412" w:type="pct"/>
            <w:shd w:val="clear" w:color="auto" w:fill="DBE5F1"/>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w:t>
            </w:r>
          </w:p>
        </w:tc>
        <w:tc>
          <w:tcPr>
            <w:tcW w:w="32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7"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1</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9"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4"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368"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c>
          <w:tcPr>
            <w:tcW w:w="291" w:type="pct"/>
            <w:shd w:val="clear" w:color="auto" w:fill="DBE5F1"/>
            <w:noWrap/>
          </w:tcPr>
          <w:p w:rsidR="00A73AD3" w:rsidRPr="00704094" w:rsidRDefault="00A73AD3" w:rsidP="002C4E45">
            <w:pPr>
              <w:jc w:val="center"/>
              <w:rPr>
                <w:rFonts w:ascii="Cambria" w:hAnsi="Cambria"/>
                <w:color w:val="1F497D"/>
                <w:sz w:val="18"/>
                <w:szCs w:val="18"/>
                <w:lang w:eastAsia="lt-LT"/>
              </w:rPr>
            </w:pPr>
            <w:r w:rsidRPr="00704094">
              <w:rPr>
                <w:rFonts w:ascii="Cambria" w:hAnsi="Cambria"/>
                <w:color w:val="1F497D"/>
                <w:sz w:val="18"/>
                <w:szCs w:val="18"/>
                <w:lang w:eastAsia="lt-LT"/>
              </w:rPr>
              <w:t>-</w:t>
            </w:r>
          </w:p>
        </w:tc>
      </w:tr>
      <w:tr w:rsidR="00A73AD3" w:rsidRPr="00986CFB">
        <w:trPr>
          <w:trHeight w:val="20"/>
        </w:trPr>
        <w:tc>
          <w:tcPr>
            <w:tcW w:w="1249" w:type="pct"/>
            <w:noWrap/>
          </w:tcPr>
          <w:p w:rsidR="00A73AD3" w:rsidRPr="00704094" w:rsidRDefault="00A73AD3" w:rsidP="00326675">
            <w:pPr>
              <w:rPr>
                <w:rFonts w:ascii="Cambria" w:hAnsi="Cambria"/>
                <w:b/>
                <w:bCs/>
                <w:color w:val="1F497D"/>
                <w:sz w:val="18"/>
                <w:szCs w:val="18"/>
                <w:lang w:eastAsia="lt-LT"/>
              </w:rPr>
            </w:pPr>
            <w:r w:rsidRPr="00704094">
              <w:rPr>
                <w:rFonts w:ascii="Cambria" w:hAnsi="Cambria"/>
                <w:b/>
                <w:bCs/>
                <w:color w:val="1F497D"/>
                <w:sz w:val="18"/>
                <w:szCs w:val="18"/>
                <w:lang w:eastAsia="lt-LT"/>
              </w:rPr>
              <w:t>Iš viso</w:t>
            </w:r>
          </w:p>
        </w:tc>
        <w:tc>
          <w:tcPr>
            <w:tcW w:w="412" w:type="pct"/>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72</w:t>
            </w:r>
          </w:p>
        </w:tc>
        <w:tc>
          <w:tcPr>
            <w:tcW w:w="324"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34</w:t>
            </w:r>
          </w:p>
        </w:tc>
        <w:tc>
          <w:tcPr>
            <w:tcW w:w="367"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7</w:t>
            </w:r>
          </w:p>
        </w:tc>
        <w:tc>
          <w:tcPr>
            <w:tcW w:w="368"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7</w:t>
            </w:r>
          </w:p>
        </w:tc>
        <w:tc>
          <w:tcPr>
            <w:tcW w:w="369"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6</w:t>
            </w:r>
          </w:p>
        </w:tc>
        <w:tc>
          <w:tcPr>
            <w:tcW w:w="294"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5</w:t>
            </w:r>
          </w:p>
        </w:tc>
        <w:tc>
          <w:tcPr>
            <w:tcW w:w="294"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3</w:t>
            </w:r>
          </w:p>
        </w:tc>
        <w:tc>
          <w:tcPr>
            <w:tcW w:w="369"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3</w:t>
            </w:r>
          </w:p>
        </w:tc>
        <w:tc>
          <w:tcPr>
            <w:tcW w:w="294"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3</w:t>
            </w:r>
          </w:p>
        </w:tc>
        <w:tc>
          <w:tcPr>
            <w:tcW w:w="368"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3</w:t>
            </w:r>
          </w:p>
        </w:tc>
        <w:tc>
          <w:tcPr>
            <w:tcW w:w="291" w:type="pct"/>
            <w:noWrap/>
          </w:tcPr>
          <w:p w:rsidR="00A73AD3" w:rsidRPr="00704094" w:rsidRDefault="00A73AD3" w:rsidP="002C4E45">
            <w:pPr>
              <w:jc w:val="center"/>
              <w:rPr>
                <w:rFonts w:ascii="Cambria" w:hAnsi="Cambria"/>
                <w:b/>
                <w:bCs/>
                <w:color w:val="1F497D"/>
                <w:sz w:val="18"/>
                <w:szCs w:val="18"/>
                <w:lang w:eastAsia="lt-LT"/>
              </w:rPr>
            </w:pPr>
            <w:r w:rsidRPr="00704094">
              <w:rPr>
                <w:rFonts w:ascii="Cambria" w:hAnsi="Cambria"/>
                <w:b/>
                <w:bCs/>
                <w:color w:val="1F497D"/>
                <w:sz w:val="18"/>
                <w:szCs w:val="18"/>
                <w:lang w:eastAsia="lt-LT"/>
              </w:rPr>
              <w:t>1</w:t>
            </w:r>
          </w:p>
        </w:tc>
      </w:tr>
    </w:tbl>
    <w:p w:rsidR="00A73AD3" w:rsidRPr="00704094" w:rsidRDefault="00A73AD3" w:rsidP="006A358B">
      <w:pPr>
        <w:pStyle w:val="Saltinis"/>
        <w:rPr>
          <w:rFonts w:cs="Times New Roman"/>
        </w:rPr>
      </w:pPr>
      <w:r w:rsidRPr="00704094">
        <w:rPr>
          <w:rFonts w:cs="Times New Roman"/>
        </w:rPr>
        <w:t>Šaltinis: sudaryta ESTEP.</w:t>
      </w:r>
    </w:p>
    <w:p w:rsidR="00A73AD3" w:rsidRPr="00704094" w:rsidRDefault="00CA1232" w:rsidP="00AA51B0">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45952" behindDoc="1" locked="0" layoutInCell="1" allowOverlap="1">
                <wp:simplePos x="0" y="0"/>
                <wp:positionH relativeFrom="margin">
                  <wp:posOffset>4064635</wp:posOffset>
                </wp:positionH>
                <wp:positionV relativeFrom="paragraph">
                  <wp:posOffset>88265</wp:posOffset>
                </wp:positionV>
                <wp:extent cx="2055495" cy="982980"/>
                <wp:effectExtent l="3175" t="4445" r="0" b="3175"/>
                <wp:wrapSquare wrapText="bothSides"/>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98298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257EE3">
                            <w:pPr>
                              <w:jc w:val="center"/>
                              <w:rPr>
                                <w:rFonts w:ascii="Cambria" w:hAnsi="Cambria" w:cs="Cambria"/>
                                <w:color w:val="17365D"/>
                                <w:sz w:val="20"/>
                                <w:szCs w:val="20"/>
                              </w:rPr>
                            </w:pPr>
                            <w:r w:rsidRPr="00704094">
                              <w:rPr>
                                <w:rFonts w:ascii="Cambria" w:hAnsi="Cambria"/>
                                <w:color w:val="17365D"/>
                                <w:sz w:val="20"/>
                                <w:szCs w:val="20"/>
                              </w:rPr>
                              <w:t xml:space="preserve">Vertinimo paslaugas Lietuvos institucijoms 2009–2016 m. teikė 23 paslaugų teikėjai. Dauguma vertinimo paslaugų teikėjų – privatūs juridiniai asmenys.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320.05pt;margin-top:6.95pt;width:161.85pt;height:77.4pt;z-index:-251670528;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" fillcolor="#efede3" stroked="f" strokeweight=".5pt">
                <v:fill color2="#eae7d9" rotate="t" focusposition=".5,.5" focussize="" focus="100%" type="gradientRadial"/>
                <v:textbox inset="3mm,3mm,3mm,3mm">
                  <w:txbxContent>
                    <w:p w:rsidR="009F5833" w:rsidRPr="00986CFB" w:rsidRDefault="009F5833" w:rsidP="00257EE3">
                      <w:pPr>
                        <w:jc w:val="center"/>
                        <w:rPr>
                          <w:rFonts w:ascii="Cambria" w:hAnsi="Cambria" w:cs="Cambria"/>
                          <w:color w:val="17365D"/>
                          <w:sz w:val="20"/>
                          <w:szCs w:val="20"/>
                        </w:rPr>
                      </w:pPr>
                      <w:r w:rsidRPr="00704094">
                        <w:rPr>
                          <w:rFonts w:ascii="Cambria" w:hAnsi="Cambria"/>
                          <w:color w:val="17365D"/>
                          <w:sz w:val="20"/>
                          <w:szCs w:val="20"/>
                        </w:rPr>
                        <w:t xml:space="preserve">Vertinimo paslaugas Lietuvos institucijoms 2009–2016 m. teikė 23 paslaugų teikėjai. Dauguma vertinimo paslaugų teikėjų – privatūs juridiniai asmenys. </w:t>
                      </w:r>
                    </w:p>
                  </w:txbxContent>
                </v:textbox>
                <w10:wrap type="square" anchorx="margin"/>
              </v:shape>
            </w:pict>
          </mc:Fallback>
        </mc:AlternateContent>
      </w:r>
    </w:p>
    <w:p w:rsidR="00A73AD3" w:rsidRPr="00704094" w:rsidRDefault="00A73AD3" w:rsidP="00AA51B0">
      <w:pPr>
        <w:pStyle w:val="Pagrindinispaprastastekstas"/>
        <w:rPr>
          <w:rFonts w:cs="Times New Roman"/>
          <w:sz w:val="22"/>
          <w:szCs w:val="22"/>
        </w:rPr>
      </w:pPr>
      <w:r w:rsidRPr="00704094">
        <w:rPr>
          <w:rFonts w:cs="Times New Roman"/>
          <w:b/>
          <w:bCs/>
          <w:color w:val="1F497D"/>
          <w:sz w:val="22"/>
          <w:szCs w:val="22"/>
        </w:rPr>
        <w:t>Vertinimo paslaugų teikėjai.</w:t>
      </w:r>
      <w:r w:rsidRPr="00704094">
        <w:rPr>
          <w:rFonts w:cs="Times New Roman"/>
          <w:sz w:val="22"/>
          <w:szCs w:val="22"/>
        </w:rPr>
        <w:t xml:space="preserve"> Atliekant minėtus 72 vertinimus, kaip paslaugų teikėjai ar </w:t>
      </w:r>
      <w:r w:rsidRPr="00704094">
        <w:rPr>
          <w:rFonts w:cs="Times New Roman"/>
          <w:sz w:val="22"/>
          <w:szCs w:val="22"/>
          <w:lang w:eastAsia="en-US"/>
        </w:rPr>
        <w:t>konsorciumų</w:t>
      </w:r>
      <w:r w:rsidR="009F5833">
        <w:rPr>
          <w:rFonts w:cs="Times New Roman"/>
          <w:sz w:val="22"/>
          <w:szCs w:val="22"/>
        </w:rPr>
        <w:t xml:space="preserve"> partneriai dalyvavo 23 </w:t>
      </w:r>
      <w:r w:rsidRPr="00704094">
        <w:rPr>
          <w:rFonts w:cs="Times New Roman"/>
          <w:sz w:val="22"/>
          <w:szCs w:val="22"/>
        </w:rPr>
        <w:t xml:space="preserve">juridiniai asmenys. Dauguma jų – Lietuvoje registruoti privatūs juridiniai asmenys. Dalis privačių vertinimo paslaugų teikėjų turi </w:t>
      </w:r>
      <w:r w:rsidRPr="00704094">
        <w:rPr>
          <w:rFonts w:cs="Times New Roman"/>
          <w:b/>
          <w:bCs/>
          <w:i/>
          <w:iCs/>
          <w:sz w:val="22"/>
          <w:szCs w:val="22"/>
        </w:rPr>
        <w:lastRenderedPageBreak/>
        <w:t>nevalstybinio mokslinių tyrimų instituto statusą</w:t>
      </w:r>
      <w:r w:rsidRPr="00704094">
        <w:rPr>
          <w:rFonts w:cs="Times New Roman"/>
          <w:sz w:val="22"/>
          <w:szCs w:val="22"/>
        </w:rPr>
        <w:t xml:space="preserve">, kadangi pagrindinė jų veikla yra taikomieji moksliniai tyrimai. Akademinių institucijų atstovai ir užsienio ekspertai vertinimams atlikti dažniausiai pasitelkiami kaip subtiekėjai. Pastaraisiais metais išaugo konkurencija vertinimo paslaugų rinkoje – pasiūlymus vertinimo paslaugų pirkimams paprastai pateikia 3–5 tiekėjai, tačiau pasitaiko konkursų, kuriuose dalyvauja ir 5–7 tiekėjai. </w:t>
      </w:r>
    </w:p>
    <w:p w:rsidR="00A73AD3" w:rsidRPr="00704094" w:rsidRDefault="00A73AD3" w:rsidP="00B42C8B">
      <w:pPr>
        <w:pStyle w:val="Antrastes2"/>
        <w:rPr>
          <w:rFonts w:cs="Times New Roman"/>
        </w:rPr>
      </w:pPr>
      <w:bookmarkStart w:id="9" w:name="_Toc472343145"/>
      <w:r w:rsidRPr="00704094">
        <w:rPr>
          <w:rFonts w:cs="Times New Roman"/>
        </w:rPr>
        <w:t>Vertinimų pobūdis ir turinys</w:t>
      </w:r>
      <w:bookmarkEnd w:id="9"/>
    </w:p>
    <w:p w:rsidR="00A73AD3" w:rsidRPr="00704094" w:rsidRDefault="00CA1232" w:rsidP="00AA51B0">
      <w:pPr>
        <w:pStyle w:val="Pagrindinispaprastastekstas"/>
        <w:rPr>
          <w:rFonts w:cs="Times New Roman"/>
          <w:sz w:val="22"/>
          <w:szCs w:val="22"/>
        </w:rPr>
      </w:pPr>
      <w:r>
        <w:rPr>
          <w:noProof/>
          <w:sz w:val="22"/>
          <w:szCs w:val="22"/>
        </w:rPr>
        <mc:AlternateContent>
          <mc:Choice Requires="wps">
            <w:drawing>
              <wp:anchor distT="45720" distB="45720" distL="114300" distR="114300" simplePos="0" relativeHeight="251641856" behindDoc="0" locked="0" layoutInCell="1" allowOverlap="1">
                <wp:simplePos x="0" y="0"/>
                <wp:positionH relativeFrom="column">
                  <wp:posOffset>2825750</wp:posOffset>
                </wp:positionH>
                <wp:positionV relativeFrom="paragraph">
                  <wp:posOffset>79375</wp:posOffset>
                </wp:positionV>
                <wp:extent cx="3340735" cy="2316480"/>
                <wp:effectExtent l="2540" t="3175" r="0" b="444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231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833" w:rsidRPr="006E795C" w:rsidRDefault="009F5833" w:rsidP="00C8148E">
                            <w:pPr>
                              <w:pStyle w:val="Caption"/>
                            </w:pPr>
                            <w:r>
                              <w:t>2</w:t>
                            </w:r>
                            <w:r w:rsidRPr="006E795C">
                              <w:t xml:space="preserve"> pav. Užbaigtų vertinimų </w:t>
                            </w:r>
                            <w:r>
                              <w:t>pobūdis</w:t>
                            </w:r>
                            <w:r w:rsidRPr="006E795C">
                              <w:t xml:space="preserve"> (N=7</w:t>
                            </w:r>
                            <w:r>
                              <w:t>5</w:t>
                            </w:r>
                            <w:r w:rsidRPr="006E795C">
                              <w:t>)</w:t>
                            </w:r>
                          </w:p>
                          <w:p w:rsidR="009F5833" w:rsidRDefault="00CA1232">
                            <w:r>
                              <w:rPr>
                                <w:noProof/>
                                <w:lang w:eastAsia="lt-LT"/>
                              </w:rPr>
                              <w:drawing>
                                <wp:inline distT="0" distB="0" distL="0" distR="0">
                                  <wp:extent cx="3265805" cy="2140585"/>
                                  <wp:effectExtent l="0" t="0" r="10795" b="1206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5833" w:rsidRDefault="009F5833"/>
                          <w:p w:rsidR="009F5833" w:rsidRDefault="009F5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22.5pt;margin-top:6.25pt;width:263.05pt;height:182.4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i3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" stroked="f">
                <v:textbox>
                  <w:txbxContent>
                    <w:p w:rsidR="009F5833" w:rsidRPr="006E795C" w:rsidRDefault="009F5833" w:rsidP="00C8148E">
                      <w:pPr>
                        <w:pStyle w:val="Caption"/>
                      </w:pPr>
                      <w:r>
                        <w:t>2</w:t>
                      </w:r>
                      <w:r w:rsidRPr="006E795C">
                        <w:t xml:space="preserve"> pav. Užbaigtų vertinimų </w:t>
                      </w:r>
                      <w:r>
                        <w:t>pobūdis</w:t>
                      </w:r>
                      <w:r w:rsidRPr="006E795C">
                        <w:t xml:space="preserve"> (N=7</w:t>
                      </w:r>
                      <w:r>
                        <w:t>5</w:t>
                      </w:r>
                      <w:r w:rsidRPr="006E795C">
                        <w:t>)</w:t>
                      </w:r>
                    </w:p>
                    <w:p w:rsidR="009F5833" w:rsidRDefault="00CA1232">
                      <w:r>
                        <w:rPr>
                          <w:noProof/>
                          <w:lang w:eastAsia="lt-LT"/>
                        </w:rPr>
                        <w:drawing>
                          <wp:inline distT="0" distB="0" distL="0" distR="0">
                            <wp:extent cx="3265805" cy="2140585"/>
                            <wp:effectExtent l="0" t="0" r="10795" b="1206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5833" w:rsidRDefault="009F5833"/>
                    <w:p w:rsidR="009F5833" w:rsidRDefault="009F5833"/>
                  </w:txbxContent>
                </v:textbox>
                <w10:wrap type="square"/>
              </v:shape>
            </w:pict>
          </mc:Fallback>
        </mc:AlternateContent>
      </w:r>
      <w:r w:rsidR="00A73AD3" w:rsidRPr="00704094">
        <w:rPr>
          <w:rFonts w:cs="Times New Roman"/>
          <w:sz w:val="22"/>
          <w:szCs w:val="22"/>
        </w:rPr>
        <w:t xml:space="preserve">Visų atliktų vertinimų pasiskirstymą pagal pobūdį rodo 2 paveikslas. Intervencijų poveikio vertinimai sudarė apie 35 proc. visų atliktų vertinimų, administravimo sistemos ir intervencijų įgyvendinimo vertinimai sudarė apie 36 proc. atliktų vertinimų, o likusią dalį – įvairūs teminiai ir su intervencijų programavimu susiję vertinimai. </w:t>
      </w:r>
    </w:p>
    <w:p w:rsidR="00A73AD3" w:rsidRPr="00704094" w:rsidRDefault="00A73AD3" w:rsidP="00AA51B0">
      <w:pPr>
        <w:pStyle w:val="Pagrindinispaprastastekstas"/>
        <w:rPr>
          <w:rFonts w:cs="Times New Roman"/>
          <w:sz w:val="22"/>
          <w:szCs w:val="22"/>
        </w:rPr>
      </w:pPr>
    </w:p>
    <w:p w:rsidR="00A73AD3" w:rsidRPr="00704094" w:rsidRDefault="00A73AD3" w:rsidP="00AA51B0">
      <w:pPr>
        <w:pStyle w:val="Pagrindinispaprastastekstas"/>
        <w:rPr>
          <w:rFonts w:cs="Times New Roman"/>
          <w:sz w:val="22"/>
          <w:szCs w:val="22"/>
        </w:rPr>
      </w:pPr>
      <w:r w:rsidRPr="00704094">
        <w:rPr>
          <w:rFonts w:cs="Times New Roman"/>
          <w:sz w:val="22"/>
          <w:szCs w:val="22"/>
        </w:rPr>
        <w:t>Vertinimo pobūdis priklauso nuo intervencijų įgyvendinimo ciklo etapo. Analizuojamo laikotarpio pradžioje dominavo 2004–2006 m. intervencijų poveikio vertinimai, taip pat įvairūs teminiai ir administravimo sistemos vertinimai, o laikotarpio pabaigoje – vertinimai, susiję su 2014–2020 m. interve</w:t>
      </w:r>
      <w:r w:rsidR="009F5833">
        <w:rPr>
          <w:rFonts w:cs="Times New Roman"/>
          <w:sz w:val="22"/>
          <w:szCs w:val="22"/>
        </w:rPr>
        <w:t>ncijų programavimu ir 2007–2013 </w:t>
      </w:r>
      <w:r w:rsidRPr="00704094">
        <w:rPr>
          <w:rFonts w:cs="Times New Roman"/>
          <w:sz w:val="22"/>
          <w:szCs w:val="22"/>
        </w:rPr>
        <w:t xml:space="preserve">m. intervencijų poveikio vertinimai. </w:t>
      </w:r>
    </w:p>
    <w:p w:rsidR="00A73AD3" w:rsidRPr="00704094" w:rsidRDefault="00A73AD3" w:rsidP="00AA51B0">
      <w:pPr>
        <w:pStyle w:val="Pagrindinispaprastastekstas"/>
        <w:rPr>
          <w:rFonts w:cs="Times New Roman"/>
          <w:sz w:val="22"/>
          <w:szCs w:val="22"/>
        </w:rPr>
      </w:pPr>
    </w:p>
    <w:p w:rsidR="00A73AD3" w:rsidRPr="00704094" w:rsidRDefault="00A73AD3" w:rsidP="00C8148E">
      <w:pPr>
        <w:pStyle w:val="Pagrindinispaprastastekstas"/>
        <w:rPr>
          <w:rFonts w:eastAsia="TrebuchetMS" w:cs="Times New Roman"/>
          <w:sz w:val="22"/>
          <w:szCs w:val="22"/>
        </w:rPr>
      </w:pPr>
      <w:r w:rsidRPr="00704094">
        <w:rPr>
          <w:rFonts w:cs="Times New Roman"/>
          <w:sz w:val="22"/>
          <w:szCs w:val="22"/>
        </w:rPr>
        <w:t>Pagal turinį</w:t>
      </w:r>
      <w:r w:rsidRPr="00704094">
        <w:rPr>
          <w:rFonts w:cs="Times New Roman"/>
          <w:b/>
          <w:bCs/>
          <w:sz w:val="22"/>
          <w:szCs w:val="22"/>
        </w:rPr>
        <w:t xml:space="preserve"> </w:t>
      </w:r>
      <w:r w:rsidRPr="00704094">
        <w:rPr>
          <w:rFonts w:cs="Times New Roman"/>
          <w:sz w:val="22"/>
          <w:szCs w:val="22"/>
        </w:rPr>
        <w:t xml:space="preserve">atliktus </w:t>
      </w:r>
      <w:r w:rsidRPr="00704094">
        <w:rPr>
          <w:rFonts w:eastAsia="TrebuchetMS" w:cs="Times New Roman"/>
          <w:sz w:val="22"/>
          <w:szCs w:val="22"/>
        </w:rPr>
        <w:t xml:space="preserve">teminius vertinimus galima suskirstyti į 4 grupes: a) vertinimai, susiję su 2007–2013 m. veiksmų programų intervencijų </w:t>
      </w:r>
      <w:r w:rsidRPr="00704094">
        <w:rPr>
          <w:rFonts w:eastAsia="TrebuchetMS" w:cs="Times New Roman"/>
          <w:i/>
          <w:iCs/>
          <w:sz w:val="22"/>
          <w:szCs w:val="22"/>
        </w:rPr>
        <w:t>efektyvumo ir poveikio specifinėse srityse nustatymu</w:t>
      </w:r>
      <w:r w:rsidRPr="00704094">
        <w:rPr>
          <w:rFonts w:eastAsia="TrebuchetMS" w:cs="Times New Roman"/>
          <w:sz w:val="22"/>
          <w:szCs w:val="22"/>
        </w:rPr>
        <w:t xml:space="preserve"> (pavyzdžiui, mokslo ir verslo sričių bendradarbiavimo efektyvumo vertinimas, vertinimai, kuriuose nagrinėtas intervencijų poveikis jaunimo verslumo skatinimui, vietinei ir urbanistinei plėtrai, horizontalaus prioriteto „Lyčių lygybė ir nediskriminavimas“ įgyvendinimui); b) vertinimai, kuriais buvo siekiama nustatyti 2007–2013 m. veiksmų programų </w:t>
      </w:r>
      <w:r w:rsidRPr="00704094">
        <w:rPr>
          <w:rFonts w:eastAsia="TrebuchetMS" w:cs="Times New Roman"/>
          <w:i/>
          <w:iCs/>
          <w:sz w:val="22"/>
          <w:szCs w:val="22"/>
        </w:rPr>
        <w:t>indėlį į kitų strateginių dokumentų įgyvendinimą</w:t>
      </w:r>
      <w:r w:rsidRPr="00704094">
        <w:rPr>
          <w:rFonts w:eastAsia="TrebuchetMS" w:cs="Times New Roman"/>
          <w:sz w:val="22"/>
          <w:szCs w:val="22"/>
        </w:rPr>
        <w:t xml:space="preserve"> (pavyzdžiui, ES Baltijos jūros regiono strategijos,</w:t>
      </w:r>
      <w:r w:rsidR="009F5833">
        <w:rPr>
          <w:rFonts w:eastAsia="TrebuchetMS" w:cs="Times New Roman"/>
          <w:sz w:val="22"/>
          <w:szCs w:val="22"/>
        </w:rPr>
        <w:t xml:space="preserve"> strategijos „Europa 2020“); c) </w:t>
      </w:r>
      <w:r w:rsidRPr="00704094">
        <w:rPr>
          <w:rFonts w:eastAsia="TrebuchetMS" w:cs="Times New Roman"/>
          <w:sz w:val="22"/>
          <w:szCs w:val="22"/>
        </w:rPr>
        <w:t xml:space="preserve">vertinimai, susiję su įvairių </w:t>
      </w:r>
      <w:r w:rsidRPr="00704094">
        <w:rPr>
          <w:rFonts w:eastAsia="TrebuchetMS" w:cs="Times New Roman"/>
          <w:i/>
          <w:iCs/>
          <w:sz w:val="22"/>
          <w:szCs w:val="22"/>
        </w:rPr>
        <w:t>specifinių reikalavimų įgyvendinimu</w:t>
      </w:r>
      <w:r w:rsidRPr="00704094">
        <w:rPr>
          <w:rFonts w:eastAsia="TrebuchetMS" w:cs="Times New Roman"/>
          <w:sz w:val="22"/>
          <w:szCs w:val="22"/>
        </w:rPr>
        <w:t xml:space="preserve"> (tokių kaip partnerystė, viešieji pirkimai, aplinkosauginiai reikalavimai) ir šių reikalavimų poveikio ES struktūrinės paramos panaudojimui analize; d) </w:t>
      </w:r>
      <w:r w:rsidRPr="00704094">
        <w:rPr>
          <w:rFonts w:eastAsia="TrebuchetMS" w:cs="Times New Roman"/>
          <w:i/>
          <w:iCs/>
          <w:sz w:val="22"/>
          <w:szCs w:val="22"/>
        </w:rPr>
        <w:t>kiti teminiai vertinimai</w:t>
      </w:r>
      <w:r w:rsidRPr="00704094">
        <w:rPr>
          <w:rFonts w:eastAsia="TrebuchetMS" w:cs="Times New Roman"/>
          <w:sz w:val="22"/>
          <w:szCs w:val="22"/>
        </w:rPr>
        <w:t xml:space="preserve">, skirti įvairiems administraciniams ir strateginiams klausimams (tyrimų ir studijų kokybės ir efektyvumo vertinimas, ES struktūrinės paramos vertinimų rekomendacijų įgyvendinimo vertinimas, sveikatos sistemos pertvarkos poveikio ES struktūrinės paramos panaudojimui vertinimas, ŪM kompetencijai priskirtų ūkio sektorių, kurie finansuojami ES struktūrinių fondų lėšomis, būklės vertinimas). </w:t>
      </w:r>
    </w:p>
    <w:p w:rsidR="00A73AD3" w:rsidRPr="00704094" w:rsidRDefault="00A73AD3" w:rsidP="00A85C5C">
      <w:pPr>
        <w:pStyle w:val="Pagrindinispaprastastekstas"/>
        <w:rPr>
          <w:rFonts w:cs="Times New Roman"/>
          <w:sz w:val="22"/>
          <w:szCs w:val="22"/>
        </w:rPr>
      </w:pPr>
    </w:p>
    <w:p w:rsidR="00A73AD3" w:rsidRPr="00704094" w:rsidRDefault="00A73AD3" w:rsidP="00A85C5C">
      <w:pPr>
        <w:pStyle w:val="Pagrindinispaprastastekstas"/>
        <w:rPr>
          <w:rFonts w:cs="Times New Roman"/>
          <w:sz w:val="22"/>
          <w:szCs w:val="22"/>
        </w:rPr>
      </w:pPr>
      <w:r w:rsidRPr="00704094">
        <w:rPr>
          <w:rFonts w:cs="Times New Roman"/>
          <w:b/>
          <w:bCs/>
          <w:color w:val="1F497D"/>
          <w:sz w:val="22"/>
          <w:szCs w:val="22"/>
        </w:rPr>
        <w:t xml:space="preserve">Administravimo sistemos vertinimuose </w:t>
      </w:r>
      <w:r w:rsidRPr="00704094">
        <w:rPr>
          <w:rFonts w:eastAsia="TrebuchetMS" w:cs="Times New Roman"/>
          <w:sz w:val="22"/>
          <w:szCs w:val="22"/>
        </w:rPr>
        <w:t xml:space="preserve">buvo nagrinėjami a) horizontalūs veiksmų programų administravimo klausimai (administravimo sistemos efektyvumas, informavimo ir viešinimo veiklos, projektų atrankos būdų ir projektų atrankos kriterijų tinkamumas, finansavimo takoskyrų ir finansinio veiksmų programų įgyvendinimo klausimai); b) kiti vertinimai buvo skirti specifiniams administravimo klausimams (Europos investicijų banko paskolos administravimo sistemos vertinimas, finansų inžinerijos priemonių steigimo ir valdymo vertinimas). Didelė </w:t>
      </w:r>
      <w:r w:rsidRPr="00704094">
        <w:rPr>
          <w:rFonts w:eastAsia="TrebuchetMS" w:cs="Times New Roman"/>
          <w:sz w:val="22"/>
          <w:szCs w:val="22"/>
          <w:lang w:eastAsia="en-US"/>
        </w:rPr>
        <w:t>dalis</w:t>
      </w:r>
      <w:r w:rsidRPr="00704094">
        <w:rPr>
          <w:rFonts w:eastAsia="TrebuchetMS" w:cs="Times New Roman"/>
          <w:sz w:val="22"/>
          <w:szCs w:val="22"/>
        </w:rPr>
        <w:t xml:space="preserve"> administravimo sistemos vertinimų buvo </w:t>
      </w:r>
      <w:r w:rsidRPr="00704094">
        <w:rPr>
          <w:rFonts w:eastAsia="TrebuchetMS" w:cs="Times New Roman"/>
          <w:sz w:val="22"/>
          <w:szCs w:val="22"/>
          <w:lang w:eastAsia="en-US"/>
        </w:rPr>
        <w:t>susiję</w:t>
      </w:r>
      <w:r w:rsidRPr="00704094">
        <w:rPr>
          <w:rFonts w:eastAsia="TrebuchetMS" w:cs="Times New Roman"/>
          <w:sz w:val="22"/>
          <w:szCs w:val="22"/>
        </w:rPr>
        <w:t xml:space="preserve"> su stebėsenos rodiklių tinkamumo analize, konkrečių rodiklių skaičiavimo metodikų parengimu, pradinių stebėsenos rodiklių reikšmių nustatymu. Taip pat atliktas vertinimas, kuriuo buvo siekiama išnagrinėti galimybes ES struktūrinės paramos vertinimuose plačiau taikyti kontrafaktinius poveikio vertinimo metodus.</w:t>
      </w:r>
    </w:p>
    <w:p w:rsidR="00A73AD3" w:rsidRPr="00704094" w:rsidRDefault="00A73AD3" w:rsidP="00A85C5C">
      <w:pPr>
        <w:pStyle w:val="Pagrindinispaprastastekstas"/>
        <w:rPr>
          <w:rFonts w:cs="Times New Roman"/>
          <w:sz w:val="22"/>
          <w:szCs w:val="22"/>
        </w:rPr>
      </w:pPr>
    </w:p>
    <w:p w:rsidR="00A73AD3" w:rsidRDefault="00A73AD3" w:rsidP="00AA51B0">
      <w:pPr>
        <w:pStyle w:val="Pagrindinispaprastastekstas"/>
        <w:rPr>
          <w:rFonts w:eastAsia="TrebuchetMS" w:cs="Times New Roman"/>
          <w:sz w:val="22"/>
          <w:szCs w:val="22"/>
        </w:rPr>
      </w:pPr>
      <w:r w:rsidRPr="00704094">
        <w:rPr>
          <w:rFonts w:cs="Times New Roman"/>
          <w:b/>
          <w:bCs/>
          <w:color w:val="1F497D"/>
          <w:sz w:val="22"/>
          <w:szCs w:val="22"/>
        </w:rPr>
        <w:t xml:space="preserve">2007–2013 m. veiksmų programų ir 2014–2020 m. veiksmų programos įgyvendinimo vertinimuose </w:t>
      </w:r>
      <w:r w:rsidRPr="00704094">
        <w:rPr>
          <w:rFonts w:eastAsia="TrebuchetMS" w:cs="Times New Roman"/>
          <w:sz w:val="22"/>
          <w:szCs w:val="22"/>
        </w:rPr>
        <w:t>nagrinėti tarpiniai atskirų veiksmų programų prioritetų / priemonių ar konkrečiose valdymo srityse vykdytų intervencijų rezultatai, jų įgyvendinimo efektyvumas, kokybė, skaičiuo</w:t>
      </w:r>
      <w:r w:rsidR="009F5833">
        <w:rPr>
          <w:rFonts w:eastAsia="TrebuchetMS" w:cs="Times New Roman"/>
          <w:sz w:val="22"/>
          <w:szCs w:val="22"/>
        </w:rPr>
        <w:t>tos tarpinės rodiklių reikšmės.</w:t>
      </w:r>
    </w:p>
    <w:p w:rsidR="009F5833" w:rsidRPr="00704094" w:rsidRDefault="009F5833" w:rsidP="00AA51B0">
      <w:pPr>
        <w:pStyle w:val="Pagrindinispaprastastekstas"/>
        <w:rPr>
          <w:rFonts w:eastAsia="TrebuchetMS" w:cs="Times New Roman"/>
          <w:sz w:val="22"/>
          <w:szCs w:val="22"/>
        </w:rPr>
      </w:pPr>
    </w:p>
    <w:p w:rsidR="00A73AD3" w:rsidRPr="00704094" w:rsidRDefault="00A73AD3" w:rsidP="00AA51B0">
      <w:pPr>
        <w:pStyle w:val="Pagrindinispaprastastekstas"/>
        <w:rPr>
          <w:rFonts w:eastAsia="TrebuchetMS"/>
          <w:sz w:val="22"/>
          <w:szCs w:val="22"/>
        </w:rPr>
      </w:pPr>
      <w:r w:rsidRPr="00704094">
        <w:rPr>
          <w:rFonts w:cs="Times New Roman"/>
          <w:b/>
          <w:bCs/>
          <w:color w:val="1F497D"/>
          <w:sz w:val="22"/>
          <w:szCs w:val="22"/>
        </w:rPr>
        <w:t xml:space="preserve">2007–2013 m. ir 2014–2020 m. veiksmų programų poveikio vertinimai </w:t>
      </w:r>
      <w:r w:rsidRPr="00704094">
        <w:rPr>
          <w:rFonts w:eastAsia="TrebuchetMS" w:cs="Times New Roman"/>
          <w:sz w:val="22"/>
          <w:szCs w:val="22"/>
        </w:rPr>
        <w:t>buvo skirti veiksmų programų ar atskirų jų dalių (prioritetų, priemonių ar jų grupių) poveikio nustatymui. Dalis poveikio vertinimų apėmė konkrečias veiksmų programų priemones ir (arba) sektorius, kiti poveikio vertinimai buvo teminiai (pavyzdžiui, ES struktūrinės paramos poveikio Lietuvos konkurencingumui, žmogiškųjų išteklių plėtrai, gyvenimo kokybei, skurdo ir socialinės atskirties mažinimui, taip pat ES struktūrinės paramos poveikio užimtumui ir kitiems makroekonominiams rodikliams, kultūrai, Lietuvos miestams ir miesteliams, darniam vystymuisi vertinimai) ir apėmė 2007–2013 m. veiksmų programų priemonių grupes. Vertinant 2007–2013 m. ir 2014–2020 m. veiksmų programų poveikį dominavo teminiai poveikio vertinimai. Atskiroms priemonėms, uždaviniams ar prioritetams skirtų poveikio vertinimų buvo mažai. 2007</w:t>
      </w:r>
      <w:r w:rsidRPr="00704094">
        <w:rPr>
          <w:rFonts w:cs="Times New Roman"/>
          <w:sz w:val="22"/>
          <w:szCs w:val="22"/>
        </w:rPr>
        <w:t>–</w:t>
      </w:r>
      <w:r w:rsidRPr="00704094">
        <w:rPr>
          <w:rFonts w:eastAsia="TrebuchetMS" w:cs="Times New Roman"/>
          <w:sz w:val="22"/>
          <w:szCs w:val="22"/>
        </w:rPr>
        <w:t xml:space="preserve">2013 m. veiksmų programų poveikio klausimai analizuoti ir kai kuriuose vertinimuose, susijusiuose su </w:t>
      </w:r>
      <w:r w:rsidRPr="00704094">
        <w:rPr>
          <w:rFonts w:cs="Times New Roman"/>
          <w:sz w:val="22"/>
          <w:szCs w:val="22"/>
        </w:rPr>
        <w:t>2014–2020 m. ES fondų investicijų programavimu.</w:t>
      </w:r>
    </w:p>
    <w:p w:rsidR="00A73AD3" w:rsidRPr="00704094" w:rsidRDefault="00A73AD3" w:rsidP="00AA51B0">
      <w:pPr>
        <w:pStyle w:val="Pagrindinispaprastastekstas"/>
        <w:rPr>
          <w:rFonts w:eastAsia="TrebuchetMS"/>
          <w:sz w:val="22"/>
          <w:szCs w:val="22"/>
        </w:rPr>
      </w:pPr>
    </w:p>
    <w:p w:rsidR="00A73AD3" w:rsidRPr="00704094" w:rsidRDefault="00A73AD3" w:rsidP="00A85C5C">
      <w:pPr>
        <w:pStyle w:val="Pagrindinispaprastastekstas"/>
        <w:rPr>
          <w:rFonts w:cs="Times New Roman"/>
          <w:sz w:val="22"/>
          <w:szCs w:val="22"/>
        </w:rPr>
      </w:pPr>
      <w:bookmarkStart w:id="10" w:name="_Toc467839563"/>
      <w:r w:rsidRPr="00704094">
        <w:rPr>
          <w:rFonts w:cs="Times New Roman"/>
          <w:b/>
          <w:bCs/>
          <w:color w:val="1F497D"/>
          <w:sz w:val="22"/>
          <w:szCs w:val="22"/>
        </w:rPr>
        <w:t>Vertinimai, susiję su 2014–2020 m. ES investicijų programavimu</w:t>
      </w:r>
      <w:bookmarkEnd w:id="10"/>
      <w:r w:rsidRPr="00704094">
        <w:rPr>
          <w:rFonts w:cs="Times New Roman"/>
          <w:b/>
          <w:bCs/>
          <w:color w:val="1F497D"/>
          <w:sz w:val="22"/>
          <w:szCs w:val="22"/>
        </w:rPr>
        <w:t xml:space="preserve">, </w:t>
      </w:r>
      <w:r w:rsidRPr="00704094">
        <w:rPr>
          <w:rFonts w:eastAsia="TrebuchetMS" w:cs="Times New Roman"/>
          <w:sz w:val="22"/>
          <w:szCs w:val="22"/>
        </w:rPr>
        <w:t>buvo skirti 2014–2020 m. laikotarpio ES struktūrinių fondų intervencijų planavimui. Dalis 2007–2013 m. veiksmų programų poveikio vertinimų taip pat apėmė 2014–2020 m. intervencijų turinio ir įgyvendinimo klausimus (pavyzdžiui, vertinimai atliekų tvarkymo, turizmo, paramos SVV srityse). Vertinimai, susiję su pasirengimu 2014–2020 m. laikotarpiui, buvo tiek sektoriniai (sveikatos, švietimo, žmogiškųjų išteklių, informacinės visuomenės, valstybės informacinių išteklių infrastruktūros plėtros srityse), tiek horizontalūs (2014–2020 m. programavimo dokumentų išankstinis vertinimas).</w:t>
      </w:r>
    </w:p>
    <w:p w:rsidR="00A73AD3" w:rsidRPr="00704094" w:rsidRDefault="00A73AD3" w:rsidP="00A85C5C">
      <w:pPr>
        <w:pStyle w:val="Pagrindinispaprastastekstas"/>
        <w:rPr>
          <w:rFonts w:cs="Times New Roman"/>
          <w:sz w:val="22"/>
          <w:szCs w:val="22"/>
        </w:rPr>
      </w:pPr>
    </w:p>
    <w:p w:rsidR="00A73AD3" w:rsidRPr="00704094" w:rsidRDefault="00A73AD3" w:rsidP="00A85C5C">
      <w:pPr>
        <w:pStyle w:val="Pagrindinispaprastastekstas"/>
        <w:rPr>
          <w:rFonts w:cs="Times New Roman"/>
          <w:sz w:val="22"/>
          <w:szCs w:val="22"/>
        </w:rPr>
      </w:pPr>
      <w:r w:rsidRPr="00704094">
        <w:rPr>
          <w:rFonts w:cs="Times New Roman"/>
          <w:sz w:val="22"/>
          <w:szCs w:val="22"/>
        </w:rPr>
        <w:t xml:space="preserve">Įgyvendinant vertinimo gebėjimų stiprinimo projektus buvo atlikti 3 </w:t>
      </w:r>
      <w:r w:rsidRPr="00704094">
        <w:rPr>
          <w:rFonts w:cs="Times New Roman"/>
          <w:b/>
          <w:bCs/>
          <w:color w:val="1F497D"/>
          <w:sz w:val="22"/>
          <w:szCs w:val="22"/>
          <w:lang w:eastAsia="en-US"/>
        </w:rPr>
        <w:t>metavertinimai</w:t>
      </w:r>
      <w:r w:rsidRPr="00704094">
        <w:rPr>
          <w:rFonts w:cs="Times New Roman"/>
          <w:sz w:val="22"/>
          <w:szCs w:val="22"/>
        </w:rPr>
        <w:t>, kuriuose analizuoti vertinimų kokybės ir rezultatų naudojimo (rekomendacijų įgyvendinimo) klausimai.</w:t>
      </w:r>
    </w:p>
    <w:p w:rsidR="00A73AD3" w:rsidRPr="00986CFB" w:rsidRDefault="00A73AD3" w:rsidP="00A372E1">
      <w:pPr>
        <w:pStyle w:val="Antrastes2"/>
        <w:rPr>
          <w:rFonts w:cs="Times New Roman"/>
        </w:rPr>
      </w:pPr>
      <w:bookmarkStart w:id="11" w:name="_Toc472343146"/>
      <w:r w:rsidRPr="00986CFB">
        <w:rPr>
          <w:rFonts w:cs="Times New Roman"/>
        </w:rPr>
        <w:t>Vertinimų kokybė ir rezultatų naudojimas</w:t>
      </w:r>
      <w:bookmarkEnd w:id="11"/>
    </w:p>
    <w:p w:rsidR="00A73AD3" w:rsidRPr="00704094" w:rsidRDefault="00A73AD3" w:rsidP="00A85C5C">
      <w:pPr>
        <w:pStyle w:val="Pagrindinispaprastastekstas"/>
        <w:rPr>
          <w:rFonts w:cs="Times New Roman"/>
          <w:sz w:val="22"/>
          <w:szCs w:val="22"/>
        </w:rPr>
      </w:pPr>
      <w:r w:rsidRPr="00704094">
        <w:rPr>
          <w:rFonts w:cs="Times New Roman"/>
          <w:sz w:val="22"/>
          <w:szCs w:val="22"/>
        </w:rPr>
        <w:t xml:space="preserve">Vertinimų kokybė yra svarbi vertinimo rezultatų naudojimo prielaida. Vertinimo kokybė priklauso nuo įvairių veiksnių: aiškių vertinimo tikslų ir klausimų, kurie nurodomi vertinimo paslaugų techninėje specifikacijoje, vertintojų kvalifikacijos, kompetencijos ir patirties, vertinimui atlikti reikalingų duomenų kokybės ir prieinamumo, taikomų duomenų rinkimo ir analizės metodų, vertinimo užsakovo, paslaugų teikėjo ir kitų suinteresuotų asmenų bendradarbiavimo vertinimo proceso metu ir kitų veiksnių. </w:t>
      </w:r>
    </w:p>
    <w:p w:rsidR="00A73AD3" w:rsidRPr="00704094" w:rsidRDefault="00A73AD3" w:rsidP="00A85C5C">
      <w:pPr>
        <w:pStyle w:val="Pagrindinispaprastastekstas"/>
        <w:rPr>
          <w:rFonts w:cs="Times New Roman"/>
          <w:sz w:val="22"/>
          <w:szCs w:val="22"/>
        </w:rPr>
      </w:pPr>
    </w:p>
    <w:p w:rsidR="00A73AD3" w:rsidRPr="00704094" w:rsidRDefault="00A73AD3" w:rsidP="006008CE">
      <w:pPr>
        <w:pStyle w:val="Pagrindinispaprastastekstas"/>
        <w:rPr>
          <w:rFonts w:cs="Times New Roman"/>
          <w:sz w:val="22"/>
          <w:szCs w:val="22"/>
        </w:rPr>
      </w:pPr>
      <w:r w:rsidRPr="00704094">
        <w:rPr>
          <w:rFonts w:cs="Times New Roman"/>
          <w:sz w:val="22"/>
          <w:szCs w:val="22"/>
        </w:rPr>
        <w:t>Pastaraisiais metais pastebėta teigiama tendencija – vertinimų kokybė gerėja.</w:t>
      </w:r>
      <w:r w:rsidRPr="00704094">
        <w:rPr>
          <w:rStyle w:val="FootnoteReference"/>
          <w:rFonts w:cs="Times New Roman"/>
        </w:rPr>
        <w:footnoteReference w:id="1"/>
      </w:r>
      <w:r w:rsidRPr="00704094">
        <w:rPr>
          <w:rFonts w:cs="Times New Roman"/>
          <w:sz w:val="22"/>
          <w:szCs w:val="22"/>
        </w:rPr>
        <w:t xml:space="preserve"> Vertinimų kokybės augimą lėmė trys veiksniai. Pirma, Finansų ministerija įgyvendino vertinimo gebėjimų stiprinimo projektus, kurių metu buvo parengtos metodinės gairės, organizuojami metodiniai seminarai ir pan. Antra, buvo įsteigta Vertinimo koordinavimo grupė, kuri apima įvairių institucijų tarnautojus ir veikia kaip koordinavimo bei mokymosi tinklas. Galiausiai „mokymosi dirbant“ procesas lėmė vertinimų užsakovų ir vykdytojų gebėjimų augimą. Be to, nemažą postūmį vertinimo kokybei turėjo 2013 m. parengti ir paskelbti Lietuvos ES struktūrinės paramos vertinimo standartai.</w:t>
      </w:r>
      <w:r w:rsidRPr="00704094">
        <w:rPr>
          <w:rStyle w:val="FootnoteReference"/>
          <w:rFonts w:cs="Times New Roman"/>
        </w:rPr>
        <w:footnoteReference w:id="2"/>
      </w:r>
    </w:p>
    <w:p w:rsidR="00A73AD3" w:rsidRPr="00704094" w:rsidRDefault="00A73AD3" w:rsidP="006008CE">
      <w:pPr>
        <w:pStyle w:val="Pagrindinispaprastastekstas"/>
        <w:rPr>
          <w:rFonts w:cs="Times New Roman"/>
          <w:sz w:val="22"/>
          <w:szCs w:val="22"/>
        </w:rPr>
      </w:pPr>
    </w:p>
    <w:p w:rsidR="00A73AD3" w:rsidRPr="00704094" w:rsidRDefault="00A73AD3" w:rsidP="006008CE">
      <w:pPr>
        <w:pStyle w:val="Pagrindinispaprastastekstas"/>
        <w:rPr>
          <w:rFonts w:cs="Times New Roman"/>
          <w:sz w:val="22"/>
          <w:szCs w:val="22"/>
        </w:rPr>
      </w:pPr>
      <w:r w:rsidRPr="00704094">
        <w:rPr>
          <w:rFonts w:cs="Times New Roman"/>
          <w:sz w:val="22"/>
          <w:szCs w:val="22"/>
        </w:rPr>
        <w:t xml:space="preserve">Nors </w:t>
      </w:r>
      <w:r w:rsidRPr="00704094">
        <w:rPr>
          <w:rFonts w:cs="Times New Roman"/>
          <w:sz w:val="22"/>
          <w:szCs w:val="22"/>
          <w:lang w:eastAsia="en-US"/>
        </w:rPr>
        <w:t>metaanalizės</w:t>
      </w:r>
      <w:r w:rsidRPr="00704094">
        <w:rPr>
          <w:rFonts w:cs="Times New Roman"/>
          <w:sz w:val="22"/>
          <w:szCs w:val="22"/>
        </w:rPr>
        <w:t xml:space="preserve"> atkleidė, kad vertinimų kokybė yra gera, lieka daug iššūkių, kurie turi būti sprendžiami 2014–2020 m. </w:t>
      </w:r>
      <w:r w:rsidRPr="00704094">
        <w:rPr>
          <w:rFonts w:cs="Times New Roman"/>
          <w:sz w:val="22"/>
          <w:szCs w:val="22"/>
          <w:lang w:eastAsia="en-US"/>
        </w:rPr>
        <w:t>Metaanalizės</w:t>
      </w:r>
      <w:r w:rsidRPr="00704094">
        <w:rPr>
          <w:rFonts w:cs="Times New Roman"/>
          <w:sz w:val="22"/>
          <w:szCs w:val="22"/>
        </w:rPr>
        <w:t xml:space="preserve"> ir apklausos duomenys (</w:t>
      </w:r>
      <w:r w:rsidRPr="00704094">
        <w:rPr>
          <w:rFonts w:cs="Times New Roman"/>
          <w:i/>
          <w:iCs/>
          <w:sz w:val="22"/>
          <w:szCs w:val="22"/>
        </w:rPr>
        <w:t>VPVI, ESTEP, 2013</w:t>
      </w:r>
      <w:r w:rsidRPr="00704094">
        <w:rPr>
          <w:rFonts w:cs="Times New Roman"/>
          <w:sz w:val="22"/>
          <w:szCs w:val="22"/>
        </w:rPr>
        <w:t>) rodo šias pagrindines vertinimų kokybės problemas:</w:t>
      </w:r>
    </w:p>
    <w:p w:rsidR="00A73AD3" w:rsidRPr="00704094" w:rsidRDefault="00A73AD3" w:rsidP="006008CE">
      <w:pPr>
        <w:pStyle w:val="Pagrindinispaprastastekstas"/>
        <w:rPr>
          <w:rFonts w:cs="Times New Roman"/>
          <w:sz w:val="22"/>
          <w:szCs w:val="22"/>
        </w:rPr>
      </w:pPr>
    </w:p>
    <w:p w:rsidR="00A73AD3" w:rsidRPr="00704094" w:rsidRDefault="00A73AD3" w:rsidP="006008CE">
      <w:pPr>
        <w:pStyle w:val="Pagrindinispaprastastekstas"/>
        <w:numPr>
          <w:ilvl w:val="0"/>
          <w:numId w:val="34"/>
        </w:numPr>
        <w:rPr>
          <w:rFonts w:cs="Times New Roman"/>
          <w:sz w:val="22"/>
          <w:szCs w:val="22"/>
        </w:rPr>
      </w:pPr>
      <w:r w:rsidRPr="00704094">
        <w:rPr>
          <w:rFonts w:cs="Times New Roman"/>
          <w:i/>
          <w:iCs/>
          <w:sz w:val="22"/>
          <w:szCs w:val="22"/>
        </w:rPr>
        <w:t>Vertinimų apimtis.</w:t>
      </w:r>
      <w:r w:rsidRPr="00704094">
        <w:rPr>
          <w:rFonts w:cs="Times New Roman"/>
          <w:sz w:val="22"/>
          <w:szCs w:val="22"/>
        </w:rPr>
        <w:t xml:space="preserve"> Dauguma atliktų vertinimų apėmė daug intervencijų ir vertinimo klausimų, tačiau buvo paviršutiniški.</w:t>
      </w:r>
    </w:p>
    <w:p w:rsidR="00A73AD3" w:rsidRPr="00704094" w:rsidRDefault="00A73AD3" w:rsidP="006008CE">
      <w:pPr>
        <w:pStyle w:val="Pagrindinispaprastastekstas"/>
        <w:numPr>
          <w:ilvl w:val="0"/>
          <w:numId w:val="34"/>
        </w:numPr>
        <w:rPr>
          <w:rFonts w:cs="Times New Roman"/>
          <w:sz w:val="22"/>
          <w:szCs w:val="22"/>
        </w:rPr>
      </w:pPr>
      <w:r w:rsidRPr="00704094">
        <w:rPr>
          <w:rFonts w:cs="Times New Roman"/>
          <w:i/>
          <w:iCs/>
          <w:sz w:val="22"/>
          <w:szCs w:val="22"/>
        </w:rPr>
        <w:t>Ryšys tarp duomenų ir išvadų.</w:t>
      </w:r>
      <w:r w:rsidRPr="00704094">
        <w:rPr>
          <w:rFonts w:cs="Times New Roman"/>
          <w:sz w:val="22"/>
          <w:szCs w:val="22"/>
        </w:rPr>
        <w:t xml:space="preserve"> Vertinimuose dažnai naudojami duomenys siekiant pateikti pagrįstas išvadas, tačiau sąsaja tarp duomenų ir išvadų ne visuomet aiški. </w:t>
      </w:r>
    </w:p>
    <w:p w:rsidR="00A73AD3" w:rsidRPr="00704094" w:rsidRDefault="00A73AD3" w:rsidP="006008CE">
      <w:pPr>
        <w:pStyle w:val="Pagrindinispaprastastekstas"/>
        <w:numPr>
          <w:ilvl w:val="0"/>
          <w:numId w:val="34"/>
        </w:numPr>
        <w:rPr>
          <w:rFonts w:cs="Times New Roman"/>
          <w:sz w:val="22"/>
          <w:szCs w:val="22"/>
        </w:rPr>
      </w:pPr>
      <w:r w:rsidRPr="00704094">
        <w:rPr>
          <w:rFonts w:cs="Times New Roman"/>
          <w:i/>
          <w:iCs/>
          <w:sz w:val="22"/>
          <w:szCs w:val="22"/>
        </w:rPr>
        <w:t>Išvados.</w:t>
      </w:r>
      <w:r w:rsidRPr="00704094">
        <w:rPr>
          <w:rFonts w:cs="Times New Roman"/>
          <w:sz w:val="22"/>
          <w:szCs w:val="22"/>
        </w:rPr>
        <w:t xml:space="preserve"> Dalis išvadų nepakankamai konkrečios ir aiškios, kad jas būtų galima naudoti priimant politinius sprendimus.</w:t>
      </w:r>
    </w:p>
    <w:p w:rsidR="00A73AD3" w:rsidRPr="00704094" w:rsidRDefault="00A73AD3" w:rsidP="006008CE">
      <w:pPr>
        <w:pStyle w:val="Pagrindinispaprastastekstas"/>
        <w:numPr>
          <w:ilvl w:val="0"/>
          <w:numId w:val="34"/>
        </w:numPr>
        <w:rPr>
          <w:rFonts w:cs="Times New Roman"/>
          <w:sz w:val="22"/>
          <w:szCs w:val="22"/>
        </w:rPr>
      </w:pPr>
      <w:r w:rsidRPr="00704094">
        <w:rPr>
          <w:rFonts w:cs="Times New Roman"/>
          <w:i/>
          <w:iCs/>
          <w:sz w:val="22"/>
          <w:szCs w:val="22"/>
        </w:rPr>
        <w:lastRenderedPageBreak/>
        <w:t xml:space="preserve">Naujos žinios. </w:t>
      </w:r>
      <w:r w:rsidRPr="00704094">
        <w:rPr>
          <w:rFonts w:cs="Times New Roman"/>
          <w:sz w:val="22"/>
          <w:szCs w:val="22"/>
        </w:rPr>
        <w:t xml:space="preserve">Nors vertinimuose naudojama daug duomenų, jų analizė neretai yra paviršutiniška, todėl ne visuose vertinimuose pavyksta sukurti naujas žinias. </w:t>
      </w:r>
    </w:p>
    <w:p w:rsidR="00A73AD3" w:rsidRPr="00704094" w:rsidRDefault="00A73AD3" w:rsidP="006008CE">
      <w:pPr>
        <w:pStyle w:val="Pagrindinispaprastastekstas"/>
        <w:numPr>
          <w:ilvl w:val="0"/>
          <w:numId w:val="34"/>
        </w:numPr>
        <w:rPr>
          <w:rFonts w:cs="Times New Roman"/>
          <w:sz w:val="22"/>
          <w:szCs w:val="22"/>
        </w:rPr>
      </w:pPr>
      <w:r w:rsidRPr="00704094">
        <w:rPr>
          <w:rFonts w:cs="Times New Roman"/>
          <w:i/>
          <w:iCs/>
          <w:sz w:val="22"/>
          <w:szCs w:val="22"/>
        </w:rPr>
        <w:t xml:space="preserve">Metodų pasirinkimas. </w:t>
      </w:r>
      <w:r w:rsidRPr="00704094">
        <w:rPr>
          <w:rFonts w:cs="Times New Roman"/>
          <w:sz w:val="22"/>
          <w:szCs w:val="22"/>
        </w:rPr>
        <w:t>Vertinimuose retai taikyti pažangūs metodai, tokie kaip ekonometrinė analizė. Daugumoje vertinimų taikytas apklausų metodas, tačiau apklausos atliktos nebūtinai vadovaujantis aukščiausiais profesiniais standartais (pavyzdžiui, mažos imtys ir atsakymų procentas, išvestinių statistinių duomenų stoka ir pan.)</w:t>
      </w:r>
    </w:p>
    <w:p w:rsidR="00A73AD3" w:rsidRPr="00704094" w:rsidRDefault="00A73AD3" w:rsidP="00F9694B">
      <w:pPr>
        <w:pStyle w:val="Pagrindinispaprastastekstas"/>
        <w:rPr>
          <w:rFonts w:cs="Times New Roman"/>
          <w:sz w:val="22"/>
          <w:szCs w:val="22"/>
        </w:rPr>
      </w:pPr>
    </w:p>
    <w:p w:rsidR="00A73AD3" w:rsidRPr="00704094" w:rsidRDefault="00A73AD3" w:rsidP="00F9694B">
      <w:pPr>
        <w:pStyle w:val="Pagrindinispaprastastekstas"/>
        <w:rPr>
          <w:rFonts w:cs="Times New Roman"/>
          <w:sz w:val="22"/>
          <w:szCs w:val="22"/>
        </w:rPr>
      </w:pPr>
      <w:r w:rsidRPr="00704094">
        <w:rPr>
          <w:rFonts w:cs="Times New Roman"/>
          <w:sz w:val="22"/>
          <w:szCs w:val="22"/>
        </w:rPr>
        <w:t xml:space="preserve">Vadinamieji „griežtesni“ vertinimo metodai, tokie kaip </w:t>
      </w:r>
      <w:r w:rsidRPr="00704094">
        <w:rPr>
          <w:rFonts w:cs="Times New Roman"/>
          <w:b/>
          <w:bCs/>
          <w:i/>
          <w:iCs/>
          <w:color w:val="1F497D"/>
          <w:sz w:val="22"/>
          <w:szCs w:val="22"/>
        </w:rPr>
        <w:t>kontrafaktinis poveikio vertinimas</w:t>
      </w:r>
      <w:r w:rsidRPr="00704094">
        <w:rPr>
          <w:rFonts w:cs="Times New Roman"/>
          <w:sz w:val="22"/>
          <w:szCs w:val="22"/>
        </w:rPr>
        <w:t>, ES struktūrinių fondų intervencijų poveikio vertinimui Lietuvoje pradėti taikyti 2011 m., kai Socialinės apsaugos ir darbo ministerijos užsakymu buvo atliktas pirmasis tokio tipo vertinimas.</w:t>
      </w:r>
      <w:r w:rsidRPr="00704094">
        <w:rPr>
          <w:rStyle w:val="FootnoteReference"/>
          <w:rFonts w:cs="Times New Roman"/>
        </w:rPr>
        <w:footnoteReference w:id="3"/>
      </w:r>
      <w:r w:rsidRPr="00704094">
        <w:rPr>
          <w:rFonts w:cs="Times New Roman"/>
          <w:sz w:val="22"/>
          <w:szCs w:val="22"/>
        </w:rPr>
        <w:t xml:space="preserve"> Nuo to laiko atlikti dar 4 vertinimai, kuriuose 2007–2013 m. veiksmų programų poveikiui vertinti taikyti kontrafaktiniai poveikio vertinimo metodai (žr. </w:t>
      </w:r>
      <w:r w:rsidR="00085363" w:rsidRPr="00704094">
        <w:rPr>
          <w:sz w:val="22"/>
          <w:szCs w:val="22"/>
        </w:rPr>
        <w:fldChar w:fldCharType="begin"/>
      </w:r>
      <w:r w:rsidR="00085363" w:rsidRPr="00704094">
        <w:rPr>
          <w:sz w:val="22"/>
          <w:szCs w:val="22"/>
        </w:rPr>
        <w:instrText xml:space="preserve"> REF _Ref468357499 \h  \* MERGEFORMAT </w:instrText>
      </w:r>
      <w:r w:rsidR="00085363" w:rsidRPr="00704094">
        <w:rPr>
          <w:sz w:val="22"/>
          <w:szCs w:val="22"/>
        </w:rPr>
      </w:r>
      <w:r w:rsidR="00085363" w:rsidRPr="00704094">
        <w:rPr>
          <w:sz w:val="22"/>
          <w:szCs w:val="22"/>
        </w:rPr>
        <w:fldChar w:fldCharType="separate"/>
      </w:r>
      <w:r w:rsidRPr="00704094">
        <w:rPr>
          <w:rFonts w:cs="Times New Roman"/>
          <w:noProof/>
          <w:sz w:val="22"/>
          <w:szCs w:val="22"/>
        </w:rPr>
        <w:t>3</w:t>
      </w:r>
      <w:r w:rsidRPr="00704094">
        <w:rPr>
          <w:rFonts w:cs="Times New Roman"/>
          <w:sz w:val="22"/>
          <w:szCs w:val="22"/>
        </w:rPr>
        <w:t xml:space="preserve"> lentelę</w:t>
      </w:r>
      <w:r w:rsidR="00085363" w:rsidRPr="00704094">
        <w:rPr>
          <w:sz w:val="22"/>
          <w:szCs w:val="22"/>
        </w:rPr>
        <w:fldChar w:fldCharType="end"/>
      </w:r>
      <w:r w:rsidRPr="00704094">
        <w:rPr>
          <w:rFonts w:cs="Times New Roman"/>
          <w:sz w:val="22"/>
          <w:szCs w:val="22"/>
        </w:rPr>
        <w:t xml:space="preserve">). Finansų ministerijos iniciatyva 2012 m. atliktas </w:t>
      </w:r>
      <w:bookmarkStart w:id="12" w:name="_Toc386466193"/>
      <w:bookmarkStart w:id="13" w:name="_Toc467839540"/>
      <w:r w:rsidRPr="00704094">
        <w:rPr>
          <w:rFonts w:cs="Times New Roman"/>
          <w:sz w:val="22"/>
          <w:szCs w:val="22"/>
        </w:rPr>
        <w:t>„</w:t>
      </w:r>
      <w:r w:rsidRPr="00704094">
        <w:rPr>
          <w:rFonts w:cs="Times New Roman"/>
          <w:color w:val="000000"/>
          <w:sz w:val="22"/>
          <w:szCs w:val="22"/>
        </w:rPr>
        <w:t>Kontrafaktinio vertinimo metodų pritaikomumo ir statistinių duomenų pakankamumo ES struktūrinės paramos poveikiui matuoti vertinimas</w:t>
      </w:r>
      <w:bookmarkEnd w:id="12"/>
      <w:bookmarkEnd w:id="13"/>
      <w:r w:rsidRPr="00704094">
        <w:rPr>
          <w:rFonts w:cs="Times New Roman"/>
          <w:color w:val="000000"/>
          <w:sz w:val="22"/>
          <w:szCs w:val="22"/>
        </w:rPr>
        <w:t>“</w:t>
      </w:r>
      <w:r w:rsidRPr="00704094">
        <w:rPr>
          <w:rFonts w:cs="Times New Roman"/>
          <w:sz w:val="22"/>
          <w:szCs w:val="22"/>
        </w:rPr>
        <w:t xml:space="preserve">, kurio metu išanalizuoti tokiems vertinimams reikalingų duomenų prieinamumo ir pakankamumo aspektai, parengtos </w:t>
      </w:r>
      <w:r w:rsidRPr="00704094">
        <w:rPr>
          <w:rFonts w:cs="Times New Roman"/>
          <w:b/>
          <w:bCs/>
          <w:i/>
          <w:iCs/>
          <w:color w:val="1F497D"/>
          <w:sz w:val="22"/>
          <w:szCs w:val="22"/>
        </w:rPr>
        <w:t xml:space="preserve">Kontrafaktinių poveikio vertinimo metodų gairės. </w:t>
      </w:r>
    </w:p>
    <w:p w:rsidR="00A73AD3" w:rsidRPr="00704094" w:rsidRDefault="00A73AD3" w:rsidP="00F9694B">
      <w:pPr>
        <w:pStyle w:val="Pagrindinispaprastastekstas"/>
        <w:rPr>
          <w:rFonts w:cs="Times New Roman"/>
          <w:sz w:val="22"/>
          <w:szCs w:val="22"/>
        </w:rPr>
      </w:pPr>
    </w:p>
    <w:p w:rsidR="00A73AD3" w:rsidRPr="00704094" w:rsidRDefault="00A73AD3" w:rsidP="002F5E96">
      <w:pPr>
        <w:pStyle w:val="Pagrindinispaprastastekstas"/>
        <w:rPr>
          <w:rFonts w:cs="Times New Roman"/>
          <w:sz w:val="22"/>
          <w:szCs w:val="22"/>
        </w:rPr>
      </w:pPr>
      <w:r w:rsidRPr="00704094">
        <w:rPr>
          <w:rFonts w:cs="Times New Roman"/>
          <w:sz w:val="22"/>
          <w:szCs w:val="22"/>
        </w:rPr>
        <w:t xml:space="preserve">Lietuvoje vykdomi vertinimai pastebimi ir pripažįstami ES lygiu. Atliktų vertinimų rezultatai buvo pristatomi tarptautinėse konferencijose Rygoje, Budapešte, Prahoje, Krokuvoje, Briuselyje, Sofijoje ir kitur. 2015 m. Europos Komisijos organizuotuose geriausių vertinimų apdovanojimuose Finansų ministerijos kartu su VšĮ „Europos socialiniai, teisiniai ir ekonominiai projektai“ atliktas „ES struktūrinės paramos poveikio gyvenimo kokybei, socialinės atskirties ir skurdo mažinimui Lietuvoje vertinimas“ buvo </w:t>
      </w:r>
      <w:r w:rsidRPr="00704094">
        <w:rPr>
          <w:rFonts w:cs="Times New Roman"/>
          <w:b/>
          <w:bCs/>
          <w:i/>
          <w:iCs/>
          <w:color w:val="1F497D"/>
          <w:sz w:val="22"/>
          <w:szCs w:val="22"/>
        </w:rPr>
        <w:t>pripažintas geriausiu atliktu poveikio vertinimu užimtumo, darbo įgūdžių ir socialinės aprėpties srityje</w:t>
      </w:r>
      <w:r w:rsidRPr="00704094">
        <w:rPr>
          <w:rFonts w:cs="Times New Roman"/>
          <w:sz w:val="22"/>
          <w:szCs w:val="22"/>
        </w:rPr>
        <w:t xml:space="preserve">. Šiame konkurse taip pat įvertintas Europos Komisijos užsakymu </w:t>
      </w:r>
      <w:r w:rsidR="009F5833">
        <w:rPr>
          <w:rFonts w:cs="Times New Roman"/>
          <w:sz w:val="22"/>
          <w:szCs w:val="22"/>
        </w:rPr>
        <w:t>VšĮ </w:t>
      </w:r>
      <w:r w:rsidRPr="00704094">
        <w:rPr>
          <w:rFonts w:cs="Times New Roman"/>
          <w:sz w:val="22"/>
          <w:szCs w:val="22"/>
        </w:rPr>
        <w:t xml:space="preserve">Viešosios politikos ir vadybos instituto, bendradarbiaujant su Socialinės apsaugos ir darbo ministerija, atliktas „ESF finansuotų aktyvios darbo rinkos politikos priemonių kontrafaktinis poveikio vertinimas“. </w:t>
      </w:r>
    </w:p>
    <w:p w:rsidR="00A73AD3" w:rsidRPr="00704094" w:rsidRDefault="00A73AD3" w:rsidP="00F9694B">
      <w:pPr>
        <w:pStyle w:val="Pagrindinispaprastastekstas"/>
        <w:rPr>
          <w:rFonts w:cs="Times New Roman"/>
          <w:sz w:val="22"/>
          <w:szCs w:val="22"/>
        </w:rPr>
      </w:pPr>
    </w:p>
    <w:bookmarkStart w:id="14" w:name="_Ref468357499"/>
    <w:p w:rsidR="00A73AD3" w:rsidRPr="00704094" w:rsidRDefault="00A73AD3" w:rsidP="00270DF6">
      <w:pPr>
        <w:pStyle w:val="Caption"/>
        <w:rPr>
          <w:rFonts w:cs="Times New Roman"/>
        </w:rPr>
      </w:pPr>
      <w:r w:rsidRPr="00704094">
        <w:rPr>
          <w:rFonts w:cs="Times New Roman"/>
        </w:rPr>
        <w:fldChar w:fldCharType="begin"/>
      </w:r>
      <w:r w:rsidRPr="00704094">
        <w:rPr>
          <w:rFonts w:cs="Times New Roman"/>
        </w:rPr>
        <w:instrText xml:space="preserve"> SEQ lentelė \* ARABIC </w:instrText>
      </w:r>
      <w:r w:rsidRPr="00704094">
        <w:rPr>
          <w:rFonts w:cs="Times New Roman"/>
        </w:rPr>
        <w:fldChar w:fldCharType="separate"/>
      </w:r>
      <w:r w:rsidR="00A2332A">
        <w:rPr>
          <w:rFonts w:cs="Times New Roman"/>
          <w:noProof/>
        </w:rPr>
        <w:t>3</w:t>
      </w:r>
      <w:r w:rsidRPr="00704094">
        <w:rPr>
          <w:rFonts w:cs="Times New Roman"/>
        </w:rPr>
        <w:fldChar w:fldCharType="end"/>
      </w:r>
      <w:r w:rsidRPr="00704094">
        <w:rPr>
          <w:rFonts w:cs="Times New Roman"/>
        </w:rPr>
        <w:t xml:space="preserve"> lentelė</w:t>
      </w:r>
      <w:bookmarkEnd w:id="14"/>
      <w:r w:rsidRPr="00704094">
        <w:rPr>
          <w:rFonts w:cs="Times New Roman"/>
        </w:rPr>
        <w:t>. Lietuvoje atlikti vertinimai, taikant kontrafaktinio poveikio vertinimo metodą</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6232"/>
        <w:gridCol w:w="943"/>
        <w:gridCol w:w="1184"/>
        <w:gridCol w:w="1269"/>
      </w:tblGrid>
      <w:tr w:rsidR="00A73AD3" w:rsidRPr="00986CFB">
        <w:tc>
          <w:tcPr>
            <w:tcW w:w="6232" w:type="dxa"/>
            <w:tcBorders>
              <w:top w:val="single" w:sz="4" w:space="0" w:color="4F81BD"/>
              <w:left w:val="single" w:sz="4" w:space="0" w:color="4F81BD"/>
              <w:bottom w:val="single" w:sz="4" w:space="0" w:color="4F81BD"/>
            </w:tcBorders>
            <w:shd w:val="clear" w:color="auto" w:fill="4F81BD"/>
          </w:tcPr>
          <w:p w:rsidR="00A73AD3" w:rsidRPr="00704094" w:rsidRDefault="00A73AD3" w:rsidP="00F9694B">
            <w:pPr>
              <w:pStyle w:val="Pagrindinispaprastastekstas"/>
              <w:rPr>
                <w:rFonts w:cs="Times New Roman"/>
                <w:b/>
                <w:bCs/>
                <w:color w:val="FFFFFF"/>
                <w:sz w:val="20"/>
                <w:szCs w:val="20"/>
                <w:lang w:eastAsia="en-US"/>
              </w:rPr>
            </w:pPr>
            <w:r w:rsidRPr="00704094">
              <w:rPr>
                <w:rFonts w:cs="Times New Roman"/>
                <w:b/>
                <w:bCs/>
                <w:color w:val="FFFFFF"/>
                <w:sz w:val="20"/>
                <w:szCs w:val="20"/>
                <w:lang w:eastAsia="en-US"/>
              </w:rPr>
              <w:t>Vertinimo pavadinimas</w:t>
            </w:r>
          </w:p>
        </w:tc>
        <w:tc>
          <w:tcPr>
            <w:tcW w:w="943" w:type="dxa"/>
            <w:tcBorders>
              <w:top w:val="single" w:sz="4" w:space="0" w:color="4F81BD"/>
              <w:bottom w:val="single" w:sz="4" w:space="0" w:color="4F81BD"/>
            </w:tcBorders>
            <w:shd w:val="clear" w:color="auto" w:fill="4F81BD"/>
          </w:tcPr>
          <w:p w:rsidR="00A73AD3" w:rsidRPr="00704094" w:rsidRDefault="00A73AD3" w:rsidP="00F9694B">
            <w:pPr>
              <w:pStyle w:val="Pagrindinispaprastastekstas"/>
              <w:rPr>
                <w:rFonts w:cs="Times New Roman"/>
                <w:b/>
                <w:bCs/>
                <w:color w:val="FFFFFF"/>
                <w:sz w:val="20"/>
                <w:szCs w:val="20"/>
                <w:lang w:eastAsia="en-US"/>
              </w:rPr>
            </w:pPr>
            <w:r w:rsidRPr="00704094">
              <w:rPr>
                <w:rFonts w:cs="Times New Roman"/>
                <w:b/>
                <w:bCs/>
                <w:color w:val="FFFFFF"/>
                <w:sz w:val="20"/>
                <w:szCs w:val="20"/>
                <w:lang w:eastAsia="en-US"/>
              </w:rPr>
              <w:t xml:space="preserve">Data </w:t>
            </w:r>
          </w:p>
        </w:tc>
        <w:tc>
          <w:tcPr>
            <w:tcW w:w="1184" w:type="dxa"/>
            <w:tcBorders>
              <w:top w:val="single" w:sz="4" w:space="0" w:color="4F81BD"/>
              <w:bottom w:val="single" w:sz="4" w:space="0" w:color="4F81BD"/>
            </w:tcBorders>
            <w:shd w:val="clear" w:color="auto" w:fill="4F81BD"/>
          </w:tcPr>
          <w:p w:rsidR="00A73AD3" w:rsidRPr="00704094" w:rsidRDefault="00A73AD3" w:rsidP="00F9694B">
            <w:pPr>
              <w:pStyle w:val="Pagrindinispaprastastekstas"/>
              <w:rPr>
                <w:rFonts w:cs="Times New Roman"/>
                <w:b/>
                <w:bCs/>
                <w:color w:val="FFFFFF"/>
                <w:sz w:val="20"/>
                <w:szCs w:val="20"/>
                <w:lang w:eastAsia="en-US"/>
              </w:rPr>
            </w:pPr>
            <w:r w:rsidRPr="00704094">
              <w:rPr>
                <w:rFonts w:cs="Times New Roman"/>
                <w:b/>
                <w:bCs/>
                <w:color w:val="FFFFFF"/>
                <w:sz w:val="20"/>
                <w:szCs w:val="20"/>
                <w:lang w:eastAsia="en-US"/>
              </w:rPr>
              <w:t>Užsakovas</w:t>
            </w:r>
          </w:p>
        </w:tc>
        <w:tc>
          <w:tcPr>
            <w:tcW w:w="1269" w:type="dxa"/>
            <w:tcBorders>
              <w:top w:val="single" w:sz="4" w:space="0" w:color="4F81BD"/>
              <w:bottom w:val="single" w:sz="4" w:space="0" w:color="4F81BD"/>
              <w:right w:val="single" w:sz="4" w:space="0" w:color="4F81BD"/>
            </w:tcBorders>
            <w:shd w:val="clear" w:color="auto" w:fill="4F81BD"/>
          </w:tcPr>
          <w:p w:rsidR="00A73AD3" w:rsidRPr="00704094" w:rsidRDefault="00A73AD3" w:rsidP="00F9694B">
            <w:pPr>
              <w:pStyle w:val="Pagrindinispaprastastekstas"/>
              <w:rPr>
                <w:rFonts w:cs="Times New Roman"/>
                <w:b/>
                <w:bCs/>
                <w:color w:val="FFFFFF"/>
                <w:sz w:val="20"/>
                <w:szCs w:val="20"/>
                <w:lang w:eastAsia="en-US"/>
              </w:rPr>
            </w:pPr>
            <w:r w:rsidRPr="00704094">
              <w:rPr>
                <w:rFonts w:cs="Times New Roman"/>
                <w:b/>
                <w:bCs/>
                <w:color w:val="FFFFFF"/>
                <w:sz w:val="20"/>
                <w:szCs w:val="20"/>
                <w:lang w:eastAsia="en-US"/>
              </w:rPr>
              <w:t>Vykdytojas</w:t>
            </w:r>
          </w:p>
        </w:tc>
      </w:tr>
      <w:tr w:rsidR="00A73AD3" w:rsidRPr="00986CFB">
        <w:tc>
          <w:tcPr>
            <w:tcW w:w="6232" w:type="dxa"/>
            <w:shd w:val="clear" w:color="auto" w:fill="DBE5F1"/>
          </w:tcPr>
          <w:p w:rsidR="00A73AD3" w:rsidRPr="00704094" w:rsidRDefault="00A73AD3" w:rsidP="002C4E45">
            <w:pPr>
              <w:pStyle w:val="Pagrindinispaprastastekstas"/>
              <w:jc w:val="left"/>
              <w:rPr>
                <w:rFonts w:cs="Times New Roman"/>
                <w:b/>
                <w:bCs/>
                <w:sz w:val="20"/>
                <w:szCs w:val="20"/>
                <w:lang w:eastAsia="en-US"/>
              </w:rPr>
            </w:pPr>
            <w:r w:rsidRPr="00704094">
              <w:rPr>
                <w:rFonts w:cs="Times New Roman"/>
                <w:sz w:val="20"/>
                <w:szCs w:val="20"/>
                <w:lang w:eastAsia="en-US"/>
              </w:rPr>
              <w:t xml:space="preserve">Socialinės integracijos paslaugų socialiai pažeidžiamų ir socialinės rizikos asmenų grupėms situacijos, poreikių ir rezultatyvumo vertinimas, siekiant efektyviai panaudoti 2007–2013 m. ES struktūrinę paramą </w:t>
            </w:r>
            <w:r w:rsidRPr="00704094">
              <w:rPr>
                <w:rFonts w:cs="Times New Roman"/>
                <w:i/>
                <w:iCs/>
                <w:sz w:val="20"/>
                <w:szCs w:val="20"/>
                <w:lang w:eastAsia="en-US"/>
              </w:rPr>
              <w:t>(plačiau žr. 2.4 dalį)</w:t>
            </w:r>
          </w:p>
        </w:tc>
        <w:tc>
          <w:tcPr>
            <w:tcW w:w="943"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2011 m.</w:t>
            </w:r>
          </w:p>
        </w:tc>
        <w:tc>
          <w:tcPr>
            <w:tcW w:w="1184"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Socialinės apsaugos ir darbo ministerija</w:t>
            </w:r>
          </w:p>
        </w:tc>
        <w:tc>
          <w:tcPr>
            <w:tcW w:w="1269"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VPVI ir DSTI</w:t>
            </w:r>
          </w:p>
        </w:tc>
      </w:tr>
      <w:tr w:rsidR="00A73AD3" w:rsidRPr="00986CFB">
        <w:tc>
          <w:tcPr>
            <w:tcW w:w="6232" w:type="dxa"/>
          </w:tcPr>
          <w:p w:rsidR="00A73AD3" w:rsidRPr="00704094" w:rsidRDefault="00A73AD3" w:rsidP="002C4E45">
            <w:pPr>
              <w:pStyle w:val="Pagrindinispaprastastekstas"/>
              <w:jc w:val="left"/>
              <w:rPr>
                <w:rFonts w:cs="Times New Roman"/>
                <w:b/>
                <w:bCs/>
                <w:sz w:val="20"/>
                <w:szCs w:val="20"/>
                <w:lang w:eastAsia="en-US"/>
              </w:rPr>
            </w:pPr>
            <w:r w:rsidRPr="00704094">
              <w:rPr>
                <w:rFonts w:cs="Times New Roman"/>
                <w:sz w:val="20"/>
                <w:szCs w:val="20"/>
                <w:lang w:eastAsia="en-US"/>
              </w:rPr>
              <w:t xml:space="preserve">ES struktūrinės paramos poveikio gyvenimo kokybei, socialinės atskirties ir skurdo mažinimui Lietuvoje vertinimas </w:t>
            </w:r>
            <w:r w:rsidRPr="00704094">
              <w:rPr>
                <w:rFonts w:cs="Times New Roman"/>
                <w:i/>
                <w:iCs/>
                <w:sz w:val="20"/>
                <w:szCs w:val="20"/>
                <w:lang w:eastAsia="en-US"/>
              </w:rPr>
              <w:t>(plačiau žr. 2.4 dalį)</w:t>
            </w:r>
          </w:p>
        </w:tc>
        <w:tc>
          <w:tcPr>
            <w:tcW w:w="943"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2013 m.</w:t>
            </w:r>
          </w:p>
        </w:tc>
        <w:tc>
          <w:tcPr>
            <w:tcW w:w="1184"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Finansų ministerija</w:t>
            </w:r>
          </w:p>
        </w:tc>
        <w:tc>
          <w:tcPr>
            <w:tcW w:w="1269"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VšĮ ESTEP</w:t>
            </w:r>
          </w:p>
        </w:tc>
      </w:tr>
      <w:tr w:rsidR="00A73AD3" w:rsidRPr="00986CFB">
        <w:tc>
          <w:tcPr>
            <w:tcW w:w="6232" w:type="dxa"/>
            <w:shd w:val="clear" w:color="auto" w:fill="DBE5F1"/>
          </w:tcPr>
          <w:p w:rsidR="00A73AD3" w:rsidRPr="00704094" w:rsidRDefault="00A73AD3" w:rsidP="002C4E45">
            <w:pPr>
              <w:pStyle w:val="Pagrindinispaprastastekstas"/>
              <w:jc w:val="left"/>
              <w:rPr>
                <w:rFonts w:cs="Times New Roman"/>
                <w:b/>
                <w:bCs/>
                <w:sz w:val="20"/>
                <w:szCs w:val="20"/>
                <w:lang w:eastAsia="en-US"/>
              </w:rPr>
            </w:pPr>
            <w:r w:rsidRPr="00704094">
              <w:rPr>
                <w:rFonts w:cs="Times New Roman"/>
                <w:sz w:val="20"/>
                <w:szCs w:val="20"/>
                <w:lang w:eastAsia="en-US"/>
              </w:rPr>
              <w:t xml:space="preserve">ES struktūrinės paramos poveikio smulkiajam ir vidutiniam verslui vertinimas </w:t>
            </w:r>
            <w:r w:rsidRPr="00704094">
              <w:rPr>
                <w:rFonts w:cs="Times New Roman"/>
                <w:i/>
                <w:iCs/>
                <w:sz w:val="20"/>
                <w:szCs w:val="20"/>
                <w:lang w:eastAsia="en-US"/>
              </w:rPr>
              <w:t>(plačiau žr. 2.5 dalį)</w:t>
            </w:r>
          </w:p>
        </w:tc>
        <w:tc>
          <w:tcPr>
            <w:tcW w:w="943"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2013 m.</w:t>
            </w:r>
          </w:p>
        </w:tc>
        <w:tc>
          <w:tcPr>
            <w:tcW w:w="1184"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Ūkio ministerija</w:t>
            </w:r>
          </w:p>
        </w:tc>
        <w:tc>
          <w:tcPr>
            <w:tcW w:w="1269"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UAB „BGI Consulting“</w:t>
            </w:r>
          </w:p>
        </w:tc>
      </w:tr>
      <w:tr w:rsidR="00A73AD3" w:rsidRPr="00986CFB">
        <w:tc>
          <w:tcPr>
            <w:tcW w:w="6232" w:type="dxa"/>
          </w:tcPr>
          <w:p w:rsidR="00A73AD3" w:rsidRPr="00704094" w:rsidRDefault="00A73AD3" w:rsidP="002C4E45">
            <w:pPr>
              <w:pStyle w:val="Pagrindinispaprastastekstas"/>
              <w:jc w:val="left"/>
              <w:rPr>
                <w:rFonts w:cs="Times New Roman"/>
                <w:b/>
                <w:bCs/>
                <w:sz w:val="20"/>
                <w:szCs w:val="20"/>
                <w:lang w:eastAsia="en-US"/>
              </w:rPr>
            </w:pPr>
            <w:r w:rsidRPr="00704094">
              <w:rPr>
                <w:rFonts w:cs="Times New Roman"/>
                <w:sz w:val="20"/>
                <w:szCs w:val="20"/>
                <w:lang w:eastAsia="en-US"/>
              </w:rPr>
              <w:t>ESF finansuotų aktyvios darbo rinkos politikos priemonių kontrafaktinis poveikio vertinimas</w:t>
            </w:r>
          </w:p>
        </w:tc>
        <w:tc>
          <w:tcPr>
            <w:tcW w:w="943"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2015 m.</w:t>
            </w:r>
          </w:p>
        </w:tc>
        <w:tc>
          <w:tcPr>
            <w:tcW w:w="1184"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Europos Komisija</w:t>
            </w:r>
          </w:p>
        </w:tc>
        <w:tc>
          <w:tcPr>
            <w:tcW w:w="1269" w:type="dxa"/>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VPVI</w:t>
            </w:r>
          </w:p>
        </w:tc>
      </w:tr>
      <w:tr w:rsidR="00A73AD3" w:rsidRPr="00986CFB">
        <w:tc>
          <w:tcPr>
            <w:tcW w:w="6232" w:type="dxa"/>
            <w:shd w:val="clear" w:color="auto" w:fill="DBE5F1"/>
          </w:tcPr>
          <w:p w:rsidR="00A73AD3" w:rsidRPr="00704094" w:rsidRDefault="00A73AD3" w:rsidP="002C4E45">
            <w:pPr>
              <w:pStyle w:val="Pagrindinispaprastastekstas"/>
              <w:jc w:val="left"/>
              <w:rPr>
                <w:rFonts w:cs="Times New Roman"/>
                <w:b/>
                <w:bCs/>
                <w:sz w:val="20"/>
                <w:szCs w:val="20"/>
                <w:lang w:eastAsia="en-US"/>
              </w:rPr>
            </w:pPr>
            <w:r w:rsidRPr="00704094">
              <w:rPr>
                <w:rFonts w:cs="Times New Roman"/>
                <w:sz w:val="20"/>
                <w:szCs w:val="20"/>
                <w:lang w:eastAsia="en-US"/>
              </w:rPr>
              <w:t>2007–2013 m. ES struktūrinės paramos poveikio užimtumui ir kitiems Lietuvos ūkio makroekonominiams rodikliams vertinimas (</w:t>
            </w:r>
            <w:r w:rsidRPr="00704094">
              <w:rPr>
                <w:rFonts w:cs="Times New Roman"/>
                <w:i/>
                <w:iCs/>
                <w:sz w:val="20"/>
                <w:szCs w:val="20"/>
                <w:lang w:eastAsia="en-US"/>
              </w:rPr>
              <w:t xml:space="preserve">plačiau žr. </w:t>
            </w:r>
            <w:r w:rsidR="00085363" w:rsidRPr="00704094">
              <w:fldChar w:fldCharType="begin"/>
            </w:r>
            <w:r w:rsidR="00085363" w:rsidRPr="00986CFB">
              <w:instrText xml:space="preserve"> REF _Ref467745329 \h  \* MERGEFORMAT </w:instrText>
            </w:r>
            <w:r w:rsidR="00085363" w:rsidRPr="00704094">
              <w:fldChar w:fldCharType="separate"/>
            </w:r>
            <w:r w:rsidRPr="00704094">
              <w:rPr>
                <w:rFonts w:cs="Times New Roman"/>
                <w:i/>
                <w:iCs/>
                <w:sz w:val="20"/>
                <w:szCs w:val="20"/>
                <w:lang w:eastAsia="en-US"/>
              </w:rPr>
              <w:t>1 pavyzdį</w:t>
            </w:r>
            <w:r w:rsidR="00085363" w:rsidRPr="00704094">
              <w:fldChar w:fldCharType="end"/>
            </w:r>
            <w:r w:rsidRPr="00704094">
              <w:rPr>
                <w:rFonts w:cs="Times New Roman"/>
                <w:sz w:val="20"/>
                <w:szCs w:val="20"/>
                <w:lang w:eastAsia="en-US"/>
              </w:rPr>
              <w:t>)</w:t>
            </w:r>
          </w:p>
        </w:tc>
        <w:tc>
          <w:tcPr>
            <w:tcW w:w="943"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2016 m.</w:t>
            </w:r>
          </w:p>
        </w:tc>
        <w:tc>
          <w:tcPr>
            <w:tcW w:w="1184"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Finansų ministerija</w:t>
            </w:r>
          </w:p>
        </w:tc>
        <w:tc>
          <w:tcPr>
            <w:tcW w:w="1269" w:type="dxa"/>
            <w:shd w:val="clear" w:color="auto" w:fill="DBE5F1"/>
          </w:tcPr>
          <w:p w:rsidR="00A73AD3" w:rsidRPr="00704094" w:rsidRDefault="00A73AD3" w:rsidP="002C4E45">
            <w:pPr>
              <w:pStyle w:val="Pagrindinispaprastastekstas"/>
              <w:jc w:val="left"/>
              <w:rPr>
                <w:rFonts w:cs="Times New Roman"/>
                <w:sz w:val="20"/>
                <w:szCs w:val="20"/>
                <w:lang w:eastAsia="en-US"/>
              </w:rPr>
            </w:pPr>
            <w:r w:rsidRPr="00704094">
              <w:rPr>
                <w:rFonts w:cs="Times New Roman"/>
                <w:sz w:val="20"/>
                <w:szCs w:val="20"/>
                <w:lang w:eastAsia="en-US"/>
              </w:rPr>
              <w:t>UAB „ESTEP Vilnius“</w:t>
            </w:r>
          </w:p>
        </w:tc>
      </w:tr>
    </w:tbl>
    <w:p w:rsidR="00A73AD3" w:rsidRPr="00704094" w:rsidRDefault="00A73AD3" w:rsidP="00F9694B">
      <w:pPr>
        <w:pStyle w:val="Pagrindinispaprastastekstas"/>
        <w:rPr>
          <w:rFonts w:cs="Times New Roman"/>
          <w:sz w:val="22"/>
          <w:szCs w:val="22"/>
        </w:rPr>
      </w:pPr>
    </w:p>
    <w:p w:rsidR="00A73AD3" w:rsidRPr="00704094" w:rsidRDefault="00A73AD3" w:rsidP="002F5E96">
      <w:pPr>
        <w:pStyle w:val="Pagrindinispaprastastekstas"/>
        <w:rPr>
          <w:rFonts w:cs="Times New Roman"/>
          <w:sz w:val="22"/>
          <w:szCs w:val="22"/>
        </w:rPr>
      </w:pPr>
      <w:r w:rsidRPr="00704094">
        <w:rPr>
          <w:rFonts w:cs="Times New Roman"/>
          <w:sz w:val="22"/>
          <w:szCs w:val="22"/>
        </w:rPr>
        <w:t xml:space="preserve">Vertinimo rezultatų naudojimo analizė (2013 m. ir 2015 m. atlikti </w:t>
      </w:r>
      <w:r w:rsidRPr="00704094">
        <w:rPr>
          <w:rFonts w:cs="Times New Roman"/>
          <w:sz w:val="22"/>
          <w:szCs w:val="22"/>
          <w:lang w:eastAsia="en-US"/>
        </w:rPr>
        <w:t>metavertinimai</w:t>
      </w:r>
      <w:r w:rsidR="009F5833">
        <w:rPr>
          <w:rFonts w:cs="Times New Roman"/>
          <w:sz w:val="22"/>
          <w:szCs w:val="22"/>
        </w:rPr>
        <w:t>) parodė, kad 92 </w:t>
      </w:r>
      <w:r w:rsidRPr="00704094">
        <w:rPr>
          <w:rFonts w:cs="Times New Roman"/>
          <w:sz w:val="22"/>
          <w:szCs w:val="22"/>
        </w:rPr>
        <w:t xml:space="preserve">proc. pateiktų rekomendacijų buvo priimtos įgyvendinti, o apie 70 proc. rekomendacijų yra įgyvendintos arba numatomos įgyvendinti ateityje (43 proc. rekomendacijų jau yra įvykdytos). Mažiau nei 3 proc. rekomendacijų nėra ir nebus įgyvendintos. Pagrindinės vertinimo rekomendacijų neįgyvendinimo priežastys buvo susijusios su rekomendacijų kokybe, t. y. rekomendacijos netinkamai sprendė nustatytas problemas (veiksmingumo kriterijus), buvo neaiškios jų įgyvendinimo priemonės ar pateikimo tikslas (aiškumo kriterijus), trūko administracinių išteklių rekomendacijoms įgyvendinti arba buvo netinkamai nustatytos atsakingos institucijos (įgyvendinamumo kriterijus). Kai kuriais atvejais rekomendacijos buvo praktiškos, tačiau pritrūko politinės valios jas įgyvendinti. </w:t>
      </w:r>
    </w:p>
    <w:p w:rsidR="00A73AD3" w:rsidRPr="00704094" w:rsidRDefault="00A73AD3" w:rsidP="00F9694B">
      <w:pPr>
        <w:pStyle w:val="Pagrindinispaprastastekstas"/>
        <w:rPr>
          <w:rFonts w:cs="Times New Roman"/>
          <w:sz w:val="22"/>
          <w:szCs w:val="22"/>
        </w:rPr>
      </w:pPr>
    </w:p>
    <w:p w:rsidR="00A73AD3" w:rsidRPr="00704094" w:rsidRDefault="00CA1232" w:rsidP="00F9694B">
      <w:pPr>
        <w:pStyle w:val="Pagrindinispaprastastekstas"/>
        <w:rPr>
          <w:rFonts w:cs="Times New Roman"/>
          <w:sz w:val="22"/>
          <w:szCs w:val="22"/>
        </w:rPr>
      </w:pPr>
      <w:r>
        <w:rPr>
          <w:noProof/>
          <w:sz w:val="22"/>
          <w:szCs w:val="22"/>
        </w:rPr>
        <mc:AlternateContent>
          <mc:Choice Requires="wps">
            <w:drawing>
              <wp:anchor distT="107950" distB="107950" distL="107950" distR="107950" simplePos="0" relativeHeight="251649024" behindDoc="1" locked="0" layoutInCell="1" allowOverlap="1">
                <wp:simplePos x="0" y="0"/>
                <wp:positionH relativeFrom="margin">
                  <wp:posOffset>4007485</wp:posOffset>
                </wp:positionH>
                <wp:positionV relativeFrom="paragraph">
                  <wp:posOffset>136525</wp:posOffset>
                </wp:positionV>
                <wp:extent cx="2112645" cy="861060"/>
                <wp:effectExtent l="3175" t="0" r="0" b="0"/>
                <wp:wrapSquare wrapText="bothSides"/>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86106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2F5E96">
                            <w:pPr>
                              <w:jc w:val="center"/>
                              <w:rPr>
                                <w:rFonts w:ascii="Cambria" w:hAnsi="Cambria" w:cs="Cambria"/>
                                <w:color w:val="17365D"/>
                                <w:sz w:val="20"/>
                                <w:szCs w:val="20"/>
                              </w:rPr>
                            </w:pPr>
                            <w:r w:rsidRPr="00704094">
                              <w:rPr>
                                <w:rFonts w:ascii="Cambria" w:hAnsi="Cambria"/>
                                <w:color w:val="17365D"/>
                                <w:sz w:val="20"/>
                                <w:szCs w:val="20"/>
                              </w:rPr>
                              <w:t>Vertinimai prisidėjo prie ES fondų lėšų panaudojimo tobulinimo 2007–2013 m. ir pasirengimo 2014–2020 m. laikotarpiui.</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left:0;text-align:left;margin-left:315.55pt;margin-top:10.75pt;width:166.35pt;height:67.8pt;z-index:-251667456;visibility:visible;mso-wrap-style:square;mso-width-percent:0;mso-height-percent:0;mso-wrap-distance-left:8.5pt;mso-wrap-distance-top:8.5pt;mso-wrap-distance-right:8.5pt;mso-wrap-distance-bottom: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" fillcolor="#efede3" stroked="f" strokeweight=".5pt">
                <v:fill color2="#eae7d9" rotate="t" focusposition=".5,.5" focussize="" focus="100%" type="gradientRadial"/>
                <v:textbox inset="3mm,3mm,3mm,3mm">
                  <w:txbxContent>
                    <w:p w:rsidR="009F5833" w:rsidRPr="00986CFB" w:rsidRDefault="009F5833" w:rsidP="002F5E96">
                      <w:pPr>
                        <w:jc w:val="center"/>
                        <w:rPr>
                          <w:rFonts w:ascii="Cambria" w:hAnsi="Cambria" w:cs="Cambria"/>
                          <w:color w:val="17365D"/>
                          <w:sz w:val="20"/>
                          <w:szCs w:val="20"/>
                        </w:rPr>
                      </w:pPr>
                      <w:r w:rsidRPr="00704094">
                        <w:rPr>
                          <w:rFonts w:ascii="Cambria" w:hAnsi="Cambria"/>
                          <w:color w:val="17365D"/>
                          <w:sz w:val="20"/>
                          <w:szCs w:val="20"/>
                        </w:rPr>
                        <w:t>Vertinimai prisidėjo prie ES fondų lėšų panaudojimo tobulinimo 2007–2013 m. ir pasirengimo 2014–2020 m. laikotarpiui.</w:t>
                      </w:r>
                    </w:p>
                  </w:txbxContent>
                </v:textbox>
                <w10:wrap type="square" anchorx="margin"/>
              </v:shape>
            </w:pict>
          </mc:Fallback>
        </mc:AlternateContent>
      </w:r>
      <w:r w:rsidR="00A73AD3" w:rsidRPr="00704094">
        <w:rPr>
          <w:rFonts w:cs="Times New Roman"/>
          <w:sz w:val="22"/>
          <w:szCs w:val="22"/>
        </w:rPr>
        <w:t>Vertinimai labiausiai prisidėjo tobulinant 2007–2013 m. veiksmų programų priemonių administravimą ir stebėsenos sistemą, tačiau jų poveikis mažesnis tobulinant politikos įgyvendinimo priemones ir prioritetus. Tokį rezultatą, visų pirma, lemia vertinimams keliami tikslai: vertinimai pirmiausia buvo siejami su priemonių įgyvendinimo ir stebėsenos tobulinimu, administravimo problemų sprendimu.</w:t>
      </w:r>
    </w:p>
    <w:p w:rsidR="00A73AD3" w:rsidRPr="00704094" w:rsidRDefault="00A73AD3" w:rsidP="00F9694B">
      <w:pPr>
        <w:pStyle w:val="Pagrindinispaprastastekstas"/>
        <w:rPr>
          <w:rFonts w:cs="Times New Roman"/>
          <w:sz w:val="22"/>
          <w:szCs w:val="22"/>
        </w:rPr>
      </w:pPr>
    </w:p>
    <w:p w:rsidR="00A73AD3" w:rsidRPr="00704094" w:rsidRDefault="00A73AD3" w:rsidP="00B60F4F">
      <w:pPr>
        <w:pStyle w:val="Pagrindinispaprastastekstas"/>
        <w:rPr>
          <w:rFonts w:cs="Times New Roman"/>
          <w:sz w:val="22"/>
          <w:szCs w:val="22"/>
        </w:rPr>
      </w:pPr>
      <w:r w:rsidRPr="00704094">
        <w:rPr>
          <w:rFonts w:cs="Times New Roman"/>
          <w:sz w:val="22"/>
          <w:szCs w:val="22"/>
        </w:rPr>
        <w:t xml:space="preserve">Gerinant vertinimų kokybę, svarbus vaidmuo teko vertinimo gebėjimų stiprinimo projektams, kurie apėmė įvairias veiklas ir buvo skirti vertinimo kultūros formavimui ir palaikymui, vertinimo ir jo rezultatų naudojimo skatinimui, vertinimo rezultatų viešinimui, už vertinimą atsakingų darbuotojų gebėjimų stiprinimui, vertinimo metodinių dokumentų rengimui, vertinimo bendruomenės formavimui ir palaikymui. </w:t>
      </w:r>
    </w:p>
    <w:p w:rsidR="00A73AD3" w:rsidRPr="00704094" w:rsidRDefault="00A73AD3" w:rsidP="00DC0EE4">
      <w:pPr>
        <w:pStyle w:val="Pagrindinispaprastastekstas"/>
        <w:rPr>
          <w:rFonts w:cs="Times New Roman"/>
          <w:sz w:val="22"/>
          <w:szCs w:val="22"/>
        </w:rPr>
      </w:pPr>
    </w:p>
    <w:p w:rsidR="00A73AD3" w:rsidRPr="00704094" w:rsidRDefault="00A73AD3" w:rsidP="00B60F4F">
      <w:pPr>
        <w:pStyle w:val="Pagrindinispaprastastekstas"/>
        <w:shd w:val="clear" w:color="auto" w:fill="DBE5F1"/>
        <w:rPr>
          <w:rFonts w:cs="Times New Roman"/>
          <w:i/>
          <w:iCs/>
          <w:sz w:val="22"/>
          <w:szCs w:val="22"/>
        </w:rPr>
      </w:pPr>
      <w:r w:rsidRPr="00704094">
        <w:rPr>
          <w:rFonts w:cs="Times New Roman"/>
          <w:i/>
          <w:iCs/>
          <w:sz w:val="22"/>
          <w:szCs w:val="22"/>
        </w:rPr>
        <w:t xml:space="preserve">Detalesnė informacija apie atskirų projektų veiklas ir rezultatus pateikta Finansų ministerijos parengtame dokumente „2007–2013 metų Europos Sąjungos struktūrinės paramos vertinimas. Atliktų vertinimų apžvalga“ – žr. </w:t>
      </w:r>
      <w:hyperlink r:id="rId14" w:history="1">
        <w:r w:rsidRPr="00704094">
          <w:rPr>
            <w:rStyle w:val="Hyperlink"/>
            <w:rFonts w:cs="Times New Roman"/>
            <w:i/>
            <w:iCs/>
            <w:sz w:val="22"/>
            <w:szCs w:val="22"/>
          </w:rPr>
          <w:t>www.esinvesticijos.lt</w:t>
        </w:r>
      </w:hyperlink>
      <w:r w:rsidRPr="00704094">
        <w:rPr>
          <w:rFonts w:cs="Times New Roman"/>
          <w:i/>
          <w:iCs/>
          <w:sz w:val="22"/>
          <w:szCs w:val="22"/>
        </w:rPr>
        <w:t xml:space="preserve"> </w:t>
      </w:r>
    </w:p>
    <w:p w:rsidR="00A73AD3" w:rsidRPr="00704094" w:rsidRDefault="00A73AD3" w:rsidP="00B60F4F">
      <w:pPr>
        <w:pStyle w:val="Pagrindinispaprastastekstas"/>
        <w:rPr>
          <w:rFonts w:cs="Times New Roman"/>
          <w:sz w:val="22"/>
          <w:szCs w:val="22"/>
          <w:highlight w:val="yellow"/>
        </w:rPr>
      </w:pPr>
    </w:p>
    <w:p w:rsidR="00A73AD3" w:rsidRPr="00704094" w:rsidRDefault="00A73AD3" w:rsidP="008D6A1B">
      <w:pPr>
        <w:pStyle w:val="Pagrindinispaprastastekstas"/>
        <w:rPr>
          <w:rFonts w:cs="Times New Roman"/>
          <w:sz w:val="22"/>
          <w:szCs w:val="22"/>
        </w:rPr>
      </w:pPr>
      <w:r w:rsidRPr="00704094">
        <w:rPr>
          <w:rFonts w:cs="Times New Roman"/>
          <w:sz w:val="22"/>
          <w:szCs w:val="22"/>
        </w:rPr>
        <w:t xml:space="preserve">2014–2020 m. laikotarpiu išaugs vertinimų, skirtų politikos priemonių ir prioritetų refleksijai, dalis, todėl vertinimams gali kilti iššūkis, kaip prisidėti ne tik prie geresnio priemonių įgyvendinimo ir atsiskaitymo (tai dabartinės sistemos stiprybė), bet ir padėti įgyvendinant geresnes priemones ir geresnę viešąją politiką. Prie šių iššūkių įveikimo, tikėtina, prisidės </w:t>
      </w:r>
      <w:r w:rsidRPr="00704094">
        <w:rPr>
          <w:rFonts w:cs="Times New Roman"/>
          <w:sz w:val="22"/>
          <w:szCs w:val="22"/>
          <w:lang w:eastAsia="en-US"/>
        </w:rPr>
        <w:t>nuolatinis dėmesys suinteresuotų asmenų ir institucijų įtraukimui į vertinimo proc</w:t>
      </w:r>
      <w:r w:rsidRPr="00704094">
        <w:rPr>
          <w:rFonts w:cs="Times New Roman"/>
          <w:sz w:val="22"/>
          <w:szCs w:val="22"/>
        </w:rPr>
        <w:t xml:space="preserve">esą, vertinimo rezultatų viešinimas ir sistemingas vertinimo gebėjimų stiprinimas. </w:t>
      </w:r>
    </w:p>
    <w:p w:rsidR="00A73AD3" w:rsidRPr="00704094" w:rsidRDefault="00A73AD3" w:rsidP="002F5E96">
      <w:pPr>
        <w:pStyle w:val="Antrastes2"/>
        <w:rPr>
          <w:rFonts w:cs="Times New Roman"/>
        </w:rPr>
      </w:pPr>
      <w:bookmarkStart w:id="15" w:name="_Toc472343147"/>
      <w:r w:rsidRPr="00704094">
        <w:rPr>
          <w:rFonts w:cs="Times New Roman"/>
        </w:rPr>
        <w:t>Apibendrinimas</w:t>
      </w:r>
      <w:bookmarkEnd w:id="15"/>
      <w:r w:rsidRPr="00704094">
        <w:rPr>
          <w:rFonts w:cs="Times New Roman"/>
        </w:rPr>
        <w:t xml:space="preserve"> </w:t>
      </w:r>
    </w:p>
    <w:p w:rsidR="00A73AD3" w:rsidRPr="00704094" w:rsidRDefault="00A73AD3" w:rsidP="002F5E96">
      <w:pPr>
        <w:pStyle w:val="Pagrindinispaprastastekstas"/>
        <w:rPr>
          <w:rFonts w:cs="Times New Roman"/>
          <w:sz w:val="22"/>
          <w:szCs w:val="22"/>
        </w:rPr>
      </w:pPr>
      <w:r w:rsidRPr="00704094">
        <w:rPr>
          <w:rFonts w:cs="Times New Roman"/>
          <w:sz w:val="22"/>
          <w:szCs w:val="22"/>
        </w:rPr>
        <w:t xml:space="preserve">2007–2016 m. vykdytos vertinimo veiklos buvo rezultatyvus procesas, ne tik pasitarnavęs nustatant ES fondų investicijų rezultatus ir poveikį, tačiau ir diegiant bei tobulinant įrodymais grįstą valdymą Lietuvoje. </w:t>
      </w:r>
    </w:p>
    <w:p w:rsidR="00A73AD3" w:rsidRPr="00704094" w:rsidRDefault="00A73AD3" w:rsidP="002F5E96">
      <w:pPr>
        <w:pStyle w:val="Pagrindinispaprastastekstas"/>
        <w:rPr>
          <w:rFonts w:cs="Times New Roman"/>
          <w:sz w:val="22"/>
          <w:szCs w:val="22"/>
        </w:rPr>
      </w:pPr>
    </w:p>
    <w:p w:rsidR="00A73AD3" w:rsidRPr="00704094" w:rsidRDefault="00A73AD3" w:rsidP="002F5E96">
      <w:pPr>
        <w:pStyle w:val="Pagrindinispaprastastekstas"/>
        <w:rPr>
          <w:rFonts w:cs="Times New Roman"/>
          <w:sz w:val="22"/>
          <w:szCs w:val="22"/>
        </w:rPr>
      </w:pPr>
      <w:r w:rsidRPr="00704094">
        <w:rPr>
          <w:rFonts w:cs="Times New Roman"/>
          <w:sz w:val="22"/>
          <w:szCs w:val="22"/>
        </w:rPr>
        <w:t xml:space="preserve">Finansų ministerija išskiria keletą Lietuvoje išmoktų </w:t>
      </w:r>
      <w:r w:rsidRPr="00704094">
        <w:rPr>
          <w:rFonts w:cs="Times New Roman"/>
          <w:b/>
          <w:bCs/>
          <w:color w:val="1F497D"/>
          <w:sz w:val="22"/>
          <w:szCs w:val="22"/>
        </w:rPr>
        <w:t>pamokų</w:t>
      </w:r>
      <w:r w:rsidRPr="00704094">
        <w:rPr>
          <w:rFonts w:cs="Times New Roman"/>
          <w:sz w:val="22"/>
          <w:szCs w:val="22"/>
        </w:rPr>
        <w:t>, kurios gali būti aktualios ir kitoms šalims:</w:t>
      </w:r>
    </w:p>
    <w:p w:rsidR="00A73AD3" w:rsidRPr="00704094" w:rsidRDefault="00A73AD3" w:rsidP="002F5E96">
      <w:pPr>
        <w:pStyle w:val="Pagrindinispaprastastekstas"/>
        <w:rPr>
          <w:rFonts w:cs="Times New Roman"/>
          <w:sz w:val="22"/>
          <w:szCs w:val="22"/>
        </w:rPr>
      </w:pPr>
    </w:p>
    <w:p w:rsidR="00A73AD3" w:rsidRPr="00704094" w:rsidRDefault="00A73AD3" w:rsidP="00F76B48">
      <w:pPr>
        <w:pStyle w:val="Pagrindinispaprastastekstas"/>
        <w:numPr>
          <w:ilvl w:val="0"/>
          <w:numId w:val="36"/>
        </w:numPr>
        <w:rPr>
          <w:rFonts w:cs="Times New Roman"/>
          <w:sz w:val="22"/>
          <w:szCs w:val="22"/>
        </w:rPr>
      </w:pPr>
      <w:r w:rsidRPr="00704094">
        <w:rPr>
          <w:rFonts w:cs="Times New Roman"/>
          <w:sz w:val="22"/>
          <w:szCs w:val="22"/>
        </w:rPr>
        <w:t xml:space="preserve">Vertinimų dizainas (pagal jų </w:t>
      </w:r>
      <w:r w:rsidRPr="00704094">
        <w:rPr>
          <w:rFonts w:cs="Times New Roman"/>
          <w:sz w:val="22"/>
          <w:szCs w:val="22"/>
          <w:lang w:eastAsia="en-US"/>
        </w:rPr>
        <w:t>savalaikiškumą</w:t>
      </w:r>
      <w:r w:rsidRPr="00704094">
        <w:rPr>
          <w:rFonts w:cs="Times New Roman"/>
          <w:sz w:val="22"/>
          <w:szCs w:val="22"/>
        </w:rPr>
        <w:t xml:space="preserve"> ir konkrečius klausimus) turėtų būtų </w:t>
      </w:r>
      <w:r w:rsidRPr="00704094">
        <w:rPr>
          <w:rFonts w:cs="Times New Roman"/>
          <w:sz w:val="22"/>
          <w:szCs w:val="22"/>
          <w:lang w:eastAsia="en-US"/>
        </w:rPr>
        <w:t>išskirtinai</w:t>
      </w:r>
      <w:r w:rsidRPr="00704094">
        <w:rPr>
          <w:rFonts w:cs="Times New Roman"/>
          <w:sz w:val="22"/>
          <w:szCs w:val="22"/>
        </w:rPr>
        <w:t xml:space="preserve"> susijęs su konkrečiais informacijos poreikiais, t. y. planuojamais politikos sprendimais. Tai turėtų padidinti politinį dėmesį vertinimo rezultatams.</w:t>
      </w:r>
    </w:p>
    <w:p w:rsidR="00A73AD3" w:rsidRPr="00704094" w:rsidRDefault="00A73AD3" w:rsidP="00F76B48">
      <w:pPr>
        <w:pStyle w:val="Pagrindinispaprastastekstas"/>
        <w:numPr>
          <w:ilvl w:val="0"/>
          <w:numId w:val="36"/>
        </w:numPr>
        <w:rPr>
          <w:rFonts w:cs="Times New Roman"/>
          <w:sz w:val="22"/>
          <w:szCs w:val="22"/>
        </w:rPr>
      </w:pPr>
      <w:r w:rsidRPr="00704094">
        <w:rPr>
          <w:rFonts w:cs="Times New Roman"/>
          <w:sz w:val="22"/>
          <w:szCs w:val="22"/>
        </w:rPr>
        <w:t xml:space="preserve">Stebėsenos sistemos turėtų būti susietos su planuojamais vertinimais, atsižvelgiant į reikiamų duomenų apimtį, turinį ir struktūrą. Tai turėtų padėti atlikti sudėtingesnius vertinimus, galinčius pateikti patikimesnius įrodymus. </w:t>
      </w:r>
    </w:p>
    <w:p w:rsidR="00A73AD3" w:rsidRPr="00704094" w:rsidRDefault="00A73AD3" w:rsidP="00F76B48">
      <w:pPr>
        <w:pStyle w:val="Pagrindinispaprastastekstas"/>
        <w:numPr>
          <w:ilvl w:val="0"/>
          <w:numId w:val="36"/>
        </w:numPr>
        <w:rPr>
          <w:rFonts w:cs="Times New Roman"/>
          <w:sz w:val="22"/>
          <w:szCs w:val="22"/>
        </w:rPr>
      </w:pPr>
      <w:r w:rsidRPr="00704094">
        <w:rPr>
          <w:rFonts w:cs="Times New Roman"/>
          <w:sz w:val="22"/>
          <w:szCs w:val="22"/>
        </w:rPr>
        <w:t xml:space="preserve">Vertinimo išvados turėtų įsilieti į platesnes politines diskusijas. Tą galima pasiekti pristatant vertinimų rezultatus strateginiuose forumuose, kuriuose dalyvauja aukšto lygio politikos formuotojai. </w:t>
      </w:r>
    </w:p>
    <w:p w:rsidR="00A73AD3" w:rsidRPr="00704094" w:rsidRDefault="00A73AD3" w:rsidP="003F7BF8">
      <w:pPr>
        <w:pStyle w:val="Pagrindinispaprastastekstas"/>
        <w:numPr>
          <w:ilvl w:val="0"/>
          <w:numId w:val="36"/>
        </w:numPr>
        <w:rPr>
          <w:rFonts w:cs="Times New Roman"/>
          <w:sz w:val="22"/>
          <w:szCs w:val="22"/>
        </w:rPr>
      </w:pPr>
      <w:r w:rsidRPr="00704094">
        <w:rPr>
          <w:rFonts w:cs="Times New Roman"/>
          <w:sz w:val="22"/>
          <w:szCs w:val="22"/>
        </w:rPr>
        <w:t xml:space="preserve">Investicijos į vertinimo gebėjimų stiprinimą (gairių rengimą, seminarus, </w:t>
      </w:r>
      <w:r w:rsidRPr="00704094">
        <w:rPr>
          <w:rFonts w:cs="Times New Roman"/>
          <w:sz w:val="22"/>
          <w:szCs w:val="22"/>
          <w:lang w:eastAsia="en-US"/>
        </w:rPr>
        <w:t>apskritojo</w:t>
      </w:r>
      <w:r w:rsidRPr="00704094">
        <w:rPr>
          <w:rFonts w:cs="Times New Roman"/>
          <w:sz w:val="22"/>
          <w:szCs w:val="22"/>
        </w:rPr>
        <w:t xml:space="preserve"> stalo diskusijas) </w:t>
      </w:r>
      <w:r w:rsidRPr="00704094">
        <w:rPr>
          <w:rFonts w:cs="Times New Roman"/>
          <w:sz w:val="22"/>
          <w:szCs w:val="22"/>
          <w:lang w:eastAsia="en-US"/>
        </w:rPr>
        <w:t>atsiperka</w:t>
      </w:r>
      <w:r w:rsidRPr="00704094">
        <w:rPr>
          <w:rFonts w:cs="Times New Roman"/>
          <w:sz w:val="22"/>
          <w:szCs w:val="22"/>
        </w:rPr>
        <w:t xml:space="preserve"> – vertinimų kokybė kyla. </w:t>
      </w:r>
    </w:p>
    <w:p w:rsidR="00A73AD3" w:rsidRPr="00704094" w:rsidRDefault="00A73AD3" w:rsidP="001875B7">
      <w:pPr>
        <w:pStyle w:val="Pagrindinispaprastastekstas"/>
        <w:numPr>
          <w:ilvl w:val="0"/>
          <w:numId w:val="36"/>
        </w:numPr>
        <w:rPr>
          <w:rFonts w:cs="Times New Roman"/>
          <w:sz w:val="22"/>
          <w:szCs w:val="22"/>
        </w:rPr>
      </w:pPr>
      <w:r w:rsidRPr="00704094">
        <w:rPr>
          <w:rFonts w:cs="Times New Roman"/>
          <w:sz w:val="22"/>
          <w:szCs w:val="22"/>
        </w:rPr>
        <w:t xml:space="preserve">Mokymosi tinklai (tokie kaip Vertinimo koordinavimo grupė Lietuvoje) skatina bendrą vertinimų planavimą ir koordinavimą, taip pat suteikia galimybes keistis gerąja patirtimi ir mokytis vieniems iš kitų. </w:t>
      </w:r>
    </w:p>
    <w:p w:rsidR="00A73AD3" w:rsidRPr="00704094" w:rsidRDefault="00A73AD3" w:rsidP="002F5E96">
      <w:pPr>
        <w:pStyle w:val="Pagrindinispaprastastekstas"/>
        <w:rPr>
          <w:rFonts w:cs="Times New Roman"/>
          <w:sz w:val="22"/>
          <w:szCs w:val="22"/>
        </w:rPr>
      </w:pPr>
    </w:p>
    <w:p w:rsidR="00A73AD3" w:rsidRPr="00704094" w:rsidRDefault="00A73AD3" w:rsidP="002F5E96">
      <w:pPr>
        <w:pStyle w:val="Pagrindinispaprastastekstas"/>
        <w:rPr>
          <w:rFonts w:cs="Times New Roman"/>
          <w:sz w:val="22"/>
          <w:szCs w:val="22"/>
        </w:rPr>
      </w:pPr>
      <w:r w:rsidRPr="00704094">
        <w:rPr>
          <w:rFonts w:cs="Times New Roman"/>
          <w:sz w:val="22"/>
          <w:szCs w:val="22"/>
        </w:rPr>
        <w:t xml:space="preserve">Kaip pažymi Finansų ministerija, iki šiol vertinimai sėkmingai pateikdavo žinias, reikalingas gerinti programų valdymą. Tačiau išlieka poreikis stiprinti įrodymais grįsto valdymo kultūrą ir judėti link aukštesnės pridėtinės vertės, t. y. pereiti nuo techninių / valdymo problemų prie strateginių / kaitos problemų sprendimo. Nepaisant išmoktų pamokų, ES fondų investicijų vertinimo srityje išlieka </w:t>
      </w:r>
      <w:r w:rsidRPr="00704094">
        <w:rPr>
          <w:rFonts w:cs="Times New Roman"/>
          <w:b/>
          <w:bCs/>
          <w:color w:val="1F497D"/>
          <w:sz w:val="22"/>
          <w:szCs w:val="22"/>
        </w:rPr>
        <w:t>iššūkių</w:t>
      </w:r>
      <w:r w:rsidRPr="00704094">
        <w:rPr>
          <w:rFonts w:cs="Times New Roman"/>
          <w:sz w:val="22"/>
          <w:szCs w:val="22"/>
        </w:rPr>
        <w:t xml:space="preserve">, kurie būdingi ne tik Lietuvai, bet ir daugeliui kitų ES šalių: </w:t>
      </w:r>
    </w:p>
    <w:p w:rsidR="00A73AD3" w:rsidRPr="00704094" w:rsidRDefault="00A73AD3" w:rsidP="002F5E96">
      <w:pPr>
        <w:pStyle w:val="Pagrindinispaprastastekstas"/>
        <w:rPr>
          <w:rFonts w:cs="Times New Roman"/>
          <w:sz w:val="22"/>
          <w:szCs w:val="22"/>
        </w:rPr>
      </w:pPr>
    </w:p>
    <w:p w:rsidR="00A73AD3" w:rsidRPr="00704094" w:rsidRDefault="00A73AD3" w:rsidP="00F76B48">
      <w:pPr>
        <w:pStyle w:val="Pagrindinispaprastastekstas"/>
        <w:numPr>
          <w:ilvl w:val="0"/>
          <w:numId w:val="37"/>
        </w:numPr>
        <w:rPr>
          <w:rFonts w:cs="Times New Roman"/>
          <w:sz w:val="22"/>
          <w:szCs w:val="22"/>
        </w:rPr>
      </w:pPr>
      <w:r w:rsidRPr="00704094">
        <w:rPr>
          <w:rFonts w:cs="Times New Roman"/>
          <w:sz w:val="22"/>
          <w:szCs w:val="22"/>
        </w:rPr>
        <w:lastRenderedPageBreak/>
        <w:t xml:space="preserve">Kaip suderinti stebėsenos sistemas ir vertinimų planavimą taip, kad duomenys, reikalingi įrodymais grįstiems vertinimams atlikti, būtų prieinami? </w:t>
      </w:r>
    </w:p>
    <w:p w:rsidR="00A73AD3" w:rsidRPr="00704094" w:rsidRDefault="00A73AD3" w:rsidP="003061F5">
      <w:pPr>
        <w:pStyle w:val="Pagrindinispaprastastekstas"/>
        <w:numPr>
          <w:ilvl w:val="0"/>
          <w:numId w:val="37"/>
        </w:numPr>
        <w:rPr>
          <w:rFonts w:cs="Times New Roman"/>
          <w:sz w:val="22"/>
          <w:szCs w:val="22"/>
        </w:rPr>
      </w:pPr>
      <w:r w:rsidRPr="00704094">
        <w:rPr>
          <w:rFonts w:cs="Times New Roman"/>
          <w:sz w:val="22"/>
          <w:szCs w:val="22"/>
        </w:rPr>
        <w:t xml:space="preserve">Kaip užtikrinti, kad vertinimų, grįstų kontrafaktinio poveikio analize, išvados būtų prieinamos laiku ir galėtų paveikti politikos </w:t>
      </w:r>
      <w:r w:rsidRPr="00704094">
        <w:rPr>
          <w:rFonts w:cs="Times New Roman"/>
          <w:sz w:val="22"/>
          <w:szCs w:val="22"/>
          <w:lang w:eastAsia="en-US"/>
        </w:rPr>
        <w:t>dizainą</w:t>
      </w:r>
      <w:r w:rsidRPr="00704094">
        <w:rPr>
          <w:rFonts w:cs="Times New Roman"/>
          <w:sz w:val="22"/>
          <w:szCs w:val="22"/>
        </w:rPr>
        <w:t xml:space="preserve"> (ypač rengiantis kitam programavimo laikotarpiui) arba patobulinti jau įgyvendinamas programas? </w:t>
      </w:r>
    </w:p>
    <w:p w:rsidR="00A73AD3" w:rsidRPr="00704094" w:rsidRDefault="00A73AD3" w:rsidP="005B5A7B">
      <w:pPr>
        <w:pStyle w:val="Pagrindinispaprastastekstas"/>
        <w:numPr>
          <w:ilvl w:val="0"/>
          <w:numId w:val="37"/>
        </w:numPr>
        <w:rPr>
          <w:rFonts w:cs="Times New Roman"/>
          <w:sz w:val="22"/>
          <w:szCs w:val="22"/>
        </w:rPr>
      </w:pPr>
      <w:r w:rsidRPr="00704094">
        <w:rPr>
          <w:rFonts w:cs="Times New Roman"/>
          <w:sz w:val="22"/>
          <w:szCs w:val="22"/>
        </w:rPr>
        <w:t xml:space="preserve">Kaip suprantamai ir patraukliai pristatyti metodologiškai sudėtingų vertinimų rezultatus sprendimų priėmėjams ir visuomenei? Nors sudėtingų analizės metodų taikymas didina vertinimų patikimumą, tačiau jų vykdymas ir rezultatai tampa vis sunkiau suprantami potencialiems naudotojams, o tai gali riboti vertinimo rezultatų naudojimą politikai tobulinti. </w:t>
      </w:r>
    </w:p>
    <w:p w:rsidR="00A73AD3" w:rsidRPr="00704094" w:rsidRDefault="00A73AD3" w:rsidP="002F5E96">
      <w:pPr>
        <w:pStyle w:val="Pagrindinispaprastastekstas"/>
        <w:rPr>
          <w:rFonts w:cs="Times New Roman"/>
          <w:sz w:val="22"/>
          <w:szCs w:val="22"/>
          <w:highlight w:val="yellow"/>
        </w:rPr>
      </w:pPr>
    </w:p>
    <w:p w:rsidR="00A73AD3" w:rsidRPr="00704094" w:rsidRDefault="00A73AD3" w:rsidP="003B67A4">
      <w:pPr>
        <w:pStyle w:val="Antrastes1"/>
        <w:jc w:val="both"/>
        <w:rPr>
          <w:rFonts w:cs="Times New Roman"/>
        </w:rPr>
      </w:pPr>
      <w:bookmarkStart w:id="16" w:name="_Toc472343148"/>
      <w:r w:rsidRPr="00704094">
        <w:rPr>
          <w:rFonts w:cs="Times New Roman"/>
        </w:rPr>
        <w:lastRenderedPageBreak/>
        <w:t>2007–2013 m. veiksmų programų vertinimų įžvalgos apie investicijų poveikį ekonomikai ir atskiriems ūkio sektoriams (viešosios politikos sritims)</w:t>
      </w:r>
      <w:bookmarkEnd w:id="16"/>
    </w:p>
    <w:p w:rsidR="00A73AD3" w:rsidRPr="00704094" w:rsidRDefault="00A73AD3" w:rsidP="00A85C5C">
      <w:pPr>
        <w:pStyle w:val="Pagrindinispaprastastekstas"/>
        <w:rPr>
          <w:rFonts w:cs="Times New Roman"/>
          <w:i/>
          <w:iCs/>
          <w:sz w:val="22"/>
          <w:szCs w:val="22"/>
        </w:rPr>
      </w:pPr>
      <w:r w:rsidRPr="00704094">
        <w:rPr>
          <w:rFonts w:cs="Times New Roman"/>
          <w:i/>
          <w:iCs/>
          <w:sz w:val="22"/>
          <w:szCs w:val="22"/>
        </w:rPr>
        <w:t>Šioje dalyje pateikiama 2007–2013 m. veiksmų programų poveikio vertinimų rezultatų ir naudos apžvalga pagal intervencijų sritis, akcentuojant pagrindines vertinimų išvadas ir 2014–2020 m. laikotarpiui aktualius strateginius siūlymus pagal 2014–2020 m. ES fondų investicijų veiksmų programos prioritetus.</w:t>
      </w:r>
    </w:p>
    <w:p w:rsidR="00A73AD3" w:rsidRPr="00704094" w:rsidRDefault="00A73AD3" w:rsidP="00794FF4">
      <w:pPr>
        <w:pStyle w:val="Antrastes2"/>
        <w:rPr>
          <w:rFonts w:cs="Times New Roman"/>
        </w:rPr>
      </w:pPr>
      <w:bookmarkStart w:id="17" w:name="_Toc472343149"/>
      <w:r w:rsidRPr="00704094">
        <w:rPr>
          <w:rFonts w:cs="Times New Roman"/>
        </w:rPr>
        <w:t>Investicijų poveikis ekonomikai</w:t>
      </w:r>
      <w:bookmarkEnd w:id="17"/>
    </w:p>
    <w:p w:rsidR="00A73AD3" w:rsidRPr="00704094" w:rsidRDefault="00A73AD3" w:rsidP="00C243B8">
      <w:pPr>
        <w:pStyle w:val="Antrastes3"/>
        <w:rPr>
          <w:rFonts w:cs="Times New Roman"/>
        </w:rPr>
      </w:pPr>
      <w:r w:rsidRPr="00704094">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5757"/>
        <w:gridCol w:w="1186"/>
        <w:gridCol w:w="1275"/>
        <w:gridCol w:w="1409"/>
      </w:tblGrid>
      <w:tr w:rsidR="00A73AD3" w:rsidRPr="00986CFB">
        <w:tc>
          <w:tcPr>
            <w:tcW w:w="5757"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275"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1409"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5757"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Europos Sąjungos struktūrinės paramos poveikio Lietuvos konkurencingumui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gegužė</w:t>
            </w:r>
          </w:p>
        </w:tc>
        <w:tc>
          <w:tcPr>
            <w:tcW w:w="1275"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1409"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r w:rsidR="00A73AD3" w:rsidRPr="00986CFB">
        <w:tc>
          <w:tcPr>
            <w:tcW w:w="5757"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ES struktūrinės paramos poveikio žmogiškųjų išteklių plėtrai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balandis</w:t>
            </w:r>
          </w:p>
        </w:tc>
        <w:tc>
          <w:tcPr>
            <w:tcW w:w="1275"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1409"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„BGI Consulting“</w:t>
            </w:r>
          </w:p>
        </w:tc>
      </w:tr>
      <w:tr w:rsidR="00A73AD3" w:rsidRPr="00986CFB">
        <w:tc>
          <w:tcPr>
            <w:tcW w:w="5757"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užimtumui ir kitiems Lietuvos ūkio makroekonominiams rodikliams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liepa</w:t>
            </w:r>
          </w:p>
        </w:tc>
        <w:tc>
          <w:tcPr>
            <w:tcW w:w="1275"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1409"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bl>
    <w:p w:rsidR="00A73AD3" w:rsidRPr="00704094" w:rsidRDefault="00A73AD3" w:rsidP="00C243B8">
      <w:pPr>
        <w:pStyle w:val="Antrastes3"/>
        <w:rPr>
          <w:rFonts w:cs="Times New Roman"/>
        </w:rPr>
      </w:pPr>
      <w:r w:rsidRPr="00704094">
        <w:rPr>
          <w:rFonts w:cs="Times New Roman"/>
        </w:rPr>
        <w:t>Pagrindiniai vertinimų rezultatai ir išvados</w:t>
      </w:r>
    </w:p>
    <w:p w:rsidR="00A73AD3" w:rsidRPr="00704094" w:rsidRDefault="00CA1232" w:rsidP="0096314E">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43904" behindDoc="1" locked="0" layoutInCell="1" allowOverlap="1">
                <wp:simplePos x="0" y="0"/>
                <wp:positionH relativeFrom="margin">
                  <wp:posOffset>3790950</wp:posOffset>
                </wp:positionH>
                <wp:positionV relativeFrom="paragraph">
                  <wp:posOffset>1397635</wp:posOffset>
                </wp:positionV>
                <wp:extent cx="2362200" cy="1371600"/>
                <wp:effectExtent l="0" t="0" r="3810" b="0"/>
                <wp:wrapSquare wrapText="bothSides"/>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37160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6314E">
                            <w:pPr>
                              <w:jc w:val="center"/>
                              <w:rPr>
                                <w:rFonts w:ascii="Cambria" w:hAnsi="Cambria" w:cs="Cambria"/>
                                <w:color w:val="17365D"/>
                                <w:sz w:val="20"/>
                                <w:szCs w:val="20"/>
                              </w:rPr>
                            </w:pPr>
                            <w:r w:rsidRPr="00704094">
                              <w:rPr>
                                <w:rFonts w:ascii="Cambria" w:hAnsi="Cambria"/>
                                <w:color w:val="17365D"/>
                                <w:sz w:val="20"/>
                                <w:szCs w:val="20"/>
                              </w:rPr>
                              <w:t>Lietuvos BVP vienam gyventojui 2014</w:t>
                            </w:r>
                            <w:r w:rsidRPr="00986CFB">
                              <w:rPr>
                                <w:rFonts w:ascii="Cambria" w:hAnsi="Cambria"/>
                                <w:color w:val="17365D"/>
                                <w:sz w:val="20"/>
                                <w:szCs w:val="20"/>
                              </w:rPr>
                              <w:t> </w:t>
                            </w:r>
                            <w:r w:rsidRPr="00704094">
                              <w:rPr>
                                <w:rFonts w:ascii="Cambria" w:hAnsi="Cambria"/>
                                <w:color w:val="17365D"/>
                                <w:sz w:val="20"/>
                                <w:szCs w:val="20"/>
                              </w:rPr>
                              <w:t>m. sudarė 75 proc.</w:t>
                            </w:r>
                            <w:r w:rsidRPr="00986CFB">
                              <w:rPr>
                                <w:rFonts w:ascii="Cambria" w:hAnsi="Cambria" w:cs="Cambria"/>
                                <w:color w:val="17365D"/>
                                <w:sz w:val="20"/>
                                <w:szCs w:val="20"/>
                              </w:rPr>
                              <w:t xml:space="preserve"> ES-28 vidurkio. Be 2007–2013 m. ES struktūrinių fondų investicijų BVP viena</w:t>
                            </w:r>
                            <w:r w:rsidR="00481478">
                              <w:rPr>
                                <w:rFonts w:ascii="Cambria" w:hAnsi="Cambria" w:cs="Cambria"/>
                                <w:color w:val="17365D"/>
                                <w:sz w:val="20"/>
                                <w:szCs w:val="20"/>
                              </w:rPr>
                              <w:t>m gyventojui Lietuvoje būtų 3,8 </w:t>
                            </w:r>
                            <w:r w:rsidRPr="00986CFB">
                              <w:rPr>
                                <w:rFonts w:ascii="Cambria" w:hAnsi="Cambria" w:cs="Cambria"/>
                                <w:color w:val="17365D"/>
                                <w:sz w:val="20"/>
                                <w:szCs w:val="20"/>
                              </w:rPr>
                              <w:t>proc. punktais mažesnis ir siektų 71 proc.</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98.5pt;margin-top:110.05pt;width:186pt;height:108pt;z-index:-251672576;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96314E">
                      <w:pPr>
                        <w:jc w:val="center"/>
                        <w:rPr>
                          <w:rFonts w:ascii="Cambria" w:hAnsi="Cambria" w:cs="Cambria"/>
                          <w:color w:val="17365D"/>
                          <w:sz w:val="20"/>
                          <w:szCs w:val="20"/>
                        </w:rPr>
                      </w:pPr>
                      <w:r w:rsidRPr="00704094">
                        <w:rPr>
                          <w:rFonts w:ascii="Cambria" w:hAnsi="Cambria"/>
                          <w:color w:val="17365D"/>
                          <w:sz w:val="20"/>
                          <w:szCs w:val="20"/>
                        </w:rPr>
                        <w:t>Lietuvos BVP vienam gyventojui 2014</w:t>
                      </w:r>
                      <w:r w:rsidRPr="00986CFB">
                        <w:rPr>
                          <w:rFonts w:ascii="Cambria" w:hAnsi="Cambria"/>
                          <w:color w:val="17365D"/>
                          <w:sz w:val="20"/>
                          <w:szCs w:val="20"/>
                        </w:rPr>
                        <w:t> </w:t>
                      </w:r>
                      <w:r w:rsidRPr="00704094">
                        <w:rPr>
                          <w:rFonts w:ascii="Cambria" w:hAnsi="Cambria"/>
                          <w:color w:val="17365D"/>
                          <w:sz w:val="20"/>
                          <w:szCs w:val="20"/>
                        </w:rPr>
                        <w:t>m. sudarė 75 proc.</w:t>
                      </w:r>
                      <w:r w:rsidRPr="00986CFB">
                        <w:rPr>
                          <w:rFonts w:ascii="Cambria" w:hAnsi="Cambria" w:cs="Cambria"/>
                          <w:color w:val="17365D"/>
                          <w:sz w:val="20"/>
                          <w:szCs w:val="20"/>
                        </w:rPr>
                        <w:t xml:space="preserve"> ES-28 vidurkio. Be 2007–2013 m. ES struktūrinių fondų investicijų BVP viena</w:t>
                      </w:r>
                      <w:r w:rsidR="00481478">
                        <w:rPr>
                          <w:rFonts w:ascii="Cambria" w:hAnsi="Cambria" w:cs="Cambria"/>
                          <w:color w:val="17365D"/>
                          <w:sz w:val="20"/>
                          <w:szCs w:val="20"/>
                        </w:rPr>
                        <w:t>m gyventojui Lietuvoje būtų 3,8 </w:t>
                      </w:r>
                      <w:r w:rsidRPr="00986CFB">
                        <w:rPr>
                          <w:rFonts w:ascii="Cambria" w:hAnsi="Cambria" w:cs="Cambria"/>
                          <w:color w:val="17365D"/>
                          <w:sz w:val="20"/>
                          <w:szCs w:val="20"/>
                        </w:rPr>
                        <w:t>proc. punktais mažesnis ir siektų 71 proc.</w:t>
                      </w:r>
                    </w:p>
                  </w:txbxContent>
                </v:textbox>
                <w10:wrap type="square" anchorx="margin"/>
              </v:shape>
            </w:pict>
          </mc:Fallback>
        </mc:AlternateContent>
      </w:r>
      <w:r w:rsidR="00A73AD3" w:rsidRPr="00704094">
        <w:rPr>
          <w:rFonts w:cs="Times New Roman"/>
          <w:b/>
          <w:bCs/>
          <w:i/>
          <w:iCs/>
          <w:color w:val="1F497D"/>
          <w:sz w:val="22"/>
          <w:szCs w:val="22"/>
        </w:rPr>
        <w:t>2007–2013 m. ES struktūrinės paramos poveikio užimtumui ir kitiems Lietuvos ūkio makroekonominiams rodikliams vertinimo</w:t>
      </w:r>
      <w:r w:rsidR="00A73AD3" w:rsidRPr="00704094">
        <w:rPr>
          <w:rFonts w:cs="Times New Roman"/>
          <w:color w:val="1F497D"/>
          <w:sz w:val="22"/>
          <w:szCs w:val="22"/>
        </w:rPr>
        <w:t xml:space="preserve"> </w:t>
      </w:r>
      <w:r w:rsidR="00A73AD3" w:rsidRPr="00704094">
        <w:rPr>
          <w:rFonts w:cs="Times New Roman"/>
          <w:sz w:val="22"/>
          <w:szCs w:val="22"/>
        </w:rPr>
        <w:t xml:space="preserve">rezultatai rodo, kad 2007–2013 m. ES fondų investicijos vidutiniškai penktadaliu kasmet didino nominalųjį šalies BVP, o per visą 2007–2015 m. laikotarpį sukūrė 10,3 mlrd. eurų papildomo nominalaus bendrojo vidaus produkto (toliau – BVP). Lyginant skirtingas paramos formas (subsidijas su lengvatinėmis paskolomis ir kitomis finansų inžinerijos priemonėmis) pagal papildomą dėl ES fondų intervencijų 2007–2015 m. laikotarpiu sukurtą BVP buvo nustatytas šiek tiek didesnis finansų inžinerijos priemonių efektyvumas (subsidijų efektyvumas – 1,38, finansų inžinerijos priemonių – 1,5). 2007–2013 m. ES fondų investicijos prisidėjo prie spartesnės šalies ekonominės konvergencijos su ES-28 vidurkiu, matuojamos pagal vienam gyventojui tenkančią BVP dalį. 2007–2013 m. ES fondų investicijų poveikis makroekonominiams rodikliams, tokiems kaip darbo našumas, tiesioginių užsienio investicijų pritraukimas, investicijos į pagrindinio kapitalo formavimą, prekių ir paslaugų eksportas, išliks ir pasibaigus ES fondų lėšų mokėjimui. </w:t>
      </w:r>
    </w:p>
    <w:p w:rsidR="00A73AD3" w:rsidRPr="00704094" w:rsidRDefault="00A73AD3" w:rsidP="0096314E">
      <w:pPr>
        <w:pStyle w:val="Pagrindinispaprastastekstas"/>
        <w:rPr>
          <w:rFonts w:cs="Times New Roman"/>
          <w:sz w:val="22"/>
          <w:szCs w:val="22"/>
        </w:rPr>
      </w:pPr>
    </w:p>
    <w:p w:rsidR="00A73AD3" w:rsidRPr="00704094" w:rsidRDefault="00A73AD3" w:rsidP="00DB34BF">
      <w:pPr>
        <w:pStyle w:val="Pagrindinispaprastastekstas"/>
        <w:rPr>
          <w:rFonts w:cs="Times New Roman"/>
          <w:sz w:val="22"/>
          <w:szCs w:val="22"/>
        </w:rPr>
      </w:pPr>
      <w:r w:rsidRPr="00704094">
        <w:rPr>
          <w:rFonts w:cs="Times New Roman"/>
          <w:b/>
          <w:bCs/>
          <w:i/>
          <w:iCs/>
          <w:color w:val="1F497D"/>
          <w:sz w:val="22"/>
          <w:szCs w:val="22"/>
        </w:rPr>
        <w:t>Europos Sąjungos struktūrinės paramos poveikio Lietuvos konkurencingumui vertinime</w:t>
      </w:r>
      <w:r w:rsidRPr="00704094">
        <w:rPr>
          <w:rFonts w:cs="Times New Roman"/>
          <w:sz w:val="22"/>
          <w:szCs w:val="22"/>
        </w:rPr>
        <w:t xml:space="preserve"> nustatyta, kad 2007–2013 m. ES fondų lėšomis įgyvendintos intervencijos konkurencingumui didinti teigiamai veikė daugelį konkurencingumo rodiklių, tačiau išorinių veiksnių įtaka (ekonomikos krizės, paklausos pokyčių užsienio rinkose, verslo klimato, taikomų mokestinių lengvatų, reguliacinės aplinkos, užsienio partnerių veiksmų ir kt.) daugeliu atvejų buvo stipresnė. Konkurencingumui didinti skirtų intervencijų poveikis vertintas trimis lygiais: makrolygiu, mezolygiu ir mikrolygiu. Įvertinus poveikį konkurencingumo rodikliams </w:t>
      </w:r>
      <w:r w:rsidRPr="00704094">
        <w:rPr>
          <w:rFonts w:cs="Times New Roman"/>
          <w:b/>
          <w:bCs/>
          <w:i/>
          <w:iCs/>
          <w:sz w:val="22"/>
          <w:szCs w:val="22"/>
        </w:rPr>
        <w:t>makrolygiu</w:t>
      </w:r>
      <w:r w:rsidRPr="00704094">
        <w:rPr>
          <w:rFonts w:cs="Times New Roman"/>
          <w:sz w:val="22"/>
          <w:szCs w:val="22"/>
        </w:rPr>
        <w:t xml:space="preserve">, nustatyta, kad ES lėšos labiausiai veikė tokius rodiklius kaip investicijos į bendrojo pagrindinio kapitalo formavimą, tiesioginės užsienio investicijos, bendrasis vidaus produktas, tenkantis vienam gyventojui, plačiajuosčio interneto ryšio skvarba, viešųjų paslaugų perkėlimas į </w:t>
      </w:r>
      <w:r w:rsidRPr="00704094">
        <w:rPr>
          <w:rFonts w:cs="Times New Roman"/>
          <w:sz w:val="22"/>
          <w:szCs w:val="22"/>
          <w:lang w:eastAsia="en-US"/>
        </w:rPr>
        <w:t>e.</w:t>
      </w:r>
      <w:r w:rsidRPr="00704094">
        <w:rPr>
          <w:rFonts w:cs="Times New Roman"/>
          <w:sz w:val="22"/>
          <w:szCs w:val="22"/>
        </w:rPr>
        <w:t xml:space="preserve"> erdvę.</w:t>
      </w:r>
    </w:p>
    <w:p w:rsidR="00A73AD3" w:rsidRPr="00704094" w:rsidRDefault="00A73AD3" w:rsidP="00DB34BF">
      <w:pPr>
        <w:pStyle w:val="Pagrindinispaprastastekstas"/>
        <w:rPr>
          <w:rFonts w:cs="Times New Roman"/>
          <w:sz w:val="22"/>
          <w:szCs w:val="22"/>
        </w:rPr>
      </w:pPr>
    </w:p>
    <w:p w:rsidR="00A73AD3" w:rsidRPr="00704094" w:rsidRDefault="00CA1232" w:rsidP="00DB34BF">
      <w:pPr>
        <w:pStyle w:val="Pagrindinispaprastastekstas"/>
        <w:rPr>
          <w:rFonts w:cs="Times New Roman"/>
          <w:sz w:val="22"/>
          <w:szCs w:val="22"/>
        </w:rPr>
      </w:pPr>
      <w:r>
        <w:rPr>
          <w:noProof/>
          <w:sz w:val="22"/>
          <w:szCs w:val="22"/>
        </w:rPr>
        <w:lastRenderedPageBreak/>
        <mc:AlternateContent>
          <mc:Choice Requires="wps">
            <w:drawing>
              <wp:anchor distT="36195" distB="36195" distL="107950" distR="107950" simplePos="0" relativeHeight="251668480" behindDoc="1" locked="0" layoutInCell="1" allowOverlap="1">
                <wp:simplePos x="0" y="0"/>
                <wp:positionH relativeFrom="margin">
                  <wp:posOffset>3738880</wp:posOffset>
                </wp:positionH>
                <wp:positionV relativeFrom="paragraph">
                  <wp:posOffset>584200</wp:posOffset>
                </wp:positionV>
                <wp:extent cx="2433320" cy="1266825"/>
                <wp:effectExtent l="1270" t="0" r="3810" b="1905"/>
                <wp:wrapSquare wrapText="bothSides"/>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26682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3A74E0">
                            <w:pPr>
                              <w:jc w:val="center"/>
                              <w:rPr>
                                <w:rFonts w:ascii="Cambria" w:hAnsi="Cambria" w:cs="Cambria"/>
                                <w:color w:val="17365D"/>
                                <w:sz w:val="20"/>
                                <w:szCs w:val="20"/>
                              </w:rPr>
                            </w:pPr>
                            <w:r w:rsidRPr="00704094">
                              <w:rPr>
                                <w:rFonts w:ascii="Cambria" w:hAnsi="Cambria"/>
                                <w:color w:val="17365D"/>
                                <w:sz w:val="20"/>
                                <w:szCs w:val="20"/>
                              </w:rPr>
                              <w:t>Konkurencingumui didinti skirtos ES fondų investicijos prisidėjo prie BVP, tenkančio vienam gyventojui, padidėjimo – dėl šių investicijų BVP vienam gyventojui 2013–2015 m. Lietuvoje buvo 3 proc. didesnis nei būtų buvęs be investicijų.</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94.4pt;margin-top:46pt;width:191.6pt;height:99.75pt;z-index:-251648000;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3A74E0">
                      <w:pPr>
                        <w:jc w:val="center"/>
                        <w:rPr>
                          <w:rFonts w:ascii="Cambria" w:hAnsi="Cambria" w:cs="Cambria"/>
                          <w:color w:val="17365D"/>
                          <w:sz w:val="20"/>
                          <w:szCs w:val="20"/>
                        </w:rPr>
                      </w:pPr>
                      <w:r w:rsidRPr="00704094">
                        <w:rPr>
                          <w:rFonts w:ascii="Cambria" w:hAnsi="Cambria"/>
                          <w:color w:val="17365D"/>
                          <w:sz w:val="20"/>
                          <w:szCs w:val="20"/>
                        </w:rPr>
                        <w:t>Konkurencingumui didinti skirtos ES fondų investicijos prisidėjo prie BVP, tenkančio vienam gyventojui, padidėjimo – dėl šių investicijų BVP vienam gyventojui 2013–2015 m. Lietuvoje buvo 3 proc. didesnis nei būtų buvęs be investicijų.</w:t>
                      </w:r>
                    </w:p>
                  </w:txbxContent>
                </v:textbox>
                <w10:wrap type="square" anchorx="margin"/>
              </v:shape>
            </w:pict>
          </mc:Fallback>
        </mc:AlternateContent>
      </w:r>
      <w:r w:rsidR="00A73AD3" w:rsidRPr="00704094">
        <w:rPr>
          <w:rFonts w:cs="Times New Roman"/>
          <w:sz w:val="22"/>
          <w:szCs w:val="22"/>
        </w:rPr>
        <w:t xml:space="preserve">Kadangi maždaug 70 proc. konkurencingumui didinti išmokėtų lėšų į Lietuvos ekonomiką įsiliejo per materialines investicijas, </w:t>
      </w:r>
      <w:r w:rsidR="00A73AD3" w:rsidRPr="00704094">
        <w:rPr>
          <w:rFonts w:cs="Times New Roman"/>
          <w:b/>
          <w:bCs/>
          <w:i/>
          <w:iCs/>
          <w:sz w:val="22"/>
          <w:szCs w:val="22"/>
        </w:rPr>
        <w:t>didžiausią poveikį ES fondų intervencijos turėjo būtent investicijoms į pagrindinio kapitalo formavimą</w:t>
      </w:r>
      <w:r w:rsidR="00A73AD3" w:rsidRPr="00704094">
        <w:rPr>
          <w:rFonts w:cs="Times New Roman"/>
          <w:sz w:val="22"/>
          <w:szCs w:val="22"/>
        </w:rPr>
        <w:t xml:space="preserve">. 2007–2013 m. šis rodiklis buvo 1,81 mlrd. eurų didesnis, lyginant su situacija be ES investicijų. ES investicijos taip pat prisidėjo prie tiesioginių užsienio investicijų pritraukimo: dėl šių investicijų 2007–2013 m. tiesioginių užsienio investicijų santykis su BVP buvo 16 proc. punktų didesnis, lyginant su scenarijumi be investicijų. ES investicijos darė teigiamą poveikį darbo našumui, t. y. per valandą sukurtai pridėtinei vertei. Dėl ES lėšų darbo našumas Lietuvoje 2007–2013 m. buvo 0,29 euro didesnis, o 2007–2015 m. – 0,36 euro didesnis, lyginant su scenarijumi be ES investicijų. Dėl konkurencingumui didinti skirtų intervencijų darbo našumas šalyje iki 2020 m. bus 0,10 euro didesnis nei tuo atveju, jei ES lėšos nebūtų buvusios investuotos. </w:t>
      </w:r>
      <w:r w:rsidR="00A73AD3" w:rsidRPr="00704094">
        <w:rPr>
          <w:rFonts w:cs="Times New Roman"/>
          <w:sz w:val="22"/>
          <w:szCs w:val="22"/>
          <w:lang w:eastAsia="en-US"/>
        </w:rPr>
        <w:t>Išimtinai</w:t>
      </w:r>
      <w:r w:rsidR="00A73AD3" w:rsidRPr="00704094">
        <w:rPr>
          <w:rFonts w:cs="Times New Roman"/>
          <w:sz w:val="22"/>
          <w:szCs w:val="22"/>
        </w:rPr>
        <w:t xml:space="preserve"> ES lėšomis buvo finansuojamas plačiajuosčio interneto ryšio skvarbos didinimas, didelė dalis viešųjų paslaugų perkėlimo į e. erdvę veiklų, todėl šiose srityse ES investicijų poveikis taip pat reikšmingas. Tokius rodiklius kaip prekių ir paslaugų eksportas, taip pat aukštųjų ir vidutiniškai </w:t>
      </w:r>
      <w:r w:rsidR="00A73AD3" w:rsidRPr="00704094">
        <w:rPr>
          <w:rFonts w:cs="Times New Roman"/>
          <w:sz w:val="22"/>
          <w:szCs w:val="22"/>
          <w:lang w:eastAsia="en-US"/>
        </w:rPr>
        <w:t>aukštųjų</w:t>
      </w:r>
      <w:r w:rsidR="00A73AD3" w:rsidRPr="00704094">
        <w:rPr>
          <w:rFonts w:cs="Times New Roman"/>
          <w:sz w:val="22"/>
          <w:szCs w:val="22"/>
        </w:rPr>
        <w:t xml:space="preserve"> technologijų prekių eksportas konkurencingumui didinti skirtos ES investicijos veikė mažiau. Trumpuoju laikotarpiu prekių ir paslaugų eksportą labiau veikė paklausos pokyčiai užsienio rinkose, o aukštųjų ir vidutiniškai </w:t>
      </w:r>
      <w:r w:rsidR="00A73AD3" w:rsidRPr="00704094">
        <w:rPr>
          <w:rFonts w:cs="Times New Roman"/>
          <w:sz w:val="22"/>
          <w:szCs w:val="22"/>
          <w:lang w:eastAsia="en-US"/>
        </w:rPr>
        <w:t>aukštųjų</w:t>
      </w:r>
      <w:r w:rsidR="00A73AD3" w:rsidRPr="00704094">
        <w:rPr>
          <w:rFonts w:cs="Times New Roman"/>
          <w:sz w:val="22"/>
          <w:szCs w:val="22"/>
        </w:rPr>
        <w:t xml:space="preserve"> technologijų prekių eksportas labiau priklausė nuo išorinių veiksnių.</w:t>
      </w:r>
    </w:p>
    <w:p w:rsidR="00A73AD3" w:rsidRPr="00704094" w:rsidRDefault="00A73AD3" w:rsidP="00DB34BF">
      <w:pPr>
        <w:pStyle w:val="Pagrindinispaprastastekstas"/>
        <w:rPr>
          <w:rFonts w:cs="Times New Roman"/>
          <w:sz w:val="22"/>
          <w:szCs w:val="22"/>
        </w:rPr>
      </w:pPr>
    </w:p>
    <w:p w:rsidR="00A73AD3" w:rsidRPr="00704094" w:rsidRDefault="00A73AD3" w:rsidP="00DB34BF">
      <w:pPr>
        <w:pStyle w:val="Pagrindinispaprastastekstas"/>
        <w:rPr>
          <w:rFonts w:cs="Times New Roman"/>
          <w:sz w:val="22"/>
          <w:szCs w:val="22"/>
        </w:rPr>
      </w:pPr>
      <w:r w:rsidRPr="00704094">
        <w:rPr>
          <w:rFonts w:cs="Times New Roman"/>
          <w:sz w:val="22"/>
          <w:szCs w:val="22"/>
        </w:rPr>
        <w:t xml:space="preserve">Įvertinus konkurencingumui didinti skirtų ES fondų investicijų poveikį </w:t>
      </w:r>
      <w:r w:rsidRPr="00704094">
        <w:rPr>
          <w:rFonts w:cs="Times New Roman"/>
          <w:b/>
          <w:bCs/>
          <w:i/>
          <w:iCs/>
          <w:sz w:val="22"/>
          <w:szCs w:val="22"/>
        </w:rPr>
        <w:t>mezolygiu</w:t>
      </w:r>
      <w:r w:rsidRPr="00704094">
        <w:rPr>
          <w:rFonts w:cs="Times New Roman"/>
          <w:sz w:val="22"/>
          <w:szCs w:val="22"/>
        </w:rPr>
        <w:t xml:space="preserve"> atskirų ūkio šakų konkurencingumo rodikliams (statybų, energetikos, transporto ir pramonės sektoriams), nustatyta, kad poveikis statybų sektoriaus rodikliams buvo trumpalaikis ir pasireiškė tik projektų įgyvendinimo metu (statybų sektorius yra pagrindinis paslaugų teikėjas, įgyvendinant finansuojamus projektus). Daugelis statybų sektoriuje sukurtų darbo vietų taip pat buvo laikinos. Pagrindiniai konkurencingumui didinti skirtų ES fondų investicijų </w:t>
      </w:r>
      <w:r w:rsidRPr="00704094">
        <w:rPr>
          <w:rFonts w:cs="Times New Roman"/>
          <w:b/>
          <w:bCs/>
          <w:i/>
          <w:iCs/>
          <w:sz w:val="22"/>
          <w:szCs w:val="22"/>
        </w:rPr>
        <w:t>ilgalaikės naudos gavėjai buvo pramonės ir transporto sektoriai</w:t>
      </w:r>
      <w:r w:rsidRPr="00704094">
        <w:rPr>
          <w:rFonts w:cs="Times New Roman"/>
          <w:sz w:val="22"/>
          <w:szCs w:val="22"/>
        </w:rPr>
        <w:t>, kuriuose pridėtinės vertės kūrimo, darbo vietų išsaugojimo, investicijų pritraukimo, prekių ir paslaugų eksporto apimčių augimo nauda pasireiškė labiausiai.</w:t>
      </w:r>
    </w:p>
    <w:p w:rsidR="00A73AD3" w:rsidRPr="00704094" w:rsidRDefault="00A73AD3" w:rsidP="00DB34BF">
      <w:pPr>
        <w:pStyle w:val="Pagrindinispaprastastekstas"/>
        <w:rPr>
          <w:rFonts w:cs="Times New Roman"/>
          <w:sz w:val="22"/>
          <w:szCs w:val="22"/>
        </w:rPr>
      </w:pPr>
    </w:p>
    <w:p w:rsidR="00A73AD3" w:rsidRPr="00704094" w:rsidRDefault="00A73AD3" w:rsidP="00DB34BF">
      <w:pPr>
        <w:pStyle w:val="Pagrindinispaprastastekstas"/>
        <w:rPr>
          <w:rFonts w:cs="Times New Roman"/>
          <w:sz w:val="22"/>
          <w:szCs w:val="22"/>
        </w:rPr>
      </w:pPr>
      <w:r w:rsidRPr="00704094">
        <w:rPr>
          <w:rFonts w:cs="Times New Roman"/>
          <w:sz w:val="22"/>
          <w:szCs w:val="22"/>
        </w:rPr>
        <w:t xml:space="preserve">Konkurencingumui didinti skirtų ES fondų investicijų poveikis </w:t>
      </w:r>
      <w:r w:rsidRPr="00704094">
        <w:rPr>
          <w:rFonts w:cs="Times New Roman"/>
          <w:b/>
          <w:bCs/>
          <w:i/>
          <w:iCs/>
          <w:sz w:val="22"/>
          <w:szCs w:val="22"/>
        </w:rPr>
        <w:t>mikrolygiu</w:t>
      </w:r>
      <w:r w:rsidRPr="00704094">
        <w:rPr>
          <w:rFonts w:cs="Times New Roman"/>
          <w:sz w:val="22"/>
          <w:szCs w:val="22"/>
        </w:rPr>
        <w:t xml:space="preserve"> (įmonių konkurencingumo rodikliams) buvo teigiamas: dėl įmonių projektams skirtų ES fondų lėšų išaugo įmonių darbo našumas, eksportas, padidėjo investicijos į mokslinius tyrimus ir technologinę plėtrą (toliau – MTTP). </w:t>
      </w:r>
    </w:p>
    <w:p w:rsidR="00A73AD3" w:rsidRPr="00704094" w:rsidRDefault="00A73AD3" w:rsidP="00DB34BF">
      <w:pPr>
        <w:pStyle w:val="Pagrindinispaprastastekstas"/>
        <w:rPr>
          <w:rFonts w:cs="Times New Roman"/>
          <w:sz w:val="22"/>
          <w:szCs w:val="22"/>
        </w:rPr>
      </w:pPr>
    </w:p>
    <w:p w:rsidR="00A73AD3" w:rsidRPr="00704094" w:rsidRDefault="00A73AD3" w:rsidP="00DB34BF">
      <w:pPr>
        <w:pStyle w:val="Pagrindinispaprastastekstas"/>
        <w:rPr>
          <w:rFonts w:cs="Times New Roman"/>
          <w:sz w:val="22"/>
          <w:szCs w:val="22"/>
        </w:rPr>
      </w:pPr>
      <w:r w:rsidRPr="00704094">
        <w:rPr>
          <w:rFonts w:cs="Times New Roman"/>
          <w:b/>
          <w:bCs/>
          <w:i/>
          <w:iCs/>
          <w:color w:val="1F497D"/>
          <w:sz w:val="22"/>
          <w:szCs w:val="22"/>
        </w:rPr>
        <w:t>ES struktūrinės paramos poveikio žmogiškųjų išteklių plėtrai vertinime</w:t>
      </w:r>
      <w:r w:rsidRPr="00704094">
        <w:rPr>
          <w:rFonts w:cs="Times New Roman"/>
          <w:sz w:val="22"/>
          <w:szCs w:val="22"/>
        </w:rPr>
        <w:t xml:space="preserve"> nagrinėtas investicijų poveikis Lietuvos ekonomikai ir atskiriems sektoriams. 2007–2013 m. ES investicijos žmogiškųjų išteklių plėtrai sukūrė tiek trumpalaikį, tiek ilgalaikį poveikį Lietuvos ekonomikai. Investicijų sukeltas trumpalaikis paklausos pusės poveikis buvo didžiausias statybų ir rinkos paslaugų sektoriams, kurių bendroji pridėtinė vertė dėl įgyvendintų projektų ženkliai išaugo. Pasibaigus veiksmų programų įgyvendinimui išliko teigiamas ilgalaikis paklausos pusės poveikis šalies ekonomikoje kuriamos produkcijos apimtims. Vertinime teigiama, kad dėl įgyvendintų žmogiškųjų išteklių plėtros priemonių projektų poveikio iki 2020 m. sukurtas papildomas BVP 2,17 kartų viršys projektams įgyvendinti patirtas išlaidas, todėl intervencijos ilguoju laikotarpiu teiks realią naudą verslui ir visuomenei.</w:t>
      </w:r>
    </w:p>
    <w:p w:rsidR="00A73AD3" w:rsidRPr="00704094" w:rsidRDefault="00A73AD3" w:rsidP="00A85C5C">
      <w:pPr>
        <w:pStyle w:val="Pagrindinispaprastastekstas"/>
        <w:rPr>
          <w:rFonts w:cs="Times New Roman"/>
          <w:sz w:val="22"/>
          <w:szCs w:val="22"/>
        </w:rPr>
      </w:pPr>
    </w:p>
    <w:p w:rsidR="00A73AD3" w:rsidRPr="00704094" w:rsidRDefault="00CA1232" w:rsidP="0096314E">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44928" behindDoc="1" locked="0" layoutInCell="1" allowOverlap="1">
                <wp:simplePos x="0" y="0"/>
                <wp:positionH relativeFrom="margin">
                  <wp:posOffset>3771900</wp:posOffset>
                </wp:positionH>
                <wp:positionV relativeFrom="paragraph">
                  <wp:posOffset>495300</wp:posOffset>
                </wp:positionV>
                <wp:extent cx="2348230" cy="1340485"/>
                <wp:effectExtent l="0" t="0" r="0" b="2540"/>
                <wp:wrapSquare wrapText="bothSides"/>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34048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185693">
                            <w:pPr>
                              <w:jc w:val="center"/>
                              <w:rPr>
                                <w:rFonts w:ascii="Cambria" w:hAnsi="Cambria" w:cs="Cambria"/>
                                <w:color w:val="17365D"/>
                                <w:sz w:val="20"/>
                                <w:szCs w:val="20"/>
                              </w:rPr>
                            </w:pPr>
                            <w:r w:rsidRPr="00704094">
                              <w:rPr>
                                <w:rFonts w:ascii="Cambria" w:hAnsi="Cambria"/>
                                <w:color w:val="17365D"/>
                                <w:sz w:val="20"/>
                                <w:szCs w:val="20"/>
                              </w:rPr>
                              <w:t xml:space="preserve">2007–2013 m. veiksmų programų lėšomis sukurtos papildomos darbo vietos (33 tūkst.) 2015 m. lėmė apie </w:t>
                            </w:r>
                            <w:r w:rsidRPr="00986CFB">
                              <w:rPr>
                                <w:rFonts w:ascii="Cambria" w:hAnsi="Cambria" w:cs="Cambria"/>
                                <w:b/>
                                <w:bCs/>
                                <w:color w:val="17365D"/>
                                <w:sz w:val="20"/>
                                <w:szCs w:val="20"/>
                              </w:rPr>
                              <w:t>1,4 proc. punkto didesnį užimtumo lygį</w:t>
                            </w:r>
                            <w:r w:rsidRPr="00986CFB">
                              <w:rPr>
                                <w:rFonts w:ascii="Cambria" w:hAnsi="Cambria" w:cs="Cambria"/>
                                <w:color w:val="17365D"/>
                                <w:sz w:val="20"/>
                                <w:szCs w:val="20"/>
                              </w:rPr>
                              <w:t xml:space="preserve"> tarp 15–64 metų gyventojų ir vidutiniškai </w:t>
                            </w:r>
                            <w:r w:rsidRPr="00986CFB">
                              <w:rPr>
                                <w:rFonts w:ascii="Cambria" w:hAnsi="Cambria" w:cs="Cambria"/>
                                <w:b/>
                                <w:bCs/>
                                <w:color w:val="17365D"/>
                                <w:sz w:val="20"/>
                                <w:szCs w:val="20"/>
                              </w:rPr>
                              <w:t>2,3 proc. punkto mažesnį nedarbo lygį</w:t>
                            </w:r>
                            <w:r w:rsidRPr="00986CFB">
                              <w:rPr>
                                <w:rFonts w:ascii="Cambria" w:hAnsi="Cambria" w:cs="Cambria"/>
                                <w:color w:val="17365D"/>
                                <w:sz w:val="20"/>
                                <w:szCs w:val="20"/>
                              </w:rPr>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297pt;margin-top:39pt;width:184.9pt;height:105.55pt;z-index:-251671552;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" fillcolor="#efede3" stroked="f" strokeweight=".5pt">
                <v:fill color2="#eae7d9" rotate="t" focusposition=".5,.5" focussize="" focus="100%" type="gradientRadial"/>
                <v:textbox inset="3mm,3mm,3mm,3mm">
                  <w:txbxContent>
                    <w:p w:rsidR="009F5833" w:rsidRPr="00986CFB" w:rsidRDefault="009F5833" w:rsidP="00185693">
                      <w:pPr>
                        <w:jc w:val="center"/>
                        <w:rPr>
                          <w:rFonts w:ascii="Cambria" w:hAnsi="Cambria" w:cs="Cambria"/>
                          <w:color w:val="17365D"/>
                          <w:sz w:val="20"/>
                          <w:szCs w:val="20"/>
                        </w:rPr>
                      </w:pPr>
                      <w:r w:rsidRPr="00704094">
                        <w:rPr>
                          <w:rFonts w:ascii="Cambria" w:hAnsi="Cambria"/>
                          <w:color w:val="17365D"/>
                          <w:sz w:val="20"/>
                          <w:szCs w:val="20"/>
                        </w:rPr>
                        <w:t xml:space="preserve">2007–2013 m. veiksmų programų lėšomis sukurtos papildomos darbo vietos (33 tūkst.) 2015 m. lėmė apie </w:t>
                      </w:r>
                      <w:r w:rsidRPr="00986CFB">
                        <w:rPr>
                          <w:rFonts w:ascii="Cambria" w:hAnsi="Cambria" w:cs="Cambria"/>
                          <w:b/>
                          <w:bCs/>
                          <w:color w:val="17365D"/>
                          <w:sz w:val="20"/>
                          <w:szCs w:val="20"/>
                        </w:rPr>
                        <w:t>1,4 proc. punkto didesnį užimtumo lygį</w:t>
                      </w:r>
                      <w:r w:rsidRPr="00986CFB">
                        <w:rPr>
                          <w:rFonts w:ascii="Cambria" w:hAnsi="Cambria" w:cs="Cambria"/>
                          <w:color w:val="17365D"/>
                          <w:sz w:val="20"/>
                          <w:szCs w:val="20"/>
                        </w:rPr>
                        <w:t xml:space="preserve"> tarp 15–64 metų gyventojų ir vidutiniškai </w:t>
                      </w:r>
                      <w:r w:rsidRPr="00986CFB">
                        <w:rPr>
                          <w:rFonts w:ascii="Cambria" w:hAnsi="Cambria" w:cs="Cambria"/>
                          <w:b/>
                          <w:bCs/>
                          <w:color w:val="17365D"/>
                          <w:sz w:val="20"/>
                          <w:szCs w:val="20"/>
                        </w:rPr>
                        <w:t>2,3 proc. punkto mažesnį nedarbo lygį</w:t>
                      </w:r>
                      <w:r w:rsidRPr="00986CFB">
                        <w:rPr>
                          <w:rFonts w:ascii="Cambria" w:hAnsi="Cambria" w:cs="Cambria"/>
                          <w:color w:val="17365D"/>
                          <w:sz w:val="20"/>
                          <w:szCs w:val="20"/>
                        </w:rPr>
                        <w:t>.</w:t>
                      </w:r>
                    </w:p>
                  </w:txbxContent>
                </v:textbox>
                <w10:wrap type="square" anchorx="margin"/>
              </v:shape>
            </w:pict>
          </mc:Fallback>
        </mc:AlternateContent>
      </w:r>
      <w:r w:rsidR="00A73AD3" w:rsidRPr="00704094">
        <w:rPr>
          <w:rFonts w:cs="Times New Roman"/>
          <w:b/>
          <w:bCs/>
          <w:i/>
          <w:iCs/>
          <w:color w:val="1F497D"/>
          <w:sz w:val="22"/>
          <w:szCs w:val="22"/>
        </w:rPr>
        <w:t>2007–2013 m. ES struktūrinės paramos poveikio užimtumui ir kitiems Lietuvos ūkio makroekonominiams rodikliams vertinime</w:t>
      </w:r>
      <w:r w:rsidR="00A73AD3" w:rsidRPr="00704094">
        <w:rPr>
          <w:rFonts w:cs="Times New Roman"/>
          <w:color w:val="1F497D"/>
          <w:sz w:val="22"/>
          <w:szCs w:val="22"/>
        </w:rPr>
        <w:t xml:space="preserve"> </w:t>
      </w:r>
      <w:r w:rsidR="00A73AD3" w:rsidRPr="00704094">
        <w:rPr>
          <w:rFonts w:cs="Times New Roman"/>
          <w:sz w:val="22"/>
          <w:szCs w:val="22"/>
        </w:rPr>
        <w:t xml:space="preserve">analizuotas bendrasis ir grynasis investicijų poveikis užimtumui. Bendrasis investicijų poveikis reiškia tiesiogiai projektuose arba po jų įgyvendinimo sukurtas darbo vietas, kurios fiksuojamos projektų stebėsenos sistemoje. 2007–2013 m. veiksmų programų lėšomis finansuotuose projektuose sukurta </w:t>
      </w:r>
      <w:r w:rsidR="00A73AD3" w:rsidRPr="00704094">
        <w:rPr>
          <w:rFonts w:cs="Times New Roman"/>
          <w:b/>
          <w:bCs/>
          <w:i/>
          <w:iCs/>
          <w:sz w:val="22"/>
          <w:szCs w:val="22"/>
        </w:rPr>
        <w:t xml:space="preserve">beveik 266 tūkst. tiesioginių darbo vietų </w:t>
      </w:r>
      <w:r w:rsidR="00A73AD3" w:rsidRPr="00704094">
        <w:rPr>
          <w:rFonts w:cs="Times New Roman"/>
          <w:sz w:val="22"/>
          <w:szCs w:val="22"/>
        </w:rPr>
        <w:t xml:space="preserve">– beveik pusantro karto daugiau nei planuota. Didžioji dalis (92 proc.) visų projektuose deklaruotų darbo vietų buvo sukurta įgyvendinant Žmogiškųjų išteklių plėtros veiksmų programą (toliau – ŽIPVP). Grynasis investicijų poveikis darbo vietų kūrimui ir išlaikymui nustatytas taikant </w:t>
      </w:r>
      <w:r w:rsidR="00A73AD3" w:rsidRPr="00704094">
        <w:rPr>
          <w:rFonts w:cs="Times New Roman"/>
          <w:sz w:val="22"/>
          <w:szCs w:val="22"/>
        </w:rPr>
        <w:lastRenderedPageBreak/>
        <w:t xml:space="preserve">ekonometrinio modeliavimo metodą – 2015 m. jis sudarė </w:t>
      </w:r>
      <w:r w:rsidR="00A73AD3" w:rsidRPr="00704094">
        <w:rPr>
          <w:rFonts w:cs="Times New Roman"/>
          <w:b/>
          <w:bCs/>
          <w:i/>
          <w:iCs/>
          <w:sz w:val="22"/>
          <w:szCs w:val="22"/>
        </w:rPr>
        <w:t>33 tūkst. papildomų sąlyginių darbo vietų</w:t>
      </w:r>
      <w:r w:rsidR="00A73AD3" w:rsidRPr="00704094">
        <w:rPr>
          <w:rFonts w:cs="Times New Roman"/>
          <w:sz w:val="22"/>
          <w:szCs w:val="22"/>
        </w:rPr>
        <w:t>. Bendrojo ir grynojo investicijų poveikio užimtumui vertinimo rezultatų skirtumą paaiškina dvi priežastys. Pirma, daugiau nei pusė (53 proc.) visų sukurtų darbo vietų buvo laikinos – sukurtos tik projektų įgyvendinimo metu. Antra, trūkstant kvalifikuotos darbo jėgos naujų darbo vietų sukūrimas atskirose įmonėse beveik nedidino bendro užimtųjų skaičiaus ekonomikoje, t. y. ES fondų lėšomis sukurtos ar išlaikytos darbo vietos dažniausiai pakeitė ar išstūmė kitas darbo vietas ekonomikoje. Tokią išvadą patvirtino atlikta investicijų poveikio tyrėjų darbo vietų kūrimui kontrafaktinė analizė (</w:t>
      </w:r>
      <w:r w:rsidR="00085363" w:rsidRPr="00704094">
        <w:rPr>
          <w:sz w:val="22"/>
          <w:szCs w:val="22"/>
        </w:rPr>
        <w:fldChar w:fldCharType="begin"/>
      </w:r>
      <w:r w:rsidR="00085363" w:rsidRPr="00704094">
        <w:rPr>
          <w:sz w:val="22"/>
          <w:szCs w:val="22"/>
        </w:rPr>
        <w:instrText xml:space="preserve"> REF _Ref467745329 \h  \* MERGEFORMAT </w:instrText>
      </w:r>
      <w:r w:rsidR="00085363" w:rsidRPr="00704094">
        <w:rPr>
          <w:sz w:val="22"/>
          <w:szCs w:val="22"/>
        </w:rPr>
      </w:r>
      <w:r w:rsidR="00085363" w:rsidRPr="00704094">
        <w:rPr>
          <w:sz w:val="22"/>
          <w:szCs w:val="22"/>
        </w:rPr>
        <w:fldChar w:fldCharType="separate"/>
      </w:r>
      <w:r w:rsidR="00A73AD3" w:rsidRPr="00704094">
        <w:rPr>
          <w:rFonts w:cs="Times New Roman"/>
          <w:sz w:val="22"/>
          <w:szCs w:val="22"/>
        </w:rPr>
        <w:t>1</w:t>
      </w:r>
      <w:r w:rsidR="004D03C7" w:rsidRPr="00986CFB">
        <w:rPr>
          <w:rFonts w:cs="Times New Roman"/>
          <w:sz w:val="22"/>
          <w:szCs w:val="22"/>
        </w:rPr>
        <w:t> </w:t>
      </w:r>
      <w:r w:rsidR="00A73AD3" w:rsidRPr="00704094">
        <w:rPr>
          <w:rFonts w:cs="Times New Roman"/>
          <w:sz w:val="22"/>
          <w:szCs w:val="22"/>
        </w:rPr>
        <w:t>pavyzdys</w:t>
      </w:r>
      <w:r w:rsidR="00085363" w:rsidRPr="00704094">
        <w:rPr>
          <w:sz w:val="22"/>
          <w:szCs w:val="22"/>
        </w:rPr>
        <w:fldChar w:fldCharType="end"/>
      </w:r>
      <w:r w:rsidR="00A73AD3" w:rsidRPr="00704094">
        <w:rPr>
          <w:rFonts w:cs="Times New Roman"/>
          <w:sz w:val="22"/>
          <w:szCs w:val="22"/>
        </w:rPr>
        <w:t xml:space="preserve">, žr. 2.2 dalį). </w:t>
      </w:r>
    </w:p>
    <w:p w:rsidR="00A73AD3" w:rsidRPr="00704094" w:rsidRDefault="00A73AD3" w:rsidP="00C243B8">
      <w:pPr>
        <w:pStyle w:val="Antrastes3"/>
        <w:rPr>
          <w:rFonts w:cs="Times New Roman"/>
        </w:rPr>
      </w:pPr>
      <w:r w:rsidRPr="00704094">
        <w:rPr>
          <w:rFonts w:cs="Times New Roman"/>
        </w:rPr>
        <w:t>Svarbiausios rekomendacijos ir strateginiai siūlymai</w:t>
      </w:r>
    </w:p>
    <w:p w:rsidR="00A73AD3" w:rsidRPr="00704094" w:rsidRDefault="00A73AD3" w:rsidP="00A85C5C">
      <w:pPr>
        <w:pStyle w:val="Pagrindinispaprastastekstas"/>
        <w:rPr>
          <w:rFonts w:cs="Times New Roman"/>
          <w:sz w:val="22"/>
          <w:szCs w:val="22"/>
        </w:rPr>
      </w:pPr>
      <w:r w:rsidRPr="00704094">
        <w:rPr>
          <w:rFonts w:cs="Times New Roman"/>
          <w:b/>
          <w:bCs/>
          <w:i/>
          <w:iCs/>
          <w:color w:val="1F497D"/>
          <w:sz w:val="22"/>
          <w:szCs w:val="22"/>
        </w:rPr>
        <w:t xml:space="preserve">2007–2013 m. ES struktūrinės paramos poveikio užimtumui ir kitiems Lietuvos ūkio makroekonominiams rodikliams vertinimo </w:t>
      </w:r>
      <w:r w:rsidRPr="00704094">
        <w:rPr>
          <w:rFonts w:cs="Times New Roman"/>
          <w:sz w:val="22"/>
          <w:szCs w:val="22"/>
        </w:rPr>
        <w:t>ataskaitoje pateiktos rekomendacijos dėl darbo vietų kūrimo skatinimo 2014–2020 m. ES struktūrinių fondų lėšomis:</w:t>
      </w:r>
    </w:p>
    <w:p w:rsidR="00A73AD3" w:rsidRPr="00704094" w:rsidRDefault="00A73AD3" w:rsidP="00A85C5C">
      <w:pPr>
        <w:pStyle w:val="Pagrindinispaprastastekstas"/>
        <w:rPr>
          <w:rFonts w:cs="Times New Roman"/>
          <w:sz w:val="22"/>
          <w:szCs w:val="22"/>
        </w:rPr>
      </w:pPr>
    </w:p>
    <w:p w:rsidR="00A73AD3" w:rsidRPr="00704094" w:rsidRDefault="00A73AD3" w:rsidP="000C2AED">
      <w:pPr>
        <w:pStyle w:val="Pagrindinispaprastastekstas"/>
        <w:numPr>
          <w:ilvl w:val="0"/>
          <w:numId w:val="13"/>
        </w:numPr>
        <w:rPr>
          <w:rFonts w:cs="Times New Roman"/>
          <w:sz w:val="22"/>
          <w:szCs w:val="22"/>
        </w:rPr>
      </w:pPr>
      <w:r w:rsidRPr="00704094">
        <w:rPr>
          <w:rFonts w:cs="Times New Roman"/>
          <w:sz w:val="22"/>
          <w:szCs w:val="22"/>
        </w:rPr>
        <w:t xml:space="preserve">Kadangi dėl visuomenės senėjimo, prastų sveikatos priežiūros rezultatų ir didelės grynosios emigracijos Lietuvoje sparčiai mažėja darbingo amžiaus gyventojų skaičius, ES fondų investicijų įgyvendinimas turi būti susietas su Lietuvos demografiniais poreikiais, didesnės intervencijos turi būti nukreiptos į </w:t>
      </w:r>
      <w:r w:rsidRPr="00704094">
        <w:rPr>
          <w:rFonts w:cs="Times New Roman"/>
          <w:b/>
          <w:bCs/>
          <w:i/>
          <w:iCs/>
          <w:sz w:val="22"/>
          <w:szCs w:val="22"/>
        </w:rPr>
        <w:t>mokymosi visą gyvenimą skatinimą</w:t>
      </w:r>
      <w:r w:rsidRPr="00704094">
        <w:rPr>
          <w:rFonts w:cs="Times New Roman"/>
          <w:sz w:val="22"/>
          <w:szCs w:val="22"/>
        </w:rPr>
        <w:t xml:space="preserve">, senėjančios visuomenės </w:t>
      </w:r>
      <w:r w:rsidRPr="00704094">
        <w:rPr>
          <w:rFonts w:cs="Times New Roman"/>
          <w:b/>
          <w:bCs/>
          <w:i/>
          <w:iCs/>
          <w:sz w:val="22"/>
          <w:szCs w:val="22"/>
        </w:rPr>
        <w:t>perkvalifikavimą ir pagyvenusių asmenų užimtumo didinimą</w:t>
      </w:r>
      <w:r w:rsidRPr="00704094">
        <w:rPr>
          <w:rFonts w:cs="Times New Roman"/>
          <w:sz w:val="22"/>
          <w:szCs w:val="22"/>
        </w:rPr>
        <w:t>.</w:t>
      </w:r>
    </w:p>
    <w:p w:rsidR="00A73AD3" w:rsidRPr="00704094" w:rsidRDefault="00A73AD3" w:rsidP="000C2AED">
      <w:pPr>
        <w:pStyle w:val="Pagrindinispaprastastekstas"/>
        <w:numPr>
          <w:ilvl w:val="0"/>
          <w:numId w:val="13"/>
        </w:numPr>
        <w:rPr>
          <w:rFonts w:cs="Times New Roman"/>
          <w:sz w:val="22"/>
          <w:szCs w:val="22"/>
        </w:rPr>
      </w:pPr>
      <w:r w:rsidRPr="00704094">
        <w:rPr>
          <w:rFonts w:cs="Times New Roman"/>
          <w:sz w:val="22"/>
          <w:szCs w:val="22"/>
        </w:rPr>
        <w:t xml:space="preserve">Atsižvelgiant į Lietuvos demografines tendencijas ir darbo rinkos poreikius, įgyvendinant 2014–2020 m. ES fondų investicijų veiksmų programos prioritetą, skirtą kokybiško užimtumo ir dalyvavimo darbo rinkoje skatinimui, </w:t>
      </w:r>
      <w:r w:rsidRPr="00704094">
        <w:rPr>
          <w:rFonts w:cs="Times New Roman"/>
          <w:b/>
          <w:bCs/>
          <w:i/>
          <w:iCs/>
          <w:sz w:val="22"/>
          <w:szCs w:val="22"/>
        </w:rPr>
        <w:t>turi būti užtikrintos sąsajos su nacionaline žmogiškųjų išteklių stebėsenos sistema</w:t>
      </w:r>
      <w:r w:rsidRPr="00704094">
        <w:rPr>
          <w:rFonts w:cs="Times New Roman"/>
          <w:sz w:val="22"/>
          <w:szCs w:val="22"/>
        </w:rPr>
        <w:t>.</w:t>
      </w:r>
    </w:p>
    <w:p w:rsidR="00A73AD3" w:rsidRPr="00704094" w:rsidRDefault="00A73AD3" w:rsidP="000C2AED">
      <w:pPr>
        <w:pStyle w:val="Pagrindinispaprastastekstas"/>
        <w:numPr>
          <w:ilvl w:val="0"/>
          <w:numId w:val="13"/>
        </w:numPr>
        <w:rPr>
          <w:rFonts w:cs="Times New Roman"/>
          <w:sz w:val="22"/>
          <w:szCs w:val="22"/>
        </w:rPr>
      </w:pPr>
      <w:r w:rsidRPr="00704094">
        <w:rPr>
          <w:rFonts w:cs="Times New Roman"/>
          <w:sz w:val="22"/>
          <w:szCs w:val="22"/>
        </w:rPr>
        <w:t xml:space="preserve">2014–2020 m. programavimo laikotarpiu įvykus dideliems socialiniams-ekonominiams pokyčiams, kurie neigiamai paveiktų gyventojų užimtumo rodiklius, turėtų būti taikomos 2007–2013 m. laikotarpiu </w:t>
      </w:r>
      <w:r w:rsidRPr="00704094">
        <w:rPr>
          <w:rFonts w:cs="Times New Roman"/>
          <w:b/>
          <w:bCs/>
          <w:i/>
          <w:iCs/>
          <w:sz w:val="22"/>
          <w:szCs w:val="22"/>
        </w:rPr>
        <w:t>pasiteisinusios priemonės</w:t>
      </w:r>
      <w:r w:rsidRPr="00704094">
        <w:rPr>
          <w:rFonts w:cs="Times New Roman"/>
          <w:sz w:val="22"/>
          <w:szCs w:val="22"/>
        </w:rPr>
        <w:t xml:space="preserve">: plečiama aktyvios darbo rinkos priemonių ir Verslumo skatinimo fondo apimtis. </w:t>
      </w:r>
    </w:p>
    <w:p w:rsidR="00A73AD3" w:rsidRPr="00704094" w:rsidRDefault="00A73AD3" w:rsidP="0096314E">
      <w:pPr>
        <w:pStyle w:val="Pagrindinispaprastastekstas"/>
        <w:rPr>
          <w:rFonts w:cs="Times New Roman"/>
          <w:sz w:val="22"/>
          <w:szCs w:val="22"/>
        </w:rPr>
      </w:pPr>
    </w:p>
    <w:p w:rsidR="00A73AD3" w:rsidRPr="00704094" w:rsidRDefault="00A73AD3" w:rsidP="00DB34BF">
      <w:pPr>
        <w:pStyle w:val="Pagrindinispaprastastekstas"/>
        <w:rPr>
          <w:rFonts w:cs="Times New Roman"/>
          <w:sz w:val="22"/>
          <w:szCs w:val="22"/>
        </w:rPr>
      </w:pPr>
      <w:r w:rsidRPr="00704094">
        <w:rPr>
          <w:rFonts w:cs="Times New Roman"/>
          <w:b/>
          <w:bCs/>
          <w:i/>
          <w:iCs/>
          <w:color w:val="1F497D"/>
          <w:sz w:val="22"/>
          <w:szCs w:val="22"/>
        </w:rPr>
        <w:t>Europos Sąjungos struktūrinės paramos poveikio Lietuvos konkurencingumui vertinime</w:t>
      </w:r>
      <w:r w:rsidRPr="00704094">
        <w:rPr>
          <w:rFonts w:cs="Times New Roman"/>
          <w:sz w:val="22"/>
          <w:szCs w:val="22"/>
        </w:rPr>
        <w:t xml:space="preserve"> pateiktos rekomendacijos, kaip tobulinti intervencijas konkurencingumui didinti 2014–2020 m.:</w:t>
      </w:r>
    </w:p>
    <w:p w:rsidR="00A73AD3" w:rsidRPr="00704094" w:rsidRDefault="00A73AD3" w:rsidP="00DB34BF">
      <w:pPr>
        <w:pStyle w:val="Pagrindinispaprastastekstas"/>
        <w:rPr>
          <w:rFonts w:cs="Times New Roman"/>
          <w:sz w:val="22"/>
          <w:szCs w:val="22"/>
        </w:rPr>
      </w:pPr>
    </w:p>
    <w:p w:rsidR="00A73AD3" w:rsidRPr="00704094" w:rsidRDefault="00A73AD3" w:rsidP="00DB34BF">
      <w:pPr>
        <w:pStyle w:val="Pagrindinispaprastastekstas"/>
        <w:numPr>
          <w:ilvl w:val="0"/>
          <w:numId w:val="13"/>
        </w:numPr>
        <w:rPr>
          <w:rFonts w:cs="Times New Roman"/>
          <w:sz w:val="22"/>
          <w:szCs w:val="22"/>
        </w:rPr>
      </w:pPr>
      <w:r w:rsidRPr="00704094">
        <w:rPr>
          <w:rFonts w:cs="Times New Roman"/>
          <w:sz w:val="22"/>
          <w:szCs w:val="22"/>
        </w:rPr>
        <w:t xml:space="preserve">Įgyvendinant daugelį 2007–2013 m. intervencijų ir vykdant infrastruktūrinius projektus sukurtos prielaidos konkurencingumui didinti, tačiau kokybiniams pokyčiams svarbios „minkštosios“ investicijos, t. y. </w:t>
      </w:r>
      <w:r w:rsidRPr="00704094">
        <w:rPr>
          <w:rFonts w:cs="Times New Roman"/>
          <w:b/>
          <w:bCs/>
          <w:i/>
          <w:iCs/>
          <w:sz w:val="22"/>
          <w:szCs w:val="22"/>
        </w:rPr>
        <w:t>gebėjimų naudotis sukurta infrastruktūra užtikrinimas</w:t>
      </w:r>
      <w:r w:rsidRPr="00704094">
        <w:rPr>
          <w:rFonts w:cs="Times New Roman"/>
          <w:sz w:val="22"/>
          <w:szCs w:val="22"/>
        </w:rPr>
        <w:t>. Šioms intervencijoms turėtų būti skirta daugiausia dėmesio 2014–2020 m.</w:t>
      </w:r>
    </w:p>
    <w:p w:rsidR="00A73AD3" w:rsidRPr="00704094" w:rsidRDefault="00A73AD3" w:rsidP="00DB34BF">
      <w:pPr>
        <w:pStyle w:val="Pagrindinispaprastastekstas"/>
        <w:numPr>
          <w:ilvl w:val="0"/>
          <w:numId w:val="13"/>
        </w:numPr>
        <w:rPr>
          <w:rFonts w:cs="Times New Roman"/>
          <w:sz w:val="22"/>
          <w:szCs w:val="22"/>
        </w:rPr>
      </w:pPr>
      <w:r w:rsidRPr="00704094">
        <w:rPr>
          <w:rFonts w:cs="Times New Roman"/>
          <w:sz w:val="22"/>
          <w:szCs w:val="22"/>
        </w:rPr>
        <w:t xml:space="preserve">2014–2020 m. būtina </w:t>
      </w:r>
      <w:r w:rsidRPr="00704094">
        <w:rPr>
          <w:rFonts w:cs="Times New Roman"/>
          <w:b/>
          <w:bCs/>
          <w:i/>
          <w:iCs/>
          <w:sz w:val="22"/>
          <w:szCs w:val="22"/>
        </w:rPr>
        <w:t>investuoti į jau sukurtos infrastruktūros išnaudojimą</w:t>
      </w:r>
      <w:r w:rsidRPr="00704094">
        <w:rPr>
          <w:rFonts w:cs="Times New Roman"/>
          <w:sz w:val="22"/>
          <w:szCs w:val="22"/>
        </w:rPr>
        <w:t xml:space="preserve">, t. y. aukštos kvalifikacijos tyrėjų pritraukimą į </w:t>
      </w:r>
      <w:r w:rsidRPr="00704094">
        <w:rPr>
          <w:rFonts w:cs="Times New Roman"/>
          <w:sz w:val="22"/>
          <w:szCs w:val="22"/>
          <w:lang w:eastAsia="en-US"/>
        </w:rPr>
        <w:t>slėnius</w:t>
      </w:r>
      <w:r w:rsidRPr="00704094">
        <w:rPr>
          <w:rFonts w:cs="Times New Roman"/>
          <w:sz w:val="22"/>
          <w:szCs w:val="22"/>
        </w:rPr>
        <w:t>, paskatų komercinti mokslo rezultatus sukūrimą (pavyzdžiui, taikyti didesnį paramos intensyvumą tokiems tyrimams, kurie atliekami bendradarbiaujant su verslo įmonėmis, yra orientuoti į konkrečius verslo poreikius).</w:t>
      </w:r>
    </w:p>
    <w:p w:rsidR="00A73AD3" w:rsidRPr="00704094" w:rsidRDefault="00A73AD3" w:rsidP="00DB34BF">
      <w:pPr>
        <w:pStyle w:val="Pagrindinispaprastastekstas"/>
        <w:numPr>
          <w:ilvl w:val="0"/>
          <w:numId w:val="13"/>
        </w:numPr>
        <w:rPr>
          <w:rFonts w:cs="Times New Roman"/>
          <w:sz w:val="22"/>
          <w:szCs w:val="22"/>
        </w:rPr>
      </w:pPr>
      <w:r w:rsidRPr="00704094">
        <w:rPr>
          <w:rFonts w:cs="Times New Roman"/>
          <w:sz w:val="22"/>
          <w:szCs w:val="22"/>
        </w:rPr>
        <w:t xml:space="preserve">Dėmesys konkurencingumo didinimo intervencijų suderinamumui su kitomis nacionalinės politikos priemonėmis (nefinansinėmis priemonėmis, susijusiomis su teisės aktų priėmimu, keitimu ir tobulinimu, institucijų ir jų veiklos optimizavimu ir pertvarkymu, arba priemonėmis, susijusiomis su mokestinėmis lengvatomis) nebuvo pakankamas, nors būtent suderinamumas yra itin svarbus intervencijų sėkmei. 2014–2020 m., siekiant didesnio ES investicijų poveikio, svarbu </w:t>
      </w:r>
      <w:r w:rsidRPr="00704094">
        <w:rPr>
          <w:rFonts w:cs="Times New Roman"/>
          <w:b/>
          <w:bCs/>
          <w:i/>
          <w:iCs/>
          <w:sz w:val="22"/>
          <w:szCs w:val="22"/>
        </w:rPr>
        <w:t>užtikrinti nacionalines (neinvesticines) intervencijų sėkmės prielaidas</w:t>
      </w:r>
      <w:r w:rsidRPr="00704094">
        <w:rPr>
          <w:rFonts w:cs="Times New Roman"/>
          <w:sz w:val="22"/>
          <w:szCs w:val="22"/>
        </w:rPr>
        <w:t>.</w:t>
      </w:r>
    </w:p>
    <w:p w:rsidR="00A73AD3" w:rsidRPr="00704094" w:rsidRDefault="00A73AD3" w:rsidP="00B10A0B">
      <w:pPr>
        <w:pStyle w:val="Pagrindinispaprastastekstas"/>
        <w:rPr>
          <w:rFonts w:cs="Times New Roman"/>
          <w:sz w:val="22"/>
          <w:szCs w:val="22"/>
        </w:rPr>
      </w:pPr>
    </w:p>
    <w:p w:rsidR="00A73AD3" w:rsidRPr="00704094" w:rsidRDefault="00A73AD3" w:rsidP="00B10A0B">
      <w:pPr>
        <w:pStyle w:val="Pagrindinispaprastastekstas"/>
        <w:rPr>
          <w:rFonts w:cs="Times New Roman"/>
        </w:rPr>
      </w:pPr>
      <w:r w:rsidRPr="00704094">
        <w:rPr>
          <w:b/>
          <w:bCs/>
          <w:i/>
          <w:iCs/>
          <w:color w:val="1F497D"/>
          <w:sz w:val="22"/>
          <w:szCs w:val="22"/>
        </w:rPr>
        <w:t>ES struktūrinės paramos poveikio žmogiškųjų išteklių plėtrai vertinime</w:t>
      </w:r>
      <w:r w:rsidRPr="00704094">
        <w:rPr>
          <w:sz w:val="22"/>
          <w:szCs w:val="22"/>
        </w:rPr>
        <w:t xml:space="preserve"> teigiama, kad net ir žemu efektyvumu pasižyminčios investicijos dėl padidėjusių užsakymų verslui sukuria pakankamą einamąjį paklausos pusės poveikį ekonomikai. Tačiau prastai verslo poreikius atitinkantys projektų rezultatai ribotai prisideda prie verslo subjektų našumo ir gamybos apimčių didinimo. Dėl šios priežasties pasibaigus veiksmų programų įgyvendinimui neefektyvių investicijų atveju išlieka ženkliai kuklesnis paklausos pusės poveikis. Siekiant spręsti šią problemą, vertinime rekomenduota projektų atrankai plačiai taikyti sąnaudų ir naudos analizės metodą, o šios analizės rezultatais grįsti sprendimų dėl finansavimo priėmimą (išskyrus mažos vertės projektus, kuriems šio metodo taikymas nėra tikslingas).</w:t>
      </w:r>
    </w:p>
    <w:p w:rsidR="00A73AD3" w:rsidRPr="00704094" w:rsidRDefault="00A73AD3" w:rsidP="003B67A4">
      <w:pPr>
        <w:pStyle w:val="Antrastes2"/>
        <w:jc w:val="both"/>
        <w:rPr>
          <w:rFonts w:cs="Times New Roman"/>
        </w:rPr>
      </w:pPr>
      <w:bookmarkStart w:id="18" w:name="_Toc472343150"/>
      <w:r w:rsidRPr="00704094">
        <w:rPr>
          <w:rFonts w:cs="Times New Roman"/>
        </w:rPr>
        <w:lastRenderedPageBreak/>
        <w:t xml:space="preserve">Investicijų poveikis viešosios politikos sritims: </w:t>
      </w:r>
      <w:r w:rsidRPr="00704094">
        <w:rPr>
          <w:rFonts w:cs="Times New Roman"/>
          <w:color w:val="E36C0A"/>
        </w:rPr>
        <w:t>moksliniai tyrimai, eksperimentinė plėtra ir inovacijos</w:t>
      </w:r>
      <w:bookmarkEnd w:id="18"/>
    </w:p>
    <w:p w:rsidR="00A73AD3" w:rsidRPr="00704094" w:rsidRDefault="00A73AD3" w:rsidP="00231BEC">
      <w:pPr>
        <w:pStyle w:val="Antrastes3"/>
        <w:rPr>
          <w:rFonts w:cs="Times New Roman"/>
        </w:rPr>
      </w:pPr>
      <w:r w:rsidRPr="00704094">
        <w:rPr>
          <w:rFonts w:cs="Times New Roman"/>
        </w:rPr>
        <w:t>Aktualūs vertinimai</w:t>
      </w:r>
    </w:p>
    <w:tbl>
      <w:tblPr>
        <w:tblW w:w="9584" w:type="dxa"/>
        <w:tblInd w:w="2" w:type="dxa"/>
        <w:tblBorders>
          <w:top w:val="single" w:sz="4" w:space="0" w:color="95B3D7"/>
          <w:left w:val="single" w:sz="4" w:space="0" w:color="95B3D7"/>
          <w:bottom w:val="single" w:sz="4" w:space="0" w:color="95B3D7"/>
          <w:right w:val="single" w:sz="4" w:space="0" w:color="95B3D7"/>
          <w:insideH w:val="single" w:sz="4" w:space="0" w:color="95B3D7"/>
        </w:tblBorders>
        <w:tblLayout w:type="fixed"/>
        <w:tblLook w:val="00A0" w:firstRow="1" w:lastRow="0" w:firstColumn="1" w:lastColumn="0" w:noHBand="0" w:noVBand="0"/>
      </w:tblPr>
      <w:tblGrid>
        <w:gridCol w:w="4390"/>
        <w:gridCol w:w="992"/>
        <w:gridCol w:w="1275"/>
        <w:gridCol w:w="2927"/>
      </w:tblGrid>
      <w:tr w:rsidR="00A73AD3" w:rsidRPr="00986CFB">
        <w:tc>
          <w:tcPr>
            <w:tcW w:w="4390"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992"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275"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2927"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4390" w:type="dxa"/>
            <w:shd w:val="clear" w:color="auto" w:fill="DBE5F1"/>
          </w:tcPr>
          <w:p w:rsidR="00A73AD3" w:rsidRPr="00704094" w:rsidRDefault="00A73AD3" w:rsidP="002C4E45">
            <w:pPr>
              <w:pStyle w:val="Pagrindinispaprastastekstas"/>
              <w:jc w:val="left"/>
              <w:rPr>
                <w:rFonts w:cs="Times New Roman"/>
                <w:b/>
                <w:bCs/>
                <w:sz w:val="20"/>
                <w:szCs w:val="20"/>
                <w:highlight w:val="yellow"/>
              </w:rPr>
            </w:pPr>
            <w:r w:rsidRPr="00704094">
              <w:rPr>
                <w:rFonts w:cs="Times New Roman"/>
                <w:color w:val="000000"/>
                <w:sz w:val="20"/>
                <w:szCs w:val="20"/>
              </w:rPr>
              <w:t>Ūkio ministerijos kompetencijai priskirtų bendrai finansuojamų iš ES struktūrinių fondų lėšų ekonomikos sektorių būklės pokyčių vertinimas</w:t>
            </w:r>
          </w:p>
        </w:tc>
        <w:tc>
          <w:tcPr>
            <w:tcW w:w="992" w:type="dxa"/>
            <w:shd w:val="clear" w:color="auto" w:fill="DBE5F1"/>
          </w:tcPr>
          <w:p w:rsidR="00A73AD3" w:rsidRPr="00704094" w:rsidRDefault="00A73AD3" w:rsidP="002C4E45">
            <w:pPr>
              <w:pStyle w:val="Pagrindinispaprastastekstas"/>
              <w:jc w:val="center"/>
              <w:rPr>
                <w:rFonts w:cs="Times New Roman"/>
                <w:sz w:val="20"/>
                <w:szCs w:val="20"/>
                <w:highlight w:val="yellow"/>
              </w:rPr>
            </w:pPr>
            <w:r w:rsidRPr="00704094">
              <w:rPr>
                <w:rFonts w:cs="Times New Roman"/>
                <w:sz w:val="20"/>
                <w:szCs w:val="20"/>
              </w:rPr>
              <w:t>2011 m. gruodis</w:t>
            </w:r>
          </w:p>
        </w:tc>
        <w:tc>
          <w:tcPr>
            <w:tcW w:w="1275" w:type="dxa"/>
            <w:shd w:val="clear" w:color="auto" w:fill="DBE5F1"/>
          </w:tcPr>
          <w:p w:rsidR="00A73AD3" w:rsidRPr="00704094" w:rsidRDefault="00A73AD3" w:rsidP="002C4E45">
            <w:pPr>
              <w:pStyle w:val="Pagrindinispaprastastekstas"/>
              <w:jc w:val="center"/>
              <w:rPr>
                <w:rFonts w:cs="Times New Roman"/>
                <w:sz w:val="20"/>
                <w:szCs w:val="20"/>
                <w:highlight w:val="yellow"/>
              </w:rPr>
            </w:pPr>
            <w:r w:rsidRPr="00704094">
              <w:rPr>
                <w:rFonts w:cs="Times New Roman"/>
                <w:sz w:val="20"/>
                <w:szCs w:val="20"/>
              </w:rPr>
              <w:t>Ūkio ministerija</w:t>
            </w:r>
          </w:p>
        </w:tc>
        <w:tc>
          <w:tcPr>
            <w:tcW w:w="292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„BGI Consulting“</w:t>
            </w:r>
          </w:p>
        </w:tc>
      </w:tr>
      <w:tr w:rsidR="00A73AD3" w:rsidRPr="00986CFB">
        <w:tc>
          <w:tcPr>
            <w:tcW w:w="4390" w:type="dxa"/>
          </w:tcPr>
          <w:p w:rsidR="00A73AD3" w:rsidRPr="00704094" w:rsidRDefault="00A73AD3" w:rsidP="002C4E45">
            <w:pPr>
              <w:pStyle w:val="Pagrindinispaprastastekstas"/>
              <w:jc w:val="left"/>
              <w:rPr>
                <w:rFonts w:cs="Times New Roman"/>
                <w:b/>
                <w:bCs/>
                <w:sz w:val="20"/>
                <w:szCs w:val="20"/>
                <w:highlight w:val="red"/>
              </w:rPr>
            </w:pPr>
            <w:r w:rsidRPr="00704094">
              <w:rPr>
                <w:rFonts w:cs="Times New Roman"/>
                <w:sz w:val="20"/>
                <w:szCs w:val="20"/>
                <w:shd w:val="clear" w:color="auto" w:fill="FFFFFF"/>
                <w:lang w:eastAsia="en-US"/>
              </w:rPr>
              <w:t>Lietuvos mokslo ir verslo sričių bendradarbiavimo efektyvumo bei finansavimo galimybių koordinavimo vertinimas</w:t>
            </w:r>
          </w:p>
        </w:tc>
        <w:tc>
          <w:tcPr>
            <w:tcW w:w="992" w:type="dxa"/>
          </w:tcPr>
          <w:p w:rsidR="00A73AD3" w:rsidRPr="00704094" w:rsidRDefault="00A73AD3" w:rsidP="002C4E45">
            <w:pPr>
              <w:pStyle w:val="Pagrindinispaprastastekstas"/>
              <w:jc w:val="center"/>
              <w:rPr>
                <w:rFonts w:cs="Times New Roman"/>
                <w:sz w:val="20"/>
                <w:szCs w:val="20"/>
                <w:highlight w:val="red"/>
              </w:rPr>
            </w:pPr>
            <w:r w:rsidRPr="00704094">
              <w:rPr>
                <w:rFonts w:cs="Times New Roman"/>
                <w:sz w:val="20"/>
                <w:szCs w:val="20"/>
              </w:rPr>
              <w:t>2011 m. gruodis</w:t>
            </w:r>
          </w:p>
        </w:tc>
        <w:tc>
          <w:tcPr>
            <w:tcW w:w="1275" w:type="dxa"/>
          </w:tcPr>
          <w:p w:rsidR="00A73AD3" w:rsidRPr="00704094" w:rsidRDefault="00A73AD3" w:rsidP="002C4E45">
            <w:pPr>
              <w:pStyle w:val="Pagrindinispaprastastekstas"/>
              <w:jc w:val="center"/>
              <w:rPr>
                <w:rFonts w:cs="Times New Roman"/>
                <w:sz w:val="20"/>
                <w:szCs w:val="20"/>
                <w:highlight w:val="red"/>
              </w:rPr>
            </w:pPr>
            <w:r w:rsidRPr="00704094">
              <w:rPr>
                <w:rFonts w:cs="Times New Roman"/>
                <w:sz w:val="20"/>
                <w:szCs w:val="20"/>
              </w:rPr>
              <w:t>Ūkio ministerija</w:t>
            </w:r>
          </w:p>
        </w:tc>
        <w:tc>
          <w:tcPr>
            <w:tcW w:w="2927"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Viešosios politikos ir vadybos institutas ir asociacija „Žinių ekonomikos forumas“</w:t>
            </w:r>
          </w:p>
        </w:tc>
      </w:tr>
      <w:tr w:rsidR="00A73AD3" w:rsidRPr="00986CFB">
        <w:tc>
          <w:tcPr>
            <w:tcW w:w="4390" w:type="dxa"/>
            <w:shd w:val="clear" w:color="auto" w:fill="DBE5F1"/>
          </w:tcPr>
          <w:p w:rsidR="00A73AD3" w:rsidRPr="00704094" w:rsidRDefault="00A73AD3" w:rsidP="002C4E45">
            <w:pPr>
              <w:pStyle w:val="Pagrindinispaprastastekstas"/>
              <w:jc w:val="left"/>
              <w:rPr>
                <w:rFonts w:cs="Times New Roman"/>
                <w:b/>
                <w:bCs/>
                <w:sz w:val="20"/>
                <w:szCs w:val="20"/>
                <w:shd w:val="clear" w:color="auto" w:fill="FFFFFF"/>
                <w:lang w:eastAsia="en-US"/>
              </w:rPr>
            </w:pPr>
            <w:r w:rsidRPr="00704094">
              <w:rPr>
                <w:rFonts w:cs="Times New Roman"/>
                <w:sz w:val="20"/>
                <w:szCs w:val="20"/>
              </w:rPr>
              <w:t>Švietimo ir mokslo srities prioritetų 2014–2020 m. ES struktūrinės paramos programavimo laikotarpiui strateginis vertinimas</w:t>
            </w:r>
          </w:p>
        </w:tc>
        <w:tc>
          <w:tcPr>
            <w:tcW w:w="992"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vasaris</w:t>
            </w:r>
          </w:p>
        </w:tc>
        <w:tc>
          <w:tcPr>
            <w:tcW w:w="1275"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Švietimo ir mokslo ministerija</w:t>
            </w:r>
          </w:p>
        </w:tc>
        <w:tc>
          <w:tcPr>
            <w:tcW w:w="292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„PPMI Group“, VšĮ Viešosios politikos ir vadybos institutas ir UAB „Ekonominės konsultacijos ir tyrimai“</w:t>
            </w:r>
          </w:p>
        </w:tc>
      </w:tr>
      <w:tr w:rsidR="00A73AD3" w:rsidRPr="00986CFB">
        <w:tc>
          <w:tcPr>
            <w:tcW w:w="4390"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Lietuvos 2014–2020 m. ES struktūrinių fondų investicijų veiksmų programos išankstinis vertinimas</w:t>
            </w:r>
          </w:p>
        </w:tc>
        <w:tc>
          <w:tcPr>
            <w:tcW w:w="992"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vasaris</w:t>
            </w:r>
          </w:p>
        </w:tc>
        <w:tc>
          <w:tcPr>
            <w:tcW w:w="1275"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927"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Viešosios politikos ir vadybos institutas ir UAB „PPMI Group“</w:t>
            </w:r>
          </w:p>
        </w:tc>
      </w:tr>
      <w:tr w:rsidR="00A73AD3" w:rsidRPr="00986CFB">
        <w:tc>
          <w:tcPr>
            <w:tcW w:w="4390"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ES struktūrinės paramos poveikio žmogiškųjų išteklių plėtrai vertinimas</w:t>
            </w:r>
          </w:p>
        </w:tc>
        <w:tc>
          <w:tcPr>
            <w:tcW w:w="992"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balandis</w:t>
            </w:r>
          </w:p>
        </w:tc>
        <w:tc>
          <w:tcPr>
            <w:tcW w:w="1275"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92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„BGI Consulting“</w:t>
            </w:r>
          </w:p>
        </w:tc>
      </w:tr>
      <w:tr w:rsidR="00A73AD3" w:rsidRPr="00986CFB">
        <w:tc>
          <w:tcPr>
            <w:tcW w:w="4390"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Europos Sąjungos struktūrinės paramos poveikio Lietuvos konkurencingumui vertinimas</w:t>
            </w:r>
          </w:p>
        </w:tc>
        <w:tc>
          <w:tcPr>
            <w:tcW w:w="992"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gegužė</w:t>
            </w:r>
          </w:p>
        </w:tc>
        <w:tc>
          <w:tcPr>
            <w:tcW w:w="1275"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927"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r w:rsidR="00A73AD3" w:rsidRPr="00986CFB">
        <w:tc>
          <w:tcPr>
            <w:tcW w:w="4390"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užimtumui ir kitiems Lietuvos ūkio makroekonominiams rodikliams vertinimas</w:t>
            </w:r>
          </w:p>
        </w:tc>
        <w:tc>
          <w:tcPr>
            <w:tcW w:w="992"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liepa</w:t>
            </w:r>
          </w:p>
        </w:tc>
        <w:tc>
          <w:tcPr>
            <w:tcW w:w="1275"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92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bl>
    <w:p w:rsidR="00A73AD3" w:rsidRPr="00704094" w:rsidRDefault="00A73AD3" w:rsidP="00231BEC">
      <w:pPr>
        <w:pStyle w:val="Antrastes3"/>
        <w:rPr>
          <w:rFonts w:cs="Times New Roman"/>
        </w:rPr>
      </w:pPr>
      <w:r w:rsidRPr="00704094">
        <w:rPr>
          <w:rFonts w:cs="Times New Roman"/>
        </w:rPr>
        <w:t>Pagrindiniai vertinimų rezultatai ir išvados</w:t>
      </w:r>
    </w:p>
    <w:p w:rsidR="00A73AD3" w:rsidRPr="00704094" w:rsidRDefault="00CA1232" w:rsidP="00DB6CA7">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7456" behindDoc="1" locked="0" layoutInCell="1" allowOverlap="1">
                <wp:simplePos x="0" y="0"/>
                <wp:positionH relativeFrom="margin">
                  <wp:align>right</wp:align>
                </wp:positionH>
                <wp:positionV relativeFrom="paragraph">
                  <wp:posOffset>440055</wp:posOffset>
                </wp:positionV>
                <wp:extent cx="1929130" cy="971550"/>
                <wp:effectExtent l="0" t="0" r="0" b="1905"/>
                <wp:wrapSquare wrapText="bothSides"/>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97155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DB6CA7">
                            <w:pPr>
                              <w:jc w:val="center"/>
                              <w:rPr>
                                <w:rFonts w:ascii="Cambria" w:hAnsi="Cambria" w:cs="Cambria"/>
                                <w:color w:val="17365D"/>
                                <w:sz w:val="20"/>
                                <w:szCs w:val="20"/>
                              </w:rPr>
                            </w:pPr>
                            <w:r w:rsidRPr="00704094">
                              <w:rPr>
                                <w:rFonts w:ascii="Cambria" w:hAnsi="Cambria"/>
                                <w:color w:val="17365D"/>
                                <w:sz w:val="20"/>
                                <w:szCs w:val="20"/>
                              </w:rPr>
                              <w:t>Dėl ES fondų investicijų MTTP srityje iki 2015 m. BVP prieaugis buvo 2,33 karto didesnis už investicijas, o iki 2020 m. – 3,44 karto didesnis.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100.7pt;margin-top:34.65pt;width:151.9pt;height:76.5pt;z-index:-251649024;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" fillcolor="#efede3" stroked="f" strokeweight=".5pt">
                <v:fill color2="#eae7d9" rotate="t" focusposition=".5,.5" focussize="" focus="100%" type="gradientRadial"/>
                <v:textbox inset="3mm,3mm,3mm,3mm">
                  <w:txbxContent>
                    <w:p w:rsidR="009F5833" w:rsidRPr="00986CFB" w:rsidRDefault="009F5833" w:rsidP="00DB6CA7">
                      <w:pPr>
                        <w:jc w:val="center"/>
                        <w:rPr>
                          <w:rFonts w:ascii="Cambria" w:hAnsi="Cambria" w:cs="Cambria"/>
                          <w:color w:val="17365D"/>
                          <w:sz w:val="20"/>
                          <w:szCs w:val="20"/>
                        </w:rPr>
                      </w:pPr>
                      <w:r w:rsidRPr="00704094">
                        <w:rPr>
                          <w:rFonts w:ascii="Cambria" w:hAnsi="Cambria"/>
                          <w:color w:val="17365D"/>
                          <w:sz w:val="20"/>
                          <w:szCs w:val="20"/>
                        </w:rPr>
                        <w:t>Dėl ES fondų investicijų MTTP srityje iki 2015 m. BVP prieaugis buvo 2,33 karto didesnis už investicijas, o iki 2020 m. – 3,44 karto didesnis.</w:t>
                      </w:r>
                    </w:p>
                  </w:txbxContent>
                </v:textbox>
                <w10:wrap type="square" anchorx="margin"/>
              </v:shape>
            </w:pict>
          </mc:Fallback>
        </mc:AlternateContent>
      </w:r>
      <w:r w:rsidR="00A73AD3" w:rsidRPr="00704094">
        <w:rPr>
          <w:rFonts w:cs="Times New Roman"/>
          <w:sz w:val="22"/>
          <w:szCs w:val="22"/>
        </w:rPr>
        <w:t xml:space="preserve">Atliekant </w:t>
      </w:r>
      <w:r w:rsidR="00A73AD3" w:rsidRPr="00704094">
        <w:rPr>
          <w:rFonts w:cs="Times New Roman"/>
          <w:b/>
          <w:bCs/>
          <w:i/>
          <w:iCs/>
          <w:color w:val="1F497D"/>
          <w:sz w:val="22"/>
          <w:szCs w:val="22"/>
        </w:rPr>
        <w:t>Ūkio ministerijos kompetencijai priskirtų bendrai finansuojamų iš ES struktūrinių fondų lėšų ekonomikos sektorių būklės pokyčių vertinimą</w:t>
      </w:r>
      <w:r w:rsidR="00A73AD3" w:rsidRPr="00704094">
        <w:rPr>
          <w:rFonts w:cs="Times New Roman"/>
          <w:color w:val="000000"/>
          <w:sz w:val="22"/>
          <w:szCs w:val="22"/>
        </w:rPr>
        <w:t xml:space="preserve">, nagrinėtas ES fondų investicijų poveikis Ūkio ministerijos administruojamoms sritims, tarp kurių pateko MTTP. Nustatyta, kad trumpuoju laikotarpiu ES investicijų MTTP srityje poveikis buvo didžiausias. Dėl išlaidų </w:t>
      </w:r>
      <w:r w:rsidR="00A73AD3" w:rsidRPr="00704094">
        <w:rPr>
          <w:rFonts w:cs="Times New Roman"/>
          <w:sz w:val="22"/>
          <w:szCs w:val="22"/>
        </w:rPr>
        <w:t>MTTP srityje Lietuvos BVP prieaugis 2007–2015 m. 2,33 karto viršijo investicijas. Remiantis ekonometrinio modeliavimo duomenimis teigiama, kad ilguoju laikotarpiu ES fondų investicijų MTTP srityje nulemtas BVP prieaugis Lietuvoje iki 2020 m. 3,44 karto viršys investicijas.</w:t>
      </w:r>
    </w:p>
    <w:p w:rsidR="00A73AD3" w:rsidRPr="00704094" w:rsidRDefault="00A73AD3" w:rsidP="00DB6CA7">
      <w:pPr>
        <w:pStyle w:val="Pagrindinispaprastastekstas"/>
        <w:rPr>
          <w:rFonts w:cs="Times New Roman"/>
          <w:sz w:val="22"/>
          <w:szCs w:val="22"/>
        </w:rPr>
      </w:pPr>
    </w:p>
    <w:p w:rsidR="00A73AD3" w:rsidRPr="00704094" w:rsidRDefault="00A73AD3" w:rsidP="00DB6CA7">
      <w:pPr>
        <w:pStyle w:val="Pagrindinispaprastastekstas"/>
        <w:rPr>
          <w:rFonts w:cs="Times New Roman"/>
          <w:sz w:val="22"/>
          <w:szCs w:val="22"/>
        </w:rPr>
      </w:pPr>
      <w:r w:rsidRPr="00704094">
        <w:rPr>
          <w:rFonts w:cs="Times New Roman"/>
          <w:sz w:val="22"/>
          <w:szCs w:val="22"/>
        </w:rPr>
        <w:t xml:space="preserve">ES fondų investicijų į MTTP naudą pabrėžė ir </w:t>
      </w:r>
      <w:r w:rsidRPr="00704094">
        <w:rPr>
          <w:rFonts w:cs="Times New Roman"/>
          <w:b/>
          <w:bCs/>
          <w:i/>
          <w:iCs/>
          <w:color w:val="1F497D"/>
          <w:sz w:val="22"/>
          <w:szCs w:val="22"/>
        </w:rPr>
        <w:t>Lietuvos mokslo ir verslo sričių bendradarbiavimo efektyvumo bei finansavimo galimybių koordinavimo vertinimas</w:t>
      </w:r>
      <w:r w:rsidRPr="00704094">
        <w:rPr>
          <w:rFonts w:cs="Times New Roman"/>
          <w:sz w:val="22"/>
          <w:szCs w:val="22"/>
        </w:rPr>
        <w:t>, kurio ataskaitoje nurodoma, kad didžiausias intervencijų poveikis pasireiškė pritraukiant naujas privačias investicijas į MTTP ir inovacijų projektus, kuriant ir tobulinant naujus produktus ir paslaugas, o didžiausią įtaką MTTP skatinimui skirtos priemonės turėjo informacinių ir ryšių technologijų, biotechnologijų, ateities energetikos ir elektrinės bei optinės įrangos sektorių plėtrai. Vertinimo rezultatai atskleidė, kad dabartiniame inovacijų sistemos plėtros etape priemonės, kuriomis buvo siekiama paskatinti įmones ir mokslo bei studijų institucijas bendradarbiauti, prisidėjo prie vieno iš svarbiausių bendradarbiavimo kliuvinių mažinimo – kūrė finansines paskatas bendradarbiauti ir skleidė informaciją apie bendradarbiavimo naudą ir galimybes.</w:t>
      </w:r>
    </w:p>
    <w:p w:rsidR="00A73AD3" w:rsidRPr="00704094" w:rsidRDefault="00A73AD3" w:rsidP="00DB6CA7">
      <w:pPr>
        <w:pStyle w:val="Pagrindinispaprastastekstas"/>
        <w:rPr>
          <w:rFonts w:cs="Times New Roman"/>
          <w:sz w:val="22"/>
          <w:szCs w:val="22"/>
        </w:rPr>
      </w:pPr>
    </w:p>
    <w:p w:rsidR="00A73AD3" w:rsidRPr="00704094" w:rsidRDefault="00A73AD3" w:rsidP="00DB6CA7">
      <w:pPr>
        <w:pStyle w:val="Pagrindinispaprastastekstas"/>
        <w:rPr>
          <w:rFonts w:cs="Times New Roman"/>
          <w:sz w:val="22"/>
          <w:szCs w:val="22"/>
        </w:rPr>
      </w:pPr>
      <w:r w:rsidRPr="00704094">
        <w:rPr>
          <w:rFonts w:cs="Times New Roman"/>
          <w:b/>
          <w:bCs/>
          <w:i/>
          <w:iCs/>
          <w:color w:val="1F497D"/>
          <w:sz w:val="22"/>
          <w:szCs w:val="22"/>
        </w:rPr>
        <w:t>Švietimo ir mokslo srities prioritetų 2014–2020 m. ES struktūrinės paramos programavimo laikotarpiui strateginis vertinimas</w:t>
      </w:r>
      <w:r w:rsidRPr="00704094">
        <w:rPr>
          <w:rFonts w:cs="Times New Roman"/>
          <w:sz w:val="22"/>
          <w:szCs w:val="22"/>
        </w:rPr>
        <w:t xml:space="preserve"> konstatavo, kad Lietuva per pastaruosius kelerius metus MTTP srityje padarė pažangą, kurią atspindi aukštesnė </w:t>
      </w:r>
      <w:r w:rsidRPr="00704094">
        <w:rPr>
          <w:rFonts w:cs="Times New Roman"/>
          <w:sz w:val="22"/>
          <w:szCs w:val="22"/>
          <w:lang w:eastAsia="en-US"/>
        </w:rPr>
        <w:t>Inovacijų švieslentėje</w:t>
      </w:r>
      <w:r w:rsidRPr="00704094">
        <w:rPr>
          <w:rFonts w:cs="Times New Roman"/>
          <w:sz w:val="22"/>
          <w:szCs w:val="22"/>
        </w:rPr>
        <w:t xml:space="preserve"> užimama vieta. 2007–2013 m. didėjo bendras tyrėjų skaičius šalyje, jie vis sėkmingiau konkuravo teikdami paraiškas įgyvendinti 7-</w:t>
      </w:r>
      <w:r w:rsidRPr="00704094">
        <w:rPr>
          <w:rFonts w:cs="Times New Roman"/>
          <w:sz w:val="22"/>
          <w:szCs w:val="22"/>
        </w:rPr>
        <w:lastRenderedPageBreak/>
        <w:t>osios Bendrosios programos finansuojamus projektus, buvo sukuriama vis daugiau kokybiškų mokslinės veiklos rezultatų. Mokslinių tyrimų infrastruktūros plėtra, laboratorijų įrangos atnaujinimas ir panašios intervencijos sustiprino mokslo sektoriaus potencialą vykdyti aukšto lygio MTTP veiklas ir intensyviau bendradarbiauti su verslu.</w:t>
      </w:r>
    </w:p>
    <w:p w:rsidR="00A73AD3" w:rsidRPr="00704094" w:rsidRDefault="00A73AD3" w:rsidP="00DB6CA7">
      <w:pPr>
        <w:pStyle w:val="Pagrindinispaprastastekstas"/>
        <w:rPr>
          <w:rFonts w:cs="Times New Roman"/>
          <w:sz w:val="22"/>
          <w:szCs w:val="22"/>
        </w:rPr>
      </w:pPr>
    </w:p>
    <w:p w:rsidR="00A73AD3" w:rsidRPr="00704094" w:rsidRDefault="00A73AD3" w:rsidP="00DB6CA7">
      <w:pPr>
        <w:pStyle w:val="Pagrindinispaprastastekstas"/>
        <w:rPr>
          <w:rFonts w:cs="Times New Roman"/>
          <w:sz w:val="22"/>
          <w:szCs w:val="22"/>
        </w:rPr>
      </w:pPr>
      <w:r w:rsidRPr="00704094">
        <w:rPr>
          <w:rFonts w:cs="Times New Roman"/>
          <w:sz w:val="22"/>
          <w:szCs w:val="22"/>
        </w:rPr>
        <w:t xml:space="preserve">Atlikus </w:t>
      </w:r>
      <w:r w:rsidRPr="00704094">
        <w:rPr>
          <w:rFonts w:cs="Times New Roman"/>
          <w:b/>
          <w:bCs/>
          <w:i/>
          <w:iCs/>
          <w:color w:val="1F497D"/>
          <w:sz w:val="22"/>
          <w:szCs w:val="22"/>
        </w:rPr>
        <w:t xml:space="preserve">Europos Sąjungos struktūrinės paramos poveikio Lietuvos konkurencingumui vertinimą </w:t>
      </w:r>
      <w:r w:rsidRPr="00704094">
        <w:rPr>
          <w:rFonts w:cs="Times New Roman"/>
          <w:sz w:val="22"/>
          <w:szCs w:val="22"/>
        </w:rPr>
        <w:t>nustatyta, kad didžioji MTTP išlaidų dalis Lietuvoje 2007–2013 m. teko infrastruktūros kūrimui ir fundamentiniams moksliniams tyrimams, o lėšos eksperimentinei plėtrai ar naujiems produktams kurti buvo vienos mažiausių ES. Moksliniai tyrimai dažniausiai nebuvo orientuoti į socialinius ir ekonominius poreikius. Neskatinant eksperimentinės plėtros, šioje srityje susidarė vakuumas. 2007–2013 m. inovacijų poveikis šalies ekonomikai buvo menkas, o jį dar labiau mažino ekonomikos krizė, privertusi didesnį finansavimą skirti trumpalaikėms problemoms spręsti (gerinti verslo finansavimo sąlygas, kurti darbo vietas), o ne ilgalaikiams tikslams inovacijų plėtros srityje įgyvendinti.</w:t>
      </w:r>
    </w:p>
    <w:p w:rsidR="00A73AD3" w:rsidRPr="00704094" w:rsidRDefault="00A73AD3" w:rsidP="00DB6CA7">
      <w:pPr>
        <w:pStyle w:val="Pagrindinispaprastastekstas"/>
        <w:rPr>
          <w:rFonts w:cs="Times New Roman"/>
          <w:sz w:val="22"/>
          <w:szCs w:val="22"/>
        </w:rPr>
      </w:pPr>
    </w:p>
    <w:p w:rsidR="00A73AD3" w:rsidRPr="00704094" w:rsidRDefault="00A73AD3" w:rsidP="00DB6CA7">
      <w:pPr>
        <w:pStyle w:val="Pagrindinispaprastastekstas"/>
        <w:rPr>
          <w:rFonts w:cs="Times New Roman"/>
          <w:sz w:val="22"/>
          <w:szCs w:val="22"/>
        </w:rPr>
      </w:pPr>
      <w:r w:rsidRPr="00704094">
        <w:rPr>
          <w:rFonts w:cs="Times New Roman"/>
          <w:sz w:val="22"/>
          <w:szCs w:val="22"/>
        </w:rPr>
        <w:t>ES fondų investicijos teigiamai veikė konkurencingumo rodiklius, susijusius su valdžios ir verslo išlaidomis MTTP. ES investicijos į viešąją MTTP infrastruktūrą 2007–2013 m. sudarė apie 28 proc. visų to laikotarpio valdžios sektoriaus išlaidų MTTP ir buvo pagrindinis finansavimo šaltinis MTTP viešosios infrastruktūros kūrimo projektams įgyvendinti. Pagal 2007–2013 m. veiksmų programų priemones pritrauktos privačios investicijos į MTTP sudarė apie 17 proc. visų to laikotarpio verslo išlaidų MTTP. ES fondų investicijos taip pat didino tyrėjų skaičių Lietuvoje. 2007–2013 m. veiksmų programų lėšomis buvo įdarbinta apie 12 proc. visų šalyje dirbusių tyrėjų. Viešajame sektoriuje buvo įdarbinta beveik 2 tūkst. tyrėjų, t. y. apie 10,5 proc. visų šiame sektoriuje dirbusių tyrėjų. ES lėšomis privačiame sektoriuje buvo įdarbinti 367 tyrėjai, t. y. apie 10,6 proc. visų verslo sektoriuje dirbusių tyrėjų. Didesnį įdarbintų tyrėjų skaičių viešajame sektoriuje lėmė tiek projektų specifika, tiek Lietuvos ekonomikos struktūra (gana mažas verslo įmonių, kurios būtų imlios mokslo rezultatų taikymui, skaičius).</w:t>
      </w:r>
    </w:p>
    <w:p w:rsidR="00A73AD3" w:rsidRPr="00704094" w:rsidRDefault="00A73AD3" w:rsidP="00DB6CA7">
      <w:pPr>
        <w:pStyle w:val="Pagrindinispaprastastekstas"/>
        <w:rPr>
          <w:rFonts w:cs="Times New Roman"/>
          <w:sz w:val="22"/>
          <w:szCs w:val="22"/>
        </w:rPr>
      </w:pPr>
    </w:p>
    <w:p w:rsidR="00A73AD3" w:rsidRPr="00704094" w:rsidRDefault="00A73AD3" w:rsidP="00FF005C">
      <w:pPr>
        <w:pStyle w:val="Pagrindinispaprastastekstas"/>
        <w:rPr>
          <w:rFonts w:cs="Times New Roman"/>
          <w:sz w:val="22"/>
          <w:szCs w:val="22"/>
        </w:rPr>
      </w:pPr>
      <w:r w:rsidRPr="00704094">
        <w:rPr>
          <w:rFonts w:cs="Times New Roman"/>
          <w:b/>
          <w:bCs/>
          <w:i/>
          <w:iCs/>
          <w:color w:val="1F497D"/>
          <w:sz w:val="22"/>
          <w:szCs w:val="22"/>
        </w:rPr>
        <w:t>ES struktūrinės paramos poveikio žmogiškųjų išteklių plėtrai vertinime</w:t>
      </w:r>
      <w:r w:rsidRPr="00704094">
        <w:rPr>
          <w:rFonts w:cs="Times New Roman"/>
          <w:color w:val="1F497D"/>
          <w:sz w:val="22"/>
          <w:szCs w:val="22"/>
        </w:rPr>
        <w:t xml:space="preserve"> </w:t>
      </w:r>
      <w:r w:rsidRPr="00704094">
        <w:rPr>
          <w:rFonts w:cs="Times New Roman"/>
          <w:sz w:val="22"/>
          <w:szCs w:val="22"/>
        </w:rPr>
        <w:t xml:space="preserve">teigiama, kad </w:t>
      </w:r>
      <w:r w:rsidRPr="00704094">
        <w:rPr>
          <w:rFonts w:cs="Times New Roman"/>
          <w:color w:val="000000"/>
          <w:sz w:val="22"/>
          <w:szCs w:val="22"/>
        </w:rPr>
        <w:t xml:space="preserve">ES fondų investicijos teigiamai veikė MTEP srities rodiklius, pavyzdžiui, išaugo tūkstančiui užimtųjų tenkantis tyrėjų skaičius, padidėjo tyrėjų dalis versle, jaunųjų tyrėjų dalis ir mokslo publikacijų skaičius. Tačiau pabrėžiama, kad, nepaisant didėjančių verslo išlaidų MTTP, privataus sektoriaus įsitraukimas į MTTP veiklas išliko nepakankamas, o </w:t>
      </w:r>
      <w:r w:rsidRPr="00704094">
        <w:rPr>
          <w:rFonts w:cs="Times New Roman"/>
          <w:sz w:val="22"/>
          <w:szCs w:val="22"/>
        </w:rPr>
        <w:t xml:space="preserve">verslo išlaidų MTTP lygis ir eksperimentinės plėtros būdu kuriamų naujų produktų apimtys, lyginant su kitomis ES valstybėmis narėmis, išliko mažos. </w:t>
      </w:r>
    </w:p>
    <w:p w:rsidR="00A73AD3" w:rsidRPr="00704094" w:rsidRDefault="00A73AD3" w:rsidP="00FF005C">
      <w:pPr>
        <w:pStyle w:val="Pagrindinispaprastastekstas"/>
        <w:rPr>
          <w:rFonts w:cs="Times New Roman"/>
          <w:sz w:val="22"/>
          <w:szCs w:val="22"/>
        </w:rPr>
      </w:pPr>
    </w:p>
    <w:p w:rsidR="00A73AD3" w:rsidRPr="00704094" w:rsidRDefault="00A73AD3" w:rsidP="00DB6CA7">
      <w:pPr>
        <w:pStyle w:val="Pagrindinispaprastastekstas"/>
        <w:rPr>
          <w:rFonts w:cs="Times New Roman"/>
          <w:sz w:val="22"/>
          <w:szCs w:val="22"/>
        </w:rPr>
      </w:pPr>
      <w:r w:rsidRPr="00704094">
        <w:rPr>
          <w:rFonts w:cs="Times New Roman"/>
          <w:b/>
          <w:bCs/>
          <w:i/>
          <w:iCs/>
          <w:color w:val="1F497D"/>
          <w:sz w:val="22"/>
          <w:szCs w:val="22"/>
        </w:rPr>
        <w:t>2007–2013 m. ES struktūrinės paramos poveikio užimtumui ir kitiems Lietuvos ūkio makroekonominiams rodikliams vertinime</w:t>
      </w:r>
      <w:r w:rsidRPr="00704094">
        <w:rPr>
          <w:rFonts w:cs="Times New Roman"/>
          <w:sz w:val="22"/>
          <w:szCs w:val="22"/>
        </w:rPr>
        <w:t xml:space="preserve"> taikant kontrafaktinius poveikio vertinimo metodus analizuotas grynasis ES fondų investicijų poveikis tyrėjų darbo vietų kūrimui. Nustatyta, kad bendras MTEP darbuotojų skaičius projektus įgyvendinusiose įmonėse nepadidėjo (plačiau žr. </w:t>
      </w:r>
      <w:r w:rsidR="00085363" w:rsidRPr="00704094">
        <w:rPr>
          <w:sz w:val="22"/>
          <w:szCs w:val="22"/>
        </w:rPr>
        <w:fldChar w:fldCharType="begin"/>
      </w:r>
      <w:r w:rsidR="00085363" w:rsidRPr="00704094">
        <w:rPr>
          <w:sz w:val="22"/>
          <w:szCs w:val="22"/>
        </w:rPr>
        <w:instrText xml:space="preserve"> REF _Ref467745329 \h  \* MERGEFORMAT </w:instrText>
      </w:r>
      <w:r w:rsidR="00085363" w:rsidRPr="00704094">
        <w:rPr>
          <w:sz w:val="22"/>
          <w:szCs w:val="22"/>
        </w:rPr>
      </w:r>
      <w:r w:rsidR="00085363" w:rsidRPr="00704094">
        <w:rPr>
          <w:sz w:val="22"/>
          <w:szCs w:val="22"/>
        </w:rPr>
        <w:fldChar w:fldCharType="separate"/>
      </w:r>
      <w:r w:rsidRPr="00704094">
        <w:rPr>
          <w:rFonts w:cs="Times New Roman"/>
          <w:sz w:val="22"/>
          <w:szCs w:val="22"/>
        </w:rPr>
        <w:t>1 pavyzdį</w:t>
      </w:r>
      <w:r w:rsidR="00085363" w:rsidRPr="00704094">
        <w:rPr>
          <w:sz w:val="22"/>
          <w:szCs w:val="22"/>
        </w:rPr>
        <w:fldChar w:fldCharType="end"/>
      </w:r>
      <w:r w:rsidRPr="00704094">
        <w:rPr>
          <w:rFonts w:cs="Times New Roman"/>
          <w:sz w:val="22"/>
          <w:szCs w:val="22"/>
        </w:rPr>
        <w:t xml:space="preserve">). Taip pat nustatyta, kad MTTP plėtrai skirtos intervencijos buvo vienos tų, kuriose sukurta daugiausia darbo vietų ir kuriose darbo vietos sukūrimo kaina buvo viena mažesnių lyginant su kitomis intervencijomis. </w:t>
      </w:r>
    </w:p>
    <w:p w:rsidR="00A73AD3" w:rsidRPr="00704094" w:rsidRDefault="00A73AD3" w:rsidP="00DB6CA7">
      <w:pPr>
        <w:pStyle w:val="Pagrindinispaprastastekstas"/>
        <w:rPr>
          <w:rFonts w:cs="Times New Roman"/>
          <w:sz w:val="22"/>
          <w:szCs w:val="22"/>
        </w:rPr>
      </w:pPr>
    </w:p>
    <w:bookmarkStart w:id="19" w:name="_Ref467745329"/>
    <w:p w:rsidR="00A73AD3" w:rsidRPr="00704094" w:rsidRDefault="00A73AD3" w:rsidP="00162E85">
      <w:pPr>
        <w:pStyle w:val="Caption"/>
        <w:rPr>
          <w:rFonts w:cs="Times New Roman"/>
          <w:highlight w:val="yellow"/>
          <w:lang w:eastAsia="lt-LT"/>
        </w:rPr>
      </w:pPr>
      <w:r w:rsidRPr="00704094">
        <w:rPr>
          <w:rFonts w:cs="Times New Roman"/>
        </w:rPr>
        <w:fldChar w:fldCharType="begin"/>
      </w:r>
      <w:r w:rsidRPr="00704094">
        <w:rPr>
          <w:rFonts w:cs="Times New Roman"/>
        </w:rPr>
        <w:instrText xml:space="preserve"> SEQ pavyzdys \* ARABIC </w:instrText>
      </w:r>
      <w:r w:rsidRPr="00704094">
        <w:rPr>
          <w:rFonts w:cs="Times New Roman"/>
        </w:rPr>
        <w:fldChar w:fldCharType="separate"/>
      </w:r>
      <w:r w:rsidRPr="00704094">
        <w:rPr>
          <w:rFonts w:cs="Times New Roman"/>
        </w:rPr>
        <w:t>1</w:t>
      </w:r>
      <w:r w:rsidRPr="00704094">
        <w:rPr>
          <w:rFonts w:cs="Times New Roman"/>
        </w:rPr>
        <w:fldChar w:fldCharType="end"/>
      </w:r>
      <w:r w:rsidRPr="00704094">
        <w:rPr>
          <w:rFonts w:cs="Times New Roman"/>
        </w:rPr>
        <w:t xml:space="preserve"> pavyzdys</w:t>
      </w:r>
      <w:bookmarkEnd w:id="19"/>
      <w:r w:rsidRPr="00704094">
        <w:rPr>
          <w:rFonts w:cs="Times New Roman"/>
        </w:rPr>
        <w:t>. Investicijų poveikio tyrėjų darbo vietų kūrimui kontrafaktinės analizės rezultatai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A73AD3" w:rsidRPr="00986CFB">
        <w:tc>
          <w:tcPr>
            <w:tcW w:w="9747" w:type="dxa"/>
            <w:shd w:val="clear" w:color="auto" w:fill="DBE5F1"/>
          </w:tcPr>
          <w:p w:rsidR="00A73AD3" w:rsidRPr="00704094" w:rsidRDefault="00A73AD3" w:rsidP="00C55976">
            <w:pPr>
              <w:pStyle w:val="Pagrindinispaprastastekstas"/>
              <w:rPr>
                <w:rFonts w:cs="Times New Roman"/>
                <w:sz w:val="18"/>
                <w:szCs w:val="18"/>
              </w:rPr>
            </w:pPr>
            <w:r w:rsidRPr="00704094">
              <w:rPr>
                <w:rFonts w:cs="Times New Roman"/>
                <w:sz w:val="18"/>
                <w:szCs w:val="18"/>
              </w:rPr>
              <w:t xml:space="preserve">Investicijų poveikio tyrėjų darbo vietų kūrimui kontrafaktinė analizė parodė, kad paramą pagal priemones Nr. VP2-1.3-ŪM-02-K „Intelektas LT“ ir Nr. VP2-1.3-ŪM-03-K „Intelektas LT +“ gavusiose įmonėse pasibaigus projektų įgyvendinimui vidutiniškai dirbo 7,1 </w:t>
            </w:r>
            <w:r w:rsidRPr="00704094">
              <w:rPr>
                <w:rFonts w:cs="Times New Roman"/>
                <w:sz w:val="18"/>
                <w:szCs w:val="18"/>
                <w:lang w:eastAsia="en-US"/>
              </w:rPr>
              <w:t>tyrėjo</w:t>
            </w:r>
            <w:r w:rsidRPr="00704094">
              <w:rPr>
                <w:rFonts w:cs="Times New Roman"/>
                <w:sz w:val="18"/>
                <w:szCs w:val="18"/>
              </w:rPr>
              <w:t xml:space="preserve"> – 2,5 karto daugiau nei būtų dirbę hipotetiniame scenarijuje be paramos. Nustatyta, kad dalyvavimas šiose priemonėse </w:t>
            </w:r>
            <w:r w:rsidRPr="00704094">
              <w:rPr>
                <w:rFonts w:cs="Times New Roman"/>
                <w:b/>
                <w:bCs/>
                <w:i/>
                <w:iCs/>
                <w:sz w:val="18"/>
                <w:szCs w:val="18"/>
              </w:rPr>
              <w:t>neturėjo įtakos bendram MTEP darbuotojų skaičiui</w:t>
            </w:r>
            <w:r w:rsidRPr="00704094">
              <w:rPr>
                <w:rFonts w:cs="Times New Roman"/>
                <w:sz w:val="18"/>
                <w:szCs w:val="18"/>
              </w:rPr>
              <w:t xml:space="preserve"> (į jį įskaičiuojami ir tyrėjai) projektus įgyvendinusiose įmonėse. Iš to daroma išvada, kad dalis paramą gavusių įmonių tyrėjais įdarbino toje pačioje įmonėje dirbusius ir MTEP statusą jau turėjusius asmenis (tokiu būdu pasireiškė </w:t>
            </w:r>
            <w:r w:rsidRPr="00704094">
              <w:rPr>
                <w:rFonts w:cs="Times New Roman"/>
                <w:i/>
                <w:iCs/>
                <w:sz w:val="18"/>
                <w:szCs w:val="18"/>
              </w:rPr>
              <w:t>pakeitimo efektas</w:t>
            </w:r>
            <w:r w:rsidRPr="00704094">
              <w:rPr>
                <w:rFonts w:cs="Times New Roman"/>
                <w:sz w:val="18"/>
                <w:szCs w:val="18"/>
              </w:rPr>
              <w:t xml:space="preserve">) arba tyrėjų skaičių padidinusios ir su išaugusiomis darbo jėgos išlaikymo sąnaudomis susidūrusios įmonės mažino kitų MTEP darbuotojų skaičių (pasireiškė </w:t>
            </w:r>
            <w:r w:rsidRPr="00704094">
              <w:rPr>
                <w:rFonts w:cs="Times New Roman"/>
                <w:i/>
                <w:iCs/>
                <w:sz w:val="18"/>
                <w:szCs w:val="18"/>
              </w:rPr>
              <w:t>išstūmimo efektas</w:t>
            </w:r>
            <w:r w:rsidRPr="00704094">
              <w:rPr>
                <w:rFonts w:cs="Times New Roman"/>
                <w:sz w:val="18"/>
                <w:szCs w:val="18"/>
              </w:rPr>
              <w:t>).</w:t>
            </w:r>
          </w:p>
          <w:p w:rsidR="00A73AD3" w:rsidRPr="00704094" w:rsidRDefault="00A73AD3" w:rsidP="00C55976">
            <w:pPr>
              <w:pStyle w:val="Pagrindinispaprastastekstas"/>
              <w:rPr>
                <w:rFonts w:cs="Times New Roman"/>
                <w:sz w:val="20"/>
                <w:szCs w:val="20"/>
              </w:rPr>
            </w:pPr>
            <w:r w:rsidRPr="00704094">
              <w:rPr>
                <w:rFonts w:cs="Times New Roman"/>
                <w:sz w:val="18"/>
                <w:szCs w:val="18"/>
              </w:rPr>
              <w:t xml:space="preserve">Atsižvelgiant į užsienio praktiką, tyrėjų skaičiaus augimą privačiame sektoriuje siūloma skatinti </w:t>
            </w:r>
            <w:r w:rsidRPr="00704094">
              <w:rPr>
                <w:rFonts w:cs="Times New Roman"/>
                <w:b/>
                <w:bCs/>
                <w:i/>
                <w:iCs/>
                <w:sz w:val="18"/>
                <w:szCs w:val="18"/>
              </w:rPr>
              <w:t>populiarinant galimybes doktorantūros studijas ir stažuotes po doktorantūros atlikti įmonėse</w:t>
            </w:r>
            <w:r w:rsidRPr="00704094">
              <w:rPr>
                <w:rFonts w:cs="Times New Roman"/>
                <w:sz w:val="18"/>
                <w:szCs w:val="18"/>
              </w:rPr>
              <w:t>, vykdančiose aukšto lygio mokslinius tyrimus ar eksperimentinės plėtros darbus. Finansavimas šioms veikloms planuojamas pagal 2014–2020 m. ES fondų investicijų veiksmų programos priemones Nr. 09.3.3-ESFA-V-711 „Mokslininkų ir kitų tyrėjų gebėjimų stiprinimas“ ir Nr. 09.3.3-LMT-K-712 „Mokslininkų, kitų tyrėjų, studentų mokslinės kompetencijos ugdymas per praktinę mokslinę veiklą“.</w:t>
            </w:r>
          </w:p>
        </w:tc>
      </w:tr>
    </w:tbl>
    <w:p w:rsidR="00A73AD3" w:rsidRPr="00704094" w:rsidRDefault="00A73AD3" w:rsidP="003B67A4">
      <w:pPr>
        <w:pStyle w:val="Saltinis"/>
        <w:jc w:val="both"/>
        <w:rPr>
          <w:rFonts w:cs="Times New Roman"/>
          <w:lang w:eastAsia="lt-LT"/>
        </w:rPr>
      </w:pPr>
      <w:r w:rsidRPr="00704094">
        <w:rPr>
          <w:rFonts w:cs="Times New Roman"/>
          <w:lang w:eastAsia="lt-LT"/>
        </w:rPr>
        <w:t xml:space="preserve">Šaltinis: 2007–2013 m. ES struktūrinės paramos poveikio užimtumui ir kitiems Lietuvos ūkio makroekonominiams rodikliams vertinimas. FM užsakymu atliko UAB „ESTEP Vilnius“, 2016 m. liepa. </w:t>
      </w:r>
    </w:p>
    <w:p w:rsidR="00A73AD3" w:rsidRPr="00704094" w:rsidRDefault="00A73AD3" w:rsidP="00525B4C">
      <w:pPr>
        <w:pStyle w:val="Pagrindinispaprastastekstas"/>
        <w:rPr>
          <w:rFonts w:cs="Times New Roman"/>
        </w:rPr>
      </w:pPr>
    </w:p>
    <w:p w:rsidR="00A73AD3" w:rsidRPr="00704094" w:rsidRDefault="00A73AD3" w:rsidP="00231BEC">
      <w:pPr>
        <w:pStyle w:val="Antrastes3"/>
        <w:rPr>
          <w:rFonts w:cs="Times New Roman"/>
        </w:rPr>
      </w:pPr>
      <w:r w:rsidRPr="00704094">
        <w:rPr>
          <w:rFonts w:cs="Times New Roman"/>
        </w:rPr>
        <w:lastRenderedPageBreak/>
        <w:t>Svarbiausios rekomendacijos ir strateginiai siūlymai</w:t>
      </w:r>
    </w:p>
    <w:p w:rsidR="00A73AD3" w:rsidRPr="00704094" w:rsidRDefault="00A73AD3" w:rsidP="009A3421">
      <w:pPr>
        <w:pStyle w:val="Pagrindinispaprastastekstas"/>
        <w:rPr>
          <w:rFonts w:cs="Times New Roman"/>
          <w:color w:val="000000"/>
          <w:sz w:val="22"/>
          <w:szCs w:val="22"/>
        </w:rPr>
      </w:pPr>
      <w:r w:rsidRPr="00704094">
        <w:rPr>
          <w:rFonts w:cs="Times New Roman"/>
          <w:b/>
          <w:bCs/>
          <w:i/>
          <w:iCs/>
          <w:color w:val="1F497D"/>
          <w:sz w:val="22"/>
          <w:szCs w:val="22"/>
        </w:rPr>
        <w:t>Ūkio ministerijos kompetencijai priskirtų bendrai finansuojamų iš ES struktūrinių fondų lėšų ekonomikos sektorių būklės pokyčių vertinime</w:t>
      </w:r>
      <w:r w:rsidRPr="00704094">
        <w:rPr>
          <w:rFonts w:cs="Times New Roman"/>
          <w:color w:val="000000"/>
          <w:sz w:val="22"/>
          <w:szCs w:val="22"/>
        </w:rPr>
        <w:t xml:space="preserve"> teigiama, kad trumpojo ir vidutinio laikotarpio įmonių problemos neturėtų būti sprendžiamos iš MTTP srities </w:t>
      </w:r>
      <w:r w:rsidRPr="00704094">
        <w:rPr>
          <w:rFonts w:cs="Times New Roman"/>
          <w:color w:val="000000"/>
          <w:sz w:val="22"/>
          <w:szCs w:val="22"/>
          <w:lang w:eastAsia="en-US"/>
        </w:rPr>
        <w:t>finansavimo</w:t>
      </w:r>
      <w:r w:rsidRPr="00704094">
        <w:rPr>
          <w:rFonts w:cs="Times New Roman"/>
          <w:color w:val="000000"/>
          <w:sz w:val="22"/>
          <w:szCs w:val="22"/>
        </w:rPr>
        <w:t>. 2014–2020 m. siūloma MTTP sričiai skirti didesnį finansavimą, prieš tai įvertinus ūkio subjektų galimybes įgyvendinti projektus, numatyti mechanizmus, kurie padėtų užtikrinti Švietimo ir mokslo ministerijos ir Ūkio ministerijos funkcijų koordinavimą MTTP priemonių įgyvendinimo fazėje. Be įprastų MTTP veiklas įmonėse subsidijuojančių priemonių siūlyta apsvarstyti ir finansų inžinerijos taikymo galimybę.</w:t>
      </w:r>
    </w:p>
    <w:p w:rsidR="00A73AD3" w:rsidRPr="00704094" w:rsidRDefault="00A73AD3" w:rsidP="009A3421">
      <w:pPr>
        <w:pStyle w:val="Pagrindinispaprastastekstas"/>
        <w:rPr>
          <w:rFonts w:cs="Times New Roman"/>
          <w:color w:val="000000"/>
          <w:sz w:val="22"/>
          <w:szCs w:val="22"/>
        </w:rPr>
      </w:pPr>
    </w:p>
    <w:p w:rsidR="00A73AD3" w:rsidRPr="00704094" w:rsidRDefault="00A73AD3" w:rsidP="009A3421">
      <w:pPr>
        <w:pStyle w:val="Pagrindinispaprastastekstas"/>
        <w:rPr>
          <w:rFonts w:cs="Times New Roman"/>
          <w:sz w:val="22"/>
          <w:szCs w:val="22"/>
        </w:rPr>
      </w:pPr>
      <w:r w:rsidRPr="00704094">
        <w:rPr>
          <w:rFonts w:cs="Times New Roman"/>
          <w:sz w:val="22"/>
          <w:szCs w:val="22"/>
        </w:rPr>
        <w:t xml:space="preserve">Atlikus </w:t>
      </w:r>
      <w:r w:rsidRPr="00704094">
        <w:rPr>
          <w:rFonts w:cs="Times New Roman"/>
          <w:b/>
          <w:bCs/>
          <w:i/>
          <w:iCs/>
          <w:color w:val="1F497D"/>
          <w:sz w:val="22"/>
          <w:szCs w:val="22"/>
        </w:rPr>
        <w:t>Lietuvos mokslo ir verslo sričių bendradarbiavimo efektyvumo bei finansavimo galimybių koordinavimo vertinimą</w:t>
      </w:r>
      <w:r w:rsidRPr="00704094">
        <w:rPr>
          <w:rFonts w:cs="Times New Roman"/>
          <w:sz w:val="22"/>
          <w:szCs w:val="22"/>
        </w:rPr>
        <w:t xml:space="preserve"> pateiktos rekomendacijos dėl efektyvesnės inovacijų politikos įgyvendinimo 2014–2020 m. Rekomenduota stiprinti </w:t>
      </w:r>
      <w:r w:rsidRPr="00704094">
        <w:rPr>
          <w:rFonts w:cs="Times New Roman"/>
          <w:sz w:val="22"/>
          <w:szCs w:val="22"/>
          <w:lang w:eastAsia="en-US"/>
        </w:rPr>
        <w:t>Mokslo, inovacijų ir technologijų agentūros</w:t>
      </w:r>
      <w:r w:rsidRPr="00704094">
        <w:rPr>
          <w:rFonts w:cs="Times New Roman"/>
          <w:sz w:val="22"/>
          <w:szCs w:val="22"/>
        </w:rPr>
        <w:t xml:space="preserve"> kompetencijas, didesnę dalį mokslo ir verslo bendradarbiavimą skatinančių finansinių priemonių patikėti būtent šios institucijos administravimui, stiprinti pagalbos politikos formavimui funkciją ir strategines kompetencijas inovacijų politikos cikle, didelę dalį ES investicijų 2014–2020 m. skirti inovaciniams klasteriams prioritetinėse („proveržio“) srityse plėtoti. Be to, pasiūlyta daugiau lėšų skirti naujų ir besikuriančių inovatyvių įmonių skatinimui ir jų veiklos rėmimui pirmaisiais metais, technologinių inovacijų paslaugų teikimui (ypač inovacinių produktų ir paslaugų eksperimentinei ir technologinei plėtrai po MTTP fazės), t. y. jų testavimui, komercinimui ir panašioms veikloms.</w:t>
      </w:r>
    </w:p>
    <w:p w:rsidR="00A73AD3" w:rsidRPr="00704094" w:rsidRDefault="00A73AD3" w:rsidP="009A3421">
      <w:pPr>
        <w:pStyle w:val="Pagrindinispaprastastekstas"/>
        <w:rPr>
          <w:rFonts w:cs="Times New Roman"/>
          <w:sz w:val="22"/>
          <w:szCs w:val="22"/>
        </w:rPr>
      </w:pPr>
    </w:p>
    <w:p w:rsidR="00A73AD3" w:rsidRPr="00704094" w:rsidRDefault="00A73AD3" w:rsidP="009A3421">
      <w:pPr>
        <w:pStyle w:val="Pagrindinispaprastastekstas"/>
        <w:rPr>
          <w:rFonts w:cs="Times New Roman"/>
          <w:sz w:val="22"/>
          <w:szCs w:val="22"/>
        </w:rPr>
      </w:pPr>
      <w:r w:rsidRPr="00704094">
        <w:rPr>
          <w:rFonts w:cs="Times New Roman"/>
          <w:b/>
          <w:bCs/>
          <w:i/>
          <w:iCs/>
          <w:color w:val="1F497D"/>
          <w:sz w:val="22"/>
          <w:szCs w:val="22"/>
        </w:rPr>
        <w:t>Švietimo ir mokslo srities prioritetų 2014–2020 m. ES struktūrinės paramos programavimo laikotarpiui strateginiame vertinime</w:t>
      </w:r>
      <w:r w:rsidRPr="00704094">
        <w:rPr>
          <w:rFonts w:cs="Times New Roman"/>
          <w:sz w:val="22"/>
          <w:szCs w:val="22"/>
        </w:rPr>
        <w:t xml:space="preserve"> teigiama, kad 2014–2020 m. daugiausia dėmesio reikėtų skirti verslo ir mokslo sektorių bendradarbiavimui skatinti, bendrai vykdomų veiklų rezultatų komercinimui remti ir MTTP sistemos dalyvių (pirmiausia – mokslininkų) gebėjimams stiprinti. Nurodoma, kad investuojant ERPF lėšas turėtų būti remiami bendri mokslo ir verslo projektai, prisidedantys prie sumaniosios specializacijos strategijos prioritetų įgyvendinimo, skatinamas MTTP veiklų rezultatų komercinimas mokslo ir studijų institucijose, investuojama į bendradarbiavimą skatinančias MTTP infrastruktūras (pavyzdžiui, kompetencijos centrus). Investuojant ESF lėšas, siūloma skatinti tarptautinį, tarpsektorinį ir tarpinstitucinį tyrėjų mobilumą, remti jaunųjų tyrėjų rengimą, prisidėti prie mokslo populiarinimo, sudaryti sąlygas stiprinti bendruosius tyrėjų gebėjimus. Taip pat siūloma remti tyrėjų ir jų grupių vykdomas MTTP veiklas.</w:t>
      </w:r>
    </w:p>
    <w:p w:rsidR="00A73AD3" w:rsidRPr="00704094" w:rsidRDefault="00A73AD3" w:rsidP="009A3421">
      <w:pPr>
        <w:pStyle w:val="Pagrindinispaprastastekstas"/>
        <w:rPr>
          <w:rFonts w:cs="Times New Roman"/>
          <w:sz w:val="22"/>
          <w:szCs w:val="22"/>
        </w:rPr>
      </w:pPr>
    </w:p>
    <w:p w:rsidR="00A73AD3" w:rsidRPr="00704094" w:rsidRDefault="00A73AD3" w:rsidP="009A3421">
      <w:pPr>
        <w:pStyle w:val="Pagrindinispaprastastekstas"/>
        <w:rPr>
          <w:rFonts w:cs="Times New Roman"/>
          <w:sz w:val="22"/>
          <w:szCs w:val="22"/>
        </w:rPr>
      </w:pPr>
      <w:r w:rsidRPr="00704094">
        <w:rPr>
          <w:rFonts w:cs="Times New Roman"/>
          <w:b/>
          <w:bCs/>
          <w:i/>
          <w:iCs/>
          <w:color w:val="1F497D"/>
          <w:sz w:val="22"/>
          <w:szCs w:val="22"/>
        </w:rPr>
        <w:t>Lietuvos 2014–2020 m. Europos Sąjungos struktūrinių fondų investicijų veiksmų programos išankstiniame vertinime</w:t>
      </w:r>
      <w:r w:rsidRPr="00704094">
        <w:rPr>
          <w:rFonts w:cs="Times New Roman"/>
          <w:sz w:val="22"/>
          <w:szCs w:val="22"/>
        </w:rPr>
        <w:t xml:space="preserve"> teigiama, kad, teikiant paramą įmonių tarpusavio bei mokslo ir verslo bendradarbiavimui, visų pirma turėtų būti skatinamas naujų produktų ir paslaugų rinkai kūrimas. Siūloma stiprinti valstybės institucijų pajėgumus vykdyti inovatyvius ir ikiprekybinius pirkimus, kurie prisidėtų prie inovacijų paklausos skatinimo. Nurodoma, kad pokyčiams pasiekti šalia investicinių priemonių įgyvendinimo turi būti tobulinamas viešųjų pirkimų, intelektinės nuosavybės teisių apsaugos ir kt. sričių reguliavimas, mažinama administracinė našta. Vertinimo metu atlikto modeliavimo rezultatai rodo gana ribotą ES fondų investicijų tęstinį poveikį tokiems kintamiesiems kaip MTEP išlaidų (bendrų ir privačių) dalis nuo BVP. Siekiant efektyviau investuoti ES fondų lėšas, rekomenduota skatinant MTEP ir inovacijas plačiau naudoti finansinius instrumentus. </w:t>
      </w:r>
    </w:p>
    <w:p w:rsidR="00A73AD3" w:rsidRPr="00704094" w:rsidRDefault="00A73AD3" w:rsidP="009A3421">
      <w:pPr>
        <w:pStyle w:val="Pagrindinispaprastastekstas"/>
        <w:rPr>
          <w:rFonts w:cs="Times New Roman"/>
          <w:sz w:val="22"/>
          <w:szCs w:val="22"/>
        </w:rPr>
      </w:pPr>
    </w:p>
    <w:p w:rsidR="00A73AD3" w:rsidRPr="00704094" w:rsidRDefault="00A73AD3" w:rsidP="009A3421">
      <w:pPr>
        <w:pStyle w:val="Pagrindinispaprastastekstas"/>
        <w:rPr>
          <w:rFonts w:cs="Times New Roman"/>
          <w:sz w:val="22"/>
          <w:szCs w:val="22"/>
        </w:rPr>
      </w:pPr>
      <w:r w:rsidRPr="00704094">
        <w:rPr>
          <w:rFonts w:cs="Times New Roman"/>
          <w:b/>
          <w:bCs/>
          <w:i/>
          <w:iCs/>
          <w:color w:val="1F497D"/>
          <w:sz w:val="22"/>
          <w:szCs w:val="22"/>
        </w:rPr>
        <w:t>Europos Sąjungos struktūrinės paramos poveikio Lietuvos konkurencingumui vertinime</w:t>
      </w:r>
      <w:r w:rsidRPr="00704094">
        <w:rPr>
          <w:rFonts w:cs="Times New Roman"/>
          <w:color w:val="1F497D"/>
          <w:sz w:val="22"/>
          <w:szCs w:val="22"/>
        </w:rPr>
        <w:t xml:space="preserve"> </w:t>
      </w:r>
      <w:r w:rsidRPr="00704094">
        <w:rPr>
          <w:rFonts w:cs="Times New Roman"/>
          <w:sz w:val="22"/>
          <w:szCs w:val="22"/>
        </w:rPr>
        <w:t xml:space="preserve">daugiausia investuoti siūloma į aukštos kvalifikacijos tyrėjų pritraukimą į slėnius, paskatų komercinti mokslo rezultatus sukūrimą, siekiant efektyviau išnaudoti jau sukurtą infrastruktūrą. Taip pat nurodoma, kad svarbu užtikrinti atvirą prieigą prie </w:t>
      </w:r>
      <w:r w:rsidRPr="00704094">
        <w:rPr>
          <w:rFonts w:cs="Times New Roman"/>
          <w:sz w:val="22"/>
          <w:szCs w:val="22"/>
          <w:lang w:eastAsia="en-US"/>
        </w:rPr>
        <w:t>slėnių</w:t>
      </w:r>
      <w:r w:rsidRPr="00704094">
        <w:rPr>
          <w:rFonts w:cs="Times New Roman"/>
          <w:sz w:val="22"/>
          <w:szCs w:val="22"/>
        </w:rPr>
        <w:t xml:space="preserve"> kūrime </w:t>
      </w:r>
      <w:r w:rsidRPr="00704094">
        <w:rPr>
          <w:rFonts w:cs="Times New Roman"/>
          <w:sz w:val="22"/>
          <w:szCs w:val="22"/>
          <w:lang w:eastAsia="en-US"/>
        </w:rPr>
        <w:t>ir plėtroje dalyvaujančių institucijų laboratorinės įran</w:t>
      </w:r>
      <w:r w:rsidRPr="00704094">
        <w:rPr>
          <w:rFonts w:cs="Times New Roman"/>
          <w:sz w:val="22"/>
          <w:szCs w:val="22"/>
        </w:rPr>
        <w:t>gos.</w:t>
      </w:r>
    </w:p>
    <w:p w:rsidR="00A73AD3" w:rsidRPr="00704094" w:rsidRDefault="00A73AD3" w:rsidP="009A3421">
      <w:pPr>
        <w:pStyle w:val="Pagrindinispaprastastekstas"/>
        <w:rPr>
          <w:rFonts w:cs="Times New Roman"/>
          <w:sz w:val="22"/>
          <w:szCs w:val="22"/>
        </w:rPr>
      </w:pPr>
    </w:p>
    <w:p w:rsidR="00A73AD3" w:rsidRPr="00704094" w:rsidRDefault="00A73AD3" w:rsidP="009A3421">
      <w:pPr>
        <w:pStyle w:val="Pagrindinispaprastastekstas"/>
        <w:rPr>
          <w:rFonts w:cs="Times New Roman"/>
          <w:sz w:val="22"/>
          <w:szCs w:val="22"/>
        </w:rPr>
      </w:pPr>
      <w:r w:rsidRPr="00704094">
        <w:rPr>
          <w:rFonts w:cs="Times New Roman"/>
          <w:b/>
          <w:bCs/>
          <w:i/>
          <w:iCs/>
          <w:color w:val="1F497D"/>
          <w:sz w:val="22"/>
          <w:szCs w:val="22"/>
        </w:rPr>
        <w:t>ES struktūrinės paramos poveikio žmogiškųjų išteklių plėtrai vertinime</w:t>
      </w:r>
      <w:r w:rsidRPr="00704094">
        <w:rPr>
          <w:rFonts w:cs="Times New Roman"/>
          <w:color w:val="1F497D"/>
          <w:sz w:val="22"/>
          <w:szCs w:val="22"/>
        </w:rPr>
        <w:t xml:space="preserve"> </w:t>
      </w:r>
      <w:r w:rsidRPr="00704094">
        <w:rPr>
          <w:rFonts w:cs="Times New Roman"/>
          <w:sz w:val="22"/>
          <w:szCs w:val="22"/>
        </w:rPr>
        <w:t xml:space="preserve">teigiama, kad itin žemas verslo išlaidų MTTP lygis reikalauja prioritetą teikti verslo vykdomų eksperimentinės plėtros veiklų apimties didinimui, taip pat turi būti plėtojami verslo gebėjimai inicijuoti ir vykdyti eksperimentinės plėtros veiklas. Vertinime siūloma, kad įgyvendinant tiesiogines užsienio investicijas skatinančias priemones prioritetas turėtų būti teikiamas eksperimentinės plėtros veiklas numatantiems vykdyti investuotojams. Taip pat rekomenduojama numatyti ir organizuoti atskirus kvietimus </w:t>
      </w:r>
      <w:r w:rsidRPr="00704094">
        <w:rPr>
          <w:rFonts w:cs="Times New Roman"/>
          <w:sz w:val="22"/>
          <w:szCs w:val="22"/>
        </w:rPr>
        <w:lastRenderedPageBreak/>
        <w:t>eksperimentinės plėtros veiklų finansavimui be mokslinių tyrimų komponento, suformuoti iš skirtingų ministerijų atstovų sudarytą darbo grupę, skirtą optimaliai institucinės atsakomybės už eksperimentinę plėtrą alternatyvai nustatyti. Vertinime akcentuojama, kad turi būti stiprinami viešųjų MTTP subjektų vadybiniai gebėjimai, reikalingi MTTP veiklų rezultatų komercinimui.</w:t>
      </w:r>
    </w:p>
    <w:p w:rsidR="00A73AD3" w:rsidRPr="00704094" w:rsidRDefault="00A73AD3" w:rsidP="00450272">
      <w:pPr>
        <w:pStyle w:val="Antrastes2"/>
        <w:jc w:val="both"/>
        <w:rPr>
          <w:rFonts w:cs="Times New Roman"/>
        </w:rPr>
      </w:pPr>
      <w:bookmarkStart w:id="20" w:name="_Toc472343151"/>
      <w:r w:rsidRPr="00704094">
        <w:rPr>
          <w:rFonts w:cs="Times New Roman"/>
        </w:rPr>
        <w:t xml:space="preserve">Investicijų poveikis viešosios politikos sritims: </w:t>
      </w:r>
      <w:r w:rsidRPr="00704094">
        <w:rPr>
          <w:rFonts w:cs="Times New Roman"/>
          <w:color w:val="E36C0A"/>
        </w:rPr>
        <w:t>informacinė visuomenė</w:t>
      </w:r>
      <w:bookmarkEnd w:id="20"/>
    </w:p>
    <w:p w:rsidR="00A73AD3" w:rsidRPr="00704094" w:rsidRDefault="00A73AD3" w:rsidP="00AE2029">
      <w:pPr>
        <w:pStyle w:val="Antrastes3"/>
        <w:rPr>
          <w:rFonts w:cs="Times New Roman"/>
        </w:rPr>
      </w:pPr>
      <w:r w:rsidRPr="00704094">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815"/>
        <w:gridCol w:w="1186"/>
        <w:gridCol w:w="1240"/>
        <w:gridCol w:w="2387"/>
      </w:tblGrid>
      <w:tr w:rsidR="00A73AD3" w:rsidRPr="00986CFB">
        <w:tc>
          <w:tcPr>
            <w:tcW w:w="4815"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240"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2387"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4815"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Lietuvos informacinės visuomenės plėtros tendencijų ir prioritetų 2014–2020 metais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2012 m. gegužė</w:t>
            </w:r>
          </w:p>
        </w:tc>
        <w:tc>
          <w:tcPr>
            <w:tcW w:w="1240"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IVPK prie Susisiekimo ministerijos</w:t>
            </w:r>
          </w:p>
        </w:tc>
        <w:tc>
          <w:tcPr>
            <w:tcW w:w="238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Viešosios politikos ir vadybos institutas</w:t>
            </w:r>
          </w:p>
        </w:tc>
      </w:tr>
      <w:tr w:rsidR="00A73AD3" w:rsidRPr="00986CFB">
        <w:tc>
          <w:tcPr>
            <w:tcW w:w="4815"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Lietuvos 2014–2020 m. Europos Sąjungos struktūrinių fondų investicijų veiksmų programos išankstinis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vasaris</w:t>
            </w:r>
          </w:p>
        </w:tc>
        <w:tc>
          <w:tcPr>
            <w:tcW w:w="1240"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387"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Viešosios politikos ir vadybos institutas ir UAB „PPMI Group“</w:t>
            </w:r>
          </w:p>
        </w:tc>
      </w:tr>
      <w:tr w:rsidR="00A73AD3" w:rsidRPr="00986CFB">
        <w:tc>
          <w:tcPr>
            <w:tcW w:w="4815"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Valstybės informacinių technologijų infrastruktūros, planuojamos finansuoti ES struktūrinių fondų paramos lėšomis 2014–2020 metų laikotarpiu, tendencijų ir perspektyvų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spalis</w:t>
            </w:r>
          </w:p>
        </w:tc>
        <w:tc>
          <w:tcPr>
            <w:tcW w:w="1240"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IVPK prie Susisiekimo ministerijos</w:t>
            </w:r>
          </w:p>
        </w:tc>
        <w:tc>
          <w:tcPr>
            <w:tcW w:w="2387"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„Ernst &amp; Young Baltic“ ir UAB „Informacinės konsultacijos“</w:t>
            </w:r>
          </w:p>
        </w:tc>
      </w:tr>
      <w:tr w:rsidR="00A73AD3" w:rsidRPr="00986CFB">
        <w:tc>
          <w:tcPr>
            <w:tcW w:w="4815" w:type="dxa"/>
          </w:tcPr>
          <w:p w:rsidR="00A73AD3" w:rsidRPr="00704094" w:rsidRDefault="00A73AD3" w:rsidP="002C4E45">
            <w:pPr>
              <w:pStyle w:val="Pagrindinispaprastastekstas"/>
              <w:jc w:val="left"/>
              <w:rPr>
                <w:rFonts w:cs="Times New Roman"/>
                <w:b/>
                <w:bCs/>
                <w:sz w:val="20"/>
                <w:szCs w:val="20"/>
                <w:highlight w:val="yellow"/>
              </w:rPr>
            </w:pPr>
            <w:r w:rsidRPr="00704094">
              <w:rPr>
                <w:rFonts w:cs="Times New Roman"/>
                <w:sz w:val="20"/>
                <w:szCs w:val="20"/>
              </w:rPr>
              <w:t>Europos Sąjungos struktūrinės paramos poveikio Lietuvos konkurencingumui vertinimas</w:t>
            </w:r>
          </w:p>
        </w:tc>
        <w:tc>
          <w:tcPr>
            <w:tcW w:w="1186" w:type="dxa"/>
          </w:tcPr>
          <w:p w:rsidR="00A73AD3" w:rsidRPr="00704094" w:rsidRDefault="00A73AD3" w:rsidP="002C4E45">
            <w:pPr>
              <w:pStyle w:val="Pagrindinispaprastastekstas"/>
              <w:jc w:val="center"/>
              <w:rPr>
                <w:rFonts w:cs="Times New Roman"/>
                <w:sz w:val="20"/>
                <w:szCs w:val="20"/>
                <w:highlight w:val="yellow"/>
              </w:rPr>
            </w:pPr>
            <w:r w:rsidRPr="00704094">
              <w:rPr>
                <w:rFonts w:cs="Times New Roman"/>
                <w:sz w:val="20"/>
                <w:szCs w:val="20"/>
              </w:rPr>
              <w:t>2015 m. gegužė</w:t>
            </w:r>
          </w:p>
        </w:tc>
        <w:tc>
          <w:tcPr>
            <w:tcW w:w="1240" w:type="dxa"/>
          </w:tcPr>
          <w:p w:rsidR="00A73AD3" w:rsidRPr="00704094" w:rsidRDefault="00A73AD3" w:rsidP="002C4E45">
            <w:pPr>
              <w:pStyle w:val="Pagrindinispaprastastekstas"/>
              <w:jc w:val="center"/>
              <w:rPr>
                <w:rFonts w:cs="Times New Roman"/>
                <w:sz w:val="20"/>
                <w:szCs w:val="20"/>
                <w:highlight w:val="yellow"/>
              </w:rPr>
            </w:pPr>
            <w:r w:rsidRPr="00704094">
              <w:rPr>
                <w:rFonts w:cs="Times New Roman"/>
                <w:sz w:val="20"/>
                <w:szCs w:val="20"/>
              </w:rPr>
              <w:t>Finansų ministerija</w:t>
            </w:r>
          </w:p>
        </w:tc>
        <w:tc>
          <w:tcPr>
            <w:tcW w:w="2387"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bl>
    <w:p w:rsidR="00A73AD3" w:rsidRPr="00704094" w:rsidRDefault="00A73AD3" w:rsidP="00AE2029">
      <w:pPr>
        <w:pStyle w:val="Antrastes3"/>
        <w:rPr>
          <w:rFonts w:cs="Times New Roman"/>
        </w:rPr>
      </w:pPr>
      <w:r w:rsidRPr="00704094">
        <w:rPr>
          <w:rFonts w:cs="Times New Roman"/>
        </w:rPr>
        <w:t>Pagrindiniai vertinimų rezultatai ir išvados</w:t>
      </w:r>
    </w:p>
    <w:p w:rsidR="00A73AD3" w:rsidRPr="00704094" w:rsidRDefault="00A73AD3" w:rsidP="004F6EBF">
      <w:pPr>
        <w:pStyle w:val="Pagrindinispaprastastekstas"/>
        <w:rPr>
          <w:rFonts w:eastAsia="MS Mincho" w:cs="Times New Roman"/>
          <w:sz w:val="22"/>
          <w:szCs w:val="22"/>
        </w:rPr>
      </w:pPr>
      <w:r w:rsidRPr="00704094">
        <w:rPr>
          <w:rFonts w:eastAsia="MS Mincho" w:cs="Times New Roman"/>
          <w:sz w:val="22"/>
          <w:szCs w:val="22"/>
        </w:rPr>
        <w:t xml:space="preserve">Du sektoriniai informacinės visuomenės politikos srities vertinimai – </w:t>
      </w:r>
      <w:r w:rsidRPr="00704094">
        <w:rPr>
          <w:rFonts w:eastAsia="MS Mincho" w:cs="Times New Roman"/>
          <w:b/>
          <w:bCs/>
          <w:i/>
          <w:iCs/>
          <w:color w:val="1F497D"/>
          <w:sz w:val="22"/>
          <w:szCs w:val="22"/>
        </w:rPr>
        <w:t>Lietuvos informacinės visuomenės plėtros tendencijų ir prioritetų 2014–2020 metais vertinimas</w:t>
      </w:r>
      <w:r w:rsidRPr="00704094">
        <w:rPr>
          <w:rFonts w:eastAsia="MS Mincho" w:cs="Times New Roman"/>
          <w:color w:val="1F497D"/>
          <w:sz w:val="22"/>
          <w:szCs w:val="22"/>
        </w:rPr>
        <w:t xml:space="preserve"> </w:t>
      </w:r>
      <w:r w:rsidRPr="00704094">
        <w:rPr>
          <w:rFonts w:eastAsia="MS Mincho" w:cs="Times New Roman"/>
          <w:sz w:val="22"/>
          <w:szCs w:val="22"/>
        </w:rPr>
        <w:t>ir</w:t>
      </w:r>
      <w:r w:rsidRPr="00704094">
        <w:rPr>
          <w:rFonts w:eastAsia="MS Mincho" w:cs="Times New Roman"/>
          <w:color w:val="1F497D"/>
          <w:sz w:val="22"/>
          <w:szCs w:val="22"/>
        </w:rPr>
        <w:t xml:space="preserve"> </w:t>
      </w:r>
      <w:r w:rsidRPr="00704094">
        <w:rPr>
          <w:rFonts w:eastAsia="MS Mincho" w:cs="Times New Roman"/>
          <w:b/>
          <w:bCs/>
          <w:i/>
          <w:iCs/>
          <w:color w:val="1F497D"/>
          <w:sz w:val="22"/>
          <w:szCs w:val="22"/>
        </w:rPr>
        <w:t>Valstybės informacinių technologijų infrastruktūros, planuojamos finansuoti ES struktūrinių fondų paramos lėšomis 2014–2020 metų laikotarpiu, tendencijų ir perspektyvų vertinimas</w:t>
      </w:r>
      <w:r w:rsidRPr="00704094">
        <w:rPr>
          <w:rFonts w:eastAsia="MS Mincho" w:cs="Times New Roman"/>
          <w:color w:val="244061"/>
          <w:sz w:val="22"/>
          <w:szCs w:val="22"/>
        </w:rPr>
        <w:t xml:space="preserve"> </w:t>
      </w:r>
      <w:r w:rsidRPr="00704094">
        <w:rPr>
          <w:rFonts w:eastAsia="MS Mincho" w:cs="Times New Roman"/>
          <w:sz w:val="22"/>
          <w:szCs w:val="22"/>
        </w:rPr>
        <w:t xml:space="preserve">– buvo skirti pasirengti 2014–2020 m. ES struktūrinės paramos programavimo laikotarpiui. 2007–2013 m. intervencijų poveikio vertinimo klausimams juose skirta mažiau dėmesio. Svarbiausios rekomendacijos ir strateginiai siūlymai 2014–2020 m. laikotarpiui buvo formuluojami remiantis ne tiek ankstesnio laikotarpio investicijų poveikiu, kiek kitų veiksnių vertinimu. </w:t>
      </w:r>
    </w:p>
    <w:p w:rsidR="00A73AD3" w:rsidRPr="00704094" w:rsidRDefault="00A73AD3" w:rsidP="004F6EBF">
      <w:pPr>
        <w:pStyle w:val="Pagrindinispaprastastekstas"/>
        <w:rPr>
          <w:rFonts w:eastAsia="MS Mincho" w:cs="Times New Roman"/>
          <w:sz w:val="22"/>
          <w:szCs w:val="22"/>
        </w:rPr>
      </w:pPr>
    </w:p>
    <w:p w:rsidR="00A73AD3" w:rsidRPr="00704094" w:rsidRDefault="00A73AD3" w:rsidP="004F6EBF">
      <w:pPr>
        <w:pStyle w:val="Pagrindinispaprastastekstas"/>
        <w:rPr>
          <w:rFonts w:eastAsia="MS Mincho" w:cs="Times New Roman"/>
          <w:sz w:val="22"/>
          <w:szCs w:val="22"/>
        </w:rPr>
      </w:pPr>
      <w:r w:rsidRPr="00704094">
        <w:rPr>
          <w:rFonts w:eastAsia="MS Mincho" w:cs="Times New Roman"/>
          <w:b/>
          <w:bCs/>
          <w:i/>
          <w:iCs/>
          <w:color w:val="1F497D"/>
          <w:sz w:val="22"/>
          <w:szCs w:val="22"/>
        </w:rPr>
        <w:t>Lietuvos informacinės visuomenės plėtros tendencijų ir prioritetų 2014–2020 metais vertinimas</w:t>
      </w:r>
      <w:r w:rsidRPr="00704094">
        <w:rPr>
          <w:rFonts w:eastAsia="MS Mincho" w:cs="Times New Roman"/>
          <w:sz w:val="22"/>
          <w:szCs w:val="22"/>
        </w:rPr>
        <w:t xml:space="preserve"> nustatė, kad Lietuvoje pastaraisiais metais buvo sparčiai investuojama (įskaitant ir ES struktūrinę paramą) į informacinės visuomenės plėtrą ir tai leido išlaikyti turėtas vidutines pozicijas pasaulyje, tačiau aukščiau pakilti nepavyko. Vienas iš pamatinių šio vertinimo teiginių yra tas, kad esminė Lietuvos informacinės visuomenės problema – sutarimo dėl svarbiausių informacinės visuomenės plėtros krypčių trūkumas. Dabartinė Lietuvos informacinės visuomenės koordinavimo sistema padeda užtikrinti tam tikrą vadybinio lygmens bendradarbiavimą, tačiau šiai koordinavimo sistemai labai sunku paskatinti aukštesnio lygio tarpinstitucinius susitarimus.</w:t>
      </w:r>
    </w:p>
    <w:p w:rsidR="00A73AD3" w:rsidRPr="00704094" w:rsidRDefault="00A73AD3" w:rsidP="004F6EBF">
      <w:pPr>
        <w:pStyle w:val="Pagrindinispaprastastekstas"/>
        <w:rPr>
          <w:rFonts w:eastAsia="MS Mincho" w:cs="Times New Roman"/>
          <w:sz w:val="22"/>
          <w:szCs w:val="22"/>
        </w:rPr>
      </w:pPr>
    </w:p>
    <w:p w:rsidR="00A73AD3" w:rsidRPr="00704094" w:rsidRDefault="00CA1232" w:rsidP="004F6EBF">
      <w:pPr>
        <w:pStyle w:val="Pagrindinispaprastastekstas"/>
        <w:rPr>
          <w:rFonts w:eastAsia="MS Mincho" w:cs="Times New Roman"/>
          <w:sz w:val="22"/>
          <w:szCs w:val="22"/>
        </w:rPr>
      </w:pPr>
      <w:r>
        <w:rPr>
          <w:noProof/>
          <w:sz w:val="22"/>
          <w:szCs w:val="22"/>
        </w:rPr>
        <mc:AlternateContent>
          <mc:Choice Requires="wps">
            <w:drawing>
              <wp:anchor distT="36195" distB="36195" distL="107950" distR="107950" simplePos="0" relativeHeight="251666432" behindDoc="1" locked="0" layoutInCell="1" allowOverlap="1">
                <wp:simplePos x="0" y="0"/>
                <wp:positionH relativeFrom="margin">
                  <wp:posOffset>3329305</wp:posOffset>
                </wp:positionH>
                <wp:positionV relativeFrom="paragraph">
                  <wp:posOffset>406400</wp:posOffset>
                </wp:positionV>
                <wp:extent cx="2793365" cy="1126490"/>
                <wp:effectExtent l="1270" t="4445" r="0" b="254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12649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4F6EBF">
                            <w:pPr>
                              <w:jc w:val="center"/>
                              <w:rPr>
                                <w:rFonts w:ascii="Cambria" w:hAnsi="Cambria" w:cs="Cambria"/>
                                <w:color w:val="17365D"/>
                                <w:sz w:val="20"/>
                                <w:szCs w:val="20"/>
                              </w:rPr>
                            </w:pPr>
                            <w:r w:rsidRPr="00704094">
                              <w:rPr>
                                <w:rFonts w:ascii="Cambria" w:hAnsi="Cambria"/>
                                <w:color w:val="17365D"/>
                                <w:sz w:val="20"/>
                                <w:szCs w:val="20"/>
                              </w:rPr>
                              <w:t>ES fondų investicijų efektyvumą informacinės visuomenės srityje mažina svarbių išorinių prielaidų nebuvimas – sutarimo dėl svarbiausių informacinės visuomenės plėtros krypčių trūkumas, taip pat netinkamas VIII valdymo ir organizavimo modelis.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left:0;text-align:left;margin-left:262.15pt;margin-top:32pt;width:219.95pt;height:88.7pt;z-index:-251650048;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" fillcolor="#efede3" stroked="f" strokeweight=".5pt">
                <v:fill color2="#eae7d9" rotate="t" focusposition=".5,.5" focussize="" focus="100%" type="gradientRadial"/>
                <v:textbox inset="3mm,3mm,3mm,3mm">
                  <w:txbxContent>
                    <w:p w:rsidR="009F5833" w:rsidRPr="00986CFB" w:rsidRDefault="009F5833" w:rsidP="004F6EBF">
                      <w:pPr>
                        <w:jc w:val="center"/>
                        <w:rPr>
                          <w:rFonts w:ascii="Cambria" w:hAnsi="Cambria" w:cs="Cambria"/>
                          <w:color w:val="17365D"/>
                          <w:sz w:val="20"/>
                          <w:szCs w:val="20"/>
                        </w:rPr>
                      </w:pPr>
                      <w:r w:rsidRPr="00704094">
                        <w:rPr>
                          <w:rFonts w:ascii="Cambria" w:hAnsi="Cambria"/>
                          <w:color w:val="17365D"/>
                          <w:sz w:val="20"/>
                          <w:szCs w:val="20"/>
                        </w:rPr>
                        <w:t>ES fondų investicijų efektyvumą informacinės visuomenės srityje mažina svarbių išorinių prielaidų nebuvimas – sutarimo dėl svarbiausių informacinės visuomenės plėtros krypčių trūkumas, taip pat netinkamas VIII valdymo ir organizavimo modelis.</w:t>
                      </w:r>
                    </w:p>
                  </w:txbxContent>
                </v:textbox>
                <w10:wrap type="square" anchorx="margin"/>
              </v:shape>
            </w:pict>
          </mc:Fallback>
        </mc:AlternateContent>
      </w:r>
      <w:r w:rsidR="00A73AD3" w:rsidRPr="00704094">
        <w:rPr>
          <w:rFonts w:eastAsia="MS Mincho" w:cs="Times New Roman"/>
          <w:b/>
          <w:bCs/>
          <w:i/>
          <w:iCs/>
          <w:color w:val="1F497D"/>
          <w:sz w:val="22"/>
          <w:szCs w:val="22"/>
        </w:rPr>
        <w:t>Valstybės informacinių technologijų infrastruktūros, planuojamos finansuoti ES struktūrinių fondų paramos lėšomis 2014–2020 metų laikotarpiu, tendencijų ir perspektyvų vertinimas</w:t>
      </w:r>
      <w:r w:rsidR="00A73AD3" w:rsidRPr="00704094">
        <w:rPr>
          <w:rFonts w:eastAsia="MS Mincho" w:cs="Times New Roman"/>
          <w:sz w:val="22"/>
          <w:szCs w:val="22"/>
        </w:rPr>
        <w:t xml:space="preserve"> buvo skirtas Lietuvos valstybės informacinių išteklių infrastruktūros (toliau – VIII) ir jos valdymo modelio analizei. Vertinime nustatyta, kad šiuo </w:t>
      </w:r>
      <w:r w:rsidR="00A73AD3" w:rsidRPr="00704094">
        <w:rPr>
          <w:rFonts w:eastAsia="MS Mincho" w:cs="Times New Roman"/>
          <w:sz w:val="22"/>
          <w:szCs w:val="22"/>
          <w:lang w:eastAsia="en-US"/>
        </w:rPr>
        <w:t>metu</w:t>
      </w:r>
      <w:r w:rsidR="00A73AD3" w:rsidRPr="00704094">
        <w:rPr>
          <w:rFonts w:eastAsia="MS Mincho" w:cs="Times New Roman"/>
          <w:sz w:val="22"/>
          <w:szCs w:val="22"/>
        </w:rPr>
        <w:t xml:space="preserve"> taikomas VIII valdymo ir organizacinis modelis (kuomet kiekviena institucija atskirai rūpinasi ir vysto VIII savarankiškai) nėra efektyvus, dalies institucijų duomenų tvarkymui naudojama infrastruktūra yra neadekvataus patikimumo lygio, didžioji dalis įrangos </w:t>
      </w:r>
      <w:r w:rsidR="00A73AD3" w:rsidRPr="00704094">
        <w:rPr>
          <w:rFonts w:eastAsia="MS Mincho" w:cs="Times New Roman"/>
          <w:sz w:val="22"/>
          <w:szCs w:val="22"/>
        </w:rPr>
        <w:lastRenderedPageBreak/>
        <w:t xml:space="preserve">yra pasenusi, trūksta informacinių technologijų (toliau – IT) specialistų, nėra tinkamai valdoma rizika, susijusi su IT paslaugų pirkimu iš privačių paslaugų teikėjų. Nustatyta, kad toliau įgyvendinant esamą VIII valdymo modelį, 2014–2020 m. ES fondų investicijų, skiriamų informacinės visuomenės plėtrai, panaudojimas nebūtų efektyvus. </w:t>
      </w:r>
    </w:p>
    <w:p w:rsidR="00A73AD3" w:rsidRPr="00704094" w:rsidRDefault="00A73AD3" w:rsidP="004F6EBF">
      <w:pPr>
        <w:pStyle w:val="Pagrindinispaprastastekstas"/>
        <w:rPr>
          <w:rFonts w:eastAsia="MS Mincho" w:cs="Times New Roman"/>
          <w:sz w:val="22"/>
          <w:szCs w:val="22"/>
        </w:rPr>
      </w:pPr>
    </w:p>
    <w:p w:rsidR="00A73AD3" w:rsidRPr="00704094" w:rsidRDefault="00A73AD3" w:rsidP="004F6EBF">
      <w:pPr>
        <w:pStyle w:val="Pagrindinispaprastastekstas"/>
        <w:rPr>
          <w:rFonts w:eastAsia="MS Mincho" w:cs="Times New Roman"/>
          <w:sz w:val="22"/>
          <w:szCs w:val="22"/>
        </w:rPr>
      </w:pPr>
      <w:r w:rsidRPr="00704094">
        <w:rPr>
          <w:rFonts w:eastAsia="MS Mincho" w:cs="Times New Roman"/>
          <w:sz w:val="22"/>
          <w:szCs w:val="22"/>
        </w:rPr>
        <w:t xml:space="preserve">Vienas iš horizontalaus pobūdžio 2007–2013 m. veiksmų programų poveikio vertinimų – </w:t>
      </w:r>
      <w:r w:rsidRPr="00704094">
        <w:rPr>
          <w:rFonts w:eastAsia="MS Mincho" w:cs="Times New Roman"/>
          <w:b/>
          <w:bCs/>
          <w:i/>
          <w:iCs/>
          <w:color w:val="244061"/>
          <w:sz w:val="22"/>
          <w:szCs w:val="22"/>
        </w:rPr>
        <w:t>Europos Sąjungos struktūrinės paramos poveikio Lietuvos konkurencingumui vertinimas</w:t>
      </w:r>
      <w:r w:rsidRPr="00704094">
        <w:rPr>
          <w:rFonts w:eastAsia="MS Mincho" w:cs="Times New Roman"/>
          <w:sz w:val="22"/>
          <w:szCs w:val="22"/>
        </w:rPr>
        <w:t xml:space="preserve"> – tiesiogiai analizavo ES fondų investicijų, skirtų informacinių ir ryšių technologijų (toliau – IRT) sprendimų diegimui ir infrastruktūros gerinimui, poveikį. Vertinime nustatyta, kad investicijos (konkrečiai – priemonė, pagal kurią buvo tiesiamos plačiajuosčio interneto linijos kaime) tiesiogiai ir stipriai veikė plačiajuosčio ryšio interneto skvarbos rodiklį. Taip pat ES fondų investicijos reikšmingai prisidėjo prie pagrindinių viešųjų paslaugų perkėlimo į internetą: 2007–2013 m. ES lėšomis buvo sukurta 35 proc. visų Lietuvoje veikusių elektroninių paslaugų. Tačiau nuolatinio interneto vartotojų skaičiaus augimui didesnę įtaką turėjo kiti veiksniai – augantis šalies gyventojų kompiuterinis raštingumas, išplitęs </w:t>
      </w:r>
      <w:r w:rsidRPr="00704094">
        <w:rPr>
          <w:rFonts w:eastAsia="MS Mincho" w:cs="Times New Roman"/>
          <w:sz w:val="22"/>
          <w:szCs w:val="22"/>
          <w:lang w:eastAsia="en-US"/>
        </w:rPr>
        <w:t>mobilusis internetas</w:t>
      </w:r>
      <w:r w:rsidRPr="00704094">
        <w:rPr>
          <w:rFonts w:eastAsia="MS Mincho" w:cs="Times New Roman"/>
          <w:sz w:val="22"/>
          <w:szCs w:val="22"/>
        </w:rPr>
        <w:t>, dėl interneto ryšio operatorių konkurencijos sąlyginai žema interneto kaina ir informacijos bei paslaugų perkėlimas į internetą bankininkystės, elektroninės prekybos, žiniasklaidos priemonių ir kitose srityse.</w:t>
      </w:r>
    </w:p>
    <w:p w:rsidR="00A73AD3" w:rsidRPr="00704094" w:rsidRDefault="00A73AD3" w:rsidP="00AE2029">
      <w:pPr>
        <w:pStyle w:val="Antrastes3"/>
        <w:rPr>
          <w:rFonts w:cs="Times New Roman"/>
        </w:rPr>
      </w:pPr>
      <w:r w:rsidRPr="00704094">
        <w:rPr>
          <w:rFonts w:cs="Times New Roman"/>
        </w:rPr>
        <w:t>Svarbiausios rekomendacijos ir strateginiai siūlymai</w:t>
      </w:r>
    </w:p>
    <w:p w:rsidR="00A73AD3" w:rsidRPr="00704094" w:rsidRDefault="00A73AD3" w:rsidP="00D97F7E">
      <w:pPr>
        <w:pStyle w:val="Pagrindinispaprastastekstas"/>
        <w:rPr>
          <w:rFonts w:eastAsia="MS Mincho" w:cs="Times New Roman"/>
          <w:sz w:val="22"/>
          <w:szCs w:val="22"/>
        </w:rPr>
      </w:pPr>
      <w:r w:rsidRPr="00704094">
        <w:rPr>
          <w:rFonts w:eastAsia="MS Mincho" w:cs="Times New Roman"/>
          <w:b/>
          <w:bCs/>
          <w:i/>
          <w:iCs/>
          <w:color w:val="244061"/>
          <w:sz w:val="22"/>
          <w:szCs w:val="22"/>
        </w:rPr>
        <w:t>Lietuvos informacinės visuomenės plėtros tendencijų ir prioritetų 2014–2020 metais vertinime</w:t>
      </w:r>
      <w:r w:rsidRPr="00704094">
        <w:rPr>
          <w:rFonts w:eastAsia="MS Mincho" w:cs="Times New Roman"/>
          <w:sz w:val="22"/>
          <w:szCs w:val="22"/>
        </w:rPr>
        <w:t xml:space="preserve"> suformuluoti trys Lietuvos informacinės visuomenės plėtros ateities scenarijai: avangardo scenarijus, buvimo tarp lyderių scenarijus ir amžinai perspektyvios šalies scenarijus. Vertintojų nuomone, Lietuvai palankiausias būtent buvimo tarp lyderių scenarijus, kuris reikštų, kad Lietuva pripažįsta informacinės visuomenės bei IRT svarbą ir svarbiausiose šalies plėtros strategijose įvardija tai kaip vieną iš horizontaliųjų prioritetų. Be galimų plėtros scenarijų buvo pasiūlytos aštuonios iniciatyvos su konkrečiais uždaviniais, priemonių grupėmis bei finansavimu, kurias reikėtų įgyvendinti 2014–2020 m. laikotarpiu: (1) visuotinai prieinamas ir labai greitas plačiajuostis internetas; (2) šalies gyventojai – sumanūs interneto vartotojai; (3) interneto turinys lietuvių kalba ir Lietuvos kultūros paveldas internete; (4) visos viešosios ir administracinės </w:t>
      </w:r>
      <w:r w:rsidRPr="00704094">
        <w:rPr>
          <w:rFonts w:eastAsia="MS Mincho" w:cs="Times New Roman"/>
          <w:sz w:val="22"/>
          <w:szCs w:val="22"/>
          <w:lang w:eastAsia="en-US"/>
        </w:rPr>
        <w:t>e</w:t>
      </w:r>
      <w:r w:rsidRPr="00704094">
        <w:rPr>
          <w:rFonts w:eastAsia="MS Mincho" w:cs="Times New Roman"/>
          <w:sz w:val="22"/>
          <w:szCs w:val="22"/>
        </w:rPr>
        <w:t xml:space="preserve">. valdžios paslaugos prieinamos ir naudojamos internetu; (5) viešojo sektoriaus IRT optimizavimas ir sumanus valdymas; (6) IRT gebėjimai ir IRT sprendimai ateities verslui; (7) žaliosios IRT ir darni plėtra; (8) asmens ir valstybės saugumas internete. </w:t>
      </w:r>
    </w:p>
    <w:p w:rsidR="00A73AD3" w:rsidRPr="00704094" w:rsidRDefault="00A73AD3" w:rsidP="00D97F7E">
      <w:pPr>
        <w:pStyle w:val="Pagrindinispaprastastekstas"/>
        <w:rPr>
          <w:rFonts w:eastAsia="MS Mincho" w:cs="Times New Roman"/>
          <w:sz w:val="22"/>
          <w:szCs w:val="22"/>
        </w:rPr>
      </w:pPr>
    </w:p>
    <w:p w:rsidR="00A73AD3" w:rsidRPr="00704094" w:rsidRDefault="00A73AD3" w:rsidP="00D97F7E">
      <w:pPr>
        <w:pStyle w:val="Pagrindinispaprastastekstas"/>
        <w:rPr>
          <w:rFonts w:cs="Times New Roman"/>
          <w:sz w:val="22"/>
          <w:szCs w:val="22"/>
        </w:rPr>
      </w:pPr>
      <w:r w:rsidRPr="00704094">
        <w:rPr>
          <w:rFonts w:eastAsia="MS Mincho" w:cs="Times New Roman"/>
          <w:b/>
          <w:bCs/>
          <w:i/>
          <w:iCs/>
          <w:color w:val="244061"/>
          <w:sz w:val="22"/>
          <w:szCs w:val="22"/>
        </w:rPr>
        <w:t>Valstybės informacinių technologijų infrastruktūros, planuojamos finansuoti ES struktūrinių fondų paramos lėšomis 2014–2020 metų laikotarpiu, tendencijų ir perspektyvų vertinimas</w:t>
      </w:r>
      <w:r w:rsidRPr="00704094">
        <w:rPr>
          <w:rFonts w:eastAsia="MS Mincho" w:cs="Times New Roman"/>
          <w:color w:val="244061"/>
          <w:sz w:val="22"/>
          <w:szCs w:val="22"/>
        </w:rPr>
        <w:t xml:space="preserve"> </w:t>
      </w:r>
      <w:r w:rsidRPr="00704094">
        <w:rPr>
          <w:rFonts w:eastAsia="MS Mincho" w:cs="Times New Roman"/>
          <w:sz w:val="22"/>
          <w:szCs w:val="22"/>
        </w:rPr>
        <w:t xml:space="preserve">pateikė rekomendacijas VIII modelio pertvarkymui, pereinant nuo VIII tvarkymo atskirai kiekvienoje įstaigoje prie konsoliduotos VIII naudojimo, sukuriant teisines, organizacines ir technines priemones, užtikrinančias naudojimosi IT paslaugomis aiškumą ir galimybes. Vertinime siūloma įgyvendinti tokį VIII valdymo modelį, kuomet IT paslaugas institucijoms teikia įsteigti Valstybės IT paslaugų teikėjai arba Valstybės IT paslaugų teikėjai kartu su privataus sektoriaus IT paslaugų teikėjais. Siūlomų modelių ekonominės naudos analizė parodė, kad jų įgyvendinimas 10 metų perspektyvoje leistų sutaupyti daugiau kaip 87 mln. EUR kapitalo investicijų ir tokiu būdu leistų </w:t>
      </w:r>
      <w:r w:rsidRPr="00704094">
        <w:rPr>
          <w:rFonts w:cs="Times New Roman"/>
          <w:sz w:val="22"/>
          <w:szCs w:val="22"/>
        </w:rPr>
        <w:t>racionaliau panaudoti 2014–2020 m. ES struktūrinės paramos lėšas valstybės informacinės infrastruktūros optimizavimui.</w:t>
      </w:r>
    </w:p>
    <w:p w:rsidR="00A73AD3" w:rsidRPr="00704094" w:rsidRDefault="00A73AD3" w:rsidP="00D97F7E">
      <w:pPr>
        <w:pStyle w:val="Pagrindinispaprastastekstas"/>
        <w:rPr>
          <w:rFonts w:cs="Times New Roman"/>
          <w:sz w:val="22"/>
          <w:szCs w:val="22"/>
        </w:rPr>
      </w:pPr>
    </w:p>
    <w:p w:rsidR="00A73AD3" w:rsidRPr="00704094" w:rsidRDefault="00A73AD3" w:rsidP="00D97F7E">
      <w:pPr>
        <w:pStyle w:val="Pagrindinispaprastastekstas"/>
        <w:rPr>
          <w:rFonts w:eastAsia="MS Mincho" w:cs="Times New Roman"/>
          <w:sz w:val="22"/>
          <w:szCs w:val="22"/>
        </w:rPr>
      </w:pPr>
      <w:r w:rsidRPr="00704094">
        <w:rPr>
          <w:rFonts w:eastAsia="MS Mincho" w:cs="Times New Roman"/>
          <w:b/>
          <w:bCs/>
          <w:i/>
          <w:iCs/>
          <w:color w:val="244061"/>
          <w:sz w:val="22"/>
          <w:szCs w:val="22"/>
        </w:rPr>
        <w:t>Lietuvos 2014–2020 m. ES struktūrinių fondų investicijų veiksmų programos išankstiniame vertinime</w:t>
      </w:r>
      <w:r w:rsidRPr="00704094">
        <w:rPr>
          <w:rFonts w:eastAsia="MS Mincho" w:cs="Times New Roman"/>
          <w:sz w:val="22"/>
          <w:szCs w:val="22"/>
        </w:rPr>
        <w:t xml:space="preserve"> nustatyta, kad 2014–2020 m. informacinės visuomenės skatinimo prioriteto intervencinė logika yra tinkama, tačiau sėkmingas rezultatų pasiekimas labiausiai priklausys nuo sugebėjimo pasirinkti tinkamą finansavimo tvarką, parengti ir įgyvendinti projektus bei įvykdyti svarbias susijusias sąlygas.</w:t>
      </w:r>
    </w:p>
    <w:p w:rsidR="00085363" w:rsidRPr="00704094" w:rsidRDefault="00A73AD3" w:rsidP="00085363">
      <w:pPr>
        <w:pStyle w:val="Antrastes2"/>
        <w:jc w:val="both"/>
        <w:rPr>
          <w:rFonts w:cs="Times New Roman"/>
        </w:rPr>
      </w:pPr>
      <w:r w:rsidRPr="00986CFB">
        <w:rPr>
          <w:rFonts w:eastAsia="MS Mincho"/>
        </w:rPr>
        <w:br w:type="page"/>
      </w:r>
      <w:bookmarkStart w:id="21" w:name="_Toc472343152"/>
      <w:r w:rsidR="00085363" w:rsidRPr="00704094">
        <w:rPr>
          <w:rFonts w:cs="Times New Roman"/>
        </w:rPr>
        <w:lastRenderedPageBreak/>
        <w:t xml:space="preserve">Investicijų poveikis viešosios politikos sritims: </w:t>
      </w:r>
      <w:r w:rsidR="00085363" w:rsidRPr="00704094">
        <w:rPr>
          <w:rFonts w:cs="Times New Roman"/>
          <w:color w:val="E36C0A"/>
        </w:rPr>
        <w:t>smulkus ir vidutinis verslas, verslumo skatinimas</w:t>
      </w:r>
      <w:bookmarkEnd w:id="21"/>
    </w:p>
    <w:p w:rsidR="00A73AD3" w:rsidRPr="00704094" w:rsidRDefault="00A73AD3" w:rsidP="009706B2">
      <w:pPr>
        <w:pStyle w:val="Antrastes3"/>
        <w:rPr>
          <w:rFonts w:cs="Times New Roman"/>
        </w:rPr>
      </w:pPr>
      <w:r w:rsidRPr="00704094">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815"/>
        <w:gridCol w:w="1186"/>
        <w:gridCol w:w="1813"/>
        <w:gridCol w:w="1813"/>
      </w:tblGrid>
      <w:tr w:rsidR="00A73AD3" w:rsidRPr="00986CFB">
        <w:tc>
          <w:tcPr>
            <w:tcW w:w="4815"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813"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1813"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4815"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ES struktūrinės paramos poveikio smulkiajam ir vidutiniam verslui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kovas</w:t>
            </w:r>
          </w:p>
        </w:tc>
        <w:tc>
          <w:tcPr>
            <w:tcW w:w="1813"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 xml:space="preserve">Ūkio ministerija </w:t>
            </w:r>
          </w:p>
        </w:tc>
        <w:tc>
          <w:tcPr>
            <w:tcW w:w="1813"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„BGI Consulting“</w:t>
            </w:r>
          </w:p>
        </w:tc>
      </w:tr>
      <w:tr w:rsidR="00A73AD3" w:rsidRPr="00986CFB">
        <w:tc>
          <w:tcPr>
            <w:tcW w:w="4815"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Žmogiškųjų išteklių plėtros veiksmų programos 1 prioriteto „Kokybiškas užimtumas ir socialinė aprėptis“ priemonių, skirtų skatinti jaunimo užimtumą, poveikio ir efektyvumo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rugpjūtis</w:t>
            </w:r>
          </w:p>
        </w:tc>
        <w:tc>
          <w:tcPr>
            <w:tcW w:w="1813"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Socialinės apsaugos ir darbo ministerija</w:t>
            </w:r>
          </w:p>
          <w:p w:rsidR="00A73AD3" w:rsidRPr="00704094" w:rsidRDefault="00A73AD3" w:rsidP="002C4E45">
            <w:pPr>
              <w:pStyle w:val="Pagrindinispaprastastekstas"/>
              <w:jc w:val="center"/>
              <w:rPr>
                <w:rFonts w:cs="Times New Roman"/>
                <w:sz w:val="20"/>
                <w:szCs w:val="20"/>
              </w:rPr>
            </w:pPr>
          </w:p>
        </w:tc>
        <w:tc>
          <w:tcPr>
            <w:tcW w:w="1813"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„Ernst &amp; Young Baltic“</w:t>
            </w:r>
          </w:p>
        </w:tc>
      </w:tr>
      <w:tr w:rsidR="00A73AD3" w:rsidRPr="00986CFB">
        <w:tc>
          <w:tcPr>
            <w:tcW w:w="4815"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Lietuvos miestams ir miesteliams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rugpjūtis</w:t>
            </w:r>
          </w:p>
        </w:tc>
        <w:tc>
          <w:tcPr>
            <w:tcW w:w="1813"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 xml:space="preserve">Finansų ministerija </w:t>
            </w:r>
          </w:p>
        </w:tc>
        <w:tc>
          <w:tcPr>
            <w:tcW w:w="1813"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bl>
    <w:p w:rsidR="00A73AD3" w:rsidRPr="00704094" w:rsidRDefault="00A73AD3" w:rsidP="009706B2">
      <w:pPr>
        <w:pStyle w:val="Antrastes3"/>
        <w:rPr>
          <w:rFonts w:cs="Times New Roman"/>
        </w:rPr>
      </w:pPr>
      <w:r w:rsidRPr="00704094">
        <w:rPr>
          <w:rFonts w:cs="Times New Roman"/>
        </w:rPr>
        <w:t>Pagrindiniai vertinimų rezultatai ir išvados</w:t>
      </w:r>
    </w:p>
    <w:p w:rsidR="00A73AD3" w:rsidRPr="00704094" w:rsidRDefault="00CA1232" w:rsidP="009706B2">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0048" behindDoc="1" locked="0" layoutInCell="1" allowOverlap="1">
                <wp:simplePos x="0" y="0"/>
                <wp:positionH relativeFrom="margin">
                  <wp:align>right</wp:align>
                </wp:positionH>
                <wp:positionV relativeFrom="paragraph">
                  <wp:posOffset>739775</wp:posOffset>
                </wp:positionV>
                <wp:extent cx="1407795" cy="981075"/>
                <wp:effectExtent l="3175" t="0" r="0" b="0"/>
                <wp:wrapSquare wrapText="bothSides"/>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98107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706B2">
                            <w:pPr>
                              <w:jc w:val="center"/>
                              <w:rPr>
                                <w:rFonts w:ascii="Cambria" w:hAnsi="Cambria" w:cs="Cambria"/>
                                <w:color w:val="17365D"/>
                                <w:sz w:val="20"/>
                                <w:szCs w:val="20"/>
                              </w:rPr>
                            </w:pPr>
                            <w:r w:rsidRPr="00704094">
                              <w:rPr>
                                <w:rFonts w:ascii="Cambria" w:hAnsi="Cambria"/>
                                <w:color w:val="17365D"/>
                                <w:sz w:val="20"/>
                                <w:szCs w:val="20"/>
                              </w:rPr>
                              <w:t>Kreditinių priemonių ir garantijų taikymas atitiko gerąją EPBO šalių praktiką.</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59.65pt;margin-top:58.25pt;width:110.85pt;height:77.25pt;z-index:-251666432;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" fillcolor="#efede3" stroked="f" strokeweight=".5pt">
                <v:fill color2="#eae7d9" rotate="t" focusposition=".5,.5" focussize="" focus="100%" type="gradientRadial"/>
                <v:textbox inset="3mm,3mm,3mm,3mm">
                  <w:txbxContent>
                    <w:p w:rsidR="009F5833" w:rsidRPr="00986CFB" w:rsidRDefault="009F5833" w:rsidP="009706B2">
                      <w:pPr>
                        <w:jc w:val="center"/>
                        <w:rPr>
                          <w:rFonts w:ascii="Cambria" w:hAnsi="Cambria" w:cs="Cambria"/>
                          <w:color w:val="17365D"/>
                          <w:sz w:val="20"/>
                          <w:szCs w:val="20"/>
                        </w:rPr>
                      </w:pPr>
                      <w:r w:rsidRPr="00704094">
                        <w:rPr>
                          <w:rFonts w:ascii="Cambria" w:hAnsi="Cambria"/>
                          <w:color w:val="17365D"/>
                          <w:sz w:val="20"/>
                          <w:szCs w:val="20"/>
                        </w:rPr>
                        <w:t>Kreditinių priemonių ir garantijų taikymas atitiko gerąją EPBO šalių praktiką.</w:t>
                      </w:r>
                    </w:p>
                  </w:txbxContent>
                </v:textbox>
                <w10:wrap type="square" anchorx="margin"/>
              </v:shape>
            </w:pict>
          </mc:Fallback>
        </mc:AlternateContent>
      </w:r>
      <w:r w:rsidR="00A73AD3" w:rsidRPr="00704094">
        <w:rPr>
          <w:rFonts w:cs="Times New Roman"/>
          <w:b/>
          <w:bCs/>
          <w:i/>
          <w:iCs/>
          <w:color w:val="1F497D"/>
          <w:sz w:val="22"/>
          <w:szCs w:val="22"/>
        </w:rPr>
        <w:t xml:space="preserve">ES struktūrinės paramos poveikio smulkiajam ir vidutiniam verslui vertinimo </w:t>
      </w:r>
      <w:r w:rsidR="00A73AD3" w:rsidRPr="00704094">
        <w:rPr>
          <w:rFonts w:cs="Times New Roman"/>
          <w:sz w:val="22"/>
          <w:szCs w:val="22"/>
        </w:rPr>
        <w:t xml:space="preserve">metu nustatyta, kad Ūkio ministerijos administruojamos Ekonomikos augimo veiksmų programos (toliau – EAVP) 2 prioriteto priemonės buvo tinkamos ir prisidėjo prie svarbiausių eksporto plėtros barjerų mažinimo. Pagrindinis dėmesys skirtas darbo našumo didinimui ir naujų rinkų paieškos veikloms. Trūko intervencijų, kurios įmonėms padėtų spręsti ne tik eksporto inicijavimo ir pradžios iššūkius, susijusius su eksporto rinkos nustatymu ir kontaktų užmezgimu, bet ir padėtų plėtoti žmogiškuosius išteklius, kurių gebėjimai identifikuojami kaip viena iš kliūčių eksportui didinti. ES lėšomis finansuoti kreditai, garantijos ir dalinis palūkanų kompensavimas tinkamai prisidėjo prie pasikeitusių įmonių poreikių tenkinimo pablogėjus ekonominei situacijai. Tai buvo adekvataus pobūdžio reakcija į pasikeitusią bankų politiką. </w:t>
      </w:r>
    </w:p>
    <w:p w:rsidR="00A73AD3" w:rsidRPr="00704094" w:rsidRDefault="00A73AD3" w:rsidP="009706B2">
      <w:pPr>
        <w:pStyle w:val="Pagrindinispaprastastekstas"/>
        <w:rPr>
          <w:rFonts w:cs="Times New Roman"/>
          <w:sz w:val="22"/>
          <w:szCs w:val="22"/>
        </w:rPr>
      </w:pPr>
    </w:p>
    <w:p w:rsidR="00A73AD3" w:rsidRPr="00704094" w:rsidRDefault="00A73AD3" w:rsidP="009706B2">
      <w:pPr>
        <w:pStyle w:val="Pagrindinispaprastastekstas"/>
        <w:rPr>
          <w:rFonts w:cs="Times New Roman"/>
          <w:sz w:val="22"/>
          <w:szCs w:val="22"/>
        </w:rPr>
      </w:pPr>
      <w:r w:rsidRPr="00704094">
        <w:rPr>
          <w:rFonts w:cs="Times New Roman"/>
          <w:sz w:val="22"/>
          <w:szCs w:val="22"/>
        </w:rPr>
        <w:t>Smulkiam ir vidutiniam verslui (toliau – SVV) skirtų ES lėšų pridėtinė vertė pasireiškia teigiamu poveikiu apyvartai. Įmonių investicijas remiančių priemonių, tokių kaip „Lyderis LT“, poveikis sudaro 12 proc. punktų, o tiriamojoje grupėje palikus tik reikšmingą priemonės paramos sumą gavusias įmones – net 21 proc. punktą. Priemonė „Naujos galimybės“ pasižymi įgyvendinimo metu atsirandančiu poveikiu: poveikis apyvartos augimui projektų veiklų įgyvendinimo metais sudaro 15 proc. punktų. SVV skirtų priemonių socialinį ir ekonominį poveikį atspindi ne tik apyvarta, bet ir darbuotojų skaičiaus pokyčiai – kontrafaktinis poveikio vertinimas patvirtino, kad nesant ES paramos jos gavėjų darbuotojų skaičius būtų mažesnis.</w:t>
      </w:r>
    </w:p>
    <w:p w:rsidR="00A73AD3" w:rsidRPr="00704094" w:rsidRDefault="00A73AD3" w:rsidP="009706B2">
      <w:pPr>
        <w:pStyle w:val="Pagrindinispaprastastekstas"/>
        <w:rPr>
          <w:rFonts w:cs="Times New Roman"/>
          <w:sz w:val="22"/>
          <w:szCs w:val="22"/>
        </w:rPr>
      </w:pPr>
    </w:p>
    <w:p w:rsidR="00A73AD3" w:rsidRPr="00704094" w:rsidRDefault="00A73AD3" w:rsidP="009706B2">
      <w:pPr>
        <w:pStyle w:val="Pagrindinispaprastastekstas"/>
        <w:rPr>
          <w:rFonts w:cs="Times New Roman"/>
          <w:sz w:val="22"/>
          <w:szCs w:val="22"/>
        </w:rPr>
      </w:pPr>
      <w:r w:rsidRPr="00704094">
        <w:rPr>
          <w:rFonts w:cs="Times New Roman"/>
          <w:sz w:val="22"/>
          <w:szCs w:val="22"/>
        </w:rPr>
        <w:t xml:space="preserve">SVV ir verslumo skatinimui skirtų intervencijų ir jų rezultatų teritorinis pasiskirstymas analizuotas vykdant </w:t>
      </w:r>
      <w:r w:rsidRPr="00704094">
        <w:rPr>
          <w:rFonts w:cs="Times New Roman"/>
          <w:b/>
          <w:bCs/>
          <w:i/>
          <w:iCs/>
          <w:color w:val="1F497D"/>
          <w:sz w:val="22"/>
          <w:szCs w:val="22"/>
        </w:rPr>
        <w:t>2007–2013 m. ES struktūrinės paramos poveikio Lietuvos miestams ir miesteliams vertinimą</w:t>
      </w:r>
      <w:r w:rsidRPr="00704094">
        <w:rPr>
          <w:rFonts w:cs="Times New Roman"/>
          <w:sz w:val="22"/>
          <w:szCs w:val="22"/>
        </w:rPr>
        <w:t>. Nustatyta, kad 2007–2013 m. laikotarpiu buvo finansuoti 1803 projektai, skirti įmonių konkurencingumui didinti. Šiuos projektus įgyvendino 1088 juridiniai asmenys (tai sudaro 8,2 proc. visų mažų ir vidutinių įmonių Lietuvoje). 86 proc. projektų (1551 iš 1803 projektų) vykdė miestuose įsikūrusios įmonės, 17 projektų vykdė dideliuose miesteliuose</w:t>
      </w:r>
      <w:r w:rsidRPr="00704094">
        <w:rPr>
          <w:rStyle w:val="FootnoteReference"/>
          <w:rFonts w:cs="Times New Roman"/>
        </w:rPr>
        <w:footnoteReference w:id="4"/>
      </w:r>
      <w:r w:rsidRPr="00704094">
        <w:rPr>
          <w:rFonts w:cs="Times New Roman"/>
          <w:sz w:val="22"/>
          <w:szCs w:val="22"/>
        </w:rPr>
        <w:t xml:space="preserve"> įsikūrusios įmonės. Miestuose ir miesteliuose įgyvendinti 1568 projektai, projektus vykdė 961 įmonė. Miestams ir miesteliams teko </w:t>
      </w:r>
      <w:r w:rsidR="00CA1232">
        <w:rPr>
          <w:noProof/>
          <w:sz w:val="22"/>
          <w:szCs w:val="22"/>
        </w:rPr>
        <mc:AlternateContent>
          <mc:Choice Requires="wps">
            <w:drawing>
              <wp:anchor distT="36195" distB="36195" distL="107950" distR="107950" simplePos="0" relativeHeight="251669504" behindDoc="1" locked="0" layoutInCell="1" allowOverlap="1">
                <wp:simplePos x="0" y="0"/>
                <wp:positionH relativeFrom="margin">
                  <wp:align>right</wp:align>
                </wp:positionH>
                <wp:positionV relativeFrom="paragraph">
                  <wp:posOffset>562610</wp:posOffset>
                </wp:positionV>
                <wp:extent cx="2242820" cy="1432560"/>
                <wp:effectExtent l="0" t="0" r="0" b="0"/>
                <wp:wrapSquare wrapText="bothSides"/>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3256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3A74E0">
                            <w:pPr>
                              <w:jc w:val="center"/>
                              <w:rPr>
                                <w:rFonts w:ascii="Cambria" w:hAnsi="Cambria" w:cs="Cambria"/>
                                <w:color w:val="17365D"/>
                                <w:sz w:val="20"/>
                                <w:szCs w:val="20"/>
                              </w:rPr>
                            </w:pPr>
                            <w:r w:rsidRPr="00704094">
                              <w:rPr>
                                <w:rFonts w:ascii="Cambria" w:hAnsi="Cambria"/>
                                <w:color w:val="17365D"/>
                                <w:sz w:val="20"/>
                                <w:szCs w:val="20"/>
                              </w:rPr>
                              <w:t>Verslo konkurencingumui didinti skirta ES struktūrinė parama buvo sukoncentruota didžiųjų miestų savivaldybėse ir aplink jas esančių rajonų savivaldybėse (Vilniaus miesto ir rajono, Kauno miesto ir rajono, taip pat Šiaulių ir Panevėžio miestų savivaldybėse).</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125.4pt;margin-top:44.3pt;width:176.6pt;height:112.8pt;z-index:-251646976;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3A74E0">
                      <w:pPr>
                        <w:jc w:val="center"/>
                        <w:rPr>
                          <w:rFonts w:ascii="Cambria" w:hAnsi="Cambria" w:cs="Cambria"/>
                          <w:color w:val="17365D"/>
                          <w:sz w:val="20"/>
                          <w:szCs w:val="20"/>
                        </w:rPr>
                      </w:pPr>
                      <w:r w:rsidRPr="00704094">
                        <w:rPr>
                          <w:rFonts w:ascii="Cambria" w:hAnsi="Cambria"/>
                          <w:color w:val="17365D"/>
                          <w:sz w:val="20"/>
                          <w:szCs w:val="20"/>
                        </w:rPr>
                        <w:t>Verslo konkurencingumui didinti skirta ES struktūrinė parama buvo sukoncentruota didžiųjų miestų savivaldybėse ir aplink jas esančių rajonų savivaldybėse (Vilniaus miesto ir rajono, Kauno miesto ir rajono, taip pat Šiaulių ir Panevėžio miestų savivaldybėse).</w:t>
                      </w:r>
                    </w:p>
                  </w:txbxContent>
                </v:textbox>
                <w10:wrap type="square" anchorx="margin"/>
              </v:shape>
            </w:pict>
          </mc:Fallback>
        </mc:AlternateContent>
      </w:r>
      <w:r w:rsidRPr="00704094">
        <w:rPr>
          <w:rFonts w:cs="Times New Roman"/>
          <w:sz w:val="22"/>
          <w:szCs w:val="22"/>
        </w:rPr>
        <w:t xml:space="preserve">79 proc. viso įmonių produktyvumui didinti išmokėto finansavimo. Daugiausia projektų buvo skirta įmonių dalyvavimui tarptautinėse </w:t>
      </w:r>
      <w:r w:rsidRPr="00704094">
        <w:rPr>
          <w:rFonts w:cs="Times New Roman"/>
          <w:sz w:val="22"/>
          <w:szCs w:val="22"/>
        </w:rPr>
        <w:lastRenderedPageBreak/>
        <w:t xml:space="preserve">parodose, siekiant didinti eksporto apimtis. Didžiausios vertės projektai įgyvendinti pagal priemones, skirtas gamybos technologijų modernizavimui ir plėtrai („Lyderis LT“), tiesioginėms užsienio („Invest </w:t>
      </w:r>
      <w:r w:rsidRPr="00704094">
        <w:rPr>
          <w:rFonts w:cs="Times New Roman"/>
          <w:sz w:val="22"/>
          <w:szCs w:val="22"/>
          <w:lang w:eastAsia="en-US"/>
        </w:rPr>
        <w:t>LT+“)</w:t>
      </w:r>
      <w:r w:rsidRPr="00704094">
        <w:rPr>
          <w:rFonts w:cs="Times New Roman"/>
          <w:sz w:val="22"/>
          <w:szCs w:val="22"/>
        </w:rPr>
        <w:t xml:space="preserve"> ir vidaus („Invest LT-2“) investicijoms į didelę pridėtinę vertę kuriančių verslų pradžią ir plėtrą. Įgyvendinusios verslo plėtros projektus įmonės visoje Lietuvoje sukūrė beveik 3700 ilgalaikių darbo vietų. </w:t>
      </w:r>
    </w:p>
    <w:p w:rsidR="00A73AD3" w:rsidRPr="00704094" w:rsidRDefault="00A73AD3" w:rsidP="009706B2">
      <w:pPr>
        <w:pStyle w:val="Pagrindinispaprastastekstas"/>
        <w:rPr>
          <w:rFonts w:cs="Times New Roman"/>
          <w:sz w:val="22"/>
          <w:szCs w:val="22"/>
        </w:rPr>
      </w:pPr>
    </w:p>
    <w:p w:rsidR="00A73AD3" w:rsidRPr="00704094" w:rsidRDefault="00A73AD3" w:rsidP="004B0FB8">
      <w:pPr>
        <w:pStyle w:val="Pagrindinispaprastastekstas"/>
        <w:rPr>
          <w:rFonts w:cs="Times New Roman"/>
          <w:sz w:val="22"/>
          <w:szCs w:val="22"/>
        </w:rPr>
      </w:pPr>
      <w:r w:rsidRPr="00704094">
        <w:rPr>
          <w:rFonts w:cs="Times New Roman"/>
          <w:b/>
          <w:bCs/>
          <w:i/>
          <w:iCs/>
          <w:color w:val="1F497D"/>
          <w:sz w:val="22"/>
          <w:szCs w:val="22"/>
        </w:rPr>
        <w:t>2007–2013 m. ŽIPVP 1 prioriteto „Kokybiškas užimtumas ir socialinė aprėptis“ priemonių, skirtų skatinti jaunimo užimtumą, poveikio ir efektyvumo vertinime</w:t>
      </w:r>
      <w:r w:rsidRPr="00704094">
        <w:rPr>
          <w:rFonts w:cs="Times New Roman"/>
          <w:color w:val="1F497D"/>
          <w:sz w:val="22"/>
          <w:szCs w:val="22"/>
        </w:rPr>
        <w:t xml:space="preserve"> </w:t>
      </w:r>
      <w:r w:rsidRPr="00704094">
        <w:rPr>
          <w:rFonts w:cs="Times New Roman"/>
          <w:sz w:val="22"/>
          <w:szCs w:val="22"/>
        </w:rPr>
        <w:t xml:space="preserve">buvo analizuojamos 3 priemonės, įgyvendintos ES fondų lėšomis ir skirtos jaunimo užimtumui bei verslumui skatinti. </w:t>
      </w:r>
      <w:r w:rsidRPr="00704094">
        <w:rPr>
          <w:rFonts w:cs="Times New Roman"/>
          <w:sz w:val="22"/>
          <w:szCs w:val="22"/>
          <w:lang w:eastAsia="en-US"/>
        </w:rPr>
        <w:t>Pagal</w:t>
      </w:r>
      <w:r w:rsidRPr="00704094">
        <w:rPr>
          <w:rFonts w:cs="Times New Roman"/>
          <w:sz w:val="22"/>
          <w:szCs w:val="22"/>
        </w:rPr>
        <w:t xml:space="preserve"> priemonę „Verslumo skatinimas“, </w:t>
      </w:r>
      <w:r w:rsidRPr="00704094">
        <w:rPr>
          <w:rFonts w:cs="Times New Roman"/>
          <w:sz w:val="22"/>
          <w:szCs w:val="22"/>
          <w:lang w:eastAsia="en-US"/>
        </w:rPr>
        <w:t>pagal</w:t>
      </w:r>
      <w:r w:rsidRPr="00704094">
        <w:rPr>
          <w:rFonts w:cs="Times New Roman"/>
          <w:sz w:val="22"/>
          <w:szCs w:val="22"/>
        </w:rPr>
        <w:t xml:space="preserve"> kurią buvo išduodamos paskolos verslui pradėti, prioritetas buvo teikiamas keturioms grupėms, iš kurių viena – savo verslą norintys įsteigti jauni (iki 29 metų amžiaus) asmenys. Paminėtina, kad jaunuoliai sudarė 76 proc. visų mokymuose dalyvavusių ir paskolas iš Verslumo skatinimo fondo gavusių asmenų. 58 proc. apklaustų jaunuolių nurodė, kad savo verslą būtų pradėję ir be paskolos iš Verslumo skatinimo fondo, tačiau 22 proc. apklaustųjų teigė, kad verslo nebūtų pradėję, jei nebūtų gavę paskolos, o 20 proc. respondentų nurodė, kad lengvatinės paskolos gavimas padėjo apsispręsti pradėti verslą. Priemonė prisidėjo prie jaunuolių verslumo skatinimo, nes paskolų gavėjams siūlomos papildomos lengvatos (iki 80 proc. paskolos sumos užtikrinimas INVEGA garantija ir 95 proc. paskolos palūkanų kompensavimas) sudarė unikalias sąlygas verslo pradžiai ir vystymui. Nustatyta, kad vienos iš svarbiausių priežasčių, dėl kurių jaunimas nesiima verslo Lietuvoje, yra bankroto ir asmeninės nesėkmės baimė. Planuojant jaunimo verslumui skatinti skirtas intervencijas, svarbu į tai atsižvelgti.</w:t>
      </w:r>
    </w:p>
    <w:p w:rsidR="00A73AD3" w:rsidRPr="00704094" w:rsidRDefault="00A73AD3" w:rsidP="009706B2">
      <w:pPr>
        <w:pStyle w:val="Antrastes3"/>
        <w:rPr>
          <w:rFonts w:cs="Times New Roman"/>
        </w:rPr>
      </w:pPr>
      <w:r w:rsidRPr="00704094">
        <w:rPr>
          <w:rFonts w:cs="Times New Roman"/>
        </w:rPr>
        <w:t>Svarbiausios rekomendacijos ir strateginiai siūlymai</w:t>
      </w:r>
    </w:p>
    <w:p w:rsidR="00A73AD3" w:rsidRPr="00704094" w:rsidRDefault="00A73AD3" w:rsidP="009706B2">
      <w:pPr>
        <w:pStyle w:val="Pagrindinispaprastastekstas"/>
        <w:rPr>
          <w:rFonts w:cs="Times New Roman"/>
          <w:sz w:val="22"/>
          <w:szCs w:val="22"/>
        </w:rPr>
      </w:pPr>
      <w:r w:rsidRPr="00704094">
        <w:rPr>
          <w:rFonts w:cs="Times New Roman"/>
          <w:b/>
          <w:bCs/>
          <w:i/>
          <w:iCs/>
          <w:color w:val="1F497D"/>
          <w:sz w:val="22"/>
          <w:szCs w:val="22"/>
        </w:rPr>
        <w:t xml:space="preserve">ES struktūrinės paramos poveikio smulkiajam ir vidutiniam verslui vertinimo </w:t>
      </w:r>
      <w:r w:rsidRPr="00704094">
        <w:rPr>
          <w:rFonts w:cs="Times New Roman"/>
          <w:sz w:val="22"/>
          <w:szCs w:val="22"/>
        </w:rPr>
        <w:t>ataskaitoje pateikta dvylika rekomendacijų dėl SVV projektų finansavimo sąlygų. Pasiūlyta teikiant paramą verslo produktyvumo didinimui ir priėjimo prie finansavimo šaltinių gerinimui remti tik SVV subjektus, nes didelių įmonių rėmimas nesukuria teigiamo poveikio ekonomikai (šios įmonės įgyvendintų savo planus ir be ES investicijų). Rekomenduota prioritetą teikti finansinėms priemonėms, kurių dalį reikėtų orientuoti į aukštą pridėtinę vertę kuriančias (arba žinioms imlias) įmones. Siekiant ilgalaikių ekonomikos tikslų, prioritetas įgyvendinant finansines priemones turėtų būti teikiamas investiciniams kreditams, t. y. įmonių konkurencinių pranašumų stiprinimui, o ne apyvartinių lėšų trūkumo sukeltų problemų sprendimui. Vertinimo ataskaitoje teigiama, kad subsidijos turėtų būti teikiamos tik SVV subjektams ir tik tuo atveju, jei be šių investicijų SVV subjektai nebūtų pajėgūs savarankiškai įgyvendinti suplanuotų veiklų (pavyzdžiui, plėsti eksporto, diegti elektroninių sprendimų, įsigyti ar atnaujinti technologijų).</w:t>
      </w:r>
    </w:p>
    <w:p w:rsidR="00A73AD3" w:rsidRPr="00704094" w:rsidRDefault="00A73AD3" w:rsidP="009706B2">
      <w:pPr>
        <w:pStyle w:val="Pagrindinispaprastastekstas"/>
        <w:rPr>
          <w:rFonts w:cs="Times New Roman"/>
          <w:sz w:val="22"/>
          <w:szCs w:val="22"/>
        </w:rPr>
      </w:pPr>
    </w:p>
    <w:p w:rsidR="00A73AD3" w:rsidRPr="00704094" w:rsidRDefault="00A73AD3" w:rsidP="009706B2">
      <w:pPr>
        <w:pStyle w:val="Pagrindinispaprastastekstas"/>
        <w:rPr>
          <w:rFonts w:cs="Times New Roman"/>
          <w:sz w:val="22"/>
          <w:szCs w:val="22"/>
        </w:rPr>
      </w:pPr>
      <w:r w:rsidRPr="00704094">
        <w:rPr>
          <w:rFonts w:cs="Times New Roman"/>
          <w:b/>
          <w:bCs/>
          <w:i/>
          <w:iCs/>
          <w:color w:val="1F497D"/>
          <w:sz w:val="22"/>
          <w:szCs w:val="22"/>
        </w:rPr>
        <w:t xml:space="preserve">2007–2013 m. ES struktūrinės paramos poveikio Lietuvos miestams ir miesteliams vertinimo </w:t>
      </w:r>
      <w:r w:rsidRPr="00704094">
        <w:rPr>
          <w:rFonts w:cs="Times New Roman"/>
          <w:sz w:val="22"/>
          <w:szCs w:val="22"/>
        </w:rPr>
        <w:t>ataskaitoje atkreiptas dėmesys į poreikį derinti verslo konkurencingumui didinti skirtas intervencijas su kitomis konkrečioje teritorijoje vykdomomis intervencijomis. 2007–2013 m. EAVP intervencijos, skirtos verslo produktyvumui didinti, verslumui ir investicijoms skatinti, nebuvo derinamos su kitomis intervencijomis miestuose ir miesteliuose (pavyzdžiui, su intervencijomis, skirtomis kompleksiniam viešosios infrastruktūros atnaujinimui regioniniuose ekonomikos augimo centruose ar probleminių teritorijų miestuose). Derinant skirtingas intervencijas būtų sudarytos prielaidos efektyviau panaudoti kuriamą infrastruktūrą ir spręsti miestų ar savivaldybių socialines ir ekonomines problemas.</w:t>
      </w:r>
    </w:p>
    <w:p w:rsidR="00A73AD3" w:rsidRPr="00704094" w:rsidRDefault="00A73AD3" w:rsidP="009706B2">
      <w:pPr>
        <w:pStyle w:val="Pagrindinispaprastastekstas"/>
        <w:rPr>
          <w:rFonts w:cs="Times New Roman"/>
          <w:sz w:val="22"/>
          <w:szCs w:val="22"/>
        </w:rPr>
      </w:pPr>
    </w:p>
    <w:p w:rsidR="00A73AD3" w:rsidRPr="00704094" w:rsidRDefault="00A73AD3" w:rsidP="009706B2">
      <w:pPr>
        <w:pStyle w:val="Pagrindinispaprastastekstas"/>
        <w:rPr>
          <w:rFonts w:cs="Times New Roman"/>
          <w:sz w:val="22"/>
          <w:szCs w:val="22"/>
        </w:rPr>
      </w:pPr>
      <w:r w:rsidRPr="00704094">
        <w:rPr>
          <w:rFonts w:cs="Times New Roman"/>
          <w:b/>
          <w:bCs/>
          <w:i/>
          <w:iCs/>
          <w:color w:val="1F497D"/>
          <w:sz w:val="22"/>
          <w:szCs w:val="22"/>
        </w:rPr>
        <w:t>2007–2013 m. ŽIPVP 1 prioriteto „Kokybiškas užimtumas ir socialinė aprėptis“ priemonių, skirtų skatinti jaunimo užimtumą, poveikio ir efektyvumo vertinime</w:t>
      </w:r>
      <w:r w:rsidRPr="00704094">
        <w:rPr>
          <w:rFonts w:cs="Times New Roman"/>
          <w:color w:val="1F497D"/>
          <w:sz w:val="22"/>
          <w:szCs w:val="22"/>
        </w:rPr>
        <w:t xml:space="preserve"> </w:t>
      </w:r>
      <w:r w:rsidRPr="00704094">
        <w:rPr>
          <w:rFonts w:cs="Times New Roman"/>
          <w:sz w:val="22"/>
          <w:szCs w:val="22"/>
        </w:rPr>
        <w:t xml:space="preserve">pateikti pasiūlymai dėl efektyvesnio jaunimo verslumui skatinti skirtos priemonės įgyvendinimo. Teikiant paskolas verslo pradžiai, 2007–2013 m. 80 proc. paskolos sumos buvo duodama INVEGA garantija, o likusią dalį paskolos turėjo garantuoti pats paskolą imantis jaunuolis. Jei jis neturėjo pakankamai nuosavo turto ar nerasdavo laiduotojo, paskola nebuvo suteikiama. Siekiant efektyvesnio ES lėšų investavimo būtent jaunimo verslumo skatinimo srityje, rekomenduota sukurti naują priemonę, pagal kurią jaunuoliai galėtų gauti lengvatinę paskolą, jei neturi kaip kitaip garantuoti likusios verslui steigti prašomos paskolos dalies. Be to, pasiūlyta individualiai konsultuoti jaunimą pirmaisiais naujo sukurto verslo gyvavimo metais, </w:t>
      </w:r>
      <w:r w:rsidRPr="00704094">
        <w:rPr>
          <w:rFonts w:cs="Times New Roman"/>
          <w:sz w:val="22"/>
          <w:szCs w:val="22"/>
        </w:rPr>
        <w:lastRenderedPageBreak/>
        <w:t>mažinti naujai pradėto verslo finansinę naštą pirmuosius pusę metų, užtikrinti efektyvią informacijos apie verslumo skatinimą sklaidą tarp skirtingų jaunimo grupių.</w:t>
      </w:r>
    </w:p>
    <w:p w:rsidR="00A73AD3" w:rsidRPr="00704094" w:rsidRDefault="00A73AD3" w:rsidP="00C26A53">
      <w:pPr>
        <w:pStyle w:val="Antrastes2"/>
        <w:jc w:val="both"/>
        <w:rPr>
          <w:rFonts w:cs="Times New Roman"/>
        </w:rPr>
      </w:pPr>
      <w:bookmarkStart w:id="22" w:name="_Toc472343153"/>
      <w:r w:rsidRPr="00704094">
        <w:rPr>
          <w:rFonts w:cs="Times New Roman"/>
        </w:rPr>
        <w:t xml:space="preserve">Investicijų poveikis viešosios politikos sritims: </w:t>
      </w:r>
      <w:r w:rsidRPr="00704094">
        <w:rPr>
          <w:rFonts w:cs="Times New Roman"/>
          <w:color w:val="E36C0A"/>
        </w:rPr>
        <w:t>energijos efektyvumas, atsinaujinančių išteklių energijos gamyba ir naudojimas</w:t>
      </w:r>
      <w:bookmarkEnd w:id="22"/>
    </w:p>
    <w:p w:rsidR="00A73AD3" w:rsidRPr="00704094" w:rsidRDefault="00A73AD3" w:rsidP="00AE2029">
      <w:pPr>
        <w:pStyle w:val="Antrastes3"/>
        <w:rPr>
          <w:rFonts w:cs="Times New Roman"/>
        </w:rPr>
      </w:pPr>
      <w:r w:rsidRPr="00704094">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531"/>
        <w:gridCol w:w="1186"/>
        <w:gridCol w:w="1366"/>
        <w:gridCol w:w="2544"/>
      </w:tblGrid>
      <w:tr w:rsidR="00A73AD3" w:rsidRPr="00986CFB">
        <w:tc>
          <w:tcPr>
            <w:tcW w:w="4531"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36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2544"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4531"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 xml:space="preserve">Ūkio ministerijos kompetencijai priskirtų bendrai finansuojamų iš ES struktūrinių fondų lėšų ekonomikos sektorių būklės pokyčių vertinimas (1 etapas) </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2011 m. gruodis</w:t>
            </w:r>
          </w:p>
        </w:tc>
        <w:tc>
          <w:tcPr>
            <w:tcW w:w="136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 xml:space="preserve">Ūkio ministerija </w:t>
            </w:r>
          </w:p>
        </w:tc>
        <w:tc>
          <w:tcPr>
            <w:tcW w:w="2544"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„BGI Consulting“</w:t>
            </w:r>
          </w:p>
        </w:tc>
      </w:tr>
      <w:tr w:rsidR="00A73AD3" w:rsidRPr="00986CFB">
        <w:tc>
          <w:tcPr>
            <w:tcW w:w="4531"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Europos Sąjungos struktūrinės paramos poveikio Lietuvos konkurencingumui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gegužė</w:t>
            </w:r>
          </w:p>
        </w:tc>
        <w:tc>
          <w:tcPr>
            <w:tcW w:w="136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544"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r w:rsidR="00A73AD3" w:rsidRPr="00986CFB">
        <w:tc>
          <w:tcPr>
            <w:tcW w:w="4531"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darniajam vystymuisi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birželis</w:t>
            </w:r>
          </w:p>
        </w:tc>
        <w:tc>
          <w:tcPr>
            <w:tcW w:w="136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544"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„Deloitte Lietuva“ ir Integra Consulting, Ltd.</w:t>
            </w:r>
          </w:p>
        </w:tc>
      </w:tr>
      <w:tr w:rsidR="00A73AD3" w:rsidRPr="00986CFB">
        <w:tc>
          <w:tcPr>
            <w:tcW w:w="4531"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užimtumui ir kitiems Lietuvos ūkio makroekonominiams rodikliams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liepa</w:t>
            </w:r>
          </w:p>
        </w:tc>
        <w:tc>
          <w:tcPr>
            <w:tcW w:w="136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544"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r w:rsidR="00A73AD3" w:rsidRPr="00986CFB">
        <w:tc>
          <w:tcPr>
            <w:tcW w:w="4531"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Lietuvos miestams ir miesteliams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rugpjūtis</w:t>
            </w:r>
          </w:p>
        </w:tc>
        <w:tc>
          <w:tcPr>
            <w:tcW w:w="136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2544"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„ESTEP Vilnius“</w:t>
            </w:r>
          </w:p>
        </w:tc>
      </w:tr>
    </w:tbl>
    <w:p w:rsidR="00A73AD3" w:rsidRPr="00704094" w:rsidRDefault="00A73AD3" w:rsidP="00AE2029">
      <w:pPr>
        <w:pStyle w:val="Antrastes3"/>
        <w:rPr>
          <w:rFonts w:cs="Times New Roman"/>
        </w:rPr>
      </w:pPr>
      <w:r w:rsidRPr="00704094">
        <w:rPr>
          <w:rFonts w:cs="Times New Roman"/>
        </w:rPr>
        <w:t>Pagrindiniai vertinimų rezultatai ir išvados</w:t>
      </w:r>
    </w:p>
    <w:p w:rsidR="00A73AD3" w:rsidRPr="00704094" w:rsidRDefault="00A73AD3" w:rsidP="00AE2029">
      <w:pPr>
        <w:pStyle w:val="Pagrindinispaprastastekstas"/>
        <w:rPr>
          <w:rFonts w:cs="Times New Roman"/>
          <w:sz w:val="22"/>
          <w:szCs w:val="22"/>
        </w:rPr>
      </w:pPr>
      <w:r w:rsidRPr="00704094">
        <w:rPr>
          <w:rFonts w:cs="Times New Roman"/>
          <w:sz w:val="22"/>
          <w:szCs w:val="22"/>
        </w:rPr>
        <w:t>Iki 2016 m. pabaigos užbaigtuose vertinimuose ES fondų investicijų poveikis energetikos sektoriui nebuvo detaliai nagrinėtas.</w:t>
      </w:r>
      <w:r w:rsidRPr="00704094">
        <w:rPr>
          <w:rStyle w:val="FootnoteReference"/>
          <w:rFonts w:cs="Times New Roman"/>
        </w:rPr>
        <w:footnoteReference w:id="5"/>
      </w:r>
      <w:r w:rsidRPr="00704094">
        <w:rPr>
          <w:rFonts w:cs="Times New Roman"/>
          <w:sz w:val="22"/>
          <w:szCs w:val="22"/>
        </w:rPr>
        <w:t xml:space="preserve"> Vertinimuose daugiausia nagrinėti energetikos sektoriuje vykdytų intervencijų tinkamumo, masto ir poveikio šalies ekonomikai (makroekonominiams rodikliams) klausimai. </w:t>
      </w:r>
    </w:p>
    <w:p w:rsidR="00A73AD3" w:rsidRPr="00704094" w:rsidRDefault="00A73AD3" w:rsidP="00AE2029">
      <w:pPr>
        <w:pStyle w:val="Pagrindinispaprastastekstas"/>
        <w:rPr>
          <w:rFonts w:cs="Times New Roman"/>
          <w:sz w:val="22"/>
          <w:szCs w:val="22"/>
        </w:rPr>
      </w:pPr>
    </w:p>
    <w:p w:rsidR="00A73AD3" w:rsidRPr="00704094" w:rsidRDefault="00A73AD3" w:rsidP="0037671F">
      <w:pPr>
        <w:pStyle w:val="Pagrindinispaprastastekstas"/>
        <w:rPr>
          <w:rFonts w:cs="Times New Roman"/>
          <w:sz w:val="22"/>
          <w:szCs w:val="22"/>
        </w:rPr>
      </w:pPr>
      <w:r w:rsidRPr="00704094">
        <w:rPr>
          <w:rFonts w:cs="Times New Roman"/>
          <w:b/>
          <w:bCs/>
          <w:i/>
          <w:iCs/>
          <w:color w:val="1F497D"/>
          <w:sz w:val="22"/>
          <w:szCs w:val="22"/>
        </w:rPr>
        <w:t>Ūkio ministerijos kompetencijai priskirtų bendrai finansuojamų iš ES struktūrinių fondų lėšų ekonomikos sektorių būklės pokyčių vertinimo</w:t>
      </w:r>
      <w:r w:rsidRPr="00704094">
        <w:rPr>
          <w:rFonts w:cs="Times New Roman"/>
          <w:color w:val="1F497D"/>
          <w:sz w:val="22"/>
          <w:szCs w:val="22"/>
        </w:rPr>
        <w:t xml:space="preserve"> </w:t>
      </w:r>
      <w:r w:rsidRPr="00704094">
        <w:rPr>
          <w:rFonts w:cs="Times New Roman"/>
          <w:sz w:val="22"/>
          <w:szCs w:val="22"/>
        </w:rPr>
        <w:t xml:space="preserve">(1 etapas) ataskaitoje teigiama, kad energetikos srities priemonių tinkamumas nekelia abejonių, nes priemonės atitinka Lietuvos ir ES energetikos strateginiuose dokumentuose ir direktyvose suformuluotus prioritetus ir tikslus. Dauguma vykdomų priemonių pasiteisina, ypač ilguoju laikotarpiu, ir Lietuvos socialinės-ekonominės situacijos kontekste. Vertintojai konstatuoja, kad per praėjusį dešimtmetį didesnės pažangos didinant energijos vartojimo efektyvumą pasiekta tik pramonėje ir iš dalies prekybos bei paslaugų sektoriuje. Visuomeniniame sektoriuje – mokyklose, universitetuose, ligoninėse ir pan. – padėtis mažai pagerėjo. Teigiama, kad investicijos į sveikatos, švietimo, socialinio sektoriaus ir kitų viešosios paskirties pastatų renovaciją leidžia beveik dvigubai sumažinti energijos sąnaudas patalpų šildymui senos statybos pastatuose. Taip pat nurodoma, kad pasiektas ir viršytas vienas iš šalies strateginių tikslų – </w:t>
      </w:r>
      <w:r w:rsidRPr="00704094">
        <w:rPr>
          <w:rFonts w:cs="Times New Roman"/>
          <w:sz w:val="22"/>
          <w:szCs w:val="22"/>
          <w:lang w:eastAsia="en-US"/>
        </w:rPr>
        <w:t>kad</w:t>
      </w:r>
      <w:r w:rsidRPr="00704094">
        <w:rPr>
          <w:rFonts w:cs="Times New Roman"/>
          <w:sz w:val="22"/>
          <w:szCs w:val="22"/>
        </w:rPr>
        <w:t xml:space="preserve"> atsinaujinančių energijos išteklių dalis šalies pirminės energijos balanse 2010 m. sudarytų iki 12 proc. </w:t>
      </w:r>
      <w:r w:rsidRPr="00704094">
        <w:rPr>
          <w:rFonts w:cs="Times New Roman"/>
          <w:sz w:val="22"/>
          <w:szCs w:val="22"/>
          <w:lang w:eastAsia="en-US"/>
        </w:rPr>
        <w:t>Galiausiai</w:t>
      </w:r>
      <w:r w:rsidRPr="00704094">
        <w:rPr>
          <w:rFonts w:cs="Times New Roman"/>
          <w:sz w:val="22"/>
          <w:szCs w:val="22"/>
        </w:rPr>
        <w:t xml:space="preserve"> vertintojai teigia, kad ES investicijos energetikos sektoriuje turi ilgalaikį makroekonominį poveikį: išlaidų energetikos srityje nulemtas BVP prieaugis laikotarpiu iki 2020 m. 2,34 karto viršija išlaidas. </w:t>
      </w:r>
    </w:p>
    <w:p w:rsidR="00A73AD3" w:rsidRPr="00704094" w:rsidRDefault="00A73AD3" w:rsidP="0037671F">
      <w:pPr>
        <w:pStyle w:val="Pagrindinispaprastastekstas"/>
        <w:rPr>
          <w:rFonts w:cs="Times New Roman"/>
          <w:sz w:val="22"/>
          <w:szCs w:val="22"/>
        </w:rPr>
      </w:pPr>
    </w:p>
    <w:p w:rsidR="00A73AD3" w:rsidRPr="00704094" w:rsidRDefault="00A73AD3" w:rsidP="00F83F60">
      <w:pPr>
        <w:pStyle w:val="Pagrindinispaprastastekstas"/>
        <w:rPr>
          <w:rFonts w:cs="Times New Roman"/>
          <w:sz w:val="22"/>
          <w:szCs w:val="22"/>
        </w:rPr>
      </w:pPr>
      <w:r w:rsidRPr="00704094">
        <w:rPr>
          <w:rFonts w:cs="Times New Roman"/>
          <w:b/>
          <w:bCs/>
          <w:i/>
          <w:iCs/>
          <w:color w:val="1F497D"/>
          <w:sz w:val="22"/>
          <w:szCs w:val="22"/>
        </w:rPr>
        <w:t>ES struktūrinės paramos poveikio Lietuvos konkurencingumui vertinimas</w:t>
      </w:r>
      <w:r w:rsidRPr="00704094">
        <w:rPr>
          <w:rFonts w:cs="Times New Roman"/>
          <w:color w:val="1F497D"/>
          <w:sz w:val="22"/>
          <w:szCs w:val="22"/>
        </w:rPr>
        <w:t xml:space="preserve"> </w:t>
      </w:r>
      <w:r w:rsidRPr="00704094">
        <w:rPr>
          <w:rFonts w:cs="Times New Roman"/>
          <w:sz w:val="22"/>
          <w:szCs w:val="22"/>
        </w:rPr>
        <w:t xml:space="preserve">apėmė visas energetikos sričiai priskiriamas Ūkio ministerijos administruotas EAVP ir Sanglaudos skatinimo veiksmų programos (toliau – SSVP) priemones, išskyrus tas, pagal kurias buvo vykdoma viešosios paskirties pastatų renovacija. Nors vertinimo metu daugumos energetikos sričiai priskiriamų priemonių stebėsenos rodikliai jau buvo pasiekti, atkreipiamas dėmesys į stringantį atsinaujinančių energijos </w:t>
      </w:r>
      <w:r w:rsidRPr="00704094">
        <w:rPr>
          <w:rFonts w:cs="Times New Roman"/>
          <w:sz w:val="22"/>
          <w:szCs w:val="22"/>
        </w:rPr>
        <w:lastRenderedPageBreak/>
        <w:t xml:space="preserve">išteklių gamybos plėtrai skirtų priemonių įgyvendinimą. Nustatyta, kad ES fondų investicijų dėka buvo modernizuota 720 km centralizuoto šilumos tiekimo tinklų (28 proc. bendro šilumos tiekimo trasų ilgio Lietuvoje), todėl daroma išvada, kad ES fondų investicijos darė stiprų poveikį strateginio konteksto rodikliui „Šiluminės energijos transportavimo nuostoliai“. </w:t>
      </w:r>
    </w:p>
    <w:p w:rsidR="00A73AD3" w:rsidRPr="00704094" w:rsidRDefault="00A73AD3" w:rsidP="0037671F">
      <w:pPr>
        <w:pStyle w:val="Pagrindinispaprastastekstas"/>
        <w:rPr>
          <w:rFonts w:cs="Times New Roman"/>
          <w:sz w:val="22"/>
          <w:szCs w:val="22"/>
        </w:rPr>
      </w:pPr>
    </w:p>
    <w:p w:rsidR="00A73AD3" w:rsidRPr="00704094" w:rsidRDefault="00A73AD3" w:rsidP="00D77FF7">
      <w:pPr>
        <w:pStyle w:val="Pagrindinispaprastastekstas"/>
        <w:rPr>
          <w:rFonts w:cs="Times New Roman"/>
          <w:sz w:val="22"/>
          <w:szCs w:val="22"/>
        </w:rPr>
      </w:pPr>
      <w:r w:rsidRPr="00704094">
        <w:rPr>
          <w:rFonts w:cs="Times New Roman"/>
          <w:b/>
          <w:bCs/>
          <w:i/>
          <w:iCs/>
          <w:color w:val="365F91"/>
          <w:sz w:val="22"/>
          <w:szCs w:val="22"/>
        </w:rPr>
        <w:t>2007–2013 metų ES struktūrinės paramos poveikio užimtumui ir kitiems Lietuvos ūkio makroekonominiams rodikliams vertinimo</w:t>
      </w:r>
      <w:r w:rsidRPr="00704094">
        <w:rPr>
          <w:rFonts w:cs="Times New Roman"/>
          <w:sz w:val="22"/>
          <w:szCs w:val="22"/>
        </w:rPr>
        <w:t xml:space="preserve"> metu buvo atliktas ekonometrinis modeliavimas ir įvertintas ES fondų investicijų poveikis energetikos sektoriui.</w:t>
      </w:r>
      <w:r w:rsidRPr="00704094">
        <w:rPr>
          <w:rStyle w:val="FootnoteReference"/>
          <w:rFonts w:cs="Times New Roman"/>
        </w:rPr>
        <w:footnoteReference w:id="6"/>
      </w:r>
      <w:r w:rsidRPr="00704094">
        <w:rPr>
          <w:rFonts w:cs="Times New Roman"/>
          <w:sz w:val="22"/>
          <w:szCs w:val="22"/>
        </w:rPr>
        <w:t xml:space="preserve"> Nustatyta, kad energetikos ir atliekų tvarkymo sektoriuose investuota 972 mln. EUR. Per 2007–2015 m. dėl šių investicijų papildomai buvo sukurta tik apie 60 mln. EUR pridėtinės vertės nominaliąja išraiška (investicijų efektyvumo koeficientas – 0,06). Pratęsus poveikio matavimo laikotarpį iki 2020 m., investicijų poveikis papildomos pridėtinės vertės kūrimui padidėja iki beveik 120 mln. EUR, o efektyvumo koeficientas pakyla iki 0,12.</w:t>
      </w:r>
      <w:r w:rsidRPr="00704094">
        <w:rPr>
          <w:rStyle w:val="FootnoteReference"/>
          <w:rFonts w:cs="Times New Roman"/>
        </w:rPr>
        <w:footnoteReference w:id="7"/>
      </w:r>
      <w:r w:rsidRPr="00704094">
        <w:rPr>
          <w:rFonts w:cs="Times New Roman"/>
          <w:sz w:val="22"/>
          <w:szCs w:val="22"/>
        </w:rPr>
        <w:t xml:space="preserve"> Vertintojai nurodo, kad daug ES fondų investicijų buvo skirta energetinio saugumo didinimui ir </w:t>
      </w:r>
      <w:r w:rsidRPr="00704094">
        <w:rPr>
          <w:rFonts w:cs="Times New Roman"/>
          <w:sz w:val="22"/>
          <w:szCs w:val="22"/>
          <w:lang w:eastAsia="en-US"/>
        </w:rPr>
        <w:t>žaliosios</w:t>
      </w:r>
      <w:r w:rsidRPr="00704094">
        <w:rPr>
          <w:rFonts w:cs="Times New Roman"/>
          <w:sz w:val="22"/>
          <w:szCs w:val="22"/>
        </w:rPr>
        <w:t xml:space="preserve"> energetikos plėtrai, tačiau vyraujant žemoms aplinkinių rinkų </w:t>
      </w:r>
      <w:r w:rsidR="00CA1232">
        <w:rPr>
          <w:noProof/>
          <w:sz w:val="22"/>
          <w:szCs w:val="22"/>
        </w:rPr>
        <mc:AlternateContent>
          <mc:Choice Requires="wps">
            <w:drawing>
              <wp:anchor distT="36195" distB="36195" distL="107950" distR="107950" simplePos="0" relativeHeight="251665408" behindDoc="1" locked="0" layoutInCell="1" allowOverlap="1">
                <wp:simplePos x="0" y="0"/>
                <wp:positionH relativeFrom="margin">
                  <wp:align>right</wp:align>
                </wp:positionH>
                <wp:positionV relativeFrom="paragraph">
                  <wp:posOffset>595630</wp:posOffset>
                </wp:positionV>
                <wp:extent cx="2890520" cy="1602105"/>
                <wp:effectExtent l="0" t="0" r="0" b="0"/>
                <wp:wrapSquare wrapText="bothSides"/>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60210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382684">
                            <w:pPr>
                              <w:jc w:val="center"/>
                              <w:rPr>
                                <w:rFonts w:ascii="Cambria" w:hAnsi="Cambria" w:cs="Cambria"/>
                                <w:color w:val="17365D"/>
                                <w:sz w:val="20"/>
                                <w:szCs w:val="20"/>
                              </w:rPr>
                            </w:pPr>
                            <w:r w:rsidRPr="00704094">
                              <w:rPr>
                                <w:rFonts w:ascii="Cambria" w:hAnsi="Cambria"/>
                                <w:color w:val="17365D"/>
                                <w:sz w:val="20"/>
                                <w:szCs w:val="20"/>
                              </w:rPr>
                              <w:t>ES fondų investicijų poveikis makroekonominiams energetikos sektoriaus rodikliams vertinimuose analizuojamas kartu su atliekų tvarkymo sektoriumi. Šiems sektoriams teko apie 14,5 proc. visų 2007–2013 m. ES fondų investicijų, tačiau investicijų efektyvumo koeficientas yra nedidelis dėl riboto investicijų poveikio sukuriamai pridėtinei vertei. Šiuose sektoriuose sukuriama apie 6 proc. šalies BVP.</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176.4pt;margin-top:46.9pt;width:227.6pt;height:126.15pt;z-index:-251651072;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" fillcolor="#efede3" stroked="f" strokeweight=".5pt">
                <v:fill color2="#eae7d9" rotate="t" focusposition=".5,.5" focussize="" focus="100%" type="gradientRadial"/>
                <v:textbox inset="3mm,3mm,3mm,3mm">
                  <w:txbxContent>
                    <w:p w:rsidR="009F5833" w:rsidRPr="00986CFB" w:rsidRDefault="009F5833" w:rsidP="00382684">
                      <w:pPr>
                        <w:jc w:val="center"/>
                        <w:rPr>
                          <w:rFonts w:ascii="Cambria" w:hAnsi="Cambria" w:cs="Cambria"/>
                          <w:color w:val="17365D"/>
                          <w:sz w:val="20"/>
                          <w:szCs w:val="20"/>
                        </w:rPr>
                      </w:pPr>
                      <w:r w:rsidRPr="00704094">
                        <w:rPr>
                          <w:rFonts w:ascii="Cambria" w:hAnsi="Cambria"/>
                          <w:color w:val="17365D"/>
                          <w:sz w:val="20"/>
                          <w:szCs w:val="20"/>
                        </w:rPr>
                        <w:t>ES fondų investicijų poveikis makroekonominiams energetikos sektoriaus rodikliams vertinimuose analizuojamas kartu su atliekų tvarkymo sektoriumi. Šiems sektoriams teko apie 14,5 proc. visų 2007–2013 m. ES fondų investicijų, tačiau investicijų efektyvumo koeficientas yra nedidelis dėl riboto investicijų poveikio sukuriamai pridėtinei vertei. Šiuose sektoriuose sukuriama apie 6 proc. šalies BVP.</w:t>
                      </w:r>
                    </w:p>
                  </w:txbxContent>
                </v:textbox>
                <w10:wrap type="square" anchorx="margin"/>
              </v:shape>
            </w:pict>
          </mc:Fallback>
        </mc:AlternateContent>
      </w:r>
      <w:r w:rsidRPr="00704094">
        <w:rPr>
          <w:rFonts w:cs="Times New Roman"/>
          <w:sz w:val="22"/>
          <w:szCs w:val="22"/>
        </w:rPr>
        <w:t xml:space="preserve">kainoms importuoti energiją yra pigiau nei gaminti patiems, todėl investicijų poveikis energetikos sektoriaus sukuriamai pridėtinei vertei kol kas yra menkas. Tikėtina, kad situacija pasikeis, prasidėjus naujam naftos ir dujų brangimo ciklui. Taip pat nustatyta, kad ES struktūrinių fondų investicijos į energetikos ir atliekų tvarkymo sektorius turėjo nedidelį teigiamą poveikį šio sektoriaus užimtumo rodikliams. Dėl investicijų 2015 m. šiuose sektoriuose buvo papildomai sukurta ir (ar) išsaugota beveik 300 sąlyginių darbo vietų. </w:t>
      </w:r>
    </w:p>
    <w:p w:rsidR="00A73AD3" w:rsidRPr="00704094" w:rsidRDefault="00A73AD3" w:rsidP="00855AF4">
      <w:pPr>
        <w:pStyle w:val="Pagrindinispaprastastekstas"/>
        <w:rPr>
          <w:rFonts w:cs="Times New Roman"/>
          <w:sz w:val="22"/>
          <w:szCs w:val="22"/>
        </w:rPr>
      </w:pPr>
    </w:p>
    <w:p w:rsidR="00A73AD3" w:rsidRPr="00704094" w:rsidRDefault="00A73AD3" w:rsidP="00855AF4">
      <w:pPr>
        <w:pStyle w:val="Pagrindinispaprastastekstas"/>
        <w:rPr>
          <w:rFonts w:cs="Times New Roman"/>
          <w:sz w:val="22"/>
          <w:szCs w:val="22"/>
        </w:rPr>
      </w:pPr>
      <w:r w:rsidRPr="00704094">
        <w:rPr>
          <w:rFonts w:cs="Times New Roman"/>
          <w:b/>
          <w:bCs/>
          <w:i/>
          <w:iCs/>
          <w:color w:val="1F497D"/>
          <w:sz w:val="22"/>
          <w:szCs w:val="22"/>
        </w:rPr>
        <w:t>2007–2013 m. ES struktūrinės paramos poveikio darniajam vystymuisi vertinimo</w:t>
      </w:r>
      <w:r w:rsidRPr="00704094">
        <w:rPr>
          <w:rFonts w:cs="Times New Roman"/>
          <w:sz w:val="22"/>
          <w:szCs w:val="22"/>
        </w:rPr>
        <w:t xml:space="preserve"> ataskaitoje nurodoma, kad energijos intensyvumas sumažėjo daugiau nei planuota rengiant SSVP, tačiau atsinaujinančių energijos išteklių (toliau – AEI) naudojimas taip pat sumažėjo: 2005 m. siekė 750 tūkst. t n. e., o 2014 m. – tik 707,40 tūkst. t n. e. Reikšmingai išaugo iš AEI pagamintos elektros energijos dalis: 2006 m. rodiklis sudarė tik 3,49 proc., o 2014 m. – 34,34 proc. Beveik dvigubai padidėjo elektros energijos, pagamintos kogeneracinėse elektrinėse, dalis iš visos pagamintos elektros energijos: nuo 22,57 proc. (2006 m.) iki 53,54 proc. (2014 m.). Tai rodo, kad iš AEI pagaminamos energijos kiekiai yra linkę didėti, tačiau energijos panaudojamumas išlieka mažas dėl energetikos infrastruktūros menko pritaikymo AEI. Vertintojai taip pat pateikia išvadas dėl 2007–2013 m. veiksmų programų prioritetų, kurie apėmė intervencijas energetikos sektoriuje (EAVP 4 prioritetas, SSVP 1 ir 3 prioritetai), poveikio darniam vystymuisi. Teigiama, kad EAVP 4 prioriteto poveikis gamtos ištekliams yra teigiamas ir stiprus, tačiau vertintojai daugiausia analizavo intervencijas transporto, o ne energetikos srityje. </w:t>
      </w:r>
    </w:p>
    <w:p w:rsidR="00A73AD3" w:rsidRPr="00704094" w:rsidRDefault="00A73AD3" w:rsidP="00855AF4">
      <w:pPr>
        <w:pStyle w:val="Pagrindinispaprastastekstas"/>
        <w:rPr>
          <w:rFonts w:cs="Times New Roman"/>
          <w:sz w:val="22"/>
          <w:szCs w:val="22"/>
        </w:rPr>
      </w:pPr>
    </w:p>
    <w:p w:rsidR="00A73AD3" w:rsidRPr="00704094" w:rsidRDefault="00A73AD3" w:rsidP="00855AF4">
      <w:pPr>
        <w:pStyle w:val="Pagrindinispaprastastekstas"/>
        <w:rPr>
          <w:rFonts w:cs="Times New Roman"/>
          <w:sz w:val="22"/>
          <w:szCs w:val="22"/>
        </w:rPr>
      </w:pPr>
      <w:r w:rsidRPr="00704094">
        <w:rPr>
          <w:rFonts w:cs="Times New Roman"/>
          <w:b/>
          <w:bCs/>
          <w:i/>
          <w:iCs/>
          <w:color w:val="1F497D"/>
          <w:sz w:val="22"/>
          <w:szCs w:val="22"/>
        </w:rPr>
        <w:t>2007–2013 m. ES struktūrinės paramos poveikio Lietuvos miestams ir miesteliams vertinime</w:t>
      </w:r>
      <w:r w:rsidRPr="00704094">
        <w:rPr>
          <w:rFonts w:cs="Times New Roman"/>
          <w:sz w:val="22"/>
          <w:szCs w:val="22"/>
        </w:rPr>
        <w:t xml:space="preserve"> buvo apibendrinti duomenys apie ES fondų investicijų mastą daugiabučių gyvenamųjų namų ir viešosios paskirties pastatų energijos vartojimo efektyvumo didinimo srityje. Nustatyta, kad iki 2015 m. pabaigos Lietuvoje renovuoti 1523 daugiabučiai gyvenamieji namai. Daugiabučių renovacija vyko 55 savivaldybėse, kuriose buvo atnaujinta nuo 0,4 proc. iki 40,4 proc. visų daugiabučių namų, o vertinant šalies mastu – 4,4 proc. visų daugiabučių gyvenamųjų namų, pastatytų iki 1993 m. Energijos taupymo požiūriu atnaujinti 896 viešosios paskirties pastatai (mokyklos, darželiai, ligoninės, sanatorijos, poliklinikos, bendrabučiai, senelių namai, vaikų globos namai ir kt.); tai sudaro 5,4 proc. </w:t>
      </w:r>
      <w:r w:rsidRPr="00704094">
        <w:rPr>
          <w:rFonts w:cs="Times New Roman"/>
          <w:sz w:val="22"/>
          <w:szCs w:val="22"/>
        </w:rPr>
        <w:lastRenderedPageBreak/>
        <w:t>visų viešosios paskirties pastatų. Daugiau kaip pusę visų renovuotų viešosios paskirties pastatų sudarė mokyklos.</w:t>
      </w:r>
    </w:p>
    <w:p w:rsidR="00085363" w:rsidRPr="00085363" w:rsidRDefault="00085363" w:rsidP="00085363">
      <w:pPr>
        <w:pStyle w:val="Antrastes3"/>
        <w:rPr>
          <w:rFonts w:cs="Times New Roman"/>
        </w:rPr>
      </w:pPr>
      <w:r w:rsidRPr="00085363">
        <w:rPr>
          <w:rFonts w:cs="Times New Roman"/>
        </w:rPr>
        <w:t>Svarbiausios rekomendacijos ir strateginiai siūlymai</w:t>
      </w:r>
    </w:p>
    <w:p w:rsidR="00085363" w:rsidRPr="00085363" w:rsidRDefault="00085363" w:rsidP="00085363">
      <w:pPr>
        <w:pStyle w:val="Pagrindinispaprastastekstas"/>
        <w:rPr>
          <w:rFonts w:cs="Times New Roman"/>
          <w:sz w:val="22"/>
          <w:szCs w:val="22"/>
        </w:rPr>
      </w:pPr>
      <w:r w:rsidRPr="00085363">
        <w:rPr>
          <w:rFonts w:cs="Times New Roman"/>
          <w:sz w:val="22"/>
          <w:szCs w:val="22"/>
        </w:rPr>
        <w:t>Iki 2016 m. pabaigos užbaigtuose vertinimuose ES investicijų poveikis energetikos sektoriui nebuvo detaliai analizuotas, todėl daugelyje vertinimų atskiri strateginiai siūlymai, susiję su efektyvesniu ES investicijų planavimu energetikos sektoriuje, nebuvo pateikti.</w:t>
      </w:r>
    </w:p>
    <w:p w:rsidR="00A73AD3" w:rsidRPr="00704094" w:rsidRDefault="00A73AD3" w:rsidP="00704094">
      <w:pPr>
        <w:rPr>
          <w:rFonts w:ascii="Cambria" w:hAnsi="Cambria"/>
          <w:sz w:val="22"/>
          <w:szCs w:val="22"/>
        </w:rPr>
      </w:pPr>
    </w:p>
    <w:p w:rsidR="00A73AD3" w:rsidRPr="00704094" w:rsidRDefault="00A73AD3" w:rsidP="00855AF4">
      <w:pPr>
        <w:pStyle w:val="Pagrindinispaprastastekstas"/>
        <w:rPr>
          <w:rFonts w:cs="Times New Roman"/>
          <w:sz w:val="22"/>
          <w:szCs w:val="22"/>
        </w:rPr>
      </w:pPr>
      <w:r w:rsidRPr="00704094">
        <w:rPr>
          <w:rFonts w:cs="Times New Roman"/>
          <w:b/>
          <w:bCs/>
          <w:i/>
          <w:iCs/>
          <w:color w:val="1F497D"/>
          <w:sz w:val="22"/>
          <w:szCs w:val="22"/>
        </w:rPr>
        <w:t>Ūkio ministerijos kompetencijai priskirtų bendrai finansuojamų iš ES struktūrinių fondų lėšų ekonomikos sektorių būklės pokyčių vertinimo</w:t>
      </w:r>
      <w:r w:rsidRPr="00704094">
        <w:rPr>
          <w:rFonts w:cs="Times New Roman"/>
          <w:color w:val="1F497D"/>
          <w:sz w:val="22"/>
          <w:szCs w:val="22"/>
        </w:rPr>
        <w:t xml:space="preserve"> </w:t>
      </w:r>
      <w:r w:rsidRPr="00704094">
        <w:rPr>
          <w:rFonts w:cs="Times New Roman"/>
          <w:sz w:val="22"/>
          <w:szCs w:val="22"/>
        </w:rPr>
        <w:t xml:space="preserve">(1 etapas) ataskaitoje nurodyta, kad 2014–2020 m. laikotarpiu energetikos srities priemonės turėtų koncentruotis į energetikos sektoriaus modernizavimą, energetinės nepriklausomybės užtikrinimą įgyvendinant nacionalinės reikšmės projektus. Siekiant sumažinti priklausomybę nuo importuojamo organinio kuro ir prisidėti prie aplinkos taršos mažinimo, būtina didinti energijos gamybos, transportavimo, paskirstymo bei vartojimo efektyvumą ir skatinti atsinaujinančių energijos išteklių vartojimą. </w:t>
      </w:r>
    </w:p>
    <w:p w:rsidR="00A73AD3" w:rsidRPr="00704094" w:rsidRDefault="00A73AD3" w:rsidP="00EA3DFD">
      <w:pPr>
        <w:pStyle w:val="Antrastes2"/>
        <w:jc w:val="both"/>
        <w:rPr>
          <w:rFonts w:cs="Times New Roman"/>
        </w:rPr>
      </w:pPr>
      <w:bookmarkStart w:id="23" w:name="_Toc472343154"/>
      <w:r w:rsidRPr="00704094">
        <w:rPr>
          <w:rFonts w:cs="Times New Roman"/>
        </w:rPr>
        <w:t xml:space="preserve">Investicijų poveikis viešosios politikos sritims: </w:t>
      </w:r>
      <w:r w:rsidRPr="00704094">
        <w:rPr>
          <w:rFonts w:cs="Times New Roman"/>
          <w:color w:val="E36C0A"/>
        </w:rPr>
        <w:t>aplinkosauga, gamtos išteklių darnus naudojimas ir prisitaikymas prie klimato kaitos</w:t>
      </w:r>
      <w:bookmarkEnd w:id="23"/>
    </w:p>
    <w:p w:rsidR="00A73AD3" w:rsidRPr="00704094" w:rsidRDefault="00A73AD3" w:rsidP="00AE2029">
      <w:pPr>
        <w:pStyle w:val="Antrastes3"/>
        <w:rPr>
          <w:rFonts w:cs="Times New Roman"/>
        </w:rPr>
      </w:pPr>
      <w:r w:rsidRPr="00704094">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106"/>
        <w:gridCol w:w="1186"/>
        <w:gridCol w:w="1224"/>
        <w:gridCol w:w="3111"/>
      </w:tblGrid>
      <w:tr w:rsidR="00A73AD3" w:rsidRPr="00986CFB">
        <w:tc>
          <w:tcPr>
            <w:tcW w:w="4106" w:type="dxa"/>
            <w:tcBorders>
              <w:top w:val="single" w:sz="4" w:space="0" w:color="4F81BD"/>
              <w:left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Ataskaitos data</w:t>
            </w:r>
          </w:p>
        </w:tc>
        <w:tc>
          <w:tcPr>
            <w:tcW w:w="1224" w:type="dxa"/>
            <w:tcBorders>
              <w:top w:val="single" w:sz="4" w:space="0" w:color="4F81BD"/>
              <w:bottom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Užsakovas</w:t>
            </w:r>
          </w:p>
        </w:tc>
        <w:tc>
          <w:tcPr>
            <w:tcW w:w="3111" w:type="dxa"/>
            <w:tcBorders>
              <w:top w:val="single" w:sz="4" w:space="0" w:color="4F81BD"/>
              <w:bottom w:val="single" w:sz="4" w:space="0" w:color="4F81BD"/>
              <w:right w:val="single" w:sz="4" w:space="0" w:color="4F81BD"/>
            </w:tcBorders>
            <w:shd w:val="clear" w:color="auto" w:fill="4F81BD"/>
          </w:tcPr>
          <w:p w:rsidR="00A73AD3" w:rsidRPr="00704094" w:rsidRDefault="00A73AD3" w:rsidP="002C4E45">
            <w:pPr>
              <w:pStyle w:val="Pagrindinispaprastastekstas"/>
              <w:jc w:val="center"/>
              <w:rPr>
                <w:rFonts w:cs="Times New Roman"/>
                <w:b/>
                <w:bCs/>
                <w:color w:val="FFFFFF"/>
                <w:sz w:val="20"/>
                <w:szCs w:val="20"/>
              </w:rPr>
            </w:pPr>
            <w:r w:rsidRPr="00704094">
              <w:rPr>
                <w:rFonts w:cs="Times New Roman"/>
                <w:b/>
                <w:bCs/>
                <w:color w:val="FFFFFF"/>
                <w:sz w:val="20"/>
                <w:szCs w:val="20"/>
              </w:rPr>
              <w:t>Vykdytojas</w:t>
            </w:r>
          </w:p>
        </w:tc>
      </w:tr>
      <w:tr w:rsidR="00A73AD3" w:rsidRPr="00986CFB">
        <w:tc>
          <w:tcPr>
            <w:tcW w:w="4106"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Atliekų tvarkymo sistemos Lietuvoje vertinimas ir 2014–2020 m. tendencijos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2014 m. rugsėjis</w:t>
            </w:r>
          </w:p>
        </w:tc>
        <w:tc>
          <w:tcPr>
            <w:tcW w:w="1224"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Aplinkos ministerija</w:t>
            </w:r>
          </w:p>
        </w:tc>
        <w:tc>
          <w:tcPr>
            <w:tcW w:w="3111"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„Europos socialiniai, teisiniai ir ekonominiai projektai“</w:t>
            </w:r>
          </w:p>
        </w:tc>
      </w:tr>
      <w:tr w:rsidR="00A73AD3" w:rsidRPr="00986CFB">
        <w:tc>
          <w:tcPr>
            <w:tcW w:w="4106" w:type="dxa"/>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Vandentvarkos sektoriaus finansinių priemonių ex-ante vertinimas</w:t>
            </w:r>
          </w:p>
        </w:tc>
        <w:tc>
          <w:tcPr>
            <w:tcW w:w="1186"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2015 m. lapkritis</w:t>
            </w:r>
          </w:p>
        </w:tc>
        <w:tc>
          <w:tcPr>
            <w:tcW w:w="1224"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3111" w:type="dxa"/>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VšĮ „Centrinė projektų valdymo agentūra“ ir UAB „Viešųjų investicijų plėtros agentūra“</w:t>
            </w:r>
          </w:p>
        </w:tc>
      </w:tr>
      <w:tr w:rsidR="00A73AD3" w:rsidRPr="00986CFB">
        <w:tc>
          <w:tcPr>
            <w:tcW w:w="4106" w:type="dxa"/>
            <w:shd w:val="clear" w:color="auto" w:fill="DBE5F1"/>
          </w:tcPr>
          <w:p w:rsidR="00A73AD3" w:rsidRPr="00704094" w:rsidRDefault="00A73AD3" w:rsidP="002C4E45">
            <w:pPr>
              <w:pStyle w:val="Pagrindinispaprastastekstas"/>
              <w:jc w:val="left"/>
              <w:rPr>
                <w:rFonts w:cs="Times New Roman"/>
                <w:b/>
                <w:bCs/>
                <w:sz w:val="20"/>
                <w:szCs w:val="20"/>
              </w:rPr>
            </w:pPr>
            <w:r w:rsidRPr="00704094">
              <w:rPr>
                <w:rFonts w:cs="Times New Roman"/>
                <w:sz w:val="20"/>
                <w:szCs w:val="20"/>
              </w:rPr>
              <w:t>2007–2013 m. ES struktūrinės paramos poveikio darniajam vystymuisi vertinimas</w:t>
            </w:r>
          </w:p>
        </w:tc>
        <w:tc>
          <w:tcPr>
            <w:tcW w:w="1186"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2016 m. birželis</w:t>
            </w:r>
          </w:p>
        </w:tc>
        <w:tc>
          <w:tcPr>
            <w:tcW w:w="1224"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Finansų ministerija</w:t>
            </w:r>
          </w:p>
        </w:tc>
        <w:tc>
          <w:tcPr>
            <w:tcW w:w="3111" w:type="dxa"/>
            <w:shd w:val="clear" w:color="auto" w:fill="DBE5F1"/>
          </w:tcPr>
          <w:p w:rsidR="00A73AD3" w:rsidRPr="00704094" w:rsidRDefault="00A73AD3" w:rsidP="002C4E45">
            <w:pPr>
              <w:pStyle w:val="Pagrindinispaprastastekstas"/>
              <w:jc w:val="center"/>
              <w:rPr>
                <w:rFonts w:cs="Times New Roman"/>
                <w:sz w:val="20"/>
                <w:szCs w:val="20"/>
              </w:rPr>
            </w:pPr>
            <w:r w:rsidRPr="00704094">
              <w:rPr>
                <w:rFonts w:cs="Times New Roman"/>
                <w:sz w:val="20"/>
                <w:szCs w:val="20"/>
              </w:rPr>
              <w:t>UAB „Deloitte Lietuva“ ir Integra Consulting, Ltd.</w:t>
            </w:r>
          </w:p>
        </w:tc>
      </w:tr>
    </w:tbl>
    <w:p w:rsidR="00A73AD3" w:rsidRPr="00704094" w:rsidRDefault="00A73AD3" w:rsidP="00AE2029">
      <w:pPr>
        <w:pStyle w:val="Antrastes3"/>
        <w:rPr>
          <w:rFonts w:cs="Times New Roman"/>
        </w:rPr>
      </w:pPr>
      <w:r w:rsidRPr="00704094">
        <w:rPr>
          <w:rFonts w:cs="Times New Roman"/>
        </w:rPr>
        <w:t>Pagrindiniai vertinimų rezultatai ir išvados</w:t>
      </w:r>
    </w:p>
    <w:p w:rsidR="00A73AD3" w:rsidRPr="00704094" w:rsidRDefault="00A73AD3" w:rsidP="00AE2029">
      <w:pPr>
        <w:pStyle w:val="Pagrindinispaprastastekstas"/>
        <w:rPr>
          <w:rFonts w:cs="Times New Roman"/>
          <w:sz w:val="22"/>
          <w:szCs w:val="22"/>
        </w:rPr>
      </w:pPr>
      <w:bookmarkStart w:id="24" w:name="_Toc465335435"/>
      <w:r w:rsidRPr="00704094">
        <w:rPr>
          <w:rFonts w:eastAsia="TrebuchetMS" w:cs="Times New Roman"/>
          <w:b/>
          <w:bCs/>
          <w:i/>
          <w:iCs/>
          <w:color w:val="1F497D"/>
          <w:sz w:val="22"/>
          <w:szCs w:val="22"/>
        </w:rPr>
        <w:t>Atliekų tvarkymo sistemos ir 2014–2020 m. tendencij</w:t>
      </w:r>
      <w:bookmarkEnd w:id="24"/>
      <w:r w:rsidRPr="00704094">
        <w:rPr>
          <w:rFonts w:eastAsia="TrebuchetMS" w:cs="Times New Roman"/>
          <w:b/>
          <w:bCs/>
          <w:i/>
          <w:iCs/>
          <w:color w:val="1F497D"/>
          <w:sz w:val="22"/>
          <w:szCs w:val="22"/>
        </w:rPr>
        <w:t>ų Lietuvoje vertinimas</w:t>
      </w:r>
      <w:r w:rsidRPr="00704094">
        <w:rPr>
          <w:rFonts w:eastAsia="TrebuchetMS" w:cs="Times New Roman"/>
          <w:color w:val="1F497D"/>
          <w:sz w:val="22"/>
          <w:szCs w:val="22"/>
        </w:rPr>
        <w:t xml:space="preserve"> </w:t>
      </w:r>
      <w:r w:rsidRPr="00704094">
        <w:rPr>
          <w:rFonts w:eastAsia="TrebuchetMS" w:cs="Times New Roman"/>
          <w:sz w:val="22"/>
          <w:szCs w:val="22"/>
        </w:rPr>
        <w:t xml:space="preserve">apėmė ne tik projektus, finansuotus pagal priemonę Nr. VP3-3.2-AM-01-V „Atliekų tvarkymo sistemos sukūrimas“, bet </w:t>
      </w:r>
      <w:r w:rsidRPr="00704094">
        <w:rPr>
          <w:rFonts w:cs="Times New Roman"/>
          <w:sz w:val="22"/>
          <w:szCs w:val="22"/>
        </w:rPr>
        <w:t>visus nuo 2001 m. Lietuvoje įgyvendintus atliekų tvarkymo infrastruktūros sutvarkymo ir plėtros projektus – iš viso 40 projektų, kurių biudžetas 404,75 mln. eurų, iš jų 293,67 mln. litų (73 proc.) sudarė ISPA ir Sanglaudos fondo lėšos. Investicijų poveikio vertinimas apėmė kokybinį ir kiekybinį vertinimą. Atliekant kokybinį poveikio vertinimą buvo analizuojama, kaip ir kiek ISPA, Sanglaudos fondo ir nacionalinių programų</w:t>
      </w:r>
      <w:r w:rsidRPr="00704094">
        <w:rPr>
          <w:rStyle w:val="FootnoteReference"/>
          <w:rFonts w:cs="Times New Roman"/>
        </w:rPr>
        <w:footnoteReference w:id="8"/>
      </w:r>
      <w:r w:rsidRPr="00704094">
        <w:rPr>
          <w:rFonts w:cs="Times New Roman"/>
          <w:sz w:val="22"/>
          <w:szCs w:val="22"/>
        </w:rPr>
        <w:t xml:space="preserve"> finansuoti projektai prisidėjo prie Valstybiniame strateginiame atliekų tvarkymo plane nustatytų nacionalinės atliekų tvarkymo politikos tikslų ir atliekų tvarkymo užduočių įgyvendinimo. Kiekybinis poveikio vertinimas apėmė tiesioginio ir netiesioginio ES paramos (ISPA ir Sanglaudos fondo lėšomis finansuotų investicinių atliekų sektoriaus projektų) poveikio aplinkos kokybei, socialinei ir ekonominei situacijai vertinimą. Išskirti ir taikant ekonometrinio modeliavimo metodą kiekybiškai įvertinti šie </w:t>
      </w:r>
      <w:r w:rsidRPr="00704094">
        <w:rPr>
          <w:rFonts w:cs="Times New Roman"/>
          <w:b/>
          <w:bCs/>
          <w:i/>
          <w:iCs/>
          <w:sz w:val="22"/>
          <w:szCs w:val="22"/>
        </w:rPr>
        <w:t>netiesioginiai investicijų į atliekų tvarkymo infrastruktūrą efektai</w:t>
      </w:r>
      <w:r w:rsidRPr="00704094">
        <w:rPr>
          <w:rFonts w:cs="Times New Roman"/>
          <w:sz w:val="22"/>
          <w:szCs w:val="22"/>
        </w:rPr>
        <w:t>:</w:t>
      </w:r>
    </w:p>
    <w:p w:rsidR="00A73AD3" w:rsidRPr="00704094" w:rsidRDefault="00A73AD3" w:rsidP="00AE2029">
      <w:pPr>
        <w:pStyle w:val="Pagrindinispaprastastekstas"/>
        <w:rPr>
          <w:rFonts w:cs="Times New Roman"/>
          <w:sz w:val="22"/>
          <w:szCs w:val="22"/>
        </w:rPr>
      </w:pPr>
    </w:p>
    <w:p w:rsidR="00A73AD3" w:rsidRPr="00704094" w:rsidRDefault="00A73AD3" w:rsidP="00AE2029">
      <w:pPr>
        <w:pStyle w:val="Pagrindinispaprastastekstas"/>
        <w:numPr>
          <w:ilvl w:val="0"/>
          <w:numId w:val="16"/>
        </w:numPr>
        <w:rPr>
          <w:rFonts w:cs="Times New Roman"/>
          <w:sz w:val="22"/>
          <w:szCs w:val="22"/>
        </w:rPr>
      </w:pPr>
      <w:r w:rsidRPr="00704094">
        <w:rPr>
          <w:rFonts w:cs="Times New Roman"/>
          <w:i/>
          <w:iCs/>
          <w:sz w:val="22"/>
          <w:szCs w:val="22"/>
        </w:rPr>
        <w:t>MBA įrenginiuose ir antrinių žaliavų konteineriuose atskirtų antrinių žaliavų efektas</w:t>
      </w:r>
      <w:r w:rsidRPr="00704094">
        <w:rPr>
          <w:rFonts w:cs="Times New Roman"/>
          <w:sz w:val="22"/>
          <w:szCs w:val="22"/>
        </w:rPr>
        <w:t xml:space="preserve"> (galimybė sumažinti atitinkamų pirminių žaliavų importą); </w:t>
      </w:r>
    </w:p>
    <w:p w:rsidR="00A73AD3" w:rsidRPr="00704094" w:rsidRDefault="00A73AD3" w:rsidP="00AE2029">
      <w:pPr>
        <w:pStyle w:val="Pagrindinispaprastastekstas"/>
        <w:numPr>
          <w:ilvl w:val="0"/>
          <w:numId w:val="16"/>
        </w:numPr>
        <w:rPr>
          <w:rFonts w:cs="Times New Roman"/>
          <w:sz w:val="22"/>
          <w:szCs w:val="22"/>
        </w:rPr>
      </w:pPr>
      <w:r w:rsidRPr="00704094">
        <w:rPr>
          <w:rFonts w:cs="Times New Roman"/>
          <w:i/>
          <w:iCs/>
          <w:sz w:val="22"/>
          <w:szCs w:val="22"/>
        </w:rPr>
        <w:lastRenderedPageBreak/>
        <w:t>Atliekų kompostavimo ir komposto panaudojimo efektas</w:t>
      </w:r>
      <w:r w:rsidRPr="00704094">
        <w:rPr>
          <w:rFonts w:cs="Times New Roman"/>
          <w:sz w:val="22"/>
          <w:szCs w:val="22"/>
        </w:rPr>
        <w:t xml:space="preserve"> (galimybė pakeisti mineralines trąšas, gauti pajamų iš komposto pardavimo); </w:t>
      </w:r>
    </w:p>
    <w:p w:rsidR="00A73AD3" w:rsidRPr="00704094" w:rsidRDefault="00A73AD3" w:rsidP="00AE2029">
      <w:pPr>
        <w:pStyle w:val="Pagrindinispaprastastekstas"/>
        <w:numPr>
          <w:ilvl w:val="0"/>
          <w:numId w:val="16"/>
        </w:numPr>
        <w:rPr>
          <w:rFonts w:cs="Times New Roman"/>
          <w:sz w:val="22"/>
          <w:szCs w:val="22"/>
        </w:rPr>
      </w:pPr>
      <w:r w:rsidRPr="00704094">
        <w:rPr>
          <w:rFonts w:cs="Times New Roman"/>
          <w:i/>
          <w:iCs/>
          <w:sz w:val="22"/>
          <w:szCs w:val="22"/>
        </w:rPr>
        <w:t>Papildomos žemės efektas</w:t>
      </w:r>
      <w:r w:rsidRPr="00704094">
        <w:rPr>
          <w:rFonts w:cs="Times New Roman"/>
          <w:sz w:val="22"/>
          <w:szCs w:val="22"/>
        </w:rPr>
        <w:t xml:space="preserve"> (uždarius ir sutvarkius senus sąvartynus atlaisvinama žemė, kuri gali būti panaudota kitoms reikmėms; mažėjant šalinamų atliekų kiekiui lėčiau auga regioninių nepavojingų atliekų šalinimo sąvartynų plotas); </w:t>
      </w:r>
    </w:p>
    <w:p w:rsidR="00A73AD3" w:rsidRPr="00704094" w:rsidRDefault="00A73AD3" w:rsidP="00AE2029">
      <w:pPr>
        <w:pStyle w:val="Pagrindinispaprastastekstas"/>
        <w:numPr>
          <w:ilvl w:val="0"/>
          <w:numId w:val="16"/>
        </w:numPr>
        <w:rPr>
          <w:rFonts w:cs="Times New Roman"/>
          <w:sz w:val="22"/>
          <w:szCs w:val="22"/>
        </w:rPr>
      </w:pPr>
      <w:r w:rsidRPr="00704094">
        <w:rPr>
          <w:rFonts w:cs="Times New Roman"/>
          <w:i/>
          <w:iCs/>
          <w:sz w:val="22"/>
          <w:szCs w:val="22"/>
        </w:rPr>
        <w:t>ŠESD emisijų mažėjimo efektas</w:t>
      </w:r>
      <w:r w:rsidRPr="00704094">
        <w:rPr>
          <w:rFonts w:cs="Times New Roman"/>
          <w:sz w:val="22"/>
          <w:szCs w:val="22"/>
        </w:rPr>
        <w:t xml:space="preserve"> (surenkant sąvartynų biodujas, mažinant biologiškai skaidžių atliekų šalinimą, atliekų biologinio apdorojimo metu išgaunant biodujas mažinamos šiltnamio efektą sukeliančių dujų, ypač metano, emisijos); </w:t>
      </w:r>
    </w:p>
    <w:p w:rsidR="00A73AD3" w:rsidRPr="00704094" w:rsidRDefault="00A73AD3" w:rsidP="00AE2029">
      <w:pPr>
        <w:pStyle w:val="Pagrindinispaprastastekstas"/>
        <w:numPr>
          <w:ilvl w:val="0"/>
          <w:numId w:val="16"/>
        </w:numPr>
        <w:rPr>
          <w:rFonts w:cs="Times New Roman"/>
          <w:sz w:val="22"/>
          <w:szCs w:val="22"/>
        </w:rPr>
      </w:pPr>
      <w:r w:rsidRPr="00704094">
        <w:rPr>
          <w:rFonts w:cs="Times New Roman"/>
          <w:i/>
          <w:iCs/>
          <w:sz w:val="22"/>
          <w:szCs w:val="22"/>
        </w:rPr>
        <w:t xml:space="preserve">Energijos išteklių importo išstūmimo efektas </w:t>
      </w:r>
      <w:r w:rsidRPr="00704094">
        <w:rPr>
          <w:rFonts w:cs="Times New Roman"/>
          <w:sz w:val="22"/>
          <w:szCs w:val="22"/>
        </w:rPr>
        <w:t xml:space="preserve">(atliekų naudojimas energijos gamybai mažina iškastinių energijos išteklių importą; energijos gamybai naudojamos sąvartynų biodujos, atliekų anaerobinio pūdymo proceso metu išgautos biodujos ir komunalinių atliekų kuras). </w:t>
      </w:r>
    </w:p>
    <w:p w:rsidR="00A73AD3" w:rsidRPr="00704094" w:rsidRDefault="00A73AD3" w:rsidP="00AE2029">
      <w:pPr>
        <w:pStyle w:val="Pagrindinispaprastastekstas"/>
        <w:rPr>
          <w:rFonts w:cs="Times New Roman"/>
          <w:sz w:val="22"/>
          <w:szCs w:val="22"/>
        </w:rPr>
      </w:pPr>
    </w:p>
    <w:p w:rsidR="00A73AD3" w:rsidRPr="00704094" w:rsidRDefault="00CA1232" w:rsidP="00AE2029">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1072" behindDoc="1" locked="0" layoutInCell="1" allowOverlap="1">
                <wp:simplePos x="0" y="0"/>
                <wp:positionH relativeFrom="margin">
                  <wp:align>right</wp:align>
                </wp:positionH>
                <wp:positionV relativeFrom="paragraph">
                  <wp:posOffset>726440</wp:posOffset>
                </wp:positionV>
                <wp:extent cx="2814955" cy="1270635"/>
                <wp:effectExtent l="0" t="3810" r="0" b="1905"/>
                <wp:wrapSquare wrapText="bothSides"/>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27063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AE2029">
                            <w:pPr>
                              <w:jc w:val="center"/>
                              <w:rPr>
                                <w:rFonts w:ascii="Cambria" w:hAnsi="Cambria" w:cs="Cambria"/>
                                <w:color w:val="17365D"/>
                                <w:sz w:val="20"/>
                                <w:szCs w:val="20"/>
                              </w:rPr>
                            </w:pPr>
                            <w:r w:rsidRPr="00704094">
                              <w:rPr>
                                <w:rFonts w:ascii="Cambria" w:hAnsi="Cambria"/>
                                <w:color w:val="17365D"/>
                                <w:sz w:val="20"/>
                                <w:szCs w:val="20"/>
                              </w:rPr>
                              <w:t xml:space="preserve">ISPA ir Sanglaudos fondo lėšomis finansuotų atliekų sektoriaus projektų ekonominė nauda yra ilgalaikė, tai ypač pasireiškia per netiesioginį paramos poveikį (antrinių žaliavų naudojimą ir iš atliekų pagaminto / išgauto kuro naudojimą energijos gamybai mažinant iškastinių energijos išteklių importą).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70.45pt;margin-top:57.2pt;width:221.65pt;height:100.05pt;z-index:-251665408;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" fillcolor="#efede3" stroked="f" strokeweight=".5pt">
                <v:fill color2="#eae7d9" rotate="t" focusposition=".5,.5" focussize="" focus="100%" type="gradientRadial"/>
                <v:textbox inset="3mm,3mm,3mm,3mm">
                  <w:txbxContent>
                    <w:p w:rsidR="009F5833" w:rsidRPr="00986CFB" w:rsidRDefault="009F5833" w:rsidP="00AE2029">
                      <w:pPr>
                        <w:jc w:val="center"/>
                        <w:rPr>
                          <w:rFonts w:ascii="Cambria" w:hAnsi="Cambria" w:cs="Cambria"/>
                          <w:color w:val="17365D"/>
                          <w:sz w:val="20"/>
                          <w:szCs w:val="20"/>
                        </w:rPr>
                      </w:pPr>
                      <w:r w:rsidRPr="00704094">
                        <w:rPr>
                          <w:rFonts w:ascii="Cambria" w:hAnsi="Cambria"/>
                          <w:color w:val="17365D"/>
                          <w:sz w:val="20"/>
                          <w:szCs w:val="20"/>
                        </w:rPr>
                        <w:t xml:space="preserve">ISPA ir Sanglaudos fondo lėšomis finansuotų atliekų sektoriaus projektų ekonominė nauda yra ilgalaikė, tai ypač pasireiškia per netiesioginį paramos poveikį (antrinių žaliavų naudojimą ir iš atliekų pagaminto / išgauto kuro naudojimą energijos gamybai mažinant iškastinių energijos išteklių importą). </w:t>
                      </w:r>
                    </w:p>
                  </w:txbxContent>
                </v:textbox>
                <w10:wrap type="square" anchorx="margin"/>
              </v:shape>
            </w:pict>
          </mc:Fallback>
        </mc:AlternateContent>
      </w:r>
      <w:r w:rsidR="00A73AD3" w:rsidRPr="00704094">
        <w:rPr>
          <w:rFonts w:cs="Times New Roman"/>
          <w:b/>
          <w:bCs/>
          <w:i/>
          <w:iCs/>
          <w:sz w:val="22"/>
          <w:szCs w:val="22"/>
        </w:rPr>
        <w:t>ES investicijų į atliekų sektorių ekonominė nauda.</w:t>
      </w:r>
      <w:r w:rsidR="00A73AD3" w:rsidRPr="00704094">
        <w:rPr>
          <w:rFonts w:cs="Times New Roman"/>
          <w:sz w:val="22"/>
          <w:szCs w:val="22"/>
        </w:rPr>
        <w:t xml:space="preserve"> Per 2005–2013 m. į atliekų sektorių investavus 869,5 mln. Lt (iš jų 788,4 mln. Lt skirta statyboms) papildomai sukurta 1290,4 mln. Lt bendros pridėtinės vertės nominaliąja išraiška (efektyvumo koeficientas viršijo 1,4). Didžiausią įtaką efektyvumo koeficiento dydžiui padarė pirminiai ir antriniai ES paramos sukuriami efektai statybos sektoriuje, kadangi statyboms skirta didžioji projektų išlaidų dalis. Suminis ES paramos </w:t>
      </w:r>
      <w:r w:rsidR="00A73AD3" w:rsidRPr="00704094">
        <w:rPr>
          <w:rFonts w:cs="Times New Roman"/>
          <w:i/>
          <w:iCs/>
          <w:sz w:val="22"/>
          <w:szCs w:val="22"/>
        </w:rPr>
        <w:t>tiesioginio poveikio efektas</w:t>
      </w:r>
      <w:r w:rsidR="00A73AD3" w:rsidRPr="00704094">
        <w:rPr>
          <w:rFonts w:cs="Times New Roman"/>
          <w:sz w:val="22"/>
          <w:szCs w:val="22"/>
        </w:rPr>
        <w:t xml:space="preserve"> šalies BVP per 2005–2020 m. sudarys daugiau kaip 1,9 mlrd. Lt, o efektyvumo koeficiento įvertis sieks 1,5. Suminis paramos </w:t>
      </w:r>
      <w:r w:rsidR="00A73AD3" w:rsidRPr="00704094">
        <w:rPr>
          <w:rFonts w:cs="Times New Roman"/>
          <w:i/>
          <w:iCs/>
          <w:sz w:val="22"/>
          <w:szCs w:val="22"/>
        </w:rPr>
        <w:t>tiesioginio ir netiesioginio poveikio</w:t>
      </w:r>
      <w:r w:rsidR="00A73AD3" w:rsidRPr="00704094">
        <w:rPr>
          <w:rFonts w:cs="Times New Roman"/>
          <w:sz w:val="22"/>
          <w:szCs w:val="22"/>
        </w:rPr>
        <w:t xml:space="preserve"> efektas BVP per 2005–2020 m., kai iš viso bus investuota 1276,8 mln. Lt ES paramos lėšų, sudarys daugiau kaip 2,6 mlrd. Lt, o efektyvumo koeficiento įvertis pasieks 2. </w:t>
      </w:r>
    </w:p>
    <w:p w:rsidR="00A73AD3" w:rsidRPr="00704094" w:rsidRDefault="00A73AD3" w:rsidP="00AE2029">
      <w:pPr>
        <w:pStyle w:val="Pagrindinispaprastastekstas"/>
        <w:rPr>
          <w:rFonts w:cs="Times New Roman"/>
          <w:sz w:val="22"/>
          <w:szCs w:val="22"/>
        </w:rPr>
      </w:pPr>
    </w:p>
    <w:p w:rsidR="00A73AD3" w:rsidRPr="00704094" w:rsidRDefault="00A73AD3" w:rsidP="00AE2029">
      <w:pPr>
        <w:pStyle w:val="Pagrindinispaprastastekstas"/>
        <w:rPr>
          <w:rFonts w:cs="Times New Roman"/>
          <w:sz w:val="22"/>
          <w:szCs w:val="22"/>
        </w:rPr>
      </w:pPr>
      <w:r w:rsidRPr="00704094">
        <w:rPr>
          <w:rFonts w:cs="Times New Roman"/>
          <w:b/>
          <w:bCs/>
          <w:i/>
          <w:iCs/>
          <w:sz w:val="22"/>
          <w:szCs w:val="22"/>
        </w:rPr>
        <w:t xml:space="preserve">ES investicijų į atliekų sektorių socialinė nauda. </w:t>
      </w:r>
      <w:r w:rsidRPr="00704094">
        <w:rPr>
          <w:rFonts w:cs="Times New Roman"/>
          <w:sz w:val="22"/>
          <w:szCs w:val="22"/>
        </w:rPr>
        <w:t xml:space="preserve">Per 2005–2013 m. naujai sukurta ir išsaugota apie 630 sąlyginių darbo vietų. Dėl investicijų pobūdžio (didžiausia paramos dalis buvo skirta statyboms) tiesioginis paramos poveikis užimtumui gana trumpalaikis ir jau 2017–2018 m. beveik išnyks. Teigiamą ilgalaikį poveikį užimtumui lemia projektų netiesioginiai efektai (visų pirma, energijos išteklių importo mažėjimas ir antrinių žaliavų panaudojimas), dėl kurių nuo 2018 m. planuojama išsaugoti ir naujai sukurti daugiau kaip 400 darbo vietų. </w:t>
      </w:r>
    </w:p>
    <w:p w:rsidR="00A73AD3" w:rsidRPr="00704094" w:rsidRDefault="00CA1232" w:rsidP="00AE2029">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2096" behindDoc="1" locked="0" layoutInCell="1" allowOverlap="1">
                <wp:simplePos x="0" y="0"/>
                <wp:positionH relativeFrom="margin">
                  <wp:align>right</wp:align>
                </wp:positionH>
                <wp:positionV relativeFrom="paragraph">
                  <wp:posOffset>1270</wp:posOffset>
                </wp:positionV>
                <wp:extent cx="2409190" cy="1433830"/>
                <wp:effectExtent l="1905" t="0" r="0" b="0"/>
                <wp:wrapSquare wrapText="bothSides"/>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3383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AE2029">
                            <w:pPr>
                              <w:jc w:val="center"/>
                              <w:rPr>
                                <w:rFonts w:ascii="Cambria" w:hAnsi="Cambria" w:cs="Cambria"/>
                                <w:color w:val="17365D"/>
                                <w:sz w:val="20"/>
                                <w:szCs w:val="20"/>
                              </w:rPr>
                            </w:pPr>
                            <w:r w:rsidRPr="00704094">
                              <w:rPr>
                                <w:rFonts w:ascii="Cambria" w:hAnsi="Cambria"/>
                                <w:color w:val="17365D"/>
                                <w:sz w:val="20"/>
                                <w:szCs w:val="20"/>
                              </w:rPr>
                              <w:t>Visose probleminėse savivaldybėse (išskyrus Druskininkų) plėtra 2007–2013 m. nebuvo darni. Darnų savivaldybių vystymąsi pagal aplinkos, ekonomikos ir socialinius parametrus užtikrina ne tolygus lėšų paskirstymas skirtingoms kapitalo rūšims, bet kryptingas jų panaudojimas.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138.5pt;margin-top:.1pt;width:189.7pt;height:112.9pt;z-index:-251664384;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" fillcolor="#efede3" stroked="f" strokeweight=".5pt">
                <v:fill color2="#eae7d9" rotate="t" focusposition=".5,.5" focussize="" focus="100%" type="gradientRadial"/>
                <v:textbox inset="3mm,3mm,3mm,3mm">
                  <w:txbxContent>
                    <w:p w:rsidR="009F5833" w:rsidRPr="00986CFB" w:rsidRDefault="009F5833" w:rsidP="00AE2029">
                      <w:pPr>
                        <w:jc w:val="center"/>
                        <w:rPr>
                          <w:rFonts w:ascii="Cambria" w:hAnsi="Cambria" w:cs="Cambria"/>
                          <w:color w:val="17365D"/>
                          <w:sz w:val="20"/>
                          <w:szCs w:val="20"/>
                        </w:rPr>
                      </w:pPr>
                      <w:r w:rsidRPr="00704094">
                        <w:rPr>
                          <w:rFonts w:ascii="Cambria" w:hAnsi="Cambria"/>
                          <w:color w:val="17365D"/>
                          <w:sz w:val="20"/>
                          <w:szCs w:val="20"/>
                        </w:rPr>
                        <w:t>Visose probleminėse savivaldybėse (išskyrus Druskininkų) plėtra 2007–2013 m. nebuvo darni. Darnų savivaldybių vystymąsi pagal aplinkos, ekonomikos ir socialinius parametrus užtikrina ne tolygus lėšų paskirstymas skirtingoms kapitalo rūšims, bet kryptingas jų panaudojimas.</w:t>
                      </w:r>
                    </w:p>
                  </w:txbxContent>
                </v:textbox>
                <w10:wrap type="square" anchorx="margin"/>
              </v:shape>
            </w:pict>
          </mc:Fallback>
        </mc:AlternateContent>
      </w:r>
    </w:p>
    <w:p w:rsidR="00A73AD3" w:rsidRPr="00704094" w:rsidRDefault="00A73AD3" w:rsidP="00AE2029">
      <w:pPr>
        <w:pStyle w:val="Pagrindinispaprastastekstas"/>
        <w:rPr>
          <w:rFonts w:cs="Times New Roman"/>
          <w:sz w:val="22"/>
          <w:szCs w:val="22"/>
        </w:rPr>
      </w:pPr>
      <w:r w:rsidRPr="00704094">
        <w:rPr>
          <w:rFonts w:cs="Times New Roman"/>
          <w:sz w:val="22"/>
          <w:szCs w:val="22"/>
        </w:rPr>
        <w:t xml:space="preserve">Darnus vystymasis buvo vienas iš keturių 2007–2013 m. veiksmų programose numatytų horizontaliųjų prioritetų. </w:t>
      </w:r>
      <w:r w:rsidRPr="00704094">
        <w:rPr>
          <w:rFonts w:cs="Times New Roman"/>
          <w:b/>
          <w:bCs/>
          <w:i/>
          <w:iCs/>
          <w:color w:val="1F497D"/>
          <w:sz w:val="22"/>
          <w:szCs w:val="22"/>
        </w:rPr>
        <w:t xml:space="preserve">2007–2013 m. ES struktūrinės paramos poveikio darniajam vystymuisi vertinimas </w:t>
      </w:r>
      <w:r w:rsidRPr="00704094">
        <w:rPr>
          <w:rFonts w:cs="Times New Roman"/>
          <w:sz w:val="22"/>
          <w:szCs w:val="22"/>
        </w:rPr>
        <w:t>parodė, kad 2007–2013 m. veiksmų programų investicijų poveikis darniam vystymuisi Lietuvoje buvo ribotas, kadangi investicijos į žmogiškąjį, socialinį ir gamybinį kapitalą sumažino gamtos kapitalo išteklius. Atsižvelgiant į neigiamą socialinę bei ekonominę situaciją ir 2008 m. pasaulinę finansų krizę, dauguma viešosios valdžios sprendimų (tarp jų ir ES SF lėšų perskirstymas) buvo orientuoti į trumpalaikį finansų krizės padarinių suvaldymą, o ne į ilgalaikius tikslus. Nepaisant to, 2007–2013 m. laikotarpiu keltas tikslas nepakenkti darnaus vystymosi prioritetams buvo iš esmės pasiektas. 2007–2013 m. veiksmų programų investicijos veikė visas darnaus vystymosi sritis ir vienaip ar kitaip paveikė visas keturias kapitalo rūšis (žmogiškąjį, socialinį, gamybinį ir gamtos). Apibendrinant ŽIPVP, EAVP ir SSVP poveikio analizę darnaus vystymosi tikslams, išskirtos tokios tendencijos:</w:t>
      </w:r>
    </w:p>
    <w:p w:rsidR="00A73AD3" w:rsidRPr="00704094" w:rsidRDefault="00A73AD3" w:rsidP="00AE2029">
      <w:pPr>
        <w:pStyle w:val="Pagrindinispaprastastekstas"/>
        <w:rPr>
          <w:rFonts w:cs="Times New Roman"/>
          <w:sz w:val="22"/>
          <w:szCs w:val="22"/>
        </w:rPr>
      </w:pPr>
    </w:p>
    <w:p w:rsidR="00A73AD3" w:rsidRPr="00704094" w:rsidRDefault="00A73AD3" w:rsidP="00AE2029">
      <w:pPr>
        <w:pStyle w:val="Pagrindinispaprastastekstas"/>
        <w:numPr>
          <w:ilvl w:val="0"/>
          <w:numId w:val="17"/>
        </w:numPr>
        <w:rPr>
          <w:rFonts w:cs="Times New Roman"/>
          <w:sz w:val="22"/>
          <w:szCs w:val="22"/>
        </w:rPr>
      </w:pPr>
      <w:r w:rsidRPr="00704094">
        <w:rPr>
          <w:rFonts w:cs="Times New Roman"/>
          <w:sz w:val="22"/>
          <w:szCs w:val="22"/>
        </w:rPr>
        <w:t xml:space="preserve">ES SF investicijos teigiamai veikė žmogiškojo ir socialinio kapitalo išteklius, įgyvendinant ne tik minkštąsias, bet ir didelės apimties infrastruktūrines investicijas. Tačiau ES SF poveikio apimčiai didelę įtaką darė finansų krizės sukelti socialiniai ir ekonominiai padariniai. </w:t>
      </w:r>
    </w:p>
    <w:p w:rsidR="00A73AD3" w:rsidRPr="00704094" w:rsidRDefault="00A73AD3" w:rsidP="00AE2029">
      <w:pPr>
        <w:pStyle w:val="Pagrindinispaprastastekstas"/>
        <w:numPr>
          <w:ilvl w:val="0"/>
          <w:numId w:val="17"/>
        </w:numPr>
        <w:rPr>
          <w:rFonts w:cs="Times New Roman"/>
          <w:sz w:val="22"/>
          <w:szCs w:val="22"/>
        </w:rPr>
      </w:pPr>
      <w:r w:rsidRPr="00704094">
        <w:rPr>
          <w:rFonts w:cs="Times New Roman"/>
          <w:sz w:val="22"/>
          <w:szCs w:val="22"/>
        </w:rPr>
        <w:t xml:space="preserve">ES SF investicijos darė stiprų teigiamą poveikį gamybinio kapitalo ištekliams, ypač transporto ir energetikos srityse. Šis poveikis buvo tiesioginis ir stebimas tiek nacionaliniu, tiek vietos lygiu. </w:t>
      </w:r>
    </w:p>
    <w:p w:rsidR="00A73AD3" w:rsidRPr="00986CFB" w:rsidRDefault="00A73AD3" w:rsidP="006A42D1">
      <w:pPr>
        <w:pStyle w:val="Pagrindinispaprastastekstas"/>
        <w:numPr>
          <w:ilvl w:val="0"/>
          <w:numId w:val="17"/>
        </w:numPr>
        <w:rPr>
          <w:sz w:val="22"/>
          <w:szCs w:val="22"/>
        </w:rPr>
      </w:pPr>
      <w:r w:rsidRPr="00704094">
        <w:rPr>
          <w:rFonts w:cs="Times New Roman"/>
          <w:sz w:val="22"/>
          <w:szCs w:val="22"/>
        </w:rPr>
        <w:lastRenderedPageBreak/>
        <w:t>ES SF investicijos gamtos kapitalo išteklių srityje buvo nepakankamos, kad atsvertų ekonominės plėtros sukeltus padarinius, o aplinkos taršos rodikliai atspindėtų teigiamas tendencijas.</w:t>
      </w:r>
    </w:p>
    <w:p w:rsidR="00A73AD3" w:rsidRPr="00986CFB" w:rsidRDefault="00A73AD3" w:rsidP="00AE2029">
      <w:pPr>
        <w:pStyle w:val="Antrastes3"/>
        <w:rPr>
          <w:rFonts w:cs="Times New Roman"/>
        </w:rPr>
      </w:pPr>
      <w:r w:rsidRPr="00986CFB">
        <w:rPr>
          <w:rFonts w:cs="Times New Roman"/>
        </w:rPr>
        <w:t>Svarbiausios rekomendacijos ir strateginiai siūlymai</w:t>
      </w:r>
    </w:p>
    <w:p w:rsidR="00A73AD3" w:rsidRPr="00986CFB" w:rsidRDefault="00A73AD3" w:rsidP="00AE2029">
      <w:pPr>
        <w:pStyle w:val="Pagrindinispaprastastekstas"/>
        <w:rPr>
          <w:rFonts w:cs="Times New Roman"/>
          <w:sz w:val="22"/>
          <w:szCs w:val="22"/>
        </w:rPr>
      </w:pPr>
      <w:r w:rsidRPr="00704094">
        <w:rPr>
          <w:rFonts w:cs="Times New Roman"/>
          <w:sz w:val="22"/>
          <w:szCs w:val="22"/>
        </w:rPr>
        <w:t xml:space="preserve">Atlikus </w:t>
      </w:r>
      <w:r w:rsidRPr="00704094">
        <w:rPr>
          <w:rFonts w:eastAsia="TrebuchetMS" w:cs="Times New Roman"/>
          <w:b/>
          <w:bCs/>
          <w:i/>
          <w:iCs/>
          <w:color w:val="1F497D"/>
          <w:sz w:val="22"/>
          <w:szCs w:val="22"/>
        </w:rPr>
        <w:t>Atliekų tvarkymo sistemos ir 2014–2020 m. tendencijų Lietuvoje vertinimą</w:t>
      </w:r>
      <w:r w:rsidRPr="00704094">
        <w:rPr>
          <w:rFonts w:cs="Times New Roman"/>
          <w:sz w:val="22"/>
          <w:szCs w:val="22"/>
        </w:rPr>
        <w:t xml:space="preserve"> pateiktos rekomendacijos dėl duomenų apie atliekų tvarkymo infrastruktūros būklę kaupimo, atliekų tvarkymo infrastruktūros projektų finansinio gyvybingumo vertinimo, pakankamų investicijų į pirminio atliekų rūšiavimo infrastruktūros plėtrą užtikrinimo, teisinių ir finansinių paskatų įgyvendinti komunalinių atliekų tvarkymo užduotis sukūrimo. Rekomenduota padidinti 2014–2020 m. planuojamas ES investicijas į komunalinių atliekų surinkimo ir pirminio rūšiavimo infrastruktūros plėtrą. Pasiūlyta inicijuoti teisės aktų pakeitimus, nustatančius mokesčius, sankcijas ar kitas poveikio priemones savivaldybėms už komunalinių atliekų tvarkymo užduočių neįgyvendinimą. Taip pat rekomenduota pakeisti teisės aktus ir eliminuoti galimybę vykdyti pakuotės atliekų </w:t>
      </w:r>
      <w:r w:rsidRPr="00704094">
        <w:rPr>
          <w:rFonts w:cs="Times New Roman"/>
          <w:sz w:val="22"/>
          <w:szCs w:val="22"/>
          <w:lang w:eastAsia="en-US"/>
        </w:rPr>
        <w:t>tvarkymo užduotis, tvarkant supirktas pakuotės atliekas arba papildančiose sistemose surenkant pakuotės atliekas</w:t>
      </w:r>
      <w:r w:rsidR="006A42D1" w:rsidRPr="00986CFB">
        <w:rPr>
          <w:rFonts w:cs="Times New Roman"/>
          <w:sz w:val="22"/>
          <w:szCs w:val="22"/>
          <w:lang w:eastAsia="en-US"/>
        </w:rPr>
        <w:t xml:space="preserve"> ir už jas mokant</w:t>
      </w:r>
      <w:r w:rsidRPr="00986CFB">
        <w:rPr>
          <w:rFonts w:cs="Times New Roman"/>
          <w:sz w:val="22"/>
          <w:szCs w:val="22"/>
          <w:lang w:eastAsia="en-US"/>
        </w:rPr>
        <w:t xml:space="preserve"> gyventojams</w:t>
      </w:r>
      <w:r w:rsidRPr="00986CFB">
        <w:rPr>
          <w:rFonts w:cs="Times New Roman"/>
          <w:sz w:val="22"/>
          <w:szCs w:val="22"/>
        </w:rPr>
        <w:t>. Vertinime pasiūlyta inicijuoti konsultacijas su savivaldybėmis, gamintojų ir importuotojų organizacijomis dėl alternatyvių lėšų šaltinių projektų bendrajam finansavimui užtikrinti, taip pat nurodytos priemonės, kurių reikėtų imtis, siekiant išvengti projektų įgyvendinimo vėlavimų dėl problemų viešųjų pirkimų organizavimo etape.</w:t>
      </w:r>
    </w:p>
    <w:p w:rsidR="00A73AD3" w:rsidRPr="00986CFB" w:rsidRDefault="00A73AD3" w:rsidP="00AE2029">
      <w:pPr>
        <w:pStyle w:val="Pagrindinispaprastastekstas"/>
        <w:rPr>
          <w:rFonts w:cs="Times New Roman"/>
          <w:sz w:val="22"/>
          <w:szCs w:val="22"/>
        </w:rPr>
      </w:pPr>
    </w:p>
    <w:p w:rsidR="00A73AD3" w:rsidRPr="00986CFB" w:rsidRDefault="00A73AD3" w:rsidP="00AE2029">
      <w:pPr>
        <w:pStyle w:val="Pagrindinispaprastastekstas"/>
        <w:rPr>
          <w:rFonts w:cs="Times New Roman"/>
          <w:sz w:val="22"/>
          <w:szCs w:val="22"/>
        </w:rPr>
      </w:pPr>
      <w:r w:rsidRPr="00986CFB">
        <w:rPr>
          <w:rFonts w:cs="Times New Roman"/>
          <w:b/>
          <w:bCs/>
          <w:i/>
          <w:iCs/>
          <w:color w:val="1F497D"/>
          <w:sz w:val="22"/>
          <w:szCs w:val="22"/>
        </w:rPr>
        <w:t>Vandentvarkos sektoriaus finansinių priemonių ex-ante vertinime</w:t>
      </w:r>
      <w:r w:rsidRPr="00986CFB">
        <w:rPr>
          <w:rFonts w:cs="Times New Roman"/>
          <w:sz w:val="22"/>
          <w:szCs w:val="22"/>
        </w:rPr>
        <w:t xml:space="preserve"> buvo identifikuotos esminės ES investicijų vandentvarkos sektoriuje problemos ir pateiktos rekomendacijos dėl siūlomos investavimo strategijos 2014–2020 m. Vertinime teigiama, kad Lietuvoje nebuvo sukurta vieninga vandentvarkos infrastruktūros, paslaugų prieinamumo ir kitų sektoriaus rodiklių sistema, todėl planuojant investicijas dažniausiai buvo remiamasi tik vandentvarkos sektoriaus įmonių ir savivaldybių pateikiamomis prielaidomis. Ankstesniais ES finansavimo laikotarpiais didžioji dalis investicijų buvo skirta vandens tiekimo ir nuotekų surinkimo sistemų plėtrai, pernelyg optimistiškai vertinti demografiniai duomenys ir gyventojų suinteresuotumas jungtis prie naujai nutiestų tinklų. Be to, ankstesniais programavimo laikotarpiais nebuvo skiriama pakankamai investicijų esamos infrastruktūros renovacijai. Vykdant naujų tinklų plėtrą, esama infrastruktūra dar labiau nusidėvėjo. ES lėšomis vykdytos investicijos dažniausiai buvo suskaidytos į mažus etapus ir kompleksiškai nesprendė vandentvarkos sektoriaus problemų.</w:t>
      </w:r>
    </w:p>
    <w:p w:rsidR="00A73AD3" w:rsidRPr="00986CFB" w:rsidRDefault="00A73AD3" w:rsidP="00AE2029">
      <w:pPr>
        <w:pStyle w:val="Pagrindinispaprastastekstas"/>
        <w:rPr>
          <w:rFonts w:cs="Times New Roman"/>
          <w:sz w:val="22"/>
          <w:szCs w:val="22"/>
        </w:rPr>
      </w:pPr>
    </w:p>
    <w:p w:rsidR="00A73AD3" w:rsidRPr="00986CFB" w:rsidRDefault="00CA1232" w:rsidP="00AE2029">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3120" behindDoc="1" locked="0" layoutInCell="1" allowOverlap="1">
                <wp:simplePos x="0" y="0"/>
                <wp:positionH relativeFrom="margin">
                  <wp:posOffset>2940685</wp:posOffset>
                </wp:positionH>
                <wp:positionV relativeFrom="paragraph">
                  <wp:posOffset>1120140</wp:posOffset>
                </wp:positionV>
                <wp:extent cx="3236595" cy="2012315"/>
                <wp:effectExtent l="3175" t="0" r="0" b="0"/>
                <wp:wrapSquare wrapText="bothSides"/>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201231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AE2029">
                            <w:pPr>
                              <w:jc w:val="center"/>
                              <w:rPr>
                                <w:rFonts w:ascii="Cambria" w:hAnsi="Cambria" w:cs="Cambria"/>
                                <w:color w:val="17365D"/>
                                <w:sz w:val="20"/>
                                <w:szCs w:val="20"/>
                              </w:rPr>
                            </w:pPr>
                            <w:r w:rsidRPr="00986CFB">
                              <w:rPr>
                                <w:rFonts w:ascii="Cambria" w:hAnsi="Cambria"/>
                                <w:color w:val="17365D"/>
                                <w:sz w:val="20"/>
                                <w:szCs w:val="20"/>
                              </w:rPr>
                              <w:t xml:space="preserve">Norint sėkmingai integruoti ir įgyvendinti darnaus vystymosi principą, svarbu toliau </w:t>
                            </w:r>
                            <w:r w:rsidRPr="00986CFB">
                              <w:rPr>
                                <w:rFonts w:ascii="Cambria" w:hAnsi="Cambria" w:cs="Cambria"/>
                                <w:b/>
                                <w:bCs/>
                                <w:color w:val="17365D"/>
                                <w:sz w:val="20"/>
                                <w:szCs w:val="20"/>
                              </w:rPr>
                              <w:t>stiprinti strateginį valdymą</w:t>
                            </w:r>
                            <w:r w:rsidRPr="00986CFB">
                              <w:rPr>
                                <w:rFonts w:ascii="Cambria" w:hAnsi="Cambria" w:cs="Cambria"/>
                                <w:color w:val="17365D"/>
                                <w:sz w:val="20"/>
                                <w:szCs w:val="20"/>
                              </w:rPr>
                              <w:t xml:space="preserve"> (užtikrinant Nacionalinės darnaus vystymosi strategijos ryšius su pagrindiniais nacionaliniais ir sektoriais strateginiais dokumentais, užtikrinant nuoseklią strategijos rodiklių stebėseną), </w:t>
                            </w:r>
                            <w:r w:rsidRPr="00986CFB">
                              <w:rPr>
                                <w:rFonts w:ascii="Cambria" w:hAnsi="Cambria" w:cs="Cambria"/>
                                <w:b/>
                                <w:bCs/>
                                <w:color w:val="17365D"/>
                                <w:sz w:val="20"/>
                                <w:szCs w:val="20"/>
                              </w:rPr>
                              <w:t>naudoti daugiau procedūrinių instrumentų</w:t>
                            </w:r>
                            <w:r w:rsidRPr="00986CFB">
                              <w:rPr>
                                <w:rFonts w:ascii="Cambria" w:hAnsi="Cambria" w:cs="Cambria"/>
                                <w:color w:val="17365D"/>
                                <w:sz w:val="20"/>
                                <w:szCs w:val="20"/>
                              </w:rPr>
                              <w:t xml:space="preserve"> (pavyzdžiui, išplečiant poveikio aplinkai vertinimo, poveikio teritorijai vertinimo ir kaštų–naudos analizės taikymą), nuo sukurtų stiprių metodinių ir teorinių pagrindų darnaus vystymosi srityje </w:t>
                            </w:r>
                            <w:r w:rsidRPr="00986CFB">
                              <w:rPr>
                                <w:rFonts w:ascii="Cambria" w:hAnsi="Cambria" w:cs="Cambria"/>
                                <w:b/>
                                <w:bCs/>
                                <w:color w:val="17365D"/>
                                <w:sz w:val="20"/>
                                <w:szCs w:val="20"/>
                              </w:rPr>
                              <w:t>pereiti prie praktinių įgūdžių formavimo</w:t>
                            </w:r>
                            <w:r w:rsidRPr="00986CFB">
                              <w:rPr>
                                <w:rFonts w:ascii="Cambria" w:hAnsi="Cambria" w:cs="Cambria"/>
                                <w:color w:val="17365D"/>
                                <w:sz w:val="20"/>
                                <w:szCs w:val="20"/>
                              </w:rPr>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231.55pt;margin-top:88.2pt;width:254.85pt;height:158.45pt;z-index:-251663360;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" fillcolor="#efede3" stroked="f" strokeweight=".5pt">
                <v:fill color2="#eae7d9" rotate="t" focusposition=".5,.5" focussize="" focus="100%" type="gradientRadial"/>
                <v:textbox inset="3mm,3mm,3mm,3mm">
                  <w:txbxContent>
                    <w:p w:rsidR="009F5833" w:rsidRPr="00986CFB" w:rsidRDefault="009F5833" w:rsidP="00AE2029">
                      <w:pPr>
                        <w:jc w:val="center"/>
                        <w:rPr>
                          <w:rFonts w:ascii="Cambria" w:hAnsi="Cambria" w:cs="Cambria"/>
                          <w:color w:val="17365D"/>
                          <w:sz w:val="20"/>
                          <w:szCs w:val="20"/>
                        </w:rPr>
                      </w:pPr>
                      <w:r w:rsidRPr="00986CFB">
                        <w:rPr>
                          <w:rFonts w:ascii="Cambria" w:hAnsi="Cambria"/>
                          <w:color w:val="17365D"/>
                          <w:sz w:val="20"/>
                          <w:szCs w:val="20"/>
                        </w:rPr>
                        <w:t xml:space="preserve">Norint sėkmingai integruoti ir įgyvendinti darnaus vystymosi principą, svarbu toliau </w:t>
                      </w:r>
                      <w:r w:rsidRPr="00986CFB">
                        <w:rPr>
                          <w:rFonts w:ascii="Cambria" w:hAnsi="Cambria" w:cs="Cambria"/>
                          <w:b/>
                          <w:bCs/>
                          <w:color w:val="17365D"/>
                          <w:sz w:val="20"/>
                          <w:szCs w:val="20"/>
                        </w:rPr>
                        <w:t>stiprinti strateginį valdymą</w:t>
                      </w:r>
                      <w:r w:rsidRPr="00986CFB">
                        <w:rPr>
                          <w:rFonts w:ascii="Cambria" w:hAnsi="Cambria" w:cs="Cambria"/>
                          <w:color w:val="17365D"/>
                          <w:sz w:val="20"/>
                          <w:szCs w:val="20"/>
                        </w:rPr>
                        <w:t xml:space="preserve"> (užtikrinant Nacionalinės darnaus vystymosi strategijos ryšius su pagrindiniais nacionaliniais ir sektoriais strateginiais dokumentais, užtikrinant nuoseklią strategijos rodiklių stebėseną), </w:t>
                      </w:r>
                      <w:r w:rsidRPr="00986CFB">
                        <w:rPr>
                          <w:rFonts w:ascii="Cambria" w:hAnsi="Cambria" w:cs="Cambria"/>
                          <w:b/>
                          <w:bCs/>
                          <w:color w:val="17365D"/>
                          <w:sz w:val="20"/>
                          <w:szCs w:val="20"/>
                        </w:rPr>
                        <w:t>naudoti daugiau procedūrinių instrumentų</w:t>
                      </w:r>
                      <w:r w:rsidRPr="00986CFB">
                        <w:rPr>
                          <w:rFonts w:ascii="Cambria" w:hAnsi="Cambria" w:cs="Cambria"/>
                          <w:color w:val="17365D"/>
                          <w:sz w:val="20"/>
                          <w:szCs w:val="20"/>
                        </w:rPr>
                        <w:t xml:space="preserve"> (pavyzdžiui, išplečiant poveikio aplinkai vertinimo, poveikio teritorijai vertinimo ir kaštų–naudos analizės taikymą), nuo sukurtų stiprių metodinių ir teorinių pagrindų darnaus vystymosi srityje </w:t>
                      </w:r>
                      <w:r w:rsidRPr="00986CFB">
                        <w:rPr>
                          <w:rFonts w:ascii="Cambria" w:hAnsi="Cambria" w:cs="Cambria"/>
                          <w:b/>
                          <w:bCs/>
                          <w:color w:val="17365D"/>
                          <w:sz w:val="20"/>
                          <w:szCs w:val="20"/>
                        </w:rPr>
                        <w:t>pereiti prie praktinių įgūdžių formavimo</w:t>
                      </w:r>
                      <w:r w:rsidRPr="00986CFB">
                        <w:rPr>
                          <w:rFonts w:ascii="Cambria" w:hAnsi="Cambria" w:cs="Cambria"/>
                          <w:color w:val="17365D"/>
                          <w:sz w:val="20"/>
                          <w:szCs w:val="20"/>
                        </w:rPr>
                        <w:t>.</w:t>
                      </w:r>
                    </w:p>
                  </w:txbxContent>
                </v:textbox>
                <w10:wrap type="square" anchorx="margin"/>
              </v:shape>
            </w:pict>
          </mc:Fallback>
        </mc:AlternateContent>
      </w:r>
      <w:r w:rsidR="00A73AD3" w:rsidRPr="00986CFB">
        <w:rPr>
          <w:rFonts w:cs="Times New Roman"/>
          <w:sz w:val="22"/>
          <w:szCs w:val="22"/>
        </w:rPr>
        <w:t>Įvertinus investicijų poreikį ir tinklų nusidėvėjimo lygį, 2014–2020 m. rekomenduota teikti finansavimą tik patiems neefektyviausiems ir didžiausią finansinę naudą duodantiems projektams. Planuojant investicijas, pasiūlyta atlikti papildomą įmonių ir susijusių institucijų apklausą. Įvertinus projektų gyvybingumą, pasiūlyta projektų finansavimui taikyti finansines priemones ir tinklų renovacijos atveju teikti 100 proc. paskolą / lengvatinę paskolą / paskolą su garantija. Įvertinus investicijų poreikį tinklų renovacijai, rekomenduota visas finansinės priemonės lėšas skirti būtent tam. Vis dėlto, atsiradus poreikiui finansuoti ir kitus projektus, siūloma neapsiriboti tik tinklų renovacija. Nurodyta, kad finansinės priemonės vandentvarkos sektoriuje galėtų būti naudojamos kartu su kitomis valstybės intervencijos formomis.</w:t>
      </w:r>
    </w:p>
    <w:p w:rsidR="00A73AD3" w:rsidRPr="00986CFB" w:rsidRDefault="00A73AD3" w:rsidP="00AE2029">
      <w:pPr>
        <w:pStyle w:val="Pagrindinispaprastastekstas"/>
        <w:rPr>
          <w:rFonts w:cs="Times New Roman"/>
          <w:sz w:val="22"/>
          <w:szCs w:val="22"/>
        </w:rPr>
      </w:pPr>
    </w:p>
    <w:p w:rsidR="00A73AD3" w:rsidRPr="00986CFB" w:rsidRDefault="00A73AD3" w:rsidP="00AE2029">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 xml:space="preserve">2007–2013 m. ES struktūrinės paramos poveikio darniajam vystymuisi vertinimą </w:t>
      </w:r>
      <w:r w:rsidRPr="00986CFB">
        <w:rPr>
          <w:rFonts w:cs="Times New Roman"/>
          <w:sz w:val="22"/>
          <w:szCs w:val="22"/>
        </w:rPr>
        <w:t xml:space="preserve">2014–2020 m. laikotarpiu siūloma aiškiai apibrėžti darnaus vystymosi srities strateginius prioritetus, skatinti projektų vykdytojus aktyviai prisidėti prie darnaus vystymosi horizontalaus prioriteto </w:t>
      </w:r>
      <w:r w:rsidRPr="00986CFB">
        <w:rPr>
          <w:rFonts w:cs="Times New Roman"/>
          <w:sz w:val="22"/>
          <w:szCs w:val="22"/>
        </w:rPr>
        <w:lastRenderedPageBreak/>
        <w:t>įgyvendinimo, tuo pačiu iš anksto kompleksiškai įvertinant kontekstą, kuriame bus įgyvendinamos ES fondų investicijos, stiprinti ES administruojančių institucijų gebėjimus, investicijas į socialinio ir žmogiškojo kapitalo sritis įgyvendinti pasitelkiant regionų projektų planavimą.</w:t>
      </w:r>
    </w:p>
    <w:p w:rsidR="00085363" w:rsidRPr="00085363" w:rsidRDefault="00085363" w:rsidP="00085363">
      <w:pPr>
        <w:pStyle w:val="Antrastes2"/>
        <w:rPr>
          <w:rFonts w:cs="Times New Roman"/>
        </w:rPr>
      </w:pPr>
      <w:bookmarkStart w:id="25" w:name="_Toc472343155"/>
      <w:r w:rsidRPr="00085363">
        <w:rPr>
          <w:rFonts w:cs="Times New Roman"/>
        </w:rPr>
        <w:t xml:space="preserve">Investicijų poveikis viešosios politikos sritims: </w:t>
      </w:r>
      <w:r w:rsidRPr="00085363">
        <w:rPr>
          <w:rFonts w:cs="Times New Roman"/>
          <w:color w:val="E36C0A"/>
        </w:rPr>
        <w:t>transportas</w:t>
      </w:r>
      <w:bookmarkEnd w:id="25"/>
    </w:p>
    <w:p w:rsidR="00085363" w:rsidRPr="00085363" w:rsidRDefault="00085363" w:rsidP="00085363">
      <w:pPr>
        <w:pStyle w:val="Antrastes3"/>
        <w:rPr>
          <w:rFonts w:cs="Times New Roman"/>
        </w:rPr>
      </w:pPr>
      <w:r w:rsidRPr="00085363">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673"/>
        <w:gridCol w:w="1186"/>
        <w:gridCol w:w="1240"/>
        <w:gridCol w:w="2528"/>
      </w:tblGrid>
      <w:tr w:rsidR="00085363" w:rsidRPr="00085363" w:rsidTr="00085363">
        <w:trPr>
          <w:tblHeader/>
        </w:trPr>
        <w:tc>
          <w:tcPr>
            <w:tcW w:w="4673" w:type="dxa"/>
            <w:tcBorders>
              <w:top w:val="single" w:sz="4" w:space="0" w:color="4F81BD"/>
              <w:left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Ataskaitos data</w:t>
            </w:r>
          </w:p>
        </w:tc>
        <w:tc>
          <w:tcPr>
            <w:tcW w:w="1240" w:type="dxa"/>
            <w:tcBorders>
              <w:top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Užsakovas</w:t>
            </w:r>
          </w:p>
        </w:tc>
        <w:tc>
          <w:tcPr>
            <w:tcW w:w="2528" w:type="dxa"/>
            <w:tcBorders>
              <w:top w:val="single" w:sz="4" w:space="0" w:color="4F81BD"/>
              <w:bottom w:val="single" w:sz="4" w:space="0" w:color="4F81BD"/>
              <w:right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Vykdytojas</w:t>
            </w:r>
          </w:p>
        </w:tc>
      </w:tr>
      <w:tr w:rsidR="00085363" w:rsidRPr="00085363" w:rsidTr="00085363">
        <w:tc>
          <w:tcPr>
            <w:tcW w:w="4673" w:type="dxa"/>
            <w:shd w:val="clear" w:color="auto" w:fill="DBE5F1"/>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ES struktūrinių fondų lėšų, skirtų kelių sektoriaus projektams įgyvendinti, planavimo ir panaudojimo efektyvumo vertinimas</w:t>
            </w:r>
          </w:p>
        </w:tc>
        <w:tc>
          <w:tcPr>
            <w:tcW w:w="1186"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2013 m. birželis</w:t>
            </w:r>
          </w:p>
        </w:tc>
        <w:tc>
          <w:tcPr>
            <w:tcW w:w="1240"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Susisiekimo ministerija</w:t>
            </w:r>
          </w:p>
        </w:tc>
        <w:tc>
          <w:tcPr>
            <w:tcW w:w="2528"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„BGI Consulting“</w:t>
            </w:r>
          </w:p>
        </w:tc>
      </w:tr>
      <w:tr w:rsidR="00085363" w:rsidRPr="00085363" w:rsidTr="00085363">
        <w:tc>
          <w:tcPr>
            <w:tcW w:w="4673" w:type="dxa"/>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ES struktūrinės paramos poveikio vietinei ir urbanistinei plėtrai vertinimas</w:t>
            </w:r>
          </w:p>
        </w:tc>
        <w:tc>
          <w:tcPr>
            <w:tcW w:w="1186"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2013 m. gegužė</w:t>
            </w:r>
          </w:p>
        </w:tc>
        <w:tc>
          <w:tcPr>
            <w:tcW w:w="1240"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Finansų ministerija</w:t>
            </w:r>
          </w:p>
        </w:tc>
        <w:tc>
          <w:tcPr>
            <w:tcW w:w="2528"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„BGI Consulting“</w:t>
            </w:r>
          </w:p>
        </w:tc>
      </w:tr>
      <w:tr w:rsidR="00085363" w:rsidRPr="00085363" w:rsidTr="00085363">
        <w:tc>
          <w:tcPr>
            <w:tcW w:w="4673" w:type="dxa"/>
            <w:shd w:val="clear" w:color="auto" w:fill="DBE5F1"/>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ES struktūrinės paramos poveikio gyvenimo kokybei, socialinės atskirties ir skurdo mažinimui Lietuvoje vertinimas</w:t>
            </w:r>
          </w:p>
        </w:tc>
        <w:tc>
          <w:tcPr>
            <w:tcW w:w="1186"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2014 m. gegužė</w:t>
            </w:r>
          </w:p>
        </w:tc>
        <w:tc>
          <w:tcPr>
            <w:tcW w:w="1240"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Finansų ministerija</w:t>
            </w:r>
          </w:p>
        </w:tc>
        <w:tc>
          <w:tcPr>
            <w:tcW w:w="2528"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VšĮ „Europos socialiniai, teisiniai ir ekonominiai projektai“</w:t>
            </w:r>
          </w:p>
        </w:tc>
      </w:tr>
      <w:tr w:rsidR="00085363" w:rsidRPr="00085363" w:rsidTr="00085363">
        <w:tc>
          <w:tcPr>
            <w:tcW w:w="4673" w:type="dxa"/>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Europos Sąjungos struktūrinės paramos poveikio Lietuvos konkurencingumui vertinimas</w:t>
            </w:r>
          </w:p>
        </w:tc>
        <w:tc>
          <w:tcPr>
            <w:tcW w:w="1186"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2015 m. gegužė</w:t>
            </w:r>
          </w:p>
        </w:tc>
        <w:tc>
          <w:tcPr>
            <w:tcW w:w="1240"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Finansų ministerija</w:t>
            </w:r>
          </w:p>
        </w:tc>
        <w:tc>
          <w:tcPr>
            <w:tcW w:w="2528"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„ESTEP Vilnius“</w:t>
            </w:r>
          </w:p>
        </w:tc>
      </w:tr>
      <w:tr w:rsidR="00085363" w:rsidRPr="00085363" w:rsidTr="00085363">
        <w:tc>
          <w:tcPr>
            <w:tcW w:w="4673" w:type="dxa"/>
            <w:shd w:val="clear" w:color="auto" w:fill="DBE5F1"/>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2007–2013 m. ES struktūrinės paramos poveikio Lietuvos miestams ir miesteliams vertinimas</w:t>
            </w:r>
          </w:p>
        </w:tc>
        <w:tc>
          <w:tcPr>
            <w:tcW w:w="1186"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2016 m. rugpjūtis</w:t>
            </w:r>
          </w:p>
        </w:tc>
        <w:tc>
          <w:tcPr>
            <w:tcW w:w="1240"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Finansų ministerija</w:t>
            </w:r>
          </w:p>
        </w:tc>
        <w:tc>
          <w:tcPr>
            <w:tcW w:w="2528"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„ESTEP Vilnius“</w:t>
            </w:r>
          </w:p>
        </w:tc>
      </w:tr>
    </w:tbl>
    <w:p w:rsidR="00085363" w:rsidRPr="00085363" w:rsidRDefault="00085363" w:rsidP="00085363">
      <w:pPr>
        <w:pStyle w:val="Antrastes3"/>
        <w:rPr>
          <w:rFonts w:cs="Times New Roman"/>
        </w:rPr>
      </w:pPr>
      <w:r w:rsidRPr="00085363">
        <w:rPr>
          <w:rFonts w:cs="Times New Roman"/>
        </w:rPr>
        <w:t>Pagrindiniai vertinimų rezultatai ir išvados</w:t>
      </w:r>
    </w:p>
    <w:p w:rsidR="00A73AD3" w:rsidRPr="00986CFB" w:rsidRDefault="00CA1232" w:rsidP="00176A4F">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1312" behindDoc="1" locked="0" layoutInCell="1" allowOverlap="1">
                <wp:simplePos x="0" y="0"/>
                <wp:positionH relativeFrom="margin">
                  <wp:posOffset>3632200</wp:posOffset>
                </wp:positionH>
                <wp:positionV relativeFrom="paragraph">
                  <wp:posOffset>1053465</wp:posOffset>
                </wp:positionV>
                <wp:extent cx="2486025" cy="1115695"/>
                <wp:effectExtent l="0" t="4445" r="635" b="3810"/>
                <wp:wrapSquare wrapText="bothSides"/>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11569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176A4F">
                            <w:pPr>
                              <w:jc w:val="center"/>
                              <w:rPr>
                                <w:rFonts w:ascii="Cambria" w:hAnsi="Cambria" w:cs="Cambria"/>
                                <w:i/>
                                <w:iCs/>
                                <w:color w:val="17365D"/>
                                <w:sz w:val="20"/>
                                <w:szCs w:val="20"/>
                              </w:rPr>
                            </w:pPr>
                            <w:r w:rsidRPr="00986CFB">
                              <w:rPr>
                                <w:rFonts w:ascii="Cambria" w:hAnsi="Cambria"/>
                                <w:i/>
                                <w:iCs/>
                                <w:color w:val="17365D"/>
                                <w:sz w:val="20"/>
                                <w:szCs w:val="20"/>
                              </w:rPr>
                              <w:t>„Sąnaudų palyginimui naudotų šalių kontekste (Latvija, Lenkija, Vengrija, Čekija) Lietuvos investicijų į kelius efektyvumas atrodo teigiamai. &lt;...&gt; suplanuoti tikslai ir uždaviniai pasiekiami santykinai mažesnėmis sąnaudomis.“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286pt;margin-top:82.95pt;width:195.75pt;height:87.85pt;z-index:-251655168;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" fillcolor="#efede3" stroked="f" strokeweight=".5pt">
                <v:fill color2="#eae7d9" rotate="t" focusposition=".5,.5" focussize="" focus="100%" type="gradientRadial"/>
                <v:textbox inset="3mm,3mm,3mm,3mm">
                  <w:txbxContent>
                    <w:p w:rsidR="009F5833" w:rsidRPr="00986CFB" w:rsidRDefault="009F5833" w:rsidP="00176A4F">
                      <w:pPr>
                        <w:jc w:val="center"/>
                        <w:rPr>
                          <w:rFonts w:ascii="Cambria" w:hAnsi="Cambria" w:cs="Cambria"/>
                          <w:i/>
                          <w:iCs/>
                          <w:color w:val="17365D"/>
                          <w:sz w:val="20"/>
                          <w:szCs w:val="20"/>
                        </w:rPr>
                      </w:pPr>
                      <w:r w:rsidRPr="00986CFB">
                        <w:rPr>
                          <w:rFonts w:ascii="Cambria" w:hAnsi="Cambria"/>
                          <w:i/>
                          <w:iCs/>
                          <w:color w:val="17365D"/>
                          <w:sz w:val="20"/>
                          <w:szCs w:val="20"/>
                        </w:rPr>
                        <w:t>„Sąnaudų palyginimui naudotų šalių kontekste (Latvija, Lenkija, Vengrija, Čekija) Lietuvos investicijų į kelius efektyvumas atrodo teigiamai. &lt;...&gt; suplanuoti tikslai ir uždaviniai pasiekiami santykinai mažesnėmis sąnaudomis.“</w:t>
                      </w:r>
                    </w:p>
                  </w:txbxContent>
                </v:textbox>
                <w10:wrap type="square" anchorx="margin"/>
              </v:shape>
            </w:pict>
          </mc:Fallback>
        </mc:AlternateContent>
      </w:r>
      <w:r w:rsidR="00A73AD3" w:rsidRPr="00986CFB">
        <w:rPr>
          <w:rFonts w:cs="Times New Roman"/>
          <w:sz w:val="22"/>
          <w:szCs w:val="22"/>
        </w:rPr>
        <w:t xml:space="preserve">Daugelyje iki 2016 m. pabaigos atliktų vertinimų ES fondų investicijų į transporto infrastruktūrą poveikis vertintas makrolygiu, t. y. analizuojant investicijų poveikį ekonomikai (BVP, užimtumo ir kai kurių kitų makroekonominių rodiklių pokyčiams). 2013 m. atliktame </w:t>
      </w:r>
      <w:r w:rsidR="00A73AD3" w:rsidRPr="00986CFB">
        <w:rPr>
          <w:rFonts w:cs="Times New Roman"/>
          <w:b/>
          <w:bCs/>
          <w:i/>
          <w:iCs/>
          <w:color w:val="1F497D"/>
          <w:sz w:val="22"/>
          <w:szCs w:val="22"/>
        </w:rPr>
        <w:t>ES struktūrinių fondų lėšų, skirtų kelių sektoriaus projektams įgyvendinti, planavimo ir panaudojimo efektyvumo vertinime</w:t>
      </w:r>
      <w:r w:rsidR="00A73AD3" w:rsidRPr="00986CFB">
        <w:rPr>
          <w:rFonts w:cs="Times New Roman"/>
          <w:color w:val="1F497D"/>
          <w:sz w:val="22"/>
          <w:szCs w:val="22"/>
        </w:rPr>
        <w:t xml:space="preserve"> </w:t>
      </w:r>
      <w:r w:rsidR="00A73AD3" w:rsidRPr="00986CFB">
        <w:rPr>
          <w:rFonts w:cs="Times New Roman"/>
          <w:sz w:val="22"/>
          <w:szCs w:val="22"/>
        </w:rPr>
        <w:t>papildomai analizuoti kelių sektoriuje vykdytų intervencijų tinkamumo, rezultatyvumo ir efektyvumo klausimai. Vertinimas atskleidė, kad kelių sektoriaus intervencijų tikslai, uždaviniai, priemonės ir remiamos veiklos buvo suplanuotos tinkamai. Buvo pasiekta reikšminga pažanga mažinant eismo įvykių ir juose žuvusiųjų skaičių, tačiau ši pažanga nėra pakankama, o eismo saugumo problematika išlieka itin aktuali. Nustatyta, kad sąnaudų palyginimui naudotų šalių kontekste (Latvija, Lenkija, Vengrija, Čekija) Lietuvos investicijų į kelius efektyvumas atrodo teigiamai. Daugumos priemonių atveju suplanuoti tikslai ir uždaviniai pasiekiami santykinai mažesnėmis sąnaudomis. Dėl investicijų į kelių sektorių 2007–2020 m. sukurtas papildomas BVP 2,3 karto viršija pačias investicijas (iš visų finansavimo šaltinių, išreikštas proc. nuo BVP). Didžiausias investicijų poveikis užimtumui pasireiškė 2010 m. (kai projektų išlaidos buvo didžiausios) ir sudarė 22,5 tūkst. papildomų užimtųjų. Didžiausias investicijų poveikis darbo užmokesčiui pasireiškė 2011 m., kai dėl atliktų investicijų darbo užmokestis buvo 2,36 proc. didesnis, nei būtų buvęs be investicijų.</w:t>
      </w:r>
      <w:r w:rsidR="00A73AD3" w:rsidRPr="00986CFB">
        <w:rPr>
          <w:rFonts w:cs="Times New Roman"/>
          <w:i/>
          <w:iCs/>
          <w:sz w:val="22"/>
          <w:szCs w:val="22"/>
        </w:rPr>
        <w:t xml:space="preserve"> </w:t>
      </w:r>
    </w:p>
    <w:p w:rsidR="00A73AD3" w:rsidRPr="00986CFB" w:rsidRDefault="00A73AD3" w:rsidP="00176A4F">
      <w:pPr>
        <w:pStyle w:val="Pagrindinispaprastastekstas"/>
        <w:rPr>
          <w:rFonts w:cs="Times New Roman"/>
          <w:sz w:val="22"/>
          <w:szCs w:val="22"/>
        </w:rPr>
      </w:pPr>
    </w:p>
    <w:p w:rsidR="00A73AD3" w:rsidRPr="00986CFB" w:rsidRDefault="00CA1232" w:rsidP="00176A4F">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4384" behindDoc="1" locked="0" layoutInCell="1" allowOverlap="1">
                <wp:simplePos x="0" y="0"/>
                <wp:positionH relativeFrom="margin">
                  <wp:align>right</wp:align>
                </wp:positionH>
                <wp:positionV relativeFrom="paragraph">
                  <wp:posOffset>544195</wp:posOffset>
                </wp:positionV>
                <wp:extent cx="1986280" cy="1123950"/>
                <wp:effectExtent l="0" t="2540" r="0" b="0"/>
                <wp:wrapSquare wrapText="bothSides"/>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12395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F449F8">
                            <w:pPr>
                              <w:jc w:val="center"/>
                              <w:rPr>
                                <w:rFonts w:ascii="Cambria" w:hAnsi="Cambria" w:cs="Cambria"/>
                                <w:i/>
                                <w:iCs/>
                                <w:color w:val="17365D"/>
                                <w:sz w:val="20"/>
                                <w:szCs w:val="20"/>
                              </w:rPr>
                            </w:pPr>
                            <w:r w:rsidRPr="00986CFB">
                              <w:rPr>
                                <w:rFonts w:ascii="Cambria" w:hAnsi="Cambria"/>
                                <w:i/>
                                <w:iCs/>
                                <w:color w:val="17365D"/>
                                <w:sz w:val="20"/>
                                <w:szCs w:val="20"/>
                              </w:rPr>
                              <w:t>„2013 m. transporto paslaugų eksporto dalis BVP būtų buvusi 0,47 proc. punkto mažesnė ir siekusi 8,93 proc. BVP, tačiau dėl ES investicijų buvo didesnė ir sudarė 9,4 proc. BVP.“</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05.2pt;margin-top:42.85pt;width:156.4pt;height:88.5pt;z-index:-251652096;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" fillcolor="#efede3" stroked="f" strokeweight=".5pt">
                <v:fill color2="#eae7d9" rotate="t" focusposition=".5,.5" focussize="" focus="100%" type="gradientRadial"/>
                <v:textbox inset="3mm,3mm,3mm,3mm">
                  <w:txbxContent>
                    <w:p w:rsidR="009F5833" w:rsidRPr="00986CFB" w:rsidRDefault="009F5833" w:rsidP="00F449F8">
                      <w:pPr>
                        <w:jc w:val="center"/>
                        <w:rPr>
                          <w:rFonts w:ascii="Cambria" w:hAnsi="Cambria" w:cs="Cambria"/>
                          <w:i/>
                          <w:iCs/>
                          <w:color w:val="17365D"/>
                          <w:sz w:val="20"/>
                          <w:szCs w:val="20"/>
                        </w:rPr>
                      </w:pPr>
                      <w:r w:rsidRPr="00986CFB">
                        <w:rPr>
                          <w:rFonts w:ascii="Cambria" w:hAnsi="Cambria"/>
                          <w:i/>
                          <w:iCs/>
                          <w:color w:val="17365D"/>
                          <w:sz w:val="20"/>
                          <w:szCs w:val="20"/>
                        </w:rPr>
                        <w:t>„2013 m. transporto paslaugų eksporto dalis BVP būtų buvusi 0,47 proc. punkto mažesnė ir siekusi 8,93 proc. BVP, tačiau dėl ES investicijų buvo didesnė ir sudarė 9,4 proc. BVP.“</w:t>
                      </w:r>
                    </w:p>
                  </w:txbxContent>
                </v:textbox>
                <w10:wrap type="square" anchorx="margin"/>
              </v:shape>
            </w:pict>
          </mc:Fallback>
        </mc:AlternateContent>
      </w:r>
      <w:r w:rsidR="00A73AD3" w:rsidRPr="00986CFB">
        <w:rPr>
          <w:rFonts w:cs="Times New Roman"/>
          <w:sz w:val="22"/>
          <w:szCs w:val="22"/>
        </w:rPr>
        <w:t xml:space="preserve">2007–2013 m. ES fondų investicijos į transporto infrastruktūrą reikšmingai prisidėjo prie Lietuvos konkurencingumo didinimo. </w:t>
      </w:r>
      <w:r w:rsidR="00A73AD3" w:rsidRPr="00986CFB">
        <w:rPr>
          <w:rFonts w:cs="Times New Roman"/>
          <w:b/>
          <w:bCs/>
          <w:i/>
          <w:iCs/>
          <w:color w:val="1F497D"/>
          <w:sz w:val="22"/>
          <w:szCs w:val="22"/>
        </w:rPr>
        <w:t xml:space="preserve">Europos Sąjungos struktūrinės paramos poveikio Lietuvos konkurencingumui vertinimas </w:t>
      </w:r>
      <w:r w:rsidR="00A73AD3" w:rsidRPr="00986CFB">
        <w:rPr>
          <w:rFonts w:cs="Times New Roman"/>
          <w:sz w:val="22"/>
          <w:szCs w:val="22"/>
        </w:rPr>
        <w:t>atskleidė, kad t</w:t>
      </w:r>
      <w:r w:rsidR="00A73AD3" w:rsidRPr="00986CFB">
        <w:rPr>
          <w:rFonts w:cs="Times New Roman"/>
          <w:color w:val="000000"/>
          <w:sz w:val="22"/>
          <w:szCs w:val="22"/>
        </w:rPr>
        <w:t xml:space="preserve">ransporto sektoriui teko didžioji konkurencingumo didinimui 2007–2013 m. skirto finansavimo dalis (transporto sektoriui išmokėta apie 40 proc. visų konkurencingumo didinimui išmokėtų lėšų). ES investicijos transporto sektoriuje davė didelę ir ilgalaikę grąžą (prisidėjo prie transporto sektoriuje sukuriamo BVP ir kitų makroekonominių rodiklių didėjimo). </w:t>
      </w:r>
      <w:r w:rsidR="00A73AD3" w:rsidRPr="00986CFB">
        <w:rPr>
          <w:rFonts w:cs="Times New Roman"/>
          <w:sz w:val="22"/>
          <w:szCs w:val="22"/>
        </w:rPr>
        <w:t xml:space="preserve">Dėl ES investicijų </w:t>
      </w:r>
      <w:r w:rsidR="00A73AD3" w:rsidRPr="00986CFB">
        <w:rPr>
          <w:rFonts w:cs="Times New Roman"/>
          <w:sz w:val="22"/>
          <w:szCs w:val="22"/>
        </w:rPr>
        <w:lastRenderedPageBreak/>
        <w:t xml:space="preserve">2007–2013 m. transporto paslaugų eksporto santykis su BVP buvo 0,47 proc. punkto didesnis, lyginant su scenarijumi be paramos. </w:t>
      </w:r>
    </w:p>
    <w:p w:rsidR="00A73AD3" w:rsidRPr="00986CFB" w:rsidRDefault="00A73AD3" w:rsidP="00176A4F">
      <w:pPr>
        <w:pStyle w:val="Pagrindinispaprastastekstas"/>
        <w:rPr>
          <w:rFonts w:cs="Times New Roman"/>
          <w:sz w:val="22"/>
          <w:szCs w:val="22"/>
        </w:rPr>
      </w:pPr>
    </w:p>
    <w:p w:rsidR="00A73AD3" w:rsidRPr="00986CFB" w:rsidRDefault="00A73AD3" w:rsidP="00176A4F">
      <w:pPr>
        <w:pStyle w:val="Pagrindinispaprastastekstas"/>
        <w:rPr>
          <w:rFonts w:cs="Times New Roman"/>
          <w:sz w:val="22"/>
          <w:szCs w:val="22"/>
        </w:rPr>
      </w:pPr>
      <w:r w:rsidRPr="00986CFB">
        <w:rPr>
          <w:rFonts w:cs="Times New Roman"/>
          <w:b/>
          <w:bCs/>
          <w:i/>
          <w:iCs/>
          <w:color w:val="1F497D"/>
          <w:sz w:val="22"/>
          <w:szCs w:val="22"/>
        </w:rPr>
        <w:t>ES struktūrinės paramos poveikio gyvenimo kokybei, socialinės atskirties ir skurdo mažinimui Lietuvoje vertinimas</w:t>
      </w:r>
      <w:r w:rsidRPr="00986CFB">
        <w:rPr>
          <w:rFonts w:cs="Times New Roman"/>
          <w:color w:val="1F497D"/>
          <w:sz w:val="22"/>
          <w:szCs w:val="22"/>
        </w:rPr>
        <w:t xml:space="preserve"> </w:t>
      </w:r>
      <w:r w:rsidRPr="00986CFB">
        <w:rPr>
          <w:rFonts w:cs="Times New Roman"/>
          <w:sz w:val="22"/>
          <w:szCs w:val="22"/>
        </w:rPr>
        <w:t xml:space="preserve">ir </w:t>
      </w:r>
      <w:r w:rsidRPr="00986CFB">
        <w:rPr>
          <w:rFonts w:cs="Times New Roman"/>
          <w:b/>
          <w:bCs/>
          <w:i/>
          <w:iCs/>
          <w:color w:val="1F497D"/>
          <w:sz w:val="22"/>
          <w:szCs w:val="22"/>
        </w:rPr>
        <w:t>2007–2013 m. ES struktūrinės paramos poveikio Lietuvos miestams ir miesteliams vertinimas</w:t>
      </w:r>
      <w:r w:rsidRPr="00986CFB">
        <w:rPr>
          <w:rFonts w:cs="Times New Roman"/>
          <w:sz w:val="22"/>
          <w:szCs w:val="22"/>
        </w:rPr>
        <w:t xml:space="preserve"> atskleidė, kad ES fondų investicijos į kelių infrastruktūrą buvo svarbios gerinant gyvenimo kokybę Lietuvoje, ypač gerinant susisiekimo sąlygas šalies regionuose ir miestuose (dėl valstybinės ir vietinės reikšmės žvyrkelių asfaltavimo, miestų gatvių rekonstravimo ir aplinkkelių tiesimo).</w:t>
      </w:r>
    </w:p>
    <w:p w:rsidR="00A73AD3" w:rsidRPr="00986CFB" w:rsidRDefault="00A73AD3" w:rsidP="00176A4F">
      <w:pPr>
        <w:pStyle w:val="Pagrindinispaprastastekstas"/>
        <w:rPr>
          <w:rFonts w:cs="Times New Roman"/>
          <w:sz w:val="22"/>
          <w:szCs w:val="22"/>
        </w:rPr>
      </w:pPr>
    </w:p>
    <w:p w:rsidR="00A73AD3" w:rsidRPr="00986CFB" w:rsidRDefault="00CA1232" w:rsidP="00176A4F">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2336" behindDoc="1" locked="0" layoutInCell="1" allowOverlap="1">
                <wp:simplePos x="0" y="0"/>
                <wp:positionH relativeFrom="margin">
                  <wp:posOffset>56515</wp:posOffset>
                </wp:positionH>
                <wp:positionV relativeFrom="paragraph">
                  <wp:posOffset>640715</wp:posOffset>
                </wp:positionV>
                <wp:extent cx="2740025" cy="1367155"/>
                <wp:effectExtent l="0" t="0" r="0" b="0"/>
                <wp:wrapSquare wrapText="bothSides"/>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36715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A3396E">
                            <w:pPr>
                              <w:jc w:val="center"/>
                              <w:rPr>
                                <w:rFonts w:ascii="Cambria" w:hAnsi="Cambria" w:cs="Cambria"/>
                                <w:color w:val="17365D"/>
                                <w:sz w:val="20"/>
                                <w:szCs w:val="20"/>
                              </w:rPr>
                            </w:pPr>
                            <w:r w:rsidRPr="00986CFB">
                              <w:rPr>
                                <w:rFonts w:ascii="Cambria" w:hAnsi="Cambria"/>
                                <w:color w:val="17365D"/>
                                <w:sz w:val="20"/>
                                <w:szCs w:val="20"/>
                              </w:rPr>
                              <w:t>Investicijos į susisiekimo infrastruktūrą tiesiogiai prisidėjo prie gyvenimo kokybės gerėjimo miestuose ir miesteliuose, taip pat prie gyvenimo kokybės indekso rodiklių, susijusių su materialinėmis investicijomis, automobilių kelių su patobulinta danga dalimi ir kelių eismo įvykių skaičiumi, pokyčių.</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left:0;text-align:left;margin-left:4.45pt;margin-top:50.45pt;width:215.75pt;height:107.65pt;z-index:-251654144;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" fillcolor="#efede3" stroked="f" strokeweight=".5pt">
                <v:fill color2="#eae7d9" rotate="t" focusposition=".5,.5" focussize="" focus="100%" type="gradientRadial"/>
                <v:textbox inset="3mm,3mm,3mm,3mm">
                  <w:txbxContent>
                    <w:p w:rsidR="009F5833" w:rsidRPr="00986CFB" w:rsidRDefault="009F5833" w:rsidP="00A3396E">
                      <w:pPr>
                        <w:jc w:val="center"/>
                        <w:rPr>
                          <w:rFonts w:ascii="Cambria" w:hAnsi="Cambria" w:cs="Cambria"/>
                          <w:color w:val="17365D"/>
                          <w:sz w:val="20"/>
                          <w:szCs w:val="20"/>
                        </w:rPr>
                      </w:pPr>
                      <w:r w:rsidRPr="00986CFB">
                        <w:rPr>
                          <w:rFonts w:ascii="Cambria" w:hAnsi="Cambria"/>
                          <w:color w:val="17365D"/>
                          <w:sz w:val="20"/>
                          <w:szCs w:val="20"/>
                        </w:rPr>
                        <w:t>Investicijos į susisiekimo infrastruktūrą tiesiogiai prisidėjo prie gyvenimo kokybės gerėjimo miestuose ir miesteliuose, taip pat prie gyvenimo kokybės indekso rodiklių, susijusių su materialinėmis investicijomis, automobilių kelių su patobulinta danga dalimi ir kelių eismo įvykių skaičiumi, pokyčių.</w:t>
                      </w:r>
                    </w:p>
                  </w:txbxContent>
                </v:textbox>
                <w10:wrap type="square" anchorx="margin"/>
              </v:shape>
            </w:pict>
          </mc:Fallback>
        </mc:AlternateContent>
      </w:r>
      <w:r w:rsidR="00A73AD3" w:rsidRPr="00986CFB">
        <w:rPr>
          <w:rFonts w:cs="Times New Roman"/>
          <w:sz w:val="22"/>
          <w:szCs w:val="22"/>
        </w:rPr>
        <w:t xml:space="preserve">Atlikus </w:t>
      </w:r>
      <w:r w:rsidR="00A73AD3" w:rsidRPr="00986CFB">
        <w:rPr>
          <w:rFonts w:cs="Times New Roman"/>
          <w:b/>
          <w:bCs/>
          <w:i/>
          <w:iCs/>
          <w:color w:val="1F497D"/>
          <w:sz w:val="22"/>
          <w:szCs w:val="22"/>
        </w:rPr>
        <w:t xml:space="preserve">2007–2013 m. ES struktūrinės paramos poveikio Lietuvos miestams ir miesteliams vertinimą </w:t>
      </w:r>
      <w:r w:rsidR="00A73AD3" w:rsidRPr="00986CFB">
        <w:rPr>
          <w:rFonts w:cs="Times New Roman"/>
          <w:sz w:val="22"/>
          <w:szCs w:val="22"/>
        </w:rPr>
        <w:t>nustatyta, kad ES fondų lėšomis Lietuvoje išasfaltuota 737 km valstybinės reikšmės žvyrkelių (tai sudarė 90 proc. valstybinės reikšmės kelių su asfalto danga ilgio padidėjimo 2007–2014 m.). Valstybinės reikšmės žvyrkeliai buvo asfaltuojami 47 savivaldybėse. Be to, buvo nutiesta arba rekonstruota 332 km vietinės reikšmės kelių ir miestų gatvių (tai sudarė apie 20 proc. vietinės reikšmės kelių su patobulinta danga ilgio padidėjimo 2007–2014 m). Aplinkkelių tiesimas prisidėjo prie transporto srautų, jų keliamos taršos ir triukšmo lygio miestuose sumažinimo, pagerino susisiekimo automobilių keliais sąlygas ir eismo saugumą, sumažino kelių transporto daromą neigiamą poveikį visuomenės sveikatai. Daugiausia naudos iš investicijų į kelių infrastruktūros plėtrą gavo didieji miestai ir nacionalinės regioninės politikos tikslinėse teritorijose esantys miestai.</w:t>
      </w:r>
    </w:p>
    <w:p w:rsidR="00A73AD3" w:rsidRPr="00986CFB" w:rsidRDefault="00A73AD3" w:rsidP="00176A4F">
      <w:pPr>
        <w:pStyle w:val="Pagrindinispaprastastekstas"/>
        <w:rPr>
          <w:rFonts w:cs="Times New Roman"/>
          <w:sz w:val="22"/>
          <w:szCs w:val="22"/>
        </w:rPr>
      </w:pPr>
    </w:p>
    <w:p w:rsidR="00A73AD3" w:rsidRPr="00986CFB" w:rsidRDefault="00CA1232" w:rsidP="0079515F">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3360" behindDoc="1" locked="0" layoutInCell="1" allowOverlap="1">
                <wp:simplePos x="0" y="0"/>
                <wp:positionH relativeFrom="margin">
                  <wp:align>right</wp:align>
                </wp:positionH>
                <wp:positionV relativeFrom="paragraph">
                  <wp:posOffset>584200</wp:posOffset>
                </wp:positionV>
                <wp:extent cx="2313305" cy="960755"/>
                <wp:effectExtent l="2540" t="635" r="0" b="635"/>
                <wp:wrapSquare wrapText="bothSides"/>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96075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79515F">
                            <w:pPr>
                              <w:jc w:val="center"/>
                              <w:rPr>
                                <w:rFonts w:ascii="Cambria" w:hAnsi="Cambria" w:cs="Cambria"/>
                                <w:i/>
                                <w:iCs/>
                                <w:color w:val="17365D"/>
                                <w:sz w:val="20"/>
                                <w:szCs w:val="20"/>
                              </w:rPr>
                            </w:pPr>
                            <w:r w:rsidRPr="00986CFB">
                              <w:rPr>
                                <w:rFonts w:ascii="Cambria" w:hAnsi="Cambria"/>
                                <w:i/>
                                <w:iCs/>
                                <w:color w:val="17365D"/>
                                <w:sz w:val="20"/>
                                <w:szCs w:val="20"/>
                              </w:rPr>
                              <w:t>„Vilniaus aplinkkelio apskaičiuotas (diskontuotas) naudos ir sąnaudų santykis sudaro 1,67. Tai reiškia, kad naudų suma yra daugiau nei pusantro karto didesnė už sąnaudas.“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left:0;text-align:left;margin-left:130.95pt;margin-top:46pt;width:182.15pt;height:75.65pt;z-index:-251653120;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" fillcolor="#efede3" stroked="f" strokeweight=".5pt">
                <v:fill color2="#eae7d9" rotate="t" focusposition=".5,.5" focussize="" focus="100%" type="gradientRadial"/>
                <v:textbox inset="3mm,3mm,3mm,3mm">
                  <w:txbxContent>
                    <w:p w:rsidR="009F5833" w:rsidRPr="00986CFB" w:rsidRDefault="009F5833" w:rsidP="0079515F">
                      <w:pPr>
                        <w:jc w:val="center"/>
                        <w:rPr>
                          <w:rFonts w:ascii="Cambria" w:hAnsi="Cambria" w:cs="Cambria"/>
                          <w:i/>
                          <w:iCs/>
                          <w:color w:val="17365D"/>
                          <w:sz w:val="20"/>
                          <w:szCs w:val="20"/>
                        </w:rPr>
                      </w:pPr>
                      <w:r w:rsidRPr="00986CFB">
                        <w:rPr>
                          <w:rFonts w:ascii="Cambria" w:hAnsi="Cambria"/>
                          <w:i/>
                          <w:iCs/>
                          <w:color w:val="17365D"/>
                          <w:sz w:val="20"/>
                          <w:szCs w:val="20"/>
                        </w:rPr>
                        <w:t>„Vilniaus aplinkkelio apskaičiuotas (diskontuotas) naudos ir sąnaudų santykis sudaro 1,67. Tai reiškia, kad naudų suma yra daugiau nei pusantro karto didesnė už sąnaudas.“</w:t>
                      </w:r>
                    </w:p>
                  </w:txbxContent>
                </v:textbox>
                <w10:wrap type="square" anchorx="margin"/>
              </v:shape>
            </w:pict>
          </mc:Fallback>
        </mc:AlternateContent>
      </w:r>
      <w:r w:rsidR="00A73AD3" w:rsidRPr="00986CFB">
        <w:rPr>
          <w:rFonts w:cs="Times New Roman"/>
          <w:b/>
          <w:bCs/>
          <w:i/>
          <w:iCs/>
          <w:color w:val="1F497D"/>
          <w:sz w:val="22"/>
          <w:szCs w:val="22"/>
        </w:rPr>
        <w:t>ES struktūrinės paramos poveikio vietinei ir urbanistinei plėtrai vertinimo ataskaitoje</w:t>
      </w:r>
      <w:r w:rsidR="00A73AD3" w:rsidRPr="00986CFB">
        <w:rPr>
          <w:rFonts w:cs="Times New Roman"/>
          <w:sz w:val="22"/>
          <w:szCs w:val="22"/>
        </w:rPr>
        <w:t xml:space="preserve"> teigiama, kad Vilniaus aplinkkelių atveju investicijų netiesioginis poveikis žmogiškųjų išteklių pritraukimui pasireikš per pritrauktas privačias investicijas, kuriančias darbo vietas. Vertinimo metu atlikta Vilniaus aplinkkelių atvejo analizė parodė, kad mieste atliktos investicijos teigiamai veikia susisiekimo galimybes. Ženkliai pagerėjo susisiekimas tarp miesto mikrorajonų, taip pat susisiekimas su tarptautiniu oro uostu. Aplinkkelis atnešė daug naudos mažinant triukšmą ir užterštumą, prisidėjo ir prie naujų privačių investicijų mieste atsiradimo. Vertinimo ataskaitoje teigiama, kad nutiesus aplinkkelį sudarytos galimybės greičiau pasiekti kelionės tikslą, pavyzdžiui, darbo vietą, sudarys prielaidas greičiau į darbą atvykusiems darbuotojams sukurti didesnę pridėtinę vertę. Mažėjantis triukšmo lygis bei užterštumo koncentracija taip pat turės įtakos geresnei gyventojų sveikatai, o kartu ir didesniam produktyvumui.</w:t>
      </w:r>
      <w:r w:rsidR="00A73AD3" w:rsidRPr="00986CFB">
        <w:rPr>
          <w:rFonts w:cs="Times New Roman"/>
          <w:i/>
          <w:iCs/>
          <w:sz w:val="22"/>
          <w:szCs w:val="22"/>
        </w:rPr>
        <w:t xml:space="preserve"> </w:t>
      </w:r>
    </w:p>
    <w:p w:rsidR="00A73AD3" w:rsidRPr="00986CFB" w:rsidRDefault="00A73AD3" w:rsidP="00CA0A60">
      <w:pPr>
        <w:pStyle w:val="Antrastes3"/>
        <w:rPr>
          <w:rFonts w:cs="Times New Roman"/>
        </w:rPr>
      </w:pPr>
      <w:r w:rsidRPr="00986CFB">
        <w:rPr>
          <w:rFonts w:cs="Times New Roman"/>
        </w:rPr>
        <w:t>Svarbiausios rekomendacijos ir strateginiai siūlymai</w:t>
      </w:r>
    </w:p>
    <w:p w:rsidR="00A73AD3" w:rsidRPr="00986CFB" w:rsidRDefault="00A73AD3" w:rsidP="00176A4F">
      <w:pPr>
        <w:pStyle w:val="Pagrindinispaprastastekstas"/>
        <w:rPr>
          <w:rFonts w:cs="Times New Roman"/>
          <w:sz w:val="22"/>
          <w:szCs w:val="22"/>
        </w:rPr>
      </w:pPr>
      <w:r w:rsidRPr="00986CFB">
        <w:rPr>
          <w:rFonts w:cs="Times New Roman"/>
          <w:b/>
          <w:bCs/>
          <w:i/>
          <w:iCs/>
          <w:color w:val="1F497D"/>
          <w:sz w:val="22"/>
          <w:szCs w:val="22"/>
        </w:rPr>
        <w:t xml:space="preserve">ES struktūrinių fondų lėšų, skirtų kelių sektoriaus projektams įgyvendinti, planavimo ir panaudojimo efektyvumo vertinimo </w:t>
      </w:r>
      <w:r w:rsidRPr="00986CFB">
        <w:rPr>
          <w:rFonts w:cs="Times New Roman"/>
          <w:sz w:val="22"/>
          <w:szCs w:val="22"/>
        </w:rPr>
        <w:t>ataskaitoje teigiama, kad 2014–2020 m. didesnis dėmesys turėtų būti skiriamas inovacijų ir MTEP veiklų horizontaliam integravimui į kelių sektoriaus priemones. Atsižvelgiant į tai, rekomenduota 2014–2020 m. numatyti lėšas inovacijų ir MTEP veiklų įgyvendinimui kelių sektoriuje (intelektinės transporto sistemos ir paslaugos, inovacijos, susijusios su kelių dangomis, sistemų optimizavimo tyrimai ir kt.). Taip pat rekomenduota toliau investuoti į infrastruktūrines eismo saugos priemones, didelį dėmesį skiriant vairuotojų elgsenos keitimui ir ki</w:t>
      </w:r>
      <w:r w:rsidR="00085363" w:rsidRPr="00986CFB">
        <w:rPr>
          <w:rFonts w:cs="Times New Roman"/>
          <w:sz w:val="22"/>
          <w:szCs w:val="22"/>
        </w:rPr>
        <w:t>toms organizacinėms priemonėms.</w:t>
      </w:r>
    </w:p>
    <w:p w:rsidR="00085363" w:rsidRPr="00986CFB" w:rsidRDefault="00085363" w:rsidP="00176A4F">
      <w:pPr>
        <w:pStyle w:val="Pagrindinispaprastastekstas"/>
        <w:rPr>
          <w:rFonts w:cs="Times New Roman"/>
          <w:sz w:val="22"/>
          <w:szCs w:val="22"/>
        </w:rPr>
      </w:pPr>
    </w:p>
    <w:p w:rsidR="00085363" w:rsidRPr="00085363" w:rsidRDefault="00085363" w:rsidP="00085363">
      <w:pPr>
        <w:pStyle w:val="Antrastes2"/>
        <w:jc w:val="both"/>
        <w:rPr>
          <w:rFonts w:cs="Times New Roman"/>
        </w:rPr>
      </w:pPr>
      <w:r w:rsidRPr="00986CFB">
        <w:rPr>
          <w:rFonts w:cs="Times New Roman"/>
          <w:sz w:val="22"/>
          <w:szCs w:val="22"/>
        </w:rPr>
        <w:br w:type="page"/>
      </w:r>
      <w:bookmarkStart w:id="26" w:name="_Toc472343156"/>
      <w:r w:rsidRPr="00085363">
        <w:rPr>
          <w:rFonts w:cs="Times New Roman"/>
        </w:rPr>
        <w:lastRenderedPageBreak/>
        <w:t xml:space="preserve">Investicijų poveikis viešosios politikos sritims: </w:t>
      </w:r>
      <w:r w:rsidRPr="00085363">
        <w:rPr>
          <w:rFonts w:cs="Times New Roman"/>
          <w:color w:val="E36C0A"/>
        </w:rPr>
        <w:t>kokybiškas užimtumas ir dalyvavimas darbo rinkoje</w:t>
      </w:r>
      <w:bookmarkEnd w:id="26"/>
    </w:p>
    <w:p w:rsidR="00085363" w:rsidRPr="00085363" w:rsidRDefault="00085363" w:rsidP="00085363">
      <w:pPr>
        <w:pStyle w:val="Antrastes3"/>
        <w:rPr>
          <w:rFonts w:cs="Times New Roman"/>
        </w:rPr>
      </w:pPr>
      <w:r w:rsidRPr="00085363">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905"/>
        <w:gridCol w:w="1277"/>
        <w:gridCol w:w="1184"/>
        <w:gridCol w:w="2261"/>
      </w:tblGrid>
      <w:tr w:rsidR="00085363" w:rsidRPr="00085363" w:rsidTr="00085363">
        <w:trPr>
          <w:tblHeader/>
        </w:trPr>
        <w:tc>
          <w:tcPr>
            <w:tcW w:w="4905" w:type="dxa"/>
            <w:tcBorders>
              <w:top w:val="single" w:sz="4" w:space="0" w:color="4F81BD"/>
              <w:left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Pavadinimas</w:t>
            </w:r>
          </w:p>
        </w:tc>
        <w:tc>
          <w:tcPr>
            <w:tcW w:w="1277" w:type="dxa"/>
            <w:tcBorders>
              <w:top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Ataskaitos data</w:t>
            </w:r>
          </w:p>
        </w:tc>
        <w:tc>
          <w:tcPr>
            <w:tcW w:w="1184" w:type="dxa"/>
            <w:tcBorders>
              <w:top w:val="single" w:sz="4" w:space="0" w:color="4F81BD"/>
              <w:bottom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Užsakovas</w:t>
            </w:r>
          </w:p>
        </w:tc>
        <w:tc>
          <w:tcPr>
            <w:tcW w:w="2261" w:type="dxa"/>
            <w:tcBorders>
              <w:top w:val="single" w:sz="4" w:space="0" w:color="4F81BD"/>
              <w:bottom w:val="single" w:sz="4" w:space="0" w:color="4F81BD"/>
              <w:right w:val="single" w:sz="4" w:space="0" w:color="4F81BD"/>
            </w:tcBorders>
            <w:shd w:val="clear" w:color="auto" w:fill="4F81BD"/>
          </w:tcPr>
          <w:p w:rsidR="00085363" w:rsidRPr="00085363" w:rsidRDefault="00085363" w:rsidP="00085363">
            <w:pPr>
              <w:pStyle w:val="Pagrindinispaprastastekstas"/>
              <w:jc w:val="center"/>
              <w:rPr>
                <w:rFonts w:cs="Times New Roman"/>
                <w:b/>
                <w:bCs/>
                <w:color w:val="FFFFFF"/>
                <w:sz w:val="20"/>
                <w:szCs w:val="20"/>
              </w:rPr>
            </w:pPr>
            <w:r w:rsidRPr="00085363">
              <w:rPr>
                <w:rFonts w:cs="Times New Roman"/>
                <w:b/>
                <w:bCs/>
                <w:color w:val="FFFFFF"/>
                <w:sz w:val="20"/>
                <w:szCs w:val="20"/>
              </w:rPr>
              <w:t>Vykdytojas</w:t>
            </w:r>
          </w:p>
        </w:tc>
      </w:tr>
      <w:tr w:rsidR="00085363" w:rsidRPr="00085363" w:rsidTr="00085363">
        <w:tc>
          <w:tcPr>
            <w:tcW w:w="4905" w:type="dxa"/>
            <w:shd w:val="clear" w:color="auto" w:fill="DBE5F1"/>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Socialinės integracijos paslaugų socialiai pažeidžiamų ir socialinės rizikos asmenų grupėms situacijos, poreikių ir rezultatyvumo vertinimas, siekiant efektyviai panaudoti 2007–2013 m. ES struktūrinę paramą</w:t>
            </w:r>
          </w:p>
        </w:tc>
        <w:tc>
          <w:tcPr>
            <w:tcW w:w="1277"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2011 m. liepa</w:t>
            </w:r>
          </w:p>
        </w:tc>
        <w:tc>
          <w:tcPr>
            <w:tcW w:w="1184"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Socialinės apsaugos ir darbo ministerija</w:t>
            </w:r>
          </w:p>
        </w:tc>
        <w:tc>
          <w:tcPr>
            <w:tcW w:w="2261"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VšĮ Viešosios politikos ir vadybos institutas ir Darbo ir socialinių tyrimų institutas</w:t>
            </w:r>
          </w:p>
        </w:tc>
      </w:tr>
      <w:tr w:rsidR="00085363" w:rsidRPr="00085363" w:rsidTr="00085363">
        <w:tc>
          <w:tcPr>
            <w:tcW w:w="4905" w:type="dxa"/>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ES struktūrinės paramos poveikio gyvenimo kokybei, socialinės atskirties ir skurdo mažinimui Lietuvoje vertinimas</w:t>
            </w:r>
          </w:p>
        </w:tc>
        <w:tc>
          <w:tcPr>
            <w:tcW w:w="1277"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2014 m. gegužė</w:t>
            </w:r>
          </w:p>
        </w:tc>
        <w:tc>
          <w:tcPr>
            <w:tcW w:w="1184"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Finansų ministerija</w:t>
            </w:r>
          </w:p>
        </w:tc>
        <w:tc>
          <w:tcPr>
            <w:tcW w:w="2261"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VšĮ „Europos socialiniai, teisiniai ir ekonominiai projektai“</w:t>
            </w:r>
          </w:p>
        </w:tc>
      </w:tr>
      <w:tr w:rsidR="00085363" w:rsidRPr="00085363" w:rsidTr="00085363">
        <w:tc>
          <w:tcPr>
            <w:tcW w:w="4905" w:type="dxa"/>
            <w:shd w:val="clear" w:color="auto" w:fill="DBE5F1"/>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Lyčių lygybės mokymų ir proaktyvių veiksmų, organizuotų įgyvendinant 2007–2013 m. Žmogiškųjų išteklių plėtros veiksmų programos I uždavinio priemones, efektyvumo, rezultatyvumo ir poveikio vertinimas</w:t>
            </w:r>
          </w:p>
        </w:tc>
        <w:tc>
          <w:tcPr>
            <w:tcW w:w="1277"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2016 m. balandis</w:t>
            </w:r>
          </w:p>
        </w:tc>
        <w:tc>
          <w:tcPr>
            <w:tcW w:w="1184"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Socialinės apsaugos ir darbo ministerija</w:t>
            </w:r>
          </w:p>
        </w:tc>
        <w:tc>
          <w:tcPr>
            <w:tcW w:w="2261" w:type="dxa"/>
            <w:shd w:val="clear" w:color="auto" w:fill="DBE5F1"/>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„BGI Consulting“</w:t>
            </w:r>
          </w:p>
        </w:tc>
      </w:tr>
      <w:tr w:rsidR="00085363" w:rsidRPr="00085363" w:rsidTr="00085363">
        <w:tc>
          <w:tcPr>
            <w:tcW w:w="4905" w:type="dxa"/>
          </w:tcPr>
          <w:p w:rsidR="00085363" w:rsidRPr="00085363" w:rsidRDefault="00085363" w:rsidP="00085363">
            <w:pPr>
              <w:pStyle w:val="Pagrindinispaprastastekstas"/>
              <w:jc w:val="left"/>
              <w:rPr>
                <w:rFonts w:cs="Times New Roman"/>
                <w:b/>
                <w:bCs/>
                <w:sz w:val="20"/>
                <w:szCs w:val="20"/>
              </w:rPr>
            </w:pPr>
            <w:r w:rsidRPr="00085363">
              <w:rPr>
                <w:rFonts w:cs="Times New Roman"/>
                <w:sz w:val="20"/>
                <w:szCs w:val="20"/>
              </w:rPr>
              <w:t>2007–2013 m. Žmogiškųjų išteklių plėtros veiksmų programos 1 prioriteto „Kokybiškas užimtumas ir socialinė aprėptis“ priemonių, skirtų skatinti jaunimo užimtumą, poveikio ir efektyvumo vertinimas</w:t>
            </w:r>
          </w:p>
        </w:tc>
        <w:tc>
          <w:tcPr>
            <w:tcW w:w="1277"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2016 m. rugpjūtis</w:t>
            </w:r>
          </w:p>
        </w:tc>
        <w:tc>
          <w:tcPr>
            <w:tcW w:w="1184"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Socialinės apsaugos ir darbo ministerija</w:t>
            </w:r>
          </w:p>
          <w:p w:rsidR="00085363" w:rsidRPr="00085363" w:rsidRDefault="00085363" w:rsidP="00085363">
            <w:pPr>
              <w:pStyle w:val="Pagrindinispaprastastekstas"/>
              <w:jc w:val="center"/>
              <w:rPr>
                <w:rFonts w:cs="Times New Roman"/>
                <w:sz w:val="20"/>
                <w:szCs w:val="20"/>
              </w:rPr>
            </w:pPr>
          </w:p>
        </w:tc>
        <w:tc>
          <w:tcPr>
            <w:tcW w:w="2261" w:type="dxa"/>
          </w:tcPr>
          <w:p w:rsidR="00085363" w:rsidRPr="00085363" w:rsidRDefault="00085363" w:rsidP="00085363">
            <w:pPr>
              <w:pStyle w:val="Pagrindinispaprastastekstas"/>
              <w:jc w:val="center"/>
              <w:rPr>
                <w:rFonts w:cs="Times New Roman"/>
                <w:sz w:val="20"/>
                <w:szCs w:val="20"/>
              </w:rPr>
            </w:pPr>
            <w:r w:rsidRPr="00085363">
              <w:rPr>
                <w:rFonts w:cs="Times New Roman"/>
                <w:sz w:val="20"/>
                <w:szCs w:val="20"/>
              </w:rPr>
              <w:t>UAB „Ernst &amp; Young Baltic“</w:t>
            </w:r>
          </w:p>
        </w:tc>
      </w:tr>
    </w:tbl>
    <w:p w:rsidR="00085363" w:rsidRPr="00085363" w:rsidRDefault="00085363" w:rsidP="00085363">
      <w:pPr>
        <w:pStyle w:val="Antrastes3"/>
        <w:rPr>
          <w:rFonts w:cs="Times New Roman"/>
        </w:rPr>
      </w:pPr>
      <w:r w:rsidRPr="00085363">
        <w:rPr>
          <w:rFonts w:cs="Times New Roman"/>
        </w:rPr>
        <w:t>Pagrindiniai vertinimų rezultatai ir išvados</w:t>
      </w:r>
    </w:p>
    <w:p w:rsidR="00A73AD3" w:rsidRPr="00986CFB" w:rsidRDefault="00A73AD3" w:rsidP="003A2531">
      <w:pPr>
        <w:pStyle w:val="Pagrindinispaprastastekstas"/>
        <w:rPr>
          <w:rFonts w:cs="Times New Roman"/>
          <w:sz w:val="22"/>
          <w:szCs w:val="22"/>
        </w:rPr>
      </w:pPr>
      <w:r w:rsidRPr="00986CFB">
        <w:rPr>
          <w:rFonts w:cs="Times New Roman"/>
          <w:sz w:val="22"/>
          <w:szCs w:val="22"/>
        </w:rPr>
        <w:t xml:space="preserve">Atliekant </w:t>
      </w:r>
      <w:r w:rsidRPr="00986CFB">
        <w:rPr>
          <w:rFonts w:cs="Times New Roman"/>
          <w:b/>
          <w:bCs/>
          <w:i/>
          <w:iCs/>
          <w:color w:val="1F497D"/>
          <w:sz w:val="22"/>
          <w:szCs w:val="22"/>
        </w:rPr>
        <w:t>Socialinės integracijos paslaugų socialiai pažeidžiamų ir socialinės rizikos asmenų grupėms situacijos, poreikių ir rezultatyvumo vertinimą, siekiant efektyviai panaudoti 2007–2013 m. ES struktūrinę paramą</w:t>
      </w:r>
      <w:r w:rsidRPr="00986CFB">
        <w:rPr>
          <w:rFonts w:cs="Times New Roman"/>
          <w:sz w:val="22"/>
          <w:szCs w:val="22"/>
        </w:rPr>
        <w:t xml:space="preserve">, nagrinėtas ES fondų lėšomis teiktų socialinių paslaugų poveikis socialiai pažeidžiamų asmenų socialinei integracijai. Poveikiui nustatyti pirmą kartą Lietuvoje pritaikytas kontrafaktinis poveikio vertinimo metodas. Nustatyta, kad ES intervencijos prisidėjo prie jose dalyvavusių asmenų geresnės integracijos į darbo rinką, o didžiausias poveikis stebimas projektų įgyvendinimo metu arba iškart jiems pasibaigus. Kai kurios intervencijos turėjo ir ilgalaikį poveikį, kuris išlieka ir praėjus keleriems metams po projektų pabaigos. </w:t>
      </w:r>
      <w:r w:rsidRPr="00986CFB">
        <w:rPr>
          <w:rFonts w:cs="Times New Roman"/>
          <w:b/>
          <w:bCs/>
          <w:i/>
          <w:iCs/>
          <w:sz w:val="22"/>
          <w:szCs w:val="22"/>
        </w:rPr>
        <w:t>Didžiausią poveikį projektai darė socialiai pažeidžiamų asmenų įsidarbinimui</w:t>
      </w:r>
      <w:r w:rsidRPr="00986CFB">
        <w:rPr>
          <w:rFonts w:cs="Times New Roman"/>
          <w:sz w:val="22"/>
          <w:szCs w:val="22"/>
        </w:rPr>
        <w:t>, t. y. padidindavo tikimybę, kad socialiai pažeidžiami asmenys apskritai ras darbą. Dalyvavimas projektuose veikė ir užimtumo trukmę, t. y. projektų dalyviai ilgiau išsilaikė darbo rinkoje. Didesnis darbinis aktyvumas lėmė socialiai pažeidžiamų asmenų vidutinių metinių pajamų iš darbinės veiklos augimą. Nustatyta, kad dalyvavimas keliose skirtingose veiklose ar projektuose, kurie buvo skirti įsidarbinimo galimybėms stiprinti, didino socialiai pažeidžiamų asmenų įsidarbinimo tikimybę, t. y. atskirų veiklų ir projektų poveikis buvo „kaupiamasis“. Poveikio mastas priklausė nuo grupės, kuri dalyvaudavo projekte. Intervencijų poveikis labiau socialiai pažeidžiamiems asmenims buvo didesnis ir priklausė nuo įgyvendintų veiklų pobūdžio. Didžiausią įtaką darė įsidarbinimą užtikrinančios priemonės (įdarbinimas subsidijuojant, remiami darbai, darbo įgūdžių įgijimo rėmimas). Profesinis mokymas taip pat buvo naudingas, tačiau šios priemonės poveikį mažino tai, kad ne visi specialybę įgiję projektų dalyviai vėliau pagal ją įsidarbindavo. Intervencijos ne tik padidino socialiai pažeidžiamų asmenų įsidarbinimo galimybes, bet ir sustiprino jų socialinius gebėjimus, padėjo įsitvirtinti visuomenėje.</w:t>
      </w:r>
    </w:p>
    <w:p w:rsidR="00A73AD3" w:rsidRPr="00986CFB" w:rsidRDefault="00A73AD3" w:rsidP="00CA0A60">
      <w:pPr>
        <w:pStyle w:val="Pagrindinispaprastastekstas"/>
        <w:rPr>
          <w:rFonts w:cs="Times New Roman"/>
          <w:sz w:val="22"/>
          <w:szCs w:val="22"/>
        </w:rPr>
      </w:pPr>
    </w:p>
    <w:p w:rsidR="00A73AD3" w:rsidRPr="00986CFB" w:rsidRDefault="00A73AD3" w:rsidP="00F80231">
      <w:pPr>
        <w:pStyle w:val="Pagrindinispaprastastekstas"/>
        <w:rPr>
          <w:rFonts w:cs="Times New Roman"/>
          <w:sz w:val="22"/>
          <w:szCs w:val="22"/>
        </w:rPr>
      </w:pPr>
      <w:r w:rsidRPr="00986CFB">
        <w:rPr>
          <w:rFonts w:cs="Times New Roman"/>
          <w:b/>
          <w:bCs/>
          <w:i/>
          <w:iCs/>
          <w:color w:val="1F497D"/>
          <w:sz w:val="22"/>
          <w:szCs w:val="22"/>
        </w:rPr>
        <w:t xml:space="preserve">ES struktūrinės paramos poveikio gyvenimo kokybei, socialinės atskirties ir skurdo mažinimui Lietuvoje vertinimas </w:t>
      </w:r>
      <w:r w:rsidRPr="00986CFB">
        <w:rPr>
          <w:rFonts w:cs="Times New Roman"/>
          <w:sz w:val="22"/>
          <w:szCs w:val="22"/>
        </w:rPr>
        <w:t>atskleidė, kad</w:t>
      </w:r>
      <w:r w:rsidRPr="00986CFB">
        <w:rPr>
          <w:rFonts w:cs="Times New Roman"/>
          <w:b/>
          <w:bCs/>
          <w:i/>
          <w:iCs/>
          <w:color w:val="1F497D"/>
          <w:sz w:val="22"/>
          <w:szCs w:val="22"/>
        </w:rPr>
        <w:t xml:space="preserve"> </w:t>
      </w:r>
      <w:r w:rsidRPr="00986CFB">
        <w:rPr>
          <w:rFonts w:cs="Times New Roman"/>
          <w:b/>
          <w:bCs/>
          <w:i/>
          <w:iCs/>
          <w:sz w:val="22"/>
          <w:szCs w:val="22"/>
        </w:rPr>
        <w:t>didžiausią poveikį skurdo ir socialinės atskirties mažinimui ES fondų lėšos darė per investicijas į materialinės gerovės sritį</w:t>
      </w:r>
      <w:r w:rsidRPr="00986CFB">
        <w:rPr>
          <w:rFonts w:cs="Times New Roman"/>
          <w:sz w:val="22"/>
          <w:szCs w:val="22"/>
        </w:rPr>
        <w:t xml:space="preserve"> (įdarbinimo ir užimtumo skatinimo bei aprūpinimo baziniais ištekliais intervencijos). Pagal finansavimo mastą aktyvios darbo rinkos politikos priemonės buvo pagrindiniai veiksmai, kuriais siekta spręsti skurdo ir socialinės atskirties problemą </w:t>
      </w:r>
      <w:r w:rsidRPr="00986CFB">
        <w:rPr>
          <w:rFonts w:cs="Times New Roman"/>
          <w:sz w:val="22"/>
          <w:szCs w:val="22"/>
        </w:rPr>
        <w:lastRenderedPageBreak/>
        <w:t xml:space="preserve">bei reaguoti į krizės pasekmes. Išnagrinėjus penkių Lietuvos darbo biržos įgyvendintų aktyvios darbo rinkos politikos priemonių (darbo įgūdžių įgijimo rėmimo, profesinio mokymo, darbo rotacijos, įdarbinimo subsidijuojant ir viešųjų darbų) poveikį jose dalyvavusių žmonių pajamoms (kontrafaktinis poveikio vertinimas), nustatyta, kad </w:t>
      </w:r>
      <w:r w:rsidRPr="00986CFB">
        <w:rPr>
          <w:rFonts w:cs="Times New Roman"/>
          <w:b/>
          <w:bCs/>
          <w:i/>
          <w:iCs/>
          <w:sz w:val="22"/>
          <w:szCs w:val="22"/>
        </w:rPr>
        <w:t>pasibaigus intervencijai stipriausią teigiamą poveikį darė darbo įgūdžių įgijimo rėmimas</w:t>
      </w:r>
      <w:r w:rsidRPr="00986CFB">
        <w:rPr>
          <w:rFonts w:cs="Times New Roman"/>
          <w:sz w:val="22"/>
          <w:szCs w:val="22"/>
        </w:rPr>
        <w:t>. Antra pagal nustatytą poveikio stiprumą buvo profesiniam mokymui skirta priemonė. Įdarbinimas subsidijuojant labai pasiteisino neįgaliųjų tikslinei grupei. Silpniausią poveikį po intervencijos turėjo viešieji darbai, tačiau į šią priemonę reikėtų žiūrėti kaip į laikino užimtumo garantą, kuris buvo tinkamas ir reikalingas krizės laikotarpiu. Įvertinus aktyvų darbo rinkos politikos priemonių poveikį darbuotojų išsilaikymui darbo rinkoje, taip pat nustatyta, kad ilgiau darbo rinkoje išsilaikė tie asmenys, kurie dalyvavo priemonėse, skirtose darbo įgūdžių įgijimo rėmimui, profesiniam mokymui ir darbo rotacijai.</w:t>
      </w:r>
    </w:p>
    <w:p w:rsidR="00A73AD3" w:rsidRPr="00986CFB" w:rsidRDefault="00CA1232" w:rsidP="00F802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6192" behindDoc="1" locked="0" layoutInCell="1" allowOverlap="1">
                <wp:simplePos x="0" y="0"/>
                <wp:positionH relativeFrom="margin">
                  <wp:align>right</wp:align>
                </wp:positionH>
                <wp:positionV relativeFrom="paragraph">
                  <wp:posOffset>30480</wp:posOffset>
                </wp:positionV>
                <wp:extent cx="2789555" cy="2620645"/>
                <wp:effectExtent l="2540" t="0" r="0" b="635"/>
                <wp:wrapSquare wrapText="bothSides"/>
                <wp:docPr id="1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555" cy="262064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2C4E45" w:rsidRDefault="00CA1232" w:rsidP="00F80231">
                            <w:pPr>
                              <w:jc w:val="center"/>
                              <w:rPr>
                                <w:rFonts w:ascii="Cambria" w:hAnsi="Cambria" w:cs="Cambria"/>
                                <w:color w:val="17365D"/>
                                <w:sz w:val="20"/>
                                <w:szCs w:val="20"/>
                              </w:rPr>
                            </w:pPr>
                            <w:r>
                              <w:rPr>
                                <w:noProof/>
                                <w:lang w:eastAsia="lt-LT"/>
                              </w:rPr>
                              <w:drawing>
                                <wp:inline distT="0" distB="0" distL="0" distR="0">
                                  <wp:extent cx="2510155" cy="2519045"/>
                                  <wp:effectExtent l="0" t="0" r="4445"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0155" cy="251904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5" type="#_x0000_t202" style="position:absolute;left:0;text-align:left;margin-left:168.45pt;margin-top:2.4pt;width:219.65pt;height:206.35pt;z-index:-251660288;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" fillcolor="#efede3" stroked="f" strokeweight=".5pt">
                <v:fill color2="#eae7d9" rotate="t" focusposition=".5,.5" focussize="" focus="100%" type="gradientRadial"/>
                <v:textbox inset="1mm,1mm,1mm,1mm">
                  <w:txbxContent>
                    <w:p w:rsidR="009F5833" w:rsidRPr="002C4E45" w:rsidRDefault="00CA1232" w:rsidP="00F80231">
                      <w:pPr>
                        <w:jc w:val="center"/>
                        <w:rPr>
                          <w:rFonts w:ascii="Cambria" w:hAnsi="Cambria" w:cs="Cambria"/>
                          <w:color w:val="17365D"/>
                          <w:sz w:val="20"/>
                          <w:szCs w:val="20"/>
                        </w:rPr>
                      </w:pPr>
                      <w:r>
                        <w:rPr>
                          <w:noProof/>
                          <w:lang w:eastAsia="lt-LT"/>
                        </w:rPr>
                        <w:drawing>
                          <wp:inline distT="0" distB="0" distL="0" distR="0">
                            <wp:extent cx="2510155" cy="2519045"/>
                            <wp:effectExtent l="0" t="0" r="4445"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0155" cy="2519045"/>
                                    </a:xfrm>
                                    <a:prstGeom prst="rect">
                                      <a:avLst/>
                                    </a:prstGeom>
                                    <a:noFill/>
                                    <a:ln>
                                      <a:noFill/>
                                    </a:ln>
                                  </pic:spPr>
                                </pic:pic>
                              </a:graphicData>
                            </a:graphic>
                          </wp:inline>
                        </w:drawing>
                      </w:r>
                    </w:p>
                  </w:txbxContent>
                </v:textbox>
                <w10:wrap type="square" anchorx="margin"/>
              </v:shape>
            </w:pict>
          </mc:Fallback>
        </mc:AlternateContent>
      </w:r>
    </w:p>
    <w:p w:rsidR="00A73AD3" w:rsidRPr="00986CFB" w:rsidRDefault="00A73AD3" w:rsidP="00F80231">
      <w:pPr>
        <w:pStyle w:val="Pagrindinispaprastastekstas"/>
        <w:rPr>
          <w:rFonts w:cs="Times New Roman"/>
          <w:sz w:val="22"/>
          <w:szCs w:val="22"/>
        </w:rPr>
      </w:pPr>
      <w:r w:rsidRPr="00986CFB">
        <w:rPr>
          <w:rFonts w:cs="Times New Roman"/>
          <w:sz w:val="22"/>
          <w:szCs w:val="22"/>
        </w:rPr>
        <w:t xml:space="preserve">ES fondų investicijos </w:t>
      </w:r>
      <w:r w:rsidRPr="00986CFB">
        <w:rPr>
          <w:rFonts w:cs="Times New Roman"/>
          <w:b/>
          <w:bCs/>
          <w:i/>
          <w:iCs/>
          <w:sz w:val="22"/>
          <w:szCs w:val="22"/>
        </w:rPr>
        <w:t>veikė užimtumo rodiklius</w:t>
      </w:r>
      <w:r w:rsidRPr="00986CFB">
        <w:rPr>
          <w:rFonts w:cs="Times New Roman"/>
          <w:sz w:val="22"/>
          <w:szCs w:val="22"/>
        </w:rPr>
        <w:t xml:space="preserve">, prisidėjo prie neigiamų tendencijų sušvelninimo, tačiau poveikio mastas nebuvo didelis. Be įgyvendintų aktyvios darbo rinkos politikos priemonių nedarbo lygis šalyje kasmet būtų buvęs maždaug 1 proc. punktu didesnis. Dėl vykdytų veiksmų įsidarbinančių asmenų skaičius kasmet sudarė apie 6 proc. darbo biržoje registruotų bedarbių skaičiaus. Įvertinus skurdo ir socialinės atskirties mažinimui skirtų ES investicijų pakankamumą šalies savivaldybėse, nustatyta, kad apie </w:t>
      </w:r>
      <w:r w:rsidRPr="00986CFB">
        <w:rPr>
          <w:rFonts w:cs="Times New Roman"/>
          <w:b/>
          <w:bCs/>
          <w:i/>
          <w:iCs/>
          <w:sz w:val="22"/>
          <w:szCs w:val="22"/>
        </w:rPr>
        <w:t>72 proc. šalies savivaldybių sulaukė investicijų, atitikusių socialinių problemų mastą šiose teritorijose</w:t>
      </w:r>
      <w:r w:rsidRPr="00986CFB">
        <w:rPr>
          <w:rFonts w:cs="Times New Roman"/>
          <w:sz w:val="22"/>
          <w:szCs w:val="22"/>
        </w:rPr>
        <w:t>. Likusios savivaldybės sulaukė ne tokio intensyvaus finansavimo, kokio reikėtų, atsižvelgiant į investicijų poreikį šiuose regionuose.</w:t>
      </w:r>
    </w:p>
    <w:p w:rsidR="00A73AD3" w:rsidRPr="00986CFB" w:rsidRDefault="00A73AD3" w:rsidP="00CA0A60">
      <w:pPr>
        <w:pStyle w:val="Pagrindinispaprastastekstas"/>
        <w:rPr>
          <w:rFonts w:cs="Times New Roman"/>
          <w:sz w:val="22"/>
          <w:szCs w:val="22"/>
        </w:rPr>
      </w:pPr>
    </w:p>
    <w:p w:rsidR="00A73AD3" w:rsidRPr="00986CFB" w:rsidRDefault="00A73AD3" w:rsidP="002077A5">
      <w:pPr>
        <w:pStyle w:val="Pagrindinispaprastastekstas"/>
        <w:rPr>
          <w:rFonts w:cs="Times New Roman"/>
          <w:sz w:val="22"/>
          <w:szCs w:val="22"/>
        </w:rPr>
      </w:pPr>
      <w:r w:rsidRPr="00986CFB">
        <w:rPr>
          <w:rFonts w:cs="Times New Roman"/>
          <w:sz w:val="22"/>
          <w:szCs w:val="22"/>
        </w:rPr>
        <w:t xml:space="preserve">Atliekant </w:t>
      </w:r>
      <w:r w:rsidRPr="00986CFB">
        <w:rPr>
          <w:rFonts w:cs="Times New Roman"/>
          <w:b/>
          <w:bCs/>
          <w:i/>
          <w:iCs/>
          <w:color w:val="1F497D"/>
          <w:sz w:val="22"/>
          <w:szCs w:val="22"/>
        </w:rPr>
        <w:t xml:space="preserve">Lyčių lygybės mokymų ir proaktyvių veiksmų, organizuotų įgyvendinant 2007–2013 m. Žmogiškųjų išteklių plėtros veiksmų programos I uždavinio priemones, efektyvumo, rezultatyvumo ir poveikio </w:t>
      </w:r>
      <w:r w:rsidRPr="00986CFB">
        <w:rPr>
          <w:rFonts w:cs="Times New Roman"/>
          <w:b/>
          <w:bCs/>
          <w:i/>
          <w:iCs/>
          <w:color w:val="1F497D"/>
          <w:sz w:val="22"/>
          <w:szCs w:val="22"/>
          <w:lang w:eastAsia="en-US"/>
        </w:rPr>
        <w:t>vertinimą</w:t>
      </w:r>
      <w:r w:rsidRPr="00986CFB">
        <w:rPr>
          <w:rFonts w:cs="Times New Roman"/>
          <w:sz w:val="22"/>
          <w:szCs w:val="22"/>
        </w:rPr>
        <w:t xml:space="preserve"> siekta </w:t>
      </w:r>
      <w:r w:rsidRPr="00986CFB">
        <w:rPr>
          <w:rFonts w:cs="Times New Roman"/>
          <w:sz w:val="22"/>
          <w:szCs w:val="22"/>
          <w:lang w:eastAsia="en-US"/>
        </w:rPr>
        <w:t>įvertinti</w:t>
      </w:r>
      <w:r w:rsidRPr="00986CFB">
        <w:rPr>
          <w:rFonts w:cs="Times New Roman"/>
          <w:sz w:val="22"/>
          <w:szCs w:val="22"/>
        </w:rPr>
        <w:t xml:space="preserve"> ES lėšomis organizuotų lyčių lygybės mokymų ir kitų veiksmų mastą bei rezultatyvumą, išsiaiškinti, ar taikytos lyčių lygybės skatinimo priemonės turėjo skatinamąjį poveikį ir buvo pakankamos pokyčiams pasiekti, t. y. moterų ir vyrų lygybei darbo rinkoje paskatinti. Vertinime analizuotos šešios 2007–2013 m. veiksmų programų priemonės. Nustatyta, kad vykdytos intervencijos neturėjo ilgalaikio poveikio, nepaskatino lyčių lygybei darbo rinkoje užtikrinti skirtų iniciatyvių veiksmų ir mokymų dalyvių mąstymo bei elgsenos pokyčių, susijusių su lyčių lygybės principo taikymu. Dėl šios priežasties ES fondų lėšos nedaug prisidėjo prie ilgalaikio tikslo – lygybės tarp moterų ir vyrų darbo rinkoje – įgyvendinimo. Be to, lyčių lygybės ir diskriminacijos problematika nebuvo pakankamai aktuali kai kurioms mokymuose dalyvavusioms tikslinėms grupėms. Intervencijų mastas buvo pernelyg mažas, siekiant daryti reikšmingesnį poveikį lyčių lygybės sampratos kaitai Lietuvoje.</w:t>
      </w:r>
    </w:p>
    <w:p w:rsidR="00A73AD3" w:rsidRPr="00986CFB" w:rsidRDefault="00A73AD3" w:rsidP="002077A5">
      <w:pPr>
        <w:pStyle w:val="Pagrindinispaprastastekstas"/>
        <w:rPr>
          <w:rFonts w:cs="Times New Roman"/>
          <w:sz w:val="22"/>
          <w:szCs w:val="22"/>
        </w:rPr>
      </w:pPr>
    </w:p>
    <w:p w:rsidR="00A73AD3" w:rsidRPr="00986CFB" w:rsidRDefault="00A73AD3" w:rsidP="002077A5">
      <w:pPr>
        <w:pStyle w:val="Pagrindinispaprastastekstas"/>
        <w:rPr>
          <w:rFonts w:cs="Times New Roman"/>
          <w:sz w:val="22"/>
          <w:szCs w:val="22"/>
        </w:rPr>
      </w:pPr>
      <w:r w:rsidRPr="00986CFB">
        <w:rPr>
          <w:rFonts w:cs="Times New Roman"/>
          <w:b/>
          <w:bCs/>
          <w:i/>
          <w:iCs/>
          <w:color w:val="1F497D"/>
          <w:sz w:val="22"/>
          <w:szCs w:val="22"/>
        </w:rPr>
        <w:t>2007–2013 m. ŽIPVP 1 prioriteto „Kokybiškas užimtumas ir socialinė aprėptis“ priemonių, skirtų skatinti jaunimo užimtumą, poveikio ir efektyvumo vertinimas</w:t>
      </w:r>
      <w:r w:rsidRPr="00986CFB">
        <w:rPr>
          <w:rFonts w:cs="Times New Roman"/>
          <w:color w:val="1F497D"/>
          <w:sz w:val="22"/>
          <w:szCs w:val="22"/>
        </w:rPr>
        <w:t xml:space="preserve"> </w:t>
      </w:r>
      <w:r w:rsidRPr="00986CFB">
        <w:rPr>
          <w:rFonts w:cs="Times New Roman"/>
          <w:sz w:val="22"/>
          <w:szCs w:val="22"/>
        </w:rPr>
        <w:t xml:space="preserve">apėmė 2 jaunimo užimtumo skatinimui skirtas priemones: „Parama pirmajam darbui“ ir „Jaunimo užimtumo ir motyvacijos skatinimas“. Nustatyta, kad priemonės „Jaunimo užimtumo ir motyvacijos skatinimas“ veiklos buvo tik iš dalies orientuotos į tikslinę grupę – socialiai pažeidžiamus jaunus žmones. Nors prioritetą socialiai pažeidžiamiems asmenims teikė tik ši priemonė, tačiau buvo nepakankamai atsižvelgta į šios grupės jaunuolių kompleksinius poreikius. Vykdyti projektai prisidėjo prie jaunimo užimtumo skatinimo, nes maždaug pusė projektų dalyvių jiems pasibaigus turėjo darbą. Buvo užtikrintas sinergijos efektas su kitomis ES fondų lėšomis finansuotomis priemonėmis, o tai leido sustiprinti priemonės poveikį. Pagal priemonę „Parama pirmajam darbui“ buvo paremtas daugiau nei 22 tūkst. jaunuolių pirmasis įsidarbinimas. 84 proc. apklaustų darbdavių nurodė, kad jaunimą būtų įdarbinę ir be intervencijos. Pasibaigus projektams, dirbti liko tik 19,5 proc. projektų metu įdarbintų jaunuolių. </w:t>
      </w:r>
      <w:r w:rsidRPr="00986CFB">
        <w:rPr>
          <w:rFonts w:cs="Times New Roman"/>
          <w:sz w:val="22"/>
          <w:szCs w:val="22"/>
          <w:lang w:eastAsia="en-US"/>
        </w:rPr>
        <w:t xml:space="preserve">Pagal priemonę </w:t>
      </w:r>
      <w:r w:rsidRPr="00986CFB">
        <w:rPr>
          <w:rFonts w:cs="Times New Roman"/>
          <w:sz w:val="22"/>
          <w:szCs w:val="22"/>
          <w:lang w:eastAsia="en-US"/>
        </w:rPr>
        <w:lastRenderedPageBreak/>
        <w:t xml:space="preserve">daugiausia </w:t>
      </w:r>
      <w:r w:rsidRPr="00986CFB">
        <w:rPr>
          <w:rFonts w:cs="Times New Roman"/>
          <w:sz w:val="22"/>
          <w:szCs w:val="22"/>
        </w:rPr>
        <w:t>jaunų žmonių</w:t>
      </w:r>
      <w:r w:rsidRPr="00986CFB">
        <w:rPr>
          <w:rFonts w:cs="Times New Roman"/>
          <w:sz w:val="22"/>
          <w:szCs w:val="22"/>
          <w:lang w:eastAsia="en-US"/>
        </w:rPr>
        <w:t xml:space="preserve"> buvo įdarbinta darbuose, kuriuose reikia žemesnio išsilavinimo (įgūdžių)</w:t>
      </w:r>
      <w:r w:rsidR="008D2822" w:rsidRPr="00986CFB">
        <w:rPr>
          <w:rFonts w:cs="Times New Roman"/>
          <w:sz w:val="22"/>
          <w:szCs w:val="22"/>
        </w:rPr>
        <w:t>. 81 </w:t>
      </w:r>
      <w:r w:rsidRPr="00986CFB">
        <w:rPr>
          <w:rFonts w:cs="Times New Roman"/>
          <w:sz w:val="22"/>
          <w:szCs w:val="22"/>
        </w:rPr>
        <w:t>proc. paremtų jaunuolių turėjo vidurinį arba žemesnį išsilavinimą.</w:t>
      </w:r>
    </w:p>
    <w:p w:rsidR="00A73AD3" w:rsidRPr="00986CFB" w:rsidRDefault="00A73AD3" w:rsidP="00CA0A60">
      <w:pPr>
        <w:pStyle w:val="Antrastes3"/>
        <w:rPr>
          <w:rFonts w:cs="Times New Roman"/>
        </w:rPr>
      </w:pPr>
      <w:r w:rsidRPr="00986CFB">
        <w:rPr>
          <w:rFonts w:cs="Times New Roman"/>
        </w:rPr>
        <w:t>Svarbiausios rekomendacijos ir strateginiai siūlymai</w:t>
      </w:r>
    </w:p>
    <w:p w:rsidR="00A73AD3" w:rsidRPr="00704094" w:rsidRDefault="00A73AD3" w:rsidP="003A2531">
      <w:pPr>
        <w:pStyle w:val="Pagrindinispaprastastekstas"/>
        <w:rPr>
          <w:rFonts w:cs="Times New Roman"/>
          <w:sz w:val="22"/>
          <w:szCs w:val="22"/>
        </w:rPr>
      </w:pPr>
      <w:r w:rsidRPr="00986CFB">
        <w:rPr>
          <w:rFonts w:cs="Times New Roman"/>
          <w:b/>
          <w:bCs/>
          <w:i/>
          <w:iCs/>
          <w:color w:val="1F497D"/>
          <w:sz w:val="22"/>
          <w:szCs w:val="22"/>
        </w:rPr>
        <w:t>Socialinės integracijos paslaugų socialiai pažeidžiamų ir socialinės rizikos asmenų grupėms situacijos, poreikių ir rezultatyvumo vertinime, siekiant efektyviai panaudoti 2007–2013 m. ES struktūrinę paramą</w:t>
      </w:r>
      <w:r w:rsidRPr="00704094">
        <w:rPr>
          <w:rFonts w:cs="Times New Roman"/>
          <w:color w:val="1F497D"/>
          <w:sz w:val="22"/>
          <w:szCs w:val="22"/>
        </w:rPr>
        <w:t>,</w:t>
      </w:r>
      <w:r w:rsidRPr="00704094">
        <w:rPr>
          <w:rFonts w:cs="Times New Roman"/>
          <w:sz w:val="22"/>
          <w:szCs w:val="22"/>
        </w:rPr>
        <w:t xml:space="preserve"> pateikti pasiūlymai, kaip tobulinti socialinės integracijos paslaugų teikimą labiausiai pažeidžiamiems asmenims 2014–2020 m. Pasiūlytos priemonės, kurios būtų orientuotos ne tik į socialiai pažeidžiamų asmenų įsidarbinimą, bet ir į jų užimtumo kokybės didėjimą, t. y. galimybių dirbti aukštesnės pridėtinės vertės darbus, užtikrinančius didesnes pajamas, sudarymą, pavyzdžiui, sukurti schemą, pagal kurią būtų remiami itin mažas pajamas gaunantys socialiai pažeidžiami asmenys, remti priemones, skirtas socialiai pažeidžiamų asmenų išsilavinimo lygiui kelti. Be to, rekomenduota sudaryti galimybes ir paskatas projektų vykdytojams į veiklas įtraukti labiau socialiai pažeidžiamus asmenis, pavyzdžiui, išskirti socialiai pažeidžiamų asmenų kategorijas pagal jų pažeidžiamumo lygį. Žmonėms, jau pasiruošusiems integruotis į darbo rinką, sudaryti sąlygas dalyvauti aktyvios darbo rinkos politikos priemonėse.</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b/>
          <w:bCs/>
          <w:i/>
          <w:iCs/>
          <w:color w:val="1F497D"/>
          <w:sz w:val="22"/>
          <w:szCs w:val="22"/>
        </w:rPr>
        <w:t>ES struktūrinės paramos poveikio gyvenimo kokybei, socialinės atskirties ir skurdo mažinimui Lietuvoje vertinime</w:t>
      </w:r>
      <w:r w:rsidRPr="00704094">
        <w:rPr>
          <w:rFonts w:cs="Times New Roman"/>
          <w:sz w:val="22"/>
          <w:szCs w:val="22"/>
        </w:rPr>
        <w:t xml:space="preserve"> pateiktos rekomendacijos dėl aktyvių darbo rinkos politikos priemonių įgyvendinimo. Siūloma numatyti teisinius saugiklius įdarbinimo subsidijuojant atveju, kad darbdaviai neatleistų darbuotojų vos tik pasibaigus subsidijos mokėjimui. Kadangi darbo rinkoje įsigali vis didesnė amžiaus grupių segmentacija ir vyresnio amžiaus žmonėms tampa vis sunkiau susirasti darbą, rekomenduota įgyvendinti projektus, skirtus vyresnio amžiaus žmonių (50+) įdarbinimui (2007–2013 m. įgyvendinti projektai jaunimui ir neįgaliesiems įdarbinti). Siūloma institucionalizuoti ir toliau finansuoti labiausiai pasiteisinusius darbo su sunkiai integruojamais asmenimis modelius ir taip prisidėti prie jų užimtumo skatinimo (2007–2013 m. socialiai pažeidžiamų ir socialinę atskirtį patiriančių asmenų įdarbinimo iniciatyvos dažniausiai buvo finansuojamos, įgyvendinant atskirus projektus, kuriems pasibaigus ir nesant finansavimo tolimesnės veiklos nebuvo vykdomos).</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b/>
          <w:bCs/>
          <w:i/>
          <w:iCs/>
          <w:color w:val="1F497D"/>
          <w:sz w:val="22"/>
          <w:szCs w:val="22"/>
        </w:rPr>
        <w:t>Lyčių lygybės mokymų ir proaktyvių veiksmų, organizuotų įgyvendinant 2007–2013 m. Žmogiškųjų išteklių plėtros veiksmų programos I uždavinio priemones, efektyvumo, rezultatyvumo ir poveikio vertinimas</w:t>
      </w:r>
      <w:r w:rsidRPr="00704094">
        <w:rPr>
          <w:rFonts w:cs="Times New Roman"/>
          <w:sz w:val="22"/>
          <w:szCs w:val="22"/>
        </w:rPr>
        <w:t xml:space="preserve"> siūlo aiškiai nurodyti lyčių lygybės mokymų ir kitų iniciatyvių veiksmų tikslą, rengiant priemonių ir projektų finansavimo sąlygų aprašus. Įtraukiant reikalavimą organizuoti lyčių lygybės mokymus ir apibrėžiant jų temas, turėtų būti labiau atsižvelgiama į priemonių tikslinių grupių skirtumus. Be to, turėtų būti užtikrinta, kad lyčių lygybės skatinimo veiksmus vienodai traktuotų ir interpretuotų tiek priemones planuojančios, tiek jas įgyvendinančios institucijos. Rekomenduota parengti lyčių lygybės principo integravimo į projektų veiklas metodologines gaires, kuriose būtų nurodytas galimų lyčių lygybės principo integravimo veiklų sąrašas.</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b/>
          <w:bCs/>
          <w:i/>
          <w:iCs/>
          <w:color w:val="1F497D"/>
          <w:sz w:val="22"/>
          <w:szCs w:val="22"/>
        </w:rPr>
        <w:t>2007–2013 m. ŽIPVP 1 prioriteto „Kokybiškas užimtumas ir socialinė aprėptis“ priemonių, skirtų skatinti jaunimo užimtumą, poveikio ir efektyvumo vertinime</w:t>
      </w:r>
      <w:r w:rsidRPr="00704094">
        <w:rPr>
          <w:rFonts w:cs="Times New Roman"/>
          <w:color w:val="1F497D"/>
          <w:sz w:val="22"/>
          <w:szCs w:val="22"/>
        </w:rPr>
        <w:t xml:space="preserve"> </w:t>
      </w:r>
      <w:r w:rsidRPr="00704094">
        <w:rPr>
          <w:rFonts w:cs="Times New Roman"/>
          <w:sz w:val="22"/>
          <w:szCs w:val="22"/>
        </w:rPr>
        <w:t>pateikti pasiūlymai dėl efektyvesnio jaunimo užimtumui skatinti skirtų priemonių įgyvendinimo. Siekiant vykdyti nedirbančio, nesimokančio ir mokymuose nedalyvaujančio jaunimo (NEET) nedarbo prevenciją, svarbu plėtoti konkrečias priemones bendrojo lavinimo mokyklose, pavyzdžiui, koordinuojant veiklą savivaldybių lygiu, kurti savanorystės kultūrą ir skatinti darbo paieškos motyvaciją. Skatinant moksleivius užsiimti savanoriška veikla, kaip motyvacinė priemonė galėtų būti skiriami papildomi balai stojant į Lietuvos aukštąsias mokyklas. Siekiant spręsti jaunimo užimtumo problemą ir efektyviai investuoti ES lėšas, rekomenduota įgyvendinti trumpalaikes ir ilgalaikes priemones. Trumpuoju laikotarpiu, siekiant didinti įdarbinimo subsidijuojant priemonės efektyvumą, rekomenduota teikti prioritetą socialiai pažeidžiamų jaunuolių grupėms. Ilguoju laikotarpiu, siekiant spręsti jaunimo nedarbo problemą iš esmės, rekomenduota sukurti ir įgyvendinti dviejų pakopų priemonę. Pirmoji pakopa būtų skirta greitai prioritetinių jaunimo tikslinių grupių orientacijai į darbo rinką, o antroji pakopa – tvaraus įdarbinimo plėtrai prioritetinėms jaunimo tikslinėms grupėms.</w:t>
      </w:r>
    </w:p>
    <w:p w:rsidR="00A73AD3" w:rsidRPr="00986CFB" w:rsidRDefault="00A73AD3" w:rsidP="00727932">
      <w:pPr>
        <w:pStyle w:val="Antrastes2"/>
        <w:jc w:val="both"/>
        <w:rPr>
          <w:rFonts w:cs="Times New Roman"/>
        </w:rPr>
      </w:pPr>
      <w:bookmarkStart w:id="27" w:name="_Toc472343157"/>
      <w:r w:rsidRPr="00986CFB">
        <w:rPr>
          <w:rFonts w:cs="Times New Roman"/>
        </w:rPr>
        <w:lastRenderedPageBreak/>
        <w:t xml:space="preserve">Investicijų poveikis viešosios politikos sritims: </w:t>
      </w:r>
      <w:r w:rsidRPr="00986CFB">
        <w:rPr>
          <w:rFonts w:cs="Times New Roman"/>
          <w:color w:val="E36C0A"/>
        </w:rPr>
        <w:t>socialinė įtrauktis ir kova su skurdu, gyvenimo kokybės gerinimas, socialinio dialogo skatinimas, sveikatos, socialinių, kultūros ir rekreacinių paslaugų prieinamumo didinimas</w:t>
      </w:r>
      <w:bookmarkEnd w:id="27"/>
    </w:p>
    <w:p w:rsidR="00A73AD3" w:rsidRPr="00986CFB" w:rsidRDefault="00A73AD3" w:rsidP="00C243B8">
      <w:pPr>
        <w:pStyle w:val="Antrastes3"/>
        <w:rPr>
          <w:rFonts w:cs="Times New Roman"/>
        </w:rPr>
      </w:pPr>
      <w:r w:rsidRPr="00986CFB">
        <w:rPr>
          <w:rFonts w:cs="Times New Roman"/>
        </w:rPr>
        <w:t>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4905"/>
        <w:gridCol w:w="1277"/>
        <w:gridCol w:w="1184"/>
        <w:gridCol w:w="2261"/>
      </w:tblGrid>
      <w:tr w:rsidR="00A73AD3" w:rsidRPr="00986CFB">
        <w:tc>
          <w:tcPr>
            <w:tcW w:w="4905" w:type="dxa"/>
            <w:tcBorders>
              <w:top w:val="single" w:sz="4" w:space="0" w:color="4F81BD"/>
              <w:left w:val="single" w:sz="4" w:space="0" w:color="4F81BD"/>
              <w:bottom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Pavadinimas</w:t>
            </w:r>
          </w:p>
        </w:tc>
        <w:tc>
          <w:tcPr>
            <w:tcW w:w="1277" w:type="dxa"/>
            <w:tcBorders>
              <w:top w:val="single" w:sz="4" w:space="0" w:color="4F81BD"/>
              <w:bottom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Ataskaitos data</w:t>
            </w:r>
          </w:p>
        </w:tc>
        <w:tc>
          <w:tcPr>
            <w:tcW w:w="1184" w:type="dxa"/>
            <w:tcBorders>
              <w:top w:val="single" w:sz="4" w:space="0" w:color="4F81BD"/>
              <w:bottom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Užsakovas</w:t>
            </w:r>
          </w:p>
        </w:tc>
        <w:tc>
          <w:tcPr>
            <w:tcW w:w="2261" w:type="dxa"/>
            <w:tcBorders>
              <w:top w:val="single" w:sz="4" w:space="0" w:color="4F81BD"/>
              <w:bottom w:val="single" w:sz="4" w:space="0" w:color="4F81BD"/>
              <w:right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Vykdytojas</w:t>
            </w:r>
          </w:p>
        </w:tc>
      </w:tr>
      <w:tr w:rsidR="00A73AD3" w:rsidRPr="00986CFB">
        <w:tc>
          <w:tcPr>
            <w:tcW w:w="4905" w:type="dxa"/>
            <w:shd w:val="clear" w:color="auto" w:fill="DBE5F1"/>
          </w:tcPr>
          <w:p w:rsidR="00A73AD3" w:rsidRPr="00986CFB" w:rsidRDefault="00A73AD3" w:rsidP="002C4E45">
            <w:pPr>
              <w:pStyle w:val="Pagrindinispaprastastekstas"/>
              <w:jc w:val="left"/>
              <w:rPr>
                <w:rFonts w:cs="Times New Roman"/>
                <w:b/>
                <w:bCs/>
                <w:sz w:val="20"/>
                <w:szCs w:val="20"/>
                <w:highlight w:val="red"/>
              </w:rPr>
            </w:pPr>
            <w:r w:rsidRPr="00986CFB">
              <w:rPr>
                <w:rFonts w:cs="Times New Roman"/>
                <w:sz w:val="20"/>
                <w:szCs w:val="20"/>
              </w:rPr>
              <w:t>Sanglaudos skatinimo veiksmų programos 1 prioriteto priemonės „Prielaidų spartesnei ūkinės veiklos diversifikacijai kaimo vietovėse sudarymas“ poveikio ir jos tęstinumo vertinimas</w:t>
            </w:r>
          </w:p>
        </w:tc>
        <w:tc>
          <w:tcPr>
            <w:tcW w:w="1277"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2013 m. rugpjūtis</w:t>
            </w:r>
          </w:p>
        </w:tc>
        <w:tc>
          <w:tcPr>
            <w:tcW w:w="1184"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Vidaus reikalų ministerija</w:t>
            </w:r>
          </w:p>
        </w:tc>
        <w:tc>
          <w:tcPr>
            <w:tcW w:w="2261"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UAB „Ekonominės konsultacijos ir tyrimai“</w:t>
            </w:r>
          </w:p>
        </w:tc>
      </w:tr>
      <w:tr w:rsidR="00A73AD3" w:rsidRPr="00986CFB">
        <w:tc>
          <w:tcPr>
            <w:tcW w:w="4905" w:type="dxa"/>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ES paramos poveikio Lietuvos turizmo sektoriui ir plėtros galimybių vertinimas</w:t>
            </w:r>
          </w:p>
        </w:tc>
        <w:tc>
          <w:tcPr>
            <w:tcW w:w="1277"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2013 m. spalis</w:t>
            </w:r>
          </w:p>
        </w:tc>
        <w:tc>
          <w:tcPr>
            <w:tcW w:w="1184"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Ūkio ministerija</w:t>
            </w:r>
          </w:p>
        </w:tc>
        <w:tc>
          <w:tcPr>
            <w:tcW w:w="2261"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„Ernst &amp; Young Baltic“</w:t>
            </w:r>
          </w:p>
        </w:tc>
      </w:tr>
      <w:tr w:rsidR="00A73AD3" w:rsidRPr="00986CFB">
        <w:tc>
          <w:tcPr>
            <w:tcW w:w="4905" w:type="dxa"/>
            <w:shd w:val="clear" w:color="auto" w:fill="DBE5F1"/>
          </w:tcPr>
          <w:p w:rsidR="00A73AD3" w:rsidRPr="00986CFB" w:rsidRDefault="00A73AD3" w:rsidP="002C4E45">
            <w:pPr>
              <w:pStyle w:val="Pagrindinispaprastastekstas"/>
              <w:jc w:val="left"/>
              <w:rPr>
                <w:rFonts w:cs="Times New Roman"/>
                <w:b/>
                <w:bCs/>
                <w:sz w:val="20"/>
                <w:szCs w:val="20"/>
                <w:highlight w:val="red"/>
              </w:rPr>
            </w:pPr>
            <w:r w:rsidRPr="00986CFB">
              <w:rPr>
                <w:rFonts w:cs="Times New Roman"/>
                <w:sz w:val="20"/>
                <w:szCs w:val="20"/>
              </w:rPr>
              <w:t>ES struktūrinės paramos poveikio gyvenimo kokybei, socialinės atskirties ir skurdo mažinimui Lietuvoje vertinimas</w:t>
            </w:r>
          </w:p>
        </w:tc>
        <w:tc>
          <w:tcPr>
            <w:tcW w:w="1277"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2014 m. gegužė</w:t>
            </w:r>
          </w:p>
        </w:tc>
        <w:tc>
          <w:tcPr>
            <w:tcW w:w="1184"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Finansų ministerija</w:t>
            </w:r>
          </w:p>
        </w:tc>
        <w:tc>
          <w:tcPr>
            <w:tcW w:w="2261" w:type="dxa"/>
            <w:shd w:val="clear" w:color="auto" w:fill="DBE5F1"/>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VšĮ „Europos socialiniai, teisiniai ir ekonominiai projektai“</w:t>
            </w:r>
          </w:p>
        </w:tc>
      </w:tr>
      <w:tr w:rsidR="00A73AD3" w:rsidRPr="00986CFB">
        <w:tc>
          <w:tcPr>
            <w:tcW w:w="4905" w:type="dxa"/>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Lietuvos Respublikos sveikatos apsaugos ministerijos administruojamų priemonių poveikio „auksinei valandai“ vertinimas</w:t>
            </w:r>
          </w:p>
        </w:tc>
        <w:tc>
          <w:tcPr>
            <w:tcW w:w="1277"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2015 m. vasaris</w:t>
            </w:r>
          </w:p>
        </w:tc>
        <w:tc>
          <w:tcPr>
            <w:tcW w:w="1184"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Sveikatos apsaugos ministerija</w:t>
            </w:r>
          </w:p>
        </w:tc>
        <w:tc>
          <w:tcPr>
            <w:tcW w:w="2261"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„Eurointegracijos projektai“</w:t>
            </w:r>
          </w:p>
        </w:tc>
      </w:tr>
      <w:tr w:rsidR="00A73AD3" w:rsidRPr="00986CFB">
        <w:tc>
          <w:tcPr>
            <w:tcW w:w="4905" w:type="dxa"/>
            <w:shd w:val="clear" w:color="auto" w:fill="DBE5F1"/>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2007–2013 m. Žmogiškųjų išteklių plėtros veiksmų programos priemonės „Socialinio dialogo skatinimas“ efektyvumo, rezultatyvumo ir poveikio vertinimas</w:t>
            </w:r>
          </w:p>
        </w:tc>
        <w:tc>
          <w:tcPr>
            <w:tcW w:w="1277"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2016 m. balandis</w:t>
            </w:r>
          </w:p>
        </w:tc>
        <w:tc>
          <w:tcPr>
            <w:tcW w:w="1184"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Socialinės apsaugos ir darbo ministerija</w:t>
            </w:r>
          </w:p>
        </w:tc>
        <w:tc>
          <w:tcPr>
            <w:tcW w:w="2261"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„ESTEP Vilnius“</w:t>
            </w:r>
          </w:p>
        </w:tc>
      </w:tr>
      <w:tr w:rsidR="00A73AD3" w:rsidRPr="00986CFB">
        <w:tc>
          <w:tcPr>
            <w:tcW w:w="4905" w:type="dxa"/>
          </w:tcPr>
          <w:p w:rsidR="00A73AD3" w:rsidRPr="00986CFB" w:rsidRDefault="00A73AD3" w:rsidP="002C4E45">
            <w:pPr>
              <w:pStyle w:val="Pagrindinispaprastastekstas"/>
              <w:jc w:val="left"/>
              <w:rPr>
                <w:rFonts w:cs="Times New Roman"/>
                <w:b/>
                <w:bCs/>
                <w:sz w:val="20"/>
                <w:szCs w:val="20"/>
                <w:highlight w:val="red"/>
              </w:rPr>
            </w:pPr>
            <w:r w:rsidRPr="00986CFB">
              <w:rPr>
                <w:rFonts w:cs="Times New Roman"/>
                <w:sz w:val="20"/>
                <w:szCs w:val="20"/>
              </w:rPr>
              <w:t>2007–2013 m. ES struktūrinės paramos poveikio Lietuvos miestams ir miesteliams vertinimas</w:t>
            </w:r>
          </w:p>
        </w:tc>
        <w:tc>
          <w:tcPr>
            <w:tcW w:w="1277" w:type="dxa"/>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2016 m. rugpjūtis</w:t>
            </w:r>
          </w:p>
        </w:tc>
        <w:tc>
          <w:tcPr>
            <w:tcW w:w="1184" w:type="dxa"/>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Finansų ministerija</w:t>
            </w:r>
          </w:p>
        </w:tc>
        <w:tc>
          <w:tcPr>
            <w:tcW w:w="2261" w:type="dxa"/>
          </w:tcPr>
          <w:p w:rsidR="00A73AD3" w:rsidRPr="00986CFB" w:rsidRDefault="00A73AD3" w:rsidP="002C4E45">
            <w:pPr>
              <w:pStyle w:val="Pagrindinispaprastastekstas"/>
              <w:jc w:val="center"/>
              <w:rPr>
                <w:rFonts w:cs="Times New Roman"/>
                <w:sz w:val="20"/>
                <w:szCs w:val="20"/>
                <w:highlight w:val="red"/>
              </w:rPr>
            </w:pPr>
            <w:r w:rsidRPr="00986CFB">
              <w:rPr>
                <w:rFonts w:cs="Times New Roman"/>
                <w:sz w:val="20"/>
                <w:szCs w:val="20"/>
              </w:rPr>
              <w:t>UAB „ESTEP Vilnius“</w:t>
            </w:r>
          </w:p>
        </w:tc>
      </w:tr>
      <w:tr w:rsidR="00A73AD3" w:rsidRPr="00986CFB">
        <w:tc>
          <w:tcPr>
            <w:tcW w:w="4905" w:type="dxa"/>
            <w:shd w:val="clear" w:color="auto" w:fill="DBE5F1"/>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2007–2013 m. ES struktūrinės paramos poveikio kultūrai vertinimas</w:t>
            </w:r>
          </w:p>
        </w:tc>
        <w:tc>
          <w:tcPr>
            <w:tcW w:w="1277"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2016 m. rugsėjis</w:t>
            </w:r>
          </w:p>
        </w:tc>
        <w:tc>
          <w:tcPr>
            <w:tcW w:w="1184"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Kultūros ministerija</w:t>
            </w:r>
          </w:p>
        </w:tc>
        <w:tc>
          <w:tcPr>
            <w:tcW w:w="2261"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„ESTEP Vilnius“</w:t>
            </w:r>
          </w:p>
        </w:tc>
      </w:tr>
      <w:tr w:rsidR="00A73AD3" w:rsidRPr="00986CFB">
        <w:tc>
          <w:tcPr>
            <w:tcW w:w="4905" w:type="dxa"/>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2007–2013 m. ES struktūrinės paramos poveikio sveikatos apsaugos sektoriui vertinimas</w:t>
            </w:r>
          </w:p>
        </w:tc>
        <w:tc>
          <w:tcPr>
            <w:tcW w:w="1277"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2016 m. lapkritis</w:t>
            </w:r>
          </w:p>
        </w:tc>
        <w:tc>
          <w:tcPr>
            <w:tcW w:w="1184"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Sveikatos apsaugos ministerija</w:t>
            </w:r>
          </w:p>
        </w:tc>
        <w:tc>
          <w:tcPr>
            <w:tcW w:w="2261"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„Civitta“</w:t>
            </w:r>
          </w:p>
        </w:tc>
      </w:tr>
    </w:tbl>
    <w:p w:rsidR="00A73AD3" w:rsidRPr="00986CFB" w:rsidRDefault="00A73AD3" w:rsidP="00C243B8">
      <w:pPr>
        <w:pStyle w:val="Antrastes3"/>
        <w:rPr>
          <w:rFonts w:cs="Times New Roman"/>
        </w:rPr>
      </w:pPr>
      <w:r w:rsidRPr="00986CFB">
        <w:rPr>
          <w:rFonts w:cs="Times New Roman"/>
        </w:rPr>
        <w:t>Pagrindiniai vertinimų rezultatai ir išvados</w:t>
      </w:r>
    </w:p>
    <w:p w:rsidR="00A73AD3" w:rsidRPr="00986CFB" w:rsidRDefault="00A73AD3" w:rsidP="003A2531">
      <w:pPr>
        <w:pStyle w:val="Pagrindinispaprastastekstas"/>
        <w:rPr>
          <w:rFonts w:cs="Times New Roman"/>
          <w:sz w:val="22"/>
          <w:szCs w:val="22"/>
        </w:rPr>
      </w:pPr>
      <w:r w:rsidRPr="00986CFB">
        <w:rPr>
          <w:rFonts w:cs="Times New Roman"/>
          <w:sz w:val="22"/>
          <w:szCs w:val="22"/>
        </w:rPr>
        <w:t xml:space="preserve">2007–2013 m. veiksmų programų </w:t>
      </w:r>
      <w:r w:rsidRPr="00986CFB">
        <w:rPr>
          <w:rFonts w:cs="Times New Roman"/>
          <w:b/>
          <w:bCs/>
          <w:i/>
          <w:iCs/>
          <w:sz w:val="22"/>
          <w:szCs w:val="22"/>
        </w:rPr>
        <w:t>investicijų poveikis gyvenimo kokybei</w:t>
      </w:r>
      <w:r w:rsidRPr="00986CFB">
        <w:rPr>
          <w:rFonts w:cs="Times New Roman"/>
          <w:sz w:val="22"/>
          <w:szCs w:val="22"/>
        </w:rPr>
        <w:t xml:space="preserve"> atliktuose vertinimuose buvo nagrinėtas tiek šalies</w:t>
      </w:r>
      <w:r w:rsidRPr="00986CFB">
        <w:rPr>
          <w:rStyle w:val="FootnoteReference"/>
          <w:rFonts w:cs="Times New Roman"/>
        </w:rPr>
        <w:footnoteReference w:id="9"/>
      </w:r>
      <w:r w:rsidRPr="00986CFB">
        <w:rPr>
          <w:rFonts w:cs="Times New Roman"/>
          <w:sz w:val="22"/>
          <w:szCs w:val="22"/>
        </w:rPr>
        <w:t>, tiek mažesnių teritorinių vienetų (savivaldybių</w:t>
      </w:r>
      <w:r w:rsidRPr="00986CFB">
        <w:rPr>
          <w:rStyle w:val="FootnoteReference"/>
          <w:rFonts w:cs="Times New Roman"/>
        </w:rPr>
        <w:footnoteReference w:id="10"/>
      </w:r>
      <w:r w:rsidRPr="00986CFB">
        <w:rPr>
          <w:rFonts w:cs="Times New Roman"/>
          <w:sz w:val="22"/>
          <w:szCs w:val="22"/>
        </w:rPr>
        <w:t>, miestų ir miestelių</w:t>
      </w:r>
      <w:r w:rsidRPr="00986CFB">
        <w:rPr>
          <w:rStyle w:val="FootnoteReference"/>
          <w:rFonts w:cs="Times New Roman"/>
        </w:rPr>
        <w:footnoteReference w:id="11"/>
      </w:r>
      <w:r w:rsidRPr="00986CFB">
        <w:rPr>
          <w:rFonts w:cs="Times New Roman"/>
          <w:sz w:val="22"/>
          <w:szCs w:val="22"/>
        </w:rPr>
        <w:t>) lygiu. Vertinimuose nagrinėti tiek gyvenimo kokybės pokyčiai, tiek situacija konkrečiu momentu, analizuota, kiek gyvenimo kokybę ir jos pokyčius lėmė ES investicijos.</w:t>
      </w:r>
    </w:p>
    <w:p w:rsidR="00A73AD3" w:rsidRPr="00986CFB" w:rsidRDefault="00A73AD3" w:rsidP="003A2531">
      <w:pPr>
        <w:pStyle w:val="Pagrindinispaprastastekstas"/>
        <w:rPr>
          <w:rFonts w:cs="Times New Roman"/>
          <w:sz w:val="22"/>
          <w:szCs w:val="22"/>
        </w:rPr>
      </w:pPr>
    </w:p>
    <w:p w:rsidR="00A73AD3" w:rsidRPr="00986CFB" w:rsidRDefault="00A73AD3" w:rsidP="003A2531">
      <w:pPr>
        <w:pStyle w:val="Pagrindinispaprastastekstas"/>
        <w:rPr>
          <w:rFonts w:cs="Times New Roman"/>
          <w:sz w:val="22"/>
          <w:szCs w:val="22"/>
        </w:rPr>
      </w:pPr>
      <w:r w:rsidRPr="00986CFB">
        <w:rPr>
          <w:rFonts w:cs="Times New Roman"/>
          <w:sz w:val="22"/>
          <w:szCs w:val="22"/>
        </w:rPr>
        <w:t xml:space="preserve">Atliekant </w:t>
      </w:r>
      <w:r w:rsidRPr="00986CFB">
        <w:rPr>
          <w:rFonts w:cs="Times New Roman"/>
          <w:b/>
          <w:bCs/>
          <w:i/>
          <w:iCs/>
          <w:color w:val="1F497D"/>
          <w:sz w:val="22"/>
          <w:szCs w:val="22"/>
        </w:rPr>
        <w:t>2007–2013 m. ES struktūrinės paramos poveikio Lietuvos miestams ir miesteliams vertinimą</w:t>
      </w:r>
      <w:r w:rsidRPr="00986CFB">
        <w:rPr>
          <w:rFonts w:cs="Times New Roman"/>
          <w:sz w:val="22"/>
          <w:szCs w:val="22"/>
        </w:rPr>
        <w:t xml:space="preserve"> buvo sudarytas mažų teritorijų (savivaldybių) gyvenimo kokybės indeksas, įvertinta jo dinamika 2007–2014 m. laikotarpiu ir priklausomybė nuo ES investicijų. Gyvenimo kokybės indeksą sudaro 6 subindeksai ir 38 rodikliai, atspindintys materialines gyvenimo sąlygas, verslo konkurencingumą, viešųjų paslaugų ir gyvenamosios aplinkos kokybę, saugumą, taip pat demografinę situaciją konkrečioje teritorijoje. </w:t>
      </w:r>
    </w:p>
    <w:p w:rsidR="00A73AD3" w:rsidRPr="00986CFB" w:rsidRDefault="00A73AD3" w:rsidP="003A2531">
      <w:pPr>
        <w:pStyle w:val="Pagrindinispaprastastekstas"/>
        <w:rPr>
          <w:rFonts w:cs="Times New Roman"/>
          <w:sz w:val="22"/>
          <w:szCs w:val="22"/>
        </w:rPr>
      </w:pPr>
    </w:p>
    <w:p w:rsidR="00A73AD3" w:rsidRPr="00704094" w:rsidRDefault="00A73AD3" w:rsidP="00C951C5">
      <w:pPr>
        <w:pStyle w:val="Pagrindinispaprastastekstas"/>
        <w:rPr>
          <w:rFonts w:cs="Times New Roman"/>
          <w:sz w:val="22"/>
          <w:szCs w:val="22"/>
        </w:rPr>
      </w:pPr>
      <w:r w:rsidRPr="00986CFB">
        <w:rPr>
          <w:rFonts w:cs="Times New Roman"/>
          <w:sz w:val="22"/>
          <w:szCs w:val="22"/>
        </w:rPr>
        <w:t xml:space="preserve">Atliekant </w:t>
      </w:r>
      <w:r w:rsidRPr="00986CFB">
        <w:rPr>
          <w:rFonts w:cs="Times New Roman"/>
          <w:b/>
          <w:bCs/>
          <w:i/>
          <w:iCs/>
          <w:color w:val="1F497D"/>
          <w:sz w:val="22"/>
          <w:szCs w:val="22"/>
        </w:rPr>
        <w:t>ES struktūrinės paramos poveikio gyvenimo kokybei, socialinės atskirties ir skurdo mažinimui Lietuvoje vertinimą</w:t>
      </w:r>
      <w:r w:rsidRPr="00704094">
        <w:rPr>
          <w:rFonts w:cs="Times New Roman"/>
          <w:color w:val="1F497D"/>
          <w:sz w:val="22"/>
          <w:szCs w:val="22"/>
        </w:rPr>
        <w:t xml:space="preserve">, </w:t>
      </w:r>
      <w:r w:rsidRPr="00704094">
        <w:rPr>
          <w:rFonts w:cs="Times New Roman"/>
          <w:sz w:val="22"/>
          <w:szCs w:val="22"/>
        </w:rPr>
        <w:t xml:space="preserve">buvo sudarytas gyvenimo kokybės indeksas, iliustruojantis </w:t>
      </w:r>
      <w:r w:rsidRPr="00704094">
        <w:rPr>
          <w:rFonts w:cs="Times New Roman"/>
          <w:sz w:val="22"/>
          <w:szCs w:val="22"/>
        </w:rPr>
        <w:lastRenderedPageBreak/>
        <w:t xml:space="preserve">gyvenimo kokybės rodiklių, kuriems įtaką darė ES fondų investicijos, pokyčius šalies mastu. Indeksą sudarantys rodikliai buvo sugrupuoti į septynias sritis (materialinę gerovę, sveikatą, švietimo paslaugas, socialines paslaugas, kultūrą ir socialinį aktyvumą, aplinką ir saugumą bei infrastruktūrą), su kuriomis susietos konkrečios ES fondų lėšomis įgyvendintos priemonės. Nustatyta, kad ES fondų investicijos veikė gyvenimo kokybės indeksą sudarančių rodiklių pokyčius, tačiau intervencijų nulemti pokyčiai šalies mastu buvo maži, lyginant su stipresnių išorinių veiksnių, t. y. ekonomikos ciklo, įtaka. Skurdo ir socialinės atskirties mažinimą labiausiai veikė investicijos į materialinės gerovės sritį (pajamų didinimą, užimtumo didinimą ir nedarbo mažinimą, apsirūpinimą būstu). Materialinei gerovei didinti buvo skirta daugiau nei 335 mln. eurų. Viena vertus, 2007–2013 m. buvo atotrūkis tarp projektų ir priemonių suplanuotų pasiekti tikslų ir makrolygio pokyčių, nes įgyvendintos priemonės nebuvo tokio masto, kad galėtų pakeisti strateginį kontekstą šalyje (pavyzdžiui, itin prisidėti prie skurdo ar nedarbo lygio sumažėjimo). Kita vertus, ES fondų lėšomis buvo galima daryti tik labai ribotą poveikį tokių rodiklių kaip skurdo rizikos lygis mažinimui. Skurdo rizikos lygis iliustruoja pajamų nelygybę šalyje, o svarbiausią vaidmenį mažinant pajamų nelygybę vaidina valstybės mokestinės politikos priemonės. </w:t>
      </w:r>
    </w:p>
    <w:p w:rsidR="00A73AD3" w:rsidRPr="00704094" w:rsidRDefault="00A73AD3" w:rsidP="00C951C5">
      <w:pPr>
        <w:pStyle w:val="Pagrindinispaprastastekstas"/>
        <w:rPr>
          <w:rFonts w:cs="Times New Roman"/>
          <w:sz w:val="22"/>
          <w:szCs w:val="22"/>
        </w:rPr>
      </w:pPr>
    </w:p>
    <w:p w:rsidR="00A73AD3" w:rsidRPr="00704094" w:rsidRDefault="00CA1232" w:rsidP="003A2531">
      <w:pPr>
        <w:pStyle w:val="Pagrindinispaprastastekstas"/>
        <w:rPr>
          <w:rFonts w:cs="Times New Roman"/>
          <w:sz w:val="22"/>
          <w:szCs w:val="22"/>
        </w:rPr>
      </w:pPr>
      <w:r>
        <w:rPr>
          <w:noProof/>
          <w:sz w:val="22"/>
          <w:szCs w:val="22"/>
        </w:rPr>
        <w:drawing>
          <wp:anchor distT="0" distB="0" distL="114300" distR="114300" simplePos="0" relativeHeight="251642880" behindDoc="0" locked="0" layoutInCell="1" allowOverlap="1">
            <wp:simplePos x="0" y="0"/>
            <wp:positionH relativeFrom="column">
              <wp:posOffset>635</wp:posOffset>
            </wp:positionH>
            <wp:positionV relativeFrom="paragraph">
              <wp:posOffset>47625</wp:posOffset>
            </wp:positionV>
            <wp:extent cx="2465705" cy="2124075"/>
            <wp:effectExtent l="0" t="0" r="0" b="9525"/>
            <wp:wrapSquare wrapText="right"/>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5705" cy="2124075"/>
                    </a:xfrm>
                    <a:prstGeom prst="rect">
                      <a:avLst/>
                    </a:prstGeom>
                    <a:noFill/>
                  </pic:spPr>
                </pic:pic>
              </a:graphicData>
            </a:graphic>
            <wp14:sizeRelH relativeFrom="page">
              <wp14:pctWidth>0</wp14:pctWidth>
            </wp14:sizeRelH>
            <wp14:sizeRelV relativeFrom="page">
              <wp14:pctHeight>0</wp14:pctHeight>
            </wp14:sizeRelV>
          </wp:anchor>
        </w:drawing>
      </w:r>
      <w:r w:rsidR="00A73AD3" w:rsidRPr="00704094">
        <w:rPr>
          <w:rFonts w:cs="Times New Roman"/>
          <w:sz w:val="22"/>
          <w:szCs w:val="22"/>
        </w:rPr>
        <w:t xml:space="preserve">2014 m. gyvenimo kokybė daugelyje Lietuvos savivaldybių buvo geresnė nei 2007 m. (gyvenimo kokybės indeksas padidėjo 42 savivaldybėse). Ypač pagerėjo sveikatos ir švietimo paslaugų, viešosios infrastruktūros ir gyvenamosios aplinkos kokybės ir saugumo indeksai, t. y. tie gyvenimo kokybės aspektai, kuriems buvo skirta daugiausia 2007–2013 m. ES investicijų. Prie gyvenimo kokybės ir materialinių gyvenimo sąlygų gerėjimo </w:t>
      </w:r>
      <w:r w:rsidR="00A73AD3" w:rsidRPr="00704094">
        <w:rPr>
          <w:rFonts w:cs="Times New Roman"/>
          <w:b/>
          <w:bCs/>
          <w:i/>
          <w:iCs/>
          <w:sz w:val="22"/>
          <w:szCs w:val="22"/>
        </w:rPr>
        <w:t>tiesiogiai</w:t>
      </w:r>
      <w:r w:rsidR="00A73AD3" w:rsidRPr="00704094">
        <w:rPr>
          <w:rFonts w:cs="Times New Roman"/>
          <w:b/>
          <w:bCs/>
          <w:sz w:val="22"/>
          <w:szCs w:val="22"/>
        </w:rPr>
        <w:t xml:space="preserve"> </w:t>
      </w:r>
      <w:r w:rsidR="00A73AD3" w:rsidRPr="00704094">
        <w:rPr>
          <w:rFonts w:cs="Times New Roman"/>
          <w:sz w:val="22"/>
          <w:szCs w:val="22"/>
        </w:rPr>
        <w:t xml:space="preserve">prisidėjo daugiabučių renovacija ir socialinio būsto plėtra, taip pat investicijos į sveikatos, švietimo, socialinių paslaugų, susisiekimo, turizmo, vandens tiekimo ir nuotekų tvarkymo infrastruktūros atnaujinimą ir plėtrą, o </w:t>
      </w:r>
      <w:r w:rsidR="00A73AD3" w:rsidRPr="00704094">
        <w:rPr>
          <w:rFonts w:cs="Times New Roman"/>
          <w:b/>
          <w:bCs/>
          <w:i/>
          <w:iCs/>
          <w:sz w:val="22"/>
          <w:szCs w:val="22"/>
        </w:rPr>
        <w:t xml:space="preserve">netiesiogiai </w:t>
      </w:r>
      <w:r w:rsidR="00A73AD3" w:rsidRPr="00704094">
        <w:rPr>
          <w:rFonts w:cs="Times New Roman"/>
          <w:sz w:val="22"/>
          <w:szCs w:val="22"/>
        </w:rPr>
        <w:t xml:space="preserve">– visos 2007–2013 m. ES investicijos, kadangi jos padėjo sušvelninti neigiamą ekonominio nuosmukio poveikį ekonomikai. ES struktūrinė parama padėjo sušvelninti neigiamą ekonominio nuosmukio poveikį, tačiau </w:t>
      </w:r>
      <w:r w:rsidR="00A73AD3" w:rsidRPr="00704094">
        <w:rPr>
          <w:rFonts w:cs="Times New Roman"/>
          <w:b/>
          <w:bCs/>
          <w:i/>
          <w:iCs/>
          <w:sz w:val="22"/>
          <w:szCs w:val="22"/>
        </w:rPr>
        <w:t xml:space="preserve">ekonominis nuosmukis gyvenimo kokybę, socialinę ir ekonominę plėtrą analizuojamu laikotarpiu veikė labiau nei ES struktūrinė </w:t>
      </w:r>
      <w:r>
        <w:rPr>
          <w:noProof/>
          <w:sz w:val="22"/>
          <w:szCs w:val="22"/>
        </w:rPr>
        <mc:AlternateContent>
          <mc:Choice Requires="wps">
            <w:drawing>
              <wp:anchor distT="36195" distB="36195" distL="107950" distR="107950" simplePos="0" relativeHeight="251670528" behindDoc="1" locked="0" layoutInCell="1" allowOverlap="1">
                <wp:simplePos x="0" y="0"/>
                <wp:positionH relativeFrom="margin">
                  <wp:align>right</wp:align>
                </wp:positionH>
                <wp:positionV relativeFrom="paragraph">
                  <wp:posOffset>598805</wp:posOffset>
                </wp:positionV>
                <wp:extent cx="2217420" cy="1130300"/>
                <wp:effectExtent l="3175" t="0" r="0" b="3810"/>
                <wp:wrapSquare wrapText="bothSides"/>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13030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91B9C">
                            <w:pPr>
                              <w:jc w:val="center"/>
                              <w:rPr>
                                <w:rFonts w:ascii="Cambria" w:hAnsi="Cambria" w:cs="Cambria"/>
                                <w:color w:val="17365D"/>
                                <w:sz w:val="20"/>
                                <w:szCs w:val="20"/>
                              </w:rPr>
                            </w:pPr>
                            <w:r w:rsidRPr="00986CFB">
                              <w:rPr>
                                <w:rFonts w:ascii="Cambria" w:hAnsi="Cambria"/>
                                <w:color w:val="17365D"/>
                                <w:sz w:val="20"/>
                                <w:szCs w:val="20"/>
                              </w:rPr>
                              <w:t xml:space="preserve">Gyvenimo kokybei gerinti skirtų ES investicijų teritorinis pasiskirstymas ir gyvenimo kokybės pokyčių vertinimo rezultatai pristatyti interaktyviuose žemėlapiuose: </w:t>
                            </w:r>
                            <w:hyperlink r:id="rId17" w:history="1">
                              <w:r w:rsidRPr="00986CFB">
                                <w:rPr>
                                  <w:rStyle w:val="Hyperlink"/>
                                  <w:rFonts w:ascii="Cambria" w:hAnsi="Cambria" w:cs="Cambria"/>
                                  <w:sz w:val="20"/>
                                  <w:szCs w:val="20"/>
                                </w:rPr>
                                <w:t>www.maps.lt/es_statistika</w:t>
                              </w:r>
                            </w:hyperlink>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6" type="#_x0000_t202" style="position:absolute;left:0;text-align:left;margin-left:123.4pt;margin-top:47.15pt;width:174.6pt;height:89pt;z-index:-251645952;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" fillcolor="#efede3" stroked="f" strokeweight=".5pt">
                <v:fill color2="#eae7d9" rotate="t" focusposition=".5,.5" focussize="" focus="100%" type="gradientRadial"/>
                <v:textbox inset="3mm,3mm,3mm,3mm">
                  <w:txbxContent>
                    <w:p w:rsidR="009F5833" w:rsidRPr="00986CFB" w:rsidRDefault="009F5833" w:rsidP="00991B9C">
                      <w:pPr>
                        <w:jc w:val="center"/>
                        <w:rPr>
                          <w:rFonts w:ascii="Cambria" w:hAnsi="Cambria" w:cs="Cambria"/>
                          <w:color w:val="17365D"/>
                          <w:sz w:val="20"/>
                          <w:szCs w:val="20"/>
                        </w:rPr>
                      </w:pPr>
                      <w:r w:rsidRPr="00986CFB">
                        <w:rPr>
                          <w:rFonts w:ascii="Cambria" w:hAnsi="Cambria"/>
                          <w:color w:val="17365D"/>
                          <w:sz w:val="20"/>
                          <w:szCs w:val="20"/>
                        </w:rPr>
                        <w:t xml:space="preserve">Gyvenimo kokybei gerinti skirtų ES investicijų teritorinis pasiskirstymas ir gyvenimo kokybės pokyčių vertinimo rezultatai pristatyti interaktyviuose žemėlapiuose: </w:t>
                      </w:r>
                      <w:hyperlink r:id="rId18" w:history="1">
                        <w:r w:rsidRPr="00986CFB">
                          <w:rPr>
                            <w:rStyle w:val="Hyperlink"/>
                            <w:rFonts w:ascii="Cambria" w:hAnsi="Cambria" w:cs="Cambria"/>
                            <w:sz w:val="20"/>
                            <w:szCs w:val="20"/>
                          </w:rPr>
                          <w:t>www.maps.lt/es_statistika</w:t>
                        </w:r>
                      </w:hyperlink>
                    </w:p>
                  </w:txbxContent>
                </v:textbox>
                <w10:wrap type="square" anchorx="margin"/>
              </v:shape>
            </w:pict>
          </mc:Fallback>
        </mc:AlternateContent>
      </w:r>
      <w:r w:rsidR="00A73AD3" w:rsidRPr="00704094">
        <w:rPr>
          <w:rFonts w:cs="Times New Roman"/>
          <w:b/>
          <w:bCs/>
          <w:i/>
          <w:iCs/>
          <w:sz w:val="22"/>
          <w:szCs w:val="22"/>
        </w:rPr>
        <w:t>parama.</w:t>
      </w:r>
      <w:r w:rsidR="00A73AD3" w:rsidRPr="00704094">
        <w:rPr>
          <w:rFonts w:cs="Times New Roman"/>
          <w:i/>
          <w:iCs/>
          <w:sz w:val="22"/>
          <w:szCs w:val="22"/>
        </w:rPr>
        <w:t xml:space="preserve"> </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sz w:val="22"/>
          <w:szCs w:val="22"/>
        </w:rPr>
        <w:t xml:space="preserve">Svarbus ir pridėtinę vertę turintis </w:t>
      </w:r>
      <w:r w:rsidRPr="00704094">
        <w:rPr>
          <w:rFonts w:cs="Times New Roman"/>
          <w:b/>
          <w:bCs/>
          <w:i/>
          <w:iCs/>
          <w:color w:val="1F497D"/>
          <w:sz w:val="22"/>
          <w:szCs w:val="22"/>
        </w:rPr>
        <w:t xml:space="preserve">2007–2013 m. ES struktūrinės paramos poveikio Lietuvos miestams ir miesteliams vertinimo </w:t>
      </w:r>
      <w:r w:rsidRPr="00704094">
        <w:rPr>
          <w:rFonts w:cs="Times New Roman"/>
          <w:sz w:val="22"/>
          <w:szCs w:val="22"/>
        </w:rPr>
        <w:t xml:space="preserve">rezultatas yra susisteminti ir įvairiais pjūviais apibendrinti duomenys apie vertintų VP ir KPP priemonių investicijų ir projektų įgyvendinimo rezultatų teritorinį pasiskirstymą savivaldybių, miesto ir kaimo gyvenamųjų vietovių ir konkrečių gyvenamųjų vietovių (103 miestų ir 34 didelių miestelių) lygiu. </w:t>
      </w:r>
    </w:p>
    <w:p w:rsidR="00A73AD3" w:rsidRPr="00704094" w:rsidRDefault="00A73AD3" w:rsidP="003A2531">
      <w:pPr>
        <w:pStyle w:val="Pagrindinispaprastastekstas"/>
        <w:rPr>
          <w:rFonts w:cs="Times New Roman"/>
          <w:sz w:val="22"/>
          <w:szCs w:val="22"/>
        </w:rPr>
      </w:pPr>
    </w:p>
    <w:p w:rsidR="00A73AD3" w:rsidRPr="00704094" w:rsidRDefault="00CA1232" w:rsidP="003A25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5168" behindDoc="1" locked="0" layoutInCell="1" allowOverlap="1">
                <wp:simplePos x="0" y="0"/>
                <wp:positionH relativeFrom="margin">
                  <wp:posOffset>56515</wp:posOffset>
                </wp:positionH>
                <wp:positionV relativeFrom="paragraph">
                  <wp:posOffset>393700</wp:posOffset>
                </wp:positionV>
                <wp:extent cx="1799590" cy="1014730"/>
                <wp:effectExtent l="0" t="1270" r="0" b="3175"/>
                <wp:wrapSquare wrapText="bothSides"/>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1473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3A2531">
                            <w:pPr>
                              <w:jc w:val="center"/>
                              <w:rPr>
                                <w:rFonts w:ascii="Cambria" w:hAnsi="Cambria" w:cs="Cambria"/>
                                <w:color w:val="17365D"/>
                                <w:sz w:val="20"/>
                                <w:szCs w:val="20"/>
                              </w:rPr>
                            </w:pPr>
                            <w:r w:rsidRPr="00986CFB">
                              <w:rPr>
                                <w:rFonts w:ascii="Cambria" w:hAnsi="Cambria"/>
                                <w:color w:val="17365D"/>
                                <w:sz w:val="20"/>
                                <w:szCs w:val="20"/>
                              </w:rPr>
                              <w:t xml:space="preserve">Gyvenimo kokybė konkrečioje teritorijoje labiau priklauso ne nuo ES investicijų, o nuo įvairių kitų vidinių ir išorinių veiksnių.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left:0;text-align:left;margin-left:4.45pt;margin-top:31pt;width:141.7pt;height:79.9pt;z-index:-251661312;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" fillcolor="#efede3" stroked="f" strokeweight=".5pt">
                <v:fill color2="#eae7d9" rotate="t" focusposition=".5,.5" focussize="" focus="100%" type="gradientRadial"/>
                <v:textbox inset="3mm,3mm,3mm,3mm">
                  <w:txbxContent>
                    <w:p w:rsidR="009F5833" w:rsidRPr="00986CFB" w:rsidRDefault="009F5833" w:rsidP="003A2531">
                      <w:pPr>
                        <w:jc w:val="center"/>
                        <w:rPr>
                          <w:rFonts w:ascii="Cambria" w:hAnsi="Cambria" w:cs="Cambria"/>
                          <w:color w:val="17365D"/>
                          <w:sz w:val="20"/>
                          <w:szCs w:val="20"/>
                        </w:rPr>
                      </w:pPr>
                      <w:r w:rsidRPr="00986CFB">
                        <w:rPr>
                          <w:rFonts w:ascii="Cambria" w:hAnsi="Cambria"/>
                          <w:color w:val="17365D"/>
                          <w:sz w:val="20"/>
                          <w:szCs w:val="20"/>
                        </w:rPr>
                        <w:t xml:space="preserve">Gyvenimo kokybė konkrečioje teritorijoje labiau priklauso ne nuo ES investicijų, o nuo įvairių kitų vidinių ir išorinių veiksnių. </w:t>
                      </w:r>
                    </w:p>
                  </w:txbxContent>
                </v:textbox>
                <w10:wrap type="square" anchorx="margin"/>
              </v:shape>
            </w:pict>
          </mc:Fallback>
        </mc:AlternateContent>
      </w:r>
      <w:r w:rsidR="00A73AD3" w:rsidRPr="00704094">
        <w:rPr>
          <w:rFonts w:cs="Times New Roman"/>
          <w:sz w:val="22"/>
          <w:szCs w:val="22"/>
        </w:rPr>
        <w:t>Pagal gyvenimo kokybei gerinti skirtas VP ir KPP priemones Lietuvos miestuose ir miesteliuose buvo įgyvendinta daugiau kaip 5 300 projektų, skirtų būsto sąlygų gerinimui, socialinio būsto atnaujinimui ir plėtrai, užimtumo ir verslo produktyvumo didinimui, įvairios viešosios infrastruktūros atnaujinimui ir plėtrai. Gyvenimo kokybei gerinti skirtų VP ir KPP priemonių investicijos Lietuvos miestuose ir miesteliuose sudarė apie 1 518 mln. EUR, iš kurių apie 2/3 buvo skirta švietimo, sveikatos ir socialinių paslaugų, susisiekimo, turizmo infrastruktūros atnaujinimui ir plėtrai, daugiabučių gyvenamųjų namų ir viešosios paskirties pastatų atnaujinimui, miestų viešųjų erdvių ir bendruomeninės infrastruktūros atnaujinimui. Dar 409 mln. EUR buvo skirta vandens tiekimo ir nuotekų tvarkymo infrastruktūros modernizavimui ir plėtrai.</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sz w:val="22"/>
          <w:szCs w:val="22"/>
        </w:rPr>
        <w:lastRenderedPageBreak/>
        <w:t>Miestams ir dideliems miesteliams teko 82 proc. finansavimo pagal vertintas VP priemones ir 9 proc. finansavimo pagal vertintas KPP priemones. Daugiausia gyvenimo kokybei gerinti skirtų VP investicijų teko 5 didiesiems miestams (39 proc.), o vertinant visus miestus ir didelius miestelius</w:t>
      </w:r>
      <w:r w:rsidRPr="00704094">
        <w:rPr>
          <w:rStyle w:val="FootnoteReference"/>
          <w:rFonts w:cs="Times New Roman"/>
        </w:rPr>
        <w:footnoteReference w:id="12"/>
      </w:r>
      <w:r w:rsidRPr="00704094">
        <w:rPr>
          <w:rFonts w:cs="Times New Roman"/>
          <w:sz w:val="22"/>
          <w:szCs w:val="22"/>
        </w:rPr>
        <w:t xml:space="preserve"> bendrai, nustatyta, kad jiems teko didesnė VP investicijų dalis nei jiems tenkanti šalies gyventojų dalis (atitinkamai 82 proc. ir 68 proc.). Atskirose intervencijų srityse (vertintų VP priemonių investicijos buvo suskirstytos į 11 intervencijų sričių) miestams ir miesteliams tekusi ES investicijų dalis svyravo nuo 38 proc. (užimtumo skatinimo intervencijos) iki 100 proc. (būsto sąlygų gerinimo intervencijos probleminėse teritorijose). Atskirų miestų grupėse investicijų mastas ir struktūra skyrėsi, pavyzdžiui, miestuose – regioniniuose ekonomikos augimo centruose 50 proc. visų VP investicijų sudarė investicijos į viešųjų erdvių ir bendruomeninės infrastruktūros atnaujinimą, didžiuosiuose miestuose 32 proc. investicijų sudarė verslo produktyvumo didinimo investicijos (įmonių projektai).</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sz w:val="22"/>
          <w:szCs w:val="22"/>
        </w:rPr>
        <w:t xml:space="preserve">Nors ES investicijos yra svarbus veiksnys gerinant gyvenimo kokybę, tačiau vien jų nepakanka, kad būtų užtikrinta tolygi šalies socialinė ir ekonominė plėtra. Šią prielaidą patvirtino vertinimo metu nustatytas silpnas, bet statistiškai reikšmingas ryšys tarp gyvenimo kokybei gerinti skirtų ES investicijų ir gyvenimo kokybės indekso reikšmės pokyčių (100 EUR padidinus ES investicijas, tenkančias vienam gyventojui, gyvenimo kokybės indekso pokytis vidutiniškai padidėtų 0,2 balo). ES investicijos yra svarbus veiksnys gerinant gyvenimo kokybę, tačiau </w:t>
      </w:r>
      <w:r w:rsidRPr="00704094">
        <w:rPr>
          <w:rFonts w:cs="Times New Roman"/>
          <w:b/>
          <w:bCs/>
          <w:i/>
          <w:iCs/>
          <w:sz w:val="22"/>
          <w:szCs w:val="22"/>
        </w:rPr>
        <w:t>gyvenimo kokybė labiau priklauso nuo įvairių kitų vidinių ir išorinių veiksnių</w:t>
      </w:r>
      <w:r w:rsidRPr="00704094">
        <w:rPr>
          <w:rFonts w:cs="Times New Roman"/>
          <w:sz w:val="22"/>
          <w:szCs w:val="22"/>
        </w:rPr>
        <w:t>:</w:t>
      </w:r>
      <w:r w:rsidRPr="00704094">
        <w:rPr>
          <w:rFonts w:cs="Times New Roman"/>
          <w:b/>
          <w:bCs/>
          <w:i/>
          <w:iCs/>
          <w:sz w:val="22"/>
          <w:szCs w:val="22"/>
        </w:rPr>
        <w:t xml:space="preserve"> </w:t>
      </w:r>
      <w:r w:rsidRPr="00704094">
        <w:rPr>
          <w:rFonts w:cs="Times New Roman"/>
          <w:sz w:val="22"/>
          <w:szCs w:val="22"/>
        </w:rPr>
        <w:t>konkrečios teritorijos savybių (teritorinio kapitalo), geografinės padėties, bendros šalies ekonominės situacijos ir kt.</w:t>
      </w:r>
    </w:p>
    <w:p w:rsidR="00A73AD3" w:rsidRPr="00704094" w:rsidRDefault="00A73AD3" w:rsidP="003A2531">
      <w:pPr>
        <w:pStyle w:val="Pagrindinispaprastastekstas"/>
        <w:rPr>
          <w:rFonts w:cs="Times New Roman"/>
          <w:sz w:val="22"/>
          <w:szCs w:val="22"/>
        </w:rPr>
      </w:pPr>
    </w:p>
    <w:p w:rsidR="00A73AD3" w:rsidRPr="00704094" w:rsidRDefault="00A73AD3" w:rsidP="003A2531">
      <w:pPr>
        <w:pStyle w:val="Pagrindinispaprastastekstas"/>
        <w:rPr>
          <w:rFonts w:cs="Times New Roman"/>
          <w:sz w:val="22"/>
          <w:szCs w:val="22"/>
        </w:rPr>
      </w:pPr>
      <w:r w:rsidRPr="00704094">
        <w:rPr>
          <w:rFonts w:cs="Times New Roman"/>
          <w:sz w:val="22"/>
          <w:szCs w:val="22"/>
        </w:rPr>
        <w:t xml:space="preserve">Prie gyvenimo kokybės gerinimo kaimo vietovėse prisidėjo 2007–2013 m. SSVP priemonė „Prielaidų spartesnei ūkinės veiklos diversifikacijai kaimo vietovėse sudarymas“. 2013 m. atliktas </w:t>
      </w:r>
      <w:r w:rsidRPr="00704094">
        <w:rPr>
          <w:rFonts w:cs="Times New Roman"/>
          <w:b/>
          <w:bCs/>
          <w:i/>
          <w:iCs/>
          <w:color w:val="1F497D"/>
          <w:sz w:val="22"/>
          <w:szCs w:val="22"/>
        </w:rPr>
        <w:t>Sanglaudos skatinimo veiksmų programos 1 prioriteto priemonės „Prielaidų spartesnei ūkinės veiklos diversifikacijai kaimo vietovėse sudarymas“ poveikio ir jos tęstinumo vertinimas</w:t>
      </w:r>
      <w:r w:rsidRPr="00704094">
        <w:rPr>
          <w:rFonts w:cs="Times New Roman"/>
          <w:sz w:val="22"/>
          <w:szCs w:val="22"/>
        </w:rPr>
        <w:t xml:space="preserve"> atskleidė, kad nepaisant to, jog vertinimo metu buvo baigta įgyvendinti tik apie trečdalis projektų, kaimo vietovių viešoji aplinka sutvarkyta beveik 80 proc., o kaimo integruotos bendruomeninės ir viešosios infrastruktūros, susijusios su verslo sąlygų gerinimu ir užimtumo didinimu, plėtros projektų skaičius pagal pasirašytas sutartis viršijo planuotą reikšmę daugiau kaip du kartus. Tarp šios priemonės remiamų veiklų trūko kitų integralių veiklų ir tinkamų išlaidų kategorijų, kad būtų visiškai užbaigti ir naudojami viešosios aplinkos ir bendruomeninės infrastruktūros objektai. Priemonės įgyvendinimo stebėsenai pasirinkti rezultato rodikliai buvo tinkami tik iš dalies. Nustatyta, kad buvo pasirinktas tinkamas projektų atrankos būdas – regionų projektų planavimas, įgalinęs paramos lėšas nukreipti tikslinių grupių poreikiams be perteklinių administracinių kaštų. Priemonės lėšos buvo paskirstytos regionams pagal kriterijus, kurie įvertinti kaip tinkami naudoti ir 2014–2020 m. laikotarpiu, tačiau pasiūlyta atsisakyti kriterijų „Užimtieji žemės ūkyje“ ir „Žemės ūkio naudmenų, įvertintų 32 ir mažiau balų, dalis“, kadangi kaimo gyventojai vis mažiau užsiima žemės ūkio veikla.</w:t>
      </w:r>
    </w:p>
    <w:p w:rsidR="00A73AD3" w:rsidRPr="00704094" w:rsidRDefault="00A73AD3" w:rsidP="003A2531">
      <w:pPr>
        <w:pStyle w:val="Pagrindinispaprastastekstas"/>
        <w:rPr>
          <w:rFonts w:cs="Times New Roman"/>
          <w:sz w:val="22"/>
          <w:szCs w:val="22"/>
        </w:rPr>
      </w:pPr>
    </w:p>
    <w:p w:rsidR="00A73AD3" w:rsidRPr="00704094" w:rsidRDefault="00A73AD3" w:rsidP="006F49E2">
      <w:pPr>
        <w:pStyle w:val="Pagrindinispaprastastekstas"/>
        <w:rPr>
          <w:rFonts w:cs="Times New Roman"/>
          <w:sz w:val="22"/>
          <w:szCs w:val="22"/>
        </w:rPr>
      </w:pPr>
      <w:r w:rsidRPr="00704094">
        <w:rPr>
          <w:rFonts w:cs="Times New Roman"/>
          <w:sz w:val="22"/>
          <w:szCs w:val="22"/>
        </w:rPr>
        <w:t xml:space="preserve">Siekiant padidinti socialinę įtrauktį ir sumažinti nelygybę, susijusią su sveikatos būkle, svarbios investicijos į sveikatos ir socialinę infrastruktūrą, taip pat prieigos prie socialinių, kultūrinių ir rekreacinių paslaugų gerinimas ir perėjimas nuo institucinių prie bendruomeninių paslaugų. Atliekant </w:t>
      </w:r>
      <w:r w:rsidRPr="00704094">
        <w:rPr>
          <w:rFonts w:cs="Times New Roman"/>
          <w:b/>
          <w:bCs/>
          <w:i/>
          <w:iCs/>
          <w:color w:val="1F497D"/>
          <w:sz w:val="22"/>
          <w:szCs w:val="22"/>
        </w:rPr>
        <w:t>2007–2013 m. ES struktūrinės paramos poveikio Lietuvos miestams ir miesteliams vertinimą</w:t>
      </w:r>
      <w:r w:rsidRPr="00704094">
        <w:rPr>
          <w:rFonts w:cs="Times New Roman"/>
          <w:sz w:val="22"/>
          <w:szCs w:val="22"/>
        </w:rPr>
        <w:t xml:space="preserve"> buvo sudarytas gyvenimo kokybės indeksas, apimantis sveikatos ir švietimo paslaugų dimensijas. Vertinimo metu nustatyta, kad sveikatos paslaugų indeksas nuo 2007 m. iki 2014 m. pagerėjo 52 savivaldybėse, o švietimo paslaugų indeksas – 55 savivaldybėse. Tačiau gyvenimo kokybei gerinti skirtų 2007–2013 m. veiksmų programų priemonių</w:t>
      </w:r>
      <w:r w:rsidRPr="00704094">
        <w:rPr>
          <w:rStyle w:val="FootnoteReference"/>
          <w:rFonts w:cs="Times New Roman"/>
        </w:rPr>
        <w:footnoteReference w:id="13"/>
      </w:r>
      <w:r w:rsidRPr="00704094">
        <w:rPr>
          <w:rFonts w:cs="Times New Roman"/>
          <w:sz w:val="22"/>
          <w:szCs w:val="22"/>
        </w:rPr>
        <w:t xml:space="preserve"> poveikis daugeliui sveikatos ir švietimo paslaugų indeksus sudarančių rodiklių įvertintas kaip silpnas ir netiesioginis. Tai reiškia, kad sveikatos ir švietimo paslaugų indeksus sudarančius rodiklius labiau veikia ne vertintos intervencijos, o kiti veiksniai.</w:t>
      </w:r>
    </w:p>
    <w:p w:rsidR="00A73AD3" w:rsidRPr="00704094" w:rsidRDefault="00A73AD3" w:rsidP="006F49E2">
      <w:pPr>
        <w:pStyle w:val="Pagrindinispaprastastekstas"/>
        <w:rPr>
          <w:rFonts w:cs="Times New Roman"/>
          <w:sz w:val="22"/>
          <w:szCs w:val="22"/>
        </w:rPr>
      </w:pPr>
    </w:p>
    <w:p w:rsidR="00A73AD3" w:rsidRPr="00986CFB" w:rsidRDefault="00085363" w:rsidP="006F49E2">
      <w:pPr>
        <w:pStyle w:val="Pagrindinispaprastastekstas"/>
        <w:rPr>
          <w:rFonts w:cs="Times New Roman"/>
          <w:sz w:val="22"/>
          <w:szCs w:val="22"/>
        </w:rPr>
      </w:pPr>
      <w:r w:rsidRPr="00986CFB">
        <w:rPr>
          <w:rFonts w:cs="Times New Roman"/>
          <w:sz w:val="22"/>
          <w:szCs w:val="22"/>
        </w:rPr>
        <w:br w:type="page"/>
      </w:r>
    </w:p>
    <w:tbl>
      <w:tblPr>
        <w:tblW w:w="0" w:type="auto"/>
        <w:jc w:val="center"/>
        <w:tblLook w:val="00A0" w:firstRow="1" w:lastRow="0" w:firstColumn="1" w:lastColumn="0" w:noHBand="0" w:noVBand="0"/>
      </w:tblPr>
      <w:tblGrid>
        <w:gridCol w:w="4834"/>
        <w:gridCol w:w="4814"/>
      </w:tblGrid>
      <w:tr w:rsidR="00A73AD3" w:rsidRPr="00986CFB">
        <w:trPr>
          <w:jc w:val="center"/>
        </w:trPr>
        <w:tc>
          <w:tcPr>
            <w:tcW w:w="4814" w:type="dxa"/>
          </w:tcPr>
          <w:p w:rsidR="00A73AD3" w:rsidRPr="00986CFB" w:rsidRDefault="00A73AD3" w:rsidP="002C4E45">
            <w:pPr>
              <w:pStyle w:val="Pagrindinispaprastastekstas"/>
              <w:jc w:val="center"/>
              <w:rPr>
                <w:rFonts w:cs="Times New Roman"/>
                <w:b/>
                <w:bCs/>
                <w:i/>
                <w:iCs/>
                <w:color w:val="1F497D"/>
                <w:sz w:val="20"/>
                <w:szCs w:val="20"/>
              </w:rPr>
            </w:pPr>
            <w:r w:rsidRPr="00986CFB">
              <w:rPr>
                <w:rFonts w:cs="Times New Roman"/>
                <w:b/>
                <w:bCs/>
                <w:i/>
                <w:iCs/>
                <w:color w:val="1F497D"/>
                <w:sz w:val="20"/>
                <w:szCs w:val="20"/>
              </w:rPr>
              <w:t>Sveikatos paslaugų indeksas 2014 m.</w:t>
            </w:r>
          </w:p>
          <w:p w:rsidR="00A73AD3" w:rsidRPr="00986CFB" w:rsidRDefault="00CA1232" w:rsidP="002C4E45">
            <w:pPr>
              <w:pStyle w:val="Pagrindinispaprastastekstas"/>
              <w:jc w:val="center"/>
              <w:rPr>
                <w:rFonts w:cs="Times New Roman"/>
                <w:sz w:val="20"/>
                <w:szCs w:val="20"/>
              </w:rPr>
            </w:pPr>
            <w:r>
              <w:rPr>
                <w:rFonts w:cs="Times New Roman"/>
                <w:noProof/>
                <w:sz w:val="20"/>
                <w:szCs w:val="20"/>
              </w:rPr>
              <w:drawing>
                <wp:inline distT="0" distB="0" distL="0" distR="0">
                  <wp:extent cx="2934335" cy="1819275"/>
                  <wp:effectExtent l="0" t="0" r="0" b="9525"/>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t="1491" b="218"/>
                          <a:stretch>
                            <a:fillRect/>
                          </a:stretch>
                        </pic:blipFill>
                        <pic:spPr bwMode="auto">
                          <a:xfrm>
                            <a:off x="0" y="0"/>
                            <a:ext cx="2934335" cy="1819275"/>
                          </a:xfrm>
                          <a:prstGeom prst="rect">
                            <a:avLst/>
                          </a:prstGeom>
                          <a:noFill/>
                          <a:ln>
                            <a:noFill/>
                          </a:ln>
                        </pic:spPr>
                      </pic:pic>
                    </a:graphicData>
                  </a:graphic>
                </wp:inline>
              </w:drawing>
            </w:r>
          </w:p>
        </w:tc>
        <w:tc>
          <w:tcPr>
            <w:tcW w:w="4814" w:type="dxa"/>
          </w:tcPr>
          <w:p w:rsidR="00A73AD3" w:rsidRPr="00986CFB" w:rsidRDefault="00A73AD3" w:rsidP="002C4E45">
            <w:pPr>
              <w:pStyle w:val="Pagrindinispaprastastekstas"/>
              <w:jc w:val="center"/>
              <w:rPr>
                <w:rFonts w:cs="Times New Roman"/>
                <w:b/>
                <w:bCs/>
                <w:i/>
                <w:iCs/>
                <w:color w:val="1F497D"/>
                <w:sz w:val="20"/>
                <w:szCs w:val="20"/>
              </w:rPr>
            </w:pPr>
            <w:r w:rsidRPr="00986CFB">
              <w:rPr>
                <w:rFonts w:cs="Times New Roman"/>
                <w:b/>
                <w:bCs/>
                <w:i/>
                <w:iCs/>
                <w:color w:val="1F497D"/>
                <w:sz w:val="20"/>
                <w:szCs w:val="20"/>
              </w:rPr>
              <w:t>Švietimo paslaugų indeksas 2014 m.</w:t>
            </w:r>
          </w:p>
          <w:p w:rsidR="00A73AD3" w:rsidRPr="00986CFB" w:rsidRDefault="00CA1232" w:rsidP="002C4E45">
            <w:pPr>
              <w:pStyle w:val="Pagrindinispaprastastekstas"/>
              <w:jc w:val="center"/>
              <w:rPr>
                <w:rFonts w:cs="Times New Roman"/>
                <w:sz w:val="20"/>
                <w:szCs w:val="20"/>
              </w:rPr>
            </w:pPr>
            <w:r>
              <w:rPr>
                <w:rFonts w:cs="Times New Roman"/>
                <w:noProof/>
                <w:sz w:val="20"/>
                <w:szCs w:val="20"/>
              </w:rPr>
              <w:drawing>
                <wp:inline distT="0" distB="0" distL="0" distR="0">
                  <wp:extent cx="2846070" cy="1982470"/>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6070" cy="1982470"/>
                          </a:xfrm>
                          <a:prstGeom prst="rect">
                            <a:avLst/>
                          </a:prstGeom>
                          <a:noFill/>
                          <a:ln>
                            <a:noFill/>
                          </a:ln>
                        </pic:spPr>
                      </pic:pic>
                    </a:graphicData>
                  </a:graphic>
                </wp:inline>
              </w:drawing>
            </w:r>
          </w:p>
        </w:tc>
      </w:tr>
    </w:tbl>
    <w:p w:rsidR="00A73AD3" w:rsidRPr="00986CFB" w:rsidRDefault="00A73AD3" w:rsidP="006F49E2">
      <w:pPr>
        <w:pStyle w:val="Saltinis"/>
        <w:rPr>
          <w:rFonts w:cs="Times New Roman"/>
          <w:lang w:eastAsia="lt-LT"/>
        </w:rPr>
      </w:pPr>
      <w:r w:rsidRPr="00986CFB">
        <w:rPr>
          <w:rFonts w:cs="Times New Roman"/>
          <w:lang w:eastAsia="lt-LT"/>
        </w:rPr>
        <w:t>Šaltinis: 2007–2013 m. ES struktūrinės paramos poveikio Lietuvos miestams ir miesteliams vertinimas. Finansų ministerijos užsakymu atliko UAB „ESTEP Vilnius“, 2016 m.</w:t>
      </w:r>
    </w:p>
    <w:p w:rsidR="00A73AD3" w:rsidRPr="00986CFB" w:rsidRDefault="00A73AD3" w:rsidP="006F49E2">
      <w:pPr>
        <w:pStyle w:val="Pagrindinispaprastastekstas"/>
        <w:rPr>
          <w:rFonts w:cs="Times New Roman"/>
          <w:sz w:val="22"/>
          <w:szCs w:val="22"/>
        </w:rPr>
      </w:pPr>
    </w:p>
    <w:p w:rsidR="00A73AD3" w:rsidRPr="00986CFB" w:rsidRDefault="00A73AD3" w:rsidP="004B4168">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ES struktūrinės paramos poveikio gyvenimo kokybei, skurdo ir socialinės atskirties mažinimui Lietuvoje vertinimą</w:t>
      </w:r>
      <w:r w:rsidRPr="00986CFB">
        <w:rPr>
          <w:rFonts w:cs="Times New Roman"/>
          <w:sz w:val="22"/>
          <w:szCs w:val="22"/>
        </w:rPr>
        <w:t xml:space="preserve"> nustatyta, kad 2007–2013 m. sveikatos paslaugų ir socialinių paslaugų indeksai šalyje ženkliai pagerėjo, o švietimo paslaugų indeksas išliko beveik nepakitęs. ES fondų investicijos į sveikatos sektorių, gerinant sveikatos paslaugų kokybę ir prieinamumą, prisidėjo prie trūkstamos grandies krizių intervencijos paslaugų teikimui sukūrimo, taip pat buvo steigiami psichikos dienos stacionarai bei pagalbos vaikui ir šeimai centrai, kurių nebuvo. </w:t>
      </w:r>
    </w:p>
    <w:p w:rsidR="00A73AD3" w:rsidRPr="00986CFB" w:rsidRDefault="00A73AD3" w:rsidP="004B4168">
      <w:pPr>
        <w:pStyle w:val="Pagrindinispaprastastekstas"/>
        <w:rPr>
          <w:rFonts w:cs="Times New Roman"/>
          <w:sz w:val="22"/>
          <w:szCs w:val="22"/>
        </w:rPr>
      </w:pPr>
    </w:p>
    <w:p w:rsidR="00A73AD3" w:rsidRPr="00986CFB" w:rsidRDefault="00A73AD3" w:rsidP="001A3C51">
      <w:pPr>
        <w:pStyle w:val="Pagrindinispaprastastekstas"/>
        <w:rPr>
          <w:rFonts w:cs="Times New Roman"/>
          <w:sz w:val="22"/>
          <w:szCs w:val="22"/>
        </w:rPr>
      </w:pPr>
      <w:r w:rsidRPr="00986CFB">
        <w:rPr>
          <w:rFonts w:cs="Times New Roman"/>
          <w:sz w:val="22"/>
          <w:szCs w:val="22"/>
        </w:rPr>
        <w:t xml:space="preserve">Atliekant </w:t>
      </w:r>
      <w:r w:rsidRPr="00986CFB">
        <w:rPr>
          <w:rFonts w:cs="Times New Roman"/>
          <w:b/>
          <w:bCs/>
          <w:i/>
          <w:iCs/>
          <w:color w:val="1F497D"/>
          <w:sz w:val="22"/>
          <w:szCs w:val="22"/>
        </w:rPr>
        <w:t>Lietuvos Respublikos sveikatos apsaugos ministerijos administruojamų priemonių poveikio „auksinei valandai“ vertinimą</w:t>
      </w:r>
      <w:r w:rsidRPr="00986CFB">
        <w:rPr>
          <w:rFonts w:cs="Times New Roman"/>
          <w:color w:val="1F497D"/>
          <w:sz w:val="22"/>
          <w:szCs w:val="22"/>
        </w:rPr>
        <w:t xml:space="preserve"> </w:t>
      </w:r>
      <w:r w:rsidRPr="00986CFB">
        <w:rPr>
          <w:rFonts w:cs="Times New Roman"/>
          <w:sz w:val="22"/>
          <w:szCs w:val="22"/>
        </w:rPr>
        <w:t xml:space="preserve">nustatyta, kad laikas nuo skambučio priėmimo iki greitosios medicinos pagalbos (toliau – GMP) atvykimo į įvykio vietą bei laikas nuo GMP atvykimo į įvykio vietą iki paciento pristatymo į traumos centro priėmimo-skubiosios pagalbos skyrių nuo 2007 m. iki 2012 m. reikšmingai nekito. Laikas, trukęs nuo GMP kvietimo iki specializuoto gydymo pradžios, 2007 m. ir 2012 m. buvo vidutiniškai 138–163 min. Tai rodo, kad kritinėse situacijose specializuotas gydymas dažnai buvo pradedamas jau praėjus „auksinei valandai“ po traumos. Vertinimo laikotarpiu padaugėjo pacientų, kuriems skubioji medicinos pagalba buvo teikta ir specializuotas gydymas atliekamas ligoninės priėmimo-skubiosios pagalbos arba stacionariniuose skyriuose, o ne įvykio vietoje, be to, ženkliai pagerėjo ikihospitalinės pagalbos kokybė, pacientams teikiama efektyvesnė pagalba įvykio vietoje, jie saugiau pervežami į specializuoto gydymo vietą. 2007–2013 m. ES struktūrinės paramos lėšomis įgyvendinti projektai: a) </w:t>
      </w:r>
      <w:r w:rsidRPr="00986CFB">
        <w:rPr>
          <w:rFonts w:cs="Times New Roman"/>
          <w:b/>
          <w:bCs/>
          <w:i/>
          <w:iCs/>
          <w:sz w:val="22"/>
          <w:szCs w:val="22"/>
        </w:rPr>
        <w:t>pagerino traumos centrų priėmimo-skubiosios pagalbos skyrių infrastruktūrą</w:t>
      </w:r>
      <w:r w:rsidRPr="00986CFB">
        <w:rPr>
          <w:rFonts w:cs="Times New Roman"/>
          <w:sz w:val="22"/>
          <w:szCs w:val="22"/>
        </w:rPr>
        <w:t xml:space="preserve">, padėjo pagerinti sveikatos priežiūros paslaugų kokybę ir efektyvumą, tačiau neturėjo įtakos paslaugų operatyvumo rodikliams, išskyrus radiologinių tyrimų (ultragarsinis tyrimas ir įvairių sričių KT) atlikimo ir įvertinimo laiką, kuris ženkliai sutrumpėjo; b) </w:t>
      </w:r>
      <w:r w:rsidRPr="00986CFB">
        <w:rPr>
          <w:rFonts w:cs="Times New Roman"/>
          <w:b/>
          <w:bCs/>
          <w:i/>
          <w:iCs/>
          <w:sz w:val="22"/>
          <w:szCs w:val="22"/>
        </w:rPr>
        <w:t>padėjo atnaujinti GMP automobilių parką ir įrangą, pagerinti sveikatos priežiūros paslaugų kokybę ir efektyvumą</w:t>
      </w:r>
      <w:r w:rsidRPr="00986CFB">
        <w:rPr>
          <w:rFonts w:cs="Times New Roman"/>
          <w:sz w:val="22"/>
          <w:szCs w:val="22"/>
        </w:rPr>
        <w:t>, tačiau neturėjo įtakos paslaugų operatyvumo rodikliams.</w:t>
      </w:r>
    </w:p>
    <w:p w:rsidR="00A73AD3" w:rsidRPr="00986CFB" w:rsidRDefault="00A73AD3" w:rsidP="001A3C51">
      <w:pPr>
        <w:pStyle w:val="Pagrindinispaprastastekstas"/>
        <w:rPr>
          <w:rFonts w:cs="Times New Roman"/>
          <w:sz w:val="22"/>
          <w:szCs w:val="22"/>
        </w:rPr>
      </w:pPr>
    </w:p>
    <w:p w:rsidR="00A73AD3" w:rsidRPr="00986CFB" w:rsidRDefault="00A73AD3" w:rsidP="001A3C51">
      <w:pPr>
        <w:pStyle w:val="Pagrindinispaprastastekstas"/>
        <w:rPr>
          <w:rFonts w:cs="Times New Roman"/>
          <w:sz w:val="22"/>
          <w:szCs w:val="22"/>
        </w:rPr>
      </w:pPr>
      <w:r w:rsidRPr="00986CFB">
        <w:rPr>
          <w:rFonts w:cs="Times New Roman"/>
          <w:b/>
          <w:bCs/>
          <w:i/>
          <w:iCs/>
          <w:color w:val="1F497D"/>
          <w:sz w:val="22"/>
          <w:szCs w:val="22"/>
        </w:rPr>
        <w:t>2007–2013 m. ES struktūrinės paramos poveikio sveikatos apsaugos sektoriui vertinimo</w:t>
      </w:r>
      <w:r w:rsidRPr="00986CFB">
        <w:rPr>
          <w:rFonts w:cs="Times New Roman"/>
          <w:sz w:val="22"/>
          <w:szCs w:val="22"/>
        </w:rPr>
        <w:t xml:space="preserve"> metu padidėjusi sveikatos priežiūros paslaugų kokybė ir prieinamumas įvertintas atskirose srityse, apskaičiavus atitinkamų paslaugų, tenkančių vienam sergančiajam, kiekį bei mirčių dėl atitinkamos priežasties, tenkančių vienam sergančiajam, skaičių. Rezultatai rodo, kad kraujotakos sistemos ligų, psichikos sveikatos srityse, suteikiant daugiau paslaugų vienam sergančiajam, mažėja mirčių kiekis, tenkantis vienam sergančiajam. Širdies ir kraujagyslių ligų srityje 2009</w:t>
      </w:r>
      <w:r w:rsidRPr="00986CFB">
        <w:rPr>
          <w:rFonts w:eastAsia="MS Mincho" w:cs="MS Mincho"/>
          <w:sz w:val="22"/>
          <w:szCs w:val="22"/>
        </w:rPr>
        <w:t>‒</w:t>
      </w:r>
      <w:r w:rsidRPr="00986CFB">
        <w:rPr>
          <w:rFonts w:cs="Times New Roman"/>
          <w:sz w:val="22"/>
          <w:szCs w:val="22"/>
        </w:rPr>
        <w:t>2013 m. laikotarpiu paslaugų, tenkančių vienam sergančiajam, skaičius išaugo 26 proc., o mirčių skaičius vienam sergančiajam sumažėjo 21 proc.; psichiatrijos srityje vaikams ir paaugliams teikiamų paslaugų skaičius vienam sergančiajam išaugo 4,6 proc., o mirčių skaičius sumažėjo 16,7 proc. Darydami prielaidą, kad standartizuoti mirtingumo rodikliai nesant 2007–2013 m. ES fondų investicijų sveikatos srityje būtų išlikę tokie, kokie buvo iki 2007 m., vertintojai apskaičiavo, kad 2007–2013 m. laikotarpiu išsaugota daugiau nei 22 tūkst. gyvybių, o teigia</w:t>
      </w:r>
      <w:r w:rsidR="00A2332A">
        <w:rPr>
          <w:rFonts w:cs="Times New Roman"/>
          <w:sz w:val="22"/>
          <w:szCs w:val="22"/>
        </w:rPr>
        <w:t>ma įtaka BVP siekia 248 mln. eurų</w:t>
      </w:r>
      <w:r w:rsidRPr="00986CFB">
        <w:rPr>
          <w:rFonts w:cs="Times New Roman"/>
          <w:sz w:val="22"/>
          <w:szCs w:val="22"/>
        </w:rPr>
        <w:t xml:space="preserve">. </w:t>
      </w:r>
    </w:p>
    <w:p w:rsidR="00A73AD3" w:rsidRPr="00986CFB" w:rsidRDefault="00A73AD3" w:rsidP="001A3C51">
      <w:pPr>
        <w:pStyle w:val="Pagrindinispaprastastekstas"/>
        <w:rPr>
          <w:rFonts w:cs="Times New Roman"/>
          <w:sz w:val="22"/>
          <w:szCs w:val="22"/>
        </w:rPr>
      </w:pPr>
    </w:p>
    <w:p w:rsidR="00A73AD3" w:rsidRPr="00986CFB" w:rsidRDefault="00CA1232" w:rsidP="00F80231">
      <w:pPr>
        <w:pStyle w:val="Pagrindinispaprastastekstas"/>
        <w:rPr>
          <w:rFonts w:cs="Times New Roman"/>
          <w:sz w:val="22"/>
          <w:szCs w:val="22"/>
        </w:rPr>
      </w:pPr>
      <w:r>
        <w:rPr>
          <w:noProof/>
          <w:sz w:val="22"/>
          <w:szCs w:val="22"/>
        </w:rPr>
        <w:lastRenderedPageBreak/>
        <mc:AlternateContent>
          <mc:Choice Requires="wps">
            <w:drawing>
              <wp:anchor distT="36195" distB="36195" distL="107950" distR="107950" simplePos="0" relativeHeight="251658240" behindDoc="1" locked="0" layoutInCell="1" allowOverlap="1">
                <wp:simplePos x="0" y="0"/>
                <wp:positionH relativeFrom="margin">
                  <wp:align>right</wp:align>
                </wp:positionH>
                <wp:positionV relativeFrom="paragraph">
                  <wp:posOffset>57150</wp:posOffset>
                </wp:positionV>
                <wp:extent cx="2160270" cy="1011555"/>
                <wp:effectExtent l="3175" t="0" r="0" b="0"/>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1155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F80231">
                            <w:pPr>
                              <w:jc w:val="center"/>
                              <w:rPr>
                                <w:rFonts w:ascii="Cambria" w:hAnsi="Cambria" w:cs="Cambria"/>
                                <w:color w:val="17365D"/>
                                <w:sz w:val="20"/>
                                <w:szCs w:val="20"/>
                              </w:rPr>
                            </w:pPr>
                            <w:r w:rsidRPr="00986CFB">
                              <w:rPr>
                                <w:rFonts w:ascii="Cambria" w:hAnsi="Cambria"/>
                                <w:color w:val="17365D"/>
                                <w:sz w:val="20"/>
                                <w:szCs w:val="20"/>
                              </w:rPr>
                              <w:t>Didelė turizmo infrastruktūrai ir paslaugoms skirtų investicijų geografinė skaida mažina projektų kompleksiškumą ir dėl to mažėja investicijų efektyvumas.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left:0;text-align:left;margin-left:118.9pt;margin-top:4.5pt;width:170.1pt;height:79.65pt;z-index:-251658240;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" fillcolor="#efede3" stroked="f" strokeweight=".5pt">
                <v:fill color2="#eae7d9" rotate="t" focusposition=".5,.5" focussize="" focus="100%" type="gradientRadial"/>
                <v:textbox inset="3mm,3mm,3mm,3mm">
                  <w:txbxContent>
                    <w:p w:rsidR="009F5833" w:rsidRPr="00986CFB" w:rsidRDefault="009F5833" w:rsidP="00F80231">
                      <w:pPr>
                        <w:jc w:val="center"/>
                        <w:rPr>
                          <w:rFonts w:ascii="Cambria" w:hAnsi="Cambria" w:cs="Cambria"/>
                          <w:color w:val="17365D"/>
                          <w:sz w:val="20"/>
                          <w:szCs w:val="20"/>
                        </w:rPr>
                      </w:pPr>
                      <w:r w:rsidRPr="00986CFB">
                        <w:rPr>
                          <w:rFonts w:ascii="Cambria" w:hAnsi="Cambria"/>
                          <w:color w:val="17365D"/>
                          <w:sz w:val="20"/>
                          <w:szCs w:val="20"/>
                        </w:rPr>
                        <w:t>Didelė turizmo infrastruktūrai ir paslaugoms skirtų investicijų geografinė skaida mažina projektų kompleksiškumą ir dėl to mažėja investicijų efektyvumas.</w:t>
                      </w:r>
                    </w:p>
                  </w:txbxContent>
                </v:textbox>
                <w10:wrap type="square" anchorx="margin"/>
              </v:shape>
            </w:pict>
          </mc:Fallback>
        </mc:AlternateContent>
      </w:r>
      <w:r w:rsidR="00A73AD3" w:rsidRPr="00986CFB">
        <w:rPr>
          <w:rFonts w:cs="Times New Roman"/>
          <w:b/>
          <w:bCs/>
          <w:i/>
          <w:iCs/>
          <w:color w:val="1F497D"/>
          <w:sz w:val="22"/>
          <w:szCs w:val="22"/>
        </w:rPr>
        <w:t xml:space="preserve">ES paramos poveikio Lietuvos turizmo sektoriui ir plėtros galimybių vertinimas </w:t>
      </w:r>
      <w:r w:rsidR="00A73AD3" w:rsidRPr="00986CFB">
        <w:rPr>
          <w:rFonts w:cs="Times New Roman"/>
          <w:sz w:val="22"/>
          <w:szCs w:val="22"/>
        </w:rPr>
        <w:t>ats</w:t>
      </w:r>
      <w:r w:rsidR="00A2332A">
        <w:rPr>
          <w:rFonts w:cs="Times New Roman"/>
          <w:sz w:val="22"/>
          <w:szCs w:val="22"/>
        </w:rPr>
        <w:t>kleidė, kad SSVP 1 prioriteto 3 </w:t>
      </w:r>
      <w:r w:rsidR="00A73AD3" w:rsidRPr="00986CFB">
        <w:rPr>
          <w:rFonts w:cs="Times New Roman"/>
          <w:sz w:val="22"/>
          <w:szCs w:val="22"/>
        </w:rPr>
        <w:t xml:space="preserve">uždavinio įgyvendinimas prisidėjo prie kultūrinio, aktyvaus poilsio, sveikatos ir dalykinio (konferencijų) turizmo infrastruktūros ir paslaugų plėtros. 2007–2013 m. laikotarpiu daugiausia projektų, skirtų kultūrinio turizmo plėtrai, įgyvendino viešieji subjektai, pavyzdžiui, savivaldybės, o sveikatos turizmo infrastruktūrą plėtojo privatūs ūkio subjektai. Dauguma projektų įgyvendinti vietovėse, turinčiose didžiausią potencialą atitinkamos rūšies turizmui. Įgyvendinant SSVP 1 prioriteto 3 uždavinį projektai buvo finansuojami visuose Lietuvos regionuose ir daugelyje savivaldybių, tačiau didelis finansuotų objektų skaičius ir didelė investicijų geografinė skaida mažina projektų kompleksiškumą ir dėl to mažėja investicijų efektyvumas. ES struktūrinės paramos panaudojimas turizmo sektoriaus plėtrai sudaro galimybes pritraukti didesnius turistų srautus, sukurti naujų nišų verslui ir taip skatinti užsienio bei vietos investicijų augimą. Pritraukiamos užsienio šalių investicijos, didėjantis importas ir vartojimas prisideda prie šalies bendro vidaus produkto ir ekonomikos augimo. </w:t>
      </w:r>
    </w:p>
    <w:p w:rsidR="00A73AD3" w:rsidRPr="00986CFB" w:rsidRDefault="00A73AD3" w:rsidP="00F80231">
      <w:pPr>
        <w:pStyle w:val="Pagrindinispaprastastekstas"/>
        <w:rPr>
          <w:rFonts w:cs="Times New Roman"/>
          <w:sz w:val="22"/>
          <w:szCs w:val="22"/>
        </w:rPr>
      </w:pPr>
    </w:p>
    <w:p w:rsidR="00A73AD3" w:rsidRPr="00986CFB" w:rsidRDefault="00A73AD3" w:rsidP="00F80231">
      <w:pPr>
        <w:pStyle w:val="Pagrindinispaprastastekstas"/>
        <w:rPr>
          <w:rFonts w:cs="Times New Roman"/>
          <w:sz w:val="22"/>
          <w:szCs w:val="22"/>
        </w:rPr>
      </w:pPr>
      <w:r w:rsidRPr="00986CFB">
        <w:rPr>
          <w:rFonts w:cs="Times New Roman"/>
          <w:b/>
          <w:bCs/>
          <w:i/>
          <w:iCs/>
          <w:color w:val="1F497D"/>
          <w:sz w:val="22"/>
          <w:szCs w:val="22"/>
        </w:rPr>
        <w:t>2007–2013 m. ES struktūrinės paramos poveikio kultūrai vertinimas</w:t>
      </w:r>
      <w:r w:rsidRPr="00986CFB">
        <w:rPr>
          <w:rFonts w:cs="Times New Roman"/>
          <w:sz w:val="22"/>
          <w:szCs w:val="22"/>
        </w:rPr>
        <w:t xml:space="preserve"> atskleidė, kad 2007–2013 m. ES struktūrinių fondų investicijos ir, visų pirma, investicijos pagal SSVP 1 prioriteto 3 uždavinio priemones reikšmingai prisidėjo prie nekilnojamojo kultūros paveldo išsaugojimo, jo kultūrinio ir ekonominio potencialo išnaudojimo ir augančio Lietuvos gyventojų susidomėjimo kultūros paveldu. Nustatyta, kad pagal Ūkio ministerijos administruojamas SSVP 1 prioriteto 3 uždavinio priemones iš viso buvo finansuoti 108 projektai, susiję su nekilnojamojo kultūros paveldo tvarkyba ir pritaikymu. Šiems projektams išmokėtas finansavimas (apie 114,1 mln. eurų) sudarė apie 39 proc. viso 2007–2015 m. išmokėto viešojo finansavimo nekilnojamojo kultūros paveldo tvarkybai ir pritaikymui. Dauguma projektų buvo skirta dvarų ir sakralinio kultūros paveldo pritaikymui – šie nekilnojamojo kultūros paveldo objektai yra patys reikšmingiausi. Dauguma turizmo reikmėms pritaikytų nekilnojamojo kultūros paveldo objektų buvo valstybės saugomi arba turėjo paminklo (aukščiausias paveldo pasaugos lygis) statusą. Įvertinus finansuotų nekilnojamųjų kultūros paveldo objektų geografinį pasiskirstymą, nustatyta, kad didžioji dalis (apie 60 proc.) turizmui pritaikytų kultūros paveldo vertybių yra prioritetinėse turistinėse vietovėse.</w:t>
      </w:r>
      <w:r w:rsidRPr="00986CFB">
        <w:rPr>
          <w:rStyle w:val="FootnoteReference"/>
          <w:rFonts w:cs="Times New Roman"/>
        </w:rPr>
        <w:footnoteReference w:id="14"/>
      </w:r>
      <w:r w:rsidRPr="00986CFB">
        <w:rPr>
          <w:rFonts w:cs="Times New Roman"/>
          <w:sz w:val="22"/>
          <w:szCs w:val="22"/>
        </w:rPr>
        <w:t xml:space="preserve"> </w:t>
      </w:r>
    </w:p>
    <w:p w:rsidR="00A73AD3" w:rsidRPr="00986CFB" w:rsidRDefault="00A73AD3" w:rsidP="00F80231">
      <w:pPr>
        <w:pStyle w:val="Pagrindinispaprastastekstas"/>
        <w:rPr>
          <w:rFonts w:cs="Times New Roman"/>
          <w:sz w:val="22"/>
          <w:szCs w:val="22"/>
        </w:rPr>
      </w:pPr>
    </w:p>
    <w:p w:rsidR="00A73AD3" w:rsidRPr="00986CFB" w:rsidRDefault="00CA1232" w:rsidP="00F802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60288" behindDoc="1" locked="0" layoutInCell="1" allowOverlap="1">
                <wp:simplePos x="0" y="0"/>
                <wp:positionH relativeFrom="margin">
                  <wp:posOffset>9525</wp:posOffset>
                </wp:positionH>
                <wp:positionV relativeFrom="paragraph">
                  <wp:posOffset>433705</wp:posOffset>
                </wp:positionV>
                <wp:extent cx="2590800" cy="1104265"/>
                <wp:effectExtent l="0" t="0" r="3810" b="635"/>
                <wp:wrapSquare wrapText="bothSides"/>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0426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14E50">
                            <w:pPr>
                              <w:jc w:val="center"/>
                              <w:rPr>
                                <w:rFonts w:ascii="Cambria" w:hAnsi="Cambria" w:cs="Cambria"/>
                                <w:color w:val="17365D"/>
                                <w:sz w:val="20"/>
                                <w:szCs w:val="20"/>
                              </w:rPr>
                            </w:pPr>
                            <w:r w:rsidRPr="00986CFB">
                              <w:rPr>
                                <w:rFonts w:ascii="Cambria" w:hAnsi="Cambria"/>
                                <w:color w:val="17365D"/>
                                <w:sz w:val="20"/>
                                <w:szCs w:val="20"/>
                              </w:rPr>
                              <w:t xml:space="preserve">2007–2013 m. veiksmų programų investicijos kultūros srityje sudarė maždaug trečdalį viešųjų išlaidų kultūrai, o atskirose intervencijų srityse – du trečdalius ar daugiau visų viešųjų išlaidų.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left:0;text-align:left;margin-left:.75pt;margin-top:34.15pt;width:204pt;height:86.95pt;z-index:-251656192;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914E50">
                      <w:pPr>
                        <w:jc w:val="center"/>
                        <w:rPr>
                          <w:rFonts w:ascii="Cambria" w:hAnsi="Cambria" w:cs="Cambria"/>
                          <w:color w:val="17365D"/>
                          <w:sz w:val="20"/>
                          <w:szCs w:val="20"/>
                        </w:rPr>
                      </w:pPr>
                      <w:r w:rsidRPr="00986CFB">
                        <w:rPr>
                          <w:rFonts w:ascii="Cambria" w:hAnsi="Cambria"/>
                          <w:color w:val="17365D"/>
                          <w:sz w:val="20"/>
                          <w:szCs w:val="20"/>
                        </w:rPr>
                        <w:t xml:space="preserve">2007–2013 m. veiksmų programų investicijos kultūros srityje sudarė maždaug trečdalį viešųjų išlaidų kultūrai, o atskirose intervencijų srityse – du trečdalius ar daugiau visų viešųjų išlaidų. </w:t>
                      </w:r>
                    </w:p>
                  </w:txbxContent>
                </v:textbox>
                <w10:wrap type="square" anchorx="margin"/>
              </v:shape>
            </w:pict>
          </mc:Fallback>
        </mc:AlternateContent>
      </w:r>
      <w:r w:rsidR="00A73AD3" w:rsidRPr="00986CFB">
        <w:rPr>
          <w:rFonts w:cs="Times New Roman"/>
          <w:color w:val="000000"/>
          <w:sz w:val="22"/>
          <w:szCs w:val="22"/>
        </w:rPr>
        <w:t>Atliktuose SSVP 1 prioriteto 3 uždavinio intervencijų vertinimuose</w:t>
      </w:r>
      <w:r w:rsidR="00A73AD3" w:rsidRPr="00986CFB">
        <w:rPr>
          <w:rStyle w:val="FootnoteReference"/>
          <w:rFonts w:cs="Times New Roman"/>
          <w:color w:val="000000"/>
        </w:rPr>
        <w:footnoteReference w:id="15"/>
      </w:r>
      <w:r w:rsidR="00A73AD3" w:rsidRPr="00986CFB">
        <w:rPr>
          <w:rFonts w:cs="Times New Roman"/>
          <w:color w:val="000000"/>
          <w:sz w:val="22"/>
          <w:szCs w:val="22"/>
        </w:rPr>
        <w:t xml:space="preserve"> </w:t>
      </w:r>
      <w:r w:rsidR="00A73AD3" w:rsidRPr="00986CFB">
        <w:rPr>
          <w:rFonts w:cs="Times New Roman"/>
          <w:b/>
          <w:bCs/>
          <w:i/>
          <w:iCs/>
          <w:color w:val="000000"/>
          <w:sz w:val="22"/>
          <w:szCs w:val="22"/>
        </w:rPr>
        <w:t>akcentuojama kompleksiškumo svarba tvarkant ir turizmo reikmėms pritaikant nekilnojamojo kultūros paveldo ir kitus turizmo objektus</w:t>
      </w:r>
      <w:r w:rsidR="00A73AD3" w:rsidRPr="00986CFB">
        <w:rPr>
          <w:rFonts w:cs="Times New Roman"/>
          <w:color w:val="000000"/>
          <w:sz w:val="22"/>
          <w:szCs w:val="22"/>
        </w:rPr>
        <w:t xml:space="preserve">. </w:t>
      </w:r>
      <w:r w:rsidR="00A73AD3" w:rsidRPr="00986CFB">
        <w:rPr>
          <w:rFonts w:cs="Times New Roman"/>
          <w:sz w:val="22"/>
          <w:szCs w:val="22"/>
        </w:rPr>
        <w:t>Tik visiškai sutvarkyti ir kompleksines paslaugas turistams teikti pritaikyti kultūros paveldo objektai (pastatai, paslaugos, parkai, privažiavimas, ženklai ir t. t.) sukurs turistinės traukos centrus, sudarys sąlygas laisvalaikio praleidimui, juose organizuojami renginiai didins vietovės turistinį patrauklumą ir formuos turistų srautus. Pakruojo dvaro sodybos sutvarkymo projektas ne viename vertinime buvo išskirtas kaip gerosios praktikos pavyzdys skatinant kultūrinį turizmą. Pakruojo dvaras įtrauktas į Lietuvos kultūros paveldo objektų registrą ir yra didžiausias iki šių dienų išlikęs dvaro pastatų kompleksas Lietuvoje. Šis kompleksiškai sutvarkytas ir pritaikytas nekilnojamojo kultūros paveldo objektas yra vienas iš pagrindinių turistinių traukos objektų Pakruojo rajono savivaldybėje.</w:t>
      </w:r>
    </w:p>
    <w:p w:rsidR="00A73AD3" w:rsidRPr="00986CFB" w:rsidRDefault="00A73AD3" w:rsidP="00F80231">
      <w:pPr>
        <w:pStyle w:val="Pagrindinispaprastastekstas"/>
        <w:rPr>
          <w:rFonts w:cs="Times New Roman"/>
          <w:sz w:val="22"/>
          <w:szCs w:val="22"/>
        </w:rPr>
      </w:pPr>
    </w:p>
    <w:p w:rsidR="00A73AD3" w:rsidRPr="00986CFB" w:rsidRDefault="00A73AD3" w:rsidP="00F80231">
      <w:pPr>
        <w:pStyle w:val="Pagrindinispaprastastekstas"/>
        <w:rPr>
          <w:rFonts w:cs="Times New Roman"/>
          <w:sz w:val="22"/>
          <w:szCs w:val="22"/>
        </w:rPr>
      </w:pPr>
      <w:r w:rsidRPr="00986CFB">
        <w:rPr>
          <w:rFonts w:cs="Times New Roman"/>
          <w:b/>
          <w:bCs/>
          <w:i/>
          <w:iCs/>
          <w:color w:val="1F497D"/>
          <w:sz w:val="22"/>
          <w:szCs w:val="22"/>
        </w:rPr>
        <w:t xml:space="preserve">2007–2013 m. ES struktūrinės paramos poveikio kultūrai vertinimas </w:t>
      </w:r>
      <w:r w:rsidRPr="00986CFB">
        <w:rPr>
          <w:rFonts w:cs="Times New Roman"/>
          <w:sz w:val="22"/>
          <w:szCs w:val="22"/>
        </w:rPr>
        <w:t xml:space="preserve">reikšmingas tuo, kad vertinimo metu buvo „inventorizuotos“ visos 2007–2013 m. veiksmų programų investicijos kultūros srityje ir sudarytas 389 kultūros srityje finansuotų projektų sąrašas, kuriame projektai sugrupuoti į </w:t>
      </w:r>
      <w:r w:rsidRPr="00986CFB">
        <w:rPr>
          <w:rFonts w:cs="Times New Roman"/>
          <w:sz w:val="22"/>
          <w:szCs w:val="22"/>
        </w:rPr>
        <w:lastRenderedPageBreak/>
        <w:t>10</w:t>
      </w:r>
      <w:r w:rsidR="008D2822" w:rsidRPr="00986CFB">
        <w:rPr>
          <w:rFonts w:cs="Times New Roman"/>
          <w:sz w:val="22"/>
          <w:szCs w:val="22"/>
        </w:rPr>
        <w:t> </w:t>
      </w:r>
      <w:r w:rsidRPr="00986CFB">
        <w:rPr>
          <w:rFonts w:cs="Times New Roman"/>
          <w:sz w:val="22"/>
          <w:szCs w:val="22"/>
        </w:rPr>
        <w:t>teminių intervencijų sričių.</w:t>
      </w:r>
      <w:r w:rsidRPr="00986CFB">
        <w:rPr>
          <w:rStyle w:val="FootnoteReference"/>
          <w:rFonts w:cs="Times New Roman"/>
        </w:rPr>
        <w:footnoteReference w:id="16"/>
      </w:r>
      <w:r w:rsidRPr="00986CFB">
        <w:rPr>
          <w:rFonts w:cs="Times New Roman"/>
          <w:sz w:val="22"/>
          <w:szCs w:val="22"/>
        </w:rPr>
        <w:t xml:space="preserve"> Projektai finansuoti pagal 54 VP priemones. Bendras šių projektų biudžetas – 455,7 </w:t>
      </w:r>
      <w:r w:rsidR="008D2822" w:rsidRPr="00986CFB">
        <w:rPr>
          <w:rFonts w:cs="Times New Roman"/>
          <w:sz w:val="22"/>
          <w:szCs w:val="22"/>
        </w:rPr>
        <w:t>mln. eurų</w:t>
      </w:r>
      <w:r w:rsidRPr="00986CFB">
        <w:rPr>
          <w:rFonts w:cs="Times New Roman"/>
          <w:sz w:val="22"/>
          <w:szCs w:val="22"/>
        </w:rPr>
        <w:t>. Jiems išmokėtos ES lėšos sudaro 5,6 proc. visų pagal VP išmokėtų lėšų. Daugiausia investuota į nekilnojamojo kultūros paveldo objektų sutvarkymą (143 mln.</w:t>
      </w:r>
      <w:r w:rsidR="008D2822" w:rsidRPr="00986CFB">
        <w:rPr>
          <w:rFonts w:cs="Times New Roman"/>
          <w:sz w:val="22"/>
          <w:szCs w:val="22"/>
        </w:rPr>
        <w:t xml:space="preserve"> eurų</w:t>
      </w:r>
      <w:r w:rsidRPr="00986CFB">
        <w:rPr>
          <w:rFonts w:cs="Times New Roman"/>
          <w:sz w:val="22"/>
          <w:szCs w:val="22"/>
        </w:rPr>
        <w:t xml:space="preserve"> arba 31</w:t>
      </w:r>
      <w:r w:rsidR="008D2822" w:rsidRPr="00986CFB">
        <w:rPr>
          <w:rFonts w:cs="Times New Roman"/>
          <w:sz w:val="22"/>
          <w:szCs w:val="22"/>
        </w:rPr>
        <w:t> </w:t>
      </w:r>
      <w:r w:rsidRPr="00986CFB">
        <w:rPr>
          <w:rFonts w:cs="Times New Roman"/>
          <w:sz w:val="22"/>
          <w:szCs w:val="22"/>
        </w:rPr>
        <w:t>proc. nuo visų kultūrai tekusių ES struktūrinių fondų investicijų), kultūros ir meno įstaigų</w:t>
      </w:r>
      <w:r w:rsidRPr="00986CFB">
        <w:rPr>
          <w:rStyle w:val="FootnoteReference"/>
          <w:rFonts w:cs="Times New Roman"/>
        </w:rPr>
        <w:footnoteReference w:id="17"/>
      </w:r>
      <w:r w:rsidRPr="00986CFB">
        <w:rPr>
          <w:rFonts w:cs="Times New Roman"/>
          <w:sz w:val="22"/>
          <w:szCs w:val="22"/>
        </w:rPr>
        <w:t xml:space="preserve"> infrastruktūrą (116 mln.</w:t>
      </w:r>
      <w:r w:rsidR="008D2822" w:rsidRPr="00986CFB">
        <w:rPr>
          <w:rFonts w:cs="Times New Roman"/>
          <w:sz w:val="22"/>
          <w:szCs w:val="22"/>
        </w:rPr>
        <w:t xml:space="preserve"> eurų</w:t>
      </w:r>
      <w:r w:rsidRPr="00986CFB">
        <w:rPr>
          <w:rFonts w:cs="Times New Roman"/>
          <w:sz w:val="22"/>
          <w:szCs w:val="22"/>
        </w:rPr>
        <w:t xml:space="preserve"> arba 25 proc.), kultūros ir kūrybinių industrijų infrastruktūrą ir veiklą (33 mln. </w:t>
      </w:r>
      <w:r w:rsidR="008D2822" w:rsidRPr="00986CFB">
        <w:rPr>
          <w:rFonts w:cs="Times New Roman"/>
          <w:sz w:val="22"/>
          <w:szCs w:val="22"/>
        </w:rPr>
        <w:t xml:space="preserve">eurų </w:t>
      </w:r>
      <w:r w:rsidRPr="00986CFB">
        <w:rPr>
          <w:rFonts w:cs="Times New Roman"/>
          <w:sz w:val="22"/>
          <w:szCs w:val="22"/>
        </w:rPr>
        <w:t>arba 7 proc.) bei elektronines kultūros paslaugas (paveldo skaitmeninimą ir suskaitmenintų objektų prieigą; 25 mln.</w:t>
      </w:r>
      <w:r w:rsidR="008D2822" w:rsidRPr="00986CFB">
        <w:rPr>
          <w:rFonts w:cs="Times New Roman"/>
          <w:sz w:val="22"/>
          <w:szCs w:val="22"/>
        </w:rPr>
        <w:t xml:space="preserve"> eurų</w:t>
      </w:r>
      <w:r w:rsidRPr="00986CFB">
        <w:rPr>
          <w:rFonts w:cs="Times New Roman"/>
          <w:sz w:val="22"/>
          <w:szCs w:val="22"/>
        </w:rPr>
        <w:t xml:space="preserve"> arba 6 proc.). Didelė ES struktūrinių fondų investicijų dalis viešosiose išlaidose kultūrai rodo, kad kaip ir kitose viešosios politikos srityse 2007–2013 m. veiksmų programų investicijos padėjo stabilizuoti išlaidų mažinimą kultūrai krizės metu. Tačiau tuo pačiu tai rodo, kad investicijos į kultūrą labai priklauso nuo ES struktūrinių fondų.</w:t>
      </w:r>
    </w:p>
    <w:p w:rsidR="00A73AD3" w:rsidRPr="00986CFB" w:rsidRDefault="00A73AD3" w:rsidP="00F80231">
      <w:pPr>
        <w:pStyle w:val="Pagrindinispaprastastekstas"/>
        <w:rPr>
          <w:rFonts w:cs="Times New Roman"/>
          <w:sz w:val="22"/>
          <w:szCs w:val="22"/>
        </w:rPr>
      </w:pPr>
    </w:p>
    <w:p w:rsidR="00A73AD3" w:rsidRPr="00986CFB" w:rsidRDefault="00A73AD3" w:rsidP="00F80231">
      <w:pPr>
        <w:pStyle w:val="Caption"/>
        <w:rPr>
          <w:rFonts w:cs="Times New Roman"/>
        </w:rPr>
      </w:pPr>
      <w:r w:rsidRPr="00986CFB">
        <w:rPr>
          <w:rFonts w:cs="Times New Roman"/>
        </w:rPr>
        <w:t>4 lentelė. 2007–2013 m. veiksmų programų investicijos kultūros srityje</w:t>
      </w:r>
    </w:p>
    <w:tbl>
      <w:tblPr>
        <w:tblW w:w="5000" w:type="pct"/>
        <w:tblInd w:w="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20" w:firstRow="1" w:lastRow="0" w:firstColumn="0" w:lastColumn="0" w:noHBand="0" w:noVBand="0"/>
      </w:tblPr>
      <w:tblGrid>
        <w:gridCol w:w="6379"/>
        <w:gridCol w:w="1626"/>
        <w:gridCol w:w="1849"/>
      </w:tblGrid>
      <w:tr w:rsidR="00A73AD3" w:rsidRPr="00986CFB">
        <w:trPr>
          <w:trHeight w:val="20"/>
        </w:trPr>
        <w:tc>
          <w:tcPr>
            <w:tcW w:w="3237" w:type="pct"/>
            <w:tcBorders>
              <w:top w:val="single" w:sz="4" w:space="0" w:color="4F81BD"/>
              <w:left w:val="single" w:sz="4" w:space="0" w:color="4F81BD"/>
              <w:bottom w:val="single" w:sz="4" w:space="0" w:color="4F81BD"/>
              <w:right w:val="nil"/>
            </w:tcBorders>
            <w:shd w:val="clear" w:color="auto" w:fill="4F81BD"/>
          </w:tcPr>
          <w:p w:rsidR="00A73AD3" w:rsidRPr="00986CFB" w:rsidRDefault="00A73AD3" w:rsidP="002C4E45">
            <w:pPr>
              <w:pStyle w:val="Pagrindinispaprastastekstas"/>
              <w:jc w:val="center"/>
              <w:rPr>
                <w:rFonts w:cs="Times New Roman"/>
                <w:b/>
                <w:bCs/>
                <w:color w:val="FFFFFF"/>
                <w:sz w:val="20"/>
                <w:szCs w:val="20"/>
                <w:lang w:eastAsia="en-US"/>
              </w:rPr>
            </w:pPr>
          </w:p>
        </w:tc>
        <w:tc>
          <w:tcPr>
            <w:tcW w:w="825" w:type="pct"/>
            <w:tcBorders>
              <w:top w:val="single" w:sz="4" w:space="0" w:color="4F81BD"/>
              <w:left w:val="nil"/>
              <w:bottom w:val="single" w:sz="4" w:space="0" w:color="4F81BD"/>
              <w:right w:val="nil"/>
            </w:tcBorders>
            <w:shd w:val="clear" w:color="auto" w:fill="4F81BD"/>
          </w:tcPr>
          <w:p w:rsidR="00A73AD3" w:rsidRPr="00986CFB" w:rsidRDefault="00A73AD3" w:rsidP="002C4E45">
            <w:pPr>
              <w:pStyle w:val="Pagrindinispaprastastekstas"/>
              <w:jc w:val="center"/>
              <w:rPr>
                <w:rFonts w:cs="Times New Roman"/>
                <w:b/>
                <w:bCs/>
                <w:color w:val="FFFFFF"/>
                <w:sz w:val="20"/>
                <w:szCs w:val="20"/>
                <w:lang w:eastAsia="en-US"/>
              </w:rPr>
            </w:pPr>
            <w:r w:rsidRPr="00986CFB">
              <w:rPr>
                <w:rFonts w:cs="Times New Roman"/>
                <w:b/>
                <w:bCs/>
                <w:color w:val="FFFFFF"/>
                <w:sz w:val="20"/>
                <w:szCs w:val="20"/>
                <w:lang w:eastAsia="en-US"/>
              </w:rPr>
              <w:t>Iš viso</w:t>
            </w:r>
          </w:p>
        </w:tc>
        <w:tc>
          <w:tcPr>
            <w:tcW w:w="938" w:type="pct"/>
            <w:tcBorders>
              <w:top w:val="single" w:sz="4" w:space="0" w:color="4F81BD"/>
              <w:left w:val="nil"/>
              <w:bottom w:val="single" w:sz="4" w:space="0" w:color="4F81BD"/>
              <w:right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lang w:eastAsia="en-US"/>
              </w:rPr>
            </w:pPr>
            <w:r w:rsidRPr="00986CFB">
              <w:rPr>
                <w:rFonts w:cs="Times New Roman"/>
                <w:b/>
                <w:bCs/>
                <w:color w:val="FFFFFF"/>
                <w:sz w:val="20"/>
                <w:szCs w:val="20"/>
                <w:lang w:eastAsia="en-US"/>
              </w:rPr>
              <w:t>Dalis nuo visų VP</w:t>
            </w:r>
          </w:p>
        </w:tc>
      </w:tr>
      <w:tr w:rsidR="00A73AD3" w:rsidRPr="00986CFB">
        <w:trPr>
          <w:trHeight w:val="20"/>
        </w:trPr>
        <w:tc>
          <w:tcPr>
            <w:tcW w:w="3237"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Projektų skaičius</w:t>
            </w:r>
          </w:p>
        </w:tc>
        <w:tc>
          <w:tcPr>
            <w:tcW w:w="825"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389</w:t>
            </w:r>
          </w:p>
        </w:tc>
        <w:tc>
          <w:tcPr>
            <w:tcW w:w="938"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4,7 %</w:t>
            </w:r>
          </w:p>
        </w:tc>
      </w:tr>
      <w:tr w:rsidR="00A73AD3" w:rsidRPr="00986CFB">
        <w:trPr>
          <w:trHeight w:val="20"/>
        </w:trPr>
        <w:tc>
          <w:tcPr>
            <w:tcW w:w="3237"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Bend</w:t>
            </w:r>
            <w:r w:rsidR="008D2822" w:rsidRPr="00986CFB">
              <w:rPr>
                <w:rFonts w:cs="Times New Roman"/>
                <w:sz w:val="20"/>
                <w:szCs w:val="20"/>
                <w:lang w:eastAsia="en-US"/>
              </w:rPr>
              <w:t>ras projektų biudžetas, mln. eurų</w:t>
            </w:r>
          </w:p>
        </w:tc>
        <w:tc>
          <w:tcPr>
            <w:tcW w:w="825"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455,7</w:t>
            </w:r>
          </w:p>
        </w:tc>
        <w:tc>
          <w:tcPr>
            <w:tcW w:w="938"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5,2 %</w:t>
            </w:r>
          </w:p>
        </w:tc>
      </w:tr>
      <w:tr w:rsidR="00A73AD3" w:rsidRPr="00986CFB">
        <w:trPr>
          <w:trHeight w:val="20"/>
        </w:trPr>
        <w:tc>
          <w:tcPr>
            <w:tcW w:w="3237"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 xml:space="preserve">Projektams </w:t>
            </w:r>
            <w:r w:rsidR="008D2822" w:rsidRPr="00986CFB">
              <w:rPr>
                <w:rFonts w:cs="Times New Roman"/>
                <w:sz w:val="20"/>
                <w:szCs w:val="20"/>
                <w:lang w:eastAsia="en-US"/>
              </w:rPr>
              <w:t>išmokėtas finansavimas, mln. eurų</w:t>
            </w:r>
            <w:r w:rsidRPr="00986CFB">
              <w:rPr>
                <w:rFonts w:cs="Times New Roman"/>
                <w:sz w:val="20"/>
                <w:szCs w:val="20"/>
                <w:lang w:eastAsia="en-US"/>
              </w:rPr>
              <w:t xml:space="preserve"> (iš jų ES lėšos)</w:t>
            </w:r>
          </w:p>
        </w:tc>
        <w:tc>
          <w:tcPr>
            <w:tcW w:w="825"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428,0 (381,5)</w:t>
            </w:r>
          </w:p>
        </w:tc>
        <w:tc>
          <w:tcPr>
            <w:tcW w:w="938" w:type="pct"/>
            <w:shd w:val="clear" w:color="auto" w:fill="DBE5F1"/>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5,9 % (5,6 %)</w:t>
            </w:r>
          </w:p>
        </w:tc>
      </w:tr>
      <w:tr w:rsidR="00A73AD3" w:rsidRPr="00986CFB">
        <w:trPr>
          <w:trHeight w:val="20"/>
        </w:trPr>
        <w:tc>
          <w:tcPr>
            <w:tcW w:w="3237"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rPr>
              <w:t>VP priemonių, pagal kurias finansuoti projektai, skaičius</w:t>
            </w:r>
          </w:p>
        </w:tc>
        <w:tc>
          <w:tcPr>
            <w:tcW w:w="825"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lang w:eastAsia="en-US"/>
              </w:rPr>
              <w:t>54</w:t>
            </w:r>
          </w:p>
        </w:tc>
        <w:tc>
          <w:tcPr>
            <w:tcW w:w="938" w:type="pct"/>
          </w:tcPr>
          <w:p w:rsidR="00A73AD3" w:rsidRPr="00986CFB" w:rsidRDefault="00A73AD3" w:rsidP="00B4787D">
            <w:pPr>
              <w:pStyle w:val="Pagrindinispaprastastekstas"/>
              <w:rPr>
                <w:rFonts w:cs="Times New Roman"/>
                <w:sz w:val="20"/>
                <w:szCs w:val="20"/>
                <w:lang w:eastAsia="en-US"/>
              </w:rPr>
            </w:pPr>
            <w:r w:rsidRPr="00986CFB">
              <w:rPr>
                <w:rFonts w:cs="Times New Roman"/>
                <w:sz w:val="20"/>
                <w:szCs w:val="20"/>
              </w:rPr>
              <w:t>26,5 %</w:t>
            </w:r>
          </w:p>
        </w:tc>
      </w:tr>
    </w:tbl>
    <w:p w:rsidR="00A73AD3" w:rsidRPr="00986CFB" w:rsidRDefault="00A73AD3" w:rsidP="00F80231">
      <w:pPr>
        <w:pStyle w:val="Saltinis"/>
        <w:rPr>
          <w:rFonts w:cs="Times New Roman"/>
        </w:rPr>
      </w:pPr>
      <w:r w:rsidRPr="00986CFB">
        <w:rPr>
          <w:rFonts w:cs="Times New Roman"/>
        </w:rPr>
        <w:t>Šaltinis: 2007–2013 metų ES struktūrinės paramos poveikio kultūrai vertinimas. Kultūros ministerijos užsakymu atliko UAB „ESTEP Vilnius“ kartu su VšĮ „Europos socialiniai, teisiniai ir ekonominiai projektai“, 2016 m. rugsėjis.</w:t>
      </w:r>
    </w:p>
    <w:p w:rsidR="00A73AD3" w:rsidRPr="00986CFB" w:rsidRDefault="00A73AD3" w:rsidP="00F80231">
      <w:pPr>
        <w:pStyle w:val="Pagrindinispaprastastekstas"/>
        <w:rPr>
          <w:rFonts w:cs="Times New Roman"/>
          <w:sz w:val="22"/>
          <w:szCs w:val="22"/>
        </w:rPr>
      </w:pPr>
    </w:p>
    <w:p w:rsidR="00A73AD3" w:rsidRPr="00986CFB" w:rsidRDefault="00CA1232" w:rsidP="00F802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9264" behindDoc="1" locked="0" layoutInCell="1" allowOverlap="1">
                <wp:simplePos x="0" y="0"/>
                <wp:positionH relativeFrom="margin">
                  <wp:posOffset>3856990</wp:posOffset>
                </wp:positionH>
                <wp:positionV relativeFrom="paragraph">
                  <wp:posOffset>341630</wp:posOffset>
                </wp:positionV>
                <wp:extent cx="2239010" cy="1191895"/>
                <wp:effectExtent l="0" t="2540" r="3810" b="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9189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14E50">
                            <w:pPr>
                              <w:jc w:val="center"/>
                              <w:rPr>
                                <w:rFonts w:ascii="Cambria" w:hAnsi="Cambria" w:cs="Cambria"/>
                                <w:color w:val="17365D"/>
                                <w:sz w:val="20"/>
                                <w:szCs w:val="20"/>
                              </w:rPr>
                            </w:pPr>
                            <w:r w:rsidRPr="00986CFB">
                              <w:rPr>
                                <w:rFonts w:ascii="Cambria" w:hAnsi="Cambria"/>
                                <w:color w:val="17365D"/>
                                <w:sz w:val="20"/>
                                <w:szCs w:val="20"/>
                              </w:rPr>
                              <w:t>Pagal išlaidas kultūrai Lietuva yra ES vidutiniokė – viešosios išlaidos kultūrai Lietuvoje sudaro apie 0,6 proc. BVP. ES-28 lyderės yra Estija ir Latvija, kuriose kultūrai skiriama 1,1 proc.</w:t>
                            </w:r>
                            <w:r w:rsidRPr="00986CFB">
                              <w:rPr>
                                <w:rFonts w:ascii="Cambria" w:hAnsi="Cambria" w:cs="Cambria"/>
                                <w:color w:val="17365D"/>
                                <w:sz w:val="20"/>
                                <w:szCs w:val="20"/>
                              </w:rPr>
                              <w:t xml:space="preserve"> ir 1,2 proc. BVP.</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0" type="#_x0000_t202" style="position:absolute;left:0;text-align:left;margin-left:303.7pt;margin-top:26.9pt;width:176.3pt;height:93.85pt;z-index:-251657216;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914E50">
                      <w:pPr>
                        <w:jc w:val="center"/>
                        <w:rPr>
                          <w:rFonts w:ascii="Cambria" w:hAnsi="Cambria" w:cs="Cambria"/>
                          <w:color w:val="17365D"/>
                          <w:sz w:val="20"/>
                          <w:szCs w:val="20"/>
                        </w:rPr>
                      </w:pPr>
                      <w:r w:rsidRPr="00986CFB">
                        <w:rPr>
                          <w:rFonts w:ascii="Cambria" w:hAnsi="Cambria"/>
                          <w:color w:val="17365D"/>
                          <w:sz w:val="20"/>
                          <w:szCs w:val="20"/>
                        </w:rPr>
                        <w:t>Pagal išlaidas kultūrai Lietuva yra ES vidutiniokė – viešosios išlaidos kultūrai Lietuvoje sudaro apie 0,6 proc. BVP. ES-28 lyderės yra Estija ir Latvija, kuriose kultūrai skiriama 1,1 proc.</w:t>
                      </w:r>
                      <w:r w:rsidRPr="00986CFB">
                        <w:rPr>
                          <w:rFonts w:ascii="Cambria" w:hAnsi="Cambria" w:cs="Cambria"/>
                          <w:color w:val="17365D"/>
                          <w:sz w:val="20"/>
                          <w:szCs w:val="20"/>
                        </w:rPr>
                        <w:t xml:space="preserve"> ir 1,2 proc. BVP.</w:t>
                      </w:r>
                    </w:p>
                  </w:txbxContent>
                </v:textbox>
                <w10:wrap type="square" anchorx="margin"/>
              </v:shape>
            </w:pict>
          </mc:Fallback>
        </mc:AlternateContent>
      </w:r>
      <w:r w:rsidR="00A73AD3" w:rsidRPr="00986CFB">
        <w:rPr>
          <w:rFonts w:cs="Times New Roman"/>
          <w:sz w:val="22"/>
          <w:szCs w:val="22"/>
        </w:rPr>
        <w:t xml:space="preserve">Vertinimo metu nustatyta, kad lyginant su 2004–2006 m. </w:t>
      </w:r>
      <w:r w:rsidR="00A73AD3" w:rsidRPr="00986CFB">
        <w:rPr>
          <w:rFonts w:cs="Times New Roman"/>
          <w:b/>
          <w:bCs/>
          <w:i/>
          <w:iCs/>
          <w:sz w:val="22"/>
          <w:szCs w:val="22"/>
        </w:rPr>
        <w:t>ES struktūrinių fondų investicijos į kultūrą 2007–2013 m. išaugo penkis kartus</w:t>
      </w:r>
      <w:r w:rsidR="00A73AD3" w:rsidRPr="00986CFB">
        <w:rPr>
          <w:rFonts w:cs="Times New Roman"/>
          <w:sz w:val="22"/>
          <w:szCs w:val="22"/>
        </w:rPr>
        <w:t xml:space="preserve">, o 2014–2020 m. išliks panašios kaip ir 2007–2013 m., tačiau keisis investicijų struktūra: planuojami šešis kartus didesni asignavimai kultūros ir kūrybinių industrijų veikloms ir du su puse karto – kūrybiškumą ugdančiam švietimui. Reikšmingai (30 proc.) padidės finansavimas elektroninėms kultūros paslaugoms, nuosaikiai (14 proc.) – nekilnojamajam kultūros paveldui, praktiškai nepakis kultūros ir meno įstaigų infrastruktūrai bei kultūros politikos valdymui ir tyrimams. Susirūpinimą kelia beveik trečdaliu mažėjantys asignavimai kultūros darbuotojų kvalifikacijos kėlimui ir darbo sąlygų gerinimui, kurie ir 2007–2013 m. buvo labai maži. </w:t>
      </w:r>
    </w:p>
    <w:p w:rsidR="00A73AD3" w:rsidRPr="00986CFB" w:rsidRDefault="00A73AD3" w:rsidP="00F80231">
      <w:pPr>
        <w:pStyle w:val="Pagrindinispaprastastekstas"/>
        <w:rPr>
          <w:rFonts w:cs="Times New Roman"/>
          <w:sz w:val="22"/>
          <w:szCs w:val="22"/>
        </w:rPr>
      </w:pPr>
    </w:p>
    <w:p w:rsidR="00A73AD3" w:rsidRPr="00986CFB" w:rsidRDefault="00A73AD3" w:rsidP="00F80231">
      <w:pPr>
        <w:pStyle w:val="Pagrindinispaprastastekstas"/>
        <w:rPr>
          <w:rFonts w:cs="Times New Roman"/>
          <w:sz w:val="22"/>
          <w:szCs w:val="22"/>
        </w:rPr>
      </w:pPr>
      <w:r w:rsidRPr="00986CFB">
        <w:rPr>
          <w:rFonts w:cs="Times New Roman"/>
          <w:sz w:val="22"/>
          <w:szCs w:val="22"/>
        </w:rPr>
        <w:t xml:space="preserve">ES investicijų </w:t>
      </w:r>
      <w:r w:rsidRPr="00986CFB">
        <w:rPr>
          <w:rFonts w:cs="Times New Roman"/>
          <w:b/>
          <w:bCs/>
          <w:i/>
          <w:iCs/>
          <w:sz w:val="22"/>
          <w:szCs w:val="22"/>
        </w:rPr>
        <w:t xml:space="preserve">poveikis kultūrai </w:t>
      </w:r>
      <w:r w:rsidRPr="00986CFB">
        <w:rPr>
          <w:rFonts w:cs="Times New Roman"/>
          <w:sz w:val="22"/>
          <w:szCs w:val="22"/>
        </w:rPr>
        <w:t xml:space="preserve">vertintas tiek atskirose intervencijų srityse, tiek apibendrintai, t. y. vertintas ES investicijų poveikis: a) kultūros paslaugų įvairovei, prieinamumui, apimčiai ir kokybei (t. y. </w:t>
      </w:r>
      <w:r w:rsidRPr="00986CFB">
        <w:rPr>
          <w:rFonts w:cs="Times New Roman"/>
          <w:b/>
          <w:bCs/>
          <w:i/>
          <w:iCs/>
          <w:sz w:val="22"/>
          <w:szCs w:val="22"/>
        </w:rPr>
        <w:t>kultūros pasiūlai</w:t>
      </w:r>
      <w:r w:rsidRPr="00986CFB">
        <w:rPr>
          <w:rFonts w:cs="Times New Roman"/>
          <w:sz w:val="22"/>
          <w:szCs w:val="22"/>
        </w:rPr>
        <w:t xml:space="preserve">), b) </w:t>
      </w:r>
      <w:r w:rsidRPr="00986CFB">
        <w:rPr>
          <w:rFonts w:cs="Times New Roman"/>
          <w:b/>
          <w:bCs/>
          <w:i/>
          <w:iCs/>
          <w:sz w:val="22"/>
          <w:szCs w:val="22"/>
        </w:rPr>
        <w:t>kultūros paklausai</w:t>
      </w:r>
      <w:r w:rsidRPr="00986CFB">
        <w:rPr>
          <w:rFonts w:cs="Times New Roman"/>
          <w:sz w:val="22"/>
          <w:szCs w:val="22"/>
        </w:rPr>
        <w:t xml:space="preserve"> (gyventojų dalyvavimui kultūroje ir jos vartojimui) ir c) su kultūra susijusiems </w:t>
      </w:r>
      <w:r w:rsidRPr="00986CFB">
        <w:rPr>
          <w:rFonts w:cs="Times New Roman"/>
          <w:b/>
          <w:bCs/>
          <w:i/>
          <w:iCs/>
          <w:sz w:val="22"/>
          <w:szCs w:val="22"/>
          <w:lang w:eastAsia="en-US"/>
        </w:rPr>
        <w:t>socialinės sanglaudos veiksniams</w:t>
      </w:r>
      <w:r w:rsidRPr="00986CFB">
        <w:rPr>
          <w:rFonts w:cs="Times New Roman"/>
          <w:sz w:val="22"/>
          <w:szCs w:val="22"/>
          <w:lang w:eastAsia="en-US"/>
        </w:rPr>
        <w:t xml:space="preserve"> </w:t>
      </w:r>
      <w:r w:rsidRPr="00986CFB">
        <w:rPr>
          <w:rFonts w:cs="Times New Roman"/>
          <w:sz w:val="22"/>
          <w:szCs w:val="22"/>
        </w:rPr>
        <w:t xml:space="preserve">– gyventojų pasitikėjimui vieni kitais, valstybės institucijomis ir pasididžiavimui pilietybe. </w:t>
      </w:r>
    </w:p>
    <w:p w:rsidR="00A73AD3" w:rsidRPr="00986CFB" w:rsidRDefault="00CA1232" w:rsidP="00F802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72576" behindDoc="1" locked="0" layoutInCell="1" allowOverlap="1">
                <wp:simplePos x="0" y="0"/>
                <wp:positionH relativeFrom="margin">
                  <wp:align>right</wp:align>
                </wp:positionH>
                <wp:positionV relativeFrom="paragraph">
                  <wp:posOffset>751840</wp:posOffset>
                </wp:positionV>
                <wp:extent cx="2677795" cy="838200"/>
                <wp:effectExtent l="0" t="0" r="0" b="1270"/>
                <wp:wrapSquare wrapText="bothSides"/>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83820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F4597E">
                            <w:pPr>
                              <w:jc w:val="center"/>
                              <w:rPr>
                                <w:rFonts w:ascii="Cambria" w:hAnsi="Cambria" w:cs="Cambria"/>
                                <w:color w:val="17365D"/>
                                <w:sz w:val="20"/>
                                <w:szCs w:val="20"/>
                              </w:rPr>
                            </w:pPr>
                            <w:r w:rsidRPr="00986CFB">
                              <w:rPr>
                                <w:rFonts w:ascii="Cambria" w:hAnsi="Cambria"/>
                                <w:color w:val="17365D"/>
                                <w:sz w:val="20"/>
                                <w:szCs w:val="20"/>
                              </w:rPr>
                              <w:t xml:space="preserve">Investicijos į nekilnojamąjį kultūros paveldą, elektronines paslaugas ir muziejus turėjo didžiausią teigiamą poveikį kultūros paslaugų prieinamumui ir kokybei. </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1" type="#_x0000_t202" style="position:absolute;left:0;text-align:left;margin-left:159.65pt;margin-top:59.2pt;width:210.85pt;height:66pt;z-index:-251643904;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" fillcolor="#efede3" stroked="f" strokeweight=".5pt">
                <v:fill color2="#eae7d9" rotate="t" focusposition=".5,.5" focussize="" focus="100%" type="gradientRadial"/>
                <v:textbox inset="3mm,3mm,3mm,3mm">
                  <w:txbxContent>
                    <w:p w:rsidR="009F5833" w:rsidRPr="00986CFB" w:rsidRDefault="009F5833" w:rsidP="00F4597E">
                      <w:pPr>
                        <w:jc w:val="center"/>
                        <w:rPr>
                          <w:rFonts w:ascii="Cambria" w:hAnsi="Cambria" w:cs="Cambria"/>
                          <w:color w:val="17365D"/>
                          <w:sz w:val="20"/>
                          <w:szCs w:val="20"/>
                        </w:rPr>
                      </w:pPr>
                      <w:r w:rsidRPr="00986CFB">
                        <w:rPr>
                          <w:rFonts w:ascii="Cambria" w:hAnsi="Cambria"/>
                          <w:color w:val="17365D"/>
                          <w:sz w:val="20"/>
                          <w:szCs w:val="20"/>
                        </w:rPr>
                        <w:t xml:space="preserve">Investicijos į nekilnojamąjį kultūros paveldą, elektronines paslaugas ir muziejus turėjo didžiausią teigiamą poveikį kultūros paslaugų prieinamumui ir kokybei. </w:t>
                      </w:r>
                    </w:p>
                  </w:txbxContent>
                </v:textbox>
                <w10:wrap type="square" anchorx="margin"/>
              </v:shape>
            </w:pict>
          </mc:Fallback>
        </mc:AlternateContent>
      </w:r>
    </w:p>
    <w:p w:rsidR="00A73AD3" w:rsidRPr="00986CFB" w:rsidRDefault="00A73AD3" w:rsidP="00F80231">
      <w:pPr>
        <w:pStyle w:val="Pagrindinispaprastastekstas"/>
        <w:rPr>
          <w:rFonts w:cs="Times New Roman"/>
          <w:sz w:val="22"/>
          <w:szCs w:val="22"/>
        </w:rPr>
      </w:pPr>
      <w:r w:rsidRPr="00986CFB">
        <w:rPr>
          <w:rFonts w:cs="Times New Roman"/>
          <w:sz w:val="22"/>
          <w:szCs w:val="22"/>
        </w:rPr>
        <w:t xml:space="preserve">ES investicijos teigiamai veikė kultūros paslaugų apimtį (įgyvendinus projektus įstaigose didėjo lankytojų ir renginių skaičius), įvairovę (sukurtos arba reikšmingai patobulintos tiesiogiai įstaigose teikiamos kultūros paslaugos, edukaciniai užsiėmimai ir renginiai, festivaliai, šventės bei kiti užsiėmimai) ir prieinamumą. Kultūros projektų vykdytojų nuomone, prie kultūros paslaugų prieinamumo didėjimo labiausiai prisidėjo įstaigos infrastruktūros pritaikymas žmonėms su negalia, sukurta arba modernizuota fizinį pasiekiamumą gerinanti infrastruktūra ir geresnis teikiamų kultūros paslaugų ir įstaigos veiklos viešinimas. Kultūros paklausa Lietuvoje augo net ir ekonominio nuosmukio </w:t>
      </w:r>
      <w:r w:rsidRPr="00986CFB">
        <w:rPr>
          <w:rFonts w:cs="Times New Roman"/>
          <w:sz w:val="22"/>
          <w:szCs w:val="22"/>
        </w:rPr>
        <w:lastRenderedPageBreak/>
        <w:t xml:space="preserve">laikotarpiu. Pagal gyventojų kultūrinius įpročius Lietuva yra panašiausia į Lenkiją, tačiau smarkiai atsilieka nuo Estijos ir Latvijos. Vertintojai konstatavo, kad kultūros poveikį visuomenės sanglaudai Lietuvoje atspindinčių rodiklių reikšmės per 2007–2015 m. reikšmingai nepasikeitė, taip pat nepagerėjo socialinio kapitalo kokybė – nedidėja kitais žmonėmis pasitikinčių Lietuvos gyventojų dalis, kaip ir nedidėja pasitikėjimas valstybės institucijomis. </w:t>
      </w:r>
    </w:p>
    <w:p w:rsidR="00A73AD3" w:rsidRPr="00986CFB" w:rsidRDefault="00A73AD3" w:rsidP="004B4168">
      <w:pPr>
        <w:pStyle w:val="Pagrindinispaprastastekstas"/>
        <w:rPr>
          <w:rFonts w:cs="Times New Roman"/>
          <w:sz w:val="22"/>
          <w:szCs w:val="22"/>
        </w:rPr>
      </w:pPr>
    </w:p>
    <w:p w:rsidR="00A73AD3" w:rsidRPr="00986CFB" w:rsidRDefault="00CA1232" w:rsidP="004B4168">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48000" behindDoc="1" locked="0" layoutInCell="1" allowOverlap="1">
                <wp:simplePos x="0" y="0"/>
                <wp:positionH relativeFrom="margin">
                  <wp:posOffset>3853180</wp:posOffset>
                </wp:positionH>
                <wp:positionV relativeFrom="paragraph">
                  <wp:posOffset>533400</wp:posOffset>
                </wp:positionV>
                <wp:extent cx="2239010" cy="1115695"/>
                <wp:effectExtent l="1270" t="0" r="0" b="2540"/>
                <wp:wrapSquare wrapText="bothSides"/>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1569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4B4168">
                            <w:pPr>
                              <w:jc w:val="center"/>
                              <w:rPr>
                                <w:rFonts w:ascii="Cambria" w:hAnsi="Cambria" w:cs="Cambria"/>
                                <w:color w:val="17365D"/>
                                <w:sz w:val="20"/>
                                <w:szCs w:val="20"/>
                              </w:rPr>
                            </w:pPr>
                            <w:r w:rsidRPr="00986CFB">
                              <w:rPr>
                                <w:rFonts w:ascii="Cambria" w:hAnsi="Cambria"/>
                                <w:color w:val="17365D"/>
                                <w:sz w:val="20"/>
                                <w:szCs w:val="20"/>
                              </w:rPr>
                              <w:t>75 proc. darbuotojų ir 60 proc. darbdavių atstovų, dalyvavusių socialinio dialogo skatinimui skirtoje priemonėje, nurodė, kad ES fondų lėšomis pasirašytos kolektyvinės sutartys taikomos praktikoje.</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2" type="#_x0000_t202" style="position:absolute;left:0;text-align:left;margin-left:303.4pt;margin-top:42pt;width:176.3pt;height:87.85pt;z-index:-251668480;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" fillcolor="#efede3" stroked="f" strokeweight=".5pt">
                <v:fill color2="#eae7d9" rotate="t" focusposition=".5,.5" focussize="" focus="100%" type="gradientRadial"/>
                <v:textbox inset="3mm,3mm,3mm,3mm">
                  <w:txbxContent>
                    <w:p w:rsidR="009F5833" w:rsidRPr="00986CFB" w:rsidRDefault="009F5833" w:rsidP="004B4168">
                      <w:pPr>
                        <w:jc w:val="center"/>
                        <w:rPr>
                          <w:rFonts w:ascii="Cambria" w:hAnsi="Cambria" w:cs="Cambria"/>
                          <w:color w:val="17365D"/>
                          <w:sz w:val="20"/>
                          <w:szCs w:val="20"/>
                        </w:rPr>
                      </w:pPr>
                      <w:r w:rsidRPr="00986CFB">
                        <w:rPr>
                          <w:rFonts w:ascii="Cambria" w:hAnsi="Cambria"/>
                          <w:color w:val="17365D"/>
                          <w:sz w:val="20"/>
                          <w:szCs w:val="20"/>
                        </w:rPr>
                        <w:t>75 proc. darbuotojų ir 60 proc. darbdavių atstovų, dalyvavusių socialinio dialogo skatinimui skirtoje priemonėje, nurodė, kad ES fondų lėšomis pasirašytos kolektyvinės sutartys taikomos praktikoje.</w:t>
                      </w:r>
                    </w:p>
                  </w:txbxContent>
                </v:textbox>
                <w10:wrap type="square" anchorx="margin"/>
              </v:shape>
            </w:pict>
          </mc:Fallback>
        </mc:AlternateContent>
      </w:r>
      <w:r w:rsidR="00A73AD3" w:rsidRPr="00986CFB">
        <w:rPr>
          <w:rFonts w:cs="Times New Roman"/>
          <w:b/>
          <w:bCs/>
          <w:i/>
          <w:iCs/>
          <w:color w:val="1F497D"/>
          <w:sz w:val="22"/>
          <w:szCs w:val="22"/>
        </w:rPr>
        <w:t xml:space="preserve">2007–2013 m. Žmogiškųjų išteklių plėtros veiksmų programos priemonės „Socialinio dialogo skatinimas“ efektyvumo, rezultatyvumo ir poveikio vertinimo </w:t>
      </w:r>
      <w:r w:rsidR="00A73AD3" w:rsidRPr="00986CFB">
        <w:rPr>
          <w:rFonts w:cs="Times New Roman"/>
          <w:sz w:val="22"/>
          <w:szCs w:val="22"/>
        </w:rPr>
        <w:t>ataskaitoje teigiama, kad priemonės poveikis buvo teigiamas. Įgyvendinant socialinio dialogo skatinimui skirtą priemonę buvo siekiama „išjudinti“ kolektyvinių derybų procesą, t. y. susodinti darbuotojų ir darbdavių atstovus prie vieno stalo. Priemonės įgyvendinimas prisidėjo prie šakos kolektyvinių sutarčių pasirašymo, kuris iki tol vyko itin vangiai (Lietuvoje buvo pasirašytos tik kelios šakos kolektyvinės sutartys). Geriausiai buvo įvertintos įmonių ir įstaigų lygiu vykusios kolektyvinės derybos ir pasirašytos kolektyvinės sutartys. Kai kuriose iš jų buvo galima aptikti itin pažangių nuostatų, iliustruojančių aukštą socialinio dialogo kultūrą. Vis dėlto pasitaikė ir piktnaudžiavimo atvejų, kai pasirašytos itin nekokybiškos kolektyvinės sutartys. Daugeliui derybininkų (socialinių partnerių) atstovų trūko šios srities gebėjimų, darbo teisės, vadybos, ekonominių žinių, kad galėtų parengti originalias, tikslingas ir kokybiškas kolektyvines sutartis.</w:t>
      </w:r>
    </w:p>
    <w:p w:rsidR="00A73AD3" w:rsidRPr="00986CFB" w:rsidRDefault="00A73AD3" w:rsidP="004B4168">
      <w:pPr>
        <w:pStyle w:val="Pagrindinispaprastastekstas"/>
        <w:rPr>
          <w:rFonts w:cs="Times New Roman"/>
          <w:sz w:val="22"/>
          <w:szCs w:val="22"/>
        </w:rPr>
      </w:pPr>
    </w:p>
    <w:p w:rsidR="00A73AD3" w:rsidRPr="00986CFB" w:rsidRDefault="00A73AD3" w:rsidP="004B4168">
      <w:pPr>
        <w:pStyle w:val="Pagrindinispaprastastekstas"/>
        <w:rPr>
          <w:rFonts w:cs="Times New Roman"/>
          <w:sz w:val="22"/>
          <w:szCs w:val="22"/>
        </w:rPr>
      </w:pPr>
      <w:r w:rsidRPr="00986CFB">
        <w:rPr>
          <w:rFonts w:cs="Times New Roman"/>
          <w:sz w:val="22"/>
          <w:szCs w:val="22"/>
        </w:rPr>
        <w:t>Įvertinus socialinio dialogo skatinimo veiksmų poveikį darbuotojų interesų gynimui, nurodyta, kad didžioji dalis darbuotojų ir darbdavių teigė, jog įgyvendinant priemonę pasirašytos kolektyvinės sutartys yra taikomos ir veikia praktikoje, o pasiteisinusiu yra laikomas kas antras įgyvendinant priemonę sukurtas darbuotojų saugos ir sveikatos komitetas. Poveikis dalyvavusioms įstaigoms, įmonėms ir organizacijoms taip pat buvo teigiamas. 83 proc. darbdavių ir 58 proc. darbuotojų atstovų nurodė, kad darbo sąlygas įstaigoje, įmonėje ar organizacijoje, kurioje dirba, laiko geromis arba labai geromis. Kaip didžiausią poveikį socialinio dialogo plėtrai turėjusios priemonės veiklos buvo įvardyti darbuotojų atstovų ir kitų darbuotojų mokymai, taip pat palankiai įvertinta parengta metodinė ir informacinė medžiaga. Atlikus vertinimą daroma išvada, kad Lietuva proveržio dar nepasiekė, nors ir įgyvendino priemonę pagal socialinio dialogo būklę atspindinčius vertinimo kriterijus. Didžiausius projektus pagal priemonę vykdė jau veikiančios ir daugiausia patirties šioje srityje turinčios darbuotojų ir darbdavių organizacijos. Siekiant socialinio dialogo plėtros, finansavimą švietėjiškoms veikloms (mokymams) reikia derinti su reguliacinėmis priemonėmis, pavyzdžiui, Darbo kodekso nuostatų liberalizavimu.</w:t>
      </w:r>
    </w:p>
    <w:p w:rsidR="00A73AD3" w:rsidRPr="00986CFB" w:rsidRDefault="00A73AD3" w:rsidP="004B4168">
      <w:pPr>
        <w:pStyle w:val="Antrastes3"/>
        <w:rPr>
          <w:rFonts w:cs="Times New Roman"/>
        </w:rPr>
      </w:pPr>
      <w:bookmarkStart w:id="28" w:name="_Toc467753958"/>
      <w:r w:rsidRPr="00986CFB">
        <w:rPr>
          <w:rFonts w:cs="Times New Roman"/>
        </w:rPr>
        <w:t>Svarbiausios rekomendacijos ir strateginiai siūlymai</w:t>
      </w:r>
      <w:bookmarkEnd w:id="28"/>
    </w:p>
    <w:p w:rsidR="00A73AD3" w:rsidRPr="00986CFB" w:rsidRDefault="00A73AD3" w:rsidP="003A2531">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 xml:space="preserve">Sanglaudos skatinimo veiksmų programos 1 prioriteto priemonės „Prielaidų spartesnei ūkinės veiklos diversifikacijai kaimo vietovėse sudarymas“ poveikio ir jos tęstinumo vertinimą </w:t>
      </w:r>
      <w:r w:rsidRPr="00986CFB">
        <w:rPr>
          <w:rFonts w:cs="Times New Roman"/>
          <w:sz w:val="22"/>
          <w:szCs w:val="22"/>
        </w:rPr>
        <w:t>pateikti konkretūs siūlymai dėl panašių intervencijų finansavimo 2014–2020 m. laikotarpiu. Pasiūlyta tęsti priemonės įgyvendinimą ir taikyti priemonę vietovėms, turinčioms 1–6 tūkst. gyventojų, išskyrus savivaldybių centrus, tačiau numatyti išimtis tais atvejais, kai tvarkomas integralus objektas yra ir šių vietovių, ir savivaldybių centrų teritorijose. Vertintojai konstatavo, kad įgyvendinant pagal priemonę finansuojamus projektus savivaldybėms teko didelė finansinė našta dėl būtinybės vienu metu finansuoti projektus pagal kitas priemones. Dauguma savivaldybių skolinosi nuosavam indėliui finansuoti, o šią paskolą teks grąžinti ir 2014–2020 m. laikotarpiu. Savivaldybėms teko papildoma našta finansuoti ir netinkamas veiklas bei išlaidas. Tai lemia būtinybę 2014–2020 m. laikotarpiu mažinti savivaldybių nuosavą indėlį ir jį nustatyti ne didesnį kaip 5 proc.</w:t>
      </w:r>
    </w:p>
    <w:p w:rsidR="00A73AD3" w:rsidRPr="00986CFB" w:rsidRDefault="00CA1232" w:rsidP="003A2531">
      <w:pPr>
        <w:pStyle w:val="Pagrindinispaprastastekstas"/>
        <w:rPr>
          <w:rFonts w:cs="Times New Roman"/>
          <w:b/>
          <w:bCs/>
          <w:i/>
          <w:iCs/>
          <w:color w:val="1F497D"/>
          <w:sz w:val="22"/>
          <w:szCs w:val="22"/>
        </w:rPr>
      </w:pPr>
      <w:r>
        <w:rPr>
          <w:noProof/>
          <w:sz w:val="22"/>
          <w:szCs w:val="22"/>
        </w:rPr>
        <mc:AlternateContent>
          <mc:Choice Requires="wps">
            <w:drawing>
              <wp:anchor distT="36195" distB="36195" distL="107950" distR="107950" simplePos="0" relativeHeight="251671552" behindDoc="1" locked="0" layoutInCell="1" allowOverlap="1">
                <wp:simplePos x="0" y="0"/>
                <wp:positionH relativeFrom="margin">
                  <wp:posOffset>3369310</wp:posOffset>
                </wp:positionH>
                <wp:positionV relativeFrom="paragraph">
                  <wp:posOffset>5080</wp:posOffset>
                </wp:positionV>
                <wp:extent cx="2807970" cy="1122680"/>
                <wp:effectExtent l="3175" t="0" r="0" b="127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12268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991B9C">
                            <w:pPr>
                              <w:jc w:val="center"/>
                              <w:rPr>
                                <w:rFonts w:ascii="Cambria" w:hAnsi="Cambria" w:cs="Cambria"/>
                                <w:color w:val="17365D"/>
                                <w:sz w:val="20"/>
                                <w:szCs w:val="20"/>
                              </w:rPr>
                            </w:pPr>
                            <w:r w:rsidRPr="00986CFB">
                              <w:rPr>
                                <w:rFonts w:ascii="Cambria" w:hAnsi="Cambria"/>
                                <w:color w:val="17365D"/>
                                <w:sz w:val="20"/>
                                <w:szCs w:val="20"/>
                              </w:rPr>
                              <w:t>Ekonometrinis modeliavimas ir statistinių duomenų analizė nesuteikia pakankamai informacijos apie intervencijų teritorinį poveikį (ypač poveikį savivaldybių ir gyvenamųjų vietovių lygiu), todėl būtina vykdyti reprezentatyvias vietos gyventojų apklausas.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3" type="#_x0000_t202" style="position:absolute;left:0;text-align:left;margin-left:265.3pt;margin-top:.4pt;width:221.1pt;height:88.4pt;z-index:-251644928;visibility:visible;mso-wrap-style:square;mso-width-percent:0;mso-height-percent:0;mso-wrap-distance-left:8.5pt;mso-wrap-distance-top:2.85pt;mso-wrap-distance-right:8.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" fillcolor="#efede3" stroked="f" strokeweight=".5pt">
                <v:fill color2="#eae7d9" rotate="t" focusposition=".5,.5" focussize="" focus="100%" type="gradientRadial"/>
                <v:textbox inset="3mm,3mm,3mm,3mm">
                  <w:txbxContent>
                    <w:p w:rsidR="009F5833" w:rsidRPr="00986CFB" w:rsidRDefault="009F5833" w:rsidP="00991B9C">
                      <w:pPr>
                        <w:jc w:val="center"/>
                        <w:rPr>
                          <w:rFonts w:ascii="Cambria" w:hAnsi="Cambria" w:cs="Cambria"/>
                          <w:color w:val="17365D"/>
                          <w:sz w:val="20"/>
                          <w:szCs w:val="20"/>
                        </w:rPr>
                      </w:pPr>
                      <w:r w:rsidRPr="00986CFB">
                        <w:rPr>
                          <w:rFonts w:ascii="Cambria" w:hAnsi="Cambria"/>
                          <w:color w:val="17365D"/>
                          <w:sz w:val="20"/>
                          <w:szCs w:val="20"/>
                        </w:rPr>
                        <w:t>Ekonometrinis modeliavimas ir statistinių duomenų analizė nesuteikia pakankamai informacijos apie intervencijų teritorinį poveikį (ypač poveikį savivaldybių ir gyvenamųjų vietovių lygiu), todėl būtina vykdyti reprezentatyvias vietos gyventojų apklausas.</w:t>
                      </w:r>
                    </w:p>
                  </w:txbxContent>
                </v:textbox>
                <w10:wrap type="square" anchorx="margin"/>
              </v:shape>
            </w:pict>
          </mc:Fallback>
        </mc:AlternateContent>
      </w:r>
    </w:p>
    <w:p w:rsidR="00A73AD3" w:rsidRPr="00986CFB" w:rsidRDefault="00A73AD3" w:rsidP="003A2531">
      <w:pPr>
        <w:pStyle w:val="Pagrindinispaprastastekstas"/>
        <w:rPr>
          <w:rFonts w:cs="Times New Roman"/>
          <w:sz w:val="22"/>
          <w:szCs w:val="22"/>
        </w:rPr>
      </w:pPr>
      <w:r w:rsidRPr="00986CFB">
        <w:rPr>
          <w:rFonts w:cs="Times New Roman"/>
          <w:b/>
          <w:bCs/>
          <w:i/>
          <w:iCs/>
          <w:color w:val="1F497D"/>
          <w:sz w:val="22"/>
          <w:szCs w:val="22"/>
        </w:rPr>
        <w:t xml:space="preserve">2007–2013 m. ES struktūrinės paramos poveikio Lietuvos miestams ir miesteliams vertinimo </w:t>
      </w:r>
      <w:r w:rsidRPr="00986CFB">
        <w:rPr>
          <w:rFonts w:cs="Times New Roman"/>
          <w:sz w:val="22"/>
          <w:szCs w:val="22"/>
        </w:rPr>
        <w:t xml:space="preserve">ataskaitoje pateikti strateginiai siūlymai, kaip sustiprinti intervencijų teritorinį pobūdį ir sudaryti </w:t>
      </w:r>
      <w:r w:rsidRPr="00986CFB">
        <w:rPr>
          <w:rFonts w:cs="Times New Roman"/>
          <w:sz w:val="22"/>
          <w:szCs w:val="22"/>
        </w:rPr>
        <w:lastRenderedPageBreak/>
        <w:t xml:space="preserve">prielaidas kompleksiškai spręsti konkrečioms teritorijoms aktualias problemas. Norint, kad ES investicijos efektyviai prisidėtų prie atskirų teritorijų socialinės ir ekonominės plėtros, būtina stiprinti centrinės ir vietos valdžios bendradarbiavimą planuojant ir atrenkant projektus, išnaudoti nacionalinių agentūrų (VšĮ </w:t>
      </w:r>
      <w:r w:rsidRPr="00986CFB">
        <w:rPr>
          <w:rFonts w:cs="Times New Roman"/>
          <w:sz w:val="22"/>
          <w:szCs w:val="22"/>
          <w:lang w:eastAsia="en-US"/>
        </w:rPr>
        <w:t>Versli Lietuva, VšĮ Investuok</w:t>
      </w:r>
      <w:r w:rsidRPr="00986CFB">
        <w:rPr>
          <w:rFonts w:cs="Times New Roman"/>
          <w:sz w:val="22"/>
          <w:szCs w:val="22"/>
        </w:rPr>
        <w:t xml:space="preserve"> Lietuvoje ir kt.) kompetencijas, stiprinti savivaldybių administracijų, vietos politikų ir regionų plėtros tarybų narių (vietos lyderių) gebėjimus inicijuoti, rengti ir įgyvendinti konkrečių teritorijų plėtrai aktualius projektus. Be to, pateiktos konkrečios rekomendacijos dėl stebėsenos ir vertinimo sistemų tobulinimo, kad būtų sudarytos geresnės prielaidos analizuoti ES investicijų teritorinį poveikį ir sistemingai kaupti sprendimų priėmimui aktualius įrodymus. </w:t>
      </w:r>
    </w:p>
    <w:p w:rsidR="00A73AD3" w:rsidRPr="00986CFB" w:rsidRDefault="00A73AD3" w:rsidP="004B4168">
      <w:pPr>
        <w:pStyle w:val="Pagrindinispaprastastekstas"/>
        <w:rPr>
          <w:rFonts w:cs="Times New Roman"/>
          <w:sz w:val="22"/>
          <w:szCs w:val="22"/>
        </w:rPr>
      </w:pPr>
    </w:p>
    <w:p w:rsidR="00A73AD3" w:rsidRPr="00986CFB" w:rsidRDefault="00A73AD3" w:rsidP="004B4168">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ES struktūrinės paramos poveikio gyvenimo kokybei, socialinės atskirties ir skurdo mažinimui Lietuvoje vertinimą</w:t>
      </w:r>
      <w:r w:rsidRPr="00986CFB">
        <w:rPr>
          <w:rFonts w:cs="Times New Roman"/>
          <w:sz w:val="22"/>
          <w:szCs w:val="22"/>
        </w:rPr>
        <w:t>, 2007–2013 m. Lietuvoje įgyvendintos intervencijos buvo susietos su konkrečiomis skurdo ir socialinės atskirties mažinimo teorijomis bei patvirtintos akademinės bendruomenės įžvalgos, kad šalyje dominuoja individualus požiūris į skurdo problematiką ir trūksta struktūrinių sprendimų. Buvo sudarytas 2007–2013 m. ES struktūrinės paramos intervencijų, prisidėjusių prie skurdo ir socialinės atskirties mažinimo, žemėlapis bei nubraižytos intervencijų logikos schemos kiekvienai iš penkių intervencijų kategorijų (įdarbinimo ir užimtumo skatinimo, aprūpinimo baziniais ištekliais, sveikatos, švietimo ir socialinių paslaugų teikimo intervencijoms), susiejant problemas, veiklas, siekiamus rezultatus ir išorės faktorius, darančius įtaką suplanuotų tikslų pasiekimui. Atlikus vertinimą rekomenduota 2014–2020 m. ES fondų investicijų programiniuose dokumentuose įtvirtinti tikslą ES lėšomis prisidėti prie skurdo mažinimo, tačiau šio tikslo pasiekimo nematuoti naudojant rodiklį „Skurdo rizikos lygis“, kuris labiau priklauso nuo valstybės mastu priimamų reguliacinių sprendimų, o ne nuo ES intervencijų.</w:t>
      </w:r>
    </w:p>
    <w:p w:rsidR="00A73AD3" w:rsidRPr="00986CFB" w:rsidRDefault="00A73AD3" w:rsidP="004B4168">
      <w:pPr>
        <w:pStyle w:val="Pagrindinispaprastastekstas"/>
        <w:rPr>
          <w:rFonts w:cs="Times New Roman"/>
          <w:sz w:val="22"/>
          <w:szCs w:val="22"/>
        </w:rPr>
      </w:pPr>
    </w:p>
    <w:p w:rsidR="00A73AD3" w:rsidRPr="00986CFB" w:rsidRDefault="00CA1232" w:rsidP="00984EAE">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73600" behindDoc="1" locked="0" layoutInCell="1" allowOverlap="1">
                <wp:simplePos x="0" y="0"/>
                <wp:positionH relativeFrom="margin">
                  <wp:align>right</wp:align>
                </wp:positionH>
                <wp:positionV relativeFrom="paragraph">
                  <wp:posOffset>1270</wp:posOffset>
                </wp:positionV>
                <wp:extent cx="2253615" cy="1583055"/>
                <wp:effectExtent l="0" t="0" r="0" b="1270"/>
                <wp:wrapSquare wrapText="bothSides"/>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583055"/>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296C74">
                            <w:pPr>
                              <w:jc w:val="center"/>
                              <w:rPr>
                                <w:rFonts w:ascii="Cambria" w:hAnsi="Cambria" w:cs="Cambria"/>
                                <w:color w:val="17365D"/>
                                <w:sz w:val="20"/>
                                <w:szCs w:val="20"/>
                              </w:rPr>
                            </w:pPr>
                            <w:r w:rsidRPr="00986CFB">
                              <w:rPr>
                                <w:rFonts w:ascii="Cambria" w:hAnsi="Cambria"/>
                                <w:color w:val="17365D"/>
                                <w:sz w:val="20"/>
                                <w:szCs w:val="20"/>
                              </w:rPr>
                              <w:t>Siekiant pagerinti Lietuvos gyventojų dalyvavimą kultūroje, ilgalaikėje perspektyvoje rezultatyvus būtų kultūrinių įpročių formavimas formaliojo švietimo sistemoje, o trumpuoju ir vidutiniu laikotarpiu – investicijos į atskirus visuomenės segmentus ir jų domėjimosi kultūra sužadinimo iniciatyvas.</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left:0;text-align:left;margin-left:126.25pt;margin-top:.1pt;width:177.45pt;height:124.65pt;z-index:-251642880;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296C74">
                      <w:pPr>
                        <w:jc w:val="center"/>
                        <w:rPr>
                          <w:rFonts w:ascii="Cambria" w:hAnsi="Cambria" w:cs="Cambria"/>
                          <w:color w:val="17365D"/>
                          <w:sz w:val="20"/>
                          <w:szCs w:val="20"/>
                        </w:rPr>
                      </w:pPr>
                      <w:r w:rsidRPr="00986CFB">
                        <w:rPr>
                          <w:rFonts w:ascii="Cambria" w:hAnsi="Cambria"/>
                          <w:color w:val="17365D"/>
                          <w:sz w:val="20"/>
                          <w:szCs w:val="20"/>
                        </w:rPr>
                        <w:t>Siekiant pagerinti Lietuvos gyventojų dalyvavimą kultūroje, ilgalaikėje perspektyvoje rezultatyvus būtų kultūrinių įpročių formavimas formaliojo švietimo sistemoje, o trumpuoju ir vidutiniu laikotarpiu – investicijos į atskirus visuomenės segmentus ir jų domėjimosi kultūra sužadinimo iniciatyvas.</w:t>
                      </w:r>
                    </w:p>
                  </w:txbxContent>
                </v:textbox>
                <w10:wrap type="square" anchorx="margin"/>
              </v:shape>
            </w:pict>
          </mc:Fallback>
        </mc:AlternateContent>
      </w:r>
      <w:r w:rsidR="00A73AD3" w:rsidRPr="00986CFB">
        <w:rPr>
          <w:rFonts w:cs="Times New Roman"/>
          <w:sz w:val="22"/>
          <w:szCs w:val="22"/>
        </w:rPr>
        <w:t xml:space="preserve">Atlikus </w:t>
      </w:r>
      <w:r w:rsidR="00A73AD3" w:rsidRPr="00986CFB">
        <w:rPr>
          <w:rFonts w:cs="Times New Roman"/>
          <w:b/>
          <w:bCs/>
          <w:i/>
          <w:iCs/>
          <w:color w:val="1F497D"/>
          <w:sz w:val="22"/>
          <w:szCs w:val="22"/>
        </w:rPr>
        <w:t xml:space="preserve">2007–2013 m. ES struktūrinės paramos poveikio kultūrai vertinimą </w:t>
      </w:r>
      <w:r w:rsidR="00A73AD3" w:rsidRPr="00986CFB">
        <w:rPr>
          <w:rFonts w:cs="Times New Roman"/>
          <w:sz w:val="22"/>
          <w:szCs w:val="22"/>
        </w:rPr>
        <w:t xml:space="preserve">rekomenduota ES ir kitas viešąsias investicijas į kultūrą (pavyzdžiui, į formalųjį ir neformalųjį švietimą) nukreipti į Lietuvos gyventojų kultūros ir kūrybinių įpročių formavimo priemones ir projektus, toliau remti kūrybiškumą ugdančio švietimo iniciatyvas ir praktikas, finansuoti eksperimentinius (bandomuosius) į specifines tikslines grupes orientuotus, ypač „minkštuosius“, projektus, o pasiteisinusius – multiplikuoti, taip pat sukurti (tobulinti) Lietuvos teritorinį vystymąsi (įskaitant kultūrą) atspindinčių statistinių duomenų stebėsenos ir vertinimo sistemą. </w:t>
      </w:r>
    </w:p>
    <w:p w:rsidR="00A73AD3" w:rsidRPr="00986CFB" w:rsidRDefault="00A73AD3" w:rsidP="00984EAE">
      <w:pPr>
        <w:pStyle w:val="Pagrindinispaprastastekstas"/>
        <w:rPr>
          <w:rFonts w:cs="Times New Roman"/>
          <w:sz w:val="22"/>
          <w:szCs w:val="22"/>
        </w:rPr>
      </w:pPr>
    </w:p>
    <w:p w:rsidR="00A73AD3" w:rsidRPr="00986CFB" w:rsidRDefault="00A73AD3" w:rsidP="00984EAE">
      <w:pPr>
        <w:pStyle w:val="Pagrindinispaprastastekstas"/>
        <w:rPr>
          <w:rFonts w:cs="Times New Roman"/>
          <w:sz w:val="22"/>
          <w:szCs w:val="22"/>
        </w:rPr>
      </w:pPr>
      <w:r w:rsidRPr="00986CFB">
        <w:rPr>
          <w:rFonts w:cs="Times New Roman"/>
          <w:sz w:val="22"/>
          <w:szCs w:val="22"/>
        </w:rPr>
        <w:t xml:space="preserve">Siekiant padidinti teigiamą ES struktūrinės paramos poveikį Lietuvos turizmo sektoriui, </w:t>
      </w:r>
      <w:r w:rsidRPr="00986CFB">
        <w:rPr>
          <w:rFonts w:cs="Times New Roman"/>
          <w:b/>
          <w:bCs/>
          <w:i/>
          <w:iCs/>
          <w:color w:val="1F497D"/>
          <w:sz w:val="22"/>
          <w:szCs w:val="22"/>
        </w:rPr>
        <w:t>ES paramos poveikio Lietuvos turizmo sektoriui ir plėtros galimybių vertinimo</w:t>
      </w:r>
      <w:r w:rsidRPr="00986CFB">
        <w:rPr>
          <w:rFonts w:cs="Times New Roman"/>
          <w:sz w:val="22"/>
          <w:szCs w:val="22"/>
        </w:rPr>
        <w:t xml:space="preserve"> ataskaitoje rekomenduota didesnį dėmesį sutelkti į projektų įgyvendinimą didžiausio turistinio potencialo vietovėse, siekti kompleksiškai išnaudoti vietovių turizmo potencialą ir jau esamą turizmo infrastruktūrą. Atlikus turizmo sektoriaus analizę, buvo sudaryta 14 patraukliausių kompleksinių maršrutų didžiausio turistinio potencialo teritorijose (regionuose), pasiūlytos finansuotinos priemonės turizmo sektoriuje.</w:t>
      </w:r>
    </w:p>
    <w:p w:rsidR="00A73AD3" w:rsidRPr="00986CFB" w:rsidRDefault="00A73AD3" w:rsidP="00984EAE">
      <w:pPr>
        <w:pStyle w:val="Pagrindinispaprastastekstas"/>
        <w:rPr>
          <w:rFonts w:cs="Times New Roman"/>
          <w:sz w:val="22"/>
          <w:szCs w:val="22"/>
        </w:rPr>
      </w:pPr>
    </w:p>
    <w:p w:rsidR="00A73AD3" w:rsidRPr="00986CFB" w:rsidRDefault="00CA1232" w:rsidP="00F80231">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7216" behindDoc="1" locked="0" layoutInCell="1" allowOverlap="1">
                <wp:simplePos x="0" y="0"/>
                <wp:positionH relativeFrom="margin">
                  <wp:align>right</wp:align>
                </wp:positionH>
                <wp:positionV relativeFrom="paragraph">
                  <wp:posOffset>734695</wp:posOffset>
                </wp:positionV>
                <wp:extent cx="2404745" cy="1144270"/>
                <wp:effectExtent l="0" t="0" r="0" b="0"/>
                <wp:wrapSquare wrapText="bothSides"/>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14427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F80231">
                            <w:pPr>
                              <w:jc w:val="center"/>
                              <w:rPr>
                                <w:rFonts w:ascii="Cambria" w:hAnsi="Cambria" w:cs="Cambria"/>
                                <w:color w:val="17365D"/>
                                <w:sz w:val="20"/>
                                <w:szCs w:val="20"/>
                              </w:rPr>
                            </w:pPr>
                            <w:r w:rsidRPr="00986CFB">
                              <w:rPr>
                                <w:rFonts w:ascii="Cambria" w:hAnsi="Cambria"/>
                                <w:color w:val="17365D"/>
                                <w:sz w:val="20"/>
                                <w:szCs w:val="20"/>
                              </w:rPr>
                              <w:t>Siekiant reguliariai vertinti GMP pagalbos nukentėjusiems nuo traumų pacientams operatyvumo rodiklius, būtina sukurti vieningą šių rodiklių stebėsenos tvarką (arba informacinę sistemą) visose GMP įstaigose.</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5" type="#_x0000_t202" style="position:absolute;left:0;text-align:left;margin-left:138.15pt;margin-top:57.85pt;width:189.35pt;height:90.1pt;z-index:-251659264;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" fillcolor="#efede3" stroked="f" strokeweight=".5pt">
                <v:fill color2="#eae7d9" rotate="t" focusposition=".5,.5" focussize="" focus="100%" type="gradientRadial"/>
                <v:textbox inset="3mm,3mm,3mm,3mm">
                  <w:txbxContent>
                    <w:p w:rsidR="009F5833" w:rsidRPr="00986CFB" w:rsidRDefault="009F5833" w:rsidP="00F80231">
                      <w:pPr>
                        <w:jc w:val="center"/>
                        <w:rPr>
                          <w:rFonts w:ascii="Cambria" w:hAnsi="Cambria" w:cs="Cambria"/>
                          <w:color w:val="17365D"/>
                          <w:sz w:val="20"/>
                          <w:szCs w:val="20"/>
                        </w:rPr>
                      </w:pPr>
                      <w:r w:rsidRPr="00986CFB">
                        <w:rPr>
                          <w:rFonts w:ascii="Cambria" w:hAnsi="Cambria"/>
                          <w:color w:val="17365D"/>
                          <w:sz w:val="20"/>
                          <w:szCs w:val="20"/>
                        </w:rPr>
                        <w:t>Siekiant reguliariai vertinti GMP pagalbos nukentėjusiems nuo traumų pacientams operatyvumo rodiklius, būtina sukurti vieningą šių rodiklių stebėsenos tvarką (arba informacinę sistemą) visose GMP įstaigose.</w:t>
                      </w:r>
                    </w:p>
                  </w:txbxContent>
                </v:textbox>
                <w10:wrap type="square" anchorx="margin"/>
              </v:shape>
            </w:pict>
          </mc:Fallback>
        </mc:AlternateContent>
      </w:r>
      <w:r w:rsidR="00A73AD3" w:rsidRPr="00986CFB">
        <w:rPr>
          <w:rFonts w:cs="Times New Roman"/>
          <w:b/>
          <w:bCs/>
          <w:i/>
          <w:iCs/>
          <w:color w:val="1F497D"/>
          <w:sz w:val="22"/>
          <w:szCs w:val="22"/>
        </w:rPr>
        <w:t>Lietuvos Respublikos sveikatos apsaugos ministerijos administruojamų priemonių poveikio „auksinei valandai“ vertinimo</w:t>
      </w:r>
      <w:r w:rsidR="00A73AD3" w:rsidRPr="00986CFB">
        <w:rPr>
          <w:rFonts w:cs="Times New Roman"/>
          <w:color w:val="1F497D"/>
          <w:sz w:val="22"/>
          <w:szCs w:val="22"/>
        </w:rPr>
        <w:t xml:space="preserve"> </w:t>
      </w:r>
      <w:r w:rsidR="00A73AD3" w:rsidRPr="00986CFB">
        <w:rPr>
          <w:rFonts w:cs="Times New Roman"/>
          <w:sz w:val="22"/>
          <w:szCs w:val="22"/>
        </w:rPr>
        <w:t xml:space="preserve">ataskaitoje nurodyta, kad siekiant toliau gerinti pagalbos kokybę ir efektyvumą sunkias traumas patyrusiems pacientams, vadovaujantis „auksinės valandos“ koncepcija, reikėtų sutrumpinti ikistacionarinės pagalbos laiką bei laiką iki specializuoto gydymo pradžios traumos centruose. Vertinimo ataskaitoje pateiktos rekomendacijos dėl GMP įstaigų, traumos centrų ir priėmimo-skubios pagalbos skyrių veiklos ir jos vertinimo sistemos tobulinimo, kurių įgyvendinimas prisidėtų prie teikiamų viešųjų sveikatos priežiūros paslaugų kokybės ir prieinamumo gerinimo. Paminėtina, kad daugelio rekomendacijų įgyvendinimui reikia ne ES investicijų, o veiklos organizavimo ir reglamentavimo pokyčių. </w:t>
      </w:r>
    </w:p>
    <w:p w:rsidR="00A73AD3" w:rsidRPr="00986CFB" w:rsidRDefault="00A73AD3" w:rsidP="00F80231">
      <w:pPr>
        <w:pStyle w:val="Pagrindinispaprastastekstas"/>
        <w:rPr>
          <w:rFonts w:cs="Times New Roman"/>
          <w:sz w:val="22"/>
          <w:szCs w:val="22"/>
        </w:rPr>
      </w:pPr>
    </w:p>
    <w:p w:rsidR="00A73AD3" w:rsidRPr="00986CFB" w:rsidRDefault="00A73AD3" w:rsidP="00F80231">
      <w:pPr>
        <w:pStyle w:val="Pagrindinispaprastastekstas"/>
        <w:rPr>
          <w:rFonts w:cs="Times New Roman"/>
          <w:sz w:val="22"/>
          <w:szCs w:val="22"/>
        </w:rPr>
      </w:pPr>
      <w:r w:rsidRPr="00986CFB">
        <w:rPr>
          <w:rFonts w:cs="Times New Roman"/>
          <w:b/>
          <w:bCs/>
          <w:i/>
          <w:iCs/>
          <w:color w:val="1F497D"/>
          <w:sz w:val="22"/>
          <w:szCs w:val="22"/>
        </w:rPr>
        <w:lastRenderedPageBreak/>
        <w:t xml:space="preserve">2007–2013 m. ES struktūrinės paramos poveikio sveikatos apsaugos sektoriui vertinimo </w:t>
      </w:r>
      <w:r w:rsidRPr="00986CFB">
        <w:rPr>
          <w:rFonts w:cs="Times New Roman"/>
          <w:sz w:val="22"/>
          <w:szCs w:val="22"/>
        </w:rPr>
        <w:t>ataskaitoje nurodoma, kad siekiant efektyviau panaudoti ES fondų lėšas, sveikatos priežiūros srityje reikėtų įgyvendinti ne atskirų įstaigų, o kompleksinius regioninio ar nacionalinio lygmens projektus. Identifikavus tikslinius regionus / tikslines grupes efektyviau prisidedama prie kompleksinių teigiamų pokyčių sveikatos apsaugos sektoriuje visoje šalyje bei skatinamas asmens sveikatos priežiūros įstaigų bendradarbiavimas.</w:t>
      </w:r>
    </w:p>
    <w:p w:rsidR="00A73AD3" w:rsidRPr="00986CFB" w:rsidRDefault="00A73AD3" w:rsidP="00F80231">
      <w:pPr>
        <w:pStyle w:val="Pagrindinispaprastastekstas"/>
        <w:rPr>
          <w:rFonts w:cs="Times New Roman"/>
          <w:sz w:val="22"/>
          <w:szCs w:val="22"/>
        </w:rPr>
      </w:pPr>
    </w:p>
    <w:p w:rsidR="00A73AD3" w:rsidRPr="00986CFB" w:rsidRDefault="00A73AD3" w:rsidP="005408C8">
      <w:pPr>
        <w:pStyle w:val="Pagrindinispaprastastekstas"/>
        <w:rPr>
          <w:rFonts w:cs="Times New Roman"/>
          <w:sz w:val="22"/>
          <w:szCs w:val="22"/>
        </w:rPr>
      </w:pPr>
      <w:r w:rsidRPr="00986CFB">
        <w:rPr>
          <w:rFonts w:cs="Times New Roman"/>
          <w:b/>
          <w:bCs/>
          <w:i/>
          <w:iCs/>
          <w:color w:val="1F497D"/>
          <w:sz w:val="22"/>
          <w:szCs w:val="22"/>
        </w:rPr>
        <w:t>2007–2013 m. Žmogiškųjų išteklių plėtros veiksmų programos priemonės „Socialinio dialogo skatinimas“ efektyvumo, rezultatyvumo ir poveikio vertinime</w:t>
      </w:r>
      <w:r w:rsidRPr="00986CFB">
        <w:rPr>
          <w:rFonts w:cs="Times New Roman"/>
          <w:sz w:val="22"/>
          <w:szCs w:val="22"/>
        </w:rPr>
        <w:t xml:space="preserve"> pateiktos rekomendacijos dėl efektyvesnių socialinio dialogo skatinimo veiksmų. Pasiūlyta finansines paskatas socialiniam dialogui derinti su numatomais reguliaciniais pokyčiais, socialinio dialogo skatinimo politiką pradėti realiai sieti su geresnių darbo vietų (sąlygų) kūrimo politika, ištirti darbo vietų kokybės padėtį Lietuvos įmonėse ir parengti geresnių darbo vietų (sąlygų) skatinimo ir šio siekio sąsajų su socialiniu dialogu viešosios politikos nuostatas. Be to, rekomenduota užtikrinti sukauptos gerosios praktikos prieinamumą ir sklaidą. Įgyvendinant socialiniam dialogui skatinti skirtus veiksmus 2014–2020 m. siūloma neapsiriboti vien tipiniais mokymais, asocijuotais darbdaviais ir darbuotojais, skirti daugiau dėmesio intervencijų individualizavimui, ES fondų lėšas skirti įvairesnėms veikloms, pavyzdžiui, konsultacijoms įmonėms, siekiančioms pagerinti darbo klimatą.</w:t>
      </w:r>
    </w:p>
    <w:p w:rsidR="00A73AD3" w:rsidRPr="00986CFB" w:rsidRDefault="00A73AD3" w:rsidP="00AD5393">
      <w:pPr>
        <w:pStyle w:val="Antrastes2"/>
        <w:jc w:val="both"/>
        <w:rPr>
          <w:rFonts w:cs="Times New Roman"/>
        </w:rPr>
      </w:pPr>
      <w:bookmarkStart w:id="29" w:name="_Toc472343158"/>
      <w:r w:rsidRPr="00986CFB">
        <w:rPr>
          <w:rFonts w:cs="Times New Roman"/>
        </w:rPr>
        <w:t xml:space="preserve">Investicijų poveikis viešosios politikos sritims: </w:t>
      </w:r>
      <w:r w:rsidRPr="00986CFB">
        <w:rPr>
          <w:rFonts w:cs="Times New Roman"/>
          <w:color w:val="E36C0A"/>
        </w:rPr>
        <w:t>švietimas ir žmogiškieji ištekliai</w:t>
      </w:r>
      <w:bookmarkEnd w:id="29"/>
    </w:p>
    <w:p w:rsidR="00A73AD3" w:rsidRPr="00986CFB" w:rsidRDefault="00A73AD3" w:rsidP="00CA0A60">
      <w:pPr>
        <w:pStyle w:val="Antrastes3"/>
        <w:rPr>
          <w:rFonts w:cs="Times New Roman"/>
        </w:rPr>
      </w:pPr>
      <w:r w:rsidRPr="00986CFB">
        <w:rPr>
          <w:rFonts w:cs="Times New Roman"/>
        </w:rPr>
        <w:t xml:space="preserve"> Aktualūs vertinimai</w:t>
      </w:r>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4390"/>
        <w:gridCol w:w="1186"/>
        <w:gridCol w:w="1223"/>
        <w:gridCol w:w="2829"/>
      </w:tblGrid>
      <w:tr w:rsidR="00A73AD3" w:rsidRPr="00986CFB">
        <w:tc>
          <w:tcPr>
            <w:tcW w:w="4390" w:type="dxa"/>
            <w:tcBorders>
              <w:top w:val="single" w:sz="4" w:space="0" w:color="4F81BD"/>
              <w:left w:val="single" w:sz="4" w:space="0" w:color="4F81BD"/>
              <w:bottom w:val="single" w:sz="4" w:space="0" w:color="4F81BD"/>
              <w:right w:val="nil"/>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Pavadinimas</w:t>
            </w:r>
          </w:p>
        </w:tc>
        <w:tc>
          <w:tcPr>
            <w:tcW w:w="1186" w:type="dxa"/>
            <w:tcBorders>
              <w:top w:val="single" w:sz="4" w:space="0" w:color="4F81BD"/>
              <w:left w:val="nil"/>
              <w:bottom w:val="single" w:sz="4" w:space="0" w:color="4F81BD"/>
              <w:right w:val="nil"/>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Ataskaitos data</w:t>
            </w:r>
          </w:p>
        </w:tc>
        <w:tc>
          <w:tcPr>
            <w:tcW w:w="1223" w:type="dxa"/>
            <w:tcBorders>
              <w:top w:val="single" w:sz="4" w:space="0" w:color="4F81BD"/>
              <w:left w:val="nil"/>
              <w:bottom w:val="single" w:sz="4" w:space="0" w:color="4F81BD"/>
              <w:right w:val="nil"/>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Užsakovas</w:t>
            </w:r>
          </w:p>
        </w:tc>
        <w:tc>
          <w:tcPr>
            <w:tcW w:w="2829" w:type="dxa"/>
            <w:tcBorders>
              <w:top w:val="single" w:sz="4" w:space="0" w:color="4F81BD"/>
              <w:left w:val="nil"/>
              <w:bottom w:val="single" w:sz="4" w:space="0" w:color="4F81BD"/>
              <w:right w:val="single" w:sz="4" w:space="0" w:color="4F81BD"/>
            </w:tcBorders>
            <w:shd w:val="clear" w:color="auto" w:fill="4F81BD"/>
          </w:tcPr>
          <w:p w:rsidR="00A73AD3" w:rsidRPr="00986CFB" w:rsidRDefault="00A73AD3" w:rsidP="002C4E45">
            <w:pPr>
              <w:pStyle w:val="Pagrindinispaprastastekstas"/>
              <w:jc w:val="center"/>
              <w:rPr>
                <w:rFonts w:cs="Times New Roman"/>
                <w:b/>
                <w:bCs/>
                <w:color w:val="FFFFFF"/>
                <w:sz w:val="20"/>
                <w:szCs w:val="20"/>
              </w:rPr>
            </w:pPr>
            <w:r w:rsidRPr="00986CFB">
              <w:rPr>
                <w:rFonts w:cs="Times New Roman"/>
                <w:b/>
                <w:bCs/>
                <w:color w:val="FFFFFF"/>
                <w:sz w:val="20"/>
                <w:szCs w:val="20"/>
              </w:rPr>
              <w:t>Vykdytojas</w:t>
            </w:r>
          </w:p>
        </w:tc>
      </w:tr>
      <w:tr w:rsidR="00A73AD3" w:rsidRPr="00986CFB">
        <w:tc>
          <w:tcPr>
            <w:tcW w:w="4390" w:type="dxa"/>
            <w:shd w:val="clear" w:color="auto" w:fill="DBE5F1"/>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Švietimo ir mokslo srities prioritetų 2014–2020 m. ES struktūrinės paramos programavimo laikotarpiui strateginis vertinimas</w:t>
            </w:r>
          </w:p>
        </w:tc>
        <w:tc>
          <w:tcPr>
            <w:tcW w:w="1186"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2014 m. vasaris</w:t>
            </w:r>
          </w:p>
        </w:tc>
        <w:tc>
          <w:tcPr>
            <w:tcW w:w="1223"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Švietimo ir mokslo ministerija</w:t>
            </w:r>
          </w:p>
        </w:tc>
        <w:tc>
          <w:tcPr>
            <w:tcW w:w="2829"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„PPMI Group“, VšĮ Viešosios politikos ir vadybos institutas ir UAB „Ekonominės konsultacijos ir tyrimai“</w:t>
            </w:r>
          </w:p>
        </w:tc>
      </w:tr>
      <w:tr w:rsidR="00A73AD3" w:rsidRPr="00986CFB">
        <w:tc>
          <w:tcPr>
            <w:tcW w:w="4390" w:type="dxa"/>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ES struktūrinės paramos poveikio gyvenimo kokybei, socialinės atskirties ir skurdo mažinimui Lietuvoje vertinimas</w:t>
            </w:r>
          </w:p>
        </w:tc>
        <w:tc>
          <w:tcPr>
            <w:tcW w:w="1186"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2014 m. gegužė</w:t>
            </w:r>
          </w:p>
        </w:tc>
        <w:tc>
          <w:tcPr>
            <w:tcW w:w="1223"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Finansų ministerija</w:t>
            </w:r>
          </w:p>
        </w:tc>
        <w:tc>
          <w:tcPr>
            <w:tcW w:w="2829" w:type="dxa"/>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VšĮ „Europos socialiniai, teisiniai ir ekonominiai projektai“</w:t>
            </w:r>
          </w:p>
        </w:tc>
      </w:tr>
      <w:tr w:rsidR="00A73AD3" w:rsidRPr="00986CFB">
        <w:tc>
          <w:tcPr>
            <w:tcW w:w="4390" w:type="dxa"/>
            <w:shd w:val="clear" w:color="auto" w:fill="DBE5F1"/>
          </w:tcPr>
          <w:p w:rsidR="00A73AD3" w:rsidRPr="00986CFB" w:rsidRDefault="00A73AD3" w:rsidP="002C4E45">
            <w:pPr>
              <w:pStyle w:val="Pagrindinispaprastastekstas"/>
              <w:jc w:val="left"/>
              <w:rPr>
                <w:rFonts w:cs="Times New Roman"/>
                <w:b/>
                <w:bCs/>
                <w:sz w:val="20"/>
                <w:szCs w:val="20"/>
              </w:rPr>
            </w:pPr>
            <w:r w:rsidRPr="00986CFB">
              <w:rPr>
                <w:rFonts w:cs="Times New Roman"/>
                <w:sz w:val="20"/>
                <w:szCs w:val="20"/>
              </w:rPr>
              <w:t>ES struktūrinės paramos poveikio žmogiškųjų išteklių plėtrai vertinimas</w:t>
            </w:r>
          </w:p>
        </w:tc>
        <w:tc>
          <w:tcPr>
            <w:tcW w:w="1186"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2015 m. balandis</w:t>
            </w:r>
          </w:p>
        </w:tc>
        <w:tc>
          <w:tcPr>
            <w:tcW w:w="1223"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Finansų ministerija</w:t>
            </w:r>
          </w:p>
        </w:tc>
        <w:tc>
          <w:tcPr>
            <w:tcW w:w="2829" w:type="dxa"/>
            <w:shd w:val="clear" w:color="auto" w:fill="DBE5F1"/>
          </w:tcPr>
          <w:p w:rsidR="00A73AD3" w:rsidRPr="00986CFB" w:rsidRDefault="00A73AD3" w:rsidP="002C4E45">
            <w:pPr>
              <w:pStyle w:val="Pagrindinispaprastastekstas"/>
              <w:jc w:val="center"/>
              <w:rPr>
                <w:rFonts w:cs="Times New Roman"/>
                <w:sz w:val="20"/>
                <w:szCs w:val="20"/>
              </w:rPr>
            </w:pPr>
            <w:r w:rsidRPr="00986CFB">
              <w:rPr>
                <w:rFonts w:cs="Times New Roman"/>
                <w:sz w:val="20"/>
                <w:szCs w:val="20"/>
              </w:rPr>
              <w:t>UAB „BGI Consulting“</w:t>
            </w:r>
          </w:p>
        </w:tc>
      </w:tr>
    </w:tbl>
    <w:p w:rsidR="00A73AD3" w:rsidRPr="00986CFB" w:rsidRDefault="00A73AD3" w:rsidP="00CA0A60">
      <w:pPr>
        <w:pStyle w:val="Antrastes3"/>
        <w:rPr>
          <w:rFonts w:cs="Times New Roman"/>
        </w:rPr>
      </w:pPr>
      <w:r w:rsidRPr="00986CFB">
        <w:rPr>
          <w:rFonts w:cs="Times New Roman"/>
        </w:rPr>
        <w:t>Pagrindiniai vertinimų rezultatai ir išvados</w:t>
      </w:r>
    </w:p>
    <w:p w:rsidR="00A73AD3" w:rsidRPr="00986CFB" w:rsidRDefault="00A73AD3" w:rsidP="00E14579">
      <w:pPr>
        <w:pStyle w:val="Pagrindinispaprastastekstas"/>
        <w:rPr>
          <w:rFonts w:cs="Times New Roman"/>
          <w:sz w:val="22"/>
          <w:szCs w:val="22"/>
        </w:rPr>
      </w:pPr>
      <w:r w:rsidRPr="00986CFB">
        <w:rPr>
          <w:rFonts w:cs="Times New Roman"/>
          <w:b/>
          <w:bCs/>
          <w:i/>
          <w:iCs/>
          <w:color w:val="1F497D"/>
          <w:sz w:val="22"/>
          <w:szCs w:val="22"/>
        </w:rPr>
        <w:t>Švietimo ir mokslo srities prioritetų 2014–2020 m. ES struktūrinės paramos programavimo laikotarpiui strateginiame vertinime</w:t>
      </w:r>
      <w:r w:rsidRPr="00986CFB">
        <w:rPr>
          <w:rFonts w:cs="Times New Roman"/>
          <w:sz w:val="22"/>
          <w:szCs w:val="22"/>
        </w:rPr>
        <w:t xml:space="preserve"> teigiama, kad nepaisant 2007–2013 m. veiksmų programų investicijų dauguma </w:t>
      </w:r>
      <w:r w:rsidRPr="00986CFB">
        <w:rPr>
          <w:rFonts w:cs="Times New Roman"/>
          <w:b/>
          <w:bCs/>
          <w:i/>
          <w:iCs/>
          <w:sz w:val="22"/>
          <w:szCs w:val="22"/>
        </w:rPr>
        <w:t>ikimokyklinio ir bendrojo lavinimo</w:t>
      </w:r>
      <w:r w:rsidRPr="00986CFB">
        <w:rPr>
          <w:rFonts w:cs="Times New Roman"/>
          <w:sz w:val="22"/>
          <w:szCs w:val="22"/>
        </w:rPr>
        <w:t xml:space="preserve"> problemų išlieka aktualios. Lietuvoje tebėra aktuali ikimokyklinio ugdymo prieinamumo problema, o bendrojo ugdymo kokybė kenčia nuo prastai atsinaujinančio personalo, prastos psichologinės aplinkos, ugdymo procese trūksta naujų technologijų taikymo, prastai tenkinami individualūs mokinių poreikiai, netolygus ugdymo įstaigų tinklas stokoja efektyvumo. Profesinio mokymo srityje ES lėšomis buvo gerinama profesinio mokymo infrastruktūra ir mokymosi aplinka, kuriama kvalifikacijų sistema, rengiamos modulinės profesinio mokymo programos. Vis dėlto daugelio įgyvendintų intervencijų mastas nebuvo pakankamas ir visi pradėti darbai turi būti tęsiami toliau remiant kokybinius pokyčius profesinio mokymo srityje. </w:t>
      </w:r>
    </w:p>
    <w:p w:rsidR="00A73AD3" w:rsidRPr="00986CFB" w:rsidRDefault="00A73AD3" w:rsidP="00E14579">
      <w:pPr>
        <w:pStyle w:val="Pagrindinispaprastastekstas"/>
        <w:rPr>
          <w:rFonts w:cs="Times New Roman"/>
          <w:sz w:val="22"/>
          <w:szCs w:val="22"/>
        </w:rPr>
      </w:pPr>
    </w:p>
    <w:p w:rsidR="00A73AD3" w:rsidRPr="00986CFB" w:rsidRDefault="00A73AD3" w:rsidP="00E14579">
      <w:pPr>
        <w:pStyle w:val="Pagrindinispaprastastekstas"/>
        <w:rPr>
          <w:rFonts w:cs="Times New Roman"/>
          <w:sz w:val="22"/>
          <w:szCs w:val="22"/>
        </w:rPr>
      </w:pPr>
      <w:r w:rsidRPr="00986CFB">
        <w:rPr>
          <w:rFonts w:cs="Times New Roman"/>
          <w:sz w:val="22"/>
          <w:szCs w:val="22"/>
        </w:rPr>
        <w:t xml:space="preserve">Vertintojai nurodo, kad nepaisant 2007–2013 m. investicijų </w:t>
      </w:r>
      <w:r w:rsidRPr="00986CFB">
        <w:rPr>
          <w:rFonts w:cs="Times New Roman"/>
          <w:b/>
          <w:bCs/>
          <w:i/>
          <w:iCs/>
          <w:sz w:val="22"/>
          <w:szCs w:val="22"/>
        </w:rPr>
        <w:t>suaugusiųjų dalyvavimas mokymosi visą gyvenimą veiklose</w:t>
      </w:r>
      <w:r w:rsidRPr="00986CFB">
        <w:rPr>
          <w:rFonts w:cs="Times New Roman"/>
          <w:sz w:val="22"/>
          <w:szCs w:val="22"/>
        </w:rPr>
        <w:t xml:space="preserve"> tebėra žemas. ES lėšomis daugiausia buvo investuota į aukštos kvalifikacijos viešųjų paslaugų darbuotojų, bedarbių ir įspėtų apie atleidimą asmenų mokymą, tačiau nekvalifikuotų ir žemesnės kvalifikacijos asmenų, kurie sudaro daugiau negu pusę visos šalies darbo jėgos, mokymui buvo skirta nepakankamai dėmesio. Jie kur kas rečiau dalyvavo mokymosi visą gyvenimą veiklose nei </w:t>
      </w:r>
      <w:r w:rsidRPr="00986CFB">
        <w:rPr>
          <w:rFonts w:cs="Times New Roman"/>
          <w:sz w:val="22"/>
          <w:szCs w:val="22"/>
        </w:rPr>
        <w:lastRenderedPageBreak/>
        <w:t xml:space="preserve">gausiau finansuotos suaugusiųjų grupės. Be to, mokymosi visą gyvenimą populiarumą mažina ir suaugusiųjų įsitikinimas, kad mokytis yra per vėlu. </w:t>
      </w:r>
    </w:p>
    <w:p w:rsidR="00A73AD3" w:rsidRPr="00986CFB" w:rsidRDefault="00A73AD3" w:rsidP="00E14579">
      <w:pPr>
        <w:pStyle w:val="Pagrindinispaprastastekstas"/>
        <w:rPr>
          <w:rFonts w:cs="Times New Roman"/>
          <w:sz w:val="22"/>
          <w:szCs w:val="22"/>
        </w:rPr>
      </w:pPr>
    </w:p>
    <w:p w:rsidR="00A73AD3" w:rsidRPr="00986CFB" w:rsidRDefault="00A73AD3" w:rsidP="00E14579">
      <w:pPr>
        <w:pStyle w:val="Pagrindinispaprastastekstas"/>
        <w:rPr>
          <w:rFonts w:cs="Times New Roman"/>
          <w:sz w:val="22"/>
          <w:szCs w:val="22"/>
        </w:rPr>
      </w:pPr>
      <w:r w:rsidRPr="00986CFB">
        <w:rPr>
          <w:rFonts w:cs="Times New Roman"/>
          <w:sz w:val="22"/>
          <w:szCs w:val="22"/>
        </w:rPr>
        <w:t xml:space="preserve">Išanalizavus situaciją </w:t>
      </w:r>
      <w:r w:rsidRPr="00986CFB">
        <w:rPr>
          <w:rFonts w:cs="Times New Roman"/>
          <w:b/>
          <w:bCs/>
          <w:i/>
          <w:iCs/>
          <w:sz w:val="22"/>
          <w:szCs w:val="22"/>
        </w:rPr>
        <w:t>studijų srityje</w:t>
      </w:r>
      <w:r w:rsidRPr="00986CFB">
        <w:rPr>
          <w:rFonts w:cs="Times New Roman"/>
          <w:sz w:val="22"/>
          <w:szCs w:val="22"/>
        </w:rPr>
        <w:t>, nustatyta, kad ES investicijos buvo skirtos studijų sistemai modernizuoti: buvo atnaujintos studijų programos, optimizuota aukštųjų mokyklų vidinė struktūra, įdiegtos kokybės valdymo sistemos, dėstytojai intensyviai kėlė savo kvalifikaciją, išsiplėtė tarptautinis bendradarbiavimas. Nepaisant to, išliko daug spręstinų problemų. Išliko poreikis gerinti studijų kokybę, patrauklumą ir prieinamumą, efektyvinti aukštųjų mokyklų tinklą, modernizuoti studijų infrastruktūrą ir aplinką.</w:t>
      </w:r>
    </w:p>
    <w:p w:rsidR="00A73AD3" w:rsidRPr="00986CFB" w:rsidRDefault="00A73AD3" w:rsidP="00736F0F">
      <w:pPr>
        <w:pStyle w:val="Pagrindinispaprastastekstas"/>
        <w:rPr>
          <w:rFonts w:cs="Times New Roman"/>
          <w:sz w:val="22"/>
          <w:szCs w:val="22"/>
        </w:rPr>
      </w:pPr>
    </w:p>
    <w:p w:rsidR="00A73AD3" w:rsidRPr="00986CFB" w:rsidRDefault="00A73AD3" w:rsidP="00736F0F">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ES struktūrinės paramos poveikio gyvenimo kokybei, skurdo ir socialinės atskirties mažinimui Lietuvoje vertinimą</w:t>
      </w:r>
      <w:r w:rsidRPr="00986CFB">
        <w:rPr>
          <w:rFonts w:cs="Times New Roman"/>
          <w:sz w:val="22"/>
          <w:szCs w:val="22"/>
        </w:rPr>
        <w:t xml:space="preserve"> nustatyta, kad švietimo sektoriuje ES fondų finansavimas teigiamai veikė ekonomikos krizės labiausiai paveiktas švietimo sritis (neformaliojo švietimo ir ikimokyklinio ugdymo) – sustabdė prasidėjusį teikiamų paslaugų mažėjimą, plėtė jų apimtį ir įvairovę. 2007–2013 m. ES fondų lėšomis finansuota dauguma neformaliojo švietimo paslaugų, kadangi dėl krizės buvo sumažintos nacionalinės lėšos šiai sričiai. Investicijos į nestacionarių socialinių paslaugų prieinamumo didinimą buvo itin svarbios, nes ši sritis taip pat buvo menkai finansuojama nacionalinėmis lėšomis. Be to, ES investicijos reikšmingai prisidėjo prie neįgaliųjų profesinės reabilitacijos paslaugas teikiančių įstaigų tinklo plėtros, nes ES fondų lėšomis buvo įsteigta 62 proc. tokių šalyje veikiančių įstaigų. </w:t>
      </w:r>
    </w:p>
    <w:p w:rsidR="00A73AD3" w:rsidRPr="00986CFB" w:rsidRDefault="00A73AD3" w:rsidP="00736F0F">
      <w:pPr>
        <w:pStyle w:val="Pagrindinispaprastastekstas"/>
        <w:rPr>
          <w:rFonts w:cs="Times New Roman"/>
          <w:sz w:val="22"/>
          <w:szCs w:val="22"/>
        </w:rPr>
      </w:pPr>
    </w:p>
    <w:p w:rsidR="00A73AD3" w:rsidRPr="00986CFB" w:rsidRDefault="00CA1232" w:rsidP="00CA0A60">
      <w:pPr>
        <w:pStyle w:val="Pagrindinispaprastastekstas"/>
        <w:rPr>
          <w:rFonts w:cs="Times New Roman"/>
          <w:sz w:val="22"/>
          <w:szCs w:val="22"/>
        </w:rPr>
      </w:pPr>
      <w:r>
        <w:rPr>
          <w:noProof/>
          <w:sz w:val="22"/>
          <w:szCs w:val="22"/>
        </w:rPr>
        <mc:AlternateContent>
          <mc:Choice Requires="wps">
            <w:drawing>
              <wp:anchor distT="36195" distB="36195" distL="107950" distR="107950" simplePos="0" relativeHeight="251654144" behindDoc="1" locked="0" layoutInCell="1" allowOverlap="1">
                <wp:simplePos x="0" y="0"/>
                <wp:positionH relativeFrom="margin">
                  <wp:align>right</wp:align>
                </wp:positionH>
                <wp:positionV relativeFrom="paragraph">
                  <wp:posOffset>861060</wp:posOffset>
                </wp:positionV>
                <wp:extent cx="1911350" cy="1324610"/>
                <wp:effectExtent l="4445" t="0" r="0" b="635"/>
                <wp:wrapSquare wrapText="bothSides"/>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324610"/>
                        </a:xfrm>
                        <a:prstGeom prst="rect">
                          <a:avLst/>
                        </a:prstGeom>
                        <a:gradFill rotWithShape="1">
                          <a:gsLst>
                            <a:gs pos="0">
                              <a:srgbClr val="EFEDE3"/>
                            </a:gs>
                            <a:gs pos="100000">
                              <a:srgbClr val="EAE7D9"/>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5833" w:rsidRPr="00986CFB" w:rsidRDefault="009F5833" w:rsidP="00CA0A60">
                            <w:pPr>
                              <w:jc w:val="center"/>
                              <w:rPr>
                                <w:rFonts w:ascii="Cambria" w:hAnsi="Cambria" w:cs="Cambria"/>
                                <w:color w:val="17365D"/>
                                <w:sz w:val="20"/>
                                <w:szCs w:val="20"/>
                              </w:rPr>
                            </w:pPr>
                            <w:r w:rsidRPr="00986CFB">
                              <w:rPr>
                                <w:rFonts w:ascii="Cambria" w:hAnsi="Cambria"/>
                                <w:color w:val="17365D"/>
                                <w:sz w:val="20"/>
                                <w:szCs w:val="20"/>
                              </w:rPr>
                              <w:t>Dėl žmogiškųjų išteklių plėtros projektų iki 2020 m. sukurtas papildomas BVP 2,17 karto viršys šių projektų išlaidas, todėl intervencijos ilguoju laikotarpiu teiks realią naudą verslui ir visuomenei.</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left:0;text-align:left;margin-left:99.3pt;margin-top:67.8pt;width:150.5pt;height:104.3pt;z-index:-251662336;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" fillcolor="#efede3" stroked="f" strokeweight=".5pt">
                <v:fill color2="#eae7d9" rotate="t" focusposition=".5,.5" focussize="" focus="100%" type="gradientRadial"/>
                <v:textbox inset="3mm,3mm,3mm,3mm">
                  <w:txbxContent>
                    <w:p w:rsidR="009F5833" w:rsidRPr="00986CFB" w:rsidRDefault="009F5833" w:rsidP="00CA0A60">
                      <w:pPr>
                        <w:jc w:val="center"/>
                        <w:rPr>
                          <w:rFonts w:ascii="Cambria" w:hAnsi="Cambria" w:cs="Cambria"/>
                          <w:color w:val="17365D"/>
                          <w:sz w:val="20"/>
                          <w:szCs w:val="20"/>
                        </w:rPr>
                      </w:pPr>
                      <w:r w:rsidRPr="00986CFB">
                        <w:rPr>
                          <w:rFonts w:ascii="Cambria" w:hAnsi="Cambria"/>
                          <w:color w:val="17365D"/>
                          <w:sz w:val="20"/>
                          <w:szCs w:val="20"/>
                        </w:rPr>
                        <w:t>Dėl žmogiškųjų išteklių plėtros projektų iki 2020 m. sukurtas papildomas BVP 2,17 karto viršys šių projektų išlaidas, todėl intervencijos ilguoju laikotarpiu teiks realią naudą verslui ir visuomenei.</w:t>
                      </w:r>
                    </w:p>
                  </w:txbxContent>
                </v:textbox>
                <w10:wrap type="square" anchorx="margin"/>
              </v:shape>
            </w:pict>
          </mc:Fallback>
        </mc:AlternateContent>
      </w:r>
      <w:r w:rsidR="00A73AD3" w:rsidRPr="00986CFB">
        <w:rPr>
          <w:rFonts w:cs="Times New Roman"/>
          <w:b/>
          <w:bCs/>
          <w:i/>
          <w:iCs/>
          <w:color w:val="1F497D"/>
          <w:sz w:val="22"/>
          <w:szCs w:val="22"/>
        </w:rPr>
        <w:t>ES struktūrinės paramos poveikio žmogiškųjų išteklių plėtrai vertinime</w:t>
      </w:r>
      <w:r w:rsidR="00A73AD3" w:rsidRPr="00986CFB">
        <w:rPr>
          <w:rFonts w:cs="Times New Roman"/>
          <w:sz w:val="22"/>
          <w:szCs w:val="22"/>
        </w:rPr>
        <w:t xml:space="preserve"> nagrinėtos 2007–2013 m. ES fondų investicijos, skirtos žmogiškųjų išteklių plėtrai darbo rinkos srityje. ES lėšomis buvo finansuotas darbuotojų kvalifikacijos kėlimas, verslumo skatinimas, darbo ir šeimos įsipareigojimų derinimas, socialinės rizikos ir socialinę atskirtį patiriančių asmenų integracija į darbo rinką, aktyvios darbo rinkos politikos priemonės. Didžiausia lėšų dalis (maždaug pusė) teko kovos su nedarbu priemonių finansavimui, siekiant sušvelninti dėl ekonomikos nuosmukio susidariusią įtemptą situaciją darbo rinkoje. Finansuotas bedarbių ir įspėtų apie atleidimą iš darbo asmenų profesinis mokymas, remiamas jų užimtumas. Atlikus makroekonometrinį modeliavimą, nustatyta, kad faktinis nedarbo lygis 2009 m., prasidėjus ekonomikos krizei, be ES investicijų būtų buvęs 0,25 proc. punkto didesnis nei faktinis tais metais užfiksuotas nedarbo lygis, kuris siekė 13,8 proc. Nustatyta, kad ES fondų investicijos, skirtos žmogiškųjų išteklių plėtrai, teigiamai veikė Lietuvos ekonomiką. Trumpalaikis poveikis yra susijęs su išaugusiu užsakymų skaičiumi, kuris labiausiai padidino statybos ir paslaugų sektorių pridėtinę vertę. Ilgalaikę investicijų teikiamą grąžą atspindi ilgalaikis poveikis BVP. Augant metinėms veiksmų programų išlaidoms, didėjo ir poveikis BVP, pavyzdžiui, 2009 m. BVP buvo 0,37 proc., o 2012 m. – 1,46 proc. didesnis nei būtų buvęs be intervencijų.</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rPr>
          <w:rFonts w:cs="Times New Roman"/>
          <w:color w:val="000000"/>
          <w:sz w:val="22"/>
          <w:szCs w:val="22"/>
        </w:rPr>
      </w:pPr>
      <w:r w:rsidRPr="00986CFB">
        <w:rPr>
          <w:rFonts w:cs="Times New Roman"/>
          <w:sz w:val="22"/>
          <w:szCs w:val="22"/>
        </w:rPr>
        <w:t xml:space="preserve">Žmogiškųjų išteklių plėtrai skirtų intervencijų poveikis švietimo sektoriui buvo matuojamas analizuojant trijų pagrindinių konteksto rodiklių (ankstyvojo pasitraukimo iš švietimo sistemos lygio, jaunimo švietimo pasiekimų lygio ir mokymosi visą gyvenimą lygio) pokyčius. Ankstyvo pasitraukimo iš švietimo sistemos lygis sumažėjo, o iškelti tikslai – pasiekti ir viršyti. Tačiau planuojant priemones atsižvelgta tik į šalies vidurkio gerinimą, bet nepakankamai užtikrintas lėšų geografinis paskirstymas. Jaunimo švietimo pasiekimų lygis 2007–2013 m. taip pat padidėjo, o mokymosi visą gyvenimą rezultatus matuojančio rodiklio pokytis – minimalus. </w:t>
      </w:r>
      <w:r w:rsidRPr="00986CFB">
        <w:rPr>
          <w:rFonts w:cs="Times New Roman"/>
          <w:color w:val="000000"/>
          <w:sz w:val="22"/>
          <w:szCs w:val="22"/>
        </w:rPr>
        <w:t>Nors pasiekti rezultatai atitiko tikslinių grupių interesus, tiesioginio poveikio priemonėmis (apmokant 324 tūkst. darbingo amžiaus asmenų) nepavyko sukurti tęstinio mokymosi kultūros, todėl poveikio konteksto rodiklio kaitai mastas nebuvo didelis. Planuojant investicijas taip pat nebuvo atsižvelgta į skirtumus tarp skirtingo dydžio apskričių, neinvestuota į specifines, įprastai mažiau besimokančias.</w:t>
      </w:r>
    </w:p>
    <w:p w:rsidR="00A73AD3" w:rsidRPr="00986CFB" w:rsidRDefault="00A73AD3" w:rsidP="00CA0A60">
      <w:pPr>
        <w:pStyle w:val="Antrastes3"/>
        <w:rPr>
          <w:rFonts w:cs="Times New Roman"/>
        </w:rPr>
      </w:pPr>
      <w:bookmarkStart w:id="30" w:name="_Toc467753954"/>
      <w:r w:rsidRPr="00986CFB">
        <w:rPr>
          <w:rFonts w:cs="Times New Roman"/>
        </w:rPr>
        <w:t>Svarbiausios rekomendacijos ir strateginiai siūlymai</w:t>
      </w:r>
      <w:bookmarkEnd w:id="30"/>
    </w:p>
    <w:p w:rsidR="00A73AD3" w:rsidRPr="00986CFB" w:rsidRDefault="00A73AD3" w:rsidP="00736F0F">
      <w:pPr>
        <w:pStyle w:val="Pagrindinispaprastastekstas"/>
        <w:rPr>
          <w:rFonts w:cs="Times New Roman"/>
          <w:sz w:val="22"/>
          <w:szCs w:val="22"/>
        </w:rPr>
      </w:pPr>
      <w:r w:rsidRPr="00986CFB">
        <w:rPr>
          <w:rFonts w:cs="Times New Roman"/>
          <w:b/>
          <w:bCs/>
          <w:i/>
          <w:iCs/>
          <w:color w:val="1F497D"/>
          <w:sz w:val="22"/>
          <w:szCs w:val="22"/>
        </w:rPr>
        <w:t>Švietimo ir mokslo srities prioritetų 2014–2020 m. ES struktūrinės paramos programavimo laikotarpiui strateginiame vertinime</w:t>
      </w:r>
      <w:r w:rsidRPr="00986CFB">
        <w:rPr>
          <w:rFonts w:cs="Times New Roman"/>
          <w:sz w:val="22"/>
          <w:szCs w:val="22"/>
        </w:rPr>
        <w:t xml:space="preserve"> pateikti pasiūlymai investuojant į </w:t>
      </w:r>
      <w:r w:rsidRPr="00986CFB">
        <w:rPr>
          <w:rFonts w:cs="Times New Roman"/>
          <w:b/>
          <w:bCs/>
          <w:i/>
          <w:iCs/>
          <w:sz w:val="22"/>
          <w:szCs w:val="22"/>
        </w:rPr>
        <w:t xml:space="preserve">ikimokyklinį, bendrąjį ir </w:t>
      </w:r>
      <w:r w:rsidRPr="00986CFB">
        <w:rPr>
          <w:rFonts w:cs="Times New Roman"/>
          <w:b/>
          <w:bCs/>
          <w:i/>
          <w:iCs/>
          <w:sz w:val="22"/>
          <w:szCs w:val="22"/>
        </w:rPr>
        <w:lastRenderedPageBreak/>
        <w:t xml:space="preserve">neformalųjį ugdymą </w:t>
      </w:r>
      <w:r w:rsidRPr="00986CFB">
        <w:rPr>
          <w:rFonts w:cs="Times New Roman"/>
          <w:sz w:val="22"/>
          <w:szCs w:val="22"/>
        </w:rPr>
        <w:t xml:space="preserve">pirmenybę teikti intervencijoms, padedančioms spręsti esmines – prastų mokymosi rezultatų ir ankstyvo pasitraukimo iš mokyklos – problemas. ESF lėšomis turi būti mažinamas iš mokyklos anksti pasitraukiančių vaikų skaičius, gerinami mokinių pasiekimai ir mažinami skirtumai tarp miesto ir kaimo, taikomos individualizuotos mokymo programos, tobulinama pedagogų kvalifikacija, gerinama neformaliojo ugdymo kokybė ir prieinamumas. ERPP lėšos turėtų būti skirtos švietimo aplinkai tobulinti ir švietimo institucijų tinklo efektyvumui didinti. </w:t>
      </w:r>
      <w:r w:rsidRPr="00986CFB">
        <w:rPr>
          <w:rFonts w:cs="Times New Roman"/>
          <w:b/>
          <w:bCs/>
          <w:i/>
          <w:iCs/>
          <w:sz w:val="22"/>
          <w:szCs w:val="22"/>
        </w:rPr>
        <w:t>Aukštųjų mokyklų studijų patrauklumo didinimo srityje</w:t>
      </w:r>
      <w:r w:rsidRPr="00986CFB">
        <w:rPr>
          <w:rFonts w:cs="Times New Roman"/>
          <w:sz w:val="22"/>
          <w:szCs w:val="22"/>
        </w:rPr>
        <w:t xml:space="preserve"> lėšos turi būti skirtos studijų turinio tobulinimui ir mokymosi aplinkos gerinimui, aktyvesniam socialinių partnerių įtraukimui į procesą, dėstytojų kompetencijos kėlimui, aukštojo mokslo tarptautiškumui, studijų </w:t>
      </w:r>
      <w:r w:rsidRPr="00986CFB">
        <w:rPr>
          <w:rFonts w:cs="Times New Roman"/>
          <w:sz w:val="22"/>
          <w:szCs w:val="22"/>
          <w:lang w:eastAsia="en-US"/>
        </w:rPr>
        <w:t>atitikčiai</w:t>
      </w:r>
      <w:r w:rsidRPr="00986CFB">
        <w:rPr>
          <w:rFonts w:cs="Times New Roman"/>
          <w:sz w:val="22"/>
          <w:szCs w:val="22"/>
        </w:rPr>
        <w:t xml:space="preserve"> rinkos ir visuomenės poreikiams. </w:t>
      </w:r>
      <w:r w:rsidRPr="00986CFB">
        <w:rPr>
          <w:rFonts w:cs="Times New Roman"/>
          <w:b/>
          <w:bCs/>
          <w:i/>
          <w:iCs/>
          <w:sz w:val="22"/>
          <w:szCs w:val="22"/>
        </w:rPr>
        <w:t>Profesinio mokymo srityje</w:t>
      </w:r>
      <w:r w:rsidRPr="00986CFB">
        <w:rPr>
          <w:rFonts w:cs="Times New Roman"/>
          <w:sz w:val="22"/>
          <w:szCs w:val="22"/>
        </w:rPr>
        <w:t xml:space="preserve"> 2014–2020 m. rekomenduota investuoti į tas sritis, nuo kurių priklauso profesinio mokymo kokybė, t. y. Lietuvos kvalifikacijų sandaros formavimas, pedagoginio personalo kvalifikacijos tobulinimas, mokymosi turinio ir priemonių atnaujinimas, švietimo vadybos ir valdymo stiprinimas, infrastruktūros gerinimas. Pasiūlyta daugiau dėmesio skirti neformaliojo ir savarankiško mokymosi pripažinimo procedūroms sukurti, taip pat aktyvesnei socialinei partnerystei švietimo formavimo procesuose užtikrinti.</w:t>
      </w:r>
    </w:p>
    <w:p w:rsidR="00A73AD3" w:rsidRPr="00986CFB" w:rsidRDefault="00A73AD3" w:rsidP="00736F0F">
      <w:pPr>
        <w:pStyle w:val="Pagrindinispaprastastekstas"/>
        <w:rPr>
          <w:rFonts w:cs="Times New Roman"/>
          <w:sz w:val="22"/>
          <w:szCs w:val="22"/>
        </w:rPr>
      </w:pPr>
    </w:p>
    <w:p w:rsidR="00A73AD3" w:rsidRPr="00986CFB" w:rsidRDefault="00A73AD3" w:rsidP="00736F0F">
      <w:pPr>
        <w:pStyle w:val="Pagrindinispaprastastekstas"/>
        <w:rPr>
          <w:rFonts w:cs="Times New Roman"/>
          <w:sz w:val="22"/>
          <w:szCs w:val="22"/>
        </w:rPr>
      </w:pPr>
      <w:r w:rsidRPr="00986CFB">
        <w:rPr>
          <w:rFonts w:cs="Times New Roman"/>
          <w:b/>
          <w:bCs/>
          <w:i/>
          <w:iCs/>
          <w:color w:val="1F497D"/>
          <w:sz w:val="22"/>
          <w:szCs w:val="22"/>
        </w:rPr>
        <w:t>ES struktūrinės paramos poveikio gyvenimo kokybei, skurdo ir socialinės atskirties mažinimui Lietuvoje vertinime</w:t>
      </w:r>
      <w:r w:rsidRPr="00986CFB">
        <w:rPr>
          <w:rFonts w:cs="Times New Roman"/>
          <w:sz w:val="22"/>
          <w:szCs w:val="22"/>
        </w:rPr>
        <w:t xml:space="preserve"> teigiama, kad investuojant švietimo sektoriuje svarbu užtikrinti, jog „kietosios“ (infrastruktūros plėtros, atnaujinimo ir modernizavimo) ir „minkštosios“ (turinio, personalo kvalifikacijos tobulinimo ir pan.) intervencijos būtų planuojamos kartu ir suderintos tiek laiko, tiek siekiamų rezultatų ir tikėtino poveikio atžvilgiu. Taip pat rekomenduota įgyvendinant jungtines veiklas apimančius projektus finansavimą skirti iš kelių finansavimo šaltinių, t. y. pasirašyti vieną sutartį, tačiau skirtingas veiklas finansuoti iš skirtingų fondų. Prieš programuojant socialinių paslaugų teikimui skirtas intervencijas ir paskirstant lėšas, rekomenduota nustatyti stacionarias ir nestacionarias paslaugas teikiančių įstaigų skaičių konkrečioje teritorijoje, įvertinti realų paslaugų poreikį. Siekiant šio tikslo, reikėtų bendradarbiauti su savivaldybėmis ir paskatinti jas pradėti rinkti intervencijų planavimui reikiamą statistiką.</w:t>
      </w:r>
    </w:p>
    <w:p w:rsidR="00A73AD3" w:rsidRPr="00986CFB" w:rsidRDefault="00A73AD3" w:rsidP="00736F0F">
      <w:pPr>
        <w:pStyle w:val="Pagrindinispaprastastekstas"/>
        <w:rPr>
          <w:rFonts w:cs="Times New Roman"/>
          <w:sz w:val="22"/>
          <w:szCs w:val="22"/>
        </w:rPr>
      </w:pPr>
    </w:p>
    <w:p w:rsidR="00A73AD3" w:rsidRPr="00986CFB" w:rsidRDefault="00A73AD3" w:rsidP="00CA0A60">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ES struktūrinės paramos poveikio žmogiškųjų išteklių plėtrai vertinimą</w:t>
      </w:r>
      <w:r w:rsidRPr="00986CFB">
        <w:rPr>
          <w:rFonts w:cs="Times New Roman"/>
          <w:sz w:val="22"/>
          <w:szCs w:val="22"/>
        </w:rPr>
        <w:t xml:space="preserve"> pateikti pasiūlymai, kaip tobulinti žmogiškųjų išteklių plėtrai skirtas investicijas 2014–2020 m.:</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sz w:val="22"/>
          <w:szCs w:val="22"/>
        </w:rPr>
        <w:t xml:space="preserve">Planuojant investicijas švietimo sektoriuje pasiūlyta </w:t>
      </w:r>
      <w:r w:rsidRPr="00986CFB">
        <w:rPr>
          <w:rFonts w:cs="Times New Roman"/>
          <w:b/>
          <w:bCs/>
          <w:i/>
          <w:iCs/>
          <w:sz w:val="22"/>
          <w:szCs w:val="22"/>
        </w:rPr>
        <w:t>atsižvelgti į regioninius netolygumus</w:t>
      </w:r>
      <w:r w:rsidRPr="00986CFB">
        <w:rPr>
          <w:rFonts w:cs="Times New Roman"/>
          <w:sz w:val="22"/>
          <w:szCs w:val="22"/>
        </w:rPr>
        <w:t xml:space="preserve"> (didžiųjų miestų apskrityse rodiklių reikšmės yra gerokai didesnės nei šalies vidurkis ar mažesnių apskričių vidurkis). </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sz w:val="22"/>
          <w:szCs w:val="22"/>
        </w:rPr>
        <w:t xml:space="preserve">Nurodyta, kad ES fondų investicijomis sukurti produktai turi būti toliau naudojami ir prižiūrimi (įdiegti modeliai, sukurtos informacinės ir kitos sistemos, nupirkta įranga). ES lėšos yra priemonė </w:t>
      </w:r>
      <w:r w:rsidRPr="00986CFB">
        <w:rPr>
          <w:rFonts w:cs="Times New Roman"/>
          <w:color w:val="000000"/>
          <w:sz w:val="22"/>
          <w:szCs w:val="22"/>
        </w:rPr>
        <w:t>sistemoms ir modeliams išbandyti, įrangai įsigyti, tačiau tolesnis palaikymas turi būti užtikrinamas nacionalinėmis, savivaldybių ar projektų vykdytojų lėšomis.</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color w:val="000000"/>
          <w:sz w:val="22"/>
          <w:szCs w:val="22"/>
        </w:rPr>
        <w:t xml:space="preserve">Atsižvelgiant į tai, kad ES lėšos daugiausia pasiekia aukštos kvalifikacijos specialistus, kurie mokytųsi ir savo lėšomis, vadovaujantis Lietuvos profesijų klasifikatoriumi </w:t>
      </w:r>
      <w:r w:rsidRPr="00986CFB">
        <w:rPr>
          <w:rFonts w:cs="Times New Roman"/>
          <w:b/>
          <w:bCs/>
          <w:i/>
          <w:iCs/>
          <w:color w:val="000000"/>
          <w:sz w:val="22"/>
          <w:szCs w:val="22"/>
        </w:rPr>
        <w:t>prioritetą reikėtų skirti investicijoms į nekvalifikuotų darbininkų mokymą</w:t>
      </w:r>
      <w:r w:rsidRPr="00986CFB">
        <w:rPr>
          <w:rFonts w:cs="Times New Roman"/>
          <w:color w:val="000000"/>
          <w:sz w:val="22"/>
          <w:szCs w:val="22"/>
        </w:rPr>
        <w:t>.</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color w:val="000000"/>
          <w:sz w:val="22"/>
          <w:szCs w:val="22"/>
        </w:rPr>
        <w:t xml:space="preserve">Siekiant didinti mokymosi visą gyvenimą lygį, pasiūlyta nesiorientuoti vien į tiesioginį suaugusiųjų mokymą, bet taip pat </w:t>
      </w:r>
      <w:r w:rsidRPr="00986CFB">
        <w:rPr>
          <w:rFonts w:cs="Times New Roman"/>
          <w:b/>
          <w:bCs/>
          <w:i/>
          <w:iCs/>
          <w:color w:val="000000"/>
          <w:sz w:val="22"/>
          <w:szCs w:val="22"/>
        </w:rPr>
        <w:t>investuoti į visuomenės savivokos didinimo</w:t>
      </w:r>
      <w:r w:rsidRPr="00986CFB">
        <w:rPr>
          <w:rFonts w:cs="Times New Roman"/>
          <w:color w:val="000000"/>
          <w:sz w:val="22"/>
          <w:szCs w:val="22"/>
        </w:rPr>
        <w:t>, mokymosi visą gyvenimą populiarinimo, visuomenės informavimo veiklas.</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color w:val="000000"/>
          <w:sz w:val="22"/>
          <w:szCs w:val="22"/>
        </w:rPr>
        <w:t>Atsižvelgiant į tai, kad esminis MTEP efektyvumo veiksnys yra žmogiškieji ištekliai, nurodyta, kad tiesiogines užsienio investicijas skatinančios priemonės prioritetą turėtų teikti eksperimentinės plėtros veiklą numačiusiems vykdyti investuotojams, tokiu būdu pritraukiant aukštesnių kompetencijų tyrėjus iš užsienio, kurie galėtų perduoti žinias vietiniams tyrėjams.</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sz w:val="22"/>
          <w:szCs w:val="22"/>
        </w:rPr>
        <w:t xml:space="preserve">Siekiant užtikrinti investicijų poveikio tvarumą darbo rinkos srityje, </w:t>
      </w:r>
      <w:r w:rsidRPr="00986CFB">
        <w:rPr>
          <w:rFonts w:cs="Times New Roman"/>
          <w:color w:val="000000"/>
          <w:sz w:val="22"/>
          <w:szCs w:val="22"/>
        </w:rPr>
        <w:t xml:space="preserve">reikia </w:t>
      </w:r>
      <w:r w:rsidRPr="00986CFB">
        <w:rPr>
          <w:rFonts w:cs="Times New Roman"/>
          <w:b/>
          <w:bCs/>
          <w:i/>
          <w:iCs/>
          <w:color w:val="000000"/>
          <w:sz w:val="22"/>
          <w:szCs w:val="22"/>
        </w:rPr>
        <w:t>vykdyti vidutinio ir ilgo laikotarpio darbo rinkos poreikių prognozavimą</w:t>
      </w:r>
      <w:r w:rsidRPr="00986CFB">
        <w:rPr>
          <w:rFonts w:cs="Times New Roman"/>
          <w:color w:val="000000"/>
          <w:sz w:val="22"/>
          <w:szCs w:val="22"/>
        </w:rPr>
        <w:t xml:space="preserve"> bei tyrimus ir jais remiantis organizuoti profesinio mokymo ir kitas darbo rinkos politikos priemones.</w:t>
      </w:r>
    </w:p>
    <w:p w:rsidR="00A73AD3" w:rsidRPr="00986CFB" w:rsidRDefault="00A73AD3" w:rsidP="00CA0A60">
      <w:pPr>
        <w:pStyle w:val="Pagrindinispaprastastekstas"/>
        <w:numPr>
          <w:ilvl w:val="0"/>
          <w:numId w:val="31"/>
        </w:numPr>
        <w:rPr>
          <w:rFonts w:cs="Times New Roman"/>
          <w:b/>
          <w:bCs/>
          <w:sz w:val="22"/>
          <w:szCs w:val="22"/>
        </w:rPr>
      </w:pPr>
      <w:r w:rsidRPr="00986CFB">
        <w:rPr>
          <w:rFonts w:cs="Times New Roman"/>
          <w:color w:val="000000"/>
          <w:sz w:val="22"/>
          <w:szCs w:val="22"/>
        </w:rPr>
        <w:t>Pasiūlyta didesnį finansavimą skirti aktyvios darbo rinkos politikos priemonėms, kurios užtikrina tvaresnį buvusių bedarbių išlikimą darbo rinkoje (pavyzdžiui, profesinis mokymas).</w:t>
      </w:r>
    </w:p>
    <w:p w:rsidR="00F95116" w:rsidRPr="00F95116" w:rsidRDefault="00F95116" w:rsidP="00F95116">
      <w:pPr>
        <w:pStyle w:val="Antrastes2"/>
        <w:jc w:val="both"/>
        <w:rPr>
          <w:rFonts w:cs="Times New Roman"/>
        </w:rPr>
      </w:pPr>
      <w:r w:rsidRPr="00986CFB">
        <w:rPr>
          <w:rFonts w:cs="Times New Roman"/>
          <w:color w:val="000000"/>
          <w:sz w:val="22"/>
          <w:szCs w:val="22"/>
        </w:rPr>
        <w:br w:type="page"/>
      </w:r>
      <w:bookmarkStart w:id="31" w:name="_Toc467753963"/>
      <w:bookmarkStart w:id="32" w:name="_Toc472343159"/>
      <w:r w:rsidRPr="00F95116">
        <w:rPr>
          <w:rFonts w:cs="Times New Roman"/>
        </w:rPr>
        <w:lastRenderedPageBreak/>
        <w:t xml:space="preserve">Investicijų poveikis viešosios politikos sritims: </w:t>
      </w:r>
      <w:r w:rsidRPr="00F95116">
        <w:rPr>
          <w:rFonts w:cs="Times New Roman"/>
          <w:color w:val="E36C0A"/>
        </w:rPr>
        <w:t>viešasis valdymas</w:t>
      </w:r>
      <w:bookmarkEnd w:id="31"/>
      <w:bookmarkEnd w:id="32"/>
    </w:p>
    <w:p w:rsidR="00F95116" w:rsidRPr="00F95116" w:rsidRDefault="00F95116" w:rsidP="00F95116">
      <w:pPr>
        <w:pStyle w:val="Antrastes3"/>
        <w:rPr>
          <w:rFonts w:cs="Times New Roman"/>
        </w:rPr>
      </w:pPr>
      <w:bookmarkStart w:id="33" w:name="_Toc467753964"/>
      <w:r w:rsidRPr="00F95116">
        <w:rPr>
          <w:rFonts w:cs="Times New Roman"/>
        </w:rPr>
        <w:t>Aktualūs vertinimai</w:t>
      </w:r>
      <w:bookmarkEnd w:id="33"/>
    </w:p>
    <w:tbl>
      <w:tblPr>
        <w:tblW w:w="0" w:type="auto"/>
        <w:tblInd w:w="2" w:type="dxa"/>
        <w:tblBorders>
          <w:top w:val="single" w:sz="4" w:space="0" w:color="95B3D7"/>
          <w:left w:val="single" w:sz="4" w:space="0" w:color="95B3D7"/>
          <w:bottom w:val="single" w:sz="4" w:space="0" w:color="95B3D7"/>
          <w:right w:val="single" w:sz="4" w:space="0" w:color="95B3D7"/>
          <w:insideH w:val="single" w:sz="4" w:space="0" w:color="95B3D7"/>
        </w:tblBorders>
        <w:tblLook w:val="00A0" w:firstRow="1" w:lastRow="0" w:firstColumn="1" w:lastColumn="0" w:noHBand="0" w:noVBand="0"/>
      </w:tblPr>
      <w:tblGrid>
        <w:gridCol w:w="5756"/>
        <w:gridCol w:w="1186"/>
        <w:gridCol w:w="1276"/>
        <w:gridCol w:w="1409"/>
      </w:tblGrid>
      <w:tr w:rsidR="00F95116" w:rsidRPr="00F95116" w:rsidTr="009F5833">
        <w:tc>
          <w:tcPr>
            <w:tcW w:w="5756" w:type="dxa"/>
            <w:tcBorders>
              <w:top w:val="single" w:sz="4" w:space="0" w:color="4F81BD"/>
              <w:left w:val="single" w:sz="4" w:space="0" w:color="4F81BD"/>
              <w:bottom w:val="single" w:sz="4" w:space="0" w:color="4F81BD"/>
            </w:tcBorders>
            <w:shd w:val="clear" w:color="auto" w:fill="4F81BD"/>
          </w:tcPr>
          <w:p w:rsidR="00F95116" w:rsidRPr="00F95116" w:rsidRDefault="00F95116" w:rsidP="009F5833">
            <w:pPr>
              <w:pStyle w:val="Pagrindinispaprastastekstas"/>
              <w:jc w:val="center"/>
              <w:rPr>
                <w:rFonts w:cs="Times New Roman"/>
                <w:b/>
                <w:bCs/>
                <w:color w:val="FFFFFF"/>
                <w:sz w:val="20"/>
                <w:szCs w:val="20"/>
              </w:rPr>
            </w:pPr>
            <w:r w:rsidRPr="00F95116">
              <w:rPr>
                <w:rFonts w:cs="Times New Roman"/>
                <w:b/>
                <w:bCs/>
                <w:color w:val="FFFFFF"/>
                <w:sz w:val="20"/>
                <w:szCs w:val="20"/>
              </w:rPr>
              <w:t>Pavadinimas</w:t>
            </w:r>
          </w:p>
        </w:tc>
        <w:tc>
          <w:tcPr>
            <w:tcW w:w="1186" w:type="dxa"/>
            <w:tcBorders>
              <w:top w:val="single" w:sz="4" w:space="0" w:color="4F81BD"/>
              <w:bottom w:val="single" w:sz="4" w:space="0" w:color="4F81BD"/>
            </w:tcBorders>
            <w:shd w:val="clear" w:color="auto" w:fill="4F81BD"/>
          </w:tcPr>
          <w:p w:rsidR="00F95116" w:rsidRPr="00F95116" w:rsidRDefault="00F95116" w:rsidP="009F5833">
            <w:pPr>
              <w:pStyle w:val="Pagrindinispaprastastekstas"/>
              <w:jc w:val="center"/>
              <w:rPr>
                <w:rFonts w:cs="Times New Roman"/>
                <w:b/>
                <w:bCs/>
                <w:color w:val="FFFFFF"/>
                <w:sz w:val="20"/>
                <w:szCs w:val="20"/>
              </w:rPr>
            </w:pPr>
            <w:r w:rsidRPr="00F95116">
              <w:rPr>
                <w:rFonts w:cs="Times New Roman"/>
                <w:b/>
                <w:bCs/>
                <w:color w:val="FFFFFF"/>
                <w:sz w:val="20"/>
                <w:szCs w:val="20"/>
              </w:rPr>
              <w:t>Ataskaitos data</w:t>
            </w:r>
          </w:p>
        </w:tc>
        <w:tc>
          <w:tcPr>
            <w:tcW w:w="1276" w:type="dxa"/>
            <w:tcBorders>
              <w:top w:val="single" w:sz="4" w:space="0" w:color="4F81BD"/>
              <w:bottom w:val="single" w:sz="4" w:space="0" w:color="4F81BD"/>
            </w:tcBorders>
            <w:shd w:val="clear" w:color="auto" w:fill="4F81BD"/>
          </w:tcPr>
          <w:p w:rsidR="00F95116" w:rsidRPr="00F95116" w:rsidRDefault="00F95116" w:rsidP="009F5833">
            <w:pPr>
              <w:pStyle w:val="Pagrindinispaprastastekstas"/>
              <w:jc w:val="center"/>
              <w:rPr>
                <w:rFonts w:cs="Times New Roman"/>
                <w:b/>
                <w:bCs/>
                <w:color w:val="FFFFFF"/>
                <w:sz w:val="20"/>
                <w:szCs w:val="20"/>
              </w:rPr>
            </w:pPr>
            <w:r w:rsidRPr="00F95116">
              <w:rPr>
                <w:rFonts w:cs="Times New Roman"/>
                <w:b/>
                <w:bCs/>
                <w:color w:val="FFFFFF"/>
                <w:sz w:val="20"/>
                <w:szCs w:val="20"/>
              </w:rPr>
              <w:t>Užsakovas</w:t>
            </w:r>
          </w:p>
        </w:tc>
        <w:tc>
          <w:tcPr>
            <w:tcW w:w="1409" w:type="dxa"/>
            <w:tcBorders>
              <w:top w:val="single" w:sz="4" w:space="0" w:color="4F81BD"/>
              <w:bottom w:val="single" w:sz="4" w:space="0" w:color="4F81BD"/>
              <w:right w:val="single" w:sz="4" w:space="0" w:color="4F81BD"/>
            </w:tcBorders>
            <w:shd w:val="clear" w:color="auto" w:fill="4F81BD"/>
          </w:tcPr>
          <w:p w:rsidR="00F95116" w:rsidRPr="00F95116" w:rsidRDefault="00F95116" w:rsidP="009F5833">
            <w:pPr>
              <w:pStyle w:val="Pagrindinispaprastastekstas"/>
              <w:jc w:val="center"/>
              <w:rPr>
                <w:rFonts w:cs="Times New Roman"/>
                <w:b/>
                <w:bCs/>
                <w:color w:val="FFFFFF"/>
                <w:sz w:val="20"/>
                <w:szCs w:val="20"/>
              </w:rPr>
            </w:pPr>
            <w:r w:rsidRPr="00F95116">
              <w:rPr>
                <w:rFonts w:cs="Times New Roman"/>
                <w:b/>
                <w:bCs/>
                <w:color w:val="FFFFFF"/>
                <w:sz w:val="20"/>
                <w:szCs w:val="20"/>
              </w:rPr>
              <w:t>Vykdytojas</w:t>
            </w:r>
          </w:p>
        </w:tc>
      </w:tr>
      <w:tr w:rsidR="00F95116" w:rsidRPr="00F95116" w:rsidTr="009F5833">
        <w:tc>
          <w:tcPr>
            <w:tcW w:w="5756" w:type="dxa"/>
            <w:shd w:val="clear" w:color="auto" w:fill="DBE5F1"/>
          </w:tcPr>
          <w:p w:rsidR="00F95116" w:rsidRPr="00F95116" w:rsidRDefault="00F95116" w:rsidP="009F5833">
            <w:pPr>
              <w:pStyle w:val="Pagrindinispaprastastekstas"/>
              <w:jc w:val="left"/>
              <w:rPr>
                <w:rFonts w:cs="Times New Roman"/>
                <w:b/>
                <w:bCs/>
                <w:sz w:val="20"/>
                <w:szCs w:val="20"/>
              </w:rPr>
            </w:pPr>
            <w:r w:rsidRPr="00F95116">
              <w:rPr>
                <w:rFonts w:cs="Times New Roman"/>
                <w:sz w:val="20"/>
                <w:szCs w:val="20"/>
              </w:rPr>
              <w:t>ES struktūrinės paramos rezultatyvumo ir poveikio viešojo valdymo tobulinimui vertinimas veiksmų programų prioritetų įgyvendinimo priemonių / projektų lygiu</w:t>
            </w:r>
          </w:p>
        </w:tc>
        <w:tc>
          <w:tcPr>
            <w:tcW w:w="1186" w:type="dxa"/>
            <w:shd w:val="clear" w:color="auto" w:fill="DBE5F1"/>
          </w:tcPr>
          <w:p w:rsidR="00F95116" w:rsidRPr="00F95116" w:rsidRDefault="00F95116" w:rsidP="009F5833">
            <w:pPr>
              <w:pStyle w:val="Pagrindinispaprastastekstas"/>
              <w:jc w:val="center"/>
              <w:rPr>
                <w:rFonts w:cs="Times New Roman"/>
                <w:sz w:val="20"/>
                <w:szCs w:val="20"/>
              </w:rPr>
            </w:pPr>
            <w:r w:rsidRPr="00F95116">
              <w:rPr>
                <w:rFonts w:cs="Times New Roman"/>
                <w:sz w:val="20"/>
                <w:szCs w:val="20"/>
              </w:rPr>
              <w:t>2014 m. birželis</w:t>
            </w:r>
          </w:p>
        </w:tc>
        <w:tc>
          <w:tcPr>
            <w:tcW w:w="1276" w:type="dxa"/>
            <w:shd w:val="clear" w:color="auto" w:fill="DBE5F1"/>
          </w:tcPr>
          <w:p w:rsidR="00F95116" w:rsidRPr="00F95116" w:rsidRDefault="00F95116" w:rsidP="009F5833">
            <w:pPr>
              <w:pStyle w:val="Pagrindinispaprastastekstas"/>
              <w:jc w:val="center"/>
              <w:rPr>
                <w:rFonts w:cs="Times New Roman"/>
                <w:sz w:val="20"/>
                <w:szCs w:val="20"/>
              </w:rPr>
            </w:pPr>
            <w:r w:rsidRPr="00F95116">
              <w:rPr>
                <w:rFonts w:cs="Times New Roman"/>
                <w:sz w:val="20"/>
                <w:szCs w:val="20"/>
              </w:rPr>
              <w:t>Vidaus reikalų ministerija</w:t>
            </w:r>
          </w:p>
        </w:tc>
        <w:tc>
          <w:tcPr>
            <w:tcW w:w="1409" w:type="dxa"/>
            <w:shd w:val="clear" w:color="auto" w:fill="DBE5F1"/>
          </w:tcPr>
          <w:p w:rsidR="00F95116" w:rsidRPr="00F95116" w:rsidRDefault="00F95116" w:rsidP="009F5833">
            <w:pPr>
              <w:pStyle w:val="Pagrindinispaprastastekstas"/>
              <w:jc w:val="center"/>
              <w:rPr>
                <w:rFonts w:cs="Times New Roman"/>
                <w:sz w:val="20"/>
                <w:szCs w:val="20"/>
              </w:rPr>
            </w:pPr>
            <w:r w:rsidRPr="00F95116">
              <w:rPr>
                <w:rFonts w:cs="Times New Roman"/>
                <w:sz w:val="20"/>
                <w:szCs w:val="20"/>
              </w:rPr>
              <w:t>UAB „PPMI Group“</w:t>
            </w:r>
          </w:p>
        </w:tc>
      </w:tr>
    </w:tbl>
    <w:p w:rsidR="00F95116" w:rsidRPr="00F95116" w:rsidRDefault="00F95116" w:rsidP="00F95116">
      <w:pPr>
        <w:pStyle w:val="Antrastes3"/>
        <w:rPr>
          <w:rFonts w:cs="Times New Roman"/>
        </w:rPr>
      </w:pPr>
      <w:bookmarkStart w:id="34" w:name="_Toc467753965"/>
      <w:r w:rsidRPr="00F95116">
        <w:rPr>
          <w:rFonts w:cs="Times New Roman"/>
        </w:rPr>
        <w:t>Pagrindiniai vertinimų rezultatai ir išvados</w:t>
      </w:r>
      <w:bookmarkEnd w:id="34"/>
    </w:p>
    <w:p w:rsidR="00F95116" w:rsidRPr="00F95116" w:rsidRDefault="00F95116" w:rsidP="00F95116">
      <w:pPr>
        <w:pStyle w:val="Pagrindinispaprastastekstas"/>
        <w:rPr>
          <w:rFonts w:cs="Times New Roman"/>
          <w:sz w:val="22"/>
          <w:szCs w:val="22"/>
        </w:rPr>
      </w:pPr>
      <w:r w:rsidRPr="00F95116">
        <w:rPr>
          <w:rFonts w:cs="Times New Roman"/>
          <w:b/>
          <w:bCs/>
          <w:i/>
          <w:iCs/>
          <w:color w:val="1F497D"/>
          <w:sz w:val="22"/>
          <w:szCs w:val="22"/>
        </w:rPr>
        <w:t>ES struktūrinės paramos rezultatyvumo ir poveikio viešojo valdymo tobulinimui vertinimas veiksmų programų prioritetų įgyvendinimo priemonių / projektų lygiu</w:t>
      </w:r>
      <w:r w:rsidRPr="00F95116">
        <w:rPr>
          <w:rFonts w:cs="Times New Roman"/>
          <w:b/>
          <w:bCs/>
          <w:sz w:val="22"/>
          <w:szCs w:val="22"/>
        </w:rPr>
        <w:t xml:space="preserve"> </w:t>
      </w:r>
      <w:r w:rsidRPr="00F95116">
        <w:rPr>
          <w:rFonts w:cs="Times New Roman"/>
          <w:sz w:val="22"/>
          <w:szCs w:val="22"/>
        </w:rPr>
        <w:t xml:space="preserve">atliktas siekiant nustatyti 2007–2013 m. ES struktūrinės paramos intervencijų veiksmingumą, gerosios praktikos pavyzdžius ir įvertinti finansavimo poreikius 2014–2020 m. Vertinimo metu nagrinėtos visų 2007–2013 m. veiksmų programų priemonės viešojo valdymo srityje, kurios buvo suskirstytos į penkias sritis: 1) valstybės tarnybos stiprinimas; 2) veiklos valdymas; 3) sisteminės viešosios politikos reformos; 4) elektroninės valdžios priemonės ir 5) bendradarbiavimas. </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rPr>
          <w:rFonts w:cs="Times New Roman"/>
          <w:sz w:val="22"/>
          <w:szCs w:val="22"/>
        </w:rPr>
      </w:pPr>
      <w:r w:rsidRPr="00986CFB">
        <w:rPr>
          <w:rFonts w:cs="Times New Roman"/>
          <w:sz w:val="22"/>
          <w:szCs w:val="22"/>
        </w:rPr>
        <w:t xml:space="preserve">Atlikus vertinimą nustatyta, kad </w:t>
      </w:r>
      <w:r w:rsidRPr="00986CFB">
        <w:rPr>
          <w:rFonts w:cs="Times New Roman"/>
          <w:b/>
          <w:bCs/>
          <w:i/>
          <w:iCs/>
          <w:sz w:val="22"/>
          <w:szCs w:val="22"/>
        </w:rPr>
        <w:t>ES finansuojamų programų tikslai, uždaviniai ir veiklos gerai atitiko nacionalinių viešojo valdymo dokumentų turinį</w:t>
      </w:r>
      <w:r w:rsidRPr="00986CFB">
        <w:rPr>
          <w:rFonts w:cs="Times New Roman"/>
          <w:sz w:val="22"/>
          <w:szCs w:val="22"/>
        </w:rPr>
        <w:t>. Daugiausia dėmesio 2007–2013 m. buvo skiriama elektroninės valdžios skatinimui, viešųjų paslaugų kokybės ir prieinamumo didinimui, žmogiškųjų išteklių modernizavimui ir į rezultatus orientuoto valdymo skatinimui, o mažiausia dėmesio teko institucinės sandaros tobulinimui. Vertinime nurodoma, kad buvo nustatytos aiškios takoskyros tarp skirtingų ES fondų, iš kurių finansuotos viešojo valdymo tobulinimo priemonės.</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rPr>
          <w:rFonts w:cs="Times New Roman"/>
          <w:sz w:val="22"/>
          <w:szCs w:val="22"/>
        </w:rPr>
      </w:pPr>
      <w:r w:rsidRPr="00986CFB">
        <w:rPr>
          <w:rFonts w:cs="Times New Roman"/>
          <w:sz w:val="22"/>
          <w:szCs w:val="22"/>
        </w:rPr>
        <w:t xml:space="preserve">2007–2013 m. ES fondų lėšomis </w:t>
      </w:r>
      <w:r w:rsidRPr="00986CFB">
        <w:rPr>
          <w:rFonts w:cs="Times New Roman"/>
          <w:b/>
          <w:bCs/>
          <w:i/>
          <w:iCs/>
          <w:sz w:val="22"/>
          <w:szCs w:val="22"/>
        </w:rPr>
        <w:t>sukurti produktai ir pasiekti rezultatai prisidėjo prie visų viešojo valdymo tobulinimo tikslų ir uždavinių įgyvendinimo</w:t>
      </w:r>
      <w:r w:rsidRPr="00986CFB">
        <w:rPr>
          <w:rFonts w:cs="Times New Roman"/>
          <w:sz w:val="22"/>
          <w:szCs w:val="22"/>
        </w:rPr>
        <w:t>. Tikslų pasiekimą žmogiškųjų išteklių srityje mažino darbuotojų stabilumo ir motyvacijos panaudoti įgytas žinias trūkumas, mokymų orientacija į procesą, o ne į pokyčius. Sukurtų produktų ir rezultatų tęstinumo tikimybė pasibaigus finansavimui buvo vidutinė ir priklausė nuo intervencijų srities bei viešojo valdymo institucijų. Esant ribotoms valstybės ir ypač savivaldybių biudžeto lėšoms, 2007–2013 m. ES struktūrinių fondų lėšomis sukurtų viešojo valdymo srities produktų ir rezultatų tęstinumas dažnai priklauso nuo planuojamų skirti investicijų 2014–2020 m. (ypač veiklos valdymo ir elektroninės valdžios priemonių srityse).</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rPr>
          <w:rFonts w:cs="Times New Roman"/>
          <w:sz w:val="22"/>
          <w:szCs w:val="22"/>
        </w:rPr>
      </w:pPr>
      <w:r w:rsidRPr="00986CFB">
        <w:rPr>
          <w:rFonts w:cs="Times New Roman"/>
          <w:sz w:val="22"/>
          <w:szCs w:val="22"/>
        </w:rPr>
        <w:t xml:space="preserve">ES fondų investicijų </w:t>
      </w:r>
      <w:r w:rsidRPr="00986CFB">
        <w:rPr>
          <w:rFonts w:cs="Times New Roman"/>
          <w:b/>
          <w:bCs/>
          <w:i/>
          <w:iCs/>
          <w:sz w:val="22"/>
          <w:szCs w:val="22"/>
        </w:rPr>
        <w:t>poveikis žmogiškųjų išteklių ir veiklos valdymo srityse buvo didelis</w:t>
      </w:r>
      <w:r w:rsidRPr="00986CFB">
        <w:rPr>
          <w:rFonts w:cs="Times New Roman"/>
          <w:sz w:val="22"/>
          <w:szCs w:val="22"/>
        </w:rPr>
        <w:t xml:space="preserve">, nes buvo pakankamai palankių prielaidų poveikiui pasireikšti, o sukurti produktai ir rezultatai buvo tinkami viešojo valdymo žmogiškųjų išteklių ar veiklos valdymo tikslams pasiekti. ES lėšų </w:t>
      </w:r>
      <w:r w:rsidRPr="00986CFB">
        <w:rPr>
          <w:rFonts w:cs="Times New Roman"/>
          <w:b/>
          <w:bCs/>
          <w:i/>
          <w:iCs/>
          <w:sz w:val="22"/>
          <w:szCs w:val="22"/>
        </w:rPr>
        <w:t>poveikis viešajam valdymui elektroninės valdžios skatinimo srityje negalėjo pasireikšti maksimaliu mastu</w:t>
      </w:r>
      <w:r w:rsidRPr="00986CFB">
        <w:rPr>
          <w:rFonts w:cs="Times New Roman"/>
          <w:sz w:val="22"/>
          <w:szCs w:val="22"/>
        </w:rPr>
        <w:t xml:space="preserve">, nes tik iš dalies buvo patenkintos trys reikalingos sisteminio lygio prielaidos (aiški valstybės informacinių išteklių optimizavimo ir konsolidavimo vizija, valstybės ir savivaldybių institucijų ir įstaigų bendradarbiavimas kuriant centralizuotas ir sąveikias elektronines viešąsias paslaugas, sprendimų diegimo koordinavimas ir derinimas bei projektų vykdytojų organizacinė branda). </w:t>
      </w:r>
      <w:r w:rsidRPr="00986CFB">
        <w:rPr>
          <w:rFonts w:cs="Times New Roman"/>
          <w:b/>
          <w:bCs/>
          <w:i/>
          <w:iCs/>
          <w:sz w:val="22"/>
          <w:szCs w:val="22"/>
        </w:rPr>
        <w:t>Sisteminių viešosios politikos reformų srities projektų poveikis buvo sektorinis ir ribotas</w:t>
      </w:r>
      <w:r w:rsidRPr="00986CFB">
        <w:rPr>
          <w:rFonts w:cs="Times New Roman"/>
          <w:sz w:val="22"/>
          <w:szCs w:val="22"/>
        </w:rPr>
        <w:t xml:space="preserve">, nes pasireiškė nepakankamai teigiamų prielaidų, be to, dėl netinkamos priemonių intervencijų logikos ir gana didelės projektų fragmentacijos 2007–2013 m. buvo įgyvendinami sektoriniai, o ne sisteminiai projektai. </w:t>
      </w:r>
      <w:r w:rsidRPr="00986CFB">
        <w:rPr>
          <w:rFonts w:cs="Times New Roman"/>
          <w:b/>
          <w:bCs/>
          <w:i/>
          <w:iCs/>
          <w:sz w:val="22"/>
          <w:szCs w:val="22"/>
        </w:rPr>
        <w:t>Institucinio bendradarbiavimo ir partnerystės skatinimo srityje ES fondų lėšų poveikis nebuvo didelis</w:t>
      </w:r>
      <w:r w:rsidRPr="00986CFB">
        <w:rPr>
          <w:rFonts w:cs="Times New Roman"/>
          <w:sz w:val="22"/>
          <w:szCs w:val="22"/>
        </w:rPr>
        <w:t>, tačiau įgyvendinti projektai prisidėjo prie bendradarbiaujančių institucijų administracinių gebėjimų stiprinimo.</w:t>
      </w:r>
    </w:p>
    <w:p w:rsidR="00F95116" w:rsidRPr="00986CFB" w:rsidRDefault="00F95116" w:rsidP="00CA0A60">
      <w:pPr>
        <w:pStyle w:val="Pagrindinispaprastastekstas"/>
        <w:rPr>
          <w:rFonts w:cs="Times New Roman"/>
          <w:sz w:val="22"/>
          <w:szCs w:val="22"/>
        </w:rPr>
      </w:pPr>
    </w:p>
    <w:p w:rsidR="00A73AD3" w:rsidRPr="00986CFB" w:rsidRDefault="00A73AD3" w:rsidP="00CA0A60">
      <w:pPr>
        <w:pStyle w:val="Antrastes3"/>
        <w:rPr>
          <w:rFonts w:cs="Times New Roman"/>
        </w:rPr>
      </w:pPr>
      <w:bookmarkStart w:id="35" w:name="_Toc467753966"/>
      <w:r w:rsidRPr="00986CFB">
        <w:rPr>
          <w:rFonts w:cs="Times New Roman"/>
        </w:rPr>
        <w:lastRenderedPageBreak/>
        <w:t>Svarbiausios rekomendacijos ir strateginiai siūlymai</w:t>
      </w:r>
      <w:bookmarkEnd w:id="35"/>
    </w:p>
    <w:p w:rsidR="00A73AD3" w:rsidRPr="00986CFB" w:rsidRDefault="00A73AD3" w:rsidP="00CA0A60">
      <w:pPr>
        <w:pStyle w:val="Pagrindinispaprastastekstas"/>
        <w:rPr>
          <w:rFonts w:cs="Times New Roman"/>
          <w:sz w:val="22"/>
          <w:szCs w:val="22"/>
        </w:rPr>
      </w:pPr>
      <w:r w:rsidRPr="00986CFB">
        <w:rPr>
          <w:rFonts w:cs="Times New Roman"/>
          <w:sz w:val="22"/>
          <w:szCs w:val="22"/>
        </w:rPr>
        <w:t xml:space="preserve">Atlikus </w:t>
      </w:r>
      <w:r w:rsidRPr="00986CFB">
        <w:rPr>
          <w:rFonts w:cs="Times New Roman"/>
          <w:b/>
          <w:bCs/>
          <w:i/>
          <w:iCs/>
          <w:color w:val="1F497D"/>
          <w:sz w:val="22"/>
          <w:szCs w:val="22"/>
        </w:rPr>
        <w:t>ES struktūrinės paramos rezultatyvumo ir poveikio viešojo valdymo tobulinimui vertinimą veiksmų programų prioritetų įgyvendinimo priemonių / projektų lygiu</w:t>
      </w:r>
      <w:r w:rsidRPr="00986CFB">
        <w:rPr>
          <w:rFonts w:cs="Times New Roman"/>
          <w:sz w:val="22"/>
          <w:szCs w:val="22"/>
        </w:rPr>
        <w:t xml:space="preserve">, išskirta 14 prioritetinių investavimo sričių, kurios leistų sukurti didesnę pridėtinę vertę panaudojant ES fondų investicijas viešajam valdymui tobulinti 2014–2020 m. Rekomenduota kokybiškai </w:t>
      </w:r>
      <w:r w:rsidRPr="00986CFB">
        <w:rPr>
          <w:rFonts w:cs="Times New Roman"/>
          <w:b/>
          <w:bCs/>
          <w:i/>
          <w:iCs/>
          <w:sz w:val="22"/>
          <w:szCs w:val="22"/>
        </w:rPr>
        <w:t>taikyti įrodymais grįsto valdymo priemones</w:t>
      </w:r>
      <w:r w:rsidRPr="00986CFB">
        <w:rPr>
          <w:rFonts w:cs="Times New Roman"/>
          <w:sz w:val="22"/>
          <w:szCs w:val="22"/>
        </w:rPr>
        <w:t xml:space="preserve"> ir naudoti jų rezultatus, stiprinant šias priemones koordinuojančius kompetencijos centrus, gerinant asmeninius ir institucinius gebėjimus, taip pat pritraukiant priemonėms įgyvendinti reikiamus finansinius ir administracinius išteklius, </w:t>
      </w:r>
      <w:r w:rsidRPr="00986CFB">
        <w:rPr>
          <w:rFonts w:cs="Times New Roman"/>
          <w:b/>
          <w:bCs/>
          <w:i/>
          <w:iCs/>
          <w:sz w:val="22"/>
          <w:szCs w:val="22"/>
        </w:rPr>
        <w:t>didinti bendrųjų valdžios išlaidų ir funkcijų efektyvumą</w:t>
      </w:r>
      <w:r w:rsidRPr="00986CFB">
        <w:rPr>
          <w:rFonts w:cs="Times New Roman"/>
          <w:sz w:val="22"/>
          <w:szCs w:val="22"/>
        </w:rPr>
        <w:t xml:space="preserve">, centralizuojant ir optimizuojant atitinkamas funkcijas ir išlaidas, </w:t>
      </w:r>
      <w:r w:rsidRPr="00986CFB">
        <w:rPr>
          <w:rFonts w:cs="Times New Roman"/>
          <w:b/>
          <w:bCs/>
          <w:i/>
          <w:iCs/>
          <w:sz w:val="22"/>
          <w:szCs w:val="22"/>
        </w:rPr>
        <w:t>kokybiškai taikyti strateginį planavimą</w:t>
      </w:r>
      <w:r w:rsidRPr="00986CFB">
        <w:rPr>
          <w:rFonts w:cs="Times New Roman"/>
          <w:sz w:val="22"/>
          <w:szCs w:val="22"/>
        </w:rPr>
        <w:t xml:space="preserve"> ir įgyvendinti </w:t>
      </w:r>
      <w:r w:rsidRPr="00986CFB">
        <w:rPr>
          <w:rFonts w:cs="Times New Roman"/>
          <w:b/>
          <w:bCs/>
          <w:i/>
          <w:iCs/>
          <w:sz w:val="22"/>
          <w:szCs w:val="22"/>
        </w:rPr>
        <w:t>veiklos rezultatų stebėseną</w:t>
      </w:r>
      <w:r w:rsidRPr="00986CFB">
        <w:rPr>
          <w:rFonts w:cs="Times New Roman"/>
          <w:sz w:val="22"/>
          <w:szCs w:val="22"/>
        </w:rPr>
        <w:t xml:space="preserve">, peržiūrėti strateginio planavimo sistemas strateginiu ir vietos lygiu, </w:t>
      </w:r>
      <w:r w:rsidRPr="00986CFB">
        <w:rPr>
          <w:rFonts w:cs="Times New Roman"/>
          <w:b/>
          <w:bCs/>
          <w:i/>
          <w:iCs/>
          <w:sz w:val="22"/>
          <w:szCs w:val="22"/>
        </w:rPr>
        <w:t>sukurti sisteminių reformų projektų koordinavimo sistemą ir valdymo grupę</w:t>
      </w:r>
      <w:r w:rsidRPr="00986CFB">
        <w:rPr>
          <w:rFonts w:cs="Times New Roman"/>
          <w:sz w:val="22"/>
          <w:szCs w:val="22"/>
        </w:rPr>
        <w:t>, kuri padėtų įgyvendinti ES institucijų iniciatyvas, Vyriausybės prioritetus ar kitas sistemines Lietuvos viešojo valdymo institucijų iniciatyvas</w:t>
      </w:r>
      <w:r w:rsidR="0083170E" w:rsidRPr="00986CFB">
        <w:rPr>
          <w:rFonts w:cs="Times New Roman"/>
          <w:sz w:val="22"/>
          <w:szCs w:val="22"/>
        </w:rPr>
        <w:t xml:space="preserve"> atitinkančių</w:t>
      </w:r>
      <w:r w:rsidRPr="00986CFB">
        <w:rPr>
          <w:rFonts w:cs="Times New Roman"/>
          <w:sz w:val="22"/>
          <w:szCs w:val="22"/>
        </w:rPr>
        <w:t>ų sisteminių reformų projektus.</w:t>
      </w:r>
    </w:p>
    <w:p w:rsidR="00A73AD3" w:rsidRPr="00986CFB" w:rsidRDefault="00A73AD3" w:rsidP="00CA0A60">
      <w:pPr>
        <w:pStyle w:val="Pagrindinispaprastastekstas"/>
        <w:rPr>
          <w:rFonts w:cs="Times New Roman"/>
          <w:sz w:val="22"/>
          <w:szCs w:val="22"/>
        </w:rPr>
      </w:pPr>
    </w:p>
    <w:p w:rsidR="00A73AD3" w:rsidRPr="00986CFB" w:rsidRDefault="00A73AD3" w:rsidP="00CA0A60">
      <w:pPr>
        <w:pStyle w:val="Pagrindinispaprastastekstas"/>
        <w:rPr>
          <w:rFonts w:cs="Times New Roman"/>
          <w:sz w:val="22"/>
          <w:szCs w:val="22"/>
        </w:rPr>
      </w:pPr>
      <w:r w:rsidRPr="00986CFB">
        <w:rPr>
          <w:rFonts w:cs="Times New Roman"/>
          <w:sz w:val="22"/>
          <w:szCs w:val="22"/>
        </w:rPr>
        <w:t>Vertinimo ataskaitoje taip pat pasiūlyta kovoti su korupcija viešajame sektoriuje, stiprinant institucijų gebėjimus ir įgyvendinant kovos su korupcija programas, įgyvendinti iniciatyvas, skirtas</w:t>
      </w:r>
      <w:r w:rsidRPr="00986CFB">
        <w:rPr>
          <w:rFonts w:cs="Times New Roman"/>
          <w:b/>
          <w:bCs/>
          <w:i/>
          <w:iCs/>
          <w:sz w:val="22"/>
          <w:szCs w:val="22"/>
        </w:rPr>
        <w:t xml:space="preserve"> informacijos prieinamumo piliečiams didinimui ir valdžios duomenų atvėrimui verslui</w:t>
      </w:r>
      <w:r w:rsidRPr="00986CFB">
        <w:rPr>
          <w:rFonts w:cs="Times New Roman"/>
          <w:sz w:val="22"/>
          <w:szCs w:val="22"/>
        </w:rPr>
        <w:t xml:space="preserve">, skatinti </w:t>
      </w:r>
      <w:r w:rsidRPr="00986CFB">
        <w:rPr>
          <w:rFonts w:cs="Times New Roman"/>
          <w:b/>
          <w:bCs/>
          <w:i/>
          <w:iCs/>
          <w:sz w:val="22"/>
          <w:szCs w:val="22"/>
        </w:rPr>
        <w:t>viešojo valdymo institucijų konsultavimąsi su visuomene</w:t>
      </w:r>
      <w:r w:rsidRPr="00986CFB">
        <w:rPr>
          <w:rFonts w:cs="Times New Roman"/>
          <w:sz w:val="22"/>
          <w:szCs w:val="22"/>
        </w:rPr>
        <w:t xml:space="preserve"> ir didinti jos dalyvavimo viešojo valdymo procesuose galimybes, vystyti kokybės vadybos metodų taikymą ir įgyvendinti stebėseną, kurti ir kokybiškai </w:t>
      </w:r>
      <w:r w:rsidRPr="00986CFB">
        <w:rPr>
          <w:rFonts w:cs="Times New Roman"/>
          <w:b/>
          <w:bCs/>
          <w:i/>
          <w:iCs/>
          <w:sz w:val="22"/>
          <w:szCs w:val="22"/>
        </w:rPr>
        <w:t>įgyvendinti visuomenei teikiamų paslaugų kokybės ir asmenų aptarnavimo gerinimo iniciatyvas</w:t>
      </w:r>
      <w:r w:rsidRPr="00986CFB">
        <w:rPr>
          <w:rFonts w:cs="Times New Roman"/>
          <w:sz w:val="22"/>
          <w:szCs w:val="22"/>
        </w:rPr>
        <w:t xml:space="preserve">, įgyvendinant bandomuosius viešųjų paslaugų centrų projektus, kuriant viešųjų paslaugų standartus. Rekomenduota </w:t>
      </w:r>
      <w:r w:rsidRPr="00986CFB">
        <w:rPr>
          <w:rFonts w:cs="Times New Roman"/>
          <w:b/>
          <w:bCs/>
          <w:i/>
          <w:iCs/>
          <w:sz w:val="22"/>
          <w:szCs w:val="22"/>
        </w:rPr>
        <w:t>įgyvendinti inovatyvius teisingumo vykdymo procesus ir didinti teisingumo sistemos veikimo efektyvumą</w:t>
      </w:r>
      <w:r w:rsidRPr="00986CFB">
        <w:rPr>
          <w:rFonts w:cs="Times New Roman"/>
          <w:sz w:val="22"/>
          <w:szCs w:val="22"/>
        </w:rPr>
        <w:t xml:space="preserve">, atliekant teismuose įdiegtų kokybės vadybos sistemų peržiūrą, vykdant tolimesnę teismų funkcijų peržiūrą, </w:t>
      </w:r>
      <w:r w:rsidRPr="00986CFB">
        <w:rPr>
          <w:rFonts w:cs="Times New Roman"/>
          <w:b/>
          <w:bCs/>
          <w:i/>
          <w:iCs/>
          <w:sz w:val="22"/>
          <w:szCs w:val="22"/>
        </w:rPr>
        <w:t>įgyvendinti geresnio reglamentavimo programą</w:t>
      </w:r>
      <w:r w:rsidRPr="00986CFB">
        <w:rPr>
          <w:rFonts w:cs="Times New Roman"/>
          <w:sz w:val="22"/>
          <w:szCs w:val="22"/>
        </w:rPr>
        <w:t xml:space="preserve">, užtikrinti stipraus koordinacinio centro veikimą, įtraukti savivaldybes į geresnio reglamentavimo priemonių įgyvendinimą, </w:t>
      </w:r>
      <w:r w:rsidRPr="00986CFB">
        <w:rPr>
          <w:rFonts w:cs="Times New Roman"/>
          <w:b/>
          <w:bCs/>
          <w:i/>
          <w:iCs/>
          <w:sz w:val="22"/>
          <w:szCs w:val="22"/>
        </w:rPr>
        <w:t>įgyvendinti kompetencijomis grįstą žmogiškųjų išteklių valdymo modelį</w:t>
      </w:r>
      <w:r w:rsidRPr="00986CFB">
        <w:rPr>
          <w:rFonts w:cs="Times New Roman"/>
          <w:sz w:val="22"/>
          <w:szCs w:val="22"/>
        </w:rPr>
        <w:t xml:space="preserve"> valstybės ir savivaldybių institucijose bei įstaigose, </w:t>
      </w:r>
      <w:r w:rsidRPr="00986CFB">
        <w:rPr>
          <w:rFonts w:cs="Times New Roman"/>
          <w:b/>
          <w:bCs/>
          <w:i/>
          <w:iCs/>
          <w:sz w:val="22"/>
          <w:szCs w:val="22"/>
        </w:rPr>
        <w:t>sukurti aukštesniosios valstybės tarnybos sistemą</w:t>
      </w:r>
      <w:r w:rsidRPr="00986CFB">
        <w:rPr>
          <w:rFonts w:cs="Times New Roman"/>
          <w:sz w:val="22"/>
          <w:szCs w:val="22"/>
        </w:rPr>
        <w:t xml:space="preserve"> ir stiprinti vadovų grandį, </w:t>
      </w:r>
      <w:r w:rsidRPr="00986CFB">
        <w:rPr>
          <w:rFonts w:cs="Times New Roman"/>
          <w:b/>
          <w:bCs/>
          <w:i/>
          <w:iCs/>
          <w:sz w:val="22"/>
          <w:szCs w:val="22"/>
        </w:rPr>
        <w:t>sukurti finansinės ir nefinansinės motyvacijos sistemą valstybės tarnyboje</w:t>
      </w:r>
      <w:r w:rsidRPr="00986CFB">
        <w:rPr>
          <w:rFonts w:cs="Times New Roman"/>
          <w:sz w:val="22"/>
          <w:szCs w:val="22"/>
        </w:rPr>
        <w:t xml:space="preserve"> ir pavienėse institucijose bei įstaigose.</w:t>
      </w:r>
    </w:p>
    <w:p w:rsidR="00A73AD3" w:rsidRPr="00986CFB" w:rsidRDefault="00A73AD3" w:rsidP="001A235B">
      <w:pPr>
        <w:pStyle w:val="Pagrindinispaprastastekstas"/>
        <w:rPr>
          <w:rFonts w:cs="Times New Roman"/>
        </w:rPr>
      </w:pPr>
    </w:p>
    <w:p w:rsidR="00A73AD3" w:rsidRPr="00986CFB" w:rsidRDefault="00A73AD3" w:rsidP="00957851">
      <w:pPr>
        <w:pStyle w:val="Nenumeruojamosantrastes"/>
        <w:rPr>
          <w:rFonts w:cs="Times New Roman"/>
        </w:rPr>
      </w:pPr>
      <w:bookmarkStart w:id="36" w:name="_Toc472343160"/>
      <w:r w:rsidRPr="00986CFB">
        <w:rPr>
          <w:rFonts w:cs="Times New Roman"/>
        </w:rPr>
        <w:lastRenderedPageBreak/>
        <w:t>Santrumpų paaiškinimas</w:t>
      </w:r>
      <w:bookmarkEnd w:id="36"/>
    </w:p>
    <w:tbl>
      <w:tblPr>
        <w:tblW w:w="0" w:type="auto"/>
        <w:tblInd w:w="2" w:type="dxa"/>
        <w:tblLook w:val="00A0" w:firstRow="1" w:lastRow="0" w:firstColumn="1" w:lastColumn="0" w:noHBand="0" w:noVBand="0"/>
      </w:tblPr>
      <w:tblGrid>
        <w:gridCol w:w="1271"/>
        <w:gridCol w:w="8357"/>
      </w:tblGrid>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AEI</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Atsinaujinantys energijos ištekliai</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BVP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Bendrasis vidaus produktas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GMP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Greitoji medicinos pagalba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EAVP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2007–2013 m. Ekonomikos augimo veiksmų programos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ES</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Europos Sąjunga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ESF</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Europos socialinis fondas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ERPF</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Europos regioninės plėtros fondas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ISPA</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 xml:space="preserve">Pasirengimo narystei Europos Sąjungos struktūrinės politikos instrumentas </w:t>
            </w:r>
          </w:p>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 xml:space="preserve">(angl. </w:t>
            </w:r>
            <w:r w:rsidRPr="00986CFB">
              <w:rPr>
                <w:rFonts w:ascii="Cambria" w:hAnsi="Cambria"/>
                <w:i/>
                <w:iCs/>
                <w:sz w:val="22"/>
                <w:szCs w:val="22"/>
                <w:lang w:eastAsia="lt-LT"/>
              </w:rPr>
              <w:t>Instrument for Structural Policies for Pre-Accession</w:t>
            </w:r>
            <w:r w:rsidRPr="00986CFB">
              <w:rPr>
                <w:rFonts w:ascii="Cambria" w:hAnsi="Cambria"/>
                <w:sz w:val="22"/>
                <w:szCs w:val="22"/>
                <w:lang w:eastAsia="lt-LT"/>
              </w:rPr>
              <w:t>)</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IRT</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Informacinės ir ryšių technologijos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IT</w:t>
            </w:r>
          </w:p>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MVP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Informacinės technologijos</w:t>
            </w:r>
          </w:p>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Metinis vertinimo planas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MTTP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Moksliniai tyrimai ir technologinė plėtra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SSVP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2007–2013 m. Sanglaudos skatinimo veiksmų programa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SVV</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Smulkus ir vidutinis verslas</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TP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Techninė pagalba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VIII</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Valstybės informacinių išteklių infrastruktūra</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VKG</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Vertinimo koordinavimo grupė</w:t>
            </w:r>
          </w:p>
        </w:tc>
      </w:tr>
      <w:tr w:rsidR="00A73AD3" w:rsidRPr="00986CFB">
        <w:tc>
          <w:tcPr>
            <w:tcW w:w="1271" w:type="dxa"/>
          </w:tcPr>
          <w:p w:rsidR="00A73AD3" w:rsidRPr="00986CFB" w:rsidRDefault="00A73AD3" w:rsidP="00B41F3A">
            <w:pPr>
              <w:rPr>
                <w:rFonts w:ascii="Cambria" w:hAnsi="Cambria"/>
                <w:b/>
                <w:bCs/>
                <w:color w:val="1F497D"/>
                <w:sz w:val="22"/>
                <w:szCs w:val="22"/>
                <w:lang w:eastAsia="lt-LT"/>
              </w:rPr>
            </w:pPr>
            <w:r w:rsidRPr="00986CFB">
              <w:rPr>
                <w:rFonts w:ascii="Cambria" w:hAnsi="Cambria"/>
                <w:b/>
                <w:bCs/>
                <w:color w:val="1F497D"/>
                <w:sz w:val="22"/>
                <w:szCs w:val="22"/>
                <w:lang w:eastAsia="lt-LT"/>
              </w:rPr>
              <w:t>ŽIPVP</w:t>
            </w:r>
          </w:p>
        </w:tc>
        <w:tc>
          <w:tcPr>
            <w:tcW w:w="8357" w:type="dxa"/>
          </w:tcPr>
          <w:p w:rsidR="00A73AD3" w:rsidRPr="00986CFB" w:rsidRDefault="00A73AD3" w:rsidP="00B41F3A">
            <w:pPr>
              <w:rPr>
                <w:rFonts w:ascii="Cambria" w:hAnsi="Cambria"/>
                <w:sz w:val="22"/>
                <w:szCs w:val="22"/>
                <w:lang w:eastAsia="lt-LT"/>
              </w:rPr>
            </w:pPr>
            <w:r w:rsidRPr="00986CFB">
              <w:rPr>
                <w:rFonts w:ascii="Cambria" w:hAnsi="Cambria"/>
                <w:sz w:val="22"/>
                <w:szCs w:val="22"/>
                <w:lang w:eastAsia="lt-LT"/>
              </w:rPr>
              <w:t>2007–2013 m. Žmogiškųjų išteklių plėtros veiksmų programa</w:t>
            </w:r>
          </w:p>
        </w:tc>
      </w:tr>
    </w:tbl>
    <w:p w:rsidR="00A73AD3" w:rsidRPr="00986CFB" w:rsidRDefault="00A73AD3" w:rsidP="00957851">
      <w:pPr>
        <w:pStyle w:val="Pagrindinispaprastastekstas"/>
        <w:rPr>
          <w:rFonts w:cs="Times New Roman"/>
        </w:rPr>
      </w:pPr>
    </w:p>
    <w:p w:rsidR="00A73AD3" w:rsidRPr="00986CFB" w:rsidRDefault="00A73AD3" w:rsidP="009F00EC">
      <w:pPr>
        <w:pStyle w:val="Pagrindinispaprastastekstas"/>
        <w:rPr>
          <w:rFonts w:cs="Times New Roman"/>
        </w:rPr>
      </w:pPr>
    </w:p>
    <w:p w:rsidR="00A73AD3" w:rsidRPr="00986CFB" w:rsidRDefault="00A73AD3" w:rsidP="009F00EC">
      <w:pPr>
        <w:pStyle w:val="Pagrindinispaprastastekstas"/>
        <w:rPr>
          <w:rFonts w:cs="Times New Roman"/>
        </w:rPr>
        <w:sectPr w:rsidR="00A73AD3" w:rsidRPr="00986CFB" w:rsidSect="00957851">
          <w:headerReference w:type="default" r:id="rId21"/>
          <w:footerReference w:type="default" r:id="rId22"/>
          <w:pgSz w:w="11906" w:h="16838"/>
          <w:pgMar w:top="1134" w:right="1134" w:bottom="567" w:left="1134" w:header="567" w:footer="567" w:gutter="0"/>
          <w:cols w:space="1296"/>
          <w:docGrid w:linePitch="360"/>
        </w:sectPr>
      </w:pPr>
    </w:p>
    <w:p w:rsidR="00A73AD3" w:rsidRPr="00986CFB" w:rsidRDefault="00A73AD3" w:rsidP="007D416A">
      <w:pPr>
        <w:pStyle w:val="Priedupavadinimai"/>
        <w:rPr>
          <w:rFonts w:cs="Times New Roman"/>
        </w:rPr>
      </w:pPr>
      <w:bookmarkStart w:id="37" w:name="_Toc472343161"/>
      <w:r w:rsidRPr="00986CFB">
        <w:rPr>
          <w:rFonts w:cs="Times New Roman"/>
        </w:rPr>
        <w:lastRenderedPageBreak/>
        <w:t>2009–2016 m. užbaigtų vertinimų sąrašas</w:t>
      </w:r>
      <w:bookmarkEnd w:id="37"/>
    </w:p>
    <w:tbl>
      <w:tblPr>
        <w:tblW w:w="5000" w:type="pct"/>
        <w:tblInd w:w="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A0" w:firstRow="1" w:lastRow="0" w:firstColumn="1" w:lastColumn="0" w:noHBand="0" w:noVBand="0"/>
      </w:tblPr>
      <w:tblGrid>
        <w:gridCol w:w="715"/>
        <w:gridCol w:w="10361"/>
        <w:gridCol w:w="1151"/>
        <w:gridCol w:w="2016"/>
        <w:gridCol w:w="826"/>
      </w:tblGrid>
      <w:tr w:rsidR="00A73AD3" w:rsidRPr="00986CFB">
        <w:trPr>
          <w:trHeight w:val="20"/>
          <w:tblHeader/>
        </w:trPr>
        <w:tc>
          <w:tcPr>
            <w:tcW w:w="237" w:type="pct"/>
            <w:tcBorders>
              <w:bottom w:val="single" w:sz="12" w:space="0" w:color="95B3D7"/>
            </w:tcBorders>
            <w:shd w:val="clear" w:color="auto" w:fill="DBE5F1"/>
            <w:vAlign w:val="center"/>
          </w:tcPr>
          <w:p w:rsidR="00A73AD3" w:rsidRPr="00986CFB" w:rsidRDefault="00A73AD3" w:rsidP="002C4E45">
            <w:pPr>
              <w:jc w:val="center"/>
              <w:rPr>
                <w:rFonts w:ascii="Cambria" w:hAnsi="Cambria"/>
                <w:b/>
                <w:bCs/>
                <w:color w:val="000000"/>
                <w:sz w:val="18"/>
                <w:szCs w:val="18"/>
                <w:lang w:eastAsia="lt-LT"/>
              </w:rPr>
            </w:pPr>
            <w:bookmarkStart w:id="38" w:name="_Toc307575546"/>
            <w:bookmarkEnd w:id="38"/>
            <w:r w:rsidRPr="00986CFB">
              <w:rPr>
                <w:rFonts w:ascii="Cambria" w:hAnsi="Cambria"/>
                <w:b/>
                <w:bCs/>
                <w:color w:val="000000"/>
                <w:sz w:val="18"/>
                <w:szCs w:val="18"/>
                <w:lang w:eastAsia="lt-LT"/>
              </w:rPr>
              <w:t>Eil. Nr.</w:t>
            </w:r>
          </w:p>
        </w:tc>
        <w:tc>
          <w:tcPr>
            <w:tcW w:w="3438" w:type="pct"/>
            <w:tcBorders>
              <w:bottom w:val="single" w:sz="12" w:space="0" w:color="95B3D7"/>
            </w:tcBorders>
            <w:shd w:val="clear" w:color="auto" w:fill="DBE5F1"/>
            <w:noWrap/>
            <w:vAlign w:val="center"/>
          </w:tcPr>
          <w:p w:rsidR="00A73AD3" w:rsidRPr="00986CFB" w:rsidRDefault="00A73AD3" w:rsidP="002C4E45">
            <w:pPr>
              <w:jc w:val="center"/>
              <w:rPr>
                <w:rFonts w:ascii="Cambria" w:hAnsi="Cambria"/>
                <w:b/>
                <w:bCs/>
                <w:color w:val="000000"/>
                <w:sz w:val="18"/>
                <w:szCs w:val="18"/>
                <w:lang w:eastAsia="lt-LT"/>
              </w:rPr>
            </w:pPr>
            <w:r w:rsidRPr="00986CFB">
              <w:rPr>
                <w:rFonts w:ascii="Cambria" w:hAnsi="Cambria"/>
                <w:b/>
                <w:bCs/>
                <w:color w:val="000000"/>
                <w:sz w:val="18"/>
                <w:szCs w:val="18"/>
                <w:lang w:eastAsia="lt-LT"/>
              </w:rPr>
              <w:t>Vertinimo pobūdis, pavadinimas</w:t>
            </w:r>
          </w:p>
        </w:tc>
        <w:tc>
          <w:tcPr>
            <w:tcW w:w="382" w:type="pct"/>
            <w:tcBorders>
              <w:bottom w:val="single" w:sz="12" w:space="0" w:color="95B3D7"/>
            </w:tcBorders>
            <w:shd w:val="clear" w:color="auto" w:fill="DBE5F1"/>
            <w:vAlign w:val="center"/>
          </w:tcPr>
          <w:p w:rsidR="00A73AD3" w:rsidRPr="00986CFB" w:rsidRDefault="00A73AD3" w:rsidP="002C4E45">
            <w:pPr>
              <w:jc w:val="center"/>
              <w:rPr>
                <w:rFonts w:ascii="Cambria" w:hAnsi="Cambria"/>
                <w:b/>
                <w:bCs/>
                <w:color w:val="000000"/>
                <w:sz w:val="18"/>
                <w:szCs w:val="18"/>
                <w:lang w:eastAsia="lt-LT"/>
              </w:rPr>
            </w:pPr>
            <w:r w:rsidRPr="00986CFB">
              <w:rPr>
                <w:rFonts w:ascii="Cambria" w:hAnsi="Cambria"/>
                <w:b/>
                <w:bCs/>
                <w:color w:val="000000"/>
                <w:sz w:val="18"/>
                <w:szCs w:val="18"/>
                <w:lang w:eastAsia="lt-LT"/>
              </w:rPr>
              <w:t>Užsakovas</w:t>
            </w:r>
          </w:p>
        </w:tc>
        <w:tc>
          <w:tcPr>
            <w:tcW w:w="669" w:type="pct"/>
            <w:tcBorders>
              <w:bottom w:val="single" w:sz="12" w:space="0" w:color="95B3D7"/>
            </w:tcBorders>
            <w:shd w:val="clear" w:color="auto" w:fill="DBE5F1"/>
            <w:vAlign w:val="center"/>
          </w:tcPr>
          <w:p w:rsidR="00A73AD3" w:rsidRPr="00986CFB" w:rsidRDefault="00A73AD3" w:rsidP="002C4E45">
            <w:pPr>
              <w:jc w:val="center"/>
              <w:rPr>
                <w:rFonts w:ascii="Cambria" w:hAnsi="Cambria"/>
                <w:b/>
                <w:bCs/>
                <w:color w:val="000000"/>
                <w:sz w:val="18"/>
                <w:szCs w:val="18"/>
                <w:lang w:eastAsia="lt-LT"/>
              </w:rPr>
            </w:pPr>
            <w:r w:rsidRPr="00986CFB">
              <w:rPr>
                <w:rFonts w:ascii="Cambria" w:hAnsi="Cambria"/>
                <w:b/>
                <w:bCs/>
                <w:color w:val="000000"/>
                <w:sz w:val="18"/>
                <w:szCs w:val="18"/>
                <w:lang w:eastAsia="lt-LT"/>
              </w:rPr>
              <w:t>Pagrindinis vykdytojas*</w:t>
            </w:r>
          </w:p>
        </w:tc>
        <w:tc>
          <w:tcPr>
            <w:tcW w:w="274" w:type="pct"/>
            <w:tcBorders>
              <w:bottom w:val="single" w:sz="12" w:space="0" w:color="95B3D7"/>
            </w:tcBorders>
            <w:shd w:val="clear" w:color="auto" w:fill="DBE5F1"/>
            <w:vAlign w:val="center"/>
          </w:tcPr>
          <w:p w:rsidR="00A73AD3" w:rsidRPr="00986CFB" w:rsidRDefault="00A73AD3" w:rsidP="002C4E45">
            <w:pPr>
              <w:jc w:val="center"/>
              <w:rPr>
                <w:rFonts w:ascii="Cambria" w:hAnsi="Cambria"/>
                <w:b/>
                <w:bCs/>
                <w:color w:val="000000"/>
                <w:sz w:val="18"/>
                <w:szCs w:val="18"/>
                <w:lang w:eastAsia="lt-LT"/>
              </w:rPr>
            </w:pPr>
            <w:r w:rsidRPr="00986CFB">
              <w:rPr>
                <w:rFonts w:ascii="Cambria" w:hAnsi="Cambria"/>
                <w:b/>
                <w:bCs/>
                <w:color w:val="000000"/>
                <w:sz w:val="18"/>
                <w:szCs w:val="18"/>
                <w:lang w:eastAsia="lt-LT"/>
              </w:rPr>
              <w:t>Metai</w:t>
            </w:r>
          </w:p>
        </w:tc>
      </w:tr>
      <w:tr w:rsidR="00A73AD3" w:rsidRPr="00986CFB">
        <w:trPr>
          <w:trHeight w:val="20"/>
        </w:trPr>
        <w:tc>
          <w:tcPr>
            <w:tcW w:w="237" w:type="pct"/>
            <w:shd w:val="clear" w:color="auto" w:fill="DBE5F1"/>
            <w:noWrap/>
          </w:tcPr>
          <w:p w:rsidR="00A73AD3" w:rsidRPr="00986CFB" w:rsidRDefault="00A73AD3" w:rsidP="00C47F4B">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ADMINISTRAVIMO SISTEMOS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color w:val="000000"/>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Sanglaudos skatinimo veiksmų programos 1 prioriteto 2 uždavinio įgyvendinimo rodiklio „Pritraukta privačių investicijų (eurai)“ skaičiavimo metodologijos rengimas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EKT</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Žmogiškųjų išteklių plėtros veiksmų programos 4 prioriteto įgyvendinimo rodiklių skaičiavimas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specialiųjų atrankos kriterijų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EAVP įgyvendinimo rodiklių transporto sektoriuje skaičiavimas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VGTU</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lėšomis finansuojamų finansinės inžinerijos priemonių steigimo ir valdymo Lietuvoje teisinės ir institucinės sistemos tinkamumo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ŪM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Europos investicijų banko paskolos administravimo sistemos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Pagal 2007–2013 m. Europos Sąjungos struktūrinės paramos strategiją įgyvendinamų veiksmų programų einamasis stebėsenos rodiklių tinkamumo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Regionų projektų planavimo ir įgyvendinimo sistemos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Sanglaudos skatinimo veiksmų programos informavimo apie aplinką priemonių stebėsenos rodiklių skaičiavimo metodikos parengimas ir jų pradinės situacijos nustatymas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Valstybės projektų planavimo, taikomo įgyvendinant 2007–2013 m. veiksmų programas ir planuojant ES lėšas, tinkamumo ir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fondų lėšų, skirtų 2007–2013 m. veiksmų programoms įgyvendinti, panaudojimo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Finansavimo takoskyrų, siekiant užtikrinti dvigubo finansavimo prevenciją,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Sveikatos apsaugos ministerijos administruojamų Sanglaudos skatinimo veiksmų programos priemonių įgyvendinimo stebėsenos rodiklių sistemos tinkamumo bei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Informavimo apie ES struktūrinę paramą ir jos viešinimo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2012</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administravimo sistemos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Kontrafaktinių vertinimo metodų pritaikomumas ir statistinių duomenų pakankamumas ES struktūrinės paramos poveikiui vertinti</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2007</w:t>
            </w:r>
            <w:r w:rsidRPr="00986CFB">
              <w:rPr>
                <w:rFonts w:ascii="Cambria" w:hAnsi="Cambria"/>
                <w:sz w:val="22"/>
                <w:szCs w:val="22"/>
              </w:rPr>
              <w:t>–</w:t>
            </w:r>
            <w:r w:rsidRPr="00986CFB">
              <w:rPr>
                <w:rFonts w:ascii="Cambria" w:hAnsi="Cambria"/>
                <w:b/>
                <w:bCs/>
                <w:color w:val="000000"/>
                <w:sz w:val="18"/>
                <w:szCs w:val="18"/>
                <w:lang w:eastAsia="lt-LT"/>
              </w:rPr>
              <w:t>2013 M. VEIKSMŲ PROGRAMŲ ĮGYVENDINIMO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color w:val="000000"/>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ESF finansuojamų mokymų kokybės ir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ESF finansuojamų užimtumą skatinančių priemonių įgyvendinimo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Švietimo ir mokslo ministerijos administruojamų 2007–2013 m. veiksmų programų prioritetų ir juos įgyvendinančių ministerijos programų įgyvendinimo tarpinis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ŠMM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Žmogiškųjų išteklių plėtros veiksmų programos 4 prioriteto įgyvendinimo tarpinis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SSVP 1 prioriteto priemonės „Regioninių ekonomikos augimo centrų plėtra“ įgyvendinimo rezultatų ir tęstinumo poreikio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2012</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struktūrinių fondų lėšų, skirtų kelių sektoriaus projektams įgyvendinti, planavimo ir panaudojimo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Europos socialinio fondo finansuojamų veiklų švietimo ir mokslo srityje įgyvendinimo rezultatų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ŠMM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Priemonės „Vandens tiekimo ir nuotekų tvarkymo sistemų renovavimas ir plėtra“ einamasis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„EKO RIVI“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Žmogiškųjų išteklių plėtros veiksmų programos 4 prioriteto rodiklių tarpinių rezultatų vertinimas, siekiant parengti išsamią informaciją metinei įgyvendinimo ataskaitai</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 xml:space="preserve">Žmogiškųjų išteklių veiksmų programos priemonės „Socialinės rizikos ir socialinę atskirtį patiriančių asmenų integracija į darbo </w:t>
            </w:r>
            <w:r w:rsidRPr="00986CFB">
              <w:rPr>
                <w:rFonts w:ascii="Cambria" w:hAnsi="Cambria"/>
                <w:color w:val="000000"/>
                <w:sz w:val="18"/>
                <w:szCs w:val="18"/>
                <w:lang w:eastAsia="lt-LT"/>
              </w:rPr>
              <w:lastRenderedPageBreak/>
              <w:t>rinką“ rezultatyvumo, efektyvumo ir tęstinumo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lastRenderedPageBreak/>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2014</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2004–2006 M. INTERVENCIJŲ POVEIKIO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BPD 3.3. priemonės „Informacinių technologijų paslaugų ir infrastruktūros plėtra“ poveikio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IVPK</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BPD 4.8., 4.9., ir 4.10. priemonių įgyvendinimo ir šių priemonių įgyvendinimo poveikio Lietuvos žuvininkystės sektoriui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struktūrinių fondų paramos pagal Lietuvos 2004–2006 metų bendrąjį programavimo dokumentą įgyvendinimo suderinamumo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Europos Sąjungos Struktūrinių fondų poveikio BVP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Mirtingumo nuo širdies ir kraujagyslių ligų sumažėjimo paramą gavusiuose regionuose tyrimas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MTVC</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2004–2006 m. ES struktūrinės paramos poveikio Lietuvos transporto sektoriui įvertinimas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Kokybinis ir kiekybinis pasiektų Lietuvos 2004–2006 m. BPD tikslų ir uždavinių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EKT</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2010</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2007–2013 M. VEIKSMŲ PROGRAMŲ POVEIKIO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color w:val="000000"/>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Socialinės integracijos paslaugų socialiai pažeidžiamų ir socialinės rizikos asmenų grupėms situacijos, poreikių ir rezultatyvumo vertinimas, siekiant efektyviai panaudoti 2007–2013 m. ES struktūrinę paramą</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paramos poveikio Lietuvos turizmo sektoriui ir plėtros galimybių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ŪM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EYB</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Sanglaudos skatinimo veiksmų programos 1 prioriteto priemonės „Prielaidų spartesnei ūkinės veiklos diversifikacijai kaimo vietovėse sudarymas“ poveikio ir jos tęstinumo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EKT</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paramos atliekų tvarkymui Lietuvoje efektyvumo vertinimas ir 2014–2020 m. finansavimo prioritetų nustatymas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poveikio gyvenimo kokybei, socialinės atskirties ir skurdo mažinimui Lietuvoje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poveikio smulkiajam ir vidutiniam verslui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ŪM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rezultatyvumo ir poveikio viešojo valdymo tobulinimui vertinimas veiksmų programų prioritetų įgyvendinimo priemonių / projektų lygiu</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VRM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poveikio Lietuvos konkurencingumui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„ESTEP Vilnius“</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2015</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poveikio žmogiškųjų išteklių plėtrai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2015</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Respublikos sveikatos apsaugos ministerijos administruojamų priemonių poveikio „auksinei valandai“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EIP</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2015</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2007–2013 M. VEIKSMŲ PROGRAMŲ POVEIKIO VERTINIMAI, FINANSUOTI 2014-2020 M. TECHNINĖS PARAMOS LĖŠOMIS</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color w:val="000000"/>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poveikio darniajam vystymuisi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„Deloitte Lietuva“</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poveikio kultūrai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KM</w:t>
            </w:r>
          </w:p>
        </w:tc>
        <w:tc>
          <w:tcPr>
            <w:tcW w:w="669"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UAB „ESTEP Vilnius“</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poveikio Lietuvos miestams ir miesteliams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UAB „ESTEP Vilnius“</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poveikio užimtumui ir kitiems Lietuvos ūkio makroekonominiams rodikliams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UAB „ESTEP Vilnius“</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Žmogiškųjų išteklių plėtros veiksmų programos 1 prioriteto „Kokybiškas užimtumas ir socialinė aprėptis“ priemonių, skirtų skatinti jaunimo užimtumą, poveikio ir efektyvumo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EYB</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Žmogiškųjų išteklių plėtros veiksmų programos priemonės „Socialinio dialogo skatinimas“ efektyvumo, rezultatyvumo ir poveikio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„ESTEP Vilnius“</w:t>
            </w:r>
          </w:p>
        </w:tc>
        <w:tc>
          <w:tcPr>
            <w:tcW w:w="274"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Lyčių lygybės mokymų ir proaktyvių veiksmų, organizuotų įgyvendinant 2007–2013 m. Žmogiškųjų išteklių plėtros veiksmų programos I uždavinio priemones, efektyvumo, rezultatyvumo ir poveikio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2016</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B4787D">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poveikio sveikatos apsaugos sektoriui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„Civitta“</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2016</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VERTINIMAI, SUSIJĘ SU 2014–2020 M. ES FONDŲ INVESTICIJŲ PROGRAMAVIMU</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plėtros prioritetų 2014–2020 m. ES struktūrinės paramos panaudojimo laikotarpiu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EKT</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2009</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informacinės visuomenės plėtros tendencijų ir prioritetų 2014–2020 metais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IVPK</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2012</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Sveikatos sektoriaus prioritetų 2014–2020 m. ES struktūrinės paramos panaudojimo laikotarpiu strateginis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MTVC</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Žmogiškųjų išteklių plėtros ir socialinės sanglaudos sričių būklės analizė ir perspektyvų 2014–2020 m. parengimas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2014–2020 m. ES struktūrinės paramos strateginių programavimo dokumentų išankstinis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Švietimo ir mokslo srities prioritetų 2014–2020 m. ES struktūrinės paramos programavimo laikotarpiui strateginis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ŠMM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2014</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 xml:space="preserve">Valstybės informacinių technologijų infrastruktūros, planuojamos finansuoti ES struktūrinių fondų paramos lėšomis 2014–2020 metų laikotarpiu, tendencijų ir perspektyvų vertinimas </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IVPK</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EYB</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2014</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C47F4B">
            <w:pPr>
              <w:rPr>
                <w:rFonts w:ascii="Cambria" w:hAnsi="Cambria"/>
                <w:b/>
                <w:bCs/>
                <w:color w:val="000000"/>
                <w:sz w:val="18"/>
                <w:szCs w:val="18"/>
                <w:lang w:eastAsia="lt-LT"/>
              </w:rPr>
            </w:pPr>
            <w:r w:rsidRPr="00986CFB">
              <w:rPr>
                <w:rFonts w:ascii="Cambria" w:hAnsi="Cambria"/>
                <w:b/>
                <w:bCs/>
                <w:color w:val="000000"/>
                <w:sz w:val="18"/>
                <w:szCs w:val="18"/>
                <w:lang w:eastAsia="lt-LT"/>
              </w:rPr>
              <w:t>TEMINIAI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Baltijos jūros strategijos (BJR) įgyvendinimo panaudojant 2007–2013 m. ES struktūrinę paramą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VšĮ ESTEP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Partnerystės principo įgyvendinimo, panaudojant ES struktūrinę paramą,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2010</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2007–2013 m. ES struktūrinės paramos vertinimų rekomendacijų įgyvendinimo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Aplinkosauginių reikalavimų įgyvendinimo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„AF-Consulting“</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2007–2013 m. ES struktūrinės paramos panaudojimo strategijos ir ją įgyvendinančių veiksmų programų indėlis siekiant 2020 m. ES strategijos tikslų</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Lietuvos mokslo ir verslo sričių bendradarbiavimo efektyvumo bei finansavimo galimybių koordinavimo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ŪM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Sveikatos sistemos pertvarkos poveikio 2007–2013 m. ES struktūrinei paramai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EYB</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Tyrimų ir studijų, finansuojamų iš ES struktūrinės paramos lėšų, kokybės, efektyvumo ir tęstinumo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VPVI</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Ūkio ministerijos kompetencijai priskirtų bendrai finansuojamų iš ES struktūrinių fondų lėšų ekonomikos sektorių būklės pokyčių vertinimas (I etapas)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ŪM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2011</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Jaunimo verslumą skatinančių priemonių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2012</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Viešųjų pirkimų poveikio ES struktūrinės paramos panaudojimo efektyvumui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PwC</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2012</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poveikio vietinei ir urbanistinei plėtrai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„BGI Consulting“</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2013</w:t>
            </w: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C47F4B">
            <w:pPr>
              <w:rPr>
                <w:rFonts w:ascii="Cambria" w:hAnsi="Cambria"/>
                <w:color w:val="000000"/>
                <w:sz w:val="18"/>
                <w:szCs w:val="18"/>
                <w:lang w:eastAsia="lt-LT"/>
              </w:rPr>
            </w:pPr>
            <w:r w:rsidRPr="00986CFB">
              <w:rPr>
                <w:rFonts w:ascii="Cambria" w:hAnsi="Cambria"/>
                <w:color w:val="000000"/>
                <w:sz w:val="18"/>
                <w:szCs w:val="18"/>
                <w:lang w:eastAsia="lt-LT"/>
              </w:rPr>
              <w:t>ES struktūrinės paramos poveikis horizontalaus prioriteto „Lyčių lygybė ir nediskriminavimas“ įgyvendinimui</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FM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2014</w:t>
            </w:r>
          </w:p>
        </w:tc>
      </w:tr>
      <w:tr w:rsidR="00A73AD3" w:rsidRPr="00986CFB">
        <w:trPr>
          <w:trHeight w:val="20"/>
        </w:trPr>
        <w:tc>
          <w:tcPr>
            <w:tcW w:w="237" w:type="pct"/>
            <w:shd w:val="clear" w:color="auto" w:fill="DBE5F1"/>
            <w:noWrap/>
          </w:tcPr>
          <w:p w:rsidR="00A73AD3" w:rsidRPr="00986CFB" w:rsidRDefault="00A73AD3" w:rsidP="004A0E42">
            <w:pPr>
              <w:rPr>
                <w:rFonts w:ascii="Cambria" w:hAnsi="Cambria"/>
                <w:b/>
                <w:bCs/>
                <w:color w:val="000000"/>
                <w:sz w:val="18"/>
                <w:szCs w:val="18"/>
                <w:lang w:eastAsia="lt-LT"/>
              </w:rPr>
            </w:pPr>
          </w:p>
        </w:tc>
        <w:tc>
          <w:tcPr>
            <w:tcW w:w="3438" w:type="pct"/>
            <w:shd w:val="clear" w:color="auto" w:fill="DBE5F1"/>
            <w:noWrap/>
          </w:tcPr>
          <w:p w:rsidR="00A73AD3" w:rsidRPr="00986CFB" w:rsidRDefault="00A73AD3" w:rsidP="00E53480">
            <w:pPr>
              <w:rPr>
                <w:rFonts w:ascii="Cambria" w:hAnsi="Cambria"/>
                <w:b/>
                <w:bCs/>
                <w:color w:val="000000"/>
                <w:sz w:val="18"/>
                <w:szCs w:val="18"/>
                <w:lang w:eastAsia="lt-LT"/>
              </w:rPr>
            </w:pPr>
            <w:r w:rsidRPr="00986CFB">
              <w:rPr>
                <w:rFonts w:ascii="Cambria" w:hAnsi="Cambria"/>
                <w:b/>
                <w:bCs/>
                <w:color w:val="000000"/>
                <w:sz w:val="18"/>
                <w:szCs w:val="18"/>
                <w:lang w:eastAsia="lt-LT"/>
              </w:rPr>
              <w:t>2014–2020 M. INTERVENCIJŲ VERTINIMAI</w:t>
            </w:r>
          </w:p>
        </w:tc>
        <w:tc>
          <w:tcPr>
            <w:tcW w:w="382" w:type="pct"/>
            <w:shd w:val="clear" w:color="auto" w:fill="DBE5F1"/>
            <w:noWrap/>
          </w:tcPr>
          <w:p w:rsidR="00A73AD3" w:rsidRPr="00986CFB" w:rsidRDefault="00A73AD3" w:rsidP="002C4E45">
            <w:pPr>
              <w:jc w:val="center"/>
              <w:rPr>
                <w:rFonts w:ascii="Cambria" w:hAnsi="Cambria"/>
                <w:b/>
                <w:bCs/>
                <w:color w:val="000000"/>
                <w:sz w:val="18"/>
                <w:szCs w:val="18"/>
                <w:lang w:eastAsia="lt-LT"/>
              </w:rPr>
            </w:pPr>
          </w:p>
        </w:tc>
        <w:tc>
          <w:tcPr>
            <w:tcW w:w="669" w:type="pct"/>
            <w:shd w:val="clear" w:color="auto" w:fill="DBE5F1"/>
          </w:tcPr>
          <w:p w:rsidR="00A73AD3" w:rsidRPr="00986CFB" w:rsidRDefault="00A73AD3" w:rsidP="002C4E45">
            <w:pPr>
              <w:jc w:val="center"/>
              <w:rPr>
                <w:rFonts w:ascii="Cambria" w:hAnsi="Cambria"/>
                <w:b/>
                <w:bCs/>
                <w:color w:val="000000"/>
                <w:sz w:val="18"/>
                <w:szCs w:val="18"/>
                <w:lang w:eastAsia="lt-LT"/>
              </w:rPr>
            </w:pPr>
          </w:p>
        </w:tc>
        <w:tc>
          <w:tcPr>
            <w:tcW w:w="274" w:type="pct"/>
            <w:shd w:val="clear" w:color="auto" w:fill="DBE5F1"/>
          </w:tcPr>
          <w:p w:rsidR="00A73AD3" w:rsidRPr="00986CFB" w:rsidRDefault="00A73AD3" w:rsidP="002C4E45">
            <w:pPr>
              <w:jc w:val="center"/>
              <w:rPr>
                <w:rFonts w:ascii="Cambria" w:hAnsi="Cambria"/>
                <w:b/>
                <w:bCs/>
                <w:sz w:val="18"/>
                <w:szCs w:val="18"/>
                <w:lang w:eastAsia="lt-LT"/>
              </w:rPr>
            </w:pPr>
          </w:p>
        </w:tc>
      </w:tr>
      <w:tr w:rsidR="00A73AD3" w:rsidRPr="00986CFB">
        <w:trPr>
          <w:trHeight w:val="20"/>
        </w:trPr>
        <w:tc>
          <w:tcPr>
            <w:tcW w:w="237" w:type="pct"/>
            <w:noWrap/>
          </w:tcPr>
          <w:p w:rsidR="00A73AD3" w:rsidRPr="00986CFB" w:rsidRDefault="00A73AD3" w:rsidP="002C4E45">
            <w:pPr>
              <w:pStyle w:val="ListParagraph"/>
              <w:numPr>
                <w:ilvl w:val="0"/>
                <w:numId w:val="30"/>
              </w:numPr>
              <w:rPr>
                <w:rFonts w:ascii="Cambria" w:hAnsi="Cambria"/>
                <w:b/>
                <w:bCs/>
                <w:color w:val="000000"/>
                <w:sz w:val="18"/>
                <w:szCs w:val="18"/>
                <w:lang w:eastAsia="lt-LT"/>
              </w:rPr>
            </w:pPr>
          </w:p>
        </w:tc>
        <w:tc>
          <w:tcPr>
            <w:tcW w:w="3438" w:type="pct"/>
            <w:noWrap/>
          </w:tcPr>
          <w:p w:rsidR="00A73AD3" w:rsidRPr="00986CFB" w:rsidRDefault="00A73AD3" w:rsidP="00E53480">
            <w:pPr>
              <w:rPr>
                <w:rFonts w:ascii="Cambria" w:hAnsi="Cambria"/>
                <w:color w:val="000000"/>
                <w:sz w:val="18"/>
                <w:szCs w:val="18"/>
                <w:lang w:eastAsia="lt-LT"/>
              </w:rPr>
            </w:pPr>
            <w:r w:rsidRPr="00986CFB">
              <w:rPr>
                <w:rFonts w:ascii="Cambria" w:hAnsi="Cambria"/>
                <w:color w:val="000000"/>
                <w:sz w:val="18"/>
                <w:szCs w:val="18"/>
                <w:lang w:eastAsia="lt-LT"/>
              </w:rPr>
              <w:t>Europos socialinio fondo paramos ir Jaunimo užimtumo iniciatyvos veiksmingumo, efektyvumo ir poveikio, įskaitant Jaunimo garantijų iniciatyvos įgyvendinimą, vertinimas</w:t>
            </w:r>
          </w:p>
        </w:tc>
        <w:tc>
          <w:tcPr>
            <w:tcW w:w="382" w:type="pct"/>
            <w:noWrap/>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SADM</w:t>
            </w:r>
          </w:p>
        </w:tc>
        <w:tc>
          <w:tcPr>
            <w:tcW w:w="669" w:type="pct"/>
          </w:tcPr>
          <w:p w:rsidR="00A73AD3" w:rsidRPr="00986CFB" w:rsidRDefault="00A73AD3" w:rsidP="002C4E45">
            <w:pPr>
              <w:jc w:val="center"/>
              <w:rPr>
                <w:rFonts w:ascii="Cambria" w:hAnsi="Cambria"/>
                <w:color w:val="000000"/>
                <w:sz w:val="18"/>
                <w:szCs w:val="18"/>
                <w:lang w:eastAsia="lt-LT"/>
              </w:rPr>
            </w:pPr>
            <w:r w:rsidRPr="00986CFB">
              <w:rPr>
                <w:rFonts w:ascii="Cambria" w:hAnsi="Cambria"/>
                <w:color w:val="000000"/>
                <w:sz w:val="18"/>
                <w:szCs w:val="18"/>
                <w:lang w:eastAsia="lt-LT"/>
              </w:rPr>
              <w:t>UAB „PPMI Group“</w:t>
            </w:r>
          </w:p>
        </w:tc>
        <w:tc>
          <w:tcPr>
            <w:tcW w:w="274" w:type="pct"/>
          </w:tcPr>
          <w:p w:rsidR="00A73AD3" w:rsidRPr="00986CFB" w:rsidRDefault="00A73AD3" w:rsidP="002C4E45">
            <w:pPr>
              <w:jc w:val="center"/>
              <w:rPr>
                <w:rFonts w:ascii="Cambria" w:hAnsi="Cambria"/>
                <w:sz w:val="18"/>
                <w:szCs w:val="18"/>
                <w:lang w:eastAsia="lt-LT"/>
              </w:rPr>
            </w:pPr>
            <w:r w:rsidRPr="00986CFB">
              <w:rPr>
                <w:rFonts w:ascii="Cambria" w:hAnsi="Cambria"/>
                <w:sz w:val="18"/>
                <w:szCs w:val="18"/>
                <w:lang w:eastAsia="lt-LT"/>
              </w:rPr>
              <w:t>2016</w:t>
            </w:r>
          </w:p>
        </w:tc>
      </w:tr>
    </w:tbl>
    <w:p w:rsidR="00A73AD3" w:rsidRPr="00986CFB" w:rsidRDefault="00A73AD3" w:rsidP="00EF0C56">
      <w:pPr>
        <w:pStyle w:val="Saltinis"/>
        <w:rPr>
          <w:rFonts w:cs="Times New Roman"/>
          <w:sz w:val="16"/>
          <w:szCs w:val="16"/>
        </w:rPr>
      </w:pPr>
      <w:r w:rsidRPr="00986CFB">
        <w:rPr>
          <w:rFonts w:cs="Times New Roman"/>
          <w:sz w:val="16"/>
          <w:szCs w:val="16"/>
        </w:rPr>
        <w:t>* EYB – UAB „Ernst&amp;Young Baltic“, EIP – UAB „Eurointegracijos projektai“, EKT – UAB „Ekonominės konsultacijos ir tyrimai“, PwC – UAB „PricewaterhouseCoopers“, VGTU – Vilniaus Gedimino technikos universitetas, VPVI – VšĮ Viešosios politikos ir vadybos institutas, VšĮ ESTEP – VšĮ „Europos socialiniai, teisiniai ir ekonominiai projektai“, MTVC – VšĮ „Mokslinių tyrimų ir vystymo centras“.</w:t>
      </w:r>
    </w:p>
    <w:sectPr w:rsidR="00A73AD3" w:rsidRPr="00986CFB" w:rsidSect="00704094">
      <w:pgSz w:w="16838" w:h="11906" w:orient="landscape"/>
      <w:pgMar w:top="1134" w:right="1134" w:bottom="1134"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62" w:rsidRDefault="00D12E62" w:rsidP="00BB37BA">
      <w:r>
        <w:separator/>
      </w:r>
    </w:p>
  </w:endnote>
  <w:endnote w:type="continuationSeparator" w:id="0">
    <w:p w:rsidR="00D12E62" w:rsidRDefault="00D12E62" w:rsidP="00B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PF Square Sans Pro">
    <w:altName w:val="Times New Roman"/>
    <w:charset w:val="BA"/>
    <w:family w:val="auto"/>
    <w:pitch w:val="variable"/>
    <w:sig w:usb0="00000001" w:usb1="5000E0FB" w:usb2="00000000" w:usb3="00000000" w:csb0="0000019F" w:csb1="00000000"/>
  </w:font>
  <w:font w:name="Calibri">
    <w:panose1 w:val="020F0502020204030204"/>
    <w:charset w:val="BA"/>
    <w:family w:val="swiss"/>
    <w:pitch w:val="variable"/>
    <w:sig w:usb0="E00002FF" w:usb1="4000ACFF" w:usb2="00000001" w:usb3="00000000" w:csb0="0000019F" w:csb1="00000000"/>
  </w:font>
  <w:font w:name="PFSquareSansPro-Regular">
    <w:altName w:val="Arial Narro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MS">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33" w:rsidRDefault="009F5833" w:rsidP="00F26A56">
    <w:pPr>
      <w:pStyle w:val="Footer"/>
      <w:jc w:val="right"/>
    </w:pPr>
    <w:r>
      <w:fldChar w:fldCharType="begin"/>
    </w:r>
    <w:r>
      <w:instrText xml:space="preserve"> PAGE   \* MERGEFORMAT </w:instrText>
    </w:r>
    <w:r>
      <w:fldChar w:fldCharType="separate"/>
    </w:r>
    <w:r w:rsidR="00104CEC">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33" w:rsidRDefault="009F5833" w:rsidP="00B80758">
    <w:pPr>
      <w:pStyle w:val="Headeriams"/>
    </w:pPr>
    <w:r>
      <w:fldChar w:fldCharType="begin"/>
    </w:r>
    <w:r>
      <w:instrText xml:space="preserve"> PAGE   \* MERGEFORMAT </w:instrText>
    </w:r>
    <w:r>
      <w:fldChar w:fldCharType="separate"/>
    </w:r>
    <w:r w:rsidR="00CA1232">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62" w:rsidRDefault="00D12E62" w:rsidP="00BB37BA">
      <w:r>
        <w:separator/>
      </w:r>
    </w:p>
  </w:footnote>
  <w:footnote w:type="continuationSeparator" w:id="0">
    <w:p w:rsidR="00D12E62" w:rsidRDefault="00D12E62" w:rsidP="00BB37BA">
      <w:r>
        <w:continuationSeparator/>
      </w:r>
    </w:p>
  </w:footnote>
  <w:footnote w:id="1">
    <w:p w:rsidR="009F5833" w:rsidRDefault="009F5833" w:rsidP="0097246E">
      <w:pPr>
        <w:pStyle w:val="FootnoteText"/>
        <w:jc w:val="both"/>
        <w:rPr>
          <w:rFonts w:cs="Times New Roman"/>
        </w:rPr>
      </w:pPr>
      <w:r>
        <w:rPr>
          <w:rStyle w:val="FootnoteReference"/>
          <w:rFonts w:cs="Times New Roman"/>
        </w:rPr>
        <w:footnoteRef/>
      </w:r>
      <w:r>
        <w:t xml:space="preserve"> ES struktūrinės paramos vertinimų rezultatų panaudojimo vertinimas. Parengė viešoji įstaiga „Viešosios politikos ir vadybos institutas“ (VPVI) kartu su viešąja įstaiga „Europos socialiniai, teisiniai ir ekonominiai projektai“, 2013 m. </w:t>
      </w:r>
    </w:p>
  </w:footnote>
  <w:footnote w:id="2">
    <w:p w:rsidR="009F5833" w:rsidRDefault="009F5833">
      <w:pPr>
        <w:pStyle w:val="FootnoteText"/>
        <w:rPr>
          <w:rFonts w:cs="Times New Roman"/>
        </w:rPr>
      </w:pPr>
      <w:r>
        <w:rPr>
          <w:rStyle w:val="FootnoteReference"/>
          <w:rFonts w:cs="Times New Roman"/>
        </w:rPr>
        <w:footnoteRef/>
      </w:r>
      <w:r>
        <w:t xml:space="preserve"> Lietuvos ES struktūrinės paramos vertinimo standartai. Skelbiama: </w:t>
      </w:r>
      <w:hyperlink r:id="rId1" w:history="1">
        <w:r w:rsidRPr="00FA2AFB">
          <w:rPr>
            <w:rStyle w:val="Hyperlink"/>
          </w:rPr>
          <w:t>http://www.esinvesticijos.lt/uploads/publications/docs/7_ca1621bf5caee7442cf08eb4d24f5f18.pdf</w:t>
        </w:r>
      </w:hyperlink>
      <w:r>
        <w:t xml:space="preserve"> </w:t>
      </w:r>
    </w:p>
  </w:footnote>
  <w:footnote w:id="3">
    <w:p w:rsidR="009F5833" w:rsidRDefault="009F5833" w:rsidP="0097246E">
      <w:pPr>
        <w:pStyle w:val="FootnoteText"/>
        <w:jc w:val="both"/>
        <w:rPr>
          <w:rFonts w:cs="Times New Roman"/>
        </w:rPr>
      </w:pPr>
      <w:r>
        <w:rPr>
          <w:rStyle w:val="FootnoteReference"/>
          <w:rFonts w:cs="Times New Roman"/>
        </w:rPr>
        <w:footnoteRef/>
      </w:r>
      <w:r>
        <w:t xml:space="preserve"> S</w:t>
      </w:r>
      <w:r w:rsidRPr="00C95B0B">
        <w:t>ocialinės integracijos paslaugų socialiai pažeidžiamų ir socialinės rizikos asmenų grupėms situacijos, poreikių ir rezultatyvumo vertinimas, siekiant efek</w:t>
      </w:r>
      <w:r>
        <w:t>tyviai panaudoti 2007–2013 m. ES</w:t>
      </w:r>
      <w:r w:rsidRPr="00C95B0B">
        <w:t xml:space="preserve"> struktūrinę paramą</w:t>
      </w:r>
      <w:r>
        <w:t xml:space="preserve">. Socialinės apsaugos ir darbo ministerijos užsakymu atliko VšĮ </w:t>
      </w:r>
      <w:r w:rsidRPr="00C95B0B">
        <w:t>Viešosios politikos ir vadybos institutas ir Darbo ir socialinių tyrimų institutas</w:t>
      </w:r>
      <w:r>
        <w:t>, 2011 m.</w:t>
      </w:r>
    </w:p>
  </w:footnote>
  <w:footnote w:id="4">
    <w:p w:rsidR="009F5833" w:rsidRDefault="009F5833" w:rsidP="009706B2">
      <w:pPr>
        <w:pStyle w:val="FootnoteText"/>
        <w:rPr>
          <w:rFonts w:cs="Times New Roman"/>
        </w:rPr>
      </w:pPr>
      <w:r>
        <w:rPr>
          <w:rStyle w:val="FootnoteReference"/>
          <w:rFonts w:cs="Times New Roman"/>
        </w:rPr>
        <w:footnoteRef/>
      </w:r>
      <w:r>
        <w:t xml:space="preserve"> Miesteliai, turintys daugiau kaip 1000 gyventojų.</w:t>
      </w:r>
    </w:p>
  </w:footnote>
  <w:footnote w:id="5">
    <w:p w:rsidR="009F5833" w:rsidRDefault="009F5833" w:rsidP="003A44D8">
      <w:pPr>
        <w:pStyle w:val="FootnoteText"/>
        <w:jc w:val="both"/>
        <w:rPr>
          <w:rFonts w:cs="Times New Roman"/>
        </w:rPr>
      </w:pPr>
      <w:r>
        <w:rPr>
          <w:rStyle w:val="FootnoteReference"/>
          <w:rFonts w:cs="Times New Roman"/>
        </w:rPr>
        <w:footnoteRef/>
      </w:r>
      <w:r>
        <w:t xml:space="preserve"> Rengiant šią apžvalgą Energetikos ministerijos inicijuoto </w:t>
      </w:r>
      <w:r w:rsidRPr="009C320B">
        <w:t xml:space="preserve">2007–2013 m. Europos Sąjungos struktūrinės paramos poveikio energetikos sektoriui vertinimo </w:t>
      </w:r>
      <w:r>
        <w:t xml:space="preserve">ataskaita dar nebuvo prieinama. </w:t>
      </w:r>
    </w:p>
  </w:footnote>
  <w:footnote w:id="6">
    <w:p w:rsidR="009F5833" w:rsidRDefault="009F5833" w:rsidP="003A44D8">
      <w:pPr>
        <w:pStyle w:val="FootnoteText"/>
        <w:jc w:val="both"/>
        <w:rPr>
          <w:rFonts w:cs="Times New Roman"/>
        </w:rPr>
      </w:pPr>
      <w:r>
        <w:rPr>
          <w:rStyle w:val="FootnoteReference"/>
          <w:rFonts w:cs="Times New Roman"/>
        </w:rPr>
        <w:footnoteRef/>
      </w:r>
      <w:r>
        <w:t xml:space="preserve"> Šis sektorius analizuotas kartu su atliekų sektoriumi, tačiau pastarojo sektoriaus ekonominis svoris yra labai nedidelis (apie 1 proc. BVP). </w:t>
      </w:r>
      <w:r w:rsidRPr="00704094">
        <w:t>Palyginimui,</w:t>
      </w:r>
      <w:r>
        <w:t xml:space="preserve"> energetikos sektoriuje </w:t>
      </w:r>
      <w:r w:rsidRPr="00221E0F">
        <w:t xml:space="preserve">sukuriama apie </w:t>
      </w:r>
      <w:r w:rsidRPr="00EF11C3">
        <w:t xml:space="preserve">5 </w:t>
      </w:r>
      <w:r w:rsidRPr="00221E0F">
        <w:t xml:space="preserve">proc. </w:t>
      </w:r>
      <w:r w:rsidRPr="00EF11C3">
        <w:t xml:space="preserve">šalies </w:t>
      </w:r>
      <w:r w:rsidRPr="00221E0F">
        <w:t>BVP</w:t>
      </w:r>
      <w:r w:rsidRPr="007A066A">
        <w:t>.</w:t>
      </w:r>
      <w:r>
        <w:t xml:space="preserve"> 2015 m. energetikos sektoriaus reguliuojamos veiklos pajamos sudarė 5,3 proc. nuo BVP.</w:t>
      </w:r>
    </w:p>
  </w:footnote>
  <w:footnote w:id="7">
    <w:p w:rsidR="009F5833" w:rsidRDefault="009F5833" w:rsidP="003A44D8">
      <w:pPr>
        <w:pStyle w:val="FootnoteText"/>
        <w:jc w:val="both"/>
        <w:rPr>
          <w:rFonts w:cs="Times New Roman"/>
        </w:rPr>
      </w:pPr>
      <w:r w:rsidRPr="007D48D1">
        <w:rPr>
          <w:rStyle w:val="FootnoteReference"/>
          <w:rFonts w:cs="Times New Roman"/>
        </w:rPr>
        <w:footnoteRef/>
      </w:r>
      <w:r w:rsidRPr="007D48D1">
        <w:t xml:space="preserve"> Panašūs skaičiai nurodyti ir ES struktūrinės paramos poveikio Lietuvos konkurencingumui vertinimo ataskaitoje. Nustatyta, kad per 2007–2015 m. dėl vertintų investicijų (177,6 mln. EUR) papildomai buvo sukurta apie 32,2 mln. EUR pridėtinės vertės nominaliąja išraiška (investicijų efektyvumo koeficientas – 0,18). Pratęsus poveikio matavimo laikotarpį iki 2020 m., investicijų poveikis papildomos pridėtinės vertės kūrimui padidėja iki beveik 69,6 mln. EUR (investicijų efektyvumo koeficientas – 0,39). Svarbu paminėti, kad pastarasis vertinimas apėmė tik dalį investicijų energetikos sektoriuje.</w:t>
      </w:r>
      <w:r>
        <w:t xml:space="preserve"> </w:t>
      </w:r>
    </w:p>
  </w:footnote>
  <w:footnote w:id="8">
    <w:p w:rsidR="009F5833" w:rsidRDefault="009F5833" w:rsidP="00AE2029">
      <w:pPr>
        <w:pStyle w:val="FootnoteText"/>
        <w:rPr>
          <w:rFonts w:cs="Times New Roman"/>
        </w:rPr>
      </w:pPr>
      <w:r>
        <w:rPr>
          <w:rStyle w:val="FootnoteReference"/>
          <w:rFonts w:cs="Times New Roman"/>
        </w:rPr>
        <w:footnoteRef/>
      </w:r>
      <w:r>
        <w:t xml:space="preserve"> </w:t>
      </w:r>
      <w:r w:rsidRPr="00E33CD6">
        <w:t>Gaminių ar pakuotės atliekų tvarkymo (GPAT) programa, Lietuvos aplinkos apsaugos investicijų fondo (LAAIF) programa</w:t>
      </w:r>
      <w:r>
        <w:t>.</w:t>
      </w:r>
    </w:p>
  </w:footnote>
  <w:footnote w:id="9">
    <w:p w:rsidR="009F5833" w:rsidRDefault="009F5833" w:rsidP="00AD5393">
      <w:pPr>
        <w:pStyle w:val="FootnoteText"/>
        <w:jc w:val="both"/>
        <w:rPr>
          <w:rFonts w:cs="Times New Roman"/>
        </w:rPr>
      </w:pPr>
      <w:r>
        <w:rPr>
          <w:rStyle w:val="FootnoteReference"/>
          <w:rFonts w:cs="Times New Roman"/>
        </w:rPr>
        <w:footnoteRef/>
      </w:r>
      <w:r>
        <w:t xml:space="preserve"> </w:t>
      </w:r>
      <w:r w:rsidRPr="0087367E">
        <w:t>ES struktūrinės paramos poveikio gyvenimo kokybei, socialinės atskirties ir skurdo mažinimui Lietuvoje vertinimas</w:t>
      </w:r>
      <w:r>
        <w:t>. Finansų ministerijos užsakymu atliko VšĮ „</w:t>
      </w:r>
      <w:r w:rsidRPr="0087367E">
        <w:t>Europos socialiniai, teisiniai ir ekonominiai projektai</w:t>
      </w:r>
      <w:r>
        <w:t>“, 2014 m. gegužė.</w:t>
      </w:r>
    </w:p>
  </w:footnote>
  <w:footnote w:id="10">
    <w:p w:rsidR="009F5833" w:rsidRDefault="009F5833" w:rsidP="00AD5393">
      <w:pPr>
        <w:pStyle w:val="FootnoteText"/>
        <w:jc w:val="both"/>
        <w:rPr>
          <w:rFonts w:cs="Times New Roman"/>
        </w:rPr>
      </w:pPr>
      <w:r>
        <w:rPr>
          <w:rStyle w:val="FootnoteReference"/>
          <w:rFonts w:cs="Times New Roman"/>
        </w:rPr>
        <w:footnoteRef/>
      </w:r>
      <w:r>
        <w:t xml:space="preserve"> </w:t>
      </w:r>
      <w:r w:rsidRPr="0087367E">
        <w:t>2007</w:t>
      </w:r>
      <w:r>
        <w:t>–</w:t>
      </w:r>
      <w:r w:rsidRPr="0087367E">
        <w:t>2013 m. ES struktūrinės paramos poveikio Lietuvos miestams ir miesteliams vertinimas</w:t>
      </w:r>
      <w:r>
        <w:t>. Finansų ministerijos užsakymu atliko UAB „ESTEP Vilnius“, 2016 m. rugpjūtis.</w:t>
      </w:r>
    </w:p>
  </w:footnote>
  <w:footnote w:id="11">
    <w:p w:rsidR="009F5833" w:rsidRDefault="009F5833" w:rsidP="00AD5393">
      <w:pPr>
        <w:pStyle w:val="FootnoteText"/>
        <w:jc w:val="both"/>
        <w:rPr>
          <w:rFonts w:cs="Times New Roman"/>
        </w:rPr>
      </w:pPr>
      <w:r w:rsidRPr="00C97485">
        <w:rPr>
          <w:rStyle w:val="FootnoteReference"/>
          <w:rFonts w:cs="Times New Roman"/>
        </w:rPr>
        <w:footnoteRef/>
      </w:r>
      <w:r w:rsidRPr="00C97485">
        <w:t xml:space="preserve"> ES struktūrinės paramos poveikio vietinei ir urbanistinei plėtrai vertinimas. Finansų ministerijos užsakymu atliko UAB „BGI Consulting“, 2013 m. gegužė.</w:t>
      </w:r>
    </w:p>
  </w:footnote>
  <w:footnote w:id="12">
    <w:p w:rsidR="009F5833" w:rsidRDefault="009F5833" w:rsidP="00AD5393">
      <w:pPr>
        <w:pStyle w:val="FootnoteText"/>
        <w:jc w:val="both"/>
        <w:rPr>
          <w:rFonts w:cs="Times New Roman"/>
        </w:rPr>
      </w:pPr>
      <w:r>
        <w:rPr>
          <w:rStyle w:val="FootnoteReference"/>
          <w:rFonts w:cs="Times New Roman"/>
        </w:rPr>
        <w:footnoteRef/>
      </w:r>
      <w:r>
        <w:t xml:space="preserve"> Miestelius, kuriuose 2011 m. visuotinio gyventojų ir būstų surašymo duomenimis gyventojų skaičius buvo didesnis kaip 1000 gyventojų. </w:t>
      </w:r>
    </w:p>
  </w:footnote>
  <w:footnote w:id="13">
    <w:p w:rsidR="009F5833" w:rsidRDefault="009F5833" w:rsidP="00AD5393">
      <w:pPr>
        <w:pStyle w:val="FootnoteText"/>
        <w:jc w:val="both"/>
        <w:rPr>
          <w:rFonts w:cs="Times New Roman"/>
        </w:rPr>
      </w:pPr>
      <w:r>
        <w:rPr>
          <w:rStyle w:val="FootnoteReference"/>
          <w:rFonts w:cs="Times New Roman"/>
        </w:rPr>
        <w:footnoteRef/>
      </w:r>
      <w:r>
        <w:t xml:space="preserve"> Atliekant </w:t>
      </w:r>
      <w:r w:rsidRPr="00B27C5B">
        <w:t>2007</w:t>
      </w:r>
      <w:r>
        <w:t>–</w:t>
      </w:r>
      <w:r w:rsidRPr="00B27C5B">
        <w:t>2013 m. ES struktūrinės paramos poveikio Lietuvos miestams ir miesteliams vertinimą</w:t>
      </w:r>
      <w:r>
        <w:t xml:space="preserve"> nagrinėtos 42 VP priemonės: </w:t>
      </w:r>
      <w:r w:rsidRPr="00B27C5B">
        <w:t>6 ŽIPVP priemonės, 12 EAVP priemonių ir 24 SSVP priemonės</w:t>
      </w:r>
      <w:r>
        <w:t>.</w:t>
      </w:r>
    </w:p>
  </w:footnote>
  <w:footnote w:id="14">
    <w:p w:rsidR="009F5833" w:rsidRDefault="009F5833" w:rsidP="00AD5393">
      <w:pPr>
        <w:pStyle w:val="FootnoteText"/>
        <w:jc w:val="both"/>
        <w:rPr>
          <w:rFonts w:cs="Times New Roman"/>
        </w:rPr>
      </w:pPr>
      <w:r>
        <w:rPr>
          <w:rStyle w:val="FootnoteReference"/>
          <w:rFonts w:cs="Times New Roman"/>
        </w:rPr>
        <w:footnoteRef/>
      </w:r>
      <w:r>
        <w:t xml:space="preserve"> </w:t>
      </w:r>
      <w:r w:rsidRPr="003E01C6">
        <w:t>Europos Sąjungos paramos poveikio Lietuvos turizmo sektoriui ir plėtros galimybių vertinimas. Ūkio ministerijos užsakymu atliko UAB „Ernst&amp;Young Baltic”, 2013 m.</w:t>
      </w:r>
    </w:p>
  </w:footnote>
  <w:footnote w:id="15">
    <w:p w:rsidR="009F5833" w:rsidRDefault="009F5833" w:rsidP="00AD5393">
      <w:pPr>
        <w:pStyle w:val="FootnoteText"/>
        <w:jc w:val="both"/>
        <w:rPr>
          <w:rFonts w:cs="Times New Roman"/>
        </w:rPr>
      </w:pPr>
      <w:r>
        <w:rPr>
          <w:rStyle w:val="FootnoteReference"/>
          <w:rFonts w:cs="Times New Roman"/>
        </w:rPr>
        <w:footnoteRef/>
      </w:r>
      <w:r>
        <w:t xml:space="preserve"> </w:t>
      </w:r>
      <w:r w:rsidRPr="00704094">
        <w:t>2007</w:t>
      </w:r>
      <w:r w:rsidRPr="00663A03">
        <w:t>–</w:t>
      </w:r>
      <w:r w:rsidRPr="00704094">
        <w:t>2013 metų ES struktūrinės paramos poveikio kultūrai vertinimas</w:t>
      </w:r>
      <w:r w:rsidRPr="00DD41E0">
        <w:t>. Kultūros ministerijos užsakymu atliko UAB „ESTEP Vilnius“ kartu su Vš</w:t>
      </w:r>
      <w:r w:rsidRPr="00085363">
        <w:rPr>
          <w:u w:val="single"/>
        </w:rPr>
        <w:t>Į</w:t>
      </w:r>
      <w:r w:rsidRPr="00DD41E0">
        <w:t xml:space="preserve"> „Europos socialiniai, teisiniai ir ekonominiai projektai“, 2016 m. rugsėjis; </w:t>
      </w:r>
      <w:r w:rsidRPr="00704094">
        <w:t xml:space="preserve">Europos Sąjungos paramos poveikio Lietuvos turizmo sektoriui ir plėtros galimybių vertinimas. </w:t>
      </w:r>
      <w:r w:rsidRPr="00DD41E0">
        <w:t>Ūkio ministerijos užsakymu atliko UAB „Ernst&amp;Young Baltic”, 2013 m.</w:t>
      </w:r>
    </w:p>
  </w:footnote>
  <w:footnote w:id="16">
    <w:p w:rsidR="009F5833" w:rsidRDefault="009F5833" w:rsidP="00AD5393">
      <w:pPr>
        <w:pStyle w:val="FootnoteText"/>
        <w:jc w:val="both"/>
        <w:rPr>
          <w:rFonts w:cs="Times New Roman"/>
        </w:rPr>
      </w:pPr>
      <w:r>
        <w:rPr>
          <w:rStyle w:val="FootnoteReference"/>
          <w:rFonts w:cs="Times New Roman"/>
        </w:rPr>
        <w:footnoteRef/>
      </w:r>
      <w:r>
        <w:t xml:space="preserve"> </w:t>
      </w:r>
      <w:r w:rsidRPr="00E92162">
        <w:t>(1) Kultūros ir meno įstaigų infrastruktūra, (2) nekilnojamojo kultūros paveldo objektų</w:t>
      </w:r>
      <w:r>
        <w:t xml:space="preserve"> tvarkymas ir pritaikymas, (3) k</w:t>
      </w:r>
      <w:r w:rsidRPr="00E92162">
        <w:t>ultūros ir kūrybinių industrijų infrastruktūra, (4) kultūros ir kūrybinių industrijų veikla, (5) elektroninės kultūros paslaugos, (6) kūrybiškumą ugdantis švietimas, (7) švietimo ir ugdymo įstaigų (kultūros) infrastruktūra, (8) lietuviškoji tapatybė ir lituanistika (kalba), (9) kultūros darbuotojų kvalifikacija ir darbo sąlygos bei (10) kultūros politikos valdymas, taikomieji ir moksliniai tyrimai. Pirmosios šešios intervencijų sritys buvo išanalizuotos detaliai</w:t>
      </w:r>
      <w:r>
        <w:t>,</w:t>
      </w:r>
      <w:r w:rsidRPr="00E92162">
        <w:t xml:space="preserve"> t. y. sukurtų produktų, pasiektų rezultatų ir tikėtino poveikio pjūviais, likusios keturios aprašytos pagal intervencijos mastą ir sukurtus produktus.</w:t>
      </w:r>
    </w:p>
  </w:footnote>
  <w:footnote w:id="17">
    <w:p w:rsidR="009F5833" w:rsidRDefault="009F5833" w:rsidP="00AD5393">
      <w:pPr>
        <w:pStyle w:val="FootnoteText"/>
        <w:jc w:val="both"/>
        <w:rPr>
          <w:rFonts w:cs="Times New Roman"/>
        </w:rPr>
      </w:pPr>
      <w:r>
        <w:rPr>
          <w:rStyle w:val="FootnoteReference"/>
          <w:rFonts w:cs="Times New Roman"/>
        </w:rPr>
        <w:footnoteRef/>
      </w:r>
      <w:r>
        <w:t xml:space="preserve"> M</w:t>
      </w:r>
      <w:r w:rsidRPr="000B0249">
        <w:t>uziejų, kultūros centrų, bibliotekų, teatrų ir koncertinių įstaigų</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33" w:rsidRDefault="00CA1232">
    <w:pPr>
      <w:pStyle w:val="Header"/>
    </w:pPr>
    <w:r>
      <w:rPr>
        <w:noProof/>
        <w:lang w:eastAsia="lt-LT"/>
      </w:rPr>
      <w:drawing>
        <wp:anchor distT="0" distB="0" distL="114300" distR="114300" simplePos="0" relativeHeight="251657728" behindDoc="0" locked="0" layoutInCell="1" allowOverlap="1">
          <wp:simplePos x="0" y="0"/>
          <wp:positionH relativeFrom="column">
            <wp:posOffset>-1066165</wp:posOffset>
          </wp:positionH>
          <wp:positionV relativeFrom="paragraph">
            <wp:posOffset>-360045</wp:posOffset>
          </wp:positionV>
          <wp:extent cx="3094990" cy="2818765"/>
          <wp:effectExtent l="0" t="0" r="0" b="635"/>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ook w:val="00A0" w:firstRow="1" w:lastRow="0" w:firstColumn="1" w:lastColumn="0" w:noHBand="0" w:noVBand="0"/>
    </w:tblPr>
    <w:tblGrid>
      <w:gridCol w:w="1809"/>
      <w:gridCol w:w="8043"/>
    </w:tblGrid>
    <w:tr w:rsidR="009F5833" w:rsidRPr="002C4E45">
      <w:tc>
        <w:tcPr>
          <w:tcW w:w="1809" w:type="dxa"/>
        </w:tcPr>
        <w:p w:rsidR="009F5833" w:rsidRDefault="009F5833" w:rsidP="004C7A97">
          <w:pPr>
            <w:pStyle w:val="Header"/>
            <w:rPr>
              <w:lang w:eastAsia="lt-LT"/>
            </w:rPr>
          </w:pPr>
        </w:p>
      </w:tc>
      <w:tc>
        <w:tcPr>
          <w:tcW w:w="8044" w:type="dxa"/>
        </w:tcPr>
        <w:p w:rsidR="009F5833" w:rsidRPr="00444A63" w:rsidRDefault="009F5833" w:rsidP="002F1C38">
          <w:pPr>
            <w:pStyle w:val="Headeriams"/>
            <w:rPr>
              <w:sz w:val="20"/>
              <w:szCs w:val="20"/>
            </w:rPr>
          </w:pPr>
          <w:r w:rsidRPr="00444A63">
            <w:rPr>
              <w:sz w:val="20"/>
              <w:szCs w:val="20"/>
            </w:rPr>
            <w:t>2007–2013 m. ES fondų investicijų vertinimų įžvalgos: poveikis šalies ekonomikai ir atskiriems ūkio sektoriams (viešosios politikos sritims)</w:t>
          </w:r>
        </w:p>
      </w:tc>
    </w:tr>
  </w:tbl>
  <w:p w:rsidR="009F5833" w:rsidRDefault="009F58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A48"/>
    <w:multiLevelType w:val="multilevel"/>
    <w:tmpl w:val="29A06D40"/>
    <w:lvl w:ilvl="0">
      <w:start w:val="1"/>
      <w:numFmt w:val="decimal"/>
      <w:pStyle w:val="Punktas"/>
      <w:suff w:val="space"/>
      <w:lvlText w:val="%1."/>
      <w:lvlJc w:val="left"/>
      <w:pPr>
        <w:ind w:left="180" w:firstLine="720"/>
      </w:pPr>
      <w:rPr>
        <w:rFonts w:hint="default"/>
        <w:b/>
        <w:bCs/>
        <w:i w:val="0"/>
        <w:iCs w:val="0"/>
        <w:u w:val="none"/>
      </w:rPr>
    </w:lvl>
    <w:lvl w:ilvl="1">
      <w:start w:val="1"/>
      <w:numFmt w:val="decimal"/>
      <w:pStyle w:val="Papunktis"/>
      <w:suff w:val="space"/>
      <w:lvlText w:val="%1.%2."/>
      <w:lvlJc w:val="left"/>
      <w:pPr>
        <w:ind w:left="360" w:firstLine="72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5495F1C"/>
    <w:multiLevelType w:val="hybridMultilevel"/>
    <w:tmpl w:val="1054E56A"/>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nsid w:val="06144B42"/>
    <w:multiLevelType w:val="hybridMultilevel"/>
    <w:tmpl w:val="B254BC08"/>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064D7346"/>
    <w:multiLevelType w:val="hybridMultilevel"/>
    <w:tmpl w:val="0A085652"/>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06A512CD"/>
    <w:multiLevelType w:val="hybridMultilevel"/>
    <w:tmpl w:val="DB82BF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nsid w:val="09651434"/>
    <w:multiLevelType w:val="hybridMultilevel"/>
    <w:tmpl w:val="7F9AB46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nsid w:val="098F7050"/>
    <w:multiLevelType w:val="hybridMultilevel"/>
    <w:tmpl w:val="078AAB8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nsid w:val="09AF26BB"/>
    <w:multiLevelType w:val="hybridMultilevel"/>
    <w:tmpl w:val="262CE112"/>
    <w:lvl w:ilvl="0" w:tplc="B2D2C488">
      <w:numFmt w:val="bullet"/>
      <w:lvlText w:val="-"/>
      <w:lvlJc w:val="left"/>
      <w:pPr>
        <w:ind w:left="360" w:hanging="360"/>
      </w:pPr>
      <w:rPr>
        <w:rFonts w:ascii="Cambria" w:eastAsia="Times New Roman" w:hAnsi="Cambria"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0A342B7F"/>
    <w:multiLevelType w:val="hybridMultilevel"/>
    <w:tmpl w:val="DC68FADC"/>
    <w:lvl w:ilvl="0" w:tplc="B2D2C488">
      <w:numFmt w:val="bullet"/>
      <w:lvlText w:val="-"/>
      <w:lvlJc w:val="left"/>
      <w:pPr>
        <w:ind w:left="360" w:hanging="360"/>
      </w:pPr>
      <w:rPr>
        <w:rFonts w:ascii="Cambria" w:eastAsia="Times New Roman" w:hAnsi="Cambria"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nsid w:val="0B4460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C07635"/>
    <w:multiLevelType w:val="hybridMultilevel"/>
    <w:tmpl w:val="5790B2F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15953BBF"/>
    <w:multiLevelType w:val="hybridMultilevel"/>
    <w:tmpl w:val="8A44EF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174D243B"/>
    <w:multiLevelType w:val="hybridMultilevel"/>
    <w:tmpl w:val="25A0B8D2"/>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178F7F3B"/>
    <w:multiLevelType w:val="hybridMultilevel"/>
    <w:tmpl w:val="8F620DB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19B153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22956762"/>
    <w:multiLevelType w:val="hybridMultilevel"/>
    <w:tmpl w:val="E82C82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DBD6C02"/>
    <w:multiLevelType w:val="hybridMultilevel"/>
    <w:tmpl w:val="8F3EBC42"/>
    <w:lvl w:ilvl="0" w:tplc="B2D2C488">
      <w:numFmt w:val="bullet"/>
      <w:lvlText w:val="-"/>
      <w:lvlJc w:val="left"/>
      <w:pPr>
        <w:ind w:left="360" w:hanging="360"/>
      </w:pPr>
      <w:rPr>
        <w:rFonts w:ascii="Cambria" w:eastAsia="Times New Roman" w:hAnsi="Cambria"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nsid w:val="2EA812B6"/>
    <w:multiLevelType w:val="hybridMultilevel"/>
    <w:tmpl w:val="F552EEF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nsid w:val="34E868A4"/>
    <w:multiLevelType w:val="hybridMultilevel"/>
    <w:tmpl w:val="63E844D0"/>
    <w:lvl w:ilvl="0" w:tplc="04270009">
      <w:start w:val="1"/>
      <w:numFmt w:val="bullet"/>
      <w:lvlText w:val=""/>
      <w:lvlJc w:val="left"/>
      <w:pPr>
        <w:ind w:left="363" w:hanging="360"/>
      </w:pPr>
      <w:rPr>
        <w:rFonts w:ascii="Wingdings" w:hAnsi="Wingdings" w:cs="Wingdings" w:hint="default"/>
      </w:rPr>
    </w:lvl>
    <w:lvl w:ilvl="1" w:tplc="04270005">
      <w:start w:val="1"/>
      <w:numFmt w:val="bullet"/>
      <w:lvlText w:val=""/>
      <w:lvlJc w:val="left"/>
      <w:pPr>
        <w:ind w:left="2021" w:hanging="1298"/>
      </w:pPr>
      <w:rPr>
        <w:rFonts w:ascii="Wingdings" w:hAnsi="Wingdings" w:cs="Wingdings" w:hint="default"/>
      </w:rPr>
    </w:lvl>
    <w:lvl w:ilvl="2" w:tplc="04270005">
      <w:start w:val="1"/>
      <w:numFmt w:val="bullet"/>
      <w:lvlText w:val=""/>
      <w:lvlJc w:val="left"/>
      <w:pPr>
        <w:ind w:left="1803" w:hanging="360"/>
      </w:pPr>
      <w:rPr>
        <w:rFonts w:ascii="Wingdings" w:hAnsi="Wingdings" w:cs="Wingdings" w:hint="default"/>
      </w:rPr>
    </w:lvl>
    <w:lvl w:ilvl="3" w:tplc="04270001">
      <w:start w:val="1"/>
      <w:numFmt w:val="bullet"/>
      <w:lvlText w:val=""/>
      <w:lvlJc w:val="left"/>
      <w:pPr>
        <w:ind w:left="2523" w:hanging="360"/>
      </w:pPr>
      <w:rPr>
        <w:rFonts w:ascii="Symbol" w:hAnsi="Symbol" w:cs="Symbol" w:hint="default"/>
      </w:rPr>
    </w:lvl>
    <w:lvl w:ilvl="4" w:tplc="04270003">
      <w:start w:val="1"/>
      <w:numFmt w:val="bullet"/>
      <w:lvlText w:val="o"/>
      <w:lvlJc w:val="left"/>
      <w:pPr>
        <w:ind w:left="3243" w:hanging="360"/>
      </w:pPr>
      <w:rPr>
        <w:rFonts w:ascii="Courier New" w:hAnsi="Courier New" w:cs="Courier New" w:hint="default"/>
      </w:rPr>
    </w:lvl>
    <w:lvl w:ilvl="5" w:tplc="04270005">
      <w:start w:val="1"/>
      <w:numFmt w:val="bullet"/>
      <w:lvlText w:val=""/>
      <w:lvlJc w:val="left"/>
      <w:pPr>
        <w:ind w:left="3963" w:hanging="360"/>
      </w:pPr>
      <w:rPr>
        <w:rFonts w:ascii="Wingdings" w:hAnsi="Wingdings" w:cs="Wingdings" w:hint="default"/>
      </w:rPr>
    </w:lvl>
    <w:lvl w:ilvl="6" w:tplc="04270001">
      <w:start w:val="1"/>
      <w:numFmt w:val="bullet"/>
      <w:lvlText w:val=""/>
      <w:lvlJc w:val="left"/>
      <w:pPr>
        <w:ind w:left="4683" w:hanging="360"/>
      </w:pPr>
      <w:rPr>
        <w:rFonts w:ascii="Symbol" w:hAnsi="Symbol" w:cs="Symbol" w:hint="default"/>
      </w:rPr>
    </w:lvl>
    <w:lvl w:ilvl="7" w:tplc="04270003">
      <w:start w:val="1"/>
      <w:numFmt w:val="bullet"/>
      <w:lvlText w:val="o"/>
      <w:lvlJc w:val="left"/>
      <w:pPr>
        <w:ind w:left="5403" w:hanging="360"/>
      </w:pPr>
      <w:rPr>
        <w:rFonts w:ascii="Courier New" w:hAnsi="Courier New" w:cs="Courier New" w:hint="default"/>
      </w:rPr>
    </w:lvl>
    <w:lvl w:ilvl="8" w:tplc="04270005">
      <w:start w:val="1"/>
      <w:numFmt w:val="bullet"/>
      <w:lvlText w:val=""/>
      <w:lvlJc w:val="left"/>
      <w:pPr>
        <w:ind w:left="6123" w:hanging="360"/>
      </w:pPr>
      <w:rPr>
        <w:rFonts w:ascii="Wingdings" w:hAnsi="Wingdings" w:cs="Wingdings" w:hint="default"/>
      </w:rPr>
    </w:lvl>
  </w:abstractNum>
  <w:abstractNum w:abstractNumId="21">
    <w:nsid w:val="410B73AA"/>
    <w:multiLevelType w:val="hybridMultilevel"/>
    <w:tmpl w:val="458C7C6A"/>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3280AC9"/>
    <w:multiLevelType w:val="hybridMultilevel"/>
    <w:tmpl w:val="DAC082D2"/>
    <w:lvl w:ilvl="0" w:tplc="B2D2C488">
      <w:numFmt w:val="bullet"/>
      <w:lvlText w:val="-"/>
      <w:lvlJc w:val="left"/>
      <w:pPr>
        <w:ind w:left="720" w:hanging="360"/>
      </w:pPr>
      <w:rPr>
        <w:rFonts w:ascii="Cambria" w:eastAsia="Times New Roman" w:hAnsi="Cambria"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447A342F"/>
    <w:multiLevelType w:val="hybridMultilevel"/>
    <w:tmpl w:val="4B240EDA"/>
    <w:lvl w:ilvl="0" w:tplc="B2D2C488">
      <w:numFmt w:val="bullet"/>
      <w:lvlText w:val="-"/>
      <w:lvlJc w:val="left"/>
      <w:pPr>
        <w:ind w:left="360" w:hanging="360"/>
      </w:pPr>
      <w:rPr>
        <w:rFonts w:ascii="Cambria" w:eastAsia="Times New Roman" w:hAnsi="Cambria" w:hint="default"/>
        <w:color w:val="000000"/>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24">
    <w:nsid w:val="44B526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0063F76"/>
    <w:multiLevelType w:val="hybridMultilevel"/>
    <w:tmpl w:val="80A0F054"/>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nsid w:val="52415CAD"/>
    <w:multiLevelType w:val="hybridMultilevel"/>
    <w:tmpl w:val="53B23DD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nsid w:val="52AA0C33"/>
    <w:multiLevelType w:val="hybridMultilevel"/>
    <w:tmpl w:val="808E2F1C"/>
    <w:lvl w:ilvl="0" w:tplc="04270011">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nsid w:val="5B2562E0"/>
    <w:multiLevelType w:val="hybridMultilevel"/>
    <w:tmpl w:val="DD98A11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nsid w:val="5C8A70A9"/>
    <w:multiLevelType w:val="hybridMultilevel"/>
    <w:tmpl w:val="79EEFE38"/>
    <w:lvl w:ilvl="0" w:tplc="B2D2C488">
      <w:numFmt w:val="bullet"/>
      <w:lvlText w:val="-"/>
      <w:lvlJc w:val="left"/>
      <w:pPr>
        <w:ind w:left="360" w:hanging="360"/>
      </w:pPr>
      <w:rPr>
        <w:rFonts w:ascii="Cambria" w:eastAsia="Times New Roman" w:hAnsi="Cambria" w:hint="default"/>
        <w:color w:val="000000"/>
      </w:rPr>
    </w:lvl>
    <w:lvl w:ilvl="1" w:tplc="1F30FA2A">
      <w:start w:val="1"/>
      <w:numFmt w:val="decimal"/>
      <w:lvlText w:val="%2)"/>
      <w:lvlJc w:val="left"/>
      <w:pPr>
        <w:ind w:left="1080" w:hanging="360"/>
      </w:pPr>
      <w:rPr>
        <w:rFonts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nsid w:val="5CCA0AAB"/>
    <w:multiLevelType w:val="hybridMultilevel"/>
    <w:tmpl w:val="C7C21A1C"/>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nsid w:val="637B3FED"/>
    <w:multiLevelType w:val="hybridMultilevel"/>
    <w:tmpl w:val="060416BE"/>
    <w:lvl w:ilvl="0" w:tplc="04270009">
      <w:start w:val="1"/>
      <w:numFmt w:val="bullet"/>
      <w:lvlText w:val=""/>
      <w:lvlJc w:val="left"/>
      <w:pPr>
        <w:ind w:left="363" w:hanging="360"/>
      </w:pPr>
      <w:rPr>
        <w:rFonts w:ascii="Wingdings" w:hAnsi="Wingdings" w:cs="Wingdings" w:hint="default"/>
      </w:rPr>
    </w:lvl>
    <w:lvl w:ilvl="1" w:tplc="D488F13A">
      <w:numFmt w:val="bullet"/>
      <w:lvlText w:val="•"/>
      <w:lvlJc w:val="left"/>
      <w:pPr>
        <w:ind w:left="2021" w:hanging="1298"/>
      </w:pPr>
      <w:rPr>
        <w:rFonts w:ascii="Cambria" w:eastAsia="Times New Roman" w:hAnsi="Cambria" w:hint="default"/>
      </w:rPr>
    </w:lvl>
    <w:lvl w:ilvl="2" w:tplc="04270005">
      <w:start w:val="1"/>
      <w:numFmt w:val="bullet"/>
      <w:lvlText w:val=""/>
      <w:lvlJc w:val="left"/>
      <w:pPr>
        <w:ind w:left="1803" w:hanging="360"/>
      </w:pPr>
      <w:rPr>
        <w:rFonts w:ascii="Wingdings" w:hAnsi="Wingdings" w:cs="Wingdings" w:hint="default"/>
      </w:rPr>
    </w:lvl>
    <w:lvl w:ilvl="3" w:tplc="04270001">
      <w:start w:val="1"/>
      <w:numFmt w:val="bullet"/>
      <w:lvlText w:val=""/>
      <w:lvlJc w:val="left"/>
      <w:pPr>
        <w:ind w:left="2523" w:hanging="360"/>
      </w:pPr>
      <w:rPr>
        <w:rFonts w:ascii="Symbol" w:hAnsi="Symbol" w:cs="Symbol" w:hint="default"/>
      </w:rPr>
    </w:lvl>
    <w:lvl w:ilvl="4" w:tplc="04270003">
      <w:start w:val="1"/>
      <w:numFmt w:val="bullet"/>
      <w:lvlText w:val="o"/>
      <w:lvlJc w:val="left"/>
      <w:pPr>
        <w:ind w:left="3243" w:hanging="360"/>
      </w:pPr>
      <w:rPr>
        <w:rFonts w:ascii="Courier New" w:hAnsi="Courier New" w:cs="Courier New" w:hint="default"/>
      </w:rPr>
    </w:lvl>
    <w:lvl w:ilvl="5" w:tplc="04270005">
      <w:start w:val="1"/>
      <w:numFmt w:val="bullet"/>
      <w:lvlText w:val=""/>
      <w:lvlJc w:val="left"/>
      <w:pPr>
        <w:ind w:left="3963" w:hanging="360"/>
      </w:pPr>
      <w:rPr>
        <w:rFonts w:ascii="Wingdings" w:hAnsi="Wingdings" w:cs="Wingdings" w:hint="default"/>
      </w:rPr>
    </w:lvl>
    <w:lvl w:ilvl="6" w:tplc="04270001">
      <w:start w:val="1"/>
      <w:numFmt w:val="bullet"/>
      <w:lvlText w:val=""/>
      <w:lvlJc w:val="left"/>
      <w:pPr>
        <w:ind w:left="4683" w:hanging="360"/>
      </w:pPr>
      <w:rPr>
        <w:rFonts w:ascii="Symbol" w:hAnsi="Symbol" w:cs="Symbol" w:hint="default"/>
      </w:rPr>
    </w:lvl>
    <w:lvl w:ilvl="7" w:tplc="04270003">
      <w:start w:val="1"/>
      <w:numFmt w:val="bullet"/>
      <w:lvlText w:val="o"/>
      <w:lvlJc w:val="left"/>
      <w:pPr>
        <w:ind w:left="5403" w:hanging="360"/>
      </w:pPr>
      <w:rPr>
        <w:rFonts w:ascii="Courier New" w:hAnsi="Courier New" w:cs="Courier New" w:hint="default"/>
      </w:rPr>
    </w:lvl>
    <w:lvl w:ilvl="8" w:tplc="04270005">
      <w:start w:val="1"/>
      <w:numFmt w:val="bullet"/>
      <w:lvlText w:val=""/>
      <w:lvlJc w:val="left"/>
      <w:pPr>
        <w:ind w:left="6123" w:hanging="360"/>
      </w:pPr>
      <w:rPr>
        <w:rFonts w:ascii="Wingdings" w:hAnsi="Wingdings" w:cs="Wingdings" w:hint="default"/>
      </w:rPr>
    </w:lvl>
  </w:abstractNum>
  <w:abstractNum w:abstractNumId="33">
    <w:nsid w:val="6CF66737"/>
    <w:multiLevelType w:val="hybridMultilevel"/>
    <w:tmpl w:val="8F7E6530"/>
    <w:lvl w:ilvl="0" w:tplc="4AF649AE">
      <w:start w:val="1"/>
      <w:numFmt w:val="decimal"/>
      <w:pStyle w:val="Priedupavadinimai"/>
      <w:lvlText w:val="%1 priedas. "/>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nsid w:val="763404FD"/>
    <w:multiLevelType w:val="hybridMultilevel"/>
    <w:tmpl w:val="0D2CBEC8"/>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nsid w:val="7FB17C97"/>
    <w:multiLevelType w:val="hybridMultilevel"/>
    <w:tmpl w:val="DF16E8D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5"/>
  </w:num>
  <w:num w:numId="3">
    <w:abstractNumId w:val="36"/>
  </w:num>
  <w:num w:numId="4">
    <w:abstractNumId w:val="33"/>
  </w:num>
  <w:num w:numId="5">
    <w:abstractNumId w:val="25"/>
  </w:num>
  <w:num w:numId="6">
    <w:abstractNumId w:val="9"/>
  </w:num>
  <w:num w:numId="7">
    <w:abstractNumId w:val="14"/>
  </w:num>
  <w:num w:numId="8">
    <w:abstractNumId w:val="24"/>
  </w:num>
  <w:num w:numId="9">
    <w:abstractNumId w:val="1"/>
  </w:num>
  <w:num w:numId="10">
    <w:abstractNumId w:val="3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30"/>
  </w:num>
  <w:num w:numId="15">
    <w:abstractNumId w:val="10"/>
  </w:num>
  <w:num w:numId="16">
    <w:abstractNumId w:val="3"/>
  </w:num>
  <w:num w:numId="17">
    <w:abstractNumId w:val="34"/>
  </w:num>
  <w:num w:numId="18">
    <w:abstractNumId w:val="7"/>
  </w:num>
  <w:num w:numId="19">
    <w:abstractNumId w:val="22"/>
  </w:num>
  <w:num w:numId="20">
    <w:abstractNumId w:val="28"/>
  </w:num>
  <w:num w:numId="21">
    <w:abstractNumId w:val="11"/>
  </w:num>
  <w:num w:numId="22">
    <w:abstractNumId w:val="13"/>
  </w:num>
  <w:num w:numId="23">
    <w:abstractNumId w:val="32"/>
  </w:num>
  <w:num w:numId="24">
    <w:abstractNumId w:val="0"/>
  </w:num>
  <w:num w:numId="25">
    <w:abstractNumId w:val="5"/>
  </w:num>
  <w:num w:numId="26">
    <w:abstractNumId w:val="19"/>
  </w:num>
  <w:num w:numId="27">
    <w:abstractNumId w:val="12"/>
  </w:num>
  <w:num w:numId="28">
    <w:abstractNumId w:val="18"/>
  </w:num>
  <w:num w:numId="29">
    <w:abstractNumId w:val="23"/>
  </w:num>
  <w:num w:numId="30">
    <w:abstractNumId w:val="4"/>
  </w:num>
  <w:num w:numId="31">
    <w:abstractNumId w:val="27"/>
  </w:num>
  <w:num w:numId="32">
    <w:abstractNumId w:val="29"/>
  </w:num>
  <w:num w:numId="33">
    <w:abstractNumId w:val="20"/>
  </w:num>
  <w:num w:numId="34">
    <w:abstractNumId w:val="31"/>
  </w:num>
  <w:num w:numId="35">
    <w:abstractNumId w:val="21"/>
  </w:num>
  <w:num w:numId="36">
    <w:abstractNumId w:val="26"/>
  </w:num>
  <w:num w:numId="37">
    <w:abstractNumId w:val="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BA"/>
    <w:rsid w:val="00005BFA"/>
    <w:rsid w:val="00015C38"/>
    <w:rsid w:val="00022575"/>
    <w:rsid w:val="00027984"/>
    <w:rsid w:val="0003097A"/>
    <w:rsid w:val="000314DE"/>
    <w:rsid w:val="00033610"/>
    <w:rsid w:val="00036147"/>
    <w:rsid w:val="000375EC"/>
    <w:rsid w:val="000450CA"/>
    <w:rsid w:val="00045AF9"/>
    <w:rsid w:val="00051421"/>
    <w:rsid w:val="00052DAC"/>
    <w:rsid w:val="00056D78"/>
    <w:rsid w:val="00057DE7"/>
    <w:rsid w:val="00061DEC"/>
    <w:rsid w:val="000653DB"/>
    <w:rsid w:val="00072498"/>
    <w:rsid w:val="00074F66"/>
    <w:rsid w:val="000750B2"/>
    <w:rsid w:val="00075DF7"/>
    <w:rsid w:val="00085363"/>
    <w:rsid w:val="0008652D"/>
    <w:rsid w:val="0009006C"/>
    <w:rsid w:val="00091B9B"/>
    <w:rsid w:val="0009478F"/>
    <w:rsid w:val="000A08C5"/>
    <w:rsid w:val="000A250E"/>
    <w:rsid w:val="000A37AB"/>
    <w:rsid w:val="000A6D9B"/>
    <w:rsid w:val="000A6D9F"/>
    <w:rsid w:val="000B0249"/>
    <w:rsid w:val="000B400D"/>
    <w:rsid w:val="000B5BCE"/>
    <w:rsid w:val="000C2AED"/>
    <w:rsid w:val="000C2DD4"/>
    <w:rsid w:val="000C3BA4"/>
    <w:rsid w:val="000C463F"/>
    <w:rsid w:val="000D68C4"/>
    <w:rsid w:val="000E150C"/>
    <w:rsid w:val="000E4BCC"/>
    <w:rsid w:val="000E6175"/>
    <w:rsid w:val="000E6202"/>
    <w:rsid w:val="000E690C"/>
    <w:rsid w:val="000F05A3"/>
    <w:rsid w:val="000F5F6A"/>
    <w:rsid w:val="00104CEC"/>
    <w:rsid w:val="001103D7"/>
    <w:rsid w:val="00117821"/>
    <w:rsid w:val="00122558"/>
    <w:rsid w:val="00123028"/>
    <w:rsid w:val="00124CC8"/>
    <w:rsid w:val="00134340"/>
    <w:rsid w:val="0013655A"/>
    <w:rsid w:val="00136CB7"/>
    <w:rsid w:val="001454DA"/>
    <w:rsid w:val="001474D4"/>
    <w:rsid w:val="00151B0B"/>
    <w:rsid w:val="001523AD"/>
    <w:rsid w:val="00154563"/>
    <w:rsid w:val="00155649"/>
    <w:rsid w:val="001621DA"/>
    <w:rsid w:val="00162E85"/>
    <w:rsid w:val="00163B43"/>
    <w:rsid w:val="00163C36"/>
    <w:rsid w:val="00165A24"/>
    <w:rsid w:val="00166A32"/>
    <w:rsid w:val="00166CF1"/>
    <w:rsid w:val="001700F8"/>
    <w:rsid w:val="00171286"/>
    <w:rsid w:val="00176A4F"/>
    <w:rsid w:val="00185693"/>
    <w:rsid w:val="001875B7"/>
    <w:rsid w:val="00190621"/>
    <w:rsid w:val="0019682D"/>
    <w:rsid w:val="00196F02"/>
    <w:rsid w:val="001A235B"/>
    <w:rsid w:val="001A3C51"/>
    <w:rsid w:val="001A5759"/>
    <w:rsid w:val="001A786E"/>
    <w:rsid w:val="001B3DD1"/>
    <w:rsid w:val="001B5F5C"/>
    <w:rsid w:val="001C02AB"/>
    <w:rsid w:val="001C7704"/>
    <w:rsid w:val="001D0B37"/>
    <w:rsid w:val="001D37E0"/>
    <w:rsid w:val="001D6DFD"/>
    <w:rsid w:val="001E1943"/>
    <w:rsid w:val="001E2AD5"/>
    <w:rsid w:val="001E306F"/>
    <w:rsid w:val="001E3CCB"/>
    <w:rsid w:val="001E46AF"/>
    <w:rsid w:val="001E5E7E"/>
    <w:rsid w:val="001F313D"/>
    <w:rsid w:val="001F6428"/>
    <w:rsid w:val="001F6BDC"/>
    <w:rsid w:val="001F6F05"/>
    <w:rsid w:val="00204620"/>
    <w:rsid w:val="0020728F"/>
    <w:rsid w:val="002077A5"/>
    <w:rsid w:val="002108E7"/>
    <w:rsid w:val="00221E0F"/>
    <w:rsid w:val="00222396"/>
    <w:rsid w:val="0022664A"/>
    <w:rsid w:val="00231BEC"/>
    <w:rsid w:val="00232001"/>
    <w:rsid w:val="00240D87"/>
    <w:rsid w:val="002428EC"/>
    <w:rsid w:val="00244238"/>
    <w:rsid w:val="00246165"/>
    <w:rsid w:val="00252009"/>
    <w:rsid w:val="0025416C"/>
    <w:rsid w:val="002573D0"/>
    <w:rsid w:val="00257EE3"/>
    <w:rsid w:val="00260C97"/>
    <w:rsid w:val="002615F1"/>
    <w:rsid w:val="00261FDA"/>
    <w:rsid w:val="002650ED"/>
    <w:rsid w:val="00270DF6"/>
    <w:rsid w:val="00274AB9"/>
    <w:rsid w:val="00280E6E"/>
    <w:rsid w:val="00282A6E"/>
    <w:rsid w:val="002928DF"/>
    <w:rsid w:val="002943BE"/>
    <w:rsid w:val="00296C74"/>
    <w:rsid w:val="002A02A4"/>
    <w:rsid w:val="002A08FD"/>
    <w:rsid w:val="002A4195"/>
    <w:rsid w:val="002A4898"/>
    <w:rsid w:val="002B26E8"/>
    <w:rsid w:val="002B4FEC"/>
    <w:rsid w:val="002B70AE"/>
    <w:rsid w:val="002B7BFA"/>
    <w:rsid w:val="002C4E45"/>
    <w:rsid w:val="002C5B7D"/>
    <w:rsid w:val="002F0DD6"/>
    <w:rsid w:val="002F1C38"/>
    <w:rsid w:val="002F5E96"/>
    <w:rsid w:val="002F6D77"/>
    <w:rsid w:val="002F6EB4"/>
    <w:rsid w:val="00300C1E"/>
    <w:rsid w:val="00301A14"/>
    <w:rsid w:val="003061F5"/>
    <w:rsid w:val="003110A4"/>
    <w:rsid w:val="00311B1F"/>
    <w:rsid w:val="00312500"/>
    <w:rsid w:val="00315A9A"/>
    <w:rsid w:val="00316857"/>
    <w:rsid w:val="00316CBF"/>
    <w:rsid w:val="0032102A"/>
    <w:rsid w:val="00326675"/>
    <w:rsid w:val="00331107"/>
    <w:rsid w:val="00332263"/>
    <w:rsid w:val="00337676"/>
    <w:rsid w:val="00337E91"/>
    <w:rsid w:val="00342B47"/>
    <w:rsid w:val="00343DA8"/>
    <w:rsid w:val="003458AA"/>
    <w:rsid w:val="003522E0"/>
    <w:rsid w:val="003542C0"/>
    <w:rsid w:val="003575EF"/>
    <w:rsid w:val="00360E33"/>
    <w:rsid w:val="0036197E"/>
    <w:rsid w:val="0036373E"/>
    <w:rsid w:val="00370268"/>
    <w:rsid w:val="003735A7"/>
    <w:rsid w:val="00373A0F"/>
    <w:rsid w:val="0037671F"/>
    <w:rsid w:val="00382684"/>
    <w:rsid w:val="00382913"/>
    <w:rsid w:val="00383C8E"/>
    <w:rsid w:val="00383F6D"/>
    <w:rsid w:val="00386E9D"/>
    <w:rsid w:val="00392D4E"/>
    <w:rsid w:val="00393357"/>
    <w:rsid w:val="003934B3"/>
    <w:rsid w:val="00394E57"/>
    <w:rsid w:val="003A0A7A"/>
    <w:rsid w:val="003A2531"/>
    <w:rsid w:val="003A260E"/>
    <w:rsid w:val="003A44D8"/>
    <w:rsid w:val="003A74E0"/>
    <w:rsid w:val="003B45ED"/>
    <w:rsid w:val="003B67A4"/>
    <w:rsid w:val="003C14C0"/>
    <w:rsid w:val="003C14F9"/>
    <w:rsid w:val="003C4F5B"/>
    <w:rsid w:val="003D0EE1"/>
    <w:rsid w:val="003D4056"/>
    <w:rsid w:val="003E01C6"/>
    <w:rsid w:val="003E1122"/>
    <w:rsid w:val="003F6218"/>
    <w:rsid w:val="003F7BF8"/>
    <w:rsid w:val="00400DCD"/>
    <w:rsid w:val="00405CF7"/>
    <w:rsid w:val="004063BD"/>
    <w:rsid w:val="00412EC0"/>
    <w:rsid w:val="004136E5"/>
    <w:rsid w:val="00422287"/>
    <w:rsid w:val="00426093"/>
    <w:rsid w:val="00444A63"/>
    <w:rsid w:val="004464C4"/>
    <w:rsid w:val="00446D2B"/>
    <w:rsid w:val="00450272"/>
    <w:rsid w:val="004532EE"/>
    <w:rsid w:val="00454CE9"/>
    <w:rsid w:val="00455978"/>
    <w:rsid w:val="00455ABA"/>
    <w:rsid w:val="00460042"/>
    <w:rsid w:val="00461936"/>
    <w:rsid w:val="00464A01"/>
    <w:rsid w:val="0046574C"/>
    <w:rsid w:val="00473D28"/>
    <w:rsid w:val="00473F8A"/>
    <w:rsid w:val="00481478"/>
    <w:rsid w:val="00482F72"/>
    <w:rsid w:val="00483E67"/>
    <w:rsid w:val="0049196A"/>
    <w:rsid w:val="004A0E42"/>
    <w:rsid w:val="004A177C"/>
    <w:rsid w:val="004A1BCE"/>
    <w:rsid w:val="004A27E5"/>
    <w:rsid w:val="004A3110"/>
    <w:rsid w:val="004A4BAB"/>
    <w:rsid w:val="004A575B"/>
    <w:rsid w:val="004A6F72"/>
    <w:rsid w:val="004B0FB8"/>
    <w:rsid w:val="004B20C8"/>
    <w:rsid w:val="004B4168"/>
    <w:rsid w:val="004B56E1"/>
    <w:rsid w:val="004B6849"/>
    <w:rsid w:val="004C7A97"/>
    <w:rsid w:val="004D03C7"/>
    <w:rsid w:val="004D2A2B"/>
    <w:rsid w:val="004D3CD4"/>
    <w:rsid w:val="004D63D4"/>
    <w:rsid w:val="004E4F11"/>
    <w:rsid w:val="004E51A8"/>
    <w:rsid w:val="004E65B4"/>
    <w:rsid w:val="004F1C9C"/>
    <w:rsid w:val="004F4196"/>
    <w:rsid w:val="004F6EBF"/>
    <w:rsid w:val="00504DD5"/>
    <w:rsid w:val="00512980"/>
    <w:rsid w:val="00517BF0"/>
    <w:rsid w:val="00523644"/>
    <w:rsid w:val="00525B4C"/>
    <w:rsid w:val="005367D7"/>
    <w:rsid w:val="005408C8"/>
    <w:rsid w:val="0054579C"/>
    <w:rsid w:val="00545C82"/>
    <w:rsid w:val="00546026"/>
    <w:rsid w:val="00550265"/>
    <w:rsid w:val="00553207"/>
    <w:rsid w:val="00555E9E"/>
    <w:rsid w:val="0055702E"/>
    <w:rsid w:val="005717F7"/>
    <w:rsid w:val="00571C40"/>
    <w:rsid w:val="0057334D"/>
    <w:rsid w:val="005735BC"/>
    <w:rsid w:val="00575F1B"/>
    <w:rsid w:val="00581864"/>
    <w:rsid w:val="005841D0"/>
    <w:rsid w:val="00586079"/>
    <w:rsid w:val="00586E36"/>
    <w:rsid w:val="00595983"/>
    <w:rsid w:val="00596766"/>
    <w:rsid w:val="005A00D0"/>
    <w:rsid w:val="005A3E09"/>
    <w:rsid w:val="005A5113"/>
    <w:rsid w:val="005A5A31"/>
    <w:rsid w:val="005B5A7B"/>
    <w:rsid w:val="005B6CC8"/>
    <w:rsid w:val="005C3A16"/>
    <w:rsid w:val="005C6520"/>
    <w:rsid w:val="005D1E29"/>
    <w:rsid w:val="005D44D7"/>
    <w:rsid w:val="005D53C0"/>
    <w:rsid w:val="005D6158"/>
    <w:rsid w:val="005E793E"/>
    <w:rsid w:val="005F5973"/>
    <w:rsid w:val="006008CE"/>
    <w:rsid w:val="00602C33"/>
    <w:rsid w:val="00616F7F"/>
    <w:rsid w:val="00626724"/>
    <w:rsid w:val="00634D69"/>
    <w:rsid w:val="006457B8"/>
    <w:rsid w:val="00647931"/>
    <w:rsid w:val="00657433"/>
    <w:rsid w:val="00663A03"/>
    <w:rsid w:val="00671886"/>
    <w:rsid w:val="00672038"/>
    <w:rsid w:val="00672FCA"/>
    <w:rsid w:val="00677683"/>
    <w:rsid w:val="0068025F"/>
    <w:rsid w:val="00682669"/>
    <w:rsid w:val="006840C6"/>
    <w:rsid w:val="00686DB4"/>
    <w:rsid w:val="00690478"/>
    <w:rsid w:val="00690503"/>
    <w:rsid w:val="006931BF"/>
    <w:rsid w:val="006A11F4"/>
    <w:rsid w:val="006A2F03"/>
    <w:rsid w:val="006A358B"/>
    <w:rsid w:val="006A42D1"/>
    <w:rsid w:val="006C4D56"/>
    <w:rsid w:val="006C55E9"/>
    <w:rsid w:val="006C5739"/>
    <w:rsid w:val="006D4A87"/>
    <w:rsid w:val="006E418E"/>
    <w:rsid w:val="006E6916"/>
    <w:rsid w:val="006E6A58"/>
    <w:rsid w:val="006E795C"/>
    <w:rsid w:val="006F154F"/>
    <w:rsid w:val="006F49E2"/>
    <w:rsid w:val="006F56CA"/>
    <w:rsid w:val="00701794"/>
    <w:rsid w:val="00704094"/>
    <w:rsid w:val="00710C2C"/>
    <w:rsid w:val="007111B9"/>
    <w:rsid w:val="007156AE"/>
    <w:rsid w:val="007214E3"/>
    <w:rsid w:val="007219DB"/>
    <w:rsid w:val="0072565A"/>
    <w:rsid w:val="007273B8"/>
    <w:rsid w:val="00727932"/>
    <w:rsid w:val="00727C3A"/>
    <w:rsid w:val="00733D0C"/>
    <w:rsid w:val="007347DE"/>
    <w:rsid w:val="007366A7"/>
    <w:rsid w:val="00736F0F"/>
    <w:rsid w:val="00737E49"/>
    <w:rsid w:val="00745BE5"/>
    <w:rsid w:val="00751F18"/>
    <w:rsid w:val="00753CC9"/>
    <w:rsid w:val="00756853"/>
    <w:rsid w:val="00756C52"/>
    <w:rsid w:val="0076398C"/>
    <w:rsid w:val="007653B7"/>
    <w:rsid w:val="00766AF8"/>
    <w:rsid w:val="007734CA"/>
    <w:rsid w:val="007751F4"/>
    <w:rsid w:val="0077629B"/>
    <w:rsid w:val="00777FA5"/>
    <w:rsid w:val="00784CB5"/>
    <w:rsid w:val="00786C52"/>
    <w:rsid w:val="00786EA0"/>
    <w:rsid w:val="007878CE"/>
    <w:rsid w:val="00794FF4"/>
    <w:rsid w:val="0079515F"/>
    <w:rsid w:val="007A066A"/>
    <w:rsid w:val="007A5924"/>
    <w:rsid w:val="007A7F7B"/>
    <w:rsid w:val="007B5634"/>
    <w:rsid w:val="007C0AD7"/>
    <w:rsid w:val="007C3AAB"/>
    <w:rsid w:val="007C56F1"/>
    <w:rsid w:val="007D12C3"/>
    <w:rsid w:val="007D416A"/>
    <w:rsid w:val="007D48D1"/>
    <w:rsid w:val="007E1969"/>
    <w:rsid w:val="007E2C37"/>
    <w:rsid w:val="007E3156"/>
    <w:rsid w:val="007F438F"/>
    <w:rsid w:val="007F4ADB"/>
    <w:rsid w:val="007F68A7"/>
    <w:rsid w:val="008014AD"/>
    <w:rsid w:val="00802A16"/>
    <w:rsid w:val="00805DAB"/>
    <w:rsid w:val="00806BD9"/>
    <w:rsid w:val="00811A8A"/>
    <w:rsid w:val="008120CE"/>
    <w:rsid w:val="00812610"/>
    <w:rsid w:val="0082055A"/>
    <w:rsid w:val="00822D7C"/>
    <w:rsid w:val="00822D86"/>
    <w:rsid w:val="00825917"/>
    <w:rsid w:val="0083170E"/>
    <w:rsid w:val="0083198F"/>
    <w:rsid w:val="0083201D"/>
    <w:rsid w:val="00834B02"/>
    <w:rsid w:val="008410A0"/>
    <w:rsid w:val="00842394"/>
    <w:rsid w:val="008504FE"/>
    <w:rsid w:val="00851921"/>
    <w:rsid w:val="00851ED8"/>
    <w:rsid w:val="00854CF3"/>
    <w:rsid w:val="00855AF4"/>
    <w:rsid w:val="008627AF"/>
    <w:rsid w:val="00866D0E"/>
    <w:rsid w:val="0087322D"/>
    <w:rsid w:val="0087367E"/>
    <w:rsid w:val="00873778"/>
    <w:rsid w:val="00873DC3"/>
    <w:rsid w:val="00875AEB"/>
    <w:rsid w:val="008834B5"/>
    <w:rsid w:val="008870E1"/>
    <w:rsid w:val="008878B6"/>
    <w:rsid w:val="0089349A"/>
    <w:rsid w:val="008A5A4A"/>
    <w:rsid w:val="008B1173"/>
    <w:rsid w:val="008B6AFC"/>
    <w:rsid w:val="008C204D"/>
    <w:rsid w:val="008C2C32"/>
    <w:rsid w:val="008C3872"/>
    <w:rsid w:val="008C7B38"/>
    <w:rsid w:val="008D2822"/>
    <w:rsid w:val="008D3688"/>
    <w:rsid w:val="008D6A1B"/>
    <w:rsid w:val="008E0688"/>
    <w:rsid w:val="008E4717"/>
    <w:rsid w:val="008E5754"/>
    <w:rsid w:val="008F0235"/>
    <w:rsid w:val="008F799A"/>
    <w:rsid w:val="009037B9"/>
    <w:rsid w:val="00910576"/>
    <w:rsid w:val="0091108A"/>
    <w:rsid w:val="00913444"/>
    <w:rsid w:val="0091370B"/>
    <w:rsid w:val="00913E8B"/>
    <w:rsid w:val="009149FF"/>
    <w:rsid w:val="00914E50"/>
    <w:rsid w:val="00920DF5"/>
    <w:rsid w:val="0092101B"/>
    <w:rsid w:val="009252F6"/>
    <w:rsid w:val="00925E51"/>
    <w:rsid w:val="00931C0D"/>
    <w:rsid w:val="0093200A"/>
    <w:rsid w:val="00935C17"/>
    <w:rsid w:val="009360BA"/>
    <w:rsid w:val="00942D17"/>
    <w:rsid w:val="00946E13"/>
    <w:rsid w:val="009526EC"/>
    <w:rsid w:val="00953858"/>
    <w:rsid w:val="00953A8E"/>
    <w:rsid w:val="009545A4"/>
    <w:rsid w:val="00957851"/>
    <w:rsid w:val="0096314E"/>
    <w:rsid w:val="00967ED4"/>
    <w:rsid w:val="009706B2"/>
    <w:rsid w:val="0097246E"/>
    <w:rsid w:val="00972D81"/>
    <w:rsid w:val="0098215B"/>
    <w:rsid w:val="00983BCD"/>
    <w:rsid w:val="00984EAE"/>
    <w:rsid w:val="00986CFB"/>
    <w:rsid w:val="00987D31"/>
    <w:rsid w:val="00990B99"/>
    <w:rsid w:val="00991B9C"/>
    <w:rsid w:val="009936CC"/>
    <w:rsid w:val="00993B19"/>
    <w:rsid w:val="009A0BE0"/>
    <w:rsid w:val="009A1777"/>
    <w:rsid w:val="009A2877"/>
    <w:rsid w:val="009A3421"/>
    <w:rsid w:val="009A492A"/>
    <w:rsid w:val="009A5E1B"/>
    <w:rsid w:val="009B2CD4"/>
    <w:rsid w:val="009B7266"/>
    <w:rsid w:val="009C19F1"/>
    <w:rsid w:val="009C320B"/>
    <w:rsid w:val="009C438C"/>
    <w:rsid w:val="009C4D59"/>
    <w:rsid w:val="009C707F"/>
    <w:rsid w:val="009D076A"/>
    <w:rsid w:val="009D0F99"/>
    <w:rsid w:val="009D188E"/>
    <w:rsid w:val="009D1C4E"/>
    <w:rsid w:val="009D2A22"/>
    <w:rsid w:val="009D4769"/>
    <w:rsid w:val="009D4A4E"/>
    <w:rsid w:val="009D5B13"/>
    <w:rsid w:val="009E4DFD"/>
    <w:rsid w:val="009E532F"/>
    <w:rsid w:val="009E678B"/>
    <w:rsid w:val="009F00EC"/>
    <w:rsid w:val="009F2628"/>
    <w:rsid w:val="009F3207"/>
    <w:rsid w:val="009F4179"/>
    <w:rsid w:val="009F50DD"/>
    <w:rsid w:val="009F5833"/>
    <w:rsid w:val="009F6423"/>
    <w:rsid w:val="009F6983"/>
    <w:rsid w:val="00A14FD9"/>
    <w:rsid w:val="00A171CD"/>
    <w:rsid w:val="00A1729E"/>
    <w:rsid w:val="00A17B70"/>
    <w:rsid w:val="00A2332A"/>
    <w:rsid w:val="00A24B9A"/>
    <w:rsid w:val="00A31835"/>
    <w:rsid w:val="00A3396E"/>
    <w:rsid w:val="00A372E1"/>
    <w:rsid w:val="00A4302C"/>
    <w:rsid w:val="00A4510B"/>
    <w:rsid w:val="00A543C5"/>
    <w:rsid w:val="00A55470"/>
    <w:rsid w:val="00A56ABC"/>
    <w:rsid w:val="00A57086"/>
    <w:rsid w:val="00A615ED"/>
    <w:rsid w:val="00A704FB"/>
    <w:rsid w:val="00A70A25"/>
    <w:rsid w:val="00A733D1"/>
    <w:rsid w:val="00A734FD"/>
    <w:rsid w:val="00A73AD3"/>
    <w:rsid w:val="00A81461"/>
    <w:rsid w:val="00A85C5C"/>
    <w:rsid w:val="00A87586"/>
    <w:rsid w:val="00A92601"/>
    <w:rsid w:val="00A92D49"/>
    <w:rsid w:val="00A95D37"/>
    <w:rsid w:val="00A97757"/>
    <w:rsid w:val="00AA3C1C"/>
    <w:rsid w:val="00AA51B0"/>
    <w:rsid w:val="00AA5FFF"/>
    <w:rsid w:val="00AA7D08"/>
    <w:rsid w:val="00AB304A"/>
    <w:rsid w:val="00AB48D3"/>
    <w:rsid w:val="00AB6FDE"/>
    <w:rsid w:val="00AC04DB"/>
    <w:rsid w:val="00AC0671"/>
    <w:rsid w:val="00AC402B"/>
    <w:rsid w:val="00AC6962"/>
    <w:rsid w:val="00AD0CBE"/>
    <w:rsid w:val="00AD5393"/>
    <w:rsid w:val="00AD5B3D"/>
    <w:rsid w:val="00AD728B"/>
    <w:rsid w:val="00AD782A"/>
    <w:rsid w:val="00AE17B3"/>
    <w:rsid w:val="00AE2029"/>
    <w:rsid w:val="00AE2C5F"/>
    <w:rsid w:val="00AE3198"/>
    <w:rsid w:val="00AE4CE7"/>
    <w:rsid w:val="00AE6E16"/>
    <w:rsid w:val="00AF39B4"/>
    <w:rsid w:val="00AF7CBB"/>
    <w:rsid w:val="00B020C2"/>
    <w:rsid w:val="00B0368D"/>
    <w:rsid w:val="00B077BC"/>
    <w:rsid w:val="00B10A0B"/>
    <w:rsid w:val="00B11F8D"/>
    <w:rsid w:val="00B211C3"/>
    <w:rsid w:val="00B23576"/>
    <w:rsid w:val="00B26B4F"/>
    <w:rsid w:val="00B27C5B"/>
    <w:rsid w:val="00B27E7C"/>
    <w:rsid w:val="00B33D24"/>
    <w:rsid w:val="00B35F24"/>
    <w:rsid w:val="00B41F3A"/>
    <w:rsid w:val="00B42333"/>
    <w:rsid w:val="00B42C8B"/>
    <w:rsid w:val="00B4787D"/>
    <w:rsid w:val="00B47932"/>
    <w:rsid w:val="00B47F3D"/>
    <w:rsid w:val="00B5309D"/>
    <w:rsid w:val="00B53947"/>
    <w:rsid w:val="00B60F4F"/>
    <w:rsid w:val="00B61E6A"/>
    <w:rsid w:val="00B62ACE"/>
    <w:rsid w:val="00B70AA8"/>
    <w:rsid w:val="00B70C7F"/>
    <w:rsid w:val="00B7155A"/>
    <w:rsid w:val="00B72E53"/>
    <w:rsid w:val="00B7387C"/>
    <w:rsid w:val="00B80758"/>
    <w:rsid w:val="00B871CA"/>
    <w:rsid w:val="00B874D4"/>
    <w:rsid w:val="00B92732"/>
    <w:rsid w:val="00BA1586"/>
    <w:rsid w:val="00BA19C1"/>
    <w:rsid w:val="00BA7FD1"/>
    <w:rsid w:val="00BB2F5D"/>
    <w:rsid w:val="00BB37BA"/>
    <w:rsid w:val="00BB5056"/>
    <w:rsid w:val="00BC7E65"/>
    <w:rsid w:val="00BD10A1"/>
    <w:rsid w:val="00BD388F"/>
    <w:rsid w:val="00BE355B"/>
    <w:rsid w:val="00BE38F5"/>
    <w:rsid w:val="00BE3A4C"/>
    <w:rsid w:val="00BE5072"/>
    <w:rsid w:val="00BE5A0D"/>
    <w:rsid w:val="00BF0FC3"/>
    <w:rsid w:val="00BF1FC4"/>
    <w:rsid w:val="00BF32A2"/>
    <w:rsid w:val="00BF4325"/>
    <w:rsid w:val="00BF52E4"/>
    <w:rsid w:val="00C01DC9"/>
    <w:rsid w:val="00C02F4B"/>
    <w:rsid w:val="00C0748B"/>
    <w:rsid w:val="00C111E1"/>
    <w:rsid w:val="00C12BD7"/>
    <w:rsid w:val="00C239FC"/>
    <w:rsid w:val="00C243B8"/>
    <w:rsid w:val="00C2509A"/>
    <w:rsid w:val="00C2690D"/>
    <w:rsid w:val="00C26A53"/>
    <w:rsid w:val="00C30473"/>
    <w:rsid w:val="00C348A3"/>
    <w:rsid w:val="00C3774E"/>
    <w:rsid w:val="00C37FB0"/>
    <w:rsid w:val="00C43453"/>
    <w:rsid w:val="00C47F4B"/>
    <w:rsid w:val="00C55976"/>
    <w:rsid w:val="00C6046B"/>
    <w:rsid w:val="00C62D7C"/>
    <w:rsid w:val="00C673A2"/>
    <w:rsid w:val="00C70BEA"/>
    <w:rsid w:val="00C71445"/>
    <w:rsid w:val="00C735F4"/>
    <w:rsid w:val="00C8142B"/>
    <w:rsid w:val="00C8148E"/>
    <w:rsid w:val="00C81AC3"/>
    <w:rsid w:val="00C82547"/>
    <w:rsid w:val="00C837D1"/>
    <w:rsid w:val="00C85E62"/>
    <w:rsid w:val="00C921E4"/>
    <w:rsid w:val="00C928D8"/>
    <w:rsid w:val="00C9407E"/>
    <w:rsid w:val="00C951C5"/>
    <w:rsid w:val="00C95B0B"/>
    <w:rsid w:val="00C97485"/>
    <w:rsid w:val="00CA0A60"/>
    <w:rsid w:val="00CA1232"/>
    <w:rsid w:val="00CA74F2"/>
    <w:rsid w:val="00CB64E2"/>
    <w:rsid w:val="00CC2624"/>
    <w:rsid w:val="00CD06C2"/>
    <w:rsid w:val="00CD2304"/>
    <w:rsid w:val="00CE3CE1"/>
    <w:rsid w:val="00CE522B"/>
    <w:rsid w:val="00CE6C2C"/>
    <w:rsid w:val="00CE6CBA"/>
    <w:rsid w:val="00CF010D"/>
    <w:rsid w:val="00CF38DD"/>
    <w:rsid w:val="00D00A15"/>
    <w:rsid w:val="00D00E73"/>
    <w:rsid w:val="00D03CAC"/>
    <w:rsid w:val="00D05276"/>
    <w:rsid w:val="00D12153"/>
    <w:rsid w:val="00D12E62"/>
    <w:rsid w:val="00D15873"/>
    <w:rsid w:val="00D168A5"/>
    <w:rsid w:val="00D2003F"/>
    <w:rsid w:val="00D22BE9"/>
    <w:rsid w:val="00D23433"/>
    <w:rsid w:val="00D23F67"/>
    <w:rsid w:val="00D25D90"/>
    <w:rsid w:val="00D26E00"/>
    <w:rsid w:val="00D358C3"/>
    <w:rsid w:val="00D45343"/>
    <w:rsid w:val="00D51BAD"/>
    <w:rsid w:val="00D523F0"/>
    <w:rsid w:val="00D52625"/>
    <w:rsid w:val="00D53861"/>
    <w:rsid w:val="00D56E92"/>
    <w:rsid w:val="00D60946"/>
    <w:rsid w:val="00D714B8"/>
    <w:rsid w:val="00D71D9D"/>
    <w:rsid w:val="00D75736"/>
    <w:rsid w:val="00D77702"/>
    <w:rsid w:val="00D77FF7"/>
    <w:rsid w:val="00D8028A"/>
    <w:rsid w:val="00D80C1A"/>
    <w:rsid w:val="00D85763"/>
    <w:rsid w:val="00D87FE4"/>
    <w:rsid w:val="00D94D17"/>
    <w:rsid w:val="00D97F7E"/>
    <w:rsid w:val="00DB1B5A"/>
    <w:rsid w:val="00DB34BF"/>
    <w:rsid w:val="00DB3A46"/>
    <w:rsid w:val="00DB3ABD"/>
    <w:rsid w:val="00DB47CF"/>
    <w:rsid w:val="00DB6CA7"/>
    <w:rsid w:val="00DC0EE4"/>
    <w:rsid w:val="00DD3A7C"/>
    <w:rsid w:val="00DD41E0"/>
    <w:rsid w:val="00DD47F4"/>
    <w:rsid w:val="00DD4EDB"/>
    <w:rsid w:val="00DE1493"/>
    <w:rsid w:val="00DE3909"/>
    <w:rsid w:val="00DE6C31"/>
    <w:rsid w:val="00DF4D74"/>
    <w:rsid w:val="00DF5AA3"/>
    <w:rsid w:val="00DF6B89"/>
    <w:rsid w:val="00E12191"/>
    <w:rsid w:val="00E14579"/>
    <w:rsid w:val="00E14963"/>
    <w:rsid w:val="00E16D68"/>
    <w:rsid w:val="00E218F2"/>
    <w:rsid w:val="00E22C07"/>
    <w:rsid w:val="00E2507F"/>
    <w:rsid w:val="00E33CD6"/>
    <w:rsid w:val="00E3432C"/>
    <w:rsid w:val="00E367F5"/>
    <w:rsid w:val="00E40355"/>
    <w:rsid w:val="00E40640"/>
    <w:rsid w:val="00E4143D"/>
    <w:rsid w:val="00E44E28"/>
    <w:rsid w:val="00E4785C"/>
    <w:rsid w:val="00E50440"/>
    <w:rsid w:val="00E51F4D"/>
    <w:rsid w:val="00E52714"/>
    <w:rsid w:val="00E53480"/>
    <w:rsid w:val="00E5359A"/>
    <w:rsid w:val="00E544A0"/>
    <w:rsid w:val="00E56AE2"/>
    <w:rsid w:val="00E62636"/>
    <w:rsid w:val="00E630C6"/>
    <w:rsid w:val="00E662F6"/>
    <w:rsid w:val="00E66BF1"/>
    <w:rsid w:val="00E6797E"/>
    <w:rsid w:val="00E67FAE"/>
    <w:rsid w:val="00E70229"/>
    <w:rsid w:val="00E77FF4"/>
    <w:rsid w:val="00E86096"/>
    <w:rsid w:val="00E92162"/>
    <w:rsid w:val="00E9574A"/>
    <w:rsid w:val="00E95B42"/>
    <w:rsid w:val="00E96888"/>
    <w:rsid w:val="00EA2CB1"/>
    <w:rsid w:val="00EA3DFD"/>
    <w:rsid w:val="00EA5830"/>
    <w:rsid w:val="00EA7A84"/>
    <w:rsid w:val="00EB3264"/>
    <w:rsid w:val="00EB609B"/>
    <w:rsid w:val="00EB6F6A"/>
    <w:rsid w:val="00EC0323"/>
    <w:rsid w:val="00EC2A43"/>
    <w:rsid w:val="00EC2F46"/>
    <w:rsid w:val="00ED0835"/>
    <w:rsid w:val="00EE0045"/>
    <w:rsid w:val="00EE32FA"/>
    <w:rsid w:val="00EE4AA5"/>
    <w:rsid w:val="00EF0C56"/>
    <w:rsid w:val="00EF0D4E"/>
    <w:rsid w:val="00EF11C3"/>
    <w:rsid w:val="00EF1BF4"/>
    <w:rsid w:val="00EF22D1"/>
    <w:rsid w:val="00EF7CC1"/>
    <w:rsid w:val="00F01A62"/>
    <w:rsid w:val="00F04D7D"/>
    <w:rsid w:val="00F04FDE"/>
    <w:rsid w:val="00F05635"/>
    <w:rsid w:val="00F11042"/>
    <w:rsid w:val="00F11592"/>
    <w:rsid w:val="00F14509"/>
    <w:rsid w:val="00F14B07"/>
    <w:rsid w:val="00F22950"/>
    <w:rsid w:val="00F26A56"/>
    <w:rsid w:val="00F31465"/>
    <w:rsid w:val="00F31C48"/>
    <w:rsid w:val="00F33105"/>
    <w:rsid w:val="00F3705E"/>
    <w:rsid w:val="00F4479D"/>
    <w:rsid w:val="00F449F8"/>
    <w:rsid w:val="00F44B66"/>
    <w:rsid w:val="00F45192"/>
    <w:rsid w:val="00F4597E"/>
    <w:rsid w:val="00F46E5C"/>
    <w:rsid w:val="00F502C2"/>
    <w:rsid w:val="00F5112E"/>
    <w:rsid w:val="00F56F97"/>
    <w:rsid w:val="00F602D7"/>
    <w:rsid w:val="00F63ACA"/>
    <w:rsid w:val="00F6465C"/>
    <w:rsid w:val="00F65072"/>
    <w:rsid w:val="00F70EA4"/>
    <w:rsid w:val="00F76B48"/>
    <w:rsid w:val="00F80231"/>
    <w:rsid w:val="00F82276"/>
    <w:rsid w:val="00F82989"/>
    <w:rsid w:val="00F83F60"/>
    <w:rsid w:val="00F87130"/>
    <w:rsid w:val="00F94E2C"/>
    <w:rsid w:val="00F950F4"/>
    <w:rsid w:val="00F95116"/>
    <w:rsid w:val="00F96587"/>
    <w:rsid w:val="00F9694B"/>
    <w:rsid w:val="00FA169F"/>
    <w:rsid w:val="00FA2AFB"/>
    <w:rsid w:val="00FA792E"/>
    <w:rsid w:val="00FA7953"/>
    <w:rsid w:val="00FB45CE"/>
    <w:rsid w:val="00FB4C36"/>
    <w:rsid w:val="00FB5A40"/>
    <w:rsid w:val="00FC1918"/>
    <w:rsid w:val="00FC1B31"/>
    <w:rsid w:val="00FC2830"/>
    <w:rsid w:val="00FC4A2E"/>
    <w:rsid w:val="00FC7AE0"/>
    <w:rsid w:val="00FD772C"/>
    <w:rsid w:val="00FE09C9"/>
    <w:rsid w:val="00FE1494"/>
    <w:rsid w:val="00FE207C"/>
    <w:rsid w:val="00FE52B3"/>
    <w:rsid w:val="00FE6CBB"/>
    <w:rsid w:val="00FF005C"/>
    <w:rsid w:val="00FF2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E6754B2-9A4B-4055-9130-C842C6EE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F Square Sans Pro" w:eastAsia="Calibri" w:hAnsi="PF Square Sans Pro"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58"/>
    <w:rPr>
      <w:rFonts w:ascii="Times New Roman" w:hAnsi="Times New Roman"/>
      <w:sz w:val="24"/>
      <w:szCs w:val="24"/>
      <w:lang w:eastAsia="en-US"/>
    </w:rPr>
  </w:style>
  <w:style w:type="paragraph" w:styleId="Heading1">
    <w:name w:val="heading 1"/>
    <w:basedOn w:val="Normal"/>
    <w:next w:val="Normal"/>
    <w:link w:val="Heading1Char"/>
    <w:autoRedefine/>
    <w:uiPriority w:val="99"/>
    <w:qFormat/>
    <w:rsid w:val="00165A24"/>
    <w:pPr>
      <w:keepNext/>
      <w:spacing w:before="240" w:after="240"/>
      <w:outlineLvl w:val="0"/>
    </w:pPr>
    <w:rPr>
      <w:rFonts w:ascii="PFSquareSansPro-Regular" w:hAnsi="PFSquareSansPro-Regular" w:cs="PFSquareSansPro-Regular"/>
      <w:color w:val="4181B6"/>
      <w:kern w:val="32"/>
      <w:sz w:val="32"/>
      <w:szCs w:val="32"/>
      <w:lang w:eastAsia="lt-LT"/>
    </w:rPr>
  </w:style>
  <w:style w:type="paragraph" w:styleId="Heading2">
    <w:name w:val="heading 2"/>
    <w:basedOn w:val="Normal"/>
    <w:next w:val="Normal"/>
    <w:link w:val="Heading2Char"/>
    <w:uiPriority w:val="99"/>
    <w:qFormat/>
    <w:rsid w:val="00165A24"/>
    <w:pPr>
      <w:keepNext/>
      <w:numPr>
        <w:ilvl w:val="1"/>
        <w:numId w:val="1"/>
      </w:numPr>
      <w:spacing w:before="240" w:after="60"/>
      <w:outlineLvl w:val="1"/>
    </w:pPr>
    <w:rPr>
      <w:b/>
      <w:bCs/>
      <w:color w:val="002060"/>
      <w:sz w:val="28"/>
      <w:szCs w:val="28"/>
    </w:rPr>
  </w:style>
  <w:style w:type="paragraph" w:styleId="Heading3">
    <w:name w:val="heading 3"/>
    <w:basedOn w:val="Normal"/>
    <w:next w:val="Normal"/>
    <w:link w:val="Heading3Char"/>
    <w:uiPriority w:val="99"/>
    <w:qFormat/>
    <w:rsid w:val="00165A24"/>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165A24"/>
    <w:pPr>
      <w:keepNext/>
      <w:spacing w:before="240" w:after="60"/>
      <w:outlineLvl w:val="3"/>
    </w:pPr>
    <w:rPr>
      <w:rFonts w:ascii="Calibri" w:eastAsia="Times New Roman" w:hAnsi="Calibri" w:cs="Calibri"/>
      <w:b/>
      <w:bCs/>
      <w:sz w:val="28"/>
      <w:szCs w:val="28"/>
    </w:rPr>
  </w:style>
  <w:style w:type="paragraph" w:styleId="Heading5">
    <w:name w:val="heading 5"/>
    <w:basedOn w:val="Normal"/>
    <w:next w:val="Normal"/>
    <w:link w:val="Heading5Char"/>
    <w:uiPriority w:val="99"/>
    <w:qFormat/>
    <w:rsid w:val="00165A24"/>
    <w:pPr>
      <w:spacing w:before="240" w:after="60"/>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165A24"/>
    <w:pPr>
      <w:suppressAutoHyphens/>
      <w:spacing w:before="240" w:after="60" w:line="276" w:lineRule="auto"/>
      <w:jc w:val="both"/>
      <w:outlineLvl w:val="5"/>
    </w:pPr>
    <w:rPr>
      <w:rFonts w:eastAsia="Times New Roman"/>
      <w:b/>
      <w:bCs/>
      <w:sz w:val="22"/>
      <w:szCs w:val="22"/>
      <w:lang w:val="en-GB" w:eastAsia="ar-SA"/>
    </w:rPr>
  </w:style>
  <w:style w:type="paragraph" w:styleId="Heading7">
    <w:name w:val="heading 7"/>
    <w:basedOn w:val="Normal"/>
    <w:next w:val="Normal"/>
    <w:link w:val="Heading7Char"/>
    <w:uiPriority w:val="99"/>
    <w:qFormat/>
    <w:rsid w:val="00165A24"/>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9"/>
    <w:qFormat/>
    <w:rsid w:val="00165A24"/>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uiPriority w:val="99"/>
    <w:qFormat/>
    <w:rsid w:val="00165A24"/>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5A24"/>
    <w:rPr>
      <w:rFonts w:ascii="PFSquareSansPro-Regular" w:hAnsi="PFSquareSansPro-Regular" w:cs="PFSquareSansPro-Regular"/>
      <w:color w:val="4181B6"/>
      <w:kern w:val="32"/>
      <w:sz w:val="32"/>
      <w:szCs w:val="32"/>
      <w:lang w:eastAsia="lt-LT"/>
    </w:rPr>
  </w:style>
  <w:style w:type="character" w:customStyle="1" w:styleId="Heading2Char">
    <w:name w:val="Heading 2 Char"/>
    <w:link w:val="Heading2"/>
    <w:uiPriority w:val="99"/>
    <w:locked/>
    <w:rsid w:val="00165A24"/>
    <w:rPr>
      <w:rFonts w:ascii="Times New Roman" w:hAnsi="Times New Roman" w:cs="Times New Roman"/>
      <w:b/>
      <w:bCs/>
      <w:color w:val="002060"/>
      <w:sz w:val="28"/>
      <w:szCs w:val="28"/>
    </w:rPr>
  </w:style>
  <w:style w:type="character" w:customStyle="1" w:styleId="Heading3Char">
    <w:name w:val="Heading 3 Char"/>
    <w:link w:val="Heading3"/>
    <w:uiPriority w:val="99"/>
    <w:locked/>
    <w:rsid w:val="00165A24"/>
    <w:rPr>
      <w:rFonts w:ascii="Cambria" w:hAnsi="Cambria" w:cs="Cambria"/>
      <w:b/>
      <w:bCs/>
      <w:sz w:val="26"/>
      <w:szCs w:val="26"/>
    </w:rPr>
  </w:style>
  <w:style w:type="character" w:customStyle="1" w:styleId="Heading4Char">
    <w:name w:val="Heading 4 Char"/>
    <w:link w:val="Heading4"/>
    <w:uiPriority w:val="99"/>
    <w:locked/>
    <w:rsid w:val="00165A24"/>
    <w:rPr>
      <w:rFonts w:ascii="Calibri" w:hAnsi="Calibri" w:cs="Calibri"/>
      <w:b/>
      <w:bCs/>
      <w:sz w:val="28"/>
      <w:szCs w:val="28"/>
    </w:rPr>
  </w:style>
  <w:style w:type="character" w:customStyle="1" w:styleId="Heading5Char">
    <w:name w:val="Heading 5 Char"/>
    <w:link w:val="Heading5"/>
    <w:uiPriority w:val="99"/>
    <w:locked/>
    <w:rsid w:val="00165A24"/>
    <w:rPr>
      <w:rFonts w:ascii="Calibri" w:hAnsi="Calibri" w:cs="Calibri"/>
      <w:b/>
      <w:bCs/>
      <w:i/>
      <w:iCs/>
      <w:sz w:val="26"/>
      <w:szCs w:val="26"/>
    </w:rPr>
  </w:style>
  <w:style w:type="character" w:customStyle="1" w:styleId="Heading6Char">
    <w:name w:val="Heading 6 Char"/>
    <w:link w:val="Heading6"/>
    <w:uiPriority w:val="99"/>
    <w:locked/>
    <w:rsid w:val="00165A24"/>
    <w:rPr>
      <w:rFonts w:ascii="Times New Roman" w:hAnsi="Times New Roman" w:cs="Times New Roman"/>
      <w:b/>
      <w:bCs/>
      <w:lang w:val="en-GB" w:eastAsia="ar-SA" w:bidi="ar-SA"/>
    </w:rPr>
  </w:style>
  <w:style w:type="character" w:customStyle="1" w:styleId="Heading7Char">
    <w:name w:val="Heading 7 Char"/>
    <w:link w:val="Heading7"/>
    <w:uiPriority w:val="99"/>
    <w:locked/>
    <w:rsid w:val="00165A24"/>
    <w:rPr>
      <w:rFonts w:ascii="Times New Roman" w:hAnsi="Times New Roman" w:cs="Times New Roman"/>
      <w:sz w:val="24"/>
      <w:szCs w:val="24"/>
      <w:lang w:val="en-GB" w:eastAsia="ar-SA" w:bidi="ar-SA"/>
    </w:rPr>
  </w:style>
  <w:style w:type="character" w:customStyle="1" w:styleId="Heading8Char">
    <w:name w:val="Heading 8 Char"/>
    <w:link w:val="Heading8"/>
    <w:uiPriority w:val="99"/>
    <w:locked/>
    <w:rsid w:val="00165A24"/>
    <w:rPr>
      <w:rFonts w:ascii="Times New Roman" w:hAnsi="Times New Roman" w:cs="Times New Roman"/>
      <w:i/>
      <w:iCs/>
      <w:sz w:val="24"/>
      <w:szCs w:val="24"/>
      <w:lang w:val="en-GB" w:eastAsia="ar-SA" w:bidi="ar-SA"/>
    </w:rPr>
  </w:style>
  <w:style w:type="character" w:customStyle="1" w:styleId="Heading9Char">
    <w:name w:val="Heading 9 Char"/>
    <w:link w:val="Heading9"/>
    <w:uiPriority w:val="99"/>
    <w:locked/>
    <w:rsid w:val="00165A24"/>
    <w:rPr>
      <w:rFonts w:ascii="Arial" w:hAnsi="Arial" w:cs="Arial"/>
      <w:lang w:val="en-GB" w:eastAsia="ar-SA" w:bidi="ar-SA"/>
    </w:rPr>
  </w:style>
  <w:style w:type="paragraph" w:styleId="BalloonText">
    <w:name w:val="Balloon Text"/>
    <w:basedOn w:val="Normal"/>
    <w:link w:val="BalloonTextChar"/>
    <w:uiPriority w:val="99"/>
    <w:semiHidden/>
    <w:rsid w:val="00BB37BA"/>
    <w:rPr>
      <w:rFonts w:ascii="Tahoma" w:hAnsi="Tahoma" w:cs="Tahoma"/>
      <w:sz w:val="16"/>
      <w:szCs w:val="16"/>
    </w:rPr>
  </w:style>
  <w:style w:type="character" w:customStyle="1" w:styleId="BalloonTextChar">
    <w:name w:val="Balloon Text Char"/>
    <w:link w:val="BalloonText"/>
    <w:uiPriority w:val="99"/>
    <w:semiHidden/>
    <w:locked/>
    <w:rsid w:val="00BB37BA"/>
    <w:rPr>
      <w:rFonts w:ascii="Tahoma" w:hAnsi="Tahoma" w:cs="Tahoma"/>
      <w:sz w:val="16"/>
      <w:szCs w:val="16"/>
    </w:rPr>
  </w:style>
  <w:style w:type="paragraph" w:customStyle="1" w:styleId="Tekstas">
    <w:name w:val="Tekstas"/>
    <w:basedOn w:val="Normal"/>
    <w:link w:val="TekstasChar"/>
    <w:uiPriority w:val="99"/>
    <w:rsid w:val="00D714B8"/>
    <w:rPr>
      <w:rFonts w:eastAsia="Times New Roman"/>
      <w:lang w:eastAsia="lt-LT"/>
    </w:rPr>
  </w:style>
  <w:style w:type="character" w:customStyle="1" w:styleId="TekstasChar">
    <w:name w:val="Tekstas Char"/>
    <w:link w:val="Tekstas"/>
    <w:uiPriority w:val="99"/>
    <w:locked/>
    <w:rsid w:val="00D714B8"/>
    <w:rPr>
      <w:rFonts w:ascii="Times New Roman" w:hAnsi="Times New Roman" w:cs="Times New Roman"/>
      <w:sz w:val="24"/>
      <w:szCs w:val="24"/>
      <w:lang w:eastAsia="lt-LT"/>
    </w:rPr>
  </w:style>
  <w:style w:type="paragraph" w:customStyle="1" w:styleId="Tekstaspaaiskinimams">
    <w:name w:val="Tekstas paaiskinimams"/>
    <w:basedOn w:val="Tekstas"/>
    <w:link w:val="TekstaspaaiskinimamsChar"/>
    <w:uiPriority w:val="99"/>
    <w:rsid w:val="00D714B8"/>
    <w:pPr>
      <w:pBdr>
        <w:top w:val="single" w:sz="4" w:space="1" w:color="auto"/>
        <w:left w:val="single" w:sz="4" w:space="4" w:color="auto"/>
        <w:bottom w:val="single" w:sz="4" w:space="1" w:color="auto"/>
        <w:right w:val="single" w:sz="4" w:space="4" w:color="auto"/>
      </w:pBdr>
      <w:shd w:val="clear" w:color="auto" w:fill="DBE5F1"/>
      <w:ind w:left="1134"/>
      <w:jc w:val="both"/>
    </w:pPr>
    <w:rPr>
      <w:rFonts w:ascii="Cambria" w:eastAsia="Calibri" w:hAnsi="Cambria" w:cs="Cambria"/>
      <w:sz w:val="22"/>
      <w:szCs w:val="22"/>
      <w:lang w:eastAsia="en-US"/>
    </w:rPr>
  </w:style>
  <w:style w:type="character" w:customStyle="1" w:styleId="TekstaspaaiskinimamsChar">
    <w:name w:val="Tekstas paaiskinimams Char"/>
    <w:link w:val="Tekstaspaaiskinimams"/>
    <w:uiPriority w:val="99"/>
    <w:locked/>
    <w:rsid w:val="00D714B8"/>
    <w:rPr>
      <w:rFonts w:ascii="Cambria" w:hAnsi="Cambria" w:cs="Cambria"/>
      <w:sz w:val="24"/>
      <w:szCs w:val="24"/>
      <w:shd w:val="clear" w:color="auto" w:fill="DBE5F1"/>
      <w:lang w:eastAsia="lt-LT"/>
    </w:rPr>
  </w:style>
  <w:style w:type="paragraph" w:customStyle="1" w:styleId="Neturinioantrastes">
    <w:name w:val="• Ne turinio antrastes"/>
    <w:basedOn w:val="Tituliniosubpavadinimas"/>
    <w:next w:val="Pagrindinispaprastastekstas"/>
    <w:link w:val="NeturinioantrastesChar"/>
    <w:uiPriority w:val="99"/>
    <w:rsid w:val="00A615ED"/>
    <w:pPr>
      <w:pageBreakBefore/>
      <w:ind w:left="0"/>
    </w:pPr>
    <w:rPr>
      <w:b/>
      <w:bCs/>
      <w:caps/>
      <w:sz w:val="28"/>
      <w:szCs w:val="28"/>
    </w:rPr>
  </w:style>
  <w:style w:type="character" w:customStyle="1" w:styleId="NeturinioantrastesChar">
    <w:name w:val="• Ne turinio antrastes Char"/>
    <w:link w:val="Neturinioantrastes"/>
    <w:uiPriority w:val="99"/>
    <w:locked/>
    <w:rsid w:val="00F56F97"/>
    <w:rPr>
      <w:rFonts w:ascii="Cambria" w:hAnsi="Cambria" w:cs="Cambria"/>
      <w:b/>
      <w:bCs/>
      <w:caps/>
      <w:color w:val="4181B6"/>
      <w:sz w:val="40"/>
      <w:szCs w:val="40"/>
      <w:lang w:val="lt-LT" w:eastAsia="lt-LT"/>
    </w:rPr>
  </w:style>
  <w:style w:type="paragraph" w:customStyle="1" w:styleId="Antrastes1">
    <w:name w:val="• Antrastes_1"/>
    <w:basedOn w:val="Nenumeruojamosantrastes"/>
    <w:next w:val="Pagrindinispaprastastekstas"/>
    <w:uiPriority w:val="99"/>
    <w:rsid w:val="00A615ED"/>
    <w:pPr>
      <w:numPr>
        <w:numId w:val="3"/>
      </w:numPr>
      <w:outlineLvl w:val="0"/>
    </w:pPr>
    <w:rPr>
      <w:sz w:val="32"/>
      <w:szCs w:val="32"/>
    </w:rPr>
  </w:style>
  <w:style w:type="paragraph" w:customStyle="1" w:styleId="Titulinispavadinimas">
    <w:name w:val="• Titulinis pavadinimas"/>
    <w:next w:val="Tituliniosubpavadinimas"/>
    <w:link w:val="TitulinispavadinimasChar"/>
    <w:uiPriority w:val="99"/>
    <w:rsid w:val="00A615ED"/>
    <w:pPr>
      <w:spacing w:before="3120"/>
      <w:ind w:left="2693"/>
    </w:pPr>
    <w:rPr>
      <w:rFonts w:ascii="Cambria" w:eastAsia="Times New Roman" w:hAnsi="Cambria" w:cs="Cambria"/>
      <w:color w:val="00478A"/>
      <w:sz w:val="60"/>
      <w:szCs w:val="60"/>
    </w:rPr>
  </w:style>
  <w:style w:type="character" w:customStyle="1" w:styleId="TitulinispavadinimasChar">
    <w:name w:val="• Titulinis pavadinimas Char"/>
    <w:link w:val="Titulinispavadinimas"/>
    <w:uiPriority w:val="99"/>
    <w:locked/>
    <w:rsid w:val="00F56F97"/>
    <w:rPr>
      <w:rFonts w:ascii="Cambria" w:hAnsi="Cambria" w:cs="Cambria"/>
      <w:color w:val="00478A"/>
      <w:sz w:val="60"/>
      <w:szCs w:val="60"/>
      <w:lang w:val="lt-LT" w:eastAsia="lt-LT"/>
    </w:rPr>
  </w:style>
  <w:style w:type="paragraph" w:customStyle="1" w:styleId="Tituliniosubpavadinimas">
    <w:name w:val="• Titulinio subpavadinimas"/>
    <w:basedOn w:val="Titulinispavadinimas"/>
    <w:link w:val="TituliniosubpavadinimasChar"/>
    <w:qFormat/>
    <w:rsid w:val="00A615ED"/>
    <w:pPr>
      <w:spacing w:before="240" w:after="240"/>
    </w:pPr>
    <w:rPr>
      <w:color w:val="4181B6"/>
      <w:sz w:val="40"/>
      <w:szCs w:val="40"/>
    </w:rPr>
  </w:style>
  <w:style w:type="character" w:customStyle="1" w:styleId="TituliniosubpavadinimasChar">
    <w:name w:val="• Titulinio subpavadinimas Char"/>
    <w:link w:val="Tituliniosubpavadinimas"/>
    <w:locked/>
    <w:rsid w:val="00165A24"/>
    <w:rPr>
      <w:rFonts w:ascii="Cambria" w:hAnsi="Cambria" w:cs="Cambria"/>
      <w:color w:val="4181B6"/>
      <w:sz w:val="40"/>
      <w:szCs w:val="40"/>
      <w:lang w:val="lt-LT" w:eastAsia="lt-LT"/>
    </w:rPr>
  </w:style>
  <w:style w:type="paragraph" w:customStyle="1" w:styleId="Tituliniodata">
    <w:name w:val="• Titulinio data"/>
    <w:uiPriority w:val="99"/>
    <w:rsid w:val="00A615ED"/>
    <w:pPr>
      <w:ind w:left="2694"/>
    </w:pPr>
    <w:rPr>
      <w:rFonts w:ascii="Cambria" w:eastAsia="Times New Roman" w:hAnsi="Cambria" w:cs="Cambria"/>
      <w:sz w:val="24"/>
      <w:szCs w:val="24"/>
      <w:lang w:eastAsia="en-US"/>
    </w:rPr>
  </w:style>
  <w:style w:type="paragraph" w:customStyle="1" w:styleId="Pagrindinispaprastastekstas">
    <w:name w:val="• Pagrindinis paprastas tekstas"/>
    <w:basedOn w:val="Normal"/>
    <w:link w:val="PagrindinispaprastastekstasChar"/>
    <w:uiPriority w:val="99"/>
    <w:rsid w:val="00A615ED"/>
    <w:pPr>
      <w:jc w:val="both"/>
    </w:pPr>
    <w:rPr>
      <w:rFonts w:ascii="Cambria" w:hAnsi="Cambria" w:cs="Cambria"/>
      <w:lang w:eastAsia="lt-LT"/>
    </w:rPr>
  </w:style>
  <w:style w:type="paragraph" w:customStyle="1" w:styleId="Headeriams">
    <w:name w:val="• Headeriams"/>
    <w:basedOn w:val="Pagrindinispaprastastekstas"/>
    <w:uiPriority w:val="99"/>
    <w:rsid w:val="00A615ED"/>
    <w:pPr>
      <w:jc w:val="right"/>
    </w:pPr>
    <w:rPr>
      <w:color w:val="4181B6"/>
    </w:rPr>
  </w:style>
  <w:style w:type="paragraph" w:customStyle="1" w:styleId="Nenumeruojamosantrastes">
    <w:name w:val="• Nenumeruojamos antrastes"/>
    <w:next w:val="Pagrindinispaprastastekstas"/>
    <w:link w:val="NenumeruojamosantrastesChar"/>
    <w:uiPriority w:val="99"/>
    <w:rsid w:val="00A615ED"/>
    <w:pPr>
      <w:pageBreakBefore/>
      <w:widowControl w:val="0"/>
      <w:pBdr>
        <w:bottom w:val="single" w:sz="8" w:space="1" w:color="4181B6"/>
      </w:pBdr>
      <w:spacing w:before="120" w:after="240"/>
    </w:pPr>
    <w:rPr>
      <w:rFonts w:ascii="Cambria" w:eastAsia="Times New Roman" w:hAnsi="Cambria" w:cs="Cambria"/>
      <w:b/>
      <w:bCs/>
      <w:caps/>
      <w:color w:val="4181B6"/>
      <w:kern w:val="32"/>
      <w:sz w:val="28"/>
      <w:szCs w:val="28"/>
    </w:rPr>
  </w:style>
  <w:style w:type="character" w:customStyle="1" w:styleId="NenumeruojamosantrastesChar">
    <w:name w:val="• Nenumeruojamos antrastes Char"/>
    <w:link w:val="Nenumeruojamosantrastes"/>
    <w:uiPriority w:val="99"/>
    <w:locked/>
    <w:rsid w:val="00F56F97"/>
    <w:rPr>
      <w:rFonts w:ascii="Cambria" w:hAnsi="Cambria" w:cs="Cambria"/>
      <w:b/>
      <w:bCs/>
      <w:caps/>
      <w:color w:val="4181B6"/>
      <w:kern w:val="32"/>
      <w:sz w:val="28"/>
      <w:szCs w:val="28"/>
      <w:lang w:val="lt-LT" w:eastAsia="lt-LT"/>
    </w:rPr>
  </w:style>
  <w:style w:type="character" w:styleId="FootnoteReference">
    <w:name w:val="footnote reference"/>
    <w:aliases w:val="• Isnasos nuoroda,Footnote Reference Number,Footnote Reference_LVL6,Footnote Reference_LVL61,Footnote Reference_LVL62,Footnote Reference_LVL63,Footnote Reference_LVL64,Footnote symbol,BVI fnr,Voetnootverwijzing,Times 10 Point,fr"/>
    <w:link w:val="SUPERSChar"/>
    <w:uiPriority w:val="99"/>
    <w:semiHidden/>
    <w:locked/>
    <w:rsid w:val="00A615ED"/>
    <w:rPr>
      <w:rFonts w:ascii="Cambria" w:hAnsi="Cambria" w:cs="Cambria"/>
      <w:sz w:val="22"/>
      <w:szCs w:val="22"/>
      <w:vertAlign w:val="superscript"/>
      <w:lang w:val="lt-LT"/>
    </w:rPr>
  </w:style>
  <w:style w:type="paragraph" w:styleId="FootnoteText">
    <w:name w:val="footnote text"/>
    <w:aliases w:val="• Isnasos,Antraštės 3,Footnote Diagrama Diagrama,Footnote Diagrama Diagrama Diagrama Diagrama,Footnote Diagrama,Footnote Diagrama Diagrama Diagrama Diagrama Diagrama,Footnote Text Char Char,Footnote,fn,o,f,Fußnote,Fußnotentextf"/>
    <w:basedOn w:val="Normal"/>
    <w:link w:val="FootnoteTextChar"/>
    <w:uiPriority w:val="99"/>
    <w:semiHidden/>
    <w:rsid w:val="00A615ED"/>
    <w:rPr>
      <w:rFonts w:ascii="Cambria" w:eastAsia="Times New Roman" w:hAnsi="Cambria" w:cs="Cambria"/>
      <w:sz w:val="18"/>
      <w:szCs w:val="18"/>
    </w:rPr>
  </w:style>
  <w:style w:type="character" w:customStyle="1" w:styleId="FootnoteTextChar">
    <w:name w:val="Footnote Text Char"/>
    <w:aliases w:val="• Isnasos Char,Antraštės 3 Char,Footnote Diagrama Diagrama Char,Footnote Diagrama Diagrama Diagrama Diagrama Char,Footnote Diagrama Char,Footnote Diagrama Diagrama Diagrama Diagrama Diagrama Char,Footnote Text Char Char Char,fn Char"/>
    <w:link w:val="FootnoteText"/>
    <w:uiPriority w:val="99"/>
    <w:locked/>
    <w:rsid w:val="00332263"/>
    <w:rPr>
      <w:rFonts w:ascii="Cambria" w:hAnsi="Cambria" w:cs="Cambria"/>
      <w:sz w:val="22"/>
      <w:szCs w:val="22"/>
      <w:lang w:val="lt-LT" w:eastAsia="en-US"/>
    </w:rPr>
  </w:style>
  <w:style w:type="paragraph" w:customStyle="1" w:styleId="Antrastes2">
    <w:name w:val="• Antrastes_2"/>
    <w:basedOn w:val="Antrastes1"/>
    <w:next w:val="Pagrindinispaprastastekstas"/>
    <w:link w:val="Antrastes2Char"/>
    <w:uiPriority w:val="99"/>
    <w:rsid w:val="00A615ED"/>
    <w:pPr>
      <w:pageBreakBefore w:val="0"/>
      <w:numPr>
        <w:ilvl w:val="1"/>
      </w:numPr>
      <w:spacing w:before="360"/>
      <w:outlineLvl w:val="1"/>
    </w:pPr>
    <w:rPr>
      <w:sz w:val="28"/>
      <w:szCs w:val="28"/>
    </w:rPr>
  </w:style>
  <w:style w:type="character" w:customStyle="1" w:styleId="Antrastes2Char">
    <w:name w:val="• Antrastes_2 Char"/>
    <w:link w:val="Antrastes2"/>
    <w:uiPriority w:val="99"/>
    <w:locked/>
    <w:rsid w:val="0098215B"/>
    <w:rPr>
      <w:rFonts w:ascii="Cambria" w:hAnsi="Cambria" w:cs="Cambria"/>
      <w:b/>
      <w:bCs/>
      <w:caps/>
      <w:color w:val="4181B6"/>
      <w:kern w:val="32"/>
      <w:sz w:val="32"/>
      <w:szCs w:val="32"/>
      <w:lang w:eastAsia="lt-LT"/>
    </w:rPr>
  </w:style>
  <w:style w:type="paragraph" w:customStyle="1" w:styleId="Antrastes3">
    <w:name w:val="• Antrastes_3"/>
    <w:basedOn w:val="Antrastes2"/>
    <w:next w:val="Pagrindinispaprastastekstas"/>
    <w:link w:val="Antrastes3Char"/>
    <w:uiPriority w:val="99"/>
    <w:rsid w:val="00A615ED"/>
    <w:pPr>
      <w:numPr>
        <w:ilvl w:val="2"/>
      </w:numPr>
      <w:pBdr>
        <w:bottom w:val="none" w:sz="0" w:space="0" w:color="auto"/>
      </w:pBdr>
      <w:jc w:val="both"/>
      <w:outlineLvl w:val="2"/>
    </w:pPr>
    <w:rPr>
      <w:caps w:val="0"/>
    </w:rPr>
  </w:style>
  <w:style w:type="character" w:customStyle="1" w:styleId="Antrastes3Char">
    <w:name w:val="• Antrastes_3 Char"/>
    <w:link w:val="Antrastes3"/>
    <w:uiPriority w:val="99"/>
    <w:locked/>
    <w:rsid w:val="00165A24"/>
    <w:rPr>
      <w:rFonts w:ascii="Cambria" w:hAnsi="Cambria" w:cs="Cambria"/>
      <w:b/>
      <w:bCs/>
      <w:color w:val="4181B6"/>
      <w:kern w:val="32"/>
      <w:sz w:val="32"/>
      <w:szCs w:val="32"/>
      <w:lang w:eastAsia="lt-LT"/>
    </w:rPr>
  </w:style>
  <w:style w:type="paragraph" w:customStyle="1" w:styleId="Antrastes4">
    <w:name w:val="• Antrastes_4"/>
    <w:basedOn w:val="Antrastes3"/>
    <w:next w:val="Pagrindinispaprastastekstas"/>
    <w:uiPriority w:val="99"/>
    <w:rsid w:val="00A615ED"/>
    <w:pPr>
      <w:numPr>
        <w:ilvl w:val="3"/>
      </w:numPr>
      <w:outlineLvl w:val="3"/>
    </w:pPr>
    <w:rPr>
      <w:i/>
      <w:iCs/>
      <w:sz w:val="24"/>
      <w:szCs w:val="24"/>
    </w:rPr>
  </w:style>
  <w:style w:type="paragraph" w:customStyle="1" w:styleId="Lentelemsantraste">
    <w:name w:val="• Lentelems antraste"/>
    <w:basedOn w:val="Pagrindinispaprastastekstas"/>
    <w:uiPriority w:val="99"/>
    <w:rsid w:val="00A615ED"/>
    <w:pPr>
      <w:jc w:val="left"/>
    </w:pPr>
    <w:rPr>
      <w:b/>
      <w:bCs/>
      <w:color w:val="FFFFFF"/>
    </w:rPr>
  </w:style>
  <w:style w:type="paragraph" w:customStyle="1" w:styleId="Saltinis">
    <w:name w:val="• Saltinis"/>
    <w:next w:val="Pagrindinispaprastastekstas"/>
    <w:uiPriority w:val="99"/>
    <w:rsid w:val="00A615ED"/>
    <w:pPr>
      <w:spacing w:before="60"/>
    </w:pPr>
    <w:rPr>
      <w:rFonts w:ascii="Cambria" w:eastAsia="Times New Roman" w:hAnsi="Cambria" w:cs="Cambria"/>
      <w:color w:val="00478A"/>
      <w:lang w:eastAsia="en-US"/>
    </w:rPr>
  </w:style>
  <w:style w:type="paragraph" w:customStyle="1" w:styleId="Textboxantrastes">
    <w:name w:val="• Text box antrastes"/>
    <w:basedOn w:val="ListParagraph"/>
    <w:next w:val="Textboxtekstassubullets"/>
    <w:uiPriority w:val="99"/>
    <w:rsid w:val="00A615ED"/>
    <w:pPr>
      <w:spacing w:before="120" w:after="120"/>
      <w:ind w:left="0"/>
      <w:jc w:val="left"/>
    </w:pPr>
    <w:rPr>
      <w:rFonts w:ascii="Cambria" w:hAnsi="Cambria" w:cs="Cambria"/>
      <w:b/>
      <w:bCs/>
      <w:color w:val="00478A"/>
      <w:sz w:val="20"/>
      <w:szCs w:val="20"/>
    </w:rPr>
  </w:style>
  <w:style w:type="paragraph" w:styleId="ListParagraph">
    <w:name w:val="List Paragraph"/>
    <w:basedOn w:val="Normal"/>
    <w:uiPriority w:val="99"/>
    <w:qFormat/>
    <w:rsid w:val="00165A24"/>
    <w:pPr>
      <w:ind w:left="720"/>
      <w:jc w:val="both"/>
    </w:pPr>
  </w:style>
  <w:style w:type="paragraph" w:customStyle="1" w:styleId="Textboxtekstassubullets">
    <w:name w:val="• Text box tekstas su bullets"/>
    <w:basedOn w:val="Textboxtekstas"/>
    <w:uiPriority w:val="99"/>
    <w:rsid w:val="00A615ED"/>
    <w:pPr>
      <w:numPr>
        <w:numId w:val="5"/>
      </w:numPr>
      <w:spacing w:before="120" w:after="120"/>
    </w:pPr>
  </w:style>
  <w:style w:type="paragraph" w:styleId="TOC1">
    <w:name w:val="toc 1"/>
    <w:basedOn w:val="Normal"/>
    <w:next w:val="Normal"/>
    <w:autoRedefine/>
    <w:uiPriority w:val="99"/>
    <w:semiHidden/>
    <w:rsid w:val="00165A24"/>
    <w:pPr>
      <w:spacing w:before="120" w:after="120"/>
    </w:pPr>
    <w:rPr>
      <w:rFonts w:ascii="Calibri" w:eastAsia="Times New Roman" w:hAnsi="Calibri" w:cs="Calibri"/>
      <w:b/>
      <w:bCs/>
      <w:caps/>
      <w:sz w:val="20"/>
      <w:szCs w:val="20"/>
    </w:rPr>
  </w:style>
  <w:style w:type="paragraph" w:styleId="TOC2">
    <w:name w:val="toc 2"/>
    <w:basedOn w:val="Normal"/>
    <w:next w:val="Normal"/>
    <w:autoRedefine/>
    <w:uiPriority w:val="99"/>
    <w:semiHidden/>
    <w:rsid w:val="00165A24"/>
    <w:pPr>
      <w:ind w:left="240"/>
    </w:pPr>
    <w:rPr>
      <w:rFonts w:ascii="Calibri" w:eastAsia="Times New Roman" w:hAnsi="Calibri" w:cs="Calibri"/>
      <w:smallCaps/>
      <w:sz w:val="20"/>
      <w:szCs w:val="20"/>
    </w:rPr>
  </w:style>
  <w:style w:type="paragraph" w:styleId="TOC3">
    <w:name w:val="toc 3"/>
    <w:basedOn w:val="Normal"/>
    <w:next w:val="Normal"/>
    <w:autoRedefine/>
    <w:uiPriority w:val="99"/>
    <w:semiHidden/>
    <w:rsid w:val="00165A24"/>
    <w:pPr>
      <w:ind w:left="480"/>
    </w:pPr>
    <w:rPr>
      <w:rFonts w:ascii="Calibri" w:eastAsia="Times New Roman" w:hAnsi="Calibri" w:cs="Calibri"/>
      <w:i/>
      <w:iCs/>
      <w:sz w:val="20"/>
      <w:szCs w:val="20"/>
    </w:rPr>
  </w:style>
  <w:style w:type="paragraph" w:styleId="TOC4">
    <w:name w:val="toc 4"/>
    <w:basedOn w:val="Normal"/>
    <w:next w:val="Normal"/>
    <w:autoRedefine/>
    <w:uiPriority w:val="99"/>
    <w:semiHidden/>
    <w:rsid w:val="00165A24"/>
    <w:pPr>
      <w:ind w:left="720"/>
    </w:pPr>
    <w:rPr>
      <w:rFonts w:ascii="Calibri" w:eastAsia="Times New Roman" w:hAnsi="Calibri" w:cs="Calibri"/>
      <w:sz w:val="18"/>
      <w:szCs w:val="18"/>
    </w:rPr>
  </w:style>
  <w:style w:type="paragraph" w:styleId="TOC5">
    <w:name w:val="toc 5"/>
    <w:basedOn w:val="Normal"/>
    <w:next w:val="Normal"/>
    <w:autoRedefine/>
    <w:uiPriority w:val="99"/>
    <w:semiHidden/>
    <w:rsid w:val="00165A24"/>
    <w:pPr>
      <w:ind w:left="960"/>
    </w:pPr>
    <w:rPr>
      <w:rFonts w:ascii="Calibri" w:eastAsia="Times New Roman" w:hAnsi="Calibri" w:cs="Calibri"/>
      <w:sz w:val="18"/>
      <w:szCs w:val="18"/>
    </w:rPr>
  </w:style>
  <w:style w:type="paragraph" w:styleId="TOC6">
    <w:name w:val="toc 6"/>
    <w:basedOn w:val="Normal"/>
    <w:next w:val="Normal"/>
    <w:autoRedefine/>
    <w:uiPriority w:val="99"/>
    <w:semiHidden/>
    <w:rsid w:val="00165A24"/>
    <w:pPr>
      <w:ind w:left="1200"/>
    </w:pPr>
    <w:rPr>
      <w:rFonts w:ascii="Calibri" w:eastAsia="Times New Roman" w:hAnsi="Calibri" w:cs="Calibri"/>
      <w:sz w:val="18"/>
      <w:szCs w:val="18"/>
    </w:rPr>
  </w:style>
  <w:style w:type="paragraph" w:styleId="TOC7">
    <w:name w:val="toc 7"/>
    <w:basedOn w:val="Normal"/>
    <w:next w:val="Normal"/>
    <w:autoRedefine/>
    <w:uiPriority w:val="99"/>
    <w:semiHidden/>
    <w:rsid w:val="00165A24"/>
    <w:pPr>
      <w:ind w:left="1440"/>
    </w:pPr>
    <w:rPr>
      <w:rFonts w:ascii="Calibri" w:eastAsia="Times New Roman" w:hAnsi="Calibri" w:cs="Calibri"/>
      <w:sz w:val="18"/>
      <w:szCs w:val="18"/>
    </w:rPr>
  </w:style>
  <w:style w:type="paragraph" w:styleId="TOC8">
    <w:name w:val="toc 8"/>
    <w:basedOn w:val="Normal"/>
    <w:next w:val="Normal"/>
    <w:autoRedefine/>
    <w:uiPriority w:val="99"/>
    <w:semiHidden/>
    <w:rsid w:val="00165A24"/>
    <w:pPr>
      <w:ind w:left="1680"/>
    </w:pPr>
    <w:rPr>
      <w:rFonts w:ascii="Calibri" w:eastAsia="Times New Roman" w:hAnsi="Calibri" w:cs="Calibri"/>
      <w:sz w:val="18"/>
      <w:szCs w:val="18"/>
    </w:rPr>
  </w:style>
  <w:style w:type="paragraph" w:styleId="TOC9">
    <w:name w:val="toc 9"/>
    <w:basedOn w:val="Normal"/>
    <w:next w:val="Normal"/>
    <w:autoRedefine/>
    <w:uiPriority w:val="99"/>
    <w:semiHidden/>
    <w:rsid w:val="00165A24"/>
    <w:pPr>
      <w:ind w:left="1920"/>
    </w:pPr>
    <w:rPr>
      <w:rFonts w:ascii="Calibri" w:eastAsia="Times New Roman" w:hAnsi="Calibri" w:cs="Calibri"/>
      <w:sz w:val="18"/>
      <w:szCs w:val="18"/>
    </w:rPr>
  </w:style>
  <w:style w:type="paragraph" w:styleId="CommentText">
    <w:name w:val="annotation text"/>
    <w:basedOn w:val="Normal"/>
    <w:link w:val="CommentTextChar"/>
    <w:uiPriority w:val="99"/>
    <w:semiHidden/>
    <w:rsid w:val="00165A24"/>
    <w:rPr>
      <w:rFonts w:eastAsia="Times New Roman"/>
      <w:sz w:val="20"/>
      <w:szCs w:val="20"/>
    </w:rPr>
  </w:style>
  <w:style w:type="character" w:customStyle="1" w:styleId="CommentTextChar">
    <w:name w:val="Comment Text Char"/>
    <w:link w:val="CommentText"/>
    <w:uiPriority w:val="99"/>
    <w:locked/>
    <w:rsid w:val="00165A24"/>
    <w:rPr>
      <w:rFonts w:ascii="Times New Roman" w:hAnsi="Times New Roman" w:cs="Times New Roman"/>
      <w:sz w:val="20"/>
      <w:szCs w:val="20"/>
    </w:rPr>
  </w:style>
  <w:style w:type="paragraph" w:styleId="Header">
    <w:name w:val="header"/>
    <w:basedOn w:val="Normal"/>
    <w:link w:val="HeaderChar"/>
    <w:uiPriority w:val="99"/>
    <w:rsid w:val="00165A24"/>
    <w:pPr>
      <w:tabs>
        <w:tab w:val="center" w:pos="4819"/>
        <w:tab w:val="right" w:pos="9638"/>
      </w:tabs>
    </w:pPr>
    <w:rPr>
      <w:rFonts w:eastAsia="Times New Roman"/>
    </w:rPr>
  </w:style>
  <w:style w:type="character" w:customStyle="1" w:styleId="HeaderChar">
    <w:name w:val="Header Char"/>
    <w:link w:val="Header"/>
    <w:uiPriority w:val="99"/>
    <w:locked/>
    <w:rsid w:val="00165A24"/>
    <w:rPr>
      <w:rFonts w:ascii="Times New Roman" w:hAnsi="Times New Roman" w:cs="Times New Roman"/>
      <w:sz w:val="24"/>
      <w:szCs w:val="24"/>
    </w:rPr>
  </w:style>
  <w:style w:type="paragraph" w:styleId="Footer">
    <w:name w:val="footer"/>
    <w:basedOn w:val="Normal"/>
    <w:link w:val="FooterChar"/>
    <w:uiPriority w:val="99"/>
    <w:rsid w:val="00165A24"/>
    <w:pPr>
      <w:tabs>
        <w:tab w:val="center" w:pos="4819"/>
        <w:tab w:val="right" w:pos="9638"/>
      </w:tabs>
    </w:pPr>
    <w:rPr>
      <w:rFonts w:eastAsia="Times New Roman"/>
    </w:rPr>
  </w:style>
  <w:style w:type="character" w:customStyle="1" w:styleId="FooterChar">
    <w:name w:val="Footer Char"/>
    <w:link w:val="Footer"/>
    <w:uiPriority w:val="99"/>
    <w:locked/>
    <w:rsid w:val="00165A24"/>
    <w:rPr>
      <w:rFonts w:ascii="Times New Roman" w:hAnsi="Times New Roman" w:cs="Times New Roman"/>
      <w:sz w:val="24"/>
      <w:szCs w:val="24"/>
    </w:rPr>
  </w:style>
  <w:style w:type="paragraph" w:styleId="Caption">
    <w:name w:val="caption"/>
    <w:aliases w:val="• Caption"/>
    <w:basedOn w:val="Normal"/>
    <w:next w:val="Pagrindinispaprastastekstas"/>
    <w:uiPriority w:val="99"/>
    <w:qFormat/>
    <w:rsid w:val="00A615ED"/>
    <w:pPr>
      <w:spacing w:after="60"/>
    </w:pPr>
    <w:rPr>
      <w:rFonts w:ascii="Cambria" w:eastAsia="Times New Roman" w:hAnsi="Cambria" w:cs="Cambria"/>
      <w:b/>
      <w:bCs/>
      <w:color w:val="00478A"/>
      <w:sz w:val="22"/>
      <w:szCs w:val="22"/>
    </w:rPr>
  </w:style>
  <w:style w:type="character" w:styleId="PageNumber">
    <w:name w:val="page number"/>
    <w:basedOn w:val="DefaultParagraphFont"/>
    <w:uiPriority w:val="99"/>
    <w:rsid w:val="00165A24"/>
  </w:style>
  <w:style w:type="character" w:styleId="EndnoteReference">
    <w:name w:val="endnote reference"/>
    <w:uiPriority w:val="99"/>
    <w:semiHidden/>
    <w:rsid w:val="00165A24"/>
    <w:rPr>
      <w:vertAlign w:val="superscript"/>
    </w:rPr>
  </w:style>
  <w:style w:type="paragraph" w:styleId="EndnoteText">
    <w:name w:val="endnote text"/>
    <w:basedOn w:val="Normal"/>
    <w:link w:val="EndnoteTextChar"/>
    <w:uiPriority w:val="99"/>
    <w:semiHidden/>
    <w:rsid w:val="00165A24"/>
    <w:pPr>
      <w:suppressAutoHyphens/>
      <w:jc w:val="both"/>
    </w:pPr>
    <w:rPr>
      <w:rFonts w:eastAsia="Times New Roman"/>
      <w:sz w:val="20"/>
      <w:szCs w:val="20"/>
      <w:lang w:val="en-GB" w:eastAsia="ar-SA"/>
    </w:rPr>
  </w:style>
  <w:style w:type="character" w:customStyle="1" w:styleId="EndnoteTextChar">
    <w:name w:val="Endnote Text Char"/>
    <w:link w:val="EndnoteText"/>
    <w:uiPriority w:val="99"/>
    <w:locked/>
    <w:rsid w:val="00165A24"/>
    <w:rPr>
      <w:rFonts w:ascii="Times New Roman" w:hAnsi="Times New Roman" w:cs="Times New Roman"/>
      <w:sz w:val="20"/>
      <w:szCs w:val="20"/>
      <w:lang w:val="en-GB" w:eastAsia="ar-SA" w:bidi="ar-SA"/>
    </w:rPr>
  </w:style>
  <w:style w:type="paragraph" w:styleId="List">
    <w:name w:val="List"/>
    <w:basedOn w:val="Normal"/>
    <w:uiPriority w:val="99"/>
    <w:rsid w:val="00165A24"/>
    <w:pPr>
      <w:suppressAutoHyphens/>
      <w:spacing w:after="120" w:line="276" w:lineRule="auto"/>
      <w:jc w:val="both"/>
    </w:pPr>
    <w:rPr>
      <w:rFonts w:eastAsia="Times New Roman"/>
      <w:sz w:val="22"/>
      <w:szCs w:val="22"/>
      <w:lang w:val="en-GB" w:eastAsia="ar-SA"/>
    </w:rPr>
  </w:style>
  <w:style w:type="paragraph" w:styleId="BodyText">
    <w:name w:val="Body Text"/>
    <w:basedOn w:val="Normal"/>
    <w:link w:val="BodyTextChar"/>
    <w:uiPriority w:val="99"/>
    <w:semiHidden/>
    <w:rsid w:val="00165A24"/>
    <w:pPr>
      <w:spacing w:after="120"/>
    </w:pPr>
  </w:style>
  <w:style w:type="character" w:customStyle="1" w:styleId="BodyTextChar">
    <w:name w:val="Body Text Char"/>
    <w:link w:val="BodyText"/>
    <w:uiPriority w:val="99"/>
    <w:semiHidden/>
    <w:locked/>
    <w:rsid w:val="00165A24"/>
    <w:rPr>
      <w:rFonts w:ascii="Times New Roman" w:hAnsi="Times New Roman" w:cs="Times New Roman"/>
      <w:sz w:val="24"/>
      <w:szCs w:val="24"/>
    </w:rPr>
  </w:style>
  <w:style w:type="paragraph" w:styleId="Title">
    <w:name w:val="Title"/>
    <w:basedOn w:val="Normal"/>
    <w:link w:val="TitleChar"/>
    <w:uiPriority w:val="99"/>
    <w:qFormat/>
    <w:rsid w:val="00165A24"/>
    <w:pPr>
      <w:tabs>
        <w:tab w:val="left" w:pos="850"/>
        <w:tab w:val="left" w:pos="1191"/>
        <w:tab w:val="left" w:pos="1531"/>
      </w:tabs>
      <w:spacing w:before="240" w:after="60"/>
      <w:jc w:val="center"/>
      <w:outlineLvl w:val="0"/>
    </w:pPr>
    <w:rPr>
      <w:rFonts w:ascii="Arial" w:eastAsia="Times New Roman" w:hAnsi="Arial" w:cs="Arial"/>
      <w:b/>
      <w:bCs/>
      <w:kern w:val="28"/>
      <w:sz w:val="32"/>
      <w:szCs w:val="32"/>
      <w:lang w:val="en-GB" w:eastAsia="zh-TW"/>
    </w:rPr>
  </w:style>
  <w:style w:type="character" w:customStyle="1" w:styleId="TitleChar">
    <w:name w:val="Title Char"/>
    <w:link w:val="Title"/>
    <w:uiPriority w:val="99"/>
    <w:locked/>
    <w:rsid w:val="00165A24"/>
    <w:rPr>
      <w:rFonts w:ascii="Arial" w:hAnsi="Arial" w:cs="Arial"/>
      <w:b/>
      <w:bCs/>
      <w:kern w:val="28"/>
      <w:sz w:val="20"/>
      <w:szCs w:val="20"/>
      <w:lang w:val="en-GB" w:eastAsia="zh-TW"/>
    </w:rPr>
  </w:style>
  <w:style w:type="paragraph" w:styleId="Subtitle">
    <w:name w:val="Subtitle"/>
    <w:basedOn w:val="Normal"/>
    <w:next w:val="BodyText"/>
    <w:link w:val="SubtitleChar"/>
    <w:uiPriority w:val="99"/>
    <w:qFormat/>
    <w:rsid w:val="00165A24"/>
    <w:pPr>
      <w:keepNext/>
      <w:suppressAutoHyphens/>
      <w:spacing w:before="240" w:after="120" w:line="276" w:lineRule="auto"/>
      <w:jc w:val="center"/>
    </w:pPr>
    <w:rPr>
      <w:rFonts w:ascii="Arial" w:hAnsi="Arial" w:cs="Arial"/>
      <w:i/>
      <w:iCs/>
      <w:sz w:val="28"/>
      <w:szCs w:val="28"/>
      <w:lang w:val="en-GB" w:eastAsia="ar-SA"/>
    </w:rPr>
  </w:style>
  <w:style w:type="character" w:customStyle="1" w:styleId="SubtitleChar">
    <w:name w:val="Subtitle Char"/>
    <w:link w:val="Subtitle"/>
    <w:uiPriority w:val="99"/>
    <w:locked/>
    <w:rsid w:val="00165A24"/>
    <w:rPr>
      <w:rFonts w:ascii="Arial" w:hAnsi="Arial" w:cs="Arial"/>
      <w:i/>
      <w:iCs/>
      <w:sz w:val="28"/>
      <w:szCs w:val="28"/>
      <w:lang w:val="en-GB" w:eastAsia="ar-SA" w:bidi="ar-SA"/>
    </w:rPr>
  </w:style>
  <w:style w:type="character" w:styleId="Hyperlink">
    <w:name w:val="Hyperlink"/>
    <w:uiPriority w:val="99"/>
    <w:rsid w:val="00165A24"/>
    <w:rPr>
      <w:color w:val="0000FF"/>
      <w:u w:val="single"/>
    </w:rPr>
  </w:style>
  <w:style w:type="character" w:styleId="FollowedHyperlink">
    <w:name w:val="FollowedHyperlink"/>
    <w:uiPriority w:val="99"/>
    <w:rsid w:val="00165A24"/>
    <w:rPr>
      <w:color w:val="800080"/>
      <w:u w:val="single"/>
    </w:rPr>
  </w:style>
  <w:style w:type="character" w:styleId="Strong">
    <w:name w:val="Strong"/>
    <w:uiPriority w:val="99"/>
    <w:qFormat/>
    <w:rsid w:val="00165A24"/>
    <w:rPr>
      <w:b/>
      <w:bCs/>
    </w:rPr>
  </w:style>
  <w:style w:type="character" w:styleId="Emphasis">
    <w:name w:val="Emphasis"/>
    <w:uiPriority w:val="99"/>
    <w:qFormat/>
    <w:rsid w:val="00165A24"/>
    <w:rPr>
      <w:i/>
      <w:iCs/>
    </w:rPr>
  </w:style>
  <w:style w:type="paragraph" w:styleId="PlainText">
    <w:name w:val="Plain Text"/>
    <w:basedOn w:val="Normal"/>
    <w:link w:val="PlainTextChar"/>
    <w:uiPriority w:val="99"/>
    <w:rsid w:val="00165A24"/>
    <w:rPr>
      <w:rFonts w:ascii="Courier New" w:eastAsia="Times New Roman" w:hAnsi="Courier New" w:cs="Courier New"/>
      <w:sz w:val="20"/>
      <w:szCs w:val="20"/>
      <w:lang w:val="en-GB"/>
    </w:rPr>
  </w:style>
  <w:style w:type="character" w:customStyle="1" w:styleId="PlainTextChar">
    <w:name w:val="Plain Text Char"/>
    <w:link w:val="PlainText"/>
    <w:uiPriority w:val="99"/>
    <w:locked/>
    <w:rsid w:val="00165A24"/>
    <w:rPr>
      <w:rFonts w:ascii="Courier New" w:hAnsi="Courier New" w:cs="Courier New"/>
      <w:sz w:val="20"/>
      <w:szCs w:val="20"/>
      <w:lang w:val="en-GB"/>
    </w:rPr>
  </w:style>
  <w:style w:type="paragraph" w:styleId="NormalWeb">
    <w:name w:val="Normal (Web)"/>
    <w:basedOn w:val="Normal"/>
    <w:uiPriority w:val="99"/>
    <w:rsid w:val="00165A24"/>
    <w:pPr>
      <w:spacing w:before="100" w:beforeAutospacing="1" w:after="100" w:afterAutospacing="1"/>
    </w:pPr>
    <w:rPr>
      <w:rFonts w:eastAsia="Times New Roman"/>
      <w:lang w:eastAsia="lt-LT"/>
    </w:rPr>
  </w:style>
  <w:style w:type="character" w:styleId="HTMLCite">
    <w:name w:val="HTML Cite"/>
    <w:uiPriority w:val="99"/>
    <w:rsid w:val="00165A24"/>
    <w:rPr>
      <w:i/>
      <w:iCs/>
    </w:rPr>
  </w:style>
  <w:style w:type="table" w:styleId="TableColumns3">
    <w:name w:val="Table Columns 3"/>
    <w:basedOn w:val="TableNormal"/>
    <w:uiPriority w:val="99"/>
    <w:rsid w:val="00165A24"/>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99"/>
    <w:rsid w:val="00165A2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165A24"/>
    <w:rPr>
      <w:rFonts w:ascii="Calibri" w:eastAsia="Times New Roman" w:hAnsi="Calibri" w:cs="Calibri"/>
      <w:sz w:val="22"/>
      <w:szCs w:val="22"/>
      <w:lang w:val="en-US" w:eastAsia="en-US"/>
    </w:rPr>
  </w:style>
  <w:style w:type="paragraph" w:styleId="IntenseQuote">
    <w:name w:val="Intense Quote"/>
    <w:basedOn w:val="Normal"/>
    <w:next w:val="Normal"/>
    <w:link w:val="IntenseQuoteChar"/>
    <w:uiPriority w:val="99"/>
    <w:qFormat/>
    <w:rsid w:val="00165A24"/>
    <w:pPr>
      <w:numPr>
        <w:numId w:val="2"/>
      </w:numPr>
      <w:pBdr>
        <w:bottom w:val="single" w:sz="4" w:space="4" w:color="4F81BD"/>
      </w:pBdr>
      <w:spacing w:before="200" w:after="280"/>
      <w:ind w:right="936"/>
      <w:jc w:val="center"/>
    </w:pPr>
    <w:rPr>
      <w:rFonts w:eastAsia="Times New Roman"/>
      <w:b/>
      <w:bCs/>
      <w:i/>
      <w:iCs/>
      <w:color w:val="002060"/>
      <w:sz w:val="28"/>
      <w:szCs w:val="28"/>
    </w:rPr>
  </w:style>
  <w:style w:type="character" w:customStyle="1" w:styleId="IntenseQuoteChar">
    <w:name w:val="Intense Quote Char"/>
    <w:link w:val="IntenseQuote"/>
    <w:uiPriority w:val="99"/>
    <w:locked/>
    <w:rsid w:val="00165A24"/>
    <w:rPr>
      <w:rFonts w:ascii="Times New Roman" w:hAnsi="Times New Roman" w:cs="Times New Roman"/>
      <w:b/>
      <w:bCs/>
      <w:i/>
      <w:iCs/>
      <w:color w:val="002060"/>
      <w:sz w:val="24"/>
      <w:szCs w:val="24"/>
    </w:rPr>
  </w:style>
  <w:style w:type="paragraph" w:customStyle="1" w:styleId="Style1">
    <w:name w:val="Style1"/>
    <w:basedOn w:val="Normal"/>
    <w:uiPriority w:val="99"/>
    <w:rsid w:val="00165A24"/>
    <w:pPr>
      <w:tabs>
        <w:tab w:val="left" w:pos="695"/>
        <w:tab w:val="right" w:pos="9922"/>
      </w:tabs>
      <w:jc w:val="right"/>
    </w:pPr>
    <w:rPr>
      <w:rFonts w:ascii="PF Square Sans Pro" w:eastAsia="Times New Roman" w:hAnsi="PF Square Sans Pro" w:cs="PF Square Sans Pro"/>
      <w:color w:val="4181B6"/>
      <w:sz w:val="22"/>
      <w:szCs w:val="22"/>
    </w:rPr>
  </w:style>
  <w:style w:type="paragraph" w:customStyle="1" w:styleId="Style3">
    <w:name w:val="Style3"/>
    <w:next w:val="Pagrindinispaprastastekstas"/>
    <w:uiPriority w:val="99"/>
    <w:rsid w:val="00165A24"/>
    <w:rPr>
      <w:rFonts w:ascii="Calibri" w:eastAsia="Times New Roman" w:hAnsi="Calibri" w:cs="Calibri"/>
      <w:sz w:val="22"/>
      <w:szCs w:val="22"/>
      <w:lang w:val="en-US" w:eastAsia="en-US"/>
    </w:rPr>
  </w:style>
  <w:style w:type="paragraph" w:customStyle="1" w:styleId="TableContents">
    <w:name w:val="Table Contents"/>
    <w:basedOn w:val="Normal"/>
    <w:uiPriority w:val="99"/>
    <w:rsid w:val="00165A24"/>
    <w:pPr>
      <w:widowControl w:val="0"/>
      <w:suppressLineNumbers/>
      <w:suppressAutoHyphens/>
    </w:pPr>
  </w:style>
  <w:style w:type="paragraph" w:customStyle="1" w:styleId="TableHeading">
    <w:name w:val="Table Heading"/>
    <w:basedOn w:val="TableContents"/>
    <w:uiPriority w:val="99"/>
    <w:rsid w:val="00165A24"/>
    <w:pPr>
      <w:jc w:val="center"/>
    </w:pPr>
    <w:rPr>
      <w:b/>
      <w:bCs/>
      <w:i/>
      <w:iCs/>
    </w:rPr>
  </w:style>
  <w:style w:type="paragraph" w:customStyle="1" w:styleId="Default">
    <w:name w:val="Default"/>
    <w:uiPriority w:val="99"/>
    <w:rsid w:val="00165A24"/>
    <w:pPr>
      <w:autoSpaceDE w:val="0"/>
      <w:autoSpaceDN w:val="0"/>
      <w:adjustRightInd w:val="0"/>
    </w:pPr>
    <w:rPr>
      <w:rFonts w:ascii="Times New Roman" w:hAnsi="Times New Roman"/>
      <w:color w:val="000000"/>
      <w:sz w:val="24"/>
      <w:szCs w:val="24"/>
    </w:rPr>
  </w:style>
  <w:style w:type="paragraph" w:customStyle="1" w:styleId="Style2">
    <w:name w:val="Style2"/>
    <w:basedOn w:val="Antrastes3"/>
    <w:uiPriority w:val="99"/>
    <w:rsid w:val="00165A24"/>
    <w:pPr>
      <w:numPr>
        <w:ilvl w:val="0"/>
        <w:numId w:val="0"/>
      </w:numPr>
      <w:ind w:left="864" w:hanging="864"/>
    </w:pPr>
  </w:style>
  <w:style w:type="paragraph" w:customStyle="1" w:styleId="Lentelemstekstas">
    <w:name w:val="• Lentelems tekstas"/>
    <w:basedOn w:val="Lentelemsantraste"/>
    <w:uiPriority w:val="99"/>
    <w:rsid w:val="00A615ED"/>
    <w:rPr>
      <w:b w:val="0"/>
      <w:bCs w:val="0"/>
      <w:color w:val="4181B6"/>
    </w:rPr>
  </w:style>
  <w:style w:type="paragraph" w:customStyle="1" w:styleId="Textboxtekstas">
    <w:name w:val="• Text box tekstas"/>
    <w:basedOn w:val="Normal"/>
    <w:uiPriority w:val="99"/>
    <w:rsid w:val="00A615ED"/>
    <w:pPr>
      <w:jc w:val="both"/>
    </w:pPr>
    <w:rPr>
      <w:rFonts w:ascii="Cambria" w:eastAsia="Times New Roman" w:hAnsi="Cambria" w:cs="Cambria"/>
      <w:color w:val="4181B6"/>
      <w:kern w:val="32"/>
      <w:sz w:val="20"/>
      <w:szCs w:val="20"/>
      <w:lang w:eastAsia="lt-LT"/>
    </w:rPr>
  </w:style>
  <w:style w:type="paragraph" w:customStyle="1" w:styleId="Titulinionuoroda">
    <w:name w:val="• Titulinio nuoroda"/>
    <w:basedOn w:val="Normal"/>
    <w:uiPriority w:val="99"/>
    <w:rsid w:val="00A615ED"/>
    <w:pPr>
      <w:ind w:left="2694"/>
      <w:jc w:val="both"/>
    </w:pPr>
    <w:rPr>
      <w:rFonts w:ascii="Cambria" w:eastAsia="Times New Roman" w:hAnsi="Cambria" w:cs="Cambria"/>
      <w:sz w:val="20"/>
      <w:szCs w:val="20"/>
    </w:rPr>
  </w:style>
  <w:style w:type="paragraph" w:customStyle="1" w:styleId="Priedupavadinimai">
    <w:name w:val="• Priedu pavadinimai"/>
    <w:basedOn w:val="Nenumeruojamosantrastes"/>
    <w:next w:val="Pagrindinispaprastastekstas"/>
    <w:uiPriority w:val="99"/>
    <w:rsid w:val="007D416A"/>
    <w:pPr>
      <w:numPr>
        <w:numId w:val="4"/>
      </w:numPr>
      <w:tabs>
        <w:tab w:val="center" w:pos="1701"/>
        <w:tab w:val="left" w:pos="1843"/>
        <w:tab w:val="left" w:pos="2127"/>
      </w:tabs>
      <w:ind w:left="0" w:firstLine="0"/>
    </w:pPr>
  </w:style>
  <w:style w:type="paragraph" w:customStyle="1" w:styleId="StyleTextboxtekstassubulletsBold">
    <w:name w:val="Style • Text box tekstas su bullets + Bold"/>
    <w:basedOn w:val="Textboxtekstassubullets"/>
    <w:uiPriority w:val="99"/>
    <w:rsid w:val="00332263"/>
    <w:rPr>
      <w:b/>
      <w:bCs/>
    </w:rPr>
  </w:style>
  <w:style w:type="paragraph" w:styleId="TableofFigures">
    <w:name w:val="table of figures"/>
    <w:basedOn w:val="Normal"/>
    <w:next w:val="Normal"/>
    <w:uiPriority w:val="99"/>
    <w:semiHidden/>
    <w:rsid w:val="007D416A"/>
    <w:rPr>
      <w:rFonts w:ascii="Cambria" w:hAnsi="Cambria" w:cs="Cambria"/>
      <w:sz w:val="22"/>
      <w:szCs w:val="22"/>
    </w:rPr>
  </w:style>
  <w:style w:type="table" w:customStyle="1" w:styleId="ListTable3-Accent11">
    <w:name w:val="List Table 3 - Accent 11"/>
    <w:uiPriority w:val="99"/>
    <w:rsid w:val="00794FF4"/>
    <w:rPr>
      <w:rFonts w:cs="PF Square Sans Pro"/>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character" w:styleId="CommentReference">
    <w:name w:val="annotation reference"/>
    <w:uiPriority w:val="99"/>
    <w:semiHidden/>
    <w:rsid w:val="000E150C"/>
    <w:rPr>
      <w:sz w:val="16"/>
      <w:szCs w:val="16"/>
    </w:rPr>
  </w:style>
  <w:style w:type="paragraph" w:styleId="CommentSubject">
    <w:name w:val="annotation subject"/>
    <w:basedOn w:val="CommentText"/>
    <w:next w:val="CommentText"/>
    <w:link w:val="CommentSubjectChar"/>
    <w:uiPriority w:val="99"/>
    <w:semiHidden/>
    <w:rsid w:val="000E150C"/>
    <w:rPr>
      <w:rFonts w:eastAsia="Calibri"/>
      <w:b/>
      <w:bCs/>
    </w:rPr>
  </w:style>
  <w:style w:type="character" w:customStyle="1" w:styleId="CommentSubjectChar">
    <w:name w:val="Comment Subject Char"/>
    <w:link w:val="CommentSubject"/>
    <w:uiPriority w:val="99"/>
    <w:semiHidden/>
    <w:locked/>
    <w:rsid w:val="000E150C"/>
    <w:rPr>
      <w:rFonts w:ascii="Times New Roman" w:hAnsi="Times New Roman" w:cs="Times New Roman"/>
      <w:b/>
      <w:bCs/>
      <w:sz w:val="20"/>
      <w:szCs w:val="20"/>
    </w:rPr>
  </w:style>
  <w:style w:type="paragraph" w:customStyle="1" w:styleId="CharCharDiagramaCharChar">
    <w:name w:val="Char Char Diagrama Char Char"/>
    <w:basedOn w:val="Normal"/>
    <w:uiPriority w:val="99"/>
    <w:rsid w:val="003934B3"/>
    <w:pPr>
      <w:spacing w:after="160" w:line="240" w:lineRule="exact"/>
    </w:pPr>
    <w:rPr>
      <w:rFonts w:ascii="Tahoma" w:eastAsia="Times New Roman" w:hAnsi="Tahoma" w:cs="Tahoma"/>
      <w:sz w:val="20"/>
      <w:szCs w:val="20"/>
      <w:lang w:val="en-US"/>
    </w:rPr>
  </w:style>
  <w:style w:type="character" w:customStyle="1" w:styleId="PagrindinispaprastastekstasChar">
    <w:name w:val="• Pagrindinis paprastas tekstas Char"/>
    <w:link w:val="Pagrindinispaprastastekstas"/>
    <w:uiPriority w:val="99"/>
    <w:locked/>
    <w:rsid w:val="003934B3"/>
    <w:rPr>
      <w:rFonts w:ascii="Cambria" w:hAnsi="Cambria" w:cs="Cambria"/>
      <w:sz w:val="24"/>
      <w:szCs w:val="24"/>
    </w:rPr>
  </w:style>
  <w:style w:type="character" w:customStyle="1" w:styleId="NoSpacingChar">
    <w:name w:val="No Spacing Char"/>
    <w:link w:val="NoSpacing"/>
    <w:uiPriority w:val="99"/>
    <w:locked/>
    <w:rsid w:val="007A5924"/>
    <w:rPr>
      <w:rFonts w:ascii="Calibri" w:hAnsi="Calibri" w:cs="Calibri"/>
      <w:sz w:val="22"/>
      <w:szCs w:val="22"/>
      <w:lang w:val="en-US" w:eastAsia="en-US"/>
    </w:rPr>
  </w:style>
  <w:style w:type="paragraph" w:styleId="TOCHeading">
    <w:name w:val="TOC Heading"/>
    <w:basedOn w:val="Heading1"/>
    <w:next w:val="Normal"/>
    <w:uiPriority w:val="99"/>
    <w:qFormat/>
    <w:rsid w:val="007A5924"/>
    <w:pPr>
      <w:keepLines/>
      <w:spacing w:after="0" w:line="259" w:lineRule="auto"/>
      <w:outlineLvl w:val="9"/>
    </w:pPr>
    <w:rPr>
      <w:rFonts w:ascii="Cambria" w:eastAsia="Times New Roman" w:hAnsi="Cambria" w:cs="Cambria"/>
      <w:color w:val="365F91"/>
      <w:kern w:val="0"/>
      <w:lang w:val="en-US" w:eastAsia="en-US"/>
    </w:rPr>
  </w:style>
  <w:style w:type="paragraph" w:customStyle="1" w:styleId="SUPERSChar">
    <w:name w:val="SUPERS Char"/>
    <w:aliases w:val="EN Footnote Reference Char"/>
    <w:basedOn w:val="Normal"/>
    <w:link w:val="FootnoteReference"/>
    <w:uiPriority w:val="99"/>
    <w:rsid w:val="00CD2304"/>
    <w:pPr>
      <w:spacing w:after="160" w:line="240" w:lineRule="exact"/>
    </w:pPr>
    <w:rPr>
      <w:rFonts w:ascii="Cambria" w:hAnsi="Cambria" w:cs="Cambria"/>
      <w:sz w:val="22"/>
      <w:szCs w:val="22"/>
      <w:vertAlign w:val="superscript"/>
    </w:rPr>
  </w:style>
  <w:style w:type="paragraph" w:customStyle="1" w:styleId="ListParagraph1">
    <w:name w:val="List Paragraph1"/>
    <w:basedOn w:val="Normal"/>
    <w:uiPriority w:val="99"/>
    <w:rsid w:val="001A235B"/>
    <w:rPr>
      <w:sz w:val="20"/>
      <w:szCs w:val="20"/>
    </w:rPr>
  </w:style>
  <w:style w:type="table" w:customStyle="1" w:styleId="GridTable4-Accent11">
    <w:name w:val="Grid Table 4 - Accent 11"/>
    <w:uiPriority w:val="99"/>
    <w:rsid w:val="00E92162"/>
    <w:rPr>
      <w:rFonts w:cs="PF Square Sans Pr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5Dark-Accent11">
    <w:name w:val="Grid Table 5 Dark - Accent 11"/>
    <w:uiPriority w:val="99"/>
    <w:rsid w:val="009F4179"/>
    <w:rPr>
      <w:rFonts w:cs="PF Square Sans Pr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GridTable7Colorful-Accent31">
    <w:name w:val="Grid Table 7 Colorful - Accent 31"/>
    <w:uiPriority w:val="99"/>
    <w:rsid w:val="009F4179"/>
    <w:rPr>
      <w:rFonts w:cs="PF Square Sans Pro"/>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table" w:customStyle="1" w:styleId="GridTable6Colorful-Accent11">
    <w:name w:val="Grid Table 6 Colorful - Accent 11"/>
    <w:uiPriority w:val="99"/>
    <w:rsid w:val="009F4179"/>
    <w:rPr>
      <w:rFonts w:cs="PF Square Sans Pro"/>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7Colorful-Accent11">
    <w:name w:val="Grid Table 7 Colorful - Accent 11"/>
    <w:uiPriority w:val="99"/>
    <w:rsid w:val="009F4179"/>
    <w:rPr>
      <w:rFonts w:cs="PF Square Sans Pro"/>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GridTable1Light-Accent51">
    <w:name w:val="Grid Table 1 Light - Accent 51"/>
    <w:uiPriority w:val="99"/>
    <w:rsid w:val="009F4179"/>
    <w:rPr>
      <w:rFonts w:cs="PF Square Sans Pr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ListTable6Colorful-Accent11">
    <w:name w:val="List Table 6 Colorful - Accent 11"/>
    <w:uiPriority w:val="99"/>
    <w:rsid w:val="00D56E92"/>
    <w:rPr>
      <w:rFonts w:cs="PF Square Sans Pro"/>
      <w:color w:val="365F91"/>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paragraph" w:customStyle="1" w:styleId="Punktas">
    <w:name w:val="Punktas"/>
    <w:basedOn w:val="BodyTextIndent"/>
    <w:uiPriority w:val="99"/>
    <w:rsid w:val="00326675"/>
    <w:pPr>
      <w:numPr>
        <w:numId w:val="24"/>
      </w:numPr>
      <w:spacing w:before="60" w:after="60"/>
      <w:ind w:left="450" w:hanging="450"/>
      <w:jc w:val="both"/>
    </w:pPr>
    <w:rPr>
      <w:rFonts w:eastAsia="Times New Roman"/>
      <w:b/>
      <w:bCs/>
    </w:rPr>
  </w:style>
  <w:style w:type="paragraph" w:customStyle="1" w:styleId="Papunktis">
    <w:name w:val="Papunktis"/>
    <w:basedOn w:val="BodyTextIndent"/>
    <w:uiPriority w:val="99"/>
    <w:rsid w:val="00326675"/>
    <w:pPr>
      <w:numPr>
        <w:ilvl w:val="1"/>
        <w:numId w:val="24"/>
      </w:numPr>
      <w:spacing w:after="0"/>
      <w:ind w:left="720" w:hanging="720"/>
      <w:jc w:val="both"/>
    </w:pPr>
    <w:rPr>
      <w:rFonts w:eastAsia="Times New Roman"/>
    </w:rPr>
  </w:style>
  <w:style w:type="paragraph" w:customStyle="1" w:styleId="Papunkiopapunktis">
    <w:name w:val="Papunkčio papunktis"/>
    <w:basedOn w:val="Normal"/>
    <w:uiPriority w:val="99"/>
    <w:rsid w:val="00326675"/>
    <w:pPr>
      <w:numPr>
        <w:ilvl w:val="2"/>
        <w:numId w:val="24"/>
      </w:numPr>
      <w:jc w:val="both"/>
    </w:pPr>
    <w:rPr>
      <w:rFonts w:eastAsia="Times New Roman"/>
    </w:rPr>
  </w:style>
  <w:style w:type="paragraph" w:styleId="BodyTextIndent">
    <w:name w:val="Body Text Indent"/>
    <w:basedOn w:val="Normal"/>
    <w:link w:val="BodyTextIndentChar"/>
    <w:uiPriority w:val="99"/>
    <w:semiHidden/>
    <w:rsid w:val="00326675"/>
    <w:pPr>
      <w:spacing w:after="120"/>
      <w:ind w:left="283"/>
    </w:pPr>
  </w:style>
  <w:style w:type="character" w:customStyle="1" w:styleId="BodyTextIndentChar">
    <w:name w:val="Body Text Indent Char"/>
    <w:link w:val="BodyTextIndent"/>
    <w:uiPriority w:val="99"/>
    <w:semiHidden/>
    <w:locked/>
    <w:rsid w:val="00326675"/>
    <w:rPr>
      <w:rFonts w:ascii="Times New Roman" w:hAnsi="Times New Roman" w:cs="Times New Roman"/>
      <w:sz w:val="24"/>
      <w:szCs w:val="24"/>
    </w:rPr>
  </w:style>
  <w:style w:type="table" w:customStyle="1" w:styleId="GridTable1Light-Accent11">
    <w:name w:val="Grid Table 1 Light - Accent 11"/>
    <w:uiPriority w:val="99"/>
    <w:rsid w:val="004A0E42"/>
    <w:rPr>
      <w:rFonts w:cs="PF Square Sans Pr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ListTable3-Accent111">
    <w:name w:val="List Table 3 - Accent 111"/>
    <w:uiPriority w:val="99"/>
    <w:rsid w:val="00E53480"/>
    <w:rPr>
      <w:rFonts w:cs="PF Square Sans Pro"/>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GridTable1Light-Accent21">
    <w:name w:val="Grid Table 1 Light - Accent 21"/>
    <w:uiPriority w:val="99"/>
    <w:rsid w:val="00FB45CE"/>
    <w:rPr>
      <w:rFonts w:cs="PF Square Sans Pro"/>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style>
  <w:style w:type="table" w:customStyle="1" w:styleId="GridTable1Light-Accent41">
    <w:name w:val="Grid Table 1 Light - Accent 41"/>
    <w:uiPriority w:val="99"/>
    <w:rsid w:val="001C02AB"/>
    <w:rPr>
      <w:rFonts w:cs="PF Square Sans Pro"/>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style>
  <w:style w:type="table" w:customStyle="1" w:styleId="ListTable4-Accent11">
    <w:name w:val="List Table 4 - Accent 11"/>
    <w:uiPriority w:val="99"/>
    <w:rsid w:val="00A4510B"/>
    <w:rPr>
      <w:rFonts w:cs="PF Square Sans Pr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table" w:customStyle="1" w:styleId="ListTable4-Accent12">
    <w:name w:val="List Table 4 - Accent 12"/>
    <w:uiPriority w:val="99"/>
    <w:rsid w:val="00647931"/>
    <w:rPr>
      <w:rFonts w:cs="PF Square Sans Pr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paragraph" w:styleId="Revision">
    <w:name w:val="Revision"/>
    <w:hidden/>
    <w:uiPriority w:val="99"/>
    <w:semiHidden/>
    <w:rsid w:val="00C951C5"/>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35145">
      <w:marLeft w:val="0"/>
      <w:marRight w:val="0"/>
      <w:marTop w:val="0"/>
      <w:marBottom w:val="0"/>
      <w:divBdr>
        <w:top w:val="none" w:sz="0" w:space="0" w:color="auto"/>
        <w:left w:val="none" w:sz="0" w:space="0" w:color="auto"/>
        <w:bottom w:val="none" w:sz="0" w:space="0" w:color="auto"/>
        <w:right w:val="none" w:sz="0" w:space="0" w:color="auto"/>
      </w:divBdr>
    </w:div>
    <w:div w:id="968635147">
      <w:marLeft w:val="0"/>
      <w:marRight w:val="0"/>
      <w:marTop w:val="0"/>
      <w:marBottom w:val="0"/>
      <w:divBdr>
        <w:top w:val="none" w:sz="0" w:space="0" w:color="auto"/>
        <w:left w:val="none" w:sz="0" w:space="0" w:color="auto"/>
        <w:bottom w:val="none" w:sz="0" w:space="0" w:color="auto"/>
        <w:right w:val="none" w:sz="0" w:space="0" w:color="auto"/>
      </w:divBdr>
    </w:div>
    <w:div w:id="968635155">
      <w:marLeft w:val="0"/>
      <w:marRight w:val="0"/>
      <w:marTop w:val="0"/>
      <w:marBottom w:val="0"/>
      <w:divBdr>
        <w:top w:val="none" w:sz="0" w:space="0" w:color="auto"/>
        <w:left w:val="none" w:sz="0" w:space="0" w:color="auto"/>
        <w:bottom w:val="none" w:sz="0" w:space="0" w:color="auto"/>
        <w:right w:val="none" w:sz="0" w:space="0" w:color="auto"/>
      </w:divBdr>
    </w:div>
    <w:div w:id="968635159">
      <w:marLeft w:val="0"/>
      <w:marRight w:val="0"/>
      <w:marTop w:val="0"/>
      <w:marBottom w:val="0"/>
      <w:divBdr>
        <w:top w:val="none" w:sz="0" w:space="0" w:color="auto"/>
        <w:left w:val="none" w:sz="0" w:space="0" w:color="auto"/>
        <w:bottom w:val="none" w:sz="0" w:space="0" w:color="auto"/>
        <w:right w:val="none" w:sz="0" w:space="0" w:color="auto"/>
      </w:divBdr>
      <w:divsChild>
        <w:div w:id="968635146">
          <w:marLeft w:val="0"/>
          <w:marRight w:val="0"/>
          <w:marTop w:val="0"/>
          <w:marBottom w:val="0"/>
          <w:divBdr>
            <w:top w:val="none" w:sz="0" w:space="0" w:color="auto"/>
            <w:left w:val="none" w:sz="0" w:space="0" w:color="auto"/>
            <w:bottom w:val="none" w:sz="0" w:space="0" w:color="auto"/>
            <w:right w:val="none" w:sz="0" w:space="0" w:color="auto"/>
          </w:divBdr>
        </w:div>
        <w:div w:id="968635185">
          <w:marLeft w:val="0"/>
          <w:marRight w:val="0"/>
          <w:marTop w:val="0"/>
          <w:marBottom w:val="0"/>
          <w:divBdr>
            <w:top w:val="none" w:sz="0" w:space="0" w:color="auto"/>
            <w:left w:val="none" w:sz="0" w:space="0" w:color="auto"/>
            <w:bottom w:val="none" w:sz="0" w:space="0" w:color="auto"/>
            <w:right w:val="none" w:sz="0" w:space="0" w:color="auto"/>
          </w:divBdr>
        </w:div>
      </w:divsChild>
    </w:div>
    <w:div w:id="968635161">
      <w:marLeft w:val="0"/>
      <w:marRight w:val="0"/>
      <w:marTop w:val="0"/>
      <w:marBottom w:val="0"/>
      <w:divBdr>
        <w:top w:val="none" w:sz="0" w:space="0" w:color="auto"/>
        <w:left w:val="none" w:sz="0" w:space="0" w:color="auto"/>
        <w:bottom w:val="none" w:sz="0" w:space="0" w:color="auto"/>
        <w:right w:val="none" w:sz="0" w:space="0" w:color="auto"/>
      </w:divBdr>
    </w:div>
    <w:div w:id="968635164">
      <w:marLeft w:val="0"/>
      <w:marRight w:val="0"/>
      <w:marTop w:val="0"/>
      <w:marBottom w:val="0"/>
      <w:divBdr>
        <w:top w:val="none" w:sz="0" w:space="0" w:color="auto"/>
        <w:left w:val="none" w:sz="0" w:space="0" w:color="auto"/>
        <w:bottom w:val="none" w:sz="0" w:space="0" w:color="auto"/>
        <w:right w:val="none" w:sz="0" w:space="0" w:color="auto"/>
      </w:divBdr>
    </w:div>
    <w:div w:id="968635166">
      <w:marLeft w:val="0"/>
      <w:marRight w:val="0"/>
      <w:marTop w:val="0"/>
      <w:marBottom w:val="0"/>
      <w:divBdr>
        <w:top w:val="none" w:sz="0" w:space="0" w:color="auto"/>
        <w:left w:val="none" w:sz="0" w:space="0" w:color="auto"/>
        <w:bottom w:val="none" w:sz="0" w:space="0" w:color="auto"/>
        <w:right w:val="none" w:sz="0" w:space="0" w:color="auto"/>
      </w:divBdr>
      <w:divsChild>
        <w:div w:id="968635149">
          <w:marLeft w:val="0"/>
          <w:marRight w:val="0"/>
          <w:marTop w:val="0"/>
          <w:marBottom w:val="0"/>
          <w:divBdr>
            <w:top w:val="none" w:sz="0" w:space="0" w:color="auto"/>
            <w:left w:val="none" w:sz="0" w:space="0" w:color="auto"/>
            <w:bottom w:val="none" w:sz="0" w:space="0" w:color="auto"/>
            <w:right w:val="none" w:sz="0" w:space="0" w:color="auto"/>
          </w:divBdr>
        </w:div>
        <w:div w:id="968635152">
          <w:marLeft w:val="0"/>
          <w:marRight w:val="0"/>
          <w:marTop w:val="0"/>
          <w:marBottom w:val="0"/>
          <w:divBdr>
            <w:top w:val="none" w:sz="0" w:space="0" w:color="auto"/>
            <w:left w:val="none" w:sz="0" w:space="0" w:color="auto"/>
            <w:bottom w:val="none" w:sz="0" w:space="0" w:color="auto"/>
            <w:right w:val="none" w:sz="0" w:space="0" w:color="auto"/>
          </w:divBdr>
        </w:div>
        <w:div w:id="968635157">
          <w:marLeft w:val="0"/>
          <w:marRight w:val="0"/>
          <w:marTop w:val="0"/>
          <w:marBottom w:val="0"/>
          <w:divBdr>
            <w:top w:val="none" w:sz="0" w:space="0" w:color="auto"/>
            <w:left w:val="none" w:sz="0" w:space="0" w:color="auto"/>
            <w:bottom w:val="none" w:sz="0" w:space="0" w:color="auto"/>
            <w:right w:val="none" w:sz="0" w:space="0" w:color="auto"/>
          </w:divBdr>
        </w:div>
        <w:div w:id="968635160">
          <w:marLeft w:val="0"/>
          <w:marRight w:val="0"/>
          <w:marTop w:val="0"/>
          <w:marBottom w:val="0"/>
          <w:divBdr>
            <w:top w:val="none" w:sz="0" w:space="0" w:color="auto"/>
            <w:left w:val="none" w:sz="0" w:space="0" w:color="auto"/>
            <w:bottom w:val="none" w:sz="0" w:space="0" w:color="auto"/>
            <w:right w:val="none" w:sz="0" w:space="0" w:color="auto"/>
          </w:divBdr>
        </w:div>
        <w:div w:id="968635173">
          <w:marLeft w:val="0"/>
          <w:marRight w:val="0"/>
          <w:marTop w:val="0"/>
          <w:marBottom w:val="0"/>
          <w:divBdr>
            <w:top w:val="none" w:sz="0" w:space="0" w:color="auto"/>
            <w:left w:val="none" w:sz="0" w:space="0" w:color="auto"/>
            <w:bottom w:val="none" w:sz="0" w:space="0" w:color="auto"/>
            <w:right w:val="none" w:sz="0" w:space="0" w:color="auto"/>
          </w:divBdr>
        </w:div>
        <w:div w:id="968635174">
          <w:marLeft w:val="0"/>
          <w:marRight w:val="0"/>
          <w:marTop w:val="0"/>
          <w:marBottom w:val="0"/>
          <w:divBdr>
            <w:top w:val="none" w:sz="0" w:space="0" w:color="auto"/>
            <w:left w:val="none" w:sz="0" w:space="0" w:color="auto"/>
            <w:bottom w:val="none" w:sz="0" w:space="0" w:color="auto"/>
            <w:right w:val="none" w:sz="0" w:space="0" w:color="auto"/>
          </w:divBdr>
        </w:div>
        <w:div w:id="968635178">
          <w:marLeft w:val="0"/>
          <w:marRight w:val="0"/>
          <w:marTop w:val="0"/>
          <w:marBottom w:val="0"/>
          <w:divBdr>
            <w:top w:val="none" w:sz="0" w:space="0" w:color="auto"/>
            <w:left w:val="none" w:sz="0" w:space="0" w:color="auto"/>
            <w:bottom w:val="none" w:sz="0" w:space="0" w:color="auto"/>
            <w:right w:val="none" w:sz="0" w:space="0" w:color="auto"/>
          </w:divBdr>
        </w:div>
      </w:divsChild>
    </w:div>
    <w:div w:id="968635169">
      <w:marLeft w:val="0"/>
      <w:marRight w:val="0"/>
      <w:marTop w:val="0"/>
      <w:marBottom w:val="0"/>
      <w:divBdr>
        <w:top w:val="none" w:sz="0" w:space="0" w:color="auto"/>
        <w:left w:val="none" w:sz="0" w:space="0" w:color="auto"/>
        <w:bottom w:val="none" w:sz="0" w:space="0" w:color="auto"/>
        <w:right w:val="none" w:sz="0" w:space="0" w:color="auto"/>
      </w:divBdr>
    </w:div>
    <w:div w:id="968635170">
      <w:marLeft w:val="0"/>
      <w:marRight w:val="0"/>
      <w:marTop w:val="0"/>
      <w:marBottom w:val="0"/>
      <w:divBdr>
        <w:top w:val="none" w:sz="0" w:space="0" w:color="auto"/>
        <w:left w:val="none" w:sz="0" w:space="0" w:color="auto"/>
        <w:bottom w:val="none" w:sz="0" w:space="0" w:color="auto"/>
        <w:right w:val="none" w:sz="0" w:space="0" w:color="auto"/>
      </w:divBdr>
      <w:divsChild>
        <w:div w:id="968635150">
          <w:marLeft w:val="0"/>
          <w:marRight w:val="0"/>
          <w:marTop w:val="0"/>
          <w:marBottom w:val="0"/>
          <w:divBdr>
            <w:top w:val="none" w:sz="0" w:space="0" w:color="auto"/>
            <w:left w:val="none" w:sz="0" w:space="0" w:color="auto"/>
            <w:bottom w:val="none" w:sz="0" w:space="0" w:color="auto"/>
            <w:right w:val="none" w:sz="0" w:space="0" w:color="auto"/>
          </w:divBdr>
        </w:div>
        <w:div w:id="968635151">
          <w:marLeft w:val="0"/>
          <w:marRight w:val="0"/>
          <w:marTop w:val="0"/>
          <w:marBottom w:val="0"/>
          <w:divBdr>
            <w:top w:val="none" w:sz="0" w:space="0" w:color="auto"/>
            <w:left w:val="none" w:sz="0" w:space="0" w:color="auto"/>
            <w:bottom w:val="none" w:sz="0" w:space="0" w:color="auto"/>
            <w:right w:val="none" w:sz="0" w:space="0" w:color="auto"/>
          </w:divBdr>
        </w:div>
        <w:div w:id="968635153">
          <w:marLeft w:val="0"/>
          <w:marRight w:val="0"/>
          <w:marTop w:val="0"/>
          <w:marBottom w:val="0"/>
          <w:divBdr>
            <w:top w:val="none" w:sz="0" w:space="0" w:color="auto"/>
            <w:left w:val="none" w:sz="0" w:space="0" w:color="auto"/>
            <w:bottom w:val="none" w:sz="0" w:space="0" w:color="auto"/>
            <w:right w:val="none" w:sz="0" w:space="0" w:color="auto"/>
          </w:divBdr>
        </w:div>
        <w:div w:id="968635154">
          <w:marLeft w:val="0"/>
          <w:marRight w:val="0"/>
          <w:marTop w:val="0"/>
          <w:marBottom w:val="0"/>
          <w:divBdr>
            <w:top w:val="none" w:sz="0" w:space="0" w:color="auto"/>
            <w:left w:val="none" w:sz="0" w:space="0" w:color="auto"/>
            <w:bottom w:val="none" w:sz="0" w:space="0" w:color="auto"/>
            <w:right w:val="none" w:sz="0" w:space="0" w:color="auto"/>
          </w:divBdr>
        </w:div>
        <w:div w:id="968635156">
          <w:marLeft w:val="0"/>
          <w:marRight w:val="0"/>
          <w:marTop w:val="0"/>
          <w:marBottom w:val="0"/>
          <w:divBdr>
            <w:top w:val="none" w:sz="0" w:space="0" w:color="auto"/>
            <w:left w:val="none" w:sz="0" w:space="0" w:color="auto"/>
            <w:bottom w:val="none" w:sz="0" w:space="0" w:color="auto"/>
            <w:right w:val="none" w:sz="0" w:space="0" w:color="auto"/>
          </w:divBdr>
        </w:div>
        <w:div w:id="968635158">
          <w:marLeft w:val="0"/>
          <w:marRight w:val="0"/>
          <w:marTop w:val="0"/>
          <w:marBottom w:val="0"/>
          <w:divBdr>
            <w:top w:val="none" w:sz="0" w:space="0" w:color="auto"/>
            <w:left w:val="none" w:sz="0" w:space="0" w:color="auto"/>
            <w:bottom w:val="none" w:sz="0" w:space="0" w:color="auto"/>
            <w:right w:val="none" w:sz="0" w:space="0" w:color="auto"/>
          </w:divBdr>
        </w:div>
        <w:div w:id="968635162">
          <w:marLeft w:val="0"/>
          <w:marRight w:val="0"/>
          <w:marTop w:val="0"/>
          <w:marBottom w:val="0"/>
          <w:divBdr>
            <w:top w:val="none" w:sz="0" w:space="0" w:color="auto"/>
            <w:left w:val="none" w:sz="0" w:space="0" w:color="auto"/>
            <w:bottom w:val="none" w:sz="0" w:space="0" w:color="auto"/>
            <w:right w:val="none" w:sz="0" w:space="0" w:color="auto"/>
          </w:divBdr>
        </w:div>
        <w:div w:id="968635163">
          <w:marLeft w:val="0"/>
          <w:marRight w:val="0"/>
          <w:marTop w:val="0"/>
          <w:marBottom w:val="0"/>
          <w:divBdr>
            <w:top w:val="none" w:sz="0" w:space="0" w:color="auto"/>
            <w:left w:val="none" w:sz="0" w:space="0" w:color="auto"/>
            <w:bottom w:val="none" w:sz="0" w:space="0" w:color="auto"/>
            <w:right w:val="none" w:sz="0" w:space="0" w:color="auto"/>
          </w:divBdr>
        </w:div>
        <w:div w:id="968635165">
          <w:marLeft w:val="0"/>
          <w:marRight w:val="0"/>
          <w:marTop w:val="0"/>
          <w:marBottom w:val="0"/>
          <w:divBdr>
            <w:top w:val="none" w:sz="0" w:space="0" w:color="auto"/>
            <w:left w:val="none" w:sz="0" w:space="0" w:color="auto"/>
            <w:bottom w:val="none" w:sz="0" w:space="0" w:color="auto"/>
            <w:right w:val="none" w:sz="0" w:space="0" w:color="auto"/>
          </w:divBdr>
        </w:div>
        <w:div w:id="968635167">
          <w:marLeft w:val="0"/>
          <w:marRight w:val="0"/>
          <w:marTop w:val="0"/>
          <w:marBottom w:val="0"/>
          <w:divBdr>
            <w:top w:val="none" w:sz="0" w:space="0" w:color="auto"/>
            <w:left w:val="none" w:sz="0" w:space="0" w:color="auto"/>
            <w:bottom w:val="none" w:sz="0" w:space="0" w:color="auto"/>
            <w:right w:val="none" w:sz="0" w:space="0" w:color="auto"/>
          </w:divBdr>
        </w:div>
        <w:div w:id="968635168">
          <w:marLeft w:val="0"/>
          <w:marRight w:val="0"/>
          <w:marTop w:val="0"/>
          <w:marBottom w:val="0"/>
          <w:divBdr>
            <w:top w:val="none" w:sz="0" w:space="0" w:color="auto"/>
            <w:left w:val="none" w:sz="0" w:space="0" w:color="auto"/>
            <w:bottom w:val="none" w:sz="0" w:space="0" w:color="auto"/>
            <w:right w:val="none" w:sz="0" w:space="0" w:color="auto"/>
          </w:divBdr>
        </w:div>
        <w:div w:id="968635175">
          <w:marLeft w:val="0"/>
          <w:marRight w:val="0"/>
          <w:marTop w:val="0"/>
          <w:marBottom w:val="0"/>
          <w:divBdr>
            <w:top w:val="none" w:sz="0" w:space="0" w:color="auto"/>
            <w:left w:val="none" w:sz="0" w:space="0" w:color="auto"/>
            <w:bottom w:val="none" w:sz="0" w:space="0" w:color="auto"/>
            <w:right w:val="none" w:sz="0" w:space="0" w:color="auto"/>
          </w:divBdr>
        </w:div>
        <w:div w:id="968635179">
          <w:marLeft w:val="0"/>
          <w:marRight w:val="0"/>
          <w:marTop w:val="0"/>
          <w:marBottom w:val="0"/>
          <w:divBdr>
            <w:top w:val="none" w:sz="0" w:space="0" w:color="auto"/>
            <w:left w:val="none" w:sz="0" w:space="0" w:color="auto"/>
            <w:bottom w:val="none" w:sz="0" w:space="0" w:color="auto"/>
            <w:right w:val="none" w:sz="0" w:space="0" w:color="auto"/>
          </w:divBdr>
        </w:div>
        <w:div w:id="968635182">
          <w:marLeft w:val="0"/>
          <w:marRight w:val="0"/>
          <w:marTop w:val="0"/>
          <w:marBottom w:val="0"/>
          <w:divBdr>
            <w:top w:val="none" w:sz="0" w:space="0" w:color="auto"/>
            <w:left w:val="none" w:sz="0" w:space="0" w:color="auto"/>
            <w:bottom w:val="none" w:sz="0" w:space="0" w:color="auto"/>
            <w:right w:val="none" w:sz="0" w:space="0" w:color="auto"/>
          </w:divBdr>
        </w:div>
        <w:div w:id="968635187">
          <w:marLeft w:val="0"/>
          <w:marRight w:val="0"/>
          <w:marTop w:val="0"/>
          <w:marBottom w:val="0"/>
          <w:divBdr>
            <w:top w:val="none" w:sz="0" w:space="0" w:color="auto"/>
            <w:left w:val="none" w:sz="0" w:space="0" w:color="auto"/>
            <w:bottom w:val="none" w:sz="0" w:space="0" w:color="auto"/>
            <w:right w:val="none" w:sz="0" w:space="0" w:color="auto"/>
          </w:divBdr>
        </w:div>
      </w:divsChild>
    </w:div>
    <w:div w:id="968635171">
      <w:marLeft w:val="0"/>
      <w:marRight w:val="0"/>
      <w:marTop w:val="0"/>
      <w:marBottom w:val="0"/>
      <w:divBdr>
        <w:top w:val="none" w:sz="0" w:space="0" w:color="auto"/>
        <w:left w:val="none" w:sz="0" w:space="0" w:color="auto"/>
        <w:bottom w:val="none" w:sz="0" w:space="0" w:color="auto"/>
        <w:right w:val="none" w:sz="0" w:space="0" w:color="auto"/>
      </w:divBdr>
    </w:div>
    <w:div w:id="968635172">
      <w:marLeft w:val="0"/>
      <w:marRight w:val="0"/>
      <w:marTop w:val="0"/>
      <w:marBottom w:val="0"/>
      <w:divBdr>
        <w:top w:val="none" w:sz="0" w:space="0" w:color="auto"/>
        <w:left w:val="none" w:sz="0" w:space="0" w:color="auto"/>
        <w:bottom w:val="none" w:sz="0" w:space="0" w:color="auto"/>
        <w:right w:val="none" w:sz="0" w:space="0" w:color="auto"/>
      </w:divBdr>
    </w:div>
    <w:div w:id="968635176">
      <w:marLeft w:val="0"/>
      <w:marRight w:val="0"/>
      <w:marTop w:val="0"/>
      <w:marBottom w:val="0"/>
      <w:divBdr>
        <w:top w:val="none" w:sz="0" w:space="0" w:color="auto"/>
        <w:left w:val="none" w:sz="0" w:space="0" w:color="auto"/>
        <w:bottom w:val="none" w:sz="0" w:space="0" w:color="auto"/>
        <w:right w:val="none" w:sz="0" w:space="0" w:color="auto"/>
      </w:divBdr>
      <w:divsChild>
        <w:div w:id="968635148">
          <w:marLeft w:val="547"/>
          <w:marRight w:val="0"/>
          <w:marTop w:val="0"/>
          <w:marBottom w:val="0"/>
          <w:divBdr>
            <w:top w:val="none" w:sz="0" w:space="0" w:color="auto"/>
            <w:left w:val="none" w:sz="0" w:space="0" w:color="auto"/>
            <w:bottom w:val="none" w:sz="0" w:space="0" w:color="auto"/>
            <w:right w:val="none" w:sz="0" w:space="0" w:color="auto"/>
          </w:divBdr>
        </w:div>
      </w:divsChild>
    </w:div>
    <w:div w:id="968635177">
      <w:marLeft w:val="0"/>
      <w:marRight w:val="0"/>
      <w:marTop w:val="0"/>
      <w:marBottom w:val="0"/>
      <w:divBdr>
        <w:top w:val="none" w:sz="0" w:space="0" w:color="auto"/>
        <w:left w:val="none" w:sz="0" w:space="0" w:color="auto"/>
        <w:bottom w:val="none" w:sz="0" w:space="0" w:color="auto"/>
        <w:right w:val="none" w:sz="0" w:space="0" w:color="auto"/>
      </w:divBdr>
    </w:div>
    <w:div w:id="968635180">
      <w:marLeft w:val="0"/>
      <w:marRight w:val="0"/>
      <w:marTop w:val="0"/>
      <w:marBottom w:val="0"/>
      <w:divBdr>
        <w:top w:val="none" w:sz="0" w:space="0" w:color="auto"/>
        <w:left w:val="none" w:sz="0" w:space="0" w:color="auto"/>
        <w:bottom w:val="none" w:sz="0" w:space="0" w:color="auto"/>
        <w:right w:val="none" w:sz="0" w:space="0" w:color="auto"/>
      </w:divBdr>
    </w:div>
    <w:div w:id="968635181">
      <w:marLeft w:val="0"/>
      <w:marRight w:val="0"/>
      <w:marTop w:val="0"/>
      <w:marBottom w:val="0"/>
      <w:divBdr>
        <w:top w:val="none" w:sz="0" w:space="0" w:color="auto"/>
        <w:left w:val="none" w:sz="0" w:space="0" w:color="auto"/>
        <w:bottom w:val="none" w:sz="0" w:space="0" w:color="auto"/>
        <w:right w:val="none" w:sz="0" w:space="0" w:color="auto"/>
      </w:divBdr>
    </w:div>
    <w:div w:id="968635183">
      <w:marLeft w:val="0"/>
      <w:marRight w:val="0"/>
      <w:marTop w:val="0"/>
      <w:marBottom w:val="0"/>
      <w:divBdr>
        <w:top w:val="none" w:sz="0" w:space="0" w:color="auto"/>
        <w:left w:val="none" w:sz="0" w:space="0" w:color="auto"/>
        <w:bottom w:val="none" w:sz="0" w:space="0" w:color="auto"/>
        <w:right w:val="none" w:sz="0" w:space="0" w:color="auto"/>
      </w:divBdr>
    </w:div>
    <w:div w:id="968635184">
      <w:marLeft w:val="0"/>
      <w:marRight w:val="0"/>
      <w:marTop w:val="0"/>
      <w:marBottom w:val="0"/>
      <w:divBdr>
        <w:top w:val="none" w:sz="0" w:space="0" w:color="auto"/>
        <w:left w:val="none" w:sz="0" w:space="0" w:color="auto"/>
        <w:bottom w:val="none" w:sz="0" w:space="0" w:color="auto"/>
        <w:right w:val="none" w:sz="0" w:space="0" w:color="auto"/>
      </w:divBdr>
    </w:div>
    <w:div w:id="968635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www.maps.lt/es_statistika"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maps.lt/es_statistika"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eur-lex.europa.eu/LexUriServ/site/lt/oj/2006/l_210/l_21020060731lt00250078.pdf"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sinvesticijos.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uploads/publications/docs/7_ca1621bf5caee7442cf08eb4d24f5f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ata\public\ESTEP%20PROJEKTAI\Vertinimo%20projektai\2016%2005%20FM%20Kiekybinis&amp;kokybinis%20vertinimas\Vertinim&#371;%20leidinys\Analiz&#279;\Grafikai%20vertinim&#371;%20leidiniu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j-lt"/>
                <a:ea typeface="+mn-ea"/>
                <a:cs typeface="+mn-cs"/>
              </a:defRPr>
            </a:pPr>
            <a:r>
              <a:rPr lang="en-GB" sz="1200"/>
              <a:t>Atlikti vertinimai pagal pob</a:t>
            </a:r>
            <a:r>
              <a:rPr lang="lt-LT" sz="1200"/>
              <a:t>ūdį</a:t>
            </a:r>
          </a:p>
        </c:rich>
      </c:tx>
      <c:layout/>
      <c:overlay val="0"/>
      <c:spPr>
        <a:noFill/>
        <a:ln>
          <a:noFill/>
        </a:ln>
        <a:effectLst/>
      </c:spPr>
    </c:title>
    <c:autoTitleDeleted val="0"/>
    <c:plotArea>
      <c:layout>
        <c:manualLayout>
          <c:layoutTarget val="inner"/>
          <c:xMode val="edge"/>
          <c:yMode val="edge"/>
          <c:x val="7.6897427458795506E-2"/>
          <c:y val="0.1664505267076519"/>
          <c:w val="0.46203215535583664"/>
          <c:h val="0.8128572507454922"/>
        </c:manualLayout>
      </c:layout>
      <c:pieChart>
        <c:varyColors val="1"/>
        <c:ser>
          <c:idx val="0"/>
          <c:order val="0"/>
          <c:dPt>
            <c:idx val="0"/>
            <c:bubble3D val="0"/>
            <c:spPr>
              <a:solidFill>
                <a:schemeClr val="accent1">
                  <a:shade val="45000"/>
                </a:schemeClr>
              </a:solidFill>
              <a:ln>
                <a:noFill/>
              </a:ln>
              <a:effectLst>
                <a:outerShdw blurRad="317500" algn="ctr" rotWithShape="0">
                  <a:prstClr val="black">
                    <a:alpha val="25000"/>
                  </a:prstClr>
                </a:outerShdw>
              </a:effectLst>
            </c:spPr>
          </c:dPt>
          <c:dPt>
            <c:idx val="1"/>
            <c:bubble3D val="0"/>
            <c:spPr>
              <a:solidFill>
                <a:schemeClr val="accent1">
                  <a:shade val="61000"/>
                </a:schemeClr>
              </a:solidFill>
              <a:ln>
                <a:noFill/>
              </a:ln>
              <a:effectLst>
                <a:outerShdw blurRad="317500" algn="ctr" rotWithShape="0">
                  <a:prstClr val="black">
                    <a:alpha val="25000"/>
                  </a:prstClr>
                </a:outerShdw>
              </a:effectLst>
            </c:spPr>
          </c:dPt>
          <c:dPt>
            <c:idx val="2"/>
            <c:bubble3D val="0"/>
            <c:spPr>
              <a:solidFill>
                <a:schemeClr val="accent1">
                  <a:shade val="76000"/>
                </a:schemeClr>
              </a:solidFill>
              <a:ln>
                <a:noFill/>
              </a:ln>
              <a:effectLst>
                <a:outerShdw blurRad="317500" algn="ctr" rotWithShape="0">
                  <a:prstClr val="black">
                    <a:alpha val="25000"/>
                  </a:prstClr>
                </a:outerShdw>
              </a:effectLst>
            </c:spPr>
          </c:dPt>
          <c:dPt>
            <c:idx val="3"/>
            <c:bubble3D val="0"/>
            <c:spPr>
              <a:solidFill>
                <a:schemeClr val="accent1">
                  <a:shade val="92000"/>
                </a:schemeClr>
              </a:solidFill>
              <a:ln>
                <a:noFill/>
              </a:ln>
              <a:effectLst>
                <a:outerShdw blurRad="317500" algn="ctr" rotWithShape="0">
                  <a:prstClr val="black">
                    <a:alpha val="25000"/>
                  </a:prstClr>
                </a:outerShdw>
              </a:effectLst>
            </c:spPr>
          </c:dPt>
          <c:dPt>
            <c:idx val="4"/>
            <c:bubble3D val="0"/>
            <c:spPr>
              <a:solidFill>
                <a:schemeClr val="accent1">
                  <a:tint val="93000"/>
                </a:schemeClr>
              </a:solidFill>
              <a:ln>
                <a:noFill/>
              </a:ln>
              <a:effectLst>
                <a:outerShdw blurRad="317500" algn="ctr" rotWithShape="0">
                  <a:prstClr val="black">
                    <a:alpha val="25000"/>
                  </a:prstClr>
                </a:outerShdw>
              </a:effectLst>
            </c:spPr>
          </c:dPt>
          <c:dPt>
            <c:idx val="5"/>
            <c:bubble3D val="0"/>
            <c:spPr>
              <a:solidFill>
                <a:schemeClr val="accent1">
                  <a:tint val="77000"/>
                </a:schemeClr>
              </a:solidFill>
              <a:ln>
                <a:noFill/>
              </a:ln>
              <a:effectLst>
                <a:outerShdw blurRad="317500" algn="ctr" rotWithShape="0">
                  <a:prstClr val="black">
                    <a:alpha val="25000"/>
                  </a:prstClr>
                </a:outerShdw>
              </a:effectLst>
            </c:spPr>
          </c:dPt>
          <c:dPt>
            <c:idx val="6"/>
            <c:bubble3D val="0"/>
            <c:spPr>
              <a:solidFill>
                <a:schemeClr val="accent1">
                  <a:tint val="62000"/>
                </a:schemeClr>
              </a:solidFill>
              <a:ln>
                <a:noFill/>
              </a:ln>
              <a:effectLst>
                <a:outerShdw blurRad="317500" algn="ctr" rotWithShape="0">
                  <a:prstClr val="black">
                    <a:alpha val="25000"/>
                  </a:prstClr>
                </a:outerShdw>
              </a:effectLst>
            </c:spPr>
          </c:dPt>
          <c:dPt>
            <c:idx val="7"/>
            <c:bubble3D val="0"/>
            <c:spPr>
              <a:solidFill>
                <a:schemeClr val="accent1">
                  <a:tint val="46000"/>
                </a:schemeClr>
              </a:solidFill>
              <a:ln>
                <a:noFill/>
              </a:ln>
              <a:effectLst>
                <a:outerShdw blurRad="317500" algn="ctr" rotWithShape="0">
                  <a:prstClr val="black">
                    <a:alpha val="25000"/>
                  </a:prstClr>
                </a:outerShdw>
              </a:effectLst>
            </c:spPr>
          </c:dPt>
          <c:dLbls>
            <c:spPr>
              <a:noFill/>
              <a:ln>
                <a:noFill/>
              </a:ln>
              <a:effectLst/>
            </c:spPr>
            <c:txPr>
              <a:bodyPr rot="0" spcFirstLastPara="1" vertOverflow="overflow" horzOverflow="overflow" vert="horz" wrap="none" lIns="36000" tIns="36000" rIns="36000" bIns="36000" anchor="ctr" anchorCtr="1"/>
              <a:lstStyle/>
              <a:p>
                <a:pPr>
                  <a:defRPr sz="900" b="1" i="0" u="none" strike="noStrike" kern="1200" baseline="0">
                    <a:solidFill>
                      <a:sysClr val="windowText" lastClr="000000"/>
                    </a:solidFill>
                    <a:latin typeface="+mj-lt"/>
                    <a:ea typeface="+mn-ea"/>
                    <a:cs typeface="+mn-cs"/>
                  </a:defRPr>
                </a:pPr>
                <a:endParaRPr lang="lt-LT"/>
              </a:p>
            </c:txPr>
            <c:dLblPos val="bestFit"/>
            <c:showLegendKey val="0"/>
            <c:showVal val="0"/>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15:layout/>
              </c:ext>
            </c:extLst>
          </c:dLbls>
          <c:cat>
            <c:strRef>
              <c:f>Pobūdis!$A$14:$A$21</c:f>
              <c:strCache>
                <c:ptCount val="8"/>
                <c:pt idx="0">
                  <c:v>Poveikis: 2004–2006 m. (7)</c:v>
                </c:pt>
                <c:pt idx="1">
                  <c:v>Poveikis: 2007–2013 m. (18)</c:v>
                </c:pt>
                <c:pt idx="2">
                  <c:v>Poveikis: 2014–2020 m. (1)</c:v>
                </c:pt>
                <c:pt idx="3">
                  <c:v>Įgyvendinimas: 2007–2013 m. (10)</c:v>
                </c:pt>
                <c:pt idx="4">
                  <c:v>Programavimas: 2014–2020 m. (7)</c:v>
                </c:pt>
                <c:pt idx="5">
                  <c:v>Teminiai (13)</c:v>
                </c:pt>
                <c:pt idx="6">
                  <c:v>Administravimo sistemos (16)</c:v>
                </c:pt>
                <c:pt idx="7">
                  <c:v>Metavertinimai (3)</c:v>
                </c:pt>
              </c:strCache>
            </c:strRef>
          </c:cat>
          <c:val>
            <c:numRef>
              <c:f>Pobūdis!$B$14:$B$21</c:f>
              <c:numCache>
                <c:formatCode>General</c:formatCode>
                <c:ptCount val="8"/>
                <c:pt idx="0">
                  <c:v>7</c:v>
                </c:pt>
                <c:pt idx="1">
                  <c:v>18</c:v>
                </c:pt>
                <c:pt idx="2">
                  <c:v>1</c:v>
                </c:pt>
                <c:pt idx="3">
                  <c:v>10</c:v>
                </c:pt>
                <c:pt idx="4">
                  <c:v>7</c:v>
                </c:pt>
                <c:pt idx="5">
                  <c:v>13</c:v>
                </c:pt>
                <c:pt idx="6">
                  <c:v>16</c:v>
                </c:pt>
                <c:pt idx="7">
                  <c:v>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13114621473291"/>
          <c:y val="0.2133565075249956"/>
          <c:w val="0.38810220355983088"/>
          <c:h val="0.6923283688746616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j-lt"/>
              <a:ea typeface="+mn-ea"/>
              <a:cs typeface="+mn-cs"/>
            </a:defRPr>
          </a:pPr>
          <a:endParaRPr lang="lt-LT"/>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mj-lt"/>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48</Pages>
  <Words>107617</Words>
  <Characters>61343</Characters>
  <Application>Microsoft Office Word</Application>
  <DocSecurity>0</DocSecurity>
  <Lines>511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AgneM</cp:lastModifiedBy>
  <cp:revision>2</cp:revision>
  <cp:lastPrinted>2011-05-20T12:35:00Z</cp:lastPrinted>
  <dcterms:created xsi:type="dcterms:W3CDTF">2017-03-01T16:51:00Z</dcterms:created>
  <dcterms:modified xsi:type="dcterms:W3CDTF">2017-03-01T16:51:00Z</dcterms:modified>
</cp:coreProperties>
</file>