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7053E" w14:textId="77777777" w:rsidR="009527C3" w:rsidRPr="00DC01C0" w:rsidRDefault="009527C3" w:rsidP="00E12FA2">
      <w:pPr>
        <w:tabs>
          <w:tab w:val="center" w:pos="3544"/>
          <w:tab w:val="left" w:pos="4962"/>
          <w:tab w:val="right" w:pos="9638"/>
        </w:tabs>
        <w:spacing w:after="0" w:line="240" w:lineRule="auto"/>
        <w:ind w:hanging="142"/>
        <w:jc w:val="center"/>
        <w:rPr>
          <w:rFonts w:ascii="TimesLT" w:hAnsi="TimesLT" w:cs="TimesLT"/>
          <w:b/>
          <w:bCs/>
          <w:sz w:val="24"/>
          <w:szCs w:val="24"/>
          <w:lang w:val="lt-LT" w:eastAsia="lt-LT"/>
        </w:rPr>
      </w:pPr>
      <w:bookmarkStart w:id="0" w:name="_GoBack"/>
      <w:bookmarkEnd w:id="0"/>
      <w:r w:rsidRPr="00DC01C0">
        <w:rPr>
          <w:rFonts w:ascii="TimesLT" w:hAnsi="TimesLT" w:cs="TimesLT"/>
          <w:b/>
          <w:bCs/>
          <w:sz w:val="24"/>
          <w:szCs w:val="24"/>
          <w:lang w:val="lt-LT" w:eastAsia="lt-LT"/>
        </w:rPr>
        <w:t xml:space="preserve">SOCIALINIŲ IR EKONOMINIŲ PARTNERIŲ PATEIKTŲ PASTABŲ IR PASIŪLYMŲ DĖL 2014–2020 METŲ EUROPOS SĄJUNGOS FONDŲ INVESTICIJŲ VEIKSMŲ PROGRAMOS </w:t>
      </w:r>
      <w:r w:rsidR="001314EB">
        <w:rPr>
          <w:rFonts w:ascii="TimesLT" w:hAnsi="TimesLT" w:cs="TimesLT"/>
          <w:b/>
          <w:bCs/>
          <w:sz w:val="24"/>
          <w:szCs w:val="24"/>
          <w:lang w:val="lt-LT" w:eastAsia="lt-LT"/>
        </w:rPr>
        <w:t>4</w:t>
      </w:r>
      <w:r w:rsidR="00007351" w:rsidRPr="00DC01C0">
        <w:rPr>
          <w:rFonts w:ascii="TimesLT" w:hAnsi="TimesLT" w:cs="TimesLT"/>
          <w:b/>
          <w:bCs/>
          <w:sz w:val="24"/>
          <w:szCs w:val="24"/>
          <w:lang w:val="lt-LT" w:eastAsia="lt-LT"/>
        </w:rPr>
        <w:t xml:space="preserve"> PRIORITETO „</w:t>
      </w:r>
      <w:r w:rsidR="001314EB">
        <w:rPr>
          <w:rFonts w:ascii="TimesLT" w:hAnsi="TimesLT" w:cs="TimesLT"/>
          <w:b/>
          <w:bCs/>
          <w:sz w:val="24"/>
          <w:szCs w:val="24"/>
          <w:lang w:val="lt-LT" w:eastAsia="lt-LT"/>
        </w:rPr>
        <w:t>ENERGIJOS EFEKTYVUMO IR ATSINAUJINANČIŲ ENERGIJOS IŠTEKLIŲ ENERGIJOS GAMYBOS IR NAUDOJIMO SKATINIMAS</w:t>
      </w:r>
      <w:r w:rsidR="00007351" w:rsidRPr="00DC01C0">
        <w:rPr>
          <w:rFonts w:ascii="TimesLT" w:hAnsi="TimesLT" w:cs="TimesLT"/>
          <w:b/>
          <w:bCs/>
          <w:sz w:val="24"/>
          <w:szCs w:val="24"/>
          <w:lang w:val="lt-LT" w:eastAsia="lt-LT"/>
        </w:rPr>
        <w:t xml:space="preserve">“ PRIEMONĖS </w:t>
      </w:r>
      <w:r w:rsidR="0042217B" w:rsidRPr="00C6517B">
        <w:rPr>
          <w:rFonts w:ascii="Times New Roman" w:hAnsi="Times New Roman"/>
          <w:b/>
          <w:sz w:val="24"/>
          <w:szCs w:val="24"/>
        </w:rPr>
        <w:t>NR. 04.2.1-LVPA-K-</w:t>
      </w:r>
      <w:r w:rsidR="0042217B" w:rsidRPr="00C6517B">
        <w:rPr>
          <w:rFonts w:ascii="Times New Roman" w:hAnsi="Times New Roman"/>
          <w:b/>
          <w:kern w:val="16"/>
          <w:sz w:val="24"/>
          <w:szCs w:val="24"/>
        </w:rPr>
        <w:t>836 „ATSINAUJINANTYS ENERGIJOS IŠTEKLIAI PRAMONEI LT+</w:t>
      </w:r>
      <w:proofErr w:type="gramStart"/>
      <w:r w:rsidR="0042217B" w:rsidRPr="00C6517B">
        <w:rPr>
          <w:rFonts w:ascii="Times New Roman" w:hAnsi="Times New Roman"/>
          <w:b/>
          <w:kern w:val="16"/>
          <w:sz w:val="24"/>
          <w:szCs w:val="24"/>
        </w:rPr>
        <w:t xml:space="preserve">“ </w:t>
      </w:r>
      <w:r w:rsidRPr="00DC01C0">
        <w:rPr>
          <w:rFonts w:ascii="TimesLT" w:hAnsi="TimesLT" w:cs="TimesLT"/>
          <w:b/>
          <w:bCs/>
          <w:sz w:val="24"/>
          <w:szCs w:val="24"/>
          <w:lang w:val="lt-LT" w:eastAsia="lt-LT"/>
        </w:rPr>
        <w:t>PROJEKTŲ</w:t>
      </w:r>
      <w:proofErr w:type="gramEnd"/>
      <w:r w:rsidRPr="00DC01C0">
        <w:rPr>
          <w:rFonts w:ascii="TimesLT" w:hAnsi="TimesLT" w:cs="TimesLT"/>
          <w:b/>
          <w:bCs/>
          <w:sz w:val="24"/>
          <w:szCs w:val="24"/>
          <w:lang w:val="lt-LT" w:eastAsia="lt-LT"/>
        </w:rPr>
        <w:t xml:space="preserve"> FINANSAVIMO SĄLYGŲ APRAŠO NR.</w:t>
      </w:r>
      <w:r w:rsidR="000076C2" w:rsidRPr="00DC01C0">
        <w:rPr>
          <w:rFonts w:ascii="TimesLT" w:hAnsi="TimesLT" w:cs="TimesLT"/>
          <w:b/>
          <w:bCs/>
          <w:sz w:val="24"/>
          <w:szCs w:val="24"/>
          <w:lang w:val="lt-LT" w:eastAsia="lt-LT"/>
        </w:rPr>
        <w:t xml:space="preserve"> </w:t>
      </w:r>
      <w:r w:rsidR="0042217B">
        <w:rPr>
          <w:rFonts w:ascii="TimesLT" w:hAnsi="TimesLT" w:cs="TimesLT"/>
          <w:b/>
          <w:bCs/>
          <w:sz w:val="24"/>
          <w:szCs w:val="24"/>
          <w:lang w:val="lt-LT" w:eastAsia="lt-LT"/>
        </w:rPr>
        <w:t>1</w:t>
      </w:r>
      <w:r w:rsidRPr="00DC01C0">
        <w:rPr>
          <w:rFonts w:ascii="TimesLT" w:hAnsi="TimesLT" w:cs="TimesLT"/>
          <w:b/>
          <w:bCs/>
          <w:sz w:val="24"/>
          <w:szCs w:val="24"/>
          <w:lang w:val="lt-LT" w:eastAsia="lt-LT"/>
        </w:rPr>
        <w:t xml:space="preserve"> PROJEKTO VERTINIMAS</w:t>
      </w:r>
    </w:p>
    <w:p w14:paraId="4090CE53" w14:textId="77777777" w:rsidR="009527C3" w:rsidRPr="00DC01C0" w:rsidRDefault="009527C3" w:rsidP="00A837E2">
      <w:pPr>
        <w:tabs>
          <w:tab w:val="center" w:pos="3544"/>
          <w:tab w:val="left" w:pos="4962"/>
          <w:tab w:val="right" w:pos="9638"/>
        </w:tabs>
        <w:spacing w:after="0" w:line="240" w:lineRule="auto"/>
        <w:jc w:val="center"/>
        <w:rPr>
          <w:rFonts w:ascii="TimesLT" w:hAnsi="TimesLT" w:cs="TimesLT"/>
          <w:b/>
          <w:bCs/>
          <w:sz w:val="24"/>
          <w:szCs w:val="24"/>
          <w:lang w:val="lt-LT" w:eastAsia="lt-LT"/>
        </w:rPr>
      </w:pPr>
    </w:p>
    <w:tbl>
      <w:tblPr>
        <w:tblW w:w="143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46"/>
        <w:gridCol w:w="7938"/>
        <w:gridCol w:w="4252"/>
      </w:tblGrid>
      <w:tr w:rsidR="00D76C71" w:rsidRPr="00296CFA" w14:paraId="21D74950" w14:textId="77777777" w:rsidTr="00847BFE">
        <w:trPr>
          <w:trHeight w:val="879"/>
        </w:trPr>
        <w:tc>
          <w:tcPr>
            <w:tcW w:w="709" w:type="dxa"/>
            <w:tcBorders>
              <w:bottom w:val="single" w:sz="4" w:space="0" w:color="auto"/>
            </w:tcBorders>
            <w:shd w:val="clear" w:color="auto" w:fill="BFBFBF" w:themeFill="background1" w:themeFillShade="BF"/>
            <w:vAlign w:val="center"/>
          </w:tcPr>
          <w:p w14:paraId="0E4825D7" w14:textId="77777777" w:rsidR="00D76C71" w:rsidRPr="0097283E" w:rsidRDefault="00D76C71" w:rsidP="00A837E2">
            <w:pPr>
              <w:spacing w:after="0" w:line="240" w:lineRule="auto"/>
              <w:rPr>
                <w:rFonts w:ascii="Times New Roman" w:hAnsi="Times New Roman" w:cs="Times New Roman"/>
                <w:b/>
                <w:bCs/>
                <w:sz w:val="24"/>
                <w:szCs w:val="24"/>
                <w:lang w:val="lt-LT" w:eastAsia="lt-LT"/>
              </w:rPr>
            </w:pPr>
            <w:r w:rsidRPr="0097283E">
              <w:rPr>
                <w:rFonts w:ascii="Times New Roman" w:hAnsi="Times New Roman" w:cs="Times New Roman"/>
                <w:b/>
                <w:bCs/>
                <w:sz w:val="24"/>
                <w:szCs w:val="24"/>
                <w:lang w:val="lt-LT" w:eastAsia="lt-LT"/>
              </w:rPr>
              <w:t xml:space="preserve">Eil. Nr. </w:t>
            </w:r>
          </w:p>
        </w:tc>
        <w:tc>
          <w:tcPr>
            <w:tcW w:w="1446" w:type="dxa"/>
            <w:tcBorders>
              <w:bottom w:val="single" w:sz="4" w:space="0" w:color="auto"/>
            </w:tcBorders>
            <w:shd w:val="clear" w:color="auto" w:fill="BFBFBF" w:themeFill="background1" w:themeFillShade="BF"/>
            <w:vAlign w:val="center"/>
          </w:tcPr>
          <w:p w14:paraId="00E05ADD" w14:textId="77777777" w:rsidR="00D76C71" w:rsidRPr="0097283E" w:rsidRDefault="00D76C71" w:rsidP="00A837E2">
            <w:pPr>
              <w:spacing w:after="0" w:line="240" w:lineRule="auto"/>
              <w:jc w:val="cente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Punkto numeris</w:t>
            </w:r>
          </w:p>
        </w:tc>
        <w:tc>
          <w:tcPr>
            <w:tcW w:w="7938" w:type="dxa"/>
            <w:tcBorders>
              <w:bottom w:val="single" w:sz="4" w:space="0" w:color="auto"/>
            </w:tcBorders>
            <w:shd w:val="clear" w:color="auto" w:fill="BFBFBF" w:themeFill="background1" w:themeFillShade="BF"/>
            <w:vAlign w:val="center"/>
          </w:tcPr>
          <w:p w14:paraId="3A0A74C7" w14:textId="77777777" w:rsidR="00D76C71" w:rsidRPr="0097283E" w:rsidRDefault="00D76C71" w:rsidP="00A837E2">
            <w:pPr>
              <w:spacing w:after="0" w:line="240" w:lineRule="auto"/>
              <w:jc w:val="center"/>
              <w:rPr>
                <w:rFonts w:ascii="Times New Roman" w:hAnsi="Times New Roman" w:cs="Times New Roman"/>
                <w:b/>
                <w:sz w:val="24"/>
                <w:szCs w:val="24"/>
                <w:lang w:val="lt-LT" w:eastAsia="lt-LT"/>
              </w:rPr>
            </w:pPr>
            <w:r w:rsidRPr="0097283E">
              <w:rPr>
                <w:rFonts w:ascii="Times New Roman" w:hAnsi="Times New Roman" w:cs="Times New Roman"/>
                <w:b/>
                <w:sz w:val="24"/>
                <w:szCs w:val="24"/>
                <w:lang w:val="lt-LT" w:eastAsia="lt-LT"/>
              </w:rPr>
              <w:t>Pateiktos pastabos ir pasiūlymai</w:t>
            </w:r>
          </w:p>
        </w:tc>
        <w:tc>
          <w:tcPr>
            <w:tcW w:w="4252" w:type="dxa"/>
            <w:tcBorders>
              <w:bottom w:val="single" w:sz="4" w:space="0" w:color="auto"/>
            </w:tcBorders>
            <w:shd w:val="clear" w:color="auto" w:fill="BFBFBF" w:themeFill="background1" w:themeFillShade="BF"/>
            <w:vAlign w:val="center"/>
          </w:tcPr>
          <w:p w14:paraId="3E2EBB61" w14:textId="77777777" w:rsidR="00D76C71" w:rsidRPr="0097283E" w:rsidRDefault="00D76C71" w:rsidP="00A837E2">
            <w:pPr>
              <w:spacing w:after="0" w:line="240" w:lineRule="auto"/>
              <w:jc w:val="cente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P</w:t>
            </w:r>
            <w:r w:rsidRPr="0097283E">
              <w:rPr>
                <w:rFonts w:ascii="Times New Roman" w:hAnsi="Times New Roman" w:cs="Times New Roman"/>
                <w:b/>
                <w:sz w:val="24"/>
                <w:szCs w:val="24"/>
                <w:lang w:val="lt-LT" w:eastAsia="lt-LT"/>
              </w:rPr>
              <w:t xml:space="preserve">asiūlymų ir pastabų vertinimai bei </w:t>
            </w:r>
            <w:r>
              <w:rPr>
                <w:rFonts w:ascii="Times New Roman" w:hAnsi="Times New Roman" w:cs="Times New Roman"/>
                <w:b/>
                <w:sz w:val="24"/>
                <w:szCs w:val="24"/>
                <w:lang w:val="lt-LT" w:eastAsia="lt-LT"/>
              </w:rPr>
              <w:t xml:space="preserve">Ūkio ministerijos </w:t>
            </w:r>
            <w:r w:rsidRPr="0097283E">
              <w:rPr>
                <w:rFonts w:ascii="Times New Roman" w:hAnsi="Times New Roman" w:cs="Times New Roman"/>
                <w:b/>
                <w:sz w:val="24"/>
                <w:szCs w:val="24"/>
                <w:lang w:val="lt-LT" w:eastAsia="lt-LT"/>
              </w:rPr>
              <w:t>komentarai</w:t>
            </w:r>
          </w:p>
        </w:tc>
      </w:tr>
      <w:tr w:rsidR="00D76C71" w:rsidRPr="00DC01C0" w14:paraId="0821EEDB" w14:textId="77777777" w:rsidTr="00D76C71">
        <w:trPr>
          <w:trHeight w:val="409"/>
        </w:trPr>
        <w:tc>
          <w:tcPr>
            <w:tcW w:w="709" w:type="dxa"/>
            <w:tcBorders>
              <w:bottom w:val="single" w:sz="4" w:space="0" w:color="auto"/>
            </w:tcBorders>
            <w:shd w:val="clear" w:color="auto" w:fill="D9D9D9" w:themeFill="background1" w:themeFillShade="D9"/>
          </w:tcPr>
          <w:p w14:paraId="5B244A11" w14:textId="77777777" w:rsidR="00D76C71" w:rsidRPr="0097283E" w:rsidRDefault="00D76C71" w:rsidP="00A837E2">
            <w:pPr>
              <w:spacing w:after="0" w:line="240" w:lineRule="auto"/>
              <w:jc w:val="center"/>
              <w:rPr>
                <w:rFonts w:ascii="Times New Roman" w:hAnsi="Times New Roman" w:cs="Times New Roman"/>
                <w:b/>
                <w:bCs/>
                <w:lang w:val="lt-LT" w:eastAsia="lt-LT"/>
              </w:rPr>
            </w:pPr>
          </w:p>
        </w:tc>
        <w:tc>
          <w:tcPr>
            <w:tcW w:w="1446" w:type="dxa"/>
            <w:tcBorders>
              <w:bottom w:val="single" w:sz="4" w:space="0" w:color="auto"/>
            </w:tcBorders>
            <w:shd w:val="clear" w:color="auto" w:fill="D9D9D9" w:themeFill="background1" w:themeFillShade="D9"/>
          </w:tcPr>
          <w:p w14:paraId="1A3A5D5F" w14:textId="77777777" w:rsidR="00D76C71" w:rsidRPr="00296CFA" w:rsidRDefault="00D76C71" w:rsidP="001314EB">
            <w:pPr>
              <w:widowControl w:val="0"/>
              <w:suppressAutoHyphens/>
              <w:spacing w:after="0" w:line="240" w:lineRule="auto"/>
              <w:ind w:left="-817"/>
              <w:jc w:val="center"/>
              <w:rPr>
                <w:rFonts w:ascii="Times New Roman" w:hAnsi="Times New Roman" w:cs="Times New Roman"/>
                <w:b/>
                <w:sz w:val="30"/>
                <w:szCs w:val="30"/>
                <w:lang w:val="lt-LT"/>
              </w:rPr>
            </w:pPr>
          </w:p>
        </w:tc>
        <w:tc>
          <w:tcPr>
            <w:tcW w:w="12190" w:type="dxa"/>
            <w:gridSpan w:val="2"/>
            <w:tcBorders>
              <w:bottom w:val="single" w:sz="4" w:space="0" w:color="auto"/>
            </w:tcBorders>
            <w:shd w:val="clear" w:color="auto" w:fill="D9D9D9" w:themeFill="background1" w:themeFillShade="D9"/>
          </w:tcPr>
          <w:p w14:paraId="4C1CCE44" w14:textId="77777777" w:rsidR="00D76C71" w:rsidRPr="0097283E" w:rsidRDefault="00D76C71" w:rsidP="001314EB">
            <w:pPr>
              <w:widowControl w:val="0"/>
              <w:suppressAutoHyphens/>
              <w:spacing w:after="0" w:line="240" w:lineRule="auto"/>
              <w:ind w:left="-817"/>
              <w:jc w:val="center"/>
              <w:rPr>
                <w:rFonts w:ascii="Times New Roman" w:hAnsi="Times New Roman" w:cs="Times New Roman"/>
                <w:b/>
                <w:bCs/>
                <w:lang w:val="lt-LT"/>
              </w:rPr>
            </w:pPr>
            <w:proofErr w:type="spellStart"/>
            <w:r>
              <w:rPr>
                <w:rFonts w:ascii="Times New Roman" w:hAnsi="Times New Roman" w:cs="Times New Roman"/>
                <w:b/>
                <w:sz w:val="30"/>
                <w:szCs w:val="30"/>
              </w:rPr>
              <w:t>Biovela</w:t>
            </w:r>
            <w:proofErr w:type="spellEnd"/>
            <w:r>
              <w:rPr>
                <w:rFonts w:ascii="Times New Roman" w:hAnsi="Times New Roman" w:cs="Times New Roman"/>
                <w:b/>
                <w:sz w:val="30"/>
                <w:szCs w:val="30"/>
              </w:rPr>
              <w:t xml:space="preserve"> Group</w:t>
            </w:r>
          </w:p>
        </w:tc>
      </w:tr>
      <w:tr w:rsidR="00D76C71" w:rsidRPr="00BF2C68" w14:paraId="5D0FFA52" w14:textId="77777777" w:rsidTr="00847BFE">
        <w:trPr>
          <w:trHeight w:val="711"/>
        </w:trPr>
        <w:tc>
          <w:tcPr>
            <w:tcW w:w="709" w:type="dxa"/>
          </w:tcPr>
          <w:p w14:paraId="18D50D78" w14:textId="77777777" w:rsidR="00D76C71" w:rsidRPr="007E5774" w:rsidRDefault="00D76C71" w:rsidP="00A837E2">
            <w:pPr>
              <w:spacing w:after="0" w:line="240" w:lineRule="auto"/>
              <w:jc w:val="center"/>
              <w:rPr>
                <w:rFonts w:ascii="Times New Roman" w:hAnsi="Times New Roman" w:cs="Times New Roman"/>
                <w:b/>
                <w:sz w:val="24"/>
                <w:szCs w:val="24"/>
                <w:lang w:val="lt-LT" w:eastAsia="lt-LT"/>
              </w:rPr>
            </w:pPr>
            <w:r w:rsidRPr="007E5774">
              <w:rPr>
                <w:rFonts w:ascii="Times New Roman" w:hAnsi="Times New Roman" w:cs="Times New Roman"/>
                <w:b/>
                <w:sz w:val="24"/>
                <w:szCs w:val="24"/>
                <w:lang w:val="lt-LT" w:eastAsia="lt-LT"/>
              </w:rPr>
              <w:t>1.</w:t>
            </w:r>
          </w:p>
        </w:tc>
        <w:tc>
          <w:tcPr>
            <w:tcW w:w="1446" w:type="dxa"/>
          </w:tcPr>
          <w:p w14:paraId="40727A21" w14:textId="77777777" w:rsidR="00D76C71" w:rsidRPr="00425A3D" w:rsidRDefault="00AD5E9F" w:rsidP="00425A3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 priedas</w:t>
            </w:r>
          </w:p>
        </w:tc>
        <w:tc>
          <w:tcPr>
            <w:tcW w:w="7938" w:type="dxa"/>
          </w:tcPr>
          <w:p w14:paraId="02C40D0C" w14:textId="77777777" w:rsidR="00D76C71" w:rsidRPr="00425A3D" w:rsidRDefault="00D76C71" w:rsidP="00425A3D">
            <w:pPr>
              <w:spacing w:after="0" w:line="240" w:lineRule="auto"/>
              <w:jc w:val="both"/>
              <w:rPr>
                <w:rFonts w:ascii="Times New Roman" w:hAnsi="Times New Roman" w:cs="Times New Roman"/>
                <w:sz w:val="24"/>
                <w:szCs w:val="24"/>
                <w:lang w:val="lt-LT"/>
              </w:rPr>
            </w:pPr>
            <w:r w:rsidRPr="00425A3D">
              <w:rPr>
                <w:rFonts w:ascii="Times New Roman" w:hAnsi="Times New Roman" w:cs="Times New Roman"/>
                <w:sz w:val="24"/>
                <w:szCs w:val="24"/>
                <w:lang w:val="lt-LT"/>
              </w:rPr>
              <w:t xml:space="preserve">Apraše naudos/kokybės balai yra sudėlioti konkurencijai tarp MVĮ ir didelių įmonių nelygiomis sąlygomis. Jeigu priemonė globaliai yra skirta mažinti tradicinių energijos gamybos šaltinių suvartojimą, juos pakeičiant atsinaujinančiais šaltiniais, tai mano nuomone, reikia pradėti žiūrėti kas daugiausiai suvartoja tų tradicinių energijos šaltinių. </w:t>
            </w:r>
          </w:p>
          <w:p w14:paraId="36353CA8" w14:textId="77777777" w:rsidR="00D76C71" w:rsidRPr="00425A3D" w:rsidRDefault="00D76C71" w:rsidP="00425A3D">
            <w:pPr>
              <w:spacing w:after="0" w:line="240" w:lineRule="auto"/>
              <w:jc w:val="both"/>
              <w:rPr>
                <w:rFonts w:ascii="Times New Roman" w:hAnsi="Times New Roman" w:cs="Times New Roman"/>
                <w:sz w:val="24"/>
                <w:szCs w:val="24"/>
                <w:lang w:val="lt-LT"/>
              </w:rPr>
            </w:pPr>
            <w:r w:rsidRPr="00425A3D">
              <w:rPr>
                <w:rFonts w:ascii="Times New Roman" w:hAnsi="Times New Roman" w:cs="Times New Roman"/>
                <w:sz w:val="24"/>
                <w:szCs w:val="24"/>
                <w:lang w:val="lt-LT"/>
              </w:rPr>
              <w:t>Dabar priemonė orientuota į didesnio paramos gavėjų skaičiaus rėmimą. Kur sąlygos palankesnės MVĮ, suvartojančioms nedaug energijos ir turinčias sąlyginai nedideles apyvartas.</w:t>
            </w:r>
          </w:p>
          <w:p w14:paraId="3364D4D2" w14:textId="77777777" w:rsidR="00D76C71" w:rsidRPr="00425A3D" w:rsidRDefault="00D76C71" w:rsidP="00425A3D">
            <w:pPr>
              <w:spacing w:after="0" w:line="240" w:lineRule="auto"/>
              <w:jc w:val="both"/>
              <w:rPr>
                <w:rFonts w:ascii="Times New Roman" w:hAnsi="Times New Roman" w:cs="Times New Roman"/>
                <w:sz w:val="24"/>
                <w:szCs w:val="24"/>
                <w:lang w:val="lt-LT"/>
              </w:rPr>
            </w:pPr>
            <w:r w:rsidRPr="00425A3D">
              <w:rPr>
                <w:rFonts w:ascii="Times New Roman" w:hAnsi="Times New Roman" w:cs="Times New Roman"/>
                <w:sz w:val="24"/>
                <w:szCs w:val="24"/>
                <w:lang w:val="lt-LT"/>
              </w:rPr>
              <w:t>Tokiu atveju tokios MVĮ gauna didžiausius balus už:</w:t>
            </w:r>
          </w:p>
          <w:p w14:paraId="3E455A53" w14:textId="77777777" w:rsidR="00D76C71" w:rsidRPr="00425A3D" w:rsidRDefault="00D76C71" w:rsidP="00425A3D">
            <w:pPr>
              <w:spacing w:after="0" w:line="240" w:lineRule="auto"/>
              <w:jc w:val="both"/>
              <w:rPr>
                <w:rFonts w:ascii="Times New Roman" w:hAnsi="Times New Roman" w:cs="Times New Roman"/>
                <w:sz w:val="24"/>
                <w:szCs w:val="24"/>
                <w:lang w:val="lt-LT"/>
              </w:rPr>
            </w:pPr>
            <w:r w:rsidRPr="00425A3D">
              <w:rPr>
                <w:rFonts w:ascii="Times New Roman" w:hAnsi="Times New Roman" w:cs="Times New Roman"/>
                <w:sz w:val="24"/>
                <w:szCs w:val="24"/>
                <w:lang w:val="lt-LT"/>
              </w:rPr>
              <w:t>1)santykį tarp energijos, kurią planuojama gauti įdiegus atsinaujinančius energijos išteklius naudojančius gamybos pajėgumus ir bendro pareiškėjo energijos sąnaudų balanso; nes tas bendras jų balansas bus mažas.</w:t>
            </w:r>
          </w:p>
          <w:p w14:paraId="05A6FA6C" w14:textId="77777777" w:rsidR="00D76C71" w:rsidRPr="00425A3D" w:rsidRDefault="00D76C71" w:rsidP="00425A3D">
            <w:pPr>
              <w:spacing w:after="0" w:line="240" w:lineRule="auto"/>
              <w:jc w:val="both"/>
              <w:rPr>
                <w:rFonts w:ascii="Times New Roman" w:hAnsi="Times New Roman" w:cs="Times New Roman"/>
                <w:sz w:val="24"/>
                <w:szCs w:val="24"/>
                <w:lang w:val="lt-LT"/>
              </w:rPr>
            </w:pPr>
            <w:r w:rsidRPr="00425A3D">
              <w:rPr>
                <w:rFonts w:ascii="Times New Roman" w:hAnsi="Times New Roman" w:cs="Times New Roman"/>
                <w:sz w:val="24"/>
                <w:szCs w:val="24"/>
                <w:lang w:val="lt-LT"/>
              </w:rPr>
              <w:t>2) santykį tarp prašomos paramos intensyvumo ir didžiausio pagal Priemonę pareiškėjui leistino paramos intensyvumo;</w:t>
            </w:r>
          </w:p>
          <w:p w14:paraId="71E1B3A9" w14:textId="77777777" w:rsidR="00D76C71" w:rsidRPr="00425A3D" w:rsidRDefault="00D76C71" w:rsidP="00425A3D">
            <w:pPr>
              <w:jc w:val="both"/>
              <w:rPr>
                <w:rFonts w:ascii="Times New Roman" w:hAnsi="Times New Roman" w:cs="Times New Roman"/>
                <w:sz w:val="24"/>
                <w:szCs w:val="24"/>
                <w:lang w:val="lt-LT"/>
              </w:rPr>
            </w:pPr>
            <w:r w:rsidRPr="00425A3D">
              <w:rPr>
                <w:rFonts w:ascii="Times New Roman" w:hAnsi="Times New Roman" w:cs="Times New Roman"/>
                <w:sz w:val="24"/>
                <w:szCs w:val="24"/>
                <w:lang w:val="lt-LT"/>
              </w:rPr>
              <w:t xml:space="preserve">Rezultate galime turėti 250 paremtų Lietuvos MVĮ, kurių sumažinta tradicinių išteklių gamybos dalis  (250 įmonių po 100 KW = 25 MW) prilygs 25-kių didelių pramonės įmonių galimiems projektams (25 įmonės po 1MW = 25 MW). </w:t>
            </w:r>
          </w:p>
          <w:p w14:paraId="7AB63D99" w14:textId="77777777" w:rsidR="00D76C71" w:rsidRPr="00425A3D" w:rsidRDefault="00D76C71" w:rsidP="00425A3D">
            <w:pPr>
              <w:jc w:val="both"/>
              <w:rPr>
                <w:rFonts w:ascii="Times New Roman" w:hAnsi="Times New Roman" w:cs="Times New Roman"/>
                <w:sz w:val="24"/>
                <w:szCs w:val="24"/>
                <w:lang w:val="lt-LT"/>
              </w:rPr>
            </w:pPr>
            <w:r w:rsidRPr="00425A3D">
              <w:rPr>
                <w:rFonts w:ascii="Times New Roman" w:hAnsi="Times New Roman" w:cs="Times New Roman"/>
                <w:sz w:val="24"/>
                <w:szCs w:val="24"/>
                <w:lang w:val="lt-LT"/>
              </w:rPr>
              <w:t>Viskas būtų logiška</w:t>
            </w:r>
            <w:r w:rsidR="00523A5C">
              <w:rPr>
                <w:rFonts w:ascii="Times New Roman" w:hAnsi="Times New Roman" w:cs="Times New Roman"/>
                <w:sz w:val="24"/>
                <w:szCs w:val="24"/>
                <w:lang w:val="lt-LT"/>
              </w:rPr>
              <w:t>,</w:t>
            </w:r>
            <w:r w:rsidRPr="00425A3D">
              <w:rPr>
                <w:rFonts w:ascii="Times New Roman" w:hAnsi="Times New Roman" w:cs="Times New Roman"/>
                <w:sz w:val="24"/>
                <w:szCs w:val="24"/>
                <w:lang w:val="lt-LT"/>
              </w:rPr>
              <w:t xml:space="preserve"> jeigu visos įmonės konkuruotų vienodomis sąlygomis. Tačiau:</w:t>
            </w:r>
          </w:p>
          <w:p w14:paraId="3C66034E" w14:textId="77777777" w:rsidR="00D76C71" w:rsidRPr="00425A3D" w:rsidRDefault="00D76C71" w:rsidP="00425A3D">
            <w:pPr>
              <w:pStyle w:val="ListParagraph"/>
              <w:numPr>
                <w:ilvl w:val="0"/>
                <w:numId w:val="6"/>
              </w:numPr>
              <w:spacing w:after="0" w:line="240" w:lineRule="auto"/>
              <w:contextualSpacing w:val="0"/>
              <w:jc w:val="both"/>
              <w:rPr>
                <w:rFonts w:ascii="Times New Roman" w:hAnsi="Times New Roman"/>
                <w:sz w:val="24"/>
                <w:szCs w:val="24"/>
              </w:rPr>
            </w:pPr>
            <w:r w:rsidRPr="00425A3D">
              <w:rPr>
                <w:rFonts w:ascii="Times New Roman" w:hAnsi="Times New Roman"/>
                <w:sz w:val="24"/>
                <w:szCs w:val="24"/>
              </w:rPr>
              <w:t>MVĮ gamybos ir suvartojimo apimtys yra sąlyginai nedidelės</w:t>
            </w:r>
          </w:p>
          <w:p w14:paraId="30999064" w14:textId="77777777" w:rsidR="00D76C71" w:rsidRPr="00425A3D" w:rsidRDefault="00D76C71" w:rsidP="00425A3D">
            <w:pPr>
              <w:pStyle w:val="ListParagraph"/>
              <w:numPr>
                <w:ilvl w:val="0"/>
                <w:numId w:val="6"/>
              </w:numPr>
              <w:spacing w:after="0" w:line="240" w:lineRule="auto"/>
              <w:contextualSpacing w:val="0"/>
              <w:jc w:val="both"/>
              <w:rPr>
                <w:rFonts w:ascii="Times New Roman" w:hAnsi="Times New Roman"/>
                <w:sz w:val="24"/>
                <w:szCs w:val="24"/>
              </w:rPr>
            </w:pPr>
            <w:r w:rsidRPr="00425A3D">
              <w:rPr>
                <w:rFonts w:ascii="Times New Roman" w:hAnsi="Times New Roman"/>
                <w:sz w:val="24"/>
                <w:szCs w:val="24"/>
              </w:rPr>
              <w:t>Tokioms MVĮ suvartojimo apimtims reikia sąlyginai nedidelių atsinaujinančių išteklių galingumų geresniam santykiui bendrame energijos balanse;</w:t>
            </w:r>
          </w:p>
          <w:p w14:paraId="0E4529FE" w14:textId="77777777" w:rsidR="00D76C71" w:rsidRPr="00425A3D" w:rsidRDefault="00D76C71" w:rsidP="00425A3D">
            <w:pPr>
              <w:pStyle w:val="ListParagraph"/>
              <w:numPr>
                <w:ilvl w:val="0"/>
                <w:numId w:val="6"/>
              </w:numPr>
              <w:spacing w:after="0" w:line="240" w:lineRule="auto"/>
              <w:contextualSpacing w:val="0"/>
              <w:jc w:val="both"/>
              <w:rPr>
                <w:rFonts w:ascii="Times New Roman" w:hAnsi="Times New Roman"/>
                <w:sz w:val="24"/>
                <w:szCs w:val="24"/>
              </w:rPr>
            </w:pPr>
            <w:r w:rsidRPr="00425A3D">
              <w:rPr>
                <w:rFonts w:ascii="Times New Roman" w:hAnsi="Times New Roman"/>
                <w:sz w:val="24"/>
                <w:szCs w:val="24"/>
              </w:rPr>
              <w:t xml:space="preserve">Pasididinti balus už sumažintą intensyvumą, kai finansuojama 70-80 proc. tinkamų išlaidų MVĮ, irgi yra daug paprasčiau nei didelei įmonei investuojant į didesnę gamybą užtikrinančius sprendimus, kurie kainuoja daug brangiau; </w:t>
            </w:r>
          </w:p>
          <w:p w14:paraId="0E68AAB3" w14:textId="77777777" w:rsidR="00D76C71" w:rsidRPr="00425A3D" w:rsidRDefault="00D76C71" w:rsidP="00425A3D">
            <w:pPr>
              <w:jc w:val="both"/>
              <w:rPr>
                <w:rFonts w:ascii="Times New Roman" w:hAnsi="Times New Roman" w:cs="Times New Roman"/>
                <w:sz w:val="24"/>
                <w:szCs w:val="24"/>
                <w:lang w:val="lt-LT"/>
              </w:rPr>
            </w:pPr>
            <w:r w:rsidRPr="00425A3D">
              <w:rPr>
                <w:rFonts w:ascii="Times New Roman" w:hAnsi="Times New Roman" w:cs="Times New Roman"/>
                <w:sz w:val="24"/>
                <w:szCs w:val="24"/>
                <w:lang w:val="lt-LT"/>
              </w:rPr>
              <w:lastRenderedPageBreak/>
              <w:t xml:space="preserve">Taip, bendrame Lietuvos kontekste 250 MVĮ įmonių parodys tokį tradicinių išteklių vartojimo mažėjimą, kaip parodytų 25 didelės įmonės. Kalbame tik apie finansavimo sąlygose įtvirtinamą konkuravimo nelygybę. </w:t>
            </w:r>
          </w:p>
          <w:p w14:paraId="60695C0F" w14:textId="77777777" w:rsidR="00D76C71" w:rsidRPr="00425A3D" w:rsidRDefault="00D76C71" w:rsidP="00425A3D">
            <w:pPr>
              <w:jc w:val="both"/>
              <w:rPr>
                <w:rFonts w:ascii="Times New Roman" w:hAnsi="Times New Roman" w:cs="Times New Roman"/>
                <w:sz w:val="24"/>
                <w:szCs w:val="24"/>
                <w:lang w:val="lt-LT"/>
              </w:rPr>
            </w:pPr>
            <w:r w:rsidRPr="00425A3D">
              <w:rPr>
                <w:rFonts w:ascii="Times New Roman" w:hAnsi="Times New Roman" w:cs="Times New Roman"/>
                <w:b/>
                <w:sz w:val="24"/>
                <w:szCs w:val="24"/>
                <w:lang w:val="lt-LT"/>
              </w:rPr>
              <w:t>Siūlomas sprendimas</w:t>
            </w:r>
            <w:r w:rsidRPr="00425A3D">
              <w:rPr>
                <w:rFonts w:ascii="Times New Roman" w:hAnsi="Times New Roman" w:cs="Times New Roman"/>
                <w:sz w:val="24"/>
                <w:szCs w:val="24"/>
                <w:lang w:val="lt-LT"/>
              </w:rPr>
              <w:t xml:space="preserve"> – atskirti finansavimo krepšelius konkurencijai tarp MVĮ įmonių ir konkurencijai tarp didelių įmonių. Tokiu atveju galėsime sakyti, kad rungiasi lygiaverčiai varžovai, kurių naudos/kokybės balų vertinimo tvarka nediskriminuoja. </w:t>
            </w:r>
          </w:p>
          <w:p w14:paraId="44FD8CC8" w14:textId="77777777" w:rsidR="00D76C71" w:rsidRPr="00A61D07" w:rsidRDefault="00D76C71" w:rsidP="001314EB">
            <w:pPr>
              <w:pStyle w:val="PlainText"/>
              <w:jc w:val="both"/>
              <w:rPr>
                <w:rFonts w:ascii="Times New Roman" w:hAnsi="Times New Roman" w:cs="Times New Roman"/>
                <w:sz w:val="24"/>
                <w:szCs w:val="24"/>
              </w:rPr>
            </w:pPr>
          </w:p>
        </w:tc>
        <w:tc>
          <w:tcPr>
            <w:tcW w:w="4252" w:type="dxa"/>
          </w:tcPr>
          <w:p w14:paraId="4E0EAC9F" w14:textId="431233C0" w:rsidR="00D76C71" w:rsidRPr="008A7BBA" w:rsidRDefault="008A7BBA" w:rsidP="006649B4">
            <w:pPr>
              <w:spacing w:after="0" w:line="240" w:lineRule="auto"/>
              <w:jc w:val="both"/>
              <w:rPr>
                <w:rFonts w:ascii="Times New Roman" w:hAnsi="Times New Roman"/>
                <w:sz w:val="24"/>
                <w:szCs w:val="24"/>
              </w:rPr>
            </w:pPr>
            <w:proofErr w:type="spellStart"/>
            <w:r w:rsidRPr="008A7BBA">
              <w:rPr>
                <w:rFonts w:ascii="Times New Roman" w:hAnsi="Times New Roman"/>
                <w:sz w:val="24"/>
                <w:szCs w:val="24"/>
              </w:rPr>
              <w:lastRenderedPageBreak/>
              <w:t>Atsižvelgta</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dalinai</w:t>
            </w:r>
            <w:proofErr w:type="spellEnd"/>
            <w:r w:rsidR="00D76C71" w:rsidRPr="008A7BBA">
              <w:rPr>
                <w:rFonts w:ascii="Times New Roman" w:hAnsi="Times New Roman"/>
                <w:sz w:val="24"/>
                <w:szCs w:val="24"/>
              </w:rPr>
              <w:t>.</w:t>
            </w:r>
          </w:p>
          <w:p w14:paraId="2296B00B" w14:textId="2C583488" w:rsidR="00F00C24" w:rsidRDefault="00F00C24" w:rsidP="006649B4">
            <w:pPr>
              <w:spacing w:after="0" w:line="240" w:lineRule="auto"/>
              <w:jc w:val="both"/>
              <w:rPr>
                <w:rFonts w:ascii="Times New Roman" w:hAnsi="Times New Roman"/>
                <w:sz w:val="24"/>
                <w:szCs w:val="24"/>
              </w:rPr>
            </w:pPr>
            <w:proofErr w:type="spellStart"/>
            <w:r>
              <w:rPr>
                <w:rFonts w:ascii="Times New Roman" w:hAnsi="Times New Roman"/>
                <w:sz w:val="24"/>
                <w:szCs w:val="24"/>
              </w:rPr>
              <w:t>Specialieji</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prioritetiniai</w:t>
            </w:r>
            <w:proofErr w:type="spellEnd"/>
            <w:r>
              <w:rPr>
                <w:rFonts w:ascii="Times New Roman" w:hAnsi="Times New Roman"/>
                <w:sz w:val="24"/>
                <w:szCs w:val="24"/>
              </w:rPr>
              <w:t xml:space="preserve"> </w:t>
            </w:r>
            <w:proofErr w:type="spellStart"/>
            <w:r>
              <w:rPr>
                <w:rFonts w:ascii="Times New Roman" w:hAnsi="Times New Roman"/>
                <w:sz w:val="24"/>
                <w:szCs w:val="24"/>
              </w:rPr>
              <w:t>projektų</w:t>
            </w:r>
            <w:proofErr w:type="spellEnd"/>
            <w:r>
              <w:rPr>
                <w:rFonts w:ascii="Times New Roman" w:hAnsi="Times New Roman"/>
                <w:sz w:val="24"/>
                <w:szCs w:val="24"/>
              </w:rPr>
              <w:t xml:space="preserve"> </w:t>
            </w:r>
            <w:proofErr w:type="spellStart"/>
            <w:r>
              <w:rPr>
                <w:rFonts w:ascii="Times New Roman" w:hAnsi="Times New Roman"/>
                <w:sz w:val="24"/>
                <w:szCs w:val="24"/>
              </w:rPr>
              <w:t>atrankos</w:t>
            </w:r>
            <w:proofErr w:type="spellEnd"/>
            <w:r>
              <w:rPr>
                <w:rFonts w:ascii="Times New Roman" w:hAnsi="Times New Roman"/>
                <w:sz w:val="24"/>
                <w:szCs w:val="24"/>
              </w:rPr>
              <w:t xml:space="preserve"> </w:t>
            </w:r>
            <w:proofErr w:type="spellStart"/>
            <w:r>
              <w:rPr>
                <w:rFonts w:ascii="Times New Roman" w:hAnsi="Times New Roman"/>
                <w:sz w:val="24"/>
                <w:szCs w:val="24"/>
              </w:rPr>
              <w:t>kriterijai</w:t>
            </w:r>
            <w:proofErr w:type="spellEnd"/>
            <w:r w:rsidRPr="0047305C">
              <w:rPr>
                <w:rFonts w:ascii="Times New Roman" w:hAnsi="Times New Roman"/>
                <w:sz w:val="24"/>
                <w:szCs w:val="24"/>
              </w:rPr>
              <w:t xml:space="preserve"> </w:t>
            </w:r>
            <w:proofErr w:type="spellStart"/>
            <w:r>
              <w:rPr>
                <w:rFonts w:ascii="Times New Roman" w:hAnsi="Times New Roman"/>
                <w:sz w:val="24"/>
                <w:szCs w:val="24"/>
              </w:rPr>
              <w:t>patvirtinti</w:t>
            </w:r>
            <w:proofErr w:type="spellEnd"/>
            <w:r w:rsidRPr="00C6517B">
              <w:rPr>
                <w:rFonts w:ascii="Times New Roman" w:hAnsi="Times New Roman"/>
                <w:sz w:val="24"/>
                <w:szCs w:val="24"/>
              </w:rPr>
              <w:t xml:space="preserve"> 2014–2020 </w:t>
            </w:r>
            <w:proofErr w:type="spellStart"/>
            <w:r w:rsidRPr="00C6517B">
              <w:rPr>
                <w:rFonts w:ascii="Times New Roman" w:hAnsi="Times New Roman"/>
                <w:sz w:val="24"/>
                <w:szCs w:val="24"/>
              </w:rPr>
              <w:t>metų</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Europos</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Sąjungos</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fondų</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investicijų</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veiksmų</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programos</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stebėsenos</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komiteto</w:t>
            </w:r>
            <w:proofErr w:type="spellEnd"/>
            <w:r w:rsidRPr="00C6517B">
              <w:rPr>
                <w:rFonts w:ascii="Times New Roman" w:hAnsi="Times New Roman"/>
                <w:sz w:val="24"/>
                <w:szCs w:val="24"/>
              </w:rPr>
              <w:t xml:space="preserve"> 2016 m. </w:t>
            </w:r>
            <w:proofErr w:type="spellStart"/>
            <w:r w:rsidRPr="00C6517B">
              <w:rPr>
                <w:rFonts w:ascii="Times New Roman" w:hAnsi="Times New Roman"/>
                <w:sz w:val="24"/>
                <w:szCs w:val="24"/>
              </w:rPr>
              <w:t>sausio</w:t>
            </w:r>
            <w:proofErr w:type="spellEnd"/>
            <w:r w:rsidRPr="00C6517B">
              <w:rPr>
                <w:rFonts w:ascii="Times New Roman" w:hAnsi="Times New Roman"/>
                <w:sz w:val="24"/>
                <w:szCs w:val="24"/>
              </w:rPr>
              <w:t xml:space="preserve"> 14 d. </w:t>
            </w:r>
            <w:proofErr w:type="spellStart"/>
            <w:r w:rsidRPr="00C6517B">
              <w:rPr>
                <w:rFonts w:ascii="Times New Roman" w:hAnsi="Times New Roman"/>
                <w:sz w:val="24"/>
                <w:szCs w:val="24"/>
              </w:rPr>
              <w:t>nutarimu</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Nr</w:t>
            </w:r>
            <w:proofErr w:type="spellEnd"/>
            <w:r w:rsidRPr="00C6517B">
              <w:rPr>
                <w:rFonts w:ascii="Times New Roman" w:hAnsi="Times New Roman"/>
                <w:sz w:val="24"/>
                <w:szCs w:val="24"/>
              </w:rPr>
              <w:t>. 44P-11.1 (13)</w:t>
            </w:r>
            <w:r>
              <w:rPr>
                <w:rFonts w:ascii="Times New Roman" w:hAnsi="Times New Roman"/>
                <w:sz w:val="24"/>
                <w:szCs w:val="24"/>
              </w:rPr>
              <w:t xml:space="preserve">, </w:t>
            </w:r>
            <w:proofErr w:type="spellStart"/>
            <w:r>
              <w:rPr>
                <w:rFonts w:ascii="Times New Roman" w:hAnsi="Times New Roman"/>
                <w:sz w:val="24"/>
                <w:szCs w:val="24"/>
              </w:rPr>
              <w:t>todėl</w:t>
            </w:r>
            <w:proofErr w:type="spellEnd"/>
            <w:r>
              <w:rPr>
                <w:rFonts w:ascii="Times New Roman" w:hAnsi="Times New Roman"/>
                <w:sz w:val="24"/>
                <w:szCs w:val="24"/>
              </w:rPr>
              <w:t xml:space="preserve"> </w:t>
            </w:r>
            <w:proofErr w:type="spellStart"/>
            <w:r>
              <w:rPr>
                <w:rFonts w:ascii="Times New Roman" w:hAnsi="Times New Roman"/>
                <w:sz w:val="24"/>
                <w:szCs w:val="24"/>
              </w:rPr>
              <w:t>jų</w:t>
            </w:r>
            <w:proofErr w:type="spellEnd"/>
            <w:r>
              <w:rPr>
                <w:rFonts w:ascii="Times New Roman" w:hAnsi="Times New Roman"/>
                <w:sz w:val="24"/>
                <w:szCs w:val="24"/>
              </w:rPr>
              <w:t xml:space="preserve"> </w:t>
            </w:r>
            <w:proofErr w:type="spellStart"/>
            <w:r>
              <w:rPr>
                <w:rFonts w:ascii="Times New Roman" w:hAnsi="Times New Roman"/>
                <w:sz w:val="24"/>
                <w:szCs w:val="24"/>
              </w:rPr>
              <w:t>keisti</w:t>
            </w:r>
            <w:proofErr w:type="spellEnd"/>
            <w:r>
              <w:rPr>
                <w:rFonts w:ascii="Times New Roman" w:hAnsi="Times New Roman"/>
                <w:sz w:val="24"/>
                <w:szCs w:val="24"/>
              </w:rPr>
              <w:t xml:space="preserve"> </w:t>
            </w:r>
            <w:proofErr w:type="spellStart"/>
            <w:r>
              <w:rPr>
                <w:rFonts w:ascii="Times New Roman" w:hAnsi="Times New Roman"/>
                <w:sz w:val="24"/>
                <w:szCs w:val="24"/>
              </w:rPr>
              <w:t>nėra</w:t>
            </w:r>
            <w:proofErr w:type="spellEnd"/>
            <w:r>
              <w:rPr>
                <w:rFonts w:ascii="Times New Roman" w:hAnsi="Times New Roman"/>
                <w:sz w:val="24"/>
                <w:szCs w:val="24"/>
              </w:rPr>
              <w:t xml:space="preserve"> </w:t>
            </w:r>
            <w:proofErr w:type="spellStart"/>
            <w:r>
              <w:rPr>
                <w:rFonts w:ascii="Times New Roman" w:hAnsi="Times New Roman"/>
                <w:sz w:val="24"/>
                <w:szCs w:val="24"/>
              </w:rPr>
              <w:t>galimybės</w:t>
            </w:r>
            <w:proofErr w:type="spellEnd"/>
            <w:r>
              <w:rPr>
                <w:rFonts w:ascii="Times New Roman" w:hAnsi="Times New Roman"/>
                <w:sz w:val="24"/>
                <w:szCs w:val="24"/>
              </w:rPr>
              <w:t>.</w:t>
            </w:r>
          </w:p>
          <w:p w14:paraId="4EE3FF7A" w14:textId="7B65CD7E" w:rsidR="008A7BBA" w:rsidRPr="008A7BBA" w:rsidRDefault="008A7BBA" w:rsidP="006649B4">
            <w:pPr>
              <w:spacing w:after="0" w:line="240" w:lineRule="auto"/>
              <w:jc w:val="both"/>
              <w:rPr>
                <w:rFonts w:ascii="Times New Roman" w:hAnsi="Times New Roman"/>
                <w:sz w:val="24"/>
                <w:szCs w:val="24"/>
              </w:rPr>
            </w:pPr>
            <w:proofErr w:type="spellStart"/>
            <w:r>
              <w:rPr>
                <w:rFonts w:ascii="Times New Roman" w:hAnsi="Times New Roman"/>
                <w:sz w:val="24"/>
                <w:szCs w:val="24"/>
              </w:rPr>
              <w:t>Tačiau</w:t>
            </w:r>
            <w:proofErr w:type="spellEnd"/>
            <w:r>
              <w:rPr>
                <w:rFonts w:ascii="Times New Roman" w:hAnsi="Times New Roman"/>
                <w:sz w:val="24"/>
                <w:szCs w:val="24"/>
              </w:rPr>
              <w:t xml:space="preserve"> </w:t>
            </w:r>
            <w:proofErr w:type="spellStart"/>
            <w:r w:rsidRPr="008A7BBA">
              <w:rPr>
                <w:rFonts w:ascii="Times New Roman" w:hAnsi="Times New Roman"/>
                <w:sz w:val="24"/>
                <w:szCs w:val="24"/>
              </w:rPr>
              <w:t>numatoma</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paskelbti</w:t>
            </w:r>
            <w:proofErr w:type="spellEnd"/>
            <w:r w:rsidRPr="008A7BBA">
              <w:rPr>
                <w:rFonts w:ascii="Times New Roman" w:hAnsi="Times New Roman"/>
                <w:sz w:val="24"/>
                <w:szCs w:val="24"/>
              </w:rPr>
              <w:t xml:space="preserve"> du </w:t>
            </w:r>
            <w:proofErr w:type="spellStart"/>
            <w:r w:rsidRPr="008A7BBA">
              <w:rPr>
                <w:rFonts w:ascii="Times New Roman" w:hAnsi="Times New Roman"/>
                <w:sz w:val="24"/>
                <w:szCs w:val="24"/>
              </w:rPr>
              <w:t>kvietimus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teikti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paraiškas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finansavimui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gauti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pagal</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priemonę</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Nr</w:t>
            </w:r>
            <w:proofErr w:type="spellEnd"/>
            <w:r w:rsidRPr="008A7BBA">
              <w:rPr>
                <w:rFonts w:ascii="Times New Roman" w:hAnsi="Times New Roman"/>
                <w:sz w:val="24"/>
                <w:szCs w:val="24"/>
              </w:rPr>
              <w:t>. 04.2.1-LVPA-K-836 „</w:t>
            </w:r>
            <w:proofErr w:type="spellStart"/>
            <w:r w:rsidRPr="008A7BBA">
              <w:rPr>
                <w:rFonts w:ascii="Times New Roman" w:hAnsi="Times New Roman"/>
                <w:sz w:val="24"/>
                <w:szCs w:val="24"/>
              </w:rPr>
              <w:t>Atsinaujinantys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energijos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ištekliai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pramonei</w:t>
            </w:r>
            <w:proofErr w:type="spellEnd"/>
            <w:r w:rsidRPr="008A7BBA">
              <w:rPr>
                <w:rFonts w:ascii="Times New Roman" w:hAnsi="Times New Roman"/>
                <w:sz w:val="24"/>
                <w:szCs w:val="24"/>
              </w:rPr>
              <w:t xml:space="preserve"> LT+“. </w:t>
            </w:r>
            <w:proofErr w:type="spellStart"/>
            <w:r w:rsidRPr="008A7BBA">
              <w:rPr>
                <w:rFonts w:ascii="Times New Roman" w:hAnsi="Times New Roman"/>
                <w:sz w:val="24"/>
                <w:szCs w:val="24"/>
              </w:rPr>
              <w:t>Pirmajam</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kvietimui</w:t>
            </w:r>
            <w:proofErr w:type="spellEnd"/>
            <w:r w:rsidRPr="008A7BBA">
              <w:rPr>
                <w:rFonts w:ascii="Times New Roman" w:hAnsi="Times New Roman"/>
                <w:sz w:val="24"/>
                <w:szCs w:val="24"/>
              </w:rPr>
              <w:t xml:space="preserve"> – </w:t>
            </w:r>
            <w:proofErr w:type="spellStart"/>
            <w:r w:rsidRPr="008A7BBA">
              <w:rPr>
                <w:rFonts w:ascii="Times New Roman" w:hAnsi="Times New Roman"/>
                <w:sz w:val="24"/>
                <w:szCs w:val="24"/>
              </w:rPr>
              <w:t>labai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mažoms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mažoms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ir</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vidutinėms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įmonėms</w:t>
            </w:r>
            <w:proofErr w:type="spellEnd"/>
            <w:r w:rsidRPr="008A7BBA">
              <w:rPr>
                <w:rFonts w:ascii="Times New Roman" w:hAnsi="Times New Roman"/>
                <w:sz w:val="24"/>
                <w:szCs w:val="24"/>
              </w:rPr>
              <w:t xml:space="preserve"> – </w:t>
            </w:r>
            <w:proofErr w:type="spellStart"/>
            <w:r w:rsidRPr="008A7BBA">
              <w:rPr>
                <w:rFonts w:ascii="Times New Roman" w:hAnsi="Times New Roman"/>
                <w:sz w:val="24"/>
                <w:szCs w:val="24"/>
              </w:rPr>
              <w:t>numatoma</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skirti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iki</w:t>
            </w:r>
            <w:proofErr w:type="spellEnd"/>
            <w:r w:rsidRPr="008A7BBA">
              <w:rPr>
                <w:rFonts w:ascii="Times New Roman" w:hAnsi="Times New Roman"/>
                <w:sz w:val="24"/>
                <w:szCs w:val="24"/>
              </w:rPr>
              <w:t xml:space="preserve"> 5 000 000 </w:t>
            </w:r>
            <w:proofErr w:type="spellStart"/>
            <w:r w:rsidRPr="008A7BBA">
              <w:rPr>
                <w:rFonts w:ascii="Times New Roman" w:hAnsi="Times New Roman"/>
                <w:sz w:val="24"/>
                <w:szCs w:val="24"/>
              </w:rPr>
              <w:t>Eur</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penkių</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milijonų</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eurų</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antrajam</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kvietimui</w:t>
            </w:r>
            <w:proofErr w:type="spellEnd"/>
            <w:r w:rsidRPr="008A7BBA">
              <w:rPr>
                <w:rFonts w:ascii="Times New Roman" w:hAnsi="Times New Roman"/>
                <w:sz w:val="24"/>
                <w:szCs w:val="24"/>
              </w:rPr>
              <w:t xml:space="preserve"> – </w:t>
            </w:r>
            <w:proofErr w:type="spellStart"/>
            <w:r w:rsidRPr="008A7BBA">
              <w:rPr>
                <w:rFonts w:ascii="Times New Roman" w:hAnsi="Times New Roman"/>
                <w:sz w:val="24"/>
                <w:szCs w:val="24"/>
              </w:rPr>
              <w:t>didelėms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įmonėms</w:t>
            </w:r>
            <w:proofErr w:type="spellEnd"/>
            <w:r w:rsidRPr="008A7BBA">
              <w:rPr>
                <w:rFonts w:ascii="Times New Roman" w:hAnsi="Times New Roman"/>
                <w:sz w:val="24"/>
                <w:szCs w:val="24"/>
              </w:rPr>
              <w:t xml:space="preserve"> – </w:t>
            </w:r>
            <w:proofErr w:type="spellStart"/>
            <w:r w:rsidRPr="008A7BBA">
              <w:rPr>
                <w:rFonts w:ascii="Times New Roman" w:hAnsi="Times New Roman"/>
                <w:sz w:val="24"/>
                <w:szCs w:val="24"/>
              </w:rPr>
              <w:t>numatoma</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skirti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iki</w:t>
            </w:r>
            <w:proofErr w:type="spellEnd"/>
            <w:r w:rsidRPr="008A7BBA">
              <w:rPr>
                <w:rFonts w:ascii="Times New Roman" w:hAnsi="Times New Roman"/>
                <w:sz w:val="24"/>
                <w:szCs w:val="24"/>
              </w:rPr>
              <w:t xml:space="preserve"> 5 000 000 </w:t>
            </w:r>
            <w:proofErr w:type="spellStart"/>
            <w:r w:rsidRPr="008A7BBA">
              <w:rPr>
                <w:rFonts w:ascii="Times New Roman" w:hAnsi="Times New Roman"/>
                <w:sz w:val="24"/>
                <w:szCs w:val="24"/>
              </w:rPr>
              <w:t>Eur</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penkių</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milijonų</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eurų</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Jeigu</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paskelbus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kvietimus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pagal</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teigiamai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įvertintas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paraiškas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prašoma</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skirti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finansavimo</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lėšų</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suma</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yra</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didesnė</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negu</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kvietimui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skirta</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lėšų</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suma</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įgyvendinančioji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institucija</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gali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teikti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pasiūlymą</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Ministerijai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dėl</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kvietime</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numatytos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finansavimo</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sumos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padidinimo</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Ministerijai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pritarus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kvietimo</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suma</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gali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būti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padidinta</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trūkstamą</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lėšų</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sumą</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paimant</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iš</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kitam</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kvietimui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numatytos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ir</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nepanaudotos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lėšų</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sumos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Priimdama</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sprendimą</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dėl</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lastRenderedPageBreak/>
              <w:t>projektų</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finansavimo</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Ministerija</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turi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teisę</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šiame</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Aprašo</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punkte</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nurodytas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sumas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padidinti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neviršydama</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Priemonių</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įgyvendinimo</w:t>
            </w:r>
            <w:proofErr w:type="spellEnd"/>
            <w:r w:rsidRPr="008A7BBA">
              <w:rPr>
                <w:rFonts w:ascii="Times New Roman" w:hAnsi="Times New Roman"/>
                <w:sz w:val="24"/>
                <w:szCs w:val="24"/>
              </w:rPr>
              <w:t xml:space="preserve"> plane </w:t>
            </w:r>
            <w:proofErr w:type="spellStart"/>
            <w:r w:rsidRPr="008A7BBA">
              <w:rPr>
                <w:rFonts w:ascii="Times New Roman" w:hAnsi="Times New Roman"/>
                <w:sz w:val="24"/>
                <w:szCs w:val="24"/>
              </w:rPr>
              <w:t>nurodytos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Priemonei</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skirtos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lėšų</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sumos</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ir</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nepažeisdama</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teisėtų</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pareiškėjų</w:t>
            </w:r>
            <w:proofErr w:type="spellEnd"/>
            <w:r w:rsidRPr="008A7BBA">
              <w:rPr>
                <w:rFonts w:ascii="Times New Roman" w:hAnsi="Times New Roman"/>
                <w:sz w:val="24"/>
                <w:szCs w:val="24"/>
              </w:rPr>
              <w:t xml:space="preserve"> </w:t>
            </w:r>
            <w:proofErr w:type="spellStart"/>
            <w:r w:rsidRPr="008A7BBA">
              <w:rPr>
                <w:rFonts w:ascii="Times New Roman" w:hAnsi="Times New Roman"/>
                <w:sz w:val="24"/>
                <w:szCs w:val="24"/>
              </w:rPr>
              <w:t>lūkesčių</w:t>
            </w:r>
            <w:proofErr w:type="spellEnd"/>
            <w:r w:rsidRPr="008A7BBA">
              <w:rPr>
                <w:rFonts w:ascii="Times New Roman" w:hAnsi="Times New Roman"/>
                <w:sz w:val="24"/>
                <w:szCs w:val="24"/>
              </w:rPr>
              <w:t>.</w:t>
            </w:r>
          </w:p>
          <w:p w14:paraId="2401330B" w14:textId="77777777" w:rsidR="00D76C71" w:rsidRPr="008A7BBA" w:rsidRDefault="00D76C71" w:rsidP="008C79FA">
            <w:pPr>
              <w:spacing w:after="0" w:line="240" w:lineRule="auto"/>
              <w:jc w:val="both"/>
              <w:rPr>
                <w:rFonts w:ascii="Times New Roman" w:hAnsi="Times New Roman"/>
                <w:sz w:val="24"/>
                <w:szCs w:val="24"/>
              </w:rPr>
            </w:pPr>
          </w:p>
        </w:tc>
      </w:tr>
      <w:tr w:rsidR="00AD5E9F" w:rsidRPr="00BF2C68" w14:paraId="0FFD7ECA" w14:textId="77777777" w:rsidTr="00847BFE">
        <w:trPr>
          <w:trHeight w:val="415"/>
        </w:trPr>
        <w:tc>
          <w:tcPr>
            <w:tcW w:w="709" w:type="dxa"/>
            <w:shd w:val="clear" w:color="auto" w:fill="D9D9D9" w:themeFill="background1" w:themeFillShade="D9"/>
          </w:tcPr>
          <w:p w14:paraId="49030703" w14:textId="77777777" w:rsidR="00AD5E9F" w:rsidRPr="0097283E" w:rsidRDefault="00AD5E9F" w:rsidP="00AD5E9F">
            <w:pPr>
              <w:spacing w:after="0" w:line="240" w:lineRule="auto"/>
              <w:jc w:val="center"/>
              <w:rPr>
                <w:rFonts w:ascii="Times New Roman" w:hAnsi="Times New Roman" w:cs="Times New Roman"/>
                <w:b/>
                <w:bCs/>
                <w:lang w:val="lt-LT" w:eastAsia="lt-LT"/>
              </w:rPr>
            </w:pPr>
          </w:p>
        </w:tc>
        <w:tc>
          <w:tcPr>
            <w:tcW w:w="1446" w:type="dxa"/>
            <w:shd w:val="clear" w:color="auto" w:fill="D9D9D9" w:themeFill="background1" w:themeFillShade="D9"/>
          </w:tcPr>
          <w:p w14:paraId="1430D529" w14:textId="77777777" w:rsidR="00AD5E9F" w:rsidRDefault="00AD5E9F" w:rsidP="00AD5E9F">
            <w:pPr>
              <w:widowControl w:val="0"/>
              <w:suppressAutoHyphens/>
              <w:spacing w:after="0" w:line="240" w:lineRule="auto"/>
              <w:ind w:left="-817"/>
              <w:jc w:val="center"/>
              <w:rPr>
                <w:rFonts w:ascii="Times New Roman" w:hAnsi="Times New Roman" w:cs="Times New Roman"/>
                <w:b/>
                <w:sz w:val="30"/>
                <w:szCs w:val="30"/>
              </w:rPr>
            </w:pPr>
          </w:p>
        </w:tc>
        <w:tc>
          <w:tcPr>
            <w:tcW w:w="12190" w:type="dxa"/>
            <w:gridSpan w:val="2"/>
            <w:shd w:val="clear" w:color="auto" w:fill="D9D9D9" w:themeFill="background1" w:themeFillShade="D9"/>
            <w:vAlign w:val="center"/>
          </w:tcPr>
          <w:p w14:paraId="306E3BEB" w14:textId="77777777" w:rsidR="00AD5E9F" w:rsidRPr="0097283E" w:rsidRDefault="00AD5E9F" w:rsidP="00AD5E9F">
            <w:pPr>
              <w:spacing w:after="0" w:line="240" w:lineRule="auto"/>
              <w:jc w:val="center"/>
              <w:rPr>
                <w:rFonts w:ascii="Times New Roman" w:hAnsi="Times New Roman" w:cs="Times New Roman"/>
                <w:b/>
                <w:bCs/>
                <w:lang w:val="lt-LT" w:eastAsia="lt-LT"/>
              </w:rPr>
            </w:pPr>
            <w:proofErr w:type="spellStart"/>
            <w:r w:rsidRPr="00AD5E9F">
              <w:rPr>
                <w:rFonts w:ascii="Times New Roman" w:hAnsi="Times New Roman" w:cs="Times New Roman"/>
                <w:b/>
                <w:sz w:val="30"/>
                <w:szCs w:val="30"/>
              </w:rPr>
              <w:t>Uždaroji</w:t>
            </w:r>
            <w:proofErr w:type="spellEnd"/>
            <w:r w:rsidRPr="00AD5E9F">
              <w:rPr>
                <w:rFonts w:ascii="Times New Roman" w:hAnsi="Times New Roman" w:cs="Times New Roman"/>
                <w:b/>
                <w:sz w:val="30"/>
                <w:szCs w:val="30"/>
              </w:rPr>
              <w:t xml:space="preserve"> </w:t>
            </w:r>
            <w:proofErr w:type="spellStart"/>
            <w:r w:rsidRPr="00AD5E9F">
              <w:rPr>
                <w:rFonts w:ascii="Times New Roman" w:hAnsi="Times New Roman" w:cs="Times New Roman"/>
                <w:b/>
                <w:sz w:val="30"/>
                <w:szCs w:val="30"/>
              </w:rPr>
              <w:t>akcinė</w:t>
            </w:r>
            <w:proofErr w:type="spellEnd"/>
            <w:r w:rsidRPr="00AD5E9F">
              <w:rPr>
                <w:rFonts w:ascii="Times New Roman" w:hAnsi="Times New Roman" w:cs="Times New Roman"/>
                <w:b/>
                <w:sz w:val="30"/>
                <w:szCs w:val="30"/>
              </w:rPr>
              <w:t xml:space="preserve"> </w:t>
            </w:r>
            <w:proofErr w:type="spellStart"/>
            <w:r w:rsidRPr="00AD5E9F">
              <w:rPr>
                <w:rFonts w:ascii="Times New Roman" w:hAnsi="Times New Roman" w:cs="Times New Roman"/>
                <w:b/>
                <w:sz w:val="30"/>
                <w:szCs w:val="30"/>
              </w:rPr>
              <w:t>bendrovė</w:t>
            </w:r>
            <w:proofErr w:type="spellEnd"/>
            <w:r w:rsidRPr="00AD5E9F">
              <w:rPr>
                <w:rFonts w:ascii="Times New Roman" w:hAnsi="Times New Roman" w:cs="Times New Roman"/>
                <w:b/>
                <w:sz w:val="30"/>
                <w:szCs w:val="30"/>
              </w:rPr>
              <w:t xml:space="preserve"> „Rūta“</w:t>
            </w:r>
          </w:p>
        </w:tc>
      </w:tr>
      <w:tr w:rsidR="00AD5E9F" w:rsidRPr="00296CFA" w14:paraId="2E86E83A" w14:textId="77777777" w:rsidTr="00847BFE">
        <w:trPr>
          <w:trHeight w:val="711"/>
        </w:trPr>
        <w:tc>
          <w:tcPr>
            <w:tcW w:w="709" w:type="dxa"/>
          </w:tcPr>
          <w:p w14:paraId="0AF5CBC0" w14:textId="77777777" w:rsidR="00AD5E9F" w:rsidRPr="004E3020" w:rsidRDefault="00AD5E9F" w:rsidP="00AD5E9F">
            <w:pPr>
              <w:spacing w:after="0" w:line="240" w:lineRule="auto"/>
              <w:jc w:val="center"/>
              <w:rPr>
                <w:rFonts w:ascii="Times New Roman" w:hAnsi="Times New Roman" w:cs="Times New Roman"/>
                <w:b/>
                <w:bCs/>
                <w:sz w:val="24"/>
                <w:szCs w:val="24"/>
                <w:lang w:val="lt-LT" w:eastAsia="lt-LT"/>
              </w:rPr>
            </w:pPr>
            <w:r w:rsidRPr="004E3020">
              <w:rPr>
                <w:rFonts w:ascii="Times New Roman" w:hAnsi="Times New Roman" w:cs="Times New Roman"/>
                <w:b/>
                <w:bCs/>
                <w:sz w:val="24"/>
                <w:szCs w:val="24"/>
                <w:lang w:val="lt-LT" w:eastAsia="lt-LT"/>
              </w:rPr>
              <w:t>2.</w:t>
            </w:r>
          </w:p>
        </w:tc>
        <w:tc>
          <w:tcPr>
            <w:tcW w:w="1446" w:type="dxa"/>
          </w:tcPr>
          <w:p w14:paraId="1296395A" w14:textId="77777777" w:rsidR="00AD5E9F" w:rsidRDefault="003D5BA2" w:rsidP="00AD5E9F">
            <w:pPr>
              <w:widowControl w:val="0"/>
              <w:suppressAutoHyphens/>
              <w:spacing w:after="0" w:line="240" w:lineRule="auto"/>
              <w:ind w:left="-817"/>
              <w:jc w:val="center"/>
              <w:rPr>
                <w:rFonts w:ascii="Times New Roman" w:hAnsi="Times New Roman" w:cs="Times New Roman"/>
                <w:b/>
                <w:sz w:val="30"/>
                <w:szCs w:val="30"/>
              </w:rPr>
            </w:pPr>
            <w:r w:rsidRPr="003D5BA2">
              <w:rPr>
                <w:rFonts w:ascii="Times New Roman" w:hAnsi="Times New Roman" w:cs="Times New Roman"/>
                <w:sz w:val="24"/>
                <w:szCs w:val="24"/>
                <w:lang w:val="lt-LT"/>
              </w:rPr>
              <w:t>33</w:t>
            </w:r>
            <w:r>
              <w:rPr>
                <w:rFonts w:ascii="Times New Roman" w:hAnsi="Times New Roman" w:cs="Times New Roman"/>
                <w:sz w:val="24"/>
                <w:szCs w:val="24"/>
                <w:lang w:val="lt-LT"/>
              </w:rPr>
              <w:t>.</w:t>
            </w:r>
          </w:p>
        </w:tc>
        <w:tc>
          <w:tcPr>
            <w:tcW w:w="7938" w:type="dxa"/>
          </w:tcPr>
          <w:p w14:paraId="2822F8CE" w14:textId="77777777" w:rsidR="00AD5E9F" w:rsidRPr="00463562" w:rsidRDefault="00463562" w:rsidP="00463562">
            <w:pPr>
              <w:widowControl w:val="0"/>
              <w:suppressAutoHyphens/>
              <w:spacing w:after="0" w:line="240" w:lineRule="auto"/>
              <w:ind w:left="30"/>
              <w:jc w:val="both"/>
              <w:rPr>
                <w:rFonts w:ascii="Times New Roman" w:hAnsi="Times New Roman" w:cs="Times New Roman"/>
                <w:sz w:val="24"/>
                <w:szCs w:val="24"/>
                <w:lang w:val="lt-LT"/>
              </w:rPr>
            </w:pPr>
            <w:r w:rsidRPr="00463562">
              <w:rPr>
                <w:rFonts w:ascii="Times New Roman" w:hAnsi="Times New Roman" w:cs="Times New Roman"/>
                <w:sz w:val="24"/>
                <w:szCs w:val="24"/>
                <w:lang w:val="lt-LT"/>
              </w:rPr>
              <w:t xml:space="preserve">Šiame apraše, kaip ir praėjusiame yra nurodyta: mažiausia projektui galima skirti finansavimo lėšų suma yra 50 000 </w:t>
            </w:r>
            <w:proofErr w:type="spellStart"/>
            <w:r w:rsidRPr="00463562">
              <w:rPr>
                <w:rFonts w:ascii="Times New Roman" w:hAnsi="Times New Roman" w:cs="Times New Roman"/>
                <w:sz w:val="24"/>
                <w:szCs w:val="24"/>
                <w:lang w:val="lt-LT"/>
              </w:rPr>
              <w:t>Eur</w:t>
            </w:r>
            <w:proofErr w:type="spellEnd"/>
            <w:r w:rsidRPr="00463562">
              <w:rPr>
                <w:rFonts w:ascii="Times New Roman" w:hAnsi="Times New Roman" w:cs="Times New Roman"/>
                <w:sz w:val="24"/>
                <w:szCs w:val="24"/>
                <w:lang w:val="lt-LT"/>
              </w:rPr>
              <w:t xml:space="preserve"> (penkiasdešimt tūkstančių eurų).</w:t>
            </w:r>
          </w:p>
          <w:p w14:paraId="60AFB8C5" w14:textId="77777777" w:rsidR="00463562" w:rsidRDefault="00463562" w:rsidP="00463562">
            <w:pPr>
              <w:widowControl w:val="0"/>
              <w:suppressAutoHyphens/>
              <w:spacing w:after="0" w:line="240" w:lineRule="auto"/>
              <w:ind w:left="30"/>
              <w:jc w:val="both"/>
              <w:rPr>
                <w:rFonts w:ascii="Times New Roman" w:hAnsi="Times New Roman" w:cs="Times New Roman"/>
                <w:sz w:val="24"/>
                <w:szCs w:val="24"/>
                <w:lang w:val="lt-LT"/>
              </w:rPr>
            </w:pPr>
            <w:r w:rsidRPr="00463562">
              <w:rPr>
                <w:rFonts w:ascii="Times New Roman" w:hAnsi="Times New Roman" w:cs="Times New Roman"/>
                <w:sz w:val="24"/>
                <w:szCs w:val="24"/>
                <w:lang w:val="lt-LT"/>
              </w:rPr>
              <w:t xml:space="preserve">Jei projekto intensyvumas vidutinei įmonei yra 70 proc., tai minimalus projekto biudžetas turi būti apie 71 500,00 </w:t>
            </w:r>
            <w:proofErr w:type="spellStart"/>
            <w:r w:rsidRPr="00463562">
              <w:rPr>
                <w:rFonts w:ascii="Times New Roman" w:hAnsi="Times New Roman" w:cs="Times New Roman"/>
                <w:sz w:val="24"/>
                <w:szCs w:val="24"/>
                <w:lang w:val="lt-LT"/>
              </w:rPr>
              <w:t>Eur</w:t>
            </w:r>
            <w:proofErr w:type="spellEnd"/>
            <w:r w:rsidRPr="00463562">
              <w:rPr>
                <w:rFonts w:ascii="Times New Roman" w:hAnsi="Times New Roman" w:cs="Times New Roman"/>
                <w:sz w:val="24"/>
                <w:szCs w:val="24"/>
                <w:lang w:val="lt-LT"/>
              </w:rPr>
              <w:t xml:space="preserve">. Mes esame atlikę energijos vartojimo auditą ir jame siūlomų priemonių (kurias būtų galima diegtis per šią priemonę) įdiegimui nereikalinga tokia didelė suma. </w:t>
            </w:r>
          </w:p>
          <w:p w14:paraId="505057C6" w14:textId="77777777" w:rsidR="00463562" w:rsidRPr="00296CFA" w:rsidRDefault="00463562" w:rsidP="00463562">
            <w:pPr>
              <w:widowControl w:val="0"/>
              <w:suppressAutoHyphens/>
              <w:spacing w:after="0" w:line="240" w:lineRule="auto"/>
              <w:ind w:left="30"/>
              <w:jc w:val="both"/>
              <w:rPr>
                <w:rFonts w:ascii="Times New Roman" w:hAnsi="Times New Roman" w:cs="Times New Roman"/>
                <w:b/>
                <w:sz w:val="30"/>
                <w:szCs w:val="30"/>
                <w:lang w:val="lt-LT"/>
              </w:rPr>
            </w:pPr>
            <w:r w:rsidRPr="00463562">
              <w:rPr>
                <w:rFonts w:ascii="Times New Roman" w:hAnsi="Times New Roman" w:cs="Times New Roman"/>
                <w:sz w:val="24"/>
                <w:szCs w:val="24"/>
                <w:lang w:val="lt-LT"/>
              </w:rPr>
              <w:t xml:space="preserve">Tad </w:t>
            </w:r>
            <w:r w:rsidRPr="00463562">
              <w:rPr>
                <w:rFonts w:ascii="Times New Roman" w:hAnsi="Times New Roman" w:cs="Times New Roman"/>
                <w:b/>
                <w:sz w:val="24"/>
                <w:szCs w:val="24"/>
                <w:lang w:val="lt-LT"/>
              </w:rPr>
              <w:t>siūlymas</w:t>
            </w:r>
            <w:r w:rsidRPr="00463562">
              <w:rPr>
                <w:rFonts w:ascii="Times New Roman" w:hAnsi="Times New Roman" w:cs="Times New Roman"/>
                <w:sz w:val="24"/>
                <w:szCs w:val="24"/>
                <w:lang w:val="lt-LT"/>
              </w:rPr>
              <w:t xml:space="preserve"> būtų panaikinti nurodytą mažiausią projektui galimą skirti finansavimo</w:t>
            </w:r>
            <w:r w:rsidR="003D5BA2">
              <w:rPr>
                <w:rFonts w:ascii="Times New Roman" w:hAnsi="Times New Roman" w:cs="Times New Roman"/>
                <w:sz w:val="24"/>
                <w:szCs w:val="24"/>
                <w:lang w:val="lt-LT"/>
              </w:rPr>
              <w:t xml:space="preserve"> sumą.</w:t>
            </w:r>
          </w:p>
        </w:tc>
        <w:tc>
          <w:tcPr>
            <w:tcW w:w="4252" w:type="dxa"/>
          </w:tcPr>
          <w:p w14:paraId="35442A96" w14:textId="77777777" w:rsidR="00AD5E9F" w:rsidRPr="004E3020" w:rsidRDefault="004E3020" w:rsidP="004E3020">
            <w:pPr>
              <w:spacing w:after="0" w:line="240" w:lineRule="auto"/>
              <w:jc w:val="both"/>
              <w:rPr>
                <w:rFonts w:ascii="Times New Roman" w:hAnsi="Times New Roman" w:cs="Times New Roman"/>
                <w:bCs/>
                <w:sz w:val="24"/>
                <w:szCs w:val="24"/>
                <w:lang w:val="lt-LT" w:eastAsia="lt-LT"/>
              </w:rPr>
            </w:pPr>
            <w:r w:rsidRPr="004E3020">
              <w:rPr>
                <w:rFonts w:ascii="Times New Roman" w:hAnsi="Times New Roman" w:cs="Times New Roman"/>
                <w:bCs/>
                <w:sz w:val="24"/>
                <w:szCs w:val="24"/>
                <w:lang w:val="lt-LT" w:eastAsia="lt-LT"/>
              </w:rPr>
              <w:t>Atsižvelgta.</w:t>
            </w:r>
          </w:p>
          <w:p w14:paraId="1322864D" w14:textId="77777777" w:rsidR="004E3020" w:rsidRPr="0097283E" w:rsidRDefault="0049482C" w:rsidP="004E3020">
            <w:pPr>
              <w:spacing w:after="0" w:line="240" w:lineRule="auto"/>
              <w:jc w:val="both"/>
              <w:rPr>
                <w:rFonts w:ascii="Times New Roman" w:hAnsi="Times New Roman" w:cs="Times New Roman"/>
                <w:b/>
                <w:bCs/>
                <w:lang w:val="lt-LT" w:eastAsia="lt-LT"/>
              </w:rPr>
            </w:pPr>
            <w:r>
              <w:rPr>
                <w:rFonts w:ascii="Times New Roman" w:hAnsi="Times New Roman" w:cs="Times New Roman"/>
                <w:bCs/>
                <w:sz w:val="24"/>
                <w:szCs w:val="24"/>
                <w:lang w:val="lt-LT" w:eastAsia="lt-LT"/>
              </w:rPr>
              <w:t>Planuojama sumažinti m</w:t>
            </w:r>
            <w:r w:rsidR="004E3020" w:rsidRPr="004E3020">
              <w:rPr>
                <w:rFonts w:ascii="Times New Roman" w:hAnsi="Times New Roman" w:cs="Times New Roman"/>
                <w:bCs/>
                <w:sz w:val="24"/>
                <w:szCs w:val="24"/>
                <w:lang w:val="lt-LT" w:eastAsia="lt-LT"/>
              </w:rPr>
              <w:t xml:space="preserve">ažiausią projektui galimą skirti finansavimo sumą iki </w:t>
            </w:r>
            <w:r w:rsidR="00AC662C" w:rsidRPr="00296CFA">
              <w:rPr>
                <w:rFonts w:ascii="Times New Roman" w:eastAsia="Times New Roman" w:hAnsi="Times New Roman"/>
                <w:sz w:val="24"/>
                <w:szCs w:val="24"/>
                <w:lang w:val="lt-LT" w:eastAsia="lt-LT"/>
              </w:rPr>
              <w:t xml:space="preserve">15 000 </w:t>
            </w:r>
            <w:proofErr w:type="spellStart"/>
            <w:r w:rsidR="00AC662C" w:rsidRPr="00296CFA">
              <w:rPr>
                <w:rFonts w:ascii="Times New Roman" w:eastAsia="Times New Roman" w:hAnsi="Times New Roman"/>
                <w:sz w:val="24"/>
                <w:szCs w:val="24"/>
                <w:lang w:val="lt-LT" w:eastAsia="lt-LT"/>
              </w:rPr>
              <w:t>Eur</w:t>
            </w:r>
            <w:proofErr w:type="spellEnd"/>
            <w:r w:rsidR="00AC662C" w:rsidRPr="00296CFA">
              <w:rPr>
                <w:rFonts w:ascii="Times New Roman" w:eastAsia="Times New Roman" w:hAnsi="Times New Roman"/>
                <w:sz w:val="24"/>
                <w:szCs w:val="24"/>
                <w:lang w:val="lt-LT" w:eastAsia="lt-LT"/>
              </w:rPr>
              <w:t xml:space="preserve"> ( penkiolika tūkstančių eurų).</w:t>
            </w:r>
          </w:p>
        </w:tc>
      </w:tr>
      <w:tr w:rsidR="00847BFE" w:rsidRPr="00BF2C68" w14:paraId="38119FB8" w14:textId="77777777" w:rsidTr="00847BFE">
        <w:trPr>
          <w:trHeight w:val="467"/>
        </w:trPr>
        <w:tc>
          <w:tcPr>
            <w:tcW w:w="709" w:type="dxa"/>
            <w:shd w:val="clear" w:color="auto" w:fill="D9D9D9" w:themeFill="background1" w:themeFillShade="D9"/>
            <w:vAlign w:val="center"/>
          </w:tcPr>
          <w:p w14:paraId="0887D204" w14:textId="77777777" w:rsidR="00847BFE" w:rsidRPr="004E3020" w:rsidRDefault="00847BFE" w:rsidP="00AD5E9F">
            <w:pPr>
              <w:spacing w:after="0" w:line="240" w:lineRule="auto"/>
              <w:jc w:val="center"/>
              <w:rPr>
                <w:rFonts w:ascii="Times New Roman" w:hAnsi="Times New Roman" w:cs="Times New Roman"/>
                <w:b/>
                <w:bCs/>
                <w:sz w:val="24"/>
                <w:szCs w:val="24"/>
                <w:lang w:val="lt-LT" w:eastAsia="lt-LT"/>
              </w:rPr>
            </w:pPr>
          </w:p>
        </w:tc>
        <w:tc>
          <w:tcPr>
            <w:tcW w:w="1446" w:type="dxa"/>
            <w:shd w:val="clear" w:color="auto" w:fill="D9D9D9" w:themeFill="background1" w:themeFillShade="D9"/>
            <w:vAlign w:val="center"/>
          </w:tcPr>
          <w:p w14:paraId="5D9087DE" w14:textId="77777777" w:rsidR="00847BFE" w:rsidRPr="003D5BA2" w:rsidRDefault="00847BFE" w:rsidP="00AD5E9F">
            <w:pPr>
              <w:widowControl w:val="0"/>
              <w:suppressAutoHyphens/>
              <w:spacing w:after="0" w:line="240" w:lineRule="auto"/>
              <w:ind w:left="-817"/>
              <w:jc w:val="center"/>
              <w:rPr>
                <w:rFonts w:ascii="Times New Roman" w:hAnsi="Times New Roman" w:cs="Times New Roman"/>
                <w:sz w:val="24"/>
                <w:szCs w:val="24"/>
                <w:lang w:val="lt-LT"/>
              </w:rPr>
            </w:pPr>
          </w:p>
        </w:tc>
        <w:tc>
          <w:tcPr>
            <w:tcW w:w="12190" w:type="dxa"/>
            <w:gridSpan w:val="2"/>
            <w:shd w:val="clear" w:color="auto" w:fill="D9D9D9" w:themeFill="background1" w:themeFillShade="D9"/>
            <w:vAlign w:val="center"/>
          </w:tcPr>
          <w:p w14:paraId="0CB93421" w14:textId="77777777" w:rsidR="00847BFE" w:rsidRPr="004E3020" w:rsidRDefault="00847BFE" w:rsidP="00847BFE">
            <w:pPr>
              <w:spacing w:after="0" w:line="240" w:lineRule="auto"/>
              <w:jc w:val="center"/>
              <w:rPr>
                <w:rFonts w:ascii="Times New Roman" w:hAnsi="Times New Roman" w:cs="Times New Roman"/>
                <w:bCs/>
                <w:sz w:val="24"/>
                <w:szCs w:val="24"/>
                <w:lang w:val="lt-LT" w:eastAsia="lt-LT"/>
              </w:rPr>
            </w:pPr>
            <w:proofErr w:type="spellStart"/>
            <w:r w:rsidRPr="00847BFE">
              <w:rPr>
                <w:rFonts w:ascii="Times New Roman" w:hAnsi="Times New Roman" w:cs="Times New Roman"/>
                <w:b/>
                <w:sz w:val="30"/>
                <w:szCs w:val="30"/>
              </w:rPr>
              <w:t>Birutė</w:t>
            </w:r>
            <w:proofErr w:type="spellEnd"/>
            <w:r w:rsidRPr="00847BFE">
              <w:rPr>
                <w:rFonts w:ascii="Times New Roman" w:hAnsi="Times New Roman" w:cs="Times New Roman"/>
                <w:b/>
                <w:sz w:val="30"/>
                <w:szCs w:val="30"/>
              </w:rPr>
              <w:t xml:space="preserve"> </w:t>
            </w:r>
            <w:proofErr w:type="spellStart"/>
            <w:r w:rsidRPr="00847BFE">
              <w:rPr>
                <w:rFonts w:ascii="Times New Roman" w:hAnsi="Times New Roman" w:cs="Times New Roman"/>
                <w:b/>
                <w:sz w:val="30"/>
                <w:szCs w:val="30"/>
              </w:rPr>
              <w:t>Andruškaitė</w:t>
            </w:r>
            <w:proofErr w:type="spellEnd"/>
          </w:p>
        </w:tc>
      </w:tr>
      <w:tr w:rsidR="00847BFE" w:rsidRPr="00296CFA" w14:paraId="669768DD" w14:textId="77777777" w:rsidTr="005D325B">
        <w:trPr>
          <w:trHeight w:val="711"/>
        </w:trPr>
        <w:tc>
          <w:tcPr>
            <w:tcW w:w="709" w:type="dxa"/>
          </w:tcPr>
          <w:p w14:paraId="1729257F" w14:textId="77777777" w:rsidR="00847BFE" w:rsidRPr="004E3020" w:rsidRDefault="00847BFE" w:rsidP="00AD5E9F">
            <w:pPr>
              <w:spacing w:after="0" w:line="240" w:lineRule="auto"/>
              <w:jc w:val="center"/>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3.</w:t>
            </w:r>
          </w:p>
        </w:tc>
        <w:tc>
          <w:tcPr>
            <w:tcW w:w="1446" w:type="dxa"/>
          </w:tcPr>
          <w:p w14:paraId="20902FD6" w14:textId="77777777" w:rsidR="00847BFE" w:rsidRPr="003D5BA2" w:rsidRDefault="00911381" w:rsidP="00AD5E9F">
            <w:pPr>
              <w:widowControl w:val="0"/>
              <w:suppressAutoHyphens/>
              <w:spacing w:after="0" w:line="240" w:lineRule="auto"/>
              <w:ind w:left="-817"/>
              <w:jc w:val="center"/>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7938" w:type="dxa"/>
          </w:tcPr>
          <w:p w14:paraId="5687EF25" w14:textId="77777777" w:rsidR="00847BFE" w:rsidRPr="00847BFE" w:rsidRDefault="00847BFE" w:rsidP="00847BFE">
            <w:pPr>
              <w:jc w:val="both"/>
              <w:rPr>
                <w:rFonts w:ascii="Times New Roman" w:hAnsi="Times New Roman" w:cs="Times New Roman"/>
                <w:sz w:val="24"/>
                <w:szCs w:val="24"/>
                <w:lang w:val="lt-LT" w:eastAsia="lt-LT"/>
              </w:rPr>
            </w:pPr>
            <w:r w:rsidRPr="00296CFA">
              <w:rPr>
                <w:rFonts w:ascii="Times New Roman" w:hAnsi="Times New Roman" w:cs="Times New Roman"/>
                <w:sz w:val="24"/>
                <w:szCs w:val="24"/>
                <w:lang w:val="lt-LT"/>
              </w:rPr>
              <w:t>Pagal dabar esantį Aprašą, III-</w:t>
            </w:r>
            <w:proofErr w:type="spellStart"/>
            <w:r w:rsidRPr="00296CFA">
              <w:rPr>
                <w:rFonts w:ascii="Times New Roman" w:hAnsi="Times New Roman" w:cs="Times New Roman"/>
                <w:sz w:val="24"/>
                <w:szCs w:val="24"/>
                <w:lang w:val="lt-LT"/>
              </w:rPr>
              <w:t>iame</w:t>
            </w:r>
            <w:proofErr w:type="spellEnd"/>
            <w:r w:rsidRPr="00296CFA">
              <w:rPr>
                <w:rFonts w:ascii="Times New Roman" w:hAnsi="Times New Roman" w:cs="Times New Roman"/>
                <w:sz w:val="24"/>
                <w:szCs w:val="24"/>
                <w:lang w:val="lt-LT"/>
              </w:rPr>
              <w:t xml:space="preserve"> skyriuje, nurodant tinkamus pareiškėjus atsiranda spraga: 2."Finansavimas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w:t>
            </w:r>
            <w:r w:rsidRPr="00296CFA">
              <w:rPr>
                <w:rStyle w:val="Strong"/>
                <w:rFonts w:ascii="Times New Roman" w:hAnsi="Times New Roman" w:cs="Times New Roman"/>
                <w:sz w:val="24"/>
                <w:szCs w:val="24"/>
                <w:lang w:val="lt-LT"/>
              </w:rPr>
              <w:t>3 straipsnio 3 dalyje</w:t>
            </w:r>
            <w:r w:rsidRPr="00296CFA">
              <w:rPr>
                <w:rFonts w:ascii="Times New Roman" w:hAnsi="Times New Roman" w:cs="Times New Roman"/>
                <w:sz w:val="24"/>
                <w:szCs w:val="24"/>
                <w:lang w:val="lt-LT"/>
              </w:rPr>
              <w:t xml:space="preserve"> nustatytus </w:t>
            </w:r>
            <w:proofErr w:type="spellStart"/>
            <w:r w:rsidRPr="00296CFA">
              <w:rPr>
                <w:rFonts w:ascii="Times New Roman" w:hAnsi="Times New Roman" w:cs="Times New Roman"/>
                <w:sz w:val="24"/>
                <w:szCs w:val="24"/>
                <w:lang w:val="lt-LT"/>
              </w:rPr>
              <w:t>atvejus,Bendrojo</w:t>
            </w:r>
            <w:proofErr w:type="spellEnd"/>
            <w:r w:rsidRPr="00296CFA">
              <w:rPr>
                <w:rFonts w:ascii="Times New Roman" w:hAnsi="Times New Roman" w:cs="Times New Roman"/>
                <w:sz w:val="24"/>
                <w:szCs w:val="24"/>
                <w:lang w:val="lt-LT"/>
              </w:rPr>
              <w:t xml:space="preserve"> bendrosios išimties reglamento 1 straipsnio </w:t>
            </w:r>
            <w:r w:rsidRPr="00296CFA">
              <w:rPr>
                <w:rStyle w:val="Strong"/>
                <w:rFonts w:ascii="Times New Roman" w:hAnsi="Times New Roman" w:cs="Times New Roman"/>
                <w:sz w:val="24"/>
                <w:szCs w:val="24"/>
                <w:lang w:val="lt-LT"/>
              </w:rPr>
              <w:t>2–5 dalyse ir 41</w:t>
            </w:r>
            <w:r w:rsidRPr="00296CFA">
              <w:rPr>
                <w:rFonts w:ascii="Times New Roman" w:hAnsi="Times New Roman" w:cs="Times New Roman"/>
                <w:sz w:val="24"/>
                <w:szCs w:val="24"/>
                <w:lang w:val="lt-LT"/>
              </w:rPr>
              <w:t> straipsnyje nustatytus apribojimus.</w:t>
            </w:r>
          </w:p>
          <w:p w14:paraId="37EE4671" w14:textId="77777777" w:rsidR="00847BFE" w:rsidRPr="00847BFE" w:rsidRDefault="00847BFE" w:rsidP="00847BFE">
            <w:pPr>
              <w:pStyle w:val="NormalWeb"/>
              <w:jc w:val="both"/>
            </w:pPr>
            <w:r w:rsidRPr="00847BFE">
              <w:t>Vadovaujantis Bendrosios išimties reglamentu, atsiranda interpretacijos spraga, kad pvz.</w:t>
            </w:r>
            <w:r>
              <w:t>,</w:t>
            </w:r>
            <w:r w:rsidRPr="00847BFE">
              <w:t xml:space="preserve"> Žuvies apdirbimo sektorius gali dalyvauti projekte, jeigu diegia inovacijas. Šį aspektą paremia informacija iš "Oslo vadovo", kad </w:t>
            </w:r>
            <w:proofErr w:type="spellStart"/>
            <w:r w:rsidRPr="00847BFE">
              <w:t>inovatyvūs</w:t>
            </w:r>
            <w:proofErr w:type="spellEnd"/>
            <w:r w:rsidRPr="00847BFE">
              <w:t xml:space="preserve"> žalios energijos sprendimai (pvz.</w:t>
            </w:r>
            <w:r>
              <w:t>,</w:t>
            </w:r>
            <w:r w:rsidRPr="00847BFE">
              <w:t xml:space="preserve"> itin kokybiški saulės energijos sprendimai) yra inovacija. Tačiau iš LVPA (Lietuvos Verslo Paramos Agentūra) buvo gautas atsakymas, kad Atsinaujinantys energijos išteklių sprendimai nėra inovacija ir išimtimi vadovautis negalima, tačiau nenurodoma, kada galima ir </w:t>
            </w:r>
            <w:r w:rsidRPr="00847BFE">
              <w:lastRenderedPageBreak/>
              <w:t>kada negalima vadovautis šia išimtimi. </w:t>
            </w:r>
          </w:p>
          <w:p w14:paraId="4B113B63" w14:textId="77777777" w:rsidR="00847BFE" w:rsidRPr="00847BFE" w:rsidRDefault="00847BFE" w:rsidP="00847BFE">
            <w:pPr>
              <w:pStyle w:val="NormalWeb"/>
              <w:spacing w:before="0" w:beforeAutospacing="0" w:after="0" w:afterAutospacing="0"/>
              <w:jc w:val="both"/>
            </w:pPr>
            <w:r w:rsidRPr="00847BFE">
              <w:t xml:space="preserve">Remiantis šiais punktais, norėčiau prisidėti prie Priemonės Aprašo kokybės gerinimo ir </w:t>
            </w:r>
            <w:r w:rsidRPr="00847BFE">
              <w:rPr>
                <w:b/>
              </w:rPr>
              <w:t>pasiūlyti</w:t>
            </w:r>
            <w:r w:rsidRPr="00847BFE">
              <w:t>:</w:t>
            </w:r>
          </w:p>
          <w:p w14:paraId="6F2012BD" w14:textId="77777777" w:rsidR="00847BFE" w:rsidRPr="00847BFE" w:rsidRDefault="00847BFE" w:rsidP="00847BFE">
            <w:pPr>
              <w:pStyle w:val="NormalWeb"/>
              <w:spacing w:before="0" w:beforeAutospacing="0" w:after="0" w:afterAutospacing="0"/>
              <w:jc w:val="both"/>
            </w:pPr>
            <w:r w:rsidRPr="00847BFE">
              <w:t>a) taikyti išimties galimybę Žuvies apdirbimo sektoriui ir traktuoti AEI kaip inovaciją, galimai nustatant tam tikrus reikalavimus (pvz. nurodant AEI sektorius: saulės ir vėjo energiją). </w:t>
            </w:r>
          </w:p>
          <w:p w14:paraId="3C7BCB54" w14:textId="77777777" w:rsidR="00847BFE" w:rsidRPr="00463562" w:rsidRDefault="00847BFE" w:rsidP="00847BFE">
            <w:pPr>
              <w:widowControl w:val="0"/>
              <w:suppressAutoHyphens/>
              <w:spacing w:after="0" w:line="240" w:lineRule="auto"/>
              <w:ind w:left="30"/>
              <w:jc w:val="both"/>
              <w:rPr>
                <w:rFonts w:ascii="Times New Roman" w:hAnsi="Times New Roman" w:cs="Times New Roman"/>
                <w:sz w:val="24"/>
                <w:szCs w:val="24"/>
                <w:lang w:val="lt-LT"/>
              </w:rPr>
            </w:pPr>
            <w:r w:rsidRPr="00296CFA">
              <w:rPr>
                <w:rFonts w:ascii="Times New Roman" w:hAnsi="Times New Roman" w:cs="Times New Roman"/>
                <w:sz w:val="24"/>
                <w:szCs w:val="24"/>
                <w:lang w:val="lt-LT"/>
              </w:rPr>
              <w:t>b) suteikti galimybę paramą gauti daugiau įmonių sektoriuose, kurie iki šiol nebuvo tinkami, atskiriant AEI projektą nuo gamybos srities, kadangi Priemonės idėja yra mažinti CO2, skatinti ekologiškumą, tačiau tokie sektoriai kaip Žuvies produktų gamyba, mėsos produktų gamyba yra eliminuojami, nors kitos priemonės šiuo metu nėra aktyvios ir šios pramonės šakos diskriminuojamos dėl galimybės prisidėti prie energetinės nepriklausomybės, ekologiškumo skatinimo.</w:t>
            </w:r>
            <w:r w:rsidRPr="00296CFA">
              <w:rPr>
                <w:rFonts w:ascii="Verdana" w:hAnsi="Verdana"/>
                <w:sz w:val="20"/>
                <w:szCs w:val="20"/>
                <w:lang w:val="lt-LT"/>
              </w:rPr>
              <w:t> </w:t>
            </w:r>
          </w:p>
        </w:tc>
        <w:tc>
          <w:tcPr>
            <w:tcW w:w="4252" w:type="dxa"/>
          </w:tcPr>
          <w:p w14:paraId="74343A4B" w14:textId="77777777" w:rsidR="00847BFE" w:rsidRDefault="009C21AD" w:rsidP="004E3020">
            <w:pPr>
              <w:spacing w:after="0" w:line="240" w:lineRule="auto"/>
              <w:jc w:val="both"/>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lastRenderedPageBreak/>
              <w:t>Neatsižvelgta.</w:t>
            </w:r>
          </w:p>
          <w:p w14:paraId="12AD34DA" w14:textId="77777777" w:rsidR="009C21AD" w:rsidRPr="00296CFA" w:rsidRDefault="009C21AD" w:rsidP="00975B3E">
            <w:pPr>
              <w:spacing w:after="0" w:line="240" w:lineRule="auto"/>
              <w:jc w:val="both"/>
              <w:rPr>
                <w:rFonts w:ascii="Times New Roman" w:hAnsi="Times New Roman"/>
                <w:sz w:val="24"/>
                <w:szCs w:val="24"/>
                <w:lang w:val="lt-LT"/>
              </w:rPr>
            </w:pPr>
            <w:r>
              <w:rPr>
                <w:rFonts w:ascii="Times New Roman" w:hAnsi="Times New Roman" w:cs="Times New Roman"/>
                <w:bCs/>
                <w:sz w:val="24"/>
                <w:szCs w:val="24"/>
                <w:lang w:val="lt-LT" w:eastAsia="lt-LT"/>
              </w:rPr>
              <w:t xml:space="preserve">Pagal priemonę valstybės pagalba teikiama </w:t>
            </w:r>
            <w:r w:rsidR="00975B3E">
              <w:rPr>
                <w:rFonts w:ascii="Times New Roman" w:hAnsi="Times New Roman" w:cs="Times New Roman"/>
                <w:bCs/>
                <w:sz w:val="24"/>
                <w:szCs w:val="24"/>
                <w:lang w:val="lt-LT" w:eastAsia="lt-LT"/>
              </w:rPr>
              <w:t>vadovaujantis</w:t>
            </w:r>
            <w:r>
              <w:rPr>
                <w:rFonts w:ascii="Times New Roman" w:hAnsi="Times New Roman" w:cs="Times New Roman"/>
                <w:bCs/>
                <w:sz w:val="24"/>
                <w:szCs w:val="24"/>
                <w:lang w:val="lt-LT" w:eastAsia="lt-LT"/>
              </w:rPr>
              <w:t xml:space="preserve"> </w:t>
            </w:r>
            <w:r w:rsidRPr="00296CFA">
              <w:rPr>
                <w:rFonts w:ascii="Times New Roman" w:hAnsi="Times New Roman"/>
                <w:sz w:val="24"/>
                <w:szCs w:val="24"/>
                <w:lang w:val="lt-LT"/>
              </w:rPr>
              <w:t xml:space="preserve">2014 m. birželio 17 d. </w:t>
            </w:r>
            <w:r w:rsidR="00975B3E" w:rsidRPr="00296CFA">
              <w:rPr>
                <w:rFonts w:ascii="Times New Roman" w:hAnsi="Times New Roman"/>
                <w:sz w:val="24"/>
                <w:szCs w:val="24"/>
                <w:lang w:val="lt-LT"/>
              </w:rPr>
              <w:t>Komisijos reglamento</w:t>
            </w:r>
            <w:r w:rsidRPr="00296CFA">
              <w:rPr>
                <w:rFonts w:ascii="Times New Roman" w:hAnsi="Times New Roman"/>
                <w:sz w:val="24"/>
                <w:szCs w:val="24"/>
                <w:lang w:val="lt-LT"/>
              </w:rPr>
              <w:t xml:space="preserve"> (ES) Nr. 651/2014, kuriuo tam tikrų kategorijų pagalba skelbiama suderinama su vidaus rinka taikant Sutarties 107 ir 108 straipsnius (OL 2014 L 187, p. 1) </w:t>
            </w:r>
            <w:r w:rsidR="00975B3E" w:rsidRPr="00296CFA">
              <w:rPr>
                <w:rFonts w:ascii="Times New Roman" w:hAnsi="Times New Roman"/>
                <w:sz w:val="24"/>
                <w:szCs w:val="24"/>
                <w:lang w:val="lt-LT"/>
              </w:rPr>
              <w:t>(toliau – Bendrasis bendrosios išimties reglamentas) 41 straipsnio nuostatomis. Projektų finansavimo sąlygų aprašo 13 punktas numato, kad “</w:t>
            </w:r>
            <w:r w:rsidR="00975B3E" w:rsidRPr="00296CFA">
              <w:rPr>
                <w:rFonts w:ascii="Times New Roman" w:hAnsi="Times New Roman"/>
                <w:i/>
                <w:sz w:val="24"/>
                <w:szCs w:val="24"/>
                <w:lang w:val="lt-LT"/>
              </w:rPr>
              <w:t xml:space="preserve">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w:t>
            </w:r>
            <w:r w:rsidR="00975B3E" w:rsidRPr="00296CFA">
              <w:rPr>
                <w:rFonts w:ascii="Times New Roman" w:hAnsi="Times New Roman"/>
                <w:i/>
                <w:sz w:val="24"/>
                <w:szCs w:val="24"/>
                <w:lang w:val="lt-LT"/>
              </w:rPr>
              <w:lastRenderedPageBreak/>
              <w:t>susijusių nuostatų, kuriuo panaikinamas Reglamentas (EB) Nr. 1080/2006 (OL 2013 L 347, p. 289), 3 straipsnio 3 dalyje nustatytus atvejus, Bendrojo bendrosios išimties reglamento 1 straipsnio 2–5 dalyse ir 41 straipsnyje nustatytus apribojimus.</w:t>
            </w:r>
            <w:r w:rsidR="00975B3E" w:rsidRPr="00296CFA">
              <w:rPr>
                <w:rFonts w:ascii="Times New Roman" w:hAnsi="Times New Roman"/>
                <w:sz w:val="24"/>
                <w:szCs w:val="24"/>
                <w:lang w:val="lt-LT"/>
              </w:rPr>
              <w:t>”</w:t>
            </w:r>
          </w:p>
          <w:p w14:paraId="19D14E5D" w14:textId="77777777" w:rsidR="00975B3E" w:rsidRPr="00975B3E" w:rsidRDefault="00975B3E" w:rsidP="00975B3E">
            <w:pPr>
              <w:spacing w:after="0" w:line="240" w:lineRule="auto"/>
              <w:jc w:val="both"/>
              <w:rPr>
                <w:rFonts w:ascii="Times New Roman" w:hAnsi="Times New Roman" w:cs="Times New Roman"/>
                <w:bCs/>
                <w:sz w:val="24"/>
                <w:szCs w:val="24"/>
                <w:lang w:val="lt-LT" w:eastAsia="lt-LT"/>
              </w:rPr>
            </w:pPr>
            <w:r w:rsidRPr="00975B3E">
              <w:rPr>
                <w:rFonts w:ascii="Times New Roman" w:hAnsi="Times New Roman" w:cs="Times New Roman"/>
                <w:bCs/>
                <w:sz w:val="24"/>
                <w:szCs w:val="24"/>
                <w:lang w:val="lt-LT" w:eastAsia="lt-LT"/>
              </w:rPr>
              <w:t>Bendrojo bendrosios i</w:t>
            </w:r>
            <w:r>
              <w:rPr>
                <w:rFonts w:ascii="Times New Roman" w:hAnsi="Times New Roman" w:cs="Times New Roman"/>
                <w:bCs/>
                <w:sz w:val="24"/>
                <w:szCs w:val="24"/>
                <w:lang w:val="lt-LT" w:eastAsia="lt-LT"/>
              </w:rPr>
              <w:t xml:space="preserve">šimties reglamento 1 straipsnio 3 </w:t>
            </w:r>
            <w:r w:rsidRPr="00975B3E">
              <w:rPr>
                <w:rFonts w:ascii="Times New Roman" w:hAnsi="Times New Roman" w:cs="Times New Roman"/>
                <w:bCs/>
                <w:sz w:val="24"/>
                <w:szCs w:val="24"/>
                <w:lang w:val="lt-LT" w:eastAsia="lt-LT"/>
              </w:rPr>
              <w:t>d</w:t>
            </w:r>
            <w:r w:rsidRPr="00975B3E">
              <w:rPr>
                <w:rFonts w:ascii="Times New Roman" w:hAnsi="Times New Roman" w:cs="Times New Roman"/>
                <w:sz w:val="24"/>
                <w:szCs w:val="24"/>
                <w:lang w:val="lt-LT" w:eastAsia="lt-LT"/>
              </w:rPr>
              <w:t>alyje</w:t>
            </w:r>
            <w:r>
              <w:rPr>
                <w:rFonts w:ascii="Times New Roman" w:hAnsi="Times New Roman" w:cs="Times New Roman"/>
                <w:sz w:val="24"/>
                <w:szCs w:val="24"/>
                <w:lang w:val="lt-LT" w:eastAsia="lt-LT"/>
              </w:rPr>
              <w:t xml:space="preserve"> nurodyta išimtis </w:t>
            </w:r>
            <w:r w:rsidRPr="00975B3E">
              <w:rPr>
                <w:rFonts w:ascii="Times New Roman" w:hAnsi="Times New Roman" w:cs="Times New Roman"/>
                <w:i/>
                <w:sz w:val="24"/>
                <w:szCs w:val="24"/>
                <w:lang w:val="lt-LT" w:eastAsia="lt-LT"/>
              </w:rPr>
              <w:t>inovacijų pagalbai MVĮ</w:t>
            </w:r>
            <w:r>
              <w:rPr>
                <w:rFonts w:ascii="Times New Roman" w:hAnsi="Times New Roman" w:cs="Times New Roman"/>
                <w:i/>
                <w:sz w:val="24"/>
                <w:szCs w:val="24"/>
                <w:lang w:val="lt-LT" w:eastAsia="lt-LT"/>
              </w:rPr>
              <w:t xml:space="preserve"> </w:t>
            </w:r>
            <w:r>
              <w:rPr>
                <w:rFonts w:ascii="Times New Roman" w:hAnsi="Times New Roman" w:cs="Times New Roman"/>
                <w:sz w:val="24"/>
                <w:szCs w:val="24"/>
                <w:lang w:val="lt-LT" w:eastAsia="lt-LT"/>
              </w:rPr>
              <w:t xml:space="preserve">taikoma reglamento 28 straipsniui. </w:t>
            </w:r>
          </w:p>
          <w:p w14:paraId="0DB7FDFC" w14:textId="77777777" w:rsidR="00975B3E" w:rsidRPr="00296CFA" w:rsidRDefault="00975B3E" w:rsidP="00975B3E">
            <w:pPr>
              <w:spacing w:after="0" w:line="240" w:lineRule="auto"/>
              <w:jc w:val="both"/>
              <w:rPr>
                <w:rFonts w:ascii="Times New Roman" w:hAnsi="Times New Roman"/>
                <w:sz w:val="24"/>
                <w:szCs w:val="24"/>
                <w:lang w:val="lt-LT"/>
              </w:rPr>
            </w:pPr>
          </w:p>
        </w:tc>
      </w:tr>
      <w:tr w:rsidR="005D325B" w:rsidRPr="00BF2C68" w14:paraId="154EDB0F" w14:textId="77777777" w:rsidTr="007E5774">
        <w:trPr>
          <w:trHeight w:val="711"/>
        </w:trPr>
        <w:tc>
          <w:tcPr>
            <w:tcW w:w="709" w:type="dxa"/>
            <w:shd w:val="clear" w:color="auto" w:fill="D9D9D9" w:themeFill="background1" w:themeFillShade="D9"/>
          </w:tcPr>
          <w:p w14:paraId="599EC897" w14:textId="77777777" w:rsidR="005D325B" w:rsidRPr="007E5774" w:rsidRDefault="005D325B" w:rsidP="007E5774">
            <w:pPr>
              <w:spacing w:after="0" w:line="240" w:lineRule="auto"/>
              <w:jc w:val="center"/>
              <w:rPr>
                <w:rFonts w:ascii="Times New Roman" w:hAnsi="Times New Roman" w:cs="Times New Roman"/>
                <w:b/>
                <w:bCs/>
                <w:sz w:val="24"/>
                <w:szCs w:val="24"/>
                <w:lang w:val="lt-LT" w:eastAsia="lt-LT"/>
              </w:rPr>
            </w:pPr>
          </w:p>
        </w:tc>
        <w:tc>
          <w:tcPr>
            <w:tcW w:w="1446" w:type="dxa"/>
            <w:shd w:val="clear" w:color="auto" w:fill="D9D9D9" w:themeFill="background1" w:themeFillShade="D9"/>
          </w:tcPr>
          <w:p w14:paraId="3B822EAF" w14:textId="77777777" w:rsidR="005D325B" w:rsidRPr="007E5774" w:rsidRDefault="005D325B" w:rsidP="007E5774">
            <w:pPr>
              <w:widowControl w:val="0"/>
              <w:suppressAutoHyphens/>
              <w:spacing w:after="0" w:line="240" w:lineRule="auto"/>
              <w:ind w:left="-817"/>
              <w:jc w:val="center"/>
              <w:rPr>
                <w:rFonts w:ascii="Times New Roman" w:hAnsi="Times New Roman" w:cs="Times New Roman"/>
                <w:sz w:val="24"/>
                <w:szCs w:val="24"/>
                <w:lang w:val="lt-LT"/>
              </w:rPr>
            </w:pPr>
          </w:p>
        </w:tc>
        <w:tc>
          <w:tcPr>
            <w:tcW w:w="7938" w:type="dxa"/>
            <w:shd w:val="clear" w:color="auto" w:fill="D9D9D9" w:themeFill="background1" w:themeFillShade="D9"/>
          </w:tcPr>
          <w:p w14:paraId="0C45C3A6" w14:textId="77777777" w:rsidR="007E5774" w:rsidRPr="00296CFA" w:rsidRDefault="007E5774" w:rsidP="007E5774">
            <w:pPr>
              <w:tabs>
                <w:tab w:val="left" w:pos="0"/>
                <w:tab w:val="left" w:pos="1843"/>
              </w:tabs>
              <w:spacing w:after="0" w:line="240" w:lineRule="auto"/>
              <w:jc w:val="center"/>
              <w:rPr>
                <w:rFonts w:ascii="Times New Roman" w:hAnsi="Times New Roman" w:cs="Times New Roman"/>
                <w:b/>
                <w:sz w:val="28"/>
                <w:szCs w:val="28"/>
                <w:lang w:val="lt-LT"/>
              </w:rPr>
            </w:pPr>
            <w:r w:rsidRPr="00296CFA">
              <w:rPr>
                <w:rFonts w:ascii="Times New Roman" w:hAnsi="Times New Roman" w:cs="Times New Roman"/>
                <w:b/>
                <w:sz w:val="28"/>
                <w:szCs w:val="28"/>
                <w:lang w:val="lt-LT"/>
              </w:rPr>
              <w:t>Lietuvos prekybos, pramonės ir amatų rūmų asociacija;</w:t>
            </w:r>
          </w:p>
          <w:p w14:paraId="6B6F6323" w14:textId="77777777" w:rsidR="005D325B" w:rsidRPr="007E5774" w:rsidRDefault="007E5774" w:rsidP="007E5774">
            <w:pPr>
              <w:tabs>
                <w:tab w:val="left" w:pos="0"/>
                <w:tab w:val="left" w:pos="1843"/>
              </w:tabs>
              <w:spacing w:after="0" w:line="240" w:lineRule="auto"/>
              <w:jc w:val="center"/>
              <w:rPr>
                <w:rFonts w:ascii="Times New Roman" w:hAnsi="Times New Roman" w:cs="Times New Roman"/>
                <w:sz w:val="24"/>
                <w:szCs w:val="24"/>
              </w:rPr>
            </w:pPr>
            <w:r w:rsidRPr="007E5774">
              <w:rPr>
                <w:rFonts w:ascii="Times New Roman" w:hAnsi="Times New Roman" w:cs="Times New Roman"/>
                <w:b/>
                <w:sz w:val="28"/>
                <w:szCs w:val="28"/>
              </w:rPr>
              <w:t>UAB “</w:t>
            </w:r>
            <w:proofErr w:type="spellStart"/>
            <w:r w:rsidRPr="007E5774">
              <w:rPr>
                <w:rFonts w:ascii="Times New Roman" w:hAnsi="Times New Roman" w:cs="Times New Roman"/>
                <w:b/>
                <w:sz w:val="28"/>
                <w:szCs w:val="28"/>
              </w:rPr>
              <w:t>Lietpak</w:t>
            </w:r>
            <w:proofErr w:type="spellEnd"/>
            <w:r w:rsidRPr="007E5774">
              <w:rPr>
                <w:rFonts w:ascii="Times New Roman" w:hAnsi="Times New Roman" w:cs="Times New Roman"/>
                <w:b/>
                <w:sz w:val="28"/>
                <w:szCs w:val="28"/>
              </w:rPr>
              <w:t>”</w:t>
            </w:r>
          </w:p>
        </w:tc>
        <w:tc>
          <w:tcPr>
            <w:tcW w:w="4252" w:type="dxa"/>
            <w:shd w:val="clear" w:color="auto" w:fill="D9D9D9" w:themeFill="background1" w:themeFillShade="D9"/>
          </w:tcPr>
          <w:p w14:paraId="2B3B1985" w14:textId="77777777" w:rsidR="005D325B" w:rsidRPr="007E5774" w:rsidRDefault="005D325B" w:rsidP="004E3020">
            <w:pPr>
              <w:spacing w:after="0" w:line="240" w:lineRule="auto"/>
              <w:jc w:val="both"/>
              <w:rPr>
                <w:rFonts w:ascii="Times New Roman" w:hAnsi="Times New Roman" w:cs="Times New Roman"/>
                <w:bCs/>
                <w:sz w:val="24"/>
                <w:szCs w:val="24"/>
                <w:lang w:val="lt-LT" w:eastAsia="lt-LT"/>
              </w:rPr>
            </w:pPr>
          </w:p>
        </w:tc>
      </w:tr>
      <w:tr w:rsidR="00911381" w:rsidRPr="00BF2C68" w14:paraId="4FBE82C1" w14:textId="77777777" w:rsidTr="005D325B">
        <w:trPr>
          <w:trHeight w:val="711"/>
        </w:trPr>
        <w:tc>
          <w:tcPr>
            <w:tcW w:w="709" w:type="dxa"/>
          </w:tcPr>
          <w:p w14:paraId="0D369CD4" w14:textId="77777777" w:rsidR="00911381" w:rsidRDefault="00911381" w:rsidP="00911381">
            <w:pPr>
              <w:spacing w:after="0" w:line="240" w:lineRule="auto"/>
              <w:jc w:val="center"/>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4.</w:t>
            </w:r>
          </w:p>
        </w:tc>
        <w:tc>
          <w:tcPr>
            <w:tcW w:w="1446" w:type="dxa"/>
          </w:tcPr>
          <w:p w14:paraId="032B2458" w14:textId="77777777" w:rsidR="00911381" w:rsidRPr="00911381" w:rsidRDefault="00911381" w:rsidP="00911381">
            <w:pPr>
              <w:jc w:val="both"/>
              <w:rPr>
                <w:rFonts w:ascii="Times New Roman" w:hAnsi="Times New Roman" w:cs="Times New Roman"/>
                <w:sz w:val="24"/>
                <w:szCs w:val="24"/>
              </w:rPr>
            </w:pPr>
            <w:r w:rsidRPr="00911381">
              <w:rPr>
                <w:rFonts w:ascii="Times New Roman" w:hAnsi="Times New Roman" w:cs="Times New Roman"/>
                <w:sz w:val="24"/>
                <w:szCs w:val="24"/>
              </w:rPr>
              <w:t>9.</w:t>
            </w:r>
          </w:p>
        </w:tc>
        <w:tc>
          <w:tcPr>
            <w:tcW w:w="7938" w:type="dxa"/>
          </w:tcPr>
          <w:p w14:paraId="291E07B5" w14:textId="77777777" w:rsidR="00911381" w:rsidRPr="00911381" w:rsidRDefault="00911381" w:rsidP="00911381">
            <w:pPr>
              <w:jc w:val="both"/>
              <w:rPr>
                <w:rFonts w:ascii="Times New Roman" w:hAnsi="Times New Roman" w:cs="Times New Roman"/>
                <w:sz w:val="24"/>
                <w:szCs w:val="24"/>
              </w:rPr>
            </w:pPr>
            <w:r w:rsidRPr="00911381">
              <w:rPr>
                <w:rFonts w:ascii="Times New Roman" w:hAnsi="Times New Roman" w:cs="Times New Roman"/>
                <w:sz w:val="24"/>
                <w:szCs w:val="24"/>
              </w:rPr>
              <w:t xml:space="preserve">„9. </w:t>
            </w:r>
            <w:proofErr w:type="spellStart"/>
            <w:r w:rsidRPr="00911381">
              <w:rPr>
                <w:rFonts w:ascii="Times New Roman" w:hAnsi="Times New Roman" w:cs="Times New Roman"/>
                <w:sz w:val="24"/>
                <w:szCs w:val="24"/>
              </w:rPr>
              <w:t>Priemonės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tikslas</w:t>
            </w:r>
            <w:proofErr w:type="spellEnd"/>
            <w:r w:rsidRPr="00911381">
              <w:rPr>
                <w:rFonts w:ascii="Times New Roman" w:hAnsi="Times New Roman" w:cs="Times New Roman"/>
                <w:sz w:val="24"/>
                <w:szCs w:val="24"/>
              </w:rPr>
              <w:t xml:space="preserve"> – </w:t>
            </w:r>
            <w:proofErr w:type="spellStart"/>
            <w:r w:rsidRPr="00911381">
              <w:rPr>
                <w:rFonts w:ascii="Times New Roman" w:hAnsi="Times New Roman" w:cs="Times New Roman"/>
                <w:sz w:val="24"/>
                <w:szCs w:val="24"/>
              </w:rPr>
              <w:t>sumažinti</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energijos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vartojimo</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intensyvumą</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pramonės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įmonėse</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didinant</w:t>
            </w:r>
            <w:proofErr w:type="spellEnd"/>
            <w:r w:rsidRPr="00911381">
              <w:rPr>
                <w:rFonts w:ascii="Times New Roman" w:hAnsi="Times New Roman" w:cs="Times New Roman"/>
                <w:sz w:val="24"/>
                <w:szCs w:val="24"/>
              </w:rPr>
              <w:t xml:space="preserve"> AEI </w:t>
            </w:r>
            <w:proofErr w:type="spellStart"/>
            <w:r w:rsidRPr="00911381">
              <w:rPr>
                <w:rFonts w:ascii="Times New Roman" w:hAnsi="Times New Roman" w:cs="Times New Roman"/>
                <w:sz w:val="24"/>
                <w:szCs w:val="24"/>
              </w:rPr>
              <w:t>gamybą</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ir</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vartojimą</w:t>
            </w:r>
            <w:proofErr w:type="spellEnd"/>
            <w:proofErr w:type="gramStart"/>
            <w:r w:rsidRPr="00911381">
              <w:rPr>
                <w:rFonts w:ascii="Times New Roman" w:hAnsi="Times New Roman" w:cs="Times New Roman"/>
                <w:sz w:val="24"/>
                <w:szCs w:val="24"/>
              </w:rPr>
              <w:t>.“</w:t>
            </w:r>
            <w:proofErr w:type="gramEnd"/>
          </w:p>
          <w:p w14:paraId="001A6607" w14:textId="77777777" w:rsidR="00911381" w:rsidRPr="00911381" w:rsidRDefault="00911381" w:rsidP="00911381">
            <w:pPr>
              <w:jc w:val="both"/>
              <w:rPr>
                <w:rFonts w:ascii="Times New Roman" w:hAnsi="Times New Roman" w:cs="Times New Roman"/>
                <w:sz w:val="24"/>
                <w:szCs w:val="24"/>
              </w:rPr>
            </w:pPr>
            <w:proofErr w:type="spellStart"/>
            <w:r w:rsidRPr="00911381">
              <w:rPr>
                <w:rFonts w:ascii="Times New Roman" w:hAnsi="Times New Roman" w:cs="Times New Roman"/>
                <w:sz w:val="24"/>
                <w:szCs w:val="24"/>
              </w:rPr>
              <w:t>Atsižvelgus</w:t>
            </w:r>
            <w:proofErr w:type="spellEnd"/>
            <w:r w:rsidRPr="00911381">
              <w:rPr>
                <w:rFonts w:ascii="Times New Roman" w:hAnsi="Times New Roman" w:cs="Times New Roman"/>
                <w:sz w:val="24"/>
                <w:szCs w:val="24"/>
              </w:rPr>
              <w:t xml:space="preserve"> į </w:t>
            </w:r>
            <w:proofErr w:type="spellStart"/>
            <w:r w:rsidRPr="00911381">
              <w:rPr>
                <w:rFonts w:ascii="Times New Roman" w:hAnsi="Times New Roman" w:cs="Times New Roman"/>
                <w:sz w:val="24"/>
                <w:szCs w:val="24"/>
              </w:rPr>
              <w:t>aplinkybę</w:t>
            </w:r>
            <w:proofErr w:type="spellEnd"/>
            <w:r w:rsidRPr="00911381">
              <w:rPr>
                <w:rFonts w:ascii="Times New Roman" w:hAnsi="Times New Roman" w:cs="Times New Roman"/>
                <w:sz w:val="24"/>
                <w:szCs w:val="24"/>
              </w:rPr>
              <w:t xml:space="preserve">, jog </w:t>
            </w:r>
            <w:proofErr w:type="spellStart"/>
            <w:r w:rsidRPr="00911381">
              <w:rPr>
                <w:rFonts w:ascii="Times New Roman" w:hAnsi="Times New Roman" w:cs="Times New Roman"/>
                <w:sz w:val="24"/>
                <w:szCs w:val="24"/>
              </w:rPr>
              <w:t>elektros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perdavimo</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ir</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skirstymo</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kokybės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gerinimas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yra</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tiesiogiai</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susijęs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su</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energijos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vartojimo</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intensyvumu</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bei</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energijos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efektyvumu</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siūlome</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pakeisti</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aprašo</w:t>
            </w:r>
            <w:proofErr w:type="spellEnd"/>
            <w:r w:rsidRPr="00911381">
              <w:rPr>
                <w:rFonts w:ascii="Times New Roman" w:hAnsi="Times New Roman" w:cs="Times New Roman"/>
                <w:sz w:val="24"/>
                <w:szCs w:val="24"/>
              </w:rPr>
              <w:t xml:space="preserve"> 9 </w:t>
            </w:r>
            <w:proofErr w:type="spellStart"/>
            <w:r w:rsidRPr="00911381">
              <w:rPr>
                <w:rFonts w:ascii="Times New Roman" w:hAnsi="Times New Roman" w:cs="Times New Roman"/>
                <w:sz w:val="24"/>
                <w:szCs w:val="24"/>
              </w:rPr>
              <w:t>punktą</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numatant</w:t>
            </w:r>
            <w:proofErr w:type="spellEnd"/>
            <w:r w:rsidRPr="00911381">
              <w:rPr>
                <w:rFonts w:ascii="Times New Roman" w:hAnsi="Times New Roman" w:cs="Times New Roman"/>
                <w:sz w:val="24"/>
                <w:szCs w:val="24"/>
              </w:rPr>
              <w:t xml:space="preserve">, jog: </w:t>
            </w:r>
          </w:p>
          <w:p w14:paraId="0FC8D8A9" w14:textId="77777777" w:rsidR="00911381" w:rsidRPr="00911381" w:rsidRDefault="00911381" w:rsidP="00911381">
            <w:pPr>
              <w:jc w:val="both"/>
              <w:rPr>
                <w:rFonts w:ascii="Times New Roman" w:hAnsi="Times New Roman" w:cs="Times New Roman"/>
                <w:sz w:val="24"/>
                <w:szCs w:val="24"/>
              </w:rPr>
            </w:pPr>
            <w:r w:rsidRPr="00911381">
              <w:rPr>
                <w:rFonts w:ascii="Times New Roman" w:hAnsi="Times New Roman" w:cs="Times New Roman"/>
                <w:sz w:val="24"/>
                <w:szCs w:val="24"/>
              </w:rPr>
              <w:t xml:space="preserve">„9. </w:t>
            </w:r>
            <w:proofErr w:type="spellStart"/>
            <w:r w:rsidRPr="00911381">
              <w:rPr>
                <w:rFonts w:ascii="Times New Roman" w:hAnsi="Times New Roman" w:cs="Times New Roman"/>
                <w:sz w:val="24"/>
                <w:szCs w:val="24"/>
              </w:rPr>
              <w:t>Priemonės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tikslas</w:t>
            </w:r>
            <w:proofErr w:type="spellEnd"/>
            <w:r w:rsidRPr="00911381">
              <w:rPr>
                <w:rFonts w:ascii="Times New Roman" w:hAnsi="Times New Roman" w:cs="Times New Roman"/>
                <w:sz w:val="24"/>
                <w:szCs w:val="24"/>
              </w:rPr>
              <w:t xml:space="preserve"> – </w:t>
            </w:r>
            <w:proofErr w:type="spellStart"/>
            <w:r w:rsidRPr="00911381">
              <w:rPr>
                <w:rFonts w:ascii="Times New Roman" w:hAnsi="Times New Roman" w:cs="Times New Roman"/>
                <w:sz w:val="24"/>
                <w:szCs w:val="24"/>
              </w:rPr>
              <w:t>sumažinti</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energijos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vartojimo</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intensyvumą</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pramonės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įmonėse</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didinant</w:t>
            </w:r>
            <w:proofErr w:type="spellEnd"/>
            <w:r w:rsidRPr="00911381">
              <w:rPr>
                <w:rFonts w:ascii="Times New Roman" w:hAnsi="Times New Roman" w:cs="Times New Roman"/>
                <w:sz w:val="24"/>
                <w:szCs w:val="24"/>
              </w:rPr>
              <w:t xml:space="preserve"> AEI </w:t>
            </w:r>
            <w:proofErr w:type="spellStart"/>
            <w:r w:rsidRPr="00911381">
              <w:rPr>
                <w:rFonts w:ascii="Times New Roman" w:hAnsi="Times New Roman" w:cs="Times New Roman"/>
                <w:sz w:val="24"/>
                <w:szCs w:val="24"/>
              </w:rPr>
              <w:t>gamybą</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ir</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vartojimą</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b/>
                <w:sz w:val="24"/>
                <w:szCs w:val="24"/>
              </w:rPr>
              <w:t>bei</w:t>
            </w:r>
            <w:proofErr w:type="spellEnd"/>
            <w:r w:rsidRPr="00911381">
              <w:rPr>
                <w:rFonts w:ascii="Times New Roman" w:hAnsi="Times New Roman" w:cs="Times New Roman"/>
                <w:b/>
                <w:sz w:val="24"/>
                <w:szCs w:val="24"/>
              </w:rPr>
              <w:t xml:space="preserve"> </w:t>
            </w:r>
            <w:proofErr w:type="spellStart"/>
            <w:r w:rsidRPr="00911381">
              <w:rPr>
                <w:rFonts w:ascii="Times New Roman" w:hAnsi="Times New Roman" w:cs="Times New Roman"/>
                <w:b/>
                <w:sz w:val="24"/>
                <w:szCs w:val="24"/>
              </w:rPr>
              <w:t>elektros</w:t>
            </w:r>
            <w:proofErr w:type="spellEnd"/>
            <w:r w:rsidRPr="00911381">
              <w:rPr>
                <w:rFonts w:ascii="Times New Roman" w:hAnsi="Times New Roman" w:cs="Times New Roman"/>
                <w:b/>
                <w:sz w:val="24"/>
                <w:szCs w:val="24"/>
              </w:rPr>
              <w:t xml:space="preserve"> </w:t>
            </w:r>
            <w:proofErr w:type="spellStart"/>
            <w:r w:rsidRPr="00911381">
              <w:rPr>
                <w:rFonts w:ascii="Times New Roman" w:hAnsi="Times New Roman" w:cs="Times New Roman"/>
                <w:b/>
                <w:sz w:val="24"/>
                <w:szCs w:val="24"/>
              </w:rPr>
              <w:t>perdavimo</w:t>
            </w:r>
            <w:proofErr w:type="spellEnd"/>
            <w:r w:rsidRPr="00911381">
              <w:rPr>
                <w:rFonts w:ascii="Times New Roman" w:hAnsi="Times New Roman" w:cs="Times New Roman"/>
                <w:b/>
                <w:sz w:val="24"/>
                <w:szCs w:val="24"/>
              </w:rPr>
              <w:t xml:space="preserve"> </w:t>
            </w:r>
            <w:proofErr w:type="spellStart"/>
            <w:r w:rsidRPr="00911381">
              <w:rPr>
                <w:rFonts w:ascii="Times New Roman" w:hAnsi="Times New Roman" w:cs="Times New Roman"/>
                <w:b/>
                <w:sz w:val="24"/>
                <w:szCs w:val="24"/>
              </w:rPr>
              <w:t>ir</w:t>
            </w:r>
            <w:proofErr w:type="spellEnd"/>
            <w:r w:rsidRPr="00911381">
              <w:rPr>
                <w:rFonts w:ascii="Times New Roman" w:hAnsi="Times New Roman" w:cs="Times New Roman"/>
                <w:b/>
                <w:sz w:val="24"/>
                <w:szCs w:val="24"/>
              </w:rPr>
              <w:t xml:space="preserve"> </w:t>
            </w:r>
            <w:proofErr w:type="spellStart"/>
            <w:r w:rsidRPr="00911381">
              <w:rPr>
                <w:rFonts w:ascii="Times New Roman" w:hAnsi="Times New Roman" w:cs="Times New Roman"/>
                <w:b/>
                <w:sz w:val="24"/>
                <w:szCs w:val="24"/>
              </w:rPr>
              <w:t>skirstymo</w:t>
            </w:r>
            <w:proofErr w:type="spellEnd"/>
            <w:r w:rsidRPr="00911381">
              <w:rPr>
                <w:rFonts w:ascii="Times New Roman" w:hAnsi="Times New Roman" w:cs="Times New Roman"/>
                <w:b/>
                <w:sz w:val="24"/>
                <w:szCs w:val="24"/>
              </w:rPr>
              <w:t xml:space="preserve"> </w:t>
            </w:r>
            <w:proofErr w:type="spellStart"/>
            <w:r w:rsidRPr="00911381">
              <w:rPr>
                <w:rFonts w:ascii="Times New Roman" w:hAnsi="Times New Roman" w:cs="Times New Roman"/>
                <w:b/>
                <w:sz w:val="24"/>
                <w:szCs w:val="24"/>
              </w:rPr>
              <w:t>kokybę</w:t>
            </w:r>
            <w:proofErr w:type="spellEnd"/>
            <w:proofErr w:type="gramStart"/>
            <w:r w:rsidRPr="00911381">
              <w:rPr>
                <w:rFonts w:ascii="Times New Roman" w:hAnsi="Times New Roman" w:cs="Times New Roman"/>
                <w:b/>
                <w:sz w:val="24"/>
                <w:szCs w:val="24"/>
              </w:rPr>
              <w:t>.</w:t>
            </w:r>
            <w:r w:rsidRPr="00911381">
              <w:rPr>
                <w:rFonts w:ascii="Times New Roman" w:hAnsi="Times New Roman" w:cs="Times New Roman"/>
                <w:sz w:val="24"/>
                <w:szCs w:val="24"/>
              </w:rPr>
              <w:t>“</w:t>
            </w:r>
            <w:proofErr w:type="gramEnd"/>
          </w:p>
        </w:tc>
        <w:tc>
          <w:tcPr>
            <w:tcW w:w="4252" w:type="dxa"/>
          </w:tcPr>
          <w:p w14:paraId="272C9521" w14:textId="77777777" w:rsidR="00911381" w:rsidRDefault="003800B7" w:rsidP="00911381">
            <w:pPr>
              <w:spacing w:after="0" w:line="240" w:lineRule="auto"/>
              <w:jc w:val="both"/>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t>Neatsižvelgta.</w:t>
            </w:r>
          </w:p>
          <w:p w14:paraId="7461CAA3" w14:textId="77777777" w:rsidR="003800B7" w:rsidRPr="003800B7" w:rsidRDefault="00C31707" w:rsidP="00C31707">
            <w:pPr>
              <w:jc w:val="both"/>
              <w:rPr>
                <w:rFonts w:ascii="Times New Roman" w:hAnsi="Times New Roman" w:cs="Times New Roman"/>
                <w:sz w:val="24"/>
                <w:szCs w:val="24"/>
              </w:rPr>
            </w:pPr>
            <w:proofErr w:type="spellStart"/>
            <w:r>
              <w:rPr>
                <w:rFonts w:ascii="Times New Roman" w:hAnsi="Times New Roman" w:cs="Times New Roman"/>
                <w:sz w:val="24"/>
                <w:szCs w:val="24"/>
              </w:rPr>
              <w:t>Pasiūlymas</w:t>
            </w:r>
            <w:proofErr w:type="spellEnd"/>
            <w:r w:rsidR="003800B7" w:rsidRPr="003800B7">
              <w:rPr>
                <w:rFonts w:ascii="Times New Roman" w:hAnsi="Times New Roman" w:cs="Times New Roman"/>
                <w:sz w:val="24"/>
                <w:szCs w:val="24"/>
              </w:rPr>
              <w:t xml:space="preserve"> </w:t>
            </w:r>
            <w:proofErr w:type="spellStart"/>
            <w:r w:rsidR="003800B7" w:rsidRPr="003800B7">
              <w:rPr>
                <w:rFonts w:ascii="Times New Roman" w:hAnsi="Times New Roman" w:cs="Times New Roman"/>
                <w:sz w:val="24"/>
                <w:szCs w:val="24"/>
              </w:rPr>
              <w:t>neatitinka</w:t>
            </w:r>
            <w:proofErr w:type="spellEnd"/>
            <w:r w:rsidR="003800B7" w:rsidRPr="003800B7">
              <w:rPr>
                <w:rFonts w:ascii="Times New Roman" w:hAnsi="Times New Roman" w:cs="Times New Roman"/>
                <w:sz w:val="24"/>
                <w:szCs w:val="24"/>
              </w:rPr>
              <w:t xml:space="preserve"> </w:t>
            </w:r>
            <w:r w:rsidRPr="00337ECF">
              <w:rPr>
                <w:rFonts w:ascii="Times New Roman" w:eastAsia="Times New Roman" w:hAnsi="Times New Roman"/>
                <w:color w:val="000000" w:themeColor="text1"/>
                <w:sz w:val="24"/>
                <w:szCs w:val="24"/>
              </w:rPr>
              <w:t xml:space="preserve">2014–2020 </w:t>
            </w:r>
            <w:proofErr w:type="spellStart"/>
            <w:r w:rsidRPr="00337ECF">
              <w:rPr>
                <w:rFonts w:ascii="Times New Roman" w:eastAsia="Times New Roman" w:hAnsi="Times New Roman"/>
                <w:color w:val="000000" w:themeColor="text1"/>
                <w:sz w:val="24"/>
                <w:szCs w:val="24"/>
              </w:rPr>
              <w:t>metų</w:t>
            </w:r>
            <w:proofErr w:type="spellEnd"/>
            <w:r w:rsidRPr="00337ECF">
              <w:rPr>
                <w:rFonts w:ascii="Times New Roman" w:eastAsia="Times New Roman" w:hAnsi="Times New Roman"/>
                <w:color w:val="000000" w:themeColor="text1"/>
                <w:sz w:val="24"/>
                <w:szCs w:val="24"/>
              </w:rPr>
              <w:t xml:space="preserve"> </w:t>
            </w:r>
            <w:proofErr w:type="spellStart"/>
            <w:r w:rsidRPr="00337ECF">
              <w:rPr>
                <w:rFonts w:ascii="Times New Roman" w:eastAsia="Times New Roman" w:hAnsi="Times New Roman"/>
                <w:color w:val="000000" w:themeColor="text1"/>
                <w:sz w:val="24"/>
                <w:szCs w:val="24"/>
              </w:rPr>
              <w:t>Europos</w:t>
            </w:r>
            <w:proofErr w:type="spellEnd"/>
            <w:r w:rsidRPr="00337ECF">
              <w:rPr>
                <w:rFonts w:ascii="Times New Roman" w:eastAsia="Times New Roman" w:hAnsi="Times New Roman"/>
                <w:color w:val="000000" w:themeColor="text1"/>
                <w:sz w:val="24"/>
                <w:szCs w:val="24"/>
              </w:rPr>
              <w:t xml:space="preserve"> </w:t>
            </w:r>
            <w:proofErr w:type="spellStart"/>
            <w:r w:rsidRPr="00337ECF">
              <w:rPr>
                <w:rFonts w:ascii="Times New Roman" w:eastAsia="Times New Roman" w:hAnsi="Times New Roman"/>
                <w:color w:val="000000" w:themeColor="text1"/>
                <w:sz w:val="24"/>
                <w:szCs w:val="24"/>
              </w:rPr>
              <w:t>Sąjungos</w:t>
            </w:r>
            <w:proofErr w:type="spellEnd"/>
            <w:r w:rsidRPr="00337ECF">
              <w:rPr>
                <w:rFonts w:ascii="Times New Roman" w:eastAsia="Times New Roman" w:hAnsi="Times New Roman"/>
                <w:color w:val="000000" w:themeColor="text1"/>
                <w:sz w:val="24"/>
                <w:szCs w:val="24"/>
              </w:rPr>
              <w:t xml:space="preserve"> </w:t>
            </w:r>
            <w:proofErr w:type="spellStart"/>
            <w:r w:rsidRPr="00337ECF">
              <w:rPr>
                <w:rFonts w:ascii="Times New Roman" w:eastAsia="Times New Roman" w:hAnsi="Times New Roman"/>
                <w:color w:val="000000" w:themeColor="text1"/>
                <w:sz w:val="24"/>
                <w:szCs w:val="24"/>
              </w:rPr>
              <w:t>fondų</w:t>
            </w:r>
            <w:proofErr w:type="spellEnd"/>
            <w:r w:rsidRPr="00337ECF">
              <w:rPr>
                <w:rFonts w:ascii="Times New Roman" w:eastAsia="Times New Roman" w:hAnsi="Times New Roman"/>
                <w:color w:val="000000" w:themeColor="text1"/>
                <w:sz w:val="24"/>
                <w:szCs w:val="24"/>
              </w:rPr>
              <w:t xml:space="preserve"> </w:t>
            </w:r>
            <w:proofErr w:type="spellStart"/>
            <w:r w:rsidRPr="00337ECF">
              <w:rPr>
                <w:rFonts w:ascii="Times New Roman" w:eastAsia="Times New Roman" w:hAnsi="Times New Roman"/>
                <w:color w:val="000000" w:themeColor="text1"/>
                <w:sz w:val="24"/>
                <w:szCs w:val="24"/>
              </w:rPr>
              <w:t>investicijų</w:t>
            </w:r>
            <w:proofErr w:type="spellEnd"/>
            <w:r w:rsidRPr="00337ECF">
              <w:rPr>
                <w:rFonts w:ascii="Times New Roman" w:eastAsia="Times New Roman" w:hAnsi="Times New Roman"/>
                <w:color w:val="000000" w:themeColor="text1"/>
                <w:sz w:val="24"/>
                <w:szCs w:val="24"/>
              </w:rPr>
              <w:t xml:space="preserve"> </w:t>
            </w:r>
            <w:proofErr w:type="spellStart"/>
            <w:r w:rsidRPr="00337ECF">
              <w:rPr>
                <w:rFonts w:ascii="Times New Roman" w:eastAsia="Times New Roman" w:hAnsi="Times New Roman"/>
                <w:color w:val="000000" w:themeColor="text1"/>
                <w:sz w:val="24"/>
                <w:szCs w:val="24"/>
              </w:rPr>
              <w:t>veiksmų</w:t>
            </w:r>
            <w:proofErr w:type="spellEnd"/>
            <w:r w:rsidRPr="00337ECF">
              <w:rPr>
                <w:rFonts w:ascii="Times New Roman" w:eastAsia="Times New Roman" w:hAnsi="Times New Roman"/>
                <w:color w:val="000000" w:themeColor="text1"/>
                <w:sz w:val="24"/>
                <w:szCs w:val="24"/>
              </w:rPr>
              <w:t xml:space="preserve"> </w:t>
            </w:r>
            <w:proofErr w:type="spellStart"/>
            <w:r w:rsidRPr="00337ECF">
              <w:rPr>
                <w:rFonts w:ascii="Times New Roman" w:eastAsia="Times New Roman" w:hAnsi="Times New Roman"/>
                <w:color w:val="000000" w:themeColor="text1"/>
                <w:sz w:val="24"/>
                <w:szCs w:val="24"/>
              </w:rPr>
              <w:t>programos</w:t>
            </w:r>
            <w:proofErr w:type="spellEnd"/>
            <w:r w:rsidRPr="00337ECF">
              <w:rPr>
                <w:rFonts w:ascii="Times New Roman" w:eastAsia="Times New Roman" w:hAnsi="Times New Roman"/>
                <w:color w:val="000000" w:themeColor="text1"/>
                <w:sz w:val="24"/>
                <w:szCs w:val="24"/>
              </w:rPr>
              <w:t xml:space="preserve"> </w:t>
            </w:r>
            <w:r w:rsidRPr="00C6517B">
              <w:rPr>
                <w:rFonts w:ascii="Times New Roman" w:hAnsi="Times New Roman"/>
                <w:sz w:val="24"/>
                <w:szCs w:val="24"/>
              </w:rPr>
              <w:t>4</w:t>
            </w:r>
            <w:r>
              <w:rPr>
                <w:rFonts w:ascii="Times New Roman" w:hAnsi="Times New Roman"/>
                <w:sz w:val="24"/>
                <w:szCs w:val="24"/>
              </w:rPr>
              <w:t> </w:t>
            </w:r>
            <w:proofErr w:type="spellStart"/>
            <w:r w:rsidRPr="00C6517B">
              <w:rPr>
                <w:rFonts w:ascii="Times New Roman" w:hAnsi="Times New Roman"/>
                <w:sz w:val="24"/>
                <w:szCs w:val="24"/>
              </w:rPr>
              <w:t>prioriteto</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Energijos</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efektyvumo</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ir</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atsinaujinančių</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išteklių</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energijos</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gamybos</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ir</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naudojimo</w:t>
            </w:r>
            <w:proofErr w:type="spellEnd"/>
            <w:r w:rsidRPr="00C6517B">
              <w:rPr>
                <w:rFonts w:ascii="Times New Roman" w:hAnsi="Times New Roman"/>
                <w:sz w:val="24"/>
                <w:szCs w:val="24"/>
              </w:rPr>
              <w:t xml:space="preserve"> </w:t>
            </w:r>
            <w:proofErr w:type="spellStart"/>
            <w:r w:rsidRPr="00C6517B">
              <w:rPr>
                <w:rFonts w:ascii="Times New Roman" w:hAnsi="Times New Roman"/>
                <w:sz w:val="24"/>
                <w:szCs w:val="24"/>
              </w:rPr>
              <w:t>skatinimas</w:t>
            </w:r>
            <w:proofErr w:type="spellEnd"/>
            <w:r w:rsidRPr="00C6517B">
              <w:rPr>
                <w:rFonts w:ascii="Times New Roman" w:hAnsi="Times New Roman"/>
                <w:sz w:val="24"/>
                <w:szCs w:val="24"/>
              </w:rPr>
              <w:t>“</w:t>
            </w:r>
            <w:r w:rsidR="003800B7" w:rsidRPr="00C31707">
              <w:rPr>
                <w:rFonts w:ascii="Times New Roman" w:hAnsi="Times New Roman"/>
                <w:sz w:val="24"/>
                <w:szCs w:val="24"/>
              </w:rPr>
              <w:t xml:space="preserve"> 4.2.1 </w:t>
            </w:r>
            <w:proofErr w:type="spellStart"/>
            <w:r w:rsidRPr="00C31707">
              <w:rPr>
                <w:rFonts w:ascii="Times New Roman" w:hAnsi="Times New Roman"/>
                <w:sz w:val="24"/>
                <w:szCs w:val="24"/>
              </w:rPr>
              <w:t>konkretaus</w:t>
            </w:r>
            <w:proofErr w:type="spellEnd"/>
            <w:r w:rsidRPr="00C31707">
              <w:rPr>
                <w:rFonts w:ascii="Times New Roman" w:hAnsi="Times New Roman"/>
                <w:sz w:val="24"/>
                <w:szCs w:val="24"/>
              </w:rPr>
              <w:t xml:space="preserve"> </w:t>
            </w:r>
            <w:proofErr w:type="spellStart"/>
            <w:r w:rsidR="003800B7" w:rsidRPr="00C31707">
              <w:rPr>
                <w:rFonts w:ascii="Times New Roman" w:hAnsi="Times New Roman"/>
                <w:sz w:val="24"/>
                <w:szCs w:val="24"/>
              </w:rPr>
              <w:t>uždavinio</w:t>
            </w:r>
            <w:proofErr w:type="spellEnd"/>
            <w:r w:rsidRPr="00C31707">
              <w:rPr>
                <w:rFonts w:ascii="Times New Roman" w:hAnsi="Times New Roman"/>
                <w:sz w:val="24"/>
                <w:szCs w:val="24"/>
              </w:rPr>
              <w:t xml:space="preserve"> „</w:t>
            </w:r>
            <w:proofErr w:type="spellStart"/>
            <w:r w:rsidRPr="00C31707">
              <w:rPr>
                <w:rFonts w:ascii="Times New Roman" w:hAnsi="Times New Roman"/>
                <w:sz w:val="24"/>
                <w:szCs w:val="24"/>
              </w:rPr>
              <w:t>Sumažinti</w:t>
            </w:r>
            <w:proofErr w:type="spellEnd"/>
            <w:r w:rsidRPr="00C31707">
              <w:rPr>
                <w:rFonts w:ascii="Times New Roman" w:hAnsi="Times New Roman"/>
                <w:sz w:val="24"/>
                <w:szCs w:val="24"/>
              </w:rPr>
              <w:t xml:space="preserve"> </w:t>
            </w:r>
            <w:proofErr w:type="spellStart"/>
            <w:r w:rsidRPr="00C31707">
              <w:rPr>
                <w:rFonts w:ascii="Times New Roman" w:hAnsi="Times New Roman"/>
                <w:sz w:val="24"/>
                <w:szCs w:val="24"/>
              </w:rPr>
              <w:t>energijos</w:t>
            </w:r>
            <w:proofErr w:type="spellEnd"/>
            <w:r w:rsidRPr="00C31707">
              <w:rPr>
                <w:rFonts w:ascii="Times New Roman" w:hAnsi="Times New Roman"/>
                <w:sz w:val="24"/>
                <w:szCs w:val="24"/>
              </w:rPr>
              <w:t xml:space="preserve"> </w:t>
            </w:r>
            <w:proofErr w:type="spellStart"/>
            <w:r w:rsidRPr="00C31707">
              <w:rPr>
                <w:rFonts w:ascii="Times New Roman" w:hAnsi="Times New Roman"/>
                <w:sz w:val="24"/>
                <w:szCs w:val="24"/>
              </w:rPr>
              <w:t>vartojimo</w:t>
            </w:r>
            <w:proofErr w:type="spellEnd"/>
            <w:r w:rsidRPr="00C31707">
              <w:rPr>
                <w:rFonts w:ascii="Times New Roman" w:hAnsi="Times New Roman"/>
                <w:sz w:val="24"/>
                <w:szCs w:val="24"/>
              </w:rPr>
              <w:t xml:space="preserve"> </w:t>
            </w:r>
            <w:proofErr w:type="spellStart"/>
            <w:r w:rsidRPr="00C31707">
              <w:rPr>
                <w:rFonts w:ascii="Times New Roman" w:hAnsi="Times New Roman"/>
                <w:sz w:val="24"/>
                <w:szCs w:val="24"/>
              </w:rPr>
              <w:t>intensyvumą</w:t>
            </w:r>
            <w:proofErr w:type="spellEnd"/>
            <w:r w:rsidRPr="00C31707">
              <w:rPr>
                <w:rFonts w:ascii="Times New Roman" w:hAnsi="Times New Roman"/>
                <w:sz w:val="24"/>
                <w:szCs w:val="24"/>
              </w:rPr>
              <w:t xml:space="preserve"> </w:t>
            </w:r>
            <w:proofErr w:type="spellStart"/>
            <w:r w:rsidRPr="00C31707">
              <w:rPr>
                <w:rFonts w:ascii="Times New Roman" w:hAnsi="Times New Roman"/>
                <w:sz w:val="24"/>
                <w:szCs w:val="24"/>
              </w:rPr>
              <w:t>pramonės</w:t>
            </w:r>
            <w:proofErr w:type="spellEnd"/>
            <w:r w:rsidRPr="00C31707">
              <w:rPr>
                <w:rFonts w:ascii="Times New Roman" w:hAnsi="Times New Roman"/>
                <w:sz w:val="24"/>
                <w:szCs w:val="24"/>
              </w:rPr>
              <w:t xml:space="preserve"> </w:t>
            </w:r>
            <w:proofErr w:type="spellStart"/>
            <w:r w:rsidRPr="00C31707">
              <w:rPr>
                <w:rFonts w:ascii="Times New Roman" w:hAnsi="Times New Roman"/>
                <w:sz w:val="24"/>
                <w:szCs w:val="24"/>
              </w:rPr>
              <w:t>įmonėse</w:t>
            </w:r>
            <w:proofErr w:type="spellEnd"/>
            <w:r w:rsidRPr="00C31707">
              <w:rPr>
                <w:rFonts w:ascii="Times New Roman" w:hAnsi="Times New Roman"/>
                <w:sz w:val="24"/>
                <w:szCs w:val="24"/>
              </w:rPr>
              <w:t>“</w:t>
            </w:r>
            <w:r w:rsidR="003800B7" w:rsidRPr="00C31707">
              <w:rPr>
                <w:rFonts w:ascii="Times New Roman" w:hAnsi="Times New Roman"/>
                <w:sz w:val="24"/>
                <w:szCs w:val="24"/>
              </w:rPr>
              <w:t xml:space="preserve"> </w:t>
            </w:r>
            <w:proofErr w:type="spellStart"/>
            <w:r w:rsidR="003800B7" w:rsidRPr="00C31707">
              <w:rPr>
                <w:rFonts w:ascii="Times New Roman" w:hAnsi="Times New Roman"/>
                <w:sz w:val="24"/>
                <w:szCs w:val="24"/>
              </w:rPr>
              <w:t>veiklos</w:t>
            </w:r>
            <w:proofErr w:type="spellEnd"/>
            <w:r>
              <w:rPr>
                <w:rFonts w:ascii="Times New Roman" w:hAnsi="Times New Roman"/>
                <w:sz w:val="24"/>
                <w:szCs w:val="24"/>
              </w:rPr>
              <w:t xml:space="preserve"> “</w:t>
            </w:r>
            <w:r w:rsidRPr="00C31707">
              <w:rPr>
                <w:rFonts w:ascii="Times New Roman" w:eastAsia="AngsanaUPC" w:hAnsi="Times New Roman"/>
                <w:bCs/>
                <w:i/>
                <w:iCs/>
                <w:sz w:val="24"/>
                <w:szCs w:val="24"/>
                <w:lang w:eastAsia="lt-LT"/>
              </w:rPr>
              <w:t xml:space="preserve">AIE </w:t>
            </w:r>
            <w:proofErr w:type="spellStart"/>
            <w:r w:rsidRPr="00C31707">
              <w:rPr>
                <w:rFonts w:ascii="Times New Roman" w:eastAsia="AngsanaUPC" w:hAnsi="Times New Roman"/>
                <w:bCs/>
                <w:i/>
                <w:iCs/>
                <w:sz w:val="24"/>
                <w:szCs w:val="24"/>
                <w:lang w:eastAsia="lt-LT"/>
              </w:rPr>
              <w:t>panaudojimas</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pramonės</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įmonėse</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Pagal</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šią</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veiklą</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numatoma</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finansuoti</w:t>
            </w:r>
            <w:proofErr w:type="spellEnd"/>
            <w:r w:rsidRPr="00C31707">
              <w:rPr>
                <w:rFonts w:ascii="Times New Roman" w:eastAsia="AngsanaUPC" w:hAnsi="Times New Roman"/>
                <w:bCs/>
                <w:i/>
                <w:iCs/>
                <w:sz w:val="24"/>
                <w:szCs w:val="24"/>
                <w:lang w:eastAsia="lt-LT"/>
              </w:rPr>
              <w:t xml:space="preserve"> AIE </w:t>
            </w:r>
            <w:proofErr w:type="spellStart"/>
            <w:r w:rsidRPr="00C31707">
              <w:rPr>
                <w:rFonts w:ascii="Times New Roman" w:eastAsia="AngsanaUPC" w:hAnsi="Times New Roman"/>
                <w:bCs/>
                <w:i/>
                <w:iCs/>
                <w:sz w:val="24"/>
                <w:szCs w:val="24"/>
                <w:lang w:eastAsia="lt-LT"/>
              </w:rPr>
              <w:t>naudojančių</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energijos</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gamybos</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pajėgumų</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įrengimą</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naujų</w:t>
            </w:r>
            <w:proofErr w:type="spellEnd"/>
            <w:r w:rsidRPr="00C31707">
              <w:rPr>
                <w:rFonts w:ascii="Times New Roman" w:eastAsia="AngsanaUPC" w:hAnsi="Times New Roman"/>
                <w:bCs/>
                <w:i/>
                <w:iCs/>
                <w:sz w:val="24"/>
                <w:szCs w:val="24"/>
                <w:lang w:eastAsia="lt-LT"/>
              </w:rPr>
              <w:t xml:space="preserve"> AIE </w:t>
            </w:r>
            <w:proofErr w:type="spellStart"/>
            <w:r w:rsidRPr="00C31707">
              <w:rPr>
                <w:rFonts w:ascii="Times New Roman" w:eastAsia="AngsanaUPC" w:hAnsi="Times New Roman"/>
                <w:bCs/>
                <w:i/>
                <w:iCs/>
                <w:sz w:val="24"/>
                <w:szCs w:val="24"/>
                <w:lang w:eastAsia="lt-LT"/>
              </w:rPr>
              <w:t>efektyvesnio</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panaudojimo</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technologijų</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kūrimą</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ir</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diegimą</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pramonės</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įmonėse</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siekiant</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naudoti</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energiją</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pačių</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įmonių</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vidiniams</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poreikiams</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tenkinti</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sudarant</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galimybę</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perteklinę</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energiją</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tiekti</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kitoms</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pramonės</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įmonėms</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ar</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perduoti</w:t>
            </w:r>
            <w:proofErr w:type="spellEnd"/>
            <w:r w:rsidRPr="00C31707">
              <w:rPr>
                <w:rFonts w:ascii="Times New Roman" w:eastAsia="AngsanaUPC" w:hAnsi="Times New Roman"/>
                <w:bCs/>
                <w:i/>
                <w:iCs/>
                <w:sz w:val="24"/>
                <w:szCs w:val="24"/>
                <w:lang w:eastAsia="lt-LT"/>
              </w:rPr>
              <w:t xml:space="preserve"> į </w:t>
            </w:r>
            <w:proofErr w:type="spellStart"/>
            <w:r w:rsidRPr="00C31707">
              <w:rPr>
                <w:rFonts w:ascii="Times New Roman" w:eastAsia="AngsanaUPC" w:hAnsi="Times New Roman"/>
                <w:bCs/>
                <w:i/>
                <w:iCs/>
                <w:sz w:val="24"/>
                <w:szCs w:val="24"/>
                <w:lang w:eastAsia="lt-LT"/>
              </w:rPr>
              <w:t>centralizuotus</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energetinius</w:t>
            </w:r>
            <w:proofErr w:type="spellEnd"/>
            <w:r w:rsidRPr="00C31707">
              <w:rPr>
                <w:rFonts w:ascii="Times New Roman" w:eastAsia="AngsanaUPC" w:hAnsi="Times New Roman"/>
                <w:bCs/>
                <w:i/>
                <w:iCs/>
                <w:sz w:val="24"/>
                <w:szCs w:val="24"/>
                <w:lang w:eastAsia="lt-LT"/>
              </w:rPr>
              <w:t xml:space="preserve"> </w:t>
            </w:r>
            <w:proofErr w:type="spellStart"/>
            <w:r w:rsidRPr="00C31707">
              <w:rPr>
                <w:rFonts w:ascii="Times New Roman" w:eastAsia="AngsanaUPC" w:hAnsi="Times New Roman"/>
                <w:bCs/>
                <w:i/>
                <w:iCs/>
                <w:sz w:val="24"/>
                <w:szCs w:val="24"/>
                <w:lang w:eastAsia="lt-LT"/>
              </w:rPr>
              <w:t>tinklus</w:t>
            </w:r>
            <w:proofErr w:type="spellEnd"/>
            <w:r>
              <w:rPr>
                <w:rFonts w:ascii="Times New Roman" w:hAnsi="Times New Roman"/>
                <w:sz w:val="24"/>
                <w:szCs w:val="24"/>
              </w:rPr>
              <w:t xml:space="preserve">” </w:t>
            </w:r>
            <w:proofErr w:type="spellStart"/>
            <w:r w:rsidR="003800B7" w:rsidRPr="00C31707">
              <w:rPr>
                <w:rFonts w:ascii="Times New Roman" w:hAnsi="Times New Roman"/>
                <w:sz w:val="24"/>
                <w:szCs w:val="24"/>
              </w:rPr>
              <w:t>ir</w:t>
            </w:r>
            <w:proofErr w:type="spellEnd"/>
            <w:r w:rsidR="003800B7" w:rsidRPr="00C31707">
              <w:rPr>
                <w:rFonts w:ascii="Times New Roman" w:hAnsi="Times New Roman"/>
                <w:sz w:val="24"/>
                <w:szCs w:val="24"/>
              </w:rPr>
              <w:t xml:space="preserve"> </w:t>
            </w:r>
            <w:proofErr w:type="spellStart"/>
            <w:r w:rsidR="003800B7" w:rsidRPr="00C31707">
              <w:rPr>
                <w:rFonts w:ascii="Times New Roman" w:hAnsi="Times New Roman"/>
                <w:sz w:val="24"/>
                <w:szCs w:val="24"/>
              </w:rPr>
              <w:t>siekiamo</w:t>
            </w:r>
            <w:proofErr w:type="spellEnd"/>
            <w:r w:rsidR="003800B7" w:rsidRPr="00C31707">
              <w:rPr>
                <w:rFonts w:ascii="Times New Roman" w:hAnsi="Times New Roman"/>
                <w:sz w:val="24"/>
                <w:szCs w:val="24"/>
              </w:rPr>
              <w:t xml:space="preserve"> </w:t>
            </w:r>
            <w:proofErr w:type="spellStart"/>
            <w:r w:rsidR="003800B7" w:rsidRPr="00C31707">
              <w:rPr>
                <w:rFonts w:ascii="Times New Roman" w:hAnsi="Times New Roman"/>
                <w:sz w:val="24"/>
                <w:szCs w:val="24"/>
              </w:rPr>
              <w:t>pokyčio</w:t>
            </w:r>
            <w:proofErr w:type="spellEnd"/>
            <w:r w:rsidR="003800B7" w:rsidRPr="00C31707">
              <w:rPr>
                <w:rFonts w:ascii="Times New Roman" w:hAnsi="Times New Roman"/>
                <w:sz w:val="24"/>
                <w:szCs w:val="24"/>
              </w:rPr>
              <w:t xml:space="preserve">. </w:t>
            </w:r>
            <w:proofErr w:type="spellStart"/>
            <w:r w:rsidR="003800B7" w:rsidRPr="00C31707">
              <w:rPr>
                <w:rFonts w:ascii="Times New Roman" w:hAnsi="Times New Roman"/>
                <w:sz w:val="24"/>
                <w:szCs w:val="24"/>
              </w:rPr>
              <w:t>Taip</w:t>
            </w:r>
            <w:proofErr w:type="spellEnd"/>
            <w:r w:rsidR="003800B7" w:rsidRPr="00C31707">
              <w:rPr>
                <w:rFonts w:ascii="Times New Roman" w:hAnsi="Times New Roman"/>
                <w:sz w:val="24"/>
                <w:szCs w:val="24"/>
              </w:rPr>
              <w:t xml:space="preserve"> pat </w:t>
            </w:r>
            <w:proofErr w:type="spellStart"/>
            <w:r>
              <w:rPr>
                <w:rFonts w:ascii="Times New Roman" w:hAnsi="Times New Roman"/>
                <w:sz w:val="24"/>
                <w:szCs w:val="24"/>
              </w:rPr>
              <w:t>pateiktas</w:t>
            </w:r>
            <w:proofErr w:type="spellEnd"/>
            <w:r>
              <w:rPr>
                <w:rFonts w:ascii="Times New Roman" w:hAnsi="Times New Roman"/>
                <w:sz w:val="24"/>
                <w:szCs w:val="24"/>
              </w:rPr>
              <w:t xml:space="preserve"> </w:t>
            </w:r>
            <w:proofErr w:type="spellStart"/>
            <w:r>
              <w:rPr>
                <w:rFonts w:ascii="Times New Roman" w:hAnsi="Times New Roman"/>
                <w:sz w:val="24"/>
                <w:szCs w:val="24"/>
              </w:rPr>
              <w:t>pasiūlymas</w:t>
            </w:r>
            <w:proofErr w:type="spellEnd"/>
            <w:r>
              <w:rPr>
                <w:rFonts w:ascii="Times New Roman" w:hAnsi="Times New Roman"/>
                <w:sz w:val="24"/>
                <w:szCs w:val="24"/>
              </w:rPr>
              <w:t xml:space="preserve"> </w:t>
            </w:r>
            <w:proofErr w:type="spellStart"/>
            <w:r>
              <w:rPr>
                <w:rFonts w:ascii="Times New Roman" w:hAnsi="Times New Roman"/>
                <w:sz w:val="24"/>
                <w:szCs w:val="24"/>
              </w:rPr>
              <w:t>prieštarauja</w:t>
            </w:r>
            <w:proofErr w:type="spellEnd"/>
            <w:r>
              <w:rPr>
                <w:rFonts w:ascii="Times New Roman" w:hAnsi="Times New Roman"/>
                <w:sz w:val="24"/>
                <w:szCs w:val="24"/>
              </w:rPr>
              <w:t xml:space="preserve"> </w:t>
            </w:r>
            <w:proofErr w:type="spellStart"/>
            <w:r>
              <w:rPr>
                <w:rFonts w:ascii="Times New Roman" w:hAnsi="Times New Roman"/>
                <w:sz w:val="24"/>
                <w:szCs w:val="24"/>
              </w:rPr>
              <w:t>Partnerystės</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sutartyje</w:t>
            </w:r>
            <w:proofErr w:type="spellEnd"/>
            <w:r>
              <w:rPr>
                <w:rFonts w:ascii="Times New Roman" w:hAnsi="Times New Roman"/>
                <w:sz w:val="24"/>
                <w:szCs w:val="24"/>
              </w:rPr>
              <w:t xml:space="preserve"> </w:t>
            </w:r>
            <w:proofErr w:type="spellStart"/>
            <w:r>
              <w:rPr>
                <w:rFonts w:ascii="Times New Roman" w:hAnsi="Times New Roman"/>
                <w:sz w:val="24"/>
                <w:szCs w:val="24"/>
              </w:rPr>
              <w:t>nustatytoms</w:t>
            </w:r>
            <w:proofErr w:type="spellEnd"/>
            <w:r>
              <w:rPr>
                <w:rFonts w:ascii="Times New Roman" w:hAnsi="Times New Roman"/>
                <w:sz w:val="24"/>
                <w:szCs w:val="24"/>
              </w:rPr>
              <w:t xml:space="preserve"> </w:t>
            </w:r>
            <w:proofErr w:type="spellStart"/>
            <w:r>
              <w:rPr>
                <w:rFonts w:ascii="Times New Roman" w:hAnsi="Times New Roman"/>
                <w:sz w:val="24"/>
                <w:szCs w:val="24"/>
              </w:rPr>
              <w:t>takoskyroms</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 xml:space="preserve"> </w:t>
            </w:r>
            <w:proofErr w:type="spellStart"/>
            <w:r>
              <w:rPr>
                <w:rFonts w:ascii="Times New Roman" w:hAnsi="Times New Roman"/>
                <w:sz w:val="24"/>
                <w:szCs w:val="24"/>
              </w:rPr>
              <w:t>Energetikos</w:t>
            </w:r>
            <w:proofErr w:type="spellEnd"/>
            <w:r>
              <w:rPr>
                <w:rFonts w:ascii="Times New Roman" w:hAnsi="Times New Roman"/>
                <w:sz w:val="24"/>
                <w:szCs w:val="24"/>
              </w:rPr>
              <w:t xml:space="preserve"> </w:t>
            </w:r>
            <w:proofErr w:type="spellStart"/>
            <w:r>
              <w:rPr>
                <w:rFonts w:ascii="Times New Roman" w:hAnsi="Times New Roman"/>
                <w:sz w:val="24"/>
                <w:szCs w:val="24"/>
              </w:rPr>
              <w:t>ministerijos</w:t>
            </w:r>
            <w:proofErr w:type="spellEnd"/>
            <w:r w:rsidR="003800B7" w:rsidRPr="00C31707">
              <w:rPr>
                <w:rFonts w:ascii="Times New Roman" w:hAnsi="Times New Roman"/>
                <w:sz w:val="24"/>
                <w:szCs w:val="24"/>
              </w:rPr>
              <w:t xml:space="preserve"> </w:t>
            </w:r>
            <w:proofErr w:type="spellStart"/>
            <w:r w:rsidR="003800B7" w:rsidRPr="00C31707">
              <w:rPr>
                <w:rFonts w:ascii="Times New Roman" w:hAnsi="Times New Roman"/>
                <w:sz w:val="24"/>
                <w:szCs w:val="24"/>
              </w:rPr>
              <w:t>veiklomis</w:t>
            </w:r>
            <w:proofErr w:type="spellEnd"/>
            <w:r w:rsidR="003800B7" w:rsidRPr="00C31707">
              <w:rPr>
                <w:rFonts w:ascii="Times New Roman" w:hAnsi="Times New Roman"/>
                <w:sz w:val="24"/>
                <w:szCs w:val="24"/>
              </w:rPr>
              <w:t>.</w:t>
            </w:r>
          </w:p>
          <w:p w14:paraId="66A7D5B6" w14:textId="77777777" w:rsidR="003800B7" w:rsidRPr="004E3020" w:rsidRDefault="003800B7" w:rsidP="00911381">
            <w:pPr>
              <w:spacing w:after="0" w:line="240" w:lineRule="auto"/>
              <w:jc w:val="both"/>
              <w:rPr>
                <w:rFonts w:ascii="Times New Roman" w:hAnsi="Times New Roman" w:cs="Times New Roman"/>
                <w:bCs/>
                <w:sz w:val="24"/>
                <w:szCs w:val="24"/>
                <w:lang w:val="lt-LT" w:eastAsia="lt-LT"/>
              </w:rPr>
            </w:pPr>
          </w:p>
        </w:tc>
      </w:tr>
      <w:tr w:rsidR="00911381" w:rsidRPr="00BF2C68" w14:paraId="1A8B21A8" w14:textId="77777777" w:rsidTr="00533004">
        <w:trPr>
          <w:trHeight w:val="711"/>
        </w:trPr>
        <w:tc>
          <w:tcPr>
            <w:tcW w:w="709" w:type="dxa"/>
          </w:tcPr>
          <w:p w14:paraId="5AAB0592" w14:textId="77777777" w:rsidR="00911381" w:rsidRDefault="00911381" w:rsidP="00911381">
            <w:pPr>
              <w:spacing w:after="0" w:line="240" w:lineRule="auto"/>
              <w:jc w:val="center"/>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lastRenderedPageBreak/>
              <w:t>5.</w:t>
            </w:r>
          </w:p>
        </w:tc>
        <w:tc>
          <w:tcPr>
            <w:tcW w:w="1446" w:type="dxa"/>
          </w:tcPr>
          <w:p w14:paraId="6E019B9C" w14:textId="77777777" w:rsidR="00911381" w:rsidRPr="00911381" w:rsidRDefault="00911381" w:rsidP="00911381">
            <w:pPr>
              <w:jc w:val="both"/>
              <w:rPr>
                <w:rFonts w:ascii="Times New Roman" w:hAnsi="Times New Roman" w:cs="Times New Roman"/>
                <w:sz w:val="24"/>
                <w:szCs w:val="24"/>
              </w:rPr>
            </w:pPr>
            <w:r w:rsidRPr="00911381">
              <w:rPr>
                <w:rFonts w:ascii="Times New Roman" w:hAnsi="Times New Roman" w:cs="Times New Roman"/>
                <w:sz w:val="24"/>
                <w:szCs w:val="24"/>
              </w:rPr>
              <w:t>10.</w:t>
            </w:r>
          </w:p>
        </w:tc>
        <w:tc>
          <w:tcPr>
            <w:tcW w:w="7938" w:type="dxa"/>
          </w:tcPr>
          <w:p w14:paraId="4EBBAD40" w14:textId="77777777" w:rsidR="00911381" w:rsidRPr="00911381" w:rsidRDefault="00911381" w:rsidP="00911381">
            <w:pPr>
              <w:tabs>
                <w:tab w:val="left" w:pos="1134"/>
              </w:tabs>
              <w:jc w:val="both"/>
              <w:rPr>
                <w:rFonts w:ascii="Times New Roman" w:hAnsi="Times New Roman" w:cs="Times New Roman"/>
                <w:sz w:val="24"/>
                <w:szCs w:val="24"/>
              </w:rPr>
            </w:pPr>
            <w:r w:rsidRPr="00911381">
              <w:rPr>
                <w:rFonts w:ascii="Times New Roman" w:eastAsia="AngsanaUPC" w:hAnsi="Times New Roman" w:cs="Times New Roman"/>
                <w:bCs/>
                <w:sz w:val="24"/>
                <w:szCs w:val="24"/>
              </w:rPr>
              <w:t xml:space="preserve">„10. </w:t>
            </w:r>
            <w:proofErr w:type="spellStart"/>
            <w:r w:rsidRPr="00911381">
              <w:rPr>
                <w:rFonts w:ascii="Times New Roman" w:hAnsi="Times New Roman" w:cs="Times New Roman"/>
                <w:sz w:val="24"/>
                <w:szCs w:val="24"/>
              </w:rPr>
              <w:t>Pagal</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Aprašą</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remiama</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veikla</w:t>
            </w:r>
            <w:proofErr w:type="spellEnd"/>
            <w:r w:rsidRPr="00911381">
              <w:rPr>
                <w:rFonts w:ascii="Times New Roman" w:hAnsi="Times New Roman" w:cs="Times New Roman"/>
                <w:sz w:val="24"/>
                <w:szCs w:val="24"/>
              </w:rPr>
              <w:t xml:space="preserve"> – AEI </w:t>
            </w:r>
            <w:proofErr w:type="spellStart"/>
            <w:r w:rsidRPr="00911381">
              <w:rPr>
                <w:rFonts w:ascii="Times New Roman" w:hAnsi="Times New Roman" w:cs="Times New Roman"/>
                <w:sz w:val="24"/>
                <w:szCs w:val="24"/>
              </w:rPr>
              <w:t>naudojančių</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energijos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gamybos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pajėgumų</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įrengimas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naujų</w:t>
            </w:r>
            <w:proofErr w:type="spellEnd"/>
            <w:r w:rsidRPr="00911381">
              <w:rPr>
                <w:rFonts w:ascii="Times New Roman" w:hAnsi="Times New Roman" w:cs="Times New Roman"/>
                <w:sz w:val="24"/>
                <w:szCs w:val="24"/>
              </w:rPr>
              <w:t xml:space="preserve"> AEI </w:t>
            </w:r>
            <w:proofErr w:type="spellStart"/>
            <w:r w:rsidRPr="00911381">
              <w:rPr>
                <w:rFonts w:ascii="Times New Roman" w:hAnsi="Times New Roman" w:cs="Times New Roman"/>
                <w:sz w:val="24"/>
                <w:szCs w:val="24"/>
              </w:rPr>
              <w:t>efektyvesnio</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panaudojimo</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technologijų</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kūrimas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ir</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diegimas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pramonės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įmonėse</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siekiant</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naudoti</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energiją</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pačių</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įmonių</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vidiniams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poreikiams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tenkinti</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bei</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sudarant</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galimybę</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perteklinę</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energiją</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tiekti</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kitoms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pramonės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įmonėms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ar</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perduoti</w:t>
            </w:r>
            <w:proofErr w:type="spellEnd"/>
            <w:r w:rsidRPr="00911381">
              <w:rPr>
                <w:rFonts w:ascii="Times New Roman" w:hAnsi="Times New Roman" w:cs="Times New Roman"/>
                <w:sz w:val="24"/>
                <w:szCs w:val="24"/>
              </w:rPr>
              <w:t xml:space="preserve"> į </w:t>
            </w:r>
            <w:proofErr w:type="spellStart"/>
            <w:r w:rsidRPr="00911381">
              <w:rPr>
                <w:rFonts w:ascii="Times New Roman" w:hAnsi="Times New Roman" w:cs="Times New Roman"/>
                <w:sz w:val="24"/>
                <w:szCs w:val="24"/>
              </w:rPr>
              <w:t>centralizuotus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energetinius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tinklus</w:t>
            </w:r>
            <w:proofErr w:type="spellEnd"/>
            <w:r w:rsidRPr="00911381">
              <w:rPr>
                <w:rFonts w:ascii="Times New Roman" w:hAnsi="Times New Roman" w:cs="Times New Roman"/>
                <w:sz w:val="24"/>
                <w:szCs w:val="24"/>
              </w:rPr>
              <w:t>.“</w:t>
            </w:r>
          </w:p>
          <w:p w14:paraId="10F25A94" w14:textId="77777777" w:rsidR="00911381" w:rsidRPr="00911381" w:rsidRDefault="00911381" w:rsidP="00911381">
            <w:pPr>
              <w:jc w:val="both"/>
              <w:rPr>
                <w:rFonts w:ascii="Times New Roman" w:hAnsi="Times New Roman" w:cs="Times New Roman"/>
                <w:sz w:val="24"/>
                <w:szCs w:val="24"/>
              </w:rPr>
            </w:pPr>
            <w:proofErr w:type="spellStart"/>
            <w:r w:rsidRPr="00911381">
              <w:rPr>
                <w:rFonts w:ascii="Times New Roman" w:hAnsi="Times New Roman" w:cs="Times New Roman"/>
                <w:sz w:val="24"/>
                <w:szCs w:val="24"/>
              </w:rPr>
              <w:t>Atsižvelgus</w:t>
            </w:r>
            <w:proofErr w:type="spellEnd"/>
            <w:r w:rsidRPr="00911381">
              <w:rPr>
                <w:rFonts w:ascii="Times New Roman" w:hAnsi="Times New Roman" w:cs="Times New Roman"/>
                <w:sz w:val="24"/>
                <w:szCs w:val="24"/>
              </w:rPr>
              <w:t xml:space="preserve"> į </w:t>
            </w:r>
            <w:proofErr w:type="spellStart"/>
            <w:r w:rsidRPr="00911381">
              <w:rPr>
                <w:rFonts w:ascii="Times New Roman" w:hAnsi="Times New Roman" w:cs="Times New Roman"/>
                <w:sz w:val="24"/>
                <w:szCs w:val="24"/>
              </w:rPr>
              <w:t>aplinkybę</w:t>
            </w:r>
            <w:proofErr w:type="spellEnd"/>
            <w:r w:rsidRPr="00911381">
              <w:rPr>
                <w:rFonts w:ascii="Times New Roman" w:hAnsi="Times New Roman" w:cs="Times New Roman"/>
                <w:sz w:val="24"/>
                <w:szCs w:val="24"/>
              </w:rPr>
              <w:t xml:space="preserve">, jog </w:t>
            </w:r>
            <w:proofErr w:type="spellStart"/>
            <w:r w:rsidRPr="00911381">
              <w:rPr>
                <w:rFonts w:ascii="Times New Roman" w:hAnsi="Times New Roman" w:cs="Times New Roman"/>
                <w:sz w:val="24"/>
                <w:szCs w:val="24"/>
              </w:rPr>
              <w:t>elektros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perdavimo</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ir</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skirstymo</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kokybės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gerinimas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yra</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tiesiogiai</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susijęs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su</w:t>
            </w:r>
            <w:proofErr w:type="spellEnd"/>
            <w:r w:rsidRPr="00911381">
              <w:rPr>
                <w:rFonts w:ascii="Times New Roman" w:hAnsi="Times New Roman" w:cs="Times New Roman"/>
                <w:sz w:val="24"/>
                <w:szCs w:val="24"/>
              </w:rPr>
              <w:t xml:space="preserve"> AEI </w:t>
            </w:r>
            <w:proofErr w:type="spellStart"/>
            <w:r w:rsidRPr="00911381">
              <w:rPr>
                <w:rFonts w:ascii="Times New Roman" w:hAnsi="Times New Roman" w:cs="Times New Roman"/>
                <w:sz w:val="24"/>
                <w:szCs w:val="24"/>
              </w:rPr>
              <w:t>dalimi</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galutiniame</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energijos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suvartojime</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bei</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energijos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efektyvumu</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siūlome</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pakeisti</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aprašo</w:t>
            </w:r>
            <w:proofErr w:type="spellEnd"/>
            <w:r w:rsidRPr="00911381">
              <w:rPr>
                <w:rFonts w:ascii="Times New Roman" w:hAnsi="Times New Roman" w:cs="Times New Roman"/>
                <w:sz w:val="24"/>
                <w:szCs w:val="24"/>
              </w:rPr>
              <w:t xml:space="preserve"> 10 </w:t>
            </w:r>
            <w:proofErr w:type="spellStart"/>
            <w:r w:rsidRPr="00911381">
              <w:rPr>
                <w:rFonts w:ascii="Times New Roman" w:hAnsi="Times New Roman" w:cs="Times New Roman"/>
                <w:sz w:val="24"/>
                <w:szCs w:val="24"/>
              </w:rPr>
              <w:t>punktą</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numatant</w:t>
            </w:r>
            <w:proofErr w:type="spellEnd"/>
            <w:r w:rsidRPr="00911381">
              <w:rPr>
                <w:rFonts w:ascii="Times New Roman" w:hAnsi="Times New Roman" w:cs="Times New Roman"/>
                <w:sz w:val="24"/>
                <w:szCs w:val="24"/>
              </w:rPr>
              <w:t xml:space="preserve">, jog: </w:t>
            </w:r>
          </w:p>
          <w:p w14:paraId="3C898993" w14:textId="77777777" w:rsidR="00911381" w:rsidRPr="0094492F" w:rsidRDefault="00911381" w:rsidP="00911381">
            <w:pPr>
              <w:tabs>
                <w:tab w:val="left" w:pos="1134"/>
              </w:tabs>
              <w:jc w:val="both"/>
              <w:rPr>
                <w:szCs w:val="24"/>
              </w:rPr>
            </w:pPr>
            <w:r w:rsidRPr="00911381">
              <w:rPr>
                <w:rFonts w:ascii="Times New Roman" w:eastAsia="AngsanaUPC" w:hAnsi="Times New Roman" w:cs="Times New Roman"/>
                <w:bCs/>
                <w:sz w:val="24"/>
                <w:szCs w:val="24"/>
              </w:rPr>
              <w:t xml:space="preserve">„10. </w:t>
            </w:r>
            <w:proofErr w:type="spellStart"/>
            <w:r w:rsidRPr="00911381">
              <w:rPr>
                <w:rFonts w:ascii="Times New Roman" w:hAnsi="Times New Roman" w:cs="Times New Roman"/>
                <w:sz w:val="24"/>
                <w:szCs w:val="24"/>
              </w:rPr>
              <w:t>Pagal</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Aprašą</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remiama</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veikla</w:t>
            </w:r>
            <w:proofErr w:type="spellEnd"/>
            <w:r w:rsidRPr="00911381">
              <w:rPr>
                <w:rFonts w:ascii="Times New Roman" w:hAnsi="Times New Roman" w:cs="Times New Roman"/>
                <w:sz w:val="24"/>
                <w:szCs w:val="24"/>
              </w:rPr>
              <w:t xml:space="preserve"> – AEI </w:t>
            </w:r>
            <w:proofErr w:type="spellStart"/>
            <w:r w:rsidRPr="00911381">
              <w:rPr>
                <w:rFonts w:ascii="Times New Roman" w:hAnsi="Times New Roman" w:cs="Times New Roman"/>
                <w:sz w:val="24"/>
                <w:szCs w:val="24"/>
              </w:rPr>
              <w:t>naudojančių</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energijos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gamybos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pajėgumų</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įrengimas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b/>
                <w:sz w:val="24"/>
                <w:szCs w:val="24"/>
              </w:rPr>
              <w:t>elektros</w:t>
            </w:r>
            <w:proofErr w:type="spellEnd"/>
            <w:r w:rsidRPr="00911381">
              <w:rPr>
                <w:rFonts w:ascii="Times New Roman" w:hAnsi="Times New Roman" w:cs="Times New Roman"/>
                <w:b/>
                <w:sz w:val="24"/>
                <w:szCs w:val="24"/>
              </w:rPr>
              <w:t xml:space="preserve"> </w:t>
            </w:r>
            <w:proofErr w:type="spellStart"/>
            <w:r w:rsidRPr="00911381">
              <w:rPr>
                <w:rFonts w:ascii="Times New Roman" w:hAnsi="Times New Roman" w:cs="Times New Roman"/>
                <w:b/>
                <w:sz w:val="24"/>
                <w:szCs w:val="24"/>
              </w:rPr>
              <w:t>perdavimo</w:t>
            </w:r>
            <w:proofErr w:type="spellEnd"/>
            <w:r w:rsidRPr="00911381">
              <w:rPr>
                <w:rFonts w:ascii="Times New Roman" w:hAnsi="Times New Roman" w:cs="Times New Roman"/>
                <w:b/>
                <w:sz w:val="24"/>
                <w:szCs w:val="24"/>
              </w:rPr>
              <w:t xml:space="preserve"> </w:t>
            </w:r>
            <w:proofErr w:type="spellStart"/>
            <w:r w:rsidRPr="00911381">
              <w:rPr>
                <w:rFonts w:ascii="Times New Roman" w:hAnsi="Times New Roman" w:cs="Times New Roman"/>
                <w:b/>
                <w:sz w:val="24"/>
                <w:szCs w:val="24"/>
              </w:rPr>
              <w:t>ir</w:t>
            </w:r>
            <w:proofErr w:type="spellEnd"/>
            <w:r w:rsidRPr="00911381">
              <w:rPr>
                <w:rFonts w:ascii="Times New Roman" w:hAnsi="Times New Roman" w:cs="Times New Roman"/>
                <w:b/>
                <w:sz w:val="24"/>
                <w:szCs w:val="24"/>
              </w:rPr>
              <w:t xml:space="preserve"> </w:t>
            </w:r>
            <w:proofErr w:type="spellStart"/>
            <w:r w:rsidRPr="00911381">
              <w:rPr>
                <w:rFonts w:ascii="Times New Roman" w:hAnsi="Times New Roman" w:cs="Times New Roman"/>
                <w:b/>
                <w:sz w:val="24"/>
                <w:szCs w:val="24"/>
              </w:rPr>
              <w:t>skirstymo</w:t>
            </w:r>
            <w:proofErr w:type="spellEnd"/>
            <w:r w:rsidRPr="00911381">
              <w:rPr>
                <w:rFonts w:ascii="Times New Roman" w:hAnsi="Times New Roman" w:cs="Times New Roman"/>
                <w:b/>
                <w:sz w:val="24"/>
                <w:szCs w:val="24"/>
              </w:rPr>
              <w:t xml:space="preserve"> </w:t>
            </w:r>
            <w:proofErr w:type="spellStart"/>
            <w:r w:rsidRPr="00911381">
              <w:rPr>
                <w:rFonts w:ascii="Times New Roman" w:hAnsi="Times New Roman" w:cs="Times New Roman"/>
                <w:b/>
                <w:sz w:val="24"/>
                <w:szCs w:val="24"/>
              </w:rPr>
              <w:t>kokybės</w:t>
            </w:r>
            <w:proofErr w:type="spellEnd"/>
            <w:r w:rsidRPr="00911381">
              <w:rPr>
                <w:rFonts w:ascii="Times New Roman" w:hAnsi="Times New Roman" w:cs="Times New Roman"/>
                <w:b/>
                <w:sz w:val="24"/>
                <w:szCs w:val="24"/>
              </w:rPr>
              <w:t xml:space="preserve"> </w:t>
            </w:r>
            <w:proofErr w:type="spellStart"/>
            <w:r w:rsidRPr="00911381">
              <w:rPr>
                <w:rFonts w:ascii="Times New Roman" w:hAnsi="Times New Roman" w:cs="Times New Roman"/>
                <w:b/>
                <w:sz w:val="24"/>
                <w:szCs w:val="24"/>
              </w:rPr>
              <w:t>gerinimas</w:t>
            </w:r>
            <w:proofErr w:type="spellEnd"/>
            <w:r w:rsidRPr="00911381">
              <w:rPr>
                <w:rFonts w:ascii="Times New Roman" w:hAnsi="Times New Roman" w:cs="Times New Roman"/>
                <w:b/>
                <w:sz w:val="24"/>
                <w:szCs w:val="24"/>
              </w:rPr>
              <w:t>,</w:t>
            </w:r>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naujų</w:t>
            </w:r>
            <w:proofErr w:type="spellEnd"/>
            <w:r w:rsidRPr="00911381">
              <w:rPr>
                <w:rFonts w:ascii="Times New Roman" w:hAnsi="Times New Roman" w:cs="Times New Roman"/>
                <w:sz w:val="24"/>
                <w:szCs w:val="24"/>
              </w:rPr>
              <w:t xml:space="preserve"> AEI </w:t>
            </w:r>
            <w:proofErr w:type="spellStart"/>
            <w:r w:rsidRPr="00911381">
              <w:rPr>
                <w:rFonts w:ascii="Times New Roman" w:hAnsi="Times New Roman" w:cs="Times New Roman"/>
                <w:sz w:val="24"/>
                <w:szCs w:val="24"/>
              </w:rPr>
              <w:t>efektyvesnio</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panaudojimo</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technologijų</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kūrimas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ir</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diegimas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pramonės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įmonėse</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siekiant</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naudoti</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energiją</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pačių</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įmonių</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vidiniams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poreikiams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tenkinti</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b/>
                <w:sz w:val="24"/>
                <w:szCs w:val="24"/>
              </w:rPr>
              <w:t>užtikrinti</w:t>
            </w:r>
            <w:proofErr w:type="spellEnd"/>
            <w:r w:rsidRPr="00911381">
              <w:rPr>
                <w:rFonts w:ascii="Times New Roman" w:hAnsi="Times New Roman" w:cs="Times New Roman"/>
                <w:b/>
                <w:sz w:val="24"/>
                <w:szCs w:val="24"/>
              </w:rPr>
              <w:t xml:space="preserve"> </w:t>
            </w:r>
            <w:proofErr w:type="spellStart"/>
            <w:r w:rsidRPr="00911381">
              <w:rPr>
                <w:rFonts w:ascii="Times New Roman" w:hAnsi="Times New Roman" w:cs="Times New Roman"/>
                <w:b/>
                <w:sz w:val="24"/>
                <w:szCs w:val="24"/>
              </w:rPr>
              <w:t>efektyvų</w:t>
            </w:r>
            <w:proofErr w:type="spellEnd"/>
            <w:r w:rsidRPr="00911381">
              <w:rPr>
                <w:rFonts w:ascii="Times New Roman" w:hAnsi="Times New Roman" w:cs="Times New Roman"/>
                <w:b/>
                <w:sz w:val="24"/>
                <w:szCs w:val="24"/>
              </w:rPr>
              <w:t xml:space="preserve"> </w:t>
            </w:r>
            <w:proofErr w:type="spellStart"/>
            <w:r w:rsidRPr="00911381">
              <w:rPr>
                <w:rFonts w:ascii="Times New Roman" w:hAnsi="Times New Roman" w:cs="Times New Roman"/>
                <w:b/>
                <w:sz w:val="24"/>
                <w:szCs w:val="24"/>
              </w:rPr>
              <w:t>energijos</w:t>
            </w:r>
            <w:proofErr w:type="spellEnd"/>
            <w:r w:rsidRPr="00911381">
              <w:rPr>
                <w:rFonts w:ascii="Times New Roman" w:hAnsi="Times New Roman" w:cs="Times New Roman"/>
                <w:b/>
                <w:sz w:val="24"/>
                <w:szCs w:val="24"/>
              </w:rPr>
              <w:t xml:space="preserve"> </w:t>
            </w:r>
            <w:proofErr w:type="spellStart"/>
            <w:r w:rsidRPr="00911381">
              <w:rPr>
                <w:rFonts w:ascii="Times New Roman" w:hAnsi="Times New Roman" w:cs="Times New Roman"/>
                <w:b/>
                <w:sz w:val="24"/>
                <w:szCs w:val="24"/>
              </w:rPr>
              <w:t>vartojimą</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bei</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sudarant</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galimybę</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perteklinę</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energiją</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tiekti</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kitoms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pramonės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įmonėms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ar</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perduoti</w:t>
            </w:r>
            <w:proofErr w:type="spellEnd"/>
            <w:r w:rsidRPr="00911381">
              <w:rPr>
                <w:rFonts w:ascii="Times New Roman" w:hAnsi="Times New Roman" w:cs="Times New Roman"/>
                <w:sz w:val="24"/>
                <w:szCs w:val="24"/>
              </w:rPr>
              <w:t xml:space="preserve"> į </w:t>
            </w:r>
            <w:proofErr w:type="spellStart"/>
            <w:r w:rsidRPr="00911381">
              <w:rPr>
                <w:rFonts w:ascii="Times New Roman" w:hAnsi="Times New Roman" w:cs="Times New Roman"/>
                <w:sz w:val="24"/>
                <w:szCs w:val="24"/>
              </w:rPr>
              <w:t>centralizuotus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energetinius</w:t>
            </w:r>
            <w:proofErr w:type="spellEnd"/>
            <w:r w:rsidRPr="00911381">
              <w:rPr>
                <w:rFonts w:ascii="Times New Roman" w:hAnsi="Times New Roman" w:cs="Times New Roman"/>
                <w:sz w:val="24"/>
                <w:szCs w:val="24"/>
              </w:rPr>
              <w:t xml:space="preserve"> </w:t>
            </w:r>
            <w:proofErr w:type="spellStart"/>
            <w:r w:rsidRPr="00911381">
              <w:rPr>
                <w:rFonts w:ascii="Times New Roman" w:hAnsi="Times New Roman" w:cs="Times New Roman"/>
                <w:sz w:val="24"/>
                <w:szCs w:val="24"/>
              </w:rPr>
              <w:t>tinklus</w:t>
            </w:r>
            <w:proofErr w:type="spellEnd"/>
            <w:r w:rsidRPr="00911381">
              <w:rPr>
                <w:rFonts w:ascii="Times New Roman" w:hAnsi="Times New Roman" w:cs="Times New Roman"/>
                <w:sz w:val="24"/>
                <w:szCs w:val="24"/>
              </w:rPr>
              <w:t>.“</w:t>
            </w:r>
          </w:p>
        </w:tc>
        <w:tc>
          <w:tcPr>
            <w:tcW w:w="4252" w:type="dxa"/>
          </w:tcPr>
          <w:p w14:paraId="036FB3E2" w14:textId="77777777" w:rsidR="008C79FA" w:rsidRDefault="008C79FA" w:rsidP="008C79FA">
            <w:pPr>
              <w:spacing w:after="0" w:line="240" w:lineRule="auto"/>
              <w:jc w:val="both"/>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t>Neatsižvelgta.</w:t>
            </w:r>
          </w:p>
          <w:p w14:paraId="6F5492A8" w14:textId="77777777" w:rsidR="00911381" w:rsidRPr="004E3020" w:rsidRDefault="008C79FA" w:rsidP="00911381">
            <w:pPr>
              <w:spacing w:after="0" w:line="240" w:lineRule="auto"/>
              <w:jc w:val="both"/>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t>Paaiškinimas 4 punkte.</w:t>
            </w:r>
          </w:p>
        </w:tc>
      </w:tr>
      <w:tr w:rsidR="00533004" w:rsidRPr="00BF2C68" w14:paraId="40D9869F" w14:textId="77777777" w:rsidTr="00533004">
        <w:trPr>
          <w:trHeight w:val="711"/>
        </w:trPr>
        <w:tc>
          <w:tcPr>
            <w:tcW w:w="709" w:type="dxa"/>
          </w:tcPr>
          <w:p w14:paraId="6696EFCA" w14:textId="77777777" w:rsidR="00533004" w:rsidRDefault="00533004" w:rsidP="00533004">
            <w:pPr>
              <w:spacing w:after="0" w:line="240" w:lineRule="auto"/>
              <w:jc w:val="center"/>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6.</w:t>
            </w:r>
          </w:p>
        </w:tc>
        <w:tc>
          <w:tcPr>
            <w:tcW w:w="1446" w:type="dxa"/>
          </w:tcPr>
          <w:p w14:paraId="4779F658" w14:textId="77777777" w:rsidR="00533004" w:rsidRPr="0067431E" w:rsidRDefault="00533004" w:rsidP="00533004">
            <w:pPr>
              <w:jc w:val="both"/>
              <w:rPr>
                <w:rFonts w:ascii="Times New Roman" w:hAnsi="Times New Roman" w:cs="Times New Roman"/>
                <w:sz w:val="24"/>
                <w:szCs w:val="24"/>
              </w:rPr>
            </w:pPr>
            <w:r w:rsidRPr="0067431E">
              <w:rPr>
                <w:rFonts w:ascii="Times New Roman" w:hAnsi="Times New Roman" w:cs="Times New Roman"/>
                <w:sz w:val="24"/>
                <w:szCs w:val="24"/>
              </w:rPr>
              <w:t>25.3.</w:t>
            </w:r>
          </w:p>
        </w:tc>
        <w:tc>
          <w:tcPr>
            <w:tcW w:w="7938" w:type="dxa"/>
          </w:tcPr>
          <w:p w14:paraId="2CEC5F44" w14:textId="77777777" w:rsidR="00533004" w:rsidRPr="0067431E" w:rsidRDefault="00533004" w:rsidP="00533004">
            <w:pPr>
              <w:jc w:val="both"/>
              <w:rPr>
                <w:rFonts w:ascii="Times New Roman" w:hAnsi="Times New Roman" w:cs="Times New Roman"/>
                <w:sz w:val="24"/>
                <w:szCs w:val="24"/>
              </w:rPr>
            </w:pPr>
            <w:r w:rsidRPr="0067431E">
              <w:rPr>
                <w:rFonts w:ascii="Times New Roman" w:hAnsi="Times New Roman" w:cs="Times New Roman"/>
                <w:sz w:val="24"/>
                <w:szCs w:val="24"/>
              </w:rPr>
              <w:t xml:space="preserve">„25.3. </w:t>
            </w:r>
            <w:proofErr w:type="spellStart"/>
            <w:proofErr w:type="gramStart"/>
            <w:r w:rsidRPr="0067431E">
              <w:rPr>
                <w:rFonts w:ascii="Times New Roman" w:hAnsi="Times New Roman" w:cs="Times New Roman"/>
                <w:sz w:val="24"/>
                <w:szCs w:val="24"/>
              </w:rPr>
              <w:t>produkto</w:t>
            </w:r>
            <w:proofErr w:type="spellEnd"/>
            <w:proofErr w:type="gram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stebėsenos</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rodiklis</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Papildomi</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atsinaujinančių</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išteklių</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energijos</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gamybos</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pajėgumai</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kodas</w:t>
            </w:r>
            <w:proofErr w:type="spellEnd"/>
            <w:r w:rsidRPr="0067431E">
              <w:rPr>
                <w:rFonts w:ascii="Times New Roman" w:hAnsi="Times New Roman" w:cs="Times New Roman"/>
                <w:sz w:val="24"/>
                <w:szCs w:val="24"/>
              </w:rPr>
              <w:t xml:space="preserve"> P.B.230.“</w:t>
            </w:r>
          </w:p>
          <w:p w14:paraId="030F909E" w14:textId="77777777" w:rsidR="00533004" w:rsidRPr="0067431E" w:rsidRDefault="0067431E" w:rsidP="0067431E">
            <w:pPr>
              <w:jc w:val="both"/>
              <w:rPr>
                <w:rFonts w:ascii="Times New Roman" w:hAnsi="Times New Roman" w:cs="Times New Roman"/>
                <w:sz w:val="24"/>
                <w:szCs w:val="24"/>
              </w:rPr>
            </w:pPr>
            <w:proofErr w:type="spellStart"/>
            <w:r w:rsidRPr="0067431E">
              <w:rPr>
                <w:rFonts w:ascii="Times New Roman" w:hAnsi="Times New Roman" w:cs="Times New Roman"/>
                <w:sz w:val="24"/>
                <w:szCs w:val="24"/>
              </w:rPr>
              <w:t>Siūlome</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numatyti</w:t>
            </w:r>
            <w:proofErr w:type="spellEnd"/>
            <w:r w:rsidRPr="0067431E">
              <w:rPr>
                <w:rFonts w:ascii="Times New Roman" w:hAnsi="Times New Roman" w:cs="Times New Roman"/>
                <w:sz w:val="24"/>
                <w:szCs w:val="24"/>
              </w:rPr>
              <w:t xml:space="preserve">, jog </w:t>
            </w:r>
            <w:proofErr w:type="spellStart"/>
            <w:r w:rsidRPr="0067431E">
              <w:rPr>
                <w:rFonts w:ascii="Times New Roman" w:hAnsi="Times New Roman" w:cs="Times New Roman"/>
                <w:sz w:val="24"/>
                <w:szCs w:val="24"/>
              </w:rPr>
              <w:t>viena</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iš</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alternatyvų</w:t>
            </w:r>
            <w:proofErr w:type="spellEnd"/>
            <w:r w:rsidRPr="0067431E">
              <w:rPr>
                <w:rFonts w:ascii="Times New Roman" w:hAnsi="Times New Roman" w:cs="Times New Roman"/>
                <w:sz w:val="24"/>
                <w:szCs w:val="24"/>
              </w:rPr>
              <w:t xml:space="preserve"> 25.3 p. </w:t>
            </w:r>
            <w:proofErr w:type="spellStart"/>
            <w:r w:rsidRPr="0067431E">
              <w:rPr>
                <w:rFonts w:ascii="Times New Roman" w:hAnsi="Times New Roman" w:cs="Times New Roman"/>
                <w:sz w:val="24"/>
                <w:szCs w:val="24"/>
              </w:rPr>
              <w:t>nustatytam</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produkto</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stebėsenos</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rodikliui</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būtų</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elektros</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perdavimo</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ir</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skirstymo</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kokybės</w:t>
            </w:r>
            <w:proofErr w:type="spellEnd"/>
            <w:r w:rsidRPr="0067431E">
              <w:rPr>
                <w:rFonts w:ascii="Times New Roman" w:hAnsi="Times New Roman" w:cs="Times New Roman"/>
                <w:sz w:val="24"/>
                <w:szCs w:val="24"/>
              </w:rPr>
              <w:t xml:space="preserve"> </w:t>
            </w:r>
            <w:proofErr w:type="spellStart"/>
            <w:r w:rsidRPr="0067431E">
              <w:rPr>
                <w:rFonts w:ascii="Times New Roman" w:hAnsi="Times New Roman" w:cs="Times New Roman"/>
                <w:sz w:val="24"/>
                <w:szCs w:val="24"/>
              </w:rPr>
              <w:t>gerinimas</w:t>
            </w:r>
            <w:proofErr w:type="spellEnd"/>
            <w:r w:rsidRPr="0067431E">
              <w:rPr>
                <w:rFonts w:ascii="Times New Roman" w:hAnsi="Times New Roman" w:cs="Times New Roman"/>
                <w:sz w:val="24"/>
                <w:szCs w:val="24"/>
              </w:rPr>
              <w:t>.</w:t>
            </w:r>
          </w:p>
        </w:tc>
        <w:tc>
          <w:tcPr>
            <w:tcW w:w="4252" w:type="dxa"/>
          </w:tcPr>
          <w:p w14:paraId="072BB9DF" w14:textId="77777777" w:rsidR="008C79FA" w:rsidRDefault="008C79FA" w:rsidP="008C79FA">
            <w:pPr>
              <w:spacing w:after="0" w:line="240" w:lineRule="auto"/>
              <w:jc w:val="both"/>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t>Neatsižvelgta.</w:t>
            </w:r>
          </w:p>
          <w:p w14:paraId="33864388" w14:textId="77777777" w:rsidR="00533004" w:rsidRPr="004E3020" w:rsidRDefault="008C79FA" w:rsidP="008C79FA">
            <w:pPr>
              <w:spacing w:after="0" w:line="240" w:lineRule="auto"/>
              <w:jc w:val="both"/>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t>Paaiškinimas 4 punkte.</w:t>
            </w:r>
          </w:p>
        </w:tc>
      </w:tr>
      <w:tr w:rsidR="0067431E" w:rsidRPr="00BF2C68" w14:paraId="45BA6B72" w14:textId="77777777" w:rsidTr="00533004">
        <w:trPr>
          <w:trHeight w:val="711"/>
        </w:trPr>
        <w:tc>
          <w:tcPr>
            <w:tcW w:w="709" w:type="dxa"/>
          </w:tcPr>
          <w:p w14:paraId="740E64A0" w14:textId="77777777" w:rsidR="0067431E" w:rsidRDefault="0067431E" w:rsidP="0067431E">
            <w:pPr>
              <w:spacing w:after="0" w:line="240" w:lineRule="auto"/>
              <w:jc w:val="center"/>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7.</w:t>
            </w:r>
          </w:p>
        </w:tc>
        <w:tc>
          <w:tcPr>
            <w:tcW w:w="1446" w:type="dxa"/>
          </w:tcPr>
          <w:p w14:paraId="673754FE" w14:textId="77777777" w:rsidR="0067431E" w:rsidRPr="00523A5C" w:rsidRDefault="0067431E" w:rsidP="0067431E">
            <w:pPr>
              <w:jc w:val="both"/>
              <w:rPr>
                <w:rFonts w:ascii="Times New Roman" w:hAnsi="Times New Roman" w:cs="Times New Roman"/>
                <w:sz w:val="24"/>
                <w:szCs w:val="24"/>
              </w:rPr>
            </w:pPr>
            <w:r w:rsidRPr="00523A5C">
              <w:rPr>
                <w:rFonts w:ascii="Times New Roman" w:hAnsi="Times New Roman" w:cs="Times New Roman"/>
                <w:sz w:val="24"/>
                <w:szCs w:val="24"/>
              </w:rPr>
              <w:t>34 p. 1 lent.</w:t>
            </w:r>
          </w:p>
        </w:tc>
        <w:tc>
          <w:tcPr>
            <w:tcW w:w="7938" w:type="dxa"/>
          </w:tcPr>
          <w:p w14:paraId="50C492AD" w14:textId="77777777" w:rsidR="0067431E" w:rsidRPr="00523A5C" w:rsidRDefault="0067431E" w:rsidP="0067431E">
            <w:pPr>
              <w:jc w:val="both"/>
              <w:rPr>
                <w:rFonts w:ascii="Times New Roman" w:hAnsi="Times New Roman" w:cs="Times New Roman"/>
                <w:sz w:val="24"/>
                <w:szCs w:val="24"/>
              </w:rPr>
            </w:pPr>
            <w:r w:rsidRPr="00523A5C">
              <w:rPr>
                <w:rFonts w:ascii="Times New Roman" w:hAnsi="Times New Roman" w:cs="Times New Roman"/>
                <w:sz w:val="24"/>
                <w:szCs w:val="24"/>
              </w:rPr>
              <w:t>„</w:t>
            </w:r>
            <w:proofErr w:type="spellStart"/>
            <w:r w:rsidRPr="00523A5C">
              <w:rPr>
                <w:rFonts w:ascii="Times New Roman" w:hAnsi="Times New Roman" w:cs="Times New Roman"/>
                <w:sz w:val="24"/>
                <w:szCs w:val="24"/>
              </w:rPr>
              <w:t>Tinkamos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finansuoti</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išlaidos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yra</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papildomos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investicinės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išlaidos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būtinos</w:t>
            </w:r>
            <w:proofErr w:type="spellEnd"/>
            <w:r w:rsidRPr="00523A5C">
              <w:rPr>
                <w:rFonts w:ascii="Times New Roman" w:hAnsi="Times New Roman" w:cs="Times New Roman"/>
                <w:sz w:val="24"/>
                <w:szCs w:val="24"/>
              </w:rPr>
              <w:t xml:space="preserve"> AEI </w:t>
            </w:r>
            <w:proofErr w:type="spellStart"/>
            <w:r w:rsidRPr="00523A5C">
              <w:rPr>
                <w:rFonts w:ascii="Times New Roman" w:hAnsi="Times New Roman" w:cs="Times New Roman"/>
                <w:sz w:val="24"/>
                <w:szCs w:val="24"/>
              </w:rPr>
              <w:t>gamybai</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skatinti</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ir</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nustatomos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taip</w:t>
            </w:r>
            <w:proofErr w:type="spellEnd"/>
            <w:r w:rsidRPr="00523A5C">
              <w:rPr>
                <w:rFonts w:ascii="Times New Roman" w:hAnsi="Times New Roman" w:cs="Times New Roman"/>
                <w:sz w:val="24"/>
                <w:szCs w:val="24"/>
              </w:rPr>
              <w:t>: &lt;...&gt;“</w:t>
            </w:r>
          </w:p>
          <w:p w14:paraId="203BE119" w14:textId="77777777" w:rsidR="0067431E" w:rsidRPr="00523A5C" w:rsidRDefault="00523A5C" w:rsidP="0067431E">
            <w:pPr>
              <w:jc w:val="both"/>
              <w:rPr>
                <w:rFonts w:ascii="Times New Roman" w:hAnsi="Times New Roman" w:cs="Times New Roman"/>
                <w:sz w:val="24"/>
                <w:szCs w:val="24"/>
              </w:rPr>
            </w:pPr>
            <w:proofErr w:type="spellStart"/>
            <w:r w:rsidRPr="00523A5C">
              <w:rPr>
                <w:rFonts w:ascii="Times New Roman" w:hAnsi="Times New Roman" w:cs="Times New Roman"/>
                <w:sz w:val="24"/>
                <w:szCs w:val="24"/>
              </w:rPr>
              <w:t>Siūlome</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numatyti</w:t>
            </w:r>
            <w:proofErr w:type="spellEnd"/>
            <w:r w:rsidRPr="00523A5C">
              <w:rPr>
                <w:rFonts w:ascii="Times New Roman" w:hAnsi="Times New Roman" w:cs="Times New Roman"/>
                <w:sz w:val="24"/>
                <w:szCs w:val="24"/>
              </w:rPr>
              <w:t xml:space="preserve">, jog </w:t>
            </w:r>
            <w:proofErr w:type="spellStart"/>
            <w:r w:rsidRPr="00523A5C">
              <w:rPr>
                <w:rFonts w:ascii="Times New Roman" w:hAnsi="Times New Roman" w:cs="Times New Roman"/>
                <w:sz w:val="24"/>
                <w:szCs w:val="24"/>
              </w:rPr>
              <w:t>tinkamomis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finansuoti</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išlaidomis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taip</w:t>
            </w:r>
            <w:proofErr w:type="spellEnd"/>
            <w:r w:rsidRPr="00523A5C">
              <w:rPr>
                <w:rFonts w:ascii="Times New Roman" w:hAnsi="Times New Roman" w:cs="Times New Roman"/>
                <w:sz w:val="24"/>
                <w:szCs w:val="24"/>
              </w:rPr>
              <w:t xml:space="preserve"> pat </w:t>
            </w:r>
            <w:proofErr w:type="spellStart"/>
            <w:r w:rsidRPr="00523A5C">
              <w:rPr>
                <w:rFonts w:ascii="Times New Roman" w:hAnsi="Times New Roman" w:cs="Times New Roman"/>
                <w:sz w:val="24"/>
                <w:szCs w:val="24"/>
              </w:rPr>
              <w:t>yra</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papildomos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investicinės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išlaidos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būtinos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elektros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perdavimo</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ir</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skirstymo</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kokybei</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gerinti</w:t>
            </w:r>
            <w:proofErr w:type="spellEnd"/>
            <w:r w:rsidRPr="00523A5C">
              <w:rPr>
                <w:rFonts w:ascii="Times New Roman" w:hAnsi="Times New Roman" w:cs="Times New Roman"/>
                <w:sz w:val="24"/>
                <w:szCs w:val="24"/>
              </w:rPr>
              <w:t>.</w:t>
            </w:r>
          </w:p>
        </w:tc>
        <w:tc>
          <w:tcPr>
            <w:tcW w:w="4252" w:type="dxa"/>
          </w:tcPr>
          <w:p w14:paraId="3437454A" w14:textId="77777777" w:rsidR="008C79FA" w:rsidRDefault="008C79FA" w:rsidP="008C79FA">
            <w:pPr>
              <w:spacing w:after="0" w:line="240" w:lineRule="auto"/>
              <w:jc w:val="both"/>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t>Neatsižvelgta.</w:t>
            </w:r>
          </w:p>
          <w:p w14:paraId="4769ED1E" w14:textId="77777777" w:rsidR="0067431E" w:rsidRPr="004E3020" w:rsidRDefault="008C79FA" w:rsidP="008C79FA">
            <w:pPr>
              <w:spacing w:after="0" w:line="240" w:lineRule="auto"/>
              <w:jc w:val="both"/>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t>Paaiškinimas 4 punkte.</w:t>
            </w:r>
          </w:p>
        </w:tc>
      </w:tr>
      <w:tr w:rsidR="00523A5C" w:rsidRPr="00BF2C68" w14:paraId="1DB0175F" w14:textId="77777777" w:rsidTr="00523A5C">
        <w:trPr>
          <w:trHeight w:val="711"/>
        </w:trPr>
        <w:tc>
          <w:tcPr>
            <w:tcW w:w="709" w:type="dxa"/>
          </w:tcPr>
          <w:p w14:paraId="1BB8BC33" w14:textId="77777777" w:rsidR="00523A5C" w:rsidRDefault="00523A5C" w:rsidP="00523A5C">
            <w:pPr>
              <w:spacing w:after="0" w:line="240" w:lineRule="auto"/>
              <w:jc w:val="center"/>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8.</w:t>
            </w:r>
          </w:p>
        </w:tc>
        <w:tc>
          <w:tcPr>
            <w:tcW w:w="1446" w:type="dxa"/>
          </w:tcPr>
          <w:p w14:paraId="1918A475" w14:textId="77777777" w:rsidR="00523A5C" w:rsidRPr="00523A5C" w:rsidRDefault="00523A5C" w:rsidP="00523A5C">
            <w:pPr>
              <w:jc w:val="both"/>
              <w:rPr>
                <w:rFonts w:ascii="Times New Roman" w:hAnsi="Times New Roman" w:cs="Times New Roman"/>
                <w:sz w:val="24"/>
                <w:szCs w:val="24"/>
              </w:rPr>
            </w:pPr>
            <w:r w:rsidRPr="00523A5C">
              <w:rPr>
                <w:rFonts w:ascii="Times New Roman" w:hAnsi="Times New Roman" w:cs="Times New Roman"/>
                <w:sz w:val="24"/>
                <w:szCs w:val="24"/>
              </w:rPr>
              <w:t>37 p. 2 lent.</w:t>
            </w:r>
          </w:p>
        </w:tc>
        <w:tc>
          <w:tcPr>
            <w:tcW w:w="7938" w:type="dxa"/>
          </w:tcPr>
          <w:p w14:paraId="6169CB42" w14:textId="77777777" w:rsidR="00523A5C" w:rsidRPr="00523A5C" w:rsidRDefault="00523A5C" w:rsidP="00523A5C">
            <w:pPr>
              <w:jc w:val="both"/>
              <w:rPr>
                <w:rFonts w:ascii="Times New Roman" w:hAnsi="Times New Roman" w:cs="Times New Roman"/>
                <w:sz w:val="24"/>
                <w:szCs w:val="24"/>
                <w:lang w:eastAsia="lt-LT"/>
              </w:rPr>
            </w:pPr>
            <w:r w:rsidRPr="00523A5C">
              <w:rPr>
                <w:rFonts w:ascii="Times New Roman" w:hAnsi="Times New Roman" w:cs="Times New Roman"/>
                <w:sz w:val="24"/>
                <w:szCs w:val="24"/>
              </w:rPr>
              <w:t>„</w:t>
            </w:r>
            <w:proofErr w:type="spellStart"/>
            <w:r w:rsidRPr="00523A5C">
              <w:rPr>
                <w:rFonts w:ascii="Times New Roman" w:hAnsi="Times New Roman" w:cs="Times New Roman"/>
                <w:sz w:val="24"/>
                <w:szCs w:val="24"/>
                <w:lang w:eastAsia="lt-LT"/>
              </w:rPr>
              <w:t>Tinkamos</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finansuoti</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išlaidos</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pagal</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Bendrojo</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bendrosios</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išimties</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reglamento</w:t>
            </w:r>
            <w:proofErr w:type="spellEnd"/>
            <w:r w:rsidRPr="00523A5C">
              <w:rPr>
                <w:rFonts w:ascii="Times New Roman" w:hAnsi="Times New Roman" w:cs="Times New Roman"/>
                <w:sz w:val="24"/>
                <w:szCs w:val="24"/>
                <w:lang w:eastAsia="lt-LT"/>
              </w:rPr>
              <w:t xml:space="preserve"> 41 </w:t>
            </w:r>
            <w:proofErr w:type="spellStart"/>
            <w:r w:rsidRPr="00523A5C">
              <w:rPr>
                <w:rFonts w:ascii="Times New Roman" w:hAnsi="Times New Roman" w:cs="Times New Roman"/>
                <w:sz w:val="24"/>
                <w:szCs w:val="24"/>
                <w:lang w:eastAsia="lt-LT"/>
              </w:rPr>
              <w:t>straipsnį</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yra</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laikomos</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papildomos</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investicinės</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įranga</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ir</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įrenginiai</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išlaidos</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būtinos</w:t>
            </w:r>
            <w:proofErr w:type="spellEnd"/>
            <w:r w:rsidRPr="00523A5C">
              <w:rPr>
                <w:rFonts w:ascii="Times New Roman" w:hAnsi="Times New Roman" w:cs="Times New Roman"/>
                <w:sz w:val="24"/>
                <w:szCs w:val="24"/>
                <w:lang w:eastAsia="lt-LT"/>
              </w:rPr>
              <w:t xml:space="preserve"> AEI </w:t>
            </w:r>
            <w:proofErr w:type="spellStart"/>
            <w:r w:rsidRPr="00523A5C">
              <w:rPr>
                <w:rFonts w:ascii="Times New Roman" w:hAnsi="Times New Roman" w:cs="Times New Roman"/>
                <w:sz w:val="24"/>
                <w:szCs w:val="24"/>
                <w:lang w:eastAsia="lt-LT"/>
              </w:rPr>
              <w:t>gamybai</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skatinti</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ir</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apskaičiuojamos</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Aprašo</w:t>
            </w:r>
            <w:proofErr w:type="spellEnd"/>
            <w:r w:rsidRPr="00523A5C">
              <w:rPr>
                <w:rFonts w:ascii="Times New Roman" w:hAnsi="Times New Roman" w:cs="Times New Roman"/>
                <w:sz w:val="24"/>
                <w:szCs w:val="24"/>
                <w:lang w:eastAsia="lt-LT"/>
              </w:rPr>
              <w:t xml:space="preserve"> 1 </w:t>
            </w:r>
            <w:proofErr w:type="spellStart"/>
            <w:r w:rsidRPr="00523A5C">
              <w:rPr>
                <w:rFonts w:ascii="Times New Roman" w:hAnsi="Times New Roman" w:cs="Times New Roman"/>
                <w:sz w:val="24"/>
                <w:szCs w:val="24"/>
                <w:lang w:eastAsia="lt-LT"/>
              </w:rPr>
              <w:t>lentelės</w:t>
            </w:r>
            <w:proofErr w:type="spellEnd"/>
            <w:r w:rsidRPr="00523A5C">
              <w:rPr>
                <w:rFonts w:ascii="Times New Roman" w:hAnsi="Times New Roman" w:cs="Times New Roman"/>
                <w:sz w:val="24"/>
                <w:szCs w:val="24"/>
                <w:lang w:eastAsia="lt-LT"/>
              </w:rPr>
              <w:t xml:space="preserve"> 1 </w:t>
            </w:r>
            <w:proofErr w:type="spellStart"/>
            <w:r w:rsidRPr="00523A5C">
              <w:rPr>
                <w:rFonts w:ascii="Times New Roman" w:hAnsi="Times New Roman" w:cs="Times New Roman"/>
                <w:sz w:val="24"/>
                <w:szCs w:val="24"/>
                <w:lang w:eastAsia="lt-LT"/>
              </w:rPr>
              <w:t>ir</w:t>
            </w:r>
            <w:proofErr w:type="spellEnd"/>
            <w:r w:rsidRPr="00523A5C">
              <w:rPr>
                <w:rFonts w:ascii="Times New Roman" w:hAnsi="Times New Roman" w:cs="Times New Roman"/>
                <w:sz w:val="24"/>
                <w:szCs w:val="24"/>
                <w:lang w:eastAsia="lt-LT"/>
              </w:rPr>
              <w:t xml:space="preserve"> 2 </w:t>
            </w:r>
            <w:proofErr w:type="spellStart"/>
            <w:r w:rsidRPr="00523A5C">
              <w:rPr>
                <w:rFonts w:ascii="Times New Roman" w:hAnsi="Times New Roman" w:cs="Times New Roman"/>
                <w:sz w:val="24"/>
                <w:szCs w:val="24"/>
                <w:lang w:eastAsia="lt-LT"/>
              </w:rPr>
              <w:t>punktuose</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nurodytais</w:t>
            </w:r>
            <w:proofErr w:type="spellEnd"/>
            <w:r w:rsidRPr="00523A5C">
              <w:rPr>
                <w:rFonts w:ascii="Times New Roman" w:hAnsi="Times New Roman" w:cs="Times New Roman"/>
                <w:sz w:val="24"/>
                <w:szCs w:val="24"/>
                <w:lang w:eastAsia="lt-LT"/>
              </w:rPr>
              <w:t xml:space="preserve"> </w:t>
            </w:r>
            <w:proofErr w:type="spellStart"/>
            <w:r w:rsidRPr="00523A5C">
              <w:rPr>
                <w:rFonts w:ascii="Times New Roman" w:hAnsi="Times New Roman" w:cs="Times New Roman"/>
                <w:sz w:val="24"/>
                <w:szCs w:val="24"/>
                <w:lang w:eastAsia="lt-LT"/>
              </w:rPr>
              <w:t>būdais</w:t>
            </w:r>
            <w:proofErr w:type="spellEnd"/>
            <w:r w:rsidRPr="00523A5C">
              <w:rPr>
                <w:rFonts w:ascii="Times New Roman" w:hAnsi="Times New Roman" w:cs="Times New Roman"/>
                <w:sz w:val="24"/>
                <w:szCs w:val="24"/>
                <w:lang w:eastAsia="lt-LT"/>
              </w:rPr>
              <w:t>.“</w:t>
            </w:r>
          </w:p>
          <w:p w14:paraId="32A78A01" w14:textId="77777777" w:rsidR="00523A5C" w:rsidRPr="00523A5C" w:rsidRDefault="00523A5C" w:rsidP="00523A5C">
            <w:pPr>
              <w:jc w:val="both"/>
              <w:rPr>
                <w:rFonts w:ascii="Times New Roman" w:hAnsi="Times New Roman" w:cs="Times New Roman"/>
                <w:sz w:val="24"/>
                <w:szCs w:val="24"/>
                <w:highlight w:val="yellow"/>
                <w:lang w:eastAsia="lt-LT"/>
              </w:rPr>
            </w:pPr>
            <w:proofErr w:type="spellStart"/>
            <w:r w:rsidRPr="00523A5C">
              <w:rPr>
                <w:rFonts w:ascii="Times New Roman" w:hAnsi="Times New Roman" w:cs="Times New Roman"/>
                <w:sz w:val="24"/>
                <w:szCs w:val="24"/>
              </w:rPr>
              <w:t>Siūlome</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numatyti</w:t>
            </w:r>
            <w:proofErr w:type="spellEnd"/>
            <w:r w:rsidRPr="00523A5C">
              <w:rPr>
                <w:rFonts w:ascii="Times New Roman" w:hAnsi="Times New Roman" w:cs="Times New Roman"/>
                <w:sz w:val="24"/>
                <w:szCs w:val="24"/>
              </w:rPr>
              <w:t xml:space="preserve">, jog </w:t>
            </w:r>
            <w:proofErr w:type="spellStart"/>
            <w:r w:rsidRPr="00523A5C">
              <w:rPr>
                <w:rFonts w:ascii="Times New Roman" w:hAnsi="Times New Roman" w:cs="Times New Roman"/>
                <w:sz w:val="24"/>
                <w:szCs w:val="24"/>
              </w:rPr>
              <w:t>tinkamomis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finansuoti</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išlaidomis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taip</w:t>
            </w:r>
            <w:proofErr w:type="spellEnd"/>
            <w:r w:rsidRPr="00523A5C">
              <w:rPr>
                <w:rFonts w:ascii="Times New Roman" w:hAnsi="Times New Roman" w:cs="Times New Roman"/>
                <w:sz w:val="24"/>
                <w:szCs w:val="24"/>
              </w:rPr>
              <w:t xml:space="preserve"> pat </w:t>
            </w:r>
            <w:proofErr w:type="spellStart"/>
            <w:r w:rsidRPr="00523A5C">
              <w:rPr>
                <w:rFonts w:ascii="Times New Roman" w:hAnsi="Times New Roman" w:cs="Times New Roman"/>
                <w:sz w:val="24"/>
                <w:szCs w:val="24"/>
              </w:rPr>
              <w:t>yra</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papildomos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investicinės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išlaidos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būtinos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elektros</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perdavimo</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ir</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skirstymo</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kokybei</w:t>
            </w:r>
            <w:proofErr w:type="spellEnd"/>
            <w:r w:rsidRPr="00523A5C">
              <w:rPr>
                <w:rFonts w:ascii="Times New Roman" w:hAnsi="Times New Roman" w:cs="Times New Roman"/>
                <w:sz w:val="24"/>
                <w:szCs w:val="24"/>
              </w:rPr>
              <w:t xml:space="preserve"> </w:t>
            </w:r>
            <w:proofErr w:type="spellStart"/>
            <w:r w:rsidRPr="00523A5C">
              <w:rPr>
                <w:rFonts w:ascii="Times New Roman" w:hAnsi="Times New Roman" w:cs="Times New Roman"/>
                <w:sz w:val="24"/>
                <w:szCs w:val="24"/>
              </w:rPr>
              <w:t>gerinti</w:t>
            </w:r>
            <w:proofErr w:type="spellEnd"/>
            <w:r w:rsidRPr="00523A5C">
              <w:rPr>
                <w:rFonts w:ascii="Times New Roman" w:hAnsi="Times New Roman" w:cs="Times New Roman"/>
                <w:sz w:val="24"/>
                <w:szCs w:val="24"/>
              </w:rPr>
              <w:t>.</w:t>
            </w:r>
          </w:p>
        </w:tc>
        <w:tc>
          <w:tcPr>
            <w:tcW w:w="4252" w:type="dxa"/>
          </w:tcPr>
          <w:p w14:paraId="606618D6" w14:textId="77777777" w:rsidR="008C79FA" w:rsidRDefault="008C79FA" w:rsidP="008C79FA">
            <w:pPr>
              <w:spacing w:after="0" w:line="240" w:lineRule="auto"/>
              <w:jc w:val="both"/>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t>Neatsižvelgta.</w:t>
            </w:r>
          </w:p>
          <w:p w14:paraId="47D3A6BA" w14:textId="77777777" w:rsidR="00523A5C" w:rsidRPr="004E3020" w:rsidRDefault="008C79FA" w:rsidP="008C79FA">
            <w:pPr>
              <w:spacing w:after="0" w:line="240" w:lineRule="auto"/>
              <w:jc w:val="both"/>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t>Paaiškinimas 4 punkte.</w:t>
            </w:r>
          </w:p>
        </w:tc>
      </w:tr>
      <w:tr w:rsidR="00AC662C" w:rsidRPr="00BF2C68" w14:paraId="188160D8" w14:textId="77777777" w:rsidTr="00AC662C">
        <w:trPr>
          <w:trHeight w:val="711"/>
        </w:trPr>
        <w:tc>
          <w:tcPr>
            <w:tcW w:w="709" w:type="dxa"/>
          </w:tcPr>
          <w:p w14:paraId="077D5D46" w14:textId="77777777" w:rsidR="00AC662C" w:rsidRDefault="00AC662C" w:rsidP="00AC662C">
            <w:pPr>
              <w:spacing w:after="0" w:line="240" w:lineRule="auto"/>
              <w:jc w:val="center"/>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lastRenderedPageBreak/>
              <w:t>9.</w:t>
            </w:r>
          </w:p>
        </w:tc>
        <w:tc>
          <w:tcPr>
            <w:tcW w:w="1446" w:type="dxa"/>
          </w:tcPr>
          <w:p w14:paraId="6F6FFE06" w14:textId="77777777" w:rsidR="00AC662C" w:rsidRPr="00AC662C" w:rsidRDefault="00AC662C" w:rsidP="00AC662C">
            <w:pPr>
              <w:jc w:val="both"/>
              <w:rPr>
                <w:rFonts w:ascii="Times New Roman" w:hAnsi="Times New Roman" w:cs="Times New Roman"/>
                <w:sz w:val="24"/>
                <w:szCs w:val="24"/>
              </w:rPr>
            </w:pPr>
            <w:r w:rsidRPr="00AC662C">
              <w:rPr>
                <w:rFonts w:ascii="Times New Roman" w:hAnsi="Times New Roman" w:cs="Times New Roman"/>
                <w:sz w:val="24"/>
                <w:szCs w:val="24"/>
              </w:rPr>
              <w:t xml:space="preserve">2 </w:t>
            </w:r>
            <w:proofErr w:type="spellStart"/>
            <w:r w:rsidRPr="00AC662C">
              <w:rPr>
                <w:rFonts w:ascii="Times New Roman" w:hAnsi="Times New Roman" w:cs="Times New Roman"/>
                <w:sz w:val="24"/>
                <w:szCs w:val="24"/>
              </w:rPr>
              <w:t>priedas</w:t>
            </w:r>
            <w:proofErr w:type="spellEnd"/>
          </w:p>
        </w:tc>
        <w:tc>
          <w:tcPr>
            <w:tcW w:w="7938" w:type="dxa"/>
          </w:tcPr>
          <w:p w14:paraId="367123D7" w14:textId="77777777" w:rsidR="00AC662C" w:rsidRPr="00AC662C" w:rsidRDefault="00AC662C" w:rsidP="00AC662C">
            <w:pPr>
              <w:jc w:val="both"/>
              <w:rPr>
                <w:rFonts w:ascii="Times New Roman" w:hAnsi="Times New Roman" w:cs="Times New Roman"/>
                <w:sz w:val="24"/>
                <w:szCs w:val="24"/>
              </w:rPr>
            </w:pPr>
            <w:proofErr w:type="spellStart"/>
            <w:r w:rsidRPr="00AC662C">
              <w:rPr>
                <w:rFonts w:ascii="Times New Roman" w:hAnsi="Times New Roman" w:cs="Times New Roman"/>
                <w:sz w:val="24"/>
                <w:szCs w:val="24"/>
              </w:rPr>
              <w:t>Projekto</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naudos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ir</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kokybės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vertinimo</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lentelės</w:t>
            </w:r>
            <w:proofErr w:type="spellEnd"/>
            <w:r w:rsidRPr="00AC662C">
              <w:rPr>
                <w:rFonts w:ascii="Times New Roman" w:hAnsi="Times New Roman" w:cs="Times New Roman"/>
                <w:sz w:val="24"/>
                <w:szCs w:val="24"/>
              </w:rPr>
              <w:t xml:space="preserve"> 1 </w:t>
            </w:r>
            <w:proofErr w:type="spellStart"/>
            <w:r w:rsidRPr="00AC662C">
              <w:rPr>
                <w:rFonts w:ascii="Times New Roman" w:hAnsi="Times New Roman" w:cs="Times New Roman"/>
                <w:sz w:val="24"/>
                <w:szCs w:val="24"/>
              </w:rPr>
              <w:t>kriterijus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Energijos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kurią</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numatoma</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gauti</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iš</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planuojamų</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įdiegti</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atsinaujinančius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energijos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išteklius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naudojančių</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energijos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gamybos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pajėgumų</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dalis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bendrame</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pareiškėjo</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energijos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sąnaudų</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balanse</w:t>
            </w:r>
            <w:proofErr w:type="spellEnd"/>
            <w:proofErr w:type="gramStart"/>
            <w:r w:rsidRPr="00AC662C">
              <w:rPr>
                <w:rFonts w:ascii="Times New Roman" w:hAnsi="Times New Roman" w:cs="Times New Roman"/>
                <w:sz w:val="24"/>
                <w:szCs w:val="24"/>
              </w:rPr>
              <w:t>.“</w:t>
            </w:r>
            <w:proofErr w:type="gramEnd"/>
          </w:p>
          <w:p w14:paraId="2D78CC18" w14:textId="77777777" w:rsidR="00AC662C" w:rsidRPr="00AC662C" w:rsidRDefault="00AC662C" w:rsidP="00AC662C">
            <w:pPr>
              <w:jc w:val="both"/>
              <w:rPr>
                <w:rFonts w:ascii="Times New Roman" w:hAnsi="Times New Roman" w:cs="Times New Roman"/>
                <w:sz w:val="24"/>
                <w:szCs w:val="24"/>
              </w:rPr>
            </w:pPr>
            <w:proofErr w:type="spellStart"/>
            <w:r w:rsidRPr="00AC662C">
              <w:rPr>
                <w:rFonts w:ascii="Times New Roman" w:hAnsi="Times New Roman" w:cs="Times New Roman"/>
                <w:sz w:val="24"/>
                <w:szCs w:val="24"/>
              </w:rPr>
              <w:t>Kriterijaus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aprašymas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pildytinas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nuostatomis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dėl</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elektros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perdavimo</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ir</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skirstymo</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kokybės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gerinimo</w:t>
            </w:r>
            <w:proofErr w:type="spellEnd"/>
            <w:r w:rsidRPr="00AC662C">
              <w:rPr>
                <w:rFonts w:ascii="Times New Roman" w:hAnsi="Times New Roman" w:cs="Times New Roman"/>
                <w:sz w:val="24"/>
                <w:szCs w:val="24"/>
              </w:rPr>
              <w:t xml:space="preserve"> į </w:t>
            </w:r>
            <w:proofErr w:type="spellStart"/>
            <w:r w:rsidRPr="00AC662C">
              <w:rPr>
                <w:rFonts w:ascii="Times New Roman" w:hAnsi="Times New Roman" w:cs="Times New Roman"/>
                <w:sz w:val="24"/>
                <w:szCs w:val="24"/>
              </w:rPr>
              <w:t>kurį</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atsižvelgtina</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vertinant</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projektus</w:t>
            </w:r>
            <w:proofErr w:type="spellEnd"/>
            <w:r w:rsidRPr="00AC662C">
              <w:rPr>
                <w:rFonts w:ascii="Times New Roman" w:hAnsi="Times New Roman" w:cs="Times New Roman"/>
                <w:sz w:val="24"/>
                <w:szCs w:val="24"/>
              </w:rPr>
              <w:t>.</w:t>
            </w:r>
          </w:p>
        </w:tc>
        <w:tc>
          <w:tcPr>
            <w:tcW w:w="4252" w:type="dxa"/>
          </w:tcPr>
          <w:p w14:paraId="0E3A7828" w14:textId="77777777" w:rsidR="008C79FA" w:rsidRDefault="008C79FA" w:rsidP="008C79FA">
            <w:pPr>
              <w:spacing w:after="0" w:line="240" w:lineRule="auto"/>
              <w:jc w:val="both"/>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t>Neatsižvelgta.</w:t>
            </w:r>
          </w:p>
          <w:p w14:paraId="74205C49" w14:textId="77777777" w:rsidR="00AC662C" w:rsidRPr="004E3020" w:rsidRDefault="008C79FA" w:rsidP="008C79FA">
            <w:pPr>
              <w:spacing w:after="0" w:line="240" w:lineRule="auto"/>
              <w:jc w:val="both"/>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t>Paaiškinimas 4 punkte.</w:t>
            </w:r>
          </w:p>
        </w:tc>
      </w:tr>
      <w:tr w:rsidR="00AC662C" w:rsidRPr="00BF2C68" w14:paraId="462A34B2" w14:textId="77777777" w:rsidTr="00847BFE">
        <w:trPr>
          <w:trHeight w:val="711"/>
        </w:trPr>
        <w:tc>
          <w:tcPr>
            <w:tcW w:w="709" w:type="dxa"/>
            <w:tcBorders>
              <w:bottom w:val="single" w:sz="4" w:space="0" w:color="auto"/>
            </w:tcBorders>
          </w:tcPr>
          <w:p w14:paraId="366D0FEB" w14:textId="77777777" w:rsidR="00AC662C" w:rsidRDefault="00AC662C" w:rsidP="00AC662C">
            <w:pPr>
              <w:spacing w:after="0" w:line="240" w:lineRule="auto"/>
              <w:jc w:val="center"/>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10.</w:t>
            </w:r>
          </w:p>
        </w:tc>
        <w:tc>
          <w:tcPr>
            <w:tcW w:w="1446" w:type="dxa"/>
            <w:tcBorders>
              <w:bottom w:val="single" w:sz="4" w:space="0" w:color="auto"/>
            </w:tcBorders>
          </w:tcPr>
          <w:p w14:paraId="11086EDC" w14:textId="77777777" w:rsidR="00AC662C" w:rsidRPr="00AC662C" w:rsidRDefault="00AC662C" w:rsidP="00AC662C">
            <w:pPr>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priedas</w:t>
            </w:r>
            <w:proofErr w:type="spellEnd"/>
          </w:p>
        </w:tc>
        <w:tc>
          <w:tcPr>
            <w:tcW w:w="7938" w:type="dxa"/>
            <w:tcBorders>
              <w:bottom w:val="single" w:sz="4" w:space="0" w:color="auto"/>
            </w:tcBorders>
          </w:tcPr>
          <w:p w14:paraId="0B91A227" w14:textId="77777777" w:rsidR="00AC662C" w:rsidRPr="00AC662C" w:rsidRDefault="00AC662C" w:rsidP="00AC662C">
            <w:pPr>
              <w:jc w:val="both"/>
              <w:rPr>
                <w:rFonts w:ascii="Times New Roman" w:hAnsi="Times New Roman" w:cs="Times New Roman"/>
                <w:sz w:val="24"/>
                <w:szCs w:val="24"/>
              </w:rPr>
            </w:pPr>
            <w:proofErr w:type="spellStart"/>
            <w:r w:rsidRPr="00AC662C">
              <w:rPr>
                <w:rFonts w:ascii="Times New Roman" w:hAnsi="Times New Roman" w:cs="Times New Roman"/>
                <w:sz w:val="24"/>
                <w:szCs w:val="24"/>
              </w:rPr>
              <w:t>Paraiškos</w:t>
            </w:r>
            <w:proofErr w:type="spellEnd"/>
            <w:r w:rsidRPr="00AC662C">
              <w:rPr>
                <w:rFonts w:ascii="Times New Roman" w:hAnsi="Times New Roman" w:cs="Times New Roman"/>
                <w:sz w:val="24"/>
                <w:szCs w:val="24"/>
              </w:rPr>
              <w:t xml:space="preserve"> forma </w:t>
            </w:r>
            <w:proofErr w:type="spellStart"/>
            <w:r w:rsidRPr="00AC662C">
              <w:rPr>
                <w:rFonts w:ascii="Times New Roman" w:hAnsi="Times New Roman" w:cs="Times New Roman"/>
                <w:sz w:val="24"/>
                <w:szCs w:val="24"/>
              </w:rPr>
              <w:t>pildytina</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nuostatomis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susijusiomis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elektros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perdavimo</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ir</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skirstymo</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kokybės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gerinimu</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Minėto</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kokybės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gerinimo</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atveju</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neturėtų</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būti</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privalomas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paraiškos</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nuostatų</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susijusių</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su</w:t>
            </w:r>
            <w:proofErr w:type="spellEnd"/>
            <w:r w:rsidRPr="00AC662C">
              <w:rPr>
                <w:rFonts w:ascii="Times New Roman" w:hAnsi="Times New Roman" w:cs="Times New Roman"/>
                <w:sz w:val="24"/>
                <w:szCs w:val="24"/>
              </w:rPr>
              <w:t xml:space="preserve"> AEI </w:t>
            </w:r>
            <w:proofErr w:type="spellStart"/>
            <w:r w:rsidRPr="00AC662C">
              <w:rPr>
                <w:rFonts w:ascii="Times New Roman" w:hAnsi="Times New Roman" w:cs="Times New Roman"/>
                <w:sz w:val="24"/>
                <w:szCs w:val="24"/>
              </w:rPr>
              <w:t>diegimu</w:t>
            </w:r>
            <w:proofErr w:type="spellEnd"/>
            <w:r w:rsidRPr="00AC662C">
              <w:rPr>
                <w:rFonts w:ascii="Times New Roman" w:hAnsi="Times New Roman" w:cs="Times New Roman"/>
                <w:sz w:val="24"/>
                <w:szCs w:val="24"/>
              </w:rPr>
              <w:t xml:space="preserve">, </w:t>
            </w:r>
            <w:proofErr w:type="spellStart"/>
            <w:r w:rsidRPr="00AC662C">
              <w:rPr>
                <w:rFonts w:ascii="Times New Roman" w:hAnsi="Times New Roman" w:cs="Times New Roman"/>
                <w:sz w:val="24"/>
                <w:szCs w:val="24"/>
              </w:rPr>
              <w:t>pildymas</w:t>
            </w:r>
            <w:proofErr w:type="spellEnd"/>
            <w:r w:rsidRPr="00AC662C">
              <w:rPr>
                <w:rFonts w:ascii="Times New Roman" w:hAnsi="Times New Roman" w:cs="Times New Roman"/>
                <w:sz w:val="24"/>
                <w:szCs w:val="24"/>
              </w:rPr>
              <w:t>.</w:t>
            </w:r>
          </w:p>
        </w:tc>
        <w:tc>
          <w:tcPr>
            <w:tcW w:w="4252" w:type="dxa"/>
            <w:tcBorders>
              <w:bottom w:val="single" w:sz="4" w:space="0" w:color="auto"/>
            </w:tcBorders>
          </w:tcPr>
          <w:p w14:paraId="6D06566E" w14:textId="77777777" w:rsidR="008C79FA" w:rsidRDefault="008C79FA" w:rsidP="008C79FA">
            <w:pPr>
              <w:spacing w:after="0" w:line="240" w:lineRule="auto"/>
              <w:jc w:val="both"/>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t>Neatsižvelgta.</w:t>
            </w:r>
          </w:p>
          <w:p w14:paraId="272EB6DE" w14:textId="77777777" w:rsidR="00AC662C" w:rsidRPr="004E3020" w:rsidRDefault="008C79FA" w:rsidP="008C79FA">
            <w:pPr>
              <w:spacing w:after="0" w:line="240" w:lineRule="auto"/>
              <w:jc w:val="both"/>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t>Paaiškinimas 4 punkte.</w:t>
            </w:r>
          </w:p>
        </w:tc>
      </w:tr>
    </w:tbl>
    <w:p w14:paraId="5C346688" w14:textId="77777777" w:rsidR="009527C3" w:rsidRPr="00A61D07" w:rsidRDefault="009527C3">
      <w:pPr>
        <w:rPr>
          <w:rFonts w:ascii="Times New Roman" w:hAnsi="Times New Roman" w:cs="Times New Roman"/>
          <w:sz w:val="24"/>
          <w:szCs w:val="24"/>
          <w:lang w:val="lt-LT"/>
        </w:rPr>
      </w:pPr>
    </w:p>
    <w:sectPr w:rsidR="009527C3" w:rsidRPr="00A61D07" w:rsidSect="004C082B">
      <w:pgSz w:w="15840" w:h="12240" w:orient="landscape"/>
      <w:pgMar w:top="709" w:right="956" w:bottom="333"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C0445" w14:textId="77777777" w:rsidR="002D6F9F" w:rsidRDefault="002D6F9F" w:rsidP="000C062A">
      <w:pPr>
        <w:spacing w:after="0" w:line="240" w:lineRule="auto"/>
      </w:pPr>
      <w:r>
        <w:separator/>
      </w:r>
    </w:p>
  </w:endnote>
  <w:endnote w:type="continuationSeparator" w:id="0">
    <w:p w14:paraId="4537BF2A" w14:textId="77777777" w:rsidR="002D6F9F" w:rsidRDefault="002D6F9F" w:rsidP="000C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C9275" w14:textId="77777777" w:rsidR="002D6F9F" w:rsidRDefault="002D6F9F" w:rsidP="000C062A">
      <w:pPr>
        <w:spacing w:after="0" w:line="240" w:lineRule="auto"/>
      </w:pPr>
      <w:r>
        <w:separator/>
      </w:r>
    </w:p>
  </w:footnote>
  <w:footnote w:type="continuationSeparator" w:id="0">
    <w:p w14:paraId="693376A8" w14:textId="77777777" w:rsidR="002D6F9F" w:rsidRDefault="002D6F9F" w:rsidP="000C06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38A9"/>
    <w:multiLevelType w:val="hybridMultilevel"/>
    <w:tmpl w:val="FBE63F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8253F"/>
    <w:multiLevelType w:val="hybridMultilevel"/>
    <w:tmpl w:val="A036C4F0"/>
    <w:lvl w:ilvl="0" w:tplc="6BEA7EA2">
      <w:start w:val="12"/>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E0D5C8B"/>
    <w:multiLevelType w:val="hybridMultilevel"/>
    <w:tmpl w:val="FBE63F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A15746"/>
    <w:multiLevelType w:val="hybridMultilevel"/>
    <w:tmpl w:val="99943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FF45375"/>
    <w:multiLevelType w:val="hybridMultilevel"/>
    <w:tmpl w:val="1180C69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73F82F59"/>
    <w:multiLevelType w:val="hybridMultilevel"/>
    <w:tmpl w:val="99943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E2"/>
    <w:rsid w:val="00000BDB"/>
    <w:rsid w:val="000050D5"/>
    <w:rsid w:val="00006BCB"/>
    <w:rsid w:val="00007351"/>
    <w:rsid w:val="000076C2"/>
    <w:rsid w:val="00015936"/>
    <w:rsid w:val="000159F8"/>
    <w:rsid w:val="00015E13"/>
    <w:rsid w:val="00020A64"/>
    <w:rsid w:val="00020DEC"/>
    <w:rsid w:val="000220E9"/>
    <w:rsid w:val="00024100"/>
    <w:rsid w:val="00026627"/>
    <w:rsid w:val="00033BEB"/>
    <w:rsid w:val="00033D6C"/>
    <w:rsid w:val="000405DA"/>
    <w:rsid w:val="00041B6E"/>
    <w:rsid w:val="0004391A"/>
    <w:rsid w:val="00044015"/>
    <w:rsid w:val="00054773"/>
    <w:rsid w:val="000560F4"/>
    <w:rsid w:val="000604F6"/>
    <w:rsid w:val="00061B74"/>
    <w:rsid w:val="000638D9"/>
    <w:rsid w:val="00064845"/>
    <w:rsid w:val="00065D89"/>
    <w:rsid w:val="00071CE4"/>
    <w:rsid w:val="00083C23"/>
    <w:rsid w:val="00096743"/>
    <w:rsid w:val="000A0C2A"/>
    <w:rsid w:val="000B31E5"/>
    <w:rsid w:val="000B326E"/>
    <w:rsid w:val="000B46B7"/>
    <w:rsid w:val="000B4980"/>
    <w:rsid w:val="000B4C0C"/>
    <w:rsid w:val="000B552E"/>
    <w:rsid w:val="000B74F4"/>
    <w:rsid w:val="000C062A"/>
    <w:rsid w:val="000C6749"/>
    <w:rsid w:val="000C6E77"/>
    <w:rsid w:val="000C6E8D"/>
    <w:rsid w:val="000D25F4"/>
    <w:rsid w:val="000D2C24"/>
    <w:rsid w:val="000D4E9D"/>
    <w:rsid w:val="000D50B7"/>
    <w:rsid w:val="000E3E3F"/>
    <w:rsid w:val="000E4CDE"/>
    <w:rsid w:val="000E5BDF"/>
    <w:rsid w:val="000E6C6B"/>
    <w:rsid w:val="000F0132"/>
    <w:rsid w:val="000F2318"/>
    <w:rsid w:val="000F37B0"/>
    <w:rsid w:val="000F758D"/>
    <w:rsid w:val="001005EE"/>
    <w:rsid w:val="00101804"/>
    <w:rsid w:val="00107051"/>
    <w:rsid w:val="00114406"/>
    <w:rsid w:val="001149A5"/>
    <w:rsid w:val="00115F74"/>
    <w:rsid w:val="0012789B"/>
    <w:rsid w:val="00130705"/>
    <w:rsid w:val="001314EB"/>
    <w:rsid w:val="00134048"/>
    <w:rsid w:val="00143D13"/>
    <w:rsid w:val="0014664E"/>
    <w:rsid w:val="001513A4"/>
    <w:rsid w:val="001534E7"/>
    <w:rsid w:val="001537DD"/>
    <w:rsid w:val="001537EF"/>
    <w:rsid w:val="00155EC8"/>
    <w:rsid w:val="001566EB"/>
    <w:rsid w:val="00161935"/>
    <w:rsid w:val="001620C5"/>
    <w:rsid w:val="00165E9D"/>
    <w:rsid w:val="0017316D"/>
    <w:rsid w:val="001749A8"/>
    <w:rsid w:val="00181CBA"/>
    <w:rsid w:val="00185FCB"/>
    <w:rsid w:val="00186822"/>
    <w:rsid w:val="00187CF9"/>
    <w:rsid w:val="00194AA8"/>
    <w:rsid w:val="00195383"/>
    <w:rsid w:val="00195CE8"/>
    <w:rsid w:val="001A04C3"/>
    <w:rsid w:val="001A1828"/>
    <w:rsid w:val="001A1E91"/>
    <w:rsid w:val="001A447B"/>
    <w:rsid w:val="001A61DB"/>
    <w:rsid w:val="001B1B3C"/>
    <w:rsid w:val="001B29D9"/>
    <w:rsid w:val="001B4AF5"/>
    <w:rsid w:val="001B4BFB"/>
    <w:rsid w:val="001B5751"/>
    <w:rsid w:val="001B5F11"/>
    <w:rsid w:val="001C108C"/>
    <w:rsid w:val="001C3C2C"/>
    <w:rsid w:val="001C5048"/>
    <w:rsid w:val="001C599D"/>
    <w:rsid w:val="001D220B"/>
    <w:rsid w:val="001D4FB5"/>
    <w:rsid w:val="001D540A"/>
    <w:rsid w:val="001D7390"/>
    <w:rsid w:val="001D7782"/>
    <w:rsid w:val="001E53EE"/>
    <w:rsid w:val="00201682"/>
    <w:rsid w:val="00205C08"/>
    <w:rsid w:val="00210D8A"/>
    <w:rsid w:val="0021224C"/>
    <w:rsid w:val="002150E7"/>
    <w:rsid w:val="00216C48"/>
    <w:rsid w:val="00221076"/>
    <w:rsid w:val="00224F74"/>
    <w:rsid w:val="0023409A"/>
    <w:rsid w:val="00234CDA"/>
    <w:rsid w:val="0023507A"/>
    <w:rsid w:val="00235094"/>
    <w:rsid w:val="00246FF9"/>
    <w:rsid w:val="002471D1"/>
    <w:rsid w:val="00247785"/>
    <w:rsid w:val="00250110"/>
    <w:rsid w:val="002533FA"/>
    <w:rsid w:val="002535C3"/>
    <w:rsid w:val="00254B9B"/>
    <w:rsid w:val="00255892"/>
    <w:rsid w:val="00256237"/>
    <w:rsid w:val="0025674E"/>
    <w:rsid w:val="00263CB1"/>
    <w:rsid w:val="002640E7"/>
    <w:rsid w:val="002641DD"/>
    <w:rsid w:val="002644C3"/>
    <w:rsid w:val="0026512C"/>
    <w:rsid w:val="00265F12"/>
    <w:rsid w:val="00272853"/>
    <w:rsid w:val="00273275"/>
    <w:rsid w:val="00276008"/>
    <w:rsid w:val="0028248D"/>
    <w:rsid w:val="002837A2"/>
    <w:rsid w:val="0029499F"/>
    <w:rsid w:val="00296CFA"/>
    <w:rsid w:val="002A24C8"/>
    <w:rsid w:val="002A3ECF"/>
    <w:rsid w:val="002B6664"/>
    <w:rsid w:val="002C2A91"/>
    <w:rsid w:val="002C3F84"/>
    <w:rsid w:val="002C6158"/>
    <w:rsid w:val="002C6E7E"/>
    <w:rsid w:val="002D1069"/>
    <w:rsid w:val="002D279C"/>
    <w:rsid w:val="002D28EE"/>
    <w:rsid w:val="002D2E09"/>
    <w:rsid w:val="002D48D3"/>
    <w:rsid w:val="002D6F9F"/>
    <w:rsid w:val="002D7604"/>
    <w:rsid w:val="002E1592"/>
    <w:rsid w:val="002E2467"/>
    <w:rsid w:val="002E43EB"/>
    <w:rsid w:val="002F0F5E"/>
    <w:rsid w:val="002F43D2"/>
    <w:rsid w:val="002F49AB"/>
    <w:rsid w:val="002F52A2"/>
    <w:rsid w:val="002F7851"/>
    <w:rsid w:val="00300503"/>
    <w:rsid w:val="00303ED5"/>
    <w:rsid w:val="00307E70"/>
    <w:rsid w:val="003106B0"/>
    <w:rsid w:val="00310F8A"/>
    <w:rsid w:val="0031373B"/>
    <w:rsid w:val="003137F5"/>
    <w:rsid w:val="003146A1"/>
    <w:rsid w:val="003151A0"/>
    <w:rsid w:val="00322219"/>
    <w:rsid w:val="003222AD"/>
    <w:rsid w:val="003224E5"/>
    <w:rsid w:val="00326F77"/>
    <w:rsid w:val="00333720"/>
    <w:rsid w:val="0033539F"/>
    <w:rsid w:val="00337759"/>
    <w:rsid w:val="00340C91"/>
    <w:rsid w:val="00342843"/>
    <w:rsid w:val="00342FEC"/>
    <w:rsid w:val="00345E1D"/>
    <w:rsid w:val="003464F4"/>
    <w:rsid w:val="0035060A"/>
    <w:rsid w:val="00352A1A"/>
    <w:rsid w:val="0035308F"/>
    <w:rsid w:val="003606CC"/>
    <w:rsid w:val="00362084"/>
    <w:rsid w:val="00366636"/>
    <w:rsid w:val="00367D69"/>
    <w:rsid w:val="00370C98"/>
    <w:rsid w:val="00370FEE"/>
    <w:rsid w:val="00373A27"/>
    <w:rsid w:val="00374E44"/>
    <w:rsid w:val="0037632E"/>
    <w:rsid w:val="003800B7"/>
    <w:rsid w:val="003801B7"/>
    <w:rsid w:val="00380682"/>
    <w:rsid w:val="003818C2"/>
    <w:rsid w:val="003836BE"/>
    <w:rsid w:val="00384600"/>
    <w:rsid w:val="00393BB0"/>
    <w:rsid w:val="003A226E"/>
    <w:rsid w:val="003A5B9C"/>
    <w:rsid w:val="003B00C8"/>
    <w:rsid w:val="003B2F0A"/>
    <w:rsid w:val="003C0D9E"/>
    <w:rsid w:val="003C75BA"/>
    <w:rsid w:val="003D1710"/>
    <w:rsid w:val="003D245C"/>
    <w:rsid w:val="003D365D"/>
    <w:rsid w:val="003D450B"/>
    <w:rsid w:val="003D4529"/>
    <w:rsid w:val="003D5B2C"/>
    <w:rsid w:val="003D5BA2"/>
    <w:rsid w:val="003F03C8"/>
    <w:rsid w:val="003F54BA"/>
    <w:rsid w:val="003F7656"/>
    <w:rsid w:val="0040032E"/>
    <w:rsid w:val="0040265A"/>
    <w:rsid w:val="0041109F"/>
    <w:rsid w:val="0042217B"/>
    <w:rsid w:val="00422F1E"/>
    <w:rsid w:val="00423B92"/>
    <w:rsid w:val="004246A0"/>
    <w:rsid w:val="00425A3D"/>
    <w:rsid w:val="00430006"/>
    <w:rsid w:val="004324F3"/>
    <w:rsid w:val="00434AD6"/>
    <w:rsid w:val="00436F27"/>
    <w:rsid w:val="00436FED"/>
    <w:rsid w:val="00437D5F"/>
    <w:rsid w:val="00441385"/>
    <w:rsid w:val="00441763"/>
    <w:rsid w:val="00442166"/>
    <w:rsid w:val="00444782"/>
    <w:rsid w:val="00447575"/>
    <w:rsid w:val="004537B4"/>
    <w:rsid w:val="00456395"/>
    <w:rsid w:val="004615C2"/>
    <w:rsid w:val="004630AC"/>
    <w:rsid w:val="00463562"/>
    <w:rsid w:val="004709B4"/>
    <w:rsid w:val="004733B1"/>
    <w:rsid w:val="00474F19"/>
    <w:rsid w:val="00475536"/>
    <w:rsid w:val="004837E4"/>
    <w:rsid w:val="00483EC0"/>
    <w:rsid w:val="00487CAD"/>
    <w:rsid w:val="0049482C"/>
    <w:rsid w:val="004A01B8"/>
    <w:rsid w:val="004A40B7"/>
    <w:rsid w:val="004A4DCA"/>
    <w:rsid w:val="004A7F40"/>
    <w:rsid w:val="004B034A"/>
    <w:rsid w:val="004B2937"/>
    <w:rsid w:val="004B379B"/>
    <w:rsid w:val="004C082B"/>
    <w:rsid w:val="004C1B50"/>
    <w:rsid w:val="004C6FB9"/>
    <w:rsid w:val="004C7E82"/>
    <w:rsid w:val="004D150D"/>
    <w:rsid w:val="004D37DA"/>
    <w:rsid w:val="004D65F6"/>
    <w:rsid w:val="004D7240"/>
    <w:rsid w:val="004E21D9"/>
    <w:rsid w:val="004E3020"/>
    <w:rsid w:val="004F3C06"/>
    <w:rsid w:val="00502B42"/>
    <w:rsid w:val="0050340F"/>
    <w:rsid w:val="00504329"/>
    <w:rsid w:val="005044BF"/>
    <w:rsid w:val="00505D06"/>
    <w:rsid w:val="005113BD"/>
    <w:rsid w:val="005209A4"/>
    <w:rsid w:val="0052193A"/>
    <w:rsid w:val="00523A5C"/>
    <w:rsid w:val="00533004"/>
    <w:rsid w:val="0054081B"/>
    <w:rsid w:val="0054396F"/>
    <w:rsid w:val="00545270"/>
    <w:rsid w:val="00547108"/>
    <w:rsid w:val="00550356"/>
    <w:rsid w:val="0055166D"/>
    <w:rsid w:val="00552821"/>
    <w:rsid w:val="00555AF7"/>
    <w:rsid w:val="00565FD2"/>
    <w:rsid w:val="005663B0"/>
    <w:rsid w:val="00582AFA"/>
    <w:rsid w:val="005879B6"/>
    <w:rsid w:val="00596D0C"/>
    <w:rsid w:val="005A07B3"/>
    <w:rsid w:val="005A2727"/>
    <w:rsid w:val="005A70FE"/>
    <w:rsid w:val="005A7B1F"/>
    <w:rsid w:val="005B666C"/>
    <w:rsid w:val="005C037C"/>
    <w:rsid w:val="005C0AFC"/>
    <w:rsid w:val="005C1606"/>
    <w:rsid w:val="005C3C29"/>
    <w:rsid w:val="005C5220"/>
    <w:rsid w:val="005C5423"/>
    <w:rsid w:val="005C574B"/>
    <w:rsid w:val="005D325B"/>
    <w:rsid w:val="005D4E6A"/>
    <w:rsid w:val="005E1751"/>
    <w:rsid w:val="005E1C3C"/>
    <w:rsid w:val="005E5877"/>
    <w:rsid w:val="005E60C2"/>
    <w:rsid w:val="005F16BB"/>
    <w:rsid w:val="005F1C8E"/>
    <w:rsid w:val="005F1EF7"/>
    <w:rsid w:val="005F4A16"/>
    <w:rsid w:val="005F4FC6"/>
    <w:rsid w:val="005F5414"/>
    <w:rsid w:val="005F61A2"/>
    <w:rsid w:val="00603BA2"/>
    <w:rsid w:val="006048E4"/>
    <w:rsid w:val="0060716C"/>
    <w:rsid w:val="00612884"/>
    <w:rsid w:val="006140FB"/>
    <w:rsid w:val="006141A9"/>
    <w:rsid w:val="00621872"/>
    <w:rsid w:val="00623845"/>
    <w:rsid w:val="00630CA9"/>
    <w:rsid w:val="00635D29"/>
    <w:rsid w:val="006405A8"/>
    <w:rsid w:val="00643CC7"/>
    <w:rsid w:val="00655B2C"/>
    <w:rsid w:val="006600B9"/>
    <w:rsid w:val="00662D11"/>
    <w:rsid w:val="00663DA6"/>
    <w:rsid w:val="006649B4"/>
    <w:rsid w:val="006660CF"/>
    <w:rsid w:val="00666ABA"/>
    <w:rsid w:val="00667803"/>
    <w:rsid w:val="00670021"/>
    <w:rsid w:val="0067431E"/>
    <w:rsid w:val="0068423D"/>
    <w:rsid w:val="006920B3"/>
    <w:rsid w:val="00692456"/>
    <w:rsid w:val="00696976"/>
    <w:rsid w:val="006A0E2D"/>
    <w:rsid w:val="006A17E6"/>
    <w:rsid w:val="006A267C"/>
    <w:rsid w:val="006A2E14"/>
    <w:rsid w:val="006A496F"/>
    <w:rsid w:val="006A57D1"/>
    <w:rsid w:val="006A60C0"/>
    <w:rsid w:val="006B2B08"/>
    <w:rsid w:val="006C7725"/>
    <w:rsid w:val="006D3682"/>
    <w:rsid w:val="006D4C7B"/>
    <w:rsid w:val="006E0B35"/>
    <w:rsid w:val="006E2843"/>
    <w:rsid w:val="006E4AD3"/>
    <w:rsid w:val="006F0BFA"/>
    <w:rsid w:val="006F42DD"/>
    <w:rsid w:val="006F779A"/>
    <w:rsid w:val="00700149"/>
    <w:rsid w:val="007117EE"/>
    <w:rsid w:val="007117F5"/>
    <w:rsid w:val="0071510C"/>
    <w:rsid w:val="007159F6"/>
    <w:rsid w:val="00722343"/>
    <w:rsid w:val="007241D6"/>
    <w:rsid w:val="0072516C"/>
    <w:rsid w:val="007263D0"/>
    <w:rsid w:val="00726FD7"/>
    <w:rsid w:val="00733DFD"/>
    <w:rsid w:val="00735A0B"/>
    <w:rsid w:val="00742D57"/>
    <w:rsid w:val="0074466E"/>
    <w:rsid w:val="00747CCA"/>
    <w:rsid w:val="00750F56"/>
    <w:rsid w:val="00752B54"/>
    <w:rsid w:val="0076126B"/>
    <w:rsid w:val="007636DC"/>
    <w:rsid w:val="00763F9C"/>
    <w:rsid w:val="00766BF0"/>
    <w:rsid w:val="00766F74"/>
    <w:rsid w:val="007708A7"/>
    <w:rsid w:val="00777885"/>
    <w:rsid w:val="0078407A"/>
    <w:rsid w:val="0078596B"/>
    <w:rsid w:val="0079620A"/>
    <w:rsid w:val="00797249"/>
    <w:rsid w:val="007A3C08"/>
    <w:rsid w:val="007A7DBB"/>
    <w:rsid w:val="007B17C8"/>
    <w:rsid w:val="007B1A21"/>
    <w:rsid w:val="007B76BE"/>
    <w:rsid w:val="007C15A6"/>
    <w:rsid w:val="007C1CD2"/>
    <w:rsid w:val="007C5485"/>
    <w:rsid w:val="007C757F"/>
    <w:rsid w:val="007D22BE"/>
    <w:rsid w:val="007D278B"/>
    <w:rsid w:val="007D3B3D"/>
    <w:rsid w:val="007D54B1"/>
    <w:rsid w:val="007E0E07"/>
    <w:rsid w:val="007E1532"/>
    <w:rsid w:val="007E1B02"/>
    <w:rsid w:val="007E3E5C"/>
    <w:rsid w:val="007E4A35"/>
    <w:rsid w:val="007E5287"/>
    <w:rsid w:val="007E5774"/>
    <w:rsid w:val="007E5BA9"/>
    <w:rsid w:val="007F3572"/>
    <w:rsid w:val="007F3821"/>
    <w:rsid w:val="007F6509"/>
    <w:rsid w:val="007F72B4"/>
    <w:rsid w:val="00804450"/>
    <w:rsid w:val="008047B8"/>
    <w:rsid w:val="00805AD2"/>
    <w:rsid w:val="0080662E"/>
    <w:rsid w:val="00807D6A"/>
    <w:rsid w:val="00811766"/>
    <w:rsid w:val="0081254F"/>
    <w:rsid w:val="00814ED4"/>
    <w:rsid w:val="00815D52"/>
    <w:rsid w:val="00817D3A"/>
    <w:rsid w:val="00820FE2"/>
    <w:rsid w:val="00822EE6"/>
    <w:rsid w:val="008237BB"/>
    <w:rsid w:val="008252F2"/>
    <w:rsid w:val="00827996"/>
    <w:rsid w:val="00827D00"/>
    <w:rsid w:val="00830624"/>
    <w:rsid w:val="008346B4"/>
    <w:rsid w:val="00836981"/>
    <w:rsid w:val="00836E31"/>
    <w:rsid w:val="00837661"/>
    <w:rsid w:val="00843408"/>
    <w:rsid w:val="00843F7D"/>
    <w:rsid w:val="00844F5F"/>
    <w:rsid w:val="00845D66"/>
    <w:rsid w:val="00846466"/>
    <w:rsid w:val="00847BFE"/>
    <w:rsid w:val="008507D4"/>
    <w:rsid w:val="00852AEB"/>
    <w:rsid w:val="008552E5"/>
    <w:rsid w:val="00865726"/>
    <w:rsid w:val="008666E4"/>
    <w:rsid w:val="00866D23"/>
    <w:rsid w:val="008671F4"/>
    <w:rsid w:val="00870FF5"/>
    <w:rsid w:val="008757B2"/>
    <w:rsid w:val="00883761"/>
    <w:rsid w:val="0089170E"/>
    <w:rsid w:val="00892FD7"/>
    <w:rsid w:val="008942A3"/>
    <w:rsid w:val="00897A56"/>
    <w:rsid w:val="008A004A"/>
    <w:rsid w:val="008A5EDB"/>
    <w:rsid w:val="008A605B"/>
    <w:rsid w:val="008A76B5"/>
    <w:rsid w:val="008A7BBA"/>
    <w:rsid w:val="008B10AD"/>
    <w:rsid w:val="008B2E60"/>
    <w:rsid w:val="008B3BDB"/>
    <w:rsid w:val="008B4BF6"/>
    <w:rsid w:val="008C19A7"/>
    <w:rsid w:val="008C79FA"/>
    <w:rsid w:val="008D0262"/>
    <w:rsid w:val="008D50CE"/>
    <w:rsid w:val="008D51F6"/>
    <w:rsid w:val="008D579F"/>
    <w:rsid w:val="008D7CA7"/>
    <w:rsid w:val="008E57B3"/>
    <w:rsid w:val="008F0FA8"/>
    <w:rsid w:val="008F16CF"/>
    <w:rsid w:val="008F27A3"/>
    <w:rsid w:val="008F5F0D"/>
    <w:rsid w:val="008F73D6"/>
    <w:rsid w:val="008F74F0"/>
    <w:rsid w:val="00900AA8"/>
    <w:rsid w:val="00900E05"/>
    <w:rsid w:val="00901841"/>
    <w:rsid w:val="00902C40"/>
    <w:rsid w:val="00907C68"/>
    <w:rsid w:val="00911010"/>
    <w:rsid w:val="00911381"/>
    <w:rsid w:val="009118B2"/>
    <w:rsid w:val="00911A9C"/>
    <w:rsid w:val="00913B68"/>
    <w:rsid w:val="00914EA0"/>
    <w:rsid w:val="0091509F"/>
    <w:rsid w:val="0091631A"/>
    <w:rsid w:val="009169D8"/>
    <w:rsid w:val="00916DEC"/>
    <w:rsid w:val="009172F0"/>
    <w:rsid w:val="00921937"/>
    <w:rsid w:val="0093421D"/>
    <w:rsid w:val="00940730"/>
    <w:rsid w:val="00940A5E"/>
    <w:rsid w:val="00940C20"/>
    <w:rsid w:val="00941230"/>
    <w:rsid w:val="009467D1"/>
    <w:rsid w:val="00950694"/>
    <w:rsid w:val="00951ADD"/>
    <w:rsid w:val="009527C3"/>
    <w:rsid w:val="0095498A"/>
    <w:rsid w:val="00956AB8"/>
    <w:rsid w:val="00967098"/>
    <w:rsid w:val="0097283E"/>
    <w:rsid w:val="00973C19"/>
    <w:rsid w:val="00974A4A"/>
    <w:rsid w:val="00975B3E"/>
    <w:rsid w:val="00981442"/>
    <w:rsid w:val="00983543"/>
    <w:rsid w:val="00985D06"/>
    <w:rsid w:val="00986E00"/>
    <w:rsid w:val="00987879"/>
    <w:rsid w:val="009911A1"/>
    <w:rsid w:val="009911F9"/>
    <w:rsid w:val="00991670"/>
    <w:rsid w:val="0099622B"/>
    <w:rsid w:val="009A57CF"/>
    <w:rsid w:val="009A6A39"/>
    <w:rsid w:val="009B05FF"/>
    <w:rsid w:val="009B1082"/>
    <w:rsid w:val="009B381B"/>
    <w:rsid w:val="009B59C5"/>
    <w:rsid w:val="009C029C"/>
    <w:rsid w:val="009C21AD"/>
    <w:rsid w:val="009C2263"/>
    <w:rsid w:val="009C26B3"/>
    <w:rsid w:val="009C331D"/>
    <w:rsid w:val="009D0318"/>
    <w:rsid w:val="009D038F"/>
    <w:rsid w:val="009D1190"/>
    <w:rsid w:val="009D2826"/>
    <w:rsid w:val="009D5513"/>
    <w:rsid w:val="009D68A2"/>
    <w:rsid w:val="009E15B5"/>
    <w:rsid w:val="009E65DF"/>
    <w:rsid w:val="009E7CBE"/>
    <w:rsid w:val="009F4EC6"/>
    <w:rsid w:val="009F6D0C"/>
    <w:rsid w:val="00A002C7"/>
    <w:rsid w:val="00A0128A"/>
    <w:rsid w:val="00A07F79"/>
    <w:rsid w:val="00A11153"/>
    <w:rsid w:val="00A14785"/>
    <w:rsid w:val="00A14FFF"/>
    <w:rsid w:val="00A15745"/>
    <w:rsid w:val="00A217CD"/>
    <w:rsid w:val="00A22B45"/>
    <w:rsid w:val="00A23DE0"/>
    <w:rsid w:val="00A25AED"/>
    <w:rsid w:val="00A27FA9"/>
    <w:rsid w:val="00A3009E"/>
    <w:rsid w:val="00A33653"/>
    <w:rsid w:val="00A35BFD"/>
    <w:rsid w:val="00A36C77"/>
    <w:rsid w:val="00A37A67"/>
    <w:rsid w:val="00A405FE"/>
    <w:rsid w:val="00A42F2C"/>
    <w:rsid w:val="00A50F01"/>
    <w:rsid w:val="00A518B1"/>
    <w:rsid w:val="00A51BB8"/>
    <w:rsid w:val="00A523DF"/>
    <w:rsid w:val="00A532C5"/>
    <w:rsid w:val="00A612CD"/>
    <w:rsid w:val="00A61BEC"/>
    <w:rsid w:val="00A61D07"/>
    <w:rsid w:val="00A61DCD"/>
    <w:rsid w:val="00A672AD"/>
    <w:rsid w:val="00A71E2C"/>
    <w:rsid w:val="00A75C06"/>
    <w:rsid w:val="00A772A0"/>
    <w:rsid w:val="00A81555"/>
    <w:rsid w:val="00A824D4"/>
    <w:rsid w:val="00A837E2"/>
    <w:rsid w:val="00A9243A"/>
    <w:rsid w:val="00A941AB"/>
    <w:rsid w:val="00AA01E6"/>
    <w:rsid w:val="00AA2DF7"/>
    <w:rsid w:val="00AA3BF8"/>
    <w:rsid w:val="00AA4566"/>
    <w:rsid w:val="00AA7118"/>
    <w:rsid w:val="00AA7CA5"/>
    <w:rsid w:val="00AB6306"/>
    <w:rsid w:val="00AB670D"/>
    <w:rsid w:val="00AC02F1"/>
    <w:rsid w:val="00AC0BD8"/>
    <w:rsid w:val="00AC662C"/>
    <w:rsid w:val="00AC7624"/>
    <w:rsid w:val="00AD4F00"/>
    <w:rsid w:val="00AD5CE3"/>
    <w:rsid w:val="00AD5E9F"/>
    <w:rsid w:val="00AD66B7"/>
    <w:rsid w:val="00AE0E8C"/>
    <w:rsid w:val="00AE1752"/>
    <w:rsid w:val="00AE3482"/>
    <w:rsid w:val="00AF0A1E"/>
    <w:rsid w:val="00AF236A"/>
    <w:rsid w:val="00AF42CA"/>
    <w:rsid w:val="00AF5DC7"/>
    <w:rsid w:val="00AF67C8"/>
    <w:rsid w:val="00AF73A5"/>
    <w:rsid w:val="00B02975"/>
    <w:rsid w:val="00B02B45"/>
    <w:rsid w:val="00B04014"/>
    <w:rsid w:val="00B075E8"/>
    <w:rsid w:val="00B12367"/>
    <w:rsid w:val="00B124ED"/>
    <w:rsid w:val="00B246D3"/>
    <w:rsid w:val="00B26F5D"/>
    <w:rsid w:val="00B3771B"/>
    <w:rsid w:val="00B40EA8"/>
    <w:rsid w:val="00B42BBB"/>
    <w:rsid w:val="00B44B5D"/>
    <w:rsid w:val="00B44E56"/>
    <w:rsid w:val="00B46C0C"/>
    <w:rsid w:val="00B5117D"/>
    <w:rsid w:val="00B51182"/>
    <w:rsid w:val="00B54CDD"/>
    <w:rsid w:val="00B55D55"/>
    <w:rsid w:val="00B60D32"/>
    <w:rsid w:val="00B62432"/>
    <w:rsid w:val="00B75602"/>
    <w:rsid w:val="00B7671B"/>
    <w:rsid w:val="00B83C5E"/>
    <w:rsid w:val="00B85D7B"/>
    <w:rsid w:val="00B9497E"/>
    <w:rsid w:val="00BB1F98"/>
    <w:rsid w:val="00BB5511"/>
    <w:rsid w:val="00BB5DFD"/>
    <w:rsid w:val="00BB627F"/>
    <w:rsid w:val="00BC2AE1"/>
    <w:rsid w:val="00BC3739"/>
    <w:rsid w:val="00BC508E"/>
    <w:rsid w:val="00BD018C"/>
    <w:rsid w:val="00BD6132"/>
    <w:rsid w:val="00BD6E8D"/>
    <w:rsid w:val="00BE1490"/>
    <w:rsid w:val="00BE1997"/>
    <w:rsid w:val="00BE3662"/>
    <w:rsid w:val="00BE608F"/>
    <w:rsid w:val="00BF275F"/>
    <w:rsid w:val="00BF2C68"/>
    <w:rsid w:val="00C025A7"/>
    <w:rsid w:val="00C02B01"/>
    <w:rsid w:val="00C04320"/>
    <w:rsid w:val="00C05309"/>
    <w:rsid w:val="00C120DB"/>
    <w:rsid w:val="00C12201"/>
    <w:rsid w:val="00C1393F"/>
    <w:rsid w:val="00C142A5"/>
    <w:rsid w:val="00C147F5"/>
    <w:rsid w:val="00C20B0F"/>
    <w:rsid w:val="00C222C3"/>
    <w:rsid w:val="00C26FA6"/>
    <w:rsid w:val="00C31707"/>
    <w:rsid w:val="00C34FBD"/>
    <w:rsid w:val="00C371F9"/>
    <w:rsid w:val="00C4144E"/>
    <w:rsid w:val="00C46371"/>
    <w:rsid w:val="00C5042C"/>
    <w:rsid w:val="00C51541"/>
    <w:rsid w:val="00C51604"/>
    <w:rsid w:val="00C537F2"/>
    <w:rsid w:val="00C54911"/>
    <w:rsid w:val="00C56F14"/>
    <w:rsid w:val="00C609AF"/>
    <w:rsid w:val="00C622C6"/>
    <w:rsid w:val="00C674E9"/>
    <w:rsid w:val="00C70258"/>
    <w:rsid w:val="00C717D6"/>
    <w:rsid w:val="00C73D39"/>
    <w:rsid w:val="00C73E65"/>
    <w:rsid w:val="00C73F0D"/>
    <w:rsid w:val="00C75E50"/>
    <w:rsid w:val="00C762C2"/>
    <w:rsid w:val="00C80934"/>
    <w:rsid w:val="00C80947"/>
    <w:rsid w:val="00C87035"/>
    <w:rsid w:val="00C874AC"/>
    <w:rsid w:val="00C90812"/>
    <w:rsid w:val="00C90958"/>
    <w:rsid w:val="00C918F6"/>
    <w:rsid w:val="00C94841"/>
    <w:rsid w:val="00C95EA8"/>
    <w:rsid w:val="00CA40D4"/>
    <w:rsid w:val="00CB0586"/>
    <w:rsid w:val="00CB1A24"/>
    <w:rsid w:val="00CB372A"/>
    <w:rsid w:val="00CB398B"/>
    <w:rsid w:val="00CB5136"/>
    <w:rsid w:val="00CB516A"/>
    <w:rsid w:val="00CC0BE4"/>
    <w:rsid w:val="00CC16F3"/>
    <w:rsid w:val="00CC482B"/>
    <w:rsid w:val="00CC5E7D"/>
    <w:rsid w:val="00CD16DE"/>
    <w:rsid w:val="00CD1ADF"/>
    <w:rsid w:val="00CD3C3E"/>
    <w:rsid w:val="00CD4D1A"/>
    <w:rsid w:val="00CD64A1"/>
    <w:rsid w:val="00CF014A"/>
    <w:rsid w:val="00CF2680"/>
    <w:rsid w:val="00CF5F3D"/>
    <w:rsid w:val="00D00E78"/>
    <w:rsid w:val="00D01720"/>
    <w:rsid w:val="00D06196"/>
    <w:rsid w:val="00D07BE4"/>
    <w:rsid w:val="00D1004F"/>
    <w:rsid w:val="00D10376"/>
    <w:rsid w:val="00D15C9D"/>
    <w:rsid w:val="00D16004"/>
    <w:rsid w:val="00D170F7"/>
    <w:rsid w:val="00D17597"/>
    <w:rsid w:val="00D215B1"/>
    <w:rsid w:val="00D274FC"/>
    <w:rsid w:val="00D30CC5"/>
    <w:rsid w:val="00D33A15"/>
    <w:rsid w:val="00D35F09"/>
    <w:rsid w:val="00D3632B"/>
    <w:rsid w:val="00D41E22"/>
    <w:rsid w:val="00D45B79"/>
    <w:rsid w:val="00D53416"/>
    <w:rsid w:val="00D629C8"/>
    <w:rsid w:val="00D63BC7"/>
    <w:rsid w:val="00D654E1"/>
    <w:rsid w:val="00D66D6A"/>
    <w:rsid w:val="00D66F14"/>
    <w:rsid w:val="00D67E01"/>
    <w:rsid w:val="00D70686"/>
    <w:rsid w:val="00D74CA8"/>
    <w:rsid w:val="00D76C71"/>
    <w:rsid w:val="00D80023"/>
    <w:rsid w:val="00D84A11"/>
    <w:rsid w:val="00D934E8"/>
    <w:rsid w:val="00D93B02"/>
    <w:rsid w:val="00D967E3"/>
    <w:rsid w:val="00D972F5"/>
    <w:rsid w:val="00DA4ABE"/>
    <w:rsid w:val="00DA6A3E"/>
    <w:rsid w:val="00DA7976"/>
    <w:rsid w:val="00DA7C4F"/>
    <w:rsid w:val="00DC01C0"/>
    <w:rsid w:val="00DC0935"/>
    <w:rsid w:val="00DC39AD"/>
    <w:rsid w:val="00DC6733"/>
    <w:rsid w:val="00DC74FF"/>
    <w:rsid w:val="00DD1ED7"/>
    <w:rsid w:val="00DD6069"/>
    <w:rsid w:val="00DD69DA"/>
    <w:rsid w:val="00DF3B16"/>
    <w:rsid w:val="00DF60AB"/>
    <w:rsid w:val="00DF6624"/>
    <w:rsid w:val="00DF6C2A"/>
    <w:rsid w:val="00E01DA7"/>
    <w:rsid w:val="00E058B1"/>
    <w:rsid w:val="00E1099E"/>
    <w:rsid w:val="00E12FA2"/>
    <w:rsid w:val="00E14DD3"/>
    <w:rsid w:val="00E160FE"/>
    <w:rsid w:val="00E16378"/>
    <w:rsid w:val="00E25D8C"/>
    <w:rsid w:val="00E26378"/>
    <w:rsid w:val="00E27073"/>
    <w:rsid w:val="00E336D2"/>
    <w:rsid w:val="00E33C9A"/>
    <w:rsid w:val="00E34560"/>
    <w:rsid w:val="00E36F33"/>
    <w:rsid w:val="00E41ED9"/>
    <w:rsid w:val="00E425B0"/>
    <w:rsid w:val="00E50DBF"/>
    <w:rsid w:val="00E67F5C"/>
    <w:rsid w:val="00E70744"/>
    <w:rsid w:val="00E744A9"/>
    <w:rsid w:val="00E830D0"/>
    <w:rsid w:val="00E86ACF"/>
    <w:rsid w:val="00E87303"/>
    <w:rsid w:val="00E92A4D"/>
    <w:rsid w:val="00E94FC8"/>
    <w:rsid w:val="00EB58A9"/>
    <w:rsid w:val="00EB67AB"/>
    <w:rsid w:val="00EB697B"/>
    <w:rsid w:val="00EB79BC"/>
    <w:rsid w:val="00EC4B26"/>
    <w:rsid w:val="00EC5889"/>
    <w:rsid w:val="00EC7051"/>
    <w:rsid w:val="00EC7E7C"/>
    <w:rsid w:val="00ED04D9"/>
    <w:rsid w:val="00ED16FE"/>
    <w:rsid w:val="00ED3E03"/>
    <w:rsid w:val="00ED450C"/>
    <w:rsid w:val="00EE0CA2"/>
    <w:rsid w:val="00EE1D62"/>
    <w:rsid w:val="00EE26CB"/>
    <w:rsid w:val="00EE7B6A"/>
    <w:rsid w:val="00EF522A"/>
    <w:rsid w:val="00EF5871"/>
    <w:rsid w:val="00F00C24"/>
    <w:rsid w:val="00F0684B"/>
    <w:rsid w:val="00F10A31"/>
    <w:rsid w:val="00F15033"/>
    <w:rsid w:val="00F1748D"/>
    <w:rsid w:val="00F17C95"/>
    <w:rsid w:val="00F20150"/>
    <w:rsid w:val="00F20BD2"/>
    <w:rsid w:val="00F23AAF"/>
    <w:rsid w:val="00F31389"/>
    <w:rsid w:val="00F3318A"/>
    <w:rsid w:val="00F41979"/>
    <w:rsid w:val="00F4418B"/>
    <w:rsid w:val="00F44629"/>
    <w:rsid w:val="00F448C5"/>
    <w:rsid w:val="00F46164"/>
    <w:rsid w:val="00F47A57"/>
    <w:rsid w:val="00F513F0"/>
    <w:rsid w:val="00F536A9"/>
    <w:rsid w:val="00F53BDD"/>
    <w:rsid w:val="00F55C85"/>
    <w:rsid w:val="00F602F7"/>
    <w:rsid w:val="00F625F9"/>
    <w:rsid w:val="00F6635B"/>
    <w:rsid w:val="00F7007E"/>
    <w:rsid w:val="00F8077F"/>
    <w:rsid w:val="00F84F7F"/>
    <w:rsid w:val="00F95C84"/>
    <w:rsid w:val="00FA3B38"/>
    <w:rsid w:val="00FA6581"/>
    <w:rsid w:val="00FB0190"/>
    <w:rsid w:val="00FB1A12"/>
    <w:rsid w:val="00FB3467"/>
    <w:rsid w:val="00FB3A34"/>
    <w:rsid w:val="00FB432E"/>
    <w:rsid w:val="00FC1A0D"/>
    <w:rsid w:val="00FC6652"/>
    <w:rsid w:val="00FC7FCE"/>
    <w:rsid w:val="00FD253B"/>
    <w:rsid w:val="00FD3629"/>
    <w:rsid w:val="00FD5C2D"/>
    <w:rsid w:val="00FE0DE2"/>
    <w:rsid w:val="00FE2A26"/>
    <w:rsid w:val="00FE42D7"/>
    <w:rsid w:val="00FF387B"/>
    <w:rsid w:val="00FF4F1E"/>
    <w:rsid w:val="00FF6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8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0C"/>
    <w:pPr>
      <w:spacing w:after="160" w:line="259"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3ECF"/>
    <w:rPr>
      <w:color w:val="0563C1"/>
      <w:u w:val="single"/>
    </w:rPr>
  </w:style>
  <w:style w:type="paragraph" w:styleId="Header">
    <w:name w:val="header"/>
    <w:basedOn w:val="Normal"/>
    <w:link w:val="HeaderChar"/>
    <w:uiPriority w:val="99"/>
    <w:rsid w:val="000C062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C062A"/>
  </w:style>
  <w:style w:type="paragraph" w:styleId="Footer">
    <w:name w:val="footer"/>
    <w:basedOn w:val="Normal"/>
    <w:link w:val="FooterChar"/>
    <w:uiPriority w:val="99"/>
    <w:rsid w:val="000C06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062A"/>
  </w:style>
  <w:style w:type="paragraph" w:styleId="EndnoteText">
    <w:name w:val="endnote text"/>
    <w:basedOn w:val="Normal"/>
    <w:link w:val="EndnoteTextChar"/>
    <w:uiPriority w:val="99"/>
    <w:semiHidden/>
    <w:rsid w:val="000C6749"/>
    <w:pPr>
      <w:spacing w:after="0" w:line="240" w:lineRule="auto"/>
    </w:pPr>
    <w:rPr>
      <w:sz w:val="20"/>
      <w:szCs w:val="20"/>
    </w:rPr>
  </w:style>
  <w:style w:type="character" w:customStyle="1" w:styleId="EndnoteTextChar">
    <w:name w:val="Endnote Text Char"/>
    <w:link w:val="EndnoteText"/>
    <w:uiPriority w:val="99"/>
    <w:semiHidden/>
    <w:locked/>
    <w:rsid w:val="000C6749"/>
    <w:rPr>
      <w:sz w:val="20"/>
      <w:szCs w:val="20"/>
    </w:rPr>
  </w:style>
  <w:style w:type="character" w:styleId="EndnoteReference">
    <w:name w:val="endnote reference"/>
    <w:uiPriority w:val="99"/>
    <w:semiHidden/>
    <w:rsid w:val="000C6749"/>
    <w:rPr>
      <w:vertAlign w:val="superscript"/>
    </w:rPr>
  </w:style>
  <w:style w:type="paragraph" w:styleId="BalloonText">
    <w:name w:val="Balloon Text"/>
    <w:basedOn w:val="Normal"/>
    <w:link w:val="BalloonTextChar"/>
    <w:uiPriority w:val="99"/>
    <w:semiHidden/>
    <w:rsid w:val="0062384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623845"/>
    <w:rPr>
      <w:rFonts w:ascii="Segoe UI" w:hAnsi="Segoe UI" w:cs="Segoe UI"/>
      <w:sz w:val="18"/>
      <w:szCs w:val="18"/>
    </w:rPr>
  </w:style>
  <w:style w:type="paragraph" w:styleId="ListParagraph">
    <w:name w:val="List Paragraph"/>
    <w:basedOn w:val="Normal"/>
    <w:uiPriority w:val="34"/>
    <w:qFormat/>
    <w:rsid w:val="00696976"/>
    <w:pPr>
      <w:ind w:left="720"/>
      <w:contextualSpacing/>
    </w:pPr>
    <w:rPr>
      <w:rFonts w:cs="Times New Roman"/>
      <w:lang w:val="lt-LT"/>
    </w:rPr>
  </w:style>
  <w:style w:type="character" w:customStyle="1" w:styleId="apple-converted-space">
    <w:name w:val="apple-converted-space"/>
    <w:basedOn w:val="DefaultParagraphFont"/>
    <w:rsid w:val="002C6158"/>
  </w:style>
  <w:style w:type="paragraph" w:styleId="CommentText">
    <w:name w:val="annotation text"/>
    <w:basedOn w:val="Normal"/>
    <w:link w:val="CommentTextChar"/>
    <w:semiHidden/>
    <w:rsid w:val="000B552E"/>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link w:val="CommentText"/>
    <w:locked/>
    <w:rsid w:val="000B552E"/>
    <w:rPr>
      <w:lang w:val="en-US" w:eastAsia="lt-LT" w:bidi="ar-SA"/>
    </w:rPr>
  </w:style>
  <w:style w:type="character" w:styleId="CommentReference">
    <w:name w:val="annotation reference"/>
    <w:uiPriority w:val="99"/>
    <w:semiHidden/>
    <w:unhideWhenUsed/>
    <w:rsid w:val="00CB398B"/>
    <w:rPr>
      <w:sz w:val="16"/>
      <w:szCs w:val="16"/>
    </w:rPr>
  </w:style>
  <w:style w:type="paragraph" w:styleId="CommentSubject">
    <w:name w:val="annotation subject"/>
    <w:basedOn w:val="CommentText"/>
    <w:next w:val="CommentText"/>
    <w:link w:val="CommentSubjectChar"/>
    <w:uiPriority w:val="99"/>
    <w:semiHidden/>
    <w:unhideWhenUsed/>
    <w:rsid w:val="00CB398B"/>
    <w:pPr>
      <w:spacing w:after="160" w:line="259" w:lineRule="auto"/>
      <w:ind w:firstLine="0"/>
      <w:jc w:val="left"/>
    </w:pPr>
    <w:rPr>
      <w:rFonts w:ascii="Calibri" w:eastAsia="Calibri" w:hAnsi="Calibri" w:cs="Calibri"/>
      <w:b/>
      <w:bCs/>
      <w:lang w:eastAsia="en-US"/>
    </w:rPr>
  </w:style>
  <w:style w:type="character" w:customStyle="1" w:styleId="CommentSubjectChar">
    <w:name w:val="Comment Subject Char"/>
    <w:link w:val="CommentSubject"/>
    <w:uiPriority w:val="99"/>
    <w:semiHidden/>
    <w:rsid w:val="00CB398B"/>
    <w:rPr>
      <w:rFonts w:cs="Calibri"/>
      <w:b/>
      <w:bCs/>
      <w:lang w:val="en-US" w:eastAsia="en-US" w:bidi="ar-SA"/>
    </w:rPr>
  </w:style>
  <w:style w:type="paragraph" w:styleId="PlainText">
    <w:name w:val="Plain Text"/>
    <w:basedOn w:val="Normal"/>
    <w:link w:val="PlainTextChar"/>
    <w:uiPriority w:val="99"/>
    <w:unhideWhenUsed/>
    <w:rsid w:val="00007351"/>
    <w:pPr>
      <w:spacing w:after="0" w:line="240" w:lineRule="auto"/>
    </w:pPr>
    <w:rPr>
      <w:rFonts w:eastAsiaTheme="minorHAnsi" w:cstheme="minorBidi"/>
      <w:szCs w:val="21"/>
      <w:lang w:val="lt-LT"/>
    </w:rPr>
  </w:style>
  <w:style w:type="character" w:customStyle="1" w:styleId="PlainTextChar">
    <w:name w:val="Plain Text Char"/>
    <w:basedOn w:val="DefaultParagraphFont"/>
    <w:link w:val="PlainText"/>
    <w:uiPriority w:val="99"/>
    <w:rsid w:val="00007351"/>
    <w:rPr>
      <w:rFonts w:eastAsiaTheme="minorHAnsi" w:cstheme="minorBidi"/>
      <w:sz w:val="22"/>
      <w:szCs w:val="21"/>
      <w:lang w:eastAsia="en-US"/>
    </w:rPr>
  </w:style>
  <w:style w:type="paragraph" w:customStyle="1" w:styleId="Default">
    <w:name w:val="Default"/>
    <w:rsid w:val="001A1828"/>
    <w:pPr>
      <w:autoSpaceDE w:val="0"/>
      <w:autoSpaceDN w:val="0"/>
      <w:adjustRightInd w:val="0"/>
    </w:pPr>
    <w:rPr>
      <w:rFonts w:ascii="Times New Roman" w:eastAsiaTheme="minorEastAsia" w:hAnsi="Times New Roman"/>
      <w:color w:val="000000"/>
      <w:sz w:val="24"/>
      <w:szCs w:val="24"/>
      <w:lang w:val="en-US" w:eastAsia="en-US"/>
    </w:rPr>
  </w:style>
  <w:style w:type="paragraph" w:styleId="NormalWeb">
    <w:name w:val="Normal (Web)"/>
    <w:basedOn w:val="Normal"/>
    <w:uiPriority w:val="99"/>
    <w:semiHidden/>
    <w:unhideWhenUsed/>
    <w:rsid w:val="00847BFE"/>
    <w:pPr>
      <w:spacing w:before="100" w:beforeAutospacing="1" w:after="100" w:afterAutospacing="1" w:line="240" w:lineRule="auto"/>
    </w:pPr>
    <w:rPr>
      <w:rFonts w:ascii="Times New Roman" w:eastAsiaTheme="minorHAnsi" w:hAnsi="Times New Roman" w:cs="Times New Roman"/>
      <w:sz w:val="24"/>
      <w:szCs w:val="24"/>
      <w:lang w:val="lt-LT" w:eastAsia="lt-LT"/>
    </w:rPr>
  </w:style>
  <w:style w:type="character" w:styleId="Strong">
    <w:name w:val="Strong"/>
    <w:basedOn w:val="DefaultParagraphFont"/>
    <w:uiPriority w:val="22"/>
    <w:qFormat/>
    <w:locked/>
    <w:rsid w:val="00847B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0C"/>
    <w:pPr>
      <w:spacing w:after="160" w:line="259"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3ECF"/>
    <w:rPr>
      <w:color w:val="0563C1"/>
      <w:u w:val="single"/>
    </w:rPr>
  </w:style>
  <w:style w:type="paragraph" w:styleId="Header">
    <w:name w:val="header"/>
    <w:basedOn w:val="Normal"/>
    <w:link w:val="HeaderChar"/>
    <w:uiPriority w:val="99"/>
    <w:rsid w:val="000C062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C062A"/>
  </w:style>
  <w:style w:type="paragraph" w:styleId="Footer">
    <w:name w:val="footer"/>
    <w:basedOn w:val="Normal"/>
    <w:link w:val="FooterChar"/>
    <w:uiPriority w:val="99"/>
    <w:rsid w:val="000C06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062A"/>
  </w:style>
  <w:style w:type="paragraph" w:styleId="EndnoteText">
    <w:name w:val="endnote text"/>
    <w:basedOn w:val="Normal"/>
    <w:link w:val="EndnoteTextChar"/>
    <w:uiPriority w:val="99"/>
    <w:semiHidden/>
    <w:rsid w:val="000C6749"/>
    <w:pPr>
      <w:spacing w:after="0" w:line="240" w:lineRule="auto"/>
    </w:pPr>
    <w:rPr>
      <w:sz w:val="20"/>
      <w:szCs w:val="20"/>
    </w:rPr>
  </w:style>
  <w:style w:type="character" w:customStyle="1" w:styleId="EndnoteTextChar">
    <w:name w:val="Endnote Text Char"/>
    <w:link w:val="EndnoteText"/>
    <w:uiPriority w:val="99"/>
    <w:semiHidden/>
    <w:locked/>
    <w:rsid w:val="000C6749"/>
    <w:rPr>
      <w:sz w:val="20"/>
      <w:szCs w:val="20"/>
    </w:rPr>
  </w:style>
  <w:style w:type="character" w:styleId="EndnoteReference">
    <w:name w:val="endnote reference"/>
    <w:uiPriority w:val="99"/>
    <w:semiHidden/>
    <w:rsid w:val="000C6749"/>
    <w:rPr>
      <w:vertAlign w:val="superscript"/>
    </w:rPr>
  </w:style>
  <w:style w:type="paragraph" w:styleId="BalloonText">
    <w:name w:val="Balloon Text"/>
    <w:basedOn w:val="Normal"/>
    <w:link w:val="BalloonTextChar"/>
    <w:uiPriority w:val="99"/>
    <w:semiHidden/>
    <w:rsid w:val="0062384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623845"/>
    <w:rPr>
      <w:rFonts w:ascii="Segoe UI" w:hAnsi="Segoe UI" w:cs="Segoe UI"/>
      <w:sz w:val="18"/>
      <w:szCs w:val="18"/>
    </w:rPr>
  </w:style>
  <w:style w:type="paragraph" w:styleId="ListParagraph">
    <w:name w:val="List Paragraph"/>
    <w:basedOn w:val="Normal"/>
    <w:uiPriority w:val="34"/>
    <w:qFormat/>
    <w:rsid w:val="00696976"/>
    <w:pPr>
      <w:ind w:left="720"/>
      <w:contextualSpacing/>
    </w:pPr>
    <w:rPr>
      <w:rFonts w:cs="Times New Roman"/>
      <w:lang w:val="lt-LT"/>
    </w:rPr>
  </w:style>
  <w:style w:type="character" w:customStyle="1" w:styleId="apple-converted-space">
    <w:name w:val="apple-converted-space"/>
    <w:basedOn w:val="DefaultParagraphFont"/>
    <w:rsid w:val="002C6158"/>
  </w:style>
  <w:style w:type="paragraph" w:styleId="CommentText">
    <w:name w:val="annotation text"/>
    <w:basedOn w:val="Normal"/>
    <w:link w:val="CommentTextChar"/>
    <w:semiHidden/>
    <w:rsid w:val="000B552E"/>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link w:val="CommentText"/>
    <w:locked/>
    <w:rsid w:val="000B552E"/>
    <w:rPr>
      <w:lang w:val="en-US" w:eastAsia="lt-LT" w:bidi="ar-SA"/>
    </w:rPr>
  </w:style>
  <w:style w:type="character" w:styleId="CommentReference">
    <w:name w:val="annotation reference"/>
    <w:uiPriority w:val="99"/>
    <w:semiHidden/>
    <w:unhideWhenUsed/>
    <w:rsid w:val="00CB398B"/>
    <w:rPr>
      <w:sz w:val="16"/>
      <w:szCs w:val="16"/>
    </w:rPr>
  </w:style>
  <w:style w:type="paragraph" w:styleId="CommentSubject">
    <w:name w:val="annotation subject"/>
    <w:basedOn w:val="CommentText"/>
    <w:next w:val="CommentText"/>
    <w:link w:val="CommentSubjectChar"/>
    <w:uiPriority w:val="99"/>
    <w:semiHidden/>
    <w:unhideWhenUsed/>
    <w:rsid w:val="00CB398B"/>
    <w:pPr>
      <w:spacing w:after="160" w:line="259" w:lineRule="auto"/>
      <w:ind w:firstLine="0"/>
      <w:jc w:val="left"/>
    </w:pPr>
    <w:rPr>
      <w:rFonts w:ascii="Calibri" w:eastAsia="Calibri" w:hAnsi="Calibri" w:cs="Calibri"/>
      <w:b/>
      <w:bCs/>
      <w:lang w:eastAsia="en-US"/>
    </w:rPr>
  </w:style>
  <w:style w:type="character" w:customStyle="1" w:styleId="CommentSubjectChar">
    <w:name w:val="Comment Subject Char"/>
    <w:link w:val="CommentSubject"/>
    <w:uiPriority w:val="99"/>
    <w:semiHidden/>
    <w:rsid w:val="00CB398B"/>
    <w:rPr>
      <w:rFonts w:cs="Calibri"/>
      <w:b/>
      <w:bCs/>
      <w:lang w:val="en-US" w:eastAsia="en-US" w:bidi="ar-SA"/>
    </w:rPr>
  </w:style>
  <w:style w:type="paragraph" w:styleId="PlainText">
    <w:name w:val="Plain Text"/>
    <w:basedOn w:val="Normal"/>
    <w:link w:val="PlainTextChar"/>
    <w:uiPriority w:val="99"/>
    <w:unhideWhenUsed/>
    <w:rsid w:val="00007351"/>
    <w:pPr>
      <w:spacing w:after="0" w:line="240" w:lineRule="auto"/>
    </w:pPr>
    <w:rPr>
      <w:rFonts w:eastAsiaTheme="minorHAnsi" w:cstheme="minorBidi"/>
      <w:szCs w:val="21"/>
      <w:lang w:val="lt-LT"/>
    </w:rPr>
  </w:style>
  <w:style w:type="character" w:customStyle="1" w:styleId="PlainTextChar">
    <w:name w:val="Plain Text Char"/>
    <w:basedOn w:val="DefaultParagraphFont"/>
    <w:link w:val="PlainText"/>
    <w:uiPriority w:val="99"/>
    <w:rsid w:val="00007351"/>
    <w:rPr>
      <w:rFonts w:eastAsiaTheme="minorHAnsi" w:cstheme="minorBidi"/>
      <w:sz w:val="22"/>
      <w:szCs w:val="21"/>
      <w:lang w:eastAsia="en-US"/>
    </w:rPr>
  </w:style>
  <w:style w:type="paragraph" w:customStyle="1" w:styleId="Default">
    <w:name w:val="Default"/>
    <w:rsid w:val="001A1828"/>
    <w:pPr>
      <w:autoSpaceDE w:val="0"/>
      <w:autoSpaceDN w:val="0"/>
      <w:adjustRightInd w:val="0"/>
    </w:pPr>
    <w:rPr>
      <w:rFonts w:ascii="Times New Roman" w:eastAsiaTheme="minorEastAsia" w:hAnsi="Times New Roman"/>
      <w:color w:val="000000"/>
      <w:sz w:val="24"/>
      <w:szCs w:val="24"/>
      <w:lang w:val="en-US" w:eastAsia="en-US"/>
    </w:rPr>
  </w:style>
  <w:style w:type="paragraph" w:styleId="NormalWeb">
    <w:name w:val="Normal (Web)"/>
    <w:basedOn w:val="Normal"/>
    <w:uiPriority w:val="99"/>
    <w:semiHidden/>
    <w:unhideWhenUsed/>
    <w:rsid w:val="00847BFE"/>
    <w:pPr>
      <w:spacing w:before="100" w:beforeAutospacing="1" w:after="100" w:afterAutospacing="1" w:line="240" w:lineRule="auto"/>
    </w:pPr>
    <w:rPr>
      <w:rFonts w:ascii="Times New Roman" w:eastAsiaTheme="minorHAnsi" w:hAnsi="Times New Roman" w:cs="Times New Roman"/>
      <w:sz w:val="24"/>
      <w:szCs w:val="24"/>
      <w:lang w:val="lt-LT" w:eastAsia="lt-LT"/>
    </w:rPr>
  </w:style>
  <w:style w:type="character" w:styleId="Strong">
    <w:name w:val="Strong"/>
    <w:basedOn w:val="DefaultParagraphFont"/>
    <w:uiPriority w:val="22"/>
    <w:qFormat/>
    <w:locked/>
    <w:rsid w:val="00847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97905">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625237865">
      <w:bodyDiv w:val="1"/>
      <w:marLeft w:val="0"/>
      <w:marRight w:val="0"/>
      <w:marTop w:val="0"/>
      <w:marBottom w:val="0"/>
      <w:divBdr>
        <w:top w:val="none" w:sz="0" w:space="0" w:color="auto"/>
        <w:left w:val="none" w:sz="0" w:space="0" w:color="auto"/>
        <w:bottom w:val="none" w:sz="0" w:space="0" w:color="auto"/>
        <w:right w:val="none" w:sz="0" w:space="0" w:color="auto"/>
      </w:divBdr>
    </w:div>
    <w:div w:id="662854653">
      <w:bodyDiv w:val="1"/>
      <w:marLeft w:val="0"/>
      <w:marRight w:val="0"/>
      <w:marTop w:val="0"/>
      <w:marBottom w:val="0"/>
      <w:divBdr>
        <w:top w:val="none" w:sz="0" w:space="0" w:color="auto"/>
        <w:left w:val="none" w:sz="0" w:space="0" w:color="auto"/>
        <w:bottom w:val="none" w:sz="0" w:space="0" w:color="auto"/>
        <w:right w:val="none" w:sz="0" w:space="0" w:color="auto"/>
      </w:divBdr>
    </w:div>
    <w:div w:id="810441063">
      <w:bodyDiv w:val="1"/>
      <w:marLeft w:val="0"/>
      <w:marRight w:val="0"/>
      <w:marTop w:val="0"/>
      <w:marBottom w:val="0"/>
      <w:divBdr>
        <w:top w:val="none" w:sz="0" w:space="0" w:color="auto"/>
        <w:left w:val="none" w:sz="0" w:space="0" w:color="auto"/>
        <w:bottom w:val="none" w:sz="0" w:space="0" w:color="auto"/>
        <w:right w:val="none" w:sz="0" w:space="0" w:color="auto"/>
      </w:divBdr>
    </w:div>
    <w:div w:id="828055531">
      <w:bodyDiv w:val="1"/>
      <w:marLeft w:val="0"/>
      <w:marRight w:val="0"/>
      <w:marTop w:val="0"/>
      <w:marBottom w:val="0"/>
      <w:divBdr>
        <w:top w:val="none" w:sz="0" w:space="0" w:color="auto"/>
        <w:left w:val="none" w:sz="0" w:space="0" w:color="auto"/>
        <w:bottom w:val="none" w:sz="0" w:space="0" w:color="auto"/>
        <w:right w:val="none" w:sz="0" w:space="0" w:color="auto"/>
      </w:divBdr>
    </w:div>
    <w:div w:id="831214507">
      <w:marLeft w:val="0"/>
      <w:marRight w:val="0"/>
      <w:marTop w:val="0"/>
      <w:marBottom w:val="0"/>
      <w:divBdr>
        <w:top w:val="none" w:sz="0" w:space="0" w:color="auto"/>
        <w:left w:val="none" w:sz="0" w:space="0" w:color="auto"/>
        <w:bottom w:val="none" w:sz="0" w:space="0" w:color="auto"/>
        <w:right w:val="none" w:sz="0" w:space="0" w:color="auto"/>
      </w:divBdr>
    </w:div>
    <w:div w:id="831214509">
      <w:marLeft w:val="0"/>
      <w:marRight w:val="0"/>
      <w:marTop w:val="0"/>
      <w:marBottom w:val="0"/>
      <w:divBdr>
        <w:top w:val="none" w:sz="0" w:space="0" w:color="auto"/>
        <w:left w:val="none" w:sz="0" w:space="0" w:color="auto"/>
        <w:bottom w:val="none" w:sz="0" w:space="0" w:color="auto"/>
        <w:right w:val="none" w:sz="0" w:space="0" w:color="auto"/>
      </w:divBdr>
      <w:divsChild>
        <w:div w:id="831214512">
          <w:marLeft w:val="0"/>
          <w:marRight w:val="0"/>
          <w:marTop w:val="0"/>
          <w:marBottom w:val="0"/>
          <w:divBdr>
            <w:top w:val="none" w:sz="0" w:space="0" w:color="auto"/>
            <w:left w:val="none" w:sz="0" w:space="0" w:color="auto"/>
            <w:bottom w:val="none" w:sz="0" w:space="0" w:color="auto"/>
            <w:right w:val="none" w:sz="0" w:space="0" w:color="auto"/>
          </w:divBdr>
        </w:div>
        <w:div w:id="831214513">
          <w:marLeft w:val="0"/>
          <w:marRight w:val="0"/>
          <w:marTop w:val="0"/>
          <w:marBottom w:val="0"/>
          <w:divBdr>
            <w:top w:val="none" w:sz="0" w:space="0" w:color="auto"/>
            <w:left w:val="none" w:sz="0" w:space="0" w:color="auto"/>
            <w:bottom w:val="none" w:sz="0" w:space="0" w:color="auto"/>
            <w:right w:val="none" w:sz="0" w:space="0" w:color="auto"/>
          </w:divBdr>
        </w:div>
      </w:divsChild>
    </w:div>
    <w:div w:id="831214510">
      <w:marLeft w:val="0"/>
      <w:marRight w:val="0"/>
      <w:marTop w:val="0"/>
      <w:marBottom w:val="0"/>
      <w:divBdr>
        <w:top w:val="none" w:sz="0" w:space="0" w:color="auto"/>
        <w:left w:val="none" w:sz="0" w:space="0" w:color="auto"/>
        <w:bottom w:val="none" w:sz="0" w:space="0" w:color="auto"/>
        <w:right w:val="none" w:sz="0" w:space="0" w:color="auto"/>
      </w:divBdr>
      <w:divsChild>
        <w:div w:id="831214508">
          <w:marLeft w:val="0"/>
          <w:marRight w:val="0"/>
          <w:marTop w:val="0"/>
          <w:marBottom w:val="0"/>
          <w:divBdr>
            <w:top w:val="none" w:sz="0" w:space="0" w:color="auto"/>
            <w:left w:val="none" w:sz="0" w:space="0" w:color="auto"/>
            <w:bottom w:val="none" w:sz="0" w:space="0" w:color="auto"/>
            <w:right w:val="none" w:sz="0" w:space="0" w:color="auto"/>
          </w:divBdr>
        </w:div>
        <w:div w:id="831214514">
          <w:marLeft w:val="0"/>
          <w:marRight w:val="0"/>
          <w:marTop w:val="0"/>
          <w:marBottom w:val="0"/>
          <w:divBdr>
            <w:top w:val="none" w:sz="0" w:space="0" w:color="auto"/>
            <w:left w:val="none" w:sz="0" w:space="0" w:color="auto"/>
            <w:bottom w:val="none" w:sz="0" w:space="0" w:color="auto"/>
            <w:right w:val="none" w:sz="0" w:space="0" w:color="auto"/>
          </w:divBdr>
        </w:div>
      </w:divsChild>
    </w:div>
    <w:div w:id="831214515">
      <w:marLeft w:val="0"/>
      <w:marRight w:val="0"/>
      <w:marTop w:val="0"/>
      <w:marBottom w:val="0"/>
      <w:divBdr>
        <w:top w:val="none" w:sz="0" w:space="0" w:color="auto"/>
        <w:left w:val="none" w:sz="0" w:space="0" w:color="auto"/>
        <w:bottom w:val="none" w:sz="0" w:space="0" w:color="auto"/>
        <w:right w:val="none" w:sz="0" w:space="0" w:color="auto"/>
      </w:divBdr>
    </w:div>
    <w:div w:id="831214516">
      <w:marLeft w:val="0"/>
      <w:marRight w:val="0"/>
      <w:marTop w:val="0"/>
      <w:marBottom w:val="0"/>
      <w:divBdr>
        <w:top w:val="none" w:sz="0" w:space="0" w:color="auto"/>
        <w:left w:val="none" w:sz="0" w:space="0" w:color="auto"/>
        <w:bottom w:val="none" w:sz="0" w:space="0" w:color="auto"/>
        <w:right w:val="none" w:sz="0" w:space="0" w:color="auto"/>
      </w:divBdr>
    </w:div>
    <w:div w:id="831214517">
      <w:marLeft w:val="0"/>
      <w:marRight w:val="0"/>
      <w:marTop w:val="0"/>
      <w:marBottom w:val="0"/>
      <w:divBdr>
        <w:top w:val="none" w:sz="0" w:space="0" w:color="auto"/>
        <w:left w:val="none" w:sz="0" w:space="0" w:color="auto"/>
        <w:bottom w:val="none" w:sz="0" w:space="0" w:color="auto"/>
        <w:right w:val="none" w:sz="0" w:space="0" w:color="auto"/>
      </w:divBdr>
    </w:div>
    <w:div w:id="831214518">
      <w:marLeft w:val="0"/>
      <w:marRight w:val="0"/>
      <w:marTop w:val="0"/>
      <w:marBottom w:val="0"/>
      <w:divBdr>
        <w:top w:val="none" w:sz="0" w:space="0" w:color="auto"/>
        <w:left w:val="none" w:sz="0" w:space="0" w:color="auto"/>
        <w:bottom w:val="none" w:sz="0" w:space="0" w:color="auto"/>
        <w:right w:val="none" w:sz="0" w:space="0" w:color="auto"/>
      </w:divBdr>
      <w:divsChild>
        <w:div w:id="831214511">
          <w:marLeft w:val="0"/>
          <w:marRight w:val="0"/>
          <w:marTop w:val="0"/>
          <w:marBottom w:val="0"/>
          <w:divBdr>
            <w:top w:val="none" w:sz="0" w:space="0" w:color="auto"/>
            <w:left w:val="none" w:sz="0" w:space="0" w:color="auto"/>
            <w:bottom w:val="none" w:sz="0" w:space="0" w:color="auto"/>
            <w:right w:val="none" w:sz="0" w:space="0" w:color="auto"/>
          </w:divBdr>
        </w:div>
      </w:divsChild>
    </w:div>
    <w:div w:id="831214519">
      <w:marLeft w:val="0"/>
      <w:marRight w:val="0"/>
      <w:marTop w:val="0"/>
      <w:marBottom w:val="0"/>
      <w:divBdr>
        <w:top w:val="none" w:sz="0" w:space="0" w:color="auto"/>
        <w:left w:val="none" w:sz="0" w:space="0" w:color="auto"/>
        <w:bottom w:val="none" w:sz="0" w:space="0" w:color="auto"/>
        <w:right w:val="none" w:sz="0" w:space="0" w:color="auto"/>
      </w:divBdr>
    </w:div>
    <w:div w:id="868302985">
      <w:bodyDiv w:val="1"/>
      <w:marLeft w:val="0"/>
      <w:marRight w:val="0"/>
      <w:marTop w:val="0"/>
      <w:marBottom w:val="0"/>
      <w:divBdr>
        <w:top w:val="none" w:sz="0" w:space="0" w:color="auto"/>
        <w:left w:val="none" w:sz="0" w:space="0" w:color="auto"/>
        <w:bottom w:val="none" w:sz="0" w:space="0" w:color="auto"/>
        <w:right w:val="none" w:sz="0" w:space="0" w:color="auto"/>
      </w:divBdr>
    </w:div>
    <w:div w:id="911547504">
      <w:bodyDiv w:val="1"/>
      <w:marLeft w:val="0"/>
      <w:marRight w:val="0"/>
      <w:marTop w:val="0"/>
      <w:marBottom w:val="0"/>
      <w:divBdr>
        <w:top w:val="none" w:sz="0" w:space="0" w:color="auto"/>
        <w:left w:val="none" w:sz="0" w:space="0" w:color="auto"/>
        <w:bottom w:val="none" w:sz="0" w:space="0" w:color="auto"/>
        <w:right w:val="none" w:sz="0" w:space="0" w:color="auto"/>
      </w:divBdr>
    </w:div>
    <w:div w:id="971446468">
      <w:bodyDiv w:val="1"/>
      <w:marLeft w:val="0"/>
      <w:marRight w:val="0"/>
      <w:marTop w:val="0"/>
      <w:marBottom w:val="0"/>
      <w:divBdr>
        <w:top w:val="none" w:sz="0" w:space="0" w:color="auto"/>
        <w:left w:val="none" w:sz="0" w:space="0" w:color="auto"/>
        <w:bottom w:val="none" w:sz="0" w:space="0" w:color="auto"/>
        <w:right w:val="none" w:sz="0" w:space="0" w:color="auto"/>
      </w:divBdr>
    </w:div>
    <w:div w:id="1048841527">
      <w:bodyDiv w:val="1"/>
      <w:marLeft w:val="0"/>
      <w:marRight w:val="0"/>
      <w:marTop w:val="0"/>
      <w:marBottom w:val="0"/>
      <w:divBdr>
        <w:top w:val="none" w:sz="0" w:space="0" w:color="auto"/>
        <w:left w:val="none" w:sz="0" w:space="0" w:color="auto"/>
        <w:bottom w:val="none" w:sz="0" w:space="0" w:color="auto"/>
        <w:right w:val="none" w:sz="0" w:space="0" w:color="auto"/>
      </w:divBdr>
      <w:divsChild>
        <w:div w:id="1480656064">
          <w:marLeft w:val="0"/>
          <w:marRight w:val="0"/>
          <w:marTop w:val="0"/>
          <w:marBottom w:val="0"/>
          <w:divBdr>
            <w:top w:val="none" w:sz="0" w:space="0" w:color="auto"/>
            <w:left w:val="none" w:sz="0" w:space="0" w:color="auto"/>
            <w:bottom w:val="none" w:sz="0" w:space="0" w:color="auto"/>
            <w:right w:val="none" w:sz="0" w:space="0" w:color="auto"/>
          </w:divBdr>
        </w:div>
      </w:divsChild>
    </w:div>
    <w:div w:id="1068381869">
      <w:bodyDiv w:val="1"/>
      <w:marLeft w:val="0"/>
      <w:marRight w:val="0"/>
      <w:marTop w:val="0"/>
      <w:marBottom w:val="0"/>
      <w:divBdr>
        <w:top w:val="none" w:sz="0" w:space="0" w:color="auto"/>
        <w:left w:val="none" w:sz="0" w:space="0" w:color="auto"/>
        <w:bottom w:val="none" w:sz="0" w:space="0" w:color="auto"/>
        <w:right w:val="none" w:sz="0" w:space="0" w:color="auto"/>
      </w:divBdr>
    </w:div>
    <w:div w:id="1284582726">
      <w:bodyDiv w:val="1"/>
      <w:marLeft w:val="0"/>
      <w:marRight w:val="0"/>
      <w:marTop w:val="0"/>
      <w:marBottom w:val="0"/>
      <w:divBdr>
        <w:top w:val="none" w:sz="0" w:space="0" w:color="auto"/>
        <w:left w:val="none" w:sz="0" w:space="0" w:color="auto"/>
        <w:bottom w:val="none" w:sz="0" w:space="0" w:color="auto"/>
        <w:right w:val="none" w:sz="0" w:space="0" w:color="auto"/>
      </w:divBdr>
    </w:div>
    <w:div w:id="1328941944">
      <w:bodyDiv w:val="1"/>
      <w:marLeft w:val="0"/>
      <w:marRight w:val="0"/>
      <w:marTop w:val="0"/>
      <w:marBottom w:val="0"/>
      <w:divBdr>
        <w:top w:val="none" w:sz="0" w:space="0" w:color="auto"/>
        <w:left w:val="none" w:sz="0" w:space="0" w:color="auto"/>
        <w:bottom w:val="none" w:sz="0" w:space="0" w:color="auto"/>
        <w:right w:val="none" w:sz="0" w:space="0" w:color="auto"/>
      </w:divBdr>
    </w:div>
    <w:div w:id="1488008770">
      <w:bodyDiv w:val="1"/>
      <w:marLeft w:val="0"/>
      <w:marRight w:val="0"/>
      <w:marTop w:val="0"/>
      <w:marBottom w:val="0"/>
      <w:divBdr>
        <w:top w:val="none" w:sz="0" w:space="0" w:color="auto"/>
        <w:left w:val="none" w:sz="0" w:space="0" w:color="auto"/>
        <w:bottom w:val="none" w:sz="0" w:space="0" w:color="auto"/>
        <w:right w:val="none" w:sz="0" w:space="0" w:color="auto"/>
      </w:divBdr>
    </w:div>
    <w:div w:id="1793400096">
      <w:bodyDiv w:val="1"/>
      <w:marLeft w:val="0"/>
      <w:marRight w:val="0"/>
      <w:marTop w:val="0"/>
      <w:marBottom w:val="0"/>
      <w:divBdr>
        <w:top w:val="none" w:sz="0" w:space="0" w:color="auto"/>
        <w:left w:val="none" w:sz="0" w:space="0" w:color="auto"/>
        <w:bottom w:val="none" w:sz="0" w:space="0" w:color="auto"/>
        <w:right w:val="none" w:sz="0" w:space="0" w:color="auto"/>
      </w:divBdr>
    </w:div>
    <w:div w:id="203241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17184-2913-4626-8968-1BFE2F7C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7659</Words>
  <Characters>4367</Characters>
  <Application>Microsoft Office Word</Application>
  <DocSecurity>4</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SOCIALINIŲ IR EKONOMINIŲ PARTNERIŲ PATEIKTŲ PASTABŲ IR PASIŪLYMŲ DĖL 2014–2020 METŲ EUROPOS SĄJUNGOS FONDŲ INVESTICIJŲ VEIKSMŲ PROGRAMOS 4 PRIORITETO „ENERGIJOS EFEKTYVUMO IR ATSINAUJINANČIŲ IŠTEKLIŲ ENERGIJOS GAMYBOS IR NAUDOJIMO SKATINIMAS“ PRIEMONĖS N</vt:lpstr>
      <vt:lpstr>SOCIALINIŲ IR EKONOMINIŲ PARTNERIŲ PATEIKTŲ PASTABŲ IR PASIŪLYMŲ DĖL 2014–2020 METŲ EUROPOS SĄJUNGOS FONDŲ INVESTICIJŲ VEIKSMŲ PROGRAMOS 4 PRIORITETO „ENERGIJOS EFEKTYVUMO IR ATSINAUJINANČIŲ IŠTEKLIŲ ENERGIJOS GAMYBOS IR NAUDOJIMO SKATINIMAS“ PRIEMONĖS N</vt:lpstr>
    </vt:vector>
  </TitlesOfParts>
  <Company/>
  <LinksUpToDate>false</LinksUpToDate>
  <CharactersWithSpaces>12002</CharactersWithSpaces>
  <SharedDoc>false</SharedDoc>
  <HLinks>
    <vt:vector size="30" baseType="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2621452</vt:i4>
      </vt:variant>
      <vt:variant>
        <vt:i4>3</vt:i4>
      </vt:variant>
      <vt:variant>
        <vt:i4>0</vt:i4>
      </vt:variant>
      <vt:variant>
        <vt:i4>5</vt:i4>
      </vt:variant>
      <vt:variant>
        <vt:lpwstr>http://www.esparama.lt/priemone?priem_id=000bdd538000152a</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SOCIALINIŲ IR EKONOMINIŲ PARTNERIŲ PATEIKTŲ PASTABŲ IR PASIŪLYMŲ DĖL 2014–2020 METŲ EUROPOS SĄJUNGOS FONDŲ INVESTICIJŲ VEIKSMŲ PROGRAMOS 4 PRIORITETO „ENERGIJOS EFEKTYVUMO IR ATSINAUJINANČIŲ IŠTEKLIŲ ENERGIJOS GAMYBOS IR NAUDOJIMO SKATINIMAS“ PRIEMONĖS N</dc:title>
  <dc:creator>Valdas NAMAJUSKA</dc:creator>
  <cp:lastModifiedBy>Strolyte Alge</cp:lastModifiedBy>
  <cp:revision>2</cp:revision>
  <cp:lastPrinted>2017-03-07T06:21:00Z</cp:lastPrinted>
  <dcterms:created xsi:type="dcterms:W3CDTF">2017-04-24T10:50:00Z</dcterms:created>
  <dcterms:modified xsi:type="dcterms:W3CDTF">2017-04-24T10:50:00Z</dcterms:modified>
</cp:coreProperties>
</file>