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7A" w:rsidRDefault="0056407A" w:rsidP="0056407A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</w:rPr>
        <w:t>LIETUVOS RESPUBLIKOS ŠVIETIMO IR MOKSLO MINISTERIJA</w:t>
      </w:r>
    </w:p>
    <w:p w:rsidR="0056407A" w:rsidRDefault="0056407A" w:rsidP="0056407A">
      <w:pPr>
        <w:tabs>
          <w:tab w:val="left" w:pos="0"/>
          <w:tab w:val="left" w:pos="284"/>
        </w:tabs>
        <w:jc w:val="center"/>
        <w:rPr>
          <w:b/>
          <w:caps/>
          <w:szCs w:val="24"/>
          <w:lang w:val="en-GB"/>
        </w:rPr>
      </w:pPr>
      <w:r>
        <w:rPr>
          <w:b/>
          <w:szCs w:val="24"/>
        </w:rPr>
        <w:t xml:space="preserve">2014–2020 METŲ EUROPOS SĄJUNGOS FONDŲ INVESTICIJŲ VEIKSMŲ PROGRAMOS PRIORITETO ĮGYVENDINIMO </w:t>
      </w:r>
      <w:r>
        <w:rPr>
          <w:b/>
          <w:caps/>
          <w:szCs w:val="24"/>
        </w:rPr>
        <w:t>Priemonių įgyvendinimo planO KEITIMO PROJEKTAS</w:t>
      </w:r>
    </w:p>
    <w:p w:rsidR="0056407A" w:rsidRDefault="0056407A" w:rsidP="00CC65ED">
      <w:pPr>
        <w:overflowPunct w:val="0"/>
        <w:jc w:val="center"/>
        <w:textAlignment w:val="baseline"/>
        <w:rPr>
          <w:b/>
          <w:szCs w:val="24"/>
        </w:rPr>
      </w:pPr>
    </w:p>
    <w:p w:rsidR="00CC65ED" w:rsidRDefault="00CC65ED" w:rsidP="00CC65ED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PRIEMONĖ NR. 09.4.2-ESFA-V-715 „FORMALIOJO IR NEFORMALIOJO MOKYMO PASLAUGŲ ĮVAIRIOMS BESIMOKANČIŲJŲ GRUPĖMS TEIKIMAS“</w:t>
      </w:r>
    </w:p>
    <w:p w:rsidR="00CC65ED" w:rsidRDefault="00CC65ED" w:rsidP="00CC65ED">
      <w:pPr>
        <w:overflowPunct w:val="0"/>
        <w:jc w:val="center"/>
        <w:textAlignment w:val="baseline"/>
        <w:rPr>
          <w:b/>
          <w:szCs w:val="24"/>
        </w:rPr>
      </w:pPr>
    </w:p>
    <w:p w:rsidR="00CC65ED" w:rsidRDefault="00CC65ED" w:rsidP="00CC65ED">
      <w:pPr>
        <w:tabs>
          <w:tab w:val="left" w:pos="0"/>
          <w:tab w:val="left" w:pos="426"/>
          <w:tab w:val="left" w:pos="567"/>
        </w:tabs>
        <w:ind w:left="851" w:firstLine="62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65ED" w:rsidTr="00CC65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1.1. Priemonės įgyvendinimas finansuojamas Europos socialinio fondo lėšomis. </w:t>
            </w:r>
          </w:p>
        </w:tc>
      </w:tr>
      <w:tr w:rsidR="00CC65ED" w:rsidTr="00CC65ED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>1.2. Įgyvendinant priemonę, prisidedama prie uždavinio „</w:t>
            </w:r>
            <w:r>
              <w:rPr>
                <w:bCs/>
                <w:iCs/>
                <w:szCs w:val="24"/>
                <w:lang w:eastAsia="lt-LT"/>
              </w:rPr>
              <w:t>Sukurti sąlygas ir paskatas mokymuisi visą gyvenimą, užtikrinant veiksmingą pagalbą tobulinantis</w:t>
            </w:r>
            <w:r>
              <w:rPr>
                <w:bCs/>
                <w:szCs w:val="24"/>
              </w:rPr>
              <w:t>“</w:t>
            </w:r>
            <w:r>
              <w:rPr>
                <w:szCs w:val="24"/>
              </w:rPr>
              <w:t xml:space="preserve"> įgyvendinimo.</w:t>
            </w:r>
          </w:p>
        </w:tc>
      </w:tr>
      <w:tr w:rsidR="00CC65ED" w:rsidTr="00CC65ED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1.3.1. p</w:t>
            </w:r>
            <w:r>
              <w:rPr>
                <w:bCs/>
                <w:szCs w:val="24"/>
              </w:rPr>
              <w:t xml:space="preserve">rofesinio mokymo </w:t>
            </w:r>
            <w:r>
              <w:rPr>
                <w:rFonts w:ascii="HelveticaLT" w:hAnsi="HelveticaLT"/>
                <w:sz w:val="20"/>
              </w:rPr>
              <w:t xml:space="preserve">ir </w:t>
            </w:r>
            <w:r>
              <w:rPr>
                <w:bCs/>
                <w:szCs w:val="24"/>
              </w:rPr>
              <w:t>suaugusiųjų švietimo sistemos tarptautiškumo plėtra</w:t>
            </w:r>
            <w:r>
              <w:rPr>
                <w:szCs w:val="24"/>
              </w:rPr>
              <w:t>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1.3.2. profesinio mokymo įstaigų ir suaugusiųjų mokymo įstaigų mokytojų bendrųjų, kūrybinių, verslumo, pedagoginių  ir dalykinių kompetencijų tobulinimas, įskaitant rengimą darbui su naujai parengtomis programomis, metodikomis, mokymo priemonėmis ir nauja įranga;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1.3.3. bendrojo ugdymo mokytojų bendrųjų ir dalykinių kompetencijų tobulinimas;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1.3.4. švietimo vadovų ir švietimo bendruomenės lyderių gebėjimų vykdyti kokybinius pokyčius švietimo įstaigų veikloje didinimas ir kokybės užtikrinimo procesų stiprinimas;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  <w:tab w:val="left" w:pos="1163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1.3.5. suaugusiųjų bendrųjų kompetencijų plėtra (neformaliojo suaugusiųjų švietimo programų vykdymas regionuose, neformaliojo suaugusiųjų švietimo kokybės gerinimas);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  <w:tab w:val="left" w:pos="1021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1.3.6. </w:t>
            </w:r>
            <w:r>
              <w:rPr>
                <w:szCs w:val="24"/>
                <w:lang w:eastAsia="lt-LT"/>
              </w:rPr>
              <w:t>gydytojų kompetencijų ir kvalifikacijos tobulinimas.</w:t>
            </w:r>
          </w:p>
        </w:tc>
      </w:tr>
      <w:tr w:rsidR="00CC65ED" w:rsidTr="00CC65ED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426"/>
                <w:tab w:val="left" w:pos="488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:rsidR="00CC65ED" w:rsidRDefault="00CC65ED">
            <w:pPr>
              <w:tabs>
                <w:tab w:val="left" w:pos="205"/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 w:rsidRPr="006622A6">
              <w:rPr>
                <w:strike/>
                <w:szCs w:val="24"/>
              </w:rPr>
              <w:t>1.4.1. Švietimo mainų paramos fondas</w:t>
            </w:r>
            <w:r>
              <w:rPr>
                <w:szCs w:val="24"/>
              </w:rPr>
              <w:t>;</w:t>
            </w:r>
          </w:p>
          <w:p w:rsidR="00CC65ED" w:rsidRDefault="00CC65ED">
            <w:pPr>
              <w:tabs>
                <w:tab w:val="left" w:pos="205"/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</w:t>
            </w:r>
            <w:r w:rsidR="006622A6">
              <w:rPr>
                <w:szCs w:val="24"/>
              </w:rPr>
              <w:t>1</w:t>
            </w:r>
            <w:r>
              <w:rPr>
                <w:szCs w:val="24"/>
              </w:rPr>
              <w:t>. Kvalifikacijų ir profesinio mokymo plėtros centras;</w:t>
            </w:r>
          </w:p>
          <w:p w:rsidR="00CC65ED" w:rsidRDefault="00CC65ED">
            <w:pPr>
              <w:tabs>
                <w:tab w:val="left" w:pos="346"/>
                <w:tab w:val="left" w:pos="426"/>
                <w:tab w:val="left" w:pos="488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</w:t>
            </w:r>
            <w:r w:rsidR="006622A6">
              <w:rPr>
                <w:szCs w:val="24"/>
              </w:rPr>
              <w:t>2</w:t>
            </w:r>
            <w:r>
              <w:rPr>
                <w:szCs w:val="24"/>
              </w:rPr>
              <w:t>. Švietimo ir mokslo ministerijos Švietimo aprūpinimo centras;</w:t>
            </w:r>
          </w:p>
          <w:p w:rsidR="00CC65ED" w:rsidRDefault="00CC65ED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</w:t>
            </w:r>
            <w:r w:rsidR="006622A6">
              <w:rPr>
                <w:szCs w:val="24"/>
              </w:rPr>
              <w:t>3</w:t>
            </w:r>
            <w:r>
              <w:rPr>
                <w:szCs w:val="24"/>
              </w:rPr>
              <w:t>. Ugdymo plėtotės centras;</w:t>
            </w:r>
          </w:p>
          <w:p w:rsidR="00CC65ED" w:rsidRDefault="00CC65ED">
            <w:pPr>
              <w:tabs>
                <w:tab w:val="left" w:pos="426"/>
                <w:tab w:val="left" w:pos="567"/>
              </w:tabs>
              <w:overflowPunct w:val="0"/>
              <w:ind w:firstLine="454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</w:t>
            </w:r>
            <w:r w:rsidR="006622A6">
              <w:rPr>
                <w:szCs w:val="24"/>
              </w:rPr>
              <w:t>4</w:t>
            </w:r>
            <w:r>
              <w:rPr>
                <w:szCs w:val="24"/>
              </w:rPr>
              <w:t>. Vilniaus universitetas;</w:t>
            </w:r>
          </w:p>
          <w:p w:rsidR="00CC65ED" w:rsidRDefault="00CC65ED" w:rsidP="006622A6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4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1.4.</w:t>
            </w:r>
            <w:r w:rsidR="006622A6">
              <w:rPr>
                <w:szCs w:val="24"/>
              </w:rPr>
              <w:t>5</w:t>
            </w:r>
            <w:r>
              <w:rPr>
                <w:szCs w:val="24"/>
              </w:rPr>
              <w:t>. Lietuvos sveikatos mokslų universitetas.</w:t>
            </w:r>
          </w:p>
        </w:tc>
      </w:tr>
      <w:tr w:rsidR="00CC65ED" w:rsidTr="00CC65ED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1.5. Galimi partneriai: 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1.5.1  viešieji ir privatūs juridiniai asmenys, veikiantys švietimo srityje;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1.5.2. Lietuvos Respublikos sveikatos apsaugos ministerija;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1.5.3. asmens sveikatos priežiūros įstaigos, teikiančios viešąsias sveikatos priežiūros paslaugas ir turinčios sutartis su teritorinėmis ligonių kasomis dėl šių paslaugų teikimo;</w:t>
            </w:r>
          </w:p>
          <w:p w:rsidR="00CC65ED" w:rsidRDefault="00CC65ED">
            <w:pPr>
              <w:tabs>
                <w:tab w:val="left" w:pos="426"/>
                <w:tab w:val="left" w:pos="540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1.5.4. gydytojų profesinės draugijos;</w:t>
            </w:r>
          </w:p>
          <w:p w:rsidR="00CC65ED" w:rsidRDefault="00CC65ED">
            <w:pPr>
              <w:tabs>
                <w:tab w:val="left" w:pos="346"/>
                <w:tab w:val="left" w:pos="426"/>
                <w:tab w:val="left" w:pos="567"/>
              </w:tabs>
              <w:overflowPunct w:val="0"/>
              <w:ind w:firstLine="459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1.5.5. Valstybinis mokslinių tyrimų institutas </w:t>
            </w:r>
            <w:proofErr w:type="spellStart"/>
            <w:r>
              <w:rPr>
                <w:szCs w:val="24"/>
              </w:rPr>
              <w:t>Inovatyvios</w:t>
            </w:r>
            <w:proofErr w:type="spellEnd"/>
            <w:r>
              <w:rPr>
                <w:szCs w:val="24"/>
              </w:rPr>
              <w:t xml:space="preserve"> medicinos centras.</w:t>
            </w:r>
          </w:p>
        </w:tc>
      </w:tr>
    </w:tbl>
    <w:p w:rsidR="00CC65ED" w:rsidRDefault="00CC65ED" w:rsidP="00CC65ED">
      <w:pPr>
        <w:tabs>
          <w:tab w:val="left" w:pos="0"/>
          <w:tab w:val="left" w:pos="567"/>
          <w:tab w:val="left" w:pos="851"/>
        </w:tabs>
        <w:ind w:left="851" w:hanging="851"/>
        <w:rPr>
          <w:szCs w:val="24"/>
          <w:lang w:eastAsia="lt-LT"/>
        </w:rPr>
      </w:pPr>
    </w:p>
    <w:p w:rsidR="00CC65ED" w:rsidRDefault="00CC65ED" w:rsidP="00CC65ED">
      <w:pPr>
        <w:tabs>
          <w:tab w:val="left" w:pos="0"/>
          <w:tab w:val="left" w:pos="709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C65ED" w:rsidTr="00CC65ED">
        <w:trPr>
          <w:trHeight w:val="291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:rsidR="00CC65ED" w:rsidRDefault="00CC65ED" w:rsidP="00CC65ED">
      <w:pPr>
        <w:tabs>
          <w:tab w:val="left" w:pos="0"/>
          <w:tab w:val="left" w:pos="709"/>
        </w:tabs>
        <w:overflowPunct w:val="0"/>
        <w:ind w:firstLine="426"/>
        <w:jc w:val="both"/>
        <w:textAlignment w:val="baseline"/>
        <w:rPr>
          <w:szCs w:val="24"/>
          <w:lang w:eastAsia="lt-LT"/>
        </w:rPr>
      </w:pPr>
    </w:p>
    <w:p w:rsidR="00CC65ED" w:rsidRDefault="00CC65ED" w:rsidP="00CC65ED">
      <w:pPr>
        <w:tabs>
          <w:tab w:val="left" w:pos="0"/>
          <w:tab w:val="left" w:pos="709"/>
          <w:tab w:val="left" w:pos="1276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C65ED" w:rsidTr="00CC65E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:rsidR="00CC65ED" w:rsidRDefault="00CC65ED" w:rsidP="00CC65ED">
      <w:pPr>
        <w:tabs>
          <w:tab w:val="left" w:pos="0"/>
          <w:tab w:val="left" w:pos="709"/>
        </w:tabs>
        <w:overflowPunct w:val="0"/>
        <w:ind w:firstLine="426"/>
        <w:jc w:val="both"/>
        <w:textAlignment w:val="baseline"/>
        <w:rPr>
          <w:szCs w:val="24"/>
          <w:lang w:eastAsia="lt-LT"/>
        </w:rPr>
      </w:pPr>
    </w:p>
    <w:p w:rsidR="00CC65ED" w:rsidRDefault="00CC65ED" w:rsidP="00CC65ED">
      <w:pPr>
        <w:tabs>
          <w:tab w:val="left" w:pos="0"/>
          <w:tab w:val="left" w:pos="709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C65ED" w:rsidTr="00CC65E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  <w:tab w:val="left" w:pos="709"/>
              </w:tabs>
              <w:overflowPunct w:val="0"/>
              <w:ind w:firstLine="426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Europos socialinio fondo agentūra.</w:t>
            </w:r>
          </w:p>
        </w:tc>
      </w:tr>
    </w:tbl>
    <w:p w:rsidR="00CC65ED" w:rsidRDefault="00CC65ED" w:rsidP="00CC65ED">
      <w:pPr>
        <w:tabs>
          <w:tab w:val="left" w:pos="0"/>
          <w:tab w:val="left" w:pos="567"/>
        </w:tabs>
        <w:overflowPunct w:val="0"/>
        <w:ind w:left="644"/>
        <w:jc w:val="both"/>
        <w:textAlignment w:val="baseline"/>
        <w:rPr>
          <w:szCs w:val="24"/>
          <w:lang w:eastAsia="lt-LT"/>
        </w:rPr>
      </w:pPr>
    </w:p>
    <w:p w:rsidR="00CC65ED" w:rsidRDefault="00CC65ED" w:rsidP="00CC65ED">
      <w:pPr>
        <w:tabs>
          <w:tab w:val="left" w:pos="567"/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C65ED" w:rsidTr="00CC65E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567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1.3.5 papunktyje nurodytą veiklą nefinansuojami mokymai 55–64 metų asmenims.</w:t>
            </w:r>
          </w:p>
          <w:p w:rsidR="00CC65ED" w:rsidRDefault="00CC65ED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Pagal 1.3.6 papunktyje nurodytą remiamą veiklą finansuojami gydytojų mokymai ir nefinansuojami kitų sveikatos priežiūros specialistų (ne gydytojų) mokymai.</w:t>
            </w:r>
          </w:p>
        </w:tc>
      </w:tr>
    </w:tbl>
    <w:p w:rsidR="00CC65ED" w:rsidRDefault="00CC65ED" w:rsidP="00CC65ED">
      <w:pPr>
        <w:tabs>
          <w:tab w:val="left" w:pos="567"/>
        </w:tabs>
        <w:overflowPunct w:val="0"/>
        <w:textAlignment w:val="baseline"/>
        <w:rPr>
          <w:bCs/>
          <w:szCs w:val="24"/>
        </w:rPr>
      </w:pPr>
    </w:p>
    <w:p w:rsidR="00CC65ED" w:rsidRDefault="00CC65ED" w:rsidP="00CC65ED">
      <w:pPr>
        <w:tabs>
          <w:tab w:val="left" w:pos="567"/>
        </w:tabs>
        <w:overflowPunct w:val="0"/>
        <w:ind w:firstLine="426"/>
        <w:textAlignment w:val="baseline"/>
        <w:rPr>
          <w:bCs/>
          <w:szCs w:val="24"/>
        </w:rPr>
      </w:pPr>
      <w:r>
        <w:rPr>
          <w:bCs/>
          <w:szCs w:val="24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53"/>
        <w:gridCol w:w="1456"/>
        <w:gridCol w:w="1984"/>
        <w:gridCol w:w="1841"/>
      </w:tblGrid>
      <w:tr w:rsidR="00CC65ED" w:rsidTr="00CC65ED">
        <w:trPr>
          <w:trHeight w:val="11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284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CC65ED" w:rsidTr="00CC65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284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R.S.392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„Asmenų, kurie įgijo valstybės pripažįstamą kvalifikaciją po dalyvavimo </w:t>
            </w:r>
            <w:proofErr w:type="spellStart"/>
            <w:r>
              <w:rPr>
                <w:szCs w:val="24"/>
                <w:lang w:eastAsia="lt-LT"/>
              </w:rPr>
              <w:t>ESF</w:t>
            </w:r>
            <w:proofErr w:type="spellEnd"/>
            <w:r>
              <w:rPr>
                <w:szCs w:val="24"/>
                <w:lang w:eastAsia="lt-LT"/>
              </w:rPr>
              <w:t xml:space="preserve"> veiklose, dalis“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CC65ED" w:rsidTr="00CC65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284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R.N.707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„Mokymosi visą gyvenimą lygis </w:t>
            </w:r>
          </w:p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25–64 metų amžiaus grupėje“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CC65ED" w:rsidTr="00CC65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highlight w:val="yellow"/>
                <w:lang w:eastAsia="lt-LT"/>
              </w:rPr>
            </w:pPr>
            <w:proofErr w:type="spellStart"/>
            <w:r>
              <w:rPr>
                <w:szCs w:val="24"/>
              </w:rPr>
              <w:t>P.S.382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„Švietimo įstaigų darbuotojai, kurie dalyvavo </w:t>
            </w:r>
            <w:proofErr w:type="spellStart"/>
            <w:r>
              <w:rPr>
                <w:szCs w:val="24"/>
                <w:lang w:eastAsia="lt-LT"/>
              </w:rPr>
              <w:t>ESF</w:t>
            </w:r>
            <w:proofErr w:type="spellEnd"/>
            <w:r>
              <w:rPr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4600</w:t>
            </w:r>
          </w:p>
        </w:tc>
      </w:tr>
      <w:tr w:rsidR="00CC65ED" w:rsidTr="00CC65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</w:rPr>
            </w:pPr>
            <w:proofErr w:type="spellStart"/>
            <w:r>
              <w:rPr>
                <w:szCs w:val="24"/>
              </w:rPr>
              <w:t>P.S.404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„Asmenys, kurie dalyvavo </w:t>
            </w:r>
            <w:proofErr w:type="spellStart"/>
            <w:r>
              <w:rPr>
                <w:szCs w:val="24"/>
                <w:lang w:eastAsia="lt-LT"/>
              </w:rPr>
              <w:t>ESF</w:t>
            </w:r>
            <w:proofErr w:type="spellEnd"/>
            <w:r>
              <w:rPr>
                <w:szCs w:val="24"/>
                <w:lang w:eastAsia="lt-LT"/>
              </w:rPr>
              <w:t xml:space="preserve"> veiklose, skirtose mokytis pagal formaliojo švietimo programas ar modulius“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</w:t>
            </w:r>
          </w:p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</w:p>
        </w:tc>
      </w:tr>
      <w:tr w:rsidR="00CC65ED" w:rsidTr="00CC65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</w:rPr>
            </w:pPr>
            <w:proofErr w:type="spellStart"/>
            <w:r>
              <w:rPr>
                <w:iCs/>
                <w:szCs w:val="24"/>
                <w:lang w:eastAsia="lt-LT"/>
              </w:rPr>
              <w:t>P.S.405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„Asmenys, kurie dalyvavo </w:t>
            </w:r>
            <w:proofErr w:type="spellStart"/>
            <w:r>
              <w:rPr>
                <w:szCs w:val="24"/>
                <w:lang w:eastAsia="lt-LT"/>
              </w:rPr>
              <w:t>ESF</w:t>
            </w:r>
            <w:proofErr w:type="spellEnd"/>
            <w:r>
              <w:rPr>
                <w:szCs w:val="24"/>
                <w:lang w:eastAsia="lt-LT"/>
              </w:rPr>
              <w:t xml:space="preserve"> veiklose, skirtose mokytis pagal neformaliojo švietimo programas“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10530</w:t>
            </w:r>
          </w:p>
        </w:tc>
      </w:tr>
    </w:tbl>
    <w:p w:rsidR="00CC65ED" w:rsidRDefault="00CC65ED" w:rsidP="00CC65ED"/>
    <w:p w:rsidR="00CC65ED" w:rsidRDefault="00CC65ED" w:rsidP="00CC65ED">
      <w:pPr>
        <w:tabs>
          <w:tab w:val="left" w:pos="567"/>
        </w:tabs>
        <w:overflowPunct w:val="0"/>
        <w:ind w:firstLine="567"/>
        <w:textAlignment w:val="baseline"/>
        <w:rPr>
          <w:bCs/>
          <w:szCs w:val="24"/>
        </w:rPr>
      </w:pPr>
      <w:r>
        <w:rPr>
          <w:bCs/>
          <w:szCs w:val="24"/>
        </w:rPr>
        <w:t>7. Priemonės finansavimo šaltiniai</w:t>
      </w:r>
    </w:p>
    <w:p w:rsidR="00CC65ED" w:rsidRDefault="00CC65ED" w:rsidP="00CC65ED">
      <w:pPr>
        <w:tabs>
          <w:tab w:val="left" w:pos="567"/>
        </w:tabs>
        <w:overflowPunct w:val="0"/>
        <w:ind w:firstLine="567"/>
        <w:textAlignment w:val="baseline"/>
        <w:rPr>
          <w:bCs/>
          <w:szCs w:val="24"/>
        </w:rPr>
      </w:pPr>
    </w:p>
    <w:p w:rsidR="00CC65ED" w:rsidRDefault="00CC65ED" w:rsidP="00CC65ED">
      <w:pPr>
        <w:tabs>
          <w:tab w:val="left" w:pos="567"/>
        </w:tabs>
        <w:overflowPunct w:val="0"/>
        <w:ind w:firstLine="6946"/>
        <w:textAlignment w:val="baseline"/>
        <w:rPr>
          <w:bCs/>
          <w:szCs w:val="24"/>
        </w:rPr>
      </w:pPr>
      <w:r>
        <w:rPr>
          <w:szCs w:val="24"/>
          <w:lang w:eastAsia="lt-LT"/>
        </w:rPr>
        <w:t>(eurais)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9"/>
        <w:gridCol w:w="1247"/>
        <w:gridCol w:w="1419"/>
        <w:gridCol w:w="1420"/>
        <w:gridCol w:w="1421"/>
        <w:gridCol w:w="1301"/>
      </w:tblGrid>
      <w:tr w:rsidR="00CC65ED" w:rsidTr="00CC65ED">
        <w:trPr>
          <w:trHeight w:val="719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  <w:tab w:val="left" w:pos="142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  <w:tab w:val="left" w:pos="142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CC65ED" w:rsidTr="00CC65ED">
        <w:trPr>
          <w:trHeight w:val="68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ED" w:rsidRDefault="00CC65ED">
            <w:pPr>
              <w:overflowPunct w:val="0"/>
              <w:spacing w:line="254" w:lineRule="auto"/>
              <w:ind w:left="-108" w:right="-108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  <w:p w:rsidR="00CC65ED" w:rsidRDefault="00CC65ED">
            <w:pPr>
              <w:overflowPunct w:val="0"/>
              <w:spacing w:line="254" w:lineRule="auto"/>
              <w:ind w:left="-108" w:right="-108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 lėšos –</w:t>
            </w:r>
          </w:p>
          <w:p w:rsidR="00CC65ED" w:rsidRDefault="00CC65ED">
            <w:pPr>
              <w:overflowPunct w:val="0"/>
              <w:spacing w:line="254" w:lineRule="auto"/>
              <w:ind w:left="-108" w:right="-108" w:firstLine="60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iki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  <w:tab w:val="left" w:pos="142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CC65ED" w:rsidTr="00CC65ED">
        <w:trPr>
          <w:cantSplit/>
          <w:trHeight w:val="649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CC65ED" w:rsidTr="00CC65ED">
        <w:trPr>
          <w:cantSplit/>
          <w:trHeight w:val="1020"/>
          <w:tblHeader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288"/>
              </w:tabs>
              <w:overflowPunct w:val="0"/>
              <w:spacing w:line="254" w:lineRule="auto"/>
              <w:ind w:right="-108" w:hanging="137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ind w:right="-108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175"/>
              </w:tabs>
              <w:overflowPunct w:val="0"/>
              <w:spacing w:line="254" w:lineRule="auto"/>
              <w:ind w:left="-108" w:right="-108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CC65ED" w:rsidRDefault="00CC65ED">
            <w:pPr>
              <w:tabs>
                <w:tab w:val="left" w:pos="175"/>
              </w:tabs>
              <w:overflowPunct w:val="0"/>
              <w:spacing w:line="254" w:lineRule="auto"/>
              <w:ind w:left="-108" w:right="-108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ind w:right="-108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CC65ED" w:rsidTr="00CC65ED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ED" w:rsidRDefault="00CC65ED">
            <w:pPr>
              <w:tabs>
                <w:tab w:val="left" w:pos="0"/>
                <w:tab w:val="left" w:pos="601"/>
                <w:tab w:val="left" w:pos="743"/>
              </w:tabs>
              <w:spacing w:line="254" w:lineRule="auto"/>
              <w:ind w:left="34" w:firstLine="42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CC65ED" w:rsidTr="00CC65E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lastRenderedPageBreak/>
              <w:t>20 672 800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361 688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361 688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0</w:t>
            </w:r>
          </w:p>
        </w:tc>
      </w:tr>
      <w:tr w:rsidR="00CC65ED" w:rsidTr="00CC65ED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spacing w:line="254" w:lineRule="auto"/>
              <w:ind w:left="720" w:hanging="26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CC65ED" w:rsidTr="00CC65E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4 234 521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130 965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130 965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0</w:t>
            </w:r>
          </w:p>
        </w:tc>
      </w:tr>
      <w:tr w:rsidR="00CC65ED" w:rsidTr="00CC65ED">
        <w:trPr>
          <w:trHeight w:val="4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spacing w:line="254" w:lineRule="auto"/>
              <w:ind w:left="720" w:hanging="26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CC65ED" w:rsidTr="00CC65E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24 907 321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492 653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492 653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bCs/>
                <w:szCs w:val="24"/>
                <w:lang w:val="en-GB" w:eastAsia="lt-LT"/>
              </w:rPr>
            </w:pPr>
            <w:r>
              <w:rPr>
                <w:bCs/>
                <w:szCs w:val="24"/>
                <w:lang w:val="en-GB"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ED" w:rsidRDefault="00CC65ED">
            <w:pPr>
              <w:tabs>
                <w:tab w:val="left" w:pos="0"/>
              </w:tabs>
              <w:overflowPunct w:val="0"/>
              <w:spacing w:line="254" w:lineRule="auto"/>
              <w:jc w:val="center"/>
              <w:textAlignment w:val="baseline"/>
              <w:rPr>
                <w:szCs w:val="24"/>
                <w:lang w:val="en-US" w:eastAsia="lt-LT"/>
              </w:rPr>
            </w:pPr>
            <w:r>
              <w:rPr>
                <w:szCs w:val="24"/>
                <w:lang w:val="en-GB" w:eastAsia="lt-LT"/>
              </w:rPr>
              <w:t>0</w:t>
            </w:r>
            <w:r>
              <w:rPr>
                <w:szCs w:val="24"/>
                <w:lang w:val="en-GB"/>
              </w:rPr>
              <w:t>“</w:t>
            </w:r>
          </w:p>
        </w:tc>
      </w:tr>
    </w:tbl>
    <w:p w:rsidR="006C6503" w:rsidRDefault="006C6503"/>
    <w:sectPr w:rsidR="006C6503" w:rsidSect="00006EBA">
      <w:footerReference w:type="default" r:id="rId6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2C" w:rsidRDefault="0071022C" w:rsidP="004306CF">
      <w:r>
        <w:separator/>
      </w:r>
    </w:p>
  </w:endnote>
  <w:endnote w:type="continuationSeparator" w:id="0">
    <w:p w:rsidR="0071022C" w:rsidRDefault="0071022C" w:rsidP="0043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090865"/>
      <w:docPartObj>
        <w:docPartGallery w:val="Page Numbers (Bottom of Page)"/>
        <w:docPartUnique/>
      </w:docPartObj>
    </w:sdtPr>
    <w:sdtContent>
      <w:p w:rsidR="004306CF" w:rsidRDefault="004306C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06CF" w:rsidRDefault="004306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2C" w:rsidRDefault="0071022C" w:rsidP="004306CF">
      <w:r>
        <w:separator/>
      </w:r>
    </w:p>
  </w:footnote>
  <w:footnote w:type="continuationSeparator" w:id="0">
    <w:p w:rsidR="0071022C" w:rsidRDefault="0071022C" w:rsidP="0043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FA"/>
    <w:rsid w:val="00006EBA"/>
    <w:rsid w:val="004306CF"/>
    <w:rsid w:val="0056407A"/>
    <w:rsid w:val="00624F74"/>
    <w:rsid w:val="006622A6"/>
    <w:rsid w:val="006C6503"/>
    <w:rsid w:val="0071022C"/>
    <w:rsid w:val="00906DFA"/>
    <w:rsid w:val="00C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CEAD2-B75B-4978-9FF3-2BE993D3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6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C65E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306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06C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306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06C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7</cp:revision>
  <dcterms:created xsi:type="dcterms:W3CDTF">2017-03-21T06:46:00Z</dcterms:created>
  <dcterms:modified xsi:type="dcterms:W3CDTF">2017-03-21T07:23:00Z</dcterms:modified>
</cp:coreProperties>
</file>