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940"/>
      </w:tblGrid>
      <w:tr w:rsidR="00907CDE" w:rsidTr="00907CDE">
        <w:trPr>
          <w:trHeight w:val="20"/>
        </w:trPr>
        <w:tc>
          <w:tcPr>
            <w:tcW w:w="14940" w:type="dxa"/>
          </w:tcPr>
          <w:p w:rsidR="00907CDE" w:rsidRDefault="00907CDE">
            <w:pPr>
              <w:ind w:firstLine="0"/>
              <w:rPr>
                <w:b/>
                <w:bCs/>
                <w:caps/>
                <w:sz w:val="22"/>
                <w:szCs w:val="22"/>
              </w:rPr>
            </w:pPr>
          </w:p>
          <w:p w:rsidR="00922E58" w:rsidRDefault="00907CDE" w:rsidP="002A5700">
            <w:pPr>
              <w:ind w:left="9356" w:firstLine="0"/>
              <w:rPr>
                <w:rFonts w:eastAsia="Calibri"/>
                <w:sz w:val="22"/>
                <w:szCs w:val="22"/>
              </w:rPr>
            </w:pPr>
            <w:r w:rsidRPr="00E3702B">
              <w:rPr>
                <w:rFonts w:eastAsia="Calibri"/>
                <w:sz w:val="22"/>
                <w:szCs w:val="22"/>
              </w:rPr>
              <w:t>2014–2020 metų Europos Sąjungos fondų investicijų veiksmų programos 1 prioriteto „Mokslinių tyrimų, eksperimentinės plėtros ir inovacijų skatinimas“ 01.2.2-LMT-K-718 priemonės „</w:t>
            </w:r>
            <w:r w:rsidRPr="00E3702B">
              <w:rPr>
                <w:sz w:val="22"/>
                <w:szCs w:val="22"/>
              </w:rPr>
              <w:t>Tiksliniai moksliniai tyrimai sumanios specializacijos srityje</w:t>
            </w:r>
            <w:r w:rsidR="00E34CD9" w:rsidRPr="00E3702B">
              <w:rPr>
                <w:rFonts w:eastAsia="Calibri"/>
                <w:sz w:val="22"/>
                <w:szCs w:val="22"/>
              </w:rPr>
              <w:t>“</w:t>
            </w:r>
            <w:r w:rsidRPr="00E3702B">
              <w:rPr>
                <w:rFonts w:eastAsia="Calibri"/>
                <w:sz w:val="22"/>
                <w:szCs w:val="22"/>
              </w:rPr>
              <w:t xml:space="preserve"> projektų finansavimo sąlygų aprašo </w:t>
            </w:r>
            <w:r w:rsidR="000F206C" w:rsidRPr="00174B36">
              <w:rPr>
                <w:rFonts w:eastAsia="Calibri"/>
                <w:sz w:val="22"/>
                <w:szCs w:val="22"/>
              </w:rPr>
              <w:t xml:space="preserve">Nr. </w:t>
            </w:r>
            <w:r w:rsidR="003C4F29" w:rsidRPr="00174B36">
              <w:rPr>
                <w:rFonts w:eastAsia="Calibri"/>
                <w:sz w:val="22"/>
                <w:szCs w:val="22"/>
              </w:rPr>
              <w:t>2</w:t>
            </w:r>
          </w:p>
          <w:p w:rsidR="00907CDE" w:rsidRPr="00E3702B" w:rsidRDefault="003C4F29" w:rsidP="002A5700">
            <w:pPr>
              <w:ind w:left="9356" w:firstLine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907CDE" w:rsidRPr="00E3702B">
              <w:rPr>
                <w:rFonts w:eastAsia="Calibri"/>
                <w:sz w:val="22"/>
                <w:szCs w:val="22"/>
              </w:rPr>
              <w:t xml:space="preserve"> </w:t>
            </w:r>
            <w:r w:rsidR="00907CDE" w:rsidRPr="00E3702B">
              <w:rPr>
                <w:sz w:val="22"/>
                <w:szCs w:val="22"/>
              </w:rPr>
              <w:t>priedas</w:t>
            </w:r>
          </w:p>
          <w:p w:rsidR="00E34CD9" w:rsidRPr="00C81706" w:rsidRDefault="00E34CD9" w:rsidP="002A5700">
            <w:pPr>
              <w:ind w:left="9356" w:firstLine="0"/>
              <w:rPr>
                <w:b/>
                <w:bCs/>
                <w:caps/>
                <w:sz w:val="20"/>
                <w:szCs w:val="20"/>
              </w:rPr>
            </w:pPr>
          </w:p>
          <w:p w:rsidR="00E34CD9" w:rsidRPr="00CB6CB5" w:rsidRDefault="00E34CD9" w:rsidP="00CB6CB5">
            <w:pPr>
              <w:jc w:val="center"/>
              <w:rPr>
                <w:b/>
                <w:lang w:eastAsia="lt-LT"/>
              </w:rPr>
            </w:pPr>
            <w:r w:rsidRPr="00A35DE1">
              <w:rPr>
                <w:b/>
                <w:lang w:eastAsia="lt-LT"/>
              </w:rPr>
              <w:t>(</w:t>
            </w:r>
            <w:r w:rsidR="003C4F29">
              <w:rPr>
                <w:b/>
                <w:lang w:eastAsia="lt-LT"/>
              </w:rPr>
              <w:t>Projekto naudos ir kokybės vertinimo lentelės forma</w:t>
            </w:r>
            <w:r w:rsidRPr="00A35DE1">
              <w:rPr>
                <w:b/>
                <w:lang w:eastAsia="lt-LT"/>
              </w:rPr>
              <w:t>)</w:t>
            </w:r>
          </w:p>
          <w:p w:rsidR="00E34CD9" w:rsidRDefault="00E34CD9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Del="00E34CD9">
              <w:rPr>
                <w:lang w:eastAsia="lt-LT"/>
              </w:rPr>
              <w:t xml:space="preserve"> </w:t>
            </w:r>
          </w:p>
          <w:p w:rsidR="00907CDE" w:rsidRDefault="00907CDE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PROJEKTO Naudos ir kokybės vertinimo LENTELĖ</w:t>
            </w:r>
          </w:p>
          <w:p w:rsidR="00907CDE" w:rsidRDefault="00907CDE" w:rsidP="002A5700">
            <w:pPr>
              <w:ind w:firstLine="0"/>
              <w:jc w:val="left"/>
              <w:rPr>
                <w:bCs/>
                <w:i/>
                <w:caps/>
                <w:sz w:val="22"/>
                <w:szCs w:val="22"/>
              </w:rPr>
            </w:pPr>
          </w:p>
          <w:tbl>
            <w:tblPr>
              <w:tblW w:w="14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949"/>
            </w:tblGrid>
            <w:tr w:rsidR="00907CDE" w:rsidTr="00A35DE1"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ind w:firstLine="0"/>
                    <w:jc w:val="left"/>
                    <w:rPr>
                      <w:bCs/>
                      <w:i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lt-LT"/>
                    </w:rPr>
                    <w:t>Paraiškos kodas</w:t>
                  </w:r>
                </w:p>
              </w:tc>
              <w:tc>
                <w:tcPr>
                  <w:tcW w:w="10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907CDE" w:rsidTr="00A35DE1"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lt-LT"/>
                    </w:rPr>
                    <w:t>Pareiškėjo pavadinimas</w:t>
                  </w:r>
                </w:p>
              </w:tc>
              <w:tc>
                <w:tcPr>
                  <w:tcW w:w="10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rPr>
                      <w:bCs/>
                      <w:i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907CDE" w:rsidTr="00A35DE1"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ind w:firstLine="0"/>
                    <w:jc w:val="left"/>
                    <w:rPr>
                      <w:bCs/>
                      <w:i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lt-LT"/>
                    </w:rPr>
                    <w:t>Projekto pavadinimas</w:t>
                  </w:r>
                </w:p>
              </w:tc>
              <w:tc>
                <w:tcPr>
                  <w:tcW w:w="10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rPr>
                      <w:bCs/>
                      <w:i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907CDE" w:rsidTr="002A5700">
              <w:tc>
                <w:tcPr>
                  <w:tcW w:w="148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Pr="00EB70B9" w:rsidRDefault="00907CDE">
                  <w:pPr>
                    <w:ind w:firstLine="0"/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  <w:bookmarkStart w:id="0" w:name="_GoBack"/>
                  <w:r w:rsidRPr="00EB70B9"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Projektą planuojama įgyvendinti: </w:t>
                  </w:r>
                  <w:r w:rsidRPr="00EB70B9">
                    <w:rPr>
                      <w:b/>
                      <w:bCs/>
                      <w:sz w:val="22"/>
                      <w:szCs w:val="22"/>
                      <w:lang w:eastAsia="lt-LT"/>
                    </w:rPr>
                    <w:sym w:font="Times New Roman" w:char="F07F"/>
                  </w:r>
                  <w:r w:rsidRPr="00EB70B9"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 su partneriu (-</w:t>
                  </w:r>
                  <w:proofErr w:type="spellStart"/>
                  <w:r w:rsidRPr="00EB70B9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iais</w:t>
                  </w:r>
                  <w:proofErr w:type="spellEnd"/>
                  <w:r w:rsidRPr="00EB70B9"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)              </w:t>
                  </w:r>
                  <w:r w:rsidRPr="00EB70B9">
                    <w:rPr>
                      <w:b/>
                      <w:bCs/>
                      <w:sz w:val="22"/>
                      <w:szCs w:val="22"/>
                      <w:lang w:eastAsia="lt-LT"/>
                    </w:rPr>
                    <w:sym w:font="Times New Roman" w:char="F07F"/>
                  </w:r>
                  <w:r w:rsidRPr="00EB70B9"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 be partnerio (-</w:t>
                  </w:r>
                  <w:proofErr w:type="spellStart"/>
                  <w:r w:rsidRPr="00EB70B9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ių</w:t>
                  </w:r>
                  <w:proofErr w:type="spellEnd"/>
                  <w:r w:rsidRPr="00EB70B9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)</w:t>
                  </w:r>
                  <w:bookmarkEnd w:id="0"/>
                </w:p>
              </w:tc>
            </w:tr>
            <w:tr w:rsidR="00907CDE" w:rsidTr="002A5700">
              <w:tc>
                <w:tcPr>
                  <w:tcW w:w="148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</w:p>
                <w:p w:rsidR="00907CDE" w:rsidRDefault="00907CDE">
                  <w:pPr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lt-LT"/>
                    </w:rPr>
                    <w:sym w:font="Times New Roman" w:char="F07F"/>
                  </w:r>
                  <w:r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 PIRMINĖ               </w:t>
                  </w:r>
                  <w:r>
                    <w:rPr>
                      <w:b/>
                      <w:bCs/>
                      <w:sz w:val="22"/>
                      <w:szCs w:val="22"/>
                      <w:lang w:eastAsia="lt-LT"/>
                    </w:rPr>
                    <w:sym w:font="Times New Roman" w:char="F07F"/>
                  </w:r>
                  <w:r>
                    <w:rPr>
                      <w:b/>
                      <w:bCs/>
                      <w:sz w:val="22"/>
                      <w:szCs w:val="22"/>
                      <w:lang w:eastAsia="lt-LT"/>
                    </w:rPr>
                    <w:t>PATIKSLINTA</w:t>
                  </w:r>
                </w:p>
                <w:p w:rsidR="00907CDE" w:rsidRDefault="00907CDE" w:rsidP="000B4B30">
                  <w:pPr>
                    <w:ind w:firstLine="0"/>
                    <w:jc w:val="left"/>
                    <w:rPr>
                      <w:bCs/>
                      <w:i/>
                      <w:caps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sz w:val="20"/>
                      <w:szCs w:val="20"/>
                      <w:lang w:eastAsia="lt-LT"/>
                    </w:rPr>
                    <w:t>(Žymima „Patikslinta“ tais atvejais, kai ši lentelė tikslinama po to, kai paraiška grąžinama pakartotiniam vertinimui.)</w:t>
                  </w:r>
                </w:p>
              </w:tc>
            </w:tr>
          </w:tbl>
          <w:p w:rsidR="00907CDE" w:rsidRDefault="00907CDE">
            <w:pPr>
              <w:ind w:right="373" w:firstLine="0"/>
              <w:rPr>
                <w:b/>
                <w:sz w:val="22"/>
                <w:szCs w:val="22"/>
              </w:rPr>
            </w:pPr>
          </w:p>
          <w:tbl>
            <w:tblPr>
              <w:tblW w:w="17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5103"/>
              <w:gridCol w:w="1418"/>
              <w:gridCol w:w="1276"/>
              <w:gridCol w:w="1134"/>
              <w:gridCol w:w="1275"/>
              <w:gridCol w:w="1276"/>
              <w:gridCol w:w="4219"/>
            </w:tblGrid>
            <w:tr w:rsidR="00C04E89" w:rsidTr="00C04E89">
              <w:tc>
                <w:tcPr>
                  <w:tcW w:w="20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keepNext/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Prioritetinis projektų atrankos kriterijaus  (toliau – kriterijus) pavadinimas</w:t>
                  </w:r>
                </w:p>
              </w:tc>
              <w:tc>
                <w:tcPr>
                  <w:tcW w:w="5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keepNext/>
                    <w:ind w:firstLine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Kriterijaus vertinimo aspektai ir paaiškinimai </w:t>
                  </w:r>
                </w:p>
                <w:p w:rsidR="00907CDE" w:rsidRDefault="00907CDE">
                  <w:pPr>
                    <w:keepNext/>
                    <w:ind w:firstLine="0"/>
                    <w:jc w:val="center"/>
                    <w:rPr>
                      <w:b/>
                      <w:bCs/>
                      <w:i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keepNext/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Didžiausias galimas kriterijaus balas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keepNext/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Kriterijaus vertinimas (jei taikomi svoriai)</w:t>
                  </w:r>
                  <w:r>
                    <w:rPr>
                      <w:rStyle w:val="Puslapioinaosnuoroda"/>
                      <w:bCs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Puslapioinaosnuoroda"/>
                      <w:bCs/>
                      <w:i/>
                      <w:sz w:val="22"/>
                      <w:szCs w:val="22"/>
                    </w:rPr>
                    <w:footnoteReference w:id="1"/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keepNext/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Vertinimo metu suteiktų balų skaičius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keepNext/>
                    <w:ind w:left="-57" w:right="-57"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Minimalus privalomas surinkti balų skaičius</w:t>
                  </w:r>
                  <w:r>
                    <w:rPr>
                      <w:rStyle w:val="Puslapioinaosnuoroda"/>
                      <w:b/>
                      <w:bCs/>
                      <w:sz w:val="22"/>
                      <w:szCs w:val="22"/>
                    </w:rPr>
                    <w:footnoteReference w:id="2"/>
                  </w:r>
                </w:p>
              </w:tc>
              <w:tc>
                <w:tcPr>
                  <w:tcW w:w="4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 w:rsidP="00C04E89">
                  <w:pPr>
                    <w:keepNext/>
                    <w:ind w:firstLine="0"/>
                    <w:jc w:val="lef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Komentarai</w:t>
                  </w:r>
                </w:p>
              </w:tc>
            </w:tr>
            <w:tr w:rsidR="00C04E89" w:rsidTr="00C04E89">
              <w:tc>
                <w:tcPr>
                  <w:tcW w:w="2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7CDE" w:rsidRDefault="00907CDE">
                  <w:pPr>
                    <w:ind w:firstLine="0"/>
                    <w:jc w:val="lef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7CDE" w:rsidRDefault="00907CDE">
                  <w:pPr>
                    <w:ind w:firstLine="0"/>
                    <w:jc w:val="left"/>
                    <w:rPr>
                      <w:b/>
                      <w:bCs/>
                      <w:i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7CDE" w:rsidRDefault="00907CDE">
                  <w:pPr>
                    <w:ind w:firstLine="0"/>
                    <w:jc w:val="lef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ind w:firstLine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Kriterijaus įvertinimas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ind w:firstLine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Svorio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koeficien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>-tas</w:t>
                  </w: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7CDE" w:rsidRDefault="00907CDE">
                  <w:pPr>
                    <w:ind w:firstLine="0"/>
                    <w:jc w:val="lef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7CDE" w:rsidRDefault="00907CDE">
                  <w:pPr>
                    <w:ind w:firstLine="0"/>
                    <w:jc w:val="lef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4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7CDE" w:rsidRDefault="00907CDE">
                  <w:pPr>
                    <w:ind w:firstLine="0"/>
                    <w:jc w:val="lef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  <w:tr w:rsidR="00C04E89" w:rsidTr="00C04E89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A31" w:rsidRDefault="00FA0A31" w:rsidP="00FD171D">
                  <w:pPr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1.</w:t>
                  </w:r>
                  <w:r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Planuojami mokslinio tyrimo projekto rezultatų svarba ir panaudojimo perspektyvos</w:t>
                  </w:r>
                </w:p>
                <w:p w:rsidR="00FA0A31" w:rsidRDefault="00FA0A31" w:rsidP="00FD171D">
                  <w:pPr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A31" w:rsidRDefault="00FA0A31" w:rsidP="00FD171D">
                  <w:pPr>
                    <w:pStyle w:val="Default"/>
                    <w:jc w:val="both"/>
                    <w:rPr>
                      <w:color w:val="auto"/>
                      <w:lang w:val="lt-LT"/>
                    </w:rPr>
                  </w:pPr>
                  <w:r>
                    <w:rPr>
                      <w:lang w:val="lt-LT"/>
                    </w:rPr>
                    <w:t xml:space="preserve">Pagal šį kriterijų bus vertinami planuojamų mokslinio tyrimo </w:t>
                  </w:r>
                  <w:r w:rsidRPr="003261DF">
                    <w:rPr>
                      <w:lang w:val="lt-LT"/>
                    </w:rPr>
                    <w:t xml:space="preserve">projekto rezultatų svarba bei jų panaudojimo galimybės ir </w:t>
                  </w:r>
                  <w:r w:rsidRPr="003261DF">
                    <w:rPr>
                      <w:color w:val="auto"/>
                      <w:lang w:val="lt-LT"/>
                    </w:rPr>
                    <w:t>perspektyvos, o taip pat - kaip ir kokiu mastu planuojami mokslinio tyrimo rezultatai prisideda prie Sumanios specializacijos</w:t>
                  </w:r>
                  <w:r>
                    <w:rPr>
                      <w:color w:val="auto"/>
                      <w:lang w:val="lt-LT"/>
                    </w:rPr>
                    <w:t xml:space="preserve"> programos konkrečios prioritetinės krypties veiksmų plano tikslų bei uždavinių įvykdomumo.</w:t>
                  </w:r>
                </w:p>
                <w:p w:rsidR="00FA0A31" w:rsidRDefault="00FA0A31" w:rsidP="00FD171D">
                  <w:pPr>
                    <w:pStyle w:val="Default"/>
                    <w:jc w:val="both"/>
                    <w:rPr>
                      <w:color w:val="auto"/>
                      <w:lang w:val="lt-LT"/>
                    </w:rPr>
                  </w:pPr>
                </w:p>
                <w:p w:rsidR="00FA0A31" w:rsidRDefault="00F80715" w:rsidP="00F80715">
                  <w:pPr>
                    <w:pStyle w:val="Default"/>
                    <w:jc w:val="both"/>
                    <w:rPr>
                      <w:i/>
                      <w:color w:val="auto"/>
                      <w:lang w:val="lt-LT"/>
                    </w:rPr>
                  </w:pPr>
                  <w:r w:rsidRPr="00F80715">
                    <w:rPr>
                      <w:color w:val="auto"/>
                      <w:lang w:val="lt-LT"/>
                    </w:rPr>
                    <w:lastRenderedPageBreak/>
                    <w:t>1</w:t>
                  </w:r>
                  <w:r>
                    <w:rPr>
                      <w:i/>
                      <w:color w:val="auto"/>
                      <w:lang w:val="lt-LT"/>
                    </w:rPr>
                    <w:t xml:space="preserve">. </w:t>
                  </w:r>
                  <w:r w:rsidR="00345820" w:rsidRPr="00F80715">
                    <w:rPr>
                      <w:color w:val="auto"/>
                      <w:lang w:val="lt-LT"/>
                    </w:rPr>
                    <w:t xml:space="preserve">Projektui skiriama </w:t>
                  </w:r>
                  <w:r w:rsidR="00720586">
                    <w:rPr>
                      <w:b/>
                      <w:color w:val="auto"/>
                      <w:lang w:val="lt-LT"/>
                    </w:rPr>
                    <w:t>4</w:t>
                  </w:r>
                  <w:r w:rsidRPr="003261DF">
                    <w:rPr>
                      <w:b/>
                      <w:color w:val="auto"/>
                      <w:lang w:val="lt-LT"/>
                    </w:rPr>
                    <w:t xml:space="preserve"> balai</w:t>
                  </w:r>
                  <w:r w:rsidR="00345820" w:rsidRPr="00F80715">
                    <w:rPr>
                      <w:color w:val="auto"/>
                      <w:lang w:val="lt-LT"/>
                    </w:rPr>
                    <w:t>, jei planuojamas rezultatas būtų</w:t>
                  </w:r>
                  <w:r w:rsidR="00345820">
                    <w:rPr>
                      <w:i/>
                      <w:color w:val="auto"/>
                      <w:lang w:val="lt-LT"/>
                    </w:rPr>
                    <w:t xml:space="preserve">:  </w:t>
                  </w:r>
                </w:p>
                <w:p w:rsidR="00FA0A31" w:rsidRDefault="00FA0A31" w:rsidP="00FD171D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b/>
                      <w:i/>
                      <w:color w:val="auto"/>
                      <w:lang w:val="lt-LT"/>
                    </w:rPr>
                  </w:pPr>
                  <w:r>
                    <w:rPr>
                      <w:i/>
                      <w:color w:val="auto"/>
                      <w:lang w:val="lt-LT"/>
                    </w:rPr>
                    <w:t>Europos patentų biure (EPO), JAV patentų ir prekių ženklų biure (USPTO) ar Japonijos patentų biure (JPO) išduotas patentas, kurių savininkai yra Lietuvos fiziniai ar juridiniai asmenys;</w:t>
                  </w:r>
                  <w:r>
                    <w:rPr>
                      <w:b/>
                      <w:i/>
                      <w:color w:val="auto"/>
                      <w:lang w:val="lt-LT"/>
                    </w:rPr>
                    <w:t xml:space="preserve"> </w:t>
                  </w:r>
                </w:p>
                <w:p w:rsidR="00FA0A31" w:rsidRDefault="00FA0A31" w:rsidP="00FD171D">
                  <w:pPr>
                    <w:pStyle w:val="Default"/>
                    <w:jc w:val="both"/>
                    <w:rPr>
                      <w:b/>
                      <w:i/>
                      <w:color w:val="auto"/>
                      <w:lang w:val="lt-LT"/>
                    </w:rPr>
                  </w:pPr>
                  <w:r>
                    <w:rPr>
                      <w:b/>
                      <w:i/>
                      <w:color w:val="auto"/>
                      <w:lang w:val="lt-LT"/>
                    </w:rPr>
                    <w:t xml:space="preserve">arba </w:t>
                  </w:r>
                </w:p>
                <w:p w:rsidR="00FA0A31" w:rsidRDefault="00FA0A31" w:rsidP="00FD171D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i/>
                      <w:color w:val="auto"/>
                      <w:lang w:val="lt-LT"/>
                    </w:rPr>
                  </w:pPr>
                  <w:r>
                    <w:rPr>
                      <w:i/>
                      <w:color w:val="auto"/>
                      <w:lang w:val="lt-LT"/>
                    </w:rPr>
                    <w:t xml:space="preserve">Europos specializuotuose centruose įvertinta augalų veislė (pateikiami </w:t>
                  </w:r>
                  <w:proofErr w:type="spellStart"/>
                  <w:r>
                    <w:rPr>
                      <w:i/>
                      <w:color w:val="auto"/>
                      <w:lang w:val="lt-LT"/>
                    </w:rPr>
                    <w:t>Reports</w:t>
                  </w:r>
                  <w:proofErr w:type="spellEnd"/>
                  <w:r>
                    <w:rPr>
                      <w:i/>
                      <w:color w:val="auto"/>
                      <w:lang w:val="lt-LT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auto"/>
                      <w:lang w:val="lt-LT"/>
                    </w:rPr>
                    <w:t>on</w:t>
                  </w:r>
                  <w:proofErr w:type="spellEnd"/>
                  <w:r>
                    <w:rPr>
                      <w:i/>
                      <w:color w:val="auto"/>
                      <w:lang w:val="lt-LT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auto"/>
                      <w:lang w:val="lt-LT"/>
                    </w:rPr>
                    <w:t>Technical</w:t>
                  </w:r>
                  <w:proofErr w:type="spellEnd"/>
                  <w:r>
                    <w:rPr>
                      <w:i/>
                      <w:color w:val="auto"/>
                      <w:lang w:val="lt-LT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auto"/>
                      <w:lang w:val="lt-LT"/>
                    </w:rPr>
                    <w:t>Examination</w:t>
                  </w:r>
                  <w:proofErr w:type="spellEnd"/>
                  <w:r>
                    <w:rPr>
                      <w:i/>
                      <w:color w:val="auto"/>
                      <w:lang w:val="lt-LT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auto"/>
                      <w:lang w:val="lt-LT"/>
                    </w:rPr>
                    <w:t>of</w:t>
                  </w:r>
                  <w:proofErr w:type="spellEnd"/>
                  <w:r>
                    <w:rPr>
                      <w:i/>
                      <w:color w:val="auto"/>
                      <w:lang w:val="lt-LT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auto"/>
                      <w:lang w:val="lt-LT"/>
                    </w:rPr>
                    <w:t>the</w:t>
                  </w:r>
                  <w:proofErr w:type="spellEnd"/>
                  <w:r>
                    <w:rPr>
                      <w:i/>
                      <w:color w:val="auto"/>
                      <w:lang w:val="lt-LT"/>
                    </w:rPr>
                    <w:t xml:space="preserve"> DUS </w:t>
                  </w:r>
                  <w:proofErr w:type="spellStart"/>
                  <w:r>
                    <w:rPr>
                      <w:i/>
                      <w:color w:val="auto"/>
                      <w:lang w:val="lt-LT"/>
                    </w:rPr>
                    <w:t>Testing</w:t>
                  </w:r>
                  <w:proofErr w:type="spellEnd"/>
                  <w:r>
                    <w:rPr>
                      <w:i/>
                      <w:color w:val="auto"/>
                      <w:lang w:val="lt-LT"/>
                    </w:rPr>
                    <w:t xml:space="preserve">); </w:t>
                  </w:r>
                </w:p>
                <w:p w:rsidR="00FA0A31" w:rsidRDefault="00FA0A31" w:rsidP="00FD171D">
                  <w:pPr>
                    <w:pStyle w:val="Default"/>
                    <w:jc w:val="both"/>
                    <w:rPr>
                      <w:i/>
                      <w:color w:val="auto"/>
                      <w:lang w:val="lt-LT"/>
                    </w:rPr>
                  </w:pPr>
                  <w:r>
                    <w:rPr>
                      <w:b/>
                      <w:i/>
                      <w:color w:val="auto"/>
                      <w:lang w:val="lt-LT"/>
                    </w:rPr>
                    <w:t xml:space="preserve">arba </w:t>
                  </w:r>
                </w:p>
                <w:p w:rsidR="00FA0A31" w:rsidRDefault="00FA0A31" w:rsidP="00FD171D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i/>
                      <w:color w:val="auto"/>
                      <w:lang w:val="lt-LT"/>
                    </w:rPr>
                  </w:pPr>
                  <w:r>
                    <w:rPr>
                      <w:i/>
                      <w:color w:val="auto"/>
                      <w:lang w:val="lt-LT"/>
                    </w:rPr>
                    <w:t>pagal tarptautiniu mastu pripažintą tvarką įregistruota gyvūnų veislė;</w:t>
                  </w:r>
                </w:p>
                <w:p w:rsidR="00FA0A31" w:rsidRDefault="00FA0A31" w:rsidP="00FD171D">
                  <w:pPr>
                    <w:pStyle w:val="Default"/>
                    <w:jc w:val="both"/>
                    <w:rPr>
                      <w:i/>
                      <w:color w:val="auto"/>
                      <w:lang w:val="lt-LT"/>
                    </w:rPr>
                  </w:pPr>
                  <w:r>
                    <w:rPr>
                      <w:b/>
                      <w:i/>
                      <w:color w:val="auto"/>
                      <w:lang w:val="lt-LT"/>
                    </w:rPr>
                    <w:t xml:space="preserve">arba </w:t>
                  </w:r>
                </w:p>
                <w:p w:rsidR="00FA0A31" w:rsidRDefault="00FA0A31" w:rsidP="00FD171D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i/>
                      <w:color w:val="auto"/>
                      <w:lang w:val="lt-LT"/>
                    </w:rPr>
                  </w:pPr>
                  <w:r>
                    <w:rPr>
                      <w:i/>
                      <w:color w:val="auto"/>
                      <w:lang w:val="lt-LT"/>
                    </w:rPr>
                    <w:t>nauja technologija, turinti įdiegimo aktą ar išbandytos gamyboje;</w:t>
                  </w:r>
                </w:p>
                <w:p w:rsidR="00FA0A31" w:rsidRDefault="00FA0A31" w:rsidP="00FD171D">
                  <w:pPr>
                    <w:pStyle w:val="Default"/>
                    <w:jc w:val="both"/>
                    <w:rPr>
                      <w:i/>
                      <w:color w:val="auto"/>
                      <w:lang w:val="lt-LT"/>
                    </w:rPr>
                  </w:pPr>
                  <w:r>
                    <w:rPr>
                      <w:b/>
                      <w:i/>
                      <w:color w:val="auto"/>
                      <w:lang w:val="lt-LT"/>
                    </w:rPr>
                    <w:t xml:space="preserve">arba </w:t>
                  </w:r>
                </w:p>
                <w:p w:rsidR="00FA0A31" w:rsidRDefault="00FA0A31" w:rsidP="00FD171D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i/>
                      <w:color w:val="auto"/>
                      <w:lang w:val="lt-LT"/>
                    </w:rPr>
                  </w:pPr>
                  <w:r>
                    <w:rPr>
                      <w:i/>
                      <w:color w:val="auto"/>
                      <w:lang w:val="lt-LT"/>
                    </w:rPr>
                    <w:t>veislė ir mikroorganizmų kamienas, įregistruotas</w:t>
                  </w:r>
                  <w:r w:rsidR="00F83AC3">
                    <w:rPr>
                      <w:i/>
                      <w:color w:val="auto"/>
                      <w:lang w:val="lt-LT"/>
                    </w:rPr>
                    <w:t xml:space="preserve"> ne</w:t>
                  </w:r>
                  <w:r>
                    <w:rPr>
                      <w:i/>
                      <w:color w:val="auto"/>
                      <w:lang w:val="lt-LT"/>
                    </w:rPr>
                    <w:t xml:space="preserve"> Lietuvoje ir turintis registracijos pažymą; </w:t>
                  </w:r>
                </w:p>
                <w:p w:rsidR="00FA0A31" w:rsidRDefault="00FA0A31" w:rsidP="00FD171D">
                  <w:pPr>
                    <w:pStyle w:val="Default"/>
                    <w:jc w:val="both"/>
                    <w:rPr>
                      <w:i/>
                      <w:color w:val="auto"/>
                      <w:lang w:val="lt-LT"/>
                    </w:rPr>
                  </w:pPr>
                  <w:r>
                    <w:rPr>
                      <w:b/>
                      <w:i/>
                      <w:color w:val="auto"/>
                      <w:lang w:val="lt-LT"/>
                    </w:rPr>
                    <w:t xml:space="preserve">arba </w:t>
                  </w:r>
                </w:p>
                <w:p w:rsidR="00FA0A31" w:rsidRDefault="00FA0A31" w:rsidP="00FD171D">
                  <w:pPr>
                    <w:numPr>
                      <w:ilvl w:val="0"/>
                      <w:numId w:val="1"/>
                    </w:numPr>
                    <w:rPr>
                      <w:i/>
                    </w:rPr>
                  </w:pPr>
                  <w:r>
                    <w:rPr>
                      <w:i/>
                    </w:rPr>
                    <w:t>mokslinių tyrimų metu gautas atviras naujas skaitmeninis išteklius, duomenų bazė ar atviro kodo programinė</w:t>
                  </w:r>
                  <w:r w:rsidR="002C6304">
                    <w:rPr>
                      <w:i/>
                    </w:rPr>
                    <w:t xml:space="preserve"> įrangą, tinkama panaudoti MTEP;</w:t>
                  </w:r>
                </w:p>
                <w:p w:rsidR="002C6304" w:rsidRPr="002C6304" w:rsidRDefault="002C6304" w:rsidP="002C6304">
                  <w:pPr>
                    <w:pStyle w:val="Default"/>
                    <w:jc w:val="both"/>
                    <w:rPr>
                      <w:b/>
                      <w:i/>
                      <w:color w:val="auto"/>
                      <w:lang w:val="lt-LT"/>
                    </w:rPr>
                  </w:pPr>
                  <w:r>
                    <w:rPr>
                      <w:b/>
                      <w:i/>
                      <w:color w:val="auto"/>
                      <w:lang w:val="lt-LT"/>
                    </w:rPr>
                    <w:t xml:space="preserve">arba </w:t>
                  </w:r>
                </w:p>
                <w:p w:rsidR="00345820" w:rsidRDefault="002C6304" w:rsidP="00345820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i/>
                      <w:color w:val="auto"/>
                      <w:lang w:val="lt-LT"/>
                    </w:rPr>
                  </w:pPr>
                  <w:r>
                    <w:rPr>
                      <w:i/>
                      <w:color w:val="auto"/>
                      <w:lang w:val="lt-LT"/>
                    </w:rPr>
                    <w:t>patentas Lietuvoje, taip pat patentinė paraiška, turintis (-</w:t>
                  </w:r>
                  <w:proofErr w:type="spellStart"/>
                  <w:r>
                    <w:rPr>
                      <w:i/>
                      <w:color w:val="auto"/>
                      <w:lang w:val="lt-LT"/>
                    </w:rPr>
                    <w:t>ti</w:t>
                  </w:r>
                  <w:proofErr w:type="spellEnd"/>
                  <w:r>
                    <w:rPr>
                      <w:i/>
                      <w:color w:val="auto"/>
                      <w:lang w:val="lt-LT"/>
                    </w:rPr>
                    <w:t>) registracijos pažymą.</w:t>
                  </w:r>
                </w:p>
                <w:p w:rsidR="00BC2AF4" w:rsidRPr="00BC2AF4" w:rsidRDefault="00BC2AF4" w:rsidP="00BC2AF4">
                  <w:pPr>
                    <w:pStyle w:val="Default"/>
                    <w:jc w:val="both"/>
                    <w:rPr>
                      <w:color w:val="auto"/>
                      <w:lang w:val="lt-LT"/>
                    </w:rPr>
                  </w:pPr>
                  <w:r>
                    <w:rPr>
                      <w:color w:val="auto"/>
                      <w:lang w:val="lt-LT"/>
                    </w:rPr>
                    <w:t>Projektui</w:t>
                  </w:r>
                  <w:r w:rsidRPr="00BC2AF4">
                    <w:rPr>
                      <w:color w:val="auto"/>
                      <w:lang w:val="lt-LT"/>
                    </w:rPr>
                    <w:t xml:space="preserve"> skiriama 0 balų, jei projekto re</w:t>
                  </w:r>
                  <w:r>
                    <w:rPr>
                      <w:color w:val="auto"/>
                      <w:lang w:val="lt-LT"/>
                    </w:rPr>
                    <w:t>zultatas neatitinka nė vieno iš</w:t>
                  </w:r>
                  <w:r w:rsidRPr="00BC2AF4">
                    <w:rPr>
                      <w:color w:val="auto"/>
                      <w:lang w:val="lt-LT"/>
                    </w:rPr>
                    <w:t xml:space="preserve"> 1-7 punktuose nurodytų rezultatų</w:t>
                  </w:r>
                  <w:r>
                    <w:rPr>
                      <w:color w:val="auto"/>
                      <w:lang w:val="lt-LT"/>
                    </w:rPr>
                    <w:t>.</w:t>
                  </w:r>
                </w:p>
                <w:p w:rsidR="00345820" w:rsidRPr="00345820" w:rsidRDefault="00345820" w:rsidP="00345820">
                  <w:pPr>
                    <w:pStyle w:val="Default"/>
                    <w:jc w:val="both"/>
                    <w:rPr>
                      <w:i/>
                      <w:color w:val="auto"/>
                      <w:lang w:val="lt-LT"/>
                    </w:rPr>
                  </w:pPr>
                </w:p>
                <w:p w:rsidR="00345820" w:rsidRDefault="00F80715" w:rsidP="00FD171D">
                  <w:pPr>
                    <w:pStyle w:val="Betarp"/>
                    <w:rPr>
                      <w:lang w:val="lt-LT"/>
                    </w:rPr>
                  </w:pPr>
                  <w:r w:rsidRPr="00F80715">
                    <w:rPr>
                      <w:lang w:val="lt-LT"/>
                    </w:rPr>
                    <w:lastRenderedPageBreak/>
                    <w:t>2. Įgyvendinamo projekto metu numatomų pasiekti rezultatų panaudojimo galimybės ir perspektyvos – kaip ir kokiu mastu planuojami mokslinio tyrimo rezultatai prisideda prie Sumanios specializacijos</w:t>
                  </w:r>
                  <w:r>
                    <w:rPr>
                      <w:lang w:val="lt-LT"/>
                    </w:rPr>
                    <w:t xml:space="preserve"> programos konkrečios prioritetinės krypties veiksmų plano tikslų bei uždavinių įvykdomumo.</w:t>
                  </w:r>
                </w:p>
                <w:p w:rsidR="00F377F7" w:rsidRDefault="00017237" w:rsidP="00F377F7">
                  <w:pPr>
                    <w:pStyle w:val="Betarp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Skiriama 0-4 balai</w:t>
                  </w:r>
                </w:p>
                <w:p w:rsidR="00FA0A31" w:rsidRDefault="00FA0A31" w:rsidP="00CE6FD2">
                  <w:pPr>
                    <w:pStyle w:val="Betarp"/>
                    <w:rPr>
                      <w:lang w:val="lt-LT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D6C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  <w:r w:rsidRPr="00F41D69">
                    <w:rPr>
                      <w:rFonts w:eastAsia="Calibri"/>
                      <w:i/>
                    </w:rPr>
                    <w:lastRenderedPageBreak/>
                    <w:t>(Galimas simbolių skaičius – 2 skaičiai iki kablelio ir 1 po kablelio)</w:t>
                  </w:r>
                </w:p>
                <w:p w:rsidR="00865D6C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865D6C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865D6C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865D6C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865D6C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865D6C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FA0A31" w:rsidRDefault="00720586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Cs/>
                      <w:caps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A31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  <w:r w:rsidRPr="00F41D69">
                    <w:rPr>
                      <w:rFonts w:eastAsia="Calibri"/>
                      <w:i/>
                    </w:rPr>
                    <w:lastRenderedPageBreak/>
                    <w:t>(Galimas simbolių skaičius – 2 skaičiai iki kablelio ir 1 po kablelio)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D6C" w:rsidRDefault="00865D6C" w:rsidP="00865D6C">
                  <w:pPr>
                    <w:ind w:firstLine="0"/>
                    <w:rPr>
                      <w:bCs/>
                      <w:caps/>
                      <w:sz w:val="22"/>
                      <w:szCs w:val="22"/>
                    </w:rPr>
                  </w:pPr>
                  <w:r w:rsidRPr="00F41D69">
                    <w:rPr>
                      <w:rFonts w:eastAsia="Calibri"/>
                      <w:i/>
                    </w:rPr>
                    <w:t xml:space="preserve">(Galimas simbolių skaičius – 2 skaičiai iki kablelio </w:t>
                  </w:r>
                  <w:r w:rsidRPr="00F41D69">
                    <w:rPr>
                      <w:rFonts w:eastAsia="Calibri"/>
                      <w:i/>
                    </w:rPr>
                    <w:lastRenderedPageBreak/>
                    <w:t>ir 1 po kablelio)</w:t>
                  </w:r>
                </w:p>
                <w:p w:rsidR="00865D6C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865D6C" w:rsidRDefault="00865D6C" w:rsidP="00865D6C">
                  <w:pPr>
                    <w:ind w:firstLine="0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865D6C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FA0A31" w:rsidRDefault="00F377F7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Cs/>
                      <w:cap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A31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  <w:r w:rsidRPr="00F41D69">
                    <w:rPr>
                      <w:rFonts w:eastAsia="Calibri"/>
                      <w:i/>
                    </w:rPr>
                    <w:lastRenderedPageBreak/>
                    <w:t>(Galimas simbolių skaičius – 2 skaičiai iki kablelio ir 1 po kablelio)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D6C" w:rsidRDefault="00865D6C" w:rsidP="00865D6C">
                  <w:pPr>
                    <w:ind w:firstLine="0"/>
                    <w:rPr>
                      <w:bCs/>
                      <w:caps/>
                      <w:sz w:val="22"/>
                      <w:szCs w:val="22"/>
                    </w:rPr>
                  </w:pPr>
                  <w:r w:rsidRPr="00F41D69">
                    <w:rPr>
                      <w:rFonts w:eastAsia="Calibri"/>
                      <w:i/>
                    </w:rPr>
                    <w:t>(Galimas simbolių skaičius – 2 skaičiai iki kablelio ir 1 po kablelio)</w:t>
                  </w:r>
                </w:p>
                <w:p w:rsidR="00865D6C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865D6C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865D6C" w:rsidRDefault="00865D6C" w:rsidP="00865D6C">
                  <w:pPr>
                    <w:ind w:firstLine="0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865D6C" w:rsidRDefault="00865D6C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  <w:p w:rsidR="00FA0A31" w:rsidRDefault="00C03183" w:rsidP="00FD171D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  <w:r w:rsidRPr="00720586">
                    <w:rPr>
                      <w:bCs/>
                      <w:caps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0A31" w:rsidRDefault="00FA0A31">
                  <w:pPr>
                    <w:ind w:firstLine="0"/>
                    <w:jc w:val="lef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  <w:tr w:rsidR="00C04E89" w:rsidTr="00C04E89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A854E5">
                  <w:pPr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2</w:t>
                  </w:r>
                  <w:r w:rsidR="00907CDE">
                    <w:rPr>
                      <w:b/>
                      <w:bCs/>
                      <w:sz w:val="22"/>
                      <w:szCs w:val="22"/>
                    </w:rPr>
                    <w:t>.</w:t>
                  </w:r>
                  <w:r w:rsidR="00907CDE">
                    <w:rPr>
                      <w:b/>
                      <w:bCs/>
                      <w:lang w:eastAsia="lt-LT"/>
                    </w:rPr>
                    <w:t xml:space="preserve"> </w:t>
                  </w:r>
                  <w:r w:rsidR="00907CDE">
                    <w:rPr>
                      <w:b/>
                    </w:rPr>
                    <w:t xml:space="preserve">Mokslinio tyrimo projekto idėjos novatoriškumas </w:t>
                  </w:r>
                </w:p>
                <w:p w:rsidR="00907CDE" w:rsidRDefault="00907CDE">
                  <w:pPr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widowControl w:val="0"/>
                    <w:adjustRightInd w:val="0"/>
                    <w:ind w:firstLine="0"/>
                    <w:textAlignment w:val="baseline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Pagal šį kriterijų vertinami siūlomo mokslinio tyrimo projekto idėjos novatoriškumas ir įgyvendinamumas.</w:t>
                  </w:r>
                </w:p>
                <w:p w:rsidR="00233225" w:rsidRDefault="00233225">
                  <w:pPr>
                    <w:widowControl w:val="0"/>
                    <w:adjustRightInd w:val="0"/>
                    <w:ind w:firstLine="0"/>
                    <w:textAlignment w:val="baseline"/>
                    <w:rPr>
                      <w:lang w:eastAsia="lt-LT"/>
                    </w:rPr>
                  </w:pPr>
                </w:p>
                <w:p w:rsidR="00907CDE" w:rsidRDefault="00233225">
                  <w:pPr>
                    <w:widowControl w:val="0"/>
                    <w:adjustRightInd w:val="0"/>
                    <w:ind w:firstLine="0"/>
                    <w:textAlignment w:val="baseline"/>
                    <w:rPr>
                      <w:bCs/>
                      <w:lang w:eastAsia="lt-LT"/>
                    </w:rPr>
                  </w:pPr>
                  <w:r>
                    <w:rPr>
                      <w:bCs/>
                      <w:lang w:eastAsia="lt-LT"/>
                    </w:rPr>
                    <w:t>Vertinama</w:t>
                  </w:r>
                  <w:r w:rsidR="00907CDE">
                    <w:rPr>
                      <w:bCs/>
                      <w:lang w:eastAsia="lt-LT"/>
                    </w:rPr>
                    <w:t>:</w:t>
                  </w:r>
                </w:p>
                <w:p w:rsidR="00907CDE" w:rsidRDefault="00907CDE">
                  <w:pPr>
                    <w:ind w:firstLine="0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1. Projekto įgyvendinimo metu planuojamų sukurti žinių ir (arba) technologijų naujumas bei sprendžiamų mokslo ir (arba) eksperimentinės (socialinės, kultūrinės) plėtros problemų aktualumas.</w:t>
                  </w:r>
                </w:p>
                <w:p w:rsidR="00907CDE" w:rsidRDefault="000B4B30">
                  <w:pPr>
                    <w:ind w:firstLine="0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 xml:space="preserve">Skiriama </w:t>
                  </w:r>
                  <w:r w:rsidR="006C4CD8">
                    <w:rPr>
                      <w:lang w:eastAsia="lt-LT"/>
                    </w:rPr>
                    <w:t>0-3</w:t>
                  </w:r>
                  <w:r w:rsidR="00F377F7">
                    <w:rPr>
                      <w:lang w:eastAsia="lt-LT"/>
                    </w:rPr>
                    <w:t xml:space="preserve"> balai</w:t>
                  </w:r>
                </w:p>
                <w:p w:rsidR="00907CDE" w:rsidRDefault="00907CDE">
                  <w:pPr>
                    <w:ind w:firstLine="0"/>
                    <w:rPr>
                      <w:lang w:eastAsia="lt-LT"/>
                    </w:rPr>
                  </w:pPr>
                </w:p>
                <w:p w:rsidR="00907CDE" w:rsidRDefault="00907CDE">
                  <w:pPr>
                    <w:ind w:firstLine="0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 xml:space="preserve">2. Projekto tikslų ambicingumas ir tinkamumas tyrimo tikslams pasiekti, bei neapsiribojimas įprastais tyrimo metodais. </w:t>
                  </w:r>
                </w:p>
                <w:p w:rsidR="00907CDE" w:rsidRDefault="000B4B30" w:rsidP="00CE6FD2">
                  <w:pPr>
                    <w:ind w:firstLine="0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 xml:space="preserve">Skiriama </w:t>
                  </w:r>
                  <w:r w:rsidR="006C4CD8">
                    <w:rPr>
                      <w:lang w:eastAsia="lt-LT"/>
                    </w:rPr>
                    <w:t>0-2</w:t>
                  </w:r>
                  <w:r w:rsidR="00F377F7">
                    <w:rPr>
                      <w:lang w:eastAsia="lt-LT"/>
                    </w:rPr>
                    <w:t xml:space="preserve"> balai</w:t>
                  </w:r>
                </w:p>
                <w:p w:rsidR="00BF35B9" w:rsidRDefault="00BF35B9" w:rsidP="00CE6FD2">
                  <w:pPr>
                    <w:ind w:firstLine="0"/>
                    <w:rPr>
                      <w:lang w:eastAsia="lt-LT"/>
                    </w:rPr>
                  </w:pPr>
                </w:p>
                <w:p w:rsidR="00BF35B9" w:rsidRDefault="00BF35B9" w:rsidP="00CE6FD2">
                  <w:pPr>
                    <w:ind w:firstLine="0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 xml:space="preserve">3. </w:t>
                  </w:r>
                  <w:r w:rsidR="006C4CD8" w:rsidRPr="006C4CD8">
                    <w:rPr>
                      <w:lang w:eastAsia="lt-LT"/>
                    </w:rPr>
                    <w:t>Projekto įgyvendinamumas ir mokslinio tyrimo grupės tinkamumas tyrimo plano įgyvendinimui</w:t>
                  </w:r>
                </w:p>
                <w:p w:rsidR="006C4CD8" w:rsidRDefault="006C4CD8" w:rsidP="00CE6FD2">
                  <w:pPr>
                    <w:ind w:firstLine="0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Skiriama 0-2 balai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087D4D">
                  <w:pPr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jc w:val="center"/>
                    <w:rPr>
                      <w:b/>
                      <w:bCs/>
                      <w:cap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F377F7">
                  <w:pPr>
                    <w:ind w:firstLine="0"/>
                    <w:jc w:val="center"/>
                    <w:rPr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bCs/>
                      <w: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jc w:val="center"/>
                    <w:rPr>
                      <w:bCs/>
                      <w:cap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6C4CD8">
                  <w:pPr>
                    <w:ind w:firstLine="0"/>
                    <w:jc w:val="center"/>
                    <w:rPr>
                      <w:bCs/>
                      <w:caps/>
                      <w:sz w:val="20"/>
                      <w:szCs w:val="20"/>
                    </w:rPr>
                  </w:pPr>
                  <w:r>
                    <w:rPr>
                      <w:bCs/>
                      <w:cap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rPr>
                      <w:bCs/>
                      <w:i/>
                      <w:lang w:eastAsia="lt-LT"/>
                    </w:rPr>
                  </w:pPr>
                </w:p>
              </w:tc>
            </w:tr>
            <w:tr w:rsidR="00C04E89" w:rsidTr="00C04E89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6E2156">
                  <w:pPr>
                    <w:ind w:firstLine="0"/>
                    <w:jc w:val="lef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</w:rPr>
                    <w:t>3</w:t>
                  </w:r>
                  <w:r w:rsidR="00907CDE">
                    <w:rPr>
                      <w:b/>
                      <w:bCs/>
                      <w:caps/>
                      <w:sz w:val="22"/>
                      <w:szCs w:val="22"/>
                    </w:rPr>
                    <w:t xml:space="preserve">. </w:t>
                  </w:r>
                  <w:r w:rsidR="00907CDE">
                    <w:rPr>
                      <w:b/>
                      <w:bCs/>
                      <w:sz w:val="23"/>
                      <w:szCs w:val="23"/>
                    </w:rPr>
                    <w:t>Mokslinio tyrimo projekto vadovo tarptautinė mokslinė kompetencija</w:t>
                  </w:r>
                </w:p>
                <w:p w:rsidR="00907CDE" w:rsidRDefault="00907CDE">
                  <w:pPr>
                    <w:ind w:firstLine="0"/>
                    <w:jc w:val="lef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E58" w:rsidRDefault="00907CDE">
                  <w:pPr>
                    <w:pStyle w:val="Default"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 xml:space="preserve">Pagal šį kriterijų vertinami mokslinio tyrimo projekto vadovo moksliniai pasiekimai tarptautiniame kontekste, patirtis vykdyti ir vadovauti moksliniams tyrimams bei pajėgumas įgyvendinti teikiamą projektą. Projekto vadovo mokslinė kompetencija vertinama pagal gyvenimo </w:t>
                  </w:r>
                  <w:r>
                    <w:rPr>
                      <w:lang w:val="lt-LT"/>
                    </w:rPr>
                    <w:lastRenderedPageBreak/>
                    <w:t>aprašymą bei pateiktų mokslinių publikacijų sąrašą.</w:t>
                  </w:r>
                </w:p>
                <w:p w:rsidR="00877A3A" w:rsidRDefault="00877A3A">
                  <w:pPr>
                    <w:ind w:firstLine="0"/>
                  </w:pPr>
                </w:p>
                <w:p w:rsidR="00907CDE" w:rsidRDefault="00233225">
                  <w:pPr>
                    <w:ind w:firstLine="0"/>
                  </w:pPr>
                  <w:r>
                    <w:t>Vertinama</w:t>
                  </w:r>
                  <w:r w:rsidR="00907CDE">
                    <w:t>:</w:t>
                  </w:r>
                </w:p>
                <w:p w:rsidR="00907CDE" w:rsidRDefault="00907CDE">
                  <w:pPr>
                    <w:ind w:firstLine="0"/>
                  </w:pPr>
                  <w:r>
                    <w:t xml:space="preserve">1. Mokslinio tyrimo projekto vadovo moksliniai pasiekimai tarptautiniame kontekste. </w:t>
                  </w:r>
                </w:p>
                <w:p w:rsidR="00907CDE" w:rsidRDefault="000B4B30">
                  <w:pPr>
                    <w:ind w:firstLine="0"/>
                  </w:pPr>
                  <w:r>
                    <w:t xml:space="preserve">Skiriama </w:t>
                  </w:r>
                  <w:r w:rsidR="00907CDE">
                    <w:t>0-</w:t>
                  </w:r>
                  <w:r w:rsidR="00233225">
                    <w:t>2 balai</w:t>
                  </w:r>
                </w:p>
                <w:p w:rsidR="00907CDE" w:rsidRDefault="00907CDE">
                  <w:pPr>
                    <w:ind w:firstLine="0"/>
                  </w:pPr>
                </w:p>
                <w:p w:rsidR="00907CDE" w:rsidRDefault="00907CDE">
                  <w:pPr>
                    <w:ind w:firstLine="0"/>
                  </w:pPr>
                  <w:r>
                    <w:t>2. Mokslinio tyrimo projekto vadovo patirtis vykdyti ir vadovauti moksliniams tyrimams bei pajėgumas įgyvendinti teikiamą projektą.</w:t>
                  </w:r>
                </w:p>
                <w:p w:rsidR="00907CDE" w:rsidRDefault="000B4B30">
                  <w:pPr>
                    <w:ind w:firstLine="0"/>
                  </w:pPr>
                  <w:r>
                    <w:t xml:space="preserve">Skiriama </w:t>
                  </w:r>
                  <w:r w:rsidR="00233225">
                    <w:t>0-2 balai</w:t>
                  </w:r>
                  <w:r w:rsidR="00907CDE"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877A3A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Cs/>
                      <w:caps/>
                      <w:sz w:val="22"/>
                      <w:szCs w:val="22"/>
                    </w:rPr>
                    <w:lastRenderedPageBreak/>
                    <w:t>2</w:t>
                  </w:r>
                  <w:r w:rsidR="00907CDE">
                    <w:rPr>
                      <w:bCs/>
                      <w:cap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233225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Cs/>
                      <w:cap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CC09A7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Cs/>
                      <w:cap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rPr>
                      <w:bCs/>
                      <w:i/>
                      <w:caps/>
                      <w:sz w:val="22"/>
                      <w:szCs w:val="22"/>
                    </w:rPr>
                  </w:pPr>
                </w:p>
              </w:tc>
            </w:tr>
            <w:tr w:rsidR="00C04E89" w:rsidTr="00C04E89"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CB6CB5">
                  <w:pPr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</w:t>
                  </w:r>
                  <w:r w:rsidR="00907CDE">
                    <w:rPr>
                      <w:b/>
                      <w:bCs/>
                      <w:sz w:val="22"/>
                      <w:szCs w:val="22"/>
                    </w:rPr>
                    <w:t xml:space="preserve">. </w:t>
                  </w:r>
                  <w:r w:rsidR="00907CDE">
                    <w:rPr>
                      <w:b/>
                      <w:bCs/>
                      <w:sz w:val="23"/>
                      <w:szCs w:val="23"/>
                    </w:rPr>
                    <w:t xml:space="preserve">Pareiškėjo dalyvavimo tarptautinių mokslo programų projektuose bei pareiškėjo vykdytų ūkio subjektų taikomųjų mokslinių tyrimų užsakymų aprėptis. </w:t>
                  </w:r>
                </w:p>
                <w:p w:rsidR="00907CDE" w:rsidRDefault="00907CDE">
                  <w:pPr>
                    <w:ind w:firstLine="0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Pr="00922E58" w:rsidRDefault="00907CDE">
                  <w:pPr>
                    <w:pStyle w:val="Default"/>
                    <w:jc w:val="both"/>
                    <w:rPr>
                      <w:lang w:val="lt-LT"/>
                    </w:rPr>
                  </w:pPr>
                  <w:r w:rsidRPr="00E3702B">
                    <w:rPr>
                      <w:lang w:val="lt-LT"/>
                    </w:rPr>
                    <w:t xml:space="preserve">Pagal šį kriterijų bus vertinama projekto pareiškėjo dalyvavimo tarptautinių mokslo programų projektuose bei vykdytų ūkio subjektų </w:t>
                  </w:r>
                  <w:r w:rsidR="00F83AC3" w:rsidRPr="00E3702B">
                    <w:rPr>
                      <w:lang w:val="lt-LT"/>
                    </w:rPr>
                    <w:t>MTEP</w:t>
                  </w:r>
                  <w:r w:rsidR="00C04E89" w:rsidRPr="00E3702B">
                    <w:rPr>
                      <w:lang w:val="lt-LT"/>
                    </w:rPr>
                    <w:t xml:space="preserve"> </w:t>
                  </w:r>
                  <w:r w:rsidRPr="00E3702B">
                    <w:rPr>
                      <w:lang w:val="lt-LT"/>
                    </w:rPr>
                    <w:t>užsakymų</w:t>
                  </w:r>
                  <w:r w:rsidR="007F78E1" w:rsidRPr="00E3702B">
                    <w:rPr>
                      <w:lang w:val="lt-LT"/>
                    </w:rPr>
                    <w:t xml:space="preserve"> </w:t>
                  </w:r>
                  <w:r w:rsidRPr="00922E58">
                    <w:rPr>
                      <w:lang w:val="lt-LT"/>
                    </w:rPr>
                    <w:t xml:space="preserve">aprėptis. </w:t>
                  </w:r>
                </w:p>
                <w:p w:rsidR="00907CDE" w:rsidRPr="00922E58" w:rsidRDefault="00907CDE">
                  <w:pPr>
                    <w:pStyle w:val="Default"/>
                    <w:jc w:val="both"/>
                    <w:rPr>
                      <w:lang w:val="lt-LT"/>
                    </w:rPr>
                  </w:pPr>
                  <w:r w:rsidRPr="00922E58">
                    <w:rPr>
                      <w:lang w:val="lt-LT"/>
                    </w:rPr>
                    <w:t xml:space="preserve">Vertinimas atliekamas vadovaujantis Švietimo ir mokslo ministerijai Lietuvos mokslo tarybos pateiktais </w:t>
                  </w:r>
                  <w:r w:rsidR="007F78E1" w:rsidRPr="00922E58">
                    <w:rPr>
                      <w:lang w:val="lt-LT"/>
                    </w:rPr>
                    <w:t>nauja</w:t>
                  </w:r>
                  <w:r w:rsidR="00A230C6" w:rsidRPr="00922E58">
                    <w:rPr>
                      <w:lang w:val="lt-LT"/>
                    </w:rPr>
                    <w:t>usiais</w:t>
                  </w:r>
                  <w:r w:rsidR="007F78E1" w:rsidRPr="00922E58">
                    <w:rPr>
                      <w:lang w:val="lt-LT"/>
                    </w:rPr>
                    <w:t xml:space="preserve"> </w:t>
                  </w:r>
                  <w:r w:rsidRPr="00922E58">
                    <w:rPr>
                      <w:lang w:val="lt-LT"/>
                    </w:rPr>
                    <w:t xml:space="preserve">duomenimis, gautais atliekant mokslo ir studijų institucijų mokslo (meno) darbų </w:t>
                  </w:r>
                  <w:r w:rsidR="007F78E1" w:rsidRPr="00E3702B">
                    <w:rPr>
                      <w:lang w:val="lt-LT"/>
                    </w:rPr>
                    <w:t xml:space="preserve">ir universitetų ligoninių mokslinės veiklos </w:t>
                  </w:r>
                  <w:r w:rsidRPr="00922E58">
                    <w:rPr>
                      <w:lang w:val="lt-LT"/>
                    </w:rPr>
                    <w:t>vertinimą</w:t>
                  </w:r>
                  <w:r w:rsidR="006F7078" w:rsidRPr="00922E58">
                    <w:rPr>
                      <w:lang w:val="lt-LT"/>
                    </w:rPr>
                    <w:t xml:space="preserve"> </w:t>
                  </w:r>
                  <w:r w:rsidRPr="00922E58">
                    <w:rPr>
                      <w:lang w:val="lt-LT"/>
                    </w:rPr>
                    <w:t>vadovaujantis</w:t>
                  </w:r>
                  <w:r w:rsidR="006F7078" w:rsidRPr="00922E58">
                    <w:rPr>
                      <w:lang w:val="lt-LT"/>
                    </w:rPr>
                    <w:t xml:space="preserve"> </w:t>
                  </w:r>
                  <w:r w:rsidRPr="00922E58">
                    <w:rPr>
                      <w:lang w:val="lt-LT"/>
                    </w:rPr>
                    <w:t xml:space="preserve">Mokslo ir studijų institucijų mokslo (meno) darbų vertinimo metodika, patvirtinta Lietuvos Respublikos švietimo ir mokslo ministro 2010 m. liepos 10 d. įsakymu Nr. V-1128 (2015 m. vasario 5 d. įsakymo Nr. V-79 redakcija) </w:t>
                  </w:r>
                  <w:r w:rsidR="007F78E1" w:rsidRPr="00922E58">
                    <w:rPr>
                      <w:lang w:val="lt-LT"/>
                    </w:rPr>
                    <w:t>(</w:t>
                  </w:r>
                  <w:r w:rsidR="007F78E1" w:rsidRPr="00E3702B">
                    <w:rPr>
                      <w:lang w:val="lt-LT"/>
                    </w:rPr>
                    <w:t>toliau – Vertinimo metodika)</w:t>
                  </w:r>
                  <w:r w:rsidR="007F78E1" w:rsidRPr="00922E58">
                    <w:rPr>
                      <w:lang w:val="lt-LT"/>
                    </w:rPr>
                    <w:t xml:space="preserve"> </w:t>
                  </w:r>
                  <w:r w:rsidRPr="00922E58">
                    <w:rPr>
                      <w:lang w:val="lt-LT"/>
                    </w:rPr>
                    <w:t>ir Lietuvos mokslo ir studijų institucijų mokslo (meno) darbų ekspertinio vertinimo reglamentu, patvirtintu Lietuvos mokslo tarybos pirmininko 2011 m. lapkričio 28 d. įsakymu Nr. V-200 (2015 m. balandžio 17 d. įsakymo Nr. V-85 redakcija)</w:t>
                  </w:r>
                  <w:r w:rsidR="007F78E1" w:rsidRPr="00E3702B">
                    <w:rPr>
                      <w:lang w:val="lt-LT"/>
                    </w:rPr>
                    <w:t xml:space="preserve"> </w:t>
                  </w:r>
                  <w:r w:rsidR="007F78E1" w:rsidRPr="00922E58">
                    <w:rPr>
                      <w:lang w:val="lt-LT"/>
                    </w:rPr>
                    <w:t>(toliau – Vertinimo reglamentas)</w:t>
                  </w:r>
                  <w:r w:rsidRPr="00922E58">
                    <w:rPr>
                      <w:lang w:val="lt-LT"/>
                    </w:rPr>
                    <w:t xml:space="preserve">. </w:t>
                  </w:r>
                </w:p>
                <w:p w:rsidR="00922E58" w:rsidRDefault="00907CDE">
                  <w:pPr>
                    <w:pStyle w:val="Default"/>
                    <w:jc w:val="both"/>
                    <w:rPr>
                      <w:lang w:val="lt-LT"/>
                    </w:rPr>
                  </w:pPr>
                  <w:r w:rsidRPr="00922E58">
                    <w:rPr>
                      <w:lang w:val="lt-LT"/>
                    </w:rPr>
                    <w:lastRenderedPageBreak/>
                    <w:t>Vertinimo metu iš pateikto Mokslo ir studijų institucijų mokslo (meno) darbų vertinimo duomenų nustatoma konkretaus pareiškėjo lėšų, gautų iš tarptautinių mokslo programų projektų, ir gautų iš ūkio subjektų</w:t>
                  </w:r>
                  <w:r w:rsidR="00F83AC3" w:rsidRPr="00922E58">
                    <w:rPr>
                      <w:lang w:val="lt-LT"/>
                    </w:rPr>
                    <w:t xml:space="preserve"> MTEP</w:t>
                  </w:r>
                  <w:r w:rsidRPr="00922E58">
                    <w:rPr>
                      <w:lang w:val="lt-LT"/>
                    </w:rPr>
                    <w:t xml:space="preserve"> užsakymų vertė </w:t>
                  </w:r>
                  <w:r w:rsidR="007F78E1" w:rsidRPr="00E3702B">
                    <w:rPr>
                      <w:b/>
                      <w:lang w:val="lt-LT"/>
                    </w:rPr>
                    <w:t xml:space="preserve"> </w:t>
                  </w:r>
                  <w:bookmarkStart w:id="1" w:name="OLE_LINK30"/>
                  <w:bookmarkStart w:id="2" w:name="OLE_LINK31"/>
                  <w:r w:rsidR="007F78E1" w:rsidRPr="00E3702B">
                    <w:rPr>
                      <w:lang w:val="lt-LT"/>
                    </w:rPr>
                    <w:t>pagal Lietuvos mokslo tarybos pateiktus naujausius duomenis</w:t>
                  </w:r>
                  <w:bookmarkEnd w:id="1"/>
                  <w:bookmarkEnd w:id="2"/>
                  <w:r w:rsidRPr="00922E58">
                    <w:rPr>
                      <w:lang w:val="lt-LT"/>
                    </w:rPr>
                    <w:t>.</w:t>
                  </w:r>
                </w:p>
                <w:p w:rsidR="00907CDE" w:rsidRPr="00922E58" w:rsidRDefault="00907CDE">
                  <w:pPr>
                    <w:pStyle w:val="Default"/>
                    <w:jc w:val="both"/>
                    <w:rPr>
                      <w:lang w:val="lt-LT"/>
                    </w:rPr>
                  </w:pPr>
                </w:p>
                <w:p w:rsidR="00907CDE" w:rsidRPr="00CE6FD2" w:rsidRDefault="00907CDE" w:rsidP="007F78E1">
                  <w:pPr>
                    <w:ind w:firstLine="0"/>
                  </w:pPr>
                  <w:r w:rsidRPr="00533CCF">
                    <w:rPr>
                      <w:lang w:eastAsia="lt-LT"/>
                    </w:rPr>
                    <w:t>Suteikiamas balas gaunamas lentelėje</w:t>
                  </w:r>
                  <w:r w:rsidR="00533CCF" w:rsidRPr="00533CCF">
                    <w:rPr>
                      <w:lang w:eastAsia="lt-LT"/>
                    </w:rPr>
                    <w:t xml:space="preserve"> „</w:t>
                  </w:r>
                  <w:r w:rsidR="00533CCF" w:rsidRPr="00533CCF">
                    <w:t>Mokslo ir studijų institucijoms, universitetų ligoninėms skiriami balai mokslo srityse už tarptautinių mokslo programų projektus ir MTEP užsakymus iš ūkio subjektų</w:t>
                  </w:r>
                  <w:r w:rsidR="00533CCF">
                    <w:t>“</w:t>
                  </w:r>
                  <w:r w:rsidRPr="00533CCF">
                    <w:rPr>
                      <w:lang w:eastAsia="lt-LT"/>
                    </w:rPr>
                    <w:t xml:space="preserve"> nurodytą </w:t>
                  </w:r>
                  <w:r w:rsidRPr="00CE6FD2">
                    <w:rPr>
                      <w:lang w:eastAsia="lt-LT"/>
                    </w:rPr>
                    <w:t>balą padauginus iš svertinio koeficiento ir suapvalinus matematiškai iki dešimtųjų</w:t>
                  </w:r>
                  <w:r w:rsidRPr="00CE6FD2">
                    <w:rPr>
                      <w:vertAlign w:val="superscript"/>
                      <w:lang w:eastAsia="lt-LT"/>
                    </w:rPr>
                    <w:t>*</w:t>
                  </w:r>
                  <w:r w:rsidRPr="00CE6FD2">
                    <w:rPr>
                      <w:lang w:eastAsia="lt-LT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Cs/>
                      <w:caps/>
                      <w:sz w:val="22"/>
                      <w:szCs w:val="22"/>
                    </w:rPr>
                    <w:lastRenderedPageBreak/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087D4D">
                  <w:pPr>
                    <w:ind w:firstLine="0"/>
                    <w:rPr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Cs/>
                      <w:caps/>
                      <w:sz w:val="22"/>
                      <w:szCs w:val="22"/>
                    </w:rPr>
                    <w:t xml:space="preserve">      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ind w:firstLine="0"/>
                    <w:jc w:val="center"/>
                    <w:rPr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Cs/>
                      <w:cap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pStyle w:val="Betarp"/>
                    <w:rPr>
                      <w:i/>
                      <w:lang w:val="lt-LT" w:eastAsia="lt-LT"/>
                    </w:rPr>
                  </w:pPr>
                </w:p>
              </w:tc>
            </w:tr>
            <w:tr w:rsidR="00C04E89" w:rsidTr="00C04E89">
              <w:tc>
                <w:tcPr>
                  <w:tcW w:w="7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ind w:firstLine="0"/>
                    <w:jc w:val="righ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Suma</w:t>
                  </w:r>
                  <w:r>
                    <w:rPr>
                      <w:b/>
                      <w:bCs/>
                      <w:cap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907CDE" w:rsidRDefault="00907CDE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907CDE" w:rsidRDefault="00907CDE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ind w:left="-57" w:right="-57" w:firstLine="0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7146A6">
                  <w:pPr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20586">
                    <w:rPr>
                      <w:b/>
                      <w:bCs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4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907CDE" w:rsidRDefault="00907CDE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  <w:tr w:rsidR="00C04E89" w:rsidTr="00C04E89">
              <w:tc>
                <w:tcPr>
                  <w:tcW w:w="7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7CDE" w:rsidRDefault="00907CDE">
                  <w:pPr>
                    <w:ind w:firstLine="0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Minimali privaloma surinkti balų suma: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7146A6">
                  <w:pPr>
                    <w:ind w:firstLine="0"/>
                    <w:jc w:val="center"/>
                    <w:rPr>
                      <w:b/>
                      <w:bCs/>
                      <w:caps/>
                      <w:sz w:val="20"/>
                      <w:szCs w:val="20"/>
                    </w:rPr>
                  </w:pPr>
                  <w:r w:rsidRPr="00720586">
                    <w:rPr>
                      <w:b/>
                      <w:bCs/>
                      <w:caps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907CDE" w:rsidRDefault="00907CDE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907CDE" w:rsidRDefault="00907CDE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7CDE" w:rsidRDefault="00907CDE">
                  <w:pPr>
                    <w:ind w:firstLine="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907CDE" w:rsidRDefault="00907CDE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</w:tbl>
          <w:p w:rsidR="00907CDE" w:rsidRDefault="00907CDE" w:rsidP="002A5700">
            <w:pPr>
              <w:ind w:firstLine="0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 </w:t>
            </w:r>
          </w:p>
        </w:tc>
      </w:tr>
    </w:tbl>
    <w:p w:rsidR="00907CDE" w:rsidRDefault="00907CDE" w:rsidP="00907CDE">
      <w:pPr>
        <w:tabs>
          <w:tab w:val="left" w:pos="9639"/>
        </w:tabs>
        <w:ind w:firstLine="0"/>
      </w:pPr>
    </w:p>
    <w:p w:rsidR="00907CDE" w:rsidRDefault="00907CDE" w:rsidP="00907CDE">
      <w:pPr>
        <w:tabs>
          <w:tab w:val="left" w:pos="9639"/>
        </w:tabs>
        <w:ind w:firstLine="0"/>
      </w:pPr>
      <w:r>
        <w:t>____________________________________                                     ________________             ___________________________</w:t>
      </w:r>
    </w:p>
    <w:p w:rsidR="00907CDE" w:rsidRDefault="00907CDE" w:rsidP="00907CDE">
      <w:pPr>
        <w:tabs>
          <w:tab w:val="left" w:pos="7513"/>
          <w:tab w:val="left" w:pos="10065"/>
        </w:tabs>
        <w:ind w:firstLine="0"/>
      </w:pPr>
      <w:r>
        <w:t>(paraiškos vertinimą atlikusio</w:t>
      </w:r>
      <w:r>
        <w:tab/>
        <w:t xml:space="preserve"> (data)                      (vardas ir pavardė, parašas</w:t>
      </w:r>
      <w:r>
        <w:rPr>
          <w:rStyle w:val="Puslapioinaosnuoroda"/>
        </w:rPr>
        <w:footnoteReference w:id="3"/>
      </w:r>
      <w:r>
        <w:t>)</w:t>
      </w:r>
    </w:p>
    <w:p w:rsidR="00907CDE" w:rsidRDefault="00907CDE" w:rsidP="00907CDE">
      <w:pPr>
        <w:tabs>
          <w:tab w:val="center" w:pos="10800"/>
        </w:tabs>
        <w:ind w:firstLine="0"/>
      </w:pPr>
      <w:r>
        <w:t xml:space="preserve">atsakingo asmens pareigų pavadinimas)                                                                     </w:t>
      </w:r>
      <w:r>
        <w:tab/>
        <w:t xml:space="preserve">       </w:t>
      </w:r>
    </w:p>
    <w:p w:rsidR="00907CDE" w:rsidRDefault="00907CDE" w:rsidP="00907CDE">
      <w:pPr>
        <w:ind w:firstLine="0"/>
        <w:rPr>
          <w:sz w:val="18"/>
          <w:szCs w:val="18"/>
        </w:rPr>
      </w:pPr>
    </w:p>
    <w:p w:rsidR="005800DB" w:rsidRDefault="00907CDE" w:rsidP="004941D0">
      <w:pPr>
        <w:pStyle w:val="Puslapioinaostekstas"/>
        <w:rPr>
          <w:b/>
          <w:sz w:val="24"/>
          <w:szCs w:val="24"/>
        </w:rPr>
      </w:pPr>
      <w:r>
        <w:rPr>
          <w:i/>
        </w:rPr>
        <w:br w:type="page"/>
      </w:r>
      <w:r w:rsidR="00F50112">
        <w:rPr>
          <w:i/>
          <w:vertAlign w:val="superscript"/>
        </w:rPr>
        <w:lastRenderedPageBreak/>
        <w:t>*</w:t>
      </w:r>
      <w:r w:rsidR="00F50112" w:rsidRPr="00F50112">
        <w:rPr>
          <w:b/>
          <w:sz w:val="24"/>
          <w:szCs w:val="24"/>
        </w:rPr>
        <w:t>Mokslo ir studijų institucijoms</w:t>
      </w:r>
      <w:r w:rsidR="00F50112">
        <w:rPr>
          <w:b/>
          <w:sz w:val="24"/>
          <w:szCs w:val="24"/>
        </w:rPr>
        <w:t>, universitetų ligoninėms</w:t>
      </w:r>
      <w:r w:rsidR="00F50112" w:rsidRPr="00F50112">
        <w:rPr>
          <w:b/>
          <w:sz w:val="24"/>
          <w:szCs w:val="24"/>
        </w:rPr>
        <w:t xml:space="preserve"> skiriami balai mokslo srityse už tarptautinių mokslo programų projektus ir MTEP užsakymus iš ūkio subjektų</w:t>
      </w:r>
    </w:p>
    <w:p w:rsidR="002C0109" w:rsidRDefault="002C0109" w:rsidP="004941D0">
      <w:pPr>
        <w:pStyle w:val="Puslapioinaostekstas"/>
        <w:rPr>
          <w:b/>
          <w:sz w:val="24"/>
          <w:szCs w:val="24"/>
        </w:rPr>
      </w:pPr>
    </w:p>
    <w:tbl>
      <w:tblPr>
        <w:tblW w:w="13245" w:type="dxa"/>
        <w:tblInd w:w="93" w:type="dxa"/>
        <w:tblLook w:val="04A0" w:firstRow="1" w:lastRow="0" w:firstColumn="1" w:lastColumn="0" w:noHBand="0" w:noVBand="1"/>
      </w:tblPr>
      <w:tblGrid>
        <w:gridCol w:w="500"/>
        <w:gridCol w:w="5652"/>
        <w:gridCol w:w="1120"/>
        <w:gridCol w:w="1120"/>
        <w:gridCol w:w="1120"/>
        <w:gridCol w:w="1120"/>
        <w:gridCol w:w="1353"/>
        <w:gridCol w:w="1260"/>
      </w:tblGrid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Aleksandro Stulginskio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Kauno technologijos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Klaipėdos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Lietuvos edukologijos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Generolo Jono Žemaičio Lietuvos karo akademija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Lietuvos muzikos ir teatro akademija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Lietuvos sveikatos mokslų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Lietuvos sporto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Mykolo Romerio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Šiaulių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Vilniaus dailės akademija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Vytauto Didžiojo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Vilniaus Gedimino technikos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Vilniaus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Europos humanitarinis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ISM Vadybos ir ekonomikos universitetas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VU Tarptautinio verslo mokykla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Fizinių ir technologijos mokslų centras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Gamtos tyrimų centras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2236E6">
              <w:rPr>
                <w:color w:val="000000"/>
                <w:sz w:val="22"/>
                <w:szCs w:val="22"/>
              </w:rPr>
              <w:t>Inovatyvios</w:t>
            </w:r>
            <w:proofErr w:type="spellEnd"/>
            <w:r w:rsidRPr="002236E6">
              <w:rPr>
                <w:color w:val="000000"/>
                <w:sz w:val="22"/>
                <w:szCs w:val="22"/>
              </w:rPr>
              <w:t xml:space="preserve"> medicinos centras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Lietuvos agrarinės ekonomikos institutas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Lietuvos agrarinių ir miškų mokslų centras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Lietuvos energetikos institutas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Lietuvos istorijos institutas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Lietuvių kalbos institutas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Lietuvos kultūros tyrimų institutas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Lietuvių literatūros ir tautosakos institutas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Lietuvos socialinių tyrimų centras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Lietuvos teisės institutas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Nacionalinis vėžio institutas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Lietuvos sveikatos mokslų universiteto ligoninė Kauno klinikos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Vilniaus universiteto ligoninės Santariškių klinikos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2236E6" w:rsidRPr="002236E6" w:rsidTr="007D1F4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236E6">
              <w:rPr>
                <w:color w:val="000000"/>
                <w:sz w:val="22"/>
                <w:szCs w:val="22"/>
              </w:rPr>
              <w:t>Vilniaus universiteto ligoninės Žalgirio klinika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6E6" w:rsidRPr="002236E6" w:rsidRDefault="002236E6" w:rsidP="007D1F4C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36E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</w:tbl>
    <w:p w:rsidR="00F50112" w:rsidRPr="00F50112" w:rsidRDefault="00F50112" w:rsidP="004941D0">
      <w:pPr>
        <w:pStyle w:val="Puslapioinaostekstas"/>
        <w:rPr>
          <w:b/>
          <w:sz w:val="24"/>
          <w:szCs w:val="24"/>
        </w:rPr>
      </w:pPr>
    </w:p>
    <w:sectPr w:rsidR="00F50112" w:rsidRPr="00F50112" w:rsidSect="00907CD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CF7" w:rsidRDefault="00651CF7" w:rsidP="00907CDE">
      <w:r>
        <w:separator/>
      </w:r>
    </w:p>
  </w:endnote>
  <w:endnote w:type="continuationSeparator" w:id="0">
    <w:p w:rsidR="00651CF7" w:rsidRDefault="00651CF7" w:rsidP="0090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CF7" w:rsidRDefault="00651CF7" w:rsidP="00907CDE">
      <w:r>
        <w:separator/>
      </w:r>
    </w:p>
  </w:footnote>
  <w:footnote w:type="continuationSeparator" w:id="0">
    <w:p w:rsidR="00651CF7" w:rsidRDefault="00651CF7" w:rsidP="00907CDE">
      <w:r>
        <w:continuationSeparator/>
      </w:r>
    </w:p>
  </w:footnote>
  <w:footnote w:id="1">
    <w:p w:rsidR="00907CDE" w:rsidRDefault="00907CDE" w:rsidP="00907CDE">
      <w:pPr>
        <w:pStyle w:val="Puslapioinaostekstas"/>
        <w:rPr>
          <w:i/>
        </w:rPr>
      </w:pPr>
      <w:r>
        <w:rPr>
          <w:rStyle w:val="Puslapioinaosnuoroda"/>
          <w:i/>
        </w:rPr>
        <w:footnoteRef/>
      </w:r>
      <w:r>
        <w:rPr>
          <w:i/>
        </w:rPr>
        <w:t xml:space="preserve"> Jei svoriai nenustatomi, 4 ir 5 skiltys išbraukiamos (nespausdinamos).</w:t>
      </w:r>
    </w:p>
  </w:footnote>
  <w:footnote w:id="2">
    <w:p w:rsidR="00907CDE" w:rsidRDefault="00907CDE" w:rsidP="00907CD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rPr>
          <w:i/>
        </w:rPr>
        <w:t>Jei minimalus privalomas surinkti balų skaičius pagal kiekvieną kriterijų nenustatomas, 7 skiltis išbraukiama (nespausdinama).</w:t>
      </w:r>
    </w:p>
  </w:footnote>
  <w:footnote w:id="3">
    <w:p w:rsidR="00907CDE" w:rsidRDefault="00907CDE" w:rsidP="00907CDE">
      <w:pPr>
        <w:pStyle w:val="Puslapioinaostekstas"/>
        <w:rPr>
          <w:i/>
        </w:rPr>
      </w:pPr>
      <w:r>
        <w:rPr>
          <w:rStyle w:val="Puslapioinaosnuoroda"/>
        </w:rPr>
        <w:footnoteRef/>
      </w:r>
      <w:r>
        <w:t xml:space="preserve"> </w:t>
      </w:r>
      <w:r>
        <w:rPr>
          <w:i/>
        </w:rPr>
        <w:t>Pasirašoma, jei pildoma popierinė lentelės versija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724BD"/>
    <w:multiLevelType w:val="hybridMultilevel"/>
    <w:tmpl w:val="FFC03758"/>
    <w:lvl w:ilvl="0" w:tplc="28FCD1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E"/>
    <w:rsid w:val="00007109"/>
    <w:rsid w:val="00017237"/>
    <w:rsid w:val="00056E5D"/>
    <w:rsid w:val="0006278A"/>
    <w:rsid w:val="00087D4D"/>
    <w:rsid w:val="00095517"/>
    <w:rsid w:val="000A6FFF"/>
    <w:rsid w:val="000B4B30"/>
    <w:rsid w:val="000D31AB"/>
    <w:rsid w:val="000E459D"/>
    <w:rsid w:val="000F206C"/>
    <w:rsid w:val="0013022D"/>
    <w:rsid w:val="00160105"/>
    <w:rsid w:val="00174B36"/>
    <w:rsid w:val="00176F5D"/>
    <w:rsid w:val="001A0E58"/>
    <w:rsid w:val="001A6E28"/>
    <w:rsid w:val="002236E6"/>
    <w:rsid w:val="00233225"/>
    <w:rsid w:val="002763E9"/>
    <w:rsid w:val="002A315E"/>
    <w:rsid w:val="002A5700"/>
    <w:rsid w:val="002C0109"/>
    <w:rsid w:val="002C6304"/>
    <w:rsid w:val="003261DF"/>
    <w:rsid w:val="00345820"/>
    <w:rsid w:val="0039444D"/>
    <w:rsid w:val="003B26B6"/>
    <w:rsid w:val="003C4F29"/>
    <w:rsid w:val="003C7A6C"/>
    <w:rsid w:val="003E383A"/>
    <w:rsid w:val="004126B5"/>
    <w:rsid w:val="00413A00"/>
    <w:rsid w:val="00445F85"/>
    <w:rsid w:val="00490124"/>
    <w:rsid w:val="004941D0"/>
    <w:rsid w:val="004B308F"/>
    <w:rsid w:val="00501641"/>
    <w:rsid w:val="005017D3"/>
    <w:rsid w:val="005039C4"/>
    <w:rsid w:val="005330BC"/>
    <w:rsid w:val="00533CCF"/>
    <w:rsid w:val="00544AB3"/>
    <w:rsid w:val="005800DB"/>
    <w:rsid w:val="005A0153"/>
    <w:rsid w:val="005C5486"/>
    <w:rsid w:val="0060249B"/>
    <w:rsid w:val="006310B6"/>
    <w:rsid w:val="00651CF7"/>
    <w:rsid w:val="006A6668"/>
    <w:rsid w:val="006C4CD8"/>
    <w:rsid w:val="006E2156"/>
    <w:rsid w:val="006E7F00"/>
    <w:rsid w:val="006F7078"/>
    <w:rsid w:val="007146A6"/>
    <w:rsid w:val="00720586"/>
    <w:rsid w:val="00722E68"/>
    <w:rsid w:val="00742474"/>
    <w:rsid w:val="007437D5"/>
    <w:rsid w:val="00754F92"/>
    <w:rsid w:val="007B7B15"/>
    <w:rsid w:val="007C5EA7"/>
    <w:rsid w:val="007D3183"/>
    <w:rsid w:val="007F2A04"/>
    <w:rsid w:val="007F78E1"/>
    <w:rsid w:val="00810890"/>
    <w:rsid w:val="008217BC"/>
    <w:rsid w:val="00865D6C"/>
    <w:rsid w:val="00877A3A"/>
    <w:rsid w:val="00894780"/>
    <w:rsid w:val="008A4D10"/>
    <w:rsid w:val="00907CDE"/>
    <w:rsid w:val="00907EB5"/>
    <w:rsid w:val="00914708"/>
    <w:rsid w:val="00922E58"/>
    <w:rsid w:val="00922FD5"/>
    <w:rsid w:val="00935598"/>
    <w:rsid w:val="009758A0"/>
    <w:rsid w:val="009B3CA8"/>
    <w:rsid w:val="00A230C6"/>
    <w:rsid w:val="00A25D08"/>
    <w:rsid w:val="00A35DE1"/>
    <w:rsid w:val="00A854E5"/>
    <w:rsid w:val="00B131FA"/>
    <w:rsid w:val="00B14C1B"/>
    <w:rsid w:val="00B15430"/>
    <w:rsid w:val="00B248AB"/>
    <w:rsid w:val="00B56AD8"/>
    <w:rsid w:val="00B56E6D"/>
    <w:rsid w:val="00B94B1D"/>
    <w:rsid w:val="00BC2AF4"/>
    <w:rsid w:val="00BF35B9"/>
    <w:rsid w:val="00BF5FA5"/>
    <w:rsid w:val="00C03183"/>
    <w:rsid w:val="00C04E89"/>
    <w:rsid w:val="00C36B86"/>
    <w:rsid w:val="00C81706"/>
    <w:rsid w:val="00CB6CB5"/>
    <w:rsid w:val="00CC09A7"/>
    <w:rsid w:val="00CC0D17"/>
    <w:rsid w:val="00CE6ABA"/>
    <w:rsid w:val="00CE6FD2"/>
    <w:rsid w:val="00D05A2E"/>
    <w:rsid w:val="00D06DFF"/>
    <w:rsid w:val="00D24FBC"/>
    <w:rsid w:val="00D66A84"/>
    <w:rsid w:val="00D9007A"/>
    <w:rsid w:val="00DC2293"/>
    <w:rsid w:val="00DF688D"/>
    <w:rsid w:val="00E16631"/>
    <w:rsid w:val="00E25D91"/>
    <w:rsid w:val="00E34CD9"/>
    <w:rsid w:val="00E3702B"/>
    <w:rsid w:val="00E71E48"/>
    <w:rsid w:val="00EB170D"/>
    <w:rsid w:val="00EB70B9"/>
    <w:rsid w:val="00F377F7"/>
    <w:rsid w:val="00F47C2C"/>
    <w:rsid w:val="00F50112"/>
    <w:rsid w:val="00F54B7D"/>
    <w:rsid w:val="00F80715"/>
    <w:rsid w:val="00F83AC3"/>
    <w:rsid w:val="00F841F5"/>
    <w:rsid w:val="00F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F04FC-78D8-4E4E-8A0D-7559D066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7CD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907CD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07CDE"/>
    <w:rPr>
      <w:rFonts w:ascii="Times New Roman" w:eastAsia="Times New Roman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07C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07CDE"/>
    <w:rPr>
      <w:rFonts w:ascii="Times New Roman" w:eastAsia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907CDE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07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Puslapioinaosnuoroda">
    <w:name w:val="footnote reference"/>
    <w:semiHidden/>
    <w:unhideWhenUsed/>
    <w:rsid w:val="00907CDE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907CDE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7C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7CDE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B170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170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B17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170D"/>
    <w:rPr>
      <w:rFonts w:ascii="Times New Roman" w:eastAsia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4B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4B3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B62CA-0924-4392-87B5-F0C19F40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5385</Words>
  <Characters>3071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Gaidamavičienė Agnė</dc:creator>
  <cp:lastModifiedBy>Gaidamavičienė Agnė</cp:lastModifiedBy>
  <cp:revision>3</cp:revision>
  <cp:lastPrinted>2017-03-08T09:19:00Z</cp:lastPrinted>
  <dcterms:created xsi:type="dcterms:W3CDTF">2017-05-09T12:34:00Z</dcterms:created>
  <dcterms:modified xsi:type="dcterms:W3CDTF">2017-05-09T13:03:00Z</dcterms:modified>
</cp:coreProperties>
</file>